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r>
        <w:rPr>
          <w:b/>
          <w:bCs/>
          <w:sz w:val="24"/>
        </w:rPr>
        <w:t>BEFORE THE</w:t>
      </w:r>
    </w:p>
    <w:p w:rsidR="001C62FC" w:rsidRDefault="001C62FC" w:rsidP="0066707D">
      <w:pPr>
        <w:pStyle w:val="Heading1"/>
        <w:jc w:val="center"/>
        <w:rPr>
          <w:sz w:val="24"/>
        </w:rPr>
      </w:pPr>
    </w:p>
    <w:p w:rsidR="0066707D" w:rsidRDefault="0066707D" w:rsidP="0066707D">
      <w:pPr>
        <w:pStyle w:val="Heading1"/>
        <w:jc w:val="center"/>
        <w:rPr>
          <w:sz w:val="24"/>
        </w:rPr>
      </w:pPr>
      <w:r>
        <w:rPr>
          <w:sz w:val="24"/>
        </w:rPr>
        <w:t>WASHINGTON UTILITIES AND TRANSPORTATION COMMISSION</w:t>
      </w:r>
    </w:p>
    <w:p w:rsidR="00B2295C" w:rsidRPr="00B2295C" w:rsidRDefault="00B2295C" w:rsidP="00B2295C"/>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B42FB" w:rsidRPr="008B177F" w:rsidTr="006B42FB">
        <w:trPr>
          <w:trHeight w:val="2951"/>
        </w:trPr>
        <w:tc>
          <w:tcPr>
            <w:tcW w:w="4396" w:type="dxa"/>
          </w:tcPr>
          <w:p w:rsidR="006B42FB" w:rsidRPr="006B42FB" w:rsidRDefault="006B42FB" w:rsidP="006B42FB">
            <w:pPr>
              <w:pStyle w:val="Footer"/>
              <w:rPr>
                <w:snapToGrid/>
              </w:rPr>
            </w:pPr>
            <w:r w:rsidRPr="006B42FB">
              <w:rPr>
                <w:snapToGrid/>
              </w:rPr>
              <w:t xml:space="preserve">In the Matter of the Petition of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 xml:space="preserve">PUGET SOUND ENERGY, INC.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For an Accounting Order Authorizing Accounting Treatment Related to Payments for Major Maintenance Activities</w:t>
            </w:r>
          </w:p>
          <w:p w:rsidR="006B42FB" w:rsidRPr="006B42FB" w:rsidRDefault="006B42FB" w:rsidP="006B42FB">
            <w:pPr>
              <w:pStyle w:val="Footer"/>
              <w:rPr>
                <w:snapToGrid/>
              </w:rPr>
            </w:pPr>
            <w:r w:rsidRPr="006B42FB">
              <w:rPr>
                <w:snapToGrid/>
              </w:rPr>
              <w:t>_________________________________</w:t>
            </w:r>
            <w:r>
              <w:rPr>
                <w:snapToGrid/>
              </w:rPr>
              <w:t>___</w:t>
            </w:r>
          </w:p>
          <w:p w:rsidR="0042757E" w:rsidRDefault="0042757E" w:rsidP="006B42FB">
            <w:pPr>
              <w:pStyle w:val="Footer"/>
              <w:rPr>
                <w:snapToGrid/>
              </w:rPr>
            </w:pPr>
          </w:p>
          <w:p w:rsidR="006B42FB" w:rsidRPr="006B42FB" w:rsidRDefault="006B42FB" w:rsidP="006B42FB">
            <w:pPr>
              <w:pStyle w:val="Footer"/>
              <w:rPr>
                <w:snapToGrid/>
              </w:rPr>
            </w:pPr>
            <w:r w:rsidRPr="006B42FB">
              <w:rPr>
                <w:snapToGrid/>
              </w:rPr>
              <w:t>WASHINGTON UTILITIES AND TRANSPORTATION COMMISSION,</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ab/>
            </w:r>
            <w:r w:rsidRPr="006B42FB">
              <w:rPr>
                <w:snapToGrid/>
              </w:rPr>
              <w:tab/>
              <w:t>Complainant,</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v.</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 xml:space="preserve">PUGET SOUND ENERGY, INC.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ab/>
            </w:r>
            <w:r w:rsidRPr="006B42FB">
              <w:rPr>
                <w:snapToGrid/>
              </w:rPr>
              <w:tab/>
              <w:t>Respondent.</w:t>
            </w:r>
          </w:p>
          <w:p w:rsidR="006B42FB" w:rsidRPr="006B42FB" w:rsidRDefault="006B42FB" w:rsidP="006B42FB">
            <w:pPr>
              <w:pStyle w:val="Footer"/>
              <w:rPr>
                <w:snapToGrid/>
              </w:rPr>
            </w:pPr>
            <w:r w:rsidRPr="006B42FB">
              <w:rPr>
                <w:snapToGrid/>
              </w:rPr>
              <w:t>_________________________________</w:t>
            </w:r>
            <w:r>
              <w:rPr>
                <w:snapToGrid/>
              </w:rPr>
              <w:t>___</w:t>
            </w:r>
          </w:p>
          <w:p w:rsidR="0042757E" w:rsidRDefault="0042757E" w:rsidP="006B42FB">
            <w:pPr>
              <w:pStyle w:val="Footer"/>
              <w:rPr>
                <w:snapToGrid/>
              </w:rPr>
            </w:pPr>
          </w:p>
          <w:p w:rsidR="006B42FB" w:rsidRPr="006B42FB" w:rsidRDefault="006B42FB" w:rsidP="006B42FB">
            <w:pPr>
              <w:pStyle w:val="Footer"/>
              <w:rPr>
                <w:snapToGrid/>
              </w:rPr>
            </w:pPr>
            <w:r w:rsidRPr="006B42FB">
              <w:rPr>
                <w:snapToGrid/>
              </w:rPr>
              <w:t xml:space="preserve">In the Matter of the Application of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 xml:space="preserve">PUGET SOUND ENERGY, INC.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For an Accounting Order Authorizing Accounting the Sale of the Water Rights and Associated Assets of the Electron Hydroelectric Project in Accordance with WAC 480-143 and RCW 80.12.</w:t>
            </w:r>
          </w:p>
          <w:p w:rsidR="006B42FB" w:rsidRPr="006B42FB" w:rsidRDefault="006B42FB" w:rsidP="006B42FB">
            <w:pPr>
              <w:pStyle w:val="Footer"/>
              <w:rPr>
                <w:snapToGrid/>
              </w:rPr>
            </w:pPr>
            <w:r w:rsidRPr="006B42FB">
              <w:rPr>
                <w:snapToGrid/>
              </w:rPr>
              <w:t>_________________________________</w:t>
            </w:r>
            <w:r>
              <w:rPr>
                <w:snapToGrid/>
              </w:rPr>
              <w:t>___</w:t>
            </w:r>
          </w:p>
          <w:p w:rsidR="0042757E" w:rsidRDefault="0042757E" w:rsidP="006B42FB">
            <w:pPr>
              <w:pStyle w:val="Footer"/>
              <w:rPr>
                <w:snapToGrid/>
              </w:rPr>
            </w:pPr>
          </w:p>
          <w:p w:rsidR="006B42FB" w:rsidRPr="006B42FB" w:rsidRDefault="006B42FB" w:rsidP="006B42FB">
            <w:pPr>
              <w:pStyle w:val="Footer"/>
              <w:rPr>
                <w:snapToGrid/>
              </w:rPr>
            </w:pPr>
            <w:r w:rsidRPr="006B42FB">
              <w:rPr>
                <w:snapToGrid/>
              </w:rPr>
              <w:t>In the Matter of the Application of</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PUGET SOUND ENERGY, INC</w:t>
            </w:r>
          </w:p>
          <w:p w:rsidR="006B42FB" w:rsidRPr="006B42FB" w:rsidRDefault="006B42FB" w:rsidP="006B42FB">
            <w:pPr>
              <w:pStyle w:val="Footer"/>
              <w:rPr>
                <w:snapToGrid/>
              </w:rPr>
            </w:pPr>
          </w:p>
          <w:p w:rsidR="006B42FB" w:rsidRDefault="006B42FB" w:rsidP="006B42FB">
            <w:pPr>
              <w:pStyle w:val="Footer"/>
              <w:rPr>
                <w:snapToGrid/>
              </w:rPr>
            </w:pPr>
            <w:r w:rsidRPr="006B42FB">
              <w:rPr>
                <w:snapToGrid/>
              </w:rPr>
              <w:t xml:space="preserve">For an Order Authorizing the Sale of Interests in the Development Assets </w:t>
            </w:r>
          </w:p>
          <w:p w:rsidR="006B42FB" w:rsidRPr="006B42FB" w:rsidRDefault="006B42FB" w:rsidP="006B42FB">
            <w:pPr>
              <w:pStyle w:val="Footer"/>
              <w:rPr>
                <w:snapToGrid/>
              </w:rPr>
            </w:pPr>
            <w:r w:rsidRPr="006B42FB">
              <w:rPr>
                <w:snapToGrid/>
              </w:rPr>
              <w:t>Required for the Construction and Operation of Phase II of the Lower Snake River Wind Facility</w:t>
            </w:r>
          </w:p>
          <w:p w:rsidR="006B42FB" w:rsidRPr="006B42FB" w:rsidRDefault="006B42FB" w:rsidP="006B42FB">
            <w:pPr>
              <w:pStyle w:val="Footer"/>
              <w:rPr>
                <w:snapToGrid/>
              </w:rPr>
            </w:pPr>
            <w:r w:rsidRPr="006B42FB">
              <w:rPr>
                <w:snapToGrid/>
              </w:rPr>
              <w:t>_________________________________</w:t>
            </w:r>
            <w:r>
              <w:rPr>
                <w:snapToGrid/>
              </w:rPr>
              <w:t>___</w:t>
            </w:r>
          </w:p>
        </w:tc>
        <w:tc>
          <w:tcPr>
            <w:tcW w:w="274" w:type="dxa"/>
          </w:tcPr>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Default="006B42FB" w:rsidP="006B42FB">
            <w:pPr>
              <w:pStyle w:val="SingleSpacing"/>
            </w:pPr>
            <w:r w:rsidRPr="006B42FB">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42757E" w:rsidRDefault="0042757E" w:rsidP="006B42FB">
            <w:pPr>
              <w:pStyle w:val="SingleSpacing"/>
            </w:pPr>
            <w:r>
              <w:t>)</w:t>
            </w:r>
          </w:p>
          <w:p w:rsidR="0042757E" w:rsidRDefault="0042757E" w:rsidP="006B42FB">
            <w:pPr>
              <w:pStyle w:val="SingleSpacing"/>
            </w:pPr>
            <w:r>
              <w:t>)</w:t>
            </w:r>
          </w:p>
          <w:p w:rsidR="0042757E" w:rsidRPr="006B42FB" w:rsidRDefault="0042757E" w:rsidP="006B42FB">
            <w:pPr>
              <w:pStyle w:val="SingleSpacing"/>
            </w:pPr>
            <w:r>
              <w:t>)</w:t>
            </w:r>
          </w:p>
          <w:p w:rsidR="006B42FB" w:rsidRPr="006B42FB" w:rsidRDefault="006B42FB" w:rsidP="006B42FB">
            <w:pPr>
              <w:pStyle w:val="SingleSpacing"/>
              <w:rPr>
                <w:i/>
              </w:rPr>
            </w:pPr>
          </w:p>
        </w:tc>
        <w:tc>
          <w:tcPr>
            <w:tcW w:w="4113" w:type="dxa"/>
          </w:tcPr>
          <w:p w:rsidR="00033B0F" w:rsidRDefault="00033B0F" w:rsidP="006B42FB">
            <w:pPr>
              <w:pStyle w:val="SingleSpacing"/>
            </w:pPr>
          </w:p>
          <w:p w:rsidR="00033B0F" w:rsidRDefault="00033B0F" w:rsidP="006B42FB">
            <w:pPr>
              <w:pStyle w:val="SingleSpacing"/>
            </w:pPr>
          </w:p>
          <w:p w:rsidR="00033B0F" w:rsidRDefault="00033B0F" w:rsidP="006B42FB">
            <w:pPr>
              <w:pStyle w:val="SingleSpacing"/>
            </w:pPr>
          </w:p>
          <w:p w:rsidR="00033B0F" w:rsidRDefault="00033B0F" w:rsidP="006B42FB">
            <w:pPr>
              <w:pStyle w:val="SingleSpacing"/>
            </w:pPr>
          </w:p>
          <w:p w:rsidR="006B42FB" w:rsidRPr="006B42FB" w:rsidRDefault="006B42FB" w:rsidP="006B42FB">
            <w:pPr>
              <w:pStyle w:val="SingleSpacing"/>
            </w:pPr>
            <w:r w:rsidRPr="006B42FB">
              <w:t>Docket No. UE-130583</w:t>
            </w:r>
          </w:p>
          <w:p w:rsidR="006B42FB" w:rsidRPr="006B42FB" w:rsidRDefault="006B42FB" w:rsidP="006B42FB">
            <w:pPr>
              <w:pStyle w:val="SingleSpacing"/>
            </w:pPr>
          </w:p>
          <w:p w:rsidR="006B42FB" w:rsidRP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033B0F" w:rsidRDefault="00033B0F" w:rsidP="006B42FB">
            <w:pPr>
              <w:pStyle w:val="SingleSpacing"/>
            </w:pPr>
          </w:p>
          <w:p w:rsidR="006B42FB" w:rsidRPr="006B42FB" w:rsidRDefault="006B42FB" w:rsidP="006B42FB">
            <w:pPr>
              <w:pStyle w:val="SingleSpacing"/>
            </w:pPr>
            <w:r w:rsidRPr="00BF17C9">
              <w:t>Docket No. UE-130617</w:t>
            </w: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r>
              <w:t>PETITION FOR ACCOUNTING ORDER OF THE INDUSTRIAL CUSTOMERS OF NORTHWEST UTILITIES</w:t>
            </w:r>
          </w:p>
          <w:p w:rsidR="006B42FB" w:rsidRPr="006B42FB" w:rsidRDefault="006B42FB" w:rsidP="006B42FB">
            <w:pPr>
              <w:pStyle w:val="SingleSpacing"/>
            </w:pPr>
          </w:p>
          <w:p w:rsidR="006B42FB" w:rsidRPr="006B42FB" w:rsidRDefault="006B42FB" w:rsidP="006B42FB">
            <w:pPr>
              <w:pStyle w:val="SingleSpacing"/>
            </w:pPr>
          </w:p>
          <w:p w:rsid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B85551" w:rsidRDefault="00B85551" w:rsidP="006B42FB">
            <w:pPr>
              <w:pStyle w:val="SingleSpacing"/>
            </w:pPr>
          </w:p>
          <w:p w:rsidR="006B42FB" w:rsidRPr="006B42FB" w:rsidRDefault="006B42FB" w:rsidP="006B42FB">
            <w:pPr>
              <w:pStyle w:val="SingleSpacing"/>
            </w:pPr>
            <w:r w:rsidRPr="00BF17C9">
              <w:t>Docket No. UE-131099</w:t>
            </w:r>
          </w:p>
          <w:p w:rsid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B85551" w:rsidRDefault="00B85551" w:rsidP="006B42FB">
            <w:pPr>
              <w:pStyle w:val="SingleSpacing"/>
            </w:pPr>
          </w:p>
          <w:p w:rsidR="006B42FB" w:rsidRDefault="006B42FB" w:rsidP="006B42FB">
            <w:pPr>
              <w:pStyle w:val="SingleSpacing"/>
            </w:pPr>
            <w:r>
              <w:t>Docket No. UE-131230</w:t>
            </w:r>
          </w:p>
          <w:p w:rsidR="006B42FB" w:rsidRDefault="006B42FB" w:rsidP="006B42FB">
            <w:pPr>
              <w:pStyle w:val="SingleSpacing"/>
            </w:pPr>
          </w:p>
          <w:p w:rsidR="006B42FB" w:rsidRPr="006B42FB" w:rsidRDefault="006B42FB" w:rsidP="006B42FB">
            <w:pPr>
              <w:pStyle w:val="SingleSpacing"/>
            </w:pPr>
          </w:p>
        </w:tc>
      </w:tr>
    </w:tbl>
    <w:p w:rsidR="006B42FB" w:rsidRDefault="006B42FB" w:rsidP="0066707D">
      <w:pPr>
        <w:jc w:val="center"/>
        <w:rPr>
          <w:b/>
        </w:rPr>
      </w:pPr>
      <w:bookmarkStart w:id="0" w:name="Parties"/>
      <w:bookmarkEnd w:id="0"/>
    </w:p>
    <w:p w:rsidR="00D838F6" w:rsidRDefault="0066707D" w:rsidP="0066707D">
      <w:pPr>
        <w:jc w:val="center"/>
      </w:pPr>
      <w:r>
        <w:rPr>
          <w:b/>
        </w:rPr>
        <w:t>I.</w:t>
      </w:r>
      <w:r>
        <w:rPr>
          <w:b/>
        </w:rPr>
        <w:tab/>
        <w:t>INTRODUCTION</w:t>
      </w:r>
    </w:p>
    <w:p w:rsidR="0066707D" w:rsidRDefault="0066707D" w:rsidP="0066707D">
      <w:pPr>
        <w:jc w:val="center"/>
      </w:pPr>
    </w:p>
    <w:p w:rsidR="0033646A" w:rsidRDefault="00EC2743" w:rsidP="0033646A">
      <w:pPr>
        <w:pStyle w:val="WUTCParagraph"/>
      </w:pPr>
      <w:r>
        <w:tab/>
      </w:r>
      <w:r w:rsidR="0033646A">
        <w:t>Pursuant to WAC § 480-07-370(1)(b), the Industrial Customers of Northwest Utilities (“ICNU”) petitions the Washington Utilities and Transportation Commission (“Commission”) for an accounting order requiring Puget Sound Energy, Inc. (“PSE” or the “Company”) to: (1) refund</w:t>
      </w:r>
      <w:r w:rsidR="0033646A" w:rsidRPr="003A02B8">
        <w:t xml:space="preserve"> </w:t>
      </w:r>
      <w:r w:rsidR="0033646A">
        <w:t>to customers</w:t>
      </w:r>
      <w:r w:rsidR="0033646A" w:rsidRPr="003A02B8">
        <w:t xml:space="preserve"> </w:t>
      </w:r>
      <w:r w:rsidR="0033646A">
        <w:t>amounts the Company has collected in rates between the effective date of its tariffs filed in accordance with the Final Order issued in the 2013 powe</w:t>
      </w:r>
      <w:r w:rsidR="00E90C13">
        <w:t>r cost only rate case (“PCORC”)</w:t>
      </w:r>
      <w:r w:rsidR="0033646A">
        <w:t xml:space="preserve"> and other above-referenced dockets (“2013</w:t>
      </w:r>
      <w:r w:rsidR="00E90C13">
        <w:t xml:space="preserve"> PCORC Order”),</w:t>
      </w:r>
      <w:r w:rsidR="0033646A">
        <w:t xml:space="preserve"> and the date of this Petition</w:t>
      </w:r>
      <w:r w:rsidR="00E90C13">
        <w:t>,</w:t>
      </w:r>
      <w:r w:rsidR="0033646A">
        <w:t xml:space="preserve"> that were in excess of fair, just, reasonable and sufficient rates; and (2) defer, beginning from the date of this Petition, amounts the Company is currently collecting in rates that are in excess of fair, just, reasonable and sufficient rates.  </w:t>
      </w:r>
    </w:p>
    <w:p w:rsidR="0033646A" w:rsidRDefault="0033646A" w:rsidP="0033646A">
      <w:pPr>
        <w:pStyle w:val="WUTCParagraph"/>
      </w:pPr>
      <w:r>
        <w:tab/>
      </w:r>
      <w:r w:rsidR="00033B0F">
        <w:t xml:space="preserve">ICNU is an incorporated, non-profit association of large industrial customers in the Pacific Northwest.  Many members of ICNU purchase power distribution and transmission services from PSE. </w:t>
      </w:r>
      <w:r>
        <w:t xml:space="preserve"> The contact information for ICNU’s attorneys in this matter is included at the end of this Petition.  ICNU’s contact information is:</w:t>
      </w:r>
    </w:p>
    <w:p w:rsidR="0033646A" w:rsidRDefault="0033646A" w:rsidP="0033646A">
      <w:pPr>
        <w:pStyle w:val="WUTCParagraph"/>
        <w:numPr>
          <w:ilvl w:val="0"/>
          <w:numId w:val="0"/>
        </w:numPr>
        <w:spacing w:line="240" w:lineRule="auto"/>
        <w:ind w:left="1440"/>
      </w:pPr>
      <w:r>
        <w:t>Industrial Customers of Northwest Utilities</w:t>
      </w:r>
    </w:p>
    <w:p w:rsidR="0033646A" w:rsidRDefault="0033646A" w:rsidP="0033646A">
      <w:pPr>
        <w:pStyle w:val="WUTCParagraph"/>
        <w:numPr>
          <w:ilvl w:val="0"/>
          <w:numId w:val="0"/>
        </w:numPr>
        <w:spacing w:line="240" w:lineRule="auto"/>
        <w:ind w:left="1440"/>
      </w:pPr>
      <w:r>
        <w:t>818 S.W. Third Ave, #266</w:t>
      </w:r>
    </w:p>
    <w:p w:rsidR="0033646A" w:rsidRDefault="0033646A" w:rsidP="0033646A">
      <w:pPr>
        <w:pStyle w:val="WUTCParagraph"/>
        <w:numPr>
          <w:ilvl w:val="0"/>
          <w:numId w:val="0"/>
        </w:numPr>
        <w:ind w:left="1440"/>
      </w:pPr>
      <w:r>
        <w:t>Portland, OR 97204</w:t>
      </w:r>
    </w:p>
    <w:p w:rsidR="0033646A" w:rsidRDefault="0033646A" w:rsidP="0033646A">
      <w:pPr>
        <w:pStyle w:val="WUTCParagraph"/>
      </w:pPr>
      <w:r>
        <w:tab/>
        <w:t>The rules and statutes relevant to this Petition are: WAC § 480-07-370, RCW § 80.28.010, and RCW § 80.01.040.</w:t>
      </w:r>
      <w:r w:rsidRPr="00FF6C72">
        <w:rPr>
          <w:vertAlign w:val="superscript"/>
        </w:rPr>
        <w:t xml:space="preserve"> </w:t>
      </w:r>
    </w:p>
    <w:p w:rsidR="0033646A" w:rsidRDefault="0033646A" w:rsidP="0033646A">
      <w:pPr>
        <w:spacing w:line="480" w:lineRule="auto"/>
        <w:jc w:val="center"/>
        <w:rPr>
          <w:b/>
        </w:rPr>
      </w:pPr>
      <w:r>
        <w:rPr>
          <w:b/>
        </w:rPr>
        <w:t>II.</w:t>
      </w:r>
      <w:r>
        <w:rPr>
          <w:b/>
        </w:rPr>
        <w:tab/>
        <w:t>FACTUAL BACKGROUND</w:t>
      </w:r>
    </w:p>
    <w:p w:rsidR="00D838F6" w:rsidRPr="00EE49EC" w:rsidRDefault="00D838F6" w:rsidP="00D838F6">
      <w:pPr>
        <w:spacing w:line="480" w:lineRule="auto"/>
        <w:ind w:firstLine="720"/>
        <w:rPr>
          <w:b/>
        </w:rPr>
      </w:pPr>
      <w:r>
        <w:rPr>
          <w:b/>
        </w:rPr>
        <w:t>A.</w:t>
      </w:r>
      <w:r>
        <w:rPr>
          <w:b/>
        </w:rPr>
        <w:tab/>
        <w:t>2013 PCORC</w:t>
      </w:r>
    </w:p>
    <w:p w:rsidR="00E3085B" w:rsidRDefault="0033646A" w:rsidP="00E3085B">
      <w:pPr>
        <w:pStyle w:val="WUTCParagraph"/>
      </w:pPr>
      <w:r>
        <w:tab/>
      </w:r>
      <w:r w:rsidR="00D81522" w:rsidRPr="00105360">
        <w:t xml:space="preserve">The </w:t>
      </w:r>
      <w:r w:rsidR="006E0A14">
        <w:t>Commission issued the 2013 PCORC Order on October 23, 2013</w:t>
      </w:r>
      <w:r w:rsidR="009C1E26">
        <w:t>, approving and adopting an all-party settlement agreement and fi</w:t>
      </w:r>
      <w:r w:rsidR="006E0A14">
        <w:t>nd</w:t>
      </w:r>
      <w:r w:rsidR="009C1E26">
        <w:t>ing</w:t>
      </w:r>
      <w:r w:rsidR="006E0A14">
        <w:t xml:space="preserve"> that a $10,481,843 reduction to </w:t>
      </w:r>
      <w:r w:rsidR="006E0A14">
        <w:lastRenderedPageBreak/>
        <w:t>PSE’s revenue requirement would “result in rates that are fair, just, reasonable, and sufficient.”</w:t>
      </w:r>
      <w:r w:rsidR="006E0A14" w:rsidRPr="006E0A14">
        <w:rPr>
          <w:rStyle w:val="FootnoteReference"/>
          <w:u w:val="single"/>
        </w:rPr>
        <w:footnoteReference w:id="1"/>
      </w:r>
      <w:r w:rsidR="006E0A14" w:rsidRPr="006E0A14">
        <w:rPr>
          <w:vertAlign w:val="superscript"/>
        </w:rPr>
        <w:t>/</w:t>
      </w:r>
      <w:r w:rsidR="006E0A14">
        <w:t xml:space="preserve">  </w:t>
      </w:r>
      <w:r w:rsidR="009C1E26">
        <w:t>Included within this overall finding, the Commission approved</w:t>
      </w:r>
      <w:r w:rsidR="00E0368A">
        <w:t xml:space="preserve"> the:  1) </w:t>
      </w:r>
      <w:r w:rsidR="009C1E26">
        <w:t xml:space="preserve">lowering of the power cost baseline rate; 2) </w:t>
      </w:r>
      <w:r w:rsidR="00E0368A">
        <w:t>prudence</w:t>
      </w:r>
      <w:r w:rsidR="006E0A14">
        <w:t xml:space="preserve"> </w:t>
      </w:r>
      <w:r w:rsidR="00E0368A">
        <w:t>of various resource acquisitions and upgrades; and 3) effectual offsets to fixed production rate base in the form of Treasury Grants.</w:t>
      </w:r>
      <w:r w:rsidR="00332BD9" w:rsidRPr="006E0A14">
        <w:rPr>
          <w:rStyle w:val="FootnoteReference"/>
          <w:u w:val="single"/>
        </w:rPr>
        <w:footnoteReference w:id="2"/>
      </w:r>
      <w:r w:rsidR="00332BD9" w:rsidRPr="006E0A14">
        <w:rPr>
          <w:vertAlign w:val="superscript"/>
        </w:rPr>
        <w:t>/</w:t>
      </w:r>
      <w:r w:rsidR="00332BD9">
        <w:t xml:space="preserve">  New rates reflecting the Commission’s findings in the 2013 PCORC Order became effective on November 1, 2013.</w:t>
      </w:r>
      <w:r w:rsidR="00332BD9" w:rsidRPr="006E0A14">
        <w:rPr>
          <w:rStyle w:val="FootnoteReference"/>
          <w:u w:val="single"/>
        </w:rPr>
        <w:footnoteReference w:id="3"/>
      </w:r>
      <w:r w:rsidR="00332BD9" w:rsidRPr="006E0A14">
        <w:rPr>
          <w:vertAlign w:val="superscript"/>
        </w:rPr>
        <w:t>/</w:t>
      </w:r>
    </w:p>
    <w:p w:rsidR="00E3085B" w:rsidRDefault="00C96E53" w:rsidP="00E3085B">
      <w:pPr>
        <w:pStyle w:val="WUTCParagraph"/>
      </w:pPr>
      <w:r>
        <w:tab/>
        <w:t>The Commission approved PCORC filings</w:t>
      </w:r>
      <w:r w:rsidR="00406A43">
        <w:t xml:space="preserve"> and a power cost adjustment mechanism (“PCA”)</w:t>
      </w:r>
      <w:r>
        <w:t xml:space="preserve"> in 2002.</w:t>
      </w:r>
      <w:r w:rsidRPr="006E0A14">
        <w:rPr>
          <w:rStyle w:val="FootnoteReference"/>
          <w:u w:val="single"/>
        </w:rPr>
        <w:footnoteReference w:id="4"/>
      </w:r>
      <w:r w:rsidRPr="006E0A14">
        <w:rPr>
          <w:vertAlign w:val="superscript"/>
        </w:rPr>
        <w:t>/</w:t>
      </w:r>
      <w:r w:rsidR="00E3085B">
        <w:t xml:space="preserve"> </w:t>
      </w:r>
      <w:r>
        <w:t xml:space="preserve"> In so doing, the Commission approved and adopted an unopposed settlement stipulation</w:t>
      </w:r>
      <w:r w:rsidR="00CA1EC7">
        <w:t xml:space="preserve"> detailing PCORC parameters</w:t>
      </w:r>
      <w:r>
        <w:t xml:space="preserve">, </w:t>
      </w:r>
      <w:r w:rsidR="00CA1EC7">
        <w:t>and incorporated</w:t>
      </w:r>
      <w:r>
        <w:t xml:space="preserve"> the </w:t>
      </w:r>
      <w:r w:rsidR="00CA1EC7">
        <w:t xml:space="preserve">settlement </w:t>
      </w:r>
      <w:r>
        <w:t>stipulation into the order as an appendix.</w:t>
      </w:r>
      <w:r w:rsidRPr="006E0A14">
        <w:rPr>
          <w:rStyle w:val="FootnoteReference"/>
          <w:u w:val="single"/>
        </w:rPr>
        <w:footnoteReference w:id="5"/>
      </w:r>
      <w:r w:rsidRPr="006E0A14">
        <w:rPr>
          <w:vertAlign w:val="superscript"/>
        </w:rPr>
        <w:t>/</w:t>
      </w:r>
      <w:r w:rsidR="00E90C13">
        <w:t xml:space="preserve">  The Commission</w:t>
      </w:r>
      <w:r w:rsidR="00CA1EC7">
        <w:t xml:space="preserve"> affirmed that the “power cost baseline” established in the settlement stipulation would be “embedded in PSE’s rates.”</w:t>
      </w:r>
      <w:r w:rsidR="00CA1EC7" w:rsidRPr="006E0A14">
        <w:rPr>
          <w:rStyle w:val="FootnoteReference"/>
          <w:u w:val="single"/>
        </w:rPr>
        <w:footnoteReference w:id="6"/>
      </w:r>
      <w:r w:rsidR="00CA1EC7" w:rsidRPr="006E0A14">
        <w:rPr>
          <w:vertAlign w:val="superscript"/>
        </w:rPr>
        <w:t>/</w:t>
      </w:r>
      <w:r w:rsidR="00CA1EC7">
        <w:t xml:space="preserve">  The stipulation defined:  1) the “power cost baseline rate” as “the sum of the Fixed Rate Components and Variable Rate Components divided by the test year delivered load (MWh)”;</w:t>
      </w:r>
      <w:r w:rsidR="00CA1EC7" w:rsidRPr="006E0A14">
        <w:rPr>
          <w:rStyle w:val="FootnoteReference"/>
          <w:u w:val="single"/>
        </w:rPr>
        <w:footnoteReference w:id="7"/>
      </w:r>
      <w:r w:rsidR="00CA1EC7" w:rsidRPr="006E0A14">
        <w:rPr>
          <w:vertAlign w:val="superscript"/>
        </w:rPr>
        <w:t>/</w:t>
      </w:r>
      <w:r w:rsidR="00CA1EC7">
        <w:t xml:space="preserve"> </w:t>
      </w:r>
      <w:r w:rsidR="00406A43">
        <w:t>and 2) “Baseline Power Costs” as “the Power Cost Baseline rate times actual delive</w:t>
      </w:r>
      <w:r w:rsidR="0074395F">
        <w:t>re</w:t>
      </w:r>
      <w:r w:rsidR="00406A43">
        <w:t>d load in the PCA period.”</w:t>
      </w:r>
      <w:r w:rsidR="00406A43" w:rsidRPr="006E0A14">
        <w:rPr>
          <w:rStyle w:val="FootnoteReference"/>
          <w:u w:val="single"/>
        </w:rPr>
        <w:footnoteReference w:id="8"/>
      </w:r>
      <w:r w:rsidR="00406A43" w:rsidRPr="006E0A14">
        <w:rPr>
          <w:vertAlign w:val="superscript"/>
        </w:rPr>
        <w:t>/</w:t>
      </w:r>
      <w:r w:rsidR="00406A43">
        <w:t xml:space="preserve">  Finally, the settlement provided that the power cost rate would be composed of two components:  1) a fixed rate component, including production plant and transmission return on ratebase; and 2) a variable rate component, including production regulatory assets amortization and return.</w:t>
      </w:r>
      <w:r w:rsidR="00406A43" w:rsidRPr="006E0A14">
        <w:rPr>
          <w:rStyle w:val="FootnoteReference"/>
          <w:u w:val="single"/>
        </w:rPr>
        <w:footnoteReference w:id="9"/>
      </w:r>
      <w:r w:rsidR="00406A43" w:rsidRPr="006E0A14">
        <w:rPr>
          <w:vertAlign w:val="superscript"/>
        </w:rPr>
        <w:t>/</w:t>
      </w:r>
    </w:p>
    <w:p w:rsidR="00F35EAE" w:rsidRPr="00105360" w:rsidRDefault="00F35EAE" w:rsidP="00F35EAE">
      <w:pPr>
        <w:pStyle w:val="WUTCParagraph"/>
      </w:pPr>
      <w:r>
        <w:tab/>
        <w:t xml:space="preserve">In sum, the power cost baseline is embedded within PSE rates subject to review in a PCORC proceeding, </w:t>
      </w:r>
      <w:r w:rsidR="00DB43C7">
        <w:t xml:space="preserve">including the 2013 PCORC, </w:t>
      </w:r>
      <w:r>
        <w:t xml:space="preserve">and this baseline rate is a product of </w:t>
      </w:r>
      <w:r>
        <w:lastRenderedPageBreak/>
        <w:t xml:space="preserve">calculations factoring in the Company’s rate of return.  The rate of return is itself derived from a company’s </w:t>
      </w:r>
      <w:r w:rsidR="0074395F">
        <w:t>return on equity (“</w:t>
      </w:r>
      <w:r>
        <w:t>ROE</w:t>
      </w:r>
      <w:r w:rsidR="0074395F">
        <w:t>”)</w:t>
      </w:r>
      <w:r>
        <w:t>.  As the Commission explains, a company’s “overall rate of return … is determined by taking the sum of the products of each component cost (</w:t>
      </w:r>
      <w:r w:rsidRPr="00C64AB5">
        <w:rPr>
          <w:i/>
        </w:rPr>
        <w:t>i.e.</w:t>
      </w:r>
      <w:r>
        <w:t>, equity, long-term</w:t>
      </w:r>
      <w:r w:rsidR="002D3892">
        <w:t xml:space="preserve"> debt and short-term debt).”</w:t>
      </w:r>
      <w:r w:rsidR="002D3892" w:rsidRPr="006E0A14">
        <w:rPr>
          <w:rStyle w:val="FootnoteReference"/>
          <w:u w:val="single"/>
        </w:rPr>
        <w:footnoteReference w:id="10"/>
      </w:r>
      <w:r w:rsidR="002D3892" w:rsidRPr="006E0A14">
        <w:rPr>
          <w:vertAlign w:val="superscript"/>
        </w:rPr>
        <w:t>/</w:t>
      </w:r>
      <w:r w:rsidR="002D3892">
        <w:t xml:space="preserve"> </w:t>
      </w:r>
      <w:r>
        <w:t xml:space="preserve">  </w:t>
      </w:r>
    </w:p>
    <w:p w:rsidR="003754FA" w:rsidRPr="0057443A" w:rsidRDefault="003754FA" w:rsidP="003754FA">
      <w:pPr>
        <w:spacing w:line="480" w:lineRule="auto"/>
        <w:ind w:firstLine="720"/>
        <w:rPr>
          <w:b/>
        </w:rPr>
      </w:pPr>
      <w:r>
        <w:rPr>
          <w:b/>
        </w:rPr>
        <w:t>B.</w:t>
      </w:r>
      <w:r>
        <w:rPr>
          <w:b/>
        </w:rPr>
        <w:tab/>
        <w:t>PSE Rate Appeal</w:t>
      </w:r>
    </w:p>
    <w:p w:rsidR="003754FA" w:rsidRPr="00105360" w:rsidRDefault="00105360" w:rsidP="00105360">
      <w:pPr>
        <w:pStyle w:val="WUTCParagraph"/>
      </w:pPr>
      <w:r>
        <w:tab/>
      </w:r>
      <w:r w:rsidR="003754FA" w:rsidRPr="00105360">
        <w:t>On June 25, 2013, the Commission entered a Final Order in PSE’s consolidated expedited rate filing</w:t>
      </w:r>
      <w:r w:rsidR="00C64AB5">
        <w:t xml:space="preserve"> (“ERF”)</w:t>
      </w:r>
      <w:r w:rsidR="003754FA" w:rsidRPr="00105360">
        <w:t>, rate plan, and decoupling cases</w:t>
      </w:r>
      <w:r w:rsidR="001B1C1F" w:rsidRPr="00105360">
        <w:t xml:space="preserve"> (collectively, the “ERF</w:t>
      </w:r>
      <w:r w:rsidR="001D7A20">
        <w:t xml:space="preserve"> cases</w:t>
      </w:r>
      <w:r w:rsidR="001B1C1F" w:rsidRPr="00105360">
        <w:t>”)</w:t>
      </w:r>
      <w:r w:rsidR="003754FA" w:rsidRPr="00105360">
        <w:t xml:space="preserve">, in which it approved </w:t>
      </w:r>
      <w:r w:rsidR="00076A0A">
        <w:t xml:space="preserve">the </w:t>
      </w:r>
      <w:r w:rsidR="00C64AB5">
        <w:t xml:space="preserve">ERF, </w:t>
      </w:r>
      <w:r w:rsidR="003754FA" w:rsidRPr="00105360">
        <w:t>rate plan, and a decoupling mechanism for PSE.</w:t>
      </w:r>
      <w:r w:rsidR="003754FA" w:rsidRPr="006E0A14">
        <w:rPr>
          <w:rStyle w:val="FootnoteReference"/>
          <w:u w:val="single"/>
        </w:rPr>
        <w:footnoteReference w:id="11"/>
      </w:r>
      <w:r w:rsidR="003754FA" w:rsidRPr="006E0A14">
        <w:rPr>
          <w:vertAlign w:val="superscript"/>
        </w:rPr>
        <w:t>/</w:t>
      </w:r>
      <w:r w:rsidR="003754FA" w:rsidRPr="00105360">
        <w:t xml:space="preserve">  </w:t>
      </w:r>
      <w:r w:rsidR="00C64AB5">
        <w:t>T</w:t>
      </w:r>
      <w:r w:rsidR="00C64AB5" w:rsidRPr="00105360">
        <w:t xml:space="preserve">he Commission set PSE’s rates using the Company’s previously authorized </w:t>
      </w:r>
      <w:r w:rsidR="0074395F">
        <w:t>ROE</w:t>
      </w:r>
      <w:r w:rsidR="00C64AB5">
        <w:t xml:space="preserve"> </w:t>
      </w:r>
      <w:r w:rsidR="00C64AB5" w:rsidRPr="00105360">
        <w:t>of 9.8%</w:t>
      </w:r>
      <w:r w:rsidR="00C64AB5">
        <w:t>,</w:t>
      </w:r>
      <w:r w:rsidR="00C64AB5" w:rsidRPr="006E0A14">
        <w:rPr>
          <w:rStyle w:val="FootnoteReference"/>
          <w:u w:val="single"/>
        </w:rPr>
        <w:footnoteReference w:id="12"/>
      </w:r>
      <w:r w:rsidR="00C64AB5" w:rsidRPr="006E0A14">
        <w:rPr>
          <w:vertAlign w:val="superscript"/>
        </w:rPr>
        <w:t>/</w:t>
      </w:r>
      <w:r w:rsidR="00C64AB5">
        <w:t xml:space="preserve"> d</w:t>
      </w:r>
      <w:r w:rsidR="003754FA" w:rsidRPr="00105360">
        <w:t xml:space="preserve">espite the fact that the record evidence demonstrated that a reasonable </w:t>
      </w:r>
      <w:r w:rsidR="00C64AB5">
        <w:t>ROE for the Company</w:t>
      </w:r>
      <w:r w:rsidR="003754FA" w:rsidRPr="00105360">
        <w:t xml:space="preserve"> at the time </w:t>
      </w:r>
      <w:r w:rsidR="00C64AB5">
        <w:t xml:space="preserve">that </w:t>
      </w:r>
      <w:r w:rsidR="001B1C1F" w:rsidRPr="00105360">
        <w:t xml:space="preserve">ERF </w:t>
      </w:r>
      <w:r w:rsidR="003754FA" w:rsidRPr="00105360">
        <w:t>Order 07 was issued was 9.3%</w:t>
      </w:r>
      <w:r w:rsidR="00C64AB5">
        <w:t>.</w:t>
      </w:r>
      <w:r w:rsidR="003754FA" w:rsidRPr="006E0A14">
        <w:rPr>
          <w:rStyle w:val="FootnoteReference"/>
          <w:u w:val="single"/>
        </w:rPr>
        <w:footnoteReference w:id="13"/>
      </w:r>
      <w:r w:rsidR="003754FA" w:rsidRPr="006E0A14">
        <w:rPr>
          <w:vertAlign w:val="superscript"/>
        </w:rPr>
        <w:t>/</w:t>
      </w:r>
      <w:r w:rsidR="003754FA" w:rsidRPr="00105360">
        <w:t xml:space="preserve">  ICNU and Public Counsel challenged this decision in Thurston County Superior Court (the “Court”).</w:t>
      </w:r>
      <w:r w:rsidR="003754FA" w:rsidRPr="006E0A14">
        <w:rPr>
          <w:rStyle w:val="FootnoteReference"/>
          <w:u w:val="single"/>
        </w:rPr>
        <w:footnoteReference w:id="14"/>
      </w:r>
      <w:r w:rsidR="003754FA" w:rsidRPr="006E0A14">
        <w:rPr>
          <w:vertAlign w:val="superscript"/>
        </w:rPr>
        <w:t>/</w:t>
      </w:r>
      <w:r w:rsidR="003754FA" w:rsidRPr="00105360">
        <w:t xml:space="preserve">  </w:t>
      </w:r>
    </w:p>
    <w:p w:rsidR="00D838F6" w:rsidRDefault="00156C25" w:rsidP="00156C25">
      <w:pPr>
        <w:pStyle w:val="WUTCParagraph"/>
      </w:pPr>
      <w:r>
        <w:tab/>
      </w:r>
      <w:r w:rsidR="003754FA">
        <w:t xml:space="preserve">On July 25, 2014, the Court entered an order affirming in part and reversing in part </w:t>
      </w:r>
      <w:r w:rsidR="001B1C1F">
        <w:t xml:space="preserve">ERF </w:t>
      </w:r>
      <w:r w:rsidR="003754FA">
        <w:t>Order 07 (“Court Order”).</w:t>
      </w:r>
      <w:r w:rsidR="003754FA" w:rsidRPr="00FF6C72">
        <w:rPr>
          <w:rStyle w:val="FootnoteReference"/>
          <w:u w:val="single"/>
        </w:rPr>
        <w:footnoteReference w:id="15"/>
      </w:r>
      <w:r w:rsidR="003754FA" w:rsidRPr="00FF6C72">
        <w:rPr>
          <w:vertAlign w:val="superscript"/>
        </w:rPr>
        <w:t>/</w:t>
      </w:r>
      <w:r w:rsidR="003754FA">
        <w:t xml:space="preserve">  In a letter ruling </w:t>
      </w:r>
      <w:r w:rsidR="001B1C1F">
        <w:t>expressly incorporated into</w:t>
      </w:r>
      <w:r w:rsidR="003754FA">
        <w:t xml:space="preserve"> the Court Order</w:t>
      </w:r>
      <w:r w:rsidR="001B1C1F">
        <w:t xml:space="preserve"> via attachment</w:t>
      </w:r>
      <w:r w:rsidR="003754FA">
        <w:t xml:space="preserve">, the Court found that the </w:t>
      </w:r>
      <w:r w:rsidR="00076A0A">
        <w:t>Commission’s decision to set the Company</w:t>
      </w:r>
      <w:r w:rsidR="003754FA">
        <w:t>’s ROE at 9.8% was not based on substantial evidence in the record</w:t>
      </w:r>
      <w:r w:rsidR="00C64AB5">
        <w:t>,</w:t>
      </w:r>
      <w:r w:rsidR="003754FA">
        <w:t xml:space="preserve"> and improperly shifted the burden of proof away from PSE and onto other parties.</w:t>
      </w:r>
      <w:r w:rsidR="003754FA" w:rsidRPr="00FF6C72">
        <w:rPr>
          <w:rStyle w:val="FootnoteReference"/>
          <w:u w:val="single"/>
        </w:rPr>
        <w:footnoteReference w:id="16"/>
      </w:r>
      <w:r w:rsidR="003754FA" w:rsidRPr="00FF6C72">
        <w:rPr>
          <w:vertAlign w:val="superscript"/>
        </w:rPr>
        <w:t>/</w:t>
      </w:r>
      <w:r w:rsidR="003754FA">
        <w:t xml:space="preserve">  The Court remanded </w:t>
      </w:r>
      <w:r w:rsidR="001B1C1F">
        <w:t xml:space="preserve">ERF </w:t>
      </w:r>
      <w:r w:rsidR="003754FA">
        <w:t xml:space="preserve">Order 07 to </w:t>
      </w:r>
      <w:r w:rsidR="003754FA">
        <w:lastRenderedPageBreak/>
        <w:t>the Commission “to establish fair, just, reasonable and sufficient rates to be charged under the rate plan, and to order any other appropriate relief.”</w:t>
      </w:r>
      <w:r w:rsidR="003754FA" w:rsidRPr="00FF6C72">
        <w:rPr>
          <w:rStyle w:val="FootnoteReference"/>
          <w:u w:val="single"/>
        </w:rPr>
        <w:footnoteReference w:id="17"/>
      </w:r>
      <w:r w:rsidR="003754FA" w:rsidRPr="00FF6C72">
        <w:rPr>
          <w:vertAlign w:val="superscript"/>
        </w:rPr>
        <w:t>/</w:t>
      </w:r>
    </w:p>
    <w:p w:rsidR="001B1C1F" w:rsidRPr="001B1C1F" w:rsidRDefault="00156C25" w:rsidP="00156C25">
      <w:pPr>
        <w:pStyle w:val="WUTCParagraph"/>
        <w:rPr>
          <w:b/>
        </w:rPr>
      </w:pPr>
      <w:r>
        <w:tab/>
      </w:r>
      <w:r w:rsidR="001B1C1F">
        <w:t>ICNU filed a Petition for Accounting in the ERF cases on July 30, 2014, seeking both a refund and deferral of rate amounts determined to be illegal by the Court.</w:t>
      </w:r>
      <w:r w:rsidR="00DB43C7" w:rsidRPr="006E0A14">
        <w:rPr>
          <w:rStyle w:val="FootnoteReference"/>
          <w:u w:val="single"/>
        </w:rPr>
        <w:footnoteReference w:id="18"/>
      </w:r>
      <w:r w:rsidR="00DB43C7" w:rsidRPr="006E0A14">
        <w:rPr>
          <w:vertAlign w:val="superscript"/>
        </w:rPr>
        <w:t>/</w:t>
      </w:r>
      <w:r w:rsidR="001B1C1F">
        <w:t xml:space="preserve">  On August 5, 2014, the Commission issued two Notices in the ERF cases:  1) suspending deadlines for responses to ICNU’s </w:t>
      </w:r>
      <w:r w:rsidR="00C64AB5">
        <w:t xml:space="preserve">ERF cases </w:t>
      </w:r>
      <w:r w:rsidR="001B1C1F">
        <w:t>Petition and providing parties with an opportunity to file proposals regarding the procedure the Commission should use on remand to comply with the Court Order</w:t>
      </w:r>
      <w:r w:rsidR="00F725B0">
        <w:t>; and 2) noticing a prehearing conference to address the appropriate procedure on remand and to establish a procedural schedule.</w:t>
      </w:r>
      <w:r w:rsidR="00233D5A" w:rsidRPr="006E0A14">
        <w:rPr>
          <w:rStyle w:val="FootnoteReference"/>
          <w:u w:val="single"/>
        </w:rPr>
        <w:footnoteReference w:id="19"/>
      </w:r>
      <w:r w:rsidR="00233D5A" w:rsidRPr="006E0A14">
        <w:rPr>
          <w:vertAlign w:val="superscript"/>
        </w:rPr>
        <w:t>/</w:t>
      </w:r>
      <w:r w:rsidR="00F725B0">
        <w:t xml:space="preserve">  In the body of these Notices, the Commission explicitly acknowledged the Court’s conclusions regarding the illegality of the Commission’s findings of fact with respect to ROE in the </w:t>
      </w:r>
      <w:r w:rsidR="00C64AB5">
        <w:t xml:space="preserve">Company’s </w:t>
      </w:r>
      <w:r w:rsidR="00F725B0">
        <w:t>rate plan.</w:t>
      </w:r>
      <w:r w:rsidR="005645AA" w:rsidRPr="006E0A14">
        <w:rPr>
          <w:rStyle w:val="FootnoteReference"/>
          <w:u w:val="single"/>
        </w:rPr>
        <w:footnoteReference w:id="20"/>
      </w:r>
      <w:r w:rsidR="005645AA" w:rsidRPr="006E0A14">
        <w:rPr>
          <w:vertAlign w:val="superscript"/>
        </w:rPr>
        <w:t>/</w:t>
      </w:r>
      <w:r w:rsidR="001B1C1F">
        <w:t xml:space="preserve"> </w:t>
      </w:r>
    </w:p>
    <w:p w:rsidR="0033646A" w:rsidRDefault="0033646A" w:rsidP="0033646A">
      <w:pPr>
        <w:spacing w:line="480" w:lineRule="auto"/>
        <w:jc w:val="center"/>
      </w:pPr>
      <w:r>
        <w:rPr>
          <w:b/>
        </w:rPr>
        <w:t>III.</w:t>
      </w:r>
      <w:r>
        <w:rPr>
          <w:b/>
        </w:rPr>
        <w:tab/>
        <w:t>GROUNDS FOR THE PETITION AND RELIEF REQUESTED</w:t>
      </w:r>
    </w:p>
    <w:p w:rsidR="00CA093E" w:rsidRDefault="0033646A" w:rsidP="0033646A">
      <w:pPr>
        <w:pStyle w:val="WUTCParagraph"/>
      </w:pPr>
      <w:r>
        <w:tab/>
        <w:t>ICNU’s Petition</w:t>
      </w:r>
      <w:r w:rsidR="00B75956">
        <w:t xml:space="preserve"> seeks to effectuate the Court O</w:t>
      </w:r>
      <w:r>
        <w:t xml:space="preserve">rder.  Specifically, ICNU proposes to capture the difference between what PSE has collected, and continues to collect, in rates found to be unlawful, and the amount that is “just, fair, reasonable and sufficient” as required by RCW § 80.28.010(1) and the Court Order.  </w:t>
      </w:r>
    </w:p>
    <w:p w:rsidR="0033646A" w:rsidRDefault="00CA093E" w:rsidP="00CA093E">
      <w:pPr>
        <w:pStyle w:val="WUTCParagraph"/>
      </w:pPr>
      <w:r>
        <w:tab/>
        <w:t>As noted, rate changes approved in the 2013 PCORC Order were calculated based on embedded power cost calculations which incorporate</w:t>
      </w:r>
      <w:r w:rsidR="00C64AB5">
        <w:t>d</w:t>
      </w:r>
      <w:r>
        <w:t xml:space="preserve"> the Company’s rate of return, itself a derivation from the ROE.  Because the ROE used in those calculations has been found illegal by the Court, the rates approved in the 2013 PCORC based on that ROE amount are also illegal.  PSE should be required to refund the amount, plus interest, that it has over-collected from </w:t>
      </w:r>
      <w:r>
        <w:lastRenderedPageBreak/>
        <w:t xml:space="preserve">customers during the period between November 1, 2013, the effective date of PSE’s tariffs filed in compliance with the 2013 PCORC Order, and the date of </w:t>
      </w:r>
      <w:r w:rsidR="00076A0A">
        <w:t>this Petition.  Additionally, the Company</w:t>
      </w:r>
      <w:r>
        <w:t xml:space="preserve"> should be required to defer from the date of this Petition, for later reduction to rates, the amount it is currently over-collecting from customers.</w:t>
      </w:r>
    </w:p>
    <w:p w:rsidR="0033646A" w:rsidRPr="0057443A" w:rsidRDefault="0033646A" w:rsidP="0033646A">
      <w:pPr>
        <w:spacing w:line="480" w:lineRule="auto"/>
        <w:ind w:firstLine="720"/>
        <w:rPr>
          <w:b/>
        </w:rPr>
      </w:pPr>
      <w:r>
        <w:rPr>
          <w:b/>
        </w:rPr>
        <w:t>A.</w:t>
      </w:r>
      <w:r>
        <w:rPr>
          <w:b/>
        </w:rPr>
        <w:tab/>
        <w:t>Refunds</w:t>
      </w:r>
    </w:p>
    <w:p w:rsidR="0033646A" w:rsidRDefault="0033646A" w:rsidP="0033646A">
      <w:pPr>
        <w:pStyle w:val="WUTCParagraph"/>
      </w:pPr>
      <w:r>
        <w:tab/>
        <w:t xml:space="preserve">The Commission’s accounting order should refund to customers amounts, with interest, </w:t>
      </w:r>
      <w:r w:rsidR="001D7A20">
        <w:t xml:space="preserve">that </w:t>
      </w:r>
      <w:r>
        <w:t>PSE has already collected that are in excess of “just, fair, reasonable and sufficient” rates.</w:t>
      </w:r>
      <w:r w:rsidRPr="00FF6C72">
        <w:rPr>
          <w:rStyle w:val="FootnoteReference"/>
          <w:u w:val="single"/>
        </w:rPr>
        <w:footnoteReference w:id="21"/>
      </w:r>
      <w:r w:rsidRPr="00FF6C72">
        <w:rPr>
          <w:vertAlign w:val="superscript"/>
        </w:rPr>
        <w:t>/</w:t>
      </w:r>
      <w:r>
        <w:t xml:space="preserve">  “Just, fair, reasonable, and sufficient” rates are those that are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FF6C72">
        <w:rPr>
          <w:rStyle w:val="FootnoteReference"/>
          <w:u w:val="single"/>
        </w:rPr>
        <w:footnoteReference w:id="22"/>
      </w:r>
      <w:r w:rsidRPr="00FF6C72">
        <w:rPr>
          <w:vertAlign w:val="superscript"/>
        </w:rPr>
        <w:t xml:space="preserve">/  </w:t>
      </w:r>
      <w:r>
        <w:t xml:space="preserve">  </w:t>
      </w:r>
    </w:p>
    <w:p w:rsidR="0033646A" w:rsidRDefault="0033646A" w:rsidP="0033646A">
      <w:pPr>
        <w:pStyle w:val="WUTCParagraph"/>
      </w:pPr>
      <w:r>
        <w:tab/>
        <w:t xml:space="preserve">PSE has operated with </w:t>
      </w:r>
      <w:r w:rsidR="001D7A20">
        <w:t>unlawfully high rates since</w:t>
      </w:r>
      <w:r w:rsidR="00C64AB5">
        <w:t xml:space="preserve"> July 1, 2013, the date the tariff approved by ERF Order 07 became effective,</w:t>
      </w:r>
      <w:r w:rsidR="00C64AB5" w:rsidRPr="00FF6C72">
        <w:rPr>
          <w:rStyle w:val="FootnoteReference"/>
          <w:u w:val="single"/>
        </w:rPr>
        <w:footnoteReference w:id="23"/>
      </w:r>
      <w:r w:rsidR="00C64AB5" w:rsidRPr="00FF6C72">
        <w:rPr>
          <w:vertAlign w:val="superscript"/>
        </w:rPr>
        <w:t>/</w:t>
      </w:r>
      <w:r w:rsidR="00C64AB5">
        <w:t xml:space="preserve"> and since</w:t>
      </w:r>
      <w:r w:rsidR="001D7A20">
        <w:t xml:space="preserve"> November</w:t>
      </w:r>
      <w:r>
        <w:t xml:space="preserve"> 1, 2013, the date its tariffs approved by </w:t>
      </w:r>
      <w:r w:rsidR="001D7A20">
        <w:t>the 2013 PCORC Order</w:t>
      </w:r>
      <w:r w:rsidR="00BA1577">
        <w:t>, which incorporated the illegal ROE approved in ERF Order 07,</w:t>
      </w:r>
      <w:r>
        <w:t xml:space="preserve"> became effective.</w:t>
      </w:r>
      <w:r w:rsidRPr="00FF6C72">
        <w:rPr>
          <w:rStyle w:val="FootnoteReference"/>
          <w:u w:val="single"/>
        </w:rPr>
        <w:footnoteReference w:id="24"/>
      </w:r>
      <w:r w:rsidRPr="00FF6C72">
        <w:rPr>
          <w:vertAlign w:val="superscript"/>
        </w:rPr>
        <w:t>/</w:t>
      </w:r>
      <w:r>
        <w:t xml:space="preserve">  The amount PSE has over-collected since </w:t>
      </w:r>
      <w:r w:rsidR="00BA1577">
        <w:t>both these dates and, relevant to the instant Petition and the latter date,</w:t>
      </w:r>
      <w:r>
        <w:t xml:space="preserve"> is known.  The record </w:t>
      </w:r>
      <w:r w:rsidR="00BA1577">
        <w:t xml:space="preserve">in the ERF cases </w:t>
      </w:r>
      <w:r>
        <w:t xml:space="preserve">establishes that a 9.3% ROE would have assured confidence in the Company’s financial soundness, and thus met the statutory requirements, at the time </w:t>
      </w:r>
      <w:r w:rsidR="001D7A20">
        <w:t xml:space="preserve">ERF </w:t>
      </w:r>
      <w:r>
        <w:t>Order 07 was issued.  ICNU’s witness</w:t>
      </w:r>
      <w:r w:rsidR="001D7A20">
        <w:t xml:space="preserve"> in the ERF cases</w:t>
      </w:r>
      <w:r>
        <w:t xml:space="preserve">, Michael Gorman, performed a full cost of capital study, including three versions of a discounted cash flow analysis, a risk premium analysis, and a capital asset pricing model analysis, which collectively supported this level of ROE as adequate </w:t>
      </w:r>
      <w:r>
        <w:lastRenderedPageBreak/>
        <w:t>and sufficient for PSE.</w:t>
      </w:r>
      <w:r w:rsidRPr="00FF6C72">
        <w:rPr>
          <w:rStyle w:val="FootnoteReference"/>
          <w:u w:val="single"/>
        </w:rPr>
        <w:footnoteReference w:id="25"/>
      </w:r>
      <w:r w:rsidRPr="00FF6C72">
        <w:rPr>
          <w:vertAlign w:val="superscript"/>
        </w:rPr>
        <w:t>/</w:t>
      </w:r>
      <w:r>
        <w:t xml:space="preserve">  This is “sufficient evidence in the record … to adjust the Company’s ROE.”</w:t>
      </w:r>
      <w:r w:rsidRPr="00FF6C72">
        <w:rPr>
          <w:rStyle w:val="FootnoteReference"/>
          <w:u w:val="single"/>
        </w:rPr>
        <w:footnoteReference w:id="26"/>
      </w:r>
      <w:r w:rsidRPr="00FF6C72">
        <w:rPr>
          <w:vertAlign w:val="superscript"/>
        </w:rPr>
        <w:t>/</w:t>
      </w:r>
      <w:r>
        <w:t xml:space="preserve">    </w:t>
      </w:r>
    </w:p>
    <w:p w:rsidR="0033646A" w:rsidRDefault="0033646A" w:rsidP="0033646A">
      <w:pPr>
        <w:pStyle w:val="WUTCParagraph"/>
      </w:pPr>
      <w:r>
        <w:tab/>
        <w:t>The Commission’s accounting order, therefore, should order PSE to immediately refund to customers the amount PSE has unlawfully</w:t>
      </w:r>
      <w:r w:rsidR="001D7A20">
        <w:t xml:space="preserve"> collected in rates between November</w:t>
      </w:r>
      <w:r>
        <w:t xml:space="preserve"> 1, 2013, and</w:t>
      </w:r>
      <w:r w:rsidR="001D7A20">
        <w:t xml:space="preserve"> the date of this Petition.  This </w:t>
      </w:r>
      <w:r>
        <w:t xml:space="preserve">represents </w:t>
      </w:r>
      <w:r w:rsidR="00076A0A">
        <w:t xml:space="preserve">the difference between </w:t>
      </w:r>
      <w:r w:rsidR="00CA093E">
        <w:t xml:space="preserve">calculations based on </w:t>
      </w:r>
      <w:r>
        <w:t xml:space="preserve">the 9.8% ROE approved in </w:t>
      </w:r>
      <w:r w:rsidR="001D7A20">
        <w:t>ERF Order 07—which was incorporated in the power cost baseline in the 2013 PCORC—</w:t>
      </w:r>
      <w:r>
        <w:t>and the 9.3% ROE supported by the record</w:t>
      </w:r>
      <w:r w:rsidR="001D7A20">
        <w:t xml:space="preserve"> in the ERF cases</w:t>
      </w:r>
      <w:r>
        <w:t>, including interest</w:t>
      </w:r>
      <w:r w:rsidR="00076A0A">
        <w:t>,</w:t>
      </w:r>
      <w:r>
        <w:t xml:space="preserve"> at the Company’s </w:t>
      </w:r>
      <w:r w:rsidR="00BA1577">
        <w:t xml:space="preserve">legally appropriate, </w:t>
      </w:r>
      <w:r>
        <w:t>overall cost of capital.</w:t>
      </w:r>
    </w:p>
    <w:p w:rsidR="00CA093E" w:rsidRDefault="00CA093E" w:rsidP="00CA093E">
      <w:pPr>
        <w:pStyle w:val="WUTCParagraph"/>
      </w:pPr>
      <w:r>
        <w:tab/>
        <w:t>Moreover, as the 2013 PCORC was consolidated with other cases</w:t>
      </w:r>
      <w:r w:rsidR="008608FF">
        <w:t>, and the 2013 PCORC Order approved rate changes implementing findings in those other cases, PSE’s refund should include any effect of illegal ROE calculations on th</w:t>
      </w:r>
      <w:r w:rsidR="00BA1577">
        <w:t>e</w:t>
      </w:r>
      <w:r w:rsidR="008608FF">
        <w:t>se</w:t>
      </w:r>
      <w:r w:rsidR="00BA1577">
        <w:t xml:space="preserve"> other</w:t>
      </w:r>
      <w:r w:rsidR="008608FF">
        <w:t xml:space="preserve"> approved rate changes.  This includes, for instance, findings in the 2013 PCORC Order as to the prudence of various resource acquisitions and upgrades and effectual offsets to fixed production rate base in the form of Treasury Grants.</w:t>
      </w:r>
      <w:r w:rsidR="008608FF" w:rsidRPr="006E0A14">
        <w:rPr>
          <w:rStyle w:val="FootnoteReference"/>
          <w:u w:val="single"/>
        </w:rPr>
        <w:footnoteReference w:id="27"/>
      </w:r>
      <w:r w:rsidR="008608FF" w:rsidRPr="006E0A14">
        <w:rPr>
          <w:vertAlign w:val="superscript"/>
        </w:rPr>
        <w:t>/</w:t>
      </w:r>
    </w:p>
    <w:p w:rsidR="0033646A" w:rsidRPr="0057443A" w:rsidRDefault="0033646A" w:rsidP="0033646A">
      <w:pPr>
        <w:spacing w:line="480" w:lineRule="auto"/>
        <w:ind w:firstLine="720"/>
        <w:rPr>
          <w:b/>
        </w:rPr>
      </w:pPr>
      <w:r>
        <w:rPr>
          <w:b/>
        </w:rPr>
        <w:t>B.</w:t>
      </w:r>
      <w:r>
        <w:rPr>
          <w:b/>
        </w:rPr>
        <w:tab/>
        <w:t>Deferred Accounting</w:t>
      </w:r>
    </w:p>
    <w:p w:rsidR="00DF6666" w:rsidRPr="0033646A" w:rsidRDefault="0033646A" w:rsidP="0033646A">
      <w:pPr>
        <w:pStyle w:val="WUTCParagraph"/>
      </w:pPr>
      <w:r>
        <w:tab/>
        <w:t>ICNU also requests that the Commission’s accounting order require PSE to establish a deferred account to track, for later inclusion in rates, the amount PSE continues to over-collect in excess of “just, fair, reasonable and sufficient” rates.</w:t>
      </w:r>
      <w:r w:rsidRPr="00FF6C72">
        <w:rPr>
          <w:rStyle w:val="FootnoteReference"/>
          <w:u w:val="single"/>
        </w:rPr>
        <w:footnoteReference w:id="28"/>
      </w:r>
      <w:r w:rsidRPr="00FF6C72">
        <w:rPr>
          <w:vertAlign w:val="superscript"/>
        </w:rPr>
        <w:t xml:space="preserve">/ </w:t>
      </w:r>
      <w:r>
        <w:t xml:space="preserve"> Because the Commission established rates </w:t>
      </w:r>
      <w:r w:rsidR="00160B09">
        <w:t xml:space="preserve">in the ERF cases </w:t>
      </w:r>
      <w:r>
        <w:t>to be in effect for the term of the rate plan, ICNU supports using an ROE of 9.3%</w:t>
      </w:r>
      <w:r w:rsidR="00160B09">
        <w:t xml:space="preserve">, as supported by </w:t>
      </w:r>
      <w:r w:rsidR="00CA093E">
        <w:t xml:space="preserve">record evidence in </w:t>
      </w:r>
      <w:r w:rsidR="00160B09">
        <w:t>the ERF cases,</w:t>
      </w:r>
      <w:r>
        <w:t xml:space="preserve"> to calculate PSE’s </w:t>
      </w:r>
      <w:r w:rsidR="00160B09">
        <w:t xml:space="preserve">2013 PCORC </w:t>
      </w:r>
      <w:r>
        <w:t>deferrals</w:t>
      </w:r>
      <w:r w:rsidR="00160B09">
        <w:t xml:space="preserve">, since the rate plan </w:t>
      </w:r>
      <w:r w:rsidR="00076A0A">
        <w:t>is scheduled to</w:t>
      </w:r>
      <w:r w:rsidR="00160B09">
        <w:t xml:space="preserve"> continue through the period in which </w:t>
      </w:r>
      <w:r w:rsidR="00160B09">
        <w:lastRenderedPageBreak/>
        <w:t>2013 PCORC rates are in effect</w:t>
      </w:r>
      <w:r>
        <w:t>.  Under ICNU’s proposal for an accounting order, PSE would defer, for later refund through rates, plus interest, the difference between the amount the Company is currentl</w:t>
      </w:r>
      <w:r w:rsidR="00160B09">
        <w:t>y collecting from customers based on</w:t>
      </w:r>
      <w:r>
        <w:t xml:space="preserve"> </w:t>
      </w:r>
      <w:r w:rsidR="00CA093E">
        <w:t xml:space="preserve">calculations using </w:t>
      </w:r>
      <w:r>
        <w:t xml:space="preserve">a 9.8% ROE and the amount the </w:t>
      </w:r>
      <w:r w:rsidR="00160B09">
        <w:t>Company would be collecting based on</w:t>
      </w:r>
      <w:r>
        <w:t xml:space="preserve"> </w:t>
      </w:r>
      <w:r w:rsidR="00CA093E">
        <w:t xml:space="preserve">calculations using </w:t>
      </w:r>
      <w:r>
        <w:t>a 9.3% ROE.</w:t>
      </w:r>
    </w:p>
    <w:p w:rsidR="003E75B5" w:rsidRDefault="003E75B5" w:rsidP="003E75B5">
      <w:pPr>
        <w:spacing w:line="480" w:lineRule="auto"/>
        <w:jc w:val="center"/>
      </w:pPr>
      <w:r>
        <w:rPr>
          <w:b/>
        </w:rPr>
        <w:t>IV.</w:t>
      </w:r>
      <w:r>
        <w:rPr>
          <w:b/>
        </w:rPr>
        <w:tab/>
        <w:t>CONCLUSION</w:t>
      </w:r>
    </w:p>
    <w:p w:rsidR="003E75B5" w:rsidRDefault="00EC2743" w:rsidP="00EC2743">
      <w:pPr>
        <w:pStyle w:val="WUTCParagraph"/>
      </w:pPr>
      <w:r>
        <w:tab/>
      </w:r>
      <w:r w:rsidR="007E73A7">
        <w:t xml:space="preserve">For the foregoing reasons, ICNU respectfully requests that the Commission enter an accounting order </w:t>
      </w:r>
      <w:r w:rsidR="005E5124">
        <w:t>granting</w:t>
      </w:r>
      <w:r w:rsidR="007E73A7">
        <w:t xml:space="preserve"> the relief requested in this Petition.</w:t>
      </w:r>
    </w:p>
    <w:p w:rsidR="007E73A7" w:rsidRDefault="007E73A7" w:rsidP="007E73A7">
      <w:pPr>
        <w:keepNext/>
        <w:spacing w:line="480" w:lineRule="auto"/>
        <w:ind w:firstLine="1440"/>
      </w:pPr>
      <w:r>
        <w:t>Da</w:t>
      </w:r>
      <w:r w:rsidR="00FF6C72">
        <w:t xml:space="preserve">ted in Portland, Oregon, this </w:t>
      </w:r>
      <w:r w:rsidR="008B7AAF">
        <w:t>8</w:t>
      </w:r>
      <w:r w:rsidR="00F725B0">
        <w:t>th</w:t>
      </w:r>
      <w:r>
        <w:t xml:space="preserve"> day of </w:t>
      </w:r>
      <w:r w:rsidR="001C62FC">
        <w:t>August</w:t>
      </w:r>
      <w:r>
        <w:t>, 2014.</w:t>
      </w:r>
    </w:p>
    <w:p w:rsidR="007E73A7" w:rsidRDefault="007E73A7" w:rsidP="007E73A7">
      <w:pPr>
        <w:keepNext/>
        <w:spacing w:line="480" w:lineRule="auto"/>
        <w:ind w:left="2880" w:firstLine="720"/>
      </w:pPr>
      <w:r>
        <w:t>Respectfully submitted,</w:t>
      </w:r>
    </w:p>
    <w:p w:rsidR="007E73A7" w:rsidRDefault="007E73A7" w:rsidP="007E73A7">
      <w:pPr>
        <w:keepNext/>
        <w:spacing w:line="480" w:lineRule="auto"/>
        <w:ind w:firstLine="3600"/>
      </w:pPr>
      <w:r>
        <w:t>DAVISON VAN CLEVE, P.C.</w:t>
      </w:r>
    </w:p>
    <w:p w:rsidR="007E73A7" w:rsidRPr="00200EE5" w:rsidRDefault="007E73A7" w:rsidP="007E73A7">
      <w:pPr>
        <w:keepNext/>
        <w:ind w:firstLine="3600"/>
        <w:rPr>
          <w:u w:val="single"/>
        </w:rPr>
      </w:pPr>
      <w:r>
        <w:rPr>
          <w:i/>
          <w:u w:val="single"/>
        </w:rPr>
        <w:t>/s/ Melinda J. Davison</w:t>
      </w:r>
    </w:p>
    <w:p w:rsidR="007E73A7" w:rsidRDefault="007E73A7" w:rsidP="007E73A7">
      <w:pPr>
        <w:keepNext/>
        <w:ind w:firstLine="3600"/>
      </w:pPr>
      <w:r>
        <w:t>Melinda J. Davison</w:t>
      </w:r>
    </w:p>
    <w:p w:rsidR="007E73A7" w:rsidRDefault="001C62FC" w:rsidP="007E73A7">
      <w:pPr>
        <w:keepNext/>
        <w:ind w:firstLine="3600"/>
      </w:pPr>
      <w:r>
        <w:t>Jesse E. Cowell</w:t>
      </w:r>
    </w:p>
    <w:p w:rsidR="007E73A7" w:rsidRDefault="007E73A7" w:rsidP="007E73A7">
      <w:pPr>
        <w:keepNext/>
        <w:ind w:firstLine="3600"/>
      </w:pPr>
      <w:r>
        <w:t>333 S.W. Taylor, Suite 400</w:t>
      </w:r>
    </w:p>
    <w:p w:rsidR="007E73A7" w:rsidRDefault="007E73A7" w:rsidP="007E73A7">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E73A7" w:rsidRDefault="007E73A7" w:rsidP="007E73A7">
      <w:pPr>
        <w:keepNext/>
        <w:ind w:firstLine="3600"/>
      </w:pPr>
      <w:r>
        <w:t>(503) 241-7242 telephone</w:t>
      </w:r>
    </w:p>
    <w:p w:rsidR="007E73A7" w:rsidRDefault="007E73A7" w:rsidP="007E73A7">
      <w:pPr>
        <w:keepNext/>
        <w:ind w:firstLine="3600"/>
      </w:pPr>
      <w:r>
        <w:t>(503) 241-8160 facsimile</w:t>
      </w:r>
    </w:p>
    <w:p w:rsidR="007E73A7" w:rsidRDefault="007E73A7" w:rsidP="007E73A7">
      <w:pPr>
        <w:ind w:left="2912" w:firstLine="688"/>
      </w:pPr>
      <w:r w:rsidRPr="007A4288">
        <w:t>mjd@dvclaw.com</w:t>
      </w:r>
    </w:p>
    <w:p w:rsidR="007E73A7" w:rsidRDefault="001C62FC" w:rsidP="007E73A7">
      <w:pPr>
        <w:ind w:left="2912" w:firstLine="688"/>
      </w:pPr>
      <w:r>
        <w:t>jec</w:t>
      </w:r>
      <w:r w:rsidR="007E73A7">
        <w:t>@dvclaw.com</w:t>
      </w:r>
    </w:p>
    <w:p w:rsidR="007E73A7" w:rsidRDefault="007E73A7" w:rsidP="007E73A7">
      <w:pPr>
        <w:ind w:left="3600"/>
      </w:pPr>
      <w:r>
        <w:t xml:space="preserve">Of Attorneys for Industrial Customers </w:t>
      </w:r>
    </w:p>
    <w:p w:rsidR="007E73A7" w:rsidRPr="003E75B5" w:rsidRDefault="007E73A7" w:rsidP="000C231D">
      <w:pPr>
        <w:ind w:left="3600"/>
      </w:pPr>
      <w:r>
        <w:t>of Northwest Utilities</w:t>
      </w:r>
    </w:p>
    <w:sectPr w:rsidR="007E73A7" w:rsidRPr="003E75B5" w:rsidSect="00B3480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3E" w:rsidRDefault="00CA093E" w:rsidP="00400717">
      <w:r>
        <w:separator/>
      </w:r>
    </w:p>
  </w:endnote>
  <w:endnote w:type="continuationSeparator" w:id="0">
    <w:p w:rsidR="00CA093E" w:rsidRDefault="00CA093E"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3E" w:rsidRDefault="00CA093E">
    <w:pPr>
      <w:pStyle w:val="Footer"/>
    </w:pPr>
    <w:r>
      <w:t xml:space="preserve">PAGE </w:t>
    </w:r>
    <w:sdt>
      <w:sdtPr>
        <w:id w:val="-426735040"/>
        <w:docPartObj>
          <w:docPartGallery w:val="Page Numbers (Bottom of Page)"/>
          <w:docPartUnique/>
        </w:docPartObj>
      </w:sdtPr>
      <w:sdtEndPr>
        <w:rPr>
          <w:noProof/>
        </w:rPr>
      </w:sdtEndPr>
      <w:sdtContent>
        <w:r w:rsidR="008B7AAF">
          <w:fldChar w:fldCharType="begin"/>
        </w:r>
        <w:r w:rsidR="008B7AAF">
          <w:instrText xml:space="preserve"> PAGE   \* MERGEFORMAT </w:instrText>
        </w:r>
        <w:r w:rsidR="008B7AAF">
          <w:fldChar w:fldCharType="separate"/>
        </w:r>
        <w:r w:rsidR="00407F7D">
          <w:rPr>
            <w:noProof/>
          </w:rPr>
          <w:t>1</w:t>
        </w:r>
        <w:r w:rsidR="008B7AAF">
          <w:rPr>
            <w:noProof/>
          </w:rPr>
          <w:fldChar w:fldCharType="end"/>
        </w:r>
        <w:r>
          <w:rPr>
            <w:noProof/>
          </w:rPr>
          <w:t xml:space="preserve"> – ICNU PETITION FOR ACCOUNTING ORDER</w:t>
        </w:r>
      </w:sdtContent>
    </w:sdt>
  </w:p>
  <w:p w:rsidR="00CA093E" w:rsidRDefault="00CA0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3E" w:rsidRDefault="00CA093E" w:rsidP="00400717">
      <w:r>
        <w:separator/>
      </w:r>
    </w:p>
  </w:footnote>
  <w:footnote w:type="continuationSeparator" w:id="0">
    <w:p w:rsidR="00CA093E" w:rsidRDefault="00CA093E" w:rsidP="00400717">
      <w:r>
        <w:continuationSeparator/>
      </w:r>
    </w:p>
  </w:footnote>
  <w:footnote w:id="1">
    <w:p w:rsidR="00CA093E" w:rsidRDefault="00CA093E" w:rsidP="006E0A14">
      <w:pPr>
        <w:pStyle w:val="FootnoteText"/>
      </w:pPr>
      <w:r w:rsidRPr="00FF6C72">
        <w:rPr>
          <w:rStyle w:val="FootnoteReference"/>
          <w:u w:val="single"/>
        </w:rPr>
        <w:footnoteRef/>
      </w:r>
      <w:r w:rsidRPr="00FF6C72">
        <w:rPr>
          <w:vertAlign w:val="superscript"/>
        </w:rPr>
        <w:t>/</w:t>
      </w:r>
      <w:r>
        <w:t xml:space="preserve"> </w:t>
      </w:r>
      <w:r>
        <w:tab/>
        <w:t>2013</w:t>
      </w:r>
      <w:r w:rsidR="0074395F">
        <w:t xml:space="preserve"> </w:t>
      </w:r>
      <w:r>
        <w:t>PCORC Or</w:t>
      </w:r>
      <w:r w:rsidR="00C64AB5">
        <w:t>der at ¶ 11 (Oct. 23, 2013).</w:t>
      </w:r>
    </w:p>
  </w:footnote>
  <w:footnote w:id="2">
    <w:p w:rsidR="00CA093E" w:rsidRDefault="00CA093E" w:rsidP="00332BD9">
      <w:pPr>
        <w:pStyle w:val="FootnoteText"/>
      </w:pPr>
      <w:r w:rsidRPr="00FF6C72">
        <w:rPr>
          <w:rStyle w:val="FootnoteReference"/>
          <w:u w:val="single"/>
        </w:rPr>
        <w:footnoteRef/>
      </w:r>
      <w:r w:rsidRPr="00FF6C72">
        <w:rPr>
          <w:vertAlign w:val="superscript"/>
        </w:rPr>
        <w:t>/</w:t>
      </w:r>
      <w:r>
        <w:tab/>
      </w:r>
      <w:r>
        <w:rPr>
          <w:u w:val="single"/>
        </w:rPr>
        <w:t>Id.</w:t>
      </w:r>
      <w:r>
        <w:t xml:space="preserve"> at ¶</w:t>
      </w:r>
      <w:r w:rsidR="008608FF">
        <w:t>¶</w:t>
      </w:r>
      <w:r>
        <w:t xml:space="preserve"> 19, 28.</w:t>
      </w:r>
    </w:p>
  </w:footnote>
  <w:footnote w:id="3">
    <w:p w:rsidR="00CA093E" w:rsidRDefault="00CA093E" w:rsidP="00332BD9">
      <w:pPr>
        <w:pStyle w:val="FootnoteText"/>
      </w:pPr>
      <w:r w:rsidRPr="00FF6C72">
        <w:rPr>
          <w:rStyle w:val="FootnoteReference"/>
          <w:u w:val="single"/>
        </w:rPr>
        <w:footnoteRef/>
      </w:r>
      <w:r w:rsidRPr="00FF6C72">
        <w:rPr>
          <w:vertAlign w:val="superscript"/>
        </w:rPr>
        <w:t>/</w:t>
      </w:r>
      <w:r>
        <w:tab/>
      </w:r>
      <w:r>
        <w:rPr>
          <w:u w:val="single"/>
        </w:rPr>
        <w:t>Id.</w:t>
      </w:r>
      <w:r>
        <w:t xml:space="preserve"> at ¶ 19; </w:t>
      </w:r>
      <w:r w:rsidR="00C64AB5">
        <w:t xml:space="preserve">2013 PCORC, </w:t>
      </w:r>
      <w:r>
        <w:t>Commission Compliance Letter (Oct. 25, 2013).</w:t>
      </w:r>
    </w:p>
  </w:footnote>
  <w:footnote w:id="4">
    <w:p w:rsidR="00CA093E" w:rsidRDefault="00CA093E" w:rsidP="00C96E53">
      <w:pPr>
        <w:pStyle w:val="FootnoteText"/>
        <w:ind w:left="720" w:hanging="720"/>
      </w:pPr>
      <w:r w:rsidRPr="00FF6C72">
        <w:rPr>
          <w:rStyle w:val="FootnoteReference"/>
          <w:u w:val="single"/>
        </w:rPr>
        <w:footnoteRef/>
      </w:r>
      <w:r w:rsidRPr="00FF6C72">
        <w:rPr>
          <w:vertAlign w:val="superscript"/>
        </w:rPr>
        <w:t xml:space="preserve">/ </w:t>
      </w:r>
      <w:r>
        <w:tab/>
      </w:r>
      <w:r>
        <w:rPr>
          <w:u w:val="single"/>
        </w:rPr>
        <w:t>WUTC v. PSE</w:t>
      </w:r>
      <w:r w:rsidR="0074395F">
        <w:t>, Docket Nos. UE-011570/UG-0</w:t>
      </w:r>
      <w:r>
        <w:t>11571, 12</w:t>
      </w:r>
      <w:r w:rsidRPr="00C96E53">
        <w:rPr>
          <w:vertAlign w:val="superscript"/>
        </w:rPr>
        <w:t>th</w:t>
      </w:r>
      <w:r>
        <w:t xml:space="preserve"> Suppl. Order (June 20, 2002).</w:t>
      </w:r>
    </w:p>
  </w:footnote>
  <w:footnote w:id="5">
    <w:p w:rsidR="00CA093E" w:rsidRDefault="00CA093E" w:rsidP="00C96E53">
      <w:pPr>
        <w:pStyle w:val="FootnoteText"/>
      </w:pPr>
      <w:r w:rsidRPr="00FF6C72">
        <w:rPr>
          <w:rStyle w:val="FootnoteReference"/>
          <w:u w:val="single"/>
        </w:rPr>
        <w:footnoteRef/>
      </w:r>
      <w:r w:rsidRPr="00FF6C72">
        <w:rPr>
          <w:vertAlign w:val="superscript"/>
        </w:rPr>
        <w:t>/</w:t>
      </w:r>
      <w:r>
        <w:tab/>
      </w:r>
      <w:r>
        <w:rPr>
          <w:u w:val="single"/>
        </w:rPr>
        <w:t>Id.</w:t>
      </w:r>
      <w:r>
        <w:t xml:space="preserve"> at ¶¶ 6, 21.</w:t>
      </w:r>
    </w:p>
  </w:footnote>
  <w:footnote w:id="6">
    <w:p w:rsidR="00CA093E" w:rsidRDefault="00CA093E" w:rsidP="00CA1EC7">
      <w:pPr>
        <w:pStyle w:val="FootnoteText"/>
      </w:pPr>
      <w:r w:rsidRPr="00FF6C72">
        <w:rPr>
          <w:rStyle w:val="FootnoteReference"/>
          <w:u w:val="single"/>
        </w:rPr>
        <w:footnoteRef/>
      </w:r>
      <w:r w:rsidRPr="00FF6C72">
        <w:rPr>
          <w:vertAlign w:val="superscript"/>
        </w:rPr>
        <w:t>/</w:t>
      </w:r>
      <w:r>
        <w:tab/>
      </w:r>
      <w:r>
        <w:rPr>
          <w:u w:val="single"/>
        </w:rPr>
        <w:t>Id.</w:t>
      </w:r>
      <w:r>
        <w:t xml:space="preserve"> at ¶ 22.</w:t>
      </w:r>
    </w:p>
  </w:footnote>
  <w:footnote w:id="7">
    <w:p w:rsidR="00CA093E" w:rsidRDefault="00CA093E" w:rsidP="00CA1EC7">
      <w:pPr>
        <w:pStyle w:val="FootnoteText"/>
      </w:pPr>
      <w:r w:rsidRPr="00FF6C72">
        <w:rPr>
          <w:rStyle w:val="FootnoteReference"/>
          <w:u w:val="single"/>
        </w:rPr>
        <w:footnoteRef/>
      </w:r>
      <w:r w:rsidRPr="00FF6C72">
        <w:rPr>
          <w:vertAlign w:val="superscript"/>
        </w:rPr>
        <w:t>/</w:t>
      </w:r>
      <w:r>
        <w:tab/>
      </w:r>
      <w:r>
        <w:rPr>
          <w:u w:val="single"/>
        </w:rPr>
        <w:t>Id.</w:t>
      </w:r>
      <w:r>
        <w:t xml:space="preserve"> at Appendix</w:t>
      </w:r>
      <w:r w:rsidR="00407F7D">
        <w:t xml:space="preserve"> A</w:t>
      </w:r>
      <w:r>
        <w:t xml:space="preserve">, </w:t>
      </w:r>
      <w:proofErr w:type="spellStart"/>
      <w:r>
        <w:t>Exh</w:t>
      </w:r>
      <w:proofErr w:type="spellEnd"/>
      <w:r>
        <w:t>. A ¶ 12.</w:t>
      </w:r>
    </w:p>
  </w:footnote>
  <w:footnote w:id="8">
    <w:p w:rsidR="00CA093E" w:rsidRDefault="00CA093E" w:rsidP="00406A43">
      <w:pPr>
        <w:pStyle w:val="FootnoteText"/>
      </w:pPr>
      <w:r w:rsidRPr="00FF6C72">
        <w:rPr>
          <w:rStyle w:val="FootnoteReference"/>
          <w:u w:val="single"/>
        </w:rPr>
        <w:footnoteRef/>
      </w:r>
      <w:r w:rsidRPr="00FF6C72">
        <w:rPr>
          <w:vertAlign w:val="superscript"/>
        </w:rPr>
        <w:t>/</w:t>
      </w:r>
      <w:r>
        <w:tab/>
      </w:r>
      <w:r>
        <w:rPr>
          <w:u w:val="single"/>
        </w:rPr>
        <w:t>Id.</w:t>
      </w:r>
      <w:r>
        <w:t xml:space="preserve"> at Appendix</w:t>
      </w:r>
      <w:r w:rsidR="00407F7D">
        <w:t xml:space="preserve"> A</w:t>
      </w:r>
      <w:r>
        <w:t xml:space="preserve">, </w:t>
      </w:r>
      <w:proofErr w:type="spellStart"/>
      <w:r>
        <w:t>Exh</w:t>
      </w:r>
      <w:proofErr w:type="spellEnd"/>
      <w:r>
        <w:t>. A ¶ 13.</w:t>
      </w:r>
    </w:p>
  </w:footnote>
  <w:footnote w:id="9">
    <w:p w:rsidR="00CA093E" w:rsidRDefault="00CA093E" w:rsidP="00406A43">
      <w:pPr>
        <w:pStyle w:val="FootnoteText"/>
      </w:pPr>
      <w:r w:rsidRPr="00FF6C72">
        <w:rPr>
          <w:rStyle w:val="FootnoteReference"/>
          <w:u w:val="single"/>
        </w:rPr>
        <w:footnoteRef/>
      </w:r>
      <w:r w:rsidRPr="00FF6C72">
        <w:rPr>
          <w:vertAlign w:val="superscript"/>
        </w:rPr>
        <w:t>/</w:t>
      </w:r>
      <w:r>
        <w:tab/>
      </w:r>
      <w:r>
        <w:rPr>
          <w:u w:val="single"/>
        </w:rPr>
        <w:t>Id.</w:t>
      </w:r>
      <w:r>
        <w:t xml:space="preserve"> </w:t>
      </w:r>
      <w:r>
        <w:t>at Appendix</w:t>
      </w:r>
      <w:r w:rsidR="00407F7D">
        <w:t xml:space="preserve"> </w:t>
      </w:r>
      <w:r w:rsidR="00407F7D">
        <w:t>A</w:t>
      </w:r>
      <w:bookmarkStart w:id="1" w:name="_GoBack"/>
      <w:bookmarkEnd w:id="1"/>
      <w:r>
        <w:t xml:space="preserve">, </w:t>
      </w:r>
      <w:proofErr w:type="spellStart"/>
      <w:r>
        <w:t>Exh</w:t>
      </w:r>
      <w:proofErr w:type="spellEnd"/>
      <w:r>
        <w:t>. A at 4, “Total Revenue Requirement Table.”</w:t>
      </w:r>
    </w:p>
  </w:footnote>
  <w:footnote w:id="10">
    <w:p w:rsidR="00CA093E" w:rsidRDefault="00CA093E" w:rsidP="002D3892">
      <w:pPr>
        <w:pStyle w:val="FootnoteText"/>
        <w:ind w:left="720" w:hanging="720"/>
      </w:pPr>
      <w:r w:rsidRPr="00FF6C72">
        <w:rPr>
          <w:rStyle w:val="FootnoteReference"/>
          <w:u w:val="single"/>
        </w:rPr>
        <w:footnoteRef/>
      </w:r>
      <w:r w:rsidRPr="00FF6C72">
        <w:rPr>
          <w:vertAlign w:val="superscript"/>
        </w:rPr>
        <w:t xml:space="preserve">/ </w:t>
      </w:r>
      <w:r>
        <w:tab/>
      </w:r>
      <w:r>
        <w:rPr>
          <w:u w:val="single"/>
        </w:rPr>
        <w:t>WUTC v. PSE</w:t>
      </w:r>
      <w:r>
        <w:t>, Docket Nos. UE-111048/UG-111049, Order 08 at ¶ 33 (May 7, 2012).</w:t>
      </w:r>
    </w:p>
  </w:footnote>
  <w:footnote w:id="11">
    <w:p w:rsidR="00CA093E" w:rsidRDefault="00CA093E" w:rsidP="001B1C1F">
      <w:pPr>
        <w:pStyle w:val="FootnoteText"/>
        <w:ind w:left="720" w:hanging="720"/>
      </w:pPr>
      <w:r w:rsidRPr="00FF6C72">
        <w:rPr>
          <w:rStyle w:val="FootnoteReference"/>
          <w:u w:val="single"/>
        </w:rPr>
        <w:footnoteRef/>
      </w:r>
      <w:r w:rsidRPr="00FF6C72">
        <w:rPr>
          <w:vertAlign w:val="superscript"/>
        </w:rPr>
        <w:t xml:space="preserve">/ </w:t>
      </w:r>
      <w:r>
        <w:tab/>
      </w:r>
      <w:r>
        <w:rPr>
          <w:u w:val="single"/>
        </w:rPr>
        <w:t>WUTC v. PSE</w:t>
      </w:r>
      <w:r>
        <w:t>, Docket Nos. UE-121697/UG-121705 and UE-130137/UG-130138, Order 07 at ¶¶ 244-245 (June 25, 2013) (“ERF Order 07”).</w:t>
      </w:r>
    </w:p>
  </w:footnote>
  <w:footnote w:id="12">
    <w:p w:rsidR="00C64AB5" w:rsidRDefault="00C64AB5" w:rsidP="00C64AB5">
      <w:pPr>
        <w:pStyle w:val="FootnoteText"/>
      </w:pPr>
      <w:r w:rsidRPr="00FF6C72">
        <w:rPr>
          <w:rStyle w:val="FootnoteReference"/>
          <w:u w:val="single"/>
        </w:rPr>
        <w:footnoteRef/>
      </w:r>
      <w:r w:rsidRPr="00FF6C72">
        <w:rPr>
          <w:vertAlign w:val="superscript"/>
        </w:rPr>
        <w:t>/</w:t>
      </w:r>
      <w:r>
        <w:t xml:space="preserve"> </w:t>
      </w:r>
      <w:r>
        <w:tab/>
      </w:r>
      <w:r>
        <w:rPr>
          <w:u w:val="single"/>
        </w:rPr>
        <w:t>Id.</w:t>
      </w:r>
      <w:r>
        <w:t xml:space="preserve"> at ¶ 220.</w:t>
      </w:r>
    </w:p>
  </w:footnote>
  <w:footnote w:id="13">
    <w:p w:rsidR="00CA093E" w:rsidRDefault="00CA093E" w:rsidP="003754FA">
      <w:pPr>
        <w:pStyle w:val="FootnoteText"/>
      </w:pPr>
      <w:r w:rsidRPr="00FF6C72">
        <w:rPr>
          <w:rStyle w:val="FootnoteReference"/>
          <w:u w:val="single"/>
        </w:rPr>
        <w:footnoteRef/>
      </w:r>
      <w:r w:rsidRPr="00FF6C72">
        <w:rPr>
          <w:vertAlign w:val="superscript"/>
        </w:rPr>
        <w:t>/</w:t>
      </w:r>
      <w:r>
        <w:tab/>
      </w:r>
      <w:r>
        <w:rPr>
          <w:u w:val="single"/>
        </w:rPr>
        <w:t>Id.</w:t>
      </w:r>
      <w:r>
        <w:t xml:space="preserve"> at ¶ 51; </w:t>
      </w:r>
      <w:r w:rsidR="00A1240D">
        <w:t>ERF cases</w:t>
      </w:r>
      <w:r>
        <w:t>, ICNU Ex. No. __ (MPG-3).</w:t>
      </w:r>
    </w:p>
  </w:footnote>
  <w:footnote w:id="14">
    <w:p w:rsidR="00CA093E" w:rsidRDefault="00CA093E" w:rsidP="003754FA">
      <w:pPr>
        <w:pStyle w:val="FootnoteText"/>
        <w:ind w:left="720" w:hanging="720"/>
      </w:pPr>
      <w:r w:rsidRPr="00FF6C72">
        <w:rPr>
          <w:rStyle w:val="FootnoteReference"/>
          <w:u w:val="single"/>
        </w:rPr>
        <w:footnoteRef/>
      </w:r>
      <w:r w:rsidRPr="00FF6C72">
        <w:rPr>
          <w:vertAlign w:val="superscript"/>
        </w:rPr>
        <w:t>/</w:t>
      </w:r>
      <w:r>
        <w:t xml:space="preserve"> </w:t>
      </w:r>
      <w:r>
        <w:tab/>
      </w:r>
      <w:r w:rsidR="00A1240D">
        <w:t>ERF cases</w:t>
      </w:r>
      <w:r>
        <w:t>, ICNU and Public Counsel Petitions for Judicial Review of Final Agency Action (July 24, 2013).</w:t>
      </w:r>
    </w:p>
  </w:footnote>
  <w:footnote w:id="15">
    <w:p w:rsidR="00CA093E" w:rsidRDefault="00CA093E" w:rsidP="003754FA">
      <w:pPr>
        <w:pStyle w:val="FootnoteText"/>
      </w:pPr>
      <w:r w:rsidRPr="00FF6C72">
        <w:rPr>
          <w:rStyle w:val="FootnoteReference"/>
          <w:u w:val="single"/>
        </w:rPr>
        <w:footnoteRef/>
      </w:r>
      <w:r w:rsidRPr="00FF6C72">
        <w:rPr>
          <w:vertAlign w:val="superscript"/>
        </w:rPr>
        <w:t>/</w:t>
      </w:r>
      <w:r>
        <w:t xml:space="preserve"> </w:t>
      </w:r>
      <w:r>
        <w:tab/>
        <w:t>The Court Order is attached to this Petition for the Commission’s convenience.</w:t>
      </w:r>
    </w:p>
  </w:footnote>
  <w:footnote w:id="16">
    <w:p w:rsidR="00CA093E" w:rsidRDefault="00CA093E" w:rsidP="003754FA">
      <w:pPr>
        <w:pStyle w:val="FootnoteText"/>
      </w:pPr>
      <w:r w:rsidRPr="00FF6C72">
        <w:rPr>
          <w:rStyle w:val="FootnoteReference"/>
          <w:u w:val="single"/>
        </w:rPr>
        <w:footnoteRef/>
      </w:r>
      <w:r w:rsidRPr="00FF6C72">
        <w:rPr>
          <w:vertAlign w:val="superscript"/>
        </w:rPr>
        <w:t>/</w:t>
      </w:r>
      <w:r>
        <w:t xml:space="preserve"> </w:t>
      </w:r>
      <w:r>
        <w:tab/>
        <w:t>Court Order, Appendix A at 4-5.</w:t>
      </w:r>
    </w:p>
  </w:footnote>
  <w:footnote w:id="17">
    <w:p w:rsidR="00CA093E" w:rsidRDefault="00CA093E" w:rsidP="003754FA">
      <w:pPr>
        <w:pStyle w:val="FootnoteText"/>
      </w:pPr>
      <w:r w:rsidRPr="00FF6C72">
        <w:rPr>
          <w:rStyle w:val="FootnoteReference"/>
          <w:u w:val="single"/>
        </w:rPr>
        <w:footnoteRef/>
      </w:r>
      <w:r w:rsidRPr="00FF6C72">
        <w:rPr>
          <w:vertAlign w:val="superscript"/>
        </w:rPr>
        <w:t>/</w:t>
      </w:r>
      <w:r>
        <w:t xml:space="preserve"> </w:t>
      </w:r>
      <w:r>
        <w:tab/>
        <w:t>Court Order at 3.</w:t>
      </w:r>
    </w:p>
  </w:footnote>
  <w:footnote w:id="18">
    <w:p w:rsidR="00CA093E" w:rsidRDefault="00CA093E" w:rsidP="00DB43C7">
      <w:pPr>
        <w:pStyle w:val="FootnoteText"/>
        <w:ind w:left="720" w:hanging="720"/>
      </w:pPr>
      <w:r w:rsidRPr="00FF6C72">
        <w:rPr>
          <w:rStyle w:val="FootnoteReference"/>
          <w:u w:val="single"/>
        </w:rPr>
        <w:footnoteRef/>
      </w:r>
      <w:r w:rsidRPr="00FF6C72">
        <w:rPr>
          <w:vertAlign w:val="superscript"/>
        </w:rPr>
        <w:t xml:space="preserve">/ </w:t>
      </w:r>
      <w:r>
        <w:tab/>
      </w:r>
      <w:r w:rsidR="00A1240D">
        <w:t>ERF cases</w:t>
      </w:r>
      <w:r>
        <w:t>, ICNU Petition for Accounting Order (July 30, 2014).</w:t>
      </w:r>
    </w:p>
  </w:footnote>
  <w:footnote w:id="19">
    <w:p w:rsidR="00CA093E" w:rsidRDefault="00CA093E" w:rsidP="00233D5A">
      <w:pPr>
        <w:pStyle w:val="FootnoteText"/>
        <w:ind w:left="720" w:hanging="720"/>
      </w:pPr>
      <w:r w:rsidRPr="00FF6C72">
        <w:rPr>
          <w:rStyle w:val="FootnoteReference"/>
          <w:u w:val="single"/>
        </w:rPr>
        <w:footnoteRef/>
      </w:r>
      <w:r w:rsidRPr="00FF6C72">
        <w:rPr>
          <w:vertAlign w:val="superscript"/>
        </w:rPr>
        <w:t xml:space="preserve">/ </w:t>
      </w:r>
      <w:r>
        <w:tab/>
      </w:r>
      <w:r w:rsidR="00A1240D">
        <w:t>ERF cases</w:t>
      </w:r>
      <w:r>
        <w:t>, Notice Suspending Response Deadlines and Providing Opportunity to File Proposals and Notice of Prehearing Conference (Aug. 5, 2014).</w:t>
      </w:r>
    </w:p>
  </w:footnote>
  <w:footnote w:id="20">
    <w:p w:rsidR="00CA093E" w:rsidRDefault="00CA093E" w:rsidP="005645AA">
      <w:pPr>
        <w:pStyle w:val="FootnoteText"/>
      </w:pPr>
      <w:r w:rsidRPr="00FF6C72">
        <w:rPr>
          <w:rStyle w:val="FootnoteReference"/>
          <w:u w:val="single"/>
        </w:rPr>
        <w:footnoteRef/>
      </w:r>
      <w:r w:rsidRPr="00FF6C72">
        <w:rPr>
          <w:vertAlign w:val="superscript"/>
        </w:rPr>
        <w:t>/</w:t>
      </w:r>
      <w:r>
        <w:tab/>
      </w:r>
      <w:r>
        <w:rPr>
          <w:u w:val="single"/>
        </w:rPr>
        <w:t>Id.</w:t>
      </w:r>
      <w:r>
        <w:t xml:space="preserve"> </w:t>
      </w:r>
    </w:p>
  </w:footnote>
  <w:footnote w:id="21">
    <w:p w:rsidR="00CA093E" w:rsidRDefault="00CA093E" w:rsidP="0033646A">
      <w:pPr>
        <w:pStyle w:val="FootnoteText"/>
      </w:pPr>
      <w:r w:rsidRPr="00FF6C72">
        <w:rPr>
          <w:rStyle w:val="FootnoteReference"/>
          <w:u w:val="single"/>
        </w:rPr>
        <w:footnoteRef/>
      </w:r>
      <w:r w:rsidRPr="00FF6C72">
        <w:rPr>
          <w:u w:val="single"/>
          <w:vertAlign w:val="superscript"/>
        </w:rPr>
        <w:t>/</w:t>
      </w:r>
      <w:r>
        <w:tab/>
        <w:t xml:space="preserve">RCW § 80.28.010(1).  </w:t>
      </w:r>
    </w:p>
  </w:footnote>
  <w:footnote w:id="22">
    <w:p w:rsidR="00CA093E" w:rsidRDefault="00CA093E" w:rsidP="0033646A">
      <w:pPr>
        <w:pStyle w:val="FootnoteText"/>
      </w:pPr>
      <w:r w:rsidRPr="00FF6C72">
        <w:rPr>
          <w:rStyle w:val="FootnoteReference"/>
          <w:u w:val="single"/>
        </w:rPr>
        <w:footnoteRef/>
      </w:r>
      <w:r w:rsidRPr="00FF6C72">
        <w:rPr>
          <w:vertAlign w:val="superscript"/>
        </w:rPr>
        <w:t>/</w:t>
      </w:r>
      <w:r>
        <w:t xml:space="preserve"> </w:t>
      </w:r>
      <w:r>
        <w:tab/>
      </w:r>
      <w:r>
        <w:rPr>
          <w:u w:val="single"/>
        </w:rPr>
        <w:t>Bluefield Water Works &amp; Imp. Co. v. Pub. Serv. Comm’n</w:t>
      </w:r>
      <w:r>
        <w:t>, 262 U.S. 679, 693 (1923).</w:t>
      </w:r>
    </w:p>
  </w:footnote>
  <w:footnote w:id="23">
    <w:p w:rsidR="00C64AB5" w:rsidRDefault="00C64AB5" w:rsidP="00C64AB5">
      <w:pPr>
        <w:pStyle w:val="FootnoteText"/>
        <w:ind w:left="720" w:hanging="720"/>
      </w:pPr>
      <w:r w:rsidRPr="00FF6C72">
        <w:rPr>
          <w:rStyle w:val="FootnoteReference"/>
          <w:u w:val="single"/>
        </w:rPr>
        <w:footnoteRef/>
      </w:r>
      <w:r w:rsidRPr="00FF6C72">
        <w:rPr>
          <w:vertAlign w:val="superscript"/>
        </w:rPr>
        <w:t>/</w:t>
      </w:r>
      <w:r>
        <w:t xml:space="preserve"> </w:t>
      </w:r>
      <w:r>
        <w:tab/>
      </w:r>
      <w:r w:rsidR="00A1240D">
        <w:t>ERF cases</w:t>
      </w:r>
      <w:r>
        <w:t xml:space="preserve">, Commission Compliance Letter (June 28, 2013).  </w:t>
      </w:r>
    </w:p>
  </w:footnote>
  <w:footnote w:id="24">
    <w:p w:rsidR="00CA093E" w:rsidRDefault="00CA093E" w:rsidP="0033646A">
      <w:pPr>
        <w:pStyle w:val="FootnoteText"/>
        <w:ind w:left="720" w:hanging="720"/>
      </w:pPr>
      <w:r w:rsidRPr="00FF6C72">
        <w:rPr>
          <w:rStyle w:val="FootnoteReference"/>
          <w:u w:val="single"/>
        </w:rPr>
        <w:footnoteRef/>
      </w:r>
      <w:r w:rsidRPr="00FF6C72">
        <w:rPr>
          <w:vertAlign w:val="superscript"/>
        </w:rPr>
        <w:t>/</w:t>
      </w:r>
      <w:r>
        <w:t xml:space="preserve"> </w:t>
      </w:r>
      <w:r>
        <w:tab/>
      </w:r>
      <w:r w:rsidR="00C64AB5">
        <w:t>2013 PCORC, Commission Compliance Letter (Oct. 25, 2013).</w:t>
      </w:r>
    </w:p>
  </w:footnote>
  <w:footnote w:id="25">
    <w:p w:rsidR="00CA093E" w:rsidRDefault="00CA093E" w:rsidP="0033646A">
      <w:pPr>
        <w:pStyle w:val="FootnoteText"/>
      </w:pPr>
      <w:r w:rsidRPr="00FF6C72">
        <w:rPr>
          <w:rStyle w:val="FootnoteReference"/>
          <w:u w:val="single"/>
        </w:rPr>
        <w:footnoteRef/>
      </w:r>
      <w:r w:rsidRPr="00FF6C72">
        <w:rPr>
          <w:vertAlign w:val="superscript"/>
        </w:rPr>
        <w:t>/</w:t>
      </w:r>
      <w:r>
        <w:t xml:space="preserve"> </w:t>
      </w:r>
      <w:r>
        <w:tab/>
      </w:r>
      <w:r w:rsidR="00A1240D">
        <w:t>ERF cases</w:t>
      </w:r>
      <w:r>
        <w:t xml:space="preserve">, ICNU Ex. No.__(MPG-3).  </w:t>
      </w:r>
    </w:p>
  </w:footnote>
  <w:footnote w:id="26">
    <w:p w:rsidR="00CA093E" w:rsidRDefault="00CA093E" w:rsidP="0033646A">
      <w:pPr>
        <w:pStyle w:val="FootnoteText"/>
        <w:ind w:left="720" w:hanging="720"/>
      </w:pPr>
      <w:r w:rsidRPr="00FF6C72">
        <w:rPr>
          <w:rStyle w:val="FootnoteReference"/>
          <w:u w:val="single"/>
        </w:rPr>
        <w:footnoteRef/>
      </w:r>
      <w:r w:rsidRPr="00FF6C72">
        <w:rPr>
          <w:vertAlign w:val="superscript"/>
        </w:rPr>
        <w:t xml:space="preserve">/ </w:t>
      </w:r>
      <w:r>
        <w:tab/>
        <w:t xml:space="preserve">ERF Order 07, Separate Statement of Commissioner Jones </w:t>
      </w:r>
      <w:r w:rsidR="00D87D8F">
        <w:t xml:space="preserve">at </w:t>
      </w:r>
      <w:r>
        <w:t xml:space="preserve">¶ 4.  </w:t>
      </w:r>
    </w:p>
  </w:footnote>
  <w:footnote w:id="27">
    <w:p w:rsidR="008608FF" w:rsidRDefault="008608FF" w:rsidP="008608FF">
      <w:pPr>
        <w:pStyle w:val="FootnoteText"/>
      </w:pPr>
      <w:r w:rsidRPr="00FF6C72">
        <w:rPr>
          <w:rStyle w:val="FootnoteReference"/>
          <w:u w:val="single"/>
        </w:rPr>
        <w:footnoteRef/>
      </w:r>
      <w:r w:rsidRPr="00FF6C72">
        <w:rPr>
          <w:vertAlign w:val="superscript"/>
        </w:rPr>
        <w:t>/</w:t>
      </w:r>
      <w:r>
        <w:tab/>
        <w:t>2013 PCORC Order at ¶¶ 19, 28.</w:t>
      </w:r>
    </w:p>
  </w:footnote>
  <w:footnote w:id="28">
    <w:p w:rsidR="00CA093E" w:rsidRDefault="00CA093E" w:rsidP="0033646A">
      <w:pPr>
        <w:pStyle w:val="FootnoteText"/>
      </w:pPr>
      <w:r w:rsidRPr="00FF6C72">
        <w:rPr>
          <w:rStyle w:val="FootnoteReference"/>
          <w:u w:val="single"/>
        </w:rPr>
        <w:footnoteRef/>
      </w:r>
      <w:r w:rsidRPr="00FF6C72">
        <w:rPr>
          <w:vertAlign w:val="superscript"/>
        </w:rPr>
        <w:t>/</w:t>
      </w:r>
      <w:r>
        <w:t xml:space="preserve"> </w:t>
      </w:r>
      <w:r>
        <w:tab/>
        <w:t xml:space="preserve">RCW § 80.28.010(1).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707D"/>
    <w:rsid w:val="000015B0"/>
    <w:rsid w:val="00015413"/>
    <w:rsid w:val="00033B0F"/>
    <w:rsid w:val="00041527"/>
    <w:rsid w:val="00064D1D"/>
    <w:rsid w:val="000700E9"/>
    <w:rsid w:val="00076A0A"/>
    <w:rsid w:val="000C231D"/>
    <w:rsid w:val="00105360"/>
    <w:rsid w:val="0014527D"/>
    <w:rsid w:val="00145568"/>
    <w:rsid w:val="00156C25"/>
    <w:rsid w:val="00160B09"/>
    <w:rsid w:val="0018177C"/>
    <w:rsid w:val="001850BC"/>
    <w:rsid w:val="0018645C"/>
    <w:rsid w:val="001B1C1F"/>
    <w:rsid w:val="001C62FC"/>
    <w:rsid w:val="001D7A20"/>
    <w:rsid w:val="001E1438"/>
    <w:rsid w:val="00226BA8"/>
    <w:rsid w:val="00233D5A"/>
    <w:rsid w:val="00233F9C"/>
    <w:rsid w:val="00253C4F"/>
    <w:rsid w:val="0029047B"/>
    <w:rsid w:val="002D3892"/>
    <w:rsid w:val="003257D6"/>
    <w:rsid w:val="00332BD9"/>
    <w:rsid w:val="0033646A"/>
    <w:rsid w:val="003754FA"/>
    <w:rsid w:val="003825F7"/>
    <w:rsid w:val="00385D77"/>
    <w:rsid w:val="003A02B8"/>
    <w:rsid w:val="003A1482"/>
    <w:rsid w:val="003C0368"/>
    <w:rsid w:val="003E75B5"/>
    <w:rsid w:val="00400717"/>
    <w:rsid w:val="00401BAA"/>
    <w:rsid w:val="00406A43"/>
    <w:rsid w:val="00407F7D"/>
    <w:rsid w:val="0042757E"/>
    <w:rsid w:val="004379DF"/>
    <w:rsid w:val="00443DE0"/>
    <w:rsid w:val="0048581C"/>
    <w:rsid w:val="004A373F"/>
    <w:rsid w:val="004D359D"/>
    <w:rsid w:val="004E137E"/>
    <w:rsid w:val="004E4D9B"/>
    <w:rsid w:val="005205B8"/>
    <w:rsid w:val="00520F39"/>
    <w:rsid w:val="005269CB"/>
    <w:rsid w:val="005645AA"/>
    <w:rsid w:val="0057443A"/>
    <w:rsid w:val="005D30A4"/>
    <w:rsid w:val="005E4BC1"/>
    <w:rsid w:val="005E5124"/>
    <w:rsid w:val="006208EB"/>
    <w:rsid w:val="00630A50"/>
    <w:rsid w:val="0066707D"/>
    <w:rsid w:val="006B42FB"/>
    <w:rsid w:val="006E0A14"/>
    <w:rsid w:val="006F150D"/>
    <w:rsid w:val="0070335C"/>
    <w:rsid w:val="00703E39"/>
    <w:rsid w:val="0074395F"/>
    <w:rsid w:val="007E5F36"/>
    <w:rsid w:val="007E73A7"/>
    <w:rsid w:val="008608FF"/>
    <w:rsid w:val="008B7AAF"/>
    <w:rsid w:val="00920049"/>
    <w:rsid w:val="00980489"/>
    <w:rsid w:val="00981795"/>
    <w:rsid w:val="009C1E26"/>
    <w:rsid w:val="00A1240D"/>
    <w:rsid w:val="00B2295C"/>
    <w:rsid w:val="00B34808"/>
    <w:rsid w:val="00B51675"/>
    <w:rsid w:val="00B75956"/>
    <w:rsid w:val="00B778CE"/>
    <w:rsid w:val="00B85551"/>
    <w:rsid w:val="00BA1577"/>
    <w:rsid w:val="00BD3C1E"/>
    <w:rsid w:val="00C64AB5"/>
    <w:rsid w:val="00C96E53"/>
    <w:rsid w:val="00CA093E"/>
    <w:rsid w:val="00CA1EC7"/>
    <w:rsid w:val="00CC353B"/>
    <w:rsid w:val="00CF2FD8"/>
    <w:rsid w:val="00D33C5E"/>
    <w:rsid w:val="00D431C6"/>
    <w:rsid w:val="00D516DF"/>
    <w:rsid w:val="00D81522"/>
    <w:rsid w:val="00D838F6"/>
    <w:rsid w:val="00D87D8F"/>
    <w:rsid w:val="00DB43C7"/>
    <w:rsid w:val="00DC7723"/>
    <w:rsid w:val="00DF6666"/>
    <w:rsid w:val="00E0368A"/>
    <w:rsid w:val="00E058F4"/>
    <w:rsid w:val="00E3085B"/>
    <w:rsid w:val="00E904CB"/>
    <w:rsid w:val="00E90C13"/>
    <w:rsid w:val="00EC2743"/>
    <w:rsid w:val="00ED6BBA"/>
    <w:rsid w:val="00EE49EC"/>
    <w:rsid w:val="00EF17BB"/>
    <w:rsid w:val="00F35EAE"/>
    <w:rsid w:val="00F725B0"/>
    <w:rsid w:val="00FA324A"/>
    <w:rsid w:val="00FB5DE9"/>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paragraph" w:styleId="Heading3">
    <w:name w:val="heading 3"/>
    <w:basedOn w:val="Normal"/>
    <w:next w:val="Normal"/>
    <w:link w:val="Heading3Char"/>
    <w:uiPriority w:val="9"/>
    <w:semiHidden/>
    <w:unhideWhenUsed/>
    <w:qFormat/>
    <w:rsid w:val="006B4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 w:type="character" w:customStyle="1" w:styleId="Heading3Char">
    <w:name w:val="Heading 3 Char"/>
    <w:basedOn w:val="DefaultParagraphFont"/>
    <w:link w:val="Heading3"/>
    <w:uiPriority w:val="9"/>
    <w:semiHidden/>
    <w:rsid w:val="006B42FB"/>
    <w:rPr>
      <w:rFonts w:asciiTheme="majorHAnsi" w:eastAsiaTheme="majorEastAsia" w:hAnsiTheme="majorHAnsi" w:cstheme="majorBidi"/>
      <w:b/>
      <w:bCs/>
      <w:color w:val="4F81BD"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paragraph" w:styleId="Heading3">
    <w:name w:val="heading 3"/>
    <w:basedOn w:val="Normal"/>
    <w:next w:val="Normal"/>
    <w:link w:val="Heading3Char"/>
    <w:uiPriority w:val="9"/>
    <w:semiHidden/>
    <w:unhideWhenUsed/>
    <w:qFormat/>
    <w:rsid w:val="006B4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 w:type="character" w:customStyle="1" w:styleId="Heading3Char">
    <w:name w:val="Heading 3 Char"/>
    <w:basedOn w:val="DefaultParagraphFont"/>
    <w:link w:val="Heading3"/>
    <w:uiPriority w:val="9"/>
    <w:semiHidden/>
    <w:rsid w:val="006B42FB"/>
    <w:rPr>
      <w:rFonts w:asciiTheme="majorHAnsi" w:eastAsiaTheme="majorEastAsia" w:hAnsiTheme="majorHAnsi" w:cstheme="majorBidi"/>
      <w:b/>
      <w:bCs/>
      <w:color w:val="4F81BD"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2014-08-08T07:00:00+00:00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CFDA9-2EEA-4267-862C-F6B87DC600D3}"/>
</file>

<file path=customXml/itemProps2.xml><?xml version="1.0" encoding="utf-8"?>
<ds:datastoreItem xmlns:ds="http://schemas.openxmlformats.org/officeDocument/2006/customXml" ds:itemID="{D94A8709-9375-41F7-8F3E-A5A40D601D56}"/>
</file>

<file path=customXml/itemProps3.xml><?xml version="1.0" encoding="utf-8"?>
<ds:datastoreItem xmlns:ds="http://schemas.openxmlformats.org/officeDocument/2006/customXml" ds:itemID="{55A40664-A8B3-43CE-84B7-135747757460}"/>
</file>

<file path=customXml/itemProps4.xml><?xml version="1.0" encoding="utf-8"?>
<ds:datastoreItem xmlns:ds="http://schemas.openxmlformats.org/officeDocument/2006/customXml" ds:itemID="{E468BD3C-E203-4A1F-B32A-ADC6DB02C151}"/>
</file>

<file path=customXml/itemProps5.xml><?xml version="1.0" encoding="utf-8"?>
<ds:datastoreItem xmlns:ds="http://schemas.openxmlformats.org/officeDocument/2006/customXml" ds:itemID="{34386D5A-800E-4F79-A611-6F8F8FD964C7}"/>
</file>

<file path=docProps/app.xml><?xml version="1.0" encoding="utf-8"?>
<Properties xmlns="http://schemas.openxmlformats.org/officeDocument/2006/extended-properties" xmlns:vt="http://schemas.openxmlformats.org/officeDocument/2006/docPropsVTypes">
  <Template>Normal</Template>
  <TotalTime>981</TotalTime>
  <Pages>8</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58</cp:revision>
  <cp:lastPrinted>2014-08-07T21:23:00Z</cp:lastPrinted>
  <dcterms:created xsi:type="dcterms:W3CDTF">2014-07-23T21:46:00Z</dcterms:created>
  <dcterms:modified xsi:type="dcterms:W3CDTF">2014-08-08T17:03:00Z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