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bCs/>
          <w:iCs w:val="0"/>
          <w:caps w:val="0"/>
          <w:color w:val="auto"/>
          <w:sz w:val="24"/>
          <w:lang w:eastAsia="en-US"/>
        </w:rPr>
        <w:id w:val="1188100224"/>
        <w:docPartObj>
          <w:docPartGallery w:val="Table of Contents"/>
          <w:docPartUnique/>
        </w:docPartObj>
      </w:sdtPr>
      <w:sdtEndPr>
        <w:rPr>
          <w:b w:val="0"/>
          <w:bCs w:val="0"/>
          <w:noProof/>
        </w:rPr>
      </w:sdtEndPr>
      <w:sdtContent>
        <w:p w:rsidR="005B0DAA" w:rsidRPr="00196D81" w:rsidRDefault="005B0DAA" w:rsidP="00645924">
          <w:pPr>
            <w:pStyle w:val="TOCHeading"/>
            <w:suppressLineNumbers/>
            <w:spacing w:before="0" w:line="480" w:lineRule="auto"/>
            <w:jc w:val="center"/>
            <w:rPr>
              <w:rFonts w:ascii="Times New Roman" w:hAnsi="Times New Roman" w:cs="Times New Roman"/>
              <w:b/>
              <w:color w:val="auto"/>
              <w:sz w:val="24"/>
            </w:rPr>
          </w:pPr>
          <w:r w:rsidRPr="00196D81">
            <w:rPr>
              <w:rFonts w:ascii="Times New Roman" w:hAnsi="Times New Roman" w:cs="Times New Roman"/>
              <w:b/>
              <w:color w:val="auto"/>
              <w:sz w:val="24"/>
            </w:rPr>
            <w:t>Table of Contents</w:t>
          </w:r>
        </w:p>
        <w:p w:rsidR="00196D81" w:rsidRDefault="005B0DAA" w:rsidP="00196D81">
          <w:pPr>
            <w:pStyle w:val="TOC1"/>
            <w:suppressLineNumbers/>
            <w:spacing w:after="0" w:line="360" w:lineRule="auto"/>
            <w:rPr>
              <w:rFonts w:asciiTheme="minorHAnsi" w:eastAsiaTheme="minorEastAsia" w:hAnsiTheme="minorHAnsi" w:cstheme="minorBidi"/>
              <w:noProof/>
              <w:sz w:val="22"/>
              <w:szCs w:val="22"/>
            </w:rPr>
          </w:pPr>
          <w:r w:rsidRPr="0029333D">
            <w:fldChar w:fldCharType="begin"/>
          </w:r>
          <w:r w:rsidRPr="0029333D">
            <w:instrText xml:space="preserve"> TOC \o "1-3" \h \z \u </w:instrText>
          </w:r>
          <w:r w:rsidRPr="0029333D">
            <w:fldChar w:fldCharType="separate"/>
          </w:r>
          <w:hyperlink w:anchor="_Toc436114839" w:history="1">
            <w:r w:rsidR="00196D81" w:rsidRPr="0048512B">
              <w:rPr>
                <w:rStyle w:val="Hyperlink"/>
                <w:noProof/>
              </w:rPr>
              <w:t>QUALIFICATIONS</w:t>
            </w:r>
            <w:r w:rsidR="00196D81">
              <w:rPr>
                <w:noProof/>
                <w:webHidden/>
              </w:rPr>
              <w:tab/>
            </w:r>
            <w:r w:rsidR="00196D81">
              <w:rPr>
                <w:noProof/>
                <w:webHidden/>
              </w:rPr>
              <w:fldChar w:fldCharType="begin"/>
            </w:r>
            <w:r w:rsidR="00196D81">
              <w:rPr>
                <w:noProof/>
                <w:webHidden/>
              </w:rPr>
              <w:instrText xml:space="preserve"> PAGEREF _Toc436114839 \h </w:instrText>
            </w:r>
            <w:r w:rsidR="00196D81">
              <w:rPr>
                <w:noProof/>
                <w:webHidden/>
              </w:rPr>
            </w:r>
            <w:r w:rsidR="00196D81">
              <w:rPr>
                <w:noProof/>
                <w:webHidden/>
              </w:rPr>
              <w:fldChar w:fldCharType="separate"/>
            </w:r>
            <w:r w:rsidR="00CC77EF">
              <w:rPr>
                <w:noProof/>
                <w:webHidden/>
              </w:rPr>
              <w:t>1</w:t>
            </w:r>
            <w:r w:rsidR="00196D81">
              <w:rPr>
                <w:noProof/>
                <w:webHidden/>
              </w:rPr>
              <w:fldChar w:fldCharType="end"/>
            </w:r>
          </w:hyperlink>
        </w:p>
        <w:p w:rsidR="00196D81" w:rsidRDefault="00F6630F" w:rsidP="00196D81">
          <w:pPr>
            <w:pStyle w:val="TOC1"/>
            <w:suppressLineNumbers/>
            <w:spacing w:after="0" w:line="360" w:lineRule="auto"/>
            <w:rPr>
              <w:rFonts w:asciiTheme="minorHAnsi" w:eastAsiaTheme="minorEastAsia" w:hAnsiTheme="minorHAnsi" w:cstheme="minorBidi"/>
              <w:noProof/>
              <w:sz w:val="22"/>
              <w:szCs w:val="22"/>
            </w:rPr>
          </w:pPr>
          <w:hyperlink w:anchor="_Toc436114840" w:history="1">
            <w:r w:rsidR="00196D81" w:rsidRPr="0048512B">
              <w:rPr>
                <w:rStyle w:val="Hyperlink"/>
                <w:noProof/>
              </w:rPr>
              <w:t>PURPOSE OF TESTIMONY</w:t>
            </w:r>
            <w:r w:rsidR="00196D81">
              <w:rPr>
                <w:noProof/>
                <w:webHidden/>
              </w:rPr>
              <w:tab/>
            </w:r>
            <w:r w:rsidR="00196D81">
              <w:rPr>
                <w:noProof/>
                <w:webHidden/>
              </w:rPr>
              <w:fldChar w:fldCharType="begin"/>
            </w:r>
            <w:r w:rsidR="00196D81">
              <w:rPr>
                <w:noProof/>
                <w:webHidden/>
              </w:rPr>
              <w:instrText xml:space="preserve"> PAGEREF _Toc436114840 \h </w:instrText>
            </w:r>
            <w:r w:rsidR="00196D81">
              <w:rPr>
                <w:noProof/>
                <w:webHidden/>
              </w:rPr>
            </w:r>
            <w:r w:rsidR="00196D81">
              <w:rPr>
                <w:noProof/>
                <w:webHidden/>
              </w:rPr>
              <w:fldChar w:fldCharType="separate"/>
            </w:r>
            <w:r w:rsidR="00CC77EF">
              <w:rPr>
                <w:noProof/>
                <w:webHidden/>
              </w:rPr>
              <w:t>1</w:t>
            </w:r>
            <w:r w:rsidR="00196D81">
              <w:rPr>
                <w:noProof/>
                <w:webHidden/>
              </w:rPr>
              <w:fldChar w:fldCharType="end"/>
            </w:r>
          </w:hyperlink>
        </w:p>
        <w:p w:rsidR="00196D81" w:rsidRDefault="00F6630F" w:rsidP="00196D81">
          <w:pPr>
            <w:pStyle w:val="TOC1"/>
            <w:suppressLineNumbers/>
            <w:spacing w:after="0" w:line="360" w:lineRule="auto"/>
            <w:rPr>
              <w:rFonts w:asciiTheme="minorHAnsi" w:eastAsiaTheme="minorEastAsia" w:hAnsiTheme="minorHAnsi" w:cstheme="minorBidi"/>
              <w:noProof/>
              <w:sz w:val="22"/>
              <w:szCs w:val="22"/>
            </w:rPr>
          </w:pPr>
          <w:hyperlink w:anchor="_Toc436114841" w:history="1">
            <w:r w:rsidR="00196D81" w:rsidRPr="0048512B">
              <w:rPr>
                <w:rStyle w:val="Hyperlink"/>
                <w:noProof/>
              </w:rPr>
              <w:t>EXPEDITED RATE FILING</w:t>
            </w:r>
            <w:r w:rsidR="00196D81">
              <w:rPr>
                <w:noProof/>
                <w:webHidden/>
              </w:rPr>
              <w:tab/>
            </w:r>
            <w:r w:rsidR="00196D81">
              <w:rPr>
                <w:noProof/>
                <w:webHidden/>
              </w:rPr>
              <w:fldChar w:fldCharType="begin"/>
            </w:r>
            <w:r w:rsidR="00196D81">
              <w:rPr>
                <w:noProof/>
                <w:webHidden/>
              </w:rPr>
              <w:instrText xml:space="preserve"> PAGEREF _Toc436114841 \h </w:instrText>
            </w:r>
            <w:r w:rsidR="00196D81">
              <w:rPr>
                <w:noProof/>
                <w:webHidden/>
              </w:rPr>
            </w:r>
            <w:r w:rsidR="00196D81">
              <w:rPr>
                <w:noProof/>
                <w:webHidden/>
              </w:rPr>
              <w:fldChar w:fldCharType="separate"/>
            </w:r>
            <w:r w:rsidR="00CC77EF">
              <w:rPr>
                <w:noProof/>
                <w:webHidden/>
              </w:rPr>
              <w:t>3</w:t>
            </w:r>
            <w:r w:rsidR="00196D81">
              <w:rPr>
                <w:noProof/>
                <w:webHidden/>
              </w:rPr>
              <w:fldChar w:fldCharType="end"/>
            </w:r>
          </w:hyperlink>
        </w:p>
        <w:p w:rsidR="00196D81" w:rsidRDefault="00F6630F" w:rsidP="00196D81">
          <w:pPr>
            <w:pStyle w:val="TOC2"/>
            <w:suppressLineNumbers/>
            <w:spacing w:after="0" w:line="360" w:lineRule="auto"/>
            <w:rPr>
              <w:rFonts w:asciiTheme="minorHAnsi" w:eastAsiaTheme="minorEastAsia" w:hAnsiTheme="minorHAnsi" w:cstheme="minorBidi"/>
              <w:noProof/>
              <w:sz w:val="22"/>
              <w:szCs w:val="22"/>
            </w:rPr>
          </w:pPr>
          <w:hyperlink w:anchor="_Toc436114842" w:history="1">
            <w:r w:rsidR="00196D81" w:rsidRPr="0048512B">
              <w:rPr>
                <w:rStyle w:val="Hyperlink"/>
                <w:noProof/>
              </w:rPr>
              <w:t>OVERVIEW OF THE TEST PERIOD OF THE ERF</w:t>
            </w:r>
            <w:r w:rsidR="00196D81">
              <w:rPr>
                <w:noProof/>
                <w:webHidden/>
              </w:rPr>
              <w:tab/>
            </w:r>
            <w:r w:rsidR="00196D81">
              <w:rPr>
                <w:noProof/>
                <w:webHidden/>
              </w:rPr>
              <w:fldChar w:fldCharType="begin"/>
            </w:r>
            <w:r w:rsidR="00196D81">
              <w:rPr>
                <w:noProof/>
                <w:webHidden/>
              </w:rPr>
              <w:instrText xml:space="preserve"> PAGEREF _Toc436114842 \h </w:instrText>
            </w:r>
            <w:r w:rsidR="00196D81">
              <w:rPr>
                <w:noProof/>
                <w:webHidden/>
              </w:rPr>
            </w:r>
            <w:r w:rsidR="00196D81">
              <w:rPr>
                <w:noProof/>
                <w:webHidden/>
              </w:rPr>
              <w:fldChar w:fldCharType="separate"/>
            </w:r>
            <w:r w:rsidR="00CC77EF">
              <w:rPr>
                <w:noProof/>
                <w:webHidden/>
              </w:rPr>
              <w:t>6</w:t>
            </w:r>
            <w:r w:rsidR="00196D81">
              <w:rPr>
                <w:noProof/>
                <w:webHidden/>
              </w:rPr>
              <w:fldChar w:fldCharType="end"/>
            </w:r>
          </w:hyperlink>
        </w:p>
        <w:p w:rsidR="00196D81" w:rsidRDefault="00F6630F" w:rsidP="00196D81">
          <w:pPr>
            <w:pStyle w:val="TOC2"/>
            <w:suppressLineNumbers/>
            <w:spacing w:after="0" w:line="360" w:lineRule="auto"/>
            <w:rPr>
              <w:rFonts w:asciiTheme="minorHAnsi" w:eastAsiaTheme="minorEastAsia" w:hAnsiTheme="minorHAnsi" w:cstheme="minorBidi"/>
              <w:noProof/>
              <w:sz w:val="22"/>
              <w:szCs w:val="22"/>
            </w:rPr>
          </w:pPr>
          <w:hyperlink w:anchor="_Toc436114843" w:history="1">
            <w:r w:rsidR="00196D81" w:rsidRPr="0048512B">
              <w:rPr>
                <w:rStyle w:val="Hyperlink"/>
                <w:noProof/>
              </w:rPr>
              <w:t>ALLOCATION METHODOLOGY</w:t>
            </w:r>
            <w:r w:rsidR="00196D81">
              <w:rPr>
                <w:noProof/>
                <w:webHidden/>
              </w:rPr>
              <w:tab/>
            </w:r>
            <w:r w:rsidR="00196D81">
              <w:rPr>
                <w:noProof/>
                <w:webHidden/>
              </w:rPr>
              <w:fldChar w:fldCharType="begin"/>
            </w:r>
            <w:r w:rsidR="00196D81">
              <w:rPr>
                <w:noProof/>
                <w:webHidden/>
              </w:rPr>
              <w:instrText xml:space="preserve"> PAGEREF _Toc436114843 \h </w:instrText>
            </w:r>
            <w:r w:rsidR="00196D81">
              <w:rPr>
                <w:noProof/>
                <w:webHidden/>
              </w:rPr>
            </w:r>
            <w:r w:rsidR="00196D81">
              <w:rPr>
                <w:noProof/>
                <w:webHidden/>
              </w:rPr>
              <w:fldChar w:fldCharType="separate"/>
            </w:r>
            <w:r w:rsidR="00CC77EF">
              <w:rPr>
                <w:noProof/>
                <w:webHidden/>
              </w:rPr>
              <w:t>9</w:t>
            </w:r>
            <w:r w:rsidR="00196D81">
              <w:rPr>
                <w:noProof/>
                <w:webHidden/>
              </w:rPr>
              <w:fldChar w:fldCharType="end"/>
            </w:r>
          </w:hyperlink>
        </w:p>
        <w:p w:rsidR="00196D81" w:rsidRDefault="00F6630F" w:rsidP="00196D81">
          <w:pPr>
            <w:pStyle w:val="TOC2"/>
            <w:suppressLineNumbers/>
            <w:spacing w:after="0" w:line="360" w:lineRule="auto"/>
            <w:rPr>
              <w:rFonts w:asciiTheme="minorHAnsi" w:eastAsiaTheme="minorEastAsia" w:hAnsiTheme="minorHAnsi" w:cstheme="minorBidi"/>
              <w:noProof/>
              <w:sz w:val="22"/>
              <w:szCs w:val="22"/>
            </w:rPr>
          </w:pPr>
          <w:hyperlink w:anchor="_Toc436114844" w:history="1">
            <w:r w:rsidR="00196D81" w:rsidRPr="0048512B">
              <w:rPr>
                <w:rStyle w:val="Hyperlink"/>
                <w:noProof/>
              </w:rPr>
              <w:t>PROPOSED PRO FORMA CHANGES</w:t>
            </w:r>
            <w:r w:rsidR="00196D81">
              <w:rPr>
                <w:noProof/>
                <w:webHidden/>
              </w:rPr>
              <w:tab/>
            </w:r>
            <w:r w:rsidR="00196D81">
              <w:rPr>
                <w:noProof/>
                <w:webHidden/>
              </w:rPr>
              <w:fldChar w:fldCharType="begin"/>
            </w:r>
            <w:r w:rsidR="00196D81">
              <w:rPr>
                <w:noProof/>
                <w:webHidden/>
              </w:rPr>
              <w:instrText xml:space="preserve"> PAGEREF _Toc436114844 \h </w:instrText>
            </w:r>
            <w:r w:rsidR="00196D81">
              <w:rPr>
                <w:noProof/>
                <w:webHidden/>
              </w:rPr>
            </w:r>
            <w:r w:rsidR="00196D81">
              <w:rPr>
                <w:noProof/>
                <w:webHidden/>
              </w:rPr>
              <w:fldChar w:fldCharType="separate"/>
            </w:r>
            <w:r w:rsidR="00CC77EF">
              <w:rPr>
                <w:noProof/>
                <w:webHidden/>
              </w:rPr>
              <w:t>11</w:t>
            </w:r>
            <w:r w:rsidR="00196D81">
              <w:rPr>
                <w:noProof/>
                <w:webHidden/>
              </w:rPr>
              <w:fldChar w:fldCharType="end"/>
            </w:r>
          </w:hyperlink>
        </w:p>
        <w:p w:rsidR="00196D81" w:rsidRDefault="00F6630F" w:rsidP="00196D81">
          <w:pPr>
            <w:pStyle w:val="TOC1"/>
            <w:suppressLineNumbers/>
            <w:spacing w:after="0" w:line="360" w:lineRule="auto"/>
            <w:rPr>
              <w:rFonts w:asciiTheme="minorHAnsi" w:eastAsiaTheme="minorEastAsia" w:hAnsiTheme="minorHAnsi" w:cstheme="minorBidi"/>
              <w:noProof/>
              <w:sz w:val="22"/>
              <w:szCs w:val="22"/>
            </w:rPr>
          </w:pPr>
          <w:hyperlink w:anchor="_Toc436114845" w:history="1">
            <w:r w:rsidR="00196D81" w:rsidRPr="0048512B">
              <w:rPr>
                <w:rStyle w:val="Hyperlink"/>
                <w:noProof/>
              </w:rPr>
              <w:t>REVENUE REQUIREMENT FOR ERF</w:t>
            </w:r>
            <w:r w:rsidR="00196D81">
              <w:rPr>
                <w:noProof/>
                <w:webHidden/>
              </w:rPr>
              <w:tab/>
            </w:r>
            <w:r w:rsidR="00196D81">
              <w:rPr>
                <w:noProof/>
                <w:webHidden/>
              </w:rPr>
              <w:fldChar w:fldCharType="begin"/>
            </w:r>
            <w:r w:rsidR="00196D81">
              <w:rPr>
                <w:noProof/>
                <w:webHidden/>
              </w:rPr>
              <w:instrText xml:space="preserve"> PAGEREF _Toc436114845 \h </w:instrText>
            </w:r>
            <w:r w:rsidR="00196D81">
              <w:rPr>
                <w:noProof/>
                <w:webHidden/>
              </w:rPr>
            </w:r>
            <w:r w:rsidR="00196D81">
              <w:rPr>
                <w:noProof/>
                <w:webHidden/>
              </w:rPr>
              <w:fldChar w:fldCharType="separate"/>
            </w:r>
            <w:r w:rsidR="00CC77EF">
              <w:rPr>
                <w:noProof/>
                <w:webHidden/>
              </w:rPr>
              <w:t>13</w:t>
            </w:r>
            <w:r w:rsidR="00196D81">
              <w:rPr>
                <w:noProof/>
                <w:webHidden/>
              </w:rPr>
              <w:fldChar w:fldCharType="end"/>
            </w:r>
          </w:hyperlink>
        </w:p>
        <w:p w:rsidR="00196D81" w:rsidRDefault="00F6630F" w:rsidP="00196D81">
          <w:pPr>
            <w:pStyle w:val="TOC2"/>
            <w:suppressLineNumbers/>
            <w:spacing w:after="0" w:line="360" w:lineRule="auto"/>
            <w:rPr>
              <w:rFonts w:asciiTheme="minorHAnsi" w:eastAsiaTheme="minorEastAsia" w:hAnsiTheme="minorHAnsi" w:cstheme="minorBidi"/>
              <w:noProof/>
              <w:sz w:val="22"/>
              <w:szCs w:val="22"/>
            </w:rPr>
          </w:pPr>
          <w:hyperlink w:anchor="_Toc436114846" w:history="1">
            <w:r w:rsidR="00196D81" w:rsidRPr="0048512B">
              <w:rPr>
                <w:rStyle w:val="Hyperlink"/>
                <w:noProof/>
              </w:rPr>
              <w:t>TAB 3—REVENUE ADJUSTMENTS</w:t>
            </w:r>
            <w:r w:rsidR="00196D81">
              <w:rPr>
                <w:noProof/>
                <w:webHidden/>
              </w:rPr>
              <w:tab/>
            </w:r>
            <w:r w:rsidR="00196D81">
              <w:rPr>
                <w:noProof/>
                <w:webHidden/>
              </w:rPr>
              <w:fldChar w:fldCharType="begin"/>
            </w:r>
            <w:r w:rsidR="00196D81">
              <w:rPr>
                <w:noProof/>
                <w:webHidden/>
              </w:rPr>
              <w:instrText xml:space="preserve"> PAGEREF _Toc436114846 \h </w:instrText>
            </w:r>
            <w:r w:rsidR="00196D81">
              <w:rPr>
                <w:noProof/>
                <w:webHidden/>
              </w:rPr>
            </w:r>
            <w:r w:rsidR="00196D81">
              <w:rPr>
                <w:noProof/>
                <w:webHidden/>
              </w:rPr>
              <w:fldChar w:fldCharType="separate"/>
            </w:r>
            <w:r w:rsidR="00CC77EF">
              <w:rPr>
                <w:noProof/>
                <w:webHidden/>
              </w:rPr>
              <w:t>15</w:t>
            </w:r>
            <w:r w:rsidR="00196D81">
              <w:rPr>
                <w:noProof/>
                <w:webHidden/>
              </w:rPr>
              <w:fldChar w:fldCharType="end"/>
            </w:r>
          </w:hyperlink>
        </w:p>
        <w:p w:rsidR="00196D81" w:rsidRDefault="00F6630F" w:rsidP="00196D81">
          <w:pPr>
            <w:pStyle w:val="TOC2"/>
            <w:suppressLineNumbers/>
            <w:spacing w:after="0" w:line="360" w:lineRule="auto"/>
            <w:rPr>
              <w:rFonts w:asciiTheme="minorHAnsi" w:eastAsiaTheme="minorEastAsia" w:hAnsiTheme="minorHAnsi" w:cstheme="minorBidi"/>
              <w:noProof/>
              <w:sz w:val="22"/>
              <w:szCs w:val="22"/>
            </w:rPr>
          </w:pPr>
          <w:hyperlink w:anchor="_Toc436114847" w:history="1">
            <w:r w:rsidR="00196D81" w:rsidRPr="0048512B">
              <w:rPr>
                <w:rStyle w:val="Hyperlink"/>
                <w:noProof/>
              </w:rPr>
              <w:t>TAB 4—O&amp;M ADJUSTMENTS</w:t>
            </w:r>
            <w:r w:rsidR="00196D81">
              <w:rPr>
                <w:noProof/>
                <w:webHidden/>
              </w:rPr>
              <w:tab/>
            </w:r>
            <w:r w:rsidR="00196D81">
              <w:rPr>
                <w:noProof/>
                <w:webHidden/>
              </w:rPr>
              <w:fldChar w:fldCharType="begin"/>
            </w:r>
            <w:r w:rsidR="00196D81">
              <w:rPr>
                <w:noProof/>
                <w:webHidden/>
              </w:rPr>
              <w:instrText xml:space="preserve"> PAGEREF _Toc436114847 \h </w:instrText>
            </w:r>
            <w:r w:rsidR="00196D81">
              <w:rPr>
                <w:noProof/>
                <w:webHidden/>
              </w:rPr>
            </w:r>
            <w:r w:rsidR="00196D81">
              <w:rPr>
                <w:noProof/>
                <w:webHidden/>
              </w:rPr>
              <w:fldChar w:fldCharType="separate"/>
            </w:r>
            <w:r w:rsidR="00CC77EF">
              <w:rPr>
                <w:noProof/>
                <w:webHidden/>
              </w:rPr>
              <w:t>17</w:t>
            </w:r>
            <w:r w:rsidR="00196D81">
              <w:rPr>
                <w:noProof/>
                <w:webHidden/>
              </w:rPr>
              <w:fldChar w:fldCharType="end"/>
            </w:r>
          </w:hyperlink>
        </w:p>
        <w:p w:rsidR="00196D81" w:rsidRDefault="00F6630F" w:rsidP="00196D81">
          <w:pPr>
            <w:pStyle w:val="TOC2"/>
            <w:suppressLineNumbers/>
            <w:spacing w:after="0" w:line="360" w:lineRule="auto"/>
            <w:rPr>
              <w:rFonts w:asciiTheme="minorHAnsi" w:eastAsiaTheme="minorEastAsia" w:hAnsiTheme="minorHAnsi" w:cstheme="minorBidi"/>
              <w:noProof/>
              <w:sz w:val="22"/>
              <w:szCs w:val="22"/>
            </w:rPr>
          </w:pPr>
          <w:hyperlink w:anchor="_Toc436114848" w:history="1">
            <w:r w:rsidR="00196D81" w:rsidRPr="0048512B">
              <w:rPr>
                <w:rStyle w:val="Hyperlink"/>
                <w:noProof/>
              </w:rPr>
              <w:t>TAB 5—NET POWER COST ADJUSTMENTS</w:t>
            </w:r>
            <w:r w:rsidR="00196D81">
              <w:rPr>
                <w:noProof/>
                <w:webHidden/>
              </w:rPr>
              <w:tab/>
            </w:r>
            <w:r w:rsidR="00196D81">
              <w:rPr>
                <w:noProof/>
                <w:webHidden/>
              </w:rPr>
              <w:fldChar w:fldCharType="begin"/>
            </w:r>
            <w:r w:rsidR="00196D81">
              <w:rPr>
                <w:noProof/>
                <w:webHidden/>
              </w:rPr>
              <w:instrText xml:space="preserve"> PAGEREF _Toc436114848 \h </w:instrText>
            </w:r>
            <w:r w:rsidR="00196D81">
              <w:rPr>
                <w:noProof/>
                <w:webHidden/>
              </w:rPr>
            </w:r>
            <w:r w:rsidR="00196D81">
              <w:rPr>
                <w:noProof/>
                <w:webHidden/>
              </w:rPr>
              <w:fldChar w:fldCharType="separate"/>
            </w:r>
            <w:r w:rsidR="00CC77EF">
              <w:rPr>
                <w:noProof/>
                <w:webHidden/>
              </w:rPr>
              <w:t>19</w:t>
            </w:r>
            <w:r w:rsidR="00196D81">
              <w:rPr>
                <w:noProof/>
                <w:webHidden/>
              </w:rPr>
              <w:fldChar w:fldCharType="end"/>
            </w:r>
          </w:hyperlink>
        </w:p>
        <w:p w:rsidR="00196D81" w:rsidRDefault="00F6630F" w:rsidP="00196D81">
          <w:pPr>
            <w:pStyle w:val="TOC2"/>
            <w:suppressLineNumbers/>
            <w:spacing w:after="0" w:line="360" w:lineRule="auto"/>
            <w:rPr>
              <w:rFonts w:asciiTheme="minorHAnsi" w:eastAsiaTheme="minorEastAsia" w:hAnsiTheme="minorHAnsi" w:cstheme="minorBidi"/>
              <w:noProof/>
              <w:sz w:val="22"/>
              <w:szCs w:val="22"/>
            </w:rPr>
          </w:pPr>
          <w:hyperlink w:anchor="_Toc436114849" w:history="1">
            <w:r w:rsidR="00196D81" w:rsidRPr="0048512B">
              <w:rPr>
                <w:rStyle w:val="Hyperlink"/>
                <w:noProof/>
              </w:rPr>
              <w:t>TAB 6—DEPRECIATION AND AMORTIZATION ADJUSTMENTS</w:t>
            </w:r>
            <w:r w:rsidR="00196D81">
              <w:rPr>
                <w:noProof/>
                <w:webHidden/>
              </w:rPr>
              <w:tab/>
            </w:r>
            <w:r w:rsidR="00196D81">
              <w:rPr>
                <w:noProof/>
                <w:webHidden/>
              </w:rPr>
              <w:fldChar w:fldCharType="begin"/>
            </w:r>
            <w:r w:rsidR="00196D81">
              <w:rPr>
                <w:noProof/>
                <w:webHidden/>
              </w:rPr>
              <w:instrText xml:space="preserve"> PAGEREF _Toc436114849 \h </w:instrText>
            </w:r>
            <w:r w:rsidR="00196D81">
              <w:rPr>
                <w:noProof/>
                <w:webHidden/>
              </w:rPr>
            </w:r>
            <w:r w:rsidR="00196D81">
              <w:rPr>
                <w:noProof/>
                <w:webHidden/>
              </w:rPr>
              <w:fldChar w:fldCharType="separate"/>
            </w:r>
            <w:r w:rsidR="00CC77EF">
              <w:rPr>
                <w:noProof/>
                <w:webHidden/>
              </w:rPr>
              <w:t>20</w:t>
            </w:r>
            <w:r w:rsidR="00196D81">
              <w:rPr>
                <w:noProof/>
                <w:webHidden/>
              </w:rPr>
              <w:fldChar w:fldCharType="end"/>
            </w:r>
          </w:hyperlink>
        </w:p>
        <w:p w:rsidR="00196D81" w:rsidRDefault="00F6630F" w:rsidP="00196D81">
          <w:pPr>
            <w:pStyle w:val="TOC2"/>
            <w:suppressLineNumbers/>
            <w:spacing w:after="0" w:line="360" w:lineRule="auto"/>
            <w:rPr>
              <w:rFonts w:asciiTheme="minorHAnsi" w:eastAsiaTheme="minorEastAsia" w:hAnsiTheme="minorHAnsi" w:cstheme="minorBidi"/>
              <w:noProof/>
              <w:sz w:val="22"/>
              <w:szCs w:val="22"/>
            </w:rPr>
          </w:pPr>
          <w:hyperlink w:anchor="_Toc436114850" w:history="1">
            <w:r w:rsidR="00196D81" w:rsidRPr="0048512B">
              <w:rPr>
                <w:rStyle w:val="Hyperlink"/>
                <w:noProof/>
              </w:rPr>
              <w:t>TAB 7—TAX ADJUSTMENTS</w:t>
            </w:r>
            <w:r w:rsidR="00196D81">
              <w:rPr>
                <w:noProof/>
                <w:webHidden/>
              </w:rPr>
              <w:tab/>
            </w:r>
            <w:r w:rsidR="00196D81">
              <w:rPr>
                <w:noProof/>
                <w:webHidden/>
              </w:rPr>
              <w:fldChar w:fldCharType="begin"/>
            </w:r>
            <w:r w:rsidR="00196D81">
              <w:rPr>
                <w:noProof/>
                <w:webHidden/>
              </w:rPr>
              <w:instrText xml:space="preserve"> PAGEREF _Toc436114850 \h </w:instrText>
            </w:r>
            <w:r w:rsidR="00196D81">
              <w:rPr>
                <w:noProof/>
                <w:webHidden/>
              </w:rPr>
            </w:r>
            <w:r w:rsidR="00196D81">
              <w:rPr>
                <w:noProof/>
                <w:webHidden/>
              </w:rPr>
              <w:fldChar w:fldCharType="separate"/>
            </w:r>
            <w:r w:rsidR="00CC77EF">
              <w:rPr>
                <w:noProof/>
                <w:webHidden/>
              </w:rPr>
              <w:t>21</w:t>
            </w:r>
            <w:r w:rsidR="00196D81">
              <w:rPr>
                <w:noProof/>
                <w:webHidden/>
              </w:rPr>
              <w:fldChar w:fldCharType="end"/>
            </w:r>
          </w:hyperlink>
        </w:p>
        <w:p w:rsidR="00196D81" w:rsidRDefault="00F6630F" w:rsidP="00196D81">
          <w:pPr>
            <w:pStyle w:val="TOC2"/>
            <w:suppressLineNumbers/>
            <w:spacing w:after="0" w:line="360" w:lineRule="auto"/>
            <w:rPr>
              <w:rFonts w:asciiTheme="minorHAnsi" w:eastAsiaTheme="minorEastAsia" w:hAnsiTheme="minorHAnsi" w:cstheme="minorBidi"/>
              <w:noProof/>
              <w:sz w:val="22"/>
              <w:szCs w:val="22"/>
            </w:rPr>
          </w:pPr>
          <w:hyperlink w:anchor="_Toc436114851" w:history="1">
            <w:r w:rsidR="00196D81" w:rsidRPr="0048512B">
              <w:rPr>
                <w:rStyle w:val="Hyperlink"/>
                <w:noProof/>
              </w:rPr>
              <w:t>TAB 8—RATE BASE ADJUSTMENTS</w:t>
            </w:r>
            <w:r w:rsidR="00196D81">
              <w:rPr>
                <w:noProof/>
                <w:webHidden/>
              </w:rPr>
              <w:tab/>
            </w:r>
            <w:r w:rsidR="00196D81">
              <w:rPr>
                <w:noProof/>
                <w:webHidden/>
              </w:rPr>
              <w:fldChar w:fldCharType="begin"/>
            </w:r>
            <w:r w:rsidR="00196D81">
              <w:rPr>
                <w:noProof/>
                <w:webHidden/>
              </w:rPr>
              <w:instrText xml:space="preserve"> PAGEREF _Toc436114851 \h </w:instrText>
            </w:r>
            <w:r w:rsidR="00196D81">
              <w:rPr>
                <w:noProof/>
                <w:webHidden/>
              </w:rPr>
            </w:r>
            <w:r w:rsidR="00196D81">
              <w:rPr>
                <w:noProof/>
                <w:webHidden/>
              </w:rPr>
              <w:fldChar w:fldCharType="separate"/>
            </w:r>
            <w:r w:rsidR="00CC77EF">
              <w:rPr>
                <w:noProof/>
                <w:webHidden/>
              </w:rPr>
              <w:t>24</w:t>
            </w:r>
            <w:r w:rsidR="00196D81">
              <w:rPr>
                <w:noProof/>
                <w:webHidden/>
              </w:rPr>
              <w:fldChar w:fldCharType="end"/>
            </w:r>
          </w:hyperlink>
        </w:p>
        <w:p w:rsidR="00196D81" w:rsidRDefault="00F6630F" w:rsidP="00196D81">
          <w:pPr>
            <w:pStyle w:val="TOC2"/>
            <w:suppressLineNumbers/>
            <w:spacing w:after="0" w:line="360" w:lineRule="auto"/>
            <w:rPr>
              <w:rFonts w:asciiTheme="minorHAnsi" w:eastAsiaTheme="minorEastAsia" w:hAnsiTheme="minorHAnsi" w:cstheme="minorBidi"/>
              <w:noProof/>
              <w:sz w:val="22"/>
              <w:szCs w:val="22"/>
            </w:rPr>
          </w:pPr>
          <w:hyperlink w:anchor="_Toc436114852" w:history="1">
            <w:r w:rsidR="00196D81" w:rsidRPr="0048512B">
              <w:rPr>
                <w:rStyle w:val="Hyperlink"/>
                <w:noProof/>
              </w:rPr>
              <w:t>TAB 9—PRODUCTION FACTOR</w:t>
            </w:r>
            <w:r w:rsidR="00196D81">
              <w:rPr>
                <w:noProof/>
                <w:webHidden/>
              </w:rPr>
              <w:tab/>
            </w:r>
            <w:r w:rsidR="00196D81">
              <w:rPr>
                <w:noProof/>
                <w:webHidden/>
              </w:rPr>
              <w:fldChar w:fldCharType="begin"/>
            </w:r>
            <w:r w:rsidR="00196D81">
              <w:rPr>
                <w:noProof/>
                <w:webHidden/>
              </w:rPr>
              <w:instrText xml:space="preserve"> PAGEREF _Toc436114852 \h </w:instrText>
            </w:r>
            <w:r w:rsidR="00196D81">
              <w:rPr>
                <w:noProof/>
                <w:webHidden/>
              </w:rPr>
            </w:r>
            <w:r w:rsidR="00196D81">
              <w:rPr>
                <w:noProof/>
                <w:webHidden/>
              </w:rPr>
              <w:fldChar w:fldCharType="separate"/>
            </w:r>
            <w:r w:rsidR="00CC77EF">
              <w:rPr>
                <w:noProof/>
                <w:webHidden/>
              </w:rPr>
              <w:t>28</w:t>
            </w:r>
            <w:r w:rsidR="00196D81">
              <w:rPr>
                <w:noProof/>
                <w:webHidden/>
              </w:rPr>
              <w:fldChar w:fldCharType="end"/>
            </w:r>
          </w:hyperlink>
        </w:p>
        <w:p w:rsidR="00196D81" w:rsidRDefault="00F6630F" w:rsidP="00196D81">
          <w:pPr>
            <w:pStyle w:val="TOC1"/>
            <w:suppressLineNumbers/>
            <w:spacing w:after="0" w:line="360" w:lineRule="auto"/>
            <w:rPr>
              <w:rFonts w:asciiTheme="minorHAnsi" w:eastAsiaTheme="minorEastAsia" w:hAnsiTheme="minorHAnsi" w:cstheme="minorBidi"/>
              <w:noProof/>
              <w:sz w:val="22"/>
              <w:szCs w:val="22"/>
            </w:rPr>
          </w:pPr>
          <w:hyperlink w:anchor="_Toc436114853" w:history="1">
            <w:r w:rsidR="00196D81" w:rsidRPr="0048512B">
              <w:rPr>
                <w:rStyle w:val="Hyperlink"/>
                <w:noProof/>
              </w:rPr>
              <w:t>TWO-YEAR RATE PLAN</w:t>
            </w:r>
            <w:r w:rsidR="00196D81">
              <w:rPr>
                <w:noProof/>
                <w:webHidden/>
              </w:rPr>
              <w:tab/>
            </w:r>
            <w:r w:rsidR="00196D81">
              <w:rPr>
                <w:noProof/>
                <w:webHidden/>
              </w:rPr>
              <w:fldChar w:fldCharType="begin"/>
            </w:r>
            <w:r w:rsidR="00196D81">
              <w:rPr>
                <w:noProof/>
                <w:webHidden/>
              </w:rPr>
              <w:instrText xml:space="preserve"> PAGEREF _Toc436114853 \h </w:instrText>
            </w:r>
            <w:r w:rsidR="00196D81">
              <w:rPr>
                <w:noProof/>
                <w:webHidden/>
              </w:rPr>
            </w:r>
            <w:r w:rsidR="00196D81">
              <w:rPr>
                <w:noProof/>
                <w:webHidden/>
              </w:rPr>
              <w:fldChar w:fldCharType="separate"/>
            </w:r>
            <w:r w:rsidR="00CC77EF">
              <w:rPr>
                <w:noProof/>
                <w:webHidden/>
              </w:rPr>
              <w:t>29</w:t>
            </w:r>
            <w:r w:rsidR="00196D81">
              <w:rPr>
                <w:noProof/>
                <w:webHidden/>
              </w:rPr>
              <w:fldChar w:fldCharType="end"/>
            </w:r>
          </w:hyperlink>
        </w:p>
        <w:p w:rsidR="00196D81" w:rsidRDefault="00F6630F" w:rsidP="00196D81">
          <w:pPr>
            <w:pStyle w:val="TOC1"/>
            <w:suppressLineNumbers/>
            <w:spacing w:after="0" w:line="360" w:lineRule="auto"/>
            <w:rPr>
              <w:rFonts w:asciiTheme="minorHAnsi" w:eastAsiaTheme="minorEastAsia" w:hAnsiTheme="minorHAnsi" w:cstheme="minorBidi"/>
              <w:noProof/>
              <w:sz w:val="22"/>
              <w:szCs w:val="22"/>
            </w:rPr>
          </w:pPr>
          <w:hyperlink w:anchor="_Toc436114854" w:history="1">
            <w:r w:rsidR="00196D81" w:rsidRPr="0048512B">
              <w:rPr>
                <w:rStyle w:val="Hyperlink"/>
                <w:noProof/>
              </w:rPr>
              <w:t>DECOUPLING MECHANISM</w:t>
            </w:r>
            <w:r w:rsidR="00196D81">
              <w:rPr>
                <w:noProof/>
                <w:webHidden/>
              </w:rPr>
              <w:tab/>
            </w:r>
            <w:r w:rsidR="00196D81">
              <w:rPr>
                <w:noProof/>
                <w:webHidden/>
              </w:rPr>
              <w:fldChar w:fldCharType="begin"/>
            </w:r>
            <w:r w:rsidR="00196D81">
              <w:rPr>
                <w:noProof/>
                <w:webHidden/>
              </w:rPr>
              <w:instrText xml:space="preserve"> PAGEREF _Toc436114854 \h </w:instrText>
            </w:r>
            <w:r w:rsidR="00196D81">
              <w:rPr>
                <w:noProof/>
                <w:webHidden/>
              </w:rPr>
            </w:r>
            <w:r w:rsidR="00196D81">
              <w:rPr>
                <w:noProof/>
                <w:webHidden/>
              </w:rPr>
              <w:fldChar w:fldCharType="separate"/>
            </w:r>
            <w:r w:rsidR="00CC77EF">
              <w:rPr>
                <w:noProof/>
                <w:webHidden/>
              </w:rPr>
              <w:t>34</w:t>
            </w:r>
            <w:r w:rsidR="00196D81">
              <w:rPr>
                <w:noProof/>
                <w:webHidden/>
              </w:rPr>
              <w:fldChar w:fldCharType="end"/>
            </w:r>
          </w:hyperlink>
        </w:p>
        <w:p w:rsidR="00196D81" w:rsidRDefault="00F6630F" w:rsidP="00196D81">
          <w:pPr>
            <w:pStyle w:val="TOC1"/>
            <w:suppressLineNumbers/>
            <w:spacing w:after="0" w:line="360" w:lineRule="auto"/>
            <w:rPr>
              <w:rFonts w:asciiTheme="minorHAnsi" w:eastAsiaTheme="minorEastAsia" w:hAnsiTheme="minorHAnsi" w:cstheme="minorBidi"/>
              <w:noProof/>
              <w:sz w:val="22"/>
              <w:szCs w:val="22"/>
            </w:rPr>
          </w:pPr>
          <w:hyperlink w:anchor="_Toc436114855" w:history="1">
            <w:r w:rsidR="00196D81" w:rsidRPr="0048512B">
              <w:rPr>
                <w:rStyle w:val="Hyperlink"/>
                <w:noProof/>
              </w:rPr>
              <w:t>REVENUE REQUIREMENT WORKPAPERS</w:t>
            </w:r>
            <w:r w:rsidR="00196D81">
              <w:rPr>
                <w:noProof/>
                <w:webHidden/>
              </w:rPr>
              <w:tab/>
            </w:r>
            <w:r w:rsidR="00196D81">
              <w:rPr>
                <w:noProof/>
                <w:webHidden/>
              </w:rPr>
              <w:fldChar w:fldCharType="begin"/>
            </w:r>
            <w:r w:rsidR="00196D81">
              <w:rPr>
                <w:noProof/>
                <w:webHidden/>
              </w:rPr>
              <w:instrText xml:space="preserve"> PAGEREF _Toc436114855 \h </w:instrText>
            </w:r>
            <w:r w:rsidR="00196D81">
              <w:rPr>
                <w:noProof/>
                <w:webHidden/>
              </w:rPr>
            </w:r>
            <w:r w:rsidR="00196D81">
              <w:rPr>
                <w:noProof/>
                <w:webHidden/>
              </w:rPr>
              <w:fldChar w:fldCharType="separate"/>
            </w:r>
            <w:r w:rsidR="00CC77EF">
              <w:rPr>
                <w:noProof/>
                <w:webHidden/>
              </w:rPr>
              <w:t>35</w:t>
            </w:r>
            <w:r w:rsidR="00196D81">
              <w:rPr>
                <w:noProof/>
                <w:webHidden/>
              </w:rPr>
              <w:fldChar w:fldCharType="end"/>
            </w:r>
          </w:hyperlink>
        </w:p>
        <w:p w:rsidR="005B0DAA" w:rsidRPr="0029333D" w:rsidRDefault="005B0DAA" w:rsidP="00645924">
          <w:pPr>
            <w:suppressLineNumbers/>
            <w:spacing w:line="360" w:lineRule="auto"/>
          </w:pPr>
          <w:r w:rsidRPr="0029333D">
            <w:rPr>
              <w:b/>
              <w:bCs/>
              <w:noProof/>
            </w:rPr>
            <w:fldChar w:fldCharType="end"/>
          </w:r>
        </w:p>
      </w:sdtContent>
    </w:sdt>
    <w:p w:rsidR="005B0DAA" w:rsidRPr="0029333D" w:rsidRDefault="0029333D" w:rsidP="00645924">
      <w:pPr>
        <w:pStyle w:val="Question"/>
        <w:suppressLineNumbers/>
        <w:jc w:val="center"/>
        <w:rPr>
          <w:szCs w:val="24"/>
        </w:rPr>
      </w:pPr>
      <w:r w:rsidRPr="0029333D">
        <w:rPr>
          <w:szCs w:val="24"/>
        </w:rPr>
        <w:t>ATTACHED EXHIBITS</w:t>
      </w:r>
    </w:p>
    <w:p w:rsidR="005B0DAA" w:rsidRDefault="00196D81" w:rsidP="00645924">
      <w:pPr>
        <w:pStyle w:val="Question"/>
        <w:suppressLineNumbers/>
        <w:jc w:val="left"/>
        <w:rPr>
          <w:b w:val="0"/>
          <w:szCs w:val="24"/>
        </w:rPr>
      </w:pPr>
      <w:r>
        <w:rPr>
          <w:b w:val="0"/>
          <w:szCs w:val="24"/>
        </w:rPr>
        <w:t>Exhibit No. SEM-2—</w:t>
      </w:r>
      <w:r w:rsidR="00677D79">
        <w:rPr>
          <w:b w:val="0"/>
          <w:szCs w:val="24"/>
        </w:rPr>
        <w:t>Summary of the Washington Results of Operations for the Test Period</w:t>
      </w:r>
    </w:p>
    <w:p w:rsidR="00677D79" w:rsidRDefault="00677D79" w:rsidP="00645924">
      <w:pPr>
        <w:pStyle w:val="Question"/>
        <w:suppressLineNumbers/>
        <w:jc w:val="left"/>
        <w:rPr>
          <w:b w:val="0"/>
          <w:szCs w:val="24"/>
        </w:rPr>
      </w:pPr>
      <w:r>
        <w:rPr>
          <w:b w:val="0"/>
          <w:szCs w:val="24"/>
        </w:rPr>
        <w:t>Exhibit No. SEM-3—</w:t>
      </w:r>
      <w:r w:rsidR="00D5316D">
        <w:rPr>
          <w:b w:val="0"/>
          <w:szCs w:val="24"/>
        </w:rPr>
        <w:t>Results of Operations for Twelve Months ended June 30, 2015</w:t>
      </w:r>
    </w:p>
    <w:p w:rsidR="00D5316D" w:rsidRDefault="00D5316D" w:rsidP="00645924">
      <w:pPr>
        <w:pStyle w:val="Question"/>
        <w:suppressLineNumbers/>
        <w:jc w:val="left"/>
        <w:rPr>
          <w:b w:val="0"/>
          <w:szCs w:val="24"/>
        </w:rPr>
      </w:pPr>
      <w:r>
        <w:rPr>
          <w:b w:val="0"/>
          <w:szCs w:val="24"/>
        </w:rPr>
        <w:t>Exhibit No. SEM-4—</w:t>
      </w:r>
      <w:r w:rsidR="00A35A80">
        <w:rPr>
          <w:b w:val="0"/>
          <w:szCs w:val="24"/>
        </w:rPr>
        <w:t>Year-Two Incremental Revenue Requirement Adjustment Summary</w:t>
      </w:r>
    </w:p>
    <w:p w:rsidR="00D5316D" w:rsidRPr="00196D81" w:rsidRDefault="00D5316D" w:rsidP="00645924">
      <w:pPr>
        <w:pStyle w:val="Question"/>
        <w:suppressLineNumbers/>
        <w:jc w:val="left"/>
        <w:rPr>
          <w:b w:val="0"/>
          <w:szCs w:val="24"/>
        </w:rPr>
      </w:pPr>
      <w:r>
        <w:rPr>
          <w:b w:val="0"/>
          <w:szCs w:val="24"/>
        </w:rPr>
        <w:t>Confidential Exhibit No. SEM-5C—</w:t>
      </w:r>
      <w:r w:rsidR="00D26EBE">
        <w:rPr>
          <w:b w:val="0"/>
          <w:szCs w:val="24"/>
        </w:rPr>
        <w:t>Jim Bridger Unit 3 and 4 Overhaul and SCR Installation</w:t>
      </w:r>
    </w:p>
    <w:p w:rsidR="005B0DAA" w:rsidRPr="0029333D" w:rsidRDefault="005B0DAA" w:rsidP="00645924">
      <w:pPr>
        <w:pStyle w:val="Question"/>
        <w:suppressLineNumbers/>
        <w:jc w:val="left"/>
        <w:rPr>
          <w:szCs w:val="24"/>
        </w:rPr>
      </w:pPr>
    </w:p>
    <w:p w:rsidR="005B0DAA" w:rsidRPr="0029333D" w:rsidRDefault="005B0DAA" w:rsidP="00645924">
      <w:pPr>
        <w:pStyle w:val="Question"/>
        <w:suppressLineNumbers/>
        <w:jc w:val="left"/>
        <w:rPr>
          <w:szCs w:val="24"/>
        </w:rPr>
      </w:pPr>
    </w:p>
    <w:p w:rsidR="005B0DAA" w:rsidRPr="0029333D" w:rsidRDefault="005B0DAA" w:rsidP="00645924">
      <w:pPr>
        <w:pStyle w:val="Question"/>
        <w:suppressLineNumbers/>
        <w:jc w:val="left"/>
        <w:rPr>
          <w:szCs w:val="24"/>
        </w:rPr>
      </w:pPr>
    </w:p>
    <w:p w:rsidR="0029333D" w:rsidRPr="0029333D" w:rsidRDefault="0029333D" w:rsidP="00645924">
      <w:pPr>
        <w:suppressLineNumbers/>
        <w:jc w:val="left"/>
        <w:rPr>
          <w:b/>
          <w:bCs/>
        </w:rPr>
      </w:pPr>
      <w:r w:rsidRPr="0029333D">
        <w:br w:type="page"/>
      </w:r>
    </w:p>
    <w:p w:rsidR="000B348A" w:rsidRPr="0029333D" w:rsidRDefault="000B348A" w:rsidP="00193039">
      <w:pPr>
        <w:pStyle w:val="Question"/>
        <w:jc w:val="left"/>
        <w:rPr>
          <w:szCs w:val="24"/>
        </w:rPr>
      </w:pPr>
      <w:r w:rsidRPr="0029333D">
        <w:rPr>
          <w:szCs w:val="24"/>
        </w:rPr>
        <w:lastRenderedPageBreak/>
        <w:t>Q.</w:t>
      </w:r>
      <w:r w:rsidRPr="0029333D">
        <w:rPr>
          <w:szCs w:val="24"/>
        </w:rPr>
        <w:tab/>
        <w:t xml:space="preserve">Please state your </w:t>
      </w:r>
      <w:r w:rsidRPr="0029333D">
        <w:rPr>
          <w:rStyle w:val="LineNumber"/>
          <w:szCs w:val="24"/>
        </w:rPr>
        <w:t xml:space="preserve">name, </w:t>
      </w:r>
      <w:r w:rsidRPr="0029333D">
        <w:rPr>
          <w:szCs w:val="24"/>
        </w:rPr>
        <w:t>business address</w:t>
      </w:r>
      <w:r w:rsidR="002304CA" w:rsidRPr="0029333D">
        <w:rPr>
          <w:szCs w:val="24"/>
        </w:rPr>
        <w:t>,</w:t>
      </w:r>
      <w:r w:rsidRPr="0029333D">
        <w:rPr>
          <w:szCs w:val="24"/>
        </w:rPr>
        <w:t xml:space="preserve"> and present position with</w:t>
      </w:r>
      <w:r w:rsidR="007A15D3" w:rsidRPr="0029333D">
        <w:rPr>
          <w:szCs w:val="24"/>
        </w:rPr>
        <w:t xml:space="preserve"> PacifiCorp</w:t>
      </w:r>
      <w:r w:rsidR="002304CA" w:rsidRPr="0029333D">
        <w:rPr>
          <w:szCs w:val="24"/>
        </w:rPr>
        <w:t>.</w:t>
      </w:r>
    </w:p>
    <w:p w:rsidR="000B348A" w:rsidRPr="0029333D" w:rsidRDefault="000B348A" w:rsidP="00274E8D">
      <w:pPr>
        <w:pStyle w:val="Answer"/>
        <w:jc w:val="left"/>
        <w:rPr>
          <w:szCs w:val="24"/>
        </w:rPr>
      </w:pPr>
      <w:r w:rsidRPr="0029333D">
        <w:rPr>
          <w:szCs w:val="24"/>
        </w:rPr>
        <w:t>A.</w:t>
      </w:r>
      <w:r w:rsidRPr="0029333D">
        <w:rPr>
          <w:szCs w:val="24"/>
        </w:rPr>
        <w:tab/>
        <w:t xml:space="preserve">My name is </w:t>
      </w:r>
      <w:r w:rsidR="00682330" w:rsidRPr="0029333D">
        <w:rPr>
          <w:szCs w:val="24"/>
        </w:rPr>
        <w:t>Shelley E</w:t>
      </w:r>
      <w:r w:rsidR="00834947" w:rsidRPr="0029333D">
        <w:rPr>
          <w:szCs w:val="24"/>
        </w:rPr>
        <w:t xml:space="preserve">. </w:t>
      </w:r>
      <w:r w:rsidR="00682330" w:rsidRPr="0029333D">
        <w:rPr>
          <w:szCs w:val="24"/>
        </w:rPr>
        <w:t>McCoy</w:t>
      </w:r>
      <w:r w:rsidR="007A15D3" w:rsidRPr="0029333D">
        <w:rPr>
          <w:szCs w:val="24"/>
        </w:rPr>
        <w:t xml:space="preserve">. </w:t>
      </w:r>
      <w:r w:rsidR="00193B3D" w:rsidRPr="0029333D">
        <w:rPr>
          <w:szCs w:val="24"/>
        </w:rPr>
        <w:t xml:space="preserve"> </w:t>
      </w:r>
      <w:r w:rsidR="007A15D3" w:rsidRPr="0029333D">
        <w:rPr>
          <w:szCs w:val="24"/>
        </w:rPr>
        <w:t>M</w:t>
      </w:r>
      <w:r w:rsidRPr="0029333D">
        <w:rPr>
          <w:szCs w:val="24"/>
        </w:rPr>
        <w:t>y business address is</w:t>
      </w:r>
      <w:r w:rsidR="00834947" w:rsidRPr="0029333D">
        <w:rPr>
          <w:szCs w:val="24"/>
        </w:rPr>
        <w:t xml:space="preserve"> 825 NE Multnomah Street, </w:t>
      </w:r>
      <w:r w:rsidR="00C97304" w:rsidRPr="0029333D">
        <w:rPr>
          <w:szCs w:val="24"/>
        </w:rPr>
        <w:t>Suite 20</w:t>
      </w:r>
      <w:r w:rsidR="007A15D3" w:rsidRPr="0029333D">
        <w:rPr>
          <w:szCs w:val="24"/>
        </w:rPr>
        <w:t xml:space="preserve">00, </w:t>
      </w:r>
      <w:r w:rsidR="00834947" w:rsidRPr="0029333D">
        <w:rPr>
          <w:szCs w:val="24"/>
        </w:rPr>
        <w:t>Portland, O</w:t>
      </w:r>
      <w:r w:rsidR="007A15D3" w:rsidRPr="0029333D">
        <w:rPr>
          <w:szCs w:val="24"/>
        </w:rPr>
        <w:t>regon</w:t>
      </w:r>
      <w:r w:rsidR="00834947" w:rsidRPr="0029333D">
        <w:rPr>
          <w:szCs w:val="24"/>
        </w:rPr>
        <w:t xml:space="preserve"> 97232</w:t>
      </w:r>
      <w:r w:rsidR="00E728FE" w:rsidRPr="0029333D">
        <w:rPr>
          <w:szCs w:val="24"/>
        </w:rPr>
        <w:t xml:space="preserve">.  </w:t>
      </w:r>
      <w:r w:rsidRPr="0029333D">
        <w:rPr>
          <w:szCs w:val="24"/>
        </w:rPr>
        <w:t xml:space="preserve">I am currently employed as </w:t>
      </w:r>
      <w:r w:rsidR="00EF3B3E" w:rsidRPr="0029333D">
        <w:rPr>
          <w:szCs w:val="24"/>
        </w:rPr>
        <w:t xml:space="preserve">the </w:t>
      </w:r>
      <w:r w:rsidR="00682330" w:rsidRPr="0029333D">
        <w:rPr>
          <w:szCs w:val="24"/>
        </w:rPr>
        <w:t>Manager of</w:t>
      </w:r>
      <w:r w:rsidR="007A15D3" w:rsidRPr="0029333D">
        <w:rPr>
          <w:szCs w:val="24"/>
        </w:rPr>
        <w:t xml:space="preserve"> </w:t>
      </w:r>
      <w:r w:rsidR="00FF205A" w:rsidRPr="0029333D">
        <w:rPr>
          <w:szCs w:val="24"/>
        </w:rPr>
        <w:t>R</w:t>
      </w:r>
      <w:r w:rsidRPr="0029333D">
        <w:rPr>
          <w:szCs w:val="24"/>
        </w:rPr>
        <w:t xml:space="preserve">evenue </w:t>
      </w:r>
      <w:r w:rsidR="00FF205A" w:rsidRPr="0029333D">
        <w:rPr>
          <w:szCs w:val="24"/>
        </w:rPr>
        <w:t>R</w:t>
      </w:r>
      <w:r w:rsidRPr="0029333D">
        <w:rPr>
          <w:szCs w:val="24"/>
        </w:rPr>
        <w:t>equirement.</w:t>
      </w:r>
      <w:r w:rsidR="0029333D" w:rsidRPr="0029333D">
        <w:rPr>
          <w:szCs w:val="24"/>
        </w:rPr>
        <w:t xml:space="preserve">  I am testifying for Pacific Power &amp; Light Company (Pacific Power or Company), a division of PacifiCorp.</w:t>
      </w:r>
    </w:p>
    <w:p w:rsidR="000B348A" w:rsidRPr="00D827B8" w:rsidRDefault="000B348A" w:rsidP="00D827B8">
      <w:pPr>
        <w:pStyle w:val="Heading1"/>
      </w:pPr>
      <w:bookmarkStart w:id="1" w:name="_Toc436114839"/>
      <w:r w:rsidRPr="00D827B8">
        <w:t>Qualifications</w:t>
      </w:r>
      <w:bookmarkEnd w:id="1"/>
    </w:p>
    <w:p w:rsidR="000B348A" w:rsidRPr="0029333D" w:rsidRDefault="000B348A" w:rsidP="00274E8D">
      <w:pPr>
        <w:pStyle w:val="Question"/>
        <w:jc w:val="left"/>
        <w:rPr>
          <w:szCs w:val="24"/>
        </w:rPr>
      </w:pPr>
      <w:r w:rsidRPr="0029333D">
        <w:rPr>
          <w:szCs w:val="24"/>
        </w:rPr>
        <w:t>Q.</w:t>
      </w:r>
      <w:r w:rsidRPr="0029333D">
        <w:rPr>
          <w:szCs w:val="24"/>
        </w:rPr>
        <w:tab/>
        <w:t>B</w:t>
      </w:r>
      <w:r w:rsidR="00B07AE8" w:rsidRPr="0029333D">
        <w:rPr>
          <w:szCs w:val="24"/>
        </w:rPr>
        <w:t>riefly describe your education</w:t>
      </w:r>
      <w:r w:rsidRPr="0029333D">
        <w:rPr>
          <w:szCs w:val="24"/>
        </w:rPr>
        <w:t xml:space="preserve"> and professional </w:t>
      </w:r>
      <w:r w:rsidR="009E0A8E" w:rsidRPr="0029333D">
        <w:rPr>
          <w:szCs w:val="24"/>
        </w:rPr>
        <w:t>experience</w:t>
      </w:r>
      <w:r w:rsidRPr="0029333D">
        <w:rPr>
          <w:szCs w:val="24"/>
        </w:rPr>
        <w:t>.</w:t>
      </w:r>
    </w:p>
    <w:p w:rsidR="000B348A" w:rsidRPr="0029333D" w:rsidRDefault="000B348A" w:rsidP="00525ECE">
      <w:pPr>
        <w:pStyle w:val="Answer"/>
        <w:jc w:val="left"/>
        <w:rPr>
          <w:szCs w:val="24"/>
        </w:rPr>
      </w:pPr>
      <w:r w:rsidRPr="0029333D">
        <w:rPr>
          <w:szCs w:val="24"/>
        </w:rPr>
        <w:t>A.</w:t>
      </w:r>
      <w:r w:rsidRPr="0029333D">
        <w:rPr>
          <w:szCs w:val="24"/>
        </w:rPr>
        <w:tab/>
      </w:r>
      <w:r w:rsidR="00834947" w:rsidRPr="0029333D">
        <w:rPr>
          <w:szCs w:val="24"/>
        </w:rPr>
        <w:t xml:space="preserve">I earned my Bachelor of Science degree in </w:t>
      </w:r>
      <w:r w:rsidR="0029333D">
        <w:rPr>
          <w:szCs w:val="24"/>
        </w:rPr>
        <w:t>A</w:t>
      </w:r>
      <w:r w:rsidR="00032577" w:rsidRPr="0029333D">
        <w:rPr>
          <w:szCs w:val="24"/>
        </w:rPr>
        <w:t xml:space="preserve">ccounting from Portland State University in 1990. </w:t>
      </w:r>
      <w:r w:rsidR="00193B3D" w:rsidRPr="0029333D">
        <w:rPr>
          <w:szCs w:val="24"/>
        </w:rPr>
        <w:t xml:space="preserve"> </w:t>
      </w:r>
      <w:r w:rsidR="007247FC" w:rsidRPr="0029333D">
        <w:rPr>
          <w:szCs w:val="24"/>
        </w:rPr>
        <w:t xml:space="preserve">In addition to my formal education, </w:t>
      </w:r>
      <w:r w:rsidR="001A776D" w:rsidRPr="0029333D">
        <w:rPr>
          <w:szCs w:val="24"/>
        </w:rPr>
        <w:t>I have attended several utility accounting, ratemaking</w:t>
      </w:r>
      <w:r w:rsidR="00193B3D" w:rsidRPr="0029333D">
        <w:rPr>
          <w:szCs w:val="24"/>
        </w:rPr>
        <w:t>,</w:t>
      </w:r>
      <w:r w:rsidR="001A776D" w:rsidRPr="0029333D">
        <w:rPr>
          <w:szCs w:val="24"/>
        </w:rPr>
        <w:t xml:space="preserve"> and leadership seminars and courses.</w:t>
      </w:r>
      <w:r w:rsidR="00525ECE" w:rsidRPr="0029333D">
        <w:rPr>
          <w:szCs w:val="24"/>
        </w:rPr>
        <w:t xml:space="preserve">  </w:t>
      </w:r>
      <w:r w:rsidR="007247FC" w:rsidRPr="0029333D">
        <w:rPr>
          <w:szCs w:val="24"/>
        </w:rPr>
        <w:t xml:space="preserve">I have been employed by the Company since </w:t>
      </w:r>
      <w:r w:rsidR="001B3BDF" w:rsidRPr="0029333D">
        <w:rPr>
          <w:szCs w:val="24"/>
        </w:rPr>
        <w:t>November of 1996</w:t>
      </w:r>
      <w:r w:rsidR="007247FC" w:rsidRPr="0029333D">
        <w:rPr>
          <w:szCs w:val="24"/>
        </w:rPr>
        <w:t xml:space="preserve">.  </w:t>
      </w:r>
      <w:r w:rsidR="009510C9" w:rsidRPr="0029333D">
        <w:rPr>
          <w:szCs w:val="24"/>
        </w:rPr>
        <w:t xml:space="preserve">My </w:t>
      </w:r>
      <w:r w:rsidR="001B3BDF" w:rsidRPr="0029333D">
        <w:rPr>
          <w:szCs w:val="24"/>
        </w:rPr>
        <w:t xml:space="preserve">past </w:t>
      </w:r>
      <w:r w:rsidR="005E3D2B" w:rsidRPr="0029333D">
        <w:rPr>
          <w:szCs w:val="24"/>
        </w:rPr>
        <w:t xml:space="preserve">responsibilities </w:t>
      </w:r>
      <w:r w:rsidR="001B3BDF" w:rsidRPr="0029333D">
        <w:rPr>
          <w:szCs w:val="24"/>
        </w:rPr>
        <w:t xml:space="preserve">have </w:t>
      </w:r>
      <w:r w:rsidR="005E3D2B" w:rsidRPr="0029333D">
        <w:rPr>
          <w:szCs w:val="24"/>
        </w:rPr>
        <w:t xml:space="preserve">included </w:t>
      </w:r>
      <w:r w:rsidR="001B3BDF" w:rsidRPr="0029333D">
        <w:rPr>
          <w:szCs w:val="24"/>
        </w:rPr>
        <w:t>general and regulatory accounting, budgeting, forecasting</w:t>
      </w:r>
      <w:r w:rsidR="00193B3D" w:rsidRPr="0029333D">
        <w:rPr>
          <w:szCs w:val="24"/>
        </w:rPr>
        <w:t>,</w:t>
      </w:r>
      <w:r w:rsidR="001B3BDF" w:rsidRPr="0029333D">
        <w:rPr>
          <w:szCs w:val="24"/>
        </w:rPr>
        <w:t xml:space="preserve"> and reporting.</w:t>
      </w:r>
      <w:r w:rsidR="001731B7" w:rsidRPr="0029333D">
        <w:rPr>
          <w:szCs w:val="24"/>
        </w:rPr>
        <w:t xml:space="preserve"> </w:t>
      </w:r>
    </w:p>
    <w:p w:rsidR="008E2A78" w:rsidRPr="0029333D" w:rsidRDefault="000B348A" w:rsidP="00C3041A">
      <w:pPr>
        <w:pStyle w:val="Question"/>
        <w:jc w:val="left"/>
        <w:rPr>
          <w:szCs w:val="24"/>
        </w:rPr>
      </w:pPr>
      <w:r w:rsidRPr="0029333D">
        <w:rPr>
          <w:szCs w:val="24"/>
        </w:rPr>
        <w:t>Q.</w:t>
      </w:r>
      <w:r w:rsidRPr="0029333D">
        <w:rPr>
          <w:szCs w:val="24"/>
        </w:rPr>
        <w:tab/>
        <w:t xml:space="preserve">What are your </w:t>
      </w:r>
      <w:r w:rsidR="009510C9" w:rsidRPr="0029333D">
        <w:rPr>
          <w:szCs w:val="24"/>
        </w:rPr>
        <w:t>present duties?</w:t>
      </w:r>
    </w:p>
    <w:p w:rsidR="00A75377" w:rsidRPr="0029333D" w:rsidRDefault="000B348A" w:rsidP="00C3041A">
      <w:pPr>
        <w:pStyle w:val="Question"/>
        <w:jc w:val="left"/>
        <w:rPr>
          <w:szCs w:val="24"/>
        </w:rPr>
      </w:pPr>
      <w:r w:rsidRPr="0029333D">
        <w:rPr>
          <w:b w:val="0"/>
          <w:szCs w:val="24"/>
        </w:rPr>
        <w:t>A.</w:t>
      </w:r>
      <w:r w:rsidRPr="0029333D">
        <w:rPr>
          <w:szCs w:val="24"/>
        </w:rPr>
        <w:tab/>
      </w:r>
      <w:r w:rsidR="000812A9" w:rsidRPr="0029333D">
        <w:rPr>
          <w:b w:val="0"/>
          <w:szCs w:val="24"/>
        </w:rPr>
        <w:t xml:space="preserve">My primary responsibilities include </w:t>
      </w:r>
      <w:r w:rsidR="00673C12" w:rsidRPr="0029333D">
        <w:rPr>
          <w:b w:val="0"/>
          <w:szCs w:val="24"/>
        </w:rPr>
        <w:t>overseeing the</w:t>
      </w:r>
      <w:r w:rsidR="00682330" w:rsidRPr="0029333D">
        <w:rPr>
          <w:b w:val="0"/>
          <w:szCs w:val="24"/>
        </w:rPr>
        <w:t xml:space="preserve"> calculation of the Company’s revenue requirement and the preparation of various regulatory filings</w:t>
      </w:r>
      <w:r w:rsidR="000812A9" w:rsidRPr="0029333D">
        <w:rPr>
          <w:b w:val="0"/>
          <w:szCs w:val="24"/>
        </w:rPr>
        <w:t xml:space="preserve"> in </w:t>
      </w:r>
      <w:r w:rsidR="00193B3D" w:rsidRPr="0029333D">
        <w:rPr>
          <w:b w:val="0"/>
          <w:szCs w:val="24"/>
        </w:rPr>
        <w:t>Washington</w:t>
      </w:r>
      <w:r w:rsidR="000812A9" w:rsidRPr="0029333D">
        <w:rPr>
          <w:b w:val="0"/>
          <w:szCs w:val="24"/>
        </w:rPr>
        <w:t>, Oregon</w:t>
      </w:r>
      <w:r w:rsidR="00193B3D" w:rsidRPr="0029333D">
        <w:rPr>
          <w:b w:val="0"/>
          <w:szCs w:val="24"/>
        </w:rPr>
        <w:t>,</w:t>
      </w:r>
      <w:r w:rsidR="000812A9" w:rsidRPr="0029333D">
        <w:rPr>
          <w:b w:val="0"/>
          <w:szCs w:val="24"/>
        </w:rPr>
        <w:t xml:space="preserve"> and </w:t>
      </w:r>
      <w:r w:rsidR="00193B3D" w:rsidRPr="0029333D">
        <w:rPr>
          <w:b w:val="0"/>
          <w:szCs w:val="24"/>
        </w:rPr>
        <w:t>California</w:t>
      </w:r>
      <w:r w:rsidR="000812A9" w:rsidRPr="0029333D">
        <w:rPr>
          <w:b w:val="0"/>
          <w:szCs w:val="24"/>
        </w:rPr>
        <w:t>.  I am also responsible for the calculation and reporting of the Company’s regulated earnings</w:t>
      </w:r>
      <w:r w:rsidR="00193B3D" w:rsidRPr="0029333D">
        <w:rPr>
          <w:b w:val="0"/>
          <w:szCs w:val="24"/>
        </w:rPr>
        <w:t xml:space="preserve"> and the</w:t>
      </w:r>
      <w:r w:rsidR="000812A9" w:rsidRPr="0029333D">
        <w:rPr>
          <w:b w:val="0"/>
          <w:szCs w:val="24"/>
        </w:rPr>
        <w:t xml:space="preserve"> application of the inter-jurisdictional cost allocation methodologies.</w:t>
      </w:r>
    </w:p>
    <w:p w:rsidR="0092246C" w:rsidRPr="0029333D" w:rsidRDefault="0092246C" w:rsidP="005B0DAA">
      <w:pPr>
        <w:pStyle w:val="Heading1"/>
        <w:rPr>
          <w:rFonts w:cs="Times New Roman"/>
          <w:szCs w:val="24"/>
        </w:rPr>
      </w:pPr>
      <w:bookmarkStart w:id="2" w:name="_Toc436114840"/>
      <w:r w:rsidRPr="0029333D">
        <w:rPr>
          <w:rFonts w:cs="Times New Roman"/>
          <w:szCs w:val="24"/>
        </w:rPr>
        <w:t>Purpose of Testimony</w:t>
      </w:r>
      <w:bookmarkEnd w:id="2"/>
    </w:p>
    <w:p w:rsidR="00C212B3" w:rsidRPr="0029333D" w:rsidRDefault="00C212B3" w:rsidP="003F7952">
      <w:pPr>
        <w:pStyle w:val="Question"/>
        <w:widowControl w:val="0"/>
        <w:jc w:val="left"/>
        <w:rPr>
          <w:szCs w:val="24"/>
        </w:rPr>
      </w:pPr>
      <w:r w:rsidRPr="0029333D">
        <w:rPr>
          <w:szCs w:val="24"/>
        </w:rPr>
        <w:t>Q.</w:t>
      </w:r>
      <w:r w:rsidRPr="0029333D">
        <w:rPr>
          <w:szCs w:val="24"/>
        </w:rPr>
        <w:tab/>
        <w:t>What is the purpose of your testimony</w:t>
      </w:r>
      <w:r w:rsidR="00D92FAF" w:rsidRPr="0029333D">
        <w:rPr>
          <w:szCs w:val="24"/>
        </w:rPr>
        <w:t xml:space="preserve"> in this proceeding</w:t>
      </w:r>
      <w:r w:rsidRPr="0029333D">
        <w:rPr>
          <w:szCs w:val="24"/>
        </w:rPr>
        <w:t>?</w:t>
      </w:r>
    </w:p>
    <w:p w:rsidR="002B1E51" w:rsidRPr="0029333D" w:rsidRDefault="00712D5E" w:rsidP="003F7952">
      <w:pPr>
        <w:pStyle w:val="Answer"/>
        <w:widowControl w:val="0"/>
        <w:jc w:val="left"/>
        <w:rPr>
          <w:szCs w:val="24"/>
        </w:rPr>
      </w:pPr>
      <w:r w:rsidRPr="0029333D">
        <w:rPr>
          <w:szCs w:val="24"/>
        </w:rPr>
        <w:t>A.</w:t>
      </w:r>
      <w:r w:rsidRPr="0029333D">
        <w:rPr>
          <w:szCs w:val="24"/>
        </w:rPr>
        <w:tab/>
      </w:r>
      <w:r w:rsidR="0089636E" w:rsidRPr="0029333D">
        <w:rPr>
          <w:szCs w:val="24"/>
        </w:rPr>
        <w:t xml:space="preserve">My direct testimony addresses the calculation of the Company’s Washington-allocated revenue requirement and the revenue increase requested in the Company’s </w:t>
      </w:r>
      <w:r w:rsidR="00D67688" w:rsidRPr="0029333D">
        <w:rPr>
          <w:szCs w:val="24"/>
        </w:rPr>
        <w:t>expedited rate filing</w:t>
      </w:r>
      <w:r w:rsidR="0092246C" w:rsidRPr="0029333D">
        <w:rPr>
          <w:szCs w:val="24"/>
        </w:rPr>
        <w:t xml:space="preserve"> (ERF)</w:t>
      </w:r>
      <w:r w:rsidR="0029333D">
        <w:rPr>
          <w:szCs w:val="24"/>
        </w:rPr>
        <w:t xml:space="preserve"> and two-year </w:t>
      </w:r>
      <w:r w:rsidR="00AE30A2" w:rsidRPr="0029333D">
        <w:rPr>
          <w:szCs w:val="24"/>
        </w:rPr>
        <w:t>rate plan</w:t>
      </w:r>
      <w:r w:rsidR="00E728FE" w:rsidRPr="0029333D">
        <w:rPr>
          <w:szCs w:val="24"/>
        </w:rPr>
        <w:t xml:space="preserve">.  </w:t>
      </w:r>
      <w:r w:rsidR="0029333D">
        <w:rPr>
          <w:szCs w:val="24"/>
        </w:rPr>
        <w:t xml:space="preserve">I also discuss the accounting and </w:t>
      </w:r>
      <w:r w:rsidR="0029333D">
        <w:rPr>
          <w:szCs w:val="24"/>
        </w:rPr>
        <w:lastRenderedPageBreak/>
        <w:t xml:space="preserve">earnings test associated with the proposed decoupling mechanism.  </w:t>
      </w:r>
      <w:r w:rsidR="0089636E" w:rsidRPr="0029333D">
        <w:rPr>
          <w:szCs w:val="24"/>
        </w:rPr>
        <w:t xml:space="preserve">Specifically, </w:t>
      </w:r>
      <w:r w:rsidR="00C3514E" w:rsidRPr="0029333D">
        <w:rPr>
          <w:szCs w:val="24"/>
        </w:rPr>
        <w:t>my testimony provides the</w:t>
      </w:r>
      <w:r w:rsidR="0089636E" w:rsidRPr="0029333D">
        <w:rPr>
          <w:szCs w:val="24"/>
        </w:rPr>
        <w:t xml:space="preserve"> following:</w:t>
      </w:r>
    </w:p>
    <w:p w:rsidR="00A2676E" w:rsidRDefault="00D67688" w:rsidP="00D827B8">
      <w:pPr>
        <w:pStyle w:val="Answer"/>
        <w:widowControl w:val="0"/>
        <w:numPr>
          <w:ilvl w:val="0"/>
          <w:numId w:val="3"/>
        </w:numPr>
        <w:spacing w:line="240" w:lineRule="auto"/>
        <w:jc w:val="left"/>
        <w:rPr>
          <w:szCs w:val="24"/>
        </w:rPr>
      </w:pPr>
      <w:r w:rsidRPr="0029333D">
        <w:rPr>
          <w:szCs w:val="24"/>
        </w:rPr>
        <w:t>An</w:t>
      </w:r>
      <w:r w:rsidR="00937D13" w:rsidRPr="0029333D">
        <w:rPr>
          <w:szCs w:val="24"/>
        </w:rPr>
        <w:t xml:space="preserve"> overview of the ERF</w:t>
      </w:r>
      <w:r w:rsidR="002F5C49" w:rsidRPr="0029333D">
        <w:rPr>
          <w:szCs w:val="24"/>
        </w:rPr>
        <w:t xml:space="preserve">, including an explanation of </w:t>
      </w:r>
      <w:r w:rsidR="009403E4" w:rsidRPr="0029333D">
        <w:rPr>
          <w:szCs w:val="24"/>
        </w:rPr>
        <w:t xml:space="preserve">the </w:t>
      </w:r>
      <w:r w:rsidR="002F5C49" w:rsidRPr="0029333D">
        <w:rPr>
          <w:szCs w:val="24"/>
        </w:rPr>
        <w:t>costs included in this filing</w:t>
      </w:r>
      <w:r w:rsidR="009403E4" w:rsidRPr="0029333D">
        <w:rPr>
          <w:szCs w:val="24"/>
        </w:rPr>
        <w:t>, a</w:t>
      </w:r>
      <w:r w:rsidR="00A2676E" w:rsidRPr="0029333D">
        <w:rPr>
          <w:szCs w:val="24"/>
        </w:rPr>
        <w:t xml:space="preserve"> description of the test period used</w:t>
      </w:r>
      <w:r w:rsidR="009403E4" w:rsidRPr="0029333D">
        <w:rPr>
          <w:szCs w:val="24"/>
        </w:rPr>
        <w:t>,</w:t>
      </w:r>
      <w:r w:rsidR="00AE30A2" w:rsidRPr="0029333D">
        <w:rPr>
          <w:szCs w:val="24"/>
        </w:rPr>
        <w:t xml:space="preserve"> </w:t>
      </w:r>
      <w:r w:rsidR="00A2676E" w:rsidRPr="0029333D">
        <w:rPr>
          <w:szCs w:val="24"/>
        </w:rPr>
        <w:t xml:space="preserve">which is the </w:t>
      </w:r>
      <w:r w:rsidR="00E728FE" w:rsidRPr="0029333D">
        <w:rPr>
          <w:szCs w:val="24"/>
        </w:rPr>
        <w:t>historical</w:t>
      </w:r>
      <w:r w:rsidR="00A2676E" w:rsidRPr="0029333D">
        <w:rPr>
          <w:szCs w:val="24"/>
        </w:rPr>
        <w:t xml:space="preserve"> </w:t>
      </w:r>
      <w:r w:rsidR="00DC224A" w:rsidRPr="0029333D">
        <w:rPr>
          <w:szCs w:val="24"/>
        </w:rPr>
        <w:t>12</w:t>
      </w:r>
      <w:r w:rsidR="00DC4893" w:rsidRPr="0029333D">
        <w:rPr>
          <w:szCs w:val="24"/>
        </w:rPr>
        <w:t xml:space="preserve"> </w:t>
      </w:r>
      <w:r w:rsidR="00A2676E" w:rsidRPr="0029333D">
        <w:rPr>
          <w:szCs w:val="24"/>
        </w:rPr>
        <w:t xml:space="preserve">months ended </w:t>
      </w:r>
      <w:r w:rsidR="00BE3E7B" w:rsidRPr="0029333D">
        <w:rPr>
          <w:szCs w:val="24"/>
        </w:rPr>
        <w:t>June 30, 2015</w:t>
      </w:r>
      <w:r w:rsidR="00A2676E" w:rsidRPr="0029333D">
        <w:rPr>
          <w:szCs w:val="24"/>
        </w:rPr>
        <w:t xml:space="preserve"> (Test Period)</w:t>
      </w:r>
      <w:r w:rsidR="00193B3D" w:rsidRPr="0029333D">
        <w:rPr>
          <w:szCs w:val="24"/>
        </w:rPr>
        <w:t>,</w:t>
      </w:r>
      <w:r w:rsidR="00A2676E" w:rsidRPr="0029333D">
        <w:rPr>
          <w:szCs w:val="24"/>
        </w:rPr>
        <w:t xml:space="preserve"> with restating and </w:t>
      </w:r>
      <w:r w:rsidR="00BE3E7B" w:rsidRPr="0029333D">
        <w:rPr>
          <w:szCs w:val="24"/>
        </w:rPr>
        <w:t xml:space="preserve">limited </w:t>
      </w:r>
      <w:r w:rsidR="00A2676E" w:rsidRPr="0029333D">
        <w:rPr>
          <w:szCs w:val="24"/>
        </w:rPr>
        <w:t>pro forma adjustments</w:t>
      </w:r>
      <w:r w:rsidR="0029333D">
        <w:rPr>
          <w:szCs w:val="24"/>
        </w:rPr>
        <w:t>,</w:t>
      </w:r>
      <w:r w:rsidR="00193B3D" w:rsidRPr="0029333D">
        <w:rPr>
          <w:szCs w:val="24"/>
        </w:rPr>
        <w:t xml:space="preserve"> and </w:t>
      </w:r>
      <w:r w:rsidR="009403E4" w:rsidRPr="0029333D">
        <w:rPr>
          <w:szCs w:val="24"/>
        </w:rPr>
        <w:t xml:space="preserve">the </w:t>
      </w:r>
      <w:r w:rsidR="00193B3D" w:rsidRPr="0029333D">
        <w:rPr>
          <w:szCs w:val="24"/>
        </w:rPr>
        <w:t>use of end-of-period (EOP) historical plant balances and reserves</w:t>
      </w:r>
      <w:r w:rsidR="00E728FE" w:rsidRPr="0029333D">
        <w:rPr>
          <w:szCs w:val="24"/>
        </w:rPr>
        <w:t xml:space="preserve">. </w:t>
      </w:r>
    </w:p>
    <w:p w:rsidR="00D827B8" w:rsidRPr="0029333D" w:rsidRDefault="00D827B8" w:rsidP="00D827B8">
      <w:pPr>
        <w:pStyle w:val="Answer"/>
        <w:widowControl w:val="0"/>
        <w:suppressLineNumbers/>
        <w:spacing w:line="240" w:lineRule="auto"/>
        <w:ind w:left="1440" w:firstLine="0"/>
        <w:jc w:val="left"/>
        <w:rPr>
          <w:szCs w:val="24"/>
        </w:rPr>
      </w:pPr>
    </w:p>
    <w:p w:rsidR="00C04B38" w:rsidRDefault="00C04B38" w:rsidP="00D827B8">
      <w:pPr>
        <w:pStyle w:val="Answer"/>
        <w:widowControl w:val="0"/>
        <w:numPr>
          <w:ilvl w:val="0"/>
          <w:numId w:val="3"/>
        </w:numPr>
        <w:spacing w:line="240" w:lineRule="auto"/>
        <w:jc w:val="left"/>
        <w:rPr>
          <w:szCs w:val="24"/>
        </w:rPr>
      </w:pPr>
      <w:r w:rsidRPr="0029333D">
        <w:rPr>
          <w:szCs w:val="24"/>
        </w:rPr>
        <w:t xml:space="preserve">A description of certain plant allocations </w:t>
      </w:r>
      <w:r w:rsidR="00193B3D" w:rsidRPr="0029333D">
        <w:rPr>
          <w:szCs w:val="24"/>
        </w:rPr>
        <w:t>for</w:t>
      </w:r>
      <w:r w:rsidRPr="0029333D">
        <w:rPr>
          <w:szCs w:val="24"/>
        </w:rPr>
        <w:t xml:space="preserve"> assets that</w:t>
      </w:r>
      <w:r w:rsidR="00DD5379" w:rsidRPr="0029333D">
        <w:rPr>
          <w:szCs w:val="24"/>
        </w:rPr>
        <w:t xml:space="preserve"> </w:t>
      </w:r>
      <w:r w:rsidRPr="0029333D">
        <w:rPr>
          <w:szCs w:val="24"/>
        </w:rPr>
        <w:t>serve Washington customers under</w:t>
      </w:r>
      <w:r w:rsidR="00E118A2" w:rsidRPr="0029333D">
        <w:rPr>
          <w:szCs w:val="24"/>
        </w:rPr>
        <w:t xml:space="preserve"> the West </w:t>
      </w:r>
      <w:r w:rsidRPr="0029333D">
        <w:rPr>
          <w:szCs w:val="24"/>
        </w:rPr>
        <w:t xml:space="preserve">Control Area </w:t>
      </w:r>
      <w:r w:rsidR="00D76ABD" w:rsidRPr="0029333D">
        <w:rPr>
          <w:szCs w:val="24"/>
        </w:rPr>
        <w:t>i</w:t>
      </w:r>
      <w:r w:rsidR="00193B3D" w:rsidRPr="0029333D">
        <w:rPr>
          <w:szCs w:val="24"/>
        </w:rPr>
        <w:t>nter-</w:t>
      </w:r>
      <w:r w:rsidR="00D76ABD" w:rsidRPr="0029333D">
        <w:rPr>
          <w:szCs w:val="24"/>
        </w:rPr>
        <w:t>j</w:t>
      </w:r>
      <w:r w:rsidRPr="0029333D">
        <w:rPr>
          <w:szCs w:val="24"/>
        </w:rPr>
        <w:t xml:space="preserve">urisdictional </w:t>
      </w:r>
      <w:r w:rsidR="00D76ABD" w:rsidRPr="0029333D">
        <w:rPr>
          <w:szCs w:val="24"/>
        </w:rPr>
        <w:t>a</w:t>
      </w:r>
      <w:r w:rsidRPr="0029333D">
        <w:rPr>
          <w:szCs w:val="24"/>
        </w:rPr>
        <w:t xml:space="preserve">llocation </w:t>
      </w:r>
      <w:r w:rsidR="00D76ABD" w:rsidRPr="0029333D">
        <w:rPr>
          <w:szCs w:val="24"/>
        </w:rPr>
        <w:t>m</w:t>
      </w:r>
      <w:r w:rsidRPr="0029333D">
        <w:rPr>
          <w:szCs w:val="24"/>
        </w:rPr>
        <w:t xml:space="preserve">ethodology </w:t>
      </w:r>
      <w:r w:rsidR="00193B3D" w:rsidRPr="0029333D">
        <w:rPr>
          <w:szCs w:val="24"/>
        </w:rPr>
        <w:t xml:space="preserve">(WCA) </w:t>
      </w:r>
      <w:r w:rsidRPr="0029333D">
        <w:rPr>
          <w:szCs w:val="24"/>
        </w:rPr>
        <w:t xml:space="preserve">as a result of the Idaho </w:t>
      </w:r>
      <w:r w:rsidR="00505319" w:rsidRPr="0029333D">
        <w:rPr>
          <w:szCs w:val="24"/>
        </w:rPr>
        <w:t xml:space="preserve">Power </w:t>
      </w:r>
      <w:r w:rsidRPr="0029333D">
        <w:rPr>
          <w:szCs w:val="24"/>
        </w:rPr>
        <w:t>Asset Exchange that closed on October 30, 2015.</w:t>
      </w:r>
    </w:p>
    <w:p w:rsidR="00D827B8" w:rsidRPr="0029333D" w:rsidRDefault="00D827B8" w:rsidP="00D827B8">
      <w:pPr>
        <w:pStyle w:val="Answer"/>
        <w:widowControl w:val="0"/>
        <w:suppressLineNumbers/>
        <w:spacing w:line="240" w:lineRule="auto"/>
        <w:ind w:left="1440" w:firstLine="0"/>
        <w:jc w:val="left"/>
        <w:rPr>
          <w:szCs w:val="24"/>
        </w:rPr>
      </w:pPr>
    </w:p>
    <w:p w:rsidR="00D827B8" w:rsidRDefault="0089636E" w:rsidP="00D827B8">
      <w:pPr>
        <w:pStyle w:val="Bullet"/>
        <w:widowControl w:val="0"/>
        <w:numPr>
          <w:ilvl w:val="0"/>
          <w:numId w:val="3"/>
        </w:numPr>
        <w:spacing w:line="240" w:lineRule="auto"/>
        <w:jc w:val="left"/>
        <w:rPr>
          <w:szCs w:val="24"/>
        </w:rPr>
      </w:pPr>
      <w:r w:rsidRPr="0029333D" w:rsidDel="00A847F5">
        <w:rPr>
          <w:szCs w:val="24"/>
        </w:rPr>
        <w:t xml:space="preserve">The calculation of the </w:t>
      </w:r>
      <w:r w:rsidR="00222EB7" w:rsidRPr="0029333D">
        <w:rPr>
          <w:szCs w:val="24"/>
        </w:rPr>
        <w:t>$</w:t>
      </w:r>
      <w:r w:rsidR="006D2211" w:rsidRPr="0029333D">
        <w:rPr>
          <w:szCs w:val="24"/>
        </w:rPr>
        <w:t>10.0</w:t>
      </w:r>
      <w:r w:rsidRPr="0029333D" w:rsidDel="00A847F5">
        <w:rPr>
          <w:szCs w:val="24"/>
        </w:rPr>
        <w:t xml:space="preserve"> million</w:t>
      </w:r>
      <w:r w:rsidR="0029333D">
        <w:rPr>
          <w:szCs w:val="24"/>
        </w:rPr>
        <w:t xml:space="preserve"> (2.99 percent </w:t>
      </w:r>
      <w:r w:rsidR="0035611A" w:rsidRPr="0029333D">
        <w:rPr>
          <w:szCs w:val="24"/>
        </w:rPr>
        <w:t>of gross</w:t>
      </w:r>
      <w:r w:rsidR="00C04B38" w:rsidRPr="0029333D">
        <w:rPr>
          <w:szCs w:val="24"/>
        </w:rPr>
        <w:t xml:space="preserve"> annual</w:t>
      </w:r>
      <w:r w:rsidR="0035611A" w:rsidRPr="0029333D">
        <w:rPr>
          <w:szCs w:val="24"/>
        </w:rPr>
        <w:t xml:space="preserve"> revenues)</w:t>
      </w:r>
      <w:r w:rsidRPr="0029333D" w:rsidDel="00A847F5">
        <w:rPr>
          <w:szCs w:val="24"/>
        </w:rPr>
        <w:t xml:space="preserve"> rev</w:t>
      </w:r>
      <w:r w:rsidR="00D67688" w:rsidRPr="0029333D">
        <w:rPr>
          <w:szCs w:val="24"/>
        </w:rPr>
        <w:t xml:space="preserve">enue increase requested in this </w:t>
      </w:r>
      <w:r w:rsidR="00AE30A2" w:rsidRPr="0029333D">
        <w:rPr>
          <w:szCs w:val="24"/>
        </w:rPr>
        <w:t>ERF</w:t>
      </w:r>
      <w:r w:rsidRPr="0029333D" w:rsidDel="00A847F5">
        <w:rPr>
          <w:szCs w:val="24"/>
        </w:rPr>
        <w:t xml:space="preserve"> representing the increase over current rates required for the Company to recover its Washington-allocated revenue requirement</w:t>
      </w:r>
      <w:r w:rsidR="00AD12E3" w:rsidRPr="0029333D" w:rsidDel="00A847F5">
        <w:rPr>
          <w:szCs w:val="24"/>
        </w:rPr>
        <w:t>.</w:t>
      </w:r>
      <w:r w:rsidR="0035611A" w:rsidRPr="0029333D">
        <w:rPr>
          <w:szCs w:val="24"/>
        </w:rPr>
        <w:t xml:space="preserve">  </w:t>
      </w:r>
    </w:p>
    <w:p w:rsidR="00D827B8" w:rsidRPr="00D827B8" w:rsidRDefault="00D827B8" w:rsidP="00D827B8">
      <w:pPr>
        <w:pStyle w:val="Bullet"/>
        <w:widowControl w:val="0"/>
        <w:suppressLineNumbers/>
        <w:tabs>
          <w:tab w:val="clear" w:pos="2160"/>
        </w:tabs>
        <w:spacing w:line="240" w:lineRule="auto"/>
        <w:ind w:left="1440" w:firstLine="0"/>
        <w:jc w:val="left"/>
        <w:rPr>
          <w:szCs w:val="24"/>
        </w:rPr>
      </w:pPr>
    </w:p>
    <w:p w:rsidR="001D3325" w:rsidRDefault="001D3325" w:rsidP="00D827B8">
      <w:pPr>
        <w:pStyle w:val="Bullet"/>
        <w:widowControl w:val="0"/>
        <w:numPr>
          <w:ilvl w:val="0"/>
          <w:numId w:val="3"/>
        </w:numPr>
        <w:spacing w:line="240" w:lineRule="auto"/>
        <w:jc w:val="left"/>
        <w:rPr>
          <w:szCs w:val="24"/>
        </w:rPr>
      </w:pPr>
      <w:r w:rsidRPr="0029333D">
        <w:rPr>
          <w:szCs w:val="24"/>
        </w:rPr>
        <w:t>The calculation of the $</w:t>
      </w:r>
      <w:r w:rsidR="006D2211" w:rsidRPr="0029333D">
        <w:rPr>
          <w:szCs w:val="24"/>
        </w:rPr>
        <w:t>10.3</w:t>
      </w:r>
      <w:r w:rsidRPr="0029333D">
        <w:rPr>
          <w:szCs w:val="24"/>
        </w:rPr>
        <w:t xml:space="preserve"> million </w:t>
      </w:r>
      <w:r w:rsidR="00805E76" w:rsidRPr="0029333D">
        <w:rPr>
          <w:szCs w:val="24"/>
        </w:rPr>
        <w:t xml:space="preserve">second-year </w:t>
      </w:r>
      <w:r w:rsidRPr="0029333D">
        <w:rPr>
          <w:szCs w:val="24"/>
        </w:rPr>
        <w:t xml:space="preserve">revenue increase </w:t>
      </w:r>
      <w:r w:rsidR="0029333D">
        <w:rPr>
          <w:szCs w:val="24"/>
        </w:rPr>
        <w:t>(2.99 percent</w:t>
      </w:r>
      <w:r w:rsidR="00C04B38" w:rsidRPr="0029333D">
        <w:rPr>
          <w:szCs w:val="24"/>
        </w:rPr>
        <w:t xml:space="preserve"> of gross annual revenues inclusive of ERF increase) </w:t>
      </w:r>
      <w:r w:rsidRPr="0029333D">
        <w:rPr>
          <w:szCs w:val="24"/>
        </w:rPr>
        <w:t xml:space="preserve">requested as part of a </w:t>
      </w:r>
      <w:r w:rsidR="0035611A" w:rsidRPr="0029333D">
        <w:rPr>
          <w:szCs w:val="24"/>
        </w:rPr>
        <w:t>two</w:t>
      </w:r>
      <w:r w:rsidRPr="0029333D">
        <w:rPr>
          <w:szCs w:val="24"/>
        </w:rPr>
        <w:t xml:space="preserve">-year rate plan, </w:t>
      </w:r>
      <w:r w:rsidR="00C04B38" w:rsidRPr="0029333D">
        <w:rPr>
          <w:szCs w:val="24"/>
        </w:rPr>
        <w:t>supported by evidence and analysis that a future rate increase is required to address identifiable cost increases and earnings attrition</w:t>
      </w:r>
      <w:r w:rsidRPr="0029333D">
        <w:rPr>
          <w:szCs w:val="24"/>
        </w:rPr>
        <w:t xml:space="preserve"> in the year immediately following the rate</w:t>
      </w:r>
      <w:r w:rsidR="006C362A" w:rsidRPr="0029333D">
        <w:rPr>
          <w:szCs w:val="24"/>
        </w:rPr>
        <w:t xml:space="preserve"> </w:t>
      </w:r>
      <w:r w:rsidRPr="0029333D">
        <w:rPr>
          <w:szCs w:val="24"/>
        </w:rPr>
        <w:t xml:space="preserve">effective period of </w:t>
      </w:r>
      <w:r w:rsidR="00193B3D" w:rsidRPr="0029333D">
        <w:rPr>
          <w:szCs w:val="24"/>
        </w:rPr>
        <w:t xml:space="preserve">the </w:t>
      </w:r>
      <w:r w:rsidRPr="0029333D">
        <w:rPr>
          <w:szCs w:val="24"/>
        </w:rPr>
        <w:t>ERF.</w:t>
      </w:r>
    </w:p>
    <w:p w:rsidR="00D827B8" w:rsidRPr="0029333D" w:rsidRDefault="00D827B8" w:rsidP="00D827B8">
      <w:pPr>
        <w:pStyle w:val="Bullet"/>
        <w:widowControl w:val="0"/>
        <w:suppressLineNumbers/>
        <w:tabs>
          <w:tab w:val="clear" w:pos="2160"/>
        </w:tabs>
        <w:spacing w:line="240" w:lineRule="auto"/>
        <w:ind w:left="1440" w:firstLine="0"/>
        <w:jc w:val="left"/>
        <w:rPr>
          <w:szCs w:val="24"/>
        </w:rPr>
      </w:pPr>
    </w:p>
    <w:p w:rsidR="001D3325" w:rsidRDefault="001D3325" w:rsidP="00D827B8">
      <w:pPr>
        <w:pStyle w:val="Bullet"/>
        <w:widowControl w:val="0"/>
        <w:numPr>
          <w:ilvl w:val="0"/>
          <w:numId w:val="3"/>
        </w:numPr>
        <w:spacing w:line="240" w:lineRule="auto"/>
        <w:jc w:val="left"/>
        <w:rPr>
          <w:szCs w:val="24"/>
        </w:rPr>
      </w:pPr>
      <w:r w:rsidRPr="0029333D">
        <w:rPr>
          <w:szCs w:val="24"/>
        </w:rPr>
        <w:t xml:space="preserve">An explanation of how the </w:t>
      </w:r>
      <w:r w:rsidR="00C04B38" w:rsidRPr="0029333D">
        <w:rPr>
          <w:szCs w:val="24"/>
        </w:rPr>
        <w:t xml:space="preserve">accounting and </w:t>
      </w:r>
      <w:r w:rsidR="0029333D">
        <w:rPr>
          <w:szCs w:val="24"/>
        </w:rPr>
        <w:t>earnings test for the proposed decoupling m</w:t>
      </w:r>
      <w:r w:rsidRPr="0029333D">
        <w:rPr>
          <w:szCs w:val="24"/>
        </w:rPr>
        <w:t>echanism will be applied.</w:t>
      </w:r>
    </w:p>
    <w:p w:rsidR="00D827B8" w:rsidRPr="0029333D" w:rsidRDefault="00D827B8" w:rsidP="00D827B8">
      <w:pPr>
        <w:pStyle w:val="Bullet"/>
        <w:widowControl w:val="0"/>
        <w:suppressLineNumbers/>
        <w:tabs>
          <w:tab w:val="clear" w:pos="2160"/>
        </w:tabs>
        <w:spacing w:line="240" w:lineRule="auto"/>
        <w:ind w:left="1440" w:firstLine="0"/>
        <w:jc w:val="left"/>
        <w:rPr>
          <w:szCs w:val="24"/>
        </w:rPr>
      </w:pPr>
    </w:p>
    <w:p w:rsidR="0089636E" w:rsidRDefault="0089636E" w:rsidP="00D827B8">
      <w:pPr>
        <w:pStyle w:val="Bullet"/>
        <w:numPr>
          <w:ilvl w:val="0"/>
          <w:numId w:val="1"/>
        </w:numPr>
        <w:spacing w:line="240" w:lineRule="auto"/>
        <w:ind w:left="1440"/>
        <w:jc w:val="left"/>
        <w:rPr>
          <w:szCs w:val="24"/>
        </w:rPr>
      </w:pPr>
      <w:r w:rsidRPr="0029333D">
        <w:rPr>
          <w:szCs w:val="24"/>
        </w:rPr>
        <w:t xml:space="preserve">The presentation of the </w:t>
      </w:r>
      <w:r w:rsidR="00A847F5" w:rsidRPr="0029333D">
        <w:rPr>
          <w:szCs w:val="24"/>
        </w:rPr>
        <w:t xml:space="preserve">normalized </w:t>
      </w:r>
      <w:r w:rsidRPr="0029333D">
        <w:rPr>
          <w:szCs w:val="24"/>
        </w:rPr>
        <w:t xml:space="preserve">results of operations for the </w:t>
      </w:r>
      <w:r w:rsidR="006C3894" w:rsidRPr="0029333D">
        <w:rPr>
          <w:szCs w:val="24"/>
        </w:rPr>
        <w:t>T</w:t>
      </w:r>
      <w:r w:rsidRPr="0029333D">
        <w:rPr>
          <w:szCs w:val="24"/>
        </w:rPr>
        <w:t xml:space="preserve">est </w:t>
      </w:r>
      <w:r w:rsidR="006C3894" w:rsidRPr="0029333D">
        <w:rPr>
          <w:szCs w:val="24"/>
        </w:rPr>
        <w:t>P</w:t>
      </w:r>
      <w:r w:rsidRPr="0029333D">
        <w:rPr>
          <w:szCs w:val="24"/>
        </w:rPr>
        <w:t>eriod demonstrating that</w:t>
      </w:r>
      <w:r w:rsidR="00E22216" w:rsidRPr="0029333D">
        <w:rPr>
          <w:szCs w:val="24"/>
        </w:rPr>
        <w:t>,</w:t>
      </w:r>
      <w:r w:rsidRPr="0029333D">
        <w:rPr>
          <w:szCs w:val="24"/>
        </w:rPr>
        <w:t xml:space="preserve"> under current rates</w:t>
      </w:r>
      <w:r w:rsidR="00E22216" w:rsidRPr="0029333D">
        <w:rPr>
          <w:szCs w:val="24"/>
        </w:rPr>
        <w:t>,</w:t>
      </w:r>
      <w:r w:rsidRPr="0029333D">
        <w:rPr>
          <w:szCs w:val="24"/>
        </w:rPr>
        <w:t xml:space="preserve"> the Company will earn an overall return on equity (ROE) in Washington of </w:t>
      </w:r>
      <w:r w:rsidR="00FE29C9" w:rsidRPr="0029333D">
        <w:rPr>
          <w:szCs w:val="24"/>
        </w:rPr>
        <w:t>7.</w:t>
      </w:r>
      <w:r w:rsidR="00E9250B">
        <w:rPr>
          <w:szCs w:val="24"/>
        </w:rPr>
        <w:t>88</w:t>
      </w:r>
      <w:r w:rsidRPr="0029333D">
        <w:rPr>
          <w:szCs w:val="24"/>
        </w:rPr>
        <w:t xml:space="preserve"> percent</w:t>
      </w:r>
      <w:r w:rsidR="00FA0003" w:rsidRPr="0029333D">
        <w:rPr>
          <w:szCs w:val="24"/>
        </w:rPr>
        <w:t xml:space="preserve">.  This </w:t>
      </w:r>
      <w:r w:rsidRPr="0029333D">
        <w:rPr>
          <w:szCs w:val="24"/>
        </w:rPr>
        <w:t xml:space="preserve">is </w:t>
      </w:r>
      <w:r w:rsidR="00154695" w:rsidRPr="0029333D">
        <w:rPr>
          <w:szCs w:val="24"/>
        </w:rPr>
        <w:t xml:space="preserve">less than the </w:t>
      </w:r>
      <w:r w:rsidR="008F0977" w:rsidRPr="0029333D">
        <w:rPr>
          <w:szCs w:val="24"/>
        </w:rPr>
        <w:t xml:space="preserve">currently authorized </w:t>
      </w:r>
      <w:r w:rsidR="00C438CE" w:rsidRPr="0029333D">
        <w:rPr>
          <w:szCs w:val="24"/>
        </w:rPr>
        <w:t>9.5</w:t>
      </w:r>
      <w:r w:rsidR="00E9250B">
        <w:rPr>
          <w:szCs w:val="24"/>
        </w:rPr>
        <w:t>0</w:t>
      </w:r>
      <w:r w:rsidR="00154695" w:rsidRPr="0029333D">
        <w:rPr>
          <w:szCs w:val="24"/>
        </w:rPr>
        <w:t xml:space="preserve"> percent ROE ordered by the </w:t>
      </w:r>
      <w:r w:rsidR="0054384B" w:rsidRPr="0029333D">
        <w:rPr>
          <w:szCs w:val="24"/>
        </w:rPr>
        <w:t>Washington Utilities and Transportation Commission (</w:t>
      </w:r>
      <w:r w:rsidR="00154695" w:rsidRPr="0029333D">
        <w:rPr>
          <w:szCs w:val="24"/>
        </w:rPr>
        <w:t>Commission</w:t>
      </w:r>
      <w:r w:rsidR="0054384B" w:rsidRPr="0029333D">
        <w:rPr>
          <w:szCs w:val="24"/>
        </w:rPr>
        <w:t>)</w:t>
      </w:r>
      <w:r w:rsidR="00154695" w:rsidRPr="0029333D">
        <w:rPr>
          <w:szCs w:val="24"/>
        </w:rPr>
        <w:t xml:space="preserve"> in the </w:t>
      </w:r>
      <w:r w:rsidR="00E728FE" w:rsidRPr="0029333D">
        <w:rPr>
          <w:szCs w:val="24"/>
        </w:rPr>
        <w:t xml:space="preserve">Company’s </w:t>
      </w:r>
      <w:r w:rsidR="001B7F05" w:rsidRPr="0029333D">
        <w:rPr>
          <w:szCs w:val="24"/>
        </w:rPr>
        <w:t>201</w:t>
      </w:r>
      <w:r w:rsidR="00222EB7" w:rsidRPr="0029333D">
        <w:rPr>
          <w:szCs w:val="24"/>
        </w:rPr>
        <w:t>4</w:t>
      </w:r>
      <w:r w:rsidR="001B7F05" w:rsidRPr="0029333D">
        <w:rPr>
          <w:szCs w:val="24"/>
        </w:rPr>
        <w:t xml:space="preserve"> </w:t>
      </w:r>
      <w:r w:rsidR="00E728FE" w:rsidRPr="0029333D">
        <w:rPr>
          <w:szCs w:val="24"/>
        </w:rPr>
        <w:t>general r</w:t>
      </w:r>
      <w:r w:rsidR="001B7F05" w:rsidRPr="0029333D">
        <w:rPr>
          <w:szCs w:val="24"/>
        </w:rPr>
        <w:t xml:space="preserve">ate </w:t>
      </w:r>
      <w:r w:rsidR="00E728FE" w:rsidRPr="0029333D">
        <w:rPr>
          <w:szCs w:val="24"/>
        </w:rPr>
        <w:t>c</w:t>
      </w:r>
      <w:r w:rsidR="001B7F05" w:rsidRPr="0029333D">
        <w:rPr>
          <w:szCs w:val="24"/>
        </w:rPr>
        <w:t>ase</w:t>
      </w:r>
      <w:r w:rsidR="00E728FE" w:rsidRPr="0029333D">
        <w:rPr>
          <w:szCs w:val="24"/>
        </w:rPr>
        <w:t>,</w:t>
      </w:r>
      <w:r w:rsidR="001B7F05" w:rsidRPr="0029333D">
        <w:rPr>
          <w:szCs w:val="24"/>
        </w:rPr>
        <w:t xml:space="preserve"> </w:t>
      </w:r>
      <w:r w:rsidR="0028435E" w:rsidRPr="0029333D">
        <w:rPr>
          <w:szCs w:val="24"/>
        </w:rPr>
        <w:t>Docket UE-</w:t>
      </w:r>
      <w:r w:rsidR="00222EB7" w:rsidRPr="0029333D">
        <w:rPr>
          <w:szCs w:val="24"/>
        </w:rPr>
        <w:t>140762</w:t>
      </w:r>
      <w:r w:rsidR="000E4BC5" w:rsidRPr="0029333D">
        <w:rPr>
          <w:szCs w:val="24"/>
        </w:rPr>
        <w:t xml:space="preserve"> </w:t>
      </w:r>
      <w:r w:rsidR="0028435E" w:rsidRPr="0029333D">
        <w:rPr>
          <w:szCs w:val="24"/>
        </w:rPr>
        <w:t>(201</w:t>
      </w:r>
      <w:r w:rsidR="00222EB7" w:rsidRPr="0029333D">
        <w:rPr>
          <w:szCs w:val="24"/>
        </w:rPr>
        <w:t>4</w:t>
      </w:r>
      <w:r w:rsidR="0028435E" w:rsidRPr="0029333D">
        <w:rPr>
          <w:szCs w:val="24"/>
        </w:rPr>
        <w:t xml:space="preserve"> Rate Case)</w:t>
      </w:r>
      <w:r w:rsidR="0092246C" w:rsidRPr="0029333D">
        <w:rPr>
          <w:szCs w:val="24"/>
        </w:rPr>
        <w:t>.</w:t>
      </w:r>
    </w:p>
    <w:p w:rsidR="00D827B8" w:rsidRPr="0029333D" w:rsidRDefault="00D827B8" w:rsidP="00D827B8">
      <w:pPr>
        <w:pStyle w:val="Bullet"/>
        <w:suppressLineNumbers/>
        <w:tabs>
          <w:tab w:val="clear" w:pos="2160"/>
        </w:tabs>
        <w:spacing w:line="240" w:lineRule="auto"/>
        <w:ind w:left="1440" w:firstLine="0"/>
        <w:jc w:val="left"/>
        <w:rPr>
          <w:szCs w:val="24"/>
        </w:rPr>
      </w:pPr>
    </w:p>
    <w:p w:rsidR="00987E13" w:rsidRDefault="00AD2418" w:rsidP="00D827B8">
      <w:pPr>
        <w:pStyle w:val="Bullet"/>
        <w:keepNext/>
        <w:numPr>
          <w:ilvl w:val="0"/>
          <w:numId w:val="1"/>
        </w:numPr>
        <w:tabs>
          <w:tab w:val="num" w:pos="1080"/>
        </w:tabs>
        <w:spacing w:line="240" w:lineRule="auto"/>
        <w:ind w:left="1440"/>
        <w:jc w:val="left"/>
        <w:rPr>
          <w:szCs w:val="24"/>
        </w:rPr>
      </w:pPr>
      <w:r w:rsidRPr="0029333D">
        <w:rPr>
          <w:szCs w:val="24"/>
        </w:rPr>
        <w:lastRenderedPageBreak/>
        <w:t>A</w:t>
      </w:r>
      <w:r w:rsidR="00095B70" w:rsidRPr="0029333D">
        <w:rPr>
          <w:szCs w:val="24"/>
        </w:rPr>
        <w:t>n explanation</w:t>
      </w:r>
      <w:r w:rsidRPr="0029333D">
        <w:rPr>
          <w:szCs w:val="24"/>
        </w:rPr>
        <w:t xml:space="preserve"> of the revenue requirement workpapers </w:t>
      </w:r>
      <w:r w:rsidR="00F53272" w:rsidRPr="0029333D">
        <w:rPr>
          <w:szCs w:val="24"/>
        </w:rPr>
        <w:t xml:space="preserve">supporting the proposed revenue increase and normalized results of operations for the </w:t>
      </w:r>
      <w:r w:rsidR="00701B50" w:rsidRPr="0029333D">
        <w:rPr>
          <w:szCs w:val="24"/>
        </w:rPr>
        <w:t>T</w:t>
      </w:r>
      <w:r w:rsidR="00F53272" w:rsidRPr="0029333D">
        <w:rPr>
          <w:szCs w:val="24"/>
        </w:rPr>
        <w:t xml:space="preserve">est </w:t>
      </w:r>
      <w:r w:rsidR="00701B50" w:rsidRPr="0029333D">
        <w:rPr>
          <w:szCs w:val="24"/>
        </w:rPr>
        <w:t>P</w:t>
      </w:r>
      <w:r w:rsidR="00F53272" w:rsidRPr="0029333D">
        <w:rPr>
          <w:szCs w:val="24"/>
        </w:rPr>
        <w:t>eriod</w:t>
      </w:r>
      <w:r w:rsidR="00DD5379" w:rsidRPr="0029333D">
        <w:rPr>
          <w:szCs w:val="24"/>
        </w:rPr>
        <w:t xml:space="preserve"> of the ERF</w:t>
      </w:r>
      <w:r w:rsidR="00E728FE" w:rsidRPr="0029333D">
        <w:rPr>
          <w:szCs w:val="24"/>
        </w:rPr>
        <w:t xml:space="preserve">.  </w:t>
      </w:r>
      <w:r w:rsidR="006A2C04" w:rsidRPr="0029333D">
        <w:rPr>
          <w:szCs w:val="24"/>
        </w:rPr>
        <w:t xml:space="preserve">Included as part of my workpapers is a summary revenue requirement model, which is similar in design to the model used by </w:t>
      </w:r>
      <w:r w:rsidR="00744BFB" w:rsidRPr="0029333D">
        <w:rPr>
          <w:szCs w:val="24"/>
        </w:rPr>
        <w:t xml:space="preserve">Commission </w:t>
      </w:r>
      <w:r w:rsidR="00DC224A" w:rsidRPr="0029333D">
        <w:rPr>
          <w:szCs w:val="24"/>
        </w:rPr>
        <w:t>Staff</w:t>
      </w:r>
      <w:r w:rsidR="00E728FE" w:rsidRPr="0029333D">
        <w:rPr>
          <w:szCs w:val="24"/>
        </w:rPr>
        <w:t xml:space="preserve">.  </w:t>
      </w:r>
      <w:r w:rsidR="006A2C04" w:rsidRPr="0029333D">
        <w:rPr>
          <w:szCs w:val="24"/>
        </w:rPr>
        <w:t xml:space="preserve">This summary model is designed to facilitate easier review of the filing and </w:t>
      </w:r>
      <w:r w:rsidR="00685309" w:rsidRPr="0029333D">
        <w:rPr>
          <w:szCs w:val="24"/>
        </w:rPr>
        <w:t>is consistent with the model</w:t>
      </w:r>
      <w:r w:rsidR="00FA0003" w:rsidRPr="0029333D">
        <w:rPr>
          <w:szCs w:val="24"/>
        </w:rPr>
        <w:t>s</w:t>
      </w:r>
      <w:r w:rsidR="00685309" w:rsidRPr="0029333D">
        <w:rPr>
          <w:szCs w:val="24"/>
        </w:rPr>
        <w:t xml:space="preserve"> used in the Company’s </w:t>
      </w:r>
      <w:r w:rsidR="00FA0003" w:rsidRPr="0029333D">
        <w:rPr>
          <w:szCs w:val="24"/>
        </w:rPr>
        <w:t>past rate cases</w:t>
      </w:r>
      <w:r w:rsidR="00E728FE" w:rsidRPr="0029333D">
        <w:rPr>
          <w:szCs w:val="24"/>
        </w:rPr>
        <w:t xml:space="preserve">.  </w:t>
      </w:r>
      <w:r w:rsidR="00DD5379" w:rsidRPr="0029333D">
        <w:rPr>
          <w:szCs w:val="24"/>
        </w:rPr>
        <w:t>Also presented are revenue requirement workpapers supporting the second-year increase requested as part of the two-year rate plan in this proceeding</w:t>
      </w:r>
      <w:r w:rsidR="008E73C4" w:rsidRPr="0029333D">
        <w:rPr>
          <w:szCs w:val="24"/>
        </w:rPr>
        <w:t xml:space="preserve">. </w:t>
      </w:r>
    </w:p>
    <w:p w:rsidR="00D827B8" w:rsidRPr="0029333D" w:rsidRDefault="00D827B8" w:rsidP="00D827B8">
      <w:pPr>
        <w:pStyle w:val="Bullet"/>
        <w:keepNext/>
        <w:suppressLineNumbers/>
        <w:tabs>
          <w:tab w:val="clear" w:pos="2160"/>
        </w:tabs>
        <w:spacing w:line="240" w:lineRule="auto"/>
        <w:ind w:left="1440" w:firstLine="0"/>
        <w:jc w:val="left"/>
        <w:rPr>
          <w:szCs w:val="24"/>
        </w:rPr>
      </w:pPr>
    </w:p>
    <w:p w:rsidR="0092246C" w:rsidRPr="0029333D" w:rsidRDefault="0092246C" w:rsidP="005B0DAA">
      <w:pPr>
        <w:pStyle w:val="Heading1"/>
        <w:rPr>
          <w:rFonts w:cs="Times New Roman"/>
          <w:szCs w:val="24"/>
        </w:rPr>
      </w:pPr>
      <w:bookmarkStart w:id="3" w:name="_Toc436114841"/>
      <w:r w:rsidRPr="0029333D">
        <w:rPr>
          <w:rFonts w:cs="Times New Roman"/>
          <w:szCs w:val="24"/>
        </w:rPr>
        <w:t>Expedited Rate Filing</w:t>
      </w:r>
      <w:bookmarkEnd w:id="3"/>
    </w:p>
    <w:p w:rsidR="00725B8C" w:rsidRPr="0029333D" w:rsidRDefault="00725B8C" w:rsidP="00725B8C">
      <w:pPr>
        <w:pStyle w:val="Question"/>
        <w:widowControl w:val="0"/>
        <w:jc w:val="left"/>
        <w:rPr>
          <w:szCs w:val="24"/>
        </w:rPr>
      </w:pPr>
      <w:r w:rsidRPr="0029333D">
        <w:rPr>
          <w:szCs w:val="24"/>
        </w:rPr>
        <w:t>Q.</w:t>
      </w:r>
      <w:r w:rsidRPr="0029333D">
        <w:rPr>
          <w:szCs w:val="24"/>
        </w:rPr>
        <w:tab/>
        <w:t xml:space="preserve">Please describe </w:t>
      </w:r>
      <w:r w:rsidR="00192297" w:rsidRPr="0029333D">
        <w:rPr>
          <w:szCs w:val="24"/>
        </w:rPr>
        <w:t xml:space="preserve">the basis </w:t>
      </w:r>
      <w:r w:rsidR="007D1028" w:rsidRPr="0029333D">
        <w:rPr>
          <w:szCs w:val="24"/>
        </w:rPr>
        <w:t xml:space="preserve">of </w:t>
      </w:r>
      <w:r w:rsidR="00192297" w:rsidRPr="0029333D">
        <w:rPr>
          <w:szCs w:val="24"/>
        </w:rPr>
        <w:t>Pacific Power’s</w:t>
      </w:r>
      <w:r w:rsidRPr="0029333D">
        <w:rPr>
          <w:szCs w:val="24"/>
        </w:rPr>
        <w:t xml:space="preserve"> </w:t>
      </w:r>
      <w:r w:rsidR="002678D7" w:rsidRPr="0029333D">
        <w:rPr>
          <w:szCs w:val="24"/>
        </w:rPr>
        <w:t xml:space="preserve">proposed </w:t>
      </w:r>
      <w:r w:rsidR="00BA58D4" w:rsidRPr="0029333D">
        <w:rPr>
          <w:szCs w:val="24"/>
        </w:rPr>
        <w:t>ERF</w:t>
      </w:r>
      <w:r w:rsidRPr="0029333D">
        <w:rPr>
          <w:szCs w:val="24"/>
        </w:rPr>
        <w:t>.</w:t>
      </w:r>
    </w:p>
    <w:p w:rsidR="00725B8C" w:rsidRPr="0029333D" w:rsidRDefault="00725B8C" w:rsidP="00E440B1">
      <w:pPr>
        <w:pStyle w:val="Question"/>
        <w:jc w:val="left"/>
        <w:rPr>
          <w:b w:val="0"/>
          <w:szCs w:val="24"/>
        </w:rPr>
      </w:pPr>
      <w:r w:rsidRPr="0029333D">
        <w:rPr>
          <w:b w:val="0"/>
          <w:szCs w:val="24"/>
        </w:rPr>
        <w:t>A.</w:t>
      </w:r>
      <w:r w:rsidR="00E913E4" w:rsidRPr="0029333D">
        <w:rPr>
          <w:b w:val="0"/>
          <w:szCs w:val="24"/>
        </w:rPr>
        <w:tab/>
      </w:r>
      <w:r w:rsidR="007D1028" w:rsidRPr="0029333D">
        <w:rPr>
          <w:b w:val="0"/>
          <w:szCs w:val="24"/>
        </w:rPr>
        <w:t xml:space="preserve">As </w:t>
      </w:r>
      <w:r w:rsidR="003C40A4" w:rsidRPr="0029333D">
        <w:rPr>
          <w:b w:val="0"/>
          <w:szCs w:val="24"/>
        </w:rPr>
        <w:t>discussed</w:t>
      </w:r>
      <w:r w:rsidR="007D1028" w:rsidRPr="0029333D">
        <w:rPr>
          <w:b w:val="0"/>
          <w:szCs w:val="24"/>
        </w:rPr>
        <w:t xml:space="preserve"> in the testimony of Mr.</w:t>
      </w:r>
      <w:r w:rsidR="00383A0C" w:rsidRPr="0029333D">
        <w:rPr>
          <w:b w:val="0"/>
          <w:szCs w:val="24"/>
        </w:rPr>
        <w:t xml:space="preserve"> R. </w:t>
      </w:r>
      <w:r w:rsidR="007D1028" w:rsidRPr="0029333D">
        <w:rPr>
          <w:b w:val="0"/>
          <w:szCs w:val="24"/>
        </w:rPr>
        <w:t xml:space="preserve">Bryce Dalley, Pacific Power’s filing is based in part on Staff’s testimony </w:t>
      </w:r>
      <w:r w:rsidR="00547CF6" w:rsidRPr="0029333D">
        <w:rPr>
          <w:b w:val="0"/>
          <w:szCs w:val="24"/>
        </w:rPr>
        <w:t xml:space="preserve">proposing an ERF </w:t>
      </w:r>
      <w:r w:rsidR="007D1028" w:rsidRPr="0029333D">
        <w:rPr>
          <w:b w:val="0"/>
          <w:szCs w:val="24"/>
        </w:rPr>
        <w:t xml:space="preserve">in the Company’s 2013 </w:t>
      </w:r>
      <w:r w:rsidR="0029333D">
        <w:rPr>
          <w:b w:val="0"/>
          <w:szCs w:val="24"/>
        </w:rPr>
        <w:t>general rate case</w:t>
      </w:r>
      <w:r w:rsidR="009403E4" w:rsidRPr="0029333D">
        <w:rPr>
          <w:b w:val="0"/>
          <w:szCs w:val="24"/>
        </w:rPr>
        <w:t xml:space="preserve">, Docket UE-130043 (2013 </w:t>
      </w:r>
      <w:r w:rsidR="007D1028" w:rsidRPr="0029333D">
        <w:rPr>
          <w:b w:val="0"/>
          <w:szCs w:val="24"/>
        </w:rPr>
        <w:t>Rate Case</w:t>
      </w:r>
      <w:r w:rsidR="009403E4" w:rsidRPr="0029333D">
        <w:rPr>
          <w:b w:val="0"/>
          <w:szCs w:val="24"/>
        </w:rPr>
        <w:t>)</w:t>
      </w:r>
      <w:r w:rsidR="007D1028" w:rsidRPr="0029333D">
        <w:rPr>
          <w:b w:val="0"/>
          <w:szCs w:val="24"/>
        </w:rPr>
        <w:t>.</w:t>
      </w:r>
      <w:r w:rsidR="007D1028" w:rsidRPr="0029333D">
        <w:rPr>
          <w:rStyle w:val="FootnoteReference"/>
          <w:b w:val="0"/>
          <w:szCs w:val="24"/>
        </w:rPr>
        <w:footnoteReference w:id="1"/>
      </w:r>
      <w:r w:rsidR="007D1028" w:rsidRPr="0029333D">
        <w:rPr>
          <w:b w:val="0"/>
          <w:szCs w:val="24"/>
        </w:rPr>
        <w:t xml:space="preserve">  For this reason, t</w:t>
      </w:r>
      <w:r w:rsidR="00E913E4" w:rsidRPr="0029333D">
        <w:rPr>
          <w:b w:val="0"/>
          <w:szCs w:val="24"/>
        </w:rPr>
        <w:t>he Company</w:t>
      </w:r>
      <w:r w:rsidR="00224255" w:rsidRPr="0029333D">
        <w:rPr>
          <w:b w:val="0"/>
          <w:szCs w:val="24"/>
        </w:rPr>
        <w:t xml:space="preserve"> </w:t>
      </w:r>
      <w:r w:rsidR="004072F1" w:rsidRPr="0029333D">
        <w:rPr>
          <w:b w:val="0"/>
          <w:szCs w:val="24"/>
        </w:rPr>
        <w:t xml:space="preserve">closely </w:t>
      </w:r>
      <w:r w:rsidR="00224255" w:rsidRPr="0029333D">
        <w:rPr>
          <w:b w:val="0"/>
          <w:szCs w:val="24"/>
        </w:rPr>
        <w:t>followed</w:t>
      </w:r>
      <w:r w:rsidR="00E913E4" w:rsidRPr="0029333D">
        <w:rPr>
          <w:b w:val="0"/>
          <w:szCs w:val="24"/>
        </w:rPr>
        <w:t xml:space="preserve"> </w:t>
      </w:r>
      <w:r w:rsidR="003C40A4" w:rsidRPr="0029333D">
        <w:rPr>
          <w:b w:val="0"/>
          <w:szCs w:val="24"/>
        </w:rPr>
        <w:t xml:space="preserve">the </w:t>
      </w:r>
      <w:r w:rsidR="00E913E4" w:rsidRPr="0029333D">
        <w:rPr>
          <w:b w:val="0"/>
          <w:szCs w:val="24"/>
        </w:rPr>
        <w:t xml:space="preserve">description of an </w:t>
      </w:r>
      <w:r w:rsidR="001723F3" w:rsidRPr="0029333D">
        <w:rPr>
          <w:b w:val="0"/>
          <w:szCs w:val="24"/>
        </w:rPr>
        <w:t>e</w:t>
      </w:r>
      <w:r w:rsidR="00E913E4" w:rsidRPr="0029333D">
        <w:rPr>
          <w:b w:val="0"/>
          <w:szCs w:val="24"/>
        </w:rPr>
        <w:t xml:space="preserve">nhanced Commission Basis Report (CBR) </w:t>
      </w:r>
      <w:r w:rsidR="007D1028" w:rsidRPr="0029333D">
        <w:rPr>
          <w:b w:val="0"/>
          <w:szCs w:val="24"/>
        </w:rPr>
        <w:t>for the ERF outlined i</w:t>
      </w:r>
      <w:r w:rsidR="00CA13B3" w:rsidRPr="0029333D">
        <w:rPr>
          <w:b w:val="0"/>
          <w:szCs w:val="24"/>
        </w:rPr>
        <w:t xml:space="preserve">n </w:t>
      </w:r>
      <w:r w:rsidR="007D1028" w:rsidRPr="0029333D">
        <w:rPr>
          <w:b w:val="0"/>
          <w:szCs w:val="24"/>
        </w:rPr>
        <w:t>Staff’s</w:t>
      </w:r>
      <w:r w:rsidR="00CA13B3" w:rsidRPr="0029333D">
        <w:rPr>
          <w:b w:val="0"/>
          <w:szCs w:val="24"/>
        </w:rPr>
        <w:t xml:space="preserve"> exhibits</w:t>
      </w:r>
      <w:r w:rsidR="00547CF6" w:rsidRPr="0029333D">
        <w:rPr>
          <w:b w:val="0"/>
          <w:szCs w:val="24"/>
        </w:rPr>
        <w:t xml:space="preserve"> in that case</w:t>
      </w:r>
      <w:r w:rsidR="007D1028" w:rsidRPr="0029333D">
        <w:rPr>
          <w:b w:val="0"/>
          <w:szCs w:val="24"/>
        </w:rPr>
        <w:t>.</w:t>
      </w:r>
      <w:r w:rsidR="002678D7" w:rsidRPr="0029333D">
        <w:rPr>
          <w:b w:val="0"/>
          <w:szCs w:val="24"/>
        </w:rPr>
        <w:t xml:space="preserve"> </w:t>
      </w:r>
      <w:r w:rsidR="00470E0F" w:rsidRPr="0029333D">
        <w:rPr>
          <w:b w:val="0"/>
          <w:szCs w:val="24"/>
        </w:rPr>
        <w:t xml:space="preserve"> </w:t>
      </w:r>
      <w:r w:rsidR="00547CF6" w:rsidRPr="0029333D">
        <w:rPr>
          <w:b w:val="0"/>
          <w:szCs w:val="24"/>
        </w:rPr>
        <w:t>Because a</w:t>
      </w:r>
      <w:r w:rsidR="00C96C64" w:rsidRPr="0029333D">
        <w:rPr>
          <w:b w:val="0"/>
          <w:szCs w:val="24"/>
        </w:rPr>
        <w:t xml:space="preserve"> </w:t>
      </w:r>
      <w:r w:rsidR="00547CF6" w:rsidRPr="0029333D">
        <w:rPr>
          <w:b w:val="0"/>
          <w:szCs w:val="24"/>
        </w:rPr>
        <w:t>CBR</w:t>
      </w:r>
      <w:r w:rsidR="00C96C64" w:rsidRPr="0029333D">
        <w:rPr>
          <w:b w:val="0"/>
          <w:szCs w:val="24"/>
        </w:rPr>
        <w:t xml:space="preserve"> </w:t>
      </w:r>
      <w:r w:rsidR="00547CF6" w:rsidRPr="0029333D">
        <w:rPr>
          <w:b w:val="0"/>
          <w:szCs w:val="24"/>
        </w:rPr>
        <w:t>is</w:t>
      </w:r>
      <w:r w:rsidR="00C96C64" w:rsidRPr="0029333D">
        <w:rPr>
          <w:b w:val="0"/>
          <w:szCs w:val="24"/>
        </w:rPr>
        <w:t xml:space="preserve"> designed </w:t>
      </w:r>
      <w:r w:rsidR="002678D7" w:rsidRPr="0029333D">
        <w:rPr>
          <w:b w:val="0"/>
          <w:szCs w:val="24"/>
        </w:rPr>
        <w:t>to depict an electric company’s actual operations and earnings over the past year under normal conditions</w:t>
      </w:r>
      <w:r w:rsidR="00547CF6" w:rsidRPr="0029333D">
        <w:rPr>
          <w:b w:val="0"/>
          <w:szCs w:val="24"/>
        </w:rPr>
        <w:t xml:space="preserve">, </w:t>
      </w:r>
      <w:r w:rsidR="00DD5379" w:rsidRPr="0029333D">
        <w:rPr>
          <w:b w:val="0"/>
          <w:szCs w:val="24"/>
        </w:rPr>
        <w:t>Staff</w:t>
      </w:r>
      <w:r w:rsidR="002678D7" w:rsidRPr="0029333D">
        <w:rPr>
          <w:b w:val="0"/>
          <w:szCs w:val="24"/>
        </w:rPr>
        <w:t xml:space="preserve"> proposed </w:t>
      </w:r>
      <w:r w:rsidR="00470E0F" w:rsidRPr="0029333D">
        <w:rPr>
          <w:b w:val="0"/>
          <w:szCs w:val="24"/>
        </w:rPr>
        <w:t xml:space="preserve">enhancements </w:t>
      </w:r>
      <w:r w:rsidR="002678D7" w:rsidRPr="0029333D">
        <w:rPr>
          <w:b w:val="0"/>
          <w:szCs w:val="24"/>
        </w:rPr>
        <w:t xml:space="preserve">to </w:t>
      </w:r>
      <w:r w:rsidR="00470E0F" w:rsidRPr="0029333D">
        <w:rPr>
          <w:b w:val="0"/>
          <w:szCs w:val="24"/>
        </w:rPr>
        <w:t>the</w:t>
      </w:r>
      <w:r w:rsidR="002678D7" w:rsidRPr="0029333D">
        <w:rPr>
          <w:b w:val="0"/>
          <w:szCs w:val="24"/>
        </w:rPr>
        <w:t xml:space="preserve"> CBR </w:t>
      </w:r>
      <w:r w:rsidR="00C96C64" w:rsidRPr="0029333D">
        <w:rPr>
          <w:b w:val="0"/>
          <w:szCs w:val="24"/>
        </w:rPr>
        <w:t xml:space="preserve">to develop </w:t>
      </w:r>
      <w:r w:rsidR="00547CF6" w:rsidRPr="0029333D">
        <w:rPr>
          <w:b w:val="0"/>
          <w:szCs w:val="24"/>
        </w:rPr>
        <w:t xml:space="preserve">more appropriate </w:t>
      </w:r>
      <w:r w:rsidR="00C96C64" w:rsidRPr="0029333D">
        <w:rPr>
          <w:b w:val="0"/>
          <w:szCs w:val="24"/>
        </w:rPr>
        <w:t xml:space="preserve">results </w:t>
      </w:r>
      <w:r w:rsidR="00547CF6" w:rsidRPr="0029333D">
        <w:rPr>
          <w:b w:val="0"/>
          <w:szCs w:val="24"/>
        </w:rPr>
        <w:t>for</w:t>
      </w:r>
      <w:r w:rsidR="00C96C64" w:rsidRPr="0029333D">
        <w:rPr>
          <w:b w:val="0"/>
          <w:szCs w:val="24"/>
        </w:rPr>
        <w:t xml:space="preserve"> ratemaking</w:t>
      </w:r>
      <w:r w:rsidR="00DD5379" w:rsidRPr="0029333D">
        <w:rPr>
          <w:b w:val="0"/>
          <w:szCs w:val="24"/>
        </w:rPr>
        <w:t xml:space="preserve"> on a forward</w:t>
      </w:r>
      <w:r w:rsidR="00547CF6" w:rsidRPr="0029333D">
        <w:rPr>
          <w:b w:val="0"/>
          <w:szCs w:val="24"/>
        </w:rPr>
        <w:t>-</w:t>
      </w:r>
      <w:r w:rsidR="00DD5379" w:rsidRPr="0029333D">
        <w:rPr>
          <w:b w:val="0"/>
          <w:szCs w:val="24"/>
        </w:rPr>
        <w:t>looking basis</w:t>
      </w:r>
      <w:r w:rsidR="00C96C64" w:rsidRPr="0029333D">
        <w:rPr>
          <w:b w:val="0"/>
          <w:szCs w:val="24"/>
        </w:rPr>
        <w:t xml:space="preserve">.  </w:t>
      </w:r>
      <w:r w:rsidR="00547CF6" w:rsidRPr="0029333D">
        <w:rPr>
          <w:b w:val="0"/>
          <w:szCs w:val="24"/>
        </w:rPr>
        <w:t>T</w:t>
      </w:r>
      <w:r w:rsidR="00C96C64" w:rsidRPr="0029333D">
        <w:rPr>
          <w:b w:val="0"/>
          <w:szCs w:val="24"/>
        </w:rPr>
        <w:t>he</w:t>
      </w:r>
      <w:r w:rsidR="001723F3" w:rsidRPr="0029333D">
        <w:rPr>
          <w:b w:val="0"/>
          <w:szCs w:val="24"/>
        </w:rPr>
        <w:t xml:space="preserve"> enhanced </w:t>
      </w:r>
      <w:r w:rsidR="00C96C64" w:rsidRPr="0029333D">
        <w:rPr>
          <w:b w:val="0"/>
          <w:szCs w:val="24"/>
        </w:rPr>
        <w:t>CBR propo</w:t>
      </w:r>
      <w:r w:rsidR="00AA76F3" w:rsidRPr="0029333D">
        <w:rPr>
          <w:b w:val="0"/>
          <w:szCs w:val="24"/>
        </w:rPr>
        <w:t xml:space="preserve">sed by </w:t>
      </w:r>
      <w:r w:rsidR="00DD5379" w:rsidRPr="0029333D">
        <w:rPr>
          <w:b w:val="0"/>
          <w:szCs w:val="24"/>
        </w:rPr>
        <w:t>Staff</w:t>
      </w:r>
      <w:r w:rsidR="00AA76F3" w:rsidRPr="0029333D">
        <w:rPr>
          <w:b w:val="0"/>
          <w:szCs w:val="24"/>
        </w:rPr>
        <w:t xml:space="preserve"> </w:t>
      </w:r>
      <w:r w:rsidR="00547CF6" w:rsidRPr="0029333D">
        <w:rPr>
          <w:b w:val="0"/>
          <w:szCs w:val="24"/>
        </w:rPr>
        <w:t xml:space="preserve">in the 2013 Rate Case </w:t>
      </w:r>
      <w:r w:rsidR="00AA76F3" w:rsidRPr="0029333D">
        <w:rPr>
          <w:b w:val="0"/>
          <w:szCs w:val="24"/>
        </w:rPr>
        <w:t>include</w:t>
      </w:r>
      <w:r w:rsidR="00547CF6" w:rsidRPr="0029333D">
        <w:rPr>
          <w:b w:val="0"/>
          <w:szCs w:val="24"/>
        </w:rPr>
        <w:t>d</w:t>
      </w:r>
      <w:r w:rsidR="00AA76F3" w:rsidRPr="0029333D">
        <w:rPr>
          <w:b w:val="0"/>
          <w:szCs w:val="24"/>
        </w:rPr>
        <w:t xml:space="preserve"> </w:t>
      </w:r>
      <w:r w:rsidR="00C96C64" w:rsidRPr="0029333D">
        <w:rPr>
          <w:b w:val="0"/>
          <w:szCs w:val="24"/>
        </w:rPr>
        <w:t>the following</w:t>
      </w:r>
      <w:r w:rsidR="00547CF6" w:rsidRPr="0029333D">
        <w:rPr>
          <w:b w:val="0"/>
          <w:szCs w:val="24"/>
        </w:rPr>
        <w:t xml:space="preserve"> key features</w:t>
      </w:r>
      <w:r w:rsidR="003C40A4" w:rsidRPr="0029333D">
        <w:rPr>
          <w:b w:val="0"/>
          <w:szCs w:val="24"/>
        </w:rPr>
        <w:t>, all of which are included in this filing</w:t>
      </w:r>
      <w:r w:rsidR="00C96C64" w:rsidRPr="0029333D">
        <w:rPr>
          <w:b w:val="0"/>
          <w:szCs w:val="24"/>
        </w:rPr>
        <w:t>:</w:t>
      </w:r>
    </w:p>
    <w:p w:rsidR="00C96C64" w:rsidRPr="0029333D" w:rsidRDefault="00C96C64" w:rsidP="00C96C64">
      <w:pPr>
        <w:pStyle w:val="Question"/>
        <w:numPr>
          <w:ilvl w:val="0"/>
          <w:numId w:val="10"/>
        </w:numPr>
        <w:jc w:val="left"/>
        <w:rPr>
          <w:b w:val="0"/>
          <w:szCs w:val="24"/>
        </w:rPr>
      </w:pPr>
      <w:r w:rsidRPr="0029333D">
        <w:rPr>
          <w:b w:val="0"/>
          <w:szCs w:val="24"/>
        </w:rPr>
        <w:t>Normalizing adjustments to reflect actual operations under normal conditions</w:t>
      </w:r>
      <w:r w:rsidR="0027032B" w:rsidRPr="0029333D">
        <w:rPr>
          <w:b w:val="0"/>
          <w:szCs w:val="24"/>
        </w:rPr>
        <w:t>.</w:t>
      </w:r>
    </w:p>
    <w:p w:rsidR="00C96C64" w:rsidRPr="0029333D" w:rsidRDefault="00C96C64" w:rsidP="00C96C64">
      <w:pPr>
        <w:pStyle w:val="Question"/>
        <w:numPr>
          <w:ilvl w:val="0"/>
          <w:numId w:val="10"/>
        </w:numPr>
        <w:jc w:val="left"/>
        <w:rPr>
          <w:b w:val="0"/>
          <w:szCs w:val="24"/>
        </w:rPr>
      </w:pPr>
      <w:r w:rsidRPr="0029333D">
        <w:rPr>
          <w:b w:val="0"/>
          <w:szCs w:val="24"/>
        </w:rPr>
        <w:t>Adjustments accepted by the Commission in the Company’s most recent general rate case, or subsequent orders</w:t>
      </w:r>
      <w:r w:rsidR="0027032B" w:rsidRPr="0029333D">
        <w:rPr>
          <w:b w:val="0"/>
          <w:szCs w:val="24"/>
        </w:rPr>
        <w:t>.</w:t>
      </w:r>
    </w:p>
    <w:p w:rsidR="00C96C64" w:rsidRPr="0029333D" w:rsidRDefault="00C96C64" w:rsidP="00C96C64">
      <w:pPr>
        <w:pStyle w:val="Question"/>
        <w:numPr>
          <w:ilvl w:val="0"/>
          <w:numId w:val="10"/>
        </w:numPr>
        <w:jc w:val="left"/>
        <w:rPr>
          <w:b w:val="0"/>
          <w:szCs w:val="24"/>
        </w:rPr>
      </w:pPr>
      <w:r w:rsidRPr="0029333D">
        <w:rPr>
          <w:b w:val="0"/>
          <w:szCs w:val="24"/>
        </w:rPr>
        <w:lastRenderedPageBreak/>
        <w:t>Removal of any material</w:t>
      </w:r>
      <w:r w:rsidR="00CD7E7B" w:rsidRPr="0029333D">
        <w:rPr>
          <w:b w:val="0"/>
          <w:szCs w:val="24"/>
        </w:rPr>
        <w:t xml:space="preserve"> items</w:t>
      </w:r>
      <w:r w:rsidRPr="0029333D">
        <w:rPr>
          <w:b w:val="0"/>
          <w:szCs w:val="24"/>
        </w:rPr>
        <w:t xml:space="preserve"> distorting factors in revenues, expenses, and rate base, such as out-of-period, non-operating, non-recurring, and extraordinary items.</w:t>
      </w:r>
    </w:p>
    <w:p w:rsidR="00AA76F3" w:rsidRPr="0029333D" w:rsidRDefault="00AA76F3" w:rsidP="00C96C64">
      <w:pPr>
        <w:pStyle w:val="Question"/>
        <w:numPr>
          <w:ilvl w:val="0"/>
          <w:numId w:val="10"/>
        </w:numPr>
        <w:jc w:val="left"/>
        <w:rPr>
          <w:b w:val="0"/>
          <w:szCs w:val="24"/>
        </w:rPr>
      </w:pPr>
      <w:r w:rsidRPr="0029333D">
        <w:rPr>
          <w:b w:val="0"/>
          <w:szCs w:val="24"/>
        </w:rPr>
        <w:t>Wage, price, and cost changes during the reporting year to be applied across the year.  Examples include:</w:t>
      </w:r>
    </w:p>
    <w:p w:rsidR="00C96C64" w:rsidRPr="0029333D" w:rsidRDefault="0027032B" w:rsidP="00AA76F3">
      <w:pPr>
        <w:pStyle w:val="Question"/>
        <w:numPr>
          <w:ilvl w:val="1"/>
          <w:numId w:val="10"/>
        </w:numPr>
        <w:jc w:val="left"/>
        <w:rPr>
          <w:b w:val="0"/>
          <w:szCs w:val="24"/>
        </w:rPr>
      </w:pPr>
      <w:r w:rsidRPr="0029333D">
        <w:rPr>
          <w:b w:val="0"/>
          <w:szCs w:val="24"/>
        </w:rPr>
        <w:t>W</w:t>
      </w:r>
      <w:r w:rsidR="00AA76F3" w:rsidRPr="0029333D">
        <w:rPr>
          <w:b w:val="0"/>
          <w:szCs w:val="24"/>
        </w:rPr>
        <w:t>age increases during the year to be expressed for the full year for known and implemented wage changes</w:t>
      </w:r>
      <w:r w:rsidR="0029333D">
        <w:rPr>
          <w:b w:val="0"/>
          <w:szCs w:val="24"/>
        </w:rPr>
        <w:t>;</w:t>
      </w:r>
    </w:p>
    <w:p w:rsidR="00AA76F3" w:rsidRPr="0029333D" w:rsidRDefault="00AA76F3" w:rsidP="00AA76F3">
      <w:pPr>
        <w:pStyle w:val="Question"/>
        <w:numPr>
          <w:ilvl w:val="1"/>
          <w:numId w:val="10"/>
        </w:numPr>
        <w:jc w:val="left"/>
        <w:rPr>
          <w:b w:val="0"/>
          <w:szCs w:val="24"/>
        </w:rPr>
      </w:pPr>
      <w:r w:rsidRPr="0029333D">
        <w:rPr>
          <w:b w:val="0"/>
          <w:szCs w:val="24"/>
        </w:rPr>
        <w:t xml:space="preserve">Price changes to </w:t>
      </w:r>
      <w:r w:rsidR="008F0977" w:rsidRPr="0029333D">
        <w:rPr>
          <w:b w:val="0"/>
          <w:szCs w:val="24"/>
        </w:rPr>
        <w:t>reflect</w:t>
      </w:r>
      <w:r w:rsidR="0029333D">
        <w:rPr>
          <w:b w:val="0"/>
          <w:szCs w:val="24"/>
        </w:rPr>
        <w:t xml:space="preserve"> the annualized </w:t>
      </w:r>
      <w:r w:rsidR="008F0977" w:rsidRPr="0029333D">
        <w:rPr>
          <w:b w:val="0"/>
          <w:szCs w:val="24"/>
        </w:rPr>
        <w:t xml:space="preserve">impact </w:t>
      </w:r>
      <w:r w:rsidRPr="0029333D">
        <w:rPr>
          <w:b w:val="0"/>
          <w:szCs w:val="24"/>
        </w:rPr>
        <w:t>to any Commission-ordered rate changes during or after the report year</w:t>
      </w:r>
      <w:r w:rsidR="0029333D">
        <w:rPr>
          <w:b w:val="0"/>
          <w:szCs w:val="24"/>
        </w:rPr>
        <w:t>; and</w:t>
      </w:r>
    </w:p>
    <w:p w:rsidR="00AA76F3" w:rsidRPr="0029333D" w:rsidRDefault="00AA76F3" w:rsidP="00AA76F3">
      <w:pPr>
        <w:pStyle w:val="Question"/>
        <w:numPr>
          <w:ilvl w:val="1"/>
          <w:numId w:val="10"/>
        </w:numPr>
        <w:jc w:val="left"/>
        <w:rPr>
          <w:b w:val="0"/>
          <w:szCs w:val="24"/>
        </w:rPr>
      </w:pPr>
      <w:r w:rsidRPr="0029333D">
        <w:rPr>
          <w:b w:val="0"/>
          <w:szCs w:val="24"/>
        </w:rPr>
        <w:t xml:space="preserve">Annualizing </w:t>
      </w:r>
      <w:r w:rsidR="00DD5379" w:rsidRPr="0029333D">
        <w:rPr>
          <w:b w:val="0"/>
          <w:szCs w:val="24"/>
        </w:rPr>
        <w:t>(</w:t>
      </w:r>
      <w:r w:rsidR="00547CF6" w:rsidRPr="0029333D">
        <w:rPr>
          <w:b w:val="0"/>
          <w:szCs w:val="24"/>
        </w:rPr>
        <w:t xml:space="preserve">through </w:t>
      </w:r>
      <w:r w:rsidR="00DD5379" w:rsidRPr="0029333D">
        <w:rPr>
          <w:b w:val="0"/>
          <w:szCs w:val="24"/>
        </w:rPr>
        <w:t xml:space="preserve">use of EOP) </w:t>
      </w:r>
      <w:r w:rsidRPr="0029333D">
        <w:rPr>
          <w:b w:val="0"/>
          <w:szCs w:val="24"/>
        </w:rPr>
        <w:t xml:space="preserve">rate base </w:t>
      </w:r>
      <w:r w:rsidR="00DD5379" w:rsidRPr="0029333D">
        <w:rPr>
          <w:b w:val="0"/>
          <w:szCs w:val="24"/>
        </w:rPr>
        <w:t xml:space="preserve">for new </w:t>
      </w:r>
      <w:r w:rsidRPr="0029333D">
        <w:rPr>
          <w:b w:val="0"/>
          <w:szCs w:val="24"/>
        </w:rPr>
        <w:t>additions of the year by allowing a full year of depreciation costs and associated accumulated depreciation for those rate base additions</w:t>
      </w:r>
      <w:r w:rsidR="0029333D">
        <w:rPr>
          <w:b w:val="0"/>
          <w:szCs w:val="24"/>
        </w:rPr>
        <w:t>.</w:t>
      </w:r>
    </w:p>
    <w:p w:rsidR="00AA76F3" w:rsidRPr="0029333D" w:rsidRDefault="00AA76F3" w:rsidP="00AA76F3">
      <w:pPr>
        <w:pStyle w:val="Question"/>
        <w:numPr>
          <w:ilvl w:val="0"/>
          <w:numId w:val="10"/>
        </w:numPr>
        <w:jc w:val="left"/>
        <w:rPr>
          <w:b w:val="0"/>
          <w:szCs w:val="24"/>
        </w:rPr>
      </w:pPr>
      <w:r w:rsidRPr="0029333D">
        <w:rPr>
          <w:b w:val="0"/>
          <w:szCs w:val="24"/>
        </w:rPr>
        <w:t>No updates or changes to the authorized rate of return</w:t>
      </w:r>
      <w:r w:rsidR="0027032B" w:rsidRPr="0029333D">
        <w:rPr>
          <w:b w:val="0"/>
          <w:szCs w:val="24"/>
        </w:rPr>
        <w:t>.</w:t>
      </w:r>
    </w:p>
    <w:p w:rsidR="006028EC" w:rsidRPr="0029333D" w:rsidRDefault="006832E0" w:rsidP="00525ECE">
      <w:pPr>
        <w:pStyle w:val="Question"/>
        <w:ind w:firstLine="720"/>
        <w:jc w:val="left"/>
        <w:rPr>
          <w:b w:val="0"/>
          <w:szCs w:val="24"/>
        </w:rPr>
      </w:pPr>
      <w:r w:rsidRPr="0029333D">
        <w:rPr>
          <w:b w:val="0"/>
          <w:szCs w:val="24"/>
        </w:rPr>
        <w:t xml:space="preserve">In the 2013 Rate Case, </w:t>
      </w:r>
      <w:r w:rsidR="00547CF6" w:rsidRPr="0029333D">
        <w:rPr>
          <w:b w:val="0"/>
          <w:szCs w:val="24"/>
        </w:rPr>
        <w:t>Public Counsel generally agreed with Staff’s ERF process and procedures, with some modifications.</w:t>
      </w:r>
      <w:r w:rsidR="00547CF6" w:rsidRPr="0029333D">
        <w:rPr>
          <w:rStyle w:val="FootnoteReference"/>
          <w:b w:val="0"/>
          <w:szCs w:val="24"/>
        </w:rPr>
        <w:footnoteReference w:id="2"/>
      </w:r>
      <w:r w:rsidR="00547CF6" w:rsidRPr="0029333D">
        <w:rPr>
          <w:szCs w:val="24"/>
        </w:rPr>
        <w:t xml:space="preserve">  </w:t>
      </w:r>
    </w:p>
    <w:p w:rsidR="00D827B8" w:rsidRDefault="006028EC" w:rsidP="00D827B8">
      <w:pPr>
        <w:pStyle w:val="Answer"/>
        <w:widowControl w:val="0"/>
        <w:jc w:val="left"/>
        <w:rPr>
          <w:b/>
          <w:szCs w:val="24"/>
        </w:rPr>
      </w:pPr>
      <w:r w:rsidRPr="0029333D">
        <w:rPr>
          <w:b/>
          <w:szCs w:val="24"/>
        </w:rPr>
        <w:t>Q</w:t>
      </w:r>
      <w:r w:rsidR="006832E0" w:rsidRPr="0029333D">
        <w:rPr>
          <w:b/>
          <w:szCs w:val="24"/>
        </w:rPr>
        <w:t>.</w:t>
      </w:r>
      <w:r w:rsidRPr="0029333D">
        <w:rPr>
          <w:b/>
          <w:szCs w:val="24"/>
        </w:rPr>
        <w:tab/>
      </w:r>
      <w:r w:rsidR="00224255" w:rsidRPr="0029333D">
        <w:rPr>
          <w:b/>
          <w:szCs w:val="24"/>
        </w:rPr>
        <w:t>Is</w:t>
      </w:r>
      <w:r w:rsidRPr="0029333D">
        <w:rPr>
          <w:b/>
          <w:szCs w:val="24"/>
        </w:rPr>
        <w:t xml:space="preserve"> the Company </w:t>
      </w:r>
      <w:r w:rsidR="00224255" w:rsidRPr="0029333D">
        <w:rPr>
          <w:b/>
          <w:szCs w:val="24"/>
        </w:rPr>
        <w:t>proposing</w:t>
      </w:r>
      <w:r w:rsidRPr="0029333D">
        <w:rPr>
          <w:b/>
          <w:szCs w:val="24"/>
        </w:rPr>
        <w:t xml:space="preserve"> E</w:t>
      </w:r>
      <w:r w:rsidR="009403E4" w:rsidRPr="0029333D">
        <w:rPr>
          <w:b/>
          <w:szCs w:val="24"/>
        </w:rPr>
        <w:t xml:space="preserve">OP </w:t>
      </w:r>
      <w:r w:rsidRPr="0029333D">
        <w:rPr>
          <w:b/>
          <w:szCs w:val="24"/>
        </w:rPr>
        <w:t>rate base in this proceeding?</w:t>
      </w:r>
    </w:p>
    <w:p w:rsidR="004C5453" w:rsidRPr="00D827B8" w:rsidRDefault="00D827B8" w:rsidP="00D827B8">
      <w:pPr>
        <w:pStyle w:val="Answer"/>
        <w:widowControl w:val="0"/>
        <w:jc w:val="left"/>
        <w:rPr>
          <w:b/>
          <w:szCs w:val="24"/>
        </w:rPr>
      </w:pPr>
      <w:r w:rsidRPr="00D827B8">
        <w:rPr>
          <w:szCs w:val="24"/>
        </w:rPr>
        <w:t>A.</w:t>
      </w:r>
      <w:r>
        <w:rPr>
          <w:szCs w:val="24"/>
        </w:rPr>
        <w:tab/>
      </w:r>
      <w:r w:rsidR="006028EC" w:rsidRPr="0029333D">
        <w:rPr>
          <w:szCs w:val="24"/>
        </w:rPr>
        <w:t xml:space="preserve">Yes, the Company is proposing EOP rate base for historical plant balances.  The use of EOP rate base </w:t>
      </w:r>
      <w:r w:rsidR="006832E0" w:rsidRPr="0029333D">
        <w:rPr>
          <w:szCs w:val="24"/>
        </w:rPr>
        <w:t>a</w:t>
      </w:r>
      <w:r w:rsidR="006028EC" w:rsidRPr="0029333D">
        <w:rPr>
          <w:szCs w:val="24"/>
        </w:rPr>
        <w:t xml:space="preserve">nnualizes new rate base additions in the historical period, consistent with Staff’s </w:t>
      </w:r>
      <w:r w:rsidR="003C40A4" w:rsidRPr="0029333D">
        <w:rPr>
          <w:szCs w:val="24"/>
        </w:rPr>
        <w:t xml:space="preserve">recommendation for the </w:t>
      </w:r>
      <w:r w:rsidR="001723F3" w:rsidRPr="0029333D">
        <w:rPr>
          <w:szCs w:val="24"/>
        </w:rPr>
        <w:t xml:space="preserve">enhanced </w:t>
      </w:r>
      <w:r w:rsidR="003C40A4" w:rsidRPr="0029333D">
        <w:rPr>
          <w:szCs w:val="24"/>
        </w:rPr>
        <w:t xml:space="preserve">CBR in </w:t>
      </w:r>
      <w:r w:rsidR="006028EC" w:rsidRPr="0029333D">
        <w:rPr>
          <w:szCs w:val="24"/>
        </w:rPr>
        <w:t xml:space="preserve">the 2013 </w:t>
      </w:r>
      <w:r w:rsidR="004C5453" w:rsidRPr="0029333D">
        <w:rPr>
          <w:szCs w:val="24"/>
        </w:rPr>
        <w:t>Rate Case.</w:t>
      </w:r>
      <w:r w:rsidR="006028EC" w:rsidRPr="0029333D">
        <w:rPr>
          <w:szCs w:val="24"/>
        </w:rPr>
        <w:t xml:space="preserve"> </w:t>
      </w:r>
      <w:r w:rsidR="006832E0" w:rsidRPr="0029333D">
        <w:rPr>
          <w:szCs w:val="24"/>
        </w:rPr>
        <w:t xml:space="preserve"> </w:t>
      </w:r>
      <w:r w:rsidR="004C5453" w:rsidRPr="0029333D">
        <w:rPr>
          <w:szCs w:val="24"/>
        </w:rPr>
        <w:t>Corresponding</w:t>
      </w:r>
      <w:r w:rsidR="00224255" w:rsidRPr="0029333D">
        <w:rPr>
          <w:szCs w:val="24"/>
        </w:rPr>
        <w:t>ly</w:t>
      </w:r>
      <w:r w:rsidR="004C5453" w:rsidRPr="0029333D">
        <w:rPr>
          <w:szCs w:val="24"/>
        </w:rPr>
        <w:t xml:space="preserve">, the Company has also prepared adjustments to reflect EOP accumulated reserves, and an annualized level of depreciation expense on existing </w:t>
      </w:r>
      <w:r w:rsidR="008F0977" w:rsidRPr="0029333D">
        <w:rPr>
          <w:szCs w:val="24"/>
        </w:rPr>
        <w:t>investments</w:t>
      </w:r>
      <w:r w:rsidR="004C5453" w:rsidRPr="0029333D">
        <w:rPr>
          <w:szCs w:val="24"/>
        </w:rPr>
        <w:t xml:space="preserve">.  </w:t>
      </w:r>
    </w:p>
    <w:p w:rsidR="006832E0" w:rsidRPr="0029333D" w:rsidRDefault="006832E0" w:rsidP="00E440B1">
      <w:pPr>
        <w:pStyle w:val="Answer"/>
        <w:widowControl w:val="0"/>
        <w:jc w:val="left"/>
        <w:rPr>
          <w:b/>
          <w:szCs w:val="24"/>
        </w:rPr>
      </w:pPr>
      <w:r w:rsidRPr="0029333D">
        <w:rPr>
          <w:b/>
          <w:szCs w:val="24"/>
        </w:rPr>
        <w:lastRenderedPageBreak/>
        <w:t>Q.</w:t>
      </w:r>
      <w:r w:rsidRPr="0029333D">
        <w:rPr>
          <w:b/>
          <w:szCs w:val="24"/>
        </w:rPr>
        <w:tab/>
        <w:t>Why is the Company proposing EOP rate base?</w:t>
      </w:r>
    </w:p>
    <w:p w:rsidR="006028EC" w:rsidRPr="0029333D" w:rsidRDefault="006832E0" w:rsidP="00E440B1">
      <w:pPr>
        <w:pStyle w:val="Answer"/>
        <w:widowControl w:val="0"/>
        <w:jc w:val="left"/>
        <w:rPr>
          <w:szCs w:val="24"/>
        </w:rPr>
      </w:pPr>
      <w:r w:rsidRPr="0029333D">
        <w:rPr>
          <w:szCs w:val="24"/>
        </w:rPr>
        <w:t>A.</w:t>
      </w:r>
      <w:r w:rsidRPr="0029333D">
        <w:rPr>
          <w:b/>
          <w:szCs w:val="24"/>
        </w:rPr>
        <w:tab/>
      </w:r>
      <w:r w:rsidRPr="0029333D">
        <w:rPr>
          <w:szCs w:val="24"/>
        </w:rPr>
        <w:t>EOP rate base is</w:t>
      </w:r>
      <w:r w:rsidR="006028EC" w:rsidRPr="0029333D">
        <w:rPr>
          <w:szCs w:val="24"/>
        </w:rPr>
        <w:t xml:space="preserve"> a practical means of reducing regulatory lag on plant additions that are used and useful in serving customers. </w:t>
      </w:r>
      <w:r w:rsidRPr="0029333D">
        <w:rPr>
          <w:szCs w:val="24"/>
        </w:rPr>
        <w:t xml:space="preserve"> T</w:t>
      </w:r>
      <w:r w:rsidR="006028EC" w:rsidRPr="0029333D">
        <w:rPr>
          <w:szCs w:val="24"/>
        </w:rPr>
        <w:t xml:space="preserve">he use of EOP rate base furthers the Commission’s policy goal of breaking the cycle of continuous </w:t>
      </w:r>
      <w:r w:rsidR="008F0977" w:rsidRPr="0029333D">
        <w:rPr>
          <w:szCs w:val="24"/>
        </w:rPr>
        <w:t>general rate case</w:t>
      </w:r>
      <w:r w:rsidR="003C40A4" w:rsidRPr="0029333D">
        <w:rPr>
          <w:szCs w:val="24"/>
        </w:rPr>
        <w:t>s</w:t>
      </w:r>
      <w:r w:rsidR="006028EC" w:rsidRPr="0029333D">
        <w:rPr>
          <w:szCs w:val="24"/>
        </w:rPr>
        <w:t xml:space="preserve"> by enhancing the viability of the Company’s proposed two-year rate plan, which is </w:t>
      </w:r>
      <w:r w:rsidRPr="0029333D">
        <w:rPr>
          <w:szCs w:val="24"/>
        </w:rPr>
        <w:t xml:space="preserve">designed to </w:t>
      </w:r>
      <w:r w:rsidR="006028EC" w:rsidRPr="0029333D">
        <w:rPr>
          <w:szCs w:val="24"/>
        </w:rPr>
        <w:t>provid</w:t>
      </w:r>
      <w:r w:rsidRPr="0029333D">
        <w:rPr>
          <w:szCs w:val="24"/>
        </w:rPr>
        <w:t>e</w:t>
      </w:r>
      <w:r w:rsidR="006028EC" w:rsidRPr="0029333D">
        <w:rPr>
          <w:szCs w:val="24"/>
        </w:rPr>
        <w:t xml:space="preserve"> rate stability to customers while affording the Company a reasonable opportunity </w:t>
      </w:r>
      <w:r w:rsidRPr="0029333D">
        <w:rPr>
          <w:szCs w:val="24"/>
        </w:rPr>
        <w:t xml:space="preserve">to </w:t>
      </w:r>
      <w:r w:rsidR="006028EC" w:rsidRPr="0029333D">
        <w:rPr>
          <w:szCs w:val="24"/>
        </w:rPr>
        <w:t>earn</w:t>
      </w:r>
      <w:r w:rsidRPr="0029333D">
        <w:rPr>
          <w:szCs w:val="24"/>
        </w:rPr>
        <w:t xml:space="preserve"> its </w:t>
      </w:r>
      <w:r w:rsidR="006028EC" w:rsidRPr="0029333D">
        <w:rPr>
          <w:szCs w:val="24"/>
        </w:rPr>
        <w:t>authorized rate of return.</w:t>
      </w:r>
      <w:r w:rsidR="00E118A2" w:rsidRPr="0029333D">
        <w:rPr>
          <w:szCs w:val="24"/>
        </w:rPr>
        <w:t xml:space="preserve">  </w:t>
      </w:r>
      <w:r w:rsidR="001723F3" w:rsidRPr="0029333D">
        <w:rPr>
          <w:szCs w:val="24"/>
        </w:rPr>
        <w:t xml:space="preserve">EOP rate base provide a better indication of balances and depreciation expense expected during the two-year rate plan by using the per books balances for the last month of the Test Period. </w:t>
      </w:r>
      <w:r w:rsidR="00614396">
        <w:rPr>
          <w:szCs w:val="24"/>
        </w:rPr>
        <w:t xml:space="preserve"> </w:t>
      </w:r>
      <w:r w:rsidR="00E118A2" w:rsidRPr="0029333D">
        <w:rPr>
          <w:szCs w:val="24"/>
        </w:rPr>
        <w:t xml:space="preserve">With the two-year rate plan in place, the effective date of the Company’s next general rate case will be </w:t>
      </w:r>
      <w:r w:rsidR="008F0977" w:rsidRPr="0029333D">
        <w:rPr>
          <w:szCs w:val="24"/>
        </w:rPr>
        <w:t>no earlier than April</w:t>
      </w:r>
      <w:r w:rsidR="00E118A2" w:rsidRPr="0029333D">
        <w:rPr>
          <w:szCs w:val="24"/>
        </w:rPr>
        <w:t xml:space="preserve"> 1, 2018.</w:t>
      </w:r>
      <w:r w:rsidR="006028EC" w:rsidRPr="0029333D">
        <w:rPr>
          <w:szCs w:val="24"/>
        </w:rPr>
        <w:t xml:space="preserve">  </w:t>
      </w:r>
      <w:r w:rsidRPr="0029333D">
        <w:rPr>
          <w:szCs w:val="24"/>
        </w:rPr>
        <w:t>In the Company’s 2013 Rate Case, the Commission approved the use of EOP rate base as an appropriate response to regulatory lag.</w:t>
      </w:r>
      <w:r w:rsidRPr="0029333D">
        <w:rPr>
          <w:rStyle w:val="FootnoteReference"/>
          <w:szCs w:val="24"/>
        </w:rPr>
        <w:footnoteReference w:id="3"/>
      </w:r>
      <w:r w:rsidRPr="0029333D">
        <w:rPr>
          <w:szCs w:val="24"/>
        </w:rPr>
        <w:t xml:space="preserve">  Applying the same rationale, the Commission has also approved EOP rate base for P</w:t>
      </w:r>
      <w:r w:rsidR="004A4847" w:rsidRPr="0029333D">
        <w:rPr>
          <w:szCs w:val="24"/>
        </w:rPr>
        <w:t xml:space="preserve">uget </w:t>
      </w:r>
      <w:r w:rsidRPr="0029333D">
        <w:rPr>
          <w:szCs w:val="24"/>
        </w:rPr>
        <w:t>S</w:t>
      </w:r>
      <w:r w:rsidR="004A4847" w:rsidRPr="0029333D">
        <w:rPr>
          <w:szCs w:val="24"/>
        </w:rPr>
        <w:t xml:space="preserve">ound </w:t>
      </w:r>
      <w:r w:rsidRPr="0029333D">
        <w:rPr>
          <w:szCs w:val="24"/>
        </w:rPr>
        <w:t>E</w:t>
      </w:r>
      <w:r w:rsidR="004A4847" w:rsidRPr="0029333D">
        <w:rPr>
          <w:szCs w:val="24"/>
        </w:rPr>
        <w:t>nergy</w:t>
      </w:r>
      <w:r w:rsidRPr="0029333D">
        <w:rPr>
          <w:szCs w:val="24"/>
        </w:rPr>
        <w:t>.</w:t>
      </w:r>
      <w:r w:rsidRPr="0029333D">
        <w:rPr>
          <w:rStyle w:val="FootnoteReference"/>
          <w:szCs w:val="24"/>
        </w:rPr>
        <w:footnoteReference w:id="4"/>
      </w:r>
      <w:r w:rsidRPr="0029333D">
        <w:rPr>
          <w:szCs w:val="24"/>
        </w:rPr>
        <w:t xml:space="preserve">  </w:t>
      </w:r>
      <w:r w:rsidR="009403E4" w:rsidRPr="0029333D">
        <w:rPr>
          <w:szCs w:val="24"/>
        </w:rPr>
        <w:t>Additional policy considerations rega</w:t>
      </w:r>
      <w:r w:rsidR="00081DBF" w:rsidRPr="0029333D">
        <w:rPr>
          <w:szCs w:val="24"/>
        </w:rPr>
        <w:t>rding the use of EOP rate base</w:t>
      </w:r>
      <w:r w:rsidR="001723F3" w:rsidRPr="0029333D">
        <w:rPr>
          <w:szCs w:val="24"/>
        </w:rPr>
        <w:t xml:space="preserve"> and how it can be a tool for the Commission to address earnings attrition</w:t>
      </w:r>
      <w:r w:rsidR="00081DBF" w:rsidRPr="0029333D">
        <w:rPr>
          <w:szCs w:val="24"/>
        </w:rPr>
        <w:t xml:space="preserve"> </w:t>
      </w:r>
      <w:r w:rsidR="009403E4" w:rsidRPr="0029333D">
        <w:rPr>
          <w:szCs w:val="24"/>
        </w:rPr>
        <w:t xml:space="preserve">are discussed in Mr. Dalley’s testimony. </w:t>
      </w:r>
    </w:p>
    <w:p w:rsidR="00224255" w:rsidRPr="0029333D" w:rsidRDefault="00224255" w:rsidP="00224255">
      <w:pPr>
        <w:pStyle w:val="Question"/>
        <w:jc w:val="left"/>
        <w:rPr>
          <w:szCs w:val="24"/>
        </w:rPr>
      </w:pPr>
      <w:r w:rsidRPr="0029333D">
        <w:rPr>
          <w:szCs w:val="24"/>
        </w:rPr>
        <w:t>Q.</w:t>
      </w:r>
      <w:r w:rsidRPr="0029333D">
        <w:rPr>
          <w:szCs w:val="24"/>
        </w:rPr>
        <w:tab/>
        <w:t xml:space="preserve">Why has the Company </w:t>
      </w:r>
      <w:r w:rsidR="009403E4" w:rsidRPr="0029333D">
        <w:rPr>
          <w:szCs w:val="24"/>
        </w:rPr>
        <w:t xml:space="preserve">proposed </w:t>
      </w:r>
      <w:r w:rsidRPr="0029333D">
        <w:rPr>
          <w:szCs w:val="24"/>
        </w:rPr>
        <w:t>a mid-year CBR as the basis of this ERF?</w:t>
      </w:r>
    </w:p>
    <w:p w:rsidR="00224255" w:rsidRPr="0029333D" w:rsidRDefault="00224255" w:rsidP="00525ECE">
      <w:pPr>
        <w:pStyle w:val="Answer"/>
        <w:widowControl w:val="0"/>
        <w:jc w:val="left"/>
        <w:rPr>
          <w:b/>
          <w:szCs w:val="24"/>
        </w:rPr>
      </w:pPr>
      <w:r w:rsidRPr="0029333D">
        <w:rPr>
          <w:szCs w:val="24"/>
        </w:rPr>
        <w:t>A.</w:t>
      </w:r>
      <w:r w:rsidRPr="0029333D">
        <w:rPr>
          <w:b/>
          <w:szCs w:val="24"/>
        </w:rPr>
        <w:tab/>
      </w:r>
      <w:r w:rsidRPr="0029333D">
        <w:rPr>
          <w:szCs w:val="24"/>
        </w:rPr>
        <w:t xml:space="preserve">Results for </w:t>
      </w:r>
      <w:r w:rsidR="009403E4" w:rsidRPr="0029333D">
        <w:rPr>
          <w:szCs w:val="24"/>
        </w:rPr>
        <w:t xml:space="preserve">the </w:t>
      </w:r>
      <w:r w:rsidRPr="0029333D">
        <w:rPr>
          <w:szCs w:val="24"/>
        </w:rPr>
        <w:t>12 months ended June 30, 2015</w:t>
      </w:r>
      <w:r w:rsidR="001723F3" w:rsidRPr="0029333D">
        <w:rPr>
          <w:szCs w:val="24"/>
        </w:rPr>
        <w:t>,</w:t>
      </w:r>
      <w:r w:rsidRPr="0029333D">
        <w:rPr>
          <w:szCs w:val="24"/>
        </w:rPr>
        <w:t xml:space="preserve"> </w:t>
      </w:r>
      <w:r w:rsidR="001723F3" w:rsidRPr="0029333D">
        <w:rPr>
          <w:szCs w:val="24"/>
        </w:rPr>
        <w:t xml:space="preserve">reflect </w:t>
      </w:r>
      <w:r w:rsidRPr="0029333D">
        <w:rPr>
          <w:szCs w:val="24"/>
        </w:rPr>
        <w:t xml:space="preserve">the </w:t>
      </w:r>
      <w:r w:rsidR="001723F3" w:rsidRPr="0029333D">
        <w:rPr>
          <w:szCs w:val="24"/>
        </w:rPr>
        <w:t>latest</w:t>
      </w:r>
      <w:r w:rsidRPr="0029333D">
        <w:rPr>
          <w:szCs w:val="24"/>
        </w:rPr>
        <w:t xml:space="preserve"> available </w:t>
      </w:r>
      <w:r w:rsidR="001723F3" w:rsidRPr="0029333D">
        <w:rPr>
          <w:szCs w:val="24"/>
        </w:rPr>
        <w:t xml:space="preserve">Washington-allocated 12-month period of </w:t>
      </w:r>
      <w:r w:rsidRPr="0029333D">
        <w:rPr>
          <w:szCs w:val="24"/>
        </w:rPr>
        <w:t xml:space="preserve">data </w:t>
      </w:r>
      <w:r w:rsidR="001723F3" w:rsidRPr="0029333D">
        <w:rPr>
          <w:szCs w:val="24"/>
        </w:rPr>
        <w:t xml:space="preserve">at the time the </w:t>
      </w:r>
      <w:r w:rsidR="00BE0416" w:rsidRPr="0029333D">
        <w:rPr>
          <w:szCs w:val="24"/>
        </w:rPr>
        <w:t>Company prepared th</w:t>
      </w:r>
      <w:r w:rsidR="006832E0" w:rsidRPr="0029333D">
        <w:rPr>
          <w:szCs w:val="24"/>
        </w:rPr>
        <w:t xml:space="preserve">is </w:t>
      </w:r>
      <w:r w:rsidR="001723F3" w:rsidRPr="0029333D">
        <w:rPr>
          <w:szCs w:val="24"/>
        </w:rPr>
        <w:t>filing</w:t>
      </w:r>
      <w:r w:rsidRPr="0029333D">
        <w:rPr>
          <w:szCs w:val="24"/>
        </w:rPr>
        <w:t xml:space="preserve">.  </w:t>
      </w:r>
      <w:r w:rsidR="00BE0416" w:rsidRPr="0029333D">
        <w:rPr>
          <w:szCs w:val="24"/>
        </w:rPr>
        <w:t xml:space="preserve">During the rate plan, </w:t>
      </w:r>
      <w:r w:rsidRPr="0029333D">
        <w:rPr>
          <w:szCs w:val="24"/>
        </w:rPr>
        <w:t>the Company commit</w:t>
      </w:r>
      <w:r w:rsidR="009403E4" w:rsidRPr="0029333D">
        <w:rPr>
          <w:szCs w:val="24"/>
        </w:rPr>
        <w:t>s</w:t>
      </w:r>
      <w:r w:rsidRPr="0029333D">
        <w:rPr>
          <w:szCs w:val="24"/>
        </w:rPr>
        <w:t xml:space="preserve"> to filing mid-year CBRs, in addition to the annual CBRs filed in</w:t>
      </w:r>
      <w:r w:rsidR="00614396">
        <w:rPr>
          <w:szCs w:val="24"/>
        </w:rPr>
        <w:t xml:space="preserve"> April of each year</w:t>
      </w:r>
      <w:r w:rsidRPr="0029333D">
        <w:rPr>
          <w:szCs w:val="24"/>
        </w:rPr>
        <w:t xml:space="preserve">.  These mid-year CBRs will be filed </w:t>
      </w:r>
      <w:r w:rsidR="004577A7" w:rsidRPr="0029333D">
        <w:rPr>
          <w:szCs w:val="24"/>
        </w:rPr>
        <w:t>by the end of October</w:t>
      </w:r>
      <w:r w:rsidRPr="0029333D">
        <w:rPr>
          <w:szCs w:val="24"/>
        </w:rPr>
        <w:t xml:space="preserve"> </w:t>
      </w:r>
      <w:r w:rsidR="004577A7" w:rsidRPr="0029333D">
        <w:rPr>
          <w:szCs w:val="24"/>
        </w:rPr>
        <w:t>each year</w:t>
      </w:r>
      <w:r w:rsidRPr="0029333D">
        <w:rPr>
          <w:szCs w:val="24"/>
        </w:rPr>
        <w:t>.</w:t>
      </w:r>
    </w:p>
    <w:p w:rsidR="002F5C49" w:rsidRPr="0029333D" w:rsidRDefault="002F5C49" w:rsidP="00525ECE">
      <w:pPr>
        <w:pStyle w:val="Question"/>
        <w:jc w:val="left"/>
        <w:rPr>
          <w:szCs w:val="24"/>
        </w:rPr>
      </w:pPr>
      <w:r w:rsidRPr="0029333D">
        <w:rPr>
          <w:szCs w:val="24"/>
        </w:rPr>
        <w:lastRenderedPageBreak/>
        <w:t>Q.</w:t>
      </w:r>
      <w:r w:rsidRPr="0029333D">
        <w:rPr>
          <w:szCs w:val="24"/>
        </w:rPr>
        <w:tab/>
        <w:t xml:space="preserve">Please explain </w:t>
      </w:r>
      <w:r w:rsidR="009403E4" w:rsidRPr="0029333D">
        <w:rPr>
          <w:szCs w:val="24"/>
        </w:rPr>
        <w:t xml:space="preserve">the </w:t>
      </w:r>
      <w:r w:rsidRPr="0029333D">
        <w:rPr>
          <w:szCs w:val="24"/>
        </w:rPr>
        <w:t xml:space="preserve">costs </w:t>
      </w:r>
      <w:r w:rsidR="009403E4" w:rsidRPr="0029333D">
        <w:rPr>
          <w:szCs w:val="24"/>
        </w:rPr>
        <w:t xml:space="preserve">that </w:t>
      </w:r>
      <w:r w:rsidRPr="0029333D">
        <w:rPr>
          <w:szCs w:val="24"/>
        </w:rPr>
        <w:t>are included in this filing.</w:t>
      </w:r>
    </w:p>
    <w:p w:rsidR="002F5C49" w:rsidRPr="0029333D" w:rsidRDefault="002F5C49" w:rsidP="002F5C49">
      <w:pPr>
        <w:pStyle w:val="Answer"/>
        <w:ind w:left="810" w:hanging="810"/>
        <w:jc w:val="left"/>
        <w:rPr>
          <w:szCs w:val="24"/>
        </w:rPr>
      </w:pPr>
      <w:r w:rsidRPr="0029333D">
        <w:rPr>
          <w:szCs w:val="24"/>
        </w:rPr>
        <w:t>A.</w:t>
      </w:r>
      <w:r w:rsidRPr="0029333D">
        <w:rPr>
          <w:b/>
          <w:szCs w:val="24"/>
        </w:rPr>
        <w:tab/>
      </w:r>
      <w:r w:rsidR="009403E4" w:rsidRPr="0029333D">
        <w:rPr>
          <w:szCs w:val="24"/>
        </w:rPr>
        <w:t xml:space="preserve">Using a </w:t>
      </w:r>
      <w:r w:rsidR="00493DD2" w:rsidRPr="0029333D">
        <w:rPr>
          <w:szCs w:val="24"/>
        </w:rPr>
        <w:t>mid-year CBR report</w:t>
      </w:r>
      <w:r w:rsidR="00FC24BB" w:rsidRPr="0029333D">
        <w:rPr>
          <w:szCs w:val="24"/>
        </w:rPr>
        <w:t xml:space="preserve"> for</w:t>
      </w:r>
      <w:r w:rsidR="009E7565" w:rsidRPr="0029333D">
        <w:rPr>
          <w:szCs w:val="24"/>
        </w:rPr>
        <w:t xml:space="preserve"> the</w:t>
      </w:r>
      <w:r w:rsidR="00FC24BB" w:rsidRPr="0029333D">
        <w:rPr>
          <w:szCs w:val="24"/>
        </w:rPr>
        <w:t xml:space="preserve"> historical test period 12 months ended June 2015</w:t>
      </w:r>
      <w:r w:rsidR="00493DD2" w:rsidRPr="0029333D">
        <w:rPr>
          <w:szCs w:val="24"/>
        </w:rPr>
        <w:t xml:space="preserve">, the Company has prepared the </w:t>
      </w:r>
      <w:r w:rsidR="00C91AF6" w:rsidRPr="0029333D">
        <w:rPr>
          <w:szCs w:val="24"/>
        </w:rPr>
        <w:t xml:space="preserve">current ERF </w:t>
      </w:r>
      <w:r w:rsidR="009403E4" w:rsidRPr="0029333D">
        <w:rPr>
          <w:szCs w:val="24"/>
        </w:rPr>
        <w:t xml:space="preserve">and </w:t>
      </w:r>
      <w:r w:rsidR="00C91AF6" w:rsidRPr="0029333D">
        <w:rPr>
          <w:szCs w:val="24"/>
        </w:rPr>
        <w:t>includ</w:t>
      </w:r>
      <w:r w:rsidR="009403E4" w:rsidRPr="0029333D">
        <w:rPr>
          <w:szCs w:val="24"/>
        </w:rPr>
        <w:t>ed</w:t>
      </w:r>
      <w:r w:rsidR="00C91AF6" w:rsidRPr="0029333D">
        <w:rPr>
          <w:szCs w:val="24"/>
        </w:rPr>
        <w:t xml:space="preserve"> all costs</w:t>
      </w:r>
      <w:r w:rsidR="00493DD2" w:rsidRPr="0029333D">
        <w:rPr>
          <w:szCs w:val="24"/>
        </w:rPr>
        <w:t xml:space="preserve"> </w:t>
      </w:r>
      <w:r w:rsidR="00C91AF6" w:rsidRPr="0029333D">
        <w:rPr>
          <w:szCs w:val="24"/>
        </w:rPr>
        <w:t>except</w:t>
      </w:r>
      <w:r w:rsidR="0027032B" w:rsidRPr="0029333D">
        <w:rPr>
          <w:szCs w:val="24"/>
        </w:rPr>
        <w:t xml:space="preserve"> net power costs (NPC)</w:t>
      </w:r>
      <w:r w:rsidR="00493DD2" w:rsidRPr="0029333D">
        <w:rPr>
          <w:szCs w:val="24"/>
        </w:rPr>
        <w:t xml:space="preserve">.  </w:t>
      </w:r>
      <w:r w:rsidR="00D309A8" w:rsidRPr="0029333D">
        <w:rPr>
          <w:szCs w:val="24"/>
        </w:rPr>
        <w:t xml:space="preserve">The Company excluded NPC because </w:t>
      </w:r>
      <w:r w:rsidR="00614396" w:rsidRPr="0029333D">
        <w:rPr>
          <w:szCs w:val="24"/>
        </w:rPr>
        <w:t>the Commission recently approved a power cost adjustment mechanism (PCAM) that will address variances in these costs.</w:t>
      </w:r>
      <w:r w:rsidR="00614396" w:rsidRPr="0029333D">
        <w:rPr>
          <w:rStyle w:val="FootnoteReference"/>
          <w:szCs w:val="24"/>
        </w:rPr>
        <w:footnoteReference w:id="5"/>
      </w:r>
      <w:r w:rsidR="00614396" w:rsidRPr="0029333D">
        <w:rPr>
          <w:szCs w:val="24"/>
        </w:rPr>
        <w:t xml:space="preserve">  In addition, </w:t>
      </w:r>
      <w:r w:rsidR="00D309A8" w:rsidRPr="0029333D">
        <w:rPr>
          <w:szCs w:val="24"/>
        </w:rPr>
        <w:t>the</w:t>
      </w:r>
      <w:r w:rsidR="00493DD2" w:rsidRPr="0029333D">
        <w:rPr>
          <w:szCs w:val="24"/>
        </w:rPr>
        <w:t xml:space="preserve"> </w:t>
      </w:r>
      <w:r w:rsidR="00BE0416" w:rsidRPr="0029333D">
        <w:rPr>
          <w:szCs w:val="24"/>
        </w:rPr>
        <w:t>bas</w:t>
      </w:r>
      <w:r w:rsidR="00224255" w:rsidRPr="0029333D">
        <w:rPr>
          <w:szCs w:val="24"/>
        </w:rPr>
        <w:t>eline NPC set in the 2014 Rate Case</w:t>
      </w:r>
      <w:r w:rsidR="00BE0416" w:rsidRPr="0029333D">
        <w:rPr>
          <w:szCs w:val="24"/>
        </w:rPr>
        <w:t xml:space="preserve"> used the </w:t>
      </w:r>
      <w:r w:rsidR="00224255" w:rsidRPr="0029333D">
        <w:rPr>
          <w:szCs w:val="24"/>
        </w:rPr>
        <w:t xml:space="preserve">rate effective period of 12 months ending March 2016.  </w:t>
      </w:r>
      <w:r w:rsidR="00BE0416" w:rsidRPr="0029333D">
        <w:rPr>
          <w:szCs w:val="24"/>
        </w:rPr>
        <w:t xml:space="preserve">For </w:t>
      </w:r>
      <w:r w:rsidR="00614396">
        <w:rPr>
          <w:szCs w:val="24"/>
        </w:rPr>
        <w:t>these</w:t>
      </w:r>
      <w:r w:rsidR="00BE0416" w:rsidRPr="0029333D">
        <w:rPr>
          <w:szCs w:val="24"/>
        </w:rPr>
        <w:t xml:space="preserve"> reason</w:t>
      </w:r>
      <w:r w:rsidR="00614396">
        <w:rPr>
          <w:szCs w:val="24"/>
        </w:rPr>
        <w:t>s</w:t>
      </w:r>
      <w:r w:rsidR="00BE0416" w:rsidRPr="0029333D">
        <w:rPr>
          <w:szCs w:val="24"/>
        </w:rPr>
        <w:t xml:space="preserve">, </w:t>
      </w:r>
      <w:r w:rsidR="00224255" w:rsidRPr="0029333D">
        <w:rPr>
          <w:szCs w:val="24"/>
        </w:rPr>
        <w:t xml:space="preserve">NPC in rates </w:t>
      </w:r>
      <w:r w:rsidR="00D309A8" w:rsidRPr="0029333D">
        <w:rPr>
          <w:szCs w:val="24"/>
        </w:rPr>
        <w:t>already</w:t>
      </w:r>
      <w:r w:rsidR="00224255" w:rsidRPr="0029333D">
        <w:rPr>
          <w:szCs w:val="24"/>
        </w:rPr>
        <w:t xml:space="preserve"> reflect a ten</w:t>
      </w:r>
      <w:r w:rsidR="00BE0416" w:rsidRPr="0029333D">
        <w:rPr>
          <w:szCs w:val="24"/>
        </w:rPr>
        <w:t>-</w:t>
      </w:r>
      <w:r w:rsidR="00224255" w:rsidRPr="0029333D">
        <w:rPr>
          <w:szCs w:val="24"/>
        </w:rPr>
        <w:t xml:space="preserve">month </w:t>
      </w:r>
      <w:r w:rsidR="00D309A8" w:rsidRPr="0029333D">
        <w:rPr>
          <w:szCs w:val="24"/>
        </w:rPr>
        <w:t xml:space="preserve">period beyond </w:t>
      </w:r>
      <w:r w:rsidR="00224255" w:rsidRPr="0029333D">
        <w:rPr>
          <w:szCs w:val="24"/>
        </w:rPr>
        <w:t>the historical period of the ERF</w:t>
      </w:r>
      <w:r w:rsidR="00D309A8" w:rsidRPr="0029333D">
        <w:rPr>
          <w:szCs w:val="24"/>
        </w:rPr>
        <w:t xml:space="preserve"> and are reasonably representative of NPC during the ERF and rate plan </w:t>
      </w:r>
      <w:r w:rsidR="009403E4" w:rsidRPr="0029333D">
        <w:rPr>
          <w:szCs w:val="24"/>
        </w:rPr>
        <w:t xml:space="preserve">time </w:t>
      </w:r>
      <w:r w:rsidR="00D309A8" w:rsidRPr="0029333D">
        <w:rPr>
          <w:szCs w:val="24"/>
        </w:rPr>
        <w:t>period</w:t>
      </w:r>
      <w:r w:rsidR="00224255" w:rsidRPr="0029333D">
        <w:rPr>
          <w:szCs w:val="24"/>
        </w:rPr>
        <w:t xml:space="preserve">.  </w:t>
      </w:r>
    </w:p>
    <w:p w:rsidR="006D2211" w:rsidRPr="0029333D" w:rsidRDefault="006D2211" w:rsidP="002F5C49">
      <w:pPr>
        <w:pStyle w:val="Answer"/>
        <w:ind w:left="810" w:hanging="810"/>
        <w:jc w:val="left"/>
        <w:rPr>
          <w:szCs w:val="24"/>
        </w:rPr>
      </w:pPr>
      <w:r w:rsidRPr="0029333D">
        <w:rPr>
          <w:szCs w:val="24"/>
        </w:rPr>
        <w:tab/>
      </w:r>
      <w:r w:rsidRPr="0029333D">
        <w:rPr>
          <w:szCs w:val="24"/>
        </w:rPr>
        <w:tab/>
        <w:t xml:space="preserve">The Company’s revenue requirement models calculate a required revenue increase </w:t>
      </w:r>
      <w:r w:rsidRPr="00614396">
        <w:rPr>
          <w:szCs w:val="24"/>
        </w:rPr>
        <w:t>of $</w:t>
      </w:r>
      <w:r w:rsidR="00FE29C9" w:rsidRPr="00614396">
        <w:rPr>
          <w:szCs w:val="24"/>
        </w:rPr>
        <w:t>10.</w:t>
      </w:r>
      <w:r w:rsidR="006C362A" w:rsidRPr="00614396">
        <w:rPr>
          <w:szCs w:val="24"/>
        </w:rPr>
        <w:t>7</w:t>
      </w:r>
      <w:r w:rsidRPr="00614396">
        <w:rPr>
          <w:szCs w:val="24"/>
        </w:rPr>
        <w:t xml:space="preserve"> million</w:t>
      </w:r>
      <w:r w:rsidRPr="0029333D">
        <w:rPr>
          <w:szCs w:val="24"/>
        </w:rPr>
        <w:t xml:space="preserve">. </w:t>
      </w:r>
      <w:r w:rsidR="00053F84" w:rsidRPr="0029333D">
        <w:rPr>
          <w:szCs w:val="24"/>
        </w:rPr>
        <w:t xml:space="preserve"> </w:t>
      </w:r>
      <w:r w:rsidR="00614396">
        <w:rPr>
          <w:szCs w:val="24"/>
        </w:rPr>
        <w:t>Because the scope of this proceeding is an ERF and not a general rate case</w:t>
      </w:r>
      <w:r w:rsidR="00053F84" w:rsidRPr="0029333D">
        <w:rPr>
          <w:szCs w:val="24"/>
        </w:rPr>
        <w:t>, the Company</w:t>
      </w:r>
      <w:r w:rsidR="00456054" w:rsidRPr="0029333D">
        <w:rPr>
          <w:szCs w:val="24"/>
        </w:rPr>
        <w:t xml:space="preserve"> is limiting the requested rate increase to </w:t>
      </w:r>
      <w:r w:rsidR="00F95A6B" w:rsidRPr="0029333D">
        <w:rPr>
          <w:szCs w:val="24"/>
        </w:rPr>
        <w:t>less than</w:t>
      </w:r>
      <w:r w:rsidR="00053F84" w:rsidRPr="0029333D">
        <w:rPr>
          <w:szCs w:val="24"/>
        </w:rPr>
        <w:t xml:space="preserve"> three percent.  Therefore, </w:t>
      </w:r>
      <w:r w:rsidR="00BA58D4" w:rsidRPr="0029333D">
        <w:rPr>
          <w:szCs w:val="24"/>
        </w:rPr>
        <w:t xml:space="preserve">the Company is requesting </w:t>
      </w:r>
      <w:r w:rsidR="004577A7" w:rsidRPr="0029333D">
        <w:rPr>
          <w:szCs w:val="24"/>
        </w:rPr>
        <w:t xml:space="preserve">only </w:t>
      </w:r>
      <w:r w:rsidR="00BA58D4" w:rsidRPr="0029333D">
        <w:rPr>
          <w:szCs w:val="24"/>
        </w:rPr>
        <w:t xml:space="preserve">a $10.0 million increase to its revenue requirement. </w:t>
      </w:r>
      <w:r w:rsidR="00053F84" w:rsidRPr="0029333D">
        <w:rPr>
          <w:szCs w:val="24"/>
        </w:rPr>
        <w:t xml:space="preserve"> </w:t>
      </w:r>
      <w:r w:rsidR="00BA58D4" w:rsidRPr="0029333D">
        <w:rPr>
          <w:szCs w:val="24"/>
        </w:rPr>
        <w:t xml:space="preserve">This is a </w:t>
      </w:r>
      <w:r w:rsidRPr="0029333D">
        <w:rPr>
          <w:szCs w:val="24"/>
        </w:rPr>
        <w:t>2.99</w:t>
      </w:r>
      <w:r w:rsidR="00836919" w:rsidRPr="0029333D">
        <w:rPr>
          <w:szCs w:val="24"/>
        </w:rPr>
        <w:t xml:space="preserve"> percent </w:t>
      </w:r>
      <w:r w:rsidR="00BA58D4" w:rsidRPr="0029333D">
        <w:rPr>
          <w:szCs w:val="24"/>
        </w:rPr>
        <w:t xml:space="preserve">increase to </w:t>
      </w:r>
      <w:r w:rsidR="00572329" w:rsidRPr="0029333D">
        <w:rPr>
          <w:szCs w:val="24"/>
        </w:rPr>
        <w:t>gross annual revenues</w:t>
      </w:r>
      <w:r w:rsidRPr="0029333D">
        <w:rPr>
          <w:szCs w:val="24"/>
        </w:rPr>
        <w:t>.</w:t>
      </w:r>
    </w:p>
    <w:p w:rsidR="002F5C49" w:rsidRPr="0029333D" w:rsidRDefault="002F5C49" w:rsidP="002F5C49">
      <w:pPr>
        <w:pStyle w:val="Question"/>
        <w:widowControl w:val="0"/>
        <w:ind w:left="810" w:hanging="810"/>
        <w:jc w:val="left"/>
        <w:rPr>
          <w:szCs w:val="24"/>
        </w:rPr>
      </w:pPr>
      <w:r w:rsidRPr="0029333D">
        <w:rPr>
          <w:szCs w:val="24"/>
        </w:rPr>
        <w:t>Q.</w:t>
      </w:r>
      <w:r w:rsidRPr="0029333D">
        <w:rPr>
          <w:szCs w:val="24"/>
        </w:rPr>
        <w:tab/>
        <w:t xml:space="preserve">What is the proposed rate effective date for </w:t>
      </w:r>
      <w:r w:rsidR="004577A7" w:rsidRPr="0029333D">
        <w:rPr>
          <w:szCs w:val="24"/>
        </w:rPr>
        <w:t>the ERF</w:t>
      </w:r>
      <w:r w:rsidRPr="0029333D">
        <w:rPr>
          <w:szCs w:val="24"/>
        </w:rPr>
        <w:t>?</w:t>
      </w:r>
    </w:p>
    <w:p w:rsidR="002F5C49" w:rsidRPr="0029333D" w:rsidRDefault="002F5C49" w:rsidP="002F5C49">
      <w:pPr>
        <w:pStyle w:val="Answer"/>
        <w:ind w:left="810" w:hanging="810"/>
        <w:jc w:val="left"/>
        <w:rPr>
          <w:szCs w:val="24"/>
        </w:rPr>
      </w:pPr>
      <w:r w:rsidRPr="0029333D">
        <w:rPr>
          <w:szCs w:val="24"/>
        </w:rPr>
        <w:t>A.</w:t>
      </w:r>
      <w:r w:rsidRPr="0029333D">
        <w:rPr>
          <w:b/>
          <w:szCs w:val="24"/>
        </w:rPr>
        <w:tab/>
      </w:r>
      <w:r w:rsidR="00824B22" w:rsidRPr="0029333D">
        <w:rPr>
          <w:szCs w:val="24"/>
        </w:rPr>
        <w:t>The Company is requesting a rate effective date of May 1, 2016.</w:t>
      </w:r>
    </w:p>
    <w:p w:rsidR="009D172A" w:rsidRPr="00D827B8" w:rsidRDefault="009D172A" w:rsidP="00D827B8">
      <w:pPr>
        <w:pStyle w:val="Heading2"/>
      </w:pPr>
      <w:bookmarkStart w:id="4" w:name="_Toc436114842"/>
      <w:r w:rsidRPr="00D827B8">
        <w:rPr>
          <w:rStyle w:val="AnswerChar1"/>
        </w:rPr>
        <w:t>Overview</w:t>
      </w:r>
      <w:r w:rsidRPr="00D827B8">
        <w:t xml:space="preserve"> of the Test Period</w:t>
      </w:r>
      <w:r w:rsidR="004577A7" w:rsidRPr="00D827B8">
        <w:t xml:space="preserve"> of the ERF</w:t>
      </w:r>
      <w:bookmarkEnd w:id="4"/>
    </w:p>
    <w:p w:rsidR="009D172A" w:rsidRPr="0029333D" w:rsidRDefault="009D172A" w:rsidP="009D172A">
      <w:pPr>
        <w:pStyle w:val="Question"/>
        <w:widowControl w:val="0"/>
        <w:jc w:val="left"/>
        <w:rPr>
          <w:szCs w:val="24"/>
        </w:rPr>
      </w:pPr>
      <w:r w:rsidRPr="0029333D">
        <w:rPr>
          <w:szCs w:val="24"/>
        </w:rPr>
        <w:t>Q.</w:t>
      </w:r>
      <w:r w:rsidRPr="0029333D">
        <w:rPr>
          <w:szCs w:val="24"/>
        </w:rPr>
        <w:tab/>
        <w:t>Please provide an overview of the development of the Test Period</w:t>
      </w:r>
      <w:r w:rsidR="003D574B" w:rsidRPr="0029333D">
        <w:rPr>
          <w:szCs w:val="24"/>
        </w:rPr>
        <w:t>.</w:t>
      </w:r>
    </w:p>
    <w:p w:rsidR="009D172A" w:rsidRPr="0029333D" w:rsidRDefault="009D172A" w:rsidP="00C46AF0">
      <w:pPr>
        <w:pStyle w:val="Answer"/>
        <w:widowControl w:val="0"/>
        <w:jc w:val="left"/>
        <w:rPr>
          <w:szCs w:val="24"/>
        </w:rPr>
      </w:pPr>
      <w:r w:rsidRPr="0029333D">
        <w:rPr>
          <w:szCs w:val="24"/>
        </w:rPr>
        <w:t>A.</w:t>
      </w:r>
      <w:r w:rsidRPr="0029333D">
        <w:rPr>
          <w:szCs w:val="24"/>
        </w:rPr>
        <w:tab/>
        <w:t>The Test Period was developed by analyzing the revenue requirement components in the historical period</w:t>
      </w:r>
      <w:r w:rsidR="00EA2381" w:rsidRPr="0029333D">
        <w:rPr>
          <w:szCs w:val="24"/>
        </w:rPr>
        <w:t>, 12 months ended June 30, 2015,</w:t>
      </w:r>
      <w:r w:rsidRPr="0029333D">
        <w:rPr>
          <w:szCs w:val="24"/>
        </w:rPr>
        <w:t xml:space="preserve"> to determine if adjustments were warranted to reflect normal or expected operating conditions</w:t>
      </w:r>
      <w:r w:rsidR="00763EEE" w:rsidRPr="0029333D">
        <w:rPr>
          <w:szCs w:val="24"/>
        </w:rPr>
        <w:t>, or maintain compliance with adjustments previously ordered by the Commission</w:t>
      </w:r>
      <w:r w:rsidRPr="0029333D">
        <w:rPr>
          <w:szCs w:val="24"/>
        </w:rPr>
        <w:t>.  Where appropriate</w:t>
      </w:r>
      <w:r w:rsidR="00836919" w:rsidRPr="0029333D">
        <w:rPr>
          <w:szCs w:val="24"/>
        </w:rPr>
        <w:t>,</w:t>
      </w:r>
      <w:r w:rsidR="00763EEE" w:rsidRPr="0029333D">
        <w:rPr>
          <w:szCs w:val="24"/>
        </w:rPr>
        <w:t xml:space="preserve"> adjustments made to historical results have followed the same test period </w:t>
      </w:r>
      <w:r w:rsidR="00763EEE" w:rsidRPr="0029333D">
        <w:rPr>
          <w:szCs w:val="24"/>
        </w:rPr>
        <w:lastRenderedPageBreak/>
        <w:t xml:space="preserve">conventions as the Company’s </w:t>
      </w:r>
      <w:r w:rsidR="00456054" w:rsidRPr="0029333D">
        <w:rPr>
          <w:szCs w:val="24"/>
        </w:rPr>
        <w:t xml:space="preserve">previous </w:t>
      </w:r>
      <w:r w:rsidR="00763EEE" w:rsidRPr="0029333D">
        <w:rPr>
          <w:szCs w:val="24"/>
        </w:rPr>
        <w:t xml:space="preserve">annual CBR filings and </w:t>
      </w:r>
      <w:r w:rsidR="00614396">
        <w:rPr>
          <w:szCs w:val="24"/>
        </w:rPr>
        <w:t>the 2014 Rate Case</w:t>
      </w:r>
      <w:r w:rsidRPr="0029333D">
        <w:rPr>
          <w:szCs w:val="24"/>
        </w:rPr>
        <w:t xml:space="preserve">.  </w:t>
      </w:r>
      <w:r w:rsidR="004577A7" w:rsidRPr="0029333D">
        <w:rPr>
          <w:szCs w:val="24"/>
        </w:rPr>
        <w:t xml:space="preserve">As discussed in greater detail below, net plant balances for </w:t>
      </w:r>
      <w:r w:rsidR="009E7565" w:rsidRPr="0029333D">
        <w:rPr>
          <w:szCs w:val="24"/>
        </w:rPr>
        <w:t xml:space="preserve">the Jim Bridger Unit 3 </w:t>
      </w:r>
      <w:r w:rsidR="004A4847" w:rsidRPr="0029333D">
        <w:rPr>
          <w:szCs w:val="24"/>
        </w:rPr>
        <w:t>o</w:t>
      </w:r>
      <w:r w:rsidR="009E7565" w:rsidRPr="0029333D">
        <w:rPr>
          <w:szCs w:val="24"/>
        </w:rPr>
        <w:t>verhaul project</w:t>
      </w:r>
      <w:r w:rsidRPr="0029333D">
        <w:rPr>
          <w:szCs w:val="24"/>
        </w:rPr>
        <w:t xml:space="preserve"> </w:t>
      </w:r>
      <w:r w:rsidR="00C22EA2" w:rsidRPr="0029333D">
        <w:rPr>
          <w:szCs w:val="24"/>
        </w:rPr>
        <w:t>are</w:t>
      </w:r>
      <w:r w:rsidR="00572329" w:rsidRPr="0029333D">
        <w:rPr>
          <w:szCs w:val="24"/>
        </w:rPr>
        <w:t xml:space="preserve"> included in the ERF on an average-of-monthly-averages (AMA) basis for the 12 months beginning </w:t>
      </w:r>
      <w:r w:rsidR="002F4F44" w:rsidRPr="0029333D">
        <w:rPr>
          <w:szCs w:val="24"/>
        </w:rPr>
        <w:t xml:space="preserve">on the </w:t>
      </w:r>
      <w:r w:rsidR="004577A7" w:rsidRPr="0029333D">
        <w:rPr>
          <w:szCs w:val="24"/>
        </w:rPr>
        <w:t xml:space="preserve">requested </w:t>
      </w:r>
      <w:r w:rsidR="002F4F44" w:rsidRPr="0029333D">
        <w:rPr>
          <w:szCs w:val="24"/>
        </w:rPr>
        <w:t xml:space="preserve">rate effective date of </w:t>
      </w:r>
      <w:r w:rsidR="00572329" w:rsidRPr="0029333D">
        <w:rPr>
          <w:szCs w:val="24"/>
        </w:rPr>
        <w:t>May 1, 2016</w:t>
      </w:r>
      <w:r w:rsidR="00836919" w:rsidRPr="0029333D">
        <w:rPr>
          <w:szCs w:val="24"/>
        </w:rPr>
        <w:t>,</w:t>
      </w:r>
      <w:r w:rsidR="00572329" w:rsidRPr="0029333D">
        <w:rPr>
          <w:szCs w:val="24"/>
        </w:rPr>
        <w:t xml:space="preserve"> </w:t>
      </w:r>
      <w:r w:rsidRPr="0029333D">
        <w:rPr>
          <w:szCs w:val="24"/>
        </w:rPr>
        <w:t xml:space="preserve">to </w:t>
      </w:r>
      <w:r w:rsidR="009E7565" w:rsidRPr="0029333D">
        <w:rPr>
          <w:szCs w:val="24"/>
        </w:rPr>
        <w:t xml:space="preserve">reflect the </w:t>
      </w:r>
      <w:r w:rsidRPr="0029333D">
        <w:rPr>
          <w:szCs w:val="24"/>
        </w:rPr>
        <w:t xml:space="preserve">level of rate base that </w:t>
      </w:r>
      <w:r w:rsidR="004577A7" w:rsidRPr="0029333D">
        <w:rPr>
          <w:szCs w:val="24"/>
        </w:rPr>
        <w:t>will b</w:t>
      </w:r>
      <w:r w:rsidRPr="0029333D">
        <w:rPr>
          <w:szCs w:val="24"/>
        </w:rPr>
        <w:t>e in</w:t>
      </w:r>
      <w:r w:rsidR="00836919" w:rsidRPr="0029333D">
        <w:rPr>
          <w:szCs w:val="24"/>
        </w:rPr>
        <w:t xml:space="preserve"> </w:t>
      </w:r>
      <w:r w:rsidRPr="0029333D">
        <w:rPr>
          <w:szCs w:val="24"/>
        </w:rPr>
        <w:t>service and serving customers during the rate</w:t>
      </w:r>
      <w:r w:rsidR="00456054" w:rsidRPr="0029333D">
        <w:rPr>
          <w:szCs w:val="24"/>
        </w:rPr>
        <w:t xml:space="preserve"> </w:t>
      </w:r>
      <w:r w:rsidRPr="0029333D">
        <w:rPr>
          <w:szCs w:val="24"/>
        </w:rPr>
        <w:t xml:space="preserve">effective period.  </w:t>
      </w:r>
    </w:p>
    <w:p w:rsidR="00AD1F95" w:rsidRPr="0029333D" w:rsidRDefault="00AD1F95" w:rsidP="00AD1F95">
      <w:pPr>
        <w:pStyle w:val="Question"/>
        <w:widowControl w:val="0"/>
        <w:jc w:val="left"/>
        <w:rPr>
          <w:szCs w:val="24"/>
        </w:rPr>
      </w:pPr>
      <w:bookmarkStart w:id="5" w:name="OLE_LINK5"/>
      <w:r w:rsidRPr="0029333D">
        <w:rPr>
          <w:szCs w:val="24"/>
        </w:rPr>
        <w:t>Q.</w:t>
      </w:r>
      <w:r w:rsidRPr="0029333D">
        <w:rPr>
          <w:szCs w:val="24"/>
        </w:rPr>
        <w:tab/>
        <w:t>Please describe the process used to develop Test Period revenues.</w:t>
      </w:r>
    </w:p>
    <w:bookmarkEnd w:id="5"/>
    <w:p w:rsidR="00AD1F95" w:rsidRPr="0029333D" w:rsidRDefault="00AD1F95" w:rsidP="00AD1F95">
      <w:pPr>
        <w:pStyle w:val="Answer"/>
        <w:widowControl w:val="0"/>
        <w:jc w:val="left"/>
        <w:rPr>
          <w:szCs w:val="24"/>
        </w:rPr>
      </w:pPr>
      <w:r w:rsidRPr="0029333D">
        <w:rPr>
          <w:szCs w:val="24"/>
        </w:rPr>
        <w:t>A.</w:t>
      </w:r>
      <w:r w:rsidRPr="0029333D">
        <w:rPr>
          <w:szCs w:val="24"/>
        </w:rPr>
        <w:tab/>
        <w:t xml:space="preserve">Retail revenues were developed by applying the current Commission-approved tariff rates to the Washington historical normalized loads for the 12 months ended June 30, 2015.  For consistency, allocation factors were developed using normalized loads for the west control area for the same time period.  Retail revenues are also </w:t>
      </w:r>
      <w:r w:rsidR="004577A7" w:rsidRPr="0029333D">
        <w:rPr>
          <w:szCs w:val="24"/>
        </w:rPr>
        <w:t>adjusted to remove revenues</w:t>
      </w:r>
      <w:r w:rsidRPr="0029333D">
        <w:rPr>
          <w:szCs w:val="24"/>
        </w:rPr>
        <w:t xml:space="preserve"> collected for NPC.</w:t>
      </w:r>
      <w:r w:rsidR="004577A7" w:rsidRPr="0029333D">
        <w:rPr>
          <w:szCs w:val="24"/>
        </w:rPr>
        <w:t xml:space="preserve">  As explained above, NPC recovery is </w:t>
      </w:r>
      <w:r w:rsidR="00614396">
        <w:rPr>
          <w:szCs w:val="24"/>
        </w:rPr>
        <w:t>addressed</w:t>
      </w:r>
      <w:r w:rsidR="004577A7" w:rsidRPr="0029333D">
        <w:rPr>
          <w:szCs w:val="24"/>
        </w:rPr>
        <w:t xml:space="preserve"> in the recently approved PCAM.</w:t>
      </w:r>
    </w:p>
    <w:p w:rsidR="009D172A" w:rsidRPr="0029333D" w:rsidRDefault="009D172A" w:rsidP="009D172A">
      <w:pPr>
        <w:pStyle w:val="Question"/>
        <w:widowControl w:val="0"/>
        <w:jc w:val="left"/>
        <w:rPr>
          <w:szCs w:val="24"/>
        </w:rPr>
      </w:pPr>
      <w:r w:rsidRPr="0029333D">
        <w:rPr>
          <w:szCs w:val="24"/>
        </w:rPr>
        <w:t>Q.</w:t>
      </w:r>
      <w:r w:rsidRPr="0029333D">
        <w:rPr>
          <w:szCs w:val="24"/>
        </w:rPr>
        <w:tab/>
        <w:t>Please describe the process used to develop Test Period costs.</w:t>
      </w:r>
    </w:p>
    <w:p w:rsidR="009D172A" w:rsidRPr="0029333D" w:rsidRDefault="009D172A" w:rsidP="00614396">
      <w:pPr>
        <w:pStyle w:val="Answer"/>
        <w:widowControl w:val="0"/>
        <w:jc w:val="left"/>
        <w:rPr>
          <w:szCs w:val="24"/>
        </w:rPr>
      </w:pPr>
      <w:r w:rsidRPr="0029333D">
        <w:rPr>
          <w:szCs w:val="24"/>
        </w:rPr>
        <w:t>A.</w:t>
      </w:r>
      <w:r w:rsidRPr="0029333D">
        <w:rPr>
          <w:szCs w:val="24"/>
        </w:rPr>
        <w:tab/>
        <w:t>Operations and maintenance (O&amp;M) expenses were developed using historical expense levels for the 12</w:t>
      </w:r>
      <w:r w:rsidR="00AD1F95" w:rsidRPr="0029333D">
        <w:rPr>
          <w:szCs w:val="24"/>
        </w:rPr>
        <w:t xml:space="preserve"> months ended June 30, 2015, </w:t>
      </w:r>
      <w:r w:rsidRPr="0029333D">
        <w:rPr>
          <w:szCs w:val="24"/>
        </w:rPr>
        <w:t>normalized with restating adjustments</w:t>
      </w:r>
      <w:r w:rsidR="00EA2381" w:rsidRPr="0029333D">
        <w:rPr>
          <w:szCs w:val="24"/>
        </w:rPr>
        <w:t xml:space="preserve"> consistent with those approved in the Company’s 2014 </w:t>
      </w:r>
      <w:r w:rsidR="00614396">
        <w:rPr>
          <w:szCs w:val="24"/>
        </w:rPr>
        <w:t>Rate Case</w:t>
      </w:r>
      <w:r w:rsidRPr="0029333D">
        <w:rPr>
          <w:szCs w:val="24"/>
        </w:rPr>
        <w:t>.</w:t>
      </w:r>
      <w:r w:rsidR="00EA2381" w:rsidRPr="0029333D">
        <w:rPr>
          <w:szCs w:val="24"/>
        </w:rPr>
        <w:t xml:space="preserve">  NPC are </w:t>
      </w:r>
      <w:r w:rsidR="004577A7" w:rsidRPr="0029333D">
        <w:rPr>
          <w:szCs w:val="24"/>
        </w:rPr>
        <w:t>removed</w:t>
      </w:r>
      <w:r w:rsidR="00EA2381" w:rsidRPr="0029333D">
        <w:rPr>
          <w:szCs w:val="24"/>
        </w:rPr>
        <w:t xml:space="preserve"> from Test Period results in the current filing.</w:t>
      </w:r>
    </w:p>
    <w:p w:rsidR="009D172A" w:rsidRPr="0029333D" w:rsidRDefault="009D172A" w:rsidP="009D172A">
      <w:pPr>
        <w:pStyle w:val="Question"/>
        <w:widowControl w:val="0"/>
        <w:jc w:val="left"/>
        <w:rPr>
          <w:szCs w:val="24"/>
        </w:rPr>
      </w:pPr>
      <w:r w:rsidRPr="0029333D">
        <w:rPr>
          <w:szCs w:val="24"/>
        </w:rPr>
        <w:t>Q.</w:t>
      </w:r>
      <w:r w:rsidRPr="0029333D">
        <w:rPr>
          <w:szCs w:val="24"/>
        </w:rPr>
        <w:tab/>
        <w:t>Please describe the process used to develop Test Period plant and associated accumulated depreciation balances.</w:t>
      </w:r>
    </w:p>
    <w:p w:rsidR="004C68A7" w:rsidRPr="0029333D" w:rsidRDefault="009D172A" w:rsidP="009D172A">
      <w:pPr>
        <w:pStyle w:val="Answer"/>
        <w:widowControl w:val="0"/>
        <w:jc w:val="left"/>
        <w:rPr>
          <w:szCs w:val="24"/>
        </w:rPr>
      </w:pPr>
      <w:r w:rsidRPr="0029333D">
        <w:rPr>
          <w:szCs w:val="24"/>
        </w:rPr>
        <w:t>A.</w:t>
      </w:r>
      <w:r w:rsidRPr="0029333D">
        <w:rPr>
          <w:szCs w:val="24"/>
        </w:rPr>
        <w:tab/>
        <w:t>Plant and associated accumulated depreciation balances were developed using historical AMA balances for the 1</w:t>
      </w:r>
      <w:r w:rsidR="00FE29C9" w:rsidRPr="0029333D">
        <w:rPr>
          <w:szCs w:val="24"/>
        </w:rPr>
        <w:t>2</w:t>
      </w:r>
      <w:r w:rsidRPr="0029333D">
        <w:rPr>
          <w:szCs w:val="24"/>
        </w:rPr>
        <w:t xml:space="preserve"> months ended June 30, 2015.  Through a restating adjustment, the average net electric plant in-service balances are then adjusted to </w:t>
      </w:r>
      <w:r w:rsidR="004577A7" w:rsidRPr="0029333D">
        <w:rPr>
          <w:szCs w:val="24"/>
        </w:rPr>
        <w:t>EOP</w:t>
      </w:r>
      <w:r w:rsidRPr="0029333D">
        <w:rPr>
          <w:szCs w:val="24"/>
        </w:rPr>
        <w:t xml:space="preserve"> </w:t>
      </w:r>
      <w:r w:rsidRPr="0029333D">
        <w:rPr>
          <w:szCs w:val="24"/>
        </w:rPr>
        <w:lastRenderedPageBreak/>
        <w:t xml:space="preserve">balances as of June 30, 2015.  </w:t>
      </w:r>
      <w:r w:rsidR="001814B6" w:rsidRPr="0029333D">
        <w:rPr>
          <w:szCs w:val="24"/>
        </w:rPr>
        <w:t xml:space="preserve">Historical depreciation expenses associated with these </w:t>
      </w:r>
      <w:r w:rsidR="004577A7" w:rsidRPr="0029333D">
        <w:rPr>
          <w:szCs w:val="24"/>
        </w:rPr>
        <w:t xml:space="preserve">balances </w:t>
      </w:r>
      <w:r w:rsidR="001814B6" w:rsidRPr="0029333D">
        <w:rPr>
          <w:szCs w:val="24"/>
        </w:rPr>
        <w:t xml:space="preserve">are also annualized to reflect a full year of depreciation costs.  </w:t>
      </w:r>
    </w:p>
    <w:p w:rsidR="009D172A" w:rsidRPr="0029333D" w:rsidRDefault="003D574B" w:rsidP="004C68A7">
      <w:pPr>
        <w:pStyle w:val="Answer"/>
        <w:widowControl w:val="0"/>
        <w:ind w:firstLine="720"/>
        <w:jc w:val="left"/>
        <w:rPr>
          <w:szCs w:val="24"/>
        </w:rPr>
      </w:pPr>
      <w:r w:rsidRPr="0029333D">
        <w:rPr>
          <w:szCs w:val="24"/>
        </w:rPr>
        <w:t xml:space="preserve">The Company included only one post-test period capital project addition in the ERF, the Jim Bridger Unit 3 </w:t>
      </w:r>
      <w:r w:rsidR="00E7387B" w:rsidRPr="0029333D">
        <w:rPr>
          <w:szCs w:val="24"/>
        </w:rPr>
        <w:t>o</w:t>
      </w:r>
      <w:r w:rsidRPr="0029333D">
        <w:rPr>
          <w:szCs w:val="24"/>
        </w:rPr>
        <w:t>verhaul project</w:t>
      </w:r>
      <w:r w:rsidR="009553AF" w:rsidRPr="0029333D">
        <w:rPr>
          <w:szCs w:val="24"/>
        </w:rPr>
        <w:t>,</w:t>
      </w:r>
      <w:r w:rsidR="009553AF" w:rsidRPr="0029333D">
        <w:rPr>
          <w:b/>
          <w:szCs w:val="24"/>
        </w:rPr>
        <w:t xml:space="preserve"> </w:t>
      </w:r>
      <w:r w:rsidR="009553AF" w:rsidRPr="0029333D">
        <w:rPr>
          <w:szCs w:val="24"/>
        </w:rPr>
        <w:t xml:space="preserve">including </w:t>
      </w:r>
      <w:r w:rsidR="00456054" w:rsidRPr="0029333D">
        <w:rPr>
          <w:szCs w:val="24"/>
        </w:rPr>
        <w:t xml:space="preserve">the </w:t>
      </w:r>
      <w:r w:rsidR="009553AF" w:rsidRPr="0029333D">
        <w:rPr>
          <w:szCs w:val="24"/>
        </w:rPr>
        <w:t>Selective Catalytic Reduction (SCR) system</w:t>
      </w:r>
      <w:r w:rsidRPr="0029333D">
        <w:rPr>
          <w:szCs w:val="24"/>
        </w:rPr>
        <w:t xml:space="preserve">.  This project </w:t>
      </w:r>
      <w:r w:rsidR="00E7387B" w:rsidRPr="0029333D">
        <w:rPr>
          <w:szCs w:val="24"/>
        </w:rPr>
        <w:t>will be in service by the end of November 2015</w:t>
      </w:r>
      <w:r w:rsidRPr="0029333D">
        <w:rPr>
          <w:szCs w:val="24"/>
        </w:rPr>
        <w:t xml:space="preserve">, and is discussed in detail in the direct testimonies of Mr. Chad A. Teply and Mr. Rick T. Link.  </w:t>
      </w:r>
      <w:r w:rsidR="00614396">
        <w:rPr>
          <w:szCs w:val="24"/>
        </w:rPr>
        <w:t xml:space="preserve">Plant additions through December 2015 are reflected </w:t>
      </w:r>
      <w:r w:rsidR="00767B17">
        <w:rPr>
          <w:szCs w:val="24"/>
        </w:rPr>
        <w:t xml:space="preserve">in rate base </w:t>
      </w:r>
      <w:r w:rsidR="003E294D" w:rsidRPr="0029333D">
        <w:rPr>
          <w:szCs w:val="24"/>
        </w:rPr>
        <w:t>on an</w:t>
      </w:r>
      <w:r w:rsidR="009D172A" w:rsidRPr="0029333D">
        <w:rPr>
          <w:szCs w:val="24"/>
        </w:rPr>
        <w:t xml:space="preserve"> AMA </w:t>
      </w:r>
      <w:r w:rsidR="004C68A7" w:rsidRPr="0029333D">
        <w:rPr>
          <w:szCs w:val="24"/>
        </w:rPr>
        <w:t>basis</w:t>
      </w:r>
      <w:r w:rsidR="009D172A" w:rsidRPr="0029333D">
        <w:rPr>
          <w:szCs w:val="24"/>
        </w:rPr>
        <w:t xml:space="preserve"> </w:t>
      </w:r>
      <w:r w:rsidR="00CD0153" w:rsidRPr="0029333D">
        <w:rPr>
          <w:szCs w:val="24"/>
        </w:rPr>
        <w:t xml:space="preserve">for the </w:t>
      </w:r>
      <w:r w:rsidR="00767B17">
        <w:rPr>
          <w:szCs w:val="24"/>
        </w:rPr>
        <w:t>rate effective period of the ERF.  These</w:t>
      </w:r>
      <w:r w:rsidR="004C68A7" w:rsidRPr="0029333D">
        <w:rPr>
          <w:szCs w:val="24"/>
        </w:rPr>
        <w:t xml:space="preserve"> </w:t>
      </w:r>
      <w:r w:rsidR="00D76ABD" w:rsidRPr="0029333D">
        <w:rPr>
          <w:szCs w:val="24"/>
        </w:rPr>
        <w:t xml:space="preserve">balances </w:t>
      </w:r>
      <w:r w:rsidR="004C68A7" w:rsidRPr="0029333D">
        <w:rPr>
          <w:szCs w:val="24"/>
        </w:rPr>
        <w:t>will be in</w:t>
      </w:r>
      <w:r w:rsidR="00456054" w:rsidRPr="0029333D">
        <w:rPr>
          <w:szCs w:val="24"/>
        </w:rPr>
        <w:t xml:space="preserve"> </w:t>
      </w:r>
      <w:r w:rsidR="004C68A7" w:rsidRPr="0029333D">
        <w:rPr>
          <w:szCs w:val="24"/>
        </w:rPr>
        <w:t>service and serving customers during the rate effective period</w:t>
      </w:r>
      <w:r w:rsidR="009D172A" w:rsidRPr="0029333D">
        <w:rPr>
          <w:szCs w:val="24"/>
        </w:rPr>
        <w:t xml:space="preserve">.  </w:t>
      </w:r>
    </w:p>
    <w:p w:rsidR="009D172A" w:rsidRPr="0029333D" w:rsidRDefault="009D172A" w:rsidP="009D172A">
      <w:pPr>
        <w:pStyle w:val="Answer"/>
        <w:widowControl w:val="0"/>
        <w:jc w:val="left"/>
        <w:rPr>
          <w:b/>
          <w:szCs w:val="24"/>
        </w:rPr>
      </w:pPr>
      <w:r w:rsidRPr="0029333D">
        <w:rPr>
          <w:b/>
          <w:szCs w:val="24"/>
        </w:rPr>
        <w:t>Q.</w:t>
      </w:r>
      <w:r w:rsidRPr="0029333D">
        <w:rPr>
          <w:b/>
          <w:szCs w:val="24"/>
        </w:rPr>
        <w:tab/>
        <w:t xml:space="preserve">Is the </w:t>
      </w:r>
      <w:r w:rsidR="006028EC" w:rsidRPr="0029333D">
        <w:rPr>
          <w:b/>
          <w:szCs w:val="24"/>
        </w:rPr>
        <w:t xml:space="preserve">inclusion </w:t>
      </w:r>
      <w:r w:rsidRPr="0029333D">
        <w:rPr>
          <w:b/>
          <w:szCs w:val="24"/>
        </w:rPr>
        <w:t xml:space="preserve">of post-test period pro forma plant additions consistent with </w:t>
      </w:r>
      <w:r w:rsidR="00767B17">
        <w:rPr>
          <w:b/>
          <w:szCs w:val="24"/>
        </w:rPr>
        <w:t>previous</w:t>
      </w:r>
      <w:r w:rsidRPr="0029333D">
        <w:rPr>
          <w:b/>
          <w:szCs w:val="24"/>
        </w:rPr>
        <w:t xml:space="preserve"> Commission orders?</w:t>
      </w:r>
    </w:p>
    <w:p w:rsidR="007A03EC" w:rsidRPr="0029333D" w:rsidRDefault="009D172A" w:rsidP="009D172A">
      <w:pPr>
        <w:pStyle w:val="Answer"/>
        <w:widowControl w:val="0"/>
        <w:jc w:val="left"/>
        <w:rPr>
          <w:szCs w:val="24"/>
        </w:rPr>
      </w:pPr>
      <w:r w:rsidRPr="0029333D">
        <w:rPr>
          <w:szCs w:val="24"/>
        </w:rPr>
        <w:t>A.</w:t>
      </w:r>
      <w:r w:rsidRPr="0029333D">
        <w:rPr>
          <w:szCs w:val="24"/>
        </w:rPr>
        <w:tab/>
        <w:t>Yes.  The Commission</w:t>
      </w:r>
      <w:r w:rsidR="00CD0153" w:rsidRPr="0029333D">
        <w:rPr>
          <w:szCs w:val="24"/>
        </w:rPr>
        <w:t>’s long-standing practice is to consider</w:t>
      </w:r>
      <w:r w:rsidRPr="0029333D">
        <w:rPr>
          <w:szCs w:val="24"/>
        </w:rPr>
        <w:t xml:space="preserve"> post-test period major plant a</w:t>
      </w:r>
      <w:r w:rsidR="00CD0153" w:rsidRPr="0029333D">
        <w:rPr>
          <w:szCs w:val="24"/>
        </w:rPr>
        <w:t>dditions on a case-by-case basis following the used and useful and known and measurable standards</w:t>
      </w:r>
      <w:r w:rsidR="007A03EC" w:rsidRPr="0029333D">
        <w:rPr>
          <w:szCs w:val="24"/>
        </w:rPr>
        <w:t>.</w:t>
      </w:r>
      <w:r w:rsidR="007A03EC" w:rsidRPr="0029333D">
        <w:rPr>
          <w:rStyle w:val="FootnoteReference"/>
          <w:szCs w:val="24"/>
        </w:rPr>
        <w:footnoteReference w:id="6"/>
      </w:r>
      <w:r w:rsidR="007A03EC" w:rsidRPr="0029333D">
        <w:rPr>
          <w:szCs w:val="24"/>
        </w:rPr>
        <w:t xml:space="preserve"> </w:t>
      </w:r>
      <w:r w:rsidR="003D574B" w:rsidRPr="0029333D">
        <w:rPr>
          <w:szCs w:val="24"/>
        </w:rPr>
        <w:t xml:space="preserve"> </w:t>
      </w:r>
      <w:r w:rsidR="007A03EC" w:rsidRPr="0029333D">
        <w:rPr>
          <w:szCs w:val="24"/>
        </w:rPr>
        <w:t xml:space="preserve">The Jim Bridger Unit 3 </w:t>
      </w:r>
      <w:r w:rsidR="00E7387B" w:rsidRPr="0029333D">
        <w:rPr>
          <w:szCs w:val="24"/>
        </w:rPr>
        <w:t>o</w:t>
      </w:r>
      <w:r w:rsidR="007A03EC" w:rsidRPr="0029333D">
        <w:rPr>
          <w:szCs w:val="24"/>
        </w:rPr>
        <w:t xml:space="preserve">verhaul project </w:t>
      </w:r>
      <w:r w:rsidR="00767B17">
        <w:rPr>
          <w:szCs w:val="24"/>
        </w:rPr>
        <w:t>will be</w:t>
      </w:r>
      <w:r w:rsidR="007A03EC" w:rsidRPr="0029333D">
        <w:rPr>
          <w:szCs w:val="24"/>
        </w:rPr>
        <w:t xml:space="preserve"> completed and placed in</w:t>
      </w:r>
      <w:r w:rsidR="00456054" w:rsidRPr="0029333D">
        <w:rPr>
          <w:szCs w:val="24"/>
        </w:rPr>
        <w:t xml:space="preserve"> </w:t>
      </w:r>
      <w:r w:rsidR="007A03EC" w:rsidRPr="0029333D">
        <w:rPr>
          <w:szCs w:val="24"/>
        </w:rPr>
        <w:t xml:space="preserve">service </w:t>
      </w:r>
      <w:r w:rsidR="00767B17">
        <w:rPr>
          <w:szCs w:val="24"/>
        </w:rPr>
        <w:t>by the end of</w:t>
      </w:r>
      <w:r w:rsidR="007A03EC" w:rsidRPr="0029333D">
        <w:rPr>
          <w:szCs w:val="24"/>
        </w:rPr>
        <w:t xml:space="preserve"> November 2015, less than five months after the historical 12 months period</w:t>
      </w:r>
      <w:r w:rsidR="00AD1F95" w:rsidRPr="0029333D">
        <w:rPr>
          <w:szCs w:val="24"/>
        </w:rPr>
        <w:t xml:space="preserve"> and well in advance of the Company’s requested rate effective date in this filing</w:t>
      </w:r>
      <w:r w:rsidR="007A03EC" w:rsidRPr="0029333D">
        <w:rPr>
          <w:szCs w:val="24"/>
        </w:rPr>
        <w:t xml:space="preserve">.  </w:t>
      </w:r>
      <w:r w:rsidR="003D574B" w:rsidRPr="0029333D">
        <w:rPr>
          <w:szCs w:val="24"/>
        </w:rPr>
        <w:t>Therefore, t</w:t>
      </w:r>
      <w:r w:rsidR="007A03EC" w:rsidRPr="0029333D">
        <w:rPr>
          <w:szCs w:val="24"/>
        </w:rPr>
        <w:t xml:space="preserve">he costs incurred in this project meet both used and useful and known and measurable standards, as defined by the Commission.  </w:t>
      </w:r>
      <w:r w:rsidR="00572329" w:rsidRPr="0029333D">
        <w:rPr>
          <w:szCs w:val="24"/>
        </w:rPr>
        <w:t xml:space="preserve">The </w:t>
      </w:r>
      <w:r w:rsidR="00E7387B" w:rsidRPr="0029333D">
        <w:rPr>
          <w:szCs w:val="24"/>
        </w:rPr>
        <w:t>Jim Bridger Unit 3 overhaul</w:t>
      </w:r>
      <w:r w:rsidR="00F95A6B" w:rsidRPr="0029333D">
        <w:rPr>
          <w:szCs w:val="24"/>
        </w:rPr>
        <w:t xml:space="preserve"> </w:t>
      </w:r>
      <w:r w:rsidR="00572329" w:rsidRPr="0029333D">
        <w:rPr>
          <w:szCs w:val="24"/>
        </w:rPr>
        <w:t>project timing in this case also mirrors the Jim Bridger Unit 2 turbine upgrades approved in Order</w:t>
      </w:r>
      <w:r w:rsidR="00836919" w:rsidRPr="0029333D">
        <w:rPr>
          <w:szCs w:val="24"/>
        </w:rPr>
        <w:t> </w:t>
      </w:r>
      <w:r w:rsidR="00572329" w:rsidRPr="0029333D">
        <w:rPr>
          <w:szCs w:val="24"/>
        </w:rPr>
        <w:t>05 of the Company’s 2013 Rate Case.</w:t>
      </w:r>
      <w:r w:rsidR="00572329" w:rsidRPr="0029333D">
        <w:rPr>
          <w:rStyle w:val="FootnoteReference"/>
          <w:szCs w:val="24"/>
        </w:rPr>
        <w:footnoteReference w:id="7"/>
      </w:r>
      <w:r w:rsidR="00572329" w:rsidRPr="0029333D">
        <w:rPr>
          <w:szCs w:val="24"/>
        </w:rPr>
        <w:t xml:space="preserve">  While the upgrades </w:t>
      </w:r>
      <w:r w:rsidR="00C22EA2" w:rsidRPr="0029333D">
        <w:rPr>
          <w:szCs w:val="24"/>
        </w:rPr>
        <w:t xml:space="preserve">for </w:t>
      </w:r>
      <w:r w:rsidR="00E22216" w:rsidRPr="0029333D">
        <w:rPr>
          <w:szCs w:val="24"/>
        </w:rPr>
        <w:t xml:space="preserve">the </w:t>
      </w:r>
      <w:r w:rsidR="00C22EA2" w:rsidRPr="0029333D">
        <w:rPr>
          <w:szCs w:val="24"/>
        </w:rPr>
        <w:t xml:space="preserve">Jim Bridger Unit 2 turbines </w:t>
      </w:r>
      <w:r w:rsidR="00572329" w:rsidRPr="0029333D">
        <w:rPr>
          <w:szCs w:val="24"/>
        </w:rPr>
        <w:t xml:space="preserve">were placed in service after the historical </w:t>
      </w:r>
      <w:r w:rsidR="00D76ABD" w:rsidRPr="0029333D">
        <w:rPr>
          <w:szCs w:val="24"/>
        </w:rPr>
        <w:t xml:space="preserve">test </w:t>
      </w:r>
      <w:r w:rsidR="00572329" w:rsidRPr="0029333D">
        <w:rPr>
          <w:szCs w:val="24"/>
        </w:rPr>
        <w:t xml:space="preserve">period, the Commission determined that it achieved used and </w:t>
      </w:r>
      <w:r w:rsidR="00572329" w:rsidRPr="0029333D">
        <w:rPr>
          <w:szCs w:val="24"/>
        </w:rPr>
        <w:lastRenderedPageBreak/>
        <w:t>useful status, and its costs became known and measurable before the relevant procedural dates in that case</w:t>
      </w:r>
      <w:r w:rsidR="00A771C9" w:rsidRPr="0029333D">
        <w:rPr>
          <w:szCs w:val="24"/>
        </w:rPr>
        <w:t xml:space="preserve">.  This </w:t>
      </w:r>
      <w:r w:rsidR="00E118A2" w:rsidRPr="0029333D">
        <w:rPr>
          <w:szCs w:val="24"/>
        </w:rPr>
        <w:t>allow</w:t>
      </w:r>
      <w:r w:rsidR="00A771C9" w:rsidRPr="0029333D">
        <w:rPr>
          <w:szCs w:val="24"/>
        </w:rPr>
        <w:t>ed</w:t>
      </w:r>
      <w:r w:rsidR="00E118A2" w:rsidRPr="0029333D">
        <w:rPr>
          <w:szCs w:val="24"/>
        </w:rPr>
        <w:t xml:space="preserve"> all </w:t>
      </w:r>
      <w:r w:rsidR="00A771C9" w:rsidRPr="0029333D">
        <w:rPr>
          <w:szCs w:val="24"/>
        </w:rPr>
        <w:t>p</w:t>
      </w:r>
      <w:r w:rsidR="00E118A2" w:rsidRPr="0029333D">
        <w:rPr>
          <w:szCs w:val="24"/>
        </w:rPr>
        <w:t xml:space="preserve">arties who wished to verify the status and costs of that project ample time to do so throughout the proceedings.  As a result, </w:t>
      </w:r>
      <w:r w:rsidR="00E22216" w:rsidRPr="0029333D">
        <w:rPr>
          <w:szCs w:val="24"/>
        </w:rPr>
        <w:t xml:space="preserve">the </w:t>
      </w:r>
      <w:r w:rsidR="00E118A2" w:rsidRPr="0029333D">
        <w:rPr>
          <w:szCs w:val="24"/>
        </w:rPr>
        <w:t xml:space="preserve">Jim Bridger Unit 2 turbine upgrades were approved as a pro forma adjustment and were authorized for recovery in rates in that case. </w:t>
      </w:r>
    </w:p>
    <w:p w:rsidR="00207D1C" w:rsidRPr="0029333D" w:rsidRDefault="00207D1C" w:rsidP="005B0DAA">
      <w:pPr>
        <w:pStyle w:val="Heading2"/>
      </w:pPr>
      <w:bookmarkStart w:id="6" w:name="_Toc436114843"/>
      <w:r w:rsidRPr="0029333D">
        <w:t>Allocation Methodology</w:t>
      </w:r>
      <w:bookmarkEnd w:id="6"/>
    </w:p>
    <w:p w:rsidR="00256C4D" w:rsidRPr="0029333D" w:rsidRDefault="00256C4D" w:rsidP="003F7952">
      <w:pPr>
        <w:pStyle w:val="Question"/>
        <w:widowControl w:val="0"/>
        <w:jc w:val="left"/>
        <w:rPr>
          <w:szCs w:val="24"/>
        </w:rPr>
      </w:pPr>
      <w:r w:rsidRPr="0029333D">
        <w:rPr>
          <w:szCs w:val="24"/>
        </w:rPr>
        <w:t>Q.</w:t>
      </w:r>
      <w:r w:rsidRPr="0029333D">
        <w:rPr>
          <w:szCs w:val="24"/>
        </w:rPr>
        <w:tab/>
      </w:r>
      <w:r w:rsidR="00A7769E" w:rsidRPr="0029333D">
        <w:rPr>
          <w:szCs w:val="24"/>
        </w:rPr>
        <w:t xml:space="preserve">What allocation methodology </w:t>
      </w:r>
      <w:r w:rsidR="00A771C9" w:rsidRPr="0029333D">
        <w:rPr>
          <w:szCs w:val="24"/>
        </w:rPr>
        <w:t xml:space="preserve">did you apply </w:t>
      </w:r>
      <w:r w:rsidR="00A7769E" w:rsidRPr="0029333D">
        <w:rPr>
          <w:szCs w:val="24"/>
        </w:rPr>
        <w:t xml:space="preserve">in </w:t>
      </w:r>
      <w:r w:rsidR="002B79FC" w:rsidRPr="0029333D">
        <w:rPr>
          <w:szCs w:val="24"/>
        </w:rPr>
        <w:t xml:space="preserve">the </w:t>
      </w:r>
      <w:r w:rsidR="00A7769E" w:rsidRPr="0029333D">
        <w:rPr>
          <w:szCs w:val="24"/>
        </w:rPr>
        <w:t xml:space="preserve">calculation </w:t>
      </w:r>
      <w:r w:rsidR="002B79FC" w:rsidRPr="0029333D">
        <w:rPr>
          <w:szCs w:val="24"/>
        </w:rPr>
        <w:t xml:space="preserve">of </w:t>
      </w:r>
      <w:r w:rsidR="00C06F43" w:rsidRPr="0029333D">
        <w:rPr>
          <w:szCs w:val="24"/>
        </w:rPr>
        <w:t>the Washington</w:t>
      </w:r>
      <w:r w:rsidR="00A7769E" w:rsidRPr="0029333D">
        <w:rPr>
          <w:szCs w:val="24"/>
        </w:rPr>
        <w:t xml:space="preserve"> </w:t>
      </w:r>
      <w:r w:rsidR="005F48E2" w:rsidRPr="0029333D">
        <w:rPr>
          <w:szCs w:val="24"/>
        </w:rPr>
        <w:t>r</w:t>
      </w:r>
      <w:r w:rsidR="00A7769E" w:rsidRPr="0029333D">
        <w:rPr>
          <w:szCs w:val="24"/>
        </w:rPr>
        <w:t xml:space="preserve">esults of </w:t>
      </w:r>
      <w:r w:rsidR="005F48E2" w:rsidRPr="0029333D">
        <w:rPr>
          <w:szCs w:val="24"/>
        </w:rPr>
        <w:t>o</w:t>
      </w:r>
      <w:r w:rsidR="00A7769E" w:rsidRPr="0029333D">
        <w:rPr>
          <w:szCs w:val="24"/>
        </w:rPr>
        <w:t>perations</w:t>
      </w:r>
      <w:r w:rsidRPr="0029333D">
        <w:rPr>
          <w:szCs w:val="24"/>
        </w:rPr>
        <w:t>?</w:t>
      </w:r>
    </w:p>
    <w:p w:rsidR="004B593E" w:rsidRPr="0029333D" w:rsidRDefault="00256C4D" w:rsidP="00D1095E">
      <w:pPr>
        <w:pStyle w:val="Answer"/>
        <w:widowControl w:val="0"/>
        <w:jc w:val="left"/>
        <w:rPr>
          <w:szCs w:val="24"/>
        </w:rPr>
      </w:pPr>
      <w:r w:rsidRPr="0029333D">
        <w:rPr>
          <w:szCs w:val="24"/>
        </w:rPr>
        <w:t>A.</w:t>
      </w:r>
      <w:r w:rsidRPr="0029333D">
        <w:rPr>
          <w:szCs w:val="24"/>
        </w:rPr>
        <w:tab/>
      </w:r>
      <w:r w:rsidR="00FF205A" w:rsidRPr="0029333D">
        <w:rPr>
          <w:szCs w:val="24"/>
        </w:rPr>
        <w:t xml:space="preserve">Washington results of operations in this proceeding are based on </w:t>
      </w:r>
      <w:r w:rsidR="00A7769E" w:rsidRPr="0029333D">
        <w:rPr>
          <w:szCs w:val="24"/>
        </w:rPr>
        <w:t xml:space="preserve">the </w:t>
      </w:r>
      <w:r w:rsidR="00D76ABD" w:rsidRPr="0029333D">
        <w:rPr>
          <w:szCs w:val="24"/>
        </w:rPr>
        <w:t>WCA</w:t>
      </w:r>
      <w:r w:rsidR="00A7769E" w:rsidRPr="0029333D">
        <w:rPr>
          <w:szCs w:val="24"/>
        </w:rPr>
        <w:t xml:space="preserve">, as approved by the </w:t>
      </w:r>
      <w:r w:rsidR="00F70898" w:rsidRPr="0029333D">
        <w:rPr>
          <w:szCs w:val="24"/>
        </w:rPr>
        <w:t>Commission</w:t>
      </w:r>
      <w:r w:rsidR="001F1275" w:rsidRPr="0029333D">
        <w:rPr>
          <w:szCs w:val="24"/>
        </w:rPr>
        <w:t xml:space="preserve"> </w:t>
      </w:r>
      <w:r w:rsidR="00A7769E" w:rsidRPr="0029333D">
        <w:rPr>
          <w:szCs w:val="24"/>
        </w:rPr>
        <w:t>in</w:t>
      </w:r>
      <w:r w:rsidR="0042103E" w:rsidRPr="0029333D">
        <w:rPr>
          <w:szCs w:val="24"/>
        </w:rPr>
        <w:t xml:space="preserve"> Order 08,</w:t>
      </w:r>
      <w:r w:rsidR="00A7769E" w:rsidRPr="0029333D">
        <w:rPr>
          <w:szCs w:val="24"/>
        </w:rPr>
        <w:t xml:space="preserve"> </w:t>
      </w:r>
      <w:r w:rsidR="00836919" w:rsidRPr="0029333D">
        <w:rPr>
          <w:szCs w:val="24"/>
        </w:rPr>
        <w:t>D</w:t>
      </w:r>
      <w:r w:rsidR="00A7769E" w:rsidRPr="0029333D">
        <w:rPr>
          <w:szCs w:val="24"/>
        </w:rPr>
        <w:t xml:space="preserve">ocket </w:t>
      </w:r>
      <w:r w:rsidR="00F41F48" w:rsidRPr="0029333D">
        <w:rPr>
          <w:szCs w:val="24"/>
        </w:rPr>
        <w:t>UE-</w:t>
      </w:r>
      <w:r w:rsidR="005D5531" w:rsidRPr="0029333D">
        <w:rPr>
          <w:szCs w:val="24"/>
        </w:rPr>
        <w:t>061546</w:t>
      </w:r>
      <w:r w:rsidR="00555A5E" w:rsidRPr="0029333D">
        <w:rPr>
          <w:szCs w:val="24"/>
        </w:rPr>
        <w:t>.</w:t>
      </w:r>
      <w:r w:rsidR="00CE54EA" w:rsidRPr="0029333D">
        <w:rPr>
          <w:rStyle w:val="FootnoteReference"/>
          <w:szCs w:val="24"/>
        </w:rPr>
        <w:footnoteReference w:id="8"/>
      </w:r>
      <w:r w:rsidR="00FF205A" w:rsidRPr="0029333D">
        <w:rPr>
          <w:szCs w:val="24"/>
        </w:rPr>
        <w:t xml:space="preserve"> </w:t>
      </w:r>
    </w:p>
    <w:p w:rsidR="00E118A2" w:rsidRPr="0029333D" w:rsidRDefault="00E118A2" w:rsidP="00E118A2">
      <w:pPr>
        <w:pStyle w:val="Question"/>
        <w:widowControl w:val="0"/>
        <w:jc w:val="left"/>
        <w:rPr>
          <w:szCs w:val="24"/>
        </w:rPr>
      </w:pPr>
      <w:r w:rsidRPr="0029333D">
        <w:rPr>
          <w:szCs w:val="24"/>
        </w:rPr>
        <w:t>Q.</w:t>
      </w:r>
      <w:r w:rsidRPr="0029333D">
        <w:rPr>
          <w:szCs w:val="24"/>
        </w:rPr>
        <w:tab/>
        <w:t>Are there any relevant changes in the allocation of the unadjusted data used in this ERF?</w:t>
      </w:r>
    </w:p>
    <w:p w:rsidR="00E118A2" w:rsidRPr="0029333D" w:rsidRDefault="00E118A2" w:rsidP="00E118A2">
      <w:pPr>
        <w:pStyle w:val="Answer"/>
        <w:widowControl w:val="0"/>
        <w:jc w:val="left"/>
        <w:rPr>
          <w:szCs w:val="24"/>
        </w:rPr>
      </w:pPr>
      <w:r w:rsidRPr="0029333D">
        <w:rPr>
          <w:rStyle w:val="AnswerChar1"/>
          <w:szCs w:val="24"/>
        </w:rPr>
        <w:t>A.</w:t>
      </w:r>
      <w:r w:rsidRPr="0029333D">
        <w:rPr>
          <w:rStyle w:val="AnswerChar1"/>
          <w:szCs w:val="24"/>
        </w:rPr>
        <w:tab/>
        <w:t xml:space="preserve">Yes, while the allocation methodology applied in this filing has not changed, </w:t>
      </w:r>
      <w:r w:rsidR="00D76ABD" w:rsidRPr="0029333D">
        <w:rPr>
          <w:rStyle w:val="AnswerChar1"/>
          <w:szCs w:val="24"/>
        </w:rPr>
        <w:t xml:space="preserve">Washington results have been updated to reflect assets serving the west control area. </w:t>
      </w:r>
      <w:r w:rsidRPr="0029333D">
        <w:rPr>
          <w:rStyle w:val="AnswerChar1"/>
          <w:szCs w:val="24"/>
        </w:rPr>
        <w:t xml:space="preserve"> </w:t>
      </w:r>
      <w:r w:rsidR="00D76ABD" w:rsidRPr="0029333D">
        <w:rPr>
          <w:rStyle w:val="AnswerChar1"/>
          <w:szCs w:val="24"/>
        </w:rPr>
        <w:t>On October 30, 2015, PacifiCorp and Idaho Power Company executed an exchange of certain transmission assets (Idaho Power Asset Exchange).</w:t>
      </w:r>
      <w:r w:rsidR="00767B17">
        <w:rPr>
          <w:rStyle w:val="AnswerChar1"/>
          <w:szCs w:val="24"/>
        </w:rPr>
        <w:t xml:space="preserve"> </w:t>
      </w:r>
      <w:r w:rsidR="00D76ABD" w:rsidRPr="0029333D">
        <w:rPr>
          <w:rStyle w:val="AnswerChar1"/>
          <w:szCs w:val="24"/>
        </w:rPr>
        <w:t xml:space="preserve"> </w:t>
      </w:r>
      <w:r w:rsidR="00AE3FC4" w:rsidRPr="0029333D">
        <w:rPr>
          <w:rStyle w:val="AnswerChar1"/>
          <w:szCs w:val="24"/>
        </w:rPr>
        <w:t xml:space="preserve">Because of the Idaho </w:t>
      </w:r>
      <w:r w:rsidR="00505319" w:rsidRPr="0029333D">
        <w:rPr>
          <w:rStyle w:val="AnswerChar1"/>
          <w:szCs w:val="24"/>
        </w:rPr>
        <w:t xml:space="preserve">Power </w:t>
      </w:r>
      <w:r w:rsidR="00AE3FC4" w:rsidRPr="0029333D">
        <w:rPr>
          <w:rStyle w:val="AnswerChar1"/>
          <w:szCs w:val="24"/>
        </w:rPr>
        <w:t xml:space="preserve">Asset Exchange transaction, </w:t>
      </w:r>
      <w:r w:rsidRPr="0029333D">
        <w:rPr>
          <w:rStyle w:val="AnswerChar1"/>
          <w:szCs w:val="24"/>
        </w:rPr>
        <w:t xml:space="preserve">certain transmission assets that were previously excluded from the </w:t>
      </w:r>
      <w:r w:rsidR="00026883" w:rsidRPr="0029333D">
        <w:rPr>
          <w:rStyle w:val="AnswerChar1"/>
          <w:szCs w:val="24"/>
        </w:rPr>
        <w:t>WCA</w:t>
      </w:r>
      <w:r w:rsidRPr="0029333D">
        <w:rPr>
          <w:rStyle w:val="AnswerChar1"/>
          <w:szCs w:val="24"/>
        </w:rPr>
        <w:t xml:space="preserve"> are now contributing to transmitting power into the west control area, and necessitate a change in </w:t>
      </w:r>
      <w:r w:rsidR="00D76ABD" w:rsidRPr="0029333D">
        <w:rPr>
          <w:rStyle w:val="AnswerChar1"/>
          <w:szCs w:val="24"/>
        </w:rPr>
        <w:t>assets reflected in Washington results</w:t>
      </w:r>
      <w:r w:rsidRPr="0029333D">
        <w:rPr>
          <w:rStyle w:val="AnswerChar1"/>
          <w:szCs w:val="24"/>
        </w:rPr>
        <w:t xml:space="preserve"> to reflect </w:t>
      </w:r>
      <w:r w:rsidR="00D76ABD" w:rsidRPr="0029333D">
        <w:rPr>
          <w:rStyle w:val="AnswerChar1"/>
          <w:szCs w:val="24"/>
        </w:rPr>
        <w:t>actual</w:t>
      </w:r>
      <w:r w:rsidRPr="0029333D">
        <w:rPr>
          <w:rStyle w:val="AnswerChar1"/>
          <w:szCs w:val="24"/>
        </w:rPr>
        <w:t xml:space="preserve"> operation</w:t>
      </w:r>
      <w:r w:rsidR="00D76ABD" w:rsidRPr="0029333D">
        <w:rPr>
          <w:rStyle w:val="AnswerChar1"/>
          <w:szCs w:val="24"/>
        </w:rPr>
        <w:t>s</w:t>
      </w:r>
      <w:r w:rsidRPr="0029333D">
        <w:rPr>
          <w:rStyle w:val="AnswerChar1"/>
          <w:szCs w:val="24"/>
        </w:rPr>
        <w:t>.</w:t>
      </w:r>
    </w:p>
    <w:p w:rsidR="0035611A" w:rsidRPr="0029333D" w:rsidRDefault="0035611A" w:rsidP="0035611A">
      <w:pPr>
        <w:pStyle w:val="Question"/>
        <w:widowControl w:val="0"/>
        <w:jc w:val="left"/>
        <w:rPr>
          <w:szCs w:val="24"/>
        </w:rPr>
      </w:pPr>
      <w:r w:rsidRPr="0029333D">
        <w:rPr>
          <w:szCs w:val="24"/>
        </w:rPr>
        <w:t>Q.</w:t>
      </w:r>
      <w:r w:rsidRPr="0029333D">
        <w:rPr>
          <w:szCs w:val="24"/>
        </w:rPr>
        <w:tab/>
        <w:t xml:space="preserve">What is the Idaho </w:t>
      </w:r>
      <w:r w:rsidR="00505319" w:rsidRPr="0029333D">
        <w:rPr>
          <w:szCs w:val="24"/>
        </w:rPr>
        <w:t xml:space="preserve">Power </w:t>
      </w:r>
      <w:r w:rsidRPr="0029333D">
        <w:rPr>
          <w:szCs w:val="24"/>
        </w:rPr>
        <w:t>Asset Exchange?</w:t>
      </w:r>
    </w:p>
    <w:p w:rsidR="0035611A" w:rsidRPr="0029333D" w:rsidRDefault="0035611A" w:rsidP="00525ECE">
      <w:pPr>
        <w:spacing w:line="480" w:lineRule="auto"/>
        <w:ind w:left="720" w:hanging="720"/>
        <w:jc w:val="left"/>
        <w:rPr>
          <w:rStyle w:val="AnswerChar1"/>
          <w:b/>
          <w:bCs/>
        </w:rPr>
      </w:pPr>
      <w:r w:rsidRPr="0029333D">
        <w:rPr>
          <w:rStyle w:val="AnswerChar1"/>
        </w:rPr>
        <w:t>A.</w:t>
      </w:r>
      <w:r w:rsidRPr="0029333D">
        <w:rPr>
          <w:rStyle w:val="AnswerChar1"/>
        </w:rPr>
        <w:tab/>
        <w:t xml:space="preserve">On December 19, 2014, the Company filed a petition requesting authorization to exchange certain Company-owned transmission assets for transmission assets owned </w:t>
      </w:r>
      <w:r w:rsidRPr="0029333D">
        <w:rPr>
          <w:rStyle w:val="AnswerChar1"/>
        </w:rPr>
        <w:lastRenderedPageBreak/>
        <w:t>by Idaho Power of approximately equal value.  The purpose of the transac</w:t>
      </w:r>
      <w:r w:rsidR="00767B17">
        <w:rPr>
          <w:rStyle w:val="AnswerChar1"/>
        </w:rPr>
        <w:t>tion was</w:t>
      </w:r>
      <w:r w:rsidRPr="0029333D">
        <w:rPr>
          <w:rStyle w:val="AnswerChar1"/>
        </w:rPr>
        <w:t xml:space="preserve"> to update or replace a series of </w:t>
      </w:r>
      <w:r w:rsidR="00767B17">
        <w:rPr>
          <w:rStyle w:val="AnswerChar1"/>
        </w:rPr>
        <w:t>legacy</w:t>
      </w:r>
      <w:r w:rsidRPr="0029333D">
        <w:rPr>
          <w:rStyle w:val="AnswerChar1"/>
        </w:rPr>
        <w:t xml:space="preserve"> transmission agreements through a combination of ownership exchanges and open access transmission tariff</w:t>
      </w:r>
      <w:r w:rsidR="00767B17">
        <w:rPr>
          <w:rStyle w:val="AnswerChar1"/>
        </w:rPr>
        <w:t xml:space="preserve"> service</w:t>
      </w:r>
      <w:r w:rsidRPr="0029333D">
        <w:rPr>
          <w:rStyle w:val="AnswerChar1"/>
        </w:rPr>
        <w:t>.</w:t>
      </w:r>
      <w:r w:rsidR="00383A0C" w:rsidRPr="0029333D">
        <w:rPr>
          <w:rStyle w:val="AnswerChar1"/>
        </w:rPr>
        <w:t xml:space="preserve">  The Commission approved this transaction in September 2015.</w:t>
      </w:r>
      <w:r w:rsidRPr="0029333D">
        <w:rPr>
          <w:rStyle w:val="FootnoteReference"/>
        </w:rPr>
        <w:footnoteReference w:id="9"/>
      </w:r>
    </w:p>
    <w:p w:rsidR="0035611A" w:rsidRPr="0029333D" w:rsidRDefault="0035611A" w:rsidP="0035611A">
      <w:pPr>
        <w:pStyle w:val="Question"/>
        <w:widowControl w:val="0"/>
        <w:jc w:val="left"/>
        <w:rPr>
          <w:szCs w:val="24"/>
        </w:rPr>
      </w:pPr>
      <w:r w:rsidRPr="0029333D">
        <w:rPr>
          <w:szCs w:val="24"/>
        </w:rPr>
        <w:t>Q.</w:t>
      </w:r>
      <w:r w:rsidRPr="0029333D">
        <w:rPr>
          <w:szCs w:val="24"/>
        </w:rPr>
        <w:tab/>
        <w:t xml:space="preserve">What are the revenue requirement impacts of </w:t>
      </w:r>
      <w:r w:rsidR="00505319" w:rsidRPr="0029333D">
        <w:rPr>
          <w:szCs w:val="24"/>
        </w:rPr>
        <w:t xml:space="preserve">the Idaho Power Asset </w:t>
      </w:r>
      <w:r w:rsidRPr="0029333D">
        <w:rPr>
          <w:szCs w:val="24"/>
        </w:rPr>
        <w:t>Exchange?</w:t>
      </w:r>
    </w:p>
    <w:p w:rsidR="0035611A" w:rsidRPr="0029333D" w:rsidRDefault="0035611A" w:rsidP="00525ECE">
      <w:pPr>
        <w:spacing w:line="480" w:lineRule="auto"/>
        <w:ind w:left="720" w:hanging="720"/>
        <w:jc w:val="left"/>
        <w:rPr>
          <w:rStyle w:val="AnswerChar1"/>
          <w:b/>
          <w:bCs/>
        </w:rPr>
      </w:pPr>
      <w:r w:rsidRPr="0029333D">
        <w:rPr>
          <w:rStyle w:val="AnswerChar1"/>
        </w:rPr>
        <w:t>A.</w:t>
      </w:r>
      <w:r w:rsidRPr="0029333D">
        <w:rPr>
          <w:rStyle w:val="AnswerChar1"/>
        </w:rPr>
        <w:tab/>
        <w:t xml:space="preserve">Because the net value of transmission assets exchanged are approximately the same, </w:t>
      </w:r>
      <w:r w:rsidR="00A771C9" w:rsidRPr="0029333D">
        <w:rPr>
          <w:rStyle w:val="AnswerChar1"/>
        </w:rPr>
        <w:t xml:space="preserve">the </w:t>
      </w:r>
      <w:r w:rsidRPr="0029333D">
        <w:rPr>
          <w:rStyle w:val="AnswerChar1"/>
        </w:rPr>
        <w:t>revenue requirement impact of the asset exchange is nominal, approximately $</w:t>
      </w:r>
      <w:r w:rsidR="00D76ABD" w:rsidRPr="0029333D">
        <w:rPr>
          <w:rStyle w:val="AnswerChar1"/>
        </w:rPr>
        <w:t>0.4 million</w:t>
      </w:r>
      <w:r w:rsidRPr="0029333D">
        <w:rPr>
          <w:rStyle w:val="AnswerChar1"/>
        </w:rPr>
        <w:t xml:space="preserve"> on a Washington-allocated basis.</w:t>
      </w:r>
      <w:r w:rsidR="00767B17">
        <w:rPr>
          <w:rStyle w:val="AnswerChar1"/>
        </w:rPr>
        <w:t xml:space="preserve"> </w:t>
      </w:r>
      <w:r w:rsidR="00B66441" w:rsidRPr="0029333D">
        <w:rPr>
          <w:rStyle w:val="AnswerChar1"/>
        </w:rPr>
        <w:t xml:space="preserve"> The new arrangements will enable the Company to more efficiently operate its transmission system, consistent with current regulatory requirements, and provide the Company with the ability to more effectively manage required system upgrades and serve expected load growth.  The direct testimony of Mr. Richard A. Vail also addresses the Idaho Power Asset Exchange.</w:t>
      </w:r>
    </w:p>
    <w:p w:rsidR="00A771C9" w:rsidRDefault="0035611A" w:rsidP="00525ECE">
      <w:pPr>
        <w:spacing w:line="480" w:lineRule="auto"/>
        <w:ind w:left="720" w:hanging="720"/>
        <w:jc w:val="left"/>
        <w:rPr>
          <w:rStyle w:val="AnswerChar1"/>
        </w:rPr>
      </w:pPr>
      <w:r w:rsidRPr="0029333D">
        <w:rPr>
          <w:rStyle w:val="AnswerChar1"/>
        </w:rPr>
        <w:tab/>
      </w:r>
      <w:r w:rsidRPr="0029333D">
        <w:rPr>
          <w:rStyle w:val="AnswerChar1"/>
        </w:rPr>
        <w:tab/>
      </w:r>
      <w:r w:rsidR="00B66441" w:rsidRPr="0029333D">
        <w:rPr>
          <w:rStyle w:val="AnswerChar1"/>
        </w:rPr>
        <w:t>In addition, a</w:t>
      </w:r>
      <w:r w:rsidRPr="0029333D">
        <w:rPr>
          <w:rStyle w:val="AnswerChar1"/>
        </w:rPr>
        <w:t>s a result of the exchanged assets</w:t>
      </w:r>
      <w:r w:rsidR="00A771C9" w:rsidRPr="0029333D">
        <w:rPr>
          <w:rStyle w:val="AnswerChar1"/>
        </w:rPr>
        <w:t xml:space="preserve">, </w:t>
      </w:r>
      <w:r w:rsidRPr="0029333D">
        <w:rPr>
          <w:rStyle w:val="AnswerChar1"/>
        </w:rPr>
        <w:t>both Idaho Power and the Company were able to realign their respective ownership interests and operational responsibilities with respect to various integr</w:t>
      </w:r>
      <w:r w:rsidR="00767B17">
        <w:rPr>
          <w:rStyle w:val="AnswerChar1"/>
        </w:rPr>
        <w:t>ated transmission facilities</w:t>
      </w:r>
      <w:r w:rsidRPr="0029333D">
        <w:rPr>
          <w:rStyle w:val="AnswerChar1"/>
        </w:rPr>
        <w:t xml:space="preserve">.  </w:t>
      </w:r>
      <w:r w:rsidR="00836919" w:rsidRPr="0029333D">
        <w:rPr>
          <w:rStyle w:val="AnswerChar1"/>
        </w:rPr>
        <w:t>U</w:t>
      </w:r>
      <w:r w:rsidRPr="0029333D">
        <w:rPr>
          <w:rStyle w:val="AnswerChar1"/>
        </w:rPr>
        <w:t>nder the new operating agreement, the Company acquired capacity and ownership of transmission lines that augment th</w:t>
      </w:r>
      <w:r w:rsidR="00AC6A9E" w:rsidRPr="0029333D">
        <w:rPr>
          <w:rStyle w:val="AnswerChar1"/>
        </w:rPr>
        <w:t>e Company’s ability to serve west control area</w:t>
      </w:r>
      <w:r w:rsidRPr="0029333D">
        <w:rPr>
          <w:rStyle w:val="AnswerChar1"/>
        </w:rPr>
        <w:t xml:space="preserve"> </w:t>
      </w:r>
      <w:r w:rsidR="00AC6A9E" w:rsidRPr="0029333D">
        <w:rPr>
          <w:rStyle w:val="AnswerChar1"/>
        </w:rPr>
        <w:t xml:space="preserve">load.  </w:t>
      </w:r>
      <w:r w:rsidR="00B66441" w:rsidRPr="0029333D">
        <w:rPr>
          <w:rStyle w:val="AnswerChar1"/>
        </w:rPr>
        <w:t>Accordingly, certain assets previously excluded from the west control area are now included based on the Company’s ability to use these assets to serve customers in the west control area.</w:t>
      </w:r>
    </w:p>
    <w:p w:rsidR="00D827B8" w:rsidRPr="0029333D" w:rsidRDefault="00D827B8" w:rsidP="00D827B8">
      <w:pPr>
        <w:suppressLineNumbers/>
        <w:spacing w:line="480" w:lineRule="auto"/>
        <w:ind w:left="720" w:hanging="720"/>
        <w:jc w:val="left"/>
        <w:rPr>
          <w:rStyle w:val="AnswerChar1"/>
        </w:rPr>
      </w:pPr>
    </w:p>
    <w:p w:rsidR="00A771C9" w:rsidRPr="0029333D" w:rsidRDefault="00A771C9" w:rsidP="00525ECE">
      <w:pPr>
        <w:spacing w:line="480" w:lineRule="auto"/>
        <w:ind w:left="720" w:hanging="720"/>
        <w:jc w:val="left"/>
        <w:rPr>
          <w:rStyle w:val="AnswerChar1"/>
          <w:b/>
        </w:rPr>
      </w:pPr>
      <w:r w:rsidRPr="0029333D">
        <w:rPr>
          <w:rStyle w:val="AnswerChar1"/>
          <w:b/>
        </w:rPr>
        <w:lastRenderedPageBreak/>
        <w:t>Q.</w:t>
      </w:r>
      <w:r w:rsidRPr="0029333D">
        <w:rPr>
          <w:rStyle w:val="AnswerChar1"/>
          <w:b/>
        </w:rPr>
        <w:tab/>
        <w:t xml:space="preserve">Please explain </w:t>
      </w:r>
      <w:r w:rsidR="00B66441" w:rsidRPr="0029333D">
        <w:rPr>
          <w:rStyle w:val="AnswerChar1"/>
          <w:b/>
        </w:rPr>
        <w:t>which assets previously excluded from the west control area have now been included.</w:t>
      </w:r>
    </w:p>
    <w:p w:rsidR="0035611A" w:rsidRPr="0029333D" w:rsidRDefault="00A771C9" w:rsidP="00525ECE">
      <w:pPr>
        <w:spacing w:line="480" w:lineRule="auto"/>
        <w:ind w:left="720" w:hanging="720"/>
        <w:jc w:val="left"/>
        <w:rPr>
          <w:rStyle w:val="AnswerChar1"/>
        </w:rPr>
      </w:pPr>
      <w:r w:rsidRPr="0029333D">
        <w:rPr>
          <w:rStyle w:val="AnswerChar1"/>
        </w:rPr>
        <w:t>A.</w:t>
      </w:r>
      <w:r w:rsidRPr="0029333D">
        <w:rPr>
          <w:rStyle w:val="AnswerChar1"/>
        </w:rPr>
        <w:tab/>
      </w:r>
      <w:r w:rsidR="0035611A" w:rsidRPr="0029333D">
        <w:rPr>
          <w:rStyle w:val="AnswerChar1"/>
        </w:rPr>
        <w:t xml:space="preserve">The table </w:t>
      </w:r>
      <w:r w:rsidR="00943A3B">
        <w:rPr>
          <w:rStyle w:val="AnswerChar1"/>
        </w:rPr>
        <w:t xml:space="preserve">below </w:t>
      </w:r>
      <w:r w:rsidR="0035611A" w:rsidRPr="0029333D">
        <w:rPr>
          <w:rStyle w:val="AnswerChar1"/>
        </w:rPr>
        <w:t>summarizes the changes to allocation factors made to transmission assets</w:t>
      </w:r>
      <w:r w:rsidR="00B66441" w:rsidRPr="0029333D">
        <w:rPr>
          <w:rStyle w:val="AnswerChar1"/>
        </w:rPr>
        <w:t xml:space="preserve"> as part of this filing.</w:t>
      </w:r>
      <w:r w:rsidR="005D0ACE" w:rsidRPr="0029333D">
        <w:rPr>
          <w:rStyle w:val="FootnoteReference"/>
        </w:rPr>
        <w:footnoteReference w:id="10"/>
      </w:r>
    </w:p>
    <w:p w:rsidR="005C0966" w:rsidRPr="00767B17" w:rsidRDefault="00511A81" w:rsidP="003344DA">
      <w:pPr>
        <w:suppressLineNumbers/>
        <w:spacing w:line="480" w:lineRule="auto"/>
        <w:ind w:left="720" w:hanging="720"/>
        <w:jc w:val="center"/>
        <w:rPr>
          <w:rStyle w:val="AnswerChar1"/>
          <w:b/>
        </w:rPr>
      </w:pPr>
      <w:r w:rsidRPr="00767B17">
        <w:rPr>
          <w:rStyle w:val="AnswerChar1"/>
          <w:b/>
        </w:rPr>
        <w:t>Table 1. Asset Reallocation Resulting from Idaho Asset Exchange</w:t>
      </w:r>
    </w:p>
    <w:tbl>
      <w:tblPr>
        <w:tblW w:w="8475" w:type="dxa"/>
        <w:tblInd w:w="93" w:type="dxa"/>
        <w:tblLook w:val="04A0" w:firstRow="1" w:lastRow="0" w:firstColumn="1" w:lastColumn="0" w:noHBand="0" w:noVBand="1"/>
      </w:tblPr>
      <w:tblGrid>
        <w:gridCol w:w="4065"/>
        <w:gridCol w:w="1035"/>
        <w:gridCol w:w="1096"/>
        <w:gridCol w:w="1328"/>
        <w:gridCol w:w="1260"/>
      </w:tblGrid>
      <w:tr w:rsidR="005C0966" w:rsidRPr="00767B17" w:rsidTr="009151DC">
        <w:trPr>
          <w:trHeight w:val="765"/>
        </w:trPr>
        <w:tc>
          <w:tcPr>
            <w:tcW w:w="4065" w:type="dxa"/>
            <w:tcBorders>
              <w:top w:val="nil"/>
              <w:left w:val="nil"/>
              <w:bottom w:val="single" w:sz="4" w:space="0" w:color="auto"/>
              <w:right w:val="nil"/>
            </w:tcBorders>
            <w:shd w:val="clear" w:color="auto" w:fill="auto"/>
            <w:vAlign w:val="bottom"/>
            <w:hideMark/>
          </w:tcPr>
          <w:p w:rsidR="005C0966" w:rsidRPr="00767B17" w:rsidRDefault="005C0966" w:rsidP="005C0966">
            <w:pPr>
              <w:jc w:val="center"/>
              <w:rPr>
                <w:b/>
                <w:bCs/>
                <w:color w:val="000000"/>
                <w:sz w:val="22"/>
                <w:szCs w:val="22"/>
              </w:rPr>
            </w:pPr>
            <w:r w:rsidRPr="00767B17">
              <w:rPr>
                <w:b/>
                <w:bCs/>
                <w:color w:val="000000"/>
                <w:sz w:val="22"/>
                <w:szCs w:val="22"/>
              </w:rPr>
              <w:t>Location Description</w:t>
            </w:r>
          </w:p>
        </w:tc>
        <w:tc>
          <w:tcPr>
            <w:tcW w:w="886" w:type="dxa"/>
            <w:tcBorders>
              <w:top w:val="nil"/>
              <w:left w:val="nil"/>
              <w:bottom w:val="single" w:sz="4" w:space="0" w:color="auto"/>
              <w:right w:val="nil"/>
            </w:tcBorders>
            <w:shd w:val="clear" w:color="auto" w:fill="auto"/>
            <w:vAlign w:val="bottom"/>
            <w:hideMark/>
          </w:tcPr>
          <w:p w:rsidR="005C0966" w:rsidRPr="00767B17" w:rsidRDefault="005C0966" w:rsidP="005C0966">
            <w:pPr>
              <w:jc w:val="center"/>
              <w:rPr>
                <w:b/>
                <w:bCs/>
                <w:color w:val="000000"/>
                <w:sz w:val="22"/>
                <w:szCs w:val="22"/>
              </w:rPr>
            </w:pPr>
            <w:r w:rsidRPr="00767B17">
              <w:rPr>
                <w:b/>
                <w:bCs/>
                <w:color w:val="000000"/>
                <w:sz w:val="22"/>
                <w:szCs w:val="22"/>
              </w:rPr>
              <w:t>Previous WCA Factor</w:t>
            </w:r>
          </w:p>
        </w:tc>
        <w:tc>
          <w:tcPr>
            <w:tcW w:w="936" w:type="dxa"/>
            <w:tcBorders>
              <w:top w:val="nil"/>
              <w:left w:val="nil"/>
              <w:bottom w:val="single" w:sz="4" w:space="0" w:color="auto"/>
              <w:right w:val="nil"/>
            </w:tcBorders>
            <w:shd w:val="clear" w:color="auto" w:fill="auto"/>
            <w:vAlign w:val="bottom"/>
            <w:hideMark/>
          </w:tcPr>
          <w:p w:rsidR="005C0966" w:rsidRPr="00767B17" w:rsidRDefault="005C0966" w:rsidP="005C0966">
            <w:pPr>
              <w:jc w:val="center"/>
              <w:rPr>
                <w:b/>
                <w:bCs/>
                <w:color w:val="000000"/>
                <w:sz w:val="22"/>
                <w:szCs w:val="22"/>
              </w:rPr>
            </w:pPr>
            <w:r w:rsidRPr="00767B17">
              <w:rPr>
                <w:b/>
                <w:bCs/>
                <w:color w:val="000000"/>
                <w:sz w:val="22"/>
                <w:szCs w:val="22"/>
              </w:rPr>
              <w:t>Proposed WCA Factor</w:t>
            </w:r>
          </w:p>
        </w:tc>
        <w:tc>
          <w:tcPr>
            <w:tcW w:w="1328" w:type="dxa"/>
            <w:tcBorders>
              <w:top w:val="nil"/>
              <w:left w:val="nil"/>
              <w:bottom w:val="single" w:sz="4" w:space="0" w:color="auto"/>
              <w:right w:val="nil"/>
            </w:tcBorders>
            <w:shd w:val="clear" w:color="auto" w:fill="auto"/>
            <w:vAlign w:val="bottom"/>
            <w:hideMark/>
          </w:tcPr>
          <w:p w:rsidR="005C0966" w:rsidRPr="00767B17" w:rsidRDefault="005C0966" w:rsidP="005C0966">
            <w:pPr>
              <w:jc w:val="center"/>
              <w:rPr>
                <w:b/>
                <w:bCs/>
                <w:color w:val="000000"/>
                <w:sz w:val="22"/>
                <w:szCs w:val="22"/>
              </w:rPr>
            </w:pPr>
            <w:r w:rsidRPr="00767B17">
              <w:rPr>
                <w:b/>
                <w:bCs/>
                <w:color w:val="000000"/>
                <w:sz w:val="22"/>
                <w:szCs w:val="22"/>
              </w:rPr>
              <w:t>Net Plant - AMA Jun-15</w:t>
            </w:r>
          </w:p>
        </w:tc>
        <w:tc>
          <w:tcPr>
            <w:tcW w:w="1260" w:type="dxa"/>
            <w:tcBorders>
              <w:top w:val="nil"/>
              <w:left w:val="nil"/>
              <w:bottom w:val="single" w:sz="4" w:space="0" w:color="auto"/>
              <w:right w:val="nil"/>
            </w:tcBorders>
            <w:shd w:val="clear" w:color="auto" w:fill="auto"/>
            <w:vAlign w:val="bottom"/>
            <w:hideMark/>
          </w:tcPr>
          <w:p w:rsidR="005C0966" w:rsidRPr="00767B17" w:rsidRDefault="005C0966" w:rsidP="005C0966">
            <w:pPr>
              <w:jc w:val="center"/>
              <w:rPr>
                <w:b/>
                <w:bCs/>
                <w:color w:val="000000"/>
                <w:sz w:val="22"/>
                <w:szCs w:val="22"/>
              </w:rPr>
            </w:pPr>
            <w:r w:rsidRPr="00767B17">
              <w:rPr>
                <w:b/>
                <w:bCs/>
                <w:color w:val="000000"/>
                <w:sz w:val="22"/>
                <w:szCs w:val="22"/>
              </w:rPr>
              <w:t>12 ME Jun-15 Depr /Amort Exp</w:t>
            </w:r>
          </w:p>
        </w:tc>
      </w:tr>
      <w:tr w:rsidR="005C0966" w:rsidRPr="00767B17" w:rsidTr="009151DC">
        <w:trPr>
          <w:trHeight w:val="255"/>
        </w:trPr>
        <w:tc>
          <w:tcPr>
            <w:tcW w:w="4065" w:type="dxa"/>
            <w:tcBorders>
              <w:top w:val="nil"/>
              <w:left w:val="nil"/>
              <w:bottom w:val="nil"/>
              <w:right w:val="nil"/>
            </w:tcBorders>
            <w:shd w:val="clear" w:color="auto" w:fill="auto"/>
            <w:noWrap/>
            <w:vAlign w:val="center"/>
            <w:hideMark/>
          </w:tcPr>
          <w:p w:rsidR="005C0966" w:rsidRPr="00767B17" w:rsidRDefault="005C0966">
            <w:pPr>
              <w:jc w:val="left"/>
              <w:rPr>
                <w:color w:val="000000"/>
                <w:sz w:val="22"/>
                <w:szCs w:val="22"/>
              </w:rPr>
            </w:pPr>
            <w:r w:rsidRPr="00767B17">
              <w:rPr>
                <w:color w:val="000000"/>
                <w:sz w:val="22"/>
                <w:szCs w:val="22"/>
              </w:rPr>
              <w:t>GOSHEN SUBSTATION AND MAINT SHOP</w:t>
            </w:r>
          </w:p>
        </w:tc>
        <w:tc>
          <w:tcPr>
            <w:tcW w:w="88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CAGE</w:t>
            </w:r>
          </w:p>
        </w:tc>
        <w:tc>
          <w:tcPr>
            <w:tcW w:w="93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CAGW</w:t>
            </w:r>
          </w:p>
        </w:tc>
        <w:tc>
          <w:tcPr>
            <w:tcW w:w="1328" w:type="dxa"/>
            <w:tcBorders>
              <w:top w:val="nil"/>
              <w:left w:val="nil"/>
              <w:bottom w:val="nil"/>
              <w:right w:val="nil"/>
            </w:tcBorders>
            <w:shd w:val="clear" w:color="auto" w:fill="auto"/>
            <w:noWrap/>
            <w:vAlign w:val="center"/>
            <w:hideMark/>
          </w:tcPr>
          <w:p w:rsidR="005C0966" w:rsidRPr="00767B17" w:rsidRDefault="005C0966">
            <w:pPr>
              <w:jc w:val="right"/>
              <w:rPr>
                <w:color w:val="000000"/>
                <w:sz w:val="22"/>
                <w:szCs w:val="22"/>
              </w:rPr>
            </w:pPr>
            <w:r w:rsidRPr="00767B17">
              <w:rPr>
                <w:color w:val="000000"/>
                <w:sz w:val="22"/>
                <w:szCs w:val="22"/>
              </w:rPr>
              <w:t xml:space="preserve"> $ 2,798 </w:t>
            </w:r>
          </w:p>
        </w:tc>
        <w:tc>
          <w:tcPr>
            <w:tcW w:w="1260" w:type="dxa"/>
            <w:tcBorders>
              <w:top w:val="nil"/>
              <w:left w:val="nil"/>
              <w:bottom w:val="nil"/>
              <w:right w:val="nil"/>
            </w:tcBorders>
            <w:shd w:val="clear" w:color="auto" w:fill="auto"/>
            <w:noWrap/>
            <w:vAlign w:val="center"/>
            <w:hideMark/>
          </w:tcPr>
          <w:p w:rsidR="005C0966" w:rsidRPr="00767B17" w:rsidRDefault="005C0966" w:rsidP="009151DC">
            <w:pPr>
              <w:jc w:val="right"/>
              <w:rPr>
                <w:color w:val="000000"/>
                <w:sz w:val="22"/>
                <w:szCs w:val="22"/>
              </w:rPr>
            </w:pPr>
            <w:r w:rsidRPr="00767B17">
              <w:rPr>
                <w:color w:val="000000"/>
                <w:sz w:val="22"/>
                <w:szCs w:val="22"/>
              </w:rPr>
              <w:t xml:space="preserve">$44 </w:t>
            </w:r>
          </w:p>
        </w:tc>
      </w:tr>
      <w:tr w:rsidR="005C0966" w:rsidRPr="00767B17" w:rsidTr="009151DC">
        <w:trPr>
          <w:trHeight w:val="255"/>
        </w:trPr>
        <w:tc>
          <w:tcPr>
            <w:tcW w:w="4065" w:type="dxa"/>
            <w:tcBorders>
              <w:top w:val="nil"/>
              <w:left w:val="nil"/>
              <w:bottom w:val="nil"/>
              <w:right w:val="nil"/>
            </w:tcBorders>
            <w:shd w:val="clear" w:color="auto" w:fill="auto"/>
            <w:noWrap/>
            <w:vAlign w:val="center"/>
            <w:hideMark/>
          </w:tcPr>
          <w:p w:rsidR="005C0966" w:rsidRPr="00767B17" w:rsidRDefault="005C0966">
            <w:pPr>
              <w:jc w:val="left"/>
              <w:rPr>
                <w:color w:val="000000"/>
                <w:sz w:val="22"/>
                <w:szCs w:val="22"/>
              </w:rPr>
            </w:pPr>
            <w:r w:rsidRPr="00767B17">
              <w:rPr>
                <w:color w:val="000000"/>
                <w:sz w:val="22"/>
                <w:szCs w:val="22"/>
              </w:rPr>
              <w:t>POPULUS-BORAH #2 345 KV ID</w:t>
            </w:r>
          </w:p>
        </w:tc>
        <w:tc>
          <w:tcPr>
            <w:tcW w:w="88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CAGE</w:t>
            </w:r>
          </w:p>
        </w:tc>
        <w:tc>
          <w:tcPr>
            <w:tcW w:w="93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CAGW</w:t>
            </w:r>
          </w:p>
        </w:tc>
        <w:tc>
          <w:tcPr>
            <w:tcW w:w="1328" w:type="dxa"/>
            <w:tcBorders>
              <w:top w:val="nil"/>
              <w:left w:val="nil"/>
              <w:bottom w:val="nil"/>
              <w:right w:val="nil"/>
            </w:tcBorders>
            <w:shd w:val="clear" w:color="auto" w:fill="auto"/>
            <w:noWrap/>
            <w:vAlign w:val="center"/>
            <w:hideMark/>
          </w:tcPr>
          <w:p w:rsidR="005C0966" w:rsidRPr="00767B17" w:rsidRDefault="00511A81">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8,279 </w:t>
            </w:r>
          </w:p>
        </w:tc>
        <w:tc>
          <w:tcPr>
            <w:tcW w:w="1260" w:type="dxa"/>
            <w:tcBorders>
              <w:top w:val="nil"/>
              <w:left w:val="nil"/>
              <w:bottom w:val="nil"/>
              <w:right w:val="nil"/>
            </w:tcBorders>
            <w:shd w:val="clear" w:color="auto" w:fill="auto"/>
            <w:noWrap/>
            <w:vAlign w:val="center"/>
            <w:hideMark/>
          </w:tcPr>
          <w:p w:rsidR="005C0966" w:rsidRPr="00767B17" w:rsidRDefault="00511A81" w:rsidP="009151DC">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278 </w:t>
            </w:r>
          </w:p>
        </w:tc>
      </w:tr>
      <w:tr w:rsidR="005C0966" w:rsidRPr="00767B17" w:rsidTr="009151DC">
        <w:trPr>
          <w:trHeight w:val="369"/>
        </w:trPr>
        <w:tc>
          <w:tcPr>
            <w:tcW w:w="4065" w:type="dxa"/>
            <w:tcBorders>
              <w:top w:val="nil"/>
              <w:left w:val="nil"/>
              <w:bottom w:val="nil"/>
              <w:right w:val="nil"/>
            </w:tcBorders>
            <w:shd w:val="clear" w:color="auto" w:fill="auto"/>
            <w:noWrap/>
            <w:vAlign w:val="center"/>
            <w:hideMark/>
          </w:tcPr>
          <w:p w:rsidR="005C0966" w:rsidRPr="00767B17" w:rsidRDefault="005C0966">
            <w:pPr>
              <w:jc w:val="left"/>
              <w:rPr>
                <w:color w:val="000000"/>
                <w:sz w:val="22"/>
                <w:szCs w:val="22"/>
              </w:rPr>
            </w:pPr>
            <w:r w:rsidRPr="00767B17">
              <w:rPr>
                <w:color w:val="000000"/>
                <w:sz w:val="22"/>
                <w:szCs w:val="22"/>
              </w:rPr>
              <w:t>BRIDGER-GOSHEN LOOP-THREEMILE KNOLL 345K</w:t>
            </w:r>
          </w:p>
        </w:tc>
        <w:tc>
          <w:tcPr>
            <w:tcW w:w="88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CAGE</w:t>
            </w:r>
          </w:p>
        </w:tc>
        <w:tc>
          <w:tcPr>
            <w:tcW w:w="93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JBG</w:t>
            </w:r>
          </w:p>
        </w:tc>
        <w:tc>
          <w:tcPr>
            <w:tcW w:w="1328" w:type="dxa"/>
            <w:tcBorders>
              <w:top w:val="nil"/>
              <w:left w:val="nil"/>
              <w:bottom w:val="nil"/>
              <w:right w:val="nil"/>
            </w:tcBorders>
            <w:shd w:val="clear" w:color="auto" w:fill="auto"/>
            <w:noWrap/>
            <w:vAlign w:val="center"/>
            <w:hideMark/>
          </w:tcPr>
          <w:p w:rsidR="005C0966" w:rsidRPr="00767B17" w:rsidRDefault="005C0966" w:rsidP="009151DC">
            <w:pPr>
              <w:jc w:val="right"/>
              <w:rPr>
                <w:color w:val="000000"/>
                <w:sz w:val="22"/>
                <w:szCs w:val="22"/>
              </w:rPr>
            </w:pPr>
            <w:r w:rsidRPr="00767B17">
              <w:rPr>
                <w:color w:val="000000"/>
                <w:sz w:val="22"/>
                <w:szCs w:val="22"/>
              </w:rPr>
              <w:t xml:space="preserve">1,127 </w:t>
            </w:r>
          </w:p>
        </w:tc>
        <w:tc>
          <w:tcPr>
            <w:tcW w:w="1260" w:type="dxa"/>
            <w:tcBorders>
              <w:top w:val="nil"/>
              <w:left w:val="nil"/>
              <w:bottom w:val="nil"/>
              <w:right w:val="nil"/>
            </w:tcBorders>
            <w:shd w:val="clear" w:color="auto" w:fill="auto"/>
            <w:noWrap/>
            <w:vAlign w:val="center"/>
            <w:hideMark/>
          </w:tcPr>
          <w:p w:rsidR="005C0966" w:rsidRPr="00767B17" w:rsidRDefault="00511A81" w:rsidP="009151DC">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22 </w:t>
            </w:r>
          </w:p>
        </w:tc>
      </w:tr>
      <w:tr w:rsidR="005C0966" w:rsidRPr="00767B17" w:rsidTr="009151DC">
        <w:trPr>
          <w:trHeight w:val="255"/>
        </w:trPr>
        <w:tc>
          <w:tcPr>
            <w:tcW w:w="4065" w:type="dxa"/>
            <w:tcBorders>
              <w:top w:val="nil"/>
              <w:left w:val="nil"/>
              <w:bottom w:val="nil"/>
              <w:right w:val="nil"/>
            </w:tcBorders>
            <w:shd w:val="clear" w:color="auto" w:fill="auto"/>
            <w:noWrap/>
            <w:vAlign w:val="center"/>
            <w:hideMark/>
          </w:tcPr>
          <w:p w:rsidR="005C0966" w:rsidRPr="00767B17" w:rsidRDefault="005C0966">
            <w:pPr>
              <w:jc w:val="left"/>
              <w:rPr>
                <w:color w:val="000000"/>
                <w:sz w:val="22"/>
                <w:szCs w:val="22"/>
              </w:rPr>
            </w:pPr>
            <w:r w:rsidRPr="00767B17">
              <w:rPr>
                <w:color w:val="000000"/>
                <w:sz w:val="22"/>
                <w:szCs w:val="22"/>
              </w:rPr>
              <w:t>GOSHEN - KINPORT 345 KV LINE</w:t>
            </w:r>
          </w:p>
        </w:tc>
        <w:tc>
          <w:tcPr>
            <w:tcW w:w="88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CAGE</w:t>
            </w:r>
          </w:p>
        </w:tc>
        <w:tc>
          <w:tcPr>
            <w:tcW w:w="93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CAGW</w:t>
            </w:r>
          </w:p>
        </w:tc>
        <w:tc>
          <w:tcPr>
            <w:tcW w:w="1328" w:type="dxa"/>
            <w:tcBorders>
              <w:top w:val="nil"/>
              <w:left w:val="nil"/>
              <w:bottom w:val="nil"/>
              <w:right w:val="nil"/>
            </w:tcBorders>
            <w:shd w:val="clear" w:color="auto" w:fill="auto"/>
            <w:noWrap/>
            <w:vAlign w:val="center"/>
            <w:hideMark/>
          </w:tcPr>
          <w:p w:rsidR="005C0966" w:rsidRPr="00767B17" w:rsidRDefault="005C0966" w:rsidP="009151DC">
            <w:pPr>
              <w:jc w:val="right"/>
              <w:rPr>
                <w:color w:val="000000"/>
                <w:sz w:val="22"/>
                <w:szCs w:val="22"/>
              </w:rPr>
            </w:pPr>
            <w:r w:rsidRPr="00767B17">
              <w:rPr>
                <w:color w:val="000000"/>
                <w:sz w:val="22"/>
                <w:szCs w:val="22"/>
              </w:rPr>
              <w:t xml:space="preserve">1,139 </w:t>
            </w:r>
          </w:p>
        </w:tc>
        <w:tc>
          <w:tcPr>
            <w:tcW w:w="1260" w:type="dxa"/>
            <w:tcBorders>
              <w:top w:val="nil"/>
              <w:left w:val="nil"/>
              <w:bottom w:val="nil"/>
              <w:right w:val="nil"/>
            </w:tcBorders>
            <w:shd w:val="clear" w:color="auto" w:fill="auto"/>
            <w:noWrap/>
            <w:vAlign w:val="center"/>
            <w:hideMark/>
          </w:tcPr>
          <w:p w:rsidR="005C0966" w:rsidRPr="00767B17" w:rsidRDefault="00511A81" w:rsidP="009151DC">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55 </w:t>
            </w:r>
          </w:p>
        </w:tc>
      </w:tr>
      <w:tr w:rsidR="005C0966" w:rsidRPr="00767B17" w:rsidTr="009151DC">
        <w:trPr>
          <w:trHeight w:val="255"/>
        </w:trPr>
        <w:tc>
          <w:tcPr>
            <w:tcW w:w="4065" w:type="dxa"/>
            <w:tcBorders>
              <w:top w:val="nil"/>
              <w:left w:val="nil"/>
              <w:bottom w:val="nil"/>
              <w:right w:val="nil"/>
            </w:tcBorders>
            <w:shd w:val="clear" w:color="auto" w:fill="auto"/>
            <w:noWrap/>
            <w:vAlign w:val="center"/>
            <w:hideMark/>
          </w:tcPr>
          <w:p w:rsidR="005C0966" w:rsidRPr="00767B17" w:rsidRDefault="005C0966">
            <w:pPr>
              <w:jc w:val="left"/>
              <w:rPr>
                <w:color w:val="000000"/>
                <w:sz w:val="22"/>
                <w:szCs w:val="22"/>
              </w:rPr>
            </w:pPr>
            <w:r w:rsidRPr="00767B17">
              <w:rPr>
                <w:color w:val="000000"/>
                <w:sz w:val="22"/>
                <w:szCs w:val="22"/>
              </w:rPr>
              <w:t>POPULUS-BORAH #1 ID 345KV</w:t>
            </w:r>
          </w:p>
        </w:tc>
        <w:tc>
          <w:tcPr>
            <w:tcW w:w="88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CAGE</w:t>
            </w:r>
          </w:p>
        </w:tc>
        <w:tc>
          <w:tcPr>
            <w:tcW w:w="93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CAGW</w:t>
            </w:r>
          </w:p>
        </w:tc>
        <w:tc>
          <w:tcPr>
            <w:tcW w:w="1328" w:type="dxa"/>
            <w:tcBorders>
              <w:top w:val="nil"/>
              <w:left w:val="nil"/>
              <w:bottom w:val="nil"/>
              <w:right w:val="nil"/>
            </w:tcBorders>
            <w:shd w:val="clear" w:color="auto" w:fill="auto"/>
            <w:noWrap/>
            <w:vAlign w:val="center"/>
            <w:hideMark/>
          </w:tcPr>
          <w:p w:rsidR="005C0966" w:rsidRPr="00767B17" w:rsidRDefault="00511A81" w:rsidP="009151DC">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3,663 </w:t>
            </w:r>
          </w:p>
        </w:tc>
        <w:tc>
          <w:tcPr>
            <w:tcW w:w="1260" w:type="dxa"/>
            <w:tcBorders>
              <w:top w:val="nil"/>
              <w:left w:val="nil"/>
              <w:bottom w:val="nil"/>
              <w:right w:val="nil"/>
            </w:tcBorders>
            <w:shd w:val="clear" w:color="auto" w:fill="auto"/>
            <w:noWrap/>
            <w:vAlign w:val="center"/>
            <w:hideMark/>
          </w:tcPr>
          <w:p w:rsidR="005C0966" w:rsidRPr="00767B17" w:rsidRDefault="00511A81" w:rsidP="009151DC">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146 </w:t>
            </w:r>
          </w:p>
        </w:tc>
      </w:tr>
      <w:tr w:rsidR="005C0966" w:rsidRPr="00767B17" w:rsidTr="009151DC">
        <w:trPr>
          <w:trHeight w:val="255"/>
        </w:trPr>
        <w:tc>
          <w:tcPr>
            <w:tcW w:w="4065" w:type="dxa"/>
            <w:tcBorders>
              <w:top w:val="nil"/>
              <w:left w:val="nil"/>
              <w:bottom w:val="nil"/>
              <w:right w:val="nil"/>
            </w:tcBorders>
            <w:shd w:val="clear" w:color="auto" w:fill="auto"/>
            <w:noWrap/>
            <w:vAlign w:val="center"/>
            <w:hideMark/>
          </w:tcPr>
          <w:p w:rsidR="005C0966" w:rsidRPr="00767B17" w:rsidRDefault="005C0966">
            <w:pPr>
              <w:jc w:val="left"/>
              <w:rPr>
                <w:color w:val="000000"/>
                <w:sz w:val="22"/>
                <w:szCs w:val="22"/>
              </w:rPr>
            </w:pPr>
            <w:r w:rsidRPr="00767B17">
              <w:rPr>
                <w:color w:val="000000"/>
                <w:sz w:val="22"/>
                <w:szCs w:val="22"/>
              </w:rPr>
              <w:t>KINPORT TELEMETERING</w:t>
            </w:r>
          </w:p>
        </w:tc>
        <w:tc>
          <w:tcPr>
            <w:tcW w:w="88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CAGE</w:t>
            </w:r>
          </w:p>
        </w:tc>
        <w:tc>
          <w:tcPr>
            <w:tcW w:w="93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CAGW</w:t>
            </w:r>
          </w:p>
        </w:tc>
        <w:tc>
          <w:tcPr>
            <w:tcW w:w="1328" w:type="dxa"/>
            <w:tcBorders>
              <w:top w:val="nil"/>
              <w:left w:val="nil"/>
              <w:bottom w:val="nil"/>
              <w:right w:val="nil"/>
            </w:tcBorders>
            <w:shd w:val="clear" w:color="auto" w:fill="auto"/>
            <w:noWrap/>
            <w:vAlign w:val="center"/>
            <w:hideMark/>
          </w:tcPr>
          <w:p w:rsidR="005C0966" w:rsidRPr="00767B17" w:rsidRDefault="00511A81" w:rsidP="009151DC">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1,288 </w:t>
            </w:r>
          </w:p>
        </w:tc>
        <w:tc>
          <w:tcPr>
            <w:tcW w:w="1260" w:type="dxa"/>
            <w:tcBorders>
              <w:top w:val="nil"/>
              <w:left w:val="nil"/>
              <w:bottom w:val="nil"/>
              <w:right w:val="nil"/>
            </w:tcBorders>
            <w:shd w:val="clear" w:color="auto" w:fill="auto"/>
            <w:noWrap/>
            <w:vAlign w:val="center"/>
            <w:hideMark/>
          </w:tcPr>
          <w:p w:rsidR="005C0966" w:rsidRPr="00767B17" w:rsidRDefault="00511A81" w:rsidP="009151DC">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63 </w:t>
            </w:r>
          </w:p>
        </w:tc>
      </w:tr>
      <w:tr w:rsidR="005C0966" w:rsidRPr="00767B17" w:rsidTr="009151DC">
        <w:trPr>
          <w:trHeight w:val="255"/>
        </w:trPr>
        <w:tc>
          <w:tcPr>
            <w:tcW w:w="4065" w:type="dxa"/>
            <w:tcBorders>
              <w:top w:val="nil"/>
              <w:left w:val="nil"/>
              <w:bottom w:val="nil"/>
              <w:right w:val="nil"/>
            </w:tcBorders>
            <w:shd w:val="clear" w:color="auto" w:fill="auto"/>
            <w:noWrap/>
            <w:vAlign w:val="center"/>
            <w:hideMark/>
          </w:tcPr>
          <w:p w:rsidR="005C0966" w:rsidRPr="00767B17" w:rsidRDefault="005C0966">
            <w:pPr>
              <w:jc w:val="left"/>
              <w:rPr>
                <w:color w:val="000000"/>
                <w:sz w:val="22"/>
                <w:szCs w:val="22"/>
              </w:rPr>
            </w:pPr>
            <w:r w:rsidRPr="00767B17">
              <w:rPr>
                <w:color w:val="000000"/>
                <w:sz w:val="22"/>
                <w:szCs w:val="22"/>
              </w:rPr>
              <w:t>BORAH SUBSTATION TELEMETERING</w:t>
            </w:r>
          </w:p>
        </w:tc>
        <w:tc>
          <w:tcPr>
            <w:tcW w:w="88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CAGE</w:t>
            </w:r>
          </w:p>
        </w:tc>
        <w:tc>
          <w:tcPr>
            <w:tcW w:w="93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CAGW</w:t>
            </w:r>
          </w:p>
        </w:tc>
        <w:tc>
          <w:tcPr>
            <w:tcW w:w="1328" w:type="dxa"/>
            <w:tcBorders>
              <w:top w:val="nil"/>
              <w:left w:val="nil"/>
              <w:bottom w:val="nil"/>
              <w:right w:val="nil"/>
            </w:tcBorders>
            <w:shd w:val="clear" w:color="auto" w:fill="auto"/>
            <w:noWrap/>
            <w:vAlign w:val="center"/>
            <w:hideMark/>
          </w:tcPr>
          <w:p w:rsidR="005C0966" w:rsidRPr="00767B17" w:rsidRDefault="00511A81" w:rsidP="009151DC">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15,589 </w:t>
            </w:r>
          </w:p>
        </w:tc>
        <w:tc>
          <w:tcPr>
            <w:tcW w:w="1260" w:type="dxa"/>
            <w:tcBorders>
              <w:top w:val="nil"/>
              <w:left w:val="nil"/>
              <w:bottom w:val="nil"/>
              <w:right w:val="nil"/>
            </w:tcBorders>
            <w:shd w:val="clear" w:color="auto" w:fill="auto"/>
            <w:noWrap/>
            <w:vAlign w:val="center"/>
            <w:hideMark/>
          </w:tcPr>
          <w:p w:rsidR="005C0966" w:rsidRPr="00767B17" w:rsidRDefault="00511A81" w:rsidP="009151DC">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350 </w:t>
            </w:r>
          </w:p>
        </w:tc>
      </w:tr>
      <w:tr w:rsidR="005C0966" w:rsidRPr="00767B17" w:rsidTr="009151DC">
        <w:trPr>
          <w:trHeight w:val="255"/>
        </w:trPr>
        <w:tc>
          <w:tcPr>
            <w:tcW w:w="4065" w:type="dxa"/>
            <w:tcBorders>
              <w:top w:val="nil"/>
              <w:left w:val="nil"/>
              <w:bottom w:val="nil"/>
              <w:right w:val="nil"/>
            </w:tcBorders>
            <w:shd w:val="clear" w:color="auto" w:fill="auto"/>
            <w:noWrap/>
            <w:vAlign w:val="center"/>
            <w:hideMark/>
          </w:tcPr>
          <w:p w:rsidR="005C0966" w:rsidRPr="00767B17" w:rsidRDefault="005C0966">
            <w:pPr>
              <w:jc w:val="left"/>
              <w:rPr>
                <w:color w:val="000000"/>
                <w:sz w:val="22"/>
                <w:szCs w:val="22"/>
              </w:rPr>
            </w:pPr>
            <w:r w:rsidRPr="00767B17">
              <w:rPr>
                <w:color w:val="000000"/>
                <w:sz w:val="22"/>
                <w:szCs w:val="22"/>
              </w:rPr>
              <w:t>HEMINGWAY SUBSTATION(JOINT OWNED)</w:t>
            </w:r>
          </w:p>
        </w:tc>
        <w:tc>
          <w:tcPr>
            <w:tcW w:w="88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CAGE</w:t>
            </w:r>
          </w:p>
        </w:tc>
        <w:tc>
          <w:tcPr>
            <w:tcW w:w="936" w:type="dxa"/>
            <w:tcBorders>
              <w:top w:val="nil"/>
              <w:left w:val="nil"/>
              <w:bottom w:val="nil"/>
              <w:right w:val="nil"/>
            </w:tcBorders>
            <w:shd w:val="clear" w:color="auto" w:fill="auto"/>
            <w:noWrap/>
            <w:vAlign w:val="center"/>
            <w:hideMark/>
          </w:tcPr>
          <w:p w:rsidR="005C0966" w:rsidRPr="00767B17" w:rsidRDefault="005C0966">
            <w:pPr>
              <w:jc w:val="center"/>
              <w:rPr>
                <w:color w:val="000000"/>
                <w:sz w:val="22"/>
                <w:szCs w:val="22"/>
              </w:rPr>
            </w:pPr>
            <w:r w:rsidRPr="00767B17">
              <w:rPr>
                <w:color w:val="000000"/>
                <w:sz w:val="22"/>
                <w:szCs w:val="22"/>
              </w:rPr>
              <w:t>CAGW</w:t>
            </w:r>
          </w:p>
        </w:tc>
        <w:tc>
          <w:tcPr>
            <w:tcW w:w="1328" w:type="dxa"/>
            <w:tcBorders>
              <w:top w:val="nil"/>
              <w:left w:val="nil"/>
              <w:bottom w:val="nil"/>
              <w:right w:val="nil"/>
            </w:tcBorders>
            <w:shd w:val="clear" w:color="auto" w:fill="auto"/>
            <w:noWrap/>
            <w:vAlign w:val="center"/>
            <w:hideMark/>
          </w:tcPr>
          <w:p w:rsidR="005C0966" w:rsidRPr="00767B17" w:rsidRDefault="00511A81" w:rsidP="009151DC">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11,595 </w:t>
            </w:r>
          </w:p>
        </w:tc>
        <w:tc>
          <w:tcPr>
            <w:tcW w:w="1260" w:type="dxa"/>
            <w:tcBorders>
              <w:top w:val="nil"/>
              <w:left w:val="nil"/>
              <w:bottom w:val="nil"/>
              <w:right w:val="nil"/>
            </w:tcBorders>
            <w:shd w:val="clear" w:color="auto" w:fill="auto"/>
            <w:noWrap/>
            <w:vAlign w:val="center"/>
            <w:hideMark/>
          </w:tcPr>
          <w:p w:rsidR="005C0966" w:rsidRPr="00767B17" w:rsidRDefault="00511A81" w:rsidP="009151DC">
            <w:pPr>
              <w:jc w:val="right"/>
              <w:rPr>
                <w:color w:val="000000"/>
                <w:sz w:val="22"/>
                <w:szCs w:val="22"/>
              </w:rPr>
            </w:pPr>
            <w:r w:rsidRPr="00767B17">
              <w:rPr>
                <w:color w:val="000000"/>
                <w:sz w:val="22"/>
                <w:szCs w:val="22"/>
              </w:rPr>
              <w:t xml:space="preserve">     </w:t>
            </w:r>
            <w:r w:rsidR="005C0966" w:rsidRPr="00767B17">
              <w:rPr>
                <w:color w:val="000000"/>
                <w:sz w:val="22"/>
                <w:szCs w:val="22"/>
              </w:rPr>
              <w:t xml:space="preserve">225 </w:t>
            </w:r>
          </w:p>
        </w:tc>
      </w:tr>
      <w:tr w:rsidR="005C0966" w:rsidRPr="00767B17" w:rsidTr="009151DC">
        <w:trPr>
          <w:trHeight w:val="270"/>
        </w:trPr>
        <w:tc>
          <w:tcPr>
            <w:tcW w:w="4065" w:type="dxa"/>
            <w:tcBorders>
              <w:top w:val="nil"/>
              <w:left w:val="nil"/>
              <w:bottom w:val="nil"/>
              <w:right w:val="nil"/>
            </w:tcBorders>
            <w:shd w:val="clear" w:color="auto" w:fill="auto"/>
            <w:noWrap/>
            <w:vAlign w:val="bottom"/>
            <w:hideMark/>
          </w:tcPr>
          <w:p w:rsidR="005C0966" w:rsidRPr="00767B17" w:rsidRDefault="005C0966">
            <w:pPr>
              <w:jc w:val="left"/>
              <w:rPr>
                <w:b/>
                <w:color w:val="000000"/>
                <w:sz w:val="22"/>
                <w:szCs w:val="22"/>
              </w:rPr>
            </w:pPr>
            <w:r w:rsidRPr="00767B17">
              <w:rPr>
                <w:b/>
                <w:color w:val="000000"/>
                <w:sz w:val="22"/>
                <w:szCs w:val="22"/>
              </w:rPr>
              <w:t> </w:t>
            </w:r>
            <w:r w:rsidR="00511A81" w:rsidRPr="00767B17">
              <w:rPr>
                <w:b/>
                <w:color w:val="000000"/>
                <w:sz w:val="22"/>
                <w:szCs w:val="22"/>
              </w:rPr>
              <w:t xml:space="preserve">Total Balances Reallocated ($ Thousands) </w:t>
            </w:r>
          </w:p>
        </w:tc>
        <w:tc>
          <w:tcPr>
            <w:tcW w:w="886" w:type="dxa"/>
            <w:tcBorders>
              <w:top w:val="nil"/>
              <w:left w:val="nil"/>
              <w:bottom w:val="nil"/>
              <w:right w:val="nil"/>
            </w:tcBorders>
            <w:shd w:val="clear" w:color="auto" w:fill="auto"/>
            <w:noWrap/>
            <w:vAlign w:val="bottom"/>
            <w:hideMark/>
          </w:tcPr>
          <w:p w:rsidR="005C0966" w:rsidRPr="00767B17" w:rsidRDefault="005C0966" w:rsidP="005C0966">
            <w:pPr>
              <w:jc w:val="left"/>
              <w:rPr>
                <w:b/>
                <w:color w:val="000000"/>
                <w:sz w:val="22"/>
                <w:szCs w:val="22"/>
              </w:rPr>
            </w:pPr>
            <w:r w:rsidRPr="00767B17">
              <w:rPr>
                <w:b/>
                <w:color w:val="000000"/>
                <w:sz w:val="22"/>
                <w:szCs w:val="22"/>
              </w:rPr>
              <w:t> </w:t>
            </w:r>
          </w:p>
        </w:tc>
        <w:tc>
          <w:tcPr>
            <w:tcW w:w="936" w:type="dxa"/>
            <w:tcBorders>
              <w:top w:val="nil"/>
              <w:left w:val="nil"/>
              <w:bottom w:val="nil"/>
              <w:right w:val="nil"/>
            </w:tcBorders>
            <w:shd w:val="clear" w:color="auto" w:fill="auto"/>
            <w:noWrap/>
            <w:vAlign w:val="bottom"/>
            <w:hideMark/>
          </w:tcPr>
          <w:p w:rsidR="005C0966" w:rsidRPr="00767B17" w:rsidRDefault="005C0966" w:rsidP="005C0966">
            <w:pPr>
              <w:jc w:val="left"/>
              <w:rPr>
                <w:b/>
                <w:color w:val="000000"/>
                <w:sz w:val="22"/>
                <w:szCs w:val="22"/>
              </w:rPr>
            </w:pPr>
            <w:r w:rsidRPr="00767B17">
              <w:rPr>
                <w:b/>
                <w:color w:val="000000"/>
                <w:sz w:val="22"/>
                <w:szCs w:val="22"/>
              </w:rPr>
              <w:t> </w:t>
            </w:r>
          </w:p>
        </w:tc>
        <w:tc>
          <w:tcPr>
            <w:tcW w:w="1328" w:type="dxa"/>
            <w:tcBorders>
              <w:top w:val="single" w:sz="4" w:space="0" w:color="auto"/>
              <w:left w:val="nil"/>
              <w:bottom w:val="double" w:sz="6" w:space="0" w:color="auto"/>
              <w:right w:val="nil"/>
            </w:tcBorders>
            <w:shd w:val="clear" w:color="auto" w:fill="auto"/>
            <w:noWrap/>
            <w:vAlign w:val="center"/>
            <w:hideMark/>
          </w:tcPr>
          <w:p w:rsidR="005C0966" w:rsidRPr="00767B17" w:rsidRDefault="005C0966" w:rsidP="009151DC">
            <w:pPr>
              <w:jc w:val="right"/>
              <w:rPr>
                <w:b/>
                <w:color w:val="000000"/>
                <w:sz w:val="22"/>
                <w:szCs w:val="22"/>
              </w:rPr>
            </w:pPr>
            <w:r w:rsidRPr="00767B17">
              <w:rPr>
                <w:b/>
                <w:color w:val="000000"/>
                <w:sz w:val="22"/>
                <w:szCs w:val="22"/>
              </w:rPr>
              <w:t xml:space="preserve"> $ 45,478 </w:t>
            </w:r>
          </w:p>
        </w:tc>
        <w:tc>
          <w:tcPr>
            <w:tcW w:w="1260" w:type="dxa"/>
            <w:tcBorders>
              <w:top w:val="single" w:sz="4" w:space="0" w:color="auto"/>
              <w:left w:val="nil"/>
              <w:bottom w:val="double" w:sz="6" w:space="0" w:color="auto"/>
              <w:right w:val="nil"/>
            </w:tcBorders>
            <w:shd w:val="clear" w:color="auto" w:fill="auto"/>
            <w:noWrap/>
            <w:vAlign w:val="center"/>
            <w:hideMark/>
          </w:tcPr>
          <w:p w:rsidR="005C0966" w:rsidRPr="00767B17" w:rsidRDefault="005C0966" w:rsidP="009151DC">
            <w:pPr>
              <w:jc w:val="right"/>
              <w:rPr>
                <w:b/>
                <w:color w:val="000000"/>
                <w:sz w:val="22"/>
                <w:szCs w:val="22"/>
              </w:rPr>
            </w:pPr>
            <w:r w:rsidRPr="00767B17">
              <w:rPr>
                <w:b/>
                <w:color w:val="000000"/>
                <w:sz w:val="22"/>
                <w:szCs w:val="22"/>
              </w:rPr>
              <w:t xml:space="preserve"> $ 1,184 </w:t>
            </w:r>
          </w:p>
        </w:tc>
      </w:tr>
    </w:tbl>
    <w:p w:rsidR="0035611A" w:rsidRPr="0029333D" w:rsidRDefault="0035611A" w:rsidP="00767B17">
      <w:pPr>
        <w:suppressLineNumbers/>
        <w:ind w:left="720" w:hanging="720"/>
        <w:jc w:val="left"/>
        <w:rPr>
          <w:rStyle w:val="AnswerChar1"/>
        </w:rPr>
      </w:pPr>
    </w:p>
    <w:p w:rsidR="00E06DB6" w:rsidRPr="0029333D" w:rsidRDefault="0035611A" w:rsidP="00525ECE">
      <w:pPr>
        <w:spacing w:line="480" w:lineRule="auto"/>
        <w:ind w:left="720" w:hanging="720"/>
        <w:jc w:val="left"/>
        <w:rPr>
          <w:rStyle w:val="AnswerChar1"/>
        </w:rPr>
      </w:pPr>
      <w:r w:rsidRPr="0029333D">
        <w:rPr>
          <w:rStyle w:val="AnswerChar1"/>
        </w:rPr>
        <w:tab/>
      </w:r>
      <w:r w:rsidR="005D0ACE" w:rsidRPr="0029333D">
        <w:rPr>
          <w:rStyle w:val="AnswerChar1"/>
        </w:rPr>
        <w:tab/>
      </w:r>
      <w:r w:rsidRPr="0029333D">
        <w:rPr>
          <w:rStyle w:val="AnswerChar1"/>
        </w:rPr>
        <w:t xml:space="preserve">The revenue requirement impact of </w:t>
      </w:r>
      <w:r w:rsidR="005D0ACE" w:rsidRPr="0029333D">
        <w:rPr>
          <w:rStyle w:val="AnswerChar1"/>
        </w:rPr>
        <w:t>these changes</w:t>
      </w:r>
      <w:r w:rsidRPr="0029333D">
        <w:rPr>
          <w:rStyle w:val="AnswerChar1"/>
        </w:rPr>
        <w:t xml:space="preserve"> is approximately </w:t>
      </w:r>
      <w:r w:rsidRPr="00943A3B">
        <w:rPr>
          <w:rStyle w:val="AnswerChar1"/>
        </w:rPr>
        <w:t>$1.</w:t>
      </w:r>
      <w:r w:rsidR="00B31046" w:rsidRPr="00943A3B">
        <w:rPr>
          <w:rStyle w:val="AnswerChar1"/>
        </w:rPr>
        <w:t>4</w:t>
      </w:r>
      <w:r w:rsidRPr="00943A3B">
        <w:rPr>
          <w:rStyle w:val="AnswerChar1"/>
        </w:rPr>
        <w:t xml:space="preserve"> million</w:t>
      </w:r>
      <w:r w:rsidR="005D0ACE" w:rsidRPr="0029333D">
        <w:rPr>
          <w:rStyle w:val="AnswerChar1"/>
        </w:rPr>
        <w:t xml:space="preserve"> on a Washington-allocated basis</w:t>
      </w:r>
      <w:r w:rsidRPr="0029333D">
        <w:rPr>
          <w:rStyle w:val="AnswerChar1"/>
        </w:rPr>
        <w:t xml:space="preserve">.  </w:t>
      </w:r>
    </w:p>
    <w:p w:rsidR="005B0DAA" w:rsidRPr="00E06DB6" w:rsidRDefault="005B0DAA" w:rsidP="00E06DB6">
      <w:pPr>
        <w:pStyle w:val="Heading2"/>
      </w:pPr>
      <w:bookmarkStart w:id="7" w:name="_Toc436114844"/>
      <w:r w:rsidRPr="00E06DB6">
        <w:t>Proposed Pro Forma Changes</w:t>
      </w:r>
      <w:bookmarkEnd w:id="7"/>
    </w:p>
    <w:p w:rsidR="00C91AF6" w:rsidRPr="0029333D" w:rsidRDefault="00C91AF6" w:rsidP="00E06DB6">
      <w:pPr>
        <w:pStyle w:val="Question"/>
        <w:widowControl w:val="0"/>
        <w:jc w:val="left"/>
        <w:rPr>
          <w:szCs w:val="24"/>
        </w:rPr>
      </w:pPr>
      <w:r w:rsidRPr="0029333D">
        <w:rPr>
          <w:szCs w:val="24"/>
        </w:rPr>
        <w:t>Q.</w:t>
      </w:r>
      <w:r w:rsidRPr="0029333D">
        <w:rPr>
          <w:szCs w:val="24"/>
        </w:rPr>
        <w:tab/>
        <w:t xml:space="preserve">What </w:t>
      </w:r>
      <w:r w:rsidR="009553AF" w:rsidRPr="0029333D">
        <w:rPr>
          <w:szCs w:val="24"/>
        </w:rPr>
        <w:t xml:space="preserve">are the pro forma changes the Company has proposed in the ERF? </w:t>
      </w:r>
    </w:p>
    <w:p w:rsidR="00B25D46" w:rsidRPr="0029333D" w:rsidRDefault="00C91AF6" w:rsidP="00E06DB6">
      <w:pPr>
        <w:pStyle w:val="Question"/>
        <w:widowControl w:val="0"/>
        <w:jc w:val="left"/>
        <w:rPr>
          <w:b w:val="0"/>
          <w:szCs w:val="24"/>
        </w:rPr>
      </w:pPr>
      <w:r w:rsidRPr="0029333D">
        <w:rPr>
          <w:b w:val="0"/>
          <w:szCs w:val="24"/>
        </w:rPr>
        <w:t>A.</w:t>
      </w:r>
      <w:r w:rsidRPr="0029333D">
        <w:rPr>
          <w:b w:val="0"/>
          <w:szCs w:val="24"/>
        </w:rPr>
        <w:tab/>
      </w:r>
      <w:r w:rsidR="003200A5" w:rsidRPr="0029333D">
        <w:rPr>
          <w:b w:val="0"/>
          <w:szCs w:val="24"/>
        </w:rPr>
        <w:t xml:space="preserve">In addition to the use </w:t>
      </w:r>
      <w:r w:rsidR="00FE29C9" w:rsidRPr="0029333D">
        <w:rPr>
          <w:b w:val="0"/>
          <w:szCs w:val="24"/>
        </w:rPr>
        <w:t>of EOP</w:t>
      </w:r>
      <w:r w:rsidR="009553AF" w:rsidRPr="0029333D">
        <w:rPr>
          <w:b w:val="0"/>
          <w:szCs w:val="24"/>
        </w:rPr>
        <w:t xml:space="preserve"> rate base and the capital a</w:t>
      </w:r>
      <w:r w:rsidR="00B25D46" w:rsidRPr="0029333D">
        <w:rPr>
          <w:b w:val="0"/>
          <w:szCs w:val="24"/>
        </w:rPr>
        <w:t xml:space="preserve">ddition </w:t>
      </w:r>
      <w:r w:rsidR="009553AF" w:rsidRPr="0029333D">
        <w:rPr>
          <w:b w:val="0"/>
          <w:szCs w:val="24"/>
        </w:rPr>
        <w:t xml:space="preserve">for the </w:t>
      </w:r>
      <w:r w:rsidR="00E7387B" w:rsidRPr="0029333D">
        <w:rPr>
          <w:b w:val="0"/>
          <w:szCs w:val="24"/>
        </w:rPr>
        <w:t xml:space="preserve">Jim Bridger </w:t>
      </w:r>
      <w:r w:rsidR="00E7387B" w:rsidRPr="0029333D">
        <w:rPr>
          <w:b w:val="0"/>
          <w:szCs w:val="24"/>
        </w:rPr>
        <w:lastRenderedPageBreak/>
        <w:t>Unit 3 overhaul</w:t>
      </w:r>
      <w:r w:rsidR="00B25D46" w:rsidRPr="0029333D">
        <w:rPr>
          <w:b w:val="0"/>
          <w:szCs w:val="24"/>
        </w:rPr>
        <w:t xml:space="preserve"> </w:t>
      </w:r>
      <w:r w:rsidR="00524EE1" w:rsidRPr="0029333D">
        <w:rPr>
          <w:b w:val="0"/>
          <w:szCs w:val="24"/>
        </w:rPr>
        <w:t xml:space="preserve">Project, </w:t>
      </w:r>
      <w:r w:rsidR="009553AF" w:rsidRPr="0029333D">
        <w:rPr>
          <w:b w:val="0"/>
          <w:szCs w:val="24"/>
        </w:rPr>
        <w:t>the Company has proposed a</w:t>
      </w:r>
      <w:r w:rsidR="00B25D46" w:rsidRPr="0029333D">
        <w:rPr>
          <w:b w:val="0"/>
          <w:szCs w:val="24"/>
        </w:rPr>
        <w:t xml:space="preserve">ccelerated </w:t>
      </w:r>
      <w:r w:rsidR="009553AF" w:rsidRPr="0029333D">
        <w:rPr>
          <w:b w:val="0"/>
          <w:szCs w:val="24"/>
        </w:rPr>
        <w:t>d</w:t>
      </w:r>
      <w:r w:rsidR="00B25D46" w:rsidRPr="0029333D">
        <w:rPr>
          <w:b w:val="0"/>
          <w:szCs w:val="24"/>
        </w:rPr>
        <w:t xml:space="preserve">epreciation of </w:t>
      </w:r>
      <w:r w:rsidR="009553AF" w:rsidRPr="0029333D">
        <w:rPr>
          <w:b w:val="0"/>
          <w:szCs w:val="24"/>
        </w:rPr>
        <w:t>c</w:t>
      </w:r>
      <w:r w:rsidR="00B25D46" w:rsidRPr="0029333D">
        <w:rPr>
          <w:b w:val="0"/>
          <w:szCs w:val="24"/>
        </w:rPr>
        <w:t xml:space="preserve">oal-fired </w:t>
      </w:r>
      <w:r w:rsidR="005D0ACE" w:rsidRPr="0029333D">
        <w:rPr>
          <w:b w:val="0"/>
          <w:szCs w:val="24"/>
        </w:rPr>
        <w:t xml:space="preserve">generation </w:t>
      </w:r>
      <w:r w:rsidR="009553AF" w:rsidRPr="0029333D">
        <w:rPr>
          <w:b w:val="0"/>
          <w:szCs w:val="24"/>
        </w:rPr>
        <w:t>f</w:t>
      </w:r>
      <w:r w:rsidR="00B25D46" w:rsidRPr="0029333D">
        <w:rPr>
          <w:b w:val="0"/>
          <w:szCs w:val="24"/>
        </w:rPr>
        <w:t xml:space="preserve">acilities in the </w:t>
      </w:r>
      <w:r w:rsidR="009553AF" w:rsidRPr="0029333D">
        <w:rPr>
          <w:b w:val="0"/>
          <w:szCs w:val="24"/>
        </w:rPr>
        <w:t>w</w:t>
      </w:r>
      <w:r w:rsidR="00B25D46" w:rsidRPr="0029333D">
        <w:rPr>
          <w:b w:val="0"/>
          <w:szCs w:val="24"/>
        </w:rPr>
        <w:t xml:space="preserve">est </w:t>
      </w:r>
      <w:r w:rsidR="009553AF" w:rsidRPr="0029333D">
        <w:rPr>
          <w:b w:val="0"/>
          <w:szCs w:val="24"/>
        </w:rPr>
        <w:t>c</w:t>
      </w:r>
      <w:r w:rsidR="00B25D46" w:rsidRPr="0029333D">
        <w:rPr>
          <w:b w:val="0"/>
          <w:szCs w:val="24"/>
        </w:rPr>
        <w:t xml:space="preserve">ontrol </w:t>
      </w:r>
      <w:r w:rsidR="009553AF" w:rsidRPr="0029333D">
        <w:rPr>
          <w:b w:val="0"/>
          <w:szCs w:val="24"/>
        </w:rPr>
        <w:t>a</w:t>
      </w:r>
      <w:r w:rsidR="00B25D46" w:rsidRPr="0029333D">
        <w:rPr>
          <w:b w:val="0"/>
          <w:szCs w:val="24"/>
        </w:rPr>
        <w:t>rea</w:t>
      </w:r>
      <w:r w:rsidR="009553AF" w:rsidRPr="0029333D">
        <w:rPr>
          <w:b w:val="0"/>
          <w:szCs w:val="24"/>
        </w:rPr>
        <w:t xml:space="preserve">.  </w:t>
      </w:r>
    </w:p>
    <w:p w:rsidR="0075615E" w:rsidRPr="0029333D" w:rsidRDefault="0075615E" w:rsidP="0075615E">
      <w:pPr>
        <w:pStyle w:val="Question"/>
        <w:widowControl w:val="0"/>
        <w:jc w:val="left"/>
        <w:rPr>
          <w:szCs w:val="24"/>
        </w:rPr>
      </w:pPr>
      <w:r w:rsidRPr="0029333D">
        <w:rPr>
          <w:szCs w:val="24"/>
        </w:rPr>
        <w:t>Q.</w:t>
      </w:r>
      <w:r w:rsidRPr="0029333D">
        <w:rPr>
          <w:szCs w:val="24"/>
        </w:rPr>
        <w:tab/>
      </w:r>
      <w:r w:rsidR="009F38A8" w:rsidRPr="0029333D">
        <w:rPr>
          <w:szCs w:val="24"/>
        </w:rPr>
        <w:t xml:space="preserve">Please describe the </w:t>
      </w:r>
      <w:r w:rsidR="00E7387B" w:rsidRPr="0029333D">
        <w:rPr>
          <w:szCs w:val="24"/>
        </w:rPr>
        <w:t>Jim Bridger Unit 3 overhaul</w:t>
      </w:r>
      <w:r w:rsidR="009F38A8" w:rsidRPr="0029333D">
        <w:rPr>
          <w:szCs w:val="24"/>
        </w:rPr>
        <w:t xml:space="preserve"> and SCR </w:t>
      </w:r>
      <w:r w:rsidR="003344DA">
        <w:rPr>
          <w:szCs w:val="24"/>
        </w:rPr>
        <w:t>system</w:t>
      </w:r>
      <w:r w:rsidR="009F38A8" w:rsidRPr="0029333D">
        <w:rPr>
          <w:szCs w:val="24"/>
        </w:rPr>
        <w:t>.</w:t>
      </w:r>
    </w:p>
    <w:p w:rsidR="009F38A8" w:rsidRPr="0029333D" w:rsidRDefault="0075615E" w:rsidP="009F38A8">
      <w:pPr>
        <w:pStyle w:val="Question"/>
        <w:jc w:val="left"/>
        <w:rPr>
          <w:b w:val="0"/>
          <w:szCs w:val="24"/>
        </w:rPr>
      </w:pPr>
      <w:r w:rsidRPr="0029333D">
        <w:rPr>
          <w:b w:val="0"/>
          <w:szCs w:val="24"/>
        </w:rPr>
        <w:t>A.</w:t>
      </w:r>
      <w:r w:rsidRPr="0029333D">
        <w:rPr>
          <w:b w:val="0"/>
          <w:szCs w:val="24"/>
        </w:rPr>
        <w:tab/>
      </w:r>
      <w:r w:rsidR="009F38A8" w:rsidRPr="0029333D">
        <w:rPr>
          <w:b w:val="0"/>
          <w:szCs w:val="24"/>
        </w:rPr>
        <w:t xml:space="preserve">Detailed discussion </w:t>
      </w:r>
      <w:r w:rsidRPr="0029333D">
        <w:rPr>
          <w:b w:val="0"/>
          <w:szCs w:val="24"/>
        </w:rPr>
        <w:t xml:space="preserve">of </w:t>
      </w:r>
      <w:r w:rsidR="009F38A8" w:rsidRPr="0029333D">
        <w:rPr>
          <w:b w:val="0"/>
          <w:szCs w:val="24"/>
        </w:rPr>
        <w:t xml:space="preserve">the </w:t>
      </w:r>
      <w:r w:rsidR="00E7387B" w:rsidRPr="0029333D">
        <w:rPr>
          <w:b w:val="0"/>
          <w:szCs w:val="24"/>
        </w:rPr>
        <w:t>Jim Bridger Unit 3 overhaul</w:t>
      </w:r>
      <w:r w:rsidRPr="0029333D">
        <w:rPr>
          <w:b w:val="0"/>
          <w:szCs w:val="24"/>
        </w:rPr>
        <w:t xml:space="preserve"> and SCR system </w:t>
      </w:r>
      <w:r w:rsidR="009F38A8" w:rsidRPr="0029333D">
        <w:rPr>
          <w:b w:val="0"/>
          <w:szCs w:val="24"/>
        </w:rPr>
        <w:t>can be found in</w:t>
      </w:r>
      <w:r w:rsidRPr="0029333D">
        <w:rPr>
          <w:b w:val="0"/>
          <w:szCs w:val="24"/>
        </w:rPr>
        <w:t xml:space="preserve"> the direct testimon</w:t>
      </w:r>
      <w:r w:rsidR="005D0ACE" w:rsidRPr="0029333D">
        <w:rPr>
          <w:b w:val="0"/>
          <w:szCs w:val="24"/>
        </w:rPr>
        <w:t>ies</w:t>
      </w:r>
      <w:r w:rsidRPr="0029333D">
        <w:rPr>
          <w:b w:val="0"/>
          <w:szCs w:val="24"/>
        </w:rPr>
        <w:t xml:space="preserve"> of Mr. Teply and Mr. Link.  </w:t>
      </w:r>
      <w:r w:rsidR="002F4F44" w:rsidRPr="0029333D">
        <w:rPr>
          <w:b w:val="0"/>
          <w:szCs w:val="24"/>
        </w:rPr>
        <w:t xml:space="preserve">The impact of this change in </w:t>
      </w:r>
      <w:r w:rsidR="009F38A8" w:rsidRPr="0029333D">
        <w:rPr>
          <w:b w:val="0"/>
          <w:szCs w:val="24"/>
        </w:rPr>
        <w:t xml:space="preserve">calculating the revenue requirement </w:t>
      </w:r>
      <w:r w:rsidR="0037175E" w:rsidRPr="0029333D">
        <w:rPr>
          <w:b w:val="0"/>
          <w:szCs w:val="24"/>
        </w:rPr>
        <w:t>can be found in</w:t>
      </w:r>
      <w:r w:rsidR="009F38A8" w:rsidRPr="0029333D">
        <w:rPr>
          <w:b w:val="0"/>
          <w:szCs w:val="24"/>
        </w:rPr>
        <w:t xml:space="preserve"> section “Tab 8 – Rate Base Adjustments” in my </w:t>
      </w:r>
      <w:r w:rsidR="0037175E" w:rsidRPr="0029333D">
        <w:rPr>
          <w:b w:val="0"/>
          <w:szCs w:val="24"/>
        </w:rPr>
        <w:t>exhibit</w:t>
      </w:r>
      <w:r w:rsidR="009F38A8" w:rsidRPr="0029333D">
        <w:rPr>
          <w:b w:val="0"/>
          <w:szCs w:val="24"/>
        </w:rPr>
        <w:t>, as described under “</w:t>
      </w:r>
      <w:r w:rsidR="00C737F4" w:rsidRPr="0029333D">
        <w:rPr>
          <w:b w:val="0"/>
          <w:szCs w:val="24"/>
        </w:rPr>
        <w:t xml:space="preserve">Pro Forma </w:t>
      </w:r>
      <w:r w:rsidR="009F38A8" w:rsidRPr="0029333D">
        <w:rPr>
          <w:b w:val="0"/>
          <w:szCs w:val="24"/>
        </w:rPr>
        <w:t>Major Plant Additions</w:t>
      </w:r>
      <w:r w:rsidR="003E294D" w:rsidRPr="0029333D">
        <w:rPr>
          <w:b w:val="0"/>
          <w:szCs w:val="24"/>
        </w:rPr>
        <w:t xml:space="preserve"> (p</w:t>
      </w:r>
      <w:r w:rsidR="00F5511A" w:rsidRPr="0029333D">
        <w:rPr>
          <w:b w:val="0"/>
          <w:szCs w:val="24"/>
        </w:rPr>
        <w:t>age 8.4)</w:t>
      </w:r>
      <w:r w:rsidR="00943A3B">
        <w:rPr>
          <w:b w:val="0"/>
          <w:szCs w:val="24"/>
        </w:rPr>
        <w:t>.”</w:t>
      </w:r>
    </w:p>
    <w:p w:rsidR="009F38A8" w:rsidRPr="0029333D" w:rsidRDefault="009F38A8" w:rsidP="009F38A8">
      <w:pPr>
        <w:pStyle w:val="Question"/>
        <w:widowControl w:val="0"/>
        <w:jc w:val="left"/>
        <w:rPr>
          <w:szCs w:val="24"/>
        </w:rPr>
      </w:pPr>
      <w:r w:rsidRPr="0029333D">
        <w:rPr>
          <w:szCs w:val="24"/>
        </w:rPr>
        <w:t>Q.</w:t>
      </w:r>
      <w:r w:rsidRPr="0029333D">
        <w:rPr>
          <w:szCs w:val="24"/>
        </w:rPr>
        <w:tab/>
        <w:t>What is the justification and impact of accelerating depreciation of coal-fired facilities?</w:t>
      </w:r>
    </w:p>
    <w:p w:rsidR="009F38A8" w:rsidRDefault="009F38A8" w:rsidP="003200A5">
      <w:pPr>
        <w:pStyle w:val="Question"/>
        <w:jc w:val="left"/>
        <w:rPr>
          <w:b w:val="0"/>
          <w:szCs w:val="24"/>
        </w:rPr>
      </w:pPr>
      <w:r w:rsidRPr="0029333D">
        <w:rPr>
          <w:b w:val="0"/>
          <w:szCs w:val="24"/>
        </w:rPr>
        <w:t>A.</w:t>
      </w:r>
      <w:r w:rsidRPr="0029333D">
        <w:rPr>
          <w:b w:val="0"/>
          <w:szCs w:val="24"/>
        </w:rPr>
        <w:tab/>
        <w:t>The Company is recommending accelerating depreciation on two steam plants</w:t>
      </w:r>
      <w:r w:rsidR="009553AF" w:rsidRPr="0029333D">
        <w:rPr>
          <w:b w:val="0"/>
          <w:szCs w:val="24"/>
        </w:rPr>
        <w:t>,</w:t>
      </w:r>
      <w:r w:rsidRPr="0029333D">
        <w:rPr>
          <w:b w:val="0"/>
          <w:szCs w:val="24"/>
        </w:rPr>
        <w:t xml:space="preserve"> </w:t>
      </w:r>
      <w:r w:rsidR="00383A0C" w:rsidRPr="0029333D">
        <w:rPr>
          <w:b w:val="0"/>
          <w:szCs w:val="24"/>
        </w:rPr>
        <w:t xml:space="preserve">the </w:t>
      </w:r>
      <w:r w:rsidRPr="0029333D">
        <w:rPr>
          <w:b w:val="0"/>
          <w:szCs w:val="24"/>
        </w:rPr>
        <w:t>Jim Bridger and Colstrip</w:t>
      </w:r>
      <w:r w:rsidR="00383A0C" w:rsidRPr="0029333D">
        <w:rPr>
          <w:b w:val="0"/>
          <w:szCs w:val="24"/>
        </w:rPr>
        <w:t xml:space="preserve"> plants</w:t>
      </w:r>
      <w:r w:rsidR="009553AF" w:rsidRPr="0029333D">
        <w:rPr>
          <w:b w:val="0"/>
          <w:szCs w:val="24"/>
        </w:rPr>
        <w:t>,</w:t>
      </w:r>
      <w:r w:rsidRPr="0029333D">
        <w:rPr>
          <w:b w:val="0"/>
          <w:szCs w:val="24"/>
        </w:rPr>
        <w:t xml:space="preserve"> in Washington such that these plants will be fully depreciated by 2025 and 2032</w:t>
      </w:r>
      <w:r w:rsidR="00FF2D6B" w:rsidRPr="0029333D">
        <w:rPr>
          <w:b w:val="0"/>
          <w:szCs w:val="24"/>
        </w:rPr>
        <w:t>,</w:t>
      </w:r>
      <w:r w:rsidRPr="0029333D">
        <w:rPr>
          <w:b w:val="0"/>
          <w:szCs w:val="24"/>
        </w:rPr>
        <w:t xml:space="preserve"> respectively</w:t>
      </w:r>
      <w:r w:rsidR="009553AF" w:rsidRPr="0029333D">
        <w:rPr>
          <w:b w:val="0"/>
          <w:szCs w:val="24"/>
        </w:rPr>
        <w:t xml:space="preserve">.  This is </w:t>
      </w:r>
      <w:r w:rsidRPr="0029333D">
        <w:rPr>
          <w:b w:val="0"/>
          <w:szCs w:val="24"/>
        </w:rPr>
        <w:t>consistent with the</w:t>
      </w:r>
      <w:r w:rsidR="009553AF" w:rsidRPr="0029333D">
        <w:rPr>
          <w:b w:val="0"/>
          <w:szCs w:val="24"/>
        </w:rPr>
        <w:t xml:space="preserve"> </w:t>
      </w:r>
      <w:r w:rsidR="00B60377" w:rsidRPr="0029333D">
        <w:rPr>
          <w:b w:val="0"/>
          <w:szCs w:val="24"/>
        </w:rPr>
        <w:t xml:space="preserve">depreciable </w:t>
      </w:r>
      <w:r w:rsidR="002F4F44" w:rsidRPr="0029333D">
        <w:rPr>
          <w:b w:val="0"/>
          <w:szCs w:val="24"/>
        </w:rPr>
        <w:t xml:space="preserve">lives for these plants used </w:t>
      </w:r>
      <w:r w:rsidRPr="0029333D">
        <w:rPr>
          <w:b w:val="0"/>
          <w:szCs w:val="24"/>
        </w:rPr>
        <w:t>in Oregon</w:t>
      </w:r>
      <w:r w:rsidR="00DA7E59" w:rsidRPr="0029333D">
        <w:rPr>
          <w:b w:val="0"/>
          <w:szCs w:val="24"/>
        </w:rPr>
        <w:t xml:space="preserve">, and </w:t>
      </w:r>
      <w:r w:rsidR="005D0ACE" w:rsidRPr="0029333D">
        <w:rPr>
          <w:b w:val="0"/>
          <w:szCs w:val="24"/>
        </w:rPr>
        <w:t>consistent with the</w:t>
      </w:r>
      <w:r w:rsidR="00DA7E59" w:rsidRPr="0029333D">
        <w:rPr>
          <w:b w:val="0"/>
          <w:szCs w:val="24"/>
        </w:rPr>
        <w:t xml:space="preserve"> </w:t>
      </w:r>
      <w:r w:rsidR="005D0ACE" w:rsidRPr="0029333D">
        <w:rPr>
          <w:b w:val="0"/>
          <w:szCs w:val="24"/>
        </w:rPr>
        <w:t>depreciable</w:t>
      </w:r>
      <w:r w:rsidR="00DA7E59" w:rsidRPr="0029333D">
        <w:rPr>
          <w:b w:val="0"/>
          <w:szCs w:val="24"/>
        </w:rPr>
        <w:t xml:space="preserve"> lives </w:t>
      </w:r>
      <w:r w:rsidR="005D0ACE" w:rsidRPr="0029333D">
        <w:rPr>
          <w:b w:val="0"/>
          <w:szCs w:val="24"/>
        </w:rPr>
        <w:t xml:space="preserve">for these resources </w:t>
      </w:r>
      <w:r w:rsidR="00DA7E59" w:rsidRPr="0029333D">
        <w:rPr>
          <w:b w:val="0"/>
          <w:szCs w:val="24"/>
        </w:rPr>
        <w:t>previously approved in Washington</w:t>
      </w:r>
      <w:r w:rsidR="00B60377" w:rsidRPr="0029333D">
        <w:rPr>
          <w:b w:val="0"/>
          <w:szCs w:val="24"/>
        </w:rPr>
        <w:t xml:space="preserve"> in </w:t>
      </w:r>
      <w:r w:rsidR="00DA7E59" w:rsidRPr="0029333D">
        <w:rPr>
          <w:b w:val="0"/>
          <w:szCs w:val="24"/>
        </w:rPr>
        <w:t xml:space="preserve">the Company’s 2002 </w:t>
      </w:r>
      <w:r w:rsidR="003344DA">
        <w:rPr>
          <w:b w:val="0"/>
          <w:szCs w:val="24"/>
        </w:rPr>
        <w:t>d</w:t>
      </w:r>
      <w:r w:rsidR="00DA7E59" w:rsidRPr="0029333D">
        <w:rPr>
          <w:b w:val="0"/>
          <w:szCs w:val="24"/>
        </w:rPr>
        <w:t xml:space="preserve">epreciation </w:t>
      </w:r>
      <w:r w:rsidR="003344DA">
        <w:rPr>
          <w:b w:val="0"/>
          <w:szCs w:val="24"/>
        </w:rPr>
        <w:t>s</w:t>
      </w:r>
      <w:r w:rsidR="00DA7E59" w:rsidRPr="0029333D">
        <w:rPr>
          <w:b w:val="0"/>
          <w:szCs w:val="24"/>
        </w:rPr>
        <w:t>tudy</w:t>
      </w:r>
      <w:r w:rsidRPr="0029333D">
        <w:rPr>
          <w:b w:val="0"/>
          <w:szCs w:val="24"/>
        </w:rPr>
        <w:t>.</w:t>
      </w:r>
      <w:r w:rsidR="00DA7E59" w:rsidRPr="0029333D">
        <w:rPr>
          <w:rStyle w:val="FootnoteReference"/>
          <w:b w:val="0"/>
          <w:szCs w:val="24"/>
        </w:rPr>
        <w:footnoteReference w:id="11"/>
      </w:r>
      <w:r w:rsidRPr="0029333D">
        <w:rPr>
          <w:b w:val="0"/>
          <w:szCs w:val="24"/>
        </w:rPr>
        <w:t xml:space="preserve">  Accelerating depreciation on these facilities will help mitigate </w:t>
      </w:r>
      <w:r w:rsidR="009553AF" w:rsidRPr="0029333D">
        <w:rPr>
          <w:b w:val="0"/>
          <w:szCs w:val="24"/>
        </w:rPr>
        <w:t xml:space="preserve">future </w:t>
      </w:r>
      <w:r w:rsidRPr="0029333D">
        <w:rPr>
          <w:b w:val="0"/>
          <w:szCs w:val="24"/>
        </w:rPr>
        <w:t xml:space="preserve">risk from </w:t>
      </w:r>
      <w:r w:rsidR="009553AF" w:rsidRPr="0029333D">
        <w:rPr>
          <w:b w:val="0"/>
          <w:szCs w:val="24"/>
        </w:rPr>
        <w:t>c</w:t>
      </w:r>
      <w:r w:rsidRPr="0029333D">
        <w:rPr>
          <w:b w:val="0"/>
          <w:szCs w:val="24"/>
        </w:rPr>
        <w:t xml:space="preserve">oal facilities on Washington customers.  This proposal is discussed in detail in the direct testimony of Mr. Dalley. </w:t>
      </w:r>
      <w:r w:rsidR="00383A0C" w:rsidRPr="0029333D">
        <w:rPr>
          <w:b w:val="0"/>
          <w:szCs w:val="24"/>
        </w:rPr>
        <w:t xml:space="preserve"> </w:t>
      </w:r>
      <w:r w:rsidR="002F4F44" w:rsidRPr="0029333D">
        <w:rPr>
          <w:b w:val="0"/>
          <w:szCs w:val="24"/>
        </w:rPr>
        <w:t xml:space="preserve">The impact of this </w:t>
      </w:r>
      <w:r w:rsidRPr="0029333D">
        <w:rPr>
          <w:b w:val="0"/>
          <w:szCs w:val="24"/>
        </w:rPr>
        <w:t>change in calculating revenue requirement</w:t>
      </w:r>
      <w:r w:rsidR="002F4F44" w:rsidRPr="0029333D">
        <w:rPr>
          <w:b w:val="0"/>
          <w:szCs w:val="24"/>
        </w:rPr>
        <w:t xml:space="preserve"> can be found in </w:t>
      </w:r>
      <w:r w:rsidRPr="0029333D">
        <w:rPr>
          <w:b w:val="0"/>
          <w:szCs w:val="24"/>
        </w:rPr>
        <w:t xml:space="preserve">section “Tab 6 – Depreciation and Amortization Adjustments” in my </w:t>
      </w:r>
      <w:r w:rsidR="002F4F44" w:rsidRPr="0029333D">
        <w:rPr>
          <w:b w:val="0"/>
          <w:szCs w:val="24"/>
        </w:rPr>
        <w:t>exhibit</w:t>
      </w:r>
      <w:r w:rsidRPr="0029333D">
        <w:rPr>
          <w:b w:val="0"/>
          <w:szCs w:val="24"/>
        </w:rPr>
        <w:t>, specifically under “Accelerated Depreciation on Jim Bridger &amp; Colstrip Plants</w:t>
      </w:r>
      <w:r w:rsidR="003E294D" w:rsidRPr="0029333D">
        <w:rPr>
          <w:b w:val="0"/>
          <w:szCs w:val="24"/>
        </w:rPr>
        <w:t xml:space="preserve"> (p</w:t>
      </w:r>
      <w:r w:rsidR="00F5511A" w:rsidRPr="0029333D">
        <w:rPr>
          <w:b w:val="0"/>
          <w:szCs w:val="24"/>
        </w:rPr>
        <w:t>age 6.4)</w:t>
      </w:r>
      <w:r w:rsidR="00943A3B">
        <w:rPr>
          <w:b w:val="0"/>
          <w:szCs w:val="24"/>
        </w:rPr>
        <w:t>.”</w:t>
      </w:r>
    </w:p>
    <w:p w:rsidR="00E06DB6" w:rsidRPr="0029333D" w:rsidRDefault="00E06DB6" w:rsidP="00E06DB6">
      <w:pPr>
        <w:pStyle w:val="Question"/>
        <w:suppressLineNumbers/>
        <w:jc w:val="left"/>
        <w:rPr>
          <w:b w:val="0"/>
          <w:szCs w:val="24"/>
        </w:rPr>
      </w:pPr>
    </w:p>
    <w:p w:rsidR="00692846" w:rsidRPr="00E06DB6" w:rsidRDefault="00692846" w:rsidP="00E06DB6">
      <w:pPr>
        <w:pStyle w:val="Heading1"/>
      </w:pPr>
      <w:bookmarkStart w:id="8" w:name="_Toc436114845"/>
      <w:r w:rsidRPr="00E06DB6">
        <w:lastRenderedPageBreak/>
        <w:t xml:space="preserve">Revenue Requirement </w:t>
      </w:r>
      <w:r w:rsidR="0029333D" w:rsidRPr="00E06DB6">
        <w:t>for</w:t>
      </w:r>
      <w:r w:rsidRPr="00E06DB6">
        <w:t xml:space="preserve"> ERF</w:t>
      </w:r>
      <w:bookmarkEnd w:id="8"/>
    </w:p>
    <w:p w:rsidR="00692846" w:rsidRPr="0029333D" w:rsidRDefault="00692846" w:rsidP="00692846">
      <w:pPr>
        <w:pStyle w:val="Question"/>
        <w:widowControl w:val="0"/>
        <w:jc w:val="left"/>
        <w:rPr>
          <w:szCs w:val="24"/>
        </w:rPr>
      </w:pPr>
      <w:r w:rsidRPr="0029333D">
        <w:rPr>
          <w:szCs w:val="24"/>
        </w:rPr>
        <w:t>Q.</w:t>
      </w:r>
      <w:r w:rsidRPr="0029333D">
        <w:rPr>
          <w:szCs w:val="24"/>
        </w:rPr>
        <w:tab/>
        <w:t>What is the Company’s Washington revenue requirement for the Test Period?</w:t>
      </w:r>
    </w:p>
    <w:p w:rsidR="00692846" w:rsidRPr="0029333D" w:rsidRDefault="00692846" w:rsidP="00692846">
      <w:pPr>
        <w:pStyle w:val="Answer"/>
        <w:jc w:val="left"/>
        <w:rPr>
          <w:szCs w:val="24"/>
        </w:rPr>
      </w:pPr>
      <w:r w:rsidRPr="0029333D">
        <w:rPr>
          <w:rStyle w:val="AnswerChar1"/>
          <w:szCs w:val="24"/>
        </w:rPr>
        <w:t>A.</w:t>
      </w:r>
      <w:r w:rsidRPr="0029333D">
        <w:rPr>
          <w:rStyle w:val="AnswerChar1"/>
          <w:b/>
          <w:szCs w:val="24"/>
        </w:rPr>
        <w:tab/>
      </w:r>
      <w:r w:rsidRPr="0029333D">
        <w:rPr>
          <w:rStyle w:val="AnswerChar1"/>
          <w:szCs w:val="24"/>
        </w:rPr>
        <w:t>The Company’s revenue requirement for the Test Period, excluding NPC requirement, is $216.7 million.  This level of revenue will allow the Company to earn its authorized 9.50 percent ROE for the Test Period.</w:t>
      </w:r>
      <w:r w:rsidRPr="0029333D">
        <w:rPr>
          <w:rStyle w:val="AnswerChar1"/>
          <w:b/>
          <w:szCs w:val="24"/>
        </w:rPr>
        <w:t xml:space="preserve">  </w:t>
      </w:r>
      <w:r w:rsidRPr="0029333D">
        <w:rPr>
          <w:szCs w:val="24"/>
        </w:rPr>
        <w:t xml:space="preserve">At current rate levels, the Company will earn an ROE in Washington of 7.88 percent during the Test Period.  </w:t>
      </w:r>
    </w:p>
    <w:p w:rsidR="00692846" w:rsidRPr="0029333D" w:rsidRDefault="00692846" w:rsidP="00692846">
      <w:pPr>
        <w:pStyle w:val="Question"/>
        <w:jc w:val="left"/>
        <w:rPr>
          <w:szCs w:val="24"/>
        </w:rPr>
      </w:pPr>
      <w:r w:rsidRPr="0029333D">
        <w:rPr>
          <w:szCs w:val="24"/>
        </w:rPr>
        <w:t>Q.</w:t>
      </w:r>
      <w:r w:rsidRPr="0029333D">
        <w:rPr>
          <w:szCs w:val="24"/>
        </w:rPr>
        <w:tab/>
        <w:t xml:space="preserve">Please describe </w:t>
      </w:r>
      <w:r w:rsidRPr="0029333D">
        <w:rPr>
          <w:bCs w:val="0"/>
          <w:szCs w:val="24"/>
        </w:rPr>
        <w:t>Exhibit No. SEM-2</w:t>
      </w:r>
      <w:r w:rsidRPr="0029333D">
        <w:rPr>
          <w:szCs w:val="24"/>
        </w:rPr>
        <w:t>.</w:t>
      </w:r>
    </w:p>
    <w:p w:rsidR="00692846" w:rsidRPr="0029333D" w:rsidRDefault="00692846" w:rsidP="00692846">
      <w:pPr>
        <w:pStyle w:val="Question"/>
        <w:jc w:val="left"/>
        <w:rPr>
          <w:b w:val="0"/>
          <w:szCs w:val="24"/>
        </w:rPr>
      </w:pPr>
      <w:r w:rsidRPr="0029333D">
        <w:rPr>
          <w:b w:val="0"/>
          <w:szCs w:val="24"/>
        </w:rPr>
        <w:t>A.</w:t>
      </w:r>
      <w:r w:rsidRPr="0029333D">
        <w:rPr>
          <w:b w:val="0"/>
          <w:szCs w:val="24"/>
        </w:rPr>
        <w:tab/>
        <w:t xml:space="preserve">Exhibit No. SEM-2 is a summary of the Washington results of operations for the Test Period.  This summary exhibit reflects the detailed calculations and supporting documents that are presented in </w:t>
      </w:r>
      <w:r w:rsidRPr="0029333D">
        <w:rPr>
          <w:b w:val="0"/>
          <w:bCs w:val="0"/>
          <w:szCs w:val="24"/>
        </w:rPr>
        <w:t xml:space="preserve">Exhibit No. SEM-3.  </w:t>
      </w:r>
      <w:r w:rsidRPr="0029333D">
        <w:rPr>
          <w:b w:val="0"/>
          <w:szCs w:val="24"/>
        </w:rPr>
        <w:t>Page 1 is a revenue requirement adjustment summary.  This page shows the rate base, net operating income,</w:t>
      </w:r>
      <w:r w:rsidRPr="0029333D">
        <w:rPr>
          <w:rStyle w:val="FootnoteReference"/>
          <w:b w:val="0"/>
          <w:szCs w:val="24"/>
        </w:rPr>
        <w:footnoteReference w:id="12"/>
      </w:r>
      <w:r w:rsidRPr="0029333D">
        <w:rPr>
          <w:b w:val="0"/>
          <w:szCs w:val="24"/>
        </w:rPr>
        <w:t xml:space="preserve"> and the Washington revenue requirement cumulative impact of the Company’s restating and pro forma adjustments.  Pages 2 and 3 show the Washington-allocated per books results and the cumulative impact of each of the major adjustment secti</w:t>
      </w:r>
      <w:r w:rsidR="003344DA">
        <w:rPr>
          <w:b w:val="0"/>
          <w:szCs w:val="24"/>
        </w:rPr>
        <w:t>ons presented in Exhibit No. SEM-3</w:t>
      </w:r>
      <w:r w:rsidRPr="0029333D">
        <w:rPr>
          <w:b w:val="0"/>
          <w:szCs w:val="24"/>
        </w:rPr>
        <w:t>.  The far right column of page 3 shows the Washington-allocated normalized results for the Test Period.</w:t>
      </w:r>
    </w:p>
    <w:p w:rsidR="00692846" w:rsidRPr="0029333D" w:rsidRDefault="00692846" w:rsidP="00692846">
      <w:pPr>
        <w:pStyle w:val="Question"/>
        <w:jc w:val="left"/>
        <w:rPr>
          <w:szCs w:val="24"/>
        </w:rPr>
      </w:pPr>
      <w:r w:rsidRPr="0029333D">
        <w:rPr>
          <w:szCs w:val="24"/>
        </w:rPr>
        <w:t>Q.</w:t>
      </w:r>
      <w:r w:rsidRPr="0029333D">
        <w:rPr>
          <w:szCs w:val="24"/>
        </w:rPr>
        <w:tab/>
        <w:t xml:space="preserve">Please describe </w:t>
      </w:r>
      <w:r w:rsidRPr="0029333D">
        <w:rPr>
          <w:bCs w:val="0"/>
          <w:szCs w:val="24"/>
        </w:rPr>
        <w:t>Exhibit No. SEM-3</w:t>
      </w:r>
      <w:r w:rsidRPr="0029333D">
        <w:rPr>
          <w:szCs w:val="24"/>
        </w:rPr>
        <w:t>.</w:t>
      </w:r>
    </w:p>
    <w:p w:rsidR="00692846" w:rsidRPr="0029333D" w:rsidRDefault="00692846" w:rsidP="00692846">
      <w:pPr>
        <w:pStyle w:val="Answer"/>
        <w:widowControl w:val="0"/>
        <w:jc w:val="left"/>
        <w:rPr>
          <w:szCs w:val="24"/>
        </w:rPr>
      </w:pPr>
      <w:r w:rsidRPr="0029333D">
        <w:rPr>
          <w:szCs w:val="24"/>
        </w:rPr>
        <w:t>A.</w:t>
      </w:r>
      <w:r w:rsidRPr="0029333D">
        <w:rPr>
          <w:szCs w:val="24"/>
        </w:rPr>
        <w:tab/>
      </w:r>
      <w:r w:rsidRPr="0029333D">
        <w:rPr>
          <w:bCs/>
          <w:szCs w:val="24"/>
        </w:rPr>
        <w:t>Exhibit No. SEM-3</w:t>
      </w:r>
      <w:r w:rsidRPr="0029333D">
        <w:rPr>
          <w:szCs w:val="24"/>
        </w:rPr>
        <w:t xml:space="preserve"> is the Company’s Washington Results of Operations Report (Report).  The </w:t>
      </w:r>
      <w:r w:rsidRPr="003344DA">
        <w:rPr>
          <w:szCs w:val="24"/>
        </w:rPr>
        <w:t>Report provides the per books and normalized totals for revenue, expenses, depreciation, net power costs, taxes, rate</w:t>
      </w:r>
      <w:r w:rsidRPr="0029333D">
        <w:rPr>
          <w:szCs w:val="24"/>
        </w:rPr>
        <w:t xml:space="preserve"> base, and loads for the Test Period.  Additionally, the Report provides the calculation of the WCA</w:t>
      </w:r>
      <w:r w:rsidR="003344DA">
        <w:rPr>
          <w:szCs w:val="24"/>
        </w:rPr>
        <w:t xml:space="preserve"> allocation</w:t>
      </w:r>
      <w:r w:rsidRPr="0029333D">
        <w:rPr>
          <w:szCs w:val="24"/>
        </w:rPr>
        <w:t xml:space="preserve"> factors, a summary of monthly rate base balances used to develop the historical AMA </w:t>
      </w:r>
      <w:r w:rsidRPr="0029333D">
        <w:rPr>
          <w:szCs w:val="24"/>
        </w:rPr>
        <w:lastRenderedPageBreak/>
        <w:t>balances, and detailed accounting extracts for the historical period.</w:t>
      </w:r>
    </w:p>
    <w:p w:rsidR="00692846" w:rsidRPr="0029333D" w:rsidRDefault="00692846" w:rsidP="00692846">
      <w:pPr>
        <w:pStyle w:val="Answer"/>
        <w:widowControl w:val="0"/>
        <w:ind w:firstLine="720"/>
        <w:jc w:val="left"/>
        <w:rPr>
          <w:szCs w:val="24"/>
        </w:rPr>
      </w:pPr>
      <w:r w:rsidRPr="0029333D">
        <w:rPr>
          <w:szCs w:val="24"/>
        </w:rPr>
        <w:t>The Report presents operating results in terms of both return on rate base and ROE.  In the Report, unadjusted net power costs are presented for the WCA and as allocated to the Company’s Washington jurisdiction.  However, f</w:t>
      </w:r>
      <w:r w:rsidR="003344DA">
        <w:rPr>
          <w:szCs w:val="24"/>
        </w:rPr>
        <w:t>or the purposes of this proceeding</w:t>
      </w:r>
      <w:r w:rsidRPr="0029333D">
        <w:rPr>
          <w:szCs w:val="24"/>
        </w:rPr>
        <w:t>, net power costs are removed from normalized results through Adjustment 5.1 in Tab 5 of Exhibit No. SEM-3.</w:t>
      </w:r>
    </w:p>
    <w:p w:rsidR="00692846" w:rsidRPr="0029333D" w:rsidRDefault="00692846" w:rsidP="00692846">
      <w:pPr>
        <w:spacing w:line="480" w:lineRule="auto"/>
        <w:ind w:left="720" w:hanging="720"/>
        <w:jc w:val="left"/>
        <w:rPr>
          <w:b/>
          <w:bCs/>
        </w:rPr>
      </w:pPr>
      <w:r w:rsidRPr="0029333D">
        <w:rPr>
          <w:b/>
          <w:bCs/>
        </w:rPr>
        <w:t>Q.</w:t>
      </w:r>
      <w:r w:rsidRPr="0029333D">
        <w:rPr>
          <w:b/>
          <w:bCs/>
        </w:rPr>
        <w:tab/>
        <w:t>Please describe how the Report is organized.</w:t>
      </w:r>
    </w:p>
    <w:p w:rsidR="00692846" w:rsidRPr="0029333D" w:rsidRDefault="00692846" w:rsidP="00692846">
      <w:pPr>
        <w:widowControl w:val="0"/>
        <w:spacing w:line="480" w:lineRule="auto"/>
        <w:ind w:left="720" w:hanging="720"/>
        <w:jc w:val="left"/>
      </w:pPr>
      <w:r w:rsidRPr="0029333D">
        <w:t>A.</w:t>
      </w:r>
      <w:r w:rsidRPr="0029333D">
        <w:tab/>
        <w:t>The Report is organized into the following sections or tabs:</w:t>
      </w:r>
    </w:p>
    <w:p w:rsidR="00E9250B" w:rsidRDefault="00692846" w:rsidP="00E9250B">
      <w:pPr>
        <w:widowControl w:val="0"/>
        <w:numPr>
          <w:ilvl w:val="0"/>
          <w:numId w:val="4"/>
        </w:numPr>
        <w:jc w:val="left"/>
      </w:pPr>
      <w:r w:rsidRPr="0029333D">
        <w:t xml:space="preserve">Tab 1—Summary reflects the Washington-allocated results based on the WCA.  Column 1 (Unadjusted Results) on Page 1.0 reflects the per-books Washington results and </w:t>
      </w:r>
      <w:r w:rsidRPr="003344DA">
        <w:t>shows Washington ROE of 8.62 percent for the</w:t>
      </w:r>
      <w:r w:rsidRPr="0029333D">
        <w:t xml:space="preserve"> 12 months ended June 30, 2015.  Column 2 (Restating Adjustments) shows the cumulative impact of the Washington-allocated restating adjustments included in the filing.  Column 3 (Total Adjusted Actual Results) shows the Washington results including the restating adjustments.  Column 4 (Pro Forma Adjustments) shows the cumulative impact of the Washington-allocated pro forma adjustments included in the filing.  Column 5 (Total Normalized Results) shows the Washington-allocated normalized results for the Test </w:t>
      </w:r>
      <w:r w:rsidRPr="003344DA">
        <w:t xml:space="preserve">Period, including all restating and pro forma adjustments, with an ROE of 7.88 percent.  Column 6 (Price Change) reflects the necessary revenue increase of $10.7 million to achieve a 9.50 percent ROE.  Column 7 (Results with Price Change) reflects the Washington normalized results including </w:t>
      </w:r>
      <w:r w:rsidR="008956A1">
        <w:t>a</w:t>
      </w:r>
      <w:r w:rsidRPr="003344DA">
        <w:t xml:space="preserve"> $10.7 million</w:t>
      </w:r>
      <w:r w:rsidR="008956A1">
        <w:t xml:space="preserve"> calculated</w:t>
      </w:r>
      <w:r w:rsidRPr="003344DA">
        <w:t xml:space="preserve"> revenue increase.</w:t>
      </w:r>
    </w:p>
    <w:p w:rsidR="00E9250B" w:rsidRDefault="00E9250B" w:rsidP="00E9250B">
      <w:pPr>
        <w:widowControl w:val="0"/>
        <w:suppressLineNumbers/>
        <w:ind w:left="1440"/>
        <w:jc w:val="left"/>
      </w:pPr>
    </w:p>
    <w:p w:rsidR="00692846" w:rsidRDefault="00692846" w:rsidP="00E9250B">
      <w:pPr>
        <w:widowControl w:val="0"/>
        <w:numPr>
          <w:ilvl w:val="0"/>
          <w:numId w:val="4"/>
        </w:numPr>
        <w:jc w:val="left"/>
      </w:pPr>
      <w:r w:rsidRPr="0029333D">
        <w:t xml:space="preserve">Page 1.1 of the Report shows </w:t>
      </w:r>
      <w:r w:rsidR="003344DA">
        <w:t xml:space="preserve">total adjusted </w:t>
      </w:r>
      <w:r w:rsidRPr="0029333D">
        <w:t xml:space="preserve">results of operations </w:t>
      </w:r>
      <w:r w:rsidR="008956A1">
        <w:t>and the calculated price change</w:t>
      </w:r>
      <w:r w:rsidRPr="0029333D">
        <w:t>.  Pages 1.2 and 1.3 support the calculation of the requested revenue increase and provide further details on the development of the net-to-gross conversion factor</w:t>
      </w:r>
      <w:r w:rsidRPr="0029333D">
        <w:rPr>
          <w:rStyle w:val="FootnoteReference"/>
        </w:rPr>
        <w:footnoteReference w:id="13"/>
      </w:r>
      <w:r w:rsidRPr="0029333D">
        <w:t xml:space="preserve"> which incorporates income taxes, uncollectible expenses, Washington Public Utility Tax, and the Commission regulatory fee.  Pages 1.4 through 1.6 summarize the impact of each of the adjustment sections, which follow in tabs 3 through 9.</w:t>
      </w:r>
      <w:r w:rsidR="008956A1">
        <w:t xml:space="preserve">  Pages 1.7 through 1.30 show each revenue requirement adjustment as presented in the Company’s summary revenue requirement model.</w:t>
      </w:r>
    </w:p>
    <w:p w:rsidR="00E9250B" w:rsidRPr="0029333D" w:rsidRDefault="00E9250B" w:rsidP="00E9250B">
      <w:pPr>
        <w:widowControl w:val="0"/>
        <w:suppressLineNumbers/>
        <w:ind w:left="1440"/>
        <w:jc w:val="left"/>
      </w:pPr>
    </w:p>
    <w:p w:rsidR="00692846" w:rsidRDefault="00692846" w:rsidP="00E06DB6">
      <w:pPr>
        <w:pStyle w:val="Answer"/>
        <w:widowControl w:val="0"/>
        <w:numPr>
          <w:ilvl w:val="0"/>
          <w:numId w:val="4"/>
        </w:numPr>
        <w:spacing w:line="240" w:lineRule="auto"/>
        <w:jc w:val="left"/>
        <w:rPr>
          <w:szCs w:val="24"/>
        </w:rPr>
      </w:pPr>
      <w:r w:rsidRPr="0029333D">
        <w:rPr>
          <w:szCs w:val="24"/>
        </w:rPr>
        <w:t xml:space="preserve">Tab 2—Results of Operations details the Company’s overall revenue requirement, showing per books revenues, expenses, and rate base balances, </w:t>
      </w:r>
      <w:r w:rsidRPr="0029333D">
        <w:rPr>
          <w:szCs w:val="24"/>
        </w:rPr>
        <w:lastRenderedPageBreak/>
        <w:t>on total-company and Washington-allocated basis, for the 12 months ended June 30, 2015, and fully normalized Washington-allocated results of operations for the Test Period by Federal Energy Regulatory Commission (FERC) account.  The name of each FERC account provides a brief description of the revenues, expenses, or balances included in the account.  For a more detailed description of each account please refer to the FERC Uniform System of Accounts (Code of Federal Regulations, Title 18, part 101).</w:t>
      </w:r>
    </w:p>
    <w:p w:rsidR="00E06DB6" w:rsidRPr="0029333D" w:rsidRDefault="00E06DB6" w:rsidP="00E06DB6">
      <w:pPr>
        <w:pStyle w:val="Answer"/>
        <w:widowControl w:val="0"/>
        <w:suppressLineNumbers/>
        <w:spacing w:line="240" w:lineRule="auto"/>
        <w:ind w:left="1440" w:firstLine="0"/>
        <w:jc w:val="left"/>
        <w:rPr>
          <w:szCs w:val="24"/>
        </w:rPr>
      </w:pPr>
    </w:p>
    <w:p w:rsidR="00692846" w:rsidRDefault="00692846" w:rsidP="00E06DB6">
      <w:pPr>
        <w:pStyle w:val="Answer"/>
        <w:widowControl w:val="0"/>
        <w:numPr>
          <w:ilvl w:val="0"/>
          <w:numId w:val="4"/>
        </w:numPr>
        <w:tabs>
          <w:tab w:val="num" w:pos="1800"/>
        </w:tabs>
        <w:spacing w:line="240" w:lineRule="auto"/>
        <w:jc w:val="left"/>
        <w:rPr>
          <w:szCs w:val="24"/>
        </w:rPr>
      </w:pPr>
      <w:r w:rsidRPr="0029333D">
        <w:rPr>
          <w:szCs w:val="24"/>
        </w:rPr>
        <w:t>Tabs 3 through 9 provide supporting documentation for the restating and pro forma adjustments required to reflect normal or expected operating conditions of the Company.  Each of these sections begins with a numerical summary in columnar format that identifies each adjustment made to per books data and the adjustment’s impact on Test Period results.  Each column has a numerical reference to a corresponding page in the Report, which contains a “lead sheet” showing the type of adjustment (restating or pro forma), the FERC account(s), the WCA allocation factor(s), dollar amount(s), and a brief description of the adjustment.  The specific adjustments included in each of these tabs are described in more detail below.</w:t>
      </w:r>
    </w:p>
    <w:p w:rsidR="00E06DB6" w:rsidRPr="0029333D" w:rsidRDefault="00E06DB6" w:rsidP="00E06DB6">
      <w:pPr>
        <w:pStyle w:val="Answer"/>
        <w:widowControl w:val="0"/>
        <w:suppressLineNumbers/>
        <w:tabs>
          <w:tab w:val="num" w:pos="1800"/>
        </w:tabs>
        <w:spacing w:line="240" w:lineRule="auto"/>
        <w:ind w:left="1440" w:firstLine="0"/>
        <w:jc w:val="left"/>
        <w:rPr>
          <w:szCs w:val="24"/>
        </w:rPr>
      </w:pPr>
    </w:p>
    <w:p w:rsidR="00692846" w:rsidRDefault="00692846" w:rsidP="00E06DB6">
      <w:pPr>
        <w:numPr>
          <w:ilvl w:val="0"/>
          <w:numId w:val="4"/>
        </w:numPr>
        <w:jc w:val="left"/>
      </w:pPr>
      <w:r w:rsidRPr="0029333D">
        <w:t>Tab 10 contains the calculation of the WCA allocation factors.</w:t>
      </w:r>
    </w:p>
    <w:p w:rsidR="00E06DB6" w:rsidRPr="0029333D" w:rsidRDefault="00E06DB6" w:rsidP="00E06DB6">
      <w:pPr>
        <w:suppressLineNumbers/>
        <w:ind w:left="1440"/>
        <w:jc w:val="left"/>
      </w:pPr>
    </w:p>
    <w:p w:rsidR="00692846" w:rsidRDefault="00692846" w:rsidP="00E06DB6">
      <w:pPr>
        <w:numPr>
          <w:ilvl w:val="0"/>
          <w:numId w:val="4"/>
        </w:numPr>
        <w:jc w:val="left"/>
      </w:pPr>
      <w:r w:rsidRPr="0029333D">
        <w:t>Tab 11 contains a summary of the Washington-allocated per books rate base balances by month for the 12 months ended June 30, 2015.  These balances are shown by FERC account and WCA allocation factor.</w:t>
      </w:r>
    </w:p>
    <w:p w:rsidR="00E06DB6" w:rsidRPr="0029333D" w:rsidRDefault="00E06DB6" w:rsidP="00E06DB6">
      <w:pPr>
        <w:suppressLineNumbers/>
        <w:ind w:left="1440"/>
        <w:jc w:val="left"/>
      </w:pPr>
    </w:p>
    <w:p w:rsidR="00692846" w:rsidRDefault="00692846" w:rsidP="00E06DB6">
      <w:pPr>
        <w:numPr>
          <w:ilvl w:val="0"/>
          <w:numId w:val="4"/>
        </w:numPr>
        <w:jc w:val="left"/>
      </w:pPr>
      <w:r w:rsidRPr="0029333D">
        <w:t>Tabs B1 through B20 contain the per books historical accounting system extracts for the 12-month period ended June 30, 2015, and are organized by major FERC function.</w:t>
      </w:r>
    </w:p>
    <w:p w:rsidR="00E06DB6" w:rsidRPr="0029333D" w:rsidRDefault="00E06DB6" w:rsidP="00E06DB6">
      <w:pPr>
        <w:suppressLineNumbers/>
        <w:ind w:left="1440"/>
        <w:jc w:val="left"/>
      </w:pPr>
    </w:p>
    <w:p w:rsidR="00692846" w:rsidRPr="00E06DB6" w:rsidRDefault="00692846" w:rsidP="00E06DB6">
      <w:pPr>
        <w:pStyle w:val="Heading2"/>
      </w:pPr>
      <w:bookmarkStart w:id="9" w:name="_Toc436114846"/>
      <w:r w:rsidRPr="00E06DB6">
        <w:t>Tab 3—Revenue Adjustments</w:t>
      </w:r>
      <w:bookmarkEnd w:id="9"/>
    </w:p>
    <w:p w:rsidR="00692846" w:rsidRPr="0029333D" w:rsidRDefault="00692846" w:rsidP="00692846">
      <w:pPr>
        <w:pStyle w:val="Question"/>
        <w:widowControl w:val="0"/>
        <w:jc w:val="left"/>
        <w:rPr>
          <w:szCs w:val="24"/>
        </w:rPr>
      </w:pPr>
      <w:r w:rsidRPr="0029333D">
        <w:rPr>
          <w:szCs w:val="24"/>
        </w:rPr>
        <w:t>Q.</w:t>
      </w:r>
      <w:r w:rsidRPr="0029333D">
        <w:rPr>
          <w:szCs w:val="24"/>
        </w:rPr>
        <w:tab/>
        <w:t>Please describe the adjustments made in Tab 3.</w:t>
      </w:r>
    </w:p>
    <w:p w:rsidR="00692846" w:rsidRPr="0029333D" w:rsidRDefault="00692846" w:rsidP="00692846">
      <w:pPr>
        <w:pStyle w:val="Answer"/>
        <w:widowControl w:val="0"/>
        <w:tabs>
          <w:tab w:val="left" w:pos="720"/>
        </w:tabs>
        <w:jc w:val="left"/>
        <w:rPr>
          <w:b/>
          <w:szCs w:val="24"/>
        </w:rPr>
      </w:pPr>
      <w:r w:rsidRPr="0029333D">
        <w:rPr>
          <w:szCs w:val="24"/>
        </w:rPr>
        <w:t>A.</w:t>
      </w:r>
      <w:r w:rsidRPr="0029333D">
        <w:rPr>
          <w:b/>
          <w:szCs w:val="24"/>
        </w:rPr>
        <w:tab/>
        <w:t>Temperature Normalization (page 3.1)</w:t>
      </w:r>
      <w:r w:rsidRPr="0029333D">
        <w:rPr>
          <w:szCs w:val="24"/>
        </w:rPr>
        <w:t xml:space="preserve">—This restating adjustment normalizes residential, commercial, and irrigation revenues in the Test Period by comparing actual sales to temperature normalized sales.  Temperature normalization reflects temperature patterns that can be measurably different than normal, defined as the average temperature over a 20-year rolling time period (currently 1994 to 2013).  Pages 3.1.3 through 3.1.4 provide the detailed support of the revenue adjustments </w:t>
      </w:r>
      <w:r w:rsidRPr="0029333D">
        <w:rPr>
          <w:szCs w:val="24"/>
        </w:rPr>
        <w:lastRenderedPageBreak/>
        <w:t xml:space="preserve">from the per books data.  </w:t>
      </w:r>
    </w:p>
    <w:p w:rsidR="00692846" w:rsidRPr="0029333D" w:rsidRDefault="00692846" w:rsidP="00692846">
      <w:pPr>
        <w:pStyle w:val="Answer"/>
        <w:widowControl w:val="0"/>
        <w:tabs>
          <w:tab w:val="left" w:pos="720"/>
        </w:tabs>
        <w:jc w:val="left"/>
        <w:rPr>
          <w:rStyle w:val="AnswerChar0"/>
          <w:szCs w:val="24"/>
        </w:rPr>
      </w:pPr>
      <w:r w:rsidRPr="0029333D">
        <w:rPr>
          <w:b/>
          <w:szCs w:val="24"/>
        </w:rPr>
        <w:tab/>
        <w:t>Revenue Normalization (page 3.2)</w:t>
      </w:r>
      <w:r w:rsidRPr="0029333D">
        <w:rPr>
          <w:szCs w:val="24"/>
        </w:rPr>
        <w:t>—This restating adjustment removes revenue items that should not be</w:t>
      </w:r>
      <w:r w:rsidR="008956A1">
        <w:rPr>
          <w:szCs w:val="24"/>
        </w:rPr>
        <w:t xml:space="preserve"> included in regulatory results and </w:t>
      </w:r>
      <w:r w:rsidRPr="0029333D">
        <w:rPr>
          <w:szCs w:val="24"/>
        </w:rPr>
        <w:t>normalizes base year revenue by removing items that should not be included in determining retail rates, such as Schedule 191 (System Benefits Charge), Schedule 92 (Depreciation Deferral Amortization), Chehalis Regulatory Asset Deferral, and out of period items.  The associated tax impacts are also removed from the Test Period in this adjustment.</w:t>
      </w:r>
    </w:p>
    <w:p w:rsidR="00692846" w:rsidRPr="0029333D" w:rsidRDefault="00692846" w:rsidP="00692846">
      <w:pPr>
        <w:pStyle w:val="Answer"/>
        <w:ind w:firstLine="0"/>
        <w:jc w:val="left"/>
        <w:rPr>
          <w:szCs w:val="24"/>
        </w:rPr>
      </w:pPr>
      <w:r w:rsidRPr="0029333D">
        <w:rPr>
          <w:b/>
          <w:szCs w:val="24"/>
        </w:rPr>
        <w:t>Effective Price Change (page 3</w:t>
      </w:r>
      <w:r w:rsidRPr="0029333D">
        <w:rPr>
          <w:szCs w:val="24"/>
        </w:rPr>
        <w:t>.</w:t>
      </w:r>
      <w:r w:rsidRPr="0029333D">
        <w:rPr>
          <w:b/>
          <w:szCs w:val="24"/>
        </w:rPr>
        <w:t>3)</w:t>
      </w:r>
      <w:r w:rsidRPr="0029333D">
        <w:rPr>
          <w:szCs w:val="24"/>
        </w:rPr>
        <w:t xml:space="preserve">—This </w:t>
      </w:r>
      <w:r w:rsidR="0092496B" w:rsidRPr="0029333D">
        <w:rPr>
          <w:szCs w:val="24"/>
        </w:rPr>
        <w:t>pro forma</w:t>
      </w:r>
      <w:r w:rsidRPr="0029333D">
        <w:rPr>
          <w:szCs w:val="24"/>
        </w:rPr>
        <w:t xml:space="preserve"> adjustment annualizes retail revenues for the $9.6 million rate increase approved by the Commission in the 2014 Rate Case, effective March 31, 2015.</w:t>
      </w:r>
    </w:p>
    <w:p w:rsidR="00692846" w:rsidRPr="0029333D" w:rsidRDefault="00692846" w:rsidP="00692846">
      <w:pPr>
        <w:pStyle w:val="Answer"/>
        <w:ind w:firstLine="0"/>
        <w:jc w:val="left"/>
        <w:rPr>
          <w:szCs w:val="24"/>
        </w:rPr>
      </w:pPr>
      <w:r w:rsidRPr="0029333D">
        <w:rPr>
          <w:b/>
          <w:szCs w:val="24"/>
        </w:rPr>
        <w:t>SO</w:t>
      </w:r>
      <w:r w:rsidRPr="008956A1">
        <w:rPr>
          <w:b/>
          <w:szCs w:val="24"/>
          <w:vertAlign w:val="subscript"/>
        </w:rPr>
        <w:t>2</w:t>
      </w:r>
      <w:r w:rsidRPr="0029333D">
        <w:rPr>
          <w:b/>
          <w:szCs w:val="24"/>
        </w:rPr>
        <w:t xml:space="preserve"> Emission Allowances (page 3.4)</w:t>
      </w:r>
      <w:r w:rsidRPr="0029333D">
        <w:rPr>
          <w:szCs w:val="24"/>
        </w:rPr>
        <w:t xml:space="preserve">— This restating adjustment removes the sales revenue booked during the 12 months ended June 30, 2015, and includes amortization of sales revenues over a five-year period.  This method was approved in Order 06 in the </w:t>
      </w:r>
      <w:r w:rsidR="004755D6" w:rsidRPr="0029333D">
        <w:rPr>
          <w:szCs w:val="24"/>
        </w:rPr>
        <w:t>Company’s 2010 general rate case, Docket UE-100749 (</w:t>
      </w:r>
      <w:r w:rsidRPr="0029333D">
        <w:rPr>
          <w:szCs w:val="24"/>
        </w:rPr>
        <w:t>2010 Rate Case</w:t>
      </w:r>
      <w:r w:rsidR="004755D6" w:rsidRPr="0029333D">
        <w:rPr>
          <w:szCs w:val="24"/>
        </w:rPr>
        <w:t>),</w:t>
      </w:r>
      <w:r w:rsidRPr="0029333D">
        <w:rPr>
          <w:szCs w:val="24"/>
        </w:rPr>
        <w:t xml:space="preserve"> and used by the Company in </w:t>
      </w:r>
      <w:r w:rsidR="00D70D4C" w:rsidRPr="0029333D">
        <w:rPr>
          <w:szCs w:val="24"/>
        </w:rPr>
        <w:t>general r</w:t>
      </w:r>
      <w:r w:rsidRPr="0029333D">
        <w:rPr>
          <w:szCs w:val="24"/>
        </w:rPr>
        <w:t xml:space="preserve">ate </w:t>
      </w:r>
      <w:r w:rsidR="00D70D4C" w:rsidRPr="0029333D">
        <w:rPr>
          <w:szCs w:val="24"/>
        </w:rPr>
        <w:t>c</w:t>
      </w:r>
      <w:r w:rsidRPr="0029333D">
        <w:rPr>
          <w:szCs w:val="24"/>
        </w:rPr>
        <w:t>ases filed since.  Washington’s allocation of these revenues is determined by the allowances provided by the Chehalis, Hermiston, Jim Bridger</w:t>
      </w:r>
      <w:r w:rsidR="008956A1">
        <w:rPr>
          <w:szCs w:val="24"/>
        </w:rPr>
        <w:t>,</w:t>
      </w:r>
      <w:r w:rsidRPr="0029333D">
        <w:rPr>
          <w:szCs w:val="24"/>
        </w:rPr>
        <w:t xml:space="preserve"> and Colstrip Unit 4 generating resources.</w:t>
      </w:r>
    </w:p>
    <w:p w:rsidR="00692846" w:rsidRPr="0029333D" w:rsidRDefault="00692846" w:rsidP="00692846">
      <w:pPr>
        <w:pStyle w:val="Answer"/>
        <w:widowControl w:val="0"/>
        <w:ind w:firstLine="0"/>
        <w:jc w:val="left"/>
        <w:rPr>
          <w:szCs w:val="24"/>
        </w:rPr>
      </w:pPr>
      <w:r w:rsidRPr="0029333D">
        <w:rPr>
          <w:b/>
          <w:szCs w:val="24"/>
        </w:rPr>
        <w:t>Renewable Energy Credit (REC) Revenue (page 3.5)</w:t>
      </w:r>
      <w:r w:rsidRPr="0029333D">
        <w:rPr>
          <w:szCs w:val="24"/>
        </w:rPr>
        <w:t xml:space="preserve">—In compliance with Commission Order 06 in the 2010 Rate Case, REC revenues are passed back to Washington customers through a separate </w:t>
      </w:r>
      <w:r w:rsidR="00294447">
        <w:rPr>
          <w:szCs w:val="24"/>
        </w:rPr>
        <w:t>tracking</w:t>
      </w:r>
      <w:r w:rsidRPr="0029333D">
        <w:rPr>
          <w:szCs w:val="24"/>
        </w:rPr>
        <w:t xml:space="preserve"> mechanism effective April 3, 2011.  Consistent with this ordered treatment, this restating adjustment removes all REC revenues from the Test Period.</w:t>
      </w:r>
    </w:p>
    <w:p w:rsidR="00692846" w:rsidRPr="0029333D" w:rsidRDefault="00692846" w:rsidP="00692846">
      <w:pPr>
        <w:pStyle w:val="Answer"/>
        <w:widowControl w:val="0"/>
        <w:jc w:val="left"/>
        <w:rPr>
          <w:szCs w:val="24"/>
        </w:rPr>
      </w:pPr>
      <w:r w:rsidRPr="0029333D">
        <w:rPr>
          <w:szCs w:val="24"/>
        </w:rPr>
        <w:tab/>
      </w:r>
      <w:r w:rsidRPr="0029333D">
        <w:rPr>
          <w:b/>
          <w:szCs w:val="24"/>
        </w:rPr>
        <w:t>Wheeling Revenue (page 3.6)</w:t>
      </w:r>
      <w:r w:rsidRPr="0029333D">
        <w:rPr>
          <w:szCs w:val="24"/>
        </w:rPr>
        <w:t xml:space="preserve">— This restating adjustment reflects the normalized </w:t>
      </w:r>
      <w:r w:rsidRPr="0029333D">
        <w:rPr>
          <w:szCs w:val="24"/>
        </w:rPr>
        <w:lastRenderedPageBreak/>
        <w:t xml:space="preserve">level of wheeling revenues for the 12 months </w:t>
      </w:r>
      <w:r w:rsidR="00294447">
        <w:rPr>
          <w:szCs w:val="24"/>
        </w:rPr>
        <w:t>ended</w:t>
      </w:r>
      <w:r w:rsidRPr="0029333D">
        <w:rPr>
          <w:szCs w:val="24"/>
        </w:rPr>
        <w:t xml:space="preserve"> June 30, 2015</w:t>
      </w:r>
      <w:r w:rsidR="00294447">
        <w:rPr>
          <w:szCs w:val="24"/>
        </w:rPr>
        <w:t>,</w:t>
      </w:r>
      <w:r w:rsidRPr="0029333D">
        <w:rPr>
          <w:szCs w:val="24"/>
        </w:rPr>
        <w:t xml:space="preserve"> by adjusting the actual revenues for normalizing differences.  Imbalance penalty revenue and expense is removed to avoid any impact on regulated results.</w:t>
      </w:r>
    </w:p>
    <w:p w:rsidR="00692846" w:rsidRPr="00E06DB6" w:rsidRDefault="00692846" w:rsidP="00E06DB6">
      <w:pPr>
        <w:pStyle w:val="Heading2"/>
      </w:pPr>
      <w:bookmarkStart w:id="10" w:name="_Toc436114847"/>
      <w:r w:rsidRPr="00E06DB6">
        <w:t>Tab 4—O&amp;M Adjustments</w:t>
      </w:r>
      <w:bookmarkEnd w:id="10"/>
    </w:p>
    <w:p w:rsidR="00692846" w:rsidRPr="0029333D" w:rsidRDefault="00692846" w:rsidP="00692846">
      <w:pPr>
        <w:pStyle w:val="Question"/>
        <w:widowControl w:val="0"/>
        <w:jc w:val="left"/>
        <w:rPr>
          <w:szCs w:val="24"/>
        </w:rPr>
      </w:pPr>
      <w:r w:rsidRPr="0029333D">
        <w:rPr>
          <w:szCs w:val="24"/>
        </w:rPr>
        <w:t>Q.</w:t>
      </w:r>
      <w:r w:rsidRPr="0029333D">
        <w:rPr>
          <w:szCs w:val="24"/>
        </w:rPr>
        <w:tab/>
        <w:t>Please describe the adjustments included in Tab 4.</w:t>
      </w:r>
    </w:p>
    <w:p w:rsidR="00692846" w:rsidRPr="0029333D" w:rsidRDefault="00692846" w:rsidP="00692846">
      <w:pPr>
        <w:pStyle w:val="Answer"/>
        <w:widowControl w:val="0"/>
        <w:jc w:val="left"/>
        <w:rPr>
          <w:szCs w:val="24"/>
        </w:rPr>
      </w:pPr>
      <w:r w:rsidRPr="0029333D">
        <w:rPr>
          <w:szCs w:val="24"/>
        </w:rPr>
        <w:t>A.</w:t>
      </w:r>
      <w:r w:rsidRPr="0029333D">
        <w:rPr>
          <w:szCs w:val="24"/>
        </w:rPr>
        <w:tab/>
      </w:r>
      <w:r w:rsidRPr="0029333D">
        <w:rPr>
          <w:b/>
          <w:szCs w:val="24"/>
        </w:rPr>
        <w:t>Miscellaneous General Expense Adjustment (page 4.1)</w:t>
      </w:r>
      <w:r w:rsidRPr="0029333D">
        <w:rPr>
          <w:szCs w:val="24"/>
        </w:rPr>
        <w:t xml:space="preserve">—This restating adjustment removes certain miscellaneous expenses that should have been charged below-the-line to non-regulated expenses. </w:t>
      </w:r>
      <w:r w:rsidR="00294447">
        <w:rPr>
          <w:szCs w:val="24"/>
        </w:rPr>
        <w:t xml:space="preserve"> </w:t>
      </w:r>
      <w:r w:rsidRPr="0029333D">
        <w:rPr>
          <w:szCs w:val="24"/>
        </w:rPr>
        <w:t>It also reallocates certain items such as gains and losses on property sales and regulatory commission expense to reflect the appropriate allocation among the Company’s jurisdictions.</w:t>
      </w:r>
    </w:p>
    <w:p w:rsidR="00E06DB6" w:rsidRDefault="00692846" w:rsidP="00692846">
      <w:pPr>
        <w:pStyle w:val="Answer"/>
        <w:widowControl w:val="0"/>
        <w:ind w:firstLine="0"/>
        <w:jc w:val="left"/>
        <w:rPr>
          <w:szCs w:val="24"/>
        </w:rPr>
      </w:pPr>
      <w:r w:rsidRPr="0029333D">
        <w:rPr>
          <w:b/>
          <w:bCs/>
          <w:szCs w:val="24"/>
        </w:rPr>
        <w:t>General Wage Increase Adjustment (pages 4.2)</w:t>
      </w:r>
      <w:r w:rsidRPr="0029333D">
        <w:rPr>
          <w:szCs w:val="24"/>
        </w:rPr>
        <w:t xml:space="preserve">—This restating adjustment is used to compute general wage-related costs for the Test Period.  The Company has several labor groups, each with different effective contract renewal dates.  The purpose of adjustment 4.2 is to restate per books wage expenses by annualizing wage increases that occurred during the 12 months ended June 30, 2015.  This is done by identifying actual wages by labor group by month along with the date each labor group received wage increases.  This treatment of wages reflected in the Test Period is consistent with the method approved by the Commission in the Company’s past rate cases, and falls in line with the enhancement to a standard CBR as recommended by Staff in the </w:t>
      </w:r>
    </w:p>
    <w:p w:rsidR="00E06DB6" w:rsidRDefault="00E06DB6" w:rsidP="00E06DB6">
      <w:pPr>
        <w:pStyle w:val="Answer"/>
        <w:widowControl w:val="0"/>
        <w:suppressLineNumbers/>
        <w:ind w:firstLine="0"/>
        <w:jc w:val="left"/>
        <w:rPr>
          <w:szCs w:val="24"/>
        </w:rPr>
      </w:pPr>
    </w:p>
    <w:p w:rsidR="00692846" w:rsidRPr="0029333D" w:rsidRDefault="00692846" w:rsidP="00692846">
      <w:pPr>
        <w:pStyle w:val="Answer"/>
        <w:widowControl w:val="0"/>
        <w:ind w:firstLine="0"/>
        <w:jc w:val="left"/>
        <w:rPr>
          <w:szCs w:val="24"/>
        </w:rPr>
      </w:pPr>
      <w:r w:rsidRPr="0029333D">
        <w:rPr>
          <w:szCs w:val="24"/>
        </w:rPr>
        <w:t xml:space="preserve">2013 Rate Case in order to establish Test Period results that are better suited for rate making.  </w:t>
      </w:r>
    </w:p>
    <w:p w:rsidR="00692846" w:rsidRPr="0029333D" w:rsidRDefault="00692846" w:rsidP="00692846">
      <w:pPr>
        <w:pStyle w:val="Answer"/>
        <w:widowControl w:val="0"/>
        <w:ind w:firstLine="720"/>
        <w:jc w:val="left"/>
        <w:rPr>
          <w:szCs w:val="24"/>
        </w:rPr>
      </w:pPr>
      <w:r w:rsidRPr="0029333D">
        <w:rPr>
          <w:szCs w:val="24"/>
        </w:rPr>
        <w:t xml:space="preserve">Payroll taxes were updated to capture the impact of the changes to employee </w:t>
      </w:r>
      <w:r w:rsidRPr="0029333D">
        <w:rPr>
          <w:szCs w:val="24"/>
        </w:rPr>
        <w:lastRenderedPageBreak/>
        <w:t>wages</w:t>
      </w:r>
      <w:r w:rsidR="00294447">
        <w:rPr>
          <w:szCs w:val="24"/>
        </w:rPr>
        <w:t>.  As part of this adjustment, supplemental e</w:t>
      </w:r>
      <w:r w:rsidRPr="0029333D">
        <w:rPr>
          <w:szCs w:val="24"/>
        </w:rPr>
        <w:t>xec</w:t>
      </w:r>
      <w:r w:rsidR="00294447">
        <w:rPr>
          <w:szCs w:val="24"/>
        </w:rPr>
        <w:t>utive retirement p</w:t>
      </w:r>
      <w:r w:rsidRPr="0029333D">
        <w:rPr>
          <w:szCs w:val="24"/>
        </w:rPr>
        <w:t>lan expenses booked during the historical period have been removed from the Test Period.</w:t>
      </w:r>
    </w:p>
    <w:p w:rsidR="00692846" w:rsidRPr="0029333D" w:rsidRDefault="00692846" w:rsidP="00692846">
      <w:pPr>
        <w:pStyle w:val="Answer"/>
        <w:widowControl w:val="0"/>
        <w:ind w:left="0" w:firstLine="0"/>
        <w:jc w:val="left"/>
        <w:rPr>
          <w:b/>
          <w:szCs w:val="24"/>
        </w:rPr>
      </w:pPr>
      <w:r w:rsidRPr="0029333D">
        <w:rPr>
          <w:b/>
          <w:szCs w:val="24"/>
        </w:rPr>
        <w:t>Q.</w:t>
      </w:r>
      <w:r w:rsidRPr="0029333D">
        <w:rPr>
          <w:b/>
          <w:szCs w:val="24"/>
        </w:rPr>
        <w:tab/>
        <w:t>Please continue with your description of O&amp;M adjustments in Tab 4.</w:t>
      </w:r>
    </w:p>
    <w:p w:rsidR="00692846" w:rsidRPr="0029333D" w:rsidRDefault="00692846" w:rsidP="00692846">
      <w:pPr>
        <w:pStyle w:val="Answer"/>
        <w:widowControl w:val="0"/>
        <w:jc w:val="left"/>
        <w:rPr>
          <w:b/>
          <w:szCs w:val="24"/>
        </w:rPr>
      </w:pPr>
      <w:r w:rsidRPr="00294447">
        <w:rPr>
          <w:szCs w:val="24"/>
        </w:rPr>
        <w:t>A.</w:t>
      </w:r>
      <w:r w:rsidRPr="00294447">
        <w:rPr>
          <w:szCs w:val="24"/>
        </w:rPr>
        <w:tab/>
      </w:r>
      <w:r w:rsidRPr="0029333D">
        <w:rPr>
          <w:b/>
          <w:szCs w:val="24"/>
        </w:rPr>
        <w:t>Legal Expense (page 4.3)</w:t>
      </w:r>
      <w:r w:rsidRPr="0029333D">
        <w:rPr>
          <w:szCs w:val="24"/>
        </w:rPr>
        <w:t>—Consistent with past rate case treatment, this restating adjustment reallocates the Company’s per books legal expenses.  Legal expenses are situs assigned to the extent they can be attributed to a specific jurisdiction.</w:t>
      </w:r>
    </w:p>
    <w:p w:rsidR="00692846" w:rsidRPr="0029333D" w:rsidRDefault="00692846" w:rsidP="00692846">
      <w:pPr>
        <w:pStyle w:val="Answer"/>
        <w:widowControl w:val="0"/>
        <w:ind w:firstLine="0"/>
        <w:jc w:val="left"/>
        <w:rPr>
          <w:b/>
          <w:szCs w:val="24"/>
        </w:rPr>
      </w:pPr>
      <w:r w:rsidRPr="0029333D">
        <w:rPr>
          <w:b/>
          <w:szCs w:val="24"/>
        </w:rPr>
        <w:t>Irrigation Load Control Program (page 4.4)</w:t>
      </w:r>
      <w:r w:rsidRPr="0029333D">
        <w:rPr>
          <w:szCs w:val="24"/>
        </w:rPr>
        <w:t>—Payments are made to Idaho irrigators as part of the Idaho Irrigation Load Control Program, and a portion of the program’s administrative costs are system allocated in the Company’s per books data.  This restating adjustment reallocates these costs to the Company’s Idaho customers.</w:t>
      </w:r>
    </w:p>
    <w:p w:rsidR="00692846" w:rsidRPr="0029333D" w:rsidRDefault="00692846" w:rsidP="00692846">
      <w:pPr>
        <w:autoSpaceDE w:val="0"/>
        <w:autoSpaceDN w:val="0"/>
        <w:adjustRightInd w:val="0"/>
        <w:spacing w:line="480" w:lineRule="auto"/>
        <w:ind w:left="720"/>
        <w:jc w:val="left"/>
      </w:pPr>
      <w:r w:rsidRPr="0029333D">
        <w:rPr>
          <w:b/>
        </w:rPr>
        <w:t>Remove Non-Recurring Entries (page 4.5)</w:t>
      </w:r>
      <w:r w:rsidRPr="0029333D">
        <w:t>—An accounting entry was made during the 12 months ended June 30, 2015, that was related to a prior period adjustment. This restating adjustment removes this item from the Test Period to reflect normalized results.</w:t>
      </w:r>
      <w:r w:rsidR="00294447">
        <w:t xml:space="preserve"> </w:t>
      </w:r>
      <w:r w:rsidRPr="0029333D">
        <w:t xml:space="preserve"> Details on the specific items in the adjustment can be found on page 4.5.1.</w:t>
      </w:r>
    </w:p>
    <w:p w:rsidR="00692846" w:rsidRPr="0029333D" w:rsidRDefault="00692846" w:rsidP="00692846">
      <w:pPr>
        <w:autoSpaceDE w:val="0"/>
        <w:autoSpaceDN w:val="0"/>
        <w:adjustRightInd w:val="0"/>
        <w:spacing w:line="480" w:lineRule="auto"/>
        <w:ind w:left="720"/>
        <w:jc w:val="left"/>
        <w:rPr>
          <w:bCs/>
        </w:rPr>
      </w:pPr>
      <w:r w:rsidRPr="0029333D">
        <w:rPr>
          <w:b/>
          <w:bCs/>
        </w:rPr>
        <w:t>D</w:t>
      </w:r>
      <w:r w:rsidR="004755D6" w:rsidRPr="0029333D">
        <w:rPr>
          <w:b/>
          <w:bCs/>
        </w:rPr>
        <w:t>emand-</w:t>
      </w:r>
      <w:r w:rsidRPr="0029333D">
        <w:rPr>
          <w:b/>
          <w:bCs/>
        </w:rPr>
        <w:t>S</w:t>
      </w:r>
      <w:r w:rsidR="004755D6" w:rsidRPr="0029333D">
        <w:rPr>
          <w:b/>
          <w:bCs/>
        </w:rPr>
        <w:t xml:space="preserve">ide </w:t>
      </w:r>
      <w:r w:rsidRPr="0029333D">
        <w:rPr>
          <w:b/>
          <w:bCs/>
        </w:rPr>
        <w:t>M</w:t>
      </w:r>
      <w:r w:rsidR="004755D6" w:rsidRPr="0029333D">
        <w:rPr>
          <w:b/>
          <w:bCs/>
        </w:rPr>
        <w:t>anagement</w:t>
      </w:r>
      <w:r w:rsidRPr="0029333D">
        <w:rPr>
          <w:b/>
          <w:bCs/>
        </w:rPr>
        <w:t xml:space="preserve"> Removal Adjustment (page 4.6)</w:t>
      </w:r>
      <w:r w:rsidRPr="0029333D">
        <w:t>—</w:t>
      </w:r>
      <w:r w:rsidRPr="0029333D">
        <w:rPr>
          <w:bCs/>
        </w:rPr>
        <w:t xml:space="preserve">This restating adjustment removes per books demand-side management expenses from regulated results since they are recovered through a separate tariff rider (Schedule 191—System Benefits Charge Adjustment).  Corresponding </w:t>
      </w:r>
      <w:r w:rsidR="004755D6" w:rsidRPr="0029333D">
        <w:rPr>
          <w:bCs/>
        </w:rPr>
        <w:t>demand-side management</w:t>
      </w:r>
      <w:r w:rsidRPr="0029333D">
        <w:rPr>
          <w:bCs/>
        </w:rPr>
        <w:t xml:space="preserve"> revenues are removed in revenue adjustment 3.2.  </w:t>
      </w:r>
      <w:r w:rsidR="00294447">
        <w:rPr>
          <w:bCs/>
        </w:rPr>
        <w:t>T</w:t>
      </w:r>
      <w:r w:rsidRPr="0029333D">
        <w:rPr>
          <w:bCs/>
        </w:rPr>
        <w:t xml:space="preserve">he associated tax balances are removed through the Washington Flow-Through Adjustment in tab 7. </w:t>
      </w:r>
    </w:p>
    <w:p w:rsidR="00692846" w:rsidRPr="0029333D" w:rsidRDefault="00692846" w:rsidP="00692846">
      <w:pPr>
        <w:autoSpaceDE w:val="0"/>
        <w:autoSpaceDN w:val="0"/>
        <w:adjustRightInd w:val="0"/>
        <w:spacing w:line="480" w:lineRule="auto"/>
        <w:ind w:left="720"/>
        <w:jc w:val="left"/>
      </w:pPr>
      <w:r w:rsidRPr="0029333D">
        <w:rPr>
          <w:b/>
        </w:rPr>
        <w:t>Insurance Expense Adjustment (page 4.7)</w:t>
      </w:r>
      <w:r w:rsidRPr="0029333D">
        <w:t xml:space="preserve">—Consistent with </w:t>
      </w:r>
      <w:r w:rsidR="00294447">
        <w:t>previous</w:t>
      </w:r>
      <w:r w:rsidRPr="0029333D">
        <w:t xml:space="preserve"> Washington rate cases, the Company has replaced the base period liability and property damage </w:t>
      </w:r>
      <w:r w:rsidRPr="0029333D">
        <w:lastRenderedPageBreak/>
        <w:t>expense with a rolling six-year average of damage expenses.  Per Order 08 of the 2014 Rate Case, this restating adjustment also excludes expense accruals for three relevant events.</w:t>
      </w:r>
      <w:r w:rsidRPr="0029333D">
        <w:rPr>
          <w:rStyle w:val="FootnoteReference"/>
        </w:rPr>
        <w:footnoteReference w:id="14"/>
      </w:r>
    </w:p>
    <w:p w:rsidR="00692846" w:rsidRPr="0029333D" w:rsidRDefault="00692846" w:rsidP="00692846">
      <w:pPr>
        <w:pStyle w:val="Answer"/>
        <w:ind w:firstLine="0"/>
        <w:jc w:val="left"/>
        <w:rPr>
          <w:szCs w:val="24"/>
        </w:rPr>
      </w:pPr>
      <w:r w:rsidRPr="0029333D">
        <w:rPr>
          <w:b/>
          <w:szCs w:val="24"/>
        </w:rPr>
        <w:t>Advertising Adjustment (page 4.8) and Memberships and Subscriptions Adjustment (page 4.9)</w:t>
      </w:r>
      <w:r w:rsidRPr="0029333D">
        <w:rPr>
          <w:szCs w:val="24"/>
        </w:rPr>
        <w:t xml:space="preserve">— Consistent with recent cases, the Company includes these restating adjustments </w:t>
      </w:r>
      <w:r w:rsidR="00294447">
        <w:rPr>
          <w:szCs w:val="24"/>
        </w:rPr>
        <w:t>to</w:t>
      </w:r>
      <w:r w:rsidRPr="0029333D">
        <w:rPr>
          <w:szCs w:val="24"/>
        </w:rPr>
        <w:t xml:space="preserve"> situs assign advertising and membership costs that were booked on a system-allocated basis </w:t>
      </w:r>
      <w:r w:rsidR="00294447">
        <w:rPr>
          <w:szCs w:val="24"/>
        </w:rPr>
        <w:t>to the extent</w:t>
      </w:r>
      <w:r w:rsidRPr="0029333D">
        <w:rPr>
          <w:szCs w:val="24"/>
        </w:rPr>
        <w:t xml:space="preserve"> they can be attributed to a specific jurisdiction.</w:t>
      </w:r>
    </w:p>
    <w:p w:rsidR="00692846" w:rsidRPr="0029333D" w:rsidRDefault="00692846" w:rsidP="00692846">
      <w:pPr>
        <w:pStyle w:val="Answer"/>
        <w:widowControl w:val="0"/>
        <w:jc w:val="left"/>
        <w:rPr>
          <w:szCs w:val="24"/>
        </w:rPr>
      </w:pPr>
      <w:r w:rsidRPr="0029333D">
        <w:rPr>
          <w:szCs w:val="24"/>
        </w:rPr>
        <w:tab/>
      </w:r>
      <w:r w:rsidRPr="0029333D">
        <w:rPr>
          <w:b/>
          <w:szCs w:val="24"/>
        </w:rPr>
        <w:t>Revenue-Sensitive/Uncollectible Expense (page 4.10)</w:t>
      </w:r>
      <w:r w:rsidRPr="0029333D">
        <w:rPr>
          <w:szCs w:val="24"/>
        </w:rPr>
        <w:t xml:space="preserve">—This restating adjustment </w:t>
      </w:r>
      <w:r w:rsidR="00294447">
        <w:rPr>
          <w:szCs w:val="24"/>
        </w:rPr>
        <w:t>normalizes</w:t>
      </w:r>
      <w:r w:rsidRPr="0029333D">
        <w:rPr>
          <w:szCs w:val="24"/>
        </w:rPr>
        <w:t xml:space="preserve"> the Company’s per books June 2015 uncollectible expense to a four-year average by applying the </w:t>
      </w:r>
      <w:r w:rsidR="00294447">
        <w:rPr>
          <w:szCs w:val="24"/>
        </w:rPr>
        <w:t>four-year average</w:t>
      </w:r>
      <w:r w:rsidRPr="0029333D">
        <w:rPr>
          <w:szCs w:val="24"/>
        </w:rPr>
        <w:t xml:space="preserve"> uncollectible rate to the normalized level of Washington general business revenues.  </w:t>
      </w:r>
      <w:r w:rsidR="00294447">
        <w:rPr>
          <w:szCs w:val="24"/>
        </w:rPr>
        <w:t>The use of the four-year average uncollectible rate was agreed to by the Company in its rebuttal testimony in the 2013 Rate Case and included in the final revenue requirement calculations approved by the Commission in both the 2013 Rate Case and 2014 Rate Case.</w:t>
      </w:r>
      <w:r w:rsidRPr="0029333D">
        <w:rPr>
          <w:szCs w:val="24"/>
        </w:rPr>
        <w:t xml:space="preserve">  </w:t>
      </w:r>
    </w:p>
    <w:p w:rsidR="00692846" w:rsidRPr="00E06DB6" w:rsidRDefault="00692846" w:rsidP="00E06DB6">
      <w:pPr>
        <w:pStyle w:val="Heading2"/>
      </w:pPr>
      <w:bookmarkStart w:id="11" w:name="_Toc436114848"/>
      <w:r w:rsidRPr="00E06DB6">
        <w:t>Tab 5—Net Power Cost Adjustments</w:t>
      </w:r>
      <w:bookmarkEnd w:id="11"/>
    </w:p>
    <w:p w:rsidR="00692846" w:rsidRPr="0029333D" w:rsidRDefault="00692846" w:rsidP="00692846">
      <w:pPr>
        <w:pStyle w:val="Question"/>
        <w:widowControl w:val="0"/>
        <w:jc w:val="left"/>
        <w:rPr>
          <w:szCs w:val="24"/>
        </w:rPr>
      </w:pPr>
      <w:r w:rsidRPr="0029333D">
        <w:rPr>
          <w:szCs w:val="24"/>
        </w:rPr>
        <w:t>Q.</w:t>
      </w:r>
      <w:r w:rsidRPr="0029333D">
        <w:rPr>
          <w:szCs w:val="24"/>
        </w:rPr>
        <w:tab/>
        <w:t>Please describe the adjustments included in Tab 5.</w:t>
      </w:r>
    </w:p>
    <w:p w:rsidR="00692846" w:rsidRPr="0029333D" w:rsidRDefault="00692846" w:rsidP="00692846">
      <w:pPr>
        <w:pStyle w:val="Question"/>
        <w:widowControl w:val="0"/>
        <w:jc w:val="left"/>
        <w:rPr>
          <w:szCs w:val="24"/>
        </w:rPr>
      </w:pPr>
      <w:r w:rsidRPr="0029333D">
        <w:rPr>
          <w:b w:val="0"/>
          <w:szCs w:val="24"/>
        </w:rPr>
        <w:t>A.</w:t>
      </w:r>
      <w:r w:rsidRPr="0029333D">
        <w:rPr>
          <w:szCs w:val="24"/>
        </w:rPr>
        <w:tab/>
        <w:t xml:space="preserve">Net Power Costs Removal (page 5.1)— </w:t>
      </w:r>
      <w:r w:rsidRPr="0029333D">
        <w:rPr>
          <w:b w:val="0"/>
          <w:szCs w:val="24"/>
        </w:rPr>
        <w:t>The net power cost adjustment removes power costs expenses from base period results by removing sales for resale, purchase power, wheeling, and fuel expenses, for the WCA (see page 5.1.2).  Details of Washington-allocated NPC can be found on page 5.1.1.  Correspondingly, retail revenues collected for NPC ha</w:t>
      </w:r>
      <w:r w:rsidR="00D70D4C" w:rsidRPr="0029333D">
        <w:rPr>
          <w:b w:val="0"/>
          <w:szCs w:val="24"/>
        </w:rPr>
        <w:t>ve</w:t>
      </w:r>
      <w:r w:rsidRPr="0029333D">
        <w:rPr>
          <w:b w:val="0"/>
          <w:szCs w:val="24"/>
        </w:rPr>
        <w:t xml:space="preserve"> also been removed from results.  Support pages 5.1.3 and 5.1.4 details the calculation of NPC recovery in rates for the base period.</w:t>
      </w:r>
    </w:p>
    <w:p w:rsidR="00692846" w:rsidRPr="0029333D" w:rsidRDefault="00692846" w:rsidP="00692846">
      <w:pPr>
        <w:pStyle w:val="Answer"/>
        <w:ind w:firstLine="0"/>
        <w:jc w:val="left"/>
        <w:rPr>
          <w:szCs w:val="24"/>
        </w:rPr>
      </w:pPr>
      <w:r w:rsidRPr="0029333D">
        <w:rPr>
          <w:b/>
          <w:szCs w:val="24"/>
        </w:rPr>
        <w:lastRenderedPageBreak/>
        <w:t>Colstrip Unit 3 Removal (page 5.2)</w:t>
      </w:r>
      <w:r w:rsidRPr="0029333D">
        <w:rPr>
          <w:szCs w:val="24"/>
        </w:rPr>
        <w:t>—As directed by the Commission in Cause U-83-57</w:t>
      </w:r>
      <w:r w:rsidRPr="0029333D">
        <w:rPr>
          <w:rStyle w:val="FootnoteReference"/>
          <w:szCs w:val="24"/>
        </w:rPr>
        <w:footnoteReference w:id="15"/>
      </w:r>
      <w:r w:rsidRPr="0029333D">
        <w:rPr>
          <w:szCs w:val="24"/>
        </w:rPr>
        <w:t>, this restating adjustment removes the revenue requirement components of the Colstrip Unit 3 resource from the Test Period.</w:t>
      </w:r>
    </w:p>
    <w:p w:rsidR="00692846" w:rsidRPr="00E06DB6" w:rsidRDefault="00692846" w:rsidP="00E06DB6">
      <w:pPr>
        <w:pStyle w:val="Heading2"/>
      </w:pPr>
      <w:bookmarkStart w:id="12" w:name="_Toc436114849"/>
      <w:r w:rsidRPr="00E06DB6">
        <w:t>Tab 6—Depreciation and Amortization Adjustments</w:t>
      </w:r>
      <w:bookmarkEnd w:id="12"/>
    </w:p>
    <w:p w:rsidR="00692846" w:rsidRPr="0029333D" w:rsidRDefault="00692846" w:rsidP="00692846">
      <w:pPr>
        <w:pStyle w:val="Question"/>
        <w:keepNext/>
        <w:widowControl w:val="0"/>
        <w:jc w:val="left"/>
        <w:rPr>
          <w:szCs w:val="24"/>
        </w:rPr>
      </w:pPr>
      <w:r w:rsidRPr="0029333D">
        <w:rPr>
          <w:szCs w:val="24"/>
        </w:rPr>
        <w:t>Q.</w:t>
      </w:r>
      <w:r w:rsidRPr="0029333D">
        <w:rPr>
          <w:szCs w:val="24"/>
        </w:rPr>
        <w:tab/>
        <w:t>Please describe the adjustments included in Tab 6.</w:t>
      </w:r>
    </w:p>
    <w:p w:rsidR="00692846" w:rsidRPr="0029333D" w:rsidRDefault="00692846" w:rsidP="00692846">
      <w:pPr>
        <w:pStyle w:val="Answer"/>
        <w:jc w:val="left"/>
        <w:rPr>
          <w:szCs w:val="24"/>
        </w:rPr>
      </w:pPr>
      <w:r w:rsidRPr="0029333D">
        <w:rPr>
          <w:szCs w:val="24"/>
        </w:rPr>
        <w:t>A.</w:t>
      </w:r>
      <w:r w:rsidRPr="0029333D">
        <w:rPr>
          <w:szCs w:val="24"/>
        </w:rPr>
        <w:tab/>
      </w:r>
      <w:r w:rsidRPr="0029333D">
        <w:rPr>
          <w:b/>
          <w:szCs w:val="24"/>
        </w:rPr>
        <w:t>End-of-Period Plant Reserves (page 6.1-6.1.3)</w:t>
      </w:r>
      <w:r w:rsidRPr="0029333D">
        <w:rPr>
          <w:szCs w:val="24"/>
        </w:rPr>
        <w:t>—</w:t>
      </w:r>
      <w:r w:rsidR="00D70D4C" w:rsidRPr="0029333D">
        <w:rPr>
          <w:szCs w:val="24"/>
        </w:rPr>
        <w:t>As discussed above, t</w:t>
      </w:r>
      <w:r w:rsidRPr="0029333D">
        <w:rPr>
          <w:szCs w:val="24"/>
        </w:rPr>
        <w:t xml:space="preserve">his restating adjustment walks the depreciation and amortization reserve from the June 2015 AMA balance to the June 30, 2015 </w:t>
      </w:r>
      <w:r w:rsidR="001B51AA">
        <w:rPr>
          <w:szCs w:val="24"/>
        </w:rPr>
        <w:t>EOP</w:t>
      </w:r>
      <w:r w:rsidRPr="0029333D">
        <w:rPr>
          <w:szCs w:val="24"/>
        </w:rPr>
        <w:t xml:space="preserve"> balance.</w:t>
      </w:r>
    </w:p>
    <w:p w:rsidR="00692846" w:rsidRPr="0029333D" w:rsidRDefault="00692846" w:rsidP="001B51AA">
      <w:pPr>
        <w:pStyle w:val="Answer"/>
        <w:jc w:val="left"/>
        <w:rPr>
          <w:szCs w:val="24"/>
        </w:rPr>
      </w:pPr>
      <w:r w:rsidRPr="0029333D">
        <w:rPr>
          <w:szCs w:val="24"/>
        </w:rPr>
        <w:tab/>
      </w:r>
      <w:r w:rsidRPr="0029333D">
        <w:rPr>
          <w:b/>
          <w:szCs w:val="24"/>
        </w:rPr>
        <w:t>Annualization of Base Period</w:t>
      </w:r>
      <w:r w:rsidRPr="0029333D">
        <w:rPr>
          <w:szCs w:val="24"/>
        </w:rPr>
        <w:t xml:space="preserve"> </w:t>
      </w:r>
      <w:r w:rsidRPr="0029333D">
        <w:rPr>
          <w:b/>
          <w:szCs w:val="24"/>
        </w:rPr>
        <w:t>Depreciation &amp; Amortization Expense (page 6.2-6.2.3)</w:t>
      </w:r>
      <w:r w:rsidRPr="0029333D">
        <w:rPr>
          <w:szCs w:val="24"/>
        </w:rPr>
        <w:t xml:space="preserve">—This </w:t>
      </w:r>
      <w:r w:rsidR="001B51AA">
        <w:rPr>
          <w:szCs w:val="24"/>
        </w:rPr>
        <w:t>adjustment annualizes depreciation expense associated with the EOP plant balances in adjustment 8.11 and reflects the corresponding tax impacts.</w:t>
      </w:r>
      <w:r w:rsidRPr="0029333D">
        <w:rPr>
          <w:szCs w:val="24"/>
        </w:rPr>
        <w:t xml:space="preserve">  </w:t>
      </w:r>
    </w:p>
    <w:p w:rsidR="00692846" w:rsidRPr="0029333D" w:rsidRDefault="00692846" w:rsidP="00692846">
      <w:pPr>
        <w:pStyle w:val="Answer"/>
        <w:ind w:firstLine="0"/>
        <w:jc w:val="left"/>
        <w:rPr>
          <w:szCs w:val="24"/>
        </w:rPr>
      </w:pPr>
      <w:r w:rsidRPr="0029333D">
        <w:rPr>
          <w:b/>
          <w:szCs w:val="24"/>
        </w:rPr>
        <w:t>Hydro Decommissioning (page 6.3)</w:t>
      </w:r>
      <w:r w:rsidRPr="0029333D">
        <w:rPr>
          <w:szCs w:val="24"/>
        </w:rPr>
        <w:t>—Based on the Company’s depreciation study</w:t>
      </w:r>
      <w:r w:rsidR="00104E24">
        <w:rPr>
          <w:szCs w:val="24"/>
        </w:rPr>
        <w:t xml:space="preserve"> approved by the Commission in D</w:t>
      </w:r>
      <w:r w:rsidRPr="0029333D">
        <w:rPr>
          <w:szCs w:val="24"/>
        </w:rPr>
        <w:t>ocket UE-071795</w:t>
      </w:r>
      <w:r w:rsidR="004755D6" w:rsidRPr="0029333D">
        <w:rPr>
          <w:szCs w:val="24"/>
        </w:rPr>
        <w:t>,</w:t>
      </w:r>
      <w:r w:rsidRPr="0029333D">
        <w:rPr>
          <w:szCs w:val="24"/>
        </w:rPr>
        <w:t xml:space="preserve"> an additional $19.4 million is required for the decommissioning of various hydro facilities.</w:t>
      </w:r>
      <w:r w:rsidR="004755D6" w:rsidRPr="0029333D">
        <w:rPr>
          <w:rStyle w:val="FootnoteReference"/>
          <w:szCs w:val="24"/>
        </w:rPr>
        <w:footnoteReference w:id="16"/>
      </w:r>
      <w:r w:rsidRPr="0029333D">
        <w:rPr>
          <w:szCs w:val="24"/>
        </w:rPr>
        <w:t xml:space="preserve">  This restating adjustment walks forward the accruals for decommissioning expenditures to balances as of June 30, 2015.  The reserve does not include funds for Powerdale, which was reclassified to unrecovered plant.  </w:t>
      </w:r>
    </w:p>
    <w:p w:rsidR="00692846" w:rsidRPr="0029333D" w:rsidRDefault="00692846" w:rsidP="00692846">
      <w:pPr>
        <w:pStyle w:val="Question"/>
        <w:widowControl w:val="0"/>
        <w:ind w:left="810" w:hanging="810"/>
        <w:jc w:val="left"/>
        <w:rPr>
          <w:szCs w:val="24"/>
        </w:rPr>
      </w:pPr>
      <w:r w:rsidRPr="0029333D">
        <w:rPr>
          <w:szCs w:val="24"/>
        </w:rPr>
        <w:t>Q.</w:t>
      </w:r>
      <w:r w:rsidRPr="0029333D">
        <w:rPr>
          <w:szCs w:val="24"/>
        </w:rPr>
        <w:tab/>
        <w:t>Please describe the Accelerated Depreciation on Jim Bridger &amp; Colstrip adjustment on page 6.4.</w:t>
      </w:r>
    </w:p>
    <w:p w:rsidR="00692846" w:rsidRPr="0029333D" w:rsidRDefault="00692846" w:rsidP="00692846">
      <w:pPr>
        <w:pStyle w:val="Answer"/>
        <w:ind w:left="810" w:hanging="810"/>
        <w:jc w:val="left"/>
        <w:rPr>
          <w:szCs w:val="24"/>
        </w:rPr>
      </w:pPr>
      <w:r w:rsidRPr="0029333D">
        <w:rPr>
          <w:szCs w:val="24"/>
        </w:rPr>
        <w:t>A.</w:t>
      </w:r>
      <w:r w:rsidRPr="0029333D">
        <w:rPr>
          <w:b/>
          <w:szCs w:val="24"/>
        </w:rPr>
        <w:tab/>
      </w:r>
      <w:r w:rsidRPr="0029333D">
        <w:rPr>
          <w:szCs w:val="24"/>
        </w:rPr>
        <w:t xml:space="preserve">Consistent with the proposal to accelerate the depreciation schedule on coal-fired generation facilities serving Washington within the </w:t>
      </w:r>
      <w:r w:rsidR="00D70D4C" w:rsidRPr="0029333D">
        <w:rPr>
          <w:szCs w:val="24"/>
        </w:rPr>
        <w:t>west control area</w:t>
      </w:r>
      <w:r w:rsidRPr="0029333D">
        <w:rPr>
          <w:szCs w:val="24"/>
        </w:rPr>
        <w:t xml:space="preserve"> explained in </w:t>
      </w:r>
      <w:r w:rsidRPr="0029333D">
        <w:rPr>
          <w:szCs w:val="24"/>
        </w:rPr>
        <w:lastRenderedPageBreak/>
        <w:t xml:space="preserve">the direct testimony of Mr. Dalley, this pro forma adjustment </w:t>
      </w:r>
      <w:r w:rsidR="00D70D4C" w:rsidRPr="0029333D">
        <w:rPr>
          <w:szCs w:val="24"/>
        </w:rPr>
        <w:t>reflects</w:t>
      </w:r>
      <w:r w:rsidRPr="0029333D">
        <w:rPr>
          <w:szCs w:val="24"/>
        </w:rPr>
        <w:t xml:space="preserve"> the incremental depreciation expense of using accelerated accrual rates </w:t>
      </w:r>
      <w:r w:rsidR="00D70D4C" w:rsidRPr="0029333D">
        <w:rPr>
          <w:szCs w:val="24"/>
        </w:rPr>
        <w:t xml:space="preserve">for the Jim Bridger and Colstrip plants.  The revised end of life for depreciation purposes in this filing is </w:t>
      </w:r>
      <w:r w:rsidRPr="0029333D">
        <w:rPr>
          <w:szCs w:val="24"/>
        </w:rPr>
        <w:t>2025</w:t>
      </w:r>
      <w:r w:rsidR="00D70D4C" w:rsidRPr="0029333D">
        <w:rPr>
          <w:szCs w:val="24"/>
        </w:rPr>
        <w:t xml:space="preserve"> for the Jim Bridger plant</w:t>
      </w:r>
      <w:r w:rsidRPr="0029333D">
        <w:rPr>
          <w:szCs w:val="24"/>
        </w:rPr>
        <w:t xml:space="preserve"> and 2032</w:t>
      </w:r>
      <w:r w:rsidR="00D70D4C" w:rsidRPr="0029333D">
        <w:rPr>
          <w:szCs w:val="24"/>
        </w:rPr>
        <w:t xml:space="preserve"> for Colstrip Unit 4.  This change</w:t>
      </w:r>
      <w:r w:rsidRPr="0029333D">
        <w:rPr>
          <w:szCs w:val="24"/>
        </w:rPr>
        <w:t xml:space="preserve"> align</w:t>
      </w:r>
      <w:r w:rsidR="00D70D4C" w:rsidRPr="0029333D">
        <w:rPr>
          <w:szCs w:val="24"/>
        </w:rPr>
        <w:t>s</w:t>
      </w:r>
      <w:r w:rsidRPr="0029333D">
        <w:rPr>
          <w:szCs w:val="24"/>
        </w:rPr>
        <w:t xml:space="preserve"> </w:t>
      </w:r>
      <w:r w:rsidR="00D70D4C" w:rsidRPr="0029333D">
        <w:rPr>
          <w:szCs w:val="24"/>
        </w:rPr>
        <w:t>depreciable</w:t>
      </w:r>
      <w:r w:rsidRPr="0029333D">
        <w:rPr>
          <w:szCs w:val="24"/>
        </w:rPr>
        <w:t xml:space="preserve"> lives of these assets in Washington with those in Oregon.  Colstrip Unit 3 has been excluded from the calculation of incremental expenses and reserves</w:t>
      </w:r>
      <w:r w:rsidR="00D70D4C" w:rsidRPr="0029333D">
        <w:rPr>
          <w:szCs w:val="24"/>
        </w:rPr>
        <w:t xml:space="preserve"> because this resource is not included in Washington rates</w:t>
      </w:r>
      <w:r w:rsidRPr="0029333D">
        <w:rPr>
          <w:szCs w:val="24"/>
        </w:rPr>
        <w:t>.  Incremental reserves are reflected on an average basis.  Tax impacts are also included accordingly.</w:t>
      </w:r>
    </w:p>
    <w:p w:rsidR="00692846" w:rsidRPr="00E06DB6" w:rsidRDefault="00692846" w:rsidP="00E06DB6">
      <w:pPr>
        <w:pStyle w:val="Heading2"/>
      </w:pPr>
      <w:bookmarkStart w:id="13" w:name="_Toc436114850"/>
      <w:r w:rsidRPr="00E06DB6">
        <w:t>Tab 7—Tax Adjustments</w:t>
      </w:r>
      <w:bookmarkEnd w:id="13"/>
    </w:p>
    <w:p w:rsidR="00692846" w:rsidRPr="0029333D" w:rsidRDefault="00692846" w:rsidP="00692846">
      <w:pPr>
        <w:pStyle w:val="Answer"/>
        <w:jc w:val="left"/>
        <w:rPr>
          <w:b/>
          <w:szCs w:val="24"/>
        </w:rPr>
      </w:pPr>
      <w:r w:rsidRPr="0029333D">
        <w:rPr>
          <w:b/>
          <w:szCs w:val="24"/>
        </w:rPr>
        <w:t>Q.</w:t>
      </w:r>
      <w:r w:rsidRPr="0029333D">
        <w:rPr>
          <w:b/>
          <w:szCs w:val="24"/>
        </w:rPr>
        <w:tab/>
        <w:t>Please describe how state income tax expense is treated in this filing.</w:t>
      </w:r>
    </w:p>
    <w:p w:rsidR="00692846" w:rsidRPr="0029333D" w:rsidRDefault="00692846" w:rsidP="00692846">
      <w:pPr>
        <w:pStyle w:val="Answer"/>
        <w:jc w:val="left"/>
        <w:rPr>
          <w:szCs w:val="24"/>
        </w:rPr>
      </w:pPr>
      <w:r w:rsidRPr="0029333D">
        <w:rPr>
          <w:szCs w:val="24"/>
        </w:rPr>
        <w:t>A.</w:t>
      </w:r>
      <w:r w:rsidRPr="0029333D">
        <w:rPr>
          <w:szCs w:val="24"/>
        </w:rPr>
        <w:tab/>
        <w:t>No state income tax expense is included in the calculation of Washington’s revenue requirement.  Under the WCA, state income taxes are situs assigned based on each state’s statutory tax rate.  Because Washington has no state income tax, no state income tax expense is included in this filing.</w:t>
      </w:r>
    </w:p>
    <w:p w:rsidR="00692846" w:rsidRPr="0029333D" w:rsidRDefault="00692846" w:rsidP="00692846">
      <w:pPr>
        <w:pStyle w:val="Answer"/>
        <w:jc w:val="left"/>
        <w:rPr>
          <w:b/>
          <w:szCs w:val="24"/>
        </w:rPr>
      </w:pPr>
      <w:r w:rsidRPr="0029333D">
        <w:rPr>
          <w:b/>
          <w:szCs w:val="24"/>
        </w:rPr>
        <w:t>Q.</w:t>
      </w:r>
      <w:r w:rsidRPr="0029333D">
        <w:rPr>
          <w:b/>
          <w:szCs w:val="24"/>
        </w:rPr>
        <w:tab/>
        <w:t>How has federal income tax expense been calculated?</w:t>
      </w:r>
    </w:p>
    <w:p w:rsidR="00692846" w:rsidRDefault="00692846" w:rsidP="00692846">
      <w:pPr>
        <w:pStyle w:val="Answer"/>
        <w:jc w:val="left"/>
        <w:rPr>
          <w:szCs w:val="24"/>
        </w:rPr>
      </w:pPr>
      <w:r w:rsidRPr="0029333D">
        <w:rPr>
          <w:szCs w:val="24"/>
        </w:rPr>
        <w:t>A.</w:t>
      </w:r>
      <w:r w:rsidRPr="0029333D">
        <w:rPr>
          <w:szCs w:val="24"/>
        </w:rPr>
        <w:tab/>
        <w:t>Federal income tax expense for ratemaking is calculated using the same methodology that the Company uses in preparing its filed income tax returns.  The detail supporting this calculation is summarized on</w:t>
      </w:r>
      <w:r w:rsidRPr="0029333D">
        <w:rPr>
          <w:b/>
          <w:szCs w:val="24"/>
        </w:rPr>
        <w:t xml:space="preserve"> </w:t>
      </w:r>
      <w:r w:rsidRPr="0029333D">
        <w:rPr>
          <w:szCs w:val="24"/>
        </w:rPr>
        <w:t>page 2.22 of the Report.</w:t>
      </w:r>
    </w:p>
    <w:p w:rsidR="00E06DB6" w:rsidRPr="0029333D" w:rsidRDefault="00E06DB6" w:rsidP="00E06DB6">
      <w:pPr>
        <w:pStyle w:val="Answer"/>
        <w:suppressLineNumbers/>
        <w:jc w:val="left"/>
        <w:rPr>
          <w:szCs w:val="24"/>
        </w:rPr>
      </w:pPr>
    </w:p>
    <w:p w:rsidR="00692846" w:rsidRPr="0029333D" w:rsidRDefault="00692846" w:rsidP="00692846">
      <w:pPr>
        <w:pStyle w:val="Answer"/>
        <w:jc w:val="left"/>
        <w:rPr>
          <w:b/>
          <w:szCs w:val="24"/>
        </w:rPr>
      </w:pPr>
      <w:r w:rsidRPr="0029333D">
        <w:rPr>
          <w:b/>
          <w:szCs w:val="24"/>
        </w:rPr>
        <w:t>Q.</w:t>
      </w:r>
      <w:r w:rsidRPr="0029333D">
        <w:rPr>
          <w:b/>
          <w:szCs w:val="24"/>
        </w:rPr>
        <w:tab/>
        <w:t>Please describe the adjustments included in Tab 7.</w:t>
      </w:r>
    </w:p>
    <w:p w:rsidR="00692846" w:rsidRPr="0029333D" w:rsidRDefault="00692846" w:rsidP="00692846">
      <w:pPr>
        <w:pStyle w:val="Answer"/>
        <w:jc w:val="left"/>
        <w:rPr>
          <w:szCs w:val="24"/>
        </w:rPr>
      </w:pPr>
      <w:r w:rsidRPr="0029333D">
        <w:rPr>
          <w:szCs w:val="24"/>
        </w:rPr>
        <w:t>A.</w:t>
      </w:r>
      <w:r w:rsidRPr="0029333D">
        <w:rPr>
          <w:b/>
          <w:szCs w:val="24"/>
        </w:rPr>
        <w:tab/>
        <w:t>Interest True-Up (page 7.1)</w:t>
      </w:r>
      <w:r w:rsidRPr="0029333D">
        <w:rPr>
          <w:szCs w:val="24"/>
        </w:rPr>
        <w:t xml:space="preserve">—This restating and pro forma adjustment details the adjustment to interest expense required to synchronize the Test Period interest expense with rate base.  This is done by multiplying Washington net rate base by the </w:t>
      </w:r>
      <w:r w:rsidR="001B51AA">
        <w:rPr>
          <w:szCs w:val="24"/>
        </w:rPr>
        <w:lastRenderedPageBreak/>
        <w:t>Commission-approved weighted cost of debt</w:t>
      </w:r>
      <w:r w:rsidRPr="0029333D">
        <w:rPr>
          <w:szCs w:val="24"/>
        </w:rPr>
        <w:t>.  This adjustment is calculated in two parts.  First, the interest expense is calculated for all of the restating adjustments included in this filing.  Second, the interest expense is calculated for all of the adjustments included in the filing, including those that are pro forma in nature.</w:t>
      </w:r>
    </w:p>
    <w:p w:rsidR="00692846" w:rsidRPr="0029333D" w:rsidRDefault="00692846" w:rsidP="00692846">
      <w:pPr>
        <w:pStyle w:val="Answer"/>
        <w:ind w:firstLine="0"/>
        <w:jc w:val="left"/>
        <w:rPr>
          <w:b/>
          <w:szCs w:val="24"/>
        </w:rPr>
      </w:pPr>
      <w:r w:rsidRPr="0029333D">
        <w:rPr>
          <w:b/>
          <w:szCs w:val="24"/>
        </w:rPr>
        <w:t>Property Tax Expense (page 7.2)</w:t>
      </w:r>
      <w:r w:rsidRPr="0029333D">
        <w:rPr>
          <w:szCs w:val="24"/>
        </w:rPr>
        <w:t>—This restating adjustment normalizes the difference between per books accrued property tax expense for the base period 12</w:t>
      </w:r>
      <w:r w:rsidR="004755D6" w:rsidRPr="0029333D">
        <w:rPr>
          <w:szCs w:val="24"/>
        </w:rPr>
        <w:t> </w:t>
      </w:r>
      <w:r w:rsidRPr="0029333D">
        <w:rPr>
          <w:szCs w:val="24"/>
        </w:rPr>
        <w:t>months ended June 2015 and the property tax expense for the 12 months ending October 31, 2015</w:t>
      </w:r>
      <w:r w:rsidR="00B04609" w:rsidRPr="0029333D">
        <w:rPr>
          <w:szCs w:val="24"/>
        </w:rPr>
        <w:t>,</w:t>
      </w:r>
      <w:r w:rsidRPr="0029333D">
        <w:rPr>
          <w:szCs w:val="24"/>
        </w:rPr>
        <w:t xml:space="preserve"> per the accounting records of the Company.</w:t>
      </w:r>
    </w:p>
    <w:p w:rsidR="00692846" w:rsidRPr="0029333D" w:rsidRDefault="0092496B" w:rsidP="00692846">
      <w:pPr>
        <w:pStyle w:val="Answer"/>
        <w:widowControl w:val="0"/>
        <w:ind w:firstLine="0"/>
        <w:jc w:val="left"/>
        <w:rPr>
          <w:szCs w:val="24"/>
        </w:rPr>
      </w:pPr>
      <w:r w:rsidRPr="0029333D">
        <w:rPr>
          <w:b/>
          <w:szCs w:val="24"/>
        </w:rPr>
        <w:t>Production</w:t>
      </w:r>
      <w:r w:rsidR="00692846" w:rsidRPr="0029333D">
        <w:rPr>
          <w:b/>
          <w:szCs w:val="24"/>
        </w:rPr>
        <w:t xml:space="preserve"> Tax Credit </w:t>
      </w:r>
      <w:r w:rsidR="00E41541">
        <w:rPr>
          <w:b/>
          <w:szCs w:val="24"/>
        </w:rPr>
        <w:t xml:space="preserve">(PTC) </w:t>
      </w:r>
      <w:r w:rsidR="00692846" w:rsidRPr="0029333D">
        <w:rPr>
          <w:b/>
          <w:szCs w:val="24"/>
        </w:rPr>
        <w:t>(page 7.3)</w:t>
      </w:r>
      <w:r w:rsidR="00692846" w:rsidRPr="0029333D">
        <w:rPr>
          <w:szCs w:val="24"/>
        </w:rPr>
        <w:t xml:space="preserve">—The Company is entitled to recognize a federal income tax credit as a result of placing renewable generating plants in service.  The tax credit is based on the kilowatt-hours generated by a qualified facility during the facility’s first ten years of service.  The credits are </w:t>
      </w:r>
      <w:r w:rsidR="004755D6" w:rsidRPr="0029333D">
        <w:rPr>
          <w:szCs w:val="24"/>
        </w:rPr>
        <w:t>used</w:t>
      </w:r>
      <w:r w:rsidR="00692846" w:rsidRPr="0029333D">
        <w:rPr>
          <w:szCs w:val="24"/>
        </w:rPr>
        <w:t xml:space="preserve"> in the year of production to the extent current federal income taxes are due, or, should the credits not be fully </w:t>
      </w:r>
      <w:r w:rsidR="004755D6" w:rsidRPr="0029333D">
        <w:rPr>
          <w:szCs w:val="24"/>
        </w:rPr>
        <w:t>used</w:t>
      </w:r>
      <w:r w:rsidR="00692846" w:rsidRPr="0029333D">
        <w:rPr>
          <w:szCs w:val="24"/>
        </w:rPr>
        <w:t xml:space="preserve"> in the year they are generated, they are carried back one year and forward 20 years to offset taxes in those years.  This restating and pro forma adjustment reflects this credit based on the qualifying production.</w:t>
      </w:r>
    </w:p>
    <w:p w:rsidR="00E06DB6" w:rsidRDefault="00692846" w:rsidP="00692846">
      <w:pPr>
        <w:pStyle w:val="Answer"/>
        <w:widowControl w:val="0"/>
        <w:ind w:firstLine="0"/>
        <w:jc w:val="left"/>
        <w:rPr>
          <w:szCs w:val="24"/>
        </w:rPr>
      </w:pPr>
      <w:r w:rsidRPr="0029333D">
        <w:rPr>
          <w:b/>
          <w:szCs w:val="24"/>
        </w:rPr>
        <w:t>PowerTax Accumulated Deferred Income Tax Balance Adjustment (page 7.4)</w:t>
      </w:r>
      <w:r w:rsidR="003D451E">
        <w:rPr>
          <w:szCs w:val="24"/>
        </w:rPr>
        <w:t xml:space="preserve">—This restating adjustment </w:t>
      </w:r>
      <w:r w:rsidRPr="0029333D">
        <w:rPr>
          <w:szCs w:val="24"/>
        </w:rPr>
        <w:t>reflects the Company</w:t>
      </w:r>
      <w:r w:rsidR="0092496B" w:rsidRPr="0029333D">
        <w:rPr>
          <w:szCs w:val="24"/>
        </w:rPr>
        <w:t>’</w:t>
      </w:r>
      <w:r w:rsidRPr="0029333D">
        <w:rPr>
          <w:szCs w:val="24"/>
        </w:rPr>
        <w:t xml:space="preserve">s property-related accumulated </w:t>
      </w:r>
    </w:p>
    <w:p w:rsidR="00E06DB6" w:rsidRDefault="00E06DB6" w:rsidP="00E06DB6">
      <w:pPr>
        <w:pStyle w:val="Answer"/>
        <w:suppressLineNumbers/>
        <w:ind w:firstLine="0"/>
        <w:jc w:val="left"/>
        <w:rPr>
          <w:szCs w:val="24"/>
        </w:rPr>
      </w:pPr>
    </w:p>
    <w:p w:rsidR="00692846" w:rsidRPr="0029333D" w:rsidRDefault="00692846" w:rsidP="00692846">
      <w:pPr>
        <w:pStyle w:val="Answer"/>
        <w:widowControl w:val="0"/>
        <w:ind w:firstLine="0"/>
        <w:jc w:val="left"/>
        <w:rPr>
          <w:szCs w:val="24"/>
        </w:rPr>
      </w:pPr>
      <w:r w:rsidRPr="0029333D">
        <w:rPr>
          <w:szCs w:val="24"/>
        </w:rPr>
        <w:t>deferred income tax balances on a jurisdictional basis using results from the Company's tax fixed asset system, PowerTax.</w:t>
      </w:r>
    </w:p>
    <w:p w:rsidR="00692846" w:rsidRPr="0029333D" w:rsidRDefault="00692846" w:rsidP="00692846">
      <w:pPr>
        <w:pStyle w:val="Answer"/>
        <w:widowControl w:val="0"/>
        <w:ind w:firstLine="0"/>
        <w:jc w:val="left"/>
        <w:rPr>
          <w:szCs w:val="24"/>
        </w:rPr>
      </w:pPr>
      <w:r w:rsidRPr="0029333D">
        <w:rPr>
          <w:b/>
          <w:szCs w:val="24"/>
        </w:rPr>
        <w:t>Washington Low Income Tax Credit (page 7.5)</w:t>
      </w:r>
      <w:r w:rsidRPr="0029333D">
        <w:rPr>
          <w:szCs w:val="24"/>
        </w:rPr>
        <w:t xml:space="preserve">— This pro forma adjustment reflects the change to Public Utility Tax Credit for the Low Income Home Energy </w:t>
      </w:r>
      <w:r w:rsidRPr="0029333D">
        <w:rPr>
          <w:szCs w:val="24"/>
        </w:rPr>
        <w:lastRenderedPageBreak/>
        <w:t>Assistance Program, per a July 29, 2015 letter from the Washington Department of Revenue.</w:t>
      </w:r>
    </w:p>
    <w:p w:rsidR="00692846" w:rsidRPr="0029333D" w:rsidRDefault="00692846" w:rsidP="00692846">
      <w:pPr>
        <w:pStyle w:val="Answer"/>
        <w:widowControl w:val="0"/>
        <w:ind w:firstLine="0"/>
        <w:jc w:val="left"/>
        <w:rPr>
          <w:szCs w:val="24"/>
        </w:rPr>
      </w:pPr>
      <w:r w:rsidRPr="0029333D">
        <w:rPr>
          <w:b/>
          <w:szCs w:val="24"/>
        </w:rPr>
        <w:t>Washington Flow-Through Adjustment (page 7.6-7.6.1)</w:t>
      </w:r>
      <w:r w:rsidRPr="0029333D">
        <w:rPr>
          <w:szCs w:val="24"/>
        </w:rPr>
        <w:t>—The Company’s per books data for income taxes is reported on a tax-normalized basis.  This restating adjustment converts the per books data for income taxes from a normalized basis to a partial flow-through basis, consistent with Order 06 and Order 07</w:t>
      </w:r>
      <w:r w:rsidRPr="0029333D">
        <w:rPr>
          <w:rStyle w:val="FootnoteReference"/>
          <w:szCs w:val="24"/>
        </w:rPr>
        <w:footnoteReference w:id="17"/>
      </w:r>
      <w:r w:rsidRPr="0029333D">
        <w:rPr>
          <w:szCs w:val="24"/>
        </w:rPr>
        <w:t xml:space="preserve"> in the 2010 Rate Case.  This is accomplished by removing the deferred income tax benefits/expense and accumulated deferred income tax assets/liabilities for temporary book-tax differences that are not 1) required to be normalized by law, or 2) required to be normalized by Commission order.</w:t>
      </w:r>
    </w:p>
    <w:p w:rsidR="00692846" w:rsidRPr="0029333D" w:rsidRDefault="00692846" w:rsidP="00692846">
      <w:pPr>
        <w:pStyle w:val="Answer"/>
        <w:widowControl w:val="0"/>
        <w:ind w:firstLine="0"/>
        <w:jc w:val="left"/>
        <w:rPr>
          <w:szCs w:val="24"/>
        </w:rPr>
      </w:pPr>
      <w:r w:rsidRPr="0029333D">
        <w:rPr>
          <w:b/>
          <w:szCs w:val="24"/>
        </w:rPr>
        <w:t>Remove Deferred State Tax Expense and Balance (page 7.7)</w:t>
      </w:r>
      <w:r w:rsidRPr="0029333D">
        <w:rPr>
          <w:szCs w:val="24"/>
        </w:rPr>
        <w:t>—The Company’s per books provision for deferred income tax and the balance for accumulated deferred income tax are computed using the Company’s blended federal and state statutory tax rate.  State income taxes are a system cost for the Company that is not recoverable in Washington under the WCA.  Accordingly, after all adjustments are made to income taxes, this final adjustment is made to remove deferred state income tax expenses and balances from the Test Period.</w:t>
      </w:r>
    </w:p>
    <w:p w:rsidR="00692846" w:rsidRPr="0029333D" w:rsidRDefault="00692846" w:rsidP="00692846">
      <w:pPr>
        <w:pStyle w:val="Answer"/>
        <w:widowControl w:val="0"/>
        <w:ind w:firstLine="0"/>
        <w:jc w:val="left"/>
        <w:rPr>
          <w:szCs w:val="24"/>
        </w:rPr>
      </w:pPr>
      <w:r w:rsidRPr="0029333D">
        <w:rPr>
          <w:b/>
          <w:szCs w:val="24"/>
        </w:rPr>
        <w:tab/>
      </w:r>
      <w:r w:rsidRPr="0029333D">
        <w:rPr>
          <w:szCs w:val="24"/>
        </w:rPr>
        <w:t xml:space="preserve">It is important to note that if additional adjustments by any party are proposed in this </w:t>
      </w:r>
      <w:r w:rsidR="00B04609" w:rsidRPr="0029333D">
        <w:rPr>
          <w:szCs w:val="24"/>
        </w:rPr>
        <w:t>proceeding</w:t>
      </w:r>
      <w:r w:rsidRPr="0029333D">
        <w:rPr>
          <w:szCs w:val="24"/>
        </w:rPr>
        <w:t>, the impact of such adjustment will need to include an adjustment to remove the deferred state tax expense and balance as described on page 7.7.</w:t>
      </w:r>
    </w:p>
    <w:p w:rsidR="00692846" w:rsidRPr="0029333D" w:rsidRDefault="00692846" w:rsidP="00692846">
      <w:pPr>
        <w:pStyle w:val="Answer"/>
        <w:widowControl w:val="0"/>
        <w:ind w:firstLine="0"/>
        <w:jc w:val="left"/>
        <w:rPr>
          <w:szCs w:val="24"/>
        </w:rPr>
      </w:pPr>
      <w:r w:rsidRPr="0029333D">
        <w:rPr>
          <w:b/>
          <w:szCs w:val="24"/>
        </w:rPr>
        <w:t>Washington Public Utility Tax Adjustment (page 7.8)</w:t>
      </w:r>
      <w:r w:rsidRPr="0029333D">
        <w:rPr>
          <w:szCs w:val="24"/>
        </w:rPr>
        <w:t xml:space="preserve">—This pro forma adjustment recalculates the Washington Public Utility Tax expense based on the normalizing and pro forma adjustments made to Test Period revenues, as discussed in adjustment </w:t>
      </w:r>
      <w:r w:rsidRPr="0029333D">
        <w:rPr>
          <w:szCs w:val="24"/>
        </w:rPr>
        <w:lastRenderedPageBreak/>
        <w:t>pages 3.1 through 3.3 above.</w:t>
      </w:r>
    </w:p>
    <w:p w:rsidR="00692846" w:rsidRPr="0029333D" w:rsidRDefault="0092496B" w:rsidP="00692846">
      <w:pPr>
        <w:pStyle w:val="Answer"/>
        <w:widowControl w:val="0"/>
        <w:ind w:firstLine="0"/>
        <w:jc w:val="left"/>
        <w:rPr>
          <w:szCs w:val="24"/>
        </w:rPr>
      </w:pPr>
      <w:r w:rsidRPr="0029333D">
        <w:rPr>
          <w:b/>
          <w:szCs w:val="24"/>
        </w:rPr>
        <w:t>Allowance for Funds Used During Construction (</w:t>
      </w:r>
      <w:r w:rsidR="00692846" w:rsidRPr="0029333D">
        <w:rPr>
          <w:b/>
          <w:szCs w:val="24"/>
        </w:rPr>
        <w:t>AFUDC</w:t>
      </w:r>
      <w:r w:rsidRPr="0029333D">
        <w:rPr>
          <w:b/>
          <w:szCs w:val="24"/>
        </w:rPr>
        <w:t>)</w:t>
      </w:r>
      <w:r w:rsidR="00692846" w:rsidRPr="0029333D">
        <w:rPr>
          <w:b/>
          <w:szCs w:val="24"/>
        </w:rPr>
        <w:t xml:space="preserve"> Equity Adjustment (page 7.9)</w:t>
      </w:r>
      <w:r w:rsidR="003D451E" w:rsidRPr="0029333D">
        <w:rPr>
          <w:szCs w:val="24"/>
        </w:rPr>
        <w:t>—</w:t>
      </w:r>
      <w:r w:rsidR="00692846" w:rsidRPr="0029333D">
        <w:rPr>
          <w:szCs w:val="24"/>
        </w:rPr>
        <w:t>This restating adjustment brings the appropriate level of AFUDC – Equity into results to align the tax Schedule M with regulatory income.</w:t>
      </w:r>
    </w:p>
    <w:p w:rsidR="00692846" w:rsidRPr="0029333D" w:rsidRDefault="00692846" w:rsidP="00692846">
      <w:pPr>
        <w:pStyle w:val="Heading2"/>
      </w:pPr>
      <w:bookmarkStart w:id="14" w:name="_Toc436114851"/>
      <w:r w:rsidRPr="0029333D">
        <w:t>Tab 8—Rate Base Adjustments</w:t>
      </w:r>
      <w:bookmarkEnd w:id="14"/>
    </w:p>
    <w:p w:rsidR="00692846" w:rsidRPr="0029333D" w:rsidRDefault="00692846" w:rsidP="00692846">
      <w:pPr>
        <w:pStyle w:val="Question"/>
        <w:jc w:val="left"/>
        <w:rPr>
          <w:szCs w:val="24"/>
        </w:rPr>
      </w:pPr>
      <w:r w:rsidRPr="0029333D">
        <w:rPr>
          <w:szCs w:val="24"/>
        </w:rPr>
        <w:t>Q.</w:t>
      </w:r>
      <w:r w:rsidRPr="0029333D">
        <w:rPr>
          <w:b w:val="0"/>
          <w:szCs w:val="24"/>
        </w:rPr>
        <w:tab/>
      </w:r>
      <w:r w:rsidRPr="0029333D">
        <w:rPr>
          <w:szCs w:val="24"/>
        </w:rPr>
        <w:t>Please describe the adjustments included in Tab 8.</w:t>
      </w:r>
    </w:p>
    <w:p w:rsidR="00692846" w:rsidRPr="0029333D" w:rsidRDefault="00692846" w:rsidP="00692846">
      <w:pPr>
        <w:spacing w:line="480" w:lineRule="auto"/>
        <w:ind w:left="720" w:hanging="720"/>
        <w:jc w:val="left"/>
      </w:pPr>
      <w:r w:rsidRPr="0029333D">
        <w:t>A.</w:t>
      </w:r>
      <w:r w:rsidRPr="0029333D">
        <w:tab/>
      </w:r>
      <w:r w:rsidRPr="0029333D">
        <w:rPr>
          <w:b/>
        </w:rPr>
        <w:t>Jim Bridger Mine (page 8.1)</w:t>
      </w:r>
      <w:r w:rsidRPr="0029333D">
        <w:t>—The Company owns a two-thirds interest in the Bridger Coal Company (BCC), which supplies coal to the Jim Bridger generating plant.  The Company’s investment in BCC is recorded on the books of Pacific Minerals, Inc., a wholly-owned subsidiary.  Because of this ownership arrangement, the coal mine investment is not included in Account 101, Electric Plant in Service.  This restating adjustment is necessary to properly reflect the June 2015 balance associated with the BCC plant investment in the Test Period.  The Bridger Mine adjustment was stipulated to and approved in the Company</w:t>
      </w:r>
      <w:r w:rsidR="00D23A74">
        <w:t>’s 2003 general rate c</w:t>
      </w:r>
      <w:r w:rsidRPr="0029333D">
        <w:t xml:space="preserve">ase, </w:t>
      </w:r>
      <w:r w:rsidR="0092496B" w:rsidRPr="0029333D">
        <w:t>D</w:t>
      </w:r>
      <w:r w:rsidRPr="0029333D">
        <w:t>ocket UE-032065</w:t>
      </w:r>
      <w:r w:rsidRPr="0029333D">
        <w:rPr>
          <w:rStyle w:val="FootnoteReference"/>
        </w:rPr>
        <w:footnoteReference w:id="18"/>
      </w:r>
      <w:r w:rsidRPr="0029333D">
        <w:t>, and has been included in all rate case filings since.  Consistent with Order 06 in the 2010 Rate Case, materials and supplies and pit inventory balances associated with the BCC have been excluded from the Test Period.</w:t>
      </w:r>
    </w:p>
    <w:p w:rsidR="00692846" w:rsidRPr="0029333D" w:rsidRDefault="00692846" w:rsidP="00692846">
      <w:pPr>
        <w:pStyle w:val="Question"/>
        <w:widowControl w:val="0"/>
        <w:ind w:firstLine="0"/>
        <w:jc w:val="left"/>
        <w:rPr>
          <w:b w:val="0"/>
          <w:szCs w:val="24"/>
        </w:rPr>
      </w:pPr>
      <w:r w:rsidRPr="0029333D">
        <w:rPr>
          <w:szCs w:val="24"/>
        </w:rPr>
        <w:t>Environmental Settlement (page 8.2)—</w:t>
      </w:r>
      <w:r w:rsidRPr="0029333D">
        <w:rPr>
          <w:b w:val="0"/>
          <w:szCs w:val="24"/>
        </w:rPr>
        <w:t xml:space="preserve">The Commission authorized the Company to record and defer costs prudently incurred in connection with its environmental </w:t>
      </w:r>
      <w:r w:rsidR="00476879">
        <w:rPr>
          <w:b w:val="0"/>
          <w:szCs w:val="24"/>
        </w:rPr>
        <w:t>remediation program in D</w:t>
      </w:r>
      <w:r w:rsidRPr="0029333D">
        <w:rPr>
          <w:b w:val="0"/>
          <w:szCs w:val="24"/>
        </w:rPr>
        <w:t>ocket UE-031658.</w:t>
      </w:r>
      <w:r w:rsidRPr="0029333D">
        <w:rPr>
          <w:rStyle w:val="FootnoteReference"/>
          <w:b w:val="0"/>
          <w:szCs w:val="24"/>
        </w:rPr>
        <w:footnoteReference w:id="19"/>
      </w:r>
      <w:r w:rsidRPr="0029333D">
        <w:rPr>
          <w:b w:val="0"/>
          <w:szCs w:val="24"/>
        </w:rPr>
        <w:t xml:space="preserve">  Costs of projects in excess of $3 million on a total-company basis, incurred from October 2003 through March 2005, were authorized to be deferred and amortized over a ten-year period.  This restating </w:t>
      </w:r>
      <w:r w:rsidRPr="0029333D">
        <w:rPr>
          <w:b w:val="0"/>
          <w:szCs w:val="24"/>
        </w:rPr>
        <w:lastRenderedPageBreak/>
        <w:t>adjustment removes the per books balance and amortization expense from FERC accounts 182.391 and 925, except for the Third West Substation Cleanup, the only project that can be deferred as of the Company’s most recent general rate case, and adds back the actual base period expenditure amounts for remediation projects that cannot be deferred per the Commission’s 2005 order.  However, as of May 2014, Third West Substation Cleanup deferred amounts have been fully amortized.  As a result, there will no longer be adjustments for Third West project remediation expenses going forward.</w:t>
      </w:r>
    </w:p>
    <w:p w:rsidR="00692846" w:rsidRPr="0029333D" w:rsidRDefault="00692846" w:rsidP="00692846">
      <w:pPr>
        <w:spacing w:line="480" w:lineRule="auto"/>
        <w:ind w:left="720"/>
        <w:jc w:val="left"/>
      </w:pPr>
      <w:r w:rsidRPr="0029333D">
        <w:rPr>
          <w:b/>
        </w:rPr>
        <w:t>Customer Advances for Construction (page 8.3)</w:t>
      </w:r>
      <w:r w:rsidRPr="0029333D">
        <w:t>—Customer advances were recorded in the historical period using a corporate cost center location rather than state-specific locations.  This restating adjustment corrects the WCA allocation of customer advances reflected in the Test Period.</w:t>
      </w:r>
    </w:p>
    <w:p w:rsidR="00692846" w:rsidRPr="0029333D" w:rsidRDefault="00692846" w:rsidP="00692846">
      <w:pPr>
        <w:widowControl w:val="0"/>
        <w:spacing w:line="480" w:lineRule="auto"/>
        <w:ind w:left="720"/>
        <w:jc w:val="left"/>
      </w:pPr>
      <w:r w:rsidRPr="0029333D">
        <w:rPr>
          <w:b/>
        </w:rPr>
        <w:t>Major Plant Additions (page 8</w:t>
      </w:r>
      <w:r w:rsidRPr="0029333D">
        <w:t>.</w:t>
      </w:r>
      <w:r w:rsidRPr="0029333D">
        <w:rPr>
          <w:b/>
        </w:rPr>
        <w:t>4)</w:t>
      </w:r>
      <w:r w:rsidRPr="0029333D">
        <w:t xml:space="preserve">—This pro forma adjustment adds to rate base </w:t>
      </w:r>
      <w:r w:rsidR="00E7387B" w:rsidRPr="0029333D">
        <w:t>Jim Bridger Unit 3 overhaul</w:t>
      </w:r>
      <w:r w:rsidRPr="0029333D">
        <w:t xml:space="preserve"> and SCR </w:t>
      </w:r>
      <w:r w:rsidR="00D23A74">
        <w:t>system</w:t>
      </w:r>
      <w:r w:rsidRPr="0029333D">
        <w:t xml:space="preserve"> that </w:t>
      </w:r>
      <w:r w:rsidR="00D23A74">
        <w:t>will be</w:t>
      </w:r>
      <w:r w:rsidRPr="0029333D">
        <w:t xml:space="preserve"> placed in service in November 2015.  </w:t>
      </w:r>
      <w:r w:rsidR="008A7D2C" w:rsidRPr="0029333D">
        <w:t xml:space="preserve">Additional detail on the components of the Jim Bridger Unit 3 overhaul and SCR </w:t>
      </w:r>
      <w:r w:rsidR="00D23A74">
        <w:t>system</w:t>
      </w:r>
      <w:r w:rsidR="008A7D2C" w:rsidRPr="0029333D">
        <w:t xml:space="preserve"> are provided in Confidential Exhibit No. SEM-5C.  </w:t>
      </w:r>
      <w:r w:rsidRPr="0029333D">
        <w:t>As mentioned above, this major pro forma capital addition is discussed in further detail in the direct testimonies of Mr. Teply and Mr. Link.</w:t>
      </w:r>
      <w:r w:rsidR="00B04609" w:rsidRPr="0029333D">
        <w:t xml:space="preserve"> </w:t>
      </w:r>
      <w:r w:rsidRPr="0029333D">
        <w:t xml:space="preserve"> This adjustment also incorporates the associated depreciation expense and accumulated reserve impacts.  </w:t>
      </w:r>
    </w:p>
    <w:p w:rsidR="00692846" w:rsidRPr="0029333D" w:rsidRDefault="00692846" w:rsidP="00692846">
      <w:pPr>
        <w:pStyle w:val="Answer"/>
        <w:widowControl w:val="0"/>
        <w:ind w:firstLine="0"/>
        <w:jc w:val="left"/>
        <w:rPr>
          <w:szCs w:val="24"/>
        </w:rPr>
      </w:pPr>
      <w:r w:rsidRPr="0029333D">
        <w:rPr>
          <w:b/>
          <w:szCs w:val="24"/>
        </w:rPr>
        <w:t>Miscellaneous Rate Base Adjustment (page 8.5-8.5.1)</w:t>
      </w:r>
      <w:r w:rsidRPr="0029333D">
        <w:rPr>
          <w:szCs w:val="24"/>
        </w:rPr>
        <w:t xml:space="preserve">—This restating adjustment removes working capital, fuel stock, materials and supplies, prepayments, and other miscellaneous rate base balances from the Test Period in compliance with prior rate case treatment.  </w:t>
      </w:r>
    </w:p>
    <w:p w:rsidR="00692846" w:rsidRPr="0029333D" w:rsidRDefault="00692846" w:rsidP="00692846">
      <w:pPr>
        <w:pStyle w:val="Question"/>
        <w:ind w:firstLine="0"/>
        <w:jc w:val="left"/>
        <w:rPr>
          <w:b w:val="0"/>
          <w:bCs w:val="0"/>
          <w:szCs w:val="24"/>
        </w:rPr>
      </w:pPr>
      <w:r w:rsidRPr="0029333D">
        <w:rPr>
          <w:bCs w:val="0"/>
          <w:szCs w:val="24"/>
        </w:rPr>
        <w:lastRenderedPageBreak/>
        <w:t>Removal of Colstrip Unit 4 AFUDC (page 8.6)</w:t>
      </w:r>
      <w:r w:rsidRPr="0029333D">
        <w:rPr>
          <w:szCs w:val="24"/>
        </w:rPr>
        <w:t>—</w:t>
      </w:r>
      <w:r w:rsidRPr="0029333D">
        <w:rPr>
          <w:b w:val="0"/>
          <w:bCs w:val="0"/>
          <w:szCs w:val="24"/>
        </w:rPr>
        <w:t>This restating adjustment removes AFUDC from electric plant in-service for the period that Colstrip construction work in progress was allowed in rate base.  This treatment was authorized in Cause U-81-17</w:t>
      </w:r>
      <w:r w:rsidRPr="0029333D">
        <w:rPr>
          <w:rStyle w:val="FootnoteReference"/>
          <w:b w:val="0"/>
          <w:bCs w:val="0"/>
          <w:szCs w:val="24"/>
        </w:rPr>
        <w:footnoteReference w:id="20"/>
      </w:r>
      <w:r w:rsidRPr="0029333D">
        <w:rPr>
          <w:b w:val="0"/>
          <w:bCs w:val="0"/>
          <w:szCs w:val="24"/>
        </w:rPr>
        <w:t xml:space="preserve"> and has been included in all the Company’s Washington rate case filings since that time.</w:t>
      </w:r>
    </w:p>
    <w:p w:rsidR="00692846" w:rsidRPr="0029333D" w:rsidRDefault="00692846" w:rsidP="00692846">
      <w:pPr>
        <w:pStyle w:val="Question"/>
        <w:widowControl w:val="0"/>
        <w:ind w:firstLine="0"/>
        <w:jc w:val="left"/>
        <w:rPr>
          <w:b w:val="0"/>
          <w:bCs w:val="0"/>
          <w:szCs w:val="24"/>
        </w:rPr>
      </w:pPr>
      <w:r w:rsidRPr="0029333D">
        <w:rPr>
          <w:bCs w:val="0"/>
          <w:szCs w:val="24"/>
        </w:rPr>
        <w:t>Trojan Removal Adjustment (page 8.7)</w:t>
      </w:r>
      <w:r w:rsidRPr="0029333D">
        <w:rPr>
          <w:szCs w:val="24"/>
        </w:rPr>
        <w:t>—</w:t>
      </w:r>
      <w:r w:rsidRPr="0029333D">
        <w:rPr>
          <w:b w:val="0"/>
          <w:bCs w:val="0"/>
          <w:szCs w:val="24"/>
        </w:rPr>
        <w:t>This restating adjustment removes the Washington portion of  Trojan rate base balances and tax impacts from the Test Period as or</w:t>
      </w:r>
      <w:r w:rsidR="00476879">
        <w:rPr>
          <w:b w:val="0"/>
          <w:bCs w:val="0"/>
          <w:szCs w:val="24"/>
        </w:rPr>
        <w:t>dered by the Commission in D</w:t>
      </w:r>
      <w:r w:rsidRPr="0029333D">
        <w:rPr>
          <w:b w:val="0"/>
          <w:bCs w:val="0"/>
          <w:szCs w:val="24"/>
        </w:rPr>
        <w:t>ocket UE-991832.</w:t>
      </w:r>
      <w:r w:rsidRPr="0029333D">
        <w:rPr>
          <w:rStyle w:val="FootnoteReference"/>
          <w:b w:val="0"/>
          <w:bCs w:val="0"/>
          <w:szCs w:val="24"/>
        </w:rPr>
        <w:footnoteReference w:id="21"/>
      </w:r>
    </w:p>
    <w:p w:rsidR="00692846" w:rsidRPr="0029333D" w:rsidRDefault="00692846" w:rsidP="00692846">
      <w:pPr>
        <w:pStyle w:val="Question"/>
        <w:widowControl w:val="0"/>
        <w:ind w:firstLine="0"/>
        <w:jc w:val="left"/>
        <w:rPr>
          <w:szCs w:val="24"/>
        </w:rPr>
      </w:pPr>
      <w:r w:rsidRPr="0029333D">
        <w:rPr>
          <w:szCs w:val="24"/>
        </w:rPr>
        <w:t>Customer Service Deposits (page 8.8)—</w:t>
      </w:r>
      <w:r w:rsidRPr="0029333D">
        <w:rPr>
          <w:b w:val="0"/>
          <w:szCs w:val="24"/>
        </w:rPr>
        <w:t>This restating adjustment includes customer service deposits as a reduction to rate base.  It also reflects the interest paid on the customer service deposits.  This adjustment was accepted by the Commission in the 2006 Rate Case</w:t>
      </w:r>
      <w:r w:rsidRPr="0029333D">
        <w:rPr>
          <w:rStyle w:val="FootnoteReference"/>
          <w:b w:val="0"/>
          <w:szCs w:val="24"/>
        </w:rPr>
        <w:footnoteReference w:id="22"/>
      </w:r>
      <w:r w:rsidRPr="0029333D">
        <w:rPr>
          <w:b w:val="0"/>
          <w:szCs w:val="24"/>
        </w:rPr>
        <w:t xml:space="preserve"> and is consistent with all of the Company’s rate cases filings since that time</w:t>
      </w:r>
      <w:r w:rsidR="00476879">
        <w:rPr>
          <w:b w:val="0"/>
          <w:szCs w:val="24"/>
        </w:rPr>
        <w:t>.</w:t>
      </w:r>
    </w:p>
    <w:p w:rsidR="00692846" w:rsidRPr="0029333D" w:rsidRDefault="00692846" w:rsidP="00692846">
      <w:pPr>
        <w:pStyle w:val="Question"/>
        <w:ind w:firstLine="0"/>
        <w:jc w:val="left"/>
        <w:rPr>
          <w:b w:val="0"/>
          <w:szCs w:val="24"/>
        </w:rPr>
      </w:pPr>
      <w:r w:rsidRPr="0029333D">
        <w:rPr>
          <w:szCs w:val="24"/>
        </w:rPr>
        <w:t>Miscellaneous Asset Sales and Removals Adjustment (page 8.9)—</w:t>
      </w:r>
      <w:r w:rsidRPr="0029333D">
        <w:rPr>
          <w:b w:val="0"/>
          <w:szCs w:val="24"/>
        </w:rPr>
        <w:t xml:space="preserve">This adjustment removes the electric plant in-service balances, accumulated depreciation balances, depreciation expenses and O&amp;M expenses from the per books data for the 12 months ended June 30, 2015, for the assets sold or removed </w:t>
      </w:r>
      <w:r w:rsidR="00D23A74">
        <w:rPr>
          <w:b w:val="0"/>
          <w:szCs w:val="24"/>
        </w:rPr>
        <w:t>before</w:t>
      </w:r>
      <w:r w:rsidRPr="0029333D">
        <w:rPr>
          <w:b w:val="0"/>
          <w:szCs w:val="24"/>
        </w:rPr>
        <w:t xml:space="preserve"> the end of the current base period.  In the current filing, the only item requiring removal is the remaining accumulated deferred income taxes balance associated with the Powerdale Hydro </w:t>
      </w:r>
      <w:r w:rsidRPr="0029333D">
        <w:rPr>
          <w:b w:val="0"/>
          <w:szCs w:val="24"/>
        </w:rPr>
        <w:lastRenderedPageBreak/>
        <w:t>unrecovered plant balance that was transferred in 2007 to a regulatory asset and amortized over three</w:t>
      </w:r>
      <w:r w:rsidR="00910003">
        <w:rPr>
          <w:b w:val="0"/>
          <w:szCs w:val="24"/>
        </w:rPr>
        <w:t xml:space="preserve"> years as per authorization in D</w:t>
      </w:r>
      <w:r w:rsidRPr="0029333D">
        <w:rPr>
          <w:b w:val="0"/>
          <w:szCs w:val="24"/>
        </w:rPr>
        <w:t>ocket UE-070624.</w:t>
      </w:r>
      <w:r w:rsidRPr="0029333D">
        <w:rPr>
          <w:rStyle w:val="FootnoteReference"/>
          <w:b w:val="0"/>
          <w:szCs w:val="24"/>
        </w:rPr>
        <w:footnoteReference w:id="23"/>
      </w:r>
    </w:p>
    <w:p w:rsidR="00692846" w:rsidRPr="0029333D" w:rsidRDefault="00692846" w:rsidP="00692846">
      <w:pPr>
        <w:pStyle w:val="Question"/>
        <w:ind w:firstLine="0"/>
        <w:jc w:val="left"/>
        <w:rPr>
          <w:b w:val="0"/>
          <w:szCs w:val="24"/>
        </w:rPr>
      </w:pPr>
      <w:r w:rsidRPr="0029333D">
        <w:rPr>
          <w:szCs w:val="24"/>
        </w:rPr>
        <w:t xml:space="preserve">Investor Supplied Working Capital (page 8.10)— </w:t>
      </w:r>
      <w:r w:rsidRPr="0029333D">
        <w:rPr>
          <w:b w:val="0"/>
          <w:szCs w:val="24"/>
        </w:rPr>
        <w:t>This adjustment</w:t>
      </w:r>
      <w:r w:rsidRPr="0029333D">
        <w:rPr>
          <w:szCs w:val="24"/>
        </w:rPr>
        <w:t xml:space="preserve"> </w:t>
      </w:r>
      <w:r w:rsidRPr="0029333D">
        <w:rPr>
          <w:b w:val="0"/>
          <w:szCs w:val="24"/>
        </w:rPr>
        <w:t xml:space="preserve">reflects a restatement of working capital using the </w:t>
      </w:r>
      <w:r w:rsidR="004755D6" w:rsidRPr="0029333D">
        <w:rPr>
          <w:b w:val="0"/>
          <w:szCs w:val="24"/>
        </w:rPr>
        <w:t>Investor Supplied Working Capital</w:t>
      </w:r>
      <w:r w:rsidRPr="0029333D">
        <w:rPr>
          <w:b w:val="0"/>
          <w:szCs w:val="24"/>
        </w:rPr>
        <w:t xml:space="preserve"> method with the approved modifications to the classification of derivatives, pension and other post-retirement costs and frozen derivative values from as approved in the 2013 Rate Case.  </w:t>
      </w:r>
    </w:p>
    <w:p w:rsidR="00692846" w:rsidRPr="0029333D" w:rsidRDefault="00692846" w:rsidP="00692846">
      <w:pPr>
        <w:pStyle w:val="Question"/>
        <w:ind w:firstLine="0"/>
        <w:jc w:val="left"/>
        <w:rPr>
          <w:b w:val="0"/>
          <w:szCs w:val="24"/>
        </w:rPr>
      </w:pPr>
      <w:r w:rsidRPr="0029333D">
        <w:rPr>
          <w:szCs w:val="24"/>
        </w:rPr>
        <w:t>End-of-Period Plant Balances (page 8.11-8.11.5)—</w:t>
      </w:r>
      <w:r w:rsidRPr="0029333D">
        <w:rPr>
          <w:b w:val="0"/>
          <w:szCs w:val="24"/>
        </w:rPr>
        <w:t>This adjustment modifies the gross plant balances from June 2015 AMA levels to the actual June 30, 2015</w:t>
      </w:r>
      <w:r w:rsidR="00D23A74">
        <w:rPr>
          <w:b w:val="0"/>
          <w:szCs w:val="24"/>
        </w:rPr>
        <w:t xml:space="preserve"> EOP</w:t>
      </w:r>
      <w:r w:rsidRPr="0029333D">
        <w:rPr>
          <w:b w:val="0"/>
          <w:szCs w:val="24"/>
        </w:rPr>
        <w:t xml:space="preserve"> balances.  This adjustment to gross plant balances is intended to alleviate attrition and minimize regulatory lag by annualizing new rate base additions of the year, similar to </w:t>
      </w:r>
      <w:r w:rsidR="00B04609" w:rsidRPr="0029333D">
        <w:rPr>
          <w:b w:val="0"/>
          <w:szCs w:val="24"/>
        </w:rPr>
        <w:t>the method proposed by</w:t>
      </w:r>
      <w:r w:rsidRPr="0029333D">
        <w:rPr>
          <w:b w:val="0"/>
          <w:szCs w:val="24"/>
        </w:rPr>
        <w:t xml:space="preserve"> Staff in the 2013 Rate Case.</w:t>
      </w:r>
      <w:r w:rsidRPr="0029333D">
        <w:rPr>
          <w:rStyle w:val="FootnoteReference"/>
          <w:b w:val="0"/>
          <w:szCs w:val="24"/>
        </w:rPr>
        <w:footnoteReference w:id="24"/>
      </w:r>
      <w:r w:rsidRPr="0029333D">
        <w:rPr>
          <w:b w:val="0"/>
          <w:szCs w:val="24"/>
        </w:rPr>
        <w:t xml:space="preserve">  This method</w:t>
      </w:r>
      <w:r w:rsidRPr="0029333D">
        <w:rPr>
          <w:szCs w:val="24"/>
        </w:rPr>
        <w:t xml:space="preserve"> </w:t>
      </w:r>
      <w:r w:rsidRPr="0029333D">
        <w:rPr>
          <w:b w:val="0"/>
          <w:szCs w:val="24"/>
        </w:rPr>
        <w:t>was approved in that case.  The associated accumulated reserve impacts are accounted for on adjustment page 6.2.</w:t>
      </w:r>
    </w:p>
    <w:p w:rsidR="00692846" w:rsidRPr="0029333D" w:rsidRDefault="00692846" w:rsidP="00692846">
      <w:pPr>
        <w:pStyle w:val="Question"/>
        <w:ind w:firstLine="0"/>
        <w:jc w:val="left"/>
        <w:rPr>
          <w:b w:val="0"/>
          <w:szCs w:val="24"/>
        </w:rPr>
      </w:pPr>
      <w:r w:rsidRPr="0029333D">
        <w:rPr>
          <w:szCs w:val="24"/>
        </w:rPr>
        <w:t>Regulatory Asset Amortization Adjustment (page 8.12)—</w:t>
      </w:r>
      <w:r w:rsidRPr="0029333D">
        <w:rPr>
          <w:b w:val="0"/>
          <w:szCs w:val="24"/>
        </w:rPr>
        <w:t xml:space="preserve">The Chehalis Regulatory Asset was recorded in December 2009 in accordance with </w:t>
      </w:r>
      <w:r w:rsidR="00910003">
        <w:rPr>
          <w:b w:val="0"/>
          <w:szCs w:val="24"/>
        </w:rPr>
        <w:t>D</w:t>
      </w:r>
      <w:r w:rsidR="00840EA9" w:rsidRPr="0029333D">
        <w:rPr>
          <w:b w:val="0"/>
          <w:szCs w:val="24"/>
        </w:rPr>
        <w:t xml:space="preserve">ocket </w:t>
      </w:r>
      <w:r w:rsidRPr="0029333D">
        <w:rPr>
          <w:b w:val="0"/>
          <w:szCs w:val="24"/>
        </w:rPr>
        <w:t>UE-090205 and amortizes through December 2015.</w:t>
      </w:r>
      <w:r w:rsidRPr="0029333D">
        <w:rPr>
          <w:rStyle w:val="FootnoteReference"/>
          <w:b w:val="0"/>
          <w:szCs w:val="24"/>
        </w:rPr>
        <w:footnoteReference w:id="25"/>
      </w:r>
      <w:r w:rsidRPr="0029333D">
        <w:rPr>
          <w:b w:val="0"/>
          <w:szCs w:val="24"/>
        </w:rPr>
        <w:t xml:space="preserve">  General business revenues charged as the regulatory asset was amortized during the 12 months ended June</w:t>
      </w:r>
      <w:r w:rsidR="00840EA9" w:rsidRPr="0029333D">
        <w:rPr>
          <w:b w:val="0"/>
          <w:szCs w:val="24"/>
        </w:rPr>
        <w:t> </w:t>
      </w:r>
      <w:r w:rsidRPr="0029333D">
        <w:rPr>
          <w:b w:val="0"/>
          <w:szCs w:val="24"/>
        </w:rPr>
        <w:t xml:space="preserve">30, 2015, were removed from per books results in the revenue normalization adjustment page 3.2.  This adjustment recognizes the expiration of the regulatory asset by the end of 2015, </w:t>
      </w:r>
      <w:r w:rsidRPr="0029333D">
        <w:rPr>
          <w:b w:val="0"/>
          <w:szCs w:val="24"/>
        </w:rPr>
        <w:lastRenderedPageBreak/>
        <w:t xml:space="preserve">and removes the remaining asset balance and associated accumulated deferred tax balances accordingly.  </w:t>
      </w:r>
    </w:p>
    <w:p w:rsidR="00692846" w:rsidRPr="0029333D" w:rsidRDefault="00692846" w:rsidP="00692846">
      <w:pPr>
        <w:pStyle w:val="Question"/>
        <w:ind w:firstLine="0"/>
        <w:jc w:val="left"/>
        <w:rPr>
          <w:b w:val="0"/>
          <w:szCs w:val="24"/>
        </w:rPr>
      </w:pPr>
      <w:r w:rsidRPr="0029333D">
        <w:rPr>
          <w:szCs w:val="24"/>
        </w:rPr>
        <w:t>Idaho Power Asset Exchange Adjustment (page 8.13)—</w:t>
      </w:r>
      <w:r w:rsidRPr="0029333D">
        <w:rPr>
          <w:b w:val="0"/>
          <w:szCs w:val="24"/>
        </w:rPr>
        <w:t xml:space="preserve">This pro forma adjustment reflects the rate base impacts of the Asset Exchange agreement between the Company and Idaho Power as approved in Order 01 of </w:t>
      </w:r>
      <w:r w:rsidR="00910003">
        <w:rPr>
          <w:b w:val="0"/>
          <w:szCs w:val="24"/>
        </w:rPr>
        <w:t>D</w:t>
      </w:r>
      <w:r w:rsidRPr="0029333D">
        <w:rPr>
          <w:b w:val="0"/>
          <w:szCs w:val="24"/>
        </w:rPr>
        <w:t xml:space="preserve">ocket UE-144136. </w:t>
      </w:r>
      <w:r w:rsidR="00B04609" w:rsidRPr="0029333D">
        <w:rPr>
          <w:b w:val="0"/>
          <w:szCs w:val="24"/>
        </w:rPr>
        <w:t xml:space="preserve"> </w:t>
      </w:r>
      <w:r w:rsidRPr="0029333D">
        <w:rPr>
          <w:b w:val="0"/>
          <w:szCs w:val="24"/>
        </w:rPr>
        <w:t>Corresponding tax impacts are also reflected in this adjustment.</w:t>
      </w:r>
    </w:p>
    <w:p w:rsidR="00692846" w:rsidRPr="0029333D" w:rsidRDefault="00692846" w:rsidP="00692846">
      <w:pPr>
        <w:pStyle w:val="Heading2"/>
      </w:pPr>
      <w:bookmarkStart w:id="15" w:name="_Toc436114852"/>
      <w:r w:rsidRPr="0029333D">
        <w:t>Tab 9—Production Factor</w:t>
      </w:r>
      <w:bookmarkEnd w:id="15"/>
    </w:p>
    <w:p w:rsidR="00692846" w:rsidRPr="0029333D" w:rsidRDefault="00692846" w:rsidP="00692846">
      <w:pPr>
        <w:pStyle w:val="Question"/>
        <w:jc w:val="left"/>
        <w:rPr>
          <w:szCs w:val="24"/>
        </w:rPr>
      </w:pPr>
      <w:r w:rsidRPr="0029333D">
        <w:rPr>
          <w:szCs w:val="24"/>
        </w:rPr>
        <w:t>Q.</w:t>
      </w:r>
      <w:r w:rsidRPr="0029333D">
        <w:rPr>
          <w:b w:val="0"/>
          <w:szCs w:val="24"/>
        </w:rPr>
        <w:tab/>
      </w:r>
      <w:r w:rsidRPr="0029333D">
        <w:rPr>
          <w:szCs w:val="24"/>
        </w:rPr>
        <w:t>Please describe the adjustments included in Tab 9.</w:t>
      </w:r>
    </w:p>
    <w:p w:rsidR="00692846" w:rsidRPr="0029333D" w:rsidRDefault="00692846" w:rsidP="00692846">
      <w:pPr>
        <w:pStyle w:val="Question"/>
        <w:jc w:val="left"/>
        <w:rPr>
          <w:b w:val="0"/>
          <w:szCs w:val="24"/>
        </w:rPr>
      </w:pPr>
      <w:r w:rsidRPr="0029333D">
        <w:rPr>
          <w:b w:val="0"/>
          <w:szCs w:val="24"/>
        </w:rPr>
        <w:t>A.</w:t>
      </w:r>
      <w:r w:rsidRPr="0029333D">
        <w:rPr>
          <w:szCs w:val="24"/>
        </w:rPr>
        <w:tab/>
      </w:r>
      <w:r w:rsidRPr="0029333D">
        <w:rPr>
          <w:b w:val="0"/>
          <w:szCs w:val="24"/>
        </w:rPr>
        <w:t>A Production Factor adjustment was not prep</w:t>
      </w:r>
      <w:r w:rsidR="00D23A74">
        <w:rPr>
          <w:b w:val="0"/>
          <w:szCs w:val="24"/>
        </w:rPr>
        <w:t>ared for this ERF because</w:t>
      </w:r>
      <w:r w:rsidRPr="0029333D">
        <w:rPr>
          <w:b w:val="0"/>
          <w:szCs w:val="24"/>
        </w:rPr>
        <w:t xml:space="preserve"> Production Factors are not routinely prepared for CBRs.  This tab has been left blank intentionally.</w:t>
      </w:r>
    </w:p>
    <w:p w:rsidR="00692846" w:rsidRPr="0029333D" w:rsidRDefault="00692846" w:rsidP="00692846">
      <w:pPr>
        <w:pStyle w:val="Answer"/>
        <w:widowControl w:val="0"/>
        <w:tabs>
          <w:tab w:val="left" w:pos="720"/>
        </w:tabs>
        <w:jc w:val="left"/>
        <w:rPr>
          <w:b/>
          <w:szCs w:val="24"/>
        </w:rPr>
      </w:pPr>
      <w:r w:rsidRPr="0029333D">
        <w:rPr>
          <w:b/>
          <w:szCs w:val="24"/>
        </w:rPr>
        <w:t>Tab 10</w:t>
      </w:r>
      <w:r w:rsidRPr="0029333D">
        <w:rPr>
          <w:szCs w:val="24"/>
        </w:rPr>
        <w:t>—</w:t>
      </w:r>
      <w:r w:rsidRPr="0029333D">
        <w:rPr>
          <w:b/>
          <w:szCs w:val="24"/>
        </w:rPr>
        <w:t>Allocation Factors</w:t>
      </w:r>
    </w:p>
    <w:p w:rsidR="00692846" w:rsidRPr="0029333D" w:rsidRDefault="00692846" w:rsidP="00692846">
      <w:pPr>
        <w:pStyle w:val="Answer"/>
        <w:widowControl w:val="0"/>
        <w:tabs>
          <w:tab w:val="left" w:pos="720"/>
        </w:tabs>
        <w:jc w:val="left"/>
        <w:rPr>
          <w:b/>
          <w:szCs w:val="24"/>
        </w:rPr>
      </w:pPr>
      <w:r w:rsidRPr="0029333D">
        <w:rPr>
          <w:b/>
          <w:szCs w:val="24"/>
        </w:rPr>
        <w:t>Q.</w:t>
      </w:r>
      <w:r w:rsidRPr="0029333D">
        <w:rPr>
          <w:b/>
          <w:szCs w:val="24"/>
        </w:rPr>
        <w:tab/>
        <w:t>Please describe the data included in Tab 10.</w:t>
      </w:r>
    </w:p>
    <w:p w:rsidR="00692846" w:rsidRPr="0029333D" w:rsidRDefault="00692846" w:rsidP="00692846">
      <w:pPr>
        <w:pStyle w:val="Answer"/>
        <w:widowControl w:val="0"/>
        <w:tabs>
          <w:tab w:val="left" w:pos="720"/>
        </w:tabs>
        <w:jc w:val="left"/>
        <w:rPr>
          <w:b/>
          <w:szCs w:val="24"/>
        </w:rPr>
      </w:pPr>
      <w:r w:rsidRPr="0029333D">
        <w:rPr>
          <w:szCs w:val="24"/>
        </w:rPr>
        <w:t>A.</w:t>
      </w:r>
      <w:r w:rsidRPr="0029333D">
        <w:rPr>
          <w:szCs w:val="24"/>
        </w:rPr>
        <w:tab/>
        <w:t xml:space="preserve">In Tab 10, the derivation of the jurisdictional allocation factors using the WCA is summarized.  These factors are based on the normalized historical loads and the plant balances for the 12 months ended June 30, 2015.  </w:t>
      </w:r>
    </w:p>
    <w:p w:rsidR="00692846" w:rsidRPr="0029333D" w:rsidRDefault="00692846" w:rsidP="00692846">
      <w:pPr>
        <w:pStyle w:val="Answer"/>
        <w:widowControl w:val="0"/>
        <w:ind w:firstLine="720"/>
        <w:jc w:val="left"/>
        <w:rPr>
          <w:szCs w:val="24"/>
        </w:rPr>
      </w:pPr>
      <w:r w:rsidRPr="0029333D">
        <w:rPr>
          <w:szCs w:val="24"/>
        </w:rPr>
        <w:t>Page 10.2 shows each of the WCA allocation factors applied in this filing, as well as a page reference to the corresponding backup page within the Report that shows the calculation of that factor.</w:t>
      </w:r>
    </w:p>
    <w:p w:rsidR="00692846" w:rsidRPr="0029333D" w:rsidRDefault="00692846" w:rsidP="00692846">
      <w:pPr>
        <w:pStyle w:val="Question"/>
        <w:jc w:val="left"/>
        <w:rPr>
          <w:szCs w:val="24"/>
        </w:rPr>
      </w:pPr>
      <w:r w:rsidRPr="0029333D">
        <w:rPr>
          <w:szCs w:val="24"/>
        </w:rPr>
        <w:t>Q.</w:t>
      </w:r>
      <w:r w:rsidRPr="0029333D">
        <w:rPr>
          <w:szCs w:val="24"/>
        </w:rPr>
        <w:tab/>
        <w:t>Please describe the remaining portions of the Report.</w:t>
      </w:r>
    </w:p>
    <w:p w:rsidR="00692846" w:rsidRPr="0029333D" w:rsidRDefault="00690B9D" w:rsidP="00690B9D">
      <w:pPr>
        <w:pStyle w:val="Answer"/>
        <w:widowControl w:val="0"/>
        <w:jc w:val="left"/>
        <w:rPr>
          <w:szCs w:val="24"/>
        </w:rPr>
      </w:pPr>
      <w:r w:rsidRPr="00690B9D">
        <w:rPr>
          <w:szCs w:val="24"/>
        </w:rPr>
        <w:t>A.</w:t>
      </w:r>
      <w:r>
        <w:rPr>
          <w:szCs w:val="24"/>
        </w:rPr>
        <w:tab/>
      </w:r>
      <w:r w:rsidR="00692846" w:rsidRPr="0029333D">
        <w:rPr>
          <w:b/>
          <w:szCs w:val="24"/>
        </w:rPr>
        <w:t>Tab 11</w:t>
      </w:r>
      <w:r w:rsidR="00692846" w:rsidRPr="0029333D">
        <w:rPr>
          <w:szCs w:val="24"/>
        </w:rPr>
        <w:t>—</w:t>
      </w:r>
      <w:r w:rsidR="00692846" w:rsidRPr="0029333D">
        <w:rPr>
          <w:b/>
          <w:szCs w:val="24"/>
        </w:rPr>
        <w:t>Historical Rate Base:</w:t>
      </w:r>
      <w:r w:rsidR="00692846" w:rsidRPr="0029333D">
        <w:rPr>
          <w:szCs w:val="24"/>
        </w:rPr>
        <w:t xml:space="preserve">  This section shows the Washington-allocated monthly balances used in the calculation of the AMA balance for the historical period by FERC account and WCA allocation factor.</w:t>
      </w:r>
    </w:p>
    <w:p w:rsidR="00692846" w:rsidRPr="0029333D" w:rsidRDefault="00692846" w:rsidP="00692846">
      <w:pPr>
        <w:pStyle w:val="Answer"/>
        <w:ind w:firstLine="0"/>
        <w:jc w:val="left"/>
        <w:rPr>
          <w:szCs w:val="24"/>
        </w:rPr>
      </w:pPr>
      <w:r w:rsidRPr="0029333D">
        <w:rPr>
          <w:b/>
          <w:szCs w:val="24"/>
        </w:rPr>
        <w:lastRenderedPageBreak/>
        <w:t xml:space="preserve">Tabs B1 through B20:  </w:t>
      </w:r>
      <w:r w:rsidRPr="0029333D">
        <w:rPr>
          <w:szCs w:val="24"/>
        </w:rPr>
        <w:t>These tabs contain extracts of the historical results from the Company’s accounting system for the Test Period and are organized by major FERC function.  The data contained in this section of the exhibit ties to the per books data found under Tab 2—Results of Operations.</w:t>
      </w:r>
    </w:p>
    <w:p w:rsidR="004C5453" w:rsidRPr="0029333D" w:rsidRDefault="004C5453" w:rsidP="00026883">
      <w:pPr>
        <w:pStyle w:val="Heading1"/>
        <w:rPr>
          <w:rFonts w:cs="Times New Roman"/>
          <w:szCs w:val="24"/>
        </w:rPr>
      </w:pPr>
      <w:bookmarkStart w:id="16" w:name="_Toc436114853"/>
      <w:r w:rsidRPr="0029333D">
        <w:rPr>
          <w:rFonts w:cs="Times New Roman"/>
          <w:szCs w:val="24"/>
        </w:rPr>
        <w:t>Two-Year Rate Plan</w:t>
      </w:r>
      <w:bookmarkEnd w:id="16"/>
    </w:p>
    <w:p w:rsidR="001D3057" w:rsidRPr="0029333D" w:rsidRDefault="001D3057" w:rsidP="001D3057">
      <w:pPr>
        <w:pStyle w:val="Answer"/>
        <w:widowControl w:val="0"/>
        <w:ind w:left="0" w:firstLine="0"/>
        <w:jc w:val="left"/>
        <w:rPr>
          <w:b/>
          <w:szCs w:val="24"/>
        </w:rPr>
      </w:pPr>
      <w:r w:rsidRPr="0029333D">
        <w:rPr>
          <w:b/>
          <w:szCs w:val="24"/>
        </w:rPr>
        <w:t>Q.</w:t>
      </w:r>
      <w:r w:rsidRPr="0029333D">
        <w:rPr>
          <w:b/>
          <w:szCs w:val="24"/>
        </w:rPr>
        <w:tab/>
        <w:t>Why is the Company presenting a two-year rate plan in this proceeding?</w:t>
      </w:r>
    </w:p>
    <w:p w:rsidR="001D3057" w:rsidRPr="0029333D" w:rsidRDefault="001D3057" w:rsidP="001D3057">
      <w:pPr>
        <w:spacing w:line="480" w:lineRule="auto"/>
        <w:ind w:left="720" w:hanging="720"/>
        <w:jc w:val="left"/>
      </w:pPr>
      <w:r w:rsidRPr="0029333D">
        <w:t>A.</w:t>
      </w:r>
      <w:r w:rsidRPr="0029333D">
        <w:tab/>
        <w:t>The Company has carefully considered the Commission’s policy guidance directed at stopping the cycle of continuous general rate cases.  The Company’s proposal for a two-year rate plan is designed to align with this policy guidance, balancing the need to provide rate stability and predictability to customers with the Company’s ability to earn its authorized return.  The testimony of Mr. Dalley provides a more d</w:t>
      </w:r>
      <w:r w:rsidR="00CF5E77" w:rsidRPr="0029333D">
        <w:t xml:space="preserve">etailed discussion of </w:t>
      </w:r>
      <w:r w:rsidRPr="0029333D">
        <w:t>the two-year rate plan</w:t>
      </w:r>
      <w:r w:rsidR="00CF5E77" w:rsidRPr="0029333D">
        <w:t xml:space="preserve"> from a policy perspective</w:t>
      </w:r>
      <w:r w:rsidRPr="0029333D">
        <w:t xml:space="preserve">.  </w:t>
      </w:r>
    </w:p>
    <w:p w:rsidR="001D3057" w:rsidRPr="0029333D" w:rsidRDefault="001D3057" w:rsidP="001D3057">
      <w:pPr>
        <w:pStyle w:val="Answer"/>
        <w:widowControl w:val="0"/>
        <w:jc w:val="left"/>
        <w:rPr>
          <w:b/>
          <w:szCs w:val="24"/>
        </w:rPr>
      </w:pPr>
      <w:r w:rsidRPr="0029333D">
        <w:rPr>
          <w:b/>
          <w:szCs w:val="24"/>
        </w:rPr>
        <w:t>Q.</w:t>
      </w:r>
      <w:r w:rsidRPr="0029333D">
        <w:rPr>
          <w:b/>
          <w:szCs w:val="24"/>
        </w:rPr>
        <w:tab/>
        <w:t>Please describe the second-step rate increase request.</w:t>
      </w:r>
    </w:p>
    <w:p w:rsidR="001D3057" w:rsidRPr="0029333D" w:rsidRDefault="001D3057" w:rsidP="001D3057">
      <w:pPr>
        <w:spacing w:line="480" w:lineRule="auto"/>
        <w:ind w:left="720" w:hanging="720"/>
        <w:jc w:val="left"/>
      </w:pPr>
      <w:r w:rsidRPr="0029333D">
        <w:t>A.</w:t>
      </w:r>
      <w:r w:rsidRPr="0029333D">
        <w:tab/>
        <w:t>The Company’s requested rate effective date for the second-step rate i</w:t>
      </w:r>
      <w:r w:rsidR="00D23A74">
        <w:t>ncrease is May</w:t>
      </w:r>
      <w:r w:rsidR="00D23A74" w:rsidRPr="0029333D">
        <w:t> </w:t>
      </w:r>
      <w:r w:rsidR="00D23A74">
        <w:t xml:space="preserve">1, 2017.  </w:t>
      </w:r>
      <w:r w:rsidRPr="0029333D">
        <w:t xml:space="preserve">As a part of the rate plan, the Company agrees to a general rate case stay-out provision, with the next general rate change effective date no earlier than April 1, 2018.  Mr. Dalley’s testimony describes the details of the general rate case stay-out. </w:t>
      </w:r>
    </w:p>
    <w:p w:rsidR="001D3057" w:rsidRPr="0029333D" w:rsidRDefault="001D3057" w:rsidP="001D3057">
      <w:pPr>
        <w:pStyle w:val="Answer"/>
        <w:widowControl w:val="0"/>
        <w:jc w:val="left"/>
        <w:rPr>
          <w:b/>
          <w:szCs w:val="24"/>
        </w:rPr>
      </w:pPr>
      <w:r w:rsidRPr="0029333D">
        <w:rPr>
          <w:b/>
          <w:szCs w:val="24"/>
        </w:rPr>
        <w:t>Q.</w:t>
      </w:r>
      <w:r w:rsidRPr="0029333D">
        <w:rPr>
          <w:b/>
          <w:szCs w:val="24"/>
        </w:rPr>
        <w:tab/>
        <w:t>What are the specific cost drivers for this second-step rate increase?</w:t>
      </w:r>
    </w:p>
    <w:p w:rsidR="001D3057" w:rsidRPr="0029333D" w:rsidRDefault="001D3057" w:rsidP="001D3057">
      <w:pPr>
        <w:spacing w:line="480" w:lineRule="auto"/>
        <w:ind w:left="720" w:hanging="720"/>
        <w:jc w:val="left"/>
      </w:pPr>
      <w:r w:rsidRPr="0029333D">
        <w:t>A.</w:t>
      </w:r>
      <w:r w:rsidRPr="0029333D">
        <w:tab/>
        <w:t>The Company is facing known factors in the upcoming years that will worsen revenue deficiency, even with the approval of the rate increase requested in the ERF.  Primarily, the drivers underlying the Company’s challenge to achieve authorized earning levels are as follows:</w:t>
      </w:r>
    </w:p>
    <w:p w:rsidR="001D3057" w:rsidRDefault="001D3057" w:rsidP="006B3A8E">
      <w:pPr>
        <w:pStyle w:val="ListParagraph"/>
        <w:numPr>
          <w:ilvl w:val="0"/>
          <w:numId w:val="11"/>
        </w:numPr>
        <w:jc w:val="left"/>
      </w:pPr>
      <w:r w:rsidRPr="0029333D">
        <w:lastRenderedPageBreak/>
        <w:t xml:space="preserve">Major Plant Investments at Jim Bridger Unit 4, Supervisory Control and Data Acquisition Emergency Management System </w:t>
      </w:r>
      <w:r w:rsidR="00CF5E77" w:rsidRPr="0029333D">
        <w:t xml:space="preserve">(SCADA EMS) </w:t>
      </w:r>
      <w:r w:rsidRPr="0029333D">
        <w:t>upgrade project</w:t>
      </w:r>
      <w:r w:rsidR="00CF5E77" w:rsidRPr="0029333D">
        <w:t xml:space="preserve">, and the Union Gap </w:t>
      </w:r>
      <w:r w:rsidR="00D23A74">
        <w:t>Substation Upgrade</w:t>
      </w:r>
      <w:r w:rsidRPr="0029333D">
        <w:t>.</w:t>
      </w:r>
    </w:p>
    <w:p w:rsidR="006B3A8E" w:rsidRPr="0029333D" w:rsidRDefault="006B3A8E" w:rsidP="006B3A8E">
      <w:pPr>
        <w:pStyle w:val="ListParagraph"/>
        <w:suppressLineNumbers/>
        <w:ind w:left="1440"/>
        <w:jc w:val="left"/>
      </w:pPr>
    </w:p>
    <w:p w:rsidR="001D3057" w:rsidRDefault="001D3057" w:rsidP="006B3A8E">
      <w:pPr>
        <w:pStyle w:val="ListParagraph"/>
        <w:numPr>
          <w:ilvl w:val="0"/>
          <w:numId w:val="11"/>
        </w:numPr>
        <w:jc w:val="left"/>
      </w:pPr>
      <w:r w:rsidRPr="0029333D">
        <w:t xml:space="preserve">Significant cost increases associated with the expiration of </w:t>
      </w:r>
      <w:r w:rsidR="00D23A74">
        <w:t xml:space="preserve">certain </w:t>
      </w:r>
      <w:r w:rsidR="00E41541">
        <w:t>Production Tax Credits (PTCs)</w:t>
      </w:r>
      <w:r w:rsidRPr="0029333D">
        <w:t xml:space="preserve"> for renewable resources beginning in September 2016.</w:t>
      </w:r>
    </w:p>
    <w:p w:rsidR="006B3A8E" w:rsidRPr="0029333D" w:rsidRDefault="006B3A8E" w:rsidP="006B3A8E">
      <w:pPr>
        <w:suppressLineNumbers/>
        <w:jc w:val="left"/>
      </w:pPr>
    </w:p>
    <w:p w:rsidR="001D3057" w:rsidRPr="0029333D" w:rsidRDefault="001D3057" w:rsidP="00CF5E77">
      <w:pPr>
        <w:spacing w:line="480" w:lineRule="auto"/>
        <w:ind w:left="720"/>
        <w:jc w:val="left"/>
      </w:pPr>
      <w:r w:rsidRPr="0029333D">
        <w:t xml:space="preserve">Each of the major plant investment projects is discussed in detail by other witnesses in this filing.  Mr. Teply and Mr. Link address the additions and overhauls at Jim Bridger Unit 4.  </w:t>
      </w:r>
      <w:r w:rsidR="00CF5E77" w:rsidRPr="0029333D">
        <w:t xml:space="preserve">Mr. Stuart J. Kelly discusses details of SCADA EMS in his direct testimony.  </w:t>
      </w:r>
      <w:r w:rsidRPr="0029333D">
        <w:t xml:space="preserve">Finally, </w:t>
      </w:r>
      <w:r w:rsidR="00CF5E77" w:rsidRPr="0029333D">
        <w:t xml:space="preserve">Mr. Vail sponsors testimony in support of the Union Gap </w:t>
      </w:r>
      <w:r w:rsidR="008A7D2C" w:rsidRPr="0029333D">
        <w:t>Substation Upgrade</w:t>
      </w:r>
      <w:r w:rsidR="00CF5E77" w:rsidRPr="0029333D">
        <w:t>, the second phase addition to the Union Gap facilities where phase one, the distribution phase, was approved by the Commission in the Company’s 2014 Rate Case.</w:t>
      </w:r>
      <w:r w:rsidR="00CF5E77" w:rsidRPr="0029333D">
        <w:rPr>
          <w:rStyle w:val="FootnoteReference"/>
        </w:rPr>
        <w:footnoteReference w:id="26"/>
      </w:r>
      <w:r w:rsidR="00CF5E77" w:rsidRPr="0029333D">
        <w:t xml:space="preserve">  </w:t>
      </w:r>
    </w:p>
    <w:p w:rsidR="00CF5E77" w:rsidRPr="0029333D" w:rsidRDefault="00CF5E77" w:rsidP="00CF5E77">
      <w:pPr>
        <w:pStyle w:val="Answer"/>
        <w:widowControl w:val="0"/>
        <w:jc w:val="left"/>
        <w:rPr>
          <w:b/>
          <w:szCs w:val="24"/>
        </w:rPr>
      </w:pPr>
      <w:r w:rsidRPr="0029333D">
        <w:rPr>
          <w:b/>
          <w:szCs w:val="24"/>
        </w:rPr>
        <w:t>Q.</w:t>
      </w:r>
      <w:r w:rsidRPr="0029333D">
        <w:rPr>
          <w:b/>
          <w:szCs w:val="24"/>
        </w:rPr>
        <w:tab/>
        <w:t>Please describe Exhibit No. SEM-4.</w:t>
      </w:r>
    </w:p>
    <w:p w:rsidR="00E9250B" w:rsidRDefault="00CF5E77" w:rsidP="00CF5E77">
      <w:pPr>
        <w:pStyle w:val="Answer"/>
        <w:widowControl w:val="0"/>
        <w:jc w:val="left"/>
        <w:rPr>
          <w:szCs w:val="24"/>
        </w:rPr>
      </w:pPr>
      <w:r w:rsidRPr="0029333D">
        <w:rPr>
          <w:szCs w:val="24"/>
        </w:rPr>
        <w:t>A.</w:t>
      </w:r>
      <w:r w:rsidRPr="0029333D">
        <w:rPr>
          <w:szCs w:val="24"/>
        </w:rPr>
        <w:tab/>
        <w:t xml:space="preserve"> Exhibit No. SEM-4 details the calculation of incremental revenue requirement for the second year of the Company’s proposed two-year rate plan.  The model provides analytical evidence in support of a required revenue increase of $10.6 million in year two of the rate plan.  However, as with the year-one request, the Company </w:t>
      </w:r>
      <w:r w:rsidR="00FF5E87" w:rsidRPr="0029333D">
        <w:rPr>
          <w:szCs w:val="24"/>
        </w:rPr>
        <w:t xml:space="preserve">is limiting the requested rate increase to </w:t>
      </w:r>
      <w:r w:rsidR="00F95A6B" w:rsidRPr="0029333D">
        <w:rPr>
          <w:szCs w:val="24"/>
        </w:rPr>
        <w:t>less than</w:t>
      </w:r>
      <w:r w:rsidR="00FF5E87" w:rsidRPr="0029333D">
        <w:rPr>
          <w:szCs w:val="24"/>
        </w:rPr>
        <w:t xml:space="preserve"> three percent.  Therefore, the Company</w:t>
      </w:r>
      <w:r w:rsidRPr="0029333D">
        <w:rPr>
          <w:szCs w:val="24"/>
        </w:rPr>
        <w:t xml:space="preserve"> is requesting </w:t>
      </w:r>
      <w:r w:rsidR="00FF5E87" w:rsidRPr="0029333D">
        <w:rPr>
          <w:szCs w:val="24"/>
        </w:rPr>
        <w:t xml:space="preserve">only </w:t>
      </w:r>
      <w:r w:rsidRPr="0029333D">
        <w:rPr>
          <w:szCs w:val="24"/>
        </w:rPr>
        <w:t xml:space="preserve">a $10.3 million increase to its revenue requirement.  This is a 2.99 percent increase to gross annual revenues, inclusive of the year-one rate increase.  </w:t>
      </w:r>
    </w:p>
    <w:p w:rsidR="00CF5E77" w:rsidRPr="0029333D" w:rsidRDefault="00CF5E77" w:rsidP="00CF5E77">
      <w:pPr>
        <w:pStyle w:val="Answer"/>
        <w:widowControl w:val="0"/>
        <w:jc w:val="left"/>
        <w:rPr>
          <w:b/>
          <w:szCs w:val="24"/>
        </w:rPr>
      </w:pPr>
      <w:r w:rsidRPr="0029333D">
        <w:rPr>
          <w:b/>
          <w:szCs w:val="24"/>
        </w:rPr>
        <w:t>Q.</w:t>
      </w:r>
      <w:r w:rsidRPr="0029333D">
        <w:rPr>
          <w:b/>
          <w:szCs w:val="24"/>
        </w:rPr>
        <w:tab/>
        <w:t>Please describe how Exhibit No. SEM-4 is organized.</w:t>
      </w:r>
    </w:p>
    <w:p w:rsidR="00CF5E77" w:rsidRPr="0029333D" w:rsidRDefault="00CF5E77" w:rsidP="00CF5E77">
      <w:pPr>
        <w:pStyle w:val="Answer"/>
        <w:widowControl w:val="0"/>
        <w:jc w:val="left"/>
        <w:rPr>
          <w:szCs w:val="24"/>
        </w:rPr>
      </w:pPr>
      <w:r w:rsidRPr="0029333D">
        <w:rPr>
          <w:szCs w:val="24"/>
        </w:rPr>
        <w:t>A.</w:t>
      </w:r>
      <w:r w:rsidRPr="0029333D">
        <w:rPr>
          <w:szCs w:val="24"/>
        </w:rPr>
        <w:tab/>
        <w:t>The Exhibit is organized into the following sections or tabs:</w:t>
      </w:r>
    </w:p>
    <w:p w:rsidR="00CF5E77" w:rsidRDefault="00CF5E77" w:rsidP="00D245B0">
      <w:pPr>
        <w:pStyle w:val="Answer"/>
        <w:widowControl w:val="0"/>
        <w:numPr>
          <w:ilvl w:val="0"/>
          <w:numId w:val="13"/>
        </w:numPr>
        <w:spacing w:line="240" w:lineRule="auto"/>
        <w:ind w:left="1526"/>
        <w:jc w:val="left"/>
        <w:rPr>
          <w:szCs w:val="24"/>
        </w:rPr>
      </w:pPr>
      <w:r w:rsidRPr="0029333D">
        <w:rPr>
          <w:szCs w:val="24"/>
        </w:rPr>
        <w:t>Tab 1</w:t>
      </w:r>
      <w:r w:rsidR="00D245B0">
        <w:rPr>
          <w:szCs w:val="24"/>
        </w:rPr>
        <w:t>—</w:t>
      </w:r>
      <w:r w:rsidRPr="0029333D">
        <w:rPr>
          <w:szCs w:val="24"/>
        </w:rPr>
        <w:t xml:space="preserve">This tab summarizes the incremental revenue requirement in year two of the proposed rate plan, and presents a summary of the variables used in developing year-two revenue requirement calculations, such as capital </w:t>
      </w:r>
      <w:r w:rsidRPr="0029333D">
        <w:rPr>
          <w:szCs w:val="24"/>
        </w:rPr>
        <w:lastRenderedPageBreak/>
        <w:t xml:space="preserve">structure and costs, relevant WCA allocation factors, and references normalized rate base and </w:t>
      </w:r>
      <w:r w:rsidR="00FF5E87" w:rsidRPr="0029333D">
        <w:rPr>
          <w:szCs w:val="24"/>
        </w:rPr>
        <w:t xml:space="preserve">net operating </w:t>
      </w:r>
      <w:r w:rsidR="00CC77EF">
        <w:rPr>
          <w:szCs w:val="24"/>
        </w:rPr>
        <w:t>income</w:t>
      </w:r>
      <w:r w:rsidRPr="0029333D">
        <w:rPr>
          <w:szCs w:val="24"/>
        </w:rPr>
        <w:t xml:space="preserve"> from the ERF as calculated in Exhibit No. SEM-3.</w:t>
      </w:r>
    </w:p>
    <w:p w:rsidR="00D245B0" w:rsidRPr="0029333D" w:rsidRDefault="00D245B0" w:rsidP="00D245B0">
      <w:pPr>
        <w:pStyle w:val="Answer"/>
        <w:widowControl w:val="0"/>
        <w:suppressLineNumbers/>
        <w:spacing w:line="240" w:lineRule="auto"/>
        <w:ind w:left="1526" w:firstLine="0"/>
        <w:jc w:val="left"/>
        <w:rPr>
          <w:szCs w:val="24"/>
        </w:rPr>
      </w:pPr>
    </w:p>
    <w:p w:rsidR="00CF5E77" w:rsidRDefault="00CF5E77" w:rsidP="00D245B0">
      <w:pPr>
        <w:pStyle w:val="Answer"/>
        <w:widowControl w:val="0"/>
        <w:numPr>
          <w:ilvl w:val="0"/>
          <w:numId w:val="13"/>
        </w:numPr>
        <w:spacing w:line="240" w:lineRule="auto"/>
        <w:ind w:left="1526"/>
        <w:jc w:val="left"/>
        <w:rPr>
          <w:szCs w:val="24"/>
        </w:rPr>
      </w:pPr>
      <w:r w:rsidRPr="0029333D">
        <w:rPr>
          <w:szCs w:val="24"/>
        </w:rPr>
        <w:t>Tab 2</w:t>
      </w:r>
      <w:r w:rsidR="00D245B0">
        <w:rPr>
          <w:szCs w:val="24"/>
        </w:rPr>
        <w:t>—</w:t>
      </w:r>
      <w:r w:rsidRPr="0029333D">
        <w:rPr>
          <w:szCs w:val="24"/>
        </w:rPr>
        <w:t>Summary by Adjustment tab breaks down the total incremental revenue requirement for year two by demonstrating the revenue requirement impact of each discrete adjustment included in the development of year-two revenue requirement.</w:t>
      </w:r>
    </w:p>
    <w:p w:rsidR="00D245B0" w:rsidRPr="0029333D" w:rsidRDefault="00D245B0" w:rsidP="00D245B0">
      <w:pPr>
        <w:pStyle w:val="Answer"/>
        <w:widowControl w:val="0"/>
        <w:suppressLineNumbers/>
        <w:spacing w:line="240" w:lineRule="auto"/>
        <w:ind w:left="0" w:firstLine="0"/>
        <w:jc w:val="left"/>
        <w:rPr>
          <w:szCs w:val="24"/>
        </w:rPr>
      </w:pPr>
    </w:p>
    <w:p w:rsidR="00CF5E77" w:rsidRDefault="00CF5E77" w:rsidP="00D245B0">
      <w:pPr>
        <w:pStyle w:val="Answer"/>
        <w:widowControl w:val="0"/>
        <w:numPr>
          <w:ilvl w:val="0"/>
          <w:numId w:val="13"/>
        </w:numPr>
        <w:spacing w:line="240" w:lineRule="auto"/>
        <w:ind w:left="1526"/>
        <w:jc w:val="left"/>
        <w:rPr>
          <w:szCs w:val="24"/>
        </w:rPr>
      </w:pPr>
      <w:r w:rsidRPr="0029333D">
        <w:rPr>
          <w:szCs w:val="24"/>
        </w:rPr>
        <w:t>Tab</w:t>
      </w:r>
      <w:r w:rsidR="00C25C95" w:rsidRPr="0029333D">
        <w:rPr>
          <w:szCs w:val="24"/>
        </w:rPr>
        <w:t>s</w:t>
      </w:r>
      <w:r w:rsidR="00D245B0">
        <w:rPr>
          <w:szCs w:val="24"/>
        </w:rPr>
        <w:t xml:space="preserve"> 3</w:t>
      </w:r>
      <w:r w:rsidR="00CC77EF">
        <w:rPr>
          <w:szCs w:val="24"/>
        </w:rPr>
        <w:t xml:space="preserve"> through 8—</w:t>
      </w:r>
      <w:r w:rsidRPr="0029333D">
        <w:rPr>
          <w:szCs w:val="24"/>
        </w:rPr>
        <w:t xml:space="preserve">provide supporting documentation for the pro forma adjustments made to normalize results in order to determine year-two revenue requirement.  Each adjustment will be discussed in further detail </w:t>
      </w:r>
      <w:r w:rsidR="00C25C95" w:rsidRPr="0029333D">
        <w:rPr>
          <w:szCs w:val="24"/>
        </w:rPr>
        <w:t>below</w:t>
      </w:r>
      <w:r w:rsidRPr="0029333D">
        <w:rPr>
          <w:szCs w:val="24"/>
        </w:rPr>
        <w:t>.</w:t>
      </w:r>
    </w:p>
    <w:p w:rsidR="00D245B0" w:rsidRPr="0029333D" w:rsidRDefault="00D245B0" w:rsidP="00D245B0">
      <w:pPr>
        <w:pStyle w:val="Answer"/>
        <w:widowControl w:val="0"/>
        <w:suppressLineNumbers/>
        <w:spacing w:line="240" w:lineRule="auto"/>
        <w:ind w:left="0" w:firstLine="0"/>
        <w:jc w:val="left"/>
        <w:rPr>
          <w:szCs w:val="24"/>
        </w:rPr>
      </w:pPr>
    </w:p>
    <w:p w:rsidR="00AF5237" w:rsidRPr="0029333D" w:rsidRDefault="00AF5237" w:rsidP="00AF5237">
      <w:pPr>
        <w:pStyle w:val="Answer"/>
        <w:widowControl w:val="0"/>
        <w:jc w:val="left"/>
        <w:rPr>
          <w:b/>
          <w:szCs w:val="24"/>
        </w:rPr>
      </w:pPr>
      <w:r w:rsidRPr="0029333D">
        <w:rPr>
          <w:b/>
          <w:szCs w:val="24"/>
        </w:rPr>
        <w:t>Q.</w:t>
      </w:r>
      <w:r w:rsidRPr="0029333D">
        <w:rPr>
          <w:b/>
          <w:szCs w:val="24"/>
        </w:rPr>
        <w:tab/>
        <w:t>Please describe the adjustments reflected in Exhibit No. SEM-4.</w:t>
      </w:r>
    </w:p>
    <w:p w:rsidR="00AF5237" w:rsidRPr="0029333D" w:rsidRDefault="00AF5237" w:rsidP="00AF5237">
      <w:pPr>
        <w:pStyle w:val="Answer"/>
        <w:widowControl w:val="0"/>
        <w:jc w:val="left"/>
        <w:rPr>
          <w:szCs w:val="24"/>
        </w:rPr>
      </w:pPr>
      <w:r w:rsidRPr="0029333D">
        <w:rPr>
          <w:szCs w:val="24"/>
        </w:rPr>
        <w:t>A.</w:t>
      </w:r>
      <w:r w:rsidRPr="0029333D">
        <w:rPr>
          <w:szCs w:val="24"/>
        </w:rPr>
        <w:tab/>
      </w:r>
      <w:r w:rsidRPr="0029333D">
        <w:rPr>
          <w:b/>
          <w:szCs w:val="24"/>
        </w:rPr>
        <w:t xml:space="preserve">Adj. 1: Jim Bridger Unit 4 </w:t>
      </w:r>
      <w:r w:rsidR="00FF5E87" w:rsidRPr="0029333D">
        <w:rPr>
          <w:b/>
          <w:szCs w:val="24"/>
        </w:rPr>
        <w:t>o</w:t>
      </w:r>
      <w:r w:rsidRPr="0029333D">
        <w:rPr>
          <w:b/>
          <w:szCs w:val="24"/>
        </w:rPr>
        <w:t xml:space="preserve">verhaul and SCR </w:t>
      </w:r>
      <w:r w:rsidR="00FF5E87" w:rsidRPr="0029333D">
        <w:rPr>
          <w:b/>
          <w:szCs w:val="24"/>
        </w:rPr>
        <w:t>system</w:t>
      </w:r>
      <w:r w:rsidR="001D3057" w:rsidRPr="0029333D">
        <w:rPr>
          <w:b/>
          <w:szCs w:val="24"/>
        </w:rPr>
        <w:t xml:space="preserve"> (</w:t>
      </w:r>
      <w:r w:rsidRPr="0029333D">
        <w:rPr>
          <w:b/>
          <w:szCs w:val="24"/>
        </w:rPr>
        <w:t>Tab 3)</w:t>
      </w:r>
      <w:r w:rsidR="00D245B0">
        <w:rPr>
          <w:szCs w:val="24"/>
        </w:rPr>
        <w:t>—</w:t>
      </w:r>
      <w:r w:rsidRPr="0029333D">
        <w:rPr>
          <w:szCs w:val="24"/>
        </w:rPr>
        <w:t xml:space="preserve">This </w:t>
      </w:r>
      <w:r w:rsidR="00CF5E77" w:rsidRPr="0029333D">
        <w:rPr>
          <w:szCs w:val="24"/>
        </w:rPr>
        <w:t xml:space="preserve">pro forma </w:t>
      </w:r>
      <w:r w:rsidRPr="0029333D">
        <w:rPr>
          <w:szCs w:val="24"/>
        </w:rPr>
        <w:t>adjustment adds into rate base major plant additions to be placed in</w:t>
      </w:r>
      <w:r w:rsidR="00E41541">
        <w:rPr>
          <w:szCs w:val="24"/>
        </w:rPr>
        <w:t xml:space="preserve"> </w:t>
      </w:r>
      <w:r w:rsidRPr="0029333D">
        <w:rPr>
          <w:szCs w:val="24"/>
        </w:rPr>
        <w:t xml:space="preserve">service </w:t>
      </w:r>
      <w:r w:rsidR="001D3057" w:rsidRPr="0029333D">
        <w:rPr>
          <w:szCs w:val="24"/>
        </w:rPr>
        <w:t>upon</w:t>
      </w:r>
      <w:r w:rsidRPr="0029333D">
        <w:rPr>
          <w:szCs w:val="24"/>
        </w:rPr>
        <w:t xml:space="preserve"> completion of the Jim Bridger Unit 4 Overhaul and SCR </w:t>
      </w:r>
      <w:r w:rsidR="00E41541">
        <w:rPr>
          <w:szCs w:val="24"/>
        </w:rPr>
        <w:t>system</w:t>
      </w:r>
      <w:r w:rsidRPr="0029333D">
        <w:rPr>
          <w:szCs w:val="24"/>
        </w:rPr>
        <w:t xml:space="preserve">.  </w:t>
      </w:r>
      <w:r w:rsidR="00FF5E87" w:rsidRPr="0029333D">
        <w:rPr>
          <w:szCs w:val="24"/>
        </w:rPr>
        <w:t>Additional detail on the comp</w:t>
      </w:r>
      <w:r w:rsidR="00E41541">
        <w:rPr>
          <w:szCs w:val="24"/>
        </w:rPr>
        <w:t>onents of the Jim Bridger Unit 4</w:t>
      </w:r>
      <w:r w:rsidR="00FF5E87" w:rsidRPr="0029333D">
        <w:rPr>
          <w:szCs w:val="24"/>
        </w:rPr>
        <w:t xml:space="preserve"> overhaul and SCR </w:t>
      </w:r>
      <w:r w:rsidR="00E41541">
        <w:rPr>
          <w:szCs w:val="24"/>
        </w:rPr>
        <w:t>system</w:t>
      </w:r>
      <w:r w:rsidR="00FF5E87" w:rsidRPr="0029333D">
        <w:rPr>
          <w:szCs w:val="24"/>
        </w:rPr>
        <w:t xml:space="preserve"> are provided in Confidential Exhibit No. SEM-5C.  </w:t>
      </w:r>
      <w:r w:rsidRPr="0029333D">
        <w:rPr>
          <w:szCs w:val="24"/>
        </w:rPr>
        <w:t xml:space="preserve">This project is scheduled to be </w:t>
      </w:r>
      <w:r w:rsidR="001D3057" w:rsidRPr="0029333D">
        <w:rPr>
          <w:szCs w:val="24"/>
        </w:rPr>
        <w:t xml:space="preserve">placed </w:t>
      </w:r>
      <w:r w:rsidRPr="0029333D">
        <w:rPr>
          <w:szCs w:val="24"/>
        </w:rPr>
        <w:t>in</w:t>
      </w:r>
      <w:r w:rsidR="00FF5E87" w:rsidRPr="0029333D">
        <w:rPr>
          <w:szCs w:val="24"/>
        </w:rPr>
        <w:t xml:space="preserve"> </w:t>
      </w:r>
      <w:r w:rsidRPr="0029333D">
        <w:rPr>
          <w:szCs w:val="24"/>
        </w:rPr>
        <w:t>service in the latter part of 2016, well in advance of the requested rate effective date of the year-two increase</w:t>
      </w:r>
      <w:r w:rsidR="001D3057" w:rsidRPr="0029333D">
        <w:rPr>
          <w:szCs w:val="24"/>
        </w:rPr>
        <w:t xml:space="preserve"> of the proposed rate plan</w:t>
      </w:r>
      <w:r w:rsidRPr="0029333D">
        <w:rPr>
          <w:szCs w:val="24"/>
        </w:rPr>
        <w:t xml:space="preserve">.  </w:t>
      </w:r>
      <w:r w:rsidR="001D3057" w:rsidRPr="0029333D">
        <w:rPr>
          <w:szCs w:val="24"/>
        </w:rPr>
        <w:t>Consistent with pro forma rate base additions reflected in</w:t>
      </w:r>
      <w:r w:rsidR="00C25C95" w:rsidRPr="0029333D">
        <w:rPr>
          <w:szCs w:val="24"/>
        </w:rPr>
        <w:t xml:space="preserve"> year </w:t>
      </w:r>
      <w:r w:rsidR="001D3057" w:rsidRPr="0029333D">
        <w:rPr>
          <w:szCs w:val="24"/>
        </w:rPr>
        <w:t>one, net plant amounts for all year-two pro forma capital additions</w:t>
      </w:r>
      <w:r w:rsidRPr="0029333D">
        <w:rPr>
          <w:szCs w:val="24"/>
        </w:rPr>
        <w:t xml:space="preserve"> are </w:t>
      </w:r>
      <w:r w:rsidR="001D3057" w:rsidRPr="0029333D">
        <w:rPr>
          <w:szCs w:val="24"/>
        </w:rPr>
        <w:t xml:space="preserve">also </w:t>
      </w:r>
      <w:r w:rsidRPr="0029333D">
        <w:rPr>
          <w:szCs w:val="24"/>
        </w:rPr>
        <w:t>included on an AMA basis for the rate effective period May 1, 2017</w:t>
      </w:r>
      <w:r w:rsidR="00E41541">
        <w:rPr>
          <w:szCs w:val="24"/>
        </w:rPr>
        <w:t>,</w:t>
      </w:r>
      <w:r w:rsidRPr="0029333D">
        <w:rPr>
          <w:szCs w:val="24"/>
        </w:rPr>
        <w:t xml:space="preserve"> through April 30, 2018. </w:t>
      </w:r>
      <w:r w:rsidR="001D3057" w:rsidRPr="0029333D">
        <w:rPr>
          <w:szCs w:val="24"/>
        </w:rPr>
        <w:t xml:space="preserve"> This </w:t>
      </w:r>
      <w:r w:rsidR="00E41541">
        <w:rPr>
          <w:szCs w:val="24"/>
        </w:rPr>
        <w:t>investment</w:t>
      </w:r>
      <w:r w:rsidR="001D3057" w:rsidRPr="0029333D">
        <w:rPr>
          <w:szCs w:val="24"/>
        </w:rPr>
        <w:t xml:space="preserve"> is discussed in detail in the direct t</w:t>
      </w:r>
      <w:r w:rsidRPr="0029333D">
        <w:rPr>
          <w:szCs w:val="24"/>
        </w:rPr>
        <w:t>estimon</w:t>
      </w:r>
      <w:r w:rsidR="00FF5E87" w:rsidRPr="0029333D">
        <w:rPr>
          <w:szCs w:val="24"/>
        </w:rPr>
        <w:t>ies</w:t>
      </w:r>
      <w:r w:rsidRPr="0029333D">
        <w:rPr>
          <w:szCs w:val="24"/>
        </w:rPr>
        <w:t xml:space="preserve"> of Mr. </w:t>
      </w:r>
      <w:r w:rsidR="001D3057" w:rsidRPr="0029333D">
        <w:rPr>
          <w:szCs w:val="24"/>
        </w:rPr>
        <w:t>Teply and Mr. Link.</w:t>
      </w:r>
      <w:r w:rsidRPr="0029333D">
        <w:rPr>
          <w:szCs w:val="24"/>
        </w:rPr>
        <w:t xml:space="preserve">  The Company </w:t>
      </w:r>
      <w:r w:rsidR="001D3057" w:rsidRPr="0029333D">
        <w:rPr>
          <w:szCs w:val="24"/>
        </w:rPr>
        <w:t>is also committing to file</w:t>
      </w:r>
      <w:r w:rsidRPr="0029333D">
        <w:rPr>
          <w:szCs w:val="24"/>
        </w:rPr>
        <w:t xml:space="preserve"> </w:t>
      </w:r>
      <w:r w:rsidR="001D3057" w:rsidRPr="0029333D">
        <w:rPr>
          <w:szCs w:val="24"/>
        </w:rPr>
        <w:t>attestations to</w:t>
      </w:r>
      <w:r w:rsidRPr="0029333D">
        <w:rPr>
          <w:szCs w:val="24"/>
        </w:rPr>
        <w:t xml:space="preserve"> affirm that each project is used and useful, with costs known and measurable upon the completion of each project</w:t>
      </w:r>
      <w:r w:rsidR="001D3057" w:rsidRPr="0029333D">
        <w:rPr>
          <w:szCs w:val="24"/>
        </w:rPr>
        <w:t xml:space="preserve"> detailed in Exhibit No. SEM-4</w:t>
      </w:r>
      <w:r w:rsidRPr="0029333D">
        <w:rPr>
          <w:szCs w:val="24"/>
        </w:rPr>
        <w:t>.  This adjustment also incorporates the associated depreciation expense, accumulated reserve impacts, and corresponding tax effects.</w:t>
      </w:r>
    </w:p>
    <w:p w:rsidR="001D3057" w:rsidRPr="0029333D" w:rsidRDefault="001D3057" w:rsidP="009151DC">
      <w:pPr>
        <w:pStyle w:val="Answer"/>
        <w:widowControl w:val="0"/>
        <w:ind w:firstLine="0"/>
        <w:jc w:val="left"/>
        <w:rPr>
          <w:szCs w:val="24"/>
        </w:rPr>
      </w:pPr>
      <w:r w:rsidRPr="0029333D">
        <w:rPr>
          <w:b/>
          <w:szCs w:val="24"/>
        </w:rPr>
        <w:lastRenderedPageBreak/>
        <w:t>Adj. 2: S</w:t>
      </w:r>
      <w:r w:rsidR="00CF5E77" w:rsidRPr="0029333D">
        <w:rPr>
          <w:b/>
          <w:szCs w:val="24"/>
        </w:rPr>
        <w:t>CADA EMS Upgrade Project</w:t>
      </w:r>
      <w:r w:rsidRPr="0029333D">
        <w:rPr>
          <w:b/>
          <w:szCs w:val="24"/>
        </w:rPr>
        <w:t xml:space="preserve"> (T</w:t>
      </w:r>
      <w:r w:rsidR="00CF5E77" w:rsidRPr="0029333D">
        <w:rPr>
          <w:b/>
          <w:szCs w:val="24"/>
        </w:rPr>
        <w:t>ab 4</w:t>
      </w:r>
      <w:r w:rsidRPr="0029333D">
        <w:rPr>
          <w:b/>
          <w:szCs w:val="24"/>
        </w:rPr>
        <w:t>)</w:t>
      </w:r>
      <w:r w:rsidR="00E41541">
        <w:rPr>
          <w:szCs w:val="24"/>
        </w:rPr>
        <w:t>—</w:t>
      </w:r>
      <w:r w:rsidRPr="0029333D">
        <w:rPr>
          <w:szCs w:val="24"/>
        </w:rPr>
        <w:t xml:space="preserve">This </w:t>
      </w:r>
      <w:r w:rsidR="00CF5E77" w:rsidRPr="0029333D">
        <w:rPr>
          <w:szCs w:val="24"/>
        </w:rPr>
        <w:t xml:space="preserve">pro forma </w:t>
      </w:r>
      <w:r w:rsidRPr="0029333D">
        <w:rPr>
          <w:szCs w:val="24"/>
        </w:rPr>
        <w:t xml:space="preserve">adjustment adds into rate base major plant additions </w:t>
      </w:r>
      <w:r w:rsidR="00CF5E77" w:rsidRPr="0029333D">
        <w:rPr>
          <w:szCs w:val="24"/>
        </w:rPr>
        <w:t>to be placed in service March 2016, associated with the completion of the SCADA EMS upgrade project.  Details of this project are discussed in the direct testimony of Mr. Kelly.</w:t>
      </w:r>
    </w:p>
    <w:p w:rsidR="00CF5E77" w:rsidRPr="0029333D" w:rsidRDefault="00CF5E77" w:rsidP="009151DC">
      <w:pPr>
        <w:pStyle w:val="Answer"/>
        <w:widowControl w:val="0"/>
        <w:ind w:firstLine="0"/>
        <w:jc w:val="left"/>
        <w:rPr>
          <w:szCs w:val="24"/>
        </w:rPr>
      </w:pPr>
      <w:r w:rsidRPr="0029333D">
        <w:rPr>
          <w:b/>
          <w:szCs w:val="24"/>
        </w:rPr>
        <w:t xml:space="preserve">Adj. 3: Union Gap </w:t>
      </w:r>
      <w:r w:rsidR="00C25C95" w:rsidRPr="0029333D">
        <w:rPr>
          <w:b/>
          <w:szCs w:val="24"/>
        </w:rPr>
        <w:t>Substation Upgrade</w:t>
      </w:r>
      <w:r w:rsidRPr="0029333D">
        <w:rPr>
          <w:b/>
          <w:szCs w:val="24"/>
        </w:rPr>
        <w:t xml:space="preserve"> (Tab 5)</w:t>
      </w:r>
      <w:r w:rsidR="00E41541">
        <w:rPr>
          <w:szCs w:val="24"/>
        </w:rPr>
        <w:t>—</w:t>
      </w:r>
      <w:r w:rsidRPr="0029333D">
        <w:rPr>
          <w:szCs w:val="24"/>
        </w:rPr>
        <w:t xml:space="preserve">This pro forma adjustment adds into rate base major plant additions from the Union Gap </w:t>
      </w:r>
      <w:r w:rsidR="00C25C95" w:rsidRPr="0029333D">
        <w:rPr>
          <w:szCs w:val="24"/>
        </w:rPr>
        <w:t>Substation Upgrade</w:t>
      </w:r>
      <w:r w:rsidRPr="0029333D">
        <w:rPr>
          <w:szCs w:val="24"/>
        </w:rPr>
        <w:t xml:space="preserve">.  Detailed discussion on this project can be found in the direct testimony of Mr. Vail. </w:t>
      </w:r>
    </w:p>
    <w:p w:rsidR="00CF5E77" w:rsidRPr="0029333D" w:rsidRDefault="00CF5E77" w:rsidP="009151DC">
      <w:pPr>
        <w:pStyle w:val="Answer"/>
        <w:widowControl w:val="0"/>
        <w:ind w:firstLine="0"/>
        <w:jc w:val="left"/>
        <w:rPr>
          <w:szCs w:val="24"/>
        </w:rPr>
      </w:pPr>
      <w:r w:rsidRPr="0029333D">
        <w:rPr>
          <w:b/>
          <w:szCs w:val="24"/>
        </w:rPr>
        <w:t>Adj. 4: Production Tax Credits (Tab 6)</w:t>
      </w:r>
      <w:r w:rsidR="00E41541">
        <w:rPr>
          <w:szCs w:val="24"/>
        </w:rPr>
        <w:t>—</w:t>
      </w:r>
      <w:r w:rsidR="009B0C15" w:rsidRPr="0029333D">
        <w:rPr>
          <w:szCs w:val="24"/>
        </w:rPr>
        <w:t xml:space="preserve">This pro forma adjustment reflects a reduction to PTCs in the rate effective period due to </w:t>
      </w:r>
      <w:r w:rsidR="00C25C95" w:rsidRPr="0029333D">
        <w:rPr>
          <w:szCs w:val="24"/>
        </w:rPr>
        <w:t xml:space="preserve">the </w:t>
      </w:r>
      <w:r w:rsidR="009B0C15" w:rsidRPr="0029333D">
        <w:rPr>
          <w:szCs w:val="24"/>
        </w:rPr>
        <w:t xml:space="preserve">expiration of certain PTCs for renewable resources beginning in September 2016, which is discussed in detail later on in my testimony. </w:t>
      </w:r>
    </w:p>
    <w:p w:rsidR="009B0C15" w:rsidRPr="0029333D" w:rsidRDefault="009B0C15" w:rsidP="009B0C15">
      <w:pPr>
        <w:pStyle w:val="Answer"/>
        <w:widowControl w:val="0"/>
        <w:ind w:firstLine="0"/>
        <w:jc w:val="left"/>
        <w:rPr>
          <w:szCs w:val="24"/>
        </w:rPr>
      </w:pPr>
      <w:r w:rsidRPr="0029333D">
        <w:rPr>
          <w:b/>
          <w:szCs w:val="24"/>
        </w:rPr>
        <w:t>Adj. 5: Remove Deferred State Tax Expense and Balance (Tab 7)</w:t>
      </w:r>
      <w:r w:rsidRPr="0029333D">
        <w:rPr>
          <w:szCs w:val="24"/>
        </w:rPr>
        <w:t>—Consistent with page 7.7, this pro forma adjustment is made to remove deferred state income tax expenses and balances from the Test Period.  State income taxes are a system cost for the Company that is not recoverable in Washington under the WCA.</w:t>
      </w:r>
    </w:p>
    <w:p w:rsidR="0059550B" w:rsidRPr="0029333D" w:rsidRDefault="0059550B" w:rsidP="009B0C15">
      <w:pPr>
        <w:pStyle w:val="Answer"/>
        <w:widowControl w:val="0"/>
        <w:ind w:firstLine="0"/>
        <w:jc w:val="left"/>
        <w:rPr>
          <w:szCs w:val="24"/>
        </w:rPr>
      </w:pPr>
      <w:r w:rsidRPr="0029333D">
        <w:rPr>
          <w:b/>
          <w:szCs w:val="24"/>
        </w:rPr>
        <w:t>Adj. 6: Interest True-Up (Tab 8)</w:t>
      </w:r>
      <w:r w:rsidR="00D245B0">
        <w:rPr>
          <w:szCs w:val="24"/>
        </w:rPr>
        <w:t>—</w:t>
      </w:r>
      <w:r w:rsidRPr="0029333D">
        <w:rPr>
          <w:szCs w:val="24"/>
        </w:rPr>
        <w:t>This pro forma adjustment details the adjustment to interest expense required to synchronize the Test Period in</w:t>
      </w:r>
      <w:r w:rsidR="000654E8" w:rsidRPr="0029333D">
        <w:rPr>
          <w:szCs w:val="24"/>
        </w:rPr>
        <w:t>terest expense with rate base.  Thi</w:t>
      </w:r>
      <w:r w:rsidR="001064BC" w:rsidRPr="0029333D">
        <w:rPr>
          <w:szCs w:val="24"/>
        </w:rPr>
        <w:t>s calculation is done consistent with page 7.1 in Exhibit No. SEM-3</w:t>
      </w:r>
      <w:r w:rsidR="00E41541">
        <w:rPr>
          <w:szCs w:val="24"/>
        </w:rPr>
        <w:t>.</w:t>
      </w:r>
    </w:p>
    <w:p w:rsidR="004C5453" w:rsidRPr="0029333D" w:rsidRDefault="004C5453" w:rsidP="004C5453">
      <w:pPr>
        <w:pStyle w:val="Answer"/>
        <w:jc w:val="left"/>
        <w:rPr>
          <w:b/>
          <w:szCs w:val="24"/>
        </w:rPr>
      </w:pPr>
      <w:r w:rsidRPr="0029333D">
        <w:rPr>
          <w:b/>
          <w:szCs w:val="24"/>
        </w:rPr>
        <w:t>Q.</w:t>
      </w:r>
      <w:r w:rsidRPr="0029333D">
        <w:rPr>
          <w:b/>
          <w:szCs w:val="24"/>
        </w:rPr>
        <w:tab/>
        <w:t xml:space="preserve">What are </w:t>
      </w:r>
      <w:r w:rsidR="009553AF" w:rsidRPr="0029333D">
        <w:rPr>
          <w:b/>
          <w:szCs w:val="24"/>
        </w:rPr>
        <w:t>P</w:t>
      </w:r>
      <w:r w:rsidRPr="0029333D">
        <w:rPr>
          <w:b/>
          <w:szCs w:val="24"/>
        </w:rPr>
        <w:t>TC</w:t>
      </w:r>
      <w:r w:rsidR="009553AF" w:rsidRPr="0029333D">
        <w:rPr>
          <w:b/>
          <w:szCs w:val="24"/>
        </w:rPr>
        <w:t>s</w:t>
      </w:r>
      <w:r w:rsidRPr="0029333D">
        <w:rPr>
          <w:b/>
          <w:szCs w:val="24"/>
        </w:rPr>
        <w:t>?</w:t>
      </w:r>
      <w:r w:rsidRPr="0029333D">
        <w:rPr>
          <w:szCs w:val="24"/>
        </w:rPr>
        <w:t xml:space="preserve"> </w:t>
      </w:r>
    </w:p>
    <w:p w:rsidR="004C5453" w:rsidRPr="0029333D" w:rsidRDefault="004C5453" w:rsidP="004C5453">
      <w:pPr>
        <w:pStyle w:val="Answer"/>
        <w:jc w:val="left"/>
        <w:rPr>
          <w:szCs w:val="24"/>
        </w:rPr>
      </w:pPr>
      <w:r w:rsidRPr="0029333D">
        <w:rPr>
          <w:szCs w:val="24"/>
        </w:rPr>
        <w:t>A.</w:t>
      </w:r>
      <w:r w:rsidRPr="0029333D">
        <w:rPr>
          <w:szCs w:val="24"/>
        </w:rPr>
        <w:tab/>
        <w:t>The generation of electricity at certain Company-owned facilities is eligible for what is known as the Renewable Electricity Production Tax Credit</w:t>
      </w:r>
      <w:r w:rsidR="00E41541">
        <w:rPr>
          <w:szCs w:val="24"/>
        </w:rPr>
        <w:t>s</w:t>
      </w:r>
      <w:r w:rsidRPr="0029333D">
        <w:rPr>
          <w:szCs w:val="24"/>
        </w:rPr>
        <w:t xml:space="preserve"> under Internal Revenue Code section 45, and is included as an offset to the Company’s income taxes.  For each kilowatt-hour of electricity generated at eligible wind-powered </w:t>
      </w:r>
      <w:r w:rsidRPr="0029333D">
        <w:rPr>
          <w:szCs w:val="24"/>
        </w:rPr>
        <w:lastRenderedPageBreak/>
        <w:t xml:space="preserve">generating facilities, the Company receives a 2.3 cent credit on its tax return each year, for </w:t>
      </w:r>
      <w:r w:rsidR="00F80760" w:rsidRPr="0029333D">
        <w:rPr>
          <w:szCs w:val="24"/>
        </w:rPr>
        <w:t xml:space="preserve">the </w:t>
      </w:r>
      <w:r w:rsidRPr="0029333D">
        <w:rPr>
          <w:szCs w:val="24"/>
        </w:rPr>
        <w:t xml:space="preserve">duration of ten years beginning on the date the facility became commercially operable. </w:t>
      </w:r>
      <w:r w:rsidR="00F80760" w:rsidRPr="0029333D">
        <w:rPr>
          <w:szCs w:val="24"/>
        </w:rPr>
        <w:t xml:space="preserve"> </w:t>
      </w:r>
      <w:r w:rsidRPr="0029333D">
        <w:rPr>
          <w:szCs w:val="24"/>
        </w:rPr>
        <w:t>The value of these credits is reflected as a reduction to current income tax expense on the financial statements and for rate making purposes.</w:t>
      </w:r>
    </w:p>
    <w:p w:rsidR="004C5453" w:rsidRPr="0029333D" w:rsidRDefault="004C5453" w:rsidP="004C5453">
      <w:pPr>
        <w:pStyle w:val="Answer"/>
        <w:jc w:val="left"/>
        <w:rPr>
          <w:b/>
          <w:szCs w:val="24"/>
        </w:rPr>
      </w:pPr>
      <w:r w:rsidRPr="0029333D">
        <w:rPr>
          <w:b/>
          <w:szCs w:val="24"/>
        </w:rPr>
        <w:t>Q.</w:t>
      </w:r>
      <w:r w:rsidRPr="0029333D">
        <w:rPr>
          <w:b/>
          <w:szCs w:val="24"/>
        </w:rPr>
        <w:tab/>
        <w:t xml:space="preserve">How are </w:t>
      </w:r>
      <w:r w:rsidR="009553AF" w:rsidRPr="0029333D">
        <w:rPr>
          <w:b/>
          <w:szCs w:val="24"/>
        </w:rPr>
        <w:t>P</w:t>
      </w:r>
      <w:r w:rsidRPr="0029333D">
        <w:rPr>
          <w:b/>
          <w:szCs w:val="24"/>
        </w:rPr>
        <w:t>TC</w:t>
      </w:r>
      <w:r w:rsidR="009553AF" w:rsidRPr="0029333D">
        <w:rPr>
          <w:b/>
          <w:szCs w:val="24"/>
        </w:rPr>
        <w:t>s</w:t>
      </w:r>
      <w:r w:rsidRPr="0029333D">
        <w:rPr>
          <w:b/>
          <w:szCs w:val="24"/>
        </w:rPr>
        <w:t xml:space="preserve"> changing, and how does this result in increased costs? </w:t>
      </w:r>
    </w:p>
    <w:p w:rsidR="00E41541" w:rsidRDefault="004C5453" w:rsidP="004C5453">
      <w:pPr>
        <w:pStyle w:val="Answer"/>
        <w:jc w:val="left"/>
        <w:rPr>
          <w:szCs w:val="24"/>
        </w:rPr>
      </w:pPr>
      <w:r w:rsidRPr="0029333D">
        <w:rPr>
          <w:szCs w:val="24"/>
        </w:rPr>
        <w:t>A.</w:t>
      </w:r>
      <w:r w:rsidRPr="0029333D">
        <w:rPr>
          <w:b/>
          <w:szCs w:val="24"/>
        </w:rPr>
        <w:tab/>
      </w:r>
      <w:r w:rsidRPr="0029333D">
        <w:rPr>
          <w:szCs w:val="24"/>
        </w:rPr>
        <w:t xml:space="preserve">The amount of </w:t>
      </w:r>
      <w:r w:rsidR="009553AF" w:rsidRPr="0029333D">
        <w:rPr>
          <w:szCs w:val="24"/>
        </w:rPr>
        <w:t>P</w:t>
      </w:r>
      <w:r w:rsidRPr="0029333D">
        <w:rPr>
          <w:szCs w:val="24"/>
        </w:rPr>
        <w:t xml:space="preserve">TCs </w:t>
      </w:r>
      <w:r w:rsidR="000A1AA7" w:rsidRPr="0029333D">
        <w:rPr>
          <w:szCs w:val="24"/>
        </w:rPr>
        <w:t>for</w:t>
      </w:r>
      <w:r w:rsidR="009553AF" w:rsidRPr="0029333D">
        <w:rPr>
          <w:szCs w:val="24"/>
        </w:rPr>
        <w:t xml:space="preserve"> which </w:t>
      </w:r>
      <w:r w:rsidRPr="0029333D">
        <w:rPr>
          <w:szCs w:val="24"/>
        </w:rPr>
        <w:t xml:space="preserve">the Company is eligible is dependent on the number of kilowatt-hours generated at eligible facilities.  These facilities include hydro facilities, as well as the Company’s owned wind-powered generating facilities – Goodnoe Hills, Marengo, Marengo II, and Leaning Juniper.  As a matter of fact, the effects of </w:t>
      </w:r>
      <w:r w:rsidR="00F80760" w:rsidRPr="0029333D">
        <w:rPr>
          <w:szCs w:val="24"/>
        </w:rPr>
        <w:t xml:space="preserve">the </w:t>
      </w:r>
      <w:r w:rsidRPr="0029333D">
        <w:rPr>
          <w:szCs w:val="24"/>
        </w:rPr>
        <w:t xml:space="preserve">loss in </w:t>
      </w:r>
      <w:r w:rsidR="00F80760" w:rsidRPr="0029333D">
        <w:rPr>
          <w:szCs w:val="24"/>
        </w:rPr>
        <w:t>P</w:t>
      </w:r>
      <w:r w:rsidRPr="0029333D">
        <w:rPr>
          <w:szCs w:val="24"/>
        </w:rPr>
        <w:t>TC eligibility are already observable in the step</w:t>
      </w:r>
      <w:r w:rsidR="00F80760" w:rsidRPr="0029333D">
        <w:rPr>
          <w:szCs w:val="24"/>
        </w:rPr>
        <w:t>-</w:t>
      </w:r>
      <w:r w:rsidRPr="0029333D">
        <w:rPr>
          <w:szCs w:val="24"/>
        </w:rPr>
        <w:t xml:space="preserve">one increase request in the ERF.  For example, the eligible portion </w:t>
      </w:r>
      <w:r w:rsidR="00DE5991" w:rsidRPr="0029333D">
        <w:rPr>
          <w:szCs w:val="24"/>
        </w:rPr>
        <w:t xml:space="preserve">of </w:t>
      </w:r>
      <w:r w:rsidRPr="0029333D">
        <w:rPr>
          <w:szCs w:val="24"/>
        </w:rPr>
        <w:t xml:space="preserve">JC Boyle’s hydro generating facility began commercial operation November 18, 2005.  Therefore, upon its 10-year operational anniversary on November 17, 2015, the Company will no longer receive </w:t>
      </w:r>
      <w:r w:rsidR="00F80760" w:rsidRPr="0029333D">
        <w:rPr>
          <w:szCs w:val="24"/>
        </w:rPr>
        <w:t>the P</w:t>
      </w:r>
      <w:r w:rsidRPr="0029333D">
        <w:rPr>
          <w:szCs w:val="24"/>
        </w:rPr>
        <w:t>TC</w:t>
      </w:r>
      <w:r w:rsidR="00F80760" w:rsidRPr="0029333D">
        <w:rPr>
          <w:szCs w:val="24"/>
        </w:rPr>
        <w:t>s</w:t>
      </w:r>
      <w:r w:rsidRPr="0029333D">
        <w:rPr>
          <w:szCs w:val="24"/>
        </w:rPr>
        <w:t xml:space="preserve"> related to renewable energy generated at JC Boyle.  The expiration of </w:t>
      </w:r>
      <w:r w:rsidR="00F80760" w:rsidRPr="0029333D">
        <w:rPr>
          <w:szCs w:val="24"/>
        </w:rPr>
        <w:t>P</w:t>
      </w:r>
      <w:r w:rsidRPr="0029333D">
        <w:rPr>
          <w:szCs w:val="24"/>
        </w:rPr>
        <w:t>TC</w:t>
      </w:r>
      <w:r w:rsidR="00F80760" w:rsidRPr="0029333D">
        <w:rPr>
          <w:szCs w:val="24"/>
        </w:rPr>
        <w:t>s</w:t>
      </w:r>
      <w:r w:rsidRPr="0029333D">
        <w:rPr>
          <w:szCs w:val="24"/>
        </w:rPr>
        <w:t xml:space="preserve"> from JC Boyle is only the first of multiple renewable facilities that will also be expiring in months to follow.  Leaning Juniper began commercial operation on September 14, 2006, with </w:t>
      </w:r>
      <w:r w:rsidR="00F80760" w:rsidRPr="0029333D">
        <w:rPr>
          <w:szCs w:val="24"/>
        </w:rPr>
        <w:t>P</w:t>
      </w:r>
      <w:r w:rsidRPr="0029333D">
        <w:rPr>
          <w:szCs w:val="24"/>
        </w:rPr>
        <w:t>TC</w:t>
      </w:r>
      <w:r w:rsidR="00F80760" w:rsidRPr="0029333D">
        <w:rPr>
          <w:szCs w:val="24"/>
        </w:rPr>
        <w:t>s</w:t>
      </w:r>
      <w:r w:rsidRPr="0029333D">
        <w:rPr>
          <w:szCs w:val="24"/>
        </w:rPr>
        <w:t xml:space="preserve"> available for the first 10 years of operation expir</w:t>
      </w:r>
      <w:r w:rsidR="000A1AA7" w:rsidRPr="0029333D">
        <w:rPr>
          <w:szCs w:val="24"/>
        </w:rPr>
        <w:t>ing</w:t>
      </w:r>
      <w:r w:rsidRPr="0029333D">
        <w:rPr>
          <w:szCs w:val="24"/>
        </w:rPr>
        <w:t xml:space="preserve"> on September 13, 2016.  At that point, the Company will no longer receive </w:t>
      </w:r>
      <w:r w:rsidR="00F80760" w:rsidRPr="0029333D">
        <w:rPr>
          <w:szCs w:val="24"/>
        </w:rPr>
        <w:t>P</w:t>
      </w:r>
      <w:r w:rsidRPr="0029333D">
        <w:rPr>
          <w:szCs w:val="24"/>
        </w:rPr>
        <w:t>TC</w:t>
      </w:r>
      <w:r w:rsidR="00F80760" w:rsidRPr="0029333D">
        <w:rPr>
          <w:szCs w:val="24"/>
        </w:rPr>
        <w:t>s</w:t>
      </w:r>
      <w:r w:rsidRPr="0029333D">
        <w:rPr>
          <w:szCs w:val="24"/>
        </w:rPr>
        <w:t xml:space="preserve"> for energy generated by this facility.  </w:t>
      </w:r>
    </w:p>
    <w:p w:rsidR="00D245B0" w:rsidRDefault="004C5453" w:rsidP="00D245B0">
      <w:pPr>
        <w:pStyle w:val="Answer"/>
        <w:widowControl w:val="0"/>
        <w:jc w:val="left"/>
        <w:rPr>
          <w:b/>
          <w:szCs w:val="24"/>
        </w:rPr>
      </w:pPr>
      <w:r w:rsidRPr="0029333D">
        <w:rPr>
          <w:b/>
          <w:szCs w:val="24"/>
        </w:rPr>
        <w:t>Q.</w:t>
      </w:r>
      <w:r w:rsidRPr="0029333D">
        <w:rPr>
          <w:b/>
          <w:szCs w:val="24"/>
        </w:rPr>
        <w:tab/>
      </w:r>
      <w:r w:rsidR="00F80760" w:rsidRPr="0029333D">
        <w:rPr>
          <w:b/>
          <w:szCs w:val="24"/>
        </w:rPr>
        <w:t>W</w:t>
      </w:r>
      <w:r w:rsidRPr="0029333D">
        <w:rPr>
          <w:b/>
          <w:szCs w:val="24"/>
        </w:rPr>
        <w:t xml:space="preserve">hat is the magnitude of the impacts of losing </w:t>
      </w:r>
      <w:r w:rsidR="00F80760" w:rsidRPr="0029333D">
        <w:rPr>
          <w:b/>
          <w:szCs w:val="24"/>
        </w:rPr>
        <w:t>P</w:t>
      </w:r>
      <w:r w:rsidRPr="0029333D">
        <w:rPr>
          <w:b/>
          <w:szCs w:val="24"/>
        </w:rPr>
        <w:t>TC eligibility in the rate effective period beginning May 1, 2017?</w:t>
      </w:r>
    </w:p>
    <w:p w:rsidR="004C5453" w:rsidRPr="0029333D" w:rsidRDefault="004C5453" w:rsidP="00D245B0">
      <w:pPr>
        <w:pStyle w:val="Answer"/>
        <w:widowControl w:val="0"/>
        <w:jc w:val="left"/>
        <w:rPr>
          <w:b/>
          <w:szCs w:val="24"/>
        </w:rPr>
      </w:pPr>
      <w:r w:rsidRPr="0029333D">
        <w:rPr>
          <w:szCs w:val="24"/>
        </w:rPr>
        <w:t>A.</w:t>
      </w:r>
      <w:r w:rsidRPr="0029333D">
        <w:rPr>
          <w:b/>
          <w:szCs w:val="24"/>
        </w:rPr>
        <w:tab/>
      </w:r>
      <w:r w:rsidRPr="0029333D">
        <w:rPr>
          <w:szCs w:val="24"/>
        </w:rPr>
        <w:t>The rate effective period beginning May 1, 2017</w:t>
      </w:r>
      <w:r w:rsidR="000A1AA7" w:rsidRPr="0029333D">
        <w:rPr>
          <w:szCs w:val="24"/>
        </w:rPr>
        <w:t>,</w:t>
      </w:r>
      <w:r w:rsidRPr="0029333D">
        <w:rPr>
          <w:szCs w:val="24"/>
        </w:rPr>
        <w:t xml:space="preserve"> is the first full rate year where the Company will receive zero </w:t>
      </w:r>
      <w:r w:rsidR="00F80760" w:rsidRPr="0029333D">
        <w:rPr>
          <w:szCs w:val="24"/>
        </w:rPr>
        <w:t>P</w:t>
      </w:r>
      <w:r w:rsidRPr="0029333D">
        <w:rPr>
          <w:szCs w:val="24"/>
        </w:rPr>
        <w:t>TC</w:t>
      </w:r>
      <w:r w:rsidR="00F80760" w:rsidRPr="0029333D">
        <w:rPr>
          <w:szCs w:val="24"/>
        </w:rPr>
        <w:t>s</w:t>
      </w:r>
      <w:r w:rsidRPr="0029333D">
        <w:rPr>
          <w:szCs w:val="24"/>
        </w:rPr>
        <w:t xml:space="preserve"> from Leaning Juniper (</w:t>
      </w:r>
      <w:r w:rsidR="00F80760" w:rsidRPr="0029333D">
        <w:rPr>
          <w:szCs w:val="24"/>
        </w:rPr>
        <w:t>i</w:t>
      </w:r>
      <w:r w:rsidRPr="0029333D">
        <w:rPr>
          <w:szCs w:val="24"/>
        </w:rPr>
        <w:t xml:space="preserve">n </w:t>
      </w:r>
      <w:r w:rsidR="00F80760" w:rsidRPr="0029333D">
        <w:rPr>
          <w:szCs w:val="24"/>
        </w:rPr>
        <w:t>the ERF,</w:t>
      </w:r>
      <w:r w:rsidRPr="0029333D">
        <w:rPr>
          <w:szCs w:val="24"/>
        </w:rPr>
        <w:t xml:space="preserve"> the Company </w:t>
      </w:r>
      <w:r w:rsidRPr="0029333D">
        <w:rPr>
          <w:szCs w:val="24"/>
        </w:rPr>
        <w:lastRenderedPageBreak/>
        <w:t xml:space="preserve">will still receive partial credit due to the expiration date of Leaning Juniper </w:t>
      </w:r>
      <w:r w:rsidR="00E41541">
        <w:rPr>
          <w:szCs w:val="24"/>
        </w:rPr>
        <w:t>credits being September of 2016</w:t>
      </w:r>
      <w:r w:rsidRPr="0029333D">
        <w:rPr>
          <w:szCs w:val="24"/>
        </w:rPr>
        <w:t>)</w:t>
      </w:r>
      <w:r w:rsidR="00E41541">
        <w:rPr>
          <w:szCs w:val="24"/>
        </w:rPr>
        <w:t>.</w:t>
      </w:r>
      <w:r w:rsidRPr="0029333D">
        <w:rPr>
          <w:szCs w:val="24"/>
        </w:rPr>
        <w:t xml:space="preserve"> </w:t>
      </w:r>
      <w:r w:rsidR="00F80760" w:rsidRPr="0029333D">
        <w:rPr>
          <w:szCs w:val="24"/>
        </w:rPr>
        <w:t xml:space="preserve"> </w:t>
      </w:r>
      <w:r w:rsidRPr="0029333D">
        <w:rPr>
          <w:szCs w:val="24"/>
        </w:rPr>
        <w:t xml:space="preserve">In addition to Leaning Juniper, Marengo I wind facility also loses eligibility for </w:t>
      </w:r>
      <w:r w:rsidR="00F80760" w:rsidRPr="0029333D">
        <w:rPr>
          <w:szCs w:val="24"/>
        </w:rPr>
        <w:t>P</w:t>
      </w:r>
      <w:r w:rsidRPr="0029333D">
        <w:rPr>
          <w:szCs w:val="24"/>
        </w:rPr>
        <w:t>TC</w:t>
      </w:r>
      <w:r w:rsidR="00F80760" w:rsidRPr="0029333D">
        <w:rPr>
          <w:szCs w:val="24"/>
        </w:rPr>
        <w:t>s</w:t>
      </w:r>
      <w:r w:rsidRPr="0029333D">
        <w:rPr>
          <w:szCs w:val="24"/>
        </w:rPr>
        <w:t xml:space="preserve"> in August 2017, and Goodnoe Hill</w:t>
      </w:r>
      <w:r w:rsidR="000A1AA7" w:rsidRPr="0029333D">
        <w:rPr>
          <w:szCs w:val="24"/>
        </w:rPr>
        <w:t>s</w:t>
      </w:r>
      <w:r w:rsidRPr="0029333D">
        <w:rPr>
          <w:szCs w:val="24"/>
        </w:rPr>
        <w:t xml:space="preserve"> in December 2017.  As a result of the close succession of </w:t>
      </w:r>
      <w:r w:rsidR="00F80760" w:rsidRPr="0029333D">
        <w:rPr>
          <w:szCs w:val="24"/>
        </w:rPr>
        <w:t>P</w:t>
      </w:r>
      <w:r w:rsidRPr="0029333D">
        <w:rPr>
          <w:szCs w:val="24"/>
        </w:rPr>
        <w:t xml:space="preserve">TC eligibility expirations, the Company will lose $11.6 million in </w:t>
      </w:r>
      <w:r w:rsidR="00F80760" w:rsidRPr="0029333D">
        <w:rPr>
          <w:szCs w:val="24"/>
        </w:rPr>
        <w:t>west control area P</w:t>
      </w:r>
      <w:r w:rsidRPr="0029333D">
        <w:rPr>
          <w:szCs w:val="24"/>
        </w:rPr>
        <w:t>TC</w:t>
      </w:r>
      <w:r w:rsidR="00F80760" w:rsidRPr="0029333D">
        <w:rPr>
          <w:szCs w:val="24"/>
        </w:rPr>
        <w:t>s</w:t>
      </w:r>
      <w:r w:rsidRPr="0029333D">
        <w:rPr>
          <w:szCs w:val="24"/>
        </w:rPr>
        <w:t xml:space="preserve"> in the 12</w:t>
      </w:r>
      <w:r w:rsidR="00F80760" w:rsidRPr="0029333D">
        <w:rPr>
          <w:szCs w:val="24"/>
        </w:rPr>
        <w:t>-</w:t>
      </w:r>
      <w:r w:rsidRPr="0029333D">
        <w:rPr>
          <w:szCs w:val="24"/>
        </w:rPr>
        <w:t>month period between May 1, 2017</w:t>
      </w:r>
      <w:r w:rsidR="00E41541">
        <w:rPr>
          <w:szCs w:val="24"/>
        </w:rPr>
        <w:t>,</w:t>
      </w:r>
      <w:r w:rsidRPr="0029333D">
        <w:rPr>
          <w:szCs w:val="24"/>
        </w:rPr>
        <w:t xml:space="preserve"> </w:t>
      </w:r>
      <w:r w:rsidR="00F80760" w:rsidRPr="0029333D">
        <w:rPr>
          <w:szCs w:val="24"/>
        </w:rPr>
        <w:t xml:space="preserve">and </w:t>
      </w:r>
      <w:r w:rsidRPr="0029333D">
        <w:rPr>
          <w:szCs w:val="24"/>
        </w:rPr>
        <w:t xml:space="preserve">April 30, 2018.  Detailed calculations of </w:t>
      </w:r>
      <w:r w:rsidR="00F80760" w:rsidRPr="0029333D">
        <w:rPr>
          <w:szCs w:val="24"/>
        </w:rPr>
        <w:t>P</w:t>
      </w:r>
      <w:r w:rsidRPr="0029333D">
        <w:rPr>
          <w:szCs w:val="24"/>
        </w:rPr>
        <w:t>TC</w:t>
      </w:r>
      <w:r w:rsidR="00F80760" w:rsidRPr="0029333D">
        <w:rPr>
          <w:szCs w:val="24"/>
        </w:rPr>
        <w:t>s</w:t>
      </w:r>
      <w:r w:rsidRPr="0029333D">
        <w:rPr>
          <w:szCs w:val="24"/>
        </w:rPr>
        <w:t xml:space="preserve"> in this period can be found </w:t>
      </w:r>
      <w:r w:rsidR="00434663" w:rsidRPr="0029333D">
        <w:rPr>
          <w:szCs w:val="24"/>
        </w:rPr>
        <w:t>in workpapers supporting Exhibit No.</w:t>
      </w:r>
      <w:r w:rsidR="00840EA9" w:rsidRPr="0029333D">
        <w:rPr>
          <w:szCs w:val="24"/>
        </w:rPr>
        <w:t xml:space="preserve"> </w:t>
      </w:r>
      <w:r w:rsidR="00434663" w:rsidRPr="0029333D">
        <w:rPr>
          <w:szCs w:val="24"/>
        </w:rPr>
        <w:t>SEM-4, under Adjustment No.</w:t>
      </w:r>
      <w:r w:rsidR="00230542" w:rsidRPr="0029333D">
        <w:rPr>
          <w:szCs w:val="24"/>
        </w:rPr>
        <w:t>4</w:t>
      </w:r>
      <w:r w:rsidR="00434663" w:rsidRPr="0029333D">
        <w:rPr>
          <w:szCs w:val="24"/>
        </w:rPr>
        <w:t xml:space="preserve">, </w:t>
      </w:r>
      <w:r w:rsidR="00230542" w:rsidRPr="0029333D">
        <w:rPr>
          <w:szCs w:val="24"/>
        </w:rPr>
        <w:t>Tab 6</w:t>
      </w:r>
      <w:r w:rsidRPr="0029333D">
        <w:rPr>
          <w:szCs w:val="24"/>
        </w:rPr>
        <w:t xml:space="preserve">.  </w:t>
      </w:r>
    </w:p>
    <w:p w:rsidR="004C5453" w:rsidRPr="0029333D" w:rsidRDefault="004C5453" w:rsidP="004C5453">
      <w:pPr>
        <w:pStyle w:val="Heading1"/>
        <w:rPr>
          <w:rFonts w:cs="Times New Roman"/>
          <w:szCs w:val="24"/>
        </w:rPr>
      </w:pPr>
      <w:bookmarkStart w:id="17" w:name="_Toc436114854"/>
      <w:r w:rsidRPr="0029333D">
        <w:rPr>
          <w:rFonts w:cs="Times New Roman"/>
          <w:szCs w:val="24"/>
        </w:rPr>
        <w:t>Decoupling Mechanism</w:t>
      </w:r>
      <w:bookmarkEnd w:id="17"/>
    </w:p>
    <w:p w:rsidR="00EB6CE2" w:rsidRPr="0029333D" w:rsidRDefault="00EB6CE2" w:rsidP="00EB6CE2">
      <w:pPr>
        <w:pStyle w:val="Question"/>
        <w:widowControl w:val="0"/>
        <w:jc w:val="left"/>
        <w:rPr>
          <w:szCs w:val="24"/>
        </w:rPr>
      </w:pPr>
      <w:r w:rsidRPr="0029333D">
        <w:rPr>
          <w:szCs w:val="24"/>
        </w:rPr>
        <w:t>Q.</w:t>
      </w:r>
      <w:r w:rsidRPr="0029333D">
        <w:rPr>
          <w:szCs w:val="24"/>
        </w:rPr>
        <w:tab/>
        <w:t>Please describe the accounting for the decoupling mechanism</w:t>
      </w:r>
      <w:r w:rsidR="00F80760" w:rsidRPr="0029333D">
        <w:rPr>
          <w:szCs w:val="24"/>
        </w:rPr>
        <w:t xml:space="preserve"> proposed in the testimony of Ms. Joelle </w:t>
      </w:r>
      <w:r w:rsidR="000A1AA7" w:rsidRPr="0029333D">
        <w:rPr>
          <w:szCs w:val="24"/>
        </w:rPr>
        <w:t xml:space="preserve">R. </w:t>
      </w:r>
      <w:r w:rsidR="00F80760" w:rsidRPr="0029333D">
        <w:rPr>
          <w:szCs w:val="24"/>
        </w:rPr>
        <w:t>Steward</w:t>
      </w:r>
      <w:r w:rsidRPr="0029333D">
        <w:rPr>
          <w:szCs w:val="24"/>
        </w:rPr>
        <w:t>.</w:t>
      </w:r>
    </w:p>
    <w:p w:rsidR="00EB6CE2" w:rsidRPr="0029333D" w:rsidRDefault="00EB6CE2" w:rsidP="00525ECE">
      <w:pPr>
        <w:pStyle w:val="Answer"/>
        <w:jc w:val="left"/>
        <w:rPr>
          <w:rStyle w:val="AnswerChar1"/>
          <w:iCs/>
          <w:szCs w:val="24"/>
        </w:rPr>
      </w:pPr>
      <w:r w:rsidRPr="0029333D">
        <w:rPr>
          <w:rStyle w:val="AnswerChar1"/>
          <w:szCs w:val="24"/>
        </w:rPr>
        <w:t>A.</w:t>
      </w:r>
      <w:r w:rsidRPr="0029333D">
        <w:rPr>
          <w:rStyle w:val="AnswerChar1"/>
          <w:b/>
          <w:szCs w:val="24"/>
        </w:rPr>
        <w:tab/>
      </w:r>
      <w:r w:rsidRPr="0029333D">
        <w:rPr>
          <w:rStyle w:val="AnswerChar1"/>
          <w:szCs w:val="24"/>
        </w:rPr>
        <w:t xml:space="preserve">If </w:t>
      </w:r>
      <w:r w:rsidR="00F80760" w:rsidRPr="0029333D">
        <w:rPr>
          <w:rStyle w:val="AnswerChar1"/>
          <w:szCs w:val="24"/>
        </w:rPr>
        <w:t xml:space="preserve">the decoupling mechanism is </w:t>
      </w:r>
      <w:r w:rsidRPr="0029333D">
        <w:rPr>
          <w:rStyle w:val="AnswerChar1"/>
          <w:szCs w:val="24"/>
        </w:rPr>
        <w:t xml:space="preserve">approved, the Company would record the deferral in FERC account 182.3 (Regulatory Asset) or FERC account 254 (Regulatory Liability) for amortizations.  In the income statement, the Company would record both deferred revenue and the amortization of deferred revenue through FERC account 407 (Regulatory Debits and Credit), in separate sub-accounts.  </w:t>
      </w:r>
    </w:p>
    <w:p w:rsidR="0037175E" w:rsidRPr="0029333D" w:rsidRDefault="0037175E" w:rsidP="009151DC">
      <w:pPr>
        <w:pStyle w:val="Answer"/>
        <w:jc w:val="left"/>
        <w:rPr>
          <w:b/>
          <w:bCs/>
          <w:szCs w:val="24"/>
        </w:rPr>
      </w:pPr>
      <w:r w:rsidRPr="0029333D">
        <w:rPr>
          <w:b/>
          <w:bCs/>
          <w:szCs w:val="24"/>
        </w:rPr>
        <w:t xml:space="preserve">Q.  </w:t>
      </w:r>
      <w:r w:rsidRPr="0029333D">
        <w:rPr>
          <w:b/>
          <w:bCs/>
          <w:szCs w:val="24"/>
        </w:rPr>
        <w:tab/>
        <w:t>Is the Company proposing an earnings test as a part of the decoupling mechanism?</w:t>
      </w:r>
    </w:p>
    <w:p w:rsidR="00024E05" w:rsidRDefault="0037175E" w:rsidP="0037175E">
      <w:pPr>
        <w:pStyle w:val="Answer"/>
        <w:jc w:val="left"/>
        <w:rPr>
          <w:bCs/>
          <w:szCs w:val="24"/>
        </w:rPr>
      </w:pPr>
      <w:r w:rsidRPr="0029333D">
        <w:rPr>
          <w:bCs/>
          <w:szCs w:val="24"/>
        </w:rPr>
        <w:t xml:space="preserve">A. </w:t>
      </w:r>
      <w:r w:rsidRPr="0029333D">
        <w:rPr>
          <w:bCs/>
          <w:szCs w:val="24"/>
        </w:rPr>
        <w:tab/>
        <w:t>Yes, the Company proposes an earnings test based on the Company’s CBR operating results</w:t>
      </w:r>
      <w:r w:rsidR="00E31C75" w:rsidRPr="0029333D">
        <w:rPr>
          <w:bCs/>
          <w:szCs w:val="24"/>
        </w:rPr>
        <w:t xml:space="preserve"> for the 12 months ending June 30</w:t>
      </w:r>
      <w:r w:rsidRPr="0029333D">
        <w:rPr>
          <w:bCs/>
          <w:szCs w:val="24"/>
        </w:rPr>
        <w:t xml:space="preserve">, which </w:t>
      </w:r>
      <w:r w:rsidR="00E31C75" w:rsidRPr="0029333D">
        <w:rPr>
          <w:bCs/>
          <w:szCs w:val="24"/>
        </w:rPr>
        <w:t>will be</w:t>
      </w:r>
      <w:r w:rsidRPr="0029333D">
        <w:rPr>
          <w:bCs/>
          <w:szCs w:val="24"/>
        </w:rPr>
        <w:t xml:space="preserve"> filed with the Commission by </w:t>
      </w:r>
      <w:r w:rsidR="00E31C75" w:rsidRPr="0029333D">
        <w:rPr>
          <w:bCs/>
          <w:szCs w:val="24"/>
        </w:rPr>
        <w:t>October 31</w:t>
      </w:r>
      <w:r w:rsidRPr="0029333D">
        <w:rPr>
          <w:bCs/>
          <w:szCs w:val="24"/>
        </w:rPr>
        <w:t xml:space="preserve"> </w:t>
      </w:r>
      <w:r w:rsidR="00E31C75" w:rsidRPr="0029333D">
        <w:rPr>
          <w:bCs/>
          <w:szCs w:val="24"/>
        </w:rPr>
        <w:t>each year.</w:t>
      </w:r>
      <w:r w:rsidRPr="0029333D">
        <w:rPr>
          <w:bCs/>
          <w:szCs w:val="24"/>
        </w:rPr>
        <w:t xml:space="preserve">  This report is prepared using actual results of electric operations and rate base, adjusted for any material out</w:t>
      </w:r>
      <w:r w:rsidR="00CC77EF">
        <w:rPr>
          <w:bCs/>
          <w:szCs w:val="24"/>
        </w:rPr>
        <w:t>-</w:t>
      </w:r>
      <w:r w:rsidRPr="0029333D">
        <w:rPr>
          <w:bCs/>
          <w:szCs w:val="24"/>
        </w:rPr>
        <w:t>of</w:t>
      </w:r>
      <w:r w:rsidR="00CC77EF">
        <w:rPr>
          <w:bCs/>
          <w:szCs w:val="24"/>
        </w:rPr>
        <w:t>-</w:t>
      </w:r>
      <w:r w:rsidRPr="0029333D">
        <w:rPr>
          <w:bCs/>
          <w:szCs w:val="24"/>
        </w:rPr>
        <w:t>period, non</w:t>
      </w:r>
      <w:r w:rsidR="00CC77EF">
        <w:rPr>
          <w:bCs/>
          <w:szCs w:val="24"/>
        </w:rPr>
        <w:t>-</w:t>
      </w:r>
      <w:r w:rsidRPr="0029333D">
        <w:rPr>
          <w:bCs/>
          <w:szCs w:val="24"/>
        </w:rPr>
        <w:t xml:space="preserve">recurring, and extraordinary items or any other item that materially distorts reporting period </w:t>
      </w:r>
    </w:p>
    <w:p w:rsidR="0037175E" w:rsidRPr="0029333D" w:rsidRDefault="00024E05" w:rsidP="0037175E">
      <w:pPr>
        <w:pStyle w:val="Answer"/>
        <w:jc w:val="left"/>
        <w:rPr>
          <w:b/>
          <w:bCs/>
          <w:szCs w:val="24"/>
        </w:rPr>
      </w:pPr>
      <w:r>
        <w:rPr>
          <w:bCs/>
          <w:szCs w:val="24"/>
        </w:rPr>
        <w:lastRenderedPageBreak/>
        <w:tab/>
      </w:r>
      <w:r w:rsidR="0037175E" w:rsidRPr="0029333D">
        <w:rPr>
          <w:bCs/>
          <w:szCs w:val="24"/>
        </w:rPr>
        <w:t>earnings and rate base.  For purposes of the decoupling mechanism, the earnings test will be based on ROE before</w:t>
      </w:r>
      <w:r w:rsidR="00CA6271" w:rsidRPr="0029333D">
        <w:rPr>
          <w:bCs/>
          <w:szCs w:val="24"/>
        </w:rPr>
        <w:t xml:space="preserve"> temperature</w:t>
      </w:r>
      <w:r w:rsidR="0037175E" w:rsidRPr="0029333D">
        <w:rPr>
          <w:bCs/>
          <w:szCs w:val="24"/>
        </w:rPr>
        <w:t xml:space="preserve"> normalizing adjustments</w:t>
      </w:r>
      <w:r w:rsidR="00CA6271" w:rsidRPr="0029333D">
        <w:rPr>
          <w:bCs/>
          <w:szCs w:val="24"/>
        </w:rPr>
        <w:t xml:space="preserve">. </w:t>
      </w:r>
      <w:r w:rsidR="0037175E" w:rsidRPr="0029333D">
        <w:rPr>
          <w:bCs/>
          <w:szCs w:val="24"/>
        </w:rPr>
        <w:t xml:space="preserve"> In this way, the earnings test will reflect the same conditions (i.e.</w:t>
      </w:r>
      <w:r w:rsidR="00CA6271" w:rsidRPr="0029333D">
        <w:rPr>
          <w:bCs/>
          <w:szCs w:val="24"/>
        </w:rPr>
        <w:t>,</w:t>
      </w:r>
      <w:r w:rsidR="0037175E" w:rsidRPr="0029333D">
        <w:rPr>
          <w:bCs/>
          <w:szCs w:val="24"/>
        </w:rPr>
        <w:t xml:space="preserve"> actual weather) as the calculation of the decoupling deferral.</w:t>
      </w:r>
    </w:p>
    <w:p w:rsidR="0037175E" w:rsidRPr="0029333D" w:rsidRDefault="0037175E" w:rsidP="0037175E">
      <w:pPr>
        <w:pStyle w:val="Answer"/>
        <w:rPr>
          <w:b/>
          <w:bCs/>
          <w:szCs w:val="24"/>
        </w:rPr>
      </w:pPr>
      <w:r w:rsidRPr="0029333D">
        <w:rPr>
          <w:b/>
          <w:bCs/>
          <w:szCs w:val="24"/>
        </w:rPr>
        <w:t xml:space="preserve">Q.  </w:t>
      </w:r>
      <w:r w:rsidRPr="0029333D">
        <w:rPr>
          <w:b/>
          <w:bCs/>
          <w:szCs w:val="24"/>
        </w:rPr>
        <w:tab/>
        <w:t>Please explain how the earnings test will operate.</w:t>
      </w:r>
    </w:p>
    <w:p w:rsidR="00692846" w:rsidRPr="0029333D" w:rsidRDefault="0037175E" w:rsidP="00692846">
      <w:pPr>
        <w:pStyle w:val="Answer"/>
        <w:jc w:val="left"/>
        <w:rPr>
          <w:szCs w:val="24"/>
        </w:rPr>
      </w:pPr>
      <w:r w:rsidRPr="0029333D">
        <w:rPr>
          <w:szCs w:val="24"/>
        </w:rPr>
        <w:t>A.</w:t>
      </w:r>
      <w:r w:rsidRPr="0029333D">
        <w:rPr>
          <w:szCs w:val="24"/>
        </w:rPr>
        <w:tab/>
      </w:r>
      <w:r w:rsidR="00692846" w:rsidRPr="0029333D">
        <w:rPr>
          <w:szCs w:val="24"/>
        </w:rPr>
        <w:t>If the return on equity exceeds the most recently authorized return on equity:</w:t>
      </w:r>
    </w:p>
    <w:p w:rsidR="00692846" w:rsidRDefault="00692846" w:rsidP="00024E05">
      <w:pPr>
        <w:pStyle w:val="Answer"/>
        <w:numPr>
          <w:ilvl w:val="1"/>
          <w:numId w:val="3"/>
        </w:numPr>
        <w:spacing w:line="240" w:lineRule="auto"/>
        <w:ind w:left="1612" w:hanging="446"/>
        <w:jc w:val="left"/>
        <w:rPr>
          <w:szCs w:val="24"/>
        </w:rPr>
      </w:pPr>
      <w:r w:rsidRPr="0029333D">
        <w:rPr>
          <w:szCs w:val="24"/>
        </w:rPr>
        <w:t>any proposed decoupling surcharge will be reduced or eliminated by up to 50 percent of the excess earnings;</w:t>
      </w:r>
    </w:p>
    <w:p w:rsidR="00024E05" w:rsidRPr="0029333D" w:rsidRDefault="00024E05" w:rsidP="00024E05">
      <w:pPr>
        <w:pStyle w:val="Answer"/>
        <w:suppressLineNumbers/>
        <w:spacing w:line="240" w:lineRule="auto"/>
        <w:ind w:left="1613" w:firstLine="0"/>
        <w:jc w:val="left"/>
        <w:rPr>
          <w:szCs w:val="24"/>
        </w:rPr>
      </w:pPr>
    </w:p>
    <w:p w:rsidR="00692846" w:rsidRDefault="00692846" w:rsidP="00024E05">
      <w:pPr>
        <w:pStyle w:val="Answer"/>
        <w:numPr>
          <w:ilvl w:val="1"/>
          <w:numId w:val="3"/>
        </w:numPr>
        <w:spacing w:line="240" w:lineRule="auto"/>
        <w:ind w:left="1612" w:hanging="446"/>
        <w:jc w:val="left"/>
        <w:rPr>
          <w:szCs w:val="24"/>
        </w:rPr>
      </w:pPr>
      <w:r w:rsidRPr="0029333D">
        <w:rPr>
          <w:szCs w:val="24"/>
        </w:rPr>
        <w:t xml:space="preserve">any proposed decoupling surcredit will be returned to customers as well as 50 percent of the excess earnings.  </w:t>
      </w:r>
    </w:p>
    <w:p w:rsidR="00024E05" w:rsidRPr="0029333D" w:rsidRDefault="00024E05" w:rsidP="00024E05">
      <w:pPr>
        <w:pStyle w:val="Answer"/>
        <w:suppressLineNumbers/>
        <w:spacing w:line="240" w:lineRule="auto"/>
        <w:ind w:left="0" w:firstLine="0"/>
        <w:jc w:val="left"/>
        <w:rPr>
          <w:szCs w:val="24"/>
        </w:rPr>
      </w:pPr>
    </w:p>
    <w:p w:rsidR="00692846" w:rsidRPr="0029333D" w:rsidRDefault="00692846" w:rsidP="00692846">
      <w:pPr>
        <w:pStyle w:val="Answer"/>
        <w:jc w:val="left"/>
        <w:rPr>
          <w:szCs w:val="24"/>
        </w:rPr>
      </w:pPr>
      <w:r w:rsidRPr="0029333D">
        <w:rPr>
          <w:szCs w:val="24"/>
        </w:rPr>
        <w:t xml:space="preserve"> </w:t>
      </w:r>
      <w:r w:rsidRPr="0029333D">
        <w:rPr>
          <w:szCs w:val="24"/>
        </w:rPr>
        <w:tab/>
      </w:r>
      <w:r w:rsidRPr="0029333D">
        <w:rPr>
          <w:szCs w:val="24"/>
        </w:rPr>
        <w:tab/>
        <w:t>If the return on equity is less than the most recently authorized return on equity, no adjustment is made to any decoupling surcharge or surcredit</w:t>
      </w:r>
      <w:r w:rsidR="00E41541">
        <w:rPr>
          <w:szCs w:val="24"/>
        </w:rPr>
        <w:t>.</w:t>
      </w:r>
    </w:p>
    <w:p w:rsidR="0037175E" w:rsidRPr="0029333D" w:rsidRDefault="00692846" w:rsidP="009151DC">
      <w:pPr>
        <w:pStyle w:val="Answer"/>
        <w:ind w:firstLine="720"/>
        <w:jc w:val="left"/>
        <w:rPr>
          <w:szCs w:val="24"/>
        </w:rPr>
      </w:pPr>
      <w:r w:rsidRPr="0029333D">
        <w:rPr>
          <w:szCs w:val="24"/>
        </w:rPr>
        <w:t>Additionally, any annual rate increase from decoupling will not exceed three percent in any year, with any excessive amounts carrying over to a future year.  The three percent cap is important because the Company’s proposal is designed to avoid the threshold for a general rate case and provide protection for customers.</w:t>
      </w:r>
    </w:p>
    <w:p w:rsidR="00B04609" w:rsidRPr="0029333D" w:rsidRDefault="00B04609" w:rsidP="00B04609">
      <w:pPr>
        <w:pStyle w:val="Heading1"/>
        <w:rPr>
          <w:rFonts w:cs="Times New Roman"/>
          <w:szCs w:val="24"/>
        </w:rPr>
      </w:pPr>
      <w:bookmarkStart w:id="18" w:name="_Toc436114855"/>
      <w:r w:rsidRPr="0029333D">
        <w:rPr>
          <w:rFonts w:cs="Times New Roman"/>
          <w:szCs w:val="24"/>
        </w:rPr>
        <w:t>Revenue Requirement Workpapers</w:t>
      </w:r>
      <w:bookmarkEnd w:id="18"/>
    </w:p>
    <w:p w:rsidR="00B04609" w:rsidRPr="0029333D" w:rsidRDefault="00B04609" w:rsidP="00B04609">
      <w:pPr>
        <w:pStyle w:val="Answer"/>
        <w:widowControl w:val="0"/>
        <w:jc w:val="left"/>
        <w:rPr>
          <w:b/>
          <w:szCs w:val="24"/>
        </w:rPr>
      </w:pPr>
      <w:r w:rsidRPr="0029333D">
        <w:rPr>
          <w:b/>
          <w:szCs w:val="24"/>
        </w:rPr>
        <w:t>Q.</w:t>
      </w:r>
      <w:r w:rsidRPr="0029333D">
        <w:rPr>
          <w:b/>
          <w:szCs w:val="24"/>
        </w:rPr>
        <w:tab/>
        <w:t>Please describe the workpapers supporting the revenue requirement calculations.</w:t>
      </w:r>
    </w:p>
    <w:p w:rsidR="00B04609" w:rsidRPr="0029333D" w:rsidRDefault="00B04609" w:rsidP="00B04609">
      <w:pPr>
        <w:pStyle w:val="Answer"/>
        <w:jc w:val="left"/>
        <w:rPr>
          <w:szCs w:val="24"/>
        </w:rPr>
      </w:pPr>
      <w:r w:rsidRPr="0029333D">
        <w:rPr>
          <w:szCs w:val="24"/>
        </w:rPr>
        <w:t>A.</w:t>
      </w:r>
      <w:r w:rsidRPr="0029333D">
        <w:rPr>
          <w:b/>
          <w:szCs w:val="24"/>
        </w:rPr>
        <w:tab/>
      </w:r>
      <w:r w:rsidRPr="0029333D">
        <w:rPr>
          <w:szCs w:val="24"/>
        </w:rPr>
        <w:t xml:space="preserve">While this filing is not a </w:t>
      </w:r>
      <w:r w:rsidR="00840EA9" w:rsidRPr="0029333D">
        <w:rPr>
          <w:szCs w:val="24"/>
        </w:rPr>
        <w:t>general rate case</w:t>
      </w:r>
      <w:r w:rsidRPr="0029333D">
        <w:rPr>
          <w:szCs w:val="24"/>
        </w:rPr>
        <w:t xml:space="preserve">, the Company has filed workpapers required by WAC 480-07-510(3) to expedite review of this filing, including several revenue requirement workpapers.  Two summary files have been prepared outlining the organization of these files and serve as a guide to the other workpapers.  The document </w:t>
      </w:r>
      <w:r w:rsidR="00DE5991" w:rsidRPr="0029333D">
        <w:rPr>
          <w:szCs w:val="24"/>
        </w:rPr>
        <w:t>named</w:t>
      </w:r>
      <w:r w:rsidRPr="0029333D">
        <w:rPr>
          <w:szCs w:val="24"/>
        </w:rPr>
        <w:t xml:space="preserve"> “Revenue Requirement Workpaper Summary” contains a written </w:t>
      </w:r>
      <w:r w:rsidRPr="0029333D">
        <w:rPr>
          <w:szCs w:val="24"/>
        </w:rPr>
        <w:lastRenderedPageBreak/>
        <w:t>description of the workpapers, as well as a brief discussion of the Company’s revenue requirement models.  The file named “Revenue Requirement Workpaper Flow Chart” provides an illustrative example of the interconnection of the workpapers and how the individual files are included in the exhibits described above.</w:t>
      </w:r>
    </w:p>
    <w:p w:rsidR="00A4343D" w:rsidRPr="0029333D" w:rsidRDefault="00A4343D" w:rsidP="003F7952">
      <w:pPr>
        <w:pStyle w:val="Question"/>
        <w:jc w:val="left"/>
        <w:rPr>
          <w:szCs w:val="24"/>
        </w:rPr>
      </w:pPr>
      <w:r w:rsidRPr="0029333D">
        <w:rPr>
          <w:szCs w:val="24"/>
        </w:rPr>
        <w:t>Q.</w:t>
      </w:r>
      <w:r w:rsidRPr="0029333D">
        <w:rPr>
          <w:szCs w:val="24"/>
        </w:rPr>
        <w:tab/>
        <w:t>Does this conclude your direct testimony?</w:t>
      </w:r>
    </w:p>
    <w:p w:rsidR="00A4343D" w:rsidRPr="0029333D" w:rsidRDefault="00A4343D" w:rsidP="003F7952">
      <w:pPr>
        <w:pStyle w:val="Answer"/>
        <w:jc w:val="left"/>
        <w:rPr>
          <w:szCs w:val="24"/>
        </w:rPr>
      </w:pPr>
      <w:r w:rsidRPr="0029333D">
        <w:rPr>
          <w:szCs w:val="24"/>
        </w:rPr>
        <w:t>A.</w:t>
      </w:r>
      <w:r w:rsidRPr="0029333D">
        <w:rPr>
          <w:szCs w:val="24"/>
        </w:rPr>
        <w:tab/>
        <w:t>Yes.</w:t>
      </w:r>
    </w:p>
    <w:sectPr w:rsidR="00A4343D" w:rsidRPr="0029333D" w:rsidSect="0029333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start="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EC6F28" w15:done="0"/>
  <w15:commentEx w15:paraId="68713482" w15:done="0"/>
  <w15:commentEx w15:paraId="1C7EE37B" w15:done="0"/>
  <w15:commentEx w15:paraId="4AE99A0F" w15:done="0"/>
  <w15:commentEx w15:paraId="7EC80A03" w15:done="0"/>
  <w15:commentEx w15:paraId="5B3509C0" w15:done="0"/>
  <w15:commentEx w15:paraId="1CC403E9" w15:done="0"/>
  <w15:commentEx w15:paraId="26D6D079" w15:done="0"/>
  <w15:commentEx w15:paraId="1A0868BB" w15:done="0"/>
  <w15:commentEx w15:paraId="4FA69F4E" w15:done="0"/>
  <w15:commentEx w15:paraId="463A5737" w15:done="0"/>
  <w15:commentEx w15:paraId="33A4E0A7" w15:done="0"/>
  <w15:commentEx w15:paraId="574B26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A7D" w:rsidRDefault="00281A7D">
      <w:r>
        <w:separator/>
      </w:r>
    </w:p>
  </w:endnote>
  <w:endnote w:type="continuationSeparator" w:id="0">
    <w:p w:rsidR="00281A7D" w:rsidRDefault="0028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0F" w:rsidRDefault="00F663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3D" w:rsidRDefault="0029333D">
    <w:pPr>
      <w:pStyle w:val="Footer"/>
      <w:rPr>
        <w:rStyle w:val="PageNumber"/>
      </w:rPr>
    </w:pPr>
    <w:r>
      <w:rPr>
        <w:rStyle w:val="PageNumber"/>
      </w:rPr>
      <w:t>Direct Testimony of Shelley E. McCoy</w:t>
    </w:r>
    <w:r>
      <w:rPr>
        <w:rStyle w:val="PageNumber"/>
      </w:rPr>
      <w:tab/>
    </w:r>
    <w:r>
      <w:rPr>
        <w:rStyle w:val="PageNumber"/>
      </w:rPr>
      <w:ptab w:relativeTo="margin" w:alignment="right" w:leader="none"/>
    </w:r>
    <w:r>
      <w:rPr>
        <w:rStyle w:val="PageNumber"/>
      </w:rPr>
      <w:t>Exhibit No. SEM-1T</w:t>
    </w:r>
  </w:p>
  <w:p w:rsidR="0029333D" w:rsidRPr="001D3325" w:rsidRDefault="0029333D" w:rsidP="00422C1E">
    <w:pPr>
      <w:pStyle w:val="Footer"/>
      <w:jc w:val="right"/>
    </w:pPr>
    <w:r w:rsidRPr="001D3325">
      <w:rPr>
        <w:rStyle w:val="PageNumber"/>
      </w:rPr>
      <w:t xml:space="preserve">Page </w:t>
    </w:r>
    <w:r w:rsidRPr="001D3325">
      <w:rPr>
        <w:rStyle w:val="PageNumber"/>
      </w:rPr>
      <w:fldChar w:fldCharType="begin"/>
    </w:r>
    <w:r w:rsidRPr="001D3325">
      <w:rPr>
        <w:rStyle w:val="PageNumber"/>
      </w:rPr>
      <w:instrText xml:space="preserve"> PAGE </w:instrText>
    </w:r>
    <w:r w:rsidRPr="001D3325">
      <w:rPr>
        <w:rStyle w:val="PageNumber"/>
      </w:rPr>
      <w:fldChar w:fldCharType="separate"/>
    </w:r>
    <w:r w:rsidR="00F6630F">
      <w:rPr>
        <w:rStyle w:val="PageNumber"/>
        <w:noProof/>
      </w:rPr>
      <w:t>36</w:t>
    </w:r>
    <w:r w:rsidRPr="001D3325">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817158"/>
      <w:docPartObj>
        <w:docPartGallery w:val="Page Numbers (Bottom of Page)"/>
        <w:docPartUnique/>
      </w:docPartObj>
    </w:sdtPr>
    <w:sdtEndPr>
      <w:rPr>
        <w:noProof/>
      </w:rPr>
    </w:sdtEndPr>
    <w:sdtContent>
      <w:p w:rsidR="00D827B8" w:rsidRDefault="00D827B8" w:rsidP="00D827B8">
        <w:pPr>
          <w:pStyle w:val="Footer"/>
          <w:tabs>
            <w:tab w:val="clear" w:pos="8640"/>
            <w:tab w:val="right" w:pos="9000"/>
          </w:tabs>
          <w:jc w:val="left"/>
        </w:pPr>
        <w:r>
          <w:t>Direct Testimony of She</w:t>
        </w:r>
        <w:r w:rsidR="00BD0EEA">
          <w:t xml:space="preserve">lley E. McCoy  </w:t>
        </w:r>
        <w:r w:rsidR="00BD0EEA">
          <w:tab/>
        </w:r>
        <w:r w:rsidR="00BD0EEA">
          <w:tab/>
          <w:t>Exhibit No. SEM-1T</w:t>
        </w:r>
      </w:p>
      <w:p w:rsidR="0029333D" w:rsidRDefault="00D827B8" w:rsidP="00D827B8">
        <w:pPr>
          <w:pStyle w:val="Footer"/>
          <w:tabs>
            <w:tab w:val="clear" w:pos="8640"/>
            <w:tab w:val="right" w:pos="9000"/>
          </w:tabs>
          <w:jc w:val="left"/>
        </w:pPr>
        <w:r>
          <w:tab/>
        </w:r>
        <w:r>
          <w:tab/>
          <w:t>Page 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A7D" w:rsidRDefault="00281A7D">
      <w:r>
        <w:separator/>
      </w:r>
    </w:p>
  </w:footnote>
  <w:footnote w:type="continuationSeparator" w:id="0">
    <w:p w:rsidR="00281A7D" w:rsidRDefault="00281A7D">
      <w:r>
        <w:continuationSeparator/>
      </w:r>
    </w:p>
  </w:footnote>
  <w:footnote w:id="1">
    <w:p w:rsidR="0029333D" w:rsidRDefault="0029333D" w:rsidP="00BD0EEA">
      <w:pPr>
        <w:pStyle w:val="FootnoteText"/>
        <w:jc w:val="left"/>
      </w:pPr>
      <w:r>
        <w:rPr>
          <w:rStyle w:val="FootnoteReference"/>
        </w:rPr>
        <w:footnoteRef/>
      </w:r>
      <w:r>
        <w:t xml:space="preserve"> </w:t>
      </w:r>
      <w:r w:rsidRPr="00DC224A">
        <w:rPr>
          <w:i/>
          <w:iCs/>
        </w:rPr>
        <w:t>Wash</w:t>
      </w:r>
      <w:r>
        <w:rPr>
          <w:i/>
          <w:iCs/>
        </w:rPr>
        <w:t xml:space="preserve">. </w:t>
      </w:r>
      <w:r w:rsidRPr="00DC224A">
        <w:rPr>
          <w:i/>
          <w:iCs/>
        </w:rPr>
        <w:t>Utils</w:t>
      </w:r>
      <w:r>
        <w:rPr>
          <w:i/>
          <w:iCs/>
        </w:rPr>
        <w:t xml:space="preserve">. </w:t>
      </w:r>
      <w:r w:rsidRPr="00DC224A">
        <w:rPr>
          <w:i/>
          <w:iCs/>
        </w:rPr>
        <w:t>&amp; Transp</w:t>
      </w:r>
      <w:r>
        <w:rPr>
          <w:i/>
          <w:iCs/>
        </w:rPr>
        <w:t xml:space="preserve">. </w:t>
      </w:r>
      <w:r w:rsidRPr="00DC224A">
        <w:rPr>
          <w:i/>
          <w:iCs/>
        </w:rPr>
        <w:t>Comm'n v</w:t>
      </w:r>
      <w:r>
        <w:rPr>
          <w:i/>
          <w:iCs/>
        </w:rPr>
        <w:t xml:space="preserve">. </w:t>
      </w:r>
      <w:r w:rsidRPr="00DC224A">
        <w:rPr>
          <w:i/>
          <w:iCs/>
        </w:rPr>
        <w:t>PacifiCorp</w:t>
      </w:r>
      <w:r w:rsidRPr="00DC224A">
        <w:t>,</w:t>
      </w:r>
      <w:r w:rsidRPr="00DC224A">
        <w:rPr>
          <w:iCs/>
        </w:rPr>
        <w:t xml:space="preserve"> </w:t>
      </w:r>
      <w:r>
        <w:t xml:space="preserve">Docket UE-130043, Exhibit No. DJR-3, </w:t>
      </w:r>
      <w:r w:rsidRPr="00E3013D">
        <w:t>(June 21, 2013)</w:t>
      </w:r>
      <w:r w:rsidR="00BD0EEA">
        <w:t>.</w:t>
      </w:r>
    </w:p>
  </w:footnote>
  <w:footnote w:id="2">
    <w:p w:rsidR="0029333D" w:rsidRDefault="0029333D" w:rsidP="00614396">
      <w:pPr>
        <w:pStyle w:val="FootnoteText"/>
        <w:jc w:val="left"/>
      </w:pPr>
      <w:r>
        <w:rPr>
          <w:rStyle w:val="FootnoteReference"/>
        </w:rPr>
        <w:footnoteRef/>
      </w:r>
      <w:r>
        <w:t xml:space="preserve"> Cross Answering Testimony of James R. Dittmer Regarding Expedited Rate Filing Conditions, Exh. No. JRD-5T at 2 (Aug. 2, 2013).  </w:t>
      </w:r>
    </w:p>
  </w:footnote>
  <w:footnote w:id="3">
    <w:p w:rsidR="0029333D" w:rsidRPr="00996B1B" w:rsidRDefault="0029333D" w:rsidP="00943A3B">
      <w:pPr>
        <w:autoSpaceDE w:val="0"/>
        <w:autoSpaceDN w:val="0"/>
        <w:adjustRightInd w:val="0"/>
        <w:jc w:val="left"/>
        <w:rPr>
          <w:sz w:val="20"/>
          <w:szCs w:val="20"/>
        </w:rPr>
      </w:pPr>
      <w:r w:rsidRPr="00996B1B">
        <w:rPr>
          <w:rStyle w:val="FootnoteReference"/>
          <w:sz w:val="20"/>
          <w:szCs w:val="20"/>
        </w:rPr>
        <w:footnoteRef/>
      </w:r>
      <w:r w:rsidRPr="00996B1B">
        <w:rPr>
          <w:sz w:val="20"/>
          <w:szCs w:val="20"/>
        </w:rPr>
        <w:t xml:space="preserve"> </w:t>
      </w:r>
      <w:r w:rsidRPr="00996B1B">
        <w:rPr>
          <w:i/>
          <w:sz w:val="20"/>
          <w:szCs w:val="20"/>
        </w:rPr>
        <w:t>Id</w:t>
      </w:r>
      <w:r w:rsidRPr="00996B1B">
        <w:rPr>
          <w:sz w:val="20"/>
          <w:szCs w:val="20"/>
        </w:rPr>
        <w:t>. at 184.</w:t>
      </w:r>
    </w:p>
  </w:footnote>
  <w:footnote w:id="4">
    <w:p w:rsidR="0029333D" w:rsidRDefault="0029333D" w:rsidP="00943A3B">
      <w:pPr>
        <w:pStyle w:val="FootnoteText"/>
        <w:jc w:val="left"/>
      </w:pPr>
      <w:r>
        <w:rPr>
          <w:rStyle w:val="FootnoteReference"/>
        </w:rPr>
        <w:footnoteRef/>
      </w:r>
      <w:r>
        <w:t xml:space="preserve"> </w:t>
      </w:r>
      <w:r>
        <w:rPr>
          <w:i/>
          <w:iCs/>
        </w:rPr>
        <w:t>See Wash. Utils. &amp; Transp. Comm’n v. Puget Sound Energy, Inc.</w:t>
      </w:r>
      <w:r>
        <w:t>, Dockets UE-130137 and UG-130138 (consolidated), Order 07, ¶¶ 46-48 (June 25, 2013).</w:t>
      </w:r>
    </w:p>
  </w:footnote>
  <w:footnote w:id="5">
    <w:p w:rsidR="00614396" w:rsidRDefault="00614396" w:rsidP="00614396">
      <w:pPr>
        <w:pStyle w:val="FootnoteText"/>
        <w:jc w:val="left"/>
      </w:pPr>
      <w:r>
        <w:rPr>
          <w:rStyle w:val="FootnoteReference"/>
        </w:rPr>
        <w:footnoteRef/>
      </w:r>
      <w:r>
        <w:t xml:space="preserve"> </w:t>
      </w:r>
      <w:r w:rsidRPr="00DC224A">
        <w:rPr>
          <w:i/>
          <w:iCs/>
        </w:rPr>
        <w:t>Wash</w:t>
      </w:r>
      <w:r>
        <w:rPr>
          <w:i/>
          <w:iCs/>
        </w:rPr>
        <w:t xml:space="preserve">. </w:t>
      </w:r>
      <w:r w:rsidRPr="00DC224A">
        <w:rPr>
          <w:i/>
          <w:iCs/>
        </w:rPr>
        <w:t>Utils</w:t>
      </w:r>
      <w:r>
        <w:rPr>
          <w:i/>
          <w:iCs/>
        </w:rPr>
        <w:t xml:space="preserve">. </w:t>
      </w:r>
      <w:r w:rsidRPr="00DC224A">
        <w:rPr>
          <w:i/>
          <w:iCs/>
        </w:rPr>
        <w:t>&amp; Transp</w:t>
      </w:r>
      <w:r>
        <w:rPr>
          <w:i/>
          <w:iCs/>
        </w:rPr>
        <w:t xml:space="preserve">. </w:t>
      </w:r>
      <w:r w:rsidRPr="00DC224A">
        <w:rPr>
          <w:i/>
          <w:iCs/>
        </w:rPr>
        <w:t>Comm'n v</w:t>
      </w:r>
      <w:r>
        <w:rPr>
          <w:i/>
          <w:iCs/>
        </w:rPr>
        <w:t xml:space="preserve">. </w:t>
      </w:r>
      <w:r w:rsidRPr="00DC224A">
        <w:rPr>
          <w:i/>
          <w:iCs/>
        </w:rPr>
        <w:t>PacifiCorp</w:t>
      </w:r>
      <w:r w:rsidRPr="00DC224A">
        <w:t>,</w:t>
      </w:r>
      <w:r w:rsidRPr="00DC224A">
        <w:rPr>
          <w:iCs/>
        </w:rPr>
        <w:t xml:space="preserve"> </w:t>
      </w:r>
      <w:r>
        <w:t>Docket UE-140762, Order 09</w:t>
      </w:r>
      <w:r w:rsidRPr="00DC224A">
        <w:t xml:space="preserve"> (</w:t>
      </w:r>
      <w:r>
        <w:t>May 26, 2015</w:t>
      </w:r>
      <w:r w:rsidRPr="00DC224A">
        <w:t>).</w:t>
      </w:r>
    </w:p>
  </w:footnote>
  <w:footnote w:id="6">
    <w:p w:rsidR="0029333D" w:rsidRDefault="0029333D" w:rsidP="00943A3B">
      <w:pPr>
        <w:pStyle w:val="FootnoteText"/>
        <w:jc w:val="left"/>
      </w:pPr>
      <w:r>
        <w:rPr>
          <w:rStyle w:val="FootnoteReference"/>
        </w:rPr>
        <w:footnoteRef/>
      </w:r>
      <w:r>
        <w:t xml:space="preserve"> </w:t>
      </w:r>
      <w:r>
        <w:rPr>
          <w:i/>
          <w:iCs/>
        </w:rPr>
        <w:t>See Wash. Utils. &amp; Transp. Comm’n v. PacifiCorp d/b/a Pacific Power &amp; Light Company</w:t>
      </w:r>
      <w:r>
        <w:t xml:space="preserve">, Docket </w:t>
      </w:r>
      <w:r w:rsidR="00D827B8">
        <w:br/>
      </w:r>
      <w:r>
        <w:t>UE-130043,</w:t>
      </w:r>
      <w:r w:rsidR="00F452BF">
        <w:t xml:space="preserve"> </w:t>
      </w:r>
      <w:r>
        <w:t>Order 05, ¶ 205 (December 4, 2013).</w:t>
      </w:r>
      <w:r w:rsidRPr="003D574B">
        <w:t xml:space="preserve"> </w:t>
      </w:r>
    </w:p>
  </w:footnote>
  <w:footnote w:id="7">
    <w:p w:rsidR="0029333D" w:rsidRPr="00E440B1" w:rsidRDefault="0029333D" w:rsidP="00943A3B">
      <w:pPr>
        <w:pStyle w:val="FootnoteText"/>
        <w:jc w:val="left"/>
        <w:rPr>
          <w:i/>
        </w:rPr>
      </w:pPr>
      <w:r>
        <w:rPr>
          <w:rStyle w:val="FootnoteReference"/>
        </w:rPr>
        <w:footnoteRef/>
      </w:r>
      <w:r>
        <w:t xml:space="preserve"> </w:t>
      </w:r>
      <w:r>
        <w:rPr>
          <w:i/>
        </w:rPr>
        <w:t xml:space="preserve">Id. </w:t>
      </w:r>
      <w:r>
        <w:t>¶ 207</w:t>
      </w:r>
      <w:r w:rsidR="00D827B8">
        <w:t>.</w:t>
      </w:r>
    </w:p>
  </w:footnote>
  <w:footnote w:id="8">
    <w:p w:rsidR="0029333D" w:rsidRPr="00DC224A" w:rsidRDefault="0029333D">
      <w:pPr>
        <w:pStyle w:val="FootnoteText"/>
        <w:jc w:val="left"/>
      </w:pPr>
      <w:r w:rsidRPr="00DC224A">
        <w:rPr>
          <w:rStyle w:val="FootnoteReference"/>
        </w:rPr>
        <w:footnoteRef/>
      </w:r>
      <w:r w:rsidRPr="00DC224A">
        <w:t xml:space="preserve"> </w:t>
      </w:r>
      <w:r w:rsidRPr="00DC224A">
        <w:rPr>
          <w:i/>
          <w:iCs/>
        </w:rPr>
        <w:t>Wash</w:t>
      </w:r>
      <w:r>
        <w:rPr>
          <w:i/>
          <w:iCs/>
        </w:rPr>
        <w:t xml:space="preserve">. </w:t>
      </w:r>
      <w:r w:rsidRPr="00DC224A">
        <w:rPr>
          <w:i/>
          <w:iCs/>
        </w:rPr>
        <w:t>Utils</w:t>
      </w:r>
      <w:r>
        <w:rPr>
          <w:i/>
          <w:iCs/>
        </w:rPr>
        <w:t xml:space="preserve">. </w:t>
      </w:r>
      <w:r w:rsidRPr="00DC224A">
        <w:rPr>
          <w:i/>
          <w:iCs/>
        </w:rPr>
        <w:t>&amp; Transp</w:t>
      </w:r>
      <w:r>
        <w:rPr>
          <w:i/>
          <w:iCs/>
        </w:rPr>
        <w:t xml:space="preserve">. </w:t>
      </w:r>
      <w:r w:rsidRPr="00DC224A">
        <w:rPr>
          <w:i/>
          <w:iCs/>
        </w:rPr>
        <w:t>Comm'n v</w:t>
      </w:r>
      <w:r>
        <w:rPr>
          <w:i/>
          <w:iCs/>
        </w:rPr>
        <w:t xml:space="preserve">. </w:t>
      </w:r>
      <w:r w:rsidRPr="00DC224A">
        <w:rPr>
          <w:i/>
          <w:iCs/>
        </w:rPr>
        <w:t>PacifiCorp</w:t>
      </w:r>
      <w:r w:rsidRPr="00DC224A">
        <w:t>,</w:t>
      </w:r>
      <w:r w:rsidRPr="00DC224A">
        <w:rPr>
          <w:iCs/>
        </w:rPr>
        <w:t xml:space="preserve"> </w:t>
      </w:r>
      <w:r w:rsidRPr="00DC224A">
        <w:t>Docket UE-061546, Order 08 at ¶ 43 (June 21, 2007).</w:t>
      </w:r>
    </w:p>
  </w:footnote>
  <w:footnote w:id="9">
    <w:p w:rsidR="0029333D" w:rsidRDefault="0029333D" w:rsidP="00E440B1">
      <w:pPr>
        <w:pStyle w:val="FootnoteText"/>
        <w:jc w:val="left"/>
      </w:pPr>
      <w:r>
        <w:rPr>
          <w:rStyle w:val="FootnoteReference"/>
        </w:rPr>
        <w:footnoteRef/>
      </w:r>
      <w:r>
        <w:t xml:space="preserve"> </w:t>
      </w:r>
      <w:r w:rsidRPr="00DC224A">
        <w:rPr>
          <w:i/>
          <w:iCs/>
        </w:rPr>
        <w:t>Wash</w:t>
      </w:r>
      <w:r>
        <w:rPr>
          <w:i/>
          <w:iCs/>
        </w:rPr>
        <w:t xml:space="preserve">. </w:t>
      </w:r>
      <w:r w:rsidRPr="00DC224A">
        <w:rPr>
          <w:i/>
          <w:iCs/>
        </w:rPr>
        <w:t>Utils</w:t>
      </w:r>
      <w:r>
        <w:rPr>
          <w:i/>
          <w:iCs/>
        </w:rPr>
        <w:t xml:space="preserve">. </w:t>
      </w:r>
      <w:r w:rsidRPr="00DC224A">
        <w:rPr>
          <w:i/>
          <w:iCs/>
        </w:rPr>
        <w:t>&amp; Transp</w:t>
      </w:r>
      <w:r>
        <w:rPr>
          <w:i/>
          <w:iCs/>
        </w:rPr>
        <w:t xml:space="preserve">. </w:t>
      </w:r>
      <w:r w:rsidRPr="00DC224A">
        <w:rPr>
          <w:i/>
          <w:iCs/>
        </w:rPr>
        <w:t>Comm'n v</w:t>
      </w:r>
      <w:r>
        <w:rPr>
          <w:i/>
          <w:iCs/>
        </w:rPr>
        <w:t xml:space="preserve">. </w:t>
      </w:r>
      <w:r w:rsidRPr="00DC224A">
        <w:rPr>
          <w:i/>
          <w:iCs/>
        </w:rPr>
        <w:t>PacifiCorp</w:t>
      </w:r>
      <w:r w:rsidRPr="00DC224A">
        <w:t>,</w:t>
      </w:r>
      <w:r w:rsidRPr="00DC224A">
        <w:rPr>
          <w:iCs/>
        </w:rPr>
        <w:t xml:space="preserve"> </w:t>
      </w:r>
      <w:r>
        <w:t>Docket UE-144136, Order 01 at ¶ 1 (September 24, 2015</w:t>
      </w:r>
      <w:r w:rsidRPr="00DC224A">
        <w:t>).</w:t>
      </w:r>
    </w:p>
  </w:footnote>
  <w:footnote w:id="10">
    <w:p w:rsidR="0029333D" w:rsidRPr="005D0ACE" w:rsidRDefault="0029333D" w:rsidP="009151DC">
      <w:pPr>
        <w:pStyle w:val="FootnoteText"/>
        <w:jc w:val="left"/>
      </w:pPr>
      <w:r w:rsidRPr="005D0ACE">
        <w:rPr>
          <w:rStyle w:val="FootnoteReference"/>
        </w:rPr>
        <w:footnoteRef/>
      </w:r>
      <w:r w:rsidRPr="005D0ACE">
        <w:t xml:space="preserve"> </w:t>
      </w:r>
      <w:r w:rsidRPr="00D46077">
        <w:rPr>
          <w:rStyle w:val="AnswerChar1"/>
          <w:sz w:val="20"/>
        </w:rPr>
        <w:t xml:space="preserve">It is important to note that as part of the </w:t>
      </w:r>
      <w:r>
        <w:rPr>
          <w:rStyle w:val="AnswerChar1"/>
          <w:sz w:val="20"/>
        </w:rPr>
        <w:t>detailed</w:t>
      </w:r>
      <w:r w:rsidRPr="00D46077">
        <w:rPr>
          <w:rStyle w:val="AnswerChar1"/>
          <w:sz w:val="20"/>
        </w:rPr>
        <w:t xml:space="preserve"> review of the allocation of transmission assets, the Company identified some assets that were previously excluded from the west control area, even though those assets serve west control area</w:t>
      </w:r>
      <w:r>
        <w:rPr>
          <w:rStyle w:val="AnswerChar1"/>
          <w:sz w:val="20"/>
        </w:rPr>
        <w:t xml:space="preserve"> loads</w:t>
      </w:r>
      <w:r w:rsidRPr="00D46077">
        <w:rPr>
          <w:rStyle w:val="AnswerChar1"/>
          <w:sz w:val="20"/>
        </w:rPr>
        <w:t>, befor</w:t>
      </w:r>
      <w:r w:rsidRPr="006C362A">
        <w:rPr>
          <w:rStyle w:val="AnswerChar1"/>
          <w:sz w:val="20"/>
        </w:rPr>
        <w:t>e and after the Idaho Power Asset Exchange.</w:t>
      </w:r>
      <w:r w:rsidRPr="005D0ACE">
        <w:rPr>
          <w:rStyle w:val="AnswerChar1"/>
        </w:rPr>
        <w:t xml:space="preserve"> </w:t>
      </w:r>
      <w:r>
        <w:rPr>
          <w:rStyle w:val="AnswerChar1"/>
        </w:rPr>
        <w:t xml:space="preserve"> </w:t>
      </w:r>
      <w:r>
        <w:rPr>
          <w:rStyle w:val="AnswerChar1"/>
          <w:sz w:val="20"/>
        </w:rPr>
        <w:t xml:space="preserve">These </w:t>
      </w:r>
      <w:r w:rsidRPr="005D0ACE">
        <w:rPr>
          <w:rStyle w:val="AnswerChar1"/>
          <w:sz w:val="20"/>
        </w:rPr>
        <w:t xml:space="preserve">discrepancies </w:t>
      </w:r>
      <w:r>
        <w:rPr>
          <w:rStyle w:val="AnswerChar1"/>
          <w:sz w:val="20"/>
        </w:rPr>
        <w:t>have been corrected in this filing and are</w:t>
      </w:r>
      <w:r w:rsidRPr="00D46077">
        <w:rPr>
          <w:rStyle w:val="AnswerChar1"/>
          <w:sz w:val="20"/>
        </w:rPr>
        <w:t xml:space="preserve"> also shown in the table</w:t>
      </w:r>
      <w:r>
        <w:rPr>
          <w:rStyle w:val="AnswerChar1"/>
          <w:sz w:val="20"/>
        </w:rPr>
        <w:t>.  The allocations reflect system operations as discussed in the direct testimony of Mr. Vail.</w:t>
      </w:r>
    </w:p>
  </w:footnote>
  <w:footnote w:id="11">
    <w:p w:rsidR="0029333D" w:rsidRDefault="0029333D" w:rsidP="00943A3B">
      <w:pPr>
        <w:pStyle w:val="FootnoteText"/>
        <w:jc w:val="left"/>
      </w:pPr>
      <w:r w:rsidRPr="003344DA">
        <w:rPr>
          <w:rStyle w:val="FootnoteReference"/>
        </w:rPr>
        <w:footnoteRef/>
      </w:r>
      <w:r w:rsidRPr="003344DA">
        <w:t xml:space="preserve"> </w:t>
      </w:r>
      <w:r w:rsidRPr="003344DA">
        <w:rPr>
          <w:i/>
        </w:rPr>
        <w:t>See</w:t>
      </w:r>
      <w:r w:rsidRPr="003344DA">
        <w:t xml:space="preserve"> </w:t>
      </w:r>
      <w:r w:rsidR="003344DA">
        <w:rPr>
          <w:i/>
          <w:iCs/>
        </w:rPr>
        <w:t>Wash. Utils. &amp; Transp. Comm’</w:t>
      </w:r>
      <w:r w:rsidRPr="003344DA">
        <w:rPr>
          <w:i/>
          <w:iCs/>
        </w:rPr>
        <w:t>n v. PacifiCorp</w:t>
      </w:r>
      <w:r w:rsidRPr="003344DA">
        <w:t>,</w:t>
      </w:r>
      <w:r w:rsidRPr="003344DA">
        <w:rPr>
          <w:iCs/>
        </w:rPr>
        <w:t xml:space="preserve"> </w:t>
      </w:r>
      <w:r w:rsidRPr="003344DA">
        <w:t>Docket UE-021271, (July 31, 2003).</w:t>
      </w:r>
    </w:p>
  </w:footnote>
  <w:footnote w:id="12">
    <w:p w:rsidR="0029333D" w:rsidRPr="00DC224A" w:rsidRDefault="0029333D" w:rsidP="00692846">
      <w:pPr>
        <w:pStyle w:val="FootnoteText"/>
        <w:jc w:val="left"/>
      </w:pPr>
      <w:r w:rsidRPr="00DC224A">
        <w:rPr>
          <w:rStyle w:val="FootnoteReference"/>
        </w:rPr>
        <w:footnoteRef/>
      </w:r>
      <w:r w:rsidRPr="00DC224A">
        <w:t xml:space="preserve"> </w:t>
      </w:r>
      <w:r>
        <w:t xml:space="preserve">Net operating </w:t>
      </w:r>
      <w:r w:rsidR="00E9250B">
        <w:t>income</w:t>
      </w:r>
      <w:r w:rsidRPr="00DC224A">
        <w:t xml:space="preserve"> is also referred to as “Operating Revenue for Return” in the Company’s exhibits and workpapers.</w:t>
      </w:r>
    </w:p>
  </w:footnote>
  <w:footnote w:id="13">
    <w:p w:rsidR="0029333D" w:rsidRDefault="0029333D" w:rsidP="008956A1">
      <w:pPr>
        <w:pStyle w:val="FootnoteText"/>
        <w:jc w:val="left"/>
      </w:pPr>
      <w:r>
        <w:rPr>
          <w:rStyle w:val="FootnoteReference"/>
        </w:rPr>
        <w:footnoteRef/>
      </w:r>
      <w:r>
        <w:t xml:space="preserve"> The net-to-gross conversion factor is also referred to as the net-to-gross bump up factor in the Report.</w:t>
      </w:r>
    </w:p>
  </w:footnote>
  <w:footnote w:id="14">
    <w:p w:rsidR="0029333D" w:rsidRDefault="0029333D" w:rsidP="009151DC">
      <w:pPr>
        <w:pStyle w:val="FootnoteText"/>
        <w:jc w:val="left"/>
      </w:pPr>
      <w:r>
        <w:rPr>
          <w:rStyle w:val="FootnoteReference"/>
        </w:rPr>
        <w:footnoteRef/>
      </w:r>
      <w:r>
        <w:t xml:space="preserve"> </w:t>
      </w:r>
      <w:r w:rsidRPr="00994365">
        <w:t xml:space="preserve">See </w:t>
      </w:r>
      <w:r w:rsidRPr="00994365">
        <w:rPr>
          <w:i/>
          <w:iCs/>
        </w:rPr>
        <w:t>Wash</w:t>
      </w:r>
      <w:r>
        <w:rPr>
          <w:i/>
          <w:iCs/>
        </w:rPr>
        <w:t xml:space="preserve">. </w:t>
      </w:r>
      <w:r w:rsidRPr="00994365">
        <w:rPr>
          <w:i/>
          <w:iCs/>
        </w:rPr>
        <w:t>Utils</w:t>
      </w:r>
      <w:r>
        <w:rPr>
          <w:i/>
          <w:iCs/>
        </w:rPr>
        <w:t xml:space="preserve">. </w:t>
      </w:r>
      <w:r w:rsidRPr="00994365">
        <w:rPr>
          <w:i/>
          <w:iCs/>
        </w:rPr>
        <w:t>&amp; Transp</w:t>
      </w:r>
      <w:r>
        <w:rPr>
          <w:i/>
          <w:iCs/>
        </w:rPr>
        <w:t xml:space="preserve">. </w:t>
      </w:r>
      <w:r w:rsidRPr="00994365">
        <w:rPr>
          <w:i/>
          <w:iCs/>
        </w:rPr>
        <w:t>Comm'n v</w:t>
      </w:r>
      <w:r>
        <w:rPr>
          <w:i/>
          <w:iCs/>
        </w:rPr>
        <w:t xml:space="preserve">. </w:t>
      </w:r>
      <w:r w:rsidRPr="00994365">
        <w:rPr>
          <w:i/>
          <w:iCs/>
        </w:rPr>
        <w:t>PacifiCorp</w:t>
      </w:r>
      <w:r w:rsidRPr="00994365">
        <w:t>,</w:t>
      </w:r>
      <w:r w:rsidRPr="00994365">
        <w:rPr>
          <w:iCs/>
        </w:rPr>
        <w:t xml:space="preserve"> </w:t>
      </w:r>
      <w:r w:rsidRPr="00994365">
        <w:t>Docket UE-</w:t>
      </w:r>
      <w:r>
        <w:t>140762, Order 08</w:t>
      </w:r>
      <w:r w:rsidRPr="000F7463">
        <w:t xml:space="preserve"> </w:t>
      </w:r>
      <w:r>
        <w:t>at ¶ 54</w:t>
      </w:r>
      <w:r w:rsidRPr="00994365">
        <w:t xml:space="preserve"> (</w:t>
      </w:r>
      <w:r>
        <w:t>March 25, 2015).</w:t>
      </w:r>
    </w:p>
  </w:footnote>
  <w:footnote w:id="15">
    <w:p w:rsidR="0029333D" w:rsidRPr="00994365" w:rsidRDefault="0029333D" w:rsidP="00692846">
      <w:pPr>
        <w:pStyle w:val="FootnoteText"/>
        <w:jc w:val="left"/>
      </w:pPr>
      <w:r w:rsidRPr="00994365">
        <w:rPr>
          <w:rStyle w:val="FootnoteReference"/>
        </w:rPr>
        <w:footnoteRef/>
      </w:r>
      <w:r w:rsidRPr="00994365">
        <w:t xml:space="preserve"> </w:t>
      </w:r>
      <w:r w:rsidRPr="00994365">
        <w:rPr>
          <w:i/>
          <w:iCs/>
        </w:rPr>
        <w:t>Wash</w:t>
      </w:r>
      <w:r>
        <w:rPr>
          <w:i/>
          <w:iCs/>
        </w:rPr>
        <w:t xml:space="preserve">. </w:t>
      </w:r>
      <w:r w:rsidRPr="00994365">
        <w:rPr>
          <w:i/>
          <w:iCs/>
        </w:rPr>
        <w:t>Utils</w:t>
      </w:r>
      <w:r>
        <w:rPr>
          <w:i/>
          <w:iCs/>
        </w:rPr>
        <w:t xml:space="preserve">. </w:t>
      </w:r>
      <w:r w:rsidRPr="00994365">
        <w:rPr>
          <w:i/>
          <w:iCs/>
        </w:rPr>
        <w:t>&amp; Transp</w:t>
      </w:r>
      <w:r>
        <w:rPr>
          <w:i/>
          <w:iCs/>
        </w:rPr>
        <w:t xml:space="preserve">. </w:t>
      </w:r>
      <w:r w:rsidRPr="00994365">
        <w:rPr>
          <w:i/>
          <w:iCs/>
        </w:rPr>
        <w:t>Comm'n v</w:t>
      </w:r>
      <w:r>
        <w:rPr>
          <w:i/>
          <w:iCs/>
        </w:rPr>
        <w:t xml:space="preserve">. </w:t>
      </w:r>
      <w:r w:rsidRPr="00994365">
        <w:rPr>
          <w:i/>
          <w:iCs/>
        </w:rPr>
        <w:t>Pacific Power &amp; Light Company</w:t>
      </w:r>
      <w:r w:rsidRPr="00994365">
        <w:t>,</w:t>
      </w:r>
      <w:r w:rsidRPr="00994365">
        <w:rPr>
          <w:iCs/>
        </w:rPr>
        <w:t xml:space="preserve"> </w:t>
      </w:r>
      <w:r w:rsidRPr="00994365">
        <w:t>Cause No</w:t>
      </w:r>
      <w:r w:rsidR="00091B47">
        <w:t xml:space="preserve">. </w:t>
      </w:r>
      <w:r w:rsidRPr="00994365">
        <w:t>U-83-57, Second Supplemental Order (June 12, 1984).</w:t>
      </w:r>
    </w:p>
  </w:footnote>
  <w:footnote w:id="16">
    <w:p w:rsidR="0029333D" w:rsidRPr="00994365" w:rsidRDefault="0029333D" w:rsidP="004755D6">
      <w:pPr>
        <w:pStyle w:val="FootnoteText"/>
        <w:jc w:val="left"/>
      </w:pPr>
      <w:r w:rsidRPr="00994365">
        <w:rPr>
          <w:rStyle w:val="FootnoteReference"/>
          <w:i/>
        </w:rPr>
        <w:footnoteRef/>
      </w:r>
      <w:r w:rsidRPr="00994365">
        <w:t xml:space="preserve"> See </w:t>
      </w:r>
      <w:r w:rsidRPr="00994365">
        <w:rPr>
          <w:i/>
          <w:iCs/>
        </w:rPr>
        <w:t>Wash</w:t>
      </w:r>
      <w:r>
        <w:rPr>
          <w:i/>
          <w:iCs/>
        </w:rPr>
        <w:t xml:space="preserve">. </w:t>
      </w:r>
      <w:r w:rsidRPr="00994365">
        <w:rPr>
          <w:i/>
          <w:iCs/>
        </w:rPr>
        <w:t>Utils</w:t>
      </w:r>
      <w:r>
        <w:rPr>
          <w:i/>
          <w:iCs/>
        </w:rPr>
        <w:t xml:space="preserve">. </w:t>
      </w:r>
      <w:r w:rsidRPr="00994365">
        <w:rPr>
          <w:i/>
          <w:iCs/>
        </w:rPr>
        <w:t>&amp; Transp</w:t>
      </w:r>
      <w:r>
        <w:rPr>
          <w:i/>
          <w:iCs/>
        </w:rPr>
        <w:t xml:space="preserve">. </w:t>
      </w:r>
      <w:r w:rsidRPr="00994365">
        <w:rPr>
          <w:i/>
          <w:iCs/>
        </w:rPr>
        <w:t>Comm'n v</w:t>
      </w:r>
      <w:r>
        <w:rPr>
          <w:i/>
          <w:iCs/>
        </w:rPr>
        <w:t xml:space="preserve">. </w:t>
      </w:r>
      <w:r w:rsidRPr="00994365">
        <w:rPr>
          <w:i/>
          <w:iCs/>
        </w:rPr>
        <w:t>PacifiCorp</w:t>
      </w:r>
      <w:r w:rsidRPr="00994365">
        <w:t>,</w:t>
      </w:r>
      <w:r w:rsidRPr="00994365">
        <w:rPr>
          <w:iCs/>
        </w:rPr>
        <w:t xml:space="preserve"> </w:t>
      </w:r>
      <w:r w:rsidRPr="00994365">
        <w:t>Docket UE-071795, Order 01 (April 10, 2008).</w:t>
      </w:r>
    </w:p>
    <w:p w:rsidR="0029333D" w:rsidRDefault="0029333D" w:rsidP="004755D6">
      <w:pPr>
        <w:pStyle w:val="FootnoteText"/>
        <w:ind w:firstLine="720"/>
      </w:pPr>
    </w:p>
  </w:footnote>
  <w:footnote w:id="17">
    <w:p w:rsidR="0029333D" w:rsidRPr="00994365" w:rsidRDefault="0029333D" w:rsidP="003D451E">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w:t>
      </w:r>
      <w:r>
        <w:rPr>
          <w:i/>
          <w:iCs/>
        </w:rPr>
        <w:t xml:space="preserve">. </w:t>
      </w:r>
      <w:r w:rsidRPr="00994365">
        <w:rPr>
          <w:i/>
          <w:iCs/>
        </w:rPr>
        <w:t>Utils</w:t>
      </w:r>
      <w:r>
        <w:rPr>
          <w:i/>
          <w:iCs/>
        </w:rPr>
        <w:t xml:space="preserve">. </w:t>
      </w:r>
      <w:r w:rsidRPr="00994365">
        <w:rPr>
          <w:i/>
          <w:iCs/>
        </w:rPr>
        <w:t>&amp; Transp</w:t>
      </w:r>
      <w:r>
        <w:rPr>
          <w:i/>
          <w:iCs/>
        </w:rPr>
        <w:t xml:space="preserve">. </w:t>
      </w:r>
      <w:r w:rsidRPr="00994365">
        <w:rPr>
          <w:i/>
          <w:iCs/>
        </w:rPr>
        <w:t>Comm'n v</w:t>
      </w:r>
      <w:r>
        <w:rPr>
          <w:i/>
          <w:iCs/>
        </w:rPr>
        <w:t xml:space="preserve">. </w:t>
      </w:r>
      <w:r w:rsidRPr="00994365">
        <w:rPr>
          <w:i/>
          <w:iCs/>
        </w:rPr>
        <w:t>PacifiCorp</w:t>
      </w:r>
      <w:r w:rsidRPr="00994365">
        <w:t>,</w:t>
      </w:r>
      <w:r w:rsidRPr="00994365">
        <w:rPr>
          <w:i/>
          <w:iCs/>
        </w:rPr>
        <w:t xml:space="preserve"> </w:t>
      </w:r>
      <w:r w:rsidRPr="00994365">
        <w:t>Docket UE-100749, Order 07 (May 12, 2011)</w:t>
      </w:r>
      <w:r>
        <w:t xml:space="preserve">.  </w:t>
      </w:r>
    </w:p>
  </w:footnote>
  <w:footnote w:id="18">
    <w:p w:rsidR="0029333D" w:rsidRPr="00994365" w:rsidRDefault="0029333D" w:rsidP="00692846">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w:t>
      </w:r>
      <w:r>
        <w:rPr>
          <w:i/>
          <w:iCs/>
        </w:rPr>
        <w:t xml:space="preserve">. </w:t>
      </w:r>
      <w:r w:rsidRPr="00994365">
        <w:rPr>
          <w:i/>
          <w:iCs/>
        </w:rPr>
        <w:t>Utils</w:t>
      </w:r>
      <w:r>
        <w:rPr>
          <w:i/>
          <w:iCs/>
        </w:rPr>
        <w:t xml:space="preserve">. </w:t>
      </w:r>
      <w:r w:rsidRPr="00994365">
        <w:rPr>
          <w:i/>
          <w:iCs/>
        </w:rPr>
        <w:t>&amp; Transp</w:t>
      </w:r>
      <w:r>
        <w:rPr>
          <w:i/>
          <w:iCs/>
        </w:rPr>
        <w:t xml:space="preserve">. </w:t>
      </w:r>
      <w:r w:rsidRPr="00994365">
        <w:rPr>
          <w:i/>
          <w:iCs/>
        </w:rPr>
        <w:t>Comm'n v</w:t>
      </w:r>
      <w:r>
        <w:rPr>
          <w:i/>
          <w:iCs/>
        </w:rPr>
        <w:t xml:space="preserve">. </w:t>
      </w:r>
      <w:r w:rsidRPr="00994365">
        <w:rPr>
          <w:i/>
          <w:iCs/>
        </w:rPr>
        <w:t>PacifiCorp</w:t>
      </w:r>
      <w:r w:rsidRPr="00994365">
        <w:t>,</w:t>
      </w:r>
      <w:r w:rsidRPr="00994365">
        <w:rPr>
          <w:i/>
          <w:iCs/>
        </w:rPr>
        <w:t xml:space="preserve"> </w:t>
      </w:r>
      <w:r w:rsidRPr="00994365">
        <w:t>Docket UE-032065, Order 06 (October 27, 2004).</w:t>
      </w:r>
    </w:p>
  </w:footnote>
  <w:footnote w:id="19">
    <w:p w:rsidR="0029333D" w:rsidRPr="00322D67" w:rsidRDefault="0029333D" w:rsidP="00692846">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r w:rsidRPr="00322D67">
        <w:rPr>
          <w:i/>
          <w:iCs/>
        </w:rPr>
        <w:t>Utils</w:t>
      </w:r>
      <w:r>
        <w:rPr>
          <w:i/>
          <w:iCs/>
        </w:rPr>
        <w:t xml:space="preserve">. </w:t>
      </w:r>
      <w:r w:rsidRPr="00322D67">
        <w:rPr>
          <w:i/>
          <w:iCs/>
        </w:rPr>
        <w:t>&amp; Transp</w:t>
      </w:r>
      <w:r>
        <w:rPr>
          <w:i/>
          <w:iCs/>
        </w:rPr>
        <w:t xml:space="preserve">. </w:t>
      </w:r>
      <w:r w:rsidRPr="00322D67">
        <w:rPr>
          <w:i/>
          <w:iCs/>
        </w:rPr>
        <w:t>Comm'n v</w:t>
      </w:r>
      <w:r>
        <w:rPr>
          <w:i/>
          <w:iCs/>
        </w:rPr>
        <w:t xml:space="preserve">. </w:t>
      </w:r>
      <w:r w:rsidRPr="00322D67">
        <w:rPr>
          <w:i/>
          <w:iCs/>
        </w:rPr>
        <w:t>PacifiCorp</w:t>
      </w:r>
      <w:r w:rsidRPr="00322D67">
        <w:t>,</w:t>
      </w:r>
      <w:r w:rsidRPr="00322D67">
        <w:rPr>
          <w:i/>
          <w:iCs/>
        </w:rPr>
        <w:t xml:space="preserve"> </w:t>
      </w:r>
      <w:r w:rsidRPr="00322D67">
        <w:t>Docket UE-031658, Order 01 (April 27, 2005).</w:t>
      </w:r>
    </w:p>
  </w:footnote>
  <w:footnote w:id="20">
    <w:p w:rsidR="0029333D" w:rsidRPr="00322D67" w:rsidRDefault="0029333D" w:rsidP="00692846">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r w:rsidRPr="00322D67">
        <w:rPr>
          <w:i/>
          <w:iCs/>
        </w:rPr>
        <w:t>Utils</w:t>
      </w:r>
      <w:r>
        <w:rPr>
          <w:i/>
          <w:iCs/>
        </w:rPr>
        <w:t xml:space="preserve">. </w:t>
      </w:r>
      <w:r w:rsidRPr="00322D67">
        <w:rPr>
          <w:i/>
          <w:iCs/>
        </w:rPr>
        <w:t>&amp; Transp</w:t>
      </w:r>
      <w:r>
        <w:rPr>
          <w:i/>
          <w:iCs/>
        </w:rPr>
        <w:t xml:space="preserve">. </w:t>
      </w:r>
      <w:r w:rsidRPr="00322D67">
        <w:rPr>
          <w:i/>
          <w:iCs/>
        </w:rPr>
        <w:t>Comm'n v</w:t>
      </w:r>
      <w:r>
        <w:rPr>
          <w:i/>
          <w:iCs/>
        </w:rPr>
        <w:t xml:space="preserve">. </w:t>
      </w:r>
      <w:r w:rsidRPr="00322D67">
        <w:rPr>
          <w:i/>
          <w:iCs/>
        </w:rPr>
        <w:t>Pacific Power &amp; Light Company</w:t>
      </w:r>
      <w:r w:rsidRPr="00322D67">
        <w:t>,</w:t>
      </w:r>
      <w:r w:rsidRPr="00322D67">
        <w:rPr>
          <w:i/>
          <w:iCs/>
        </w:rPr>
        <w:t xml:space="preserve"> </w:t>
      </w:r>
      <w:r w:rsidRPr="00322D67">
        <w:t>Cause No</w:t>
      </w:r>
      <w:r>
        <w:t xml:space="preserve">. </w:t>
      </w:r>
      <w:r w:rsidRPr="00322D67">
        <w:t>U-81-17, Second Supplemental Order (December 16, 1981).</w:t>
      </w:r>
    </w:p>
  </w:footnote>
  <w:footnote w:id="21">
    <w:p w:rsidR="0029333D" w:rsidRDefault="0029333D" w:rsidP="00692846">
      <w:pPr>
        <w:pStyle w:val="FootnoteText"/>
        <w:jc w:val="left"/>
      </w:pPr>
      <w:r w:rsidRPr="00322D67">
        <w:rPr>
          <w:rStyle w:val="FootnoteReference"/>
        </w:rPr>
        <w:footnoteRef/>
      </w:r>
      <w:r>
        <w:t xml:space="preserve"> </w:t>
      </w:r>
      <w:r w:rsidRPr="00322D67">
        <w:rPr>
          <w:i/>
        </w:rPr>
        <w:t>See</w:t>
      </w:r>
      <w:r w:rsidRPr="00322D67">
        <w:t xml:space="preserve"> </w:t>
      </w:r>
      <w:r w:rsidRPr="00322D67">
        <w:rPr>
          <w:i/>
          <w:iCs/>
        </w:rPr>
        <w:t>Wash</w:t>
      </w:r>
      <w:r>
        <w:rPr>
          <w:i/>
          <w:iCs/>
        </w:rPr>
        <w:t xml:space="preserve">. </w:t>
      </w:r>
      <w:r w:rsidRPr="00322D67">
        <w:rPr>
          <w:i/>
          <w:iCs/>
        </w:rPr>
        <w:t>Utils</w:t>
      </w:r>
      <w:r>
        <w:rPr>
          <w:i/>
          <w:iCs/>
        </w:rPr>
        <w:t xml:space="preserve">. </w:t>
      </w:r>
      <w:r w:rsidRPr="00322D67">
        <w:rPr>
          <w:i/>
          <w:iCs/>
        </w:rPr>
        <w:t>&amp; Transp</w:t>
      </w:r>
      <w:r>
        <w:rPr>
          <w:i/>
          <w:iCs/>
        </w:rPr>
        <w:t xml:space="preserve">. </w:t>
      </w:r>
      <w:r w:rsidRPr="00322D67">
        <w:rPr>
          <w:i/>
          <w:iCs/>
        </w:rPr>
        <w:t>Comm'n v</w:t>
      </w:r>
      <w:r>
        <w:rPr>
          <w:i/>
          <w:iCs/>
        </w:rPr>
        <w:t xml:space="preserve">. </w:t>
      </w:r>
      <w:r w:rsidRPr="00322D67">
        <w:rPr>
          <w:i/>
          <w:iCs/>
        </w:rPr>
        <w:t>PacifiCorp</w:t>
      </w:r>
      <w:r w:rsidRPr="00322D67">
        <w:t>,</w:t>
      </w:r>
      <w:r w:rsidRPr="00322D67">
        <w:rPr>
          <w:iCs/>
        </w:rPr>
        <w:t xml:space="preserve"> </w:t>
      </w:r>
      <w:r w:rsidRPr="00322D67">
        <w:t>Docket UE-991832, Third Supplemental Order at ¶</w:t>
      </w:r>
      <w:r>
        <w:t> </w:t>
      </w:r>
      <w:r w:rsidRPr="00322D67">
        <w:t>42 (August 9, 2000).</w:t>
      </w:r>
    </w:p>
  </w:footnote>
  <w:footnote w:id="22">
    <w:p w:rsidR="0029333D" w:rsidRPr="00994365" w:rsidRDefault="0029333D" w:rsidP="00692846">
      <w:pPr>
        <w:pStyle w:val="FootnoteText"/>
        <w:jc w:val="left"/>
      </w:pPr>
      <w:r w:rsidRPr="00994365">
        <w:rPr>
          <w:rStyle w:val="FootnoteReference"/>
        </w:rPr>
        <w:footnoteRef/>
      </w:r>
      <w:r w:rsidRPr="00994365">
        <w:t xml:space="preserve"> </w:t>
      </w:r>
      <w:r w:rsidRPr="00994365">
        <w:rPr>
          <w:i/>
        </w:rPr>
        <w:t>See</w:t>
      </w:r>
      <w:r w:rsidRPr="00994365">
        <w:t xml:space="preserve"> </w:t>
      </w:r>
      <w:r w:rsidRPr="00994365">
        <w:rPr>
          <w:i/>
          <w:iCs/>
        </w:rPr>
        <w:t>Wash</w:t>
      </w:r>
      <w:r>
        <w:rPr>
          <w:i/>
          <w:iCs/>
        </w:rPr>
        <w:t xml:space="preserve">. </w:t>
      </w:r>
      <w:r w:rsidRPr="00994365">
        <w:rPr>
          <w:i/>
          <w:iCs/>
        </w:rPr>
        <w:t>Utils</w:t>
      </w:r>
      <w:r>
        <w:rPr>
          <w:i/>
          <w:iCs/>
        </w:rPr>
        <w:t xml:space="preserve">. </w:t>
      </w:r>
      <w:r w:rsidRPr="00994365">
        <w:rPr>
          <w:i/>
          <w:iCs/>
        </w:rPr>
        <w:t>&amp; Transp</w:t>
      </w:r>
      <w:r>
        <w:rPr>
          <w:i/>
          <w:iCs/>
        </w:rPr>
        <w:t xml:space="preserve">. </w:t>
      </w:r>
      <w:r w:rsidRPr="00994365">
        <w:rPr>
          <w:i/>
          <w:iCs/>
        </w:rPr>
        <w:t>Comm'n v</w:t>
      </w:r>
      <w:r>
        <w:rPr>
          <w:i/>
          <w:iCs/>
        </w:rPr>
        <w:t xml:space="preserve">. </w:t>
      </w:r>
      <w:r w:rsidRPr="00994365">
        <w:rPr>
          <w:i/>
          <w:iCs/>
        </w:rPr>
        <w:t>PacifiCorp</w:t>
      </w:r>
      <w:r w:rsidRPr="00994365">
        <w:t>,</w:t>
      </w:r>
      <w:r w:rsidRPr="00994365">
        <w:rPr>
          <w:iCs/>
        </w:rPr>
        <w:t xml:space="preserve"> </w:t>
      </w:r>
      <w:r w:rsidRPr="00994365">
        <w:t>Docket UE-061546, Order 08 (June 21, 2007).</w:t>
      </w:r>
    </w:p>
  </w:footnote>
  <w:footnote w:id="23">
    <w:p w:rsidR="0029333D" w:rsidRPr="00322D67" w:rsidRDefault="0029333D" w:rsidP="00910003">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r w:rsidRPr="00322D67">
        <w:rPr>
          <w:i/>
          <w:iCs/>
        </w:rPr>
        <w:t>Utils</w:t>
      </w:r>
      <w:r>
        <w:rPr>
          <w:i/>
          <w:iCs/>
        </w:rPr>
        <w:t xml:space="preserve">. </w:t>
      </w:r>
      <w:r w:rsidRPr="00322D67">
        <w:rPr>
          <w:i/>
          <w:iCs/>
        </w:rPr>
        <w:t>&amp; Transp</w:t>
      </w:r>
      <w:r>
        <w:rPr>
          <w:i/>
          <w:iCs/>
        </w:rPr>
        <w:t xml:space="preserve">. </w:t>
      </w:r>
      <w:r w:rsidRPr="00322D67">
        <w:rPr>
          <w:i/>
          <w:iCs/>
        </w:rPr>
        <w:t>Comm'n v</w:t>
      </w:r>
      <w:r>
        <w:rPr>
          <w:i/>
          <w:iCs/>
        </w:rPr>
        <w:t xml:space="preserve">. </w:t>
      </w:r>
      <w:r w:rsidRPr="00322D67">
        <w:rPr>
          <w:i/>
          <w:iCs/>
        </w:rPr>
        <w:t>PacifiCorp</w:t>
      </w:r>
      <w:r w:rsidRPr="00322D67">
        <w:t>,</w:t>
      </w:r>
      <w:r w:rsidRPr="00322D67">
        <w:rPr>
          <w:i/>
          <w:iCs/>
        </w:rPr>
        <w:t xml:space="preserve"> </w:t>
      </w:r>
      <w:r w:rsidRPr="00322D67">
        <w:t>Docket UE-070624, Order 01 (October 24, 2007).</w:t>
      </w:r>
    </w:p>
  </w:footnote>
  <w:footnote w:id="24">
    <w:p w:rsidR="0029333D" w:rsidRDefault="0029333D" w:rsidP="00910003">
      <w:pPr>
        <w:pStyle w:val="FootnoteText"/>
        <w:jc w:val="left"/>
      </w:pPr>
      <w:r>
        <w:rPr>
          <w:rStyle w:val="FootnoteReference"/>
        </w:rPr>
        <w:footnoteRef/>
      </w:r>
      <w:r>
        <w:t xml:space="preserve"> </w:t>
      </w:r>
      <w:r w:rsidRPr="00DC224A">
        <w:rPr>
          <w:i/>
          <w:iCs/>
        </w:rPr>
        <w:t>Wash</w:t>
      </w:r>
      <w:r>
        <w:rPr>
          <w:i/>
          <w:iCs/>
        </w:rPr>
        <w:t xml:space="preserve">. </w:t>
      </w:r>
      <w:r w:rsidRPr="00DC224A">
        <w:rPr>
          <w:i/>
          <w:iCs/>
        </w:rPr>
        <w:t>Utils</w:t>
      </w:r>
      <w:r>
        <w:rPr>
          <w:i/>
          <w:iCs/>
        </w:rPr>
        <w:t xml:space="preserve">. </w:t>
      </w:r>
      <w:r w:rsidRPr="00DC224A">
        <w:rPr>
          <w:i/>
          <w:iCs/>
        </w:rPr>
        <w:t>&amp; Transp</w:t>
      </w:r>
      <w:r>
        <w:rPr>
          <w:i/>
          <w:iCs/>
        </w:rPr>
        <w:t xml:space="preserve">. </w:t>
      </w:r>
      <w:r w:rsidRPr="00DC224A">
        <w:rPr>
          <w:i/>
          <w:iCs/>
        </w:rPr>
        <w:t>Comm'n v</w:t>
      </w:r>
      <w:r>
        <w:rPr>
          <w:i/>
          <w:iCs/>
        </w:rPr>
        <w:t xml:space="preserve">. </w:t>
      </w:r>
      <w:r w:rsidRPr="00DC224A">
        <w:rPr>
          <w:i/>
          <w:iCs/>
        </w:rPr>
        <w:t>PacifiCorp</w:t>
      </w:r>
      <w:r w:rsidRPr="00DC224A">
        <w:t>,</w:t>
      </w:r>
      <w:r w:rsidRPr="00DC224A">
        <w:rPr>
          <w:iCs/>
        </w:rPr>
        <w:t xml:space="preserve"> </w:t>
      </w:r>
      <w:r>
        <w:t xml:space="preserve">Docket UE-130043, Exhibit No.__(DJR-3), </w:t>
      </w:r>
      <w:r w:rsidRPr="00E3013D">
        <w:t>(June 21, 2013)</w:t>
      </w:r>
      <w:r w:rsidR="00EE56C8">
        <w:t>.</w:t>
      </w:r>
    </w:p>
  </w:footnote>
  <w:footnote w:id="25">
    <w:p w:rsidR="0029333D" w:rsidRPr="00322D67" w:rsidRDefault="0029333D" w:rsidP="00910003">
      <w:pPr>
        <w:pStyle w:val="FootnoteText"/>
        <w:jc w:val="left"/>
      </w:pPr>
      <w:r w:rsidRPr="00322D67">
        <w:rPr>
          <w:rStyle w:val="FootnoteReference"/>
        </w:rPr>
        <w:footnoteRef/>
      </w:r>
      <w:r w:rsidRPr="00322D67">
        <w:t xml:space="preserve"> </w:t>
      </w:r>
      <w:r w:rsidRPr="00322D67">
        <w:rPr>
          <w:i/>
        </w:rPr>
        <w:t>See</w:t>
      </w:r>
      <w:r w:rsidRPr="00322D67">
        <w:t xml:space="preserve"> </w:t>
      </w:r>
      <w:r w:rsidRPr="00322D67">
        <w:rPr>
          <w:i/>
          <w:iCs/>
        </w:rPr>
        <w:t>Wash</w:t>
      </w:r>
      <w:r>
        <w:rPr>
          <w:i/>
          <w:iCs/>
        </w:rPr>
        <w:t xml:space="preserve">. </w:t>
      </w:r>
      <w:r w:rsidRPr="00322D67">
        <w:rPr>
          <w:i/>
          <w:iCs/>
        </w:rPr>
        <w:t>Utils</w:t>
      </w:r>
      <w:r>
        <w:rPr>
          <w:i/>
          <w:iCs/>
        </w:rPr>
        <w:t xml:space="preserve">. </w:t>
      </w:r>
      <w:r w:rsidRPr="00322D67">
        <w:rPr>
          <w:i/>
          <w:iCs/>
        </w:rPr>
        <w:t>&amp; Transp</w:t>
      </w:r>
      <w:r>
        <w:rPr>
          <w:i/>
          <w:iCs/>
        </w:rPr>
        <w:t xml:space="preserve">.  </w:t>
      </w:r>
      <w:r w:rsidRPr="00322D67">
        <w:rPr>
          <w:i/>
          <w:iCs/>
        </w:rPr>
        <w:t>Comm'n v</w:t>
      </w:r>
      <w:r>
        <w:rPr>
          <w:i/>
          <w:iCs/>
        </w:rPr>
        <w:t xml:space="preserve">. </w:t>
      </w:r>
      <w:r w:rsidRPr="00322D67">
        <w:rPr>
          <w:i/>
          <w:iCs/>
        </w:rPr>
        <w:t>PacifiCorp</w:t>
      </w:r>
      <w:r w:rsidRPr="00322D67">
        <w:t>,</w:t>
      </w:r>
      <w:r w:rsidRPr="00322D67">
        <w:rPr>
          <w:iCs/>
        </w:rPr>
        <w:t xml:space="preserve"> </w:t>
      </w:r>
      <w:r w:rsidRPr="00322D67">
        <w:t>Docket UE-090205, Order 09 at ¶ 15 (December 16, 2009).</w:t>
      </w:r>
    </w:p>
  </w:footnote>
  <w:footnote w:id="26">
    <w:p w:rsidR="0029333D" w:rsidRDefault="0029333D" w:rsidP="006B3A8E">
      <w:pPr>
        <w:pStyle w:val="FootnoteText"/>
        <w:jc w:val="left"/>
      </w:pPr>
      <w:r w:rsidRPr="00322D67">
        <w:rPr>
          <w:rStyle w:val="FootnoteReference"/>
        </w:rPr>
        <w:footnoteRef/>
      </w:r>
      <w:r w:rsidRPr="00322D67">
        <w:rPr>
          <w:i/>
        </w:rPr>
        <w:t>See</w:t>
      </w:r>
      <w:r w:rsidRPr="00322D67">
        <w:t xml:space="preserve"> </w:t>
      </w:r>
      <w:r w:rsidRPr="00322D67">
        <w:rPr>
          <w:i/>
          <w:iCs/>
        </w:rPr>
        <w:t>Wash</w:t>
      </w:r>
      <w:r>
        <w:rPr>
          <w:i/>
          <w:iCs/>
        </w:rPr>
        <w:t xml:space="preserve">. </w:t>
      </w:r>
      <w:r w:rsidRPr="00322D67">
        <w:rPr>
          <w:i/>
          <w:iCs/>
        </w:rPr>
        <w:t>Utils</w:t>
      </w:r>
      <w:r>
        <w:rPr>
          <w:i/>
          <w:iCs/>
        </w:rPr>
        <w:t xml:space="preserve">. </w:t>
      </w:r>
      <w:r w:rsidRPr="00322D67">
        <w:rPr>
          <w:i/>
          <w:iCs/>
        </w:rPr>
        <w:t>&amp; Transp</w:t>
      </w:r>
      <w:r>
        <w:rPr>
          <w:i/>
          <w:iCs/>
        </w:rPr>
        <w:t xml:space="preserve">.  </w:t>
      </w:r>
      <w:r w:rsidRPr="00322D67">
        <w:rPr>
          <w:i/>
          <w:iCs/>
        </w:rPr>
        <w:t>Comm'n v</w:t>
      </w:r>
      <w:r>
        <w:rPr>
          <w:i/>
          <w:iCs/>
        </w:rPr>
        <w:t xml:space="preserve">. </w:t>
      </w:r>
      <w:r w:rsidRPr="00322D67">
        <w:rPr>
          <w:i/>
          <w:iCs/>
        </w:rPr>
        <w:t>PacifiCorp</w:t>
      </w:r>
      <w:r w:rsidRPr="00322D67">
        <w:t>,</w:t>
      </w:r>
      <w:r w:rsidRPr="00322D67">
        <w:rPr>
          <w:iCs/>
        </w:rPr>
        <w:t xml:space="preserve"> </w:t>
      </w:r>
      <w:r w:rsidRPr="00322D67">
        <w:t>Docket UE-</w:t>
      </w:r>
      <w:r>
        <w:t>140762, Order 08 at ¶ 172</w:t>
      </w:r>
      <w:r w:rsidRPr="00322D67">
        <w:t> (</w:t>
      </w:r>
      <w:r>
        <w:t>March 25, 2015</w:t>
      </w:r>
      <w:r w:rsidRPr="00322D6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0F" w:rsidRDefault="00F66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33D" w:rsidRDefault="0029333D" w:rsidP="00422C1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30F" w:rsidRDefault="00F663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AF3"/>
    <w:multiLevelType w:val="hybridMultilevel"/>
    <w:tmpl w:val="8B26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C6534"/>
    <w:multiLevelType w:val="hybridMultilevel"/>
    <w:tmpl w:val="922C4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D5406B"/>
    <w:multiLevelType w:val="multilevel"/>
    <w:tmpl w:val="9AC4D5DC"/>
    <w:lvl w:ilvl="0">
      <w:start w:val="1"/>
      <w:numFmt w:val="bullet"/>
      <w:lvlText w:val=""/>
      <w:lvlJc w:val="left"/>
      <w:pPr>
        <w:tabs>
          <w:tab w:val="num" w:pos="1440"/>
        </w:tabs>
        <w:ind w:left="1440" w:hanging="360"/>
      </w:pPr>
      <w:rPr>
        <w:rFonts w:ascii="Symbol" w:hAnsi="Symbol" w:hint="default"/>
        <w:sz w:val="24"/>
      </w:rPr>
    </w:lvl>
    <w:lvl w:ilvl="1">
      <w:start w:val="1"/>
      <w:numFmt w:val="bullet"/>
      <w:lvlText w:val="o"/>
      <w:lvlJc w:val="left"/>
      <w:pPr>
        <w:tabs>
          <w:tab w:val="num" w:pos="2160"/>
        </w:tabs>
        <w:ind w:left="2160" w:hanging="360"/>
      </w:pPr>
      <w:rPr>
        <w:rFonts w:ascii="Courier New" w:hAnsi="Courier New" w:hint="default"/>
        <w:color w:val="auto"/>
        <w:sz w:val="24"/>
      </w:rPr>
    </w:lvl>
    <w:lvl w:ilvl="2">
      <w:start w:val="1"/>
      <w:numFmt w:val="bullet"/>
      <w:lvlText w:val=""/>
      <w:lvlJc w:val="left"/>
      <w:pPr>
        <w:tabs>
          <w:tab w:val="num" w:pos="-540"/>
        </w:tabs>
        <w:ind w:left="-540" w:hanging="360"/>
      </w:pPr>
      <w:rPr>
        <w:rFonts w:ascii="Wingdings" w:hAnsi="Wingdings" w:hint="default"/>
      </w:rPr>
    </w:lvl>
    <w:lvl w:ilvl="3">
      <w:start w:val="1"/>
      <w:numFmt w:val="bullet"/>
      <w:lvlText w:val=""/>
      <w:lvlJc w:val="left"/>
      <w:pPr>
        <w:tabs>
          <w:tab w:val="num" w:pos="180"/>
        </w:tabs>
        <w:ind w:left="180" w:hanging="360"/>
      </w:pPr>
      <w:rPr>
        <w:rFonts w:ascii="Symbol" w:hAnsi="Symbol" w:hint="default"/>
      </w:rPr>
    </w:lvl>
    <w:lvl w:ilvl="4">
      <w:start w:val="1"/>
      <w:numFmt w:val="bullet"/>
      <w:lvlText w:val="o"/>
      <w:lvlJc w:val="left"/>
      <w:pPr>
        <w:tabs>
          <w:tab w:val="num" w:pos="900"/>
        </w:tabs>
        <w:ind w:left="900" w:hanging="360"/>
      </w:pPr>
      <w:rPr>
        <w:rFonts w:ascii="Courier New" w:hAnsi="Courier New" w:hint="default"/>
      </w:rPr>
    </w:lvl>
    <w:lvl w:ilvl="5">
      <w:start w:val="1"/>
      <w:numFmt w:val="bullet"/>
      <w:lvlText w:val=""/>
      <w:lvlJc w:val="left"/>
      <w:pPr>
        <w:tabs>
          <w:tab w:val="num" w:pos="1620"/>
        </w:tabs>
        <w:ind w:left="1620" w:hanging="360"/>
      </w:pPr>
      <w:rPr>
        <w:rFonts w:ascii="Wingdings" w:hAnsi="Wingdings" w:hint="default"/>
      </w:rPr>
    </w:lvl>
    <w:lvl w:ilvl="6">
      <w:start w:val="1"/>
      <w:numFmt w:val="bullet"/>
      <w:lvlText w:val=""/>
      <w:lvlJc w:val="left"/>
      <w:pPr>
        <w:tabs>
          <w:tab w:val="num" w:pos="2340"/>
        </w:tabs>
        <w:ind w:left="2340" w:hanging="360"/>
      </w:pPr>
      <w:rPr>
        <w:rFonts w:ascii="Symbol" w:hAnsi="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hint="default"/>
      </w:rPr>
    </w:lvl>
  </w:abstractNum>
  <w:abstractNum w:abstractNumId="3">
    <w:nsid w:val="339103DE"/>
    <w:multiLevelType w:val="hybridMultilevel"/>
    <w:tmpl w:val="3A286F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35D86663"/>
    <w:multiLevelType w:val="hybridMultilevel"/>
    <w:tmpl w:val="8F145E3E"/>
    <w:lvl w:ilvl="0" w:tplc="99421BD8">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F475ABD"/>
    <w:multiLevelType w:val="multilevel"/>
    <w:tmpl w:val="CA94107A"/>
    <w:lvl w:ilvl="0">
      <w:start w:val="1"/>
      <w:numFmt w:val="bullet"/>
      <w:lvlText w:val=""/>
      <w:lvlJc w:val="left"/>
      <w:pPr>
        <w:tabs>
          <w:tab w:val="num" w:pos="7560"/>
        </w:tabs>
        <w:ind w:left="7560" w:hanging="360"/>
      </w:pPr>
      <w:rPr>
        <w:rFonts w:ascii="Symbol" w:hAnsi="Symbol"/>
        <w:sz w:val="24"/>
      </w:rPr>
    </w:lvl>
    <w:lvl w:ilvl="1">
      <w:start w:val="1"/>
      <w:numFmt w:val="bullet"/>
      <w:lvlText w:val="o"/>
      <w:lvlJc w:val="left"/>
      <w:pPr>
        <w:tabs>
          <w:tab w:val="num" w:pos="4860"/>
        </w:tabs>
        <w:ind w:left="4860" w:hanging="360"/>
      </w:pPr>
      <w:rPr>
        <w:rFonts w:ascii="Courier New" w:hAnsi="Courier New" w:cs="Courier New" w:hint="default"/>
      </w:rPr>
    </w:lvl>
    <w:lvl w:ilvl="2">
      <w:start w:val="1"/>
      <w:numFmt w:val="bullet"/>
      <w:lvlText w:val=""/>
      <w:lvlJc w:val="left"/>
      <w:pPr>
        <w:tabs>
          <w:tab w:val="num" w:pos="5580"/>
        </w:tabs>
        <w:ind w:left="5580" w:hanging="360"/>
      </w:pPr>
      <w:rPr>
        <w:rFonts w:ascii="Wingdings" w:hAnsi="Wingdings" w:hint="default"/>
      </w:rPr>
    </w:lvl>
    <w:lvl w:ilvl="3">
      <w:start w:val="1"/>
      <w:numFmt w:val="bullet"/>
      <w:lvlText w:val=""/>
      <w:lvlJc w:val="left"/>
      <w:pPr>
        <w:tabs>
          <w:tab w:val="num" w:pos="6300"/>
        </w:tabs>
        <w:ind w:left="6300" w:hanging="360"/>
      </w:pPr>
      <w:rPr>
        <w:rFonts w:ascii="Symbol" w:hAnsi="Symbol" w:hint="default"/>
      </w:rPr>
    </w:lvl>
    <w:lvl w:ilvl="4">
      <w:start w:val="1"/>
      <w:numFmt w:val="bullet"/>
      <w:lvlText w:val="o"/>
      <w:lvlJc w:val="left"/>
      <w:pPr>
        <w:tabs>
          <w:tab w:val="num" w:pos="7020"/>
        </w:tabs>
        <w:ind w:left="7020" w:hanging="360"/>
      </w:pPr>
      <w:rPr>
        <w:rFonts w:ascii="Courier New" w:hAnsi="Courier New" w:cs="Courier New" w:hint="default"/>
      </w:rPr>
    </w:lvl>
    <w:lvl w:ilvl="5">
      <w:start w:val="1"/>
      <w:numFmt w:val="bullet"/>
      <w:lvlText w:val=""/>
      <w:lvlJc w:val="left"/>
      <w:pPr>
        <w:tabs>
          <w:tab w:val="num" w:pos="7740"/>
        </w:tabs>
        <w:ind w:left="7740" w:hanging="360"/>
      </w:pPr>
      <w:rPr>
        <w:rFonts w:ascii="Wingdings" w:hAnsi="Wingdings" w:hint="default"/>
      </w:rPr>
    </w:lvl>
    <w:lvl w:ilvl="6">
      <w:start w:val="1"/>
      <w:numFmt w:val="bullet"/>
      <w:lvlText w:val=""/>
      <w:lvlJc w:val="left"/>
      <w:pPr>
        <w:tabs>
          <w:tab w:val="num" w:pos="8460"/>
        </w:tabs>
        <w:ind w:left="8460" w:hanging="360"/>
      </w:pPr>
      <w:rPr>
        <w:rFonts w:ascii="Symbol" w:hAnsi="Symbol" w:hint="default"/>
      </w:rPr>
    </w:lvl>
    <w:lvl w:ilvl="7">
      <w:start w:val="1"/>
      <w:numFmt w:val="bullet"/>
      <w:lvlText w:val="o"/>
      <w:lvlJc w:val="left"/>
      <w:pPr>
        <w:tabs>
          <w:tab w:val="num" w:pos="9180"/>
        </w:tabs>
        <w:ind w:left="9180" w:hanging="360"/>
      </w:pPr>
      <w:rPr>
        <w:rFonts w:ascii="Courier New" w:hAnsi="Courier New" w:cs="Courier New" w:hint="default"/>
      </w:rPr>
    </w:lvl>
    <w:lvl w:ilvl="8">
      <w:start w:val="1"/>
      <w:numFmt w:val="bullet"/>
      <w:lvlText w:val=""/>
      <w:lvlJc w:val="left"/>
      <w:pPr>
        <w:tabs>
          <w:tab w:val="num" w:pos="9900"/>
        </w:tabs>
        <w:ind w:left="9900" w:hanging="360"/>
      </w:pPr>
      <w:rPr>
        <w:rFonts w:ascii="Wingdings" w:hAnsi="Wingdings" w:hint="default"/>
      </w:rPr>
    </w:lvl>
  </w:abstractNum>
  <w:abstractNum w:abstractNumId="6">
    <w:nsid w:val="3FC77A08"/>
    <w:multiLevelType w:val="hybridMultilevel"/>
    <w:tmpl w:val="C93A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1B65C8"/>
    <w:multiLevelType w:val="hybridMultilevel"/>
    <w:tmpl w:val="3C26CE1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4A9867CA"/>
    <w:multiLevelType w:val="hybridMultilevel"/>
    <w:tmpl w:val="0CB0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9420FC"/>
    <w:multiLevelType w:val="hybridMultilevel"/>
    <w:tmpl w:val="C5FCEB54"/>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CDF7404"/>
    <w:multiLevelType w:val="hybridMultilevel"/>
    <w:tmpl w:val="7BBC58B4"/>
    <w:lvl w:ilvl="0" w:tplc="04090001">
      <w:start w:val="1"/>
      <w:numFmt w:val="bullet"/>
      <w:lvlText w:val=""/>
      <w:lvlJc w:val="left"/>
      <w:pPr>
        <w:tabs>
          <w:tab w:val="num" w:pos="1440"/>
        </w:tabs>
        <w:ind w:left="1440" w:hanging="360"/>
      </w:pPr>
      <w:rPr>
        <w:rFonts w:ascii="Symbol" w:hAnsi="Symbol" w:hint="default"/>
      </w:rPr>
    </w:lvl>
    <w:lvl w:ilvl="1" w:tplc="8D38366C">
      <w:numFmt w:val="bullet"/>
      <w:lvlText w:val="•"/>
      <w:lvlJc w:val="left"/>
      <w:pPr>
        <w:ind w:left="2160" w:hanging="360"/>
      </w:pPr>
      <w:rPr>
        <w:rFonts w:ascii="Times New Roman" w:eastAsia="Times New Roman" w:hAnsi="Times New Roman" w:cs="Times New Roman" w:hint="default"/>
        <w:sz w:val="3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5C3544"/>
    <w:multiLevelType w:val="hybridMultilevel"/>
    <w:tmpl w:val="6106A51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EC052D5"/>
    <w:multiLevelType w:val="hybridMultilevel"/>
    <w:tmpl w:val="1DD24B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
  </w:num>
  <w:num w:numId="3">
    <w:abstractNumId w:val="10"/>
  </w:num>
  <w:num w:numId="4">
    <w:abstractNumId w:val="7"/>
  </w:num>
  <w:num w:numId="5">
    <w:abstractNumId w:val="12"/>
  </w:num>
  <w:num w:numId="6">
    <w:abstractNumId w:val="3"/>
  </w:num>
  <w:num w:numId="7">
    <w:abstractNumId w:val="4"/>
  </w:num>
  <w:num w:numId="8">
    <w:abstractNumId w:val="8"/>
  </w:num>
  <w:num w:numId="9">
    <w:abstractNumId w:val="11"/>
  </w:num>
  <w:num w:numId="10">
    <w:abstractNumId w:val="9"/>
  </w:num>
  <w:num w:numId="11">
    <w:abstractNumId w:val="1"/>
  </w:num>
  <w:num w:numId="12">
    <w:abstractNumId w:val="6"/>
  </w:num>
  <w:num w:numId="1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ED"/>
    <w:rsid w:val="000000E7"/>
    <w:rsid w:val="00000B97"/>
    <w:rsid w:val="00000CA7"/>
    <w:rsid w:val="00000D55"/>
    <w:rsid w:val="00000F08"/>
    <w:rsid w:val="00001380"/>
    <w:rsid w:val="0000367F"/>
    <w:rsid w:val="00003AA3"/>
    <w:rsid w:val="000045C5"/>
    <w:rsid w:val="000051B8"/>
    <w:rsid w:val="00006901"/>
    <w:rsid w:val="00006CE5"/>
    <w:rsid w:val="00007A92"/>
    <w:rsid w:val="00010042"/>
    <w:rsid w:val="00010CD9"/>
    <w:rsid w:val="00010D55"/>
    <w:rsid w:val="00011270"/>
    <w:rsid w:val="0001257C"/>
    <w:rsid w:val="000133C4"/>
    <w:rsid w:val="000137A9"/>
    <w:rsid w:val="00014ABB"/>
    <w:rsid w:val="00014C14"/>
    <w:rsid w:val="00017D99"/>
    <w:rsid w:val="00017EFF"/>
    <w:rsid w:val="00020B67"/>
    <w:rsid w:val="00021457"/>
    <w:rsid w:val="00021AD7"/>
    <w:rsid w:val="00024672"/>
    <w:rsid w:val="00024E05"/>
    <w:rsid w:val="00025AB9"/>
    <w:rsid w:val="00026883"/>
    <w:rsid w:val="0002692B"/>
    <w:rsid w:val="00026EE2"/>
    <w:rsid w:val="000275B7"/>
    <w:rsid w:val="00027EA3"/>
    <w:rsid w:val="00027F29"/>
    <w:rsid w:val="0003006A"/>
    <w:rsid w:val="0003091D"/>
    <w:rsid w:val="00030BCF"/>
    <w:rsid w:val="0003142F"/>
    <w:rsid w:val="00032577"/>
    <w:rsid w:val="000339D1"/>
    <w:rsid w:val="00034979"/>
    <w:rsid w:val="00042230"/>
    <w:rsid w:val="00044931"/>
    <w:rsid w:val="00050C1B"/>
    <w:rsid w:val="00051A38"/>
    <w:rsid w:val="00052601"/>
    <w:rsid w:val="00053612"/>
    <w:rsid w:val="00053CDE"/>
    <w:rsid w:val="00053E88"/>
    <w:rsid w:val="00053F84"/>
    <w:rsid w:val="0005649E"/>
    <w:rsid w:val="00056EC9"/>
    <w:rsid w:val="000576E2"/>
    <w:rsid w:val="000579A1"/>
    <w:rsid w:val="000604C1"/>
    <w:rsid w:val="000612FD"/>
    <w:rsid w:val="00063D8B"/>
    <w:rsid w:val="0006417F"/>
    <w:rsid w:val="000641A2"/>
    <w:rsid w:val="00064289"/>
    <w:rsid w:val="000647DF"/>
    <w:rsid w:val="000654E8"/>
    <w:rsid w:val="00065965"/>
    <w:rsid w:val="00066E9D"/>
    <w:rsid w:val="00067C4E"/>
    <w:rsid w:val="0007097D"/>
    <w:rsid w:val="00073FF0"/>
    <w:rsid w:val="00075C36"/>
    <w:rsid w:val="00077049"/>
    <w:rsid w:val="00077EA3"/>
    <w:rsid w:val="0008059B"/>
    <w:rsid w:val="000812A9"/>
    <w:rsid w:val="000817CE"/>
    <w:rsid w:val="00081991"/>
    <w:rsid w:val="00081DBF"/>
    <w:rsid w:val="000831F1"/>
    <w:rsid w:val="00084F13"/>
    <w:rsid w:val="000858D3"/>
    <w:rsid w:val="0008721E"/>
    <w:rsid w:val="00091B1B"/>
    <w:rsid w:val="00091B47"/>
    <w:rsid w:val="00091EF7"/>
    <w:rsid w:val="0009215C"/>
    <w:rsid w:val="00093B5B"/>
    <w:rsid w:val="00093C59"/>
    <w:rsid w:val="00095B70"/>
    <w:rsid w:val="000978BB"/>
    <w:rsid w:val="000A02DC"/>
    <w:rsid w:val="000A059F"/>
    <w:rsid w:val="000A1AA7"/>
    <w:rsid w:val="000A4290"/>
    <w:rsid w:val="000A49D1"/>
    <w:rsid w:val="000A4BD9"/>
    <w:rsid w:val="000A5264"/>
    <w:rsid w:val="000A7191"/>
    <w:rsid w:val="000B0596"/>
    <w:rsid w:val="000B0A23"/>
    <w:rsid w:val="000B1623"/>
    <w:rsid w:val="000B184C"/>
    <w:rsid w:val="000B1CBF"/>
    <w:rsid w:val="000B2679"/>
    <w:rsid w:val="000B348A"/>
    <w:rsid w:val="000B594B"/>
    <w:rsid w:val="000C08C0"/>
    <w:rsid w:val="000C08CA"/>
    <w:rsid w:val="000C096A"/>
    <w:rsid w:val="000C27E4"/>
    <w:rsid w:val="000C3CE2"/>
    <w:rsid w:val="000C4959"/>
    <w:rsid w:val="000C6469"/>
    <w:rsid w:val="000D058F"/>
    <w:rsid w:val="000D1C7D"/>
    <w:rsid w:val="000D1D9D"/>
    <w:rsid w:val="000D3C05"/>
    <w:rsid w:val="000D4653"/>
    <w:rsid w:val="000D4763"/>
    <w:rsid w:val="000D49B6"/>
    <w:rsid w:val="000D6957"/>
    <w:rsid w:val="000D7282"/>
    <w:rsid w:val="000E2A89"/>
    <w:rsid w:val="000E413A"/>
    <w:rsid w:val="000E442A"/>
    <w:rsid w:val="000E4BC5"/>
    <w:rsid w:val="000F0968"/>
    <w:rsid w:val="000F1156"/>
    <w:rsid w:val="000F1952"/>
    <w:rsid w:val="000F44A0"/>
    <w:rsid w:val="000F5644"/>
    <w:rsid w:val="000F59EA"/>
    <w:rsid w:val="000F5A79"/>
    <w:rsid w:val="000F6127"/>
    <w:rsid w:val="000F7463"/>
    <w:rsid w:val="000F7B7D"/>
    <w:rsid w:val="001004B6"/>
    <w:rsid w:val="00104E24"/>
    <w:rsid w:val="00105EBF"/>
    <w:rsid w:val="001064BC"/>
    <w:rsid w:val="0010676F"/>
    <w:rsid w:val="00107C02"/>
    <w:rsid w:val="00111679"/>
    <w:rsid w:val="00113E79"/>
    <w:rsid w:val="0011579F"/>
    <w:rsid w:val="00115BBD"/>
    <w:rsid w:val="00116594"/>
    <w:rsid w:val="00116A61"/>
    <w:rsid w:val="001177C8"/>
    <w:rsid w:val="001229D5"/>
    <w:rsid w:val="00124669"/>
    <w:rsid w:val="00126E87"/>
    <w:rsid w:val="00127FA3"/>
    <w:rsid w:val="001301B0"/>
    <w:rsid w:val="0013033E"/>
    <w:rsid w:val="00130868"/>
    <w:rsid w:val="001316F2"/>
    <w:rsid w:val="0013177C"/>
    <w:rsid w:val="00131881"/>
    <w:rsid w:val="00131D77"/>
    <w:rsid w:val="0013252B"/>
    <w:rsid w:val="00133B09"/>
    <w:rsid w:val="00133C14"/>
    <w:rsid w:val="001350A8"/>
    <w:rsid w:val="00135851"/>
    <w:rsid w:val="00136187"/>
    <w:rsid w:val="001364D9"/>
    <w:rsid w:val="00141071"/>
    <w:rsid w:val="00141D3D"/>
    <w:rsid w:val="001428B4"/>
    <w:rsid w:val="00143F81"/>
    <w:rsid w:val="00144108"/>
    <w:rsid w:val="00144D82"/>
    <w:rsid w:val="001473A6"/>
    <w:rsid w:val="0015007D"/>
    <w:rsid w:val="00153BB5"/>
    <w:rsid w:val="00154695"/>
    <w:rsid w:val="00154BA6"/>
    <w:rsid w:val="00157A65"/>
    <w:rsid w:val="0016090F"/>
    <w:rsid w:val="0016099F"/>
    <w:rsid w:val="00160A98"/>
    <w:rsid w:val="0016195B"/>
    <w:rsid w:val="00161BB2"/>
    <w:rsid w:val="0016334B"/>
    <w:rsid w:val="00164054"/>
    <w:rsid w:val="001652DD"/>
    <w:rsid w:val="001653DD"/>
    <w:rsid w:val="00165A56"/>
    <w:rsid w:val="0016712B"/>
    <w:rsid w:val="001701E5"/>
    <w:rsid w:val="001723F3"/>
    <w:rsid w:val="00172C2E"/>
    <w:rsid w:val="001731B7"/>
    <w:rsid w:val="001734C3"/>
    <w:rsid w:val="001759AC"/>
    <w:rsid w:val="001814B6"/>
    <w:rsid w:val="00183A00"/>
    <w:rsid w:val="001854A6"/>
    <w:rsid w:val="001862DD"/>
    <w:rsid w:val="00190C40"/>
    <w:rsid w:val="001913B3"/>
    <w:rsid w:val="001914B7"/>
    <w:rsid w:val="00192297"/>
    <w:rsid w:val="00193039"/>
    <w:rsid w:val="00193B3D"/>
    <w:rsid w:val="00194042"/>
    <w:rsid w:val="00194DD9"/>
    <w:rsid w:val="00196D81"/>
    <w:rsid w:val="001A041D"/>
    <w:rsid w:val="001A3907"/>
    <w:rsid w:val="001A506B"/>
    <w:rsid w:val="001A5D0F"/>
    <w:rsid w:val="001A776D"/>
    <w:rsid w:val="001A7E97"/>
    <w:rsid w:val="001B191C"/>
    <w:rsid w:val="001B1987"/>
    <w:rsid w:val="001B286B"/>
    <w:rsid w:val="001B3BDF"/>
    <w:rsid w:val="001B4400"/>
    <w:rsid w:val="001B4683"/>
    <w:rsid w:val="001B486A"/>
    <w:rsid w:val="001B51AA"/>
    <w:rsid w:val="001B5FFD"/>
    <w:rsid w:val="001B707E"/>
    <w:rsid w:val="001B7F05"/>
    <w:rsid w:val="001C04AC"/>
    <w:rsid w:val="001C0AB3"/>
    <w:rsid w:val="001C144F"/>
    <w:rsid w:val="001C2E9F"/>
    <w:rsid w:val="001C4E25"/>
    <w:rsid w:val="001C7CC8"/>
    <w:rsid w:val="001D06B6"/>
    <w:rsid w:val="001D186B"/>
    <w:rsid w:val="001D1C88"/>
    <w:rsid w:val="001D3057"/>
    <w:rsid w:val="001D3325"/>
    <w:rsid w:val="001D45E2"/>
    <w:rsid w:val="001D4656"/>
    <w:rsid w:val="001D53CE"/>
    <w:rsid w:val="001D5443"/>
    <w:rsid w:val="001E2E3C"/>
    <w:rsid w:val="001E379A"/>
    <w:rsid w:val="001E5A2D"/>
    <w:rsid w:val="001E7201"/>
    <w:rsid w:val="001F0DB7"/>
    <w:rsid w:val="001F1275"/>
    <w:rsid w:val="002005A9"/>
    <w:rsid w:val="00200EB7"/>
    <w:rsid w:val="00203ABB"/>
    <w:rsid w:val="00205503"/>
    <w:rsid w:val="002079BD"/>
    <w:rsid w:val="00207D1C"/>
    <w:rsid w:val="00211A0B"/>
    <w:rsid w:val="0021269A"/>
    <w:rsid w:val="002128A6"/>
    <w:rsid w:val="00213DDB"/>
    <w:rsid w:val="00215FD3"/>
    <w:rsid w:val="00217819"/>
    <w:rsid w:val="00217A7B"/>
    <w:rsid w:val="002225BA"/>
    <w:rsid w:val="00222EB7"/>
    <w:rsid w:val="00223E72"/>
    <w:rsid w:val="00224255"/>
    <w:rsid w:val="00224D16"/>
    <w:rsid w:val="00225432"/>
    <w:rsid w:val="002304CA"/>
    <w:rsid w:val="00230542"/>
    <w:rsid w:val="00230765"/>
    <w:rsid w:val="00230782"/>
    <w:rsid w:val="0023147E"/>
    <w:rsid w:val="0023233B"/>
    <w:rsid w:val="00232E26"/>
    <w:rsid w:val="00234E26"/>
    <w:rsid w:val="00234EB0"/>
    <w:rsid w:val="00235E1F"/>
    <w:rsid w:val="00237FBC"/>
    <w:rsid w:val="002401A6"/>
    <w:rsid w:val="0024243A"/>
    <w:rsid w:val="00242E2F"/>
    <w:rsid w:val="00243879"/>
    <w:rsid w:val="00250185"/>
    <w:rsid w:val="00250D66"/>
    <w:rsid w:val="00251A3C"/>
    <w:rsid w:val="002557D9"/>
    <w:rsid w:val="002566EE"/>
    <w:rsid w:val="00256C4D"/>
    <w:rsid w:val="0025755A"/>
    <w:rsid w:val="0026092C"/>
    <w:rsid w:val="00260BBA"/>
    <w:rsid w:val="00261A6D"/>
    <w:rsid w:val="00261D4F"/>
    <w:rsid w:val="002656B0"/>
    <w:rsid w:val="00265ABF"/>
    <w:rsid w:val="0026613E"/>
    <w:rsid w:val="002678D7"/>
    <w:rsid w:val="00267957"/>
    <w:rsid w:val="0027032B"/>
    <w:rsid w:val="002723E4"/>
    <w:rsid w:val="00272CE1"/>
    <w:rsid w:val="00274739"/>
    <w:rsid w:val="00274D81"/>
    <w:rsid w:val="00274E8D"/>
    <w:rsid w:val="00274EAF"/>
    <w:rsid w:val="002755A6"/>
    <w:rsid w:val="00276792"/>
    <w:rsid w:val="00277B0C"/>
    <w:rsid w:val="00281163"/>
    <w:rsid w:val="00281A7D"/>
    <w:rsid w:val="0028408C"/>
    <w:rsid w:val="0028435E"/>
    <w:rsid w:val="00285A58"/>
    <w:rsid w:val="002865EA"/>
    <w:rsid w:val="002872E9"/>
    <w:rsid w:val="002914F9"/>
    <w:rsid w:val="00291CE6"/>
    <w:rsid w:val="0029262E"/>
    <w:rsid w:val="0029333D"/>
    <w:rsid w:val="00294447"/>
    <w:rsid w:val="00295408"/>
    <w:rsid w:val="00295B5F"/>
    <w:rsid w:val="00297F3C"/>
    <w:rsid w:val="002A1165"/>
    <w:rsid w:val="002A1E06"/>
    <w:rsid w:val="002A2104"/>
    <w:rsid w:val="002A2BAE"/>
    <w:rsid w:val="002A371C"/>
    <w:rsid w:val="002A3BB1"/>
    <w:rsid w:val="002A4CD8"/>
    <w:rsid w:val="002A66FD"/>
    <w:rsid w:val="002A7B2B"/>
    <w:rsid w:val="002B1E51"/>
    <w:rsid w:val="002B50A0"/>
    <w:rsid w:val="002B536A"/>
    <w:rsid w:val="002B5650"/>
    <w:rsid w:val="002B6A3A"/>
    <w:rsid w:val="002B79FC"/>
    <w:rsid w:val="002B7A77"/>
    <w:rsid w:val="002C1F61"/>
    <w:rsid w:val="002C28E6"/>
    <w:rsid w:val="002C4EF6"/>
    <w:rsid w:val="002C53EC"/>
    <w:rsid w:val="002D1471"/>
    <w:rsid w:val="002D3F4F"/>
    <w:rsid w:val="002D410A"/>
    <w:rsid w:val="002D420E"/>
    <w:rsid w:val="002D4B0C"/>
    <w:rsid w:val="002D4FF0"/>
    <w:rsid w:val="002E0911"/>
    <w:rsid w:val="002E0ED6"/>
    <w:rsid w:val="002E152F"/>
    <w:rsid w:val="002E3322"/>
    <w:rsid w:val="002E55FC"/>
    <w:rsid w:val="002E5966"/>
    <w:rsid w:val="002E7D3D"/>
    <w:rsid w:val="002F1FF5"/>
    <w:rsid w:val="002F2DB9"/>
    <w:rsid w:val="002F305D"/>
    <w:rsid w:val="002F3A67"/>
    <w:rsid w:val="002F3B59"/>
    <w:rsid w:val="002F4F44"/>
    <w:rsid w:val="002F5350"/>
    <w:rsid w:val="002F5C49"/>
    <w:rsid w:val="002F668B"/>
    <w:rsid w:val="002F6EBB"/>
    <w:rsid w:val="00300E4D"/>
    <w:rsid w:val="0030584F"/>
    <w:rsid w:val="0030634F"/>
    <w:rsid w:val="003071E8"/>
    <w:rsid w:val="00307B43"/>
    <w:rsid w:val="00307B8B"/>
    <w:rsid w:val="00310AF5"/>
    <w:rsid w:val="00312712"/>
    <w:rsid w:val="003138B5"/>
    <w:rsid w:val="00313FEC"/>
    <w:rsid w:val="00314277"/>
    <w:rsid w:val="00314F6F"/>
    <w:rsid w:val="00315543"/>
    <w:rsid w:val="003155E5"/>
    <w:rsid w:val="003200A5"/>
    <w:rsid w:val="003219E5"/>
    <w:rsid w:val="00321E76"/>
    <w:rsid w:val="0032296F"/>
    <w:rsid w:val="00322D67"/>
    <w:rsid w:val="003237AE"/>
    <w:rsid w:val="003258BF"/>
    <w:rsid w:val="00325D6B"/>
    <w:rsid w:val="003267CD"/>
    <w:rsid w:val="00327138"/>
    <w:rsid w:val="00331481"/>
    <w:rsid w:val="003344DA"/>
    <w:rsid w:val="00334533"/>
    <w:rsid w:val="00336DD0"/>
    <w:rsid w:val="003379A5"/>
    <w:rsid w:val="00337AF5"/>
    <w:rsid w:val="00340AAA"/>
    <w:rsid w:val="00340CAA"/>
    <w:rsid w:val="003410E3"/>
    <w:rsid w:val="003414F4"/>
    <w:rsid w:val="0034271D"/>
    <w:rsid w:val="00342C9A"/>
    <w:rsid w:val="00343793"/>
    <w:rsid w:val="003440DE"/>
    <w:rsid w:val="0034432B"/>
    <w:rsid w:val="00344AB9"/>
    <w:rsid w:val="003465B9"/>
    <w:rsid w:val="00350162"/>
    <w:rsid w:val="00352074"/>
    <w:rsid w:val="00353455"/>
    <w:rsid w:val="0035577B"/>
    <w:rsid w:val="0035611A"/>
    <w:rsid w:val="00361C1C"/>
    <w:rsid w:val="003624E9"/>
    <w:rsid w:val="00363366"/>
    <w:rsid w:val="00363AC7"/>
    <w:rsid w:val="003710B8"/>
    <w:rsid w:val="0037175E"/>
    <w:rsid w:val="00372AAE"/>
    <w:rsid w:val="00373C60"/>
    <w:rsid w:val="00373CCB"/>
    <w:rsid w:val="00376287"/>
    <w:rsid w:val="00376FFA"/>
    <w:rsid w:val="0037737D"/>
    <w:rsid w:val="003823FC"/>
    <w:rsid w:val="003833B4"/>
    <w:rsid w:val="00383A0C"/>
    <w:rsid w:val="003866AE"/>
    <w:rsid w:val="0038689E"/>
    <w:rsid w:val="00386B2E"/>
    <w:rsid w:val="00387CBA"/>
    <w:rsid w:val="003903DF"/>
    <w:rsid w:val="003916B2"/>
    <w:rsid w:val="00391E6A"/>
    <w:rsid w:val="00394F3B"/>
    <w:rsid w:val="0039591E"/>
    <w:rsid w:val="003965CB"/>
    <w:rsid w:val="003971E5"/>
    <w:rsid w:val="003A006C"/>
    <w:rsid w:val="003A0345"/>
    <w:rsid w:val="003A0ED7"/>
    <w:rsid w:val="003A1B53"/>
    <w:rsid w:val="003A2C16"/>
    <w:rsid w:val="003A3A99"/>
    <w:rsid w:val="003A4A2C"/>
    <w:rsid w:val="003A61A6"/>
    <w:rsid w:val="003A67F6"/>
    <w:rsid w:val="003A7940"/>
    <w:rsid w:val="003A7A9F"/>
    <w:rsid w:val="003B0C80"/>
    <w:rsid w:val="003B0C8A"/>
    <w:rsid w:val="003B253A"/>
    <w:rsid w:val="003B2B11"/>
    <w:rsid w:val="003B2C76"/>
    <w:rsid w:val="003B322E"/>
    <w:rsid w:val="003B37C8"/>
    <w:rsid w:val="003B456E"/>
    <w:rsid w:val="003B49E3"/>
    <w:rsid w:val="003B52C4"/>
    <w:rsid w:val="003B558F"/>
    <w:rsid w:val="003C0B33"/>
    <w:rsid w:val="003C0B3E"/>
    <w:rsid w:val="003C0CDB"/>
    <w:rsid w:val="003C203D"/>
    <w:rsid w:val="003C29D2"/>
    <w:rsid w:val="003C2F98"/>
    <w:rsid w:val="003C2FB3"/>
    <w:rsid w:val="003C3D61"/>
    <w:rsid w:val="003C40A4"/>
    <w:rsid w:val="003C415D"/>
    <w:rsid w:val="003C4B4B"/>
    <w:rsid w:val="003C530C"/>
    <w:rsid w:val="003C5B94"/>
    <w:rsid w:val="003D0827"/>
    <w:rsid w:val="003D0DE7"/>
    <w:rsid w:val="003D17E5"/>
    <w:rsid w:val="003D3206"/>
    <w:rsid w:val="003D3608"/>
    <w:rsid w:val="003D3AF1"/>
    <w:rsid w:val="003D451E"/>
    <w:rsid w:val="003D48CE"/>
    <w:rsid w:val="003D574B"/>
    <w:rsid w:val="003E14B8"/>
    <w:rsid w:val="003E294D"/>
    <w:rsid w:val="003E2FD7"/>
    <w:rsid w:val="003E4F6A"/>
    <w:rsid w:val="003E75CA"/>
    <w:rsid w:val="003F03D4"/>
    <w:rsid w:val="003F3661"/>
    <w:rsid w:val="003F484E"/>
    <w:rsid w:val="003F5EF3"/>
    <w:rsid w:val="003F6D87"/>
    <w:rsid w:val="003F7952"/>
    <w:rsid w:val="00400085"/>
    <w:rsid w:val="004002A9"/>
    <w:rsid w:val="004057CE"/>
    <w:rsid w:val="00405B31"/>
    <w:rsid w:val="0040619F"/>
    <w:rsid w:val="00406A1F"/>
    <w:rsid w:val="004072F1"/>
    <w:rsid w:val="004077D0"/>
    <w:rsid w:val="004109EC"/>
    <w:rsid w:val="00412E2E"/>
    <w:rsid w:val="00413869"/>
    <w:rsid w:val="00413E3A"/>
    <w:rsid w:val="00415E41"/>
    <w:rsid w:val="004171E1"/>
    <w:rsid w:val="00417A07"/>
    <w:rsid w:val="00417DDE"/>
    <w:rsid w:val="00417E79"/>
    <w:rsid w:val="0042103E"/>
    <w:rsid w:val="004213C1"/>
    <w:rsid w:val="00422B7F"/>
    <w:rsid w:val="00422C1E"/>
    <w:rsid w:val="00423399"/>
    <w:rsid w:val="00426312"/>
    <w:rsid w:val="004264A9"/>
    <w:rsid w:val="004267A5"/>
    <w:rsid w:val="00427402"/>
    <w:rsid w:val="00427FB4"/>
    <w:rsid w:val="00430148"/>
    <w:rsid w:val="00431206"/>
    <w:rsid w:val="00433A9E"/>
    <w:rsid w:val="00434663"/>
    <w:rsid w:val="00434C77"/>
    <w:rsid w:val="0043593A"/>
    <w:rsid w:val="00436808"/>
    <w:rsid w:val="00437853"/>
    <w:rsid w:val="004405B0"/>
    <w:rsid w:val="00442406"/>
    <w:rsid w:val="00442BA6"/>
    <w:rsid w:val="00443969"/>
    <w:rsid w:val="00443C88"/>
    <w:rsid w:val="0044464C"/>
    <w:rsid w:val="00447091"/>
    <w:rsid w:val="004475AA"/>
    <w:rsid w:val="00447AEF"/>
    <w:rsid w:val="004531C9"/>
    <w:rsid w:val="004532E2"/>
    <w:rsid w:val="00453988"/>
    <w:rsid w:val="00456054"/>
    <w:rsid w:val="00456BE6"/>
    <w:rsid w:val="00456FEF"/>
    <w:rsid w:val="004577A7"/>
    <w:rsid w:val="00457A78"/>
    <w:rsid w:val="00457F86"/>
    <w:rsid w:val="00460091"/>
    <w:rsid w:val="0046281C"/>
    <w:rsid w:val="00465C1D"/>
    <w:rsid w:val="004678CF"/>
    <w:rsid w:val="00470896"/>
    <w:rsid w:val="004709EA"/>
    <w:rsid w:val="00470E0F"/>
    <w:rsid w:val="00471086"/>
    <w:rsid w:val="0047125C"/>
    <w:rsid w:val="00471606"/>
    <w:rsid w:val="00471A11"/>
    <w:rsid w:val="004755D6"/>
    <w:rsid w:val="004757CC"/>
    <w:rsid w:val="00476879"/>
    <w:rsid w:val="00480889"/>
    <w:rsid w:val="0048153F"/>
    <w:rsid w:val="004816A8"/>
    <w:rsid w:val="00481E04"/>
    <w:rsid w:val="00482567"/>
    <w:rsid w:val="00483F0B"/>
    <w:rsid w:val="004903AE"/>
    <w:rsid w:val="004905E7"/>
    <w:rsid w:val="00491C17"/>
    <w:rsid w:val="00492B70"/>
    <w:rsid w:val="00493DD2"/>
    <w:rsid w:val="0049541F"/>
    <w:rsid w:val="00496269"/>
    <w:rsid w:val="004A058C"/>
    <w:rsid w:val="004A2E0B"/>
    <w:rsid w:val="004A3F58"/>
    <w:rsid w:val="004A4847"/>
    <w:rsid w:val="004A58CD"/>
    <w:rsid w:val="004A698D"/>
    <w:rsid w:val="004A7243"/>
    <w:rsid w:val="004A7748"/>
    <w:rsid w:val="004A7858"/>
    <w:rsid w:val="004B593E"/>
    <w:rsid w:val="004B5C0B"/>
    <w:rsid w:val="004B69CE"/>
    <w:rsid w:val="004B6F88"/>
    <w:rsid w:val="004B78BE"/>
    <w:rsid w:val="004B7B16"/>
    <w:rsid w:val="004B7D52"/>
    <w:rsid w:val="004C271B"/>
    <w:rsid w:val="004C29BF"/>
    <w:rsid w:val="004C4368"/>
    <w:rsid w:val="004C4723"/>
    <w:rsid w:val="004C5453"/>
    <w:rsid w:val="004C68A7"/>
    <w:rsid w:val="004C6BA1"/>
    <w:rsid w:val="004C719D"/>
    <w:rsid w:val="004C76B4"/>
    <w:rsid w:val="004D2ABC"/>
    <w:rsid w:val="004D43E0"/>
    <w:rsid w:val="004D6550"/>
    <w:rsid w:val="004D70B8"/>
    <w:rsid w:val="004D747A"/>
    <w:rsid w:val="004D77EA"/>
    <w:rsid w:val="004E370C"/>
    <w:rsid w:val="004E384F"/>
    <w:rsid w:val="004E46F6"/>
    <w:rsid w:val="004E5750"/>
    <w:rsid w:val="004E6FFE"/>
    <w:rsid w:val="004F0C43"/>
    <w:rsid w:val="004F1B51"/>
    <w:rsid w:val="004F4847"/>
    <w:rsid w:val="004F5149"/>
    <w:rsid w:val="004F74A6"/>
    <w:rsid w:val="004F78BB"/>
    <w:rsid w:val="004F7B30"/>
    <w:rsid w:val="004F7F68"/>
    <w:rsid w:val="00500C92"/>
    <w:rsid w:val="005029C8"/>
    <w:rsid w:val="00503D92"/>
    <w:rsid w:val="00505319"/>
    <w:rsid w:val="00506F66"/>
    <w:rsid w:val="00507202"/>
    <w:rsid w:val="00507DAC"/>
    <w:rsid w:val="00510835"/>
    <w:rsid w:val="00511A81"/>
    <w:rsid w:val="00512CF7"/>
    <w:rsid w:val="00513614"/>
    <w:rsid w:val="0051467A"/>
    <w:rsid w:val="00514B24"/>
    <w:rsid w:val="00515614"/>
    <w:rsid w:val="0052016B"/>
    <w:rsid w:val="00520566"/>
    <w:rsid w:val="00523EE1"/>
    <w:rsid w:val="005246B9"/>
    <w:rsid w:val="0052484B"/>
    <w:rsid w:val="00524EE1"/>
    <w:rsid w:val="00525966"/>
    <w:rsid w:val="00525ECE"/>
    <w:rsid w:val="005269C1"/>
    <w:rsid w:val="00527743"/>
    <w:rsid w:val="005308EA"/>
    <w:rsid w:val="00530E86"/>
    <w:rsid w:val="0053151C"/>
    <w:rsid w:val="005359D3"/>
    <w:rsid w:val="00535A2B"/>
    <w:rsid w:val="00536D87"/>
    <w:rsid w:val="00541C46"/>
    <w:rsid w:val="0054384B"/>
    <w:rsid w:val="00546EE2"/>
    <w:rsid w:val="00547CF6"/>
    <w:rsid w:val="00550923"/>
    <w:rsid w:val="005509A8"/>
    <w:rsid w:val="00551334"/>
    <w:rsid w:val="0055139D"/>
    <w:rsid w:val="0055169C"/>
    <w:rsid w:val="0055194E"/>
    <w:rsid w:val="00552B4A"/>
    <w:rsid w:val="0055320C"/>
    <w:rsid w:val="0055385B"/>
    <w:rsid w:val="00555A5E"/>
    <w:rsid w:val="005563F6"/>
    <w:rsid w:val="0055698B"/>
    <w:rsid w:val="005577CE"/>
    <w:rsid w:val="0055785E"/>
    <w:rsid w:val="005578EC"/>
    <w:rsid w:val="005579B4"/>
    <w:rsid w:val="0056145D"/>
    <w:rsid w:val="005637E9"/>
    <w:rsid w:val="005638A4"/>
    <w:rsid w:val="00565489"/>
    <w:rsid w:val="00572329"/>
    <w:rsid w:val="00572776"/>
    <w:rsid w:val="00572F4F"/>
    <w:rsid w:val="00575532"/>
    <w:rsid w:val="00577DE9"/>
    <w:rsid w:val="005808C7"/>
    <w:rsid w:val="00583435"/>
    <w:rsid w:val="005841B2"/>
    <w:rsid w:val="005844BC"/>
    <w:rsid w:val="00585147"/>
    <w:rsid w:val="00586733"/>
    <w:rsid w:val="005907D4"/>
    <w:rsid w:val="00591C40"/>
    <w:rsid w:val="00592FD6"/>
    <w:rsid w:val="005932AA"/>
    <w:rsid w:val="0059377C"/>
    <w:rsid w:val="00594E36"/>
    <w:rsid w:val="0059550B"/>
    <w:rsid w:val="00595B6B"/>
    <w:rsid w:val="00596A77"/>
    <w:rsid w:val="005974D7"/>
    <w:rsid w:val="005A246D"/>
    <w:rsid w:val="005A28D5"/>
    <w:rsid w:val="005A30BA"/>
    <w:rsid w:val="005A391E"/>
    <w:rsid w:val="005A723B"/>
    <w:rsid w:val="005B0DAA"/>
    <w:rsid w:val="005B1789"/>
    <w:rsid w:val="005B35C0"/>
    <w:rsid w:val="005B5D5E"/>
    <w:rsid w:val="005B6614"/>
    <w:rsid w:val="005B748E"/>
    <w:rsid w:val="005C02EF"/>
    <w:rsid w:val="005C0966"/>
    <w:rsid w:val="005C12FF"/>
    <w:rsid w:val="005C4463"/>
    <w:rsid w:val="005C650C"/>
    <w:rsid w:val="005C6B32"/>
    <w:rsid w:val="005C71E6"/>
    <w:rsid w:val="005C74BD"/>
    <w:rsid w:val="005D0960"/>
    <w:rsid w:val="005D0ACE"/>
    <w:rsid w:val="005D2483"/>
    <w:rsid w:val="005D2485"/>
    <w:rsid w:val="005D3759"/>
    <w:rsid w:val="005D39D0"/>
    <w:rsid w:val="005D3ECC"/>
    <w:rsid w:val="005D4AB4"/>
    <w:rsid w:val="005D4F79"/>
    <w:rsid w:val="005D5531"/>
    <w:rsid w:val="005D6848"/>
    <w:rsid w:val="005D747F"/>
    <w:rsid w:val="005D769E"/>
    <w:rsid w:val="005E030B"/>
    <w:rsid w:val="005E0C1C"/>
    <w:rsid w:val="005E156F"/>
    <w:rsid w:val="005E2BA9"/>
    <w:rsid w:val="005E3D2B"/>
    <w:rsid w:val="005E4259"/>
    <w:rsid w:val="005E50AC"/>
    <w:rsid w:val="005E759E"/>
    <w:rsid w:val="005F0A75"/>
    <w:rsid w:val="005F0EED"/>
    <w:rsid w:val="005F2635"/>
    <w:rsid w:val="005F2BA2"/>
    <w:rsid w:val="005F48E2"/>
    <w:rsid w:val="005F4B42"/>
    <w:rsid w:val="005F54BA"/>
    <w:rsid w:val="005F66B6"/>
    <w:rsid w:val="00600225"/>
    <w:rsid w:val="006028EC"/>
    <w:rsid w:val="006032DF"/>
    <w:rsid w:val="00614396"/>
    <w:rsid w:val="00614938"/>
    <w:rsid w:val="00616C58"/>
    <w:rsid w:val="00620424"/>
    <w:rsid w:val="00620DA2"/>
    <w:rsid w:val="00621C88"/>
    <w:rsid w:val="00623B42"/>
    <w:rsid w:val="006248A1"/>
    <w:rsid w:val="0062491A"/>
    <w:rsid w:val="00625166"/>
    <w:rsid w:val="006314EA"/>
    <w:rsid w:val="00636412"/>
    <w:rsid w:val="006365E9"/>
    <w:rsid w:val="00637689"/>
    <w:rsid w:val="00640CF1"/>
    <w:rsid w:val="00640E35"/>
    <w:rsid w:val="00640F85"/>
    <w:rsid w:val="00641C04"/>
    <w:rsid w:val="00643255"/>
    <w:rsid w:val="00645005"/>
    <w:rsid w:val="00645924"/>
    <w:rsid w:val="00646B4E"/>
    <w:rsid w:val="006478BB"/>
    <w:rsid w:val="006514FE"/>
    <w:rsid w:val="00652A10"/>
    <w:rsid w:val="006540D4"/>
    <w:rsid w:val="00654E22"/>
    <w:rsid w:val="00654FA2"/>
    <w:rsid w:val="0065535A"/>
    <w:rsid w:val="00660C91"/>
    <w:rsid w:val="006643C2"/>
    <w:rsid w:val="00665A08"/>
    <w:rsid w:val="00666E5A"/>
    <w:rsid w:val="006678F2"/>
    <w:rsid w:val="00667FF5"/>
    <w:rsid w:val="00670506"/>
    <w:rsid w:val="00671041"/>
    <w:rsid w:val="006732A9"/>
    <w:rsid w:val="00673621"/>
    <w:rsid w:val="00673684"/>
    <w:rsid w:val="00673C12"/>
    <w:rsid w:val="006745B4"/>
    <w:rsid w:val="00674EA5"/>
    <w:rsid w:val="0067634F"/>
    <w:rsid w:val="00677D79"/>
    <w:rsid w:val="00682330"/>
    <w:rsid w:val="006827A6"/>
    <w:rsid w:val="006832E0"/>
    <w:rsid w:val="006844B6"/>
    <w:rsid w:val="00685309"/>
    <w:rsid w:val="00686194"/>
    <w:rsid w:val="00687C84"/>
    <w:rsid w:val="00690B9D"/>
    <w:rsid w:val="00690BCC"/>
    <w:rsid w:val="00691817"/>
    <w:rsid w:val="00691E72"/>
    <w:rsid w:val="00692517"/>
    <w:rsid w:val="00692846"/>
    <w:rsid w:val="00692B54"/>
    <w:rsid w:val="006936A9"/>
    <w:rsid w:val="00694ACB"/>
    <w:rsid w:val="006952F2"/>
    <w:rsid w:val="00697EA5"/>
    <w:rsid w:val="006A0F03"/>
    <w:rsid w:val="006A1B5E"/>
    <w:rsid w:val="006A2C04"/>
    <w:rsid w:val="006A4486"/>
    <w:rsid w:val="006A5F0C"/>
    <w:rsid w:val="006B3996"/>
    <w:rsid w:val="006B3A8E"/>
    <w:rsid w:val="006B51DB"/>
    <w:rsid w:val="006B6BB8"/>
    <w:rsid w:val="006B7462"/>
    <w:rsid w:val="006C03AE"/>
    <w:rsid w:val="006C1C6B"/>
    <w:rsid w:val="006C2815"/>
    <w:rsid w:val="006C362A"/>
    <w:rsid w:val="006C3894"/>
    <w:rsid w:val="006C4429"/>
    <w:rsid w:val="006C6C52"/>
    <w:rsid w:val="006C71B0"/>
    <w:rsid w:val="006C7C7B"/>
    <w:rsid w:val="006D03ED"/>
    <w:rsid w:val="006D13B7"/>
    <w:rsid w:val="006D2211"/>
    <w:rsid w:val="006D2513"/>
    <w:rsid w:val="006D46B6"/>
    <w:rsid w:val="006D4BDF"/>
    <w:rsid w:val="006D52EB"/>
    <w:rsid w:val="006D5E03"/>
    <w:rsid w:val="006D64F6"/>
    <w:rsid w:val="006D7D82"/>
    <w:rsid w:val="006E0F94"/>
    <w:rsid w:val="006E1072"/>
    <w:rsid w:val="006E11CE"/>
    <w:rsid w:val="006E35D1"/>
    <w:rsid w:val="006E3BAB"/>
    <w:rsid w:val="006E6159"/>
    <w:rsid w:val="006F189A"/>
    <w:rsid w:val="006F348B"/>
    <w:rsid w:val="006F6375"/>
    <w:rsid w:val="0070176F"/>
    <w:rsid w:val="00701B50"/>
    <w:rsid w:val="00702C78"/>
    <w:rsid w:val="00703667"/>
    <w:rsid w:val="007055AC"/>
    <w:rsid w:val="007061A1"/>
    <w:rsid w:val="00706D42"/>
    <w:rsid w:val="00710403"/>
    <w:rsid w:val="0071158C"/>
    <w:rsid w:val="00711D2F"/>
    <w:rsid w:val="007126D1"/>
    <w:rsid w:val="00712D5E"/>
    <w:rsid w:val="00712FDA"/>
    <w:rsid w:val="007148FA"/>
    <w:rsid w:val="00717955"/>
    <w:rsid w:val="00717E5C"/>
    <w:rsid w:val="007247FC"/>
    <w:rsid w:val="00725B8C"/>
    <w:rsid w:val="007301F7"/>
    <w:rsid w:val="00732036"/>
    <w:rsid w:val="0073259B"/>
    <w:rsid w:val="0073318E"/>
    <w:rsid w:val="00733862"/>
    <w:rsid w:val="0073486B"/>
    <w:rsid w:val="00735B0C"/>
    <w:rsid w:val="0073713D"/>
    <w:rsid w:val="007400E2"/>
    <w:rsid w:val="00744BFB"/>
    <w:rsid w:val="007450F9"/>
    <w:rsid w:val="007451D1"/>
    <w:rsid w:val="007461F0"/>
    <w:rsid w:val="00747EA5"/>
    <w:rsid w:val="00750807"/>
    <w:rsid w:val="00750948"/>
    <w:rsid w:val="007517BF"/>
    <w:rsid w:val="0075355F"/>
    <w:rsid w:val="0075615E"/>
    <w:rsid w:val="00757988"/>
    <w:rsid w:val="00757B70"/>
    <w:rsid w:val="007611FB"/>
    <w:rsid w:val="00763769"/>
    <w:rsid w:val="00763E92"/>
    <w:rsid w:val="00763EEE"/>
    <w:rsid w:val="00765784"/>
    <w:rsid w:val="00765AA4"/>
    <w:rsid w:val="00765C20"/>
    <w:rsid w:val="00766FDD"/>
    <w:rsid w:val="00767B17"/>
    <w:rsid w:val="00770000"/>
    <w:rsid w:val="007703C8"/>
    <w:rsid w:val="00770DA4"/>
    <w:rsid w:val="00772415"/>
    <w:rsid w:val="007734A5"/>
    <w:rsid w:val="00773608"/>
    <w:rsid w:val="007749AC"/>
    <w:rsid w:val="00774EAC"/>
    <w:rsid w:val="00775D27"/>
    <w:rsid w:val="00775D6B"/>
    <w:rsid w:val="007771F3"/>
    <w:rsid w:val="007820AC"/>
    <w:rsid w:val="007821FB"/>
    <w:rsid w:val="0078449D"/>
    <w:rsid w:val="00785C53"/>
    <w:rsid w:val="00787348"/>
    <w:rsid w:val="00787C84"/>
    <w:rsid w:val="007907DB"/>
    <w:rsid w:val="00793AA7"/>
    <w:rsid w:val="0079408F"/>
    <w:rsid w:val="00794C81"/>
    <w:rsid w:val="00795048"/>
    <w:rsid w:val="0079683B"/>
    <w:rsid w:val="007A03EC"/>
    <w:rsid w:val="007A0DD4"/>
    <w:rsid w:val="007A15D3"/>
    <w:rsid w:val="007A2104"/>
    <w:rsid w:val="007A76E8"/>
    <w:rsid w:val="007B046A"/>
    <w:rsid w:val="007B5FD5"/>
    <w:rsid w:val="007B6EF7"/>
    <w:rsid w:val="007C101E"/>
    <w:rsid w:val="007C1311"/>
    <w:rsid w:val="007C170A"/>
    <w:rsid w:val="007C1DBE"/>
    <w:rsid w:val="007C2E15"/>
    <w:rsid w:val="007C3728"/>
    <w:rsid w:val="007C4ECC"/>
    <w:rsid w:val="007C612F"/>
    <w:rsid w:val="007C62B3"/>
    <w:rsid w:val="007D02F3"/>
    <w:rsid w:val="007D1028"/>
    <w:rsid w:val="007D210E"/>
    <w:rsid w:val="007D32C2"/>
    <w:rsid w:val="007D3DF3"/>
    <w:rsid w:val="007D5379"/>
    <w:rsid w:val="007D55AE"/>
    <w:rsid w:val="007D576B"/>
    <w:rsid w:val="007E2782"/>
    <w:rsid w:val="007E4217"/>
    <w:rsid w:val="007E5129"/>
    <w:rsid w:val="007E5816"/>
    <w:rsid w:val="007E60B7"/>
    <w:rsid w:val="007F2A00"/>
    <w:rsid w:val="007F6011"/>
    <w:rsid w:val="007F6FEE"/>
    <w:rsid w:val="007F7980"/>
    <w:rsid w:val="007F7BAB"/>
    <w:rsid w:val="0080061E"/>
    <w:rsid w:val="00800767"/>
    <w:rsid w:val="00800C10"/>
    <w:rsid w:val="008020CB"/>
    <w:rsid w:val="00802508"/>
    <w:rsid w:val="00802FDA"/>
    <w:rsid w:val="00804632"/>
    <w:rsid w:val="00804B9A"/>
    <w:rsid w:val="00804D22"/>
    <w:rsid w:val="00805E76"/>
    <w:rsid w:val="00807631"/>
    <w:rsid w:val="00810F93"/>
    <w:rsid w:val="0081339B"/>
    <w:rsid w:val="008169D4"/>
    <w:rsid w:val="0082029B"/>
    <w:rsid w:val="00820906"/>
    <w:rsid w:val="00821661"/>
    <w:rsid w:val="00823EDD"/>
    <w:rsid w:val="00824B22"/>
    <w:rsid w:val="00824B53"/>
    <w:rsid w:val="00825796"/>
    <w:rsid w:val="00831D77"/>
    <w:rsid w:val="00834947"/>
    <w:rsid w:val="00835215"/>
    <w:rsid w:val="00836919"/>
    <w:rsid w:val="00837DBA"/>
    <w:rsid w:val="00840EA9"/>
    <w:rsid w:val="00840FC4"/>
    <w:rsid w:val="0084148D"/>
    <w:rsid w:val="00841928"/>
    <w:rsid w:val="0084452C"/>
    <w:rsid w:val="0084513B"/>
    <w:rsid w:val="008511CD"/>
    <w:rsid w:val="00856031"/>
    <w:rsid w:val="00856A2B"/>
    <w:rsid w:val="00856A6D"/>
    <w:rsid w:val="0085757D"/>
    <w:rsid w:val="00860056"/>
    <w:rsid w:val="0086165B"/>
    <w:rsid w:val="00861936"/>
    <w:rsid w:val="008631E9"/>
    <w:rsid w:val="00863375"/>
    <w:rsid w:val="00863CBF"/>
    <w:rsid w:val="00863D08"/>
    <w:rsid w:val="0086430B"/>
    <w:rsid w:val="0086543D"/>
    <w:rsid w:val="00870791"/>
    <w:rsid w:val="00880788"/>
    <w:rsid w:val="008810A4"/>
    <w:rsid w:val="00881E49"/>
    <w:rsid w:val="008832A4"/>
    <w:rsid w:val="0088428E"/>
    <w:rsid w:val="00885F3E"/>
    <w:rsid w:val="00892FB6"/>
    <w:rsid w:val="00894375"/>
    <w:rsid w:val="008956A1"/>
    <w:rsid w:val="0089636E"/>
    <w:rsid w:val="00896576"/>
    <w:rsid w:val="00897166"/>
    <w:rsid w:val="00897CB2"/>
    <w:rsid w:val="008A101F"/>
    <w:rsid w:val="008A3161"/>
    <w:rsid w:val="008A344B"/>
    <w:rsid w:val="008A4ABF"/>
    <w:rsid w:val="008A7D2C"/>
    <w:rsid w:val="008B0B49"/>
    <w:rsid w:val="008B0EA6"/>
    <w:rsid w:val="008B2A52"/>
    <w:rsid w:val="008B2FB9"/>
    <w:rsid w:val="008B5FF1"/>
    <w:rsid w:val="008B7A11"/>
    <w:rsid w:val="008C1587"/>
    <w:rsid w:val="008C2AA4"/>
    <w:rsid w:val="008C2BE2"/>
    <w:rsid w:val="008C2C58"/>
    <w:rsid w:val="008C4798"/>
    <w:rsid w:val="008C4E45"/>
    <w:rsid w:val="008C518F"/>
    <w:rsid w:val="008D00BA"/>
    <w:rsid w:val="008D389A"/>
    <w:rsid w:val="008D49A8"/>
    <w:rsid w:val="008D6874"/>
    <w:rsid w:val="008D72B2"/>
    <w:rsid w:val="008D72ED"/>
    <w:rsid w:val="008E2A78"/>
    <w:rsid w:val="008E2B02"/>
    <w:rsid w:val="008E3BAC"/>
    <w:rsid w:val="008E5512"/>
    <w:rsid w:val="008E55E5"/>
    <w:rsid w:val="008E5EA0"/>
    <w:rsid w:val="008E6CAC"/>
    <w:rsid w:val="008E72DC"/>
    <w:rsid w:val="008E73C4"/>
    <w:rsid w:val="008E7603"/>
    <w:rsid w:val="008F031E"/>
    <w:rsid w:val="008F0576"/>
    <w:rsid w:val="008F0977"/>
    <w:rsid w:val="008F1C26"/>
    <w:rsid w:val="008F1D79"/>
    <w:rsid w:val="008F2618"/>
    <w:rsid w:val="008F31CD"/>
    <w:rsid w:val="008F380B"/>
    <w:rsid w:val="008F5838"/>
    <w:rsid w:val="00901667"/>
    <w:rsid w:val="00901EDB"/>
    <w:rsid w:val="0090266A"/>
    <w:rsid w:val="00902F83"/>
    <w:rsid w:val="0090339E"/>
    <w:rsid w:val="0090499E"/>
    <w:rsid w:val="009051CF"/>
    <w:rsid w:val="00905B24"/>
    <w:rsid w:val="00907148"/>
    <w:rsid w:val="00907607"/>
    <w:rsid w:val="00910003"/>
    <w:rsid w:val="00911C10"/>
    <w:rsid w:val="0091204D"/>
    <w:rsid w:val="00915190"/>
    <w:rsid w:val="009151DC"/>
    <w:rsid w:val="00916400"/>
    <w:rsid w:val="009169D0"/>
    <w:rsid w:val="00920952"/>
    <w:rsid w:val="0092096D"/>
    <w:rsid w:val="0092241A"/>
    <w:rsid w:val="0092246C"/>
    <w:rsid w:val="009233A8"/>
    <w:rsid w:val="0092496B"/>
    <w:rsid w:val="00926798"/>
    <w:rsid w:val="009313DC"/>
    <w:rsid w:val="009322EC"/>
    <w:rsid w:val="00932485"/>
    <w:rsid w:val="00932C32"/>
    <w:rsid w:val="00932DAF"/>
    <w:rsid w:val="0093789A"/>
    <w:rsid w:val="00937D13"/>
    <w:rsid w:val="009403E4"/>
    <w:rsid w:val="00941081"/>
    <w:rsid w:val="009417D4"/>
    <w:rsid w:val="00942483"/>
    <w:rsid w:val="00943A3B"/>
    <w:rsid w:val="00943B6D"/>
    <w:rsid w:val="00944B95"/>
    <w:rsid w:val="00944C93"/>
    <w:rsid w:val="00944CF5"/>
    <w:rsid w:val="009467BF"/>
    <w:rsid w:val="009475DC"/>
    <w:rsid w:val="009506E1"/>
    <w:rsid w:val="009510C9"/>
    <w:rsid w:val="00951B11"/>
    <w:rsid w:val="00952F94"/>
    <w:rsid w:val="009538A2"/>
    <w:rsid w:val="00953E57"/>
    <w:rsid w:val="009553AF"/>
    <w:rsid w:val="009575A7"/>
    <w:rsid w:val="00961CF4"/>
    <w:rsid w:val="0096433D"/>
    <w:rsid w:val="009673BA"/>
    <w:rsid w:val="00967D90"/>
    <w:rsid w:val="00970CB5"/>
    <w:rsid w:val="00970DD8"/>
    <w:rsid w:val="00970ED9"/>
    <w:rsid w:val="00974403"/>
    <w:rsid w:val="00976AF0"/>
    <w:rsid w:val="00977026"/>
    <w:rsid w:val="009772D3"/>
    <w:rsid w:val="00977A7A"/>
    <w:rsid w:val="009811DD"/>
    <w:rsid w:val="009817FF"/>
    <w:rsid w:val="009821FA"/>
    <w:rsid w:val="009826F2"/>
    <w:rsid w:val="009843FA"/>
    <w:rsid w:val="009844E5"/>
    <w:rsid w:val="00985448"/>
    <w:rsid w:val="009858AC"/>
    <w:rsid w:val="00987E13"/>
    <w:rsid w:val="00990189"/>
    <w:rsid w:val="009901BB"/>
    <w:rsid w:val="00991804"/>
    <w:rsid w:val="0099260A"/>
    <w:rsid w:val="00992764"/>
    <w:rsid w:val="00993D21"/>
    <w:rsid w:val="00994136"/>
    <w:rsid w:val="00994365"/>
    <w:rsid w:val="00994706"/>
    <w:rsid w:val="009950C9"/>
    <w:rsid w:val="009954DC"/>
    <w:rsid w:val="00995D74"/>
    <w:rsid w:val="00995EAF"/>
    <w:rsid w:val="00996B1B"/>
    <w:rsid w:val="00997460"/>
    <w:rsid w:val="009A024F"/>
    <w:rsid w:val="009A03C0"/>
    <w:rsid w:val="009A045F"/>
    <w:rsid w:val="009B03E6"/>
    <w:rsid w:val="009B0C15"/>
    <w:rsid w:val="009B1B7A"/>
    <w:rsid w:val="009B1E7E"/>
    <w:rsid w:val="009B27AE"/>
    <w:rsid w:val="009B2B16"/>
    <w:rsid w:val="009B2D3A"/>
    <w:rsid w:val="009B47ED"/>
    <w:rsid w:val="009B4AB2"/>
    <w:rsid w:val="009B4DD6"/>
    <w:rsid w:val="009C1C7E"/>
    <w:rsid w:val="009C4477"/>
    <w:rsid w:val="009C4F0D"/>
    <w:rsid w:val="009C732F"/>
    <w:rsid w:val="009C776C"/>
    <w:rsid w:val="009D0482"/>
    <w:rsid w:val="009D1226"/>
    <w:rsid w:val="009D172A"/>
    <w:rsid w:val="009D39E2"/>
    <w:rsid w:val="009D42CE"/>
    <w:rsid w:val="009D4A83"/>
    <w:rsid w:val="009D4FD2"/>
    <w:rsid w:val="009D5718"/>
    <w:rsid w:val="009D6EC8"/>
    <w:rsid w:val="009E0A8E"/>
    <w:rsid w:val="009E1C9F"/>
    <w:rsid w:val="009E39AB"/>
    <w:rsid w:val="009E5F94"/>
    <w:rsid w:val="009E7565"/>
    <w:rsid w:val="009E783C"/>
    <w:rsid w:val="009E78A8"/>
    <w:rsid w:val="009E7E76"/>
    <w:rsid w:val="009F1D61"/>
    <w:rsid w:val="009F32CA"/>
    <w:rsid w:val="009F38A8"/>
    <w:rsid w:val="009F476E"/>
    <w:rsid w:val="009F7B29"/>
    <w:rsid w:val="00A0239C"/>
    <w:rsid w:val="00A02D32"/>
    <w:rsid w:val="00A03F2D"/>
    <w:rsid w:val="00A11249"/>
    <w:rsid w:val="00A12B38"/>
    <w:rsid w:val="00A12CCA"/>
    <w:rsid w:val="00A2069F"/>
    <w:rsid w:val="00A214AF"/>
    <w:rsid w:val="00A21D77"/>
    <w:rsid w:val="00A22C3C"/>
    <w:rsid w:val="00A23026"/>
    <w:rsid w:val="00A23E53"/>
    <w:rsid w:val="00A2676E"/>
    <w:rsid w:val="00A2742C"/>
    <w:rsid w:val="00A27579"/>
    <w:rsid w:val="00A276F6"/>
    <w:rsid w:val="00A27F7A"/>
    <w:rsid w:val="00A324A6"/>
    <w:rsid w:val="00A32DBA"/>
    <w:rsid w:val="00A33F3E"/>
    <w:rsid w:val="00A34A96"/>
    <w:rsid w:val="00A35A80"/>
    <w:rsid w:val="00A35ADC"/>
    <w:rsid w:val="00A36676"/>
    <w:rsid w:val="00A37A56"/>
    <w:rsid w:val="00A4101D"/>
    <w:rsid w:val="00A41674"/>
    <w:rsid w:val="00A421E4"/>
    <w:rsid w:val="00A42C0D"/>
    <w:rsid w:val="00A4343D"/>
    <w:rsid w:val="00A44CD2"/>
    <w:rsid w:val="00A46FCB"/>
    <w:rsid w:val="00A5093C"/>
    <w:rsid w:val="00A524B4"/>
    <w:rsid w:val="00A53BCB"/>
    <w:rsid w:val="00A5642C"/>
    <w:rsid w:val="00A566EC"/>
    <w:rsid w:val="00A56C31"/>
    <w:rsid w:val="00A57543"/>
    <w:rsid w:val="00A60994"/>
    <w:rsid w:val="00A61631"/>
    <w:rsid w:val="00A61CBD"/>
    <w:rsid w:val="00A63914"/>
    <w:rsid w:val="00A6462B"/>
    <w:rsid w:val="00A667E6"/>
    <w:rsid w:val="00A66A80"/>
    <w:rsid w:val="00A7012B"/>
    <w:rsid w:val="00A715E9"/>
    <w:rsid w:val="00A743E7"/>
    <w:rsid w:val="00A752EC"/>
    <w:rsid w:val="00A75377"/>
    <w:rsid w:val="00A760E5"/>
    <w:rsid w:val="00A771C9"/>
    <w:rsid w:val="00A7769E"/>
    <w:rsid w:val="00A803DD"/>
    <w:rsid w:val="00A81375"/>
    <w:rsid w:val="00A8445B"/>
    <w:rsid w:val="00A844EC"/>
    <w:rsid w:val="00A847F5"/>
    <w:rsid w:val="00A85672"/>
    <w:rsid w:val="00A86F4D"/>
    <w:rsid w:val="00A913F6"/>
    <w:rsid w:val="00A92753"/>
    <w:rsid w:val="00AA0288"/>
    <w:rsid w:val="00AA0A75"/>
    <w:rsid w:val="00AA2D38"/>
    <w:rsid w:val="00AA362E"/>
    <w:rsid w:val="00AA3669"/>
    <w:rsid w:val="00AA63A0"/>
    <w:rsid w:val="00AA6998"/>
    <w:rsid w:val="00AA76F3"/>
    <w:rsid w:val="00AA7C7A"/>
    <w:rsid w:val="00AA7D10"/>
    <w:rsid w:val="00AB100B"/>
    <w:rsid w:val="00AB15B9"/>
    <w:rsid w:val="00AB34C6"/>
    <w:rsid w:val="00AB491C"/>
    <w:rsid w:val="00AB4AAB"/>
    <w:rsid w:val="00AB6D9E"/>
    <w:rsid w:val="00AC0172"/>
    <w:rsid w:val="00AC0C1F"/>
    <w:rsid w:val="00AC539F"/>
    <w:rsid w:val="00AC555C"/>
    <w:rsid w:val="00AC5EFB"/>
    <w:rsid w:val="00AC6A9E"/>
    <w:rsid w:val="00AC6AD2"/>
    <w:rsid w:val="00AD12E3"/>
    <w:rsid w:val="00AD1F95"/>
    <w:rsid w:val="00AD2418"/>
    <w:rsid w:val="00AD28DF"/>
    <w:rsid w:val="00AD291C"/>
    <w:rsid w:val="00AD320F"/>
    <w:rsid w:val="00AD4518"/>
    <w:rsid w:val="00AD544F"/>
    <w:rsid w:val="00AD5456"/>
    <w:rsid w:val="00AD60D4"/>
    <w:rsid w:val="00AD6792"/>
    <w:rsid w:val="00AD68F1"/>
    <w:rsid w:val="00AD7783"/>
    <w:rsid w:val="00AE0A50"/>
    <w:rsid w:val="00AE16D9"/>
    <w:rsid w:val="00AE2545"/>
    <w:rsid w:val="00AE29F5"/>
    <w:rsid w:val="00AE2EBC"/>
    <w:rsid w:val="00AE30A2"/>
    <w:rsid w:val="00AE3C18"/>
    <w:rsid w:val="00AE3FC4"/>
    <w:rsid w:val="00AE5E66"/>
    <w:rsid w:val="00AE6463"/>
    <w:rsid w:val="00AE7042"/>
    <w:rsid w:val="00AF31BD"/>
    <w:rsid w:val="00AF449E"/>
    <w:rsid w:val="00AF506C"/>
    <w:rsid w:val="00AF5237"/>
    <w:rsid w:val="00AF7F61"/>
    <w:rsid w:val="00B004E4"/>
    <w:rsid w:val="00B02446"/>
    <w:rsid w:val="00B02C4F"/>
    <w:rsid w:val="00B0333D"/>
    <w:rsid w:val="00B03466"/>
    <w:rsid w:val="00B044DD"/>
    <w:rsid w:val="00B04609"/>
    <w:rsid w:val="00B062CC"/>
    <w:rsid w:val="00B06E1A"/>
    <w:rsid w:val="00B06EA9"/>
    <w:rsid w:val="00B07AE8"/>
    <w:rsid w:val="00B106B8"/>
    <w:rsid w:val="00B10A72"/>
    <w:rsid w:val="00B11DBE"/>
    <w:rsid w:val="00B14FFC"/>
    <w:rsid w:val="00B16AC7"/>
    <w:rsid w:val="00B200E3"/>
    <w:rsid w:val="00B2259D"/>
    <w:rsid w:val="00B24DB8"/>
    <w:rsid w:val="00B24EEF"/>
    <w:rsid w:val="00B256B7"/>
    <w:rsid w:val="00B25D46"/>
    <w:rsid w:val="00B2649E"/>
    <w:rsid w:val="00B30696"/>
    <w:rsid w:val="00B31046"/>
    <w:rsid w:val="00B32EBC"/>
    <w:rsid w:val="00B34D63"/>
    <w:rsid w:val="00B403CA"/>
    <w:rsid w:val="00B44153"/>
    <w:rsid w:val="00B500DE"/>
    <w:rsid w:val="00B50A35"/>
    <w:rsid w:val="00B51196"/>
    <w:rsid w:val="00B51AA7"/>
    <w:rsid w:val="00B51D86"/>
    <w:rsid w:val="00B52332"/>
    <w:rsid w:val="00B52E58"/>
    <w:rsid w:val="00B53B35"/>
    <w:rsid w:val="00B543D0"/>
    <w:rsid w:val="00B56399"/>
    <w:rsid w:val="00B56EB0"/>
    <w:rsid w:val="00B60377"/>
    <w:rsid w:val="00B61584"/>
    <w:rsid w:val="00B658C9"/>
    <w:rsid w:val="00B66088"/>
    <w:rsid w:val="00B66441"/>
    <w:rsid w:val="00B670F4"/>
    <w:rsid w:val="00B672B9"/>
    <w:rsid w:val="00B67739"/>
    <w:rsid w:val="00B74219"/>
    <w:rsid w:val="00B75E56"/>
    <w:rsid w:val="00B762D2"/>
    <w:rsid w:val="00B80E2E"/>
    <w:rsid w:val="00B91138"/>
    <w:rsid w:val="00B9229A"/>
    <w:rsid w:val="00B94A26"/>
    <w:rsid w:val="00B9630B"/>
    <w:rsid w:val="00B974CF"/>
    <w:rsid w:val="00BA00DF"/>
    <w:rsid w:val="00BA189C"/>
    <w:rsid w:val="00BA2BF0"/>
    <w:rsid w:val="00BA3EDA"/>
    <w:rsid w:val="00BA4B9B"/>
    <w:rsid w:val="00BA572B"/>
    <w:rsid w:val="00BA58D4"/>
    <w:rsid w:val="00BA5EDE"/>
    <w:rsid w:val="00BA6931"/>
    <w:rsid w:val="00BA6CAF"/>
    <w:rsid w:val="00BB0E0B"/>
    <w:rsid w:val="00BB1528"/>
    <w:rsid w:val="00BB1ADC"/>
    <w:rsid w:val="00BB4772"/>
    <w:rsid w:val="00BB49A2"/>
    <w:rsid w:val="00BB66A0"/>
    <w:rsid w:val="00BB7183"/>
    <w:rsid w:val="00BC0810"/>
    <w:rsid w:val="00BC112A"/>
    <w:rsid w:val="00BC3866"/>
    <w:rsid w:val="00BC53EC"/>
    <w:rsid w:val="00BC6B6A"/>
    <w:rsid w:val="00BD0EEA"/>
    <w:rsid w:val="00BD20AB"/>
    <w:rsid w:val="00BD49BE"/>
    <w:rsid w:val="00BD6099"/>
    <w:rsid w:val="00BD64AD"/>
    <w:rsid w:val="00BD67BA"/>
    <w:rsid w:val="00BE0416"/>
    <w:rsid w:val="00BE1877"/>
    <w:rsid w:val="00BE3BF6"/>
    <w:rsid w:val="00BE3E7B"/>
    <w:rsid w:val="00BE5146"/>
    <w:rsid w:val="00BE7F52"/>
    <w:rsid w:val="00BF060F"/>
    <w:rsid w:val="00BF2D2E"/>
    <w:rsid w:val="00C00078"/>
    <w:rsid w:val="00C010FC"/>
    <w:rsid w:val="00C01D31"/>
    <w:rsid w:val="00C02F80"/>
    <w:rsid w:val="00C036EC"/>
    <w:rsid w:val="00C03BF2"/>
    <w:rsid w:val="00C03EE7"/>
    <w:rsid w:val="00C04194"/>
    <w:rsid w:val="00C04B38"/>
    <w:rsid w:val="00C06F43"/>
    <w:rsid w:val="00C11338"/>
    <w:rsid w:val="00C11806"/>
    <w:rsid w:val="00C11F1B"/>
    <w:rsid w:val="00C13E98"/>
    <w:rsid w:val="00C203FA"/>
    <w:rsid w:val="00C20CDA"/>
    <w:rsid w:val="00C212B3"/>
    <w:rsid w:val="00C2209D"/>
    <w:rsid w:val="00C22EA2"/>
    <w:rsid w:val="00C24017"/>
    <w:rsid w:val="00C24044"/>
    <w:rsid w:val="00C24E7A"/>
    <w:rsid w:val="00C25C95"/>
    <w:rsid w:val="00C3041A"/>
    <w:rsid w:val="00C30A5E"/>
    <w:rsid w:val="00C318F8"/>
    <w:rsid w:val="00C3514E"/>
    <w:rsid w:val="00C40B29"/>
    <w:rsid w:val="00C40B6E"/>
    <w:rsid w:val="00C42094"/>
    <w:rsid w:val="00C42938"/>
    <w:rsid w:val="00C42B53"/>
    <w:rsid w:val="00C43352"/>
    <w:rsid w:val="00C438CE"/>
    <w:rsid w:val="00C45A98"/>
    <w:rsid w:val="00C46AF0"/>
    <w:rsid w:val="00C51198"/>
    <w:rsid w:val="00C51E66"/>
    <w:rsid w:val="00C54B13"/>
    <w:rsid w:val="00C618F9"/>
    <w:rsid w:val="00C61A99"/>
    <w:rsid w:val="00C625E0"/>
    <w:rsid w:val="00C633C5"/>
    <w:rsid w:val="00C644EC"/>
    <w:rsid w:val="00C6499D"/>
    <w:rsid w:val="00C66416"/>
    <w:rsid w:val="00C67CEF"/>
    <w:rsid w:val="00C72BA5"/>
    <w:rsid w:val="00C72D82"/>
    <w:rsid w:val="00C733B6"/>
    <w:rsid w:val="00C736F3"/>
    <w:rsid w:val="00C737F4"/>
    <w:rsid w:val="00C75573"/>
    <w:rsid w:val="00C8088A"/>
    <w:rsid w:val="00C82408"/>
    <w:rsid w:val="00C82BC4"/>
    <w:rsid w:val="00C835AF"/>
    <w:rsid w:val="00C86737"/>
    <w:rsid w:val="00C87562"/>
    <w:rsid w:val="00C91AF6"/>
    <w:rsid w:val="00C91D65"/>
    <w:rsid w:val="00C92AD3"/>
    <w:rsid w:val="00C9411C"/>
    <w:rsid w:val="00C949DA"/>
    <w:rsid w:val="00C95224"/>
    <w:rsid w:val="00C95CA4"/>
    <w:rsid w:val="00C96C64"/>
    <w:rsid w:val="00C97304"/>
    <w:rsid w:val="00C97400"/>
    <w:rsid w:val="00C97527"/>
    <w:rsid w:val="00CA13B3"/>
    <w:rsid w:val="00CA36C3"/>
    <w:rsid w:val="00CA37C6"/>
    <w:rsid w:val="00CA462F"/>
    <w:rsid w:val="00CA4A6F"/>
    <w:rsid w:val="00CA6271"/>
    <w:rsid w:val="00CA68D7"/>
    <w:rsid w:val="00CA6E5C"/>
    <w:rsid w:val="00CA72CC"/>
    <w:rsid w:val="00CA7DDE"/>
    <w:rsid w:val="00CB0136"/>
    <w:rsid w:val="00CB0221"/>
    <w:rsid w:val="00CB05C5"/>
    <w:rsid w:val="00CB0B63"/>
    <w:rsid w:val="00CB3880"/>
    <w:rsid w:val="00CB585D"/>
    <w:rsid w:val="00CB7475"/>
    <w:rsid w:val="00CB7691"/>
    <w:rsid w:val="00CB7C04"/>
    <w:rsid w:val="00CC02D1"/>
    <w:rsid w:val="00CC3357"/>
    <w:rsid w:val="00CC649D"/>
    <w:rsid w:val="00CC6D19"/>
    <w:rsid w:val="00CC77EF"/>
    <w:rsid w:val="00CC7AF4"/>
    <w:rsid w:val="00CD0153"/>
    <w:rsid w:val="00CD2E1A"/>
    <w:rsid w:val="00CD3750"/>
    <w:rsid w:val="00CD465F"/>
    <w:rsid w:val="00CD4C86"/>
    <w:rsid w:val="00CD643F"/>
    <w:rsid w:val="00CD6C4E"/>
    <w:rsid w:val="00CD7390"/>
    <w:rsid w:val="00CD7E7B"/>
    <w:rsid w:val="00CE0413"/>
    <w:rsid w:val="00CE15C5"/>
    <w:rsid w:val="00CE3831"/>
    <w:rsid w:val="00CE3ADC"/>
    <w:rsid w:val="00CE54EA"/>
    <w:rsid w:val="00CE6FE6"/>
    <w:rsid w:val="00CE764D"/>
    <w:rsid w:val="00CF0C9D"/>
    <w:rsid w:val="00CF15B9"/>
    <w:rsid w:val="00CF38F2"/>
    <w:rsid w:val="00CF43A5"/>
    <w:rsid w:val="00CF5A45"/>
    <w:rsid w:val="00CF5E17"/>
    <w:rsid w:val="00CF5E77"/>
    <w:rsid w:val="00CF740D"/>
    <w:rsid w:val="00D00463"/>
    <w:rsid w:val="00D02030"/>
    <w:rsid w:val="00D02B6F"/>
    <w:rsid w:val="00D03729"/>
    <w:rsid w:val="00D03BB7"/>
    <w:rsid w:val="00D0480D"/>
    <w:rsid w:val="00D05A75"/>
    <w:rsid w:val="00D05BBE"/>
    <w:rsid w:val="00D065FD"/>
    <w:rsid w:val="00D07A42"/>
    <w:rsid w:val="00D07FE3"/>
    <w:rsid w:val="00D1095E"/>
    <w:rsid w:val="00D10E4E"/>
    <w:rsid w:val="00D127B1"/>
    <w:rsid w:val="00D14107"/>
    <w:rsid w:val="00D145D8"/>
    <w:rsid w:val="00D14E95"/>
    <w:rsid w:val="00D16FE4"/>
    <w:rsid w:val="00D1710A"/>
    <w:rsid w:val="00D20F57"/>
    <w:rsid w:val="00D212AD"/>
    <w:rsid w:val="00D21972"/>
    <w:rsid w:val="00D21B75"/>
    <w:rsid w:val="00D2248A"/>
    <w:rsid w:val="00D23A74"/>
    <w:rsid w:val="00D245B0"/>
    <w:rsid w:val="00D24A29"/>
    <w:rsid w:val="00D26EBE"/>
    <w:rsid w:val="00D27923"/>
    <w:rsid w:val="00D309A8"/>
    <w:rsid w:val="00D311A5"/>
    <w:rsid w:val="00D4018E"/>
    <w:rsid w:val="00D41D6C"/>
    <w:rsid w:val="00D42C78"/>
    <w:rsid w:val="00D4402C"/>
    <w:rsid w:val="00D448BA"/>
    <w:rsid w:val="00D451DA"/>
    <w:rsid w:val="00D45B82"/>
    <w:rsid w:val="00D46077"/>
    <w:rsid w:val="00D4677C"/>
    <w:rsid w:val="00D47B7A"/>
    <w:rsid w:val="00D51362"/>
    <w:rsid w:val="00D51834"/>
    <w:rsid w:val="00D51914"/>
    <w:rsid w:val="00D521F0"/>
    <w:rsid w:val="00D5316D"/>
    <w:rsid w:val="00D53D0B"/>
    <w:rsid w:val="00D5553D"/>
    <w:rsid w:val="00D56F00"/>
    <w:rsid w:val="00D574DA"/>
    <w:rsid w:val="00D606FE"/>
    <w:rsid w:val="00D60CA9"/>
    <w:rsid w:val="00D61BDC"/>
    <w:rsid w:val="00D63235"/>
    <w:rsid w:val="00D63653"/>
    <w:rsid w:val="00D63EF9"/>
    <w:rsid w:val="00D642FA"/>
    <w:rsid w:val="00D64460"/>
    <w:rsid w:val="00D65B29"/>
    <w:rsid w:val="00D67688"/>
    <w:rsid w:val="00D70D4C"/>
    <w:rsid w:val="00D71021"/>
    <w:rsid w:val="00D713CD"/>
    <w:rsid w:val="00D72041"/>
    <w:rsid w:val="00D721DE"/>
    <w:rsid w:val="00D72953"/>
    <w:rsid w:val="00D7457C"/>
    <w:rsid w:val="00D74DDF"/>
    <w:rsid w:val="00D752F3"/>
    <w:rsid w:val="00D76ABD"/>
    <w:rsid w:val="00D77405"/>
    <w:rsid w:val="00D803CF"/>
    <w:rsid w:val="00D8070E"/>
    <w:rsid w:val="00D81CFD"/>
    <w:rsid w:val="00D82574"/>
    <w:rsid w:val="00D827B8"/>
    <w:rsid w:val="00D83F6A"/>
    <w:rsid w:val="00D843FF"/>
    <w:rsid w:val="00D9024C"/>
    <w:rsid w:val="00D91DDF"/>
    <w:rsid w:val="00D92FAF"/>
    <w:rsid w:val="00D9410B"/>
    <w:rsid w:val="00D96CC5"/>
    <w:rsid w:val="00D96EEE"/>
    <w:rsid w:val="00D97688"/>
    <w:rsid w:val="00D97BED"/>
    <w:rsid w:val="00DA04B2"/>
    <w:rsid w:val="00DA6741"/>
    <w:rsid w:val="00DA6907"/>
    <w:rsid w:val="00DA6FA6"/>
    <w:rsid w:val="00DA7E59"/>
    <w:rsid w:val="00DB4315"/>
    <w:rsid w:val="00DB6F0F"/>
    <w:rsid w:val="00DC0E80"/>
    <w:rsid w:val="00DC15C6"/>
    <w:rsid w:val="00DC224A"/>
    <w:rsid w:val="00DC4893"/>
    <w:rsid w:val="00DD05BB"/>
    <w:rsid w:val="00DD2AAF"/>
    <w:rsid w:val="00DD3E70"/>
    <w:rsid w:val="00DD4786"/>
    <w:rsid w:val="00DD5379"/>
    <w:rsid w:val="00DD58EC"/>
    <w:rsid w:val="00DD5DAF"/>
    <w:rsid w:val="00DD6DA3"/>
    <w:rsid w:val="00DD798D"/>
    <w:rsid w:val="00DE0336"/>
    <w:rsid w:val="00DE07A3"/>
    <w:rsid w:val="00DE24ED"/>
    <w:rsid w:val="00DE4599"/>
    <w:rsid w:val="00DE4BB6"/>
    <w:rsid w:val="00DE4D45"/>
    <w:rsid w:val="00DE5991"/>
    <w:rsid w:val="00DE5FEC"/>
    <w:rsid w:val="00DE6FE5"/>
    <w:rsid w:val="00DE787A"/>
    <w:rsid w:val="00DE7BBA"/>
    <w:rsid w:val="00DF02A6"/>
    <w:rsid w:val="00DF093D"/>
    <w:rsid w:val="00DF0A2E"/>
    <w:rsid w:val="00DF2E8E"/>
    <w:rsid w:val="00DF597C"/>
    <w:rsid w:val="00DF6519"/>
    <w:rsid w:val="00E0114C"/>
    <w:rsid w:val="00E02CDB"/>
    <w:rsid w:val="00E03DE6"/>
    <w:rsid w:val="00E058F2"/>
    <w:rsid w:val="00E06DB6"/>
    <w:rsid w:val="00E078EC"/>
    <w:rsid w:val="00E079D7"/>
    <w:rsid w:val="00E07A7D"/>
    <w:rsid w:val="00E118A2"/>
    <w:rsid w:val="00E14718"/>
    <w:rsid w:val="00E15D27"/>
    <w:rsid w:val="00E1702A"/>
    <w:rsid w:val="00E17A9A"/>
    <w:rsid w:val="00E17DD1"/>
    <w:rsid w:val="00E215E8"/>
    <w:rsid w:val="00E21760"/>
    <w:rsid w:val="00E22216"/>
    <w:rsid w:val="00E2472F"/>
    <w:rsid w:val="00E25657"/>
    <w:rsid w:val="00E25DDD"/>
    <w:rsid w:val="00E26CA7"/>
    <w:rsid w:val="00E26CB9"/>
    <w:rsid w:val="00E277A1"/>
    <w:rsid w:val="00E3013D"/>
    <w:rsid w:val="00E31C75"/>
    <w:rsid w:val="00E32496"/>
    <w:rsid w:val="00E33A2D"/>
    <w:rsid w:val="00E36237"/>
    <w:rsid w:val="00E3698C"/>
    <w:rsid w:val="00E36A9C"/>
    <w:rsid w:val="00E375A5"/>
    <w:rsid w:val="00E40CD6"/>
    <w:rsid w:val="00E41541"/>
    <w:rsid w:val="00E44030"/>
    <w:rsid w:val="00E440B1"/>
    <w:rsid w:val="00E44251"/>
    <w:rsid w:val="00E4587A"/>
    <w:rsid w:val="00E45B3E"/>
    <w:rsid w:val="00E46541"/>
    <w:rsid w:val="00E501E3"/>
    <w:rsid w:val="00E5295D"/>
    <w:rsid w:val="00E5384E"/>
    <w:rsid w:val="00E54875"/>
    <w:rsid w:val="00E54E58"/>
    <w:rsid w:val="00E55640"/>
    <w:rsid w:val="00E57D3C"/>
    <w:rsid w:val="00E61E46"/>
    <w:rsid w:val="00E61ED6"/>
    <w:rsid w:val="00E679F5"/>
    <w:rsid w:val="00E67FF7"/>
    <w:rsid w:val="00E708D8"/>
    <w:rsid w:val="00E710F7"/>
    <w:rsid w:val="00E722D4"/>
    <w:rsid w:val="00E728FE"/>
    <w:rsid w:val="00E73313"/>
    <w:rsid w:val="00E7387B"/>
    <w:rsid w:val="00E73A49"/>
    <w:rsid w:val="00E8036A"/>
    <w:rsid w:val="00E81627"/>
    <w:rsid w:val="00E8228F"/>
    <w:rsid w:val="00E831FC"/>
    <w:rsid w:val="00E83689"/>
    <w:rsid w:val="00E83FA2"/>
    <w:rsid w:val="00E84958"/>
    <w:rsid w:val="00E86EE7"/>
    <w:rsid w:val="00E876D3"/>
    <w:rsid w:val="00E87735"/>
    <w:rsid w:val="00E90B68"/>
    <w:rsid w:val="00E913E4"/>
    <w:rsid w:val="00E9190D"/>
    <w:rsid w:val="00E92266"/>
    <w:rsid w:val="00E9250B"/>
    <w:rsid w:val="00E94940"/>
    <w:rsid w:val="00E94E64"/>
    <w:rsid w:val="00E952A0"/>
    <w:rsid w:val="00E967A2"/>
    <w:rsid w:val="00E97149"/>
    <w:rsid w:val="00E9732D"/>
    <w:rsid w:val="00E976AF"/>
    <w:rsid w:val="00EA1465"/>
    <w:rsid w:val="00EA2381"/>
    <w:rsid w:val="00EA2F9C"/>
    <w:rsid w:val="00EA3474"/>
    <w:rsid w:val="00EA4410"/>
    <w:rsid w:val="00EA4AD0"/>
    <w:rsid w:val="00EA748C"/>
    <w:rsid w:val="00EB01C9"/>
    <w:rsid w:val="00EB50F4"/>
    <w:rsid w:val="00EB5DC7"/>
    <w:rsid w:val="00EB6CE2"/>
    <w:rsid w:val="00EC13B0"/>
    <w:rsid w:val="00EC2631"/>
    <w:rsid w:val="00EC30A8"/>
    <w:rsid w:val="00EC3664"/>
    <w:rsid w:val="00EC3A63"/>
    <w:rsid w:val="00EC4808"/>
    <w:rsid w:val="00EC5F9B"/>
    <w:rsid w:val="00EC5FB8"/>
    <w:rsid w:val="00EC6940"/>
    <w:rsid w:val="00EC7822"/>
    <w:rsid w:val="00EC7D16"/>
    <w:rsid w:val="00ED00A0"/>
    <w:rsid w:val="00ED0366"/>
    <w:rsid w:val="00ED1914"/>
    <w:rsid w:val="00ED3D08"/>
    <w:rsid w:val="00ED4B56"/>
    <w:rsid w:val="00ED4CFB"/>
    <w:rsid w:val="00ED4F81"/>
    <w:rsid w:val="00ED5411"/>
    <w:rsid w:val="00ED6ACC"/>
    <w:rsid w:val="00ED70C7"/>
    <w:rsid w:val="00ED7504"/>
    <w:rsid w:val="00EE0548"/>
    <w:rsid w:val="00EE09A7"/>
    <w:rsid w:val="00EE108C"/>
    <w:rsid w:val="00EE16D8"/>
    <w:rsid w:val="00EE1A44"/>
    <w:rsid w:val="00EE49CD"/>
    <w:rsid w:val="00EE4E27"/>
    <w:rsid w:val="00EE56C8"/>
    <w:rsid w:val="00EE5994"/>
    <w:rsid w:val="00EE62B3"/>
    <w:rsid w:val="00EE7852"/>
    <w:rsid w:val="00EF0A02"/>
    <w:rsid w:val="00EF0E3D"/>
    <w:rsid w:val="00EF3B3E"/>
    <w:rsid w:val="00EF3DE7"/>
    <w:rsid w:val="00EF49E2"/>
    <w:rsid w:val="00EF576D"/>
    <w:rsid w:val="00EF619F"/>
    <w:rsid w:val="00EF72D0"/>
    <w:rsid w:val="00EF789C"/>
    <w:rsid w:val="00EF78A1"/>
    <w:rsid w:val="00F002E6"/>
    <w:rsid w:val="00F004A3"/>
    <w:rsid w:val="00F0286D"/>
    <w:rsid w:val="00F03B32"/>
    <w:rsid w:val="00F06733"/>
    <w:rsid w:val="00F06898"/>
    <w:rsid w:val="00F07420"/>
    <w:rsid w:val="00F079AF"/>
    <w:rsid w:val="00F1472F"/>
    <w:rsid w:val="00F2036E"/>
    <w:rsid w:val="00F215BD"/>
    <w:rsid w:val="00F2170E"/>
    <w:rsid w:val="00F219FF"/>
    <w:rsid w:val="00F31004"/>
    <w:rsid w:val="00F311C6"/>
    <w:rsid w:val="00F32EF2"/>
    <w:rsid w:val="00F35849"/>
    <w:rsid w:val="00F35E4C"/>
    <w:rsid w:val="00F367C2"/>
    <w:rsid w:val="00F37865"/>
    <w:rsid w:val="00F400DB"/>
    <w:rsid w:val="00F40183"/>
    <w:rsid w:val="00F4148F"/>
    <w:rsid w:val="00F41F48"/>
    <w:rsid w:val="00F42E9F"/>
    <w:rsid w:val="00F441A8"/>
    <w:rsid w:val="00F452BF"/>
    <w:rsid w:val="00F4543A"/>
    <w:rsid w:val="00F4615E"/>
    <w:rsid w:val="00F5012F"/>
    <w:rsid w:val="00F509D2"/>
    <w:rsid w:val="00F514E6"/>
    <w:rsid w:val="00F52169"/>
    <w:rsid w:val="00F5250C"/>
    <w:rsid w:val="00F53272"/>
    <w:rsid w:val="00F53331"/>
    <w:rsid w:val="00F53CAD"/>
    <w:rsid w:val="00F5511A"/>
    <w:rsid w:val="00F64FD3"/>
    <w:rsid w:val="00F6630F"/>
    <w:rsid w:val="00F66819"/>
    <w:rsid w:val="00F6775C"/>
    <w:rsid w:val="00F67FB9"/>
    <w:rsid w:val="00F7021D"/>
    <w:rsid w:val="00F70898"/>
    <w:rsid w:val="00F70BAD"/>
    <w:rsid w:val="00F71EA6"/>
    <w:rsid w:val="00F73A9D"/>
    <w:rsid w:val="00F750FC"/>
    <w:rsid w:val="00F7520C"/>
    <w:rsid w:val="00F75756"/>
    <w:rsid w:val="00F75787"/>
    <w:rsid w:val="00F75B16"/>
    <w:rsid w:val="00F75D09"/>
    <w:rsid w:val="00F76544"/>
    <w:rsid w:val="00F805E8"/>
    <w:rsid w:val="00F80760"/>
    <w:rsid w:val="00F80C68"/>
    <w:rsid w:val="00F81B51"/>
    <w:rsid w:val="00F8479C"/>
    <w:rsid w:val="00F8509C"/>
    <w:rsid w:val="00F854B9"/>
    <w:rsid w:val="00F86295"/>
    <w:rsid w:val="00F90199"/>
    <w:rsid w:val="00F90C13"/>
    <w:rsid w:val="00F92D1A"/>
    <w:rsid w:val="00F930A5"/>
    <w:rsid w:val="00F93455"/>
    <w:rsid w:val="00F93F21"/>
    <w:rsid w:val="00F94B81"/>
    <w:rsid w:val="00F955D1"/>
    <w:rsid w:val="00F95A6B"/>
    <w:rsid w:val="00FA0003"/>
    <w:rsid w:val="00FA04D7"/>
    <w:rsid w:val="00FA0BB6"/>
    <w:rsid w:val="00FA13E5"/>
    <w:rsid w:val="00FA192E"/>
    <w:rsid w:val="00FA2383"/>
    <w:rsid w:val="00FA3015"/>
    <w:rsid w:val="00FA390D"/>
    <w:rsid w:val="00FA661F"/>
    <w:rsid w:val="00FA76CB"/>
    <w:rsid w:val="00FB203E"/>
    <w:rsid w:val="00FB27FA"/>
    <w:rsid w:val="00FB2FCD"/>
    <w:rsid w:val="00FC24BB"/>
    <w:rsid w:val="00FC2733"/>
    <w:rsid w:val="00FC2D5B"/>
    <w:rsid w:val="00FC348B"/>
    <w:rsid w:val="00FC4FB6"/>
    <w:rsid w:val="00FC4FD8"/>
    <w:rsid w:val="00FC59ED"/>
    <w:rsid w:val="00FC68D8"/>
    <w:rsid w:val="00FD07CA"/>
    <w:rsid w:val="00FD1B1D"/>
    <w:rsid w:val="00FD38BC"/>
    <w:rsid w:val="00FD69F1"/>
    <w:rsid w:val="00FD6BAD"/>
    <w:rsid w:val="00FD6EB5"/>
    <w:rsid w:val="00FE0246"/>
    <w:rsid w:val="00FE090C"/>
    <w:rsid w:val="00FE0D5C"/>
    <w:rsid w:val="00FE1824"/>
    <w:rsid w:val="00FE1CED"/>
    <w:rsid w:val="00FE29C9"/>
    <w:rsid w:val="00FE30D8"/>
    <w:rsid w:val="00FE538E"/>
    <w:rsid w:val="00FE5D9F"/>
    <w:rsid w:val="00FE6484"/>
    <w:rsid w:val="00FE74E3"/>
    <w:rsid w:val="00FE76B8"/>
    <w:rsid w:val="00FF17E3"/>
    <w:rsid w:val="00FF1DC9"/>
    <w:rsid w:val="00FF205A"/>
    <w:rsid w:val="00FF2D6B"/>
    <w:rsid w:val="00FF379D"/>
    <w:rsid w:val="00FF46B0"/>
    <w:rsid w:val="00FF5E87"/>
    <w:rsid w:val="00FF67A1"/>
    <w:rsid w:val="00FF7A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Normal"/>
    <w:next w:val="Normal"/>
    <w:link w:val="Heading1Char"/>
    <w:uiPriority w:val="9"/>
    <w:qFormat/>
    <w:rsid w:val="00026883"/>
    <w:pPr>
      <w:keepNext/>
      <w:keepLines/>
      <w:spacing w:line="480" w:lineRule="auto"/>
      <w:jc w:val="center"/>
      <w:outlineLvl w:val="0"/>
    </w:pPr>
    <w:rPr>
      <w:rFonts w:eastAsiaTheme="majorEastAsia" w:cstheme="majorBidi"/>
      <w:b/>
      <w:bCs/>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f"/>
    <w:basedOn w:val="Normal"/>
    <w:link w:val="FootnoteTextChar1"/>
    <w:uiPriority w:val="99"/>
    <w:qFormat/>
    <w:rsid w:val="004A698D"/>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semiHidden/>
    <w:unhideWhenUsed/>
    <w:rsid w:val="000F44A0"/>
    <w:pPr>
      <w:spacing w:before="100" w:beforeAutospacing="1" w:after="100" w:afterAutospacing="1"/>
      <w:jc w:val="left"/>
    </w:pPr>
  </w:style>
  <w:style w:type="paragraph" w:styleId="EndnoteText">
    <w:name w:val="endnote text"/>
    <w:basedOn w:val="Normal"/>
    <w:link w:val="EndnoteTextChar"/>
    <w:uiPriority w:val="99"/>
    <w:semiHidden/>
    <w:unhideWhenUsed/>
    <w:rsid w:val="00154695"/>
    <w:rPr>
      <w:sz w:val="20"/>
      <w:szCs w:val="20"/>
    </w:rPr>
  </w:style>
  <w:style w:type="character" w:customStyle="1" w:styleId="EndnoteTextChar">
    <w:name w:val="Endnote Text Char"/>
    <w:basedOn w:val="DefaultParagraphFont"/>
    <w:link w:val="EndnoteText"/>
    <w:uiPriority w:val="99"/>
    <w:semiHidden/>
    <w:rsid w:val="00154695"/>
  </w:style>
  <w:style w:type="character" w:styleId="EndnoteReference">
    <w:name w:val="endnote reference"/>
    <w:basedOn w:val="DefaultParagraphFont"/>
    <w:uiPriority w:val="99"/>
    <w:semiHidden/>
    <w:unhideWhenUsed/>
    <w:rsid w:val="00154695"/>
    <w:rPr>
      <w:vertAlign w:val="superscript"/>
    </w:rPr>
  </w:style>
  <w:style w:type="paragraph" w:customStyle="1" w:styleId="StyleBodyTextIndentLeft0LinespacingDouble">
    <w:name w:val="Style Body Text Indent + Left:  0&quot; Line spacing:  Double"/>
    <w:basedOn w:val="FootnoteText"/>
    <w:next w:val="BodyTextIndent"/>
    <w:rsid w:val="00D45B82"/>
    <w:pPr>
      <w:spacing w:after="120" w:line="480" w:lineRule="auto"/>
      <w:ind w:firstLine="720"/>
      <w:jc w:val="left"/>
    </w:pPr>
    <w:rPr>
      <w:sz w:val="24"/>
    </w:rPr>
  </w:style>
  <w:style w:type="paragraph" w:styleId="BodyTextIndent">
    <w:name w:val="Body Text Indent"/>
    <w:basedOn w:val="Normal"/>
    <w:link w:val="BodyTextIndentChar"/>
    <w:uiPriority w:val="99"/>
    <w:semiHidden/>
    <w:unhideWhenUsed/>
    <w:rsid w:val="00D45B82"/>
    <w:pPr>
      <w:spacing w:after="120"/>
      <w:ind w:left="360"/>
    </w:pPr>
  </w:style>
  <w:style w:type="character" w:customStyle="1" w:styleId="BodyTextIndentChar">
    <w:name w:val="Body Text Indent Char"/>
    <w:basedOn w:val="DefaultParagraphFont"/>
    <w:link w:val="BodyTextIndent"/>
    <w:uiPriority w:val="99"/>
    <w:semiHidden/>
    <w:rsid w:val="00D45B82"/>
    <w:rPr>
      <w:sz w:val="24"/>
      <w:szCs w:val="24"/>
    </w:rPr>
  </w:style>
  <w:style w:type="paragraph" w:styleId="Revision">
    <w:name w:val="Revision"/>
    <w:hidden/>
    <w:uiPriority w:val="99"/>
    <w:semiHidden/>
    <w:rsid w:val="00415E41"/>
    <w:rPr>
      <w:sz w:val="24"/>
      <w:szCs w:val="24"/>
    </w:rPr>
  </w:style>
  <w:style w:type="paragraph" w:styleId="ListParagraph">
    <w:name w:val="List Paragraph"/>
    <w:basedOn w:val="Normal"/>
    <w:uiPriority w:val="34"/>
    <w:qFormat/>
    <w:rsid w:val="006B6BB8"/>
    <w:pPr>
      <w:ind w:left="720"/>
      <w:contextualSpacing/>
    </w:pPr>
  </w:style>
  <w:style w:type="character" w:customStyle="1" w:styleId="FooterChar">
    <w:name w:val="Footer Char"/>
    <w:basedOn w:val="DefaultParagraphFont"/>
    <w:link w:val="Footer"/>
    <w:uiPriority w:val="99"/>
    <w:rsid w:val="000B348A"/>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link w:val="FootnoteText"/>
    <w:uiPriority w:val="99"/>
    <w:rsid w:val="00691E72"/>
  </w:style>
  <w:style w:type="table" w:styleId="LightShading">
    <w:name w:val="Light Shading"/>
    <w:basedOn w:val="TableNormal"/>
    <w:uiPriority w:val="60"/>
    <w:rsid w:val="00BC11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BC11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BC11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BC11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Normal"/>
    <w:next w:val="Normal"/>
    <w:uiPriority w:val="39"/>
    <w:semiHidden/>
    <w:unhideWhenUsed/>
    <w:qFormat/>
    <w:rsid w:val="005B0DAA"/>
    <w:pPr>
      <w:keepLines/>
      <w:spacing w:before="480" w:line="276" w:lineRule="auto"/>
      <w:jc w:val="left"/>
    </w:pPr>
    <w:rPr>
      <w:rFonts w:asciiTheme="majorHAnsi" w:eastAsiaTheme="majorEastAsia" w:hAnsiTheme="majorHAnsi" w:cstheme="majorBidi"/>
      <w:iCs/>
      <w:caps/>
      <w:color w:val="365F91" w:themeColor="accent1" w:themeShade="BF"/>
      <w:sz w:val="28"/>
      <w:lang w:eastAsia="ja-JP"/>
    </w:rPr>
  </w:style>
  <w:style w:type="paragraph" w:styleId="TOC2">
    <w:name w:val="toc 2"/>
    <w:basedOn w:val="Normal"/>
    <w:next w:val="Normal"/>
    <w:autoRedefine/>
    <w:uiPriority w:val="39"/>
    <w:unhideWhenUsed/>
    <w:rsid w:val="00E22216"/>
    <w:pPr>
      <w:tabs>
        <w:tab w:val="left" w:pos="1080"/>
        <w:tab w:val="right" w:leader="dot" w:pos="8630"/>
      </w:tabs>
      <w:spacing w:after="100"/>
      <w:ind w:left="240"/>
    </w:pPr>
  </w:style>
  <w:style w:type="character" w:styleId="Hyperlink">
    <w:name w:val="Hyperlink"/>
    <w:basedOn w:val="DefaultParagraphFont"/>
    <w:uiPriority w:val="99"/>
    <w:unhideWhenUsed/>
    <w:rsid w:val="005B0DAA"/>
    <w:rPr>
      <w:color w:val="0000FF" w:themeColor="hyperlink"/>
      <w:u w:val="single"/>
    </w:rPr>
  </w:style>
  <w:style w:type="paragraph" w:styleId="TOC1">
    <w:name w:val="toc 1"/>
    <w:basedOn w:val="Normal"/>
    <w:next w:val="Normal"/>
    <w:autoRedefine/>
    <w:uiPriority w:val="39"/>
    <w:unhideWhenUsed/>
    <w:rsid w:val="00E22216"/>
    <w:pPr>
      <w:tabs>
        <w:tab w:val="right" w:leader="dot" w:pos="8630"/>
      </w:tabs>
      <w:spacing w:after="100"/>
    </w:pPr>
  </w:style>
  <w:style w:type="paragraph" w:styleId="TOC3">
    <w:name w:val="toc 3"/>
    <w:basedOn w:val="Normal"/>
    <w:next w:val="Normal"/>
    <w:autoRedefine/>
    <w:uiPriority w:val="39"/>
    <w:unhideWhenUsed/>
    <w:rsid w:val="005B0DAA"/>
    <w:pPr>
      <w:spacing w:after="100"/>
      <w:ind w:left="480"/>
    </w:pPr>
  </w:style>
  <w:style w:type="character" w:customStyle="1" w:styleId="Heading1Char">
    <w:name w:val="Heading 1 Char"/>
    <w:basedOn w:val="DefaultParagraphFont"/>
    <w:link w:val="Heading1"/>
    <w:uiPriority w:val="9"/>
    <w:rsid w:val="00026883"/>
    <w:rPr>
      <w:rFonts w:eastAsiaTheme="majorEastAsia" w:cstheme="majorBidi"/>
      <w:b/>
      <w:bCs/>
      <w:cap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n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7"/>
    <w:pPr>
      <w:jc w:val="both"/>
    </w:pPr>
    <w:rPr>
      <w:sz w:val="24"/>
      <w:szCs w:val="24"/>
    </w:rPr>
  </w:style>
  <w:style w:type="paragraph" w:styleId="Heading1">
    <w:name w:val="heading 1"/>
    <w:basedOn w:val="Normal"/>
    <w:next w:val="Normal"/>
    <w:link w:val="Heading1Char"/>
    <w:uiPriority w:val="9"/>
    <w:qFormat/>
    <w:rsid w:val="00026883"/>
    <w:pPr>
      <w:keepNext/>
      <w:keepLines/>
      <w:spacing w:line="480" w:lineRule="auto"/>
      <w:jc w:val="center"/>
      <w:outlineLvl w:val="0"/>
    </w:pPr>
    <w:rPr>
      <w:rFonts w:eastAsiaTheme="majorEastAsia" w:cstheme="majorBidi"/>
      <w:b/>
      <w:bCs/>
      <w:caps/>
      <w:szCs w:val="28"/>
    </w:rPr>
  </w:style>
  <w:style w:type="paragraph" w:styleId="Heading2">
    <w:name w:val="heading 2"/>
    <w:basedOn w:val="Normal"/>
    <w:next w:val="Normal"/>
    <w:qFormat/>
    <w:rsid w:val="00F75787"/>
    <w:pPr>
      <w:keepNext/>
      <w:spacing w:line="480" w:lineRule="auto"/>
      <w:outlineLvl w:val="1"/>
    </w:pPr>
    <w:rPr>
      <w:b/>
      <w:bCs/>
      <w:iCs/>
    </w:rPr>
  </w:style>
  <w:style w:type="paragraph" w:styleId="Heading3">
    <w:name w:val="heading 3"/>
    <w:basedOn w:val="Heading2"/>
    <w:next w:val="Normal"/>
    <w:qFormat/>
    <w:rsid w:val="00F75787"/>
    <w:pPr>
      <w:outlineLvl w:val="2"/>
    </w:pPr>
    <w:rPr>
      <w:b w:val="0"/>
      <w:u w:val="single"/>
    </w:rPr>
  </w:style>
  <w:style w:type="paragraph" w:styleId="Heading6">
    <w:name w:val="heading 6"/>
    <w:basedOn w:val="Normal"/>
    <w:next w:val="Normal"/>
    <w:qFormat/>
    <w:rsid w:val="00F7578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706D42"/>
  </w:style>
  <w:style w:type="paragraph" w:customStyle="1" w:styleId="Question">
    <w:name w:val="Question"/>
    <w:basedOn w:val="Normal"/>
    <w:link w:val="QuestionChar"/>
    <w:rsid w:val="00F75787"/>
    <w:pPr>
      <w:spacing w:line="480" w:lineRule="auto"/>
      <w:ind w:left="720" w:hanging="720"/>
    </w:pPr>
    <w:rPr>
      <w:b/>
      <w:bCs/>
      <w:szCs w:val="20"/>
    </w:rPr>
  </w:style>
  <w:style w:type="character" w:customStyle="1" w:styleId="QuestionChar">
    <w:name w:val="Question Char"/>
    <w:basedOn w:val="DefaultParagraphFont"/>
    <w:link w:val="Question"/>
    <w:rsid w:val="00D91DDF"/>
    <w:rPr>
      <w:b/>
      <w:bCs/>
      <w:sz w:val="24"/>
      <w:lang w:val="en-US" w:eastAsia="en-US" w:bidi="ar-SA"/>
    </w:rPr>
  </w:style>
  <w:style w:type="paragraph" w:customStyle="1" w:styleId="Answer">
    <w:name w:val="Answer"/>
    <w:basedOn w:val="Normal"/>
    <w:link w:val="AnswerChar1"/>
    <w:rsid w:val="00F75787"/>
    <w:pPr>
      <w:spacing w:line="480" w:lineRule="auto"/>
      <w:ind w:left="720" w:hanging="720"/>
    </w:pPr>
    <w:rPr>
      <w:szCs w:val="20"/>
    </w:rPr>
  </w:style>
  <w:style w:type="character" w:customStyle="1" w:styleId="AnswerChar1">
    <w:name w:val="Answer Char1"/>
    <w:basedOn w:val="DefaultParagraphFont"/>
    <w:link w:val="Answer"/>
    <w:rsid w:val="00841928"/>
    <w:rPr>
      <w:sz w:val="24"/>
      <w:lang w:val="en-US" w:eastAsia="en-US" w:bidi="ar-SA"/>
    </w:rPr>
  </w:style>
  <w:style w:type="character" w:styleId="PageNumber">
    <w:name w:val="page number"/>
    <w:basedOn w:val="DefaultParagraphFont"/>
    <w:rsid w:val="00802508"/>
  </w:style>
  <w:style w:type="paragraph" w:customStyle="1" w:styleId="Bullet">
    <w:name w:val="Bullet"/>
    <w:basedOn w:val="Answer"/>
    <w:rsid w:val="00770000"/>
    <w:pPr>
      <w:tabs>
        <w:tab w:val="num" w:pos="2160"/>
      </w:tabs>
      <w:ind w:left="2160" w:hanging="360"/>
    </w:pPr>
  </w:style>
  <w:style w:type="character" w:styleId="CommentReference">
    <w:name w:val="annotation reference"/>
    <w:basedOn w:val="DefaultParagraphFont"/>
    <w:semiHidden/>
    <w:rsid w:val="00F75787"/>
    <w:rPr>
      <w:sz w:val="16"/>
      <w:szCs w:val="16"/>
    </w:rPr>
  </w:style>
  <w:style w:type="paragraph" w:styleId="CommentText">
    <w:name w:val="annotation text"/>
    <w:basedOn w:val="Normal"/>
    <w:semiHidden/>
    <w:rsid w:val="00F75787"/>
    <w:rPr>
      <w:sz w:val="20"/>
      <w:szCs w:val="20"/>
    </w:rPr>
  </w:style>
  <w:style w:type="paragraph" w:styleId="CommentSubject">
    <w:name w:val="annotation subject"/>
    <w:basedOn w:val="CommentText"/>
    <w:next w:val="CommentText"/>
    <w:semiHidden/>
    <w:rsid w:val="00F75787"/>
    <w:rPr>
      <w:b/>
      <w:bCs/>
    </w:rPr>
  </w:style>
  <w:style w:type="paragraph" w:styleId="Header">
    <w:name w:val="header"/>
    <w:basedOn w:val="Normal"/>
    <w:rsid w:val="00F75787"/>
    <w:pPr>
      <w:tabs>
        <w:tab w:val="center" w:pos="4320"/>
        <w:tab w:val="right" w:pos="8640"/>
      </w:tabs>
    </w:pPr>
  </w:style>
  <w:style w:type="paragraph" w:styleId="Footer">
    <w:name w:val="footer"/>
    <w:basedOn w:val="Normal"/>
    <w:link w:val="FooterChar"/>
    <w:uiPriority w:val="99"/>
    <w:rsid w:val="00F75787"/>
    <w:pPr>
      <w:tabs>
        <w:tab w:val="center" w:pos="4320"/>
        <w:tab w:val="right" w:pos="8640"/>
      </w:tabs>
    </w:pPr>
  </w:style>
  <w:style w:type="paragraph" w:styleId="BalloonText">
    <w:name w:val="Balloon Text"/>
    <w:basedOn w:val="Normal"/>
    <w:semiHidden/>
    <w:rsid w:val="00217819"/>
    <w:rPr>
      <w:rFonts w:ascii="Tahoma" w:hAnsi="Tahoma" w:cs="Tahoma"/>
      <w:sz w:val="16"/>
      <w:szCs w:val="16"/>
    </w:rPr>
  </w:style>
  <w:style w:type="paragraph" w:styleId="Quote">
    <w:name w:val="Quote"/>
    <w:basedOn w:val="Normal"/>
    <w:qFormat/>
    <w:rsid w:val="00EF0A02"/>
    <w:pPr>
      <w:spacing w:after="240"/>
      <w:ind w:left="1440"/>
    </w:pPr>
  </w:style>
  <w:style w:type="paragraph" w:customStyle="1" w:styleId="answer0">
    <w:name w:val="answer"/>
    <w:basedOn w:val="Normal"/>
    <w:link w:val="answerChar"/>
    <w:rsid w:val="003B49E3"/>
    <w:pPr>
      <w:spacing w:before="100" w:beforeAutospacing="1" w:after="100" w:afterAutospacing="1"/>
      <w:jc w:val="left"/>
    </w:pPr>
  </w:style>
  <w:style w:type="character" w:customStyle="1" w:styleId="answerChar">
    <w:name w:val="answer Char"/>
    <w:basedOn w:val="DefaultParagraphFont"/>
    <w:link w:val="answer0"/>
    <w:rsid w:val="003C203D"/>
    <w:rPr>
      <w:sz w:val="24"/>
      <w:szCs w:val="24"/>
      <w:lang w:val="en-US" w:eastAsia="en-US" w:bidi="ar-SA"/>
    </w:rPr>
  </w:style>
  <w:style w:type="paragraph" w:customStyle="1" w:styleId="CharChar">
    <w:name w:val="Char Char"/>
    <w:basedOn w:val="Normal"/>
    <w:rsid w:val="00001380"/>
    <w:pPr>
      <w:spacing w:after="160" w:line="240" w:lineRule="exact"/>
      <w:jc w:val="left"/>
    </w:pPr>
    <w:rPr>
      <w:rFonts w:ascii="Verdana" w:hAnsi="Verdana"/>
      <w:sz w:val="20"/>
      <w:szCs w:val="20"/>
    </w:rPr>
  </w:style>
  <w:style w:type="paragraph" w:styleId="FootnoteText">
    <w:name w:val="footnote text"/>
    <w:aliases w:val="Footnote Text Char,Footnote Text Char1 Char,Footnote Text Char Char Char,Footnote Text Char1 Char Char Char,Footnote Text Char Char Char Char Char,Footnote Text Char Char1 Char,Footnote Text Char1 Char1 Char,Footnote Text Char Char1,fn,f"/>
    <w:basedOn w:val="Normal"/>
    <w:link w:val="FootnoteTextChar1"/>
    <w:uiPriority w:val="99"/>
    <w:qFormat/>
    <w:rsid w:val="004A698D"/>
    <w:rPr>
      <w:sz w:val="20"/>
      <w:szCs w:val="20"/>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4A698D"/>
    <w:rPr>
      <w:vertAlign w:val="superscript"/>
    </w:rPr>
  </w:style>
  <w:style w:type="character" w:customStyle="1" w:styleId="AnswerChar0">
    <w:name w:val="Answer Char"/>
    <w:basedOn w:val="DefaultParagraphFont"/>
    <w:rsid w:val="00712D5E"/>
    <w:rPr>
      <w:sz w:val="24"/>
      <w:lang w:val="en-US" w:eastAsia="en-US" w:bidi="ar-SA"/>
    </w:rPr>
  </w:style>
  <w:style w:type="paragraph" w:customStyle="1" w:styleId="Commitmenttable">
    <w:name w:val="Commitment table"/>
    <w:basedOn w:val="Normal"/>
    <w:rsid w:val="00D14E95"/>
    <w:pPr>
      <w:spacing w:before="60" w:after="60"/>
    </w:pPr>
    <w:rPr>
      <w:sz w:val="20"/>
      <w:szCs w:val="20"/>
    </w:rPr>
  </w:style>
  <w:style w:type="paragraph" w:customStyle="1" w:styleId="CommitmenttableIndent">
    <w:name w:val="Commitment table Indent"/>
    <w:basedOn w:val="Normal"/>
    <w:rsid w:val="00D14E95"/>
    <w:pPr>
      <w:spacing w:before="60" w:after="60"/>
      <w:ind w:left="720"/>
    </w:pPr>
    <w:rPr>
      <w:sz w:val="20"/>
      <w:szCs w:val="20"/>
    </w:rPr>
  </w:style>
  <w:style w:type="table" w:styleId="TableGrid">
    <w:name w:val="Table Grid"/>
    <w:basedOn w:val="TableNormal"/>
    <w:rsid w:val="00B04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0176F"/>
    <w:pPr>
      <w:spacing w:after="160" w:line="240" w:lineRule="exact"/>
      <w:jc w:val="left"/>
    </w:pPr>
    <w:rPr>
      <w:rFonts w:ascii="Verdana" w:hAnsi="Verdana"/>
      <w:sz w:val="20"/>
      <w:szCs w:val="20"/>
    </w:rPr>
  </w:style>
  <w:style w:type="paragraph" w:styleId="BodyText">
    <w:name w:val="Body Text"/>
    <w:basedOn w:val="Normal"/>
    <w:rsid w:val="00AF506C"/>
    <w:pPr>
      <w:spacing w:line="480" w:lineRule="auto"/>
      <w:ind w:firstLine="720"/>
      <w:jc w:val="left"/>
    </w:pPr>
    <w:rPr>
      <w:szCs w:val="20"/>
    </w:rPr>
  </w:style>
  <w:style w:type="paragraph" w:customStyle="1" w:styleId="CharChar2">
    <w:name w:val="Char Char2"/>
    <w:basedOn w:val="Normal"/>
    <w:rsid w:val="005246B9"/>
    <w:pPr>
      <w:spacing w:after="160" w:line="240" w:lineRule="exact"/>
      <w:jc w:val="left"/>
    </w:pPr>
    <w:rPr>
      <w:rFonts w:ascii="Verdana" w:hAnsi="Verdana"/>
      <w:sz w:val="20"/>
      <w:szCs w:val="20"/>
    </w:rPr>
  </w:style>
  <w:style w:type="paragraph" w:styleId="NormalWeb">
    <w:name w:val="Normal (Web)"/>
    <w:basedOn w:val="Normal"/>
    <w:uiPriority w:val="99"/>
    <w:semiHidden/>
    <w:unhideWhenUsed/>
    <w:rsid w:val="000F44A0"/>
    <w:pPr>
      <w:spacing w:before="100" w:beforeAutospacing="1" w:after="100" w:afterAutospacing="1"/>
      <w:jc w:val="left"/>
    </w:pPr>
  </w:style>
  <w:style w:type="paragraph" w:styleId="EndnoteText">
    <w:name w:val="endnote text"/>
    <w:basedOn w:val="Normal"/>
    <w:link w:val="EndnoteTextChar"/>
    <w:uiPriority w:val="99"/>
    <w:semiHidden/>
    <w:unhideWhenUsed/>
    <w:rsid w:val="00154695"/>
    <w:rPr>
      <w:sz w:val="20"/>
      <w:szCs w:val="20"/>
    </w:rPr>
  </w:style>
  <w:style w:type="character" w:customStyle="1" w:styleId="EndnoteTextChar">
    <w:name w:val="Endnote Text Char"/>
    <w:basedOn w:val="DefaultParagraphFont"/>
    <w:link w:val="EndnoteText"/>
    <w:uiPriority w:val="99"/>
    <w:semiHidden/>
    <w:rsid w:val="00154695"/>
  </w:style>
  <w:style w:type="character" w:styleId="EndnoteReference">
    <w:name w:val="endnote reference"/>
    <w:basedOn w:val="DefaultParagraphFont"/>
    <w:uiPriority w:val="99"/>
    <w:semiHidden/>
    <w:unhideWhenUsed/>
    <w:rsid w:val="00154695"/>
    <w:rPr>
      <w:vertAlign w:val="superscript"/>
    </w:rPr>
  </w:style>
  <w:style w:type="paragraph" w:customStyle="1" w:styleId="StyleBodyTextIndentLeft0LinespacingDouble">
    <w:name w:val="Style Body Text Indent + Left:  0&quot; Line spacing:  Double"/>
    <w:basedOn w:val="FootnoteText"/>
    <w:next w:val="BodyTextIndent"/>
    <w:rsid w:val="00D45B82"/>
    <w:pPr>
      <w:spacing w:after="120" w:line="480" w:lineRule="auto"/>
      <w:ind w:firstLine="720"/>
      <w:jc w:val="left"/>
    </w:pPr>
    <w:rPr>
      <w:sz w:val="24"/>
    </w:rPr>
  </w:style>
  <w:style w:type="paragraph" w:styleId="BodyTextIndent">
    <w:name w:val="Body Text Indent"/>
    <w:basedOn w:val="Normal"/>
    <w:link w:val="BodyTextIndentChar"/>
    <w:uiPriority w:val="99"/>
    <w:semiHidden/>
    <w:unhideWhenUsed/>
    <w:rsid w:val="00D45B82"/>
    <w:pPr>
      <w:spacing w:after="120"/>
      <w:ind w:left="360"/>
    </w:pPr>
  </w:style>
  <w:style w:type="character" w:customStyle="1" w:styleId="BodyTextIndentChar">
    <w:name w:val="Body Text Indent Char"/>
    <w:basedOn w:val="DefaultParagraphFont"/>
    <w:link w:val="BodyTextIndent"/>
    <w:uiPriority w:val="99"/>
    <w:semiHidden/>
    <w:rsid w:val="00D45B82"/>
    <w:rPr>
      <w:sz w:val="24"/>
      <w:szCs w:val="24"/>
    </w:rPr>
  </w:style>
  <w:style w:type="paragraph" w:styleId="Revision">
    <w:name w:val="Revision"/>
    <w:hidden/>
    <w:uiPriority w:val="99"/>
    <w:semiHidden/>
    <w:rsid w:val="00415E41"/>
    <w:rPr>
      <w:sz w:val="24"/>
      <w:szCs w:val="24"/>
    </w:rPr>
  </w:style>
  <w:style w:type="paragraph" w:styleId="ListParagraph">
    <w:name w:val="List Paragraph"/>
    <w:basedOn w:val="Normal"/>
    <w:uiPriority w:val="34"/>
    <w:qFormat/>
    <w:rsid w:val="006B6BB8"/>
    <w:pPr>
      <w:ind w:left="720"/>
      <w:contextualSpacing/>
    </w:pPr>
  </w:style>
  <w:style w:type="character" w:customStyle="1" w:styleId="FooterChar">
    <w:name w:val="Footer Char"/>
    <w:basedOn w:val="DefaultParagraphFont"/>
    <w:link w:val="Footer"/>
    <w:uiPriority w:val="99"/>
    <w:rsid w:val="000B348A"/>
    <w:rPr>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f Char"/>
    <w:basedOn w:val="DefaultParagraphFont"/>
    <w:link w:val="FootnoteText"/>
    <w:uiPriority w:val="99"/>
    <w:rsid w:val="00691E72"/>
  </w:style>
  <w:style w:type="table" w:styleId="LightShading">
    <w:name w:val="Light Shading"/>
    <w:basedOn w:val="TableNormal"/>
    <w:uiPriority w:val="60"/>
    <w:rsid w:val="00BC112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1">
    <w:name w:val="Medium Shading 1 Accent 1"/>
    <w:basedOn w:val="TableNormal"/>
    <w:uiPriority w:val="63"/>
    <w:rsid w:val="00BC112A"/>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BC112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List">
    <w:name w:val="Light List"/>
    <w:basedOn w:val="TableNormal"/>
    <w:uiPriority w:val="61"/>
    <w:rsid w:val="00BC112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OCHeading">
    <w:name w:val="TOC Heading"/>
    <w:basedOn w:val="Normal"/>
    <w:next w:val="Normal"/>
    <w:uiPriority w:val="39"/>
    <w:semiHidden/>
    <w:unhideWhenUsed/>
    <w:qFormat/>
    <w:rsid w:val="005B0DAA"/>
    <w:pPr>
      <w:keepLines/>
      <w:spacing w:before="480" w:line="276" w:lineRule="auto"/>
      <w:jc w:val="left"/>
    </w:pPr>
    <w:rPr>
      <w:rFonts w:asciiTheme="majorHAnsi" w:eastAsiaTheme="majorEastAsia" w:hAnsiTheme="majorHAnsi" w:cstheme="majorBidi"/>
      <w:iCs/>
      <w:caps/>
      <w:color w:val="365F91" w:themeColor="accent1" w:themeShade="BF"/>
      <w:sz w:val="28"/>
      <w:lang w:eastAsia="ja-JP"/>
    </w:rPr>
  </w:style>
  <w:style w:type="paragraph" w:styleId="TOC2">
    <w:name w:val="toc 2"/>
    <w:basedOn w:val="Normal"/>
    <w:next w:val="Normal"/>
    <w:autoRedefine/>
    <w:uiPriority w:val="39"/>
    <w:unhideWhenUsed/>
    <w:rsid w:val="00E22216"/>
    <w:pPr>
      <w:tabs>
        <w:tab w:val="left" w:pos="1080"/>
        <w:tab w:val="right" w:leader="dot" w:pos="8630"/>
      </w:tabs>
      <w:spacing w:after="100"/>
      <w:ind w:left="240"/>
    </w:pPr>
  </w:style>
  <w:style w:type="character" w:styleId="Hyperlink">
    <w:name w:val="Hyperlink"/>
    <w:basedOn w:val="DefaultParagraphFont"/>
    <w:uiPriority w:val="99"/>
    <w:unhideWhenUsed/>
    <w:rsid w:val="005B0DAA"/>
    <w:rPr>
      <w:color w:val="0000FF" w:themeColor="hyperlink"/>
      <w:u w:val="single"/>
    </w:rPr>
  </w:style>
  <w:style w:type="paragraph" w:styleId="TOC1">
    <w:name w:val="toc 1"/>
    <w:basedOn w:val="Normal"/>
    <w:next w:val="Normal"/>
    <w:autoRedefine/>
    <w:uiPriority w:val="39"/>
    <w:unhideWhenUsed/>
    <w:rsid w:val="00E22216"/>
    <w:pPr>
      <w:tabs>
        <w:tab w:val="right" w:leader="dot" w:pos="8630"/>
      </w:tabs>
      <w:spacing w:after="100"/>
    </w:pPr>
  </w:style>
  <w:style w:type="paragraph" w:styleId="TOC3">
    <w:name w:val="toc 3"/>
    <w:basedOn w:val="Normal"/>
    <w:next w:val="Normal"/>
    <w:autoRedefine/>
    <w:uiPriority w:val="39"/>
    <w:unhideWhenUsed/>
    <w:rsid w:val="005B0DAA"/>
    <w:pPr>
      <w:spacing w:after="100"/>
      <w:ind w:left="480"/>
    </w:pPr>
  </w:style>
  <w:style w:type="character" w:customStyle="1" w:styleId="Heading1Char">
    <w:name w:val="Heading 1 Char"/>
    <w:basedOn w:val="DefaultParagraphFont"/>
    <w:link w:val="Heading1"/>
    <w:uiPriority w:val="9"/>
    <w:rsid w:val="00026883"/>
    <w:rPr>
      <w:rFonts w:eastAsiaTheme="majorEastAsia" w:cstheme="majorBidi"/>
      <w:b/>
      <w:bCs/>
      <w:cap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76630">
      <w:bodyDiv w:val="1"/>
      <w:marLeft w:val="0"/>
      <w:marRight w:val="0"/>
      <w:marTop w:val="0"/>
      <w:marBottom w:val="0"/>
      <w:divBdr>
        <w:top w:val="none" w:sz="0" w:space="0" w:color="auto"/>
        <w:left w:val="none" w:sz="0" w:space="0" w:color="auto"/>
        <w:bottom w:val="none" w:sz="0" w:space="0" w:color="auto"/>
        <w:right w:val="none" w:sz="0" w:space="0" w:color="auto"/>
      </w:divBdr>
    </w:div>
    <w:div w:id="121927622">
      <w:bodyDiv w:val="1"/>
      <w:marLeft w:val="0"/>
      <w:marRight w:val="0"/>
      <w:marTop w:val="0"/>
      <w:marBottom w:val="0"/>
      <w:divBdr>
        <w:top w:val="none" w:sz="0" w:space="0" w:color="auto"/>
        <w:left w:val="none" w:sz="0" w:space="0" w:color="auto"/>
        <w:bottom w:val="none" w:sz="0" w:space="0" w:color="auto"/>
        <w:right w:val="none" w:sz="0" w:space="0" w:color="auto"/>
      </w:divBdr>
    </w:div>
    <w:div w:id="384762035">
      <w:bodyDiv w:val="1"/>
      <w:marLeft w:val="0"/>
      <w:marRight w:val="0"/>
      <w:marTop w:val="0"/>
      <w:marBottom w:val="0"/>
      <w:divBdr>
        <w:top w:val="none" w:sz="0" w:space="0" w:color="auto"/>
        <w:left w:val="none" w:sz="0" w:space="0" w:color="auto"/>
        <w:bottom w:val="none" w:sz="0" w:space="0" w:color="auto"/>
        <w:right w:val="none" w:sz="0" w:space="0" w:color="auto"/>
      </w:divBdr>
    </w:div>
    <w:div w:id="582300922">
      <w:bodyDiv w:val="1"/>
      <w:marLeft w:val="0"/>
      <w:marRight w:val="0"/>
      <w:marTop w:val="0"/>
      <w:marBottom w:val="0"/>
      <w:divBdr>
        <w:top w:val="none" w:sz="0" w:space="0" w:color="auto"/>
        <w:left w:val="none" w:sz="0" w:space="0" w:color="auto"/>
        <w:bottom w:val="none" w:sz="0" w:space="0" w:color="auto"/>
        <w:right w:val="none" w:sz="0" w:space="0" w:color="auto"/>
      </w:divBdr>
    </w:div>
    <w:div w:id="584850836">
      <w:bodyDiv w:val="1"/>
      <w:marLeft w:val="0"/>
      <w:marRight w:val="0"/>
      <w:marTop w:val="0"/>
      <w:marBottom w:val="0"/>
      <w:divBdr>
        <w:top w:val="none" w:sz="0" w:space="0" w:color="auto"/>
        <w:left w:val="none" w:sz="0" w:space="0" w:color="auto"/>
        <w:bottom w:val="none" w:sz="0" w:space="0" w:color="auto"/>
        <w:right w:val="none" w:sz="0" w:space="0" w:color="auto"/>
      </w:divBdr>
      <w:divsChild>
        <w:div w:id="240650461">
          <w:marLeft w:val="0"/>
          <w:marRight w:val="0"/>
          <w:marTop w:val="0"/>
          <w:marBottom w:val="0"/>
          <w:divBdr>
            <w:top w:val="none" w:sz="0" w:space="0" w:color="auto"/>
            <w:left w:val="none" w:sz="0" w:space="0" w:color="auto"/>
            <w:bottom w:val="none" w:sz="0" w:space="0" w:color="auto"/>
            <w:right w:val="none" w:sz="0" w:space="0" w:color="auto"/>
          </w:divBdr>
        </w:div>
      </w:divsChild>
    </w:div>
    <w:div w:id="705523810">
      <w:bodyDiv w:val="1"/>
      <w:marLeft w:val="0"/>
      <w:marRight w:val="0"/>
      <w:marTop w:val="0"/>
      <w:marBottom w:val="0"/>
      <w:divBdr>
        <w:top w:val="none" w:sz="0" w:space="0" w:color="auto"/>
        <w:left w:val="none" w:sz="0" w:space="0" w:color="auto"/>
        <w:bottom w:val="none" w:sz="0" w:space="0" w:color="auto"/>
        <w:right w:val="none" w:sz="0" w:space="0" w:color="auto"/>
      </w:divBdr>
    </w:div>
    <w:div w:id="760100593">
      <w:bodyDiv w:val="1"/>
      <w:marLeft w:val="0"/>
      <w:marRight w:val="0"/>
      <w:marTop w:val="0"/>
      <w:marBottom w:val="0"/>
      <w:divBdr>
        <w:top w:val="none" w:sz="0" w:space="0" w:color="auto"/>
        <w:left w:val="none" w:sz="0" w:space="0" w:color="auto"/>
        <w:bottom w:val="none" w:sz="0" w:space="0" w:color="auto"/>
        <w:right w:val="none" w:sz="0" w:space="0" w:color="auto"/>
      </w:divBdr>
    </w:div>
    <w:div w:id="866214910">
      <w:bodyDiv w:val="1"/>
      <w:marLeft w:val="0"/>
      <w:marRight w:val="0"/>
      <w:marTop w:val="0"/>
      <w:marBottom w:val="0"/>
      <w:divBdr>
        <w:top w:val="none" w:sz="0" w:space="0" w:color="auto"/>
        <w:left w:val="none" w:sz="0" w:space="0" w:color="auto"/>
        <w:bottom w:val="none" w:sz="0" w:space="0" w:color="auto"/>
        <w:right w:val="none" w:sz="0" w:space="0" w:color="auto"/>
      </w:divBdr>
    </w:div>
    <w:div w:id="908611295">
      <w:bodyDiv w:val="1"/>
      <w:marLeft w:val="0"/>
      <w:marRight w:val="0"/>
      <w:marTop w:val="0"/>
      <w:marBottom w:val="0"/>
      <w:divBdr>
        <w:top w:val="none" w:sz="0" w:space="0" w:color="auto"/>
        <w:left w:val="none" w:sz="0" w:space="0" w:color="auto"/>
        <w:bottom w:val="none" w:sz="0" w:space="0" w:color="auto"/>
        <w:right w:val="none" w:sz="0" w:space="0" w:color="auto"/>
      </w:divBdr>
    </w:div>
    <w:div w:id="1019045031">
      <w:bodyDiv w:val="1"/>
      <w:marLeft w:val="0"/>
      <w:marRight w:val="0"/>
      <w:marTop w:val="0"/>
      <w:marBottom w:val="0"/>
      <w:divBdr>
        <w:top w:val="none" w:sz="0" w:space="0" w:color="auto"/>
        <w:left w:val="none" w:sz="0" w:space="0" w:color="auto"/>
        <w:bottom w:val="none" w:sz="0" w:space="0" w:color="auto"/>
        <w:right w:val="none" w:sz="0" w:space="0" w:color="auto"/>
      </w:divBdr>
    </w:div>
    <w:div w:id="1029064622">
      <w:bodyDiv w:val="1"/>
      <w:marLeft w:val="0"/>
      <w:marRight w:val="0"/>
      <w:marTop w:val="0"/>
      <w:marBottom w:val="0"/>
      <w:divBdr>
        <w:top w:val="none" w:sz="0" w:space="0" w:color="auto"/>
        <w:left w:val="none" w:sz="0" w:space="0" w:color="auto"/>
        <w:bottom w:val="none" w:sz="0" w:space="0" w:color="auto"/>
        <w:right w:val="none" w:sz="0" w:space="0" w:color="auto"/>
      </w:divBdr>
    </w:div>
    <w:div w:id="1044713137">
      <w:bodyDiv w:val="1"/>
      <w:marLeft w:val="0"/>
      <w:marRight w:val="0"/>
      <w:marTop w:val="0"/>
      <w:marBottom w:val="0"/>
      <w:divBdr>
        <w:top w:val="none" w:sz="0" w:space="0" w:color="auto"/>
        <w:left w:val="none" w:sz="0" w:space="0" w:color="auto"/>
        <w:bottom w:val="none" w:sz="0" w:space="0" w:color="auto"/>
        <w:right w:val="none" w:sz="0" w:space="0" w:color="auto"/>
      </w:divBdr>
    </w:div>
    <w:div w:id="1078405178">
      <w:bodyDiv w:val="1"/>
      <w:marLeft w:val="0"/>
      <w:marRight w:val="0"/>
      <w:marTop w:val="0"/>
      <w:marBottom w:val="0"/>
      <w:divBdr>
        <w:top w:val="none" w:sz="0" w:space="0" w:color="auto"/>
        <w:left w:val="none" w:sz="0" w:space="0" w:color="auto"/>
        <w:bottom w:val="none" w:sz="0" w:space="0" w:color="auto"/>
        <w:right w:val="none" w:sz="0" w:space="0" w:color="auto"/>
      </w:divBdr>
    </w:div>
    <w:div w:id="1211917333">
      <w:bodyDiv w:val="1"/>
      <w:marLeft w:val="0"/>
      <w:marRight w:val="0"/>
      <w:marTop w:val="0"/>
      <w:marBottom w:val="0"/>
      <w:divBdr>
        <w:top w:val="none" w:sz="0" w:space="0" w:color="auto"/>
        <w:left w:val="none" w:sz="0" w:space="0" w:color="auto"/>
        <w:bottom w:val="none" w:sz="0" w:space="0" w:color="auto"/>
        <w:right w:val="none" w:sz="0" w:space="0" w:color="auto"/>
      </w:divBdr>
      <w:divsChild>
        <w:div w:id="73209646">
          <w:marLeft w:val="0"/>
          <w:marRight w:val="0"/>
          <w:marTop w:val="0"/>
          <w:marBottom w:val="0"/>
          <w:divBdr>
            <w:top w:val="none" w:sz="0" w:space="0" w:color="auto"/>
            <w:left w:val="none" w:sz="0" w:space="0" w:color="auto"/>
            <w:bottom w:val="none" w:sz="0" w:space="0" w:color="auto"/>
            <w:right w:val="none" w:sz="0" w:space="0" w:color="auto"/>
          </w:divBdr>
        </w:div>
      </w:divsChild>
    </w:div>
    <w:div w:id="1295017173">
      <w:bodyDiv w:val="1"/>
      <w:marLeft w:val="0"/>
      <w:marRight w:val="0"/>
      <w:marTop w:val="0"/>
      <w:marBottom w:val="0"/>
      <w:divBdr>
        <w:top w:val="none" w:sz="0" w:space="0" w:color="auto"/>
        <w:left w:val="none" w:sz="0" w:space="0" w:color="auto"/>
        <w:bottom w:val="none" w:sz="0" w:space="0" w:color="auto"/>
        <w:right w:val="none" w:sz="0" w:space="0" w:color="auto"/>
      </w:divBdr>
    </w:div>
    <w:div w:id="1504007231">
      <w:bodyDiv w:val="1"/>
      <w:marLeft w:val="0"/>
      <w:marRight w:val="0"/>
      <w:marTop w:val="0"/>
      <w:marBottom w:val="0"/>
      <w:divBdr>
        <w:top w:val="none" w:sz="0" w:space="0" w:color="auto"/>
        <w:left w:val="none" w:sz="0" w:space="0" w:color="auto"/>
        <w:bottom w:val="none" w:sz="0" w:space="0" w:color="auto"/>
        <w:right w:val="none" w:sz="0" w:space="0" w:color="auto"/>
      </w:divBdr>
    </w:div>
    <w:div w:id="1769736570">
      <w:bodyDiv w:val="1"/>
      <w:marLeft w:val="0"/>
      <w:marRight w:val="0"/>
      <w:marTop w:val="0"/>
      <w:marBottom w:val="0"/>
      <w:divBdr>
        <w:top w:val="none" w:sz="0" w:space="0" w:color="auto"/>
        <w:left w:val="none" w:sz="0" w:space="0" w:color="auto"/>
        <w:bottom w:val="none" w:sz="0" w:space="0" w:color="auto"/>
        <w:right w:val="none" w:sz="0" w:space="0" w:color="auto"/>
      </w:divBdr>
    </w:div>
    <w:div w:id="1917785327">
      <w:bodyDiv w:val="1"/>
      <w:marLeft w:val="0"/>
      <w:marRight w:val="0"/>
      <w:marTop w:val="0"/>
      <w:marBottom w:val="0"/>
      <w:divBdr>
        <w:top w:val="none" w:sz="0" w:space="0" w:color="auto"/>
        <w:left w:val="none" w:sz="0" w:space="0" w:color="auto"/>
        <w:bottom w:val="none" w:sz="0" w:space="0" w:color="auto"/>
        <w:right w:val="none" w:sz="0" w:space="0" w:color="auto"/>
      </w:divBdr>
    </w:div>
    <w:div w:id="19279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2015-11-25T08:00:00+00:00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58624-1B4E-4C49-9ED4-88B2A562D33A}"/>
</file>

<file path=customXml/itemProps2.xml><?xml version="1.0" encoding="utf-8"?>
<ds:datastoreItem xmlns:ds="http://schemas.openxmlformats.org/officeDocument/2006/customXml" ds:itemID="{DA3439EE-3135-4B5B-9528-F458C8078C9B}"/>
</file>

<file path=customXml/itemProps3.xml><?xml version="1.0" encoding="utf-8"?>
<ds:datastoreItem xmlns:ds="http://schemas.openxmlformats.org/officeDocument/2006/customXml" ds:itemID="{27732783-D22E-49CA-A05E-F9D31C804715}"/>
</file>

<file path=customXml/itemProps4.xml><?xml version="1.0" encoding="utf-8"?>
<ds:datastoreItem xmlns:ds="http://schemas.openxmlformats.org/officeDocument/2006/customXml" ds:itemID="{78AB4383-4644-4ACF-99AC-85CB1AA9781C}"/>
</file>

<file path=docProps/app.xml><?xml version="1.0" encoding="utf-8"?>
<Properties xmlns="http://schemas.openxmlformats.org/officeDocument/2006/extended-properties" xmlns:vt="http://schemas.openxmlformats.org/officeDocument/2006/docPropsVTypes">
  <Template>Normal</Template>
  <TotalTime>0</TotalTime>
  <Pages>37</Pages>
  <Words>9043</Words>
  <Characters>51547</Characters>
  <Application>Microsoft Office Word</Application>
  <DocSecurity>0</DocSecurity>
  <Lines>429</Lines>
  <Paragraphs>120</Paragraphs>
  <ScaleCrop>false</ScaleCrop>
  <Company/>
  <LinksUpToDate>false</LinksUpToDate>
  <CharactersWithSpaces>60470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2015-11-25T01:41:00Z</dcterms:created>
  <dcterms:modified xsi:type="dcterms:W3CDTF">2015-11-25T01:41:00Z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