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FC" w:rsidRPr="00BA1E6F" w:rsidRDefault="00501FFC" w:rsidP="00F748D8">
      <w:pPr>
        <w:tabs>
          <w:tab w:val="center" w:pos="4680"/>
        </w:tabs>
        <w:ind w:right="-108" w:hanging="180"/>
        <w:jc w:val="both"/>
        <w:rPr>
          <w:sz w:val="24"/>
        </w:rPr>
      </w:pPr>
    </w:p>
    <w:p w:rsidR="00501FFC" w:rsidRPr="00BA1E6F" w:rsidRDefault="00501FFC" w:rsidP="00F748D8">
      <w:pPr>
        <w:tabs>
          <w:tab w:val="center" w:pos="4680"/>
        </w:tabs>
        <w:ind w:right="-108" w:hanging="180"/>
        <w:jc w:val="both"/>
        <w:rPr>
          <w:sz w:val="24"/>
        </w:rPr>
      </w:pPr>
    </w:p>
    <w:p w:rsidR="00501FFC" w:rsidRPr="00BA1E6F" w:rsidRDefault="00501FFC" w:rsidP="00F748D8">
      <w:pPr>
        <w:tabs>
          <w:tab w:val="center" w:pos="4680"/>
        </w:tabs>
        <w:ind w:right="-108" w:hanging="180"/>
        <w:jc w:val="both"/>
        <w:rPr>
          <w:sz w:val="24"/>
        </w:rPr>
      </w:pPr>
    </w:p>
    <w:p w:rsidR="00501FFC" w:rsidRPr="00BA1E6F" w:rsidRDefault="00501FFC" w:rsidP="00F748D8">
      <w:pPr>
        <w:tabs>
          <w:tab w:val="center" w:pos="4680"/>
        </w:tabs>
        <w:ind w:right="-108" w:hanging="180"/>
        <w:jc w:val="both"/>
        <w:rPr>
          <w:sz w:val="24"/>
        </w:rPr>
      </w:pPr>
    </w:p>
    <w:p w:rsidR="00501FFC" w:rsidRPr="00BA1E6F" w:rsidRDefault="00501FFC" w:rsidP="00F748D8">
      <w:pPr>
        <w:tabs>
          <w:tab w:val="center" w:pos="4680"/>
        </w:tabs>
        <w:ind w:right="-108" w:hanging="180"/>
        <w:jc w:val="both"/>
        <w:rPr>
          <w:sz w:val="24"/>
        </w:rPr>
      </w:pPr>
    </w:p>
    <w:p w:rsidR="00F748D8" w:rsidRPr="00BA1E6F" w:rsidRDefault="00F748D8" w:rsidP="00F748D8">
      <w:pPr>
        <w:tabs>
          <w:tab w:val="center" w:pos="4680"/>
        </w:tabs>
        <w:ind w:right="-108" w:hanging="180"/>
        <w:jc w:val="both"/>
        <w:rPr>
          <w:sz w:val="24"/>
        </w:rPr>
      </w:pPr>
      <w:r w:rsidRPr="00BA1E6F">
        <w:rPr>
          <w:sz w:val="24"/>
        </w:rPr>
        <w:t>BEFORE THE WASHINGTON UTILITIES AND TRANSPORTATION COMMISSION</w:t>
      </w:r>
    </w:p>
    <w:p w:rsidR="00F748D8" w:rsidRPr="00BA1E6F" w:rsidRDefault="00F748D8"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BA1E6F" w:rsidRPr="00BA1E6F" w:rsidTr="00BA1E6F">
        <w:tc>
          <w:tcPr>
            <w:tcW w:w="4590" w:type="dxa"/>
            <w:tcBorders>
              <w:top w:val="single" w:sz="6" w:space="0" w:color="FFFFFF"/>
              <w:left w:val="single" w:sz="6" w:space="0" w:color="FFFFFF"/>
              <w:bottom w:val="single" w:sz="7" w:space="0" w:color="000000"/>
              <w:right w:val="single" w:sz="6" w:space="0" w:color="FFFFFF"/>
            </w:tcBorders>
          </w:tcPr>
          <w:p w:rsidR="00BA1E6F" w:rsidRPr="00BA1E6F" w:rsidRDefault="00BA1E6F" w:rsidP="00633408">
            <w:pPr>
              <w:rPr>
                <w:sz w:val="24"/>
              </w:rPr>
            </w:pPr>
            <w:r w:rsidRPr="00BA1E6F">
              <w:rPr>
                <w:sz w:val="24"/>
              </w:rPr>
              <w:t>WASHINGTON UTILITIES AND TRANSPORTATION COMMISSION,</w:t>
            </w:r>
          </w:p>
          <w:p w:rsidR="00BA1E6F" w:rsidRPr="00BA1E6F" w:rsidRDefault="00BA1E6F" w:rsidP="00633408">
            <w:pPr>
              <w:rPr>
                <w:sz w:val="24"/>
              </w:rPr>
            </w:pPr>
          </w:p>
          <w:p w:rsidR="00BA1E6F" w:rsidRPr="00BA1E6F" w:rsidRDefault="00BA1E6F" w:rsidP="00633408">
            <w:pPr>
              <w:rPr>
                <w:sz w:val="24"/>
              </w:rPr>
            </w:pPr>
            <w:r w:rsidRPr="00BA1E6F">
              <w:rPr>
                <w:sz w:val="24"/>
              </w:rPr>
              <w:tab/>
            </w:r>
            <w:r w:rsidRPr="00BA1E6F">
              <w:rPr>
                <w:sz w:val="24"/>
              </w:rPr>
              <w:tab/>
              <w:t>Complainant,</w:t>
            </w:r>
          </w:p>
          <w:p w:rsidR="00BA1E6F" w:rsidRPr="00BA1E6F" w:rsidRDefault="00BA1E6F" w:rsidP="00633408">
            <w:pPr>
              <w:rPr>
                <w:sz w:val="24"/>
              </w:rPr>
            </w:pPr>
          </w:p>
          <w:p w:rsidR="00BA1E6F" w:rsidRPr="00BA1E6F" w:rsidRDefault="00BA1E6F" w:rsidP="00633408">
            <w:pPr>
              <w:rPr>
                <w:sz w:val="24"/>
              </w:rPr>
            </w:pPr>
            <w:r w:rsidRPr="00BA1E6F">
              <w:rPr>
                <w:sz w:val="24"/>
              </w:rPr>
              <w:t>v.</w:t>
            </w:r>
          </w:p>
          <w:p w:rsidR="00BA1E6F" w:rsidRPr="00BA1E6F" w:rsidRDefault="00BA1E6F" w:rsidP="00633408">
            <w:pPr>
              <w:rPr>
                <w:sz w:val="24"/>
              </w:rPr>
            </w:pPr>
          </w:p>
          <w:p w:rsidR="00BA1E6F" w:rsidRPr="00BA1E6F" w:rsidRDefault="00BA1E6F" w:rsidP="00633408">
            <w:pPr>
              <w:rPr>
                <w:sz w:val="24"/>
              </w:rPr>
            </w:pPr>
            <w:r w:rsidRPr="00BA1E6F">
              <w:rPr>
                <w:sz w:val="24"/>
              </w:rPr>
              <w:t>MURREY’S DISPOSAL COMPANY, INC., G-9,</w:t>
            </w:r>
          </w:p>
          <w:p w:rsidR="00BA1E6F" w:rsidRPr="00BA1E6F" w:rsidRDefault="00BA1E6F" w:rsidP="00633408">
            <w:pPr>
              <w:rPr>
                <w:sz w:val="24"/>
              </w:rPr>
            </w:pPr>
          </w:p>
          <w:p w:rsidR="00BA1E6F" w:rsidRPr="00BA1E6F" w:rsidRDefault="00BA1E6F" w:rsidP="00633408">
            <w:pPr>
              <w:rPr>
                <w:sz w:val="24"/>
              </w:rPr>
            </w:pPr>
            <w:r w:rsidRPr="00BA1E6F">
              <w:rPr>
                <w:sz w:val="24"/>
              </w:rPr>
              <w:tab/>
            </w:r>
            <w:r w:rsidRPr="00BA1E6F">
              <w:rPr>
                <w:sz w:val="24"/>
              </w:rPr>
              <w:tab/>
              <w:t>Respondent.</w:t>
            </w:r>
          </w:p>
          <w:p w:rsidR="00BA1E6F" w:rsidRPr="00BA1E6F" w:rsidRDefault="00BA1E6F" w:rsidP="00633408">
            <w:pPr>
              <w:spacing w:after="19"/>
              <w:rPr>
                <w:bCs/>
                <w:sz w:val="24"/>
              </w:rPr>
            </w:pPr>
          </w:p>
          <w:p w:rsidR="00BA1E6F" w:rsidRPr="00BA1E6F" w:rsidRDefault="00BA1E6F" w:rsidP="00633408">
            <w:pPr>
              <w:spacing w:after="19"/>
              <w:rPr>
                <w:bCs/>
                <w:sz w:val="24"/>
              </w:rPr>
            </w:pPr>
            <w:r w:rsidRPr="00BA1E6F">
              <w:rPr>
                <w:bCs/>
                <w:sz w:val="24"/>
              </w:rPr>
              <w:t>………………………………………………</w:t>
            </w:r>
          </w:p>
          <w:p w:rsidR="00BA1E6F" w:rsidRPr="00BA1E6F" w:rsidRDefault="00BA1E6F" w:rsidP="00633408">
            <w:pPr>
              <w:spacing w:after="19"/>
              <w:rPr>
                <w:bCs/>
                <w:sz w:val="24"/>
              </w:rPr>
            </w:pPr>
          </w:p>
          <w:p w:rsidR="00BA1E6F" w:rsidRPr="00BA1E6F" w:rsidRDefault="00BA1E6F" w:rsidP="00633408">
            <w:pPr>
              <w:rPr>
                <w:sz w:val="24"/>
              </w:rPr>
            </w:pPr>
            <w:r w:rsidRPr="00BA1E6F">
              <w:rPr>
                <w:sz w:val="24"/>
              </w:rPr>
              <w:t>WASHINGTON UTILITIES AND TRANSPORTATION COMMISSION,</w:t>
            </w:r>
          </w:p>
          <w:p w:rsidR="00BA1E6F" w:rsidRPr="00BA1E6F" w:rsidRDefault="00BA1E6F" w:rsidP="00633408">
            <w:pPr>
              <w:rPr>
                <w:sz w:val="24"/>
              </w:rPr>
            </w:pPr>
          </w:p>
          <w:p w:rsidR="00BA1E6F" w:rsidRPr="00BA1E6F" w:rsidRDefault="00BA1E6F" w:rsidP="00633408">
            <w:pPr>
              <w:rPr>
                <w:sz w:val="24"/>
              </w:rPr>
            </w:pPr>
            <w:r w:rsidRPr="00BA1E6F">
              <w:rPr>
                <w:sz w:val="24"/>
              </w:rPr>
              <w:tab/>
            </w:r>
            <w:r w:rsidRPr="00BA1E6F">
              <w:rPr>
                <w:sz w:val="24"/>
              </w:rPr>
              <w:tab/>
              <w:t>Complainant,</w:t>
            </w:r>
          </w:p>
          <w:p w:rsidR="00BA1E6F" w:rsidRPr="00BA1E6F" w:rsidRDefault="00BA1E6F" w:rsidP="00633408">
            <w:pPr>
              <w:rPr>
                <w:sz w:val="24"/>
              </w:rPr>
            </w:pPr>
          </w:p>
          <w:p w:rsidR="00BA1E6F" w:rsidRPr="00BA1E6F" w:rsidRDefault="00BA1E6F" w:rsidP="00633408">
            <w:pPr>
              <w:rPr>
                <w:sz w:val="24"/>
              </w:rPr>
            </w:pPr>
            <w:r w:rsidRPr="00BA1E6F">
              <w:rPr>
                <w:sz w:val="24"/>
              </w:rPr>
              <w:t>v.</w:t>
            </w:r>
          </w:p>
          <w:p w:rsidR="00BA1E6F" w:rsidRPr="00BA1E6F" w:rsidRDefault="00BA1E6F" w:rsidP="00633408">
            <w:pPr>
              <w:rPr>
                <w:sz w:val="24"/>
              </w:rPr>
            </w:pPr>
          </w:p>
          <w:p w:rsidR="00BA1E6F" w:rsidRPr="00BA1E6F" w:rsidRDefault="00BA1E6F" w:rsidP="00633408">
            <w:pPr>
              <w:rPr>
                <w:sz w:val="24"/>
              </w:rPr>
            </w:pPr>
            <w:r w:rsidRPr="00BA1E6F">
              <w:rPr>
                <w:sz w:val="24"/>
              </w:rPr>
              <w:t>AMERICAL DISPOSAL COMPANY, INC., G-87,</w:t>
            </w:r>
          </w:p>
          <w:p w:rsidR="00BA1E6F" w:rsidRPr="00BA1E6F" w:rsidRDefault="00BA1E6F" w:rsidP="00633408">
            <w:pPr>
              <w:rPr>
                <w:sz w:val="24"/>
              </w:rPr>
            </w:pPr>
          </w:p>
          <w:p w:rsidR="00BA1E6F" w:rsidRPr="00BA1E6F" w:rsidRDefault="00BA1E6F" w:rsidP="00633408">
            <w:pPr>
              <w:rPr>
                <w:sz w:val="24"/>
              </w:rPr>
            </w:pPr>
            <w:r w:rsidRPr="00BA1E6F">
              <w:rPr>
                <w:sz w:val="24"/>
              </w:rPr>
              <w:tab/>
            </w:r>
            <w:r w:rsidRPr="00BA1E6F">
              <w:rPr>
                <w:sz w:val="24"/>
              </w:rPr>
              <w:tab/>
              <w:t>Respondent.</w:t>
            </w:r>
          </w:p>
          <w:p w:rsidR="00BA1E6F" w:rsidRPr="00BA1E6F" w:rsidRDefault="00BA1E6F" w:rsidP="00633408">
            <w:pPr>
              <w:spacing w:after="19"/>
              <w:rPr>
                <w:bCs/>
                <w:sz w:val="24"/>
              </w:rPr>
            </w:pPr>
          </w:p>
        </w:tc>
        <w:tc>
          <w:tcPr>
            <w:tcW w:w="4590" w:type="dxa"/>
            <w:tcBorders>
              <w:top w:val="single" w:sz="6" w:space="0" w:color="FFFFFF"/>
              <w:left w:val="single" w:sz="7" w:space="0" w:color="000000"/>
              <w:bottom w:val="single" w:sz="6" w:space="0" w:color="FFFFFF"/>
              <w:right w:val="single" w:sz="6" w:space="0" w:color="FFFFFF"/>
            </w:tcBorders>
          </w:tcPr>
          <w:p w:rsidR="00BA1E6F" w:rsidRPr="00BA1E6F" w:rsidRDefault="00BA1E6F" w:rsidP="00633408">
            <w:pPr>
              <w:ind w:left="776"/>
              <w:rPr>
                <w:bCs/>
                <w:sz w:val="24"/>
              </w:rPr>
            </w:pPr>
            <w:r w:rsidRPr="00BA1E6F">
              <w:rPr>
                <w:bCs/>
                <w:sz w:val="24"/>
              </w:rPr>
              <w:t>DOCKETS TG-130501</w:t>
            </w:r>
          </w:p>
          <w:p w:rsidR="00BA1E6F" w:rsidRPr="00BA1E6F" w:rsidRDefault="00EC12E0" w:rsidP="00633408">
            <w:pPr>
              <w:ind w:left="776"/>
              <w:rPr>
                <w:bCs/>
                <w:sz w:val="24"/>
              </w:rPr>
            </w:pPr>
            <w:r>
              <w:rPr>
                <w:bCs/>
                <w:sz w:val="24"/>
              </w:rPr>
              <w:t>and TG-130502</w:t>
            </w:r>
            <w:r w:rsidR="00BA1E6F" w:rsidRPr="00BA1E6F">
              <w:rPr>
                <w:bCs/>
                <w:sz w:val="24"/>
              </w:rPr>
              <w:t xml:space="preserve"> (</w:t>
            </w:r>
            <w:r w:rsidR="00BA1E6F" w:rsidRPr="00BA1E6F">
              <w:rPr>
                <w:bCs/>
                <w:i/>
                <w:sz w:val="24"/>
              </w:rPr>
              <w:t>consolidated</w:t>
            </w:r>
            <w:r w:rsidR="00BA1E6F" w:rsidRPr="00BA1E6F">
              <w:rPr>
                <w:bCs/>
                <w:sz w:val="24"/>
              </w:rPr>
              <w:t xml:space="preserve">) </w:t>
            </w:r>
          </w:p>
          <w:p w:rsidR="00BA1E6F" w:rsidRPr="00BA1E6F" w:rsidRDefault="00BA1E6F" w:rsidP="00633408">
            <w:pPr>
              <w:ind w:left="776"/>
              <w:rPr>
                <w:bCs/>
                <w:sz w:val="24"/>
              </w:rPr>
            </w:pPr>
          </w:p>
          <w:p w:rsidR="00BA1E6F" w:rsidRPr="00BA1E6F" w:rsidRDefault="00424DAE" w:rsidP="00877710">
            <w:pPr>
              <w:spacing w:after="19"/>
              <w:ind w:left="720"/>
              <w:rPr>
                <w:bCs/>
                <w:sz w:val="24"/>
              </w:rPr>
            </w:pPr>
            <w:r>
              <w:rPr>
                <w:bCs/>
                <w:sz w:val="24"/>
              </w:rPr>
              <w:t xml:space="preserve">COMMISSION STAFF’S </w:t>
            </w:r>
            <w:bookmarkStart w:id="0" w:name="_GoBack"/>
            <w:bookmarkEnd w:id="0"/>
            <w:r w:rsidR="004F6207">
              <w:rPr>
                <w:bCs/>
                <w:sz w:val="24"/>
              </w:rPr>
              <w:t xml:space="preserve">NARRATIVE IN SUPPORT OF </w:t>
            </w:r>
            <w:r w:rsidR="006F046D">
              <w:rPr>
                <w:bCs/>
                <w:sz w:val="24"/>
              </w:rPr>
              <w:t xml:space="preserve">SETTLEMENT </w:t>
            </w:r>
            <w:r w:rsidR="00877710">
              <w:rPr>
                <w:bCs/>
                <w:sz w:val="24"/>
              </w:rPr>
              <w:t>AGREEMENT</w:t>
            </w:r>
          </w:p>
        </w:tc>
      </w:tr>
    </w:tbl>
    <w:p w:rsidR="00BA1E6F" w:rsidRPr="00BA1E6F" w:rsidRDefault="00BA1E6F" w:rsidP="00BA1E6F">
      <w:pPr>
        <w:jc w:val="both"/>
        <w:rPr>
          <w:sz w:val="24"/>
        </w:rPr>
      </w:pPr>
    </w:p>
    <w:p w:rsidR="004F6207" w:rsidRPr="004F6207" w:rsidRDefault="004F6207" w:rsidP="004F6207">
      <w:pPr>
        <w:spacing w:line="480" w:lineRule="auto"/>
        <w:jc w:val="center"/>
        <w:rPr>
          <w:b/>
          <w:sz w:val="24"/>
        </w:rPr>
      </w:pPr>
      <w:r w:rsidRPr="004F6207">
        <w:rPr>
          <w:b/>
          <w:sz w:val="24"/>
        </w:rPr>
        <w:t>I.  INTRODUCTION</w:t>
      </w:r>
    </w:p>
    <w:p w:rsidR="00877710" w:rsidRDefault="004F6207" w:rsidP="004F6207">
      <w:pPr>
        <w:pStyle w:val="ListParagraph"/>
        <w:numPr>
          <w:ilvl w:val="0"/>
          <w:numId w:val="3"/>
        </w:numPr>
        <w:spacing w:line="480" w:lineRule="auto"/>
        <w:ind w:left="0" w:hanging="720"/>
        <w:rPr>
          <w:sz w:val="24"/>
        </w:rPr>
      </w:pPr>
      <w:r>
        <w:rPr>
          <w:sz w:val="24"/>
        </w:rPr>
        <w:tab/>
      </w:r>
      <w:r w:rsidRPr="004F6207">
        <w:rPr>
          <w:sz w:val="24"/>
        </w:rPr>
        <w:t xml:space="preserve">On April 8, 2013, </w:t>
      </w:r>
      <w:r w:rsidR="004B36DF">
        <w:rPr>
          <w:sz w:val="24"/>
        </w:rPr>
        <w:t>Murrey’s Disposal Company, Inc. (“Murrey’s”), American Disposal Company, Inc. (“American”) (or “the Companies”)</w:t>
      </w:r>
      <w:r w:rsidRPr="004F6207">
        <w:rPr>
          <w:sz w:val="24"/>
        </w:rPr>
        <w:t>, filed tariff revisions with the Utilities and Transportation Commission (</w:t>
      </w:r>
      <w:r>
        <w:rPr>
          <w:sz w:val="24"/>
        </w:rPr>
        <w:t>C</w:t>
      </w:r>
      <w:r w:rsidRPr="004F6207">
        <w:rPr>
          <w:sz w:val="24"/>
        </w:rPr>
        <w:t xml:space="preserve">ommission) that would generate approximately $2,287,000 (8.2 percent) additional annual revenue. </w:t>
      </w:r>
      <w:r>
        <w:rPr>
          <w:sz w:val="24"/>
        </w:rPr>
        <w:t xml:space="preserve"> </w:t>
      </w:r>
      <w:r w:rsidRPr="004F6207">
        <w:rPr>
          <w:sz w:val="24"/>
        </w:rPr>
        <w:t xml:space="preserve">The proposed increases relate to increases in employee wages and benefits, fuel, </w:t>
      </w:r>
      <w:r w:rsidR="00877710">
        <w:rPr>
          <w:sz w:val="24"/>
        </w:rPr>
        <w:t xml:space="preserve">and </w:t>
      </w:r>
      <w:r w:rsidRPr="004F6207">
        <w:rPr>
          <w:sz w:val="24"/>
        </w:rPr>
        <w:t xml:space="preserve">parts and equipment, and were </w:t>
      </w:r>
      <w:r w:rsidRPr="004F6207">
        <w:rPr>
          <w:sz w:val="24"/>
        </w:rPr>
        <w:lastRenderedPageBreak/>
        <w:t xml:space="preserve">scheduled to become effective June 1, 2013.  The </w:t>
      </w:r>
      <w:r w:rsidR="00D55B1F">
        <w:rPr>
          <w:sz w:val="24"/>
        </w:rPr>
        <w:t>Companies</w:t>
      </w:r>
      <w:r w:rsidRPr="004F6207">
        <w:rPr>
          <w:sz w:val="24"/>
        </w:rPr>
        <w:t xml:space="preserve">’ last general rate increase became effective March 1, 2010.  The </w:t>
      </w:r>
      <w:r w:rsidR="00D55B1F">
        <w:rPr>
          <w:sz w:val="24"/>
        </w:rPr>
        <w:t>Companies</w:t>
      </w:r>
      <w:r w:rsidRPr="004F6207">
        <w:rPr>
          <w:sz w:val="24"/>
        </w:rPr>
        <w:t xml:space="preserve"> serves approximately </w:t>
      </w:r>
      <w:r w:rsidR="00E57FB6">
        <w:rPr>
          <w:sz w:val="24"/>
        </w:rPr>
        <w:t>53,000</w:t>
      </w:r>
      <w:r w:rsidR="00877710">
        <w:rPr>
          <w:sz w:val="24"/>
        </w:rPr>
        <w:t xml:space="preserve"> customers in Pierce County.</w:t>
      </w:r>
    </w:p>
    <w:p w:rsidR="00FB7F1B" w:rsidRPr="00877710" w:rsidRDefault="00877710" w:rsidP="004F6207">
      <w:pPr>
        <w:pStyle w:val="ListParagraph"/>
        <w:numPr>
          <w:ilvl w:val="0"/>
          <w:numId w:val="3"/>
        </w:numPr>
        <w:spacing w:line="480" w:lineRule="auto"/>
        <w:ind w:left="0" w:hanging="720"/>
        <w:rPr>
          <w:sz w:val="24"/>
        </w:rPr>
      </w:pPr>
      <w:r>
        <w:rPr>
          <w:sz w:val="24"/>
        </w:rPr>
        <w:tab/>
      </w:r>
      <w:r w:rsidR="004F6207" w:rsidRPr="00877710">
        <w:rPr>
          <w:sz w:val="24"/>
        </w:rPr>
        <w:t>On May 10, 2013, the Commission entered Order 01 in Docket TG-13</w:t>
      </w:r>
      <w:r w:rsidR="004022F4">
        <w:rPr>
          <w:sz w:val="24"/>
        </w:rPr>
        <w:t>0</w:t>
      </w:r>
      <w:r w:rsidR="004F6207" w:rsidRPr="00877710">
        <w:rPr>
          <w:sz w:val="24"/>
        </w:rPr>
        <w:t>501 and Order 01 in Docket TG-13</w:t>
      </w:r>
      <w:r w:rsidR="004022F4">
        <w:rPr>
          <w:sz w:val="24"/>
        </w:rPr>
        <w:t>0</w:t>
      </w:r>
      <w:r w:rsidR="004F6207" w:rsidRPr="00877710">
        <w:rPr>
          <w:sz w:val="24"/>
        </w:rPr>
        <w:t>502, suspending the tariff revisions in those dockets.  A Prehearing Conference Order (Order 02) issued on May 21, 2013, consolidated the two dockets and</w:t>
      </w:r>
      <w:r w:rsidR="004022F4">
        <w:rPr>
          <w:sz w:val="24"/>
        </w:rPr>
        <w:t>,</w:t>
      </w:r>
      <w:r w:rsidR="004F6207" w:rsidRPr="00877710">
        <w:rPr>
          <w:sz w:val="24"/>
        </w:rPr>
        <w:t xml:space="preserve"> </w:t>
      </w:r>
      <w:r w:rsidR="004022F4" w:rsidRPr="00877710">
        <w:rPr>
          <w:sz w:val="24"/>
        </w:rPr>
        <w:t>among other things</w:t>
      </w:r>
      <w:r w:rsidR="004022F4">
        <w:rPr>
          <w:sz w:val="24"/>
        </w:rPr>
        <w:t>,</w:t>
      </w:r>
      <w:r w:rsidR="004022F4" w:rsidRPr="00877710">
        <w:rPr>
          <w:sz w:val="24"/>
        </w:rPr>
        <w:t xml:space="preserve"> </w:t>
      </w:r>
      <w:r w:rsidR="004F6207" w:rsidRPr="00877710">
        <w:rPr>
          <w:sz w:val="24"/>
        </w:rPr>
        <w:t xml:space="preserve">established a procedural schedule.  On June 20, </w:t>
      </w:r>
      <w:r w:rsidR="00624F09">
        <w:rPr>
          <w:sz w:val="24"/>
        </w:rPr>
        <w:t xml:space="preserve">and </w:t>
      </w:r>
      <w:r w:rsidR="004F6207" w:rsidRPr="00877710">
        <w:rPr>
          <w:sz w:val="24"/>
        </w:rPr>
        <w:t>July 11</w:t>
      </w:r>
      <w:r w:rsidR="004B36DF">
        <w:rPr>
          <w:sz w:val="24"/>
        </w:rPr>
        <w:t>,</w:t>
      </w:r>
      <w:r w:rsidR="004F6207" w:rsidRPr="00877710">
        <w:rPr>
          <w:sz w:val="24"/>
        </w:rPr>
        <w:t xml:space="preserve"> 2013, the Commission granted motions for continuance of testimony filing dates while the</w:t>
      </w:r>
      <w:r w:rsidR="00FB7F1B" w:rsidRPr="00877710">
        <w:rPr>
          <w:sz w:val="24"/>
        </w:rPr>
        <w:t xml:space="preserve"> parties discussed settlement.</w:t>
      </w:r>
      <w:r w:rsidR="004B36DF">
        <w:rPr>
          <w:sz w:val="24"/>
        </w:rPr>
        <w:t xml:space="preserve"> </w:t>
      </w:r>
      <w:r w:rsidR="00624F09">
        <w:rPr>
          <w:sz w:val="24"/>
        </w:rPr>
        <w:t xml:space="preserve"> On July 16, 2013, the parties notified the Commission that they had reached a tentative settlement and requested that the procedural schedule be suspended.  By notice of July 17, 2013, the Commission granted that request.</w:t>
      </w:r>
    </w:p>
    <w:p w:rsidR="00FB7F1B" w:rsidRDefault="00FB7F1B" w:rsidP="004F6207">
      <w:pPr>
        <w:pStyle w:val="ListParagraph"/>
        <w:numPr>
          <w:ilvl w:val="0"/>
          <w:numId w:val="3"/>
        </w:numPr>
        <w:spacing w:line="480" w:lineRule="auto"/>
        <w:ind w:left="0" w:hanging="720"/>
        <w:rPr>
          <w:sz w:val="24"/>
        </w:rPr>
      </w:pPr>
      <w:r>
        <w:rPr>
          <w:sz w:val="24"/>
        </w:rPr>
        <w:tab/>
      </w:r>
      <w:r w:rsidR="004F6207" w:rsidRPr="00FB7F1B">
        <w:rPr>
          <w:sz w:val="24"/>
        </w:rPr>
        <w:t xml:space="preserve">The Commission Staff (Staff) and </w:t>
      </w:r>
      <w:r w:rsidR="004B36DF">
        <w:rPr>
          <w:sz w:val="24"/>
        </w:rPr>
        <w:t>the Companies</w:t>
      </w:r>
      <w:r w:rsidR="004B36DF" w:rsidRPr="00FB7F1B">
        <w:rPr>
          <w:sz w:val="24"/>
        </w:rPr>
        <w:t xml:space="preserve"> </w:t>
      </w:r>
      <w:r w:rsidR="004F6207" w:rsidRPr="00FB7F1B">
        <w:rPr>
          <w:sz w:val="24"/>
        </w:rPr>
        <w:t xml:space="preserve">have reached a full settlement resolving all issues in the consolidated dockets.  This Narrative summarizes many aspects of the Settlement </w:t>
      </w:r>
      <w:r w:rsidR="00877710">
        <w:rPr>
          <w:sz w:val="24"/>
        </w:rPr>
        <w:t>Agreement</w:t>
      </w:r>
      <w:r w:rsidR="00576504">
        <w:rPr>
          <w:sz w:val="24"/>
        </w:rPr>
        <w:t xml:space="preserve"> (</w:t>
      </w:r>
      <w:r w:rsidR="00DC7B3F">
        <w:rPr>
          <w:sz w:val="24"/>
        </w:rPr>
        <w:t>Settlement</w:t>
      </w:r>
      <w:r w:rsidR="00576504">
        <w:rPr>
          <w:sz w:val="24"/>
        </w:rPr>
        <w:t>)</w:t>
      </w:r>
      <w:r w:rsidR="003C4335">
        <w:rPr>
          <w:sz w:val="24"/>
        </w:rPr>
        <w:t xml:space="preserve">.  </w:t>
      </w:r>
      <w:r w:rsidR="004F6207" w:rsidRPr="00FB7F1B">
        <w:rPr>
          <w:sz w:val="24"/>
        </w:rPr>
        <w:t xml:space="preserve">It is not intended to modify any terms of the </w:t>
      </w:r>
      <w:r w:rsidR="00DC7B3F">
        <w:rPr>
          <w:sz w:val="24"/>
        </w:rPr>
        <w:t>Settlement</w:t>
      </w:r>
      <w:r w:rsidR="004F6207" w:rsidRPr="00FB7F1B">
        <w:rPr>
          <w:sz w:val="24"/>
        </w:rPr>
        <w:t xml:space="preserve">. </w:t>
      </w:r>
    </w:p>
    <w:p w:rsidR="00FB7F1B" w:rsidRDefault="00FB7F1B" w:rsidP="004F6207">
      <w:pPr>
        <w:pStyle w:val="ListParagraph"/>
        <w:numPr>
          <w:ilvl w:val="0"/>
          <w:numId w:val="3"/>
        </w:numPr>
        <w:spacing w:line="480" w:lineRule="auto"/>
        <w:ind w:left="0" w:hanging="720"/>
        <w:rPr>
          <w:sz w:val="24"/>
        </w:rPr>
      </w:pPr>
      <w:r>
        <w:rPr>
          <w:sz w:val="24"/>
        </w:rPr>
        <w:tab/>
      </w:r>
      <w:r w:rsidR="004F6207" w:rsidRPr="00FB7F1B">
        <w:rPr>
          <w:sz w:val="24"/>
        </w:rPr>
        <w:t xml:space="preserve">The Staff does not intend to file supporting documentation in addition to this Narrative, and the pleadings already in the Commissions files on this matter.  Staff will file additional supporting documents if the Commission so requires.  In accordance with WAC 480-07-740(2)(b), Staff and the </w:t>
      </w:r>
      <w:r w:rsidR="004B36DF">
        <w:rPr>
          <w:sz w:val="24"/>
        </w:rPr>
        <w:t>Companies</w:t>
      </w:r>
      <w:r w:rsidR="004B36DF" w:rsidRPr="00FB7F1B">
        <w:rPr>
          <w:sz w:val="24"/>
        </w:rPr>
        <w:t xml:space="preserve"> </w:t>
      </w:r>
      <w:r w:rsidR="004F6207" w:rsidRPr="00FB7F1B">
        <w:rPr>
          <w:sz w:val="24"/>
        </w:rPr>
        <w:t xml:space="preserve">are each prepared to present one or more witnesses to testify in support of the proposal, and answer questions concerning the </w:t>
      </w:r>
      <w:r w:rsidR="00DC7B3F">
        <w:rPr>
          <w:sz w:val="24"/>
        </w:rPr>
        <w:t>Settlement</w:t>
      </w:r>
      <w:r w:rsidR="004F6207" w:rsidRPr="00FB7F1B">
        <w:rPr>
          <w:sz w:val="24"/>
        </w:rPr>
        <w:t>’s details, and its costs and benefits.</w:t>
      </w:r>
    </w:p>
    <w:p w:rsidR="00FB7F1B" w:rsidRPr="00FB7F1B" w:rsidRDefault="00FB7F1B" w:rsidP="00BA2B07">
      <w:pPr>
        <w:pStyle w:val="ListParagraph"/>
        <w:keepNext/>
        <w:widowControl/>
        <w:spacing w:line="480" w:lineRule="auto"/>
        <w:ind w:left="0"/>
        <w:jc w:val="center"/>
        <w:rPr>
          <w:b/>
          <w:sz w:val="24"/>
        </w:rPr>
      </w:pPr>
      <w:r w:rsidRPr="00FB7F1B">
        <w:rPr>
          <w:b/>
          <w:sz w:val="24"/>
        </w:rPr>
        <w:lastRenderedPageBreak/>
        <w:t xml:space="preserve">II. </w:t>
      </w:r>
      <w:r w:rsidR="00877710">
        <w:rPr>
          <w:b/>
          <w:sz w:val="24"/>
        </w:rPr>
        <w:t xml:space="preserve"> </w:t>
      </w:r>
      <w:r w:rsidRPr="00FB7F1B">
        <w:rPr>
          <w:b/>
          <w:sz w:val="24"/>
        </w:rPr>
        <w:t>SCOPE OF THE UNDERLING DISPUTE</w:t>
      </w:r>
    </w:p>
    <w:p w:rsidR="00D10ECC" w:rsidRPr="00CD054B" w:rsidRDefault="00FB7F1B" w:rsidP="00BA2B07">
      <w:pPr>
        <w:pStyle w:val="ListParagraph"/>
        <w:keepNext/>
        <w:widowControl/>
        <w:numPr>
          <w:ilvl w:val="0"/>
          <w:numId w:val="3"/>
        </w:numPr>
        <w:spacing w:line="480" w:lineRule="auto"/>
        <w:ind w:left="0" w:hanging="720"/>
        <w:rPr>
          <w:sz w:val="24"/>
        </w:rPr>
      </w:pPr>
      <w:r w:rsidRPr="00CD054B">
        <w:rPr>
          <w:sz w:val="24"/>
        </w:rPr>
        <w:tab/>
      </w:r>
      <w:r w:rsidR="004F6207" w:rsidRPr="00CD054B">
        <w:rPr>
          <w:sz w:val="24"/>
        </w:rPr>
        <w:t xml:space="preserve">Initially, the parties disagreed about </w:t>
      </w:r>
      <w:r w:rsidR="00F63C26" w:rsidRPr="00CD054B">
        <w:rPr>
          <w:sz w:val="24"/>
        </w:rPr>
        <w:t xml:space="preserve">discovery and </w:t>
      </w:r>
      <w:r w:rsidR="004F6207" w:rsidRPr="00CD054B">
        <w:rPr>
          <w:sz w:val="24"/>
        </w:rPr>
        <w:t>the treatment of several substantive accounting issues</w:t>
      </w:r>
      <w:r w:rsidR="00CD054B" w:rsidRPr="00CD054B">
        <w:rPr>
          <w:sz w:val="24"/>
        </w:rPr>
        <w:t xml:space="preserve"> and t</w:t>
      </w:r>
      <w:r w:rsidR="00F63C26" w:rsidRPr="00CD054B">
        <w:rPr>
          <w:sz w:val="24"/>
        </w:rPr>
        <w:t xml:space="preserve">he </w:t>
      </w:r>
      <w:r w:rsidR="004B36DF" w:rsidRPr="00CD054B">
        <w:rPr>
          <w:sz w:val="24"/>
        </w:rPr>
        <w:t xml:space="preserve">Companies </w:t>
      </w:r>
      <w:r w:rsidR="00D10ECC" w:rsidRPr="00CD054B">
        <w:rPr>
          <w:sz w:val="24"/>
        </w:rPr>
        <w:t xml:space="preserve">provided Staff with </w:t>
      </w:r>
      <w:r w:rsidR="004B36DF" w:rsidRPr="00CD054B">
        <w:rPr>
          <w:sz w:val="24"/>
        </w:rPr>
        <w:t>a list of ten</w:t>
      </w:r>
      <w:r w:rsidR="00D10ECC" w:rsidRPr="00CD054B">
        <w:rPr>
          <w:sz w:val="24"/>
        </w:rPr>
        <w:t xml:space="preserve"> contested issues </w:t>
      </w:r>
      <w:r w:rsidR="004B36DF" w:rsidRPr="00CD054B">
        <w:rPr>
          <w:sz w:val="24"/>
        </w:rPr>
        <w:t xml:space="preserve">regarding discovery </w:t>
      </w:r>
      <w:r w:rsidR="00847B77">
        <w:rPr>
          <w:sz w:val="24"/>
        </w:rPr>
        <w:t>upon which they</w:t>
      </w:r>
      <w:r w:rsidR="00D10ECC" w:rsidRPr="00CD054B">
        <w:rPr>
          <w:sz w:val="24"/>
        </w:rPr>
        <w:t xml:space="preserve"> </w:t>
      </w:r>
      <w:r w:rsidR="001B2AEF" w:rsidRPr="00CD054B">
        <w:rPr>
          <w:sz w:val="24"/>
        </w:rPr>
        <w:t>sought</w:t>
      </w:r>
      <w:r w:rsidR="00CD054B">
        <w:rPr>
          <w:sz w:val="24"/>
        </w:rPr>
        <w:t xml:space="preserve"> Commission ruling.</w:t>
      </w:r>
    </w:p>
    <w:p w:rsidR="00935104" w:rsidRPr="00D55B1F" w:rsidRDefault="00CD054B" w:rsidP="00D946DC">
      <w:pPr>
        <w:pStyle w:val="ListParagraph"/>
        <w:keepNext/>
        <w:widowControl/>
        <w:numPr>
          <w:ilvl w:val="0"/>
          <w:numId w:val="3"/>
        </w:numPr>
        <w:spacing w:line="480" w:lineRule="auto"/>
        <w:ind w:left="0" w:hanging="720"/>
        <w:rPr>
          <w:sz w:val="24"/>
        </w:rPr>
      </w:pPr>
      <w:r>
        <w:rPr>
          <w:sz w:val="24"/>
        </w:rPr>
        <w:tab/>
      </w:r>
      <w:r w:rsidR="00F63C26" w:rsidRPr="00D946DC">
        <w:rPr>
          <w:sz w:val="24"/>
        </w:rPr>
        <w:t xml:space="preserve">Accounting issues included </w:t>
      </w:r>
      <w:r w:rsidR="00D10ECC" w:rsidRPr="00D946DC">
        <w:rPr>
          <w:sz w:val="24"/>
        </w:rPr>
        <w:t xml:space="preserve">allocations of corporate overhead; </w:t>
      </w:r>
      <w:r w:rsidR="00060596" w:rsidRPr="00D946DC">
        <w:rPr>
          <w:sz w:val="24"/>
        </w:rPr>
        <w:t xml:space="preserve">asset cost, salvage value, and useful life used for calculating </w:t>
      </w:r>
      <w:r w:rsidR="00D10ECC" w:rsidRPr="00D946DC">
        <w:rPr>
          <w:sz w:val="24"/>
        </w:rPr>
        <w:t>depreciation</w:t>
      </w:r>
      <w:r w:rsidR="00060596" w:rsidRPr="00D946DC">
        <w:rPr>
          <w:sz w:val="24"/>
        </w:rPr>
        <w:t>; allocation</w:t>
      </w:r>
      <w:r w:rsidR="00D10ECC" w:rsidRPr="00D946DC">
        <w:rPr>
          <w:sz w:val="24"/>
        </w:rPr>
        <w:t xml:space="preserve"> of transfer station, trucks, buildings and containers; </w:t>
      </w:r>
      <w:r w:rsidR="00376FB2" w:rsidRPr="00D946DC">
        <w:rPr>
          <w:sz w:val="24"/>
        </w:rPr>
        <w:t xml:space="preserve">allocation of </w:t>
      </w:r>
      <w:r w:rsidR="00D10ECC" w:rsidRPr="00D946DC">
        <w:rPr>
          <w:sz w:val="24"/>
        </w:rPr>
        <w:t>safety and training expenses</w:t>
      </w:r>
      <w:r w:rsidR="00060596" w:rsidRPr="00D946DC">
        <w:rPr>
          <w:sz w:val="24"/>
        </w:rPr>
        <w:t xml:space="preserve"> to regulated and non-regulated divisions</w:t>
      </w:r>
      <w:r w:rsidR="00D10ECC" w:rsidRPr="00D946DC">
        <w:rPr>
          <w:sz w:val="24"/>
        </w:rPr>
        <w:t>; salaries and allocation of personnel to regulated and non</w:t>
      </w:r>
      <w:r w:rsidR="00060596" w:rsidRPr="00D946DC">
        <w:rPr>
          <w:sz w:val="24"/>
        </w:rPr>
        <w:t>-</w:t>
      </w:r>
      <w:r w:rsidR="00D10ECC" w:rsidRPr="00D946DC">
        <w:rPr>
          <w:sz w:val="24"/>
        </w:rPr>
        <w:t xml:space="preserve">regulated activities; treatment of expenses related to prior year insurance claims; treatment of legal expenses; </w:t>
      </w:r>
      <w:r w:rsidR="000A6067" w:rsidRPr="00D946DC">
        <w:rPr>
          <w:sz w:val="24"/>
        </w:rPr>
        <w:t>depreciation</w:t>
      </w:r>
      <w:r w:rsidR="00F63C26" w:rsidRPr="00D946DC">
        <w:rPr>
          <w:sz w:val="24"/>
        </w:rPr>
        <w:t xml:space="preserve"> of assets</w:t>
      </w:r>
      <w:r w:rsidR="001B2AEF" w:rsidRPr="00D946DC">
        <w:rPr>
          <w:sz w:val="24"/>
        </w:rPr>
        <w:t xml:space="preserve">; treatment of proceeds from the </w:t>
      </w:r>
      <w:r w:rsidR="00F63C26" w:rsidRPr="00D946DC">
        <w:rPr>
          <w:sz w:val="24"/>
        </w:rPr>
        <w:t>sale of assets</w:t>
      </w:r>
      <w:r w:rsidR="001B2AEF" w:rsidRPr="00D946DC">
        <w:rPr>
          <w:sz w:val="24"/>
        </w:rPr>
        <w:t>;</w:t>
      </w:r>
      <w:r w:rsidR="00F63C26" w:rsidRPr="00D946DC">
        <w:rPr>
          <w:sz w:val="24"/>
        </w:rPr>
        <w:t xml:space="preserve"> normalization of certain expenses</w:t>
      </w:r>
      <w:r w:rsidR="001B2AEF" w:rsidRPr="00D946DC">
        <w:rPr>
          <w:sz w:val="24"/>
        </w:rPr>
        <w:t xml:space="preserve">; </w:t>
      </w:r>
      <w:r w:rsidR="00F63C26" w:rsidRPr="00D946DC">
        <w:rPr>
          <w:sz w:val="24"/>
        </w:rPr>
        <w:t xml:space="preserve">whether </w:t>
      </w:r>
      <w:r w:rsidR="001B2AEF" w:rsidRPr="00D946DC">
        <w:rPr>
          <w:sz w:val="24"/>
        </w:rPr>
        <w:t>assets are used and useful; allocation of expenses to regulated and unregulated activities</w:t>
      </w:r>
      <w:r w:rsidR="004B36DF">
        <w:rPr>
          <w:sz w:val="24"/>
        </w:rPr>
        <w:t>;</w:t>
      </w:r>
      <w:r w:rsidR="001B2AEF" w:rsidRPr="00D946DC">
        <w:rPr>
          <w:sz w:val="24"/>
        </w:rPr>
        <w:t xml:space="preserve"> </w:t>
      </w:r>
      <w:r w:rsidR="004B36DF">
        <w:rPr>
          <w:sz w:val="24"/>
        </w:rPr>
        <w:t xml:space="preserve">recycling </w:t>
      </w:r>
      <w:r w:rsidR="001B2AEF" w:rsidRPr="00D946DC">
        <w:rPr>
          <w:sz w:val="24"/>
        </w:rPr>
        <w:t>processing fees paid to an affiliate</w:t>
      </w:r>
      <w:r w:rsidR="004B36DF">
        <w:rPr>
          <w:sz w:val="24"/>
        </w:rPr>
        <w:t>;</w:t>
      </w:r>
      <w:r w:rsidR="001B2AEF" w:rsidRPr="00D946DC">
        <w:rPr>
          <w:sz w:val="24"/>
        </w:rPr>
        <w:t xml:space="preserve"> </w:t>
      </w:r>
      <w:r w:rsidR="00060596" w:rsidRPr="00D946DC">
        <w:rPr>
          <w:sz w:val="24"/>
        </w:rPr>
        <w:t>rents paid to an affiliate;</w:t>
      </w:r>
      <w:r w:rsidR="000A6067" w:rsidRPr="00D946DC">
        <w:rPr>
          <w:sz w:val="24"/>
        </w:rPr>
        <w:t xml:space="preserve"> treatment of a pro forma revenue adjustment for disposal fees embedded </w:t>
      </w:r>
      <w:r w:rsidR="004B36DF">
        <w:rPr>
          <w:sz w:val="24"/>
        </w:rPr>
        <w:t xml:space="preserve">in current </w:t>
      </w:r>
      <w:r w:rsidR="000A6067" w:rsidRPr="00D946DC">
        <w:rPr>
          <w:sz w:val="24"/>
        </w:rPr>
        <w:t>rates</w:t>
      </w:r>
      <w:r w:rsidR="00376FB2" w:rsidRPr="00D946DC">
        <w:rPr>
          <w:sz w:val="24"/>
        </w:rPr>
        <w:t xml:space="preserve"> </w:t>
      </w:r>
      <w:r w:rsidR="004B36DF">
        <w:rPr>
          <w:sz w:val="24"/>
        </w:rPr>
        <w:t xml:space="preserve">to recover a return using the </w:t>
      </w:r>
      <w:r w:rsidR="00376FB2" w:rsidRPr="00D946DC">
        <w:rPr>
          <w:sz w:val="24"/>
        </w:rPr>
        <w:t>Lurito-Gallagher calc</w:t>
      </w:r>
      <w:r w:rsidR="004B36DF">
        <w:rPr>
          <w:sz w:val="24"/>
        </w:rPr>
        <w:t>u</w:t>
      </w:r>
      <w:r w:rsidR="00376FB2" w:rsidRPr="00D946DC">
        <w:rPr>
          <w:sz w:val="24"/>
        </w:rPr>
        <w:t>lation</w:t>
      </w:r>
      <w:r w:rsidR="00060596" w:rsidRPr="00D946DC">
        <w:rPr>
          <w:sz w:val="24"/>
        </w:rPr>
        <w:t>;</w:t>
      </w:r>
      <w:r w:rsidR="000A6067" w:rsidRPr="00D946DC">
        <w:rPr>
          <w:sz w:val="24"/>
        </w:rPr>
        <w:t xml:space="preserve"> and</w:t>
      </w:r>
      <w:r w:rsidR="004B36DF">
        <w:rPr>
          <w:sz w:val="24"/>
        </w:rPr>
        <w:t>,</w:t>
      </w:r>
      <w:r w:rsidR="000A6067" w:rsidRPr="00D946DC">
        <w:rPr>
          <w:sz w:val="24"/>
        </w:rPr>
        <w:t xml:space="preserve"> standards </w:t>
      </w:r>
      <w:r w:rsidR="00060596" w:rsidRPr="00D946DC">
        <w:rPr>
          <w:sz w:val="24"/>
        </w:rPr>
        <w:t>for</w:t>
      </w:r>
      <w:r w:rsidR="000A6067" w:rsidRPr="00D946DC">
        <w:rPr>
          <w:sz w:val="24"/>
        </w:rPr>
        <w:t xml:space="preserve"> calculating a sufficient return on disposal fee. </w:t>
      </w:r>
      <w:r w:rsidR="0079312E" w:rsidRPr="00D55B1F">
        <w:rPr>
          <w:sz w:val="24"/>
        </w:rPr>
        <w:t xml:space="preserve">  </w:t>
      </w:r>
    </w:p>
    <w:p w:rsidR="00FB7F1B" w:rsidRDefault="00CD054B" w:rsidP="0073479F">
      <w:pPr>
        <w:pStyle w:val="ListParagraph"/>
        <w:keepNext/>
        <w:widowControl/>
        <w:numPr>
          <w:ilvl w:val="0"/>
          <w:numId w:val="3"/>
        </w:numPr>
        <w:spacing w:line="480" w:lineRule="auto"/>
        <w:ind w:left="0" w:hanging="720"/>
        <w:rPr>
          <w:sz w:val="24"/>
        </w:rPr>
      </w:pPr>
      <w:r>
        <w:rPr>
          <w:sz w:val="24"/>
        </w:rPr>
        <w:tab/>
      </w:r>
      <w:r w:rsidR="004F6207" w:rsidRPr="00FB7F1B">
        <w:rPr>
          <w:sz w:val="24"/>
        </w:rPr>
        <w:t xml:space="preserve">The parties engaged in discussions to narrow those issues and in the end were able to come to a full </w:t>
      </w:r>
      <w:r w:rsidR="00877710">
        <w:rPr>
          <w:sz w:val="24"/>
        </w:rPr>
        <w:t>agreement</w:t>
      </w:r>
      <w:r w:rsidR="001B2AEF">
        <w:rPr>
          <w:sz w:val="24"/>
        </w:rPr>
        <w:t xml:space="preserve"> with respect to rates, </w:t>
      </w:r>
      <w:r>
        <w:rPr>
          <w:sz w:val="24"/>
        </w:rPr>
        <w:t xml:space="preserve">but the settlement does not address </w:t>
      </w:r>
      <w:r w:rsidR="001B2AEF">
        <w:rPr>
          <w:sz w:val="24"/>
        </w:rPr>
        <w:t>the discovery issues</w:t>
      </w:r>
      <w:r>
        <w:rPr>
          <w:sz w:val="24"/>
        </w:rPr>
        <w:t xml:space="preserve"> that the Companies raised with Staff</w:t>
      </w:r>
      <w:r w:rsidR="004F6207" w:rsidRPr="00FB7F1B">
        <w:rPr>
          <w:sz w:val="24"/>
        </w:rPr>
        <w:t>.  As noted, the Commission granted motions for continuance of the procedural schedule to facilitate those discussions.</w:t>
      </w:r>
    </w:p>
    <w:p w:rsidR="00BA2B07" w:rsidRDefault="00FB7F1B" w:rsidP="00BA2B07">
      <w:pPr>
        <w:pStyle w:val="ListParagraph"/>
        <w:keepNext/>
        <w:widowControl/>
        <w:numPr>
          <w:ilvl w:val="0"/>
          <w:numId w:val="3"/>
        </w:numPr>
        <w:spacing w:line="480" w:lineRule="auto"/>
        <w:ind w:left="0" w:hanging="720"/>
        <w:rPr>
          <w:sz w:val="24"/>
        </w:rPr>
      </w:pPr>
      <w:r>
        <w:rPr>
          <w:sz w:val="24"/>
        </w:rPr>
        <w:tab/>
      </w:r>
      <w:r w:rsidR="004F6207" w:rsidRPr="00FB7F1B">
        <w:rPr>
          <w:sz w:val="24"/>
        </w:rPr>
        <w:t xml:space="preserve">Staff conducted a thorough investigation of the tariff revisions filed by the </w:t>
      </w:r>
      <w:r w:rsidR="00D55B1F">
        <w:rPr>
          <w:sz w:val="24"/>
        </w:rPr>
        <w:t>Companies</w:t>
      </w:r>
      <w:r w:rsidR="004F6207" w:rsidRPr="00FB7F1B">
        <w:rPr>
          <w:sz w:val="24"/>
        </w:rPr>
        <w:t xml:space="preserve"> and the information the </w:t>
      </w:r>
      <w:r w:rsidR="00D55B1F">
        <w:rPr>
          <w:sz w:val="24"/>
        </w:rPr>
        <w:t>Companies</w:t>
      </w:r>
      <w:r w:rsidR="004F6207" w:rsidRPr="00FB7F1B">
        <w:rPr>
          <w:sz w:val="24"/>
        </w:rPr>
        <w:t xml:space="preserve"> provided in response to formal data requests and informal exchanges.</w:t>
      </w:r>
    </w:p>
    <w:p w:rsidR="00BA2B07" w:rsidRDefault="00BA2B07" w:rsidP="00BA2B07">
      <w:pPr>
        <w:pStyle w:val="ListParagraph"/>
        <w:keepNext/>
        <w:widowControl/>
        <w:spacing w:line="480" w:lineRule="auto"/>
        <w:ind w:left="0"/>
        <w:rPr>
          <w:sz w:val="24"/>
        </w:rPr>
      </w:pPr>
    </w:p>
    <w:p w:rsidR="00BA2B07" w:rsidRPr="00FB7F1B" w:rsidRDefault="00BA2B07" w:rsidP="00BA2B07">
      <w:pPr>
        <w:keepNext/>
        <w:widowControl/>
        <w:spacing w:line="480" w:lineRule="auto"/>
        <w:jc w:val="center"/>
        <w:rPr>
          <w:b/>
          <w:sz w:val="24"/>
        </w:rPr>
      </w:pPr>
      <w:r w:rsidRPr="00FB7F1B">
        <w:rPr>
          <w:b/>
          <w:sz w:val="24"/>
        </w:rPr>
        <w:t>III</w:t>
      </w:r>
      <w:proofErr w:type="gramStart"/>
      <w:r w:rsidRPr="00FB7F1B">
        <w:rPr>
          <w:b/>
          <w:sz w:val="24"/>
        </w:rPr>
        <w:t>.</w:t>
      </w:r>
      <w:r>
        <w:rPr>
          <w:b/>
          <w:sz w:val="24"/>
        </w:rPr>
        <w:t xml:space="preserve"> </w:t>
      </w:r>
      <w:r w:rsidRPr="00FB7F1B">
        <w:rPr>
          <w:b/>
          <w:sz w:val="24"/>
        </w:rPr>
        <w:t xml:space="preserve"> SCOPE</w:t>
      </w:r>
      <w:proofErr w:type="gramEnd"/>
      <w:r w:rsidRPr="00FB7F1B">
        <w:rPr>
          <w:b/>
          <w:sz w:val="24"/>
        </w:rPr>
        <w:t xml:space="preserve"> OF THE SETTLEMENT AND ITS PRINCIPAL ASPECTS</w:t>
      </w:r>
    </w:p>
    <w:p w:rsidR="00BA2B07" w:rsidRPr="00FB7F1B" w:rsidRDefault="00BA2B07" w:rsidP="00BA2B07">
      <w:pPr>
        <w:keepNext/>
        <w:widowControl/>
        <w:spacing w:line="480" w:lineRule="auto"/>
        <w:rPr>
          <w:b/>
          <w:sz w:val="24"/>
        </w:rPr>
      </w:pPr>
      <w:r>
        <w:rPr>
          <w:b/>
          <w:sz w:val="24"/>
        </w:rPr>
        <w:t>A.</w:t>
      </w:r>
      <w:r>
        <w:rPr>
          <w:b/>
          <w:sz w:val="24"/>
        </w:rPr>
        <w:tab/>
      </w:r>
      <w:r w:rsidRPr="00FB7F1B">
        <w:rPr>
          <w:b/>
          <w:sz w:val="24"/>
        </w:rPr>
        <w:t>Rate Increase and Effective Date</w:t>
      </w:r>
    </w:p>
    <w:p w:rsidR="00BA2B07" w:rsidRDefault="00BA2B07" w:rsidP="00BA2B07">
      <w:pPr>
        <w:pStyle w:val="ListParagraph"/>
        <w:keepNext/>
        <w:widowControl/>
        <w:numPr>
          <w:ilvl w:val="0"/>
          <w:numId w:val="3"/>
        </w:numPr>
        <w:spacing w:line="480" w:lineRule="auto"/>
        <w:ind w:left="0" w:hanging="720"/>
        <w:rPr>
          <w:sz w:val="24"/>
        </w:rPr>
      </w:pPr>
      <w:r>
        <w:rPr>
          <w:sz w:val="24"/>
        </w:rPr>
        <w:tab/>
      </w:r>
      <w:r w:rsidR="004F6207" w:rsidRPr="00FB7F1B">
        <w:rPr>
          <w:sz w:val="24"/>
        </w:rPr>
        <w:t xml:space="preserve">As noted, this is a full settlement.  The </w:t>
      </w:r>
      <w:r w:rsidR="00DC7B3F">
        <w:rPr>
          <w:sz w:val="24"/>
        </w:rPr>
        <w:t>Settlement</w:t>
      </w:r>
      <w:r w:rsidR="004F6207" w:rsidRPr="00FB7F1B">
        <w:rPr>
          <w:sz w:val="24"/>
        </w:rPr>
        <w:t xml:space="preserve"> provides that </w:t>
      </w:r>
      <w:r w:rsidR="009A23C7">
        <w:rPr>
          <w:sz w:val="24"/>
        </w:rPr>
        <w:t xml:space="preserve">the </w:t>
      </w:r>
      <w:r w:rsidR="00D55B1F">
        <w:rPr>
          <w:sz w:val="24"/>
        </w:rPr>
        <w:t>Companies</w:t>
      </w:r>
      <w:r w:rsidR="00877710">
        <w:rPr>
          <w:sz w:val="24"/>
        </w:rPr>
        <w:t xml:space="preserve"> </w:t>
      </w:r>
      <w:r w:rsidR="00D55B1F">
        <w:rPr>
          <w:sz w:val="24"/>
        </w:rPr>
        <w:t>are</w:t>
      </w:r>
      <w:r w:rsidR="00D55B1F" w:rsidRPr="00FB7F1B">
        <w:rPr>
          <w:sz w:val="24"/>
        </w:rPr>
        <w:t xml:space="preserve"> </w:t>
      </w:r>
      <w:r w:rsidR="004F6207" w:rsidRPr="00FB7F1B">
        <w:rPr>
          <w:sz w:val="24"/>
        </w:rPr>
        <w:t xml:space="preserve">authorized to implement rate changes designed to increase annual revenues from residential yard waste customers by </w:t>
      </w:r>
      <w:r w:rsidR="009A23C7" w:rsidRPr="00FB7F1B">
        <w:rPr>
          <w:sz w:val="24"/>
        </w:rPr>
        <w:t>$</w:t>
      </w:r>
      <w:r w:rsidR="009A23C7">
        <w:rPr>
          <w:sz w:val="24"/>
        </w:rPr>
        <w:t>198,530</w:t>
      </w:r>
      <w:r w:rsidR="004F6207" w:rsidRPr="00FB7F1B">
        <w:rPr>
          <w:sz w:val="24"/>
        </w:rPr>
        <w:t xml:space="preserve">(or </w:t>
      </w:r>
      <w:r w:rsidR="009A23C7">
        <w:rPr>
          <w:sz w:val="24"/>
        </w:rPr>
        <w:t>10.51</w:t>
      </w:r>
      <w:r w:rsidR="009A23C7" w:rsidRPr="00FB7F1B">
        <w:rPr>
          <w:sz w:val="24"/>
        </w:rPr>
        <w:t xml:space="preserve"> </w:t>
      </w:r>
      <w:r w:rsidR="004F6207" w:rsidRPr="00FB7F1B">
        <w:rPr>
          <w:sz w:val="24"/>
        </w:rPr>
        <w:t xml:space="preserve">percent on average); </w:t>
      </w:r>
      <w:r w:rsidR="009A23C7">
        <w:rPr>
          <w:sz w:val="24"/>
        </w:rPr>
        <w:t xml:space="preserve">and </w:t>
      </w:r>
      <w:r w:rsidR="004F6207" w:rsidRPr="00FB7F1B">
        <w:rPr>
          <w:sz w:val="24"/>
        </w:rPr>
        <w:t xml:space="preserve">from residential recycling customers by </w:t>
      </w:r>
      <w:r w:rsidR="009A23C7" w:rsidRPr="00FB7F1B">
        <w:rPr>
          <w:sz w:val="24"/>
        </w:rPr>
        <w:t>$</w:t>
      </w:r>
      <w:r w:rsidR="009A23C7">
        <w:rPr>
          <w:sz w:val="24"/>
        </w:rPr>
        <w:t xml:space="preserve">845,436 </w:t>
      </w:r>
      <w:r w:rsidR="004F6207" w:rsidRPr="00FB7F1B">
        <w:rPr>
          <w:sz w:val="24"/>
        </w:rPr>
        <w:t xml:space="preserve">(or </w:t>
      </w:r>
      <w:r w:rsidR="00EF40AE">
        <w:rPr>
          <w:sz w:val="24"/>
        </w:rPr>
        <w:t>20.98</w:t>
      </w:r>
      <w:r w:rsidR="00EF40AE" w:rsidRPr="00FB7F1B">
        <w:rPr>
          <w:sz w:val="24"/>
        </w:rPr>
        <w:t xml:space="preserve"> </w:t>
      </w:r>
      <w:r w:rsidR="004F6207" w:rsidRPr="00FB7F1B">
        <w:rPr>
          <w:sz w:val="24"/>
        </w:rPr>
        <w:t>percent on average)</w:t>
      </w:r>
      <w:r w:rsidR="00EF40AE">
        <w:rPr>
          <w:sz w:val="24"/>
        </w:rPr>
        <w:t>.</w:t>
      </w:r>
      <w:r w:rsidR="004F6207" w:rsidRPr="00FB7F1B">
        <w:rPr>
          <w:sz w:val="24"/>
        </w:rPr>
        <w:t xml:space="preserve"> </w:t>
      </w:r>
      <w:r w:rsidR="00D55B1F">
        <w:rPr>
          <w:sz w:val="24"/>
        </w:rPr>
        <w:t xml:space="preserve"> </w:t>
      </w:r>
      <w:r w:rsidR="00EF40AE">
        <w:rPr>
          <w:sz w:val="24"/>
        </w:rPr>
        <w:t xml:space="preserve">There is no increase to </w:t>
      </w:r>
      <w:r w:rsidR="00376FB2">
        <w:rPr>
          <w:sz w:val="24"/>
        </w:rPr>
        <w:t xml:space="preserve">rates or </w:t>
      </w:r>
      <w:r w:rsidR="00EF40AE">
        <w:rPr>
          <w:sz w:val="24"/>
        </w:rPr>
        <w:t xml:space="preserve">annual revenue for residential, commercial, and drop box </w:t>
      </w:r>
      <w:r w:rsidR="004B36DF">
        <w:rPr>
          <w:sz w:val="24"/>
        </w:rPr>
        <w:t xml:space="preserve">garbage </w:t>
      </w:r>
      <w:r w:rsidR="00EF40AE">
        <w:rPr>
          <w:sz w:val="24"/>
        </w:rPr>
        <w:t>service.</w:t>
      </w:r>
    </w:p>
    <w:p w:rsidR="00BA2B07" w:rsidRDefault="00BA2B07" w:rsidP="00BA2B07">
      <w:pPr>
        <w:pStyle w:val="ListParagraph"/>
        <w:keepNext/>
        <w:widowControl/>
        <w:numPr>
          <w:ilvl w:val="0"/>
          <w:numId w:val="3"/>
        </w:numPr>
        <w:spacing w:line="480" w:lineRule="auto"/>
        <w:ind w:left="0" w:hanging="720"/>
        <w:rPr>
          <w:sz w:val="24"/>
        </w:rPr>
      </w:pPr>
      <w:r>
        <w:rPr>
          <w:sz w:val="24"/>
        </w:rPr>
        <w:tab/>
      </w:r>
      <w:r w:rsidR="004F6207" w:rsidRPr="00BA2B07">
        <w:rPr>
          <w:sz w:val="24"/>
        </w:rPr>
        <w:t xml:space="preserve">The settling parties agree that the rate changes identified herein should be effective the first day of the month after the Commission approves the </w:t>
      </w:r>
      <w:r w:rsidR="00DC7B3F" w:rsidRPr="00BA2B07">
        <w:rPr>
          <w:sz w:val="24"/>
        </w:rPr>
        <w:t>Settlement</w:t>
      </w:r>
      <w:r>
        <w:rPr>
          <w:sz w:val="24"/>
        </w:rPr>
        <w:t>.</w:t>
      </w:r>
    </w:p>
    <w:p w:rsidR="00BA2B07" w:rsidRPr="00FB7F1B" w:rsidRDefault="00BA2B07" w:rsidP="00BA2B07">
      <w:pPr>
        <w:spacing w:line="480" w:lineRule="auto"/>
        <w:rPr>
          <w:b/>
          <w:sz w:val="24"/>
        </w:rPr>
      </w:pPr>
      <w:r w:rsidRPr="00FB7F1B">
        <w:rPr>
          <w:b/>
          <w:sz w:val="24"/>
        </w:rPr>
        <w:t>B.         Rate Spread and Rate Design for Revenue Increase</w:t>
      </w:r>
    </w:p>
    <w:p w:rsidR="00BA2B07" w:rsidRDefault="00BA2B07" w:rsidP="00BA2B07">
      <w:pPr>
        <w:pStyle w:val="ListParagraph"/>
        <w:keepNext/>
        <w:widowControl/>
        <w:numPr>
          <w:ilvl w:val="0"/>
          <w:numId w:val="3"/>
        </w:numPr>
        <w:spacing w:line="480" w:lineRule="auto"/>
        <w:ind w:left="0" w:hanging="720"/>
        <w:rPr>
          <w:sz w:val="24"/>
        </w:rPr>
      </w:pPr>
      <w:r>
        <w:rPr>
          <w:sz w:val="24"/>
        </w:rPr>
        <w:tab/>
      </w:r>
      <w:r w:rsidR="004F6207" w:rsidRPr="00BA2B07">
        <w:rPr>
          <w:sz w:val="24"/>
        </w:rPr>
        <w:t xml:space="preserve">The </w:t>
      </w:r>
      <w:r w:rsidR="00DC7B3F" w:rsidRPr="00BA2B07">
        <w:rPr>
          <w:sz w:val="24"/>
        </w:rPr>
        <w:t>Settlement</w:t>
      </w:r>
      <w:r w:rsidR="004F6207" w:rsidRPr="00BA2B07">
        <w:rPr>
          <w:sz w:val="24"/>
        </w:rPr>
        <w:t xml:space="preserve"> provides that </w:t>
      </w:r>
      <w:r w:rsidR="00907669" w:rsidRPr="00BA2B07">
        <w:rPr>
          <w:sz w:val="24"/>
        </w:rPr>
        <w:t xml:space="preserve">the </w:t>
      </w:r>
      <w:r w:rsidR="004F6207" w:rsidRPr="00BA2B07">
        <w:rPr>
          <w:sz w:val="24"/>
        </w:rPr>
        <w:t xml:space="preserve">total revenue increase of </w:t>
      </w:r>
      <w:r w:rsidR="006864C3" w:rsidRPr="00BA2B07">
        <w:rPr>
          <w:sz w:val="24"/>
        </w:rPr>
        <w:t>$1,043,966</w:t>
      </w:r>
      <w:r w:rsidR="004B36DF" w:rsidRPr="00BA2B07">
        <w:rPr>
          <w:sz w:val="24"/>
        </w:rPr>
        <w:t xml:space="preserve"> </w:t>
      </w:r>
      <w:r w:rsidR="004F6207" w:rsidRPr="00BA2B07">
        <w:rPr>
          <w:sz w:val="24"/>
        </w:rPr>
        <w:t>will be implemented as shown on Attachment B to the</w:t>
      </w:r>
      <w:r w:rsidR="00765F42" w:rsidRPr="00BA2B07">
        <w:rPr>
          <w:sz w:val="24"/>
        </w:rPr>
        <w:t xml:space="preserve"> </w:t>
      </w:r>
      <w:r w:rsidR="00DC7B3F" w:rsidRPr="00BA2B07">
        <w:rPr>
          <w:sz w:val="24"/>
        </w:rPr>
        <w:t>Settlement</w:t>
      </w:r>
      <w:r>
        <w:rPr>
          <w:sz w:val="24"/>
        </w:rPr>
        <w:t>.</w:t>
      </w:r>
    </w:p>
    <w:p w:rsidR="00BA2B07" w:rsidRPr="00FB7F1B" w:rsidRDefault="00BA2B07" w:rsidP="00BA2B07">
      <w:pPr>
        <w:spacing w:line="480" w:lineRule="auto"/>
        <w:rPr>
          <w:b/>
          <w:sz w:val="24"/>
        </w:rPr>
      </w:pPr>
      <w:r w:rsidRPr="00FB7F1B">
        <w:rPr>
          <w:b/>
          <w:sz w:val="24"/>
        </w:rPr>
        <w:t>C.</w:t>
      </w:r>
      <w:r w:rsidRPr="00FB7F1B">
        <w:rPr>
          <w:b/>
          <w:sz w:val="24"/>
        </w:rPr>
        <w:tab/>
        <w:t>Amortization Period and Requirement to File a General Rate Case</w:t>
      </w:r>
    </w:p>
    <w:p w:rsidR="00BA2B07" w:rsidRDefault="00BA2B07" w:rsidP="00BA2B07">
      <w:pPr>
        <w:pStyle w:val="ListParagraph"/>
        <w:numPr>
          <w:ilvl w:val="0"/>
          <w:numId w:val="3"/>
        </w:numPr>
        <w:spacing w:line="480" w:lineRule="auto"/>
        <w:ind w:left="0" w:hanging="720"/>
        <w:rPr>
          <w:sz w:val="24"/>
        </w:rPr>
      </w:pPr>
      <w:r>
        <w:rPr>
          <w:sz w:val="24"/>
        </w:rPr>
        <w:tab/>
      </w:r>
      <w:r w:rsidR="004F6207" w:rsidRPr="00BA2B07">
        <w:rPr>
          <w:sz w:val="24"/>
        </w:rPr>
        <w:t xml:space="preserve">The </w:t>
      </w:r>
      <w:r w:rsidR="00DC7B3F" w:rsidRPr="00BA2B07">
        <w:rPr>
          <w:sz w:val="24"/>
        </w:rPr>
        <w:t>Settlement</w:t>
      </w:r>
      <w:r w:rsidR="004F6207" w:rsidRPr="00BA2B07">
        <w:rPr>
          <w:sz w:val="24"/>
        </w:rPr>
        <w:t xml:space="preserve"> provides that the </w:t>
      </w:r>
      <w:r w:rsidR="00576504" w:rsidRPr="00BA2B07">
        <w:rPr>
          <w:sz w:val="24"/>
        </w:rPr>
        <w:t xml:space="preserve"> </w:t>
      </w:r>
      <w:r w:rsidR="004B36DF" w:rsidRPr="00BA2B07">
        <w:rPr>
          <w:sz w:val="24"/>
        </w:rPr>
        <w:t xml:space="preserve">Companies </w:t>
      </w:r>
      <w:r w:rsidR="004F6207" w:rsidRPr="00BA2B07">
        <w:rPr>
          <w:sz w:val="24"/>
        </w:rPr>
        <w:t xml:space="preserve">can amortize the expenses of both the sale of assets and prior year insurance claims over three years, provided that the </w:t>
      </w:r>
      <w:r w:rsidR="00D55B1F" w:rsidRPr="00BA2B07">
        <w:rPr>
          <w:sz w:val="24"/>
        </w:rPr>
        <w:t xml:space="preserve"> Companies shall file, no later than April 1, 2016, a general rate case using calendar year 2015 as the 12-month test period.</w:t>
      </w:r>
    </w:p>
    <w:p w:rsidR="00BA2B07" w:rsidRDefault="00BA2B07" w:rsidP="00BA2B07">
      <w:pPr>
        <w:jc w:val="center"/>
        <w:rPr>
          <w:b/>
          <w:sz w:val="24"/>
        </w:rPr>
      </w:pPr>
      <w:r w:rsidRPr="00FB7F1B">
        <w:rPr>
          <w:b/>
          <w:sz w:val="24"/>
        </w:rPr>
        <w:t>IV</w:t>
      </w:r>
      <w:proofErr w:type="gramStart"/>
      <w:r w:rsidRPr="00FB7F1B">
        <w:rPr>
          <w:b/>
          <w:sz w:val="24"/>
        </w:rPr>
        <w:t xml:space="preserve">. </w:t>
      </w:r>
      <w:r>
        <w:rPr>
          <w:b/>
          <w:sz w:val="24"/>
        </w:rPr>
        <w:t xml:space="preserve"> </w:t>
      </w:r>
      <w:r w:rsidRPr="00FB7F1B">
        <w:rPr>
          <w:b/>
          <w:sz w:val="24"/>
        </w:rPr>
        <w:t>STATEMENT</w:t>
      </w:r>
      <w:proofErr w:type="gramEnd"/>
      <w:r w:rsidRPr="00FB7F1B">
        <w:rPr>
          <w:b/>
          <w:sz w:val="24"/>
        </w:rPr>
        <w:t xml:space="preserve"> WHY THE PROPOSED SETTLEMENT</w:t>
      </w:r>
      <w:r>
        <w:rPr>
          <w:b/>
          <w:sz w:val="24"/>
        </w:rPr>
        <w:t xml:space="preserve"> IS IN</w:t>
      </w:r>
    </w:p>
    <w:p w:rsidR="00BA2B07" w:rsidRDefault="00BA2B07" w:rsidP="00BA2B07">
      <w:pPr>
        <w:jc w:val="center"/>
        <w:rPr>
          <w:b/>
          <w:sz w:val="24"/>
        </w:rPr>
      </w:pPr>
      <w:r w:rsidRPr="00FB7F1B">
        <w:rPr>
          <w:b/>
          <w:sz w:val="24"/>
        </w:rPr>
        <w:t>THE STAFF’S AND THE PUBLIC INTEREST</w:t>
      </w:r>
    </w:p>
    <w:p w:rsidR="00BA2B07" w:rsidRPr="00FB7F1B" w:rsidRDefault="00BA2B07" w:rsidP="00BA2B07">
      <w:pPr>
        <w:jc w:val="center"/>
        <w:rPr>
          <w:b/>
          <w:sz w:val="24"/>
        </w:rPr>
      </w:pPr>
      <w:r>
        <w:rPr>
          <w:b/>
          <w:sz w:val="24"/>
        </w:rPr>
        <w:tab/>
      </w:r>
    </w:p>
    <w:p w:rsidR="00BA2B07" w:rsidRDefault="00BA2B07" w:rsidP="00BA2B07">
      <w:pPr>
        <w:pStyle w:val="ListParagraph"/>
        <w:numPr>
          <w:ilvl w:val="0"/>
          <w:numId w:val="3"/>
        </w:numPr>
        <w:spacing w:line="480" w:lineRule="auto"/>
        <w:ind w:left="0" w:hanging="720"/>
        <w:rPr>
          <w:sz w:val="24"/>
        </w:rPr>
      </w:pPr>
      <w:r>
        <w:rPr>
          <w:sz w:val="24"/>
        </w:rPr>
        <w:tab/>
      </w:r>
      <w:r w:rsidR="004F6207" w:rsidRPr="00BA2B07">
        <w:rPr>
          <w:sz w:val="24"/>
        </w:rPr>
        <w:t xml:space="preserve">The settlement resolves all the </w:t>
      </w:r>
      <w:r w:rsidR="001B2AEF" w:rsidRPr="00BA2B07">
        <w:rPr>
          <w:sz w:val="24"/>
        </w:rPr>
        <w:t xml:space="preserve">rate </w:t>
      </w:r>
      <w:r w:rsidR="004F6207" w:rsidRPr="00BA2B07">
        <w:rPr>
          <w:sz w:val="24"/>
        </w:rPr>
        <w:t>issues in dispute.  Consequently, from Staff’s perspective</w:t>
      </w:r>
      <w:r w:rsidR="00FB7F1B" w:rsidRPr="00BA2B07">
        <w:rPr>
          <w:sz w:val="24"/>
        </w:rPr>
        <w:t>,</w:t>
      </w:r>
      <w:r w:rsidR="004F6207" w:rsidRPr="00BA2B07">
        <w:rPr>
          <w:sz w:val="24"/>
        </w:rPr>
        <w:t xml:space="preserve"> there is no need to litigate those issues and incur the expense and delay </w:t>
      </w:r>
      <w:r w:rsidR="00765F42" w:rsidRPr="00BA2B07">
        <w:rPr>
          <w:sz w:val="24"/>
        </w:rPr>
        <w:t>of</w:t>
      </w:r>
      <w:r w:rsidR="004F6207" w:rsidRPr="00BA2B07">
        <w:rPr>
          <w:sz w:val="24"/>
        </w:rPr>
        <w:t xml:space="preserve"> a hearing.  </w:t>
      </w:r>
      <w:r w:rsidR="00D55B1F" w:rsidRPr="00BA2B07">
        <w:rPr>
          <w:sz w:val="24"/>
        </w:rPr>
        <w:t>T</w:t>
      </w:r>
      <w:r w:rsidR="004F6207" w:rsidRPr="00BA2B07">
        <w:rPr>
          <w:sz w:val="24"/>
        </w:rPr>
        <w:t xml:space="preserve">he </w:t>
      </w:r>
      <w:r w:rsidR="00DC7B3F" w:rsidRPr="00BA2B07">
        <w:rPr>
          <w:sz w:val="24"/>
        </w:rPr>
        <w:t>Settlement</w:t>
      </w:r>
      <w:r w:rsidR="004F6207" w:rsidRPr="00BA2B07">
        <w:rPr>
          <w:sz w:val="24"/>
        </w:rPr>
        <w:t xml:space="preserve"> represents a compromise of the parties to the extent of </w:t>
      </w:r>
      <w:r w:rsidR="00765F42" w:rsidRPr="00BA2B07">
        <w:rPr>
          <w:sz w:val="24"/>
        </w:rPr>
        <w:t xml:space="preserve">the </w:t>
      </w:r>
      <w:r w:rsidR="004F6207" w:rsidRPr="00BA2B07">
        <w:rPr>
          <w:sz w:val="24"/>
        </w:rPr>
        <w:t>issues</w:t>
      </w:r>
      <w:r w:rsidR="00765F42" w:rsidRPr="00BA2B07">
        <w:rPr>
          <w:sz w:val="24"/>
        </w:rPr>
        <w:t xml:space="preserve"> that were in dispute</w:t>
      </w:r>
      <w:r w:rsidR="004F6207" w:rsidRPr="00BA2B07">
        <w:rPr>
          <w:sz w:val="24"/>
        </w:rPr>
        <w:t>.  It is likewise in the public interest that the matter be resolved without further expenditure of public resources on litigation.</w:t>
      </w:r>
    </w:p>
    <w:p w:rsidR="00BA2B07" w:rsidRDefault="00BA2B07" w:rsidP="00BA2B07">
      <w:pPr>
        <w:pStyle w:val="ListParagraph"/>
        <w:numPr>
          <w:ilvl w:val="0"/>
          <w:numId w:val="3"/>
        </w:numPr>
        <w:spacing w:line="480" w:lineRule="auto"/>
        <w:ind w:left="0" w:hanging="720"/>
        <w:rPr>
          <w:sz w:val="24"/>
        </w:rPr>
      </w:pPr>
      <w:r>
        <w:rPr>
          <w:sz w:val="24"/>
        </w:rPr>
        <w:tab/>
      </w:r>
      <w:r w:rsidR="004F6207" w:rsidRPr="00BA2B07">
        <w:rPr>
          <w:sz w:val="24"/>
        </w:rPr>
        <w:t xml:space="preserve">If approved by the Commission, the </w:t>
      </w:r>
      <w:r w:rsidR="00D55B1F" w:rsidRPr="00BA2B07">
        <w:rPr>
          <w:sz w:val="24"/>
        </w:rPr>
        <w:t xml:space="preserve">Settlement </w:t>
      </w:r>
      <w:r w:rsidR="004F6207" w:rsidRPr="00BA2B07">
        <w:rPr>
          <w:sz w:val="24"/>
        </w:rPr>
        <w:t xml:space="preserve">will result in rates that meet the statutory standard of fair, </w:t>
      </w:r>
      <w:r>
        <w:rPr>
          <w:sz w:val="24"/>
        </w:rPr>
        <w:t>just, reasonable and sufficient.</w:t>
      </w:r>
    </w:p>
    <w:p w:rsidR="00BA2B07" w:rsidRDefault="00BA2B07" w:rsidP="00BA2B07">
      <w:pPr>
        <w:keepNext/>
        <w:widowControl/>
        <w:jc w:val="center"/>
        <w:rPr>
          <w:b/>
          <w:sz w:val="24"/>
        </w:rPr>
      </w:pPr>
      <w:r w:rsidRPr="00FB7F1B">
        <w:rPr>
          <w:b/>
          <w:sz w:val="24"/>
        </w:rPr>
        <w:t>V.  SUMMARY OF LEGAL POINTS THAT BEAR</w:t>
      </w:r>
    </w:p>
    <w:p w:rsidR="00BA2B07" w:rsidRDefault="00BA2B07" w:rsidP="00BA2B07">
      <w:pPr>
        <w:keepNext/>
        <w:widowControl/>
        <w:jc w:val="center"/>
        <w:rPr>
          <w:b/>
          <w:sz w:val="24"/>
        </w:rPr>
      </w:pPr>
      <w:r w:rsidRPr="00FB7F1B">
        <w:rPr>
          <w:b/>
          <w:sz w:val="24"/>
        </w:rPr>
        <w:t>ON THE PROPOSED SETTLEMENT</w:t>
      </w:r>
    </w:p>
    <w:p w:rsidR="00BA2B07" w:rsidRDefault="00BA2B07" w:rsidP="00BA2B07">
      <w:pPr>
        <w:keepNext/>
        <w:widowControl/>
        <w:jc w:val="center"/>
        <w:rPr>
          <w:sz w:val="24"/>
        </w:rPr>
      </w:pPr>
    </w:p>
    <w:p w:rsidR="00BA2B07" w:rsidRDefault="00BA2B07" w:rsidP="00BA2B07">
      <w:pPr>
        <w:pStyle w:val="ListParagraph"/>
        <w:numPr>
          <w:ilvl w:val="0"/>
          <w:numId w:val="3"/>
        </w:numPr>
        <w:spacing w:line="480" w:lineRule="auto"/>
        <w:ind w:left="0" w:hanging="720"/>
        <w:rPr>
          <w:sz w:val="24"/>
        </w:rPr>
      </w:pPr>
      <w:r>
        <w:rPr>
          <w:sz w:val="24"/>
        </w:rPr>
        <w:tab/>
      </w:r>
      <w:r w:rsidR="00765F42" w:rsidRPr="00BA2B07">
        <w:rPr>
          <w:sz w:val="24"/>
        </w:rPr>
        <w:t>As noted</w:t>
      </w:r>
      <w:r w:rsidR="004F6207" w:rsidRPr="00BA2B07">
        <w:rPr>
          <w:sz w:val="24"/>
        </w:rPr>
        <w:t xml:space="preserve">, Staff believes the </w:t>
      </w:r>
      <w:r w:rsidR="00D55B1F" w:rsidRPr="00BA2B07">
        <w:rPr>
          <w:sz w:val="24"/>
        </w:rPr>
        <w:t xml:space="preserve">Settlement </w:t>
      </w:r>
      <w:r w:rsidR="004F6207" w:rsidRPr="00BA2B07">
        <w:rPr>
          <w:sz w:val="24"/>
        </w:rPr>
        <w:t>will result in rates that meet the statutory standard of fair, just, reasonable and sufficient.  Staff does not believe there are additional significant legal points to discuss under this topic listed in</w:t>
      </w:r>
      <w:r w:rsidRPr="00BA2B07">
        <w:rPr>
          <w:sz w:val="24"/>
        </w:rPr>
        <w:t xml:space="preserve"> WAC 480-07-740(2</w:t>
      </w:r>
      <w:proofErr w:type="gramStart"/>
      <w:r w:rsidRPr="00BA2B07">
        <w:rPr>
          <w:sz w:val="24"/>
        </w:rPr>
        <w:t>)</w:t>
      </w:r>
      <w:r w:rsidR="004F6207" w:rsidRPr="00BA2B07">
        <w:rPr>
          <w:sz w:val="24"/>
        </w:rPr>
        <w:t>(</w:t>
      </w:r>
      <w:proofErr w:type="gramEnd"/>
      <w:r w:rsidR="004F6207" w:rsidRPr="00BA2B07">
        <w:rPr>
          <w:sz w:val="24"/>
        </w:rPr>
        <w:t>a).</w:t>
      </w:r>
    </w:p>
    <w:p w:rsidR="00BA2B07" w:rsidRPr="00FB7F1B" w:rsidRDefault="00BA2B07" w:rsidP="00BA2B07">
      <w:pPr>
        <w:spacing w:line="480" w:lineRule="auto"/>
        <w:jc w:val="center"/>
        <w:rPr>
          <w:b/>
          <w:sz w:val="24"/>
        </w:rPr>
      </w:pPr>
      <w:r w:rsidRPr="00FB7F1B">
        <w:rPr>
          <w:b/>
          <w:sz w:val="24"/>
        </w:rPr>
        <w:t>VI</w:t>
      </w:r>
      <w:proofErr w:type="gramStart"/>
      <w:r w:rsidRPr="00FB7F1B">
        <w:rPr>
          <w:b/>
          <w:sz w:val="24"/>
        </w:rPr>
        <w:t xml:space="preserve">. </w:t>
      </w:r>
      <w:r>
        <w:rPr>
          <w:b/>
          <w:sz w:val="24"/>
        </w:rPr>
        <w:t xml:space="preserve"> </w:t>
      </w:r>
      <w:r w:rsidRPr="00FB7F1B">
        <w:rPr>
          <w:b/>
          <w:sz w:val="24"/>
        </w:rPr>
        <w:t>CONCLUSION</w:t>
      </w:r>
      <w:proofErr w:type="gramEnd"/>
    </w:p>
    <w:p w:rsidR="00D8539C" w:rsidRPr="00BA2B07" w:rsidRDefault="00BA2B07" w:rsidP="00BA2B07">
      <w:pPr>
        <w:pStyle w:val="ListParagraph"/>
        <w:numPr>
          <w:ilvl w:val="0"/>
          <w:numId w:val="3"/>
        </w:numPr>
        <w:spacing w:line="480" w:lineRule="auto"/>
        <w:ind w:left="0" w:hanging="720"/>
        <w:rPr>
          <w:sz w:val="24"/>
        </w:rPr>
      </w:pPr>
      <w:r>
        <w:rPr>
          <w:sz w:val="24"/>
        </w:rPr>
        <w:tab/>
      </w:r>
      <w:r w:rsidR="004F6207" w:rsidRPr="00BA2B07">
        <w:rPr>
          <w:sz w:val="24"/>
        </w:rPr>
        <w:t xml:space="preserve">For the reasons stated above, Staff recommends that the Commission approve the Settlement Agreement in its entirety.  </w:t>
      </w:r>
    </w:p>
    <w:p w:rsidR="00907669" w:rsidRPr="00907669" w:rsidRDefault="00907669" w:rsidP="00907669">
      <w:pPr>
        <w:pStyle w:val="ListParagraph"/>
        <w:spacing w:line="480" w:lineRule="auto"/>
        <w:rPr>
          <w:sz w:val="24"/>
        </w:rPr>
      </w:pPr>
      <w:proofErr w:type="gramStart"/>
      <w:r w:rsidRPr="00907669">
        <w:rPr>
          <w:sz w:val="24"/>
        </w:rPr>
        <w:t xml:space="preserve">Dated this </w:t>
      </w:r>
      <w:r>
        <w:rPr>
          <w:sz w:val="24"/>
        </w:rPr>
        <w:t>_______</w:t>
      </w:r>
      <w:r w:rsidRPr="00907669">
        <w:rPr>
          <w:sz w:val="24"/>
        </w:rPr>
        <w:t xml:space="preserve"> day of </w:t>
      </w:r>
      <w:r w:rsidR="00BA2B07">
        <w:rPr>
          <w:sz w:val="24"/>
        </w:rPr>
        <w:t>July</w:t>
      </w:r>
      <w:r w:rsidRPr="00907669">
        <w:rPr>
          <w:sz w:val="24"/>
        </w:rPr>
        <w:t>, 2013.</w:t>
      </w:r>
      <w:proofErr w:type="gramEnd"/>
      <w:r w:rsidRPr="00907669">
        <w:rPr>
          <w:sz w:val="24"/>
        </w:rPr>
        <w:t xml:space="preserve">  </w:t>
      </w:r>
    </w:p>
    <w:p w:rsidR="00907669" w:rsidRPr="00907669" w:rsidRDefault="00907669" w:rsidP="00907669">
      <w:pPr>
        <w:pStyle w:val="ListParagraph"/>
        <w:ind w:left="5040"/>
        <w:rPr>
          <w:sz w:val="24"/>
        </w:rPr>
      </w:pPr>
      <w:r w:rsidRPr="00907669">
        <w:rPr>
          <w:sz w:val="24"/>
        </w:rPr>
        <w:t xml:space="preserve">Respectfully submitted, </w:t>
      </w:r>
    </w:p>
    <w:p w:rsidR="00907669" w:rsidRPr="00907669" w:rsidRDefault="00907669" w:rsidP="00907669">
      <w:pPr>
        <w:pStyle w:val="ListParagraph"/>
        <w:ind w:left="5040"/>
        <w:rPr>
          <w:sz w:val="24"/>
        </w:rPr>
      </w:pPr>
    </w:p>
    <w:p w:rsidR="00907669" w:rsidRPr="00907669" w:rsidRDefault="00907669" w:rsidP="00907669">
      <w:pPr>
        <w:pStyle w:val="ListParagraph"/>
        <w:ind w:left="5040"/>
        <w:rPr>
          <w:sz w:val="24"/>
        </w:rPr>
      </w:pPr>
      <w:r w:rsidRPr="00907669">
        <w:rPr>
          <w:sz w:val="24"/>
        </w:rPr>
        <w:t>ROBERT W. FERGUSON</w:t>
      </w:r>
    </w:p>
    <w:p w:rsidR="00907669" w:rsidRPr="00907669" w:rsidRDefault="00907669" w:rsidP="00907669">
      <w:pPr>
        <w:pStyle w:val="ListParagraph"/>
        <w:ind w:left="5040"/>
        <w:rPr>
          <w:sz w:val="24"/>
        </w:rPr>
      </w:pPr>
      <w:r w:rsidRPr="00907669">
        <w:rPr>
          <w:sz w:val="24"/>
        </w:rPr>
        <w:t>Attorney General</w:t>
      </w:r>
    </w:p>
    <w:p w:rsidR="00907669" w:rsidRPr="00907669" w:rsidRDefault="00907669" w:rsidP="00907669">
      <w:pPr>
        <w:pStyle w:val="ListParagraph"/>
        <w:ind w:left="5040"/>
        <w:rPr>
          <w:sz w:val="24"/>
        </w:rPr>
      </w:pPr>
    </w:p>
    <w:p w:rsidR="00907669" w:rsidRPr="00907669" w:rsidRDefault="00907669" w:rsidP="00907669">
      <w:pPr>
        <w:pStyle w:val="ListParagraph"/>
        <w:ind w:left="5040"/>
        <w:rPr>
          <w:sz w:val="24"/>
        </w:rPr>
      </w:pPr>
    </w:p>
    <w:p w:rsidR="00907669" w:rsidRPr="00907669" w:rsidRDefault="00907669" w:rsidP="00907669">
      <w:pPr>
        <w:pStyle w:val="ListParagraph"/>
        <w:ind w:left="5040"/>
        <w:rPr>
          <w:sz w:val="24"/>
        </w:rPr>
      </w:pPr>
      <w:r w:rsidRPr="00907669">
        <w:rPr>
          <w:sz w:val="24"/>
        </w:rPr>
        <w:t>______________________________</w:t>
      </w:r>
    </w:p>
    <w:p w:rsidR="00907669" w:rsidRPr="00907669" w:rsidRDefault="00907669" w:rsidP="00907669">
      <w:pPr>
        <w:pStyle w:val="ListParagraph"/>
        <w:ind w:left="5040"/>
        <w:rPr>
          <w:sz w:val="24"/>
        </w:rPr>
      </w:pPr>
      <w:r w:rsidRPr="00907669">
        <w:rPr>
          <w:sz w:val="24"/>
        </w:rPr>
        <w:t>STEVEN W. SMITH</w:t>
      </w:r>
    </w:p>
    <w:p w:rsidR="00907669" w:rsidRPr="00907669" w:rsidRDefault="00907669" w:rsidP="00907669">
      <w:pPr>
        <w:pStyle w:val="ListParagraph"/>
        <w:ind w:left="5040"/>
        <w:rPr>
          <w:sz w:val="24"/>
        </w:rPr>
      </w:pPr>
      <w:r w:rsidRPr="00907669">
        <w:rPr>
          <w:sz w:val="24"/>
        </w:rPr>
        <w:t>Assistant Attorney General</w:t>
      </w:r>
    </w:p>
    <w:p w:rsidR="00907669" w:rsidRPr="00907669" w:rsidRDefault="00907669" w:rsidP="00907669">
      <w:pPr>
        <w:pStyle w:val="ListParagraph"/>
        <w:ind w:left="5040"/>
        <w:rPr>
          <w:sz w:val="24"/>
        </w:rPr>
      </w:pPr>
      <w:r w:rsidRPr="00907669">
        <w:rPr>
          <w:sz w:val="24"/>
        </w:rPr>
        <w:t>Counsel for Washington Utilities and</w:t>
      </w:r>
    </w:p>
    <w:p w:rsidR="00907669" w:rsidRPr="00907669" w:rsidRDefault="00907669" w:rsidP="00907669">
      <w:pPr>
        <w:pStyle w:val="ListParagraph"/>
        <w:ind w:left="5040"/>
        <w:rPr>
          <w:sz w:val="24"/>
        </w:rPr>
      </w:pPr>
      <w:r w:rsidRPr="00907669">
        <w:rPr>
          <w:sz w:val="24"/>
        </w:rPr>
        <w:t>Transportation Commission Staff</w:t>
      </w:r>
    </w:p>
    <w:p w:rsidR="00F748D8" w:rsidRPr="002D598D" w:rsidRDefault="00F748D8" w:rsidP="00907669">
      <w:pPr>
        <w:ind w:left="5040"/>
        <w:rPr>
          <w:sz w:val="24"/>
        </w:rPr>
      </w:pPr>
    </w:p>
    <w:sectPr w:rsidR="00F748D8" w:rsidRPr="002D598D"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98" w:rsidRDefault="00340E98">
      <w:r>
        <w:separator/>
      </w:r>
    </w:p>
  </w:endnote>
  <w:endnote w:type="continuationSeparator" w:id="0">
    <w:p w:rsidR="00340E98" w:rsidRDefault="00340E98">
      <w:r>
        <w:continuationSeparator/>
      </w:r>
    </w:p>
  </w:endnote>
  <w:endnote w:type="continuationNotice" w:id="1">
    <w:p w:rsidR="00340E98" w:rsidRDefault="0034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AE" w:rsidRDefault="00424DAE">
    <w:pPr>
      <w:pStyle w:val="Footer"/>
      <w:rPr>
        <w:sz w:val="22"/>
        <w:szCs w:val="22"/>
      </w:rPr>
    </w:pPr>
    <w:r>
      <w:rPr>
        <w:sz w:val="22"/>
        <w:szCs w:val="22"/>
      </w:rPr>
      <w:t xml:space="preserve">COMMISSION STAFF’S </w:t>
    </w:r>
    <w:r w:rsidR="009A23C7" w:rsidRPr="004F6207">
      <w:rPr>
        <w:sz w:val="22"/>
        <w:szCs w:val="22"/>
      </w:rPr>
      <w:t>NARRATIVE</w:t>
    </w:r>
  </w:p>
  <w:p w:rsidR="009A23C7" w:rsidRPr="00737B08" w:rsidRDefault="009A23C7">
    <w:pPr>
      <w:pStyle w:val="Footer"/>
    </w:pPr>
    <w:r w:rsidRPr="004F6207">
      <w:rPr>
        <w:sz w:val="22"/>
        <w:szCs w:val="22"/>
      </w:rPr>
      <w:t>IN SUPPORT OF</w:t>
    </w:r>
    <w:r w:rsidR="00424DAE">
      <w:rPr>
        <w:sz w:val="22"/>
        <w:szCs w:val="22"/>
      </w:rPr>
      <w:t xml:space="preserve"> </w:t>
    </w:r>
    <w:r w:rsidRPr="006F046D">
      <w:rPr>
        <w:bCs/>
        <w:sz w:val="22"/>
        <w:szCs w:val="22"/>
      </w:rPr>
      <w:t xml:space="preserve">SETTLEMENT </w:t>
    </w:r>
    <w:r>
      <w:rPr>
        <w:bCs/>
        <w:sz w:val="22"/>
        <w:szCs w:val="22"/>
      </w:rPr>
      <w:t>AGREEMENT</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424DAE">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98" w:rsidRDefault="00340E98">
      <w:r>
        <w:separator/>
      </w:r>
    </w:p>
  </w:footnote>
  <w:footnote w:type="continuationSeparator" w:id="0">
    <w:p w:rsidR="00340E98" w:rsidRDefault="00340E98">
      <w:r>
        <w:continuationSeparator/>
      </w:r>
    </w:p>
  </w:footnote>
  <w:footnote w:type="continuationNotice" w:id="1">
    <w:p w:rsidR="00340E98" w:rsidRDefault="00340E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893BB5"/>
    <w:multiLevelType w:val="hybridMultilevel"/>
    <w:tmpl w:val="8F2C27EC"/>
    <w:lvl w:ilvl="0" w:tplc="3A1E0670">
      <w:start w:val="10"/>
      <w:numFmt w:val="decimal"/>
      <w:lvlText w:val="%1"/>
      <w:lvlJc w:val="left"/>
      <w:pPr>
        <w:ind w:left="1440" w:hanging="360"/>
      </w:pPr>
      <w:rPr>
        <w:rFonts w:ascii="Times New Roman" w:hAnsi="Times New Roman"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FA5E66"/>
    <w:multiLevelType w:val="hybridMultilevel"/>
    <w:tmpl w:val="B1A6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A6C90"/>
    <w:multiLevelType w:val="hybridMultilevel"/>
    <w:tmpl w:val="003AEAF4"/>
    <w:lvl w:ilvl="0" w:tplc="18E4302E">
      <w:start w:val="1"/>
      <w:numFmt w:val="decimal"/>
      <w:lvlText w:val="%1"/>
      <w:lvlJc w:val="left"/>
      <w:pPr>
        <w:ind w:left="360" w:hanging="36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7014"/>
    <w:rsid w:val="00025DB8"/>
    <w:rsid w:val="00034801"/>
    <w:rsid w:val="00051932"/>
    <w:rsid w:val="00060596"/>
    <w:rsid w:val="000A23D7"/>
    <w:rsid w:val="000A6067"/>
    <w:rsid w:val="000C01EA"/>
    <w:rsid w:val="000E35CF"/>
    <w:rsid w:val="00190B21"/>
    <w:rsid w:val="001A3917"/>
    <w:rsid w:val="001A3E51"/>
    <w:rsid w:val="001B2AEF"/>
    <w:rsid w:val="001B5DAF"/>
    <w:rsid w:val="00255923"/>
    <w:rsid w:val="00286DC7"/>
    <w:rsid w:val="00291736"/>
    <w:rsid w:val="002B5C50"/>
    <w:rsid w:val="002D0CEF"/>
    <w:rsid w:val="002D598D"/>
    <w:rsid w:val="002E08C5"/>
    <w:rsid w:val="00301085"/>
    <w:rsid w:val="00340E98"/>
    <w:rsid w:val="00342902"/>
    <w:rsid w:val="00376FB2"/>
    <w:rsid w:val="00380E50"/>
    <w:rsid w:val="003C4335"/>
    <w:rsid w:val="003C5390"/>
    <w:rsid w:val="003D6583"/>
    <w:rsid w:val="003E37E4"/>
    <w:rsid w:val="003E3B7E"/>
    <w:rsid w:val="003F1945"/>
    <w:rsid w:val="004022F4"/>
    <w:rsid w:val="00417FDC"/>
    <w:rsid w:val="00420F5F"/>
    <w:rsid w:val="004244BF"/>
    <w:rsid w:val="00424DAE"/>
    <w:rsid w:val="00444D3F"/>
    <w:rsid w:val="00461EF5"/>
    <w:rsid w:val="00492B95"/>
    <w:rsid w:val="00495A4F"/>
    <w:rsid w:val="004A26FF"/>
    <w:rsid w:val="004A391F"/>
    <w:rsid w:val="004A3D09"/>
    <w:rsid w:val="004A4F64"/>
    <w:rsid w:val="004A7F3B"/>
    <w:rsid w:val="004B36DF"/>
    <w:rsid w:val="004C3D65"/>
    <w:rsid w:val="004F6207"/>
    <w:rsid w:val="004F69A5"/>
    <w:rsid w:val="00501FFC"/>
    <w:rsid w:val="00531B74"/>
    <w:rsid w:val="00564145"/>
    <w:rsid w:val="00576504"/>
    <w:rsid w:val="00595D41"/>
    <w:rsid w:val="005D183C"/>
    <w:rsid w:val="005E07C2"/>
    <w:rsid w:val="005E1C44"/>
    <w:rsid w:val="006021B8"/>
    <w:rsid w:val="006204E7"/>
    <w:rsid w:val="00621F25"/>
    <w:rsid w:val="00624F09"/>
    <w:rsid w:val="00633408"/>
    <w:rsid w:val="00641F98"/>
    <w:rsid w:val="0065561B"/>
    <w:rsid w:val="006720D7"/>
    <w:rsid w:val="006864C3"/>
    <w:rsid w:val="006F046D"/>
    <w:rsid w:val="007174A6"/>
    <w:rsid w:val="0073479F"/>
    <w:rsid w:val="00737B08"/>
    <w:rsid w:val="007464F1"/>
    <w:rsid w:val="0076196A"/>
    <w:rsid w:val="00765CA0"/>
    <w:rsid w:val="00765F42"/>
    <w:rsid w:val="0076699B"/>
    <w:rsid w:val="0079312E"/>
    <w:rsid w:val="007A1435"/>
    <w:rsid w:val="007C1BA6"/>
    <w:rsid w:val="007D3766"/>
    <w:rsid w:val="007D3B28"/>
    <w:rsid w:val="00811AC1"/>
    <w:rsid w:val="0082183E"/>
    <w:rsid w:val="00835284"/>
    <w:rsid w:val="00847B77"/>
    <w:rsid w:val="00877710"/>
    <w:rsid w:val="0089062F"/>
    <w:rsid w:val="00897841"/>
    <w:rsid w:val="008D65E2"/>
    <w:rsid w:val="00907669"/>
    <w:rsid w:val="00927400"/>
    <w:rsid w:val="00935104"/>
    <w:rsid w:val="009358CA"/>
    <w:rsid w:val="00945DF3"/>
    <w:rsid w:val="00985969"/>
    <w:rsid w:val="009A23C7"/>
    <w:rsid w:val="009C2DB0"/>
    <w:rsid w:val="009D3E3D"/>
    <w:rsid w:val="009D57F8"/>
    <w:rsid w:val="009D6057"/>
    <w:rsid w:val="00A0286C"/>
    <w:rsid w:val="00A174AF"/>
    <w:rsid w:val="00A30C52"/>
    <w:rsid w:val="00A80028"/>
    <w:rsid w:val="00A918DE"/>
    <w:rsid w:val="00AB72B9"/>
    <w:rsid w:val="00B465E3"/>
    <w:rsid w:val="00B73973"/>
    <w:rsid w:val="00BA1E6F"/>
    <w:rsid w:val="00BA2B07"/>
    <w:rsid w:val="00BF2F67"/>
    <w:rsid w:val="00BF32AC"/>
    <w:rsid w:val="00BF3CD1"/>
    <w:rsid w:val="00C07163"/>
    <w:rsid w:val="00C30007"/>
    <w:rsid w:val="00C360A4"/>
    <w:rsid w:val="00C51CFB"/>
    <w:rsid w:val="00C52DCB"/>
    <w:rsid w:val="00C5478B"/>
    <w:rsid w:val="00C7782F"/>
    <w:rsid w:val="00CB5DF0"/>
    <w:rsid w:val="00CD054B"/>
    <w:rsid w:val="00CF1AD5"/>
    <w:rsid w:val="00D065ED"/>
    <w:rsid w:val="00D10ECC"/>
    <w:rsid w:val="00D22816"/>
    <w:rsid w:val="00D55B1F"/>
    <w:rsid w:val="00D8539C"/>
    <w:rsid w:val="00D946DC"/>
    <w:rsid w:val="00DA492F"/>
    <w:rsid w:val="00DC7B3F"/>
    <w:rsid w:val="00E05F6C"/>
    <w:rsid w:val="00E136A6"/>
    <w:rsid w:val="00E5402E"/>
    <w:rsid w:val="00E57FB6"/>
    <w:rsid w:val="00EC12E0"/>
    <w:rsid w:val="00EC1511"/>
    <w:rsid w:val="00EC421F"/>
    <w:rsid w:val="00EF40AE"/>
    <w:rsid w:val="00F3119B"/>
    <w:rsid w:val="00F471E3"/>
    <w:rsid w:val="00F63C26"/>
    <w:rsid w:val="00F748D8"/>
    <w:rsid w:val="00F77C60"/>
    <w:rsid w:val="00FA5538"/>
    <w:rsid w:val="00FB7F1B"/>
    <w:rsid w:val="00FC4969"/>
    <w:rsid w:val="00FE097F"/>
    <w:rsid w:val="00FE46F5"/>
    <w:rsid w:val="00FE52E1"/>
    <w:rsid w:val="00FE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odyTextIndent">
    <w:name w:val="Body Text Indent"/>
    <w:basedOn w:val="Normal"/>
    <w:link w:val="BodyTextIndentChar"/>
    <w:rsid w:val="002D598D"/>
    <w:pPr>
      <w:spacing w:after="120"/>
      <w:ind w:left="360"/>
    </w:pPr>
  </w:style>
  <w:style w:type="character" w:customStyle="1" w:styleId="BodyTextIndentChar">
    <w:name w:val="Body Text Indent Char"/>
    <w:basedOn w:val="DefaultParagraphFont"/>
    <w:link w:val="BodyTextIndent"/>
    <w:rsid w:val="002D598D"/>
    <w:rPr>
      <w:szCs w:val="24"/>
    </w:rPr>
  </w:style>
  <w:style w:type="paragraph" w:styleId="BalloonText">
    <w:name w:val="Balloon Text"/>
    <w:basedOn w:val="Normal"/>
    <w:link w:val="BalloonTextChar"/>
    <w:rsid w:val="004A391F"/>
    <w:rPr>
      <w:rFonts w:ascii="Tahoma" w:hAnsi="Tahoma" w:cs="Tahoma"/>
      <w:sz w:val="16"/>
      <w:szCs w:val="16"/>
    </w:rPr>
  </w:style>
  <w:style w:type="character" w:customStyle="1" w:styleId="BalloonTextChar">
    <w:name w:val="Balloon Text Char"/>
    <w:basedOn w:val="DefaultParagraphFont"/>
    <w:link w:val="BalloonText"/>
    <w:rsid w:val="004A391F"/>
    <w:rPr>
      <w:rFonts w:ascii="Tahoma" w:hAnsi="Tahoma" w:cs="Tahoma"/>
      <w:sz w:val="16"/>
      <w:szCs w:val="16"/>
    </w:rPr>
  </w:style>
  <w:style w:type="paragraph" w:styleId="ListParagraph">
    <w:name w:val="List Paragraph"/>
    <w:basedOn w:val="Normal"/>
    <w:uiPriority w:val="34"/>
    <w:qFormat/>
    <w:rsid w:val="004F6207"/>
    <w:pPr>
      <w:ind w:left="720"/>
      <w:contextualSpacing/>
    </w:pPr>
  </w:style>
  <w:style w:type="character" w:styleId="CommentReference">
    <w:name w:val="annotation reference"/>
    <w:basedOn w:val="DefaultParagraphFont"/>
    <w:rsid w:val="00461EF5"/>
    <w:rPr>
      <w:sz w:val="16"/>
      <w:szCs w:val="16"/>
    </w:rPr>
  </w:style>
  <w:style w:type="paragraph" w:styleId="CommentText">
    <w:name w:val="annotation text"/>
    <w:basedOn w:val="Normal"/>
    <w:link w:val="CommentTextChar"/>
    <w:rsid w:val="00461EF5"/>
    <w:rPr>
      <w:szCs w:val="20"/>
    </w:rPr>
  </w:style>
  <w:style w:type="character" w:customStyle="1" w:styleId="CommentTextChar">
    <w:name w:val="Comment Text Char"/>
    <w:basedOn w:val="DefaultParagraphFont"/>
    <w:link w:val="CommentText"/>
    <w:rsid w:val="00461EF5"/>
  </w:style>
  <w:style w:type="paragraph" w:styleId="CommentSubject">
    <w:name w:val="annotation subject"/>
    <w:basedOn w:val="CommentText"/>
    <w:next w:val="CommentText"/>
    <w:link w:val="CommentSubjectChar"/>
    <w:rsid w:val="00461EF5"/>
    <w:rPr>
      <w:b/>
      <w:bCs/>
    </w:rPr>
  </w:style>
  <w:style w:type="character" w:customStyle="1" w:styleId="CommentSubjectChar">
    <w:name w:val="Comment Subject Char"/>
    <w:basedOn w:val="CommentTextChar"/>
    <w:link w:val="CommentSubject"/>
    <w:rsid w:val="00461EF5"/>
    <w:rPr>
      <w:b/>
      <w:bCs/>
    </w:rPr>
  </w:style>
  <w:style w:type="paragraph" w:styleId="Revision">
    <w:name w:val="Revision"/>
    <w:hidden/>
    <w:uiPriority w:val="99"/>
    <w:semiHidden/>
    <w:rsid w:val="00461E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odyTextIndent">
    <w:name w:val="Body Text Indent"/>
    <w:basedOn w:val="Normal"/>
    <w:link w:val="BodyTextIndentChar"/>
    <w:rsid w:val="002D598D"/>
    <w:pPr>
      <w:spacing w:after="120"/>
      <w:ind w:left="360"/>
    </w:pPr>
  </w:style>
  <w:style w:type="character" w:customStyle="1" w:styleId="BodyTextIndentChar">
    <w:name w:val="Body Text Indent Char"/>
    <w:basedOn w:val="DefaultParagraphFont"/>
    <w:link w:val="BodyTextIndent"/>
    <w:rsid w:val="002D598D"/>
    <w:rPr>
      <w:szCs w:val="24"/>
    </w:rPr>
  </w:style>
  <w:style w:type="paragraph" w:styleId="BalloonText">
    <w:name w:val="Balloon Text"/>
    <w:basedOn w:val="Normal"/>
    <w:link w:val="BalloonTextChar"/>
    <w:rsid w:val="004A391F"/>
    <w:rPr>
      <w:rFonts w:ascii="Tahoma" w:hAnsi="Tahoma" w:cs="Tahoma"/>
      <w:sz w:val="16"/>
      <w:szCs w:val="16"/>
    </w:rPr>
  </w:style>
  <w:style w:type="character" w:customStyle="1" w:styleId="BalloonTextChar">
    <w:name w:val="Balloon Text Char"/>
    <w:basedOn w:val="DefaultParagraphFont"/>
    <w:link w:val="BalloonText"/>
    <w:rsid w:val="004A391F"/>
    <w:rPr>
      <w:rFonts w:ascii="Tahoma" w:hAnsi="Tahoma" w:cs="Tahoma"/>
      <w:sz w:val="16"/>
      <w:szCs w:val="16"/>
    </w:rPr>
  </w:style>
  <w:style w:type="paragraph" w:styleId="ListParagraph">
    <w:name w:val="List Paragraph"/>
    <w:basedOn w:val="Normal"/>
    <w:uiPriority w:val="34"/>
    <w:qFormat/>
    <w:rsid w:val="004F6207"/>
    <w:pPr>
      <w:ind w:left="720"/>
      <w:contextualSpacing/>
    </w:pPr>
  </w:style>
  <w:style w:type="character" w:styleId="CommentReference">
    <w:name w:val="annotation reference"/>
    <w:basedOn w:val="DefaultParagraphFont"/>
    <w:rsid w:val="00461EF5"/>
    <w:rPr>
      <w:sz w:val="16"/>
      <w:szCs w:val="16"/>
    </w:rPr>
  </w:style>
  <w:style w:type="paragraph" w:styleId="CommentText">
    <w:name w:val="annotation text"/>
    <w:basedOn w:val="Normal"/>
    <w:link w:val="CommentTextChar"/>
    <w:rsid w:val="00461EF5"/>
    <w:rPr>
      <w:szCs w:val="20"/>
    </w:rPr>
  </w:style>
  <w:style w:type="character" w:customStyle="1" w:styleId="CommentTextChar">
    <w:name w:val="Comment Text Char"/>
    <w:basedOn w:val="DefaultParagraphFont"/>
    <w:link w:val="CommentText"/>
    <w:rsid w:val="00461EF5"/>
  </w:style>
  <w:style w:type="paragraph" w:styleId="CommentSubject">
    <w:name w:val="annotation subject"/>
    <w:basedOn w:val="CommentText"/>
    <w:next w:val="CommentText"/>
    <w:link w:val="CommentSubjectChar"/>
    <w:rsid w:val="00461EF5"/>
    <w:rPr>
      <w:b/>
      <w:bCs/>
    </w:rPr>
  </w:style>
  <w:style w:type="character" w:customStyle="1" w:styleId="CommentSubjectChar">
    <w:name w:val="Comment Subject Char"/>
    <w:basedOn w:val="CommentTextChar"/>
    <w:link w:val="CommentSubject"/>
    <w:rsid w:val="00461EF5"/>
    <w:rPr>
      <w:b/>
      <w:bCs/>
    </w:rPr>
  </w:style>
  <w:style w:type="paragraph" w:styleId="Revision">
    <w:name w:val="Revision"/>
    <w:hidden/>
    <w:uiPriority w:val="99"/>
    <w:semiHidden/>
    <w:rsid w:val="00461E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2013-04-08T07:00:00+00:00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130501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5FCD69797B34196212A33158BC689" ma:contentTypeVersion="135" ma:contentTypeDescription="" ma:contentTypeScope="" ma:versionID="e42a1cce35431ebe4556cfcea8d03c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D4E06-64C3-42DC-9812-615918131AA0}"/>
</file>

<file path=customXml/itemProps2.xml><?xml version="1.0" encoding="utf-8"?>
<ds:datastoreItem xmlns:ds="http://schemas.openxmlformats.org/officeDocument/2006/customXml" ds:itemID="{AA79F509-B987-4A2D-AEB9-21256BAFD043}"/>
</file>

<file path=customXml/itemProps3.xml><?xml version="1.0" encoding="utf-8"?>
<ds:datastoreItem xmlns:ds="http://schemas.openxmlformats.org/officeDocument/2006/customXml" ds:itemID="{AD70252E-543A-4E89-81F1-805C645892E5}"/>
</file>

<file path=customXml/itemProps4.xml><?xml version="1.0" encoding="utf-8"?>
<ds:datastoreItem xmlns:ds="http://schemas.openxmlformats.org/officeDocument/2006/customXml" ds:itemID="{A57CCB81-756B-407F-91A6-70535821B258}"/>
</file>

<file path=customXml/itemProps5.xml><?xml version="1.0" encoding="utf-8"?>
<ds:datastoreItem xmlns:ds="http://schemas.openxmlformats.org/officeDocument/2006/customXml" ds:itemID="{FC33C91B-7556-41F0-9D3A-1E98D1EE68C6}"/>
</file>

<file path=docProps/app.xml><?xml version="1.0" encoding="utf-8"?>
<Properties xmlns="http://schemas.openxmlformats.org/officeDocument/2006/extended-properties" xmlns:vt="http://schemas.openxmlformats.org/officeDocument/2006/docPropsVTypes">
  <Template>Normal.dotm</Template>
  <TotalTime>10</TotalTime>
  <Pages>5</Pages>
  <Words>1019</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5</cp:revision>
  <cp:lastPrinted>2013-07-31T16:42:00Z</cp:lastPrinted>
  <dcterms:created xsi:type="dcterms:W3CDTF">2013-07-31T15:49:00Z</dcterms:created>
  <dcterms:modified xsi:type="dcterms:W3CDTF">2013-07-31T16:42:00Z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0x0101006E56B4D1795A2E4DB2F0B01679ED314A0060C5FCD69797B34196212A33158BC689</vt:lpwstr>
  </property>
  <property fmtid="{D5CDD505-2E9C-101B-9397-08002B2CF9AE}" pid="3" name="_docset_NoMedatataSyncRequired">
    <vt:lpwstr>False</vt:lpwstr>
  </property>
</Properties>
</file>