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B4" w:rsidRDefault="00A27BB4"/>
    <w:p w:rsidR="00A27BB4" w:rsidRDefault="007C08E0">
      <w:r>
        <w:rPr>
          <w:rFonts w:ascii="Times New Roman" w:hAnsi="Times New Roman" w:cs="Times New Roman"/>
          <w:b/>
          <w:noProof/>
          <w:sz w:val="48"/>
          <w:szCs w:val="48"/>
        </w:rPr>
        <w:drawing>
          <wp:anchor distT="0" distB="0" distL="114300" distR="114300" simplePos="0" relativeHeight="251659264" behindDoc="1" locked="0" layoutInCell="1" allowOverlap="1">
            <wp:simplePos x="0" y="0"/>
            <wp:positionH relativeFrom="column">
              <wp:posOffset>1052195</wp:posOffset>
            </wp:positionH>
            <wp:positionV relativeFrom="page">
              <wp:posOffset>1526540</wp:posOffset>
            </wp:positionV>
            <wp:extent cx="3368040" cy="50165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r="61312"/>
                    <a:stretch>
                      <a:fillRect/>
                    </a:stretch>
                  </pic:blipFill>
                  <pic:spPr bwMode="auto">
                    <a:xfrm>
                      <a:off x="0" y="0"/>
                      <a:ext cx="3368040" cy="501650"/>
                    </a:xfrm>
                    <a:prstGeom prst="rect">
                      <a:avLst/>
                    </a:prstGeom>
                    <a:noFill/>
                  </pic:spPr>
                </pic:pic>
              </a:graphicData>
            </a:graphic>
          </wp:anchor>
        </w:drawing>
      </w:r>
    </w:p>
    <w:p w:rsidR="00A27BB4" w:rsidRDefault="00A27BB4" w:rsidP="00A27BB4">
      <w:pPr>
        <w:jc w:val="center"/>
        <w:rPr>
          <w:rFonts w:ascii="Times New Roman" w:hAnsi="Times New Roman" w:cs="Times New Roman"/>
          <w:b/>
          <w:sz w:val="48"/>
          <w:szCs w:val="48"/>
        </w:rPr>
      </w:pPr>
    </w:p>
    <w:p w:rsidR="007C08E0" w:rsidRDefault="007C08E0" w:rsidP="00A27BB4">
      <w:pPr>
        <w:jc w:val="center"/>
        <w:rPr>
          <w:rFonts w:ascii="Times New Roman" w:hAnsi="Times New Roman" w:cs="Times New Roman"/>
          <w:b/>
          <w:sz w:val="48"/>
          <w:szCs w:val="48"/>
        </w:rPr>
      </w:pPr>
    </w:p>
    <w:p w:rsidR="007C08E0" w:rsidRDefault="007C08E0" w:rsidP="00A27BB4">
      <w:pPr>
        <w:jc w:val="center"/>
        <w:rPr>
          <w:rFonts w:ascii="Times New Roman" w:hAnsi="Times New Roman" w:cs="Times New Roman"/>
          <w:b/>
          <w:sz w:val="48"/>
          <w:szCs w:val="48"/>
        </w:rPr>
      </w:pPr>
    </w:p>
    <w:p w:rsidR="007C08E0" w:rsidRDefault="007C08E0" w:rsidP="00A27BB4">
      <w:pPr>
        <w:jc w:val="center"/>
        <w:rPr>
          <w:rFonts w:ascii="Times New Roman" w:hAnsi="Times New Roman" w:cs="Times New Roman"/>
          <w:b/>
          <w:sz w:val="48"/>
          <w:szCs w:val="48"/>
        </w:rPr>
      </w:pPr>
    </w:p>
    <w:p w:rsidR="00A27BB4" w:rsidRDefault="00BC4BC9" w:rsidP="00A27BB4">
      <w:pPr>
        <w:jc w:val="center"/>
        <w:rPr>
          <w:rFonts w:ascii="Times New Roman" w:hAnsi="Times New Roman" w:cs="Times New Roman"/>
          <w:b/>
          <w:sz w:val="48"/>
          <w:szCs w:val="48"/>
        </w:rPr>
      </w:pPr>
      <w:r>
        <w:rPr>
          <w:rFonts w:ascii="Times New Roman" w:hAnsi="Times New Roman" w:cs="Times New Roman"/>
          <w:b/>
          <w:sz w:val="48"/>
          <w:szCs w:val="48"/>
        </w:rPr>
        <w:t xml:space="preserve">Report on the West Control Area </w:t>
      </w:r>
      <w:r>
        <w:rPr>
          <w:rFonts w:ascii="Times New Roman" w:hAnsi="Times New Roman" w:cs="Times New Roman"/>
          <w:b/>
          <w:sz w:val="48"/>
          <w:szCs w:val="48"/>
        </w:rPr>
        <w:br/>
        <w:t>Inter-Jurisdictional Allocation Methodology</w:t>
      </w:r>
      <w:r w:rsidR="00A27BB4">
        <w:rPr>
          <w:rFonts w:ascii="Times New Roman" w:hAnsi="Times New Roman" w:cs="Times New Roman"/>
          <w:b/>
          <w:sz w:val="48"/>
          <w:szCs w:val="48"/>
        </w:rPr>
        <w:t xml:space="preserve"> </w:t>
      </w:r>
    </w:p>
    <w:p w:rsidR="00C50C55" w:rsidRDefault="00C50C55">
      <w:pPr>
        <w:rPr>
          <w:rFonts w:ascii="Times New Roman" w:hAnsi="Times New Roman" w:cs="Times New Roman"/>
          <w:b/>
          <w:sz w:val="48"/>
          <w:szCs w:val="48"/>
        </w:rPr>
      </w:pPr>
    </w:p>
    <w:p w:rsidR="00C50C55" w:rsidRDefault="00C50C55" w:rsidP="00C50C55">
      <w:pPr>
        <w:spacing w:after="0" w:line="240" w:lineRule="auto"/>
        <w:jc w:val="center"/>
        <w:rPr>
          <w:rFonts w:ascii="Times New Roman" w:hAnsi="Times New Roman" w:cs="Times New Roman"/>
          <w:b/>
          <w:sz w:val="40"/>
          <w:szCs w:val="40"/>
        </w:rPr>
      </w:pPr>
    </w:p>
    <w:p w:rsidR="00A27BB4" w:rsidRDefault="00A27BB4" w:rsidP="00A27BB4">
      <w:pPr>
        <w:jc w:val="center"/>
        <w:rPr>
          <w:rFonts w:ascii="Times New Roman" w:hAnsi="Times New Roman" w:cs="Times New Roman"/>
          <w:b/>
          <w:sz w:val="48"/>
          <w:szCs w:val="48"/>
        </w:rPr>
      </w:pPr>
    </w:p>
    <w:p w:rsidR="00A27BB4" w:rsidRDefault="00A27BB4" w:rsidP="00A27BB4">
      <w:pPr>
        <w:spacing w:after="0" w:line="240" w:lineRule="auto"/>
        <w:jc w:val="center"/>
        <w:rPr>
          <w:rFonts w:ascii="Times New Roman" w:hAnsi="Times New Roman" w:cs="Times New Roman"/>
          <w:b/>
          <w:sz w:val="40"/>
          <w:szCs w:val="40"/>
        </w:rPr>
      </w:pPr>
    </w:p>
    <w:p w:rsidR="00BC4BC9" w:rsidRDefault="00BC4BC9" w:rsidP="00A27BB4">
      <w:pPr>
        <w:spacing w:after="0" w:line="240" w:lineRule="auto"/>
        <w:jc w:val="center"/>
        <w:rPr>
          <w:rFonts w:ascii="Times New Roman" w:hAnsi="Times New Roman" w:cs="Times New Roman"/>
          <w:b/>
          <w:sz w:val="40"/>
          <w:szCs w:val="40"/>
        </w:rPr>
      </w:pPr>
    </w:p>
    <w:p w:rsidR="00A27BB4" w:rsidRDefault="00A27BB4" w:rsidP="00A27BB4">
      <w:pPr>
        <w:spacing w:after="0" w:line="240" w:lineRule="auto"/>
        <w:jc w:val="center"/>
        <w:rPr>
          <w:rFonts w:ascii="Times New Roman" w:hAnsi="Times New Roman" w:cs="Times New Roman"/>
          <w:b/>
          <w:sz w:val="40"/>
          <w:szCs w:val="40"/>
        </w:rPr>
      </w:pPr>
    </w:p>
    <w:p w:rsidR="00C50C55" w:rsidRDefault="00C50C55" w:rsidP="00C50C55">
      <w:pPr>
        <w:jc w:val="center"/>
        <w:rPr>
          <w:rFonts w:ascii="Times New Roman" w:hAnsi="Times New Roman" w:cs="Times New Roman"/>
          <w:b/>
          <w:sz w:val="40"/>
          <w:szCs w:val="40"/>
        </w:rPr>
      </w:pPr>
    </w:p>
    <w:p w:rsidR="00C50C55" w:rsidRDefault="00C50C55" w:rsidP="00C50C55">
      <w:pPr>
        <w:jc w:val="center"/>
        <w:rPr>
          <w:rFonts w:ascii="Times New Roman" w:hAnsi="Times New Roman" w:cs="Times New Roman"/>
          <w:b/>
          <w:sz w:val="40"/>
          <w:szCs w:val="40"/>
        </w:rPr>
      </w:pPr>
    </w:p>
    <w:p w:rsidR="007C08E0" w:rsidRDefault="00BC4BC9" w:rsidP="00573AAB">
      <w:pPr>
        <w:jc w:val="center"/>
        <w:rPr>
          <w:rFonts w:ascii="Times New Roman" w:hAnsi="Times New Roman" w:cs="Times New Roman"/>
          <w:b/>
          <w:sz w:val="40"/>
          <w:szCs w:val="40"/>
        </w:rPr>
      </w:pPr>
      <w:r w:rsidRPr="00441091">
        <w:rPr>
          <w:rFonts w:ascii="Times New Roman" w:hAnsi="Times New Roman" w:cs="Times New Roman"/>
          <w:b/>
          <w:sz w:val="40"/>
          <w:szCs w:val="40"/>
        </w:rPr>
        <w:t>January</w:t>
      </w:r>
      <w:r w:rsidR="005960BD" w:rsidRPr="00441091">
        <w:rPr>
          <w:rFonts w:ascii="Times New Roman" w:hAnsi="Times New Roman" w:cs="Times New Roman"/>
          <w:b/>
          <w:sz w:val="40"/>
          <w:szCs w:val="40"/>
        </w:rPr>
        <w:t xml:space="preserve"> </w:t>
      </w:r>
      <w:r w:rsidR="005960BD" w:rsidRPr="005960BD">
        <w:rPr>
          <w:rFonts w:ascii="Times New Roman" w:hAnsi="Times New Roman" w:cs="Times New Roman"/>
          <w:b/>
          <w:sz w:val="40"/>
          <w:szCs w:val="40"/>
        </w:rPr>
        <w:t>201</w:t>
      </w:r>
      <w:r w:rsidR="006276FE">
        <w:rPr>
          <w:rFonts w:ascii="Times New Roman" w:hAnsi="Times New Roman" w:cs="Times New Roman"/>
          <w:b/>
          <w:sz w:val="40"/>
          <w:szCs w:val="40"/>
        </w:rPr>
        <w:t>3</w:t>
      </w:r>
      <w:r w:rsidR="007C08E0">
        <w:rPr>
          <w:rFonts w:ascii="Times New Roman" w:hAnsi="Times New Roman" w:cs="Times New Roman"/>
          <w:b/>
          <w:sz w:val="40"/>
          <w:szCs w:val="40"/>
        </w:rPr>
        <w:br w:type="page"/>
      </w:r>
    </w:p>
    <w:p w:rsidR="00E62709" w:rsidRDefault="005D34F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w:t>
      </w:r>
      <w:r>
        <w:rPr>
          <w:rFonts w:ascii="Times New Roman" w:hAnsi="Times New Roman" w:cs="Times New Roman"/>
          <w:b/>
          <w:bCs/>
          <w:sz w:val="24"/>
          <w:szCs w:val="24"/>
        </w:rPr>
        <w:tab/>
      </w:r>
      <w:r w:rsidR="007B1B00">
        <w:rPr>
          <w:rFonts w:ascii="Times New Roman" w:hAnsi="Times New Roman" w:cs="Times New Roman"/>
          <w:b/>
          <w:bCs/>
          <w:sz w:val="24"/>
          <w:szCs w:val="24"/>
        </w:rPr>
        <w:t>OVERVIEW</w:t>
      </w:r>
    </w:p>
    <w:p w:rsidR="00BC4BC9" w:rsidRDefault="00BC4BC9" w:rsidP="00F32D1B">
      <w:pPr>
        <w:spacing w:after="0" w:line="240" w:lineRule="auto"/>
        <w:rPr>
          <w:rFonts w:ascii="Times New Roman" w:hAnsi="Times New Roman" w:cs="Times New Roman"/>
          <w:sz w:val="24"/>
          <w:szCs w:val="24"/>
        </w:rPr>
      </w:pPr>
      <w:r w:rsidRPr="00DF72FD">
        <w:rPr>
          <w:rFonts w:ascii="Times New Roman" w:hAnsi="Times New Roman" w:cs="Times New Roman"/>
          <w:sz w:val="24"/>
          <w:szCs w:val="24"/>
        </w:rPr>
        <w:t>On June 2</w:t>
      </w:r>
      <w:r>
        <w:rPr>
          <w:rFonts w:ascii="Times New Roman" w:hAnsi="Times New Roman" w:cs="Times New Roman"/>
          <w:sz w:val="24"/>
          <w:szCs w:val="24"/>
        </w:rPr>
        <w:t>1</w:t>
      </w:r>
      <w:r w:rsidRPr="00DF72FD">
        <w:rPr>
          <w:rFonts w:ascii="Times New Roman" w:hAnsi="Times New Roman" w:cs="Times New Roman"/>
          <w:sz w:val="24"/>
          <w:szCs w:val="24"/>
        </w:rPr>
        <w:t xml:space="preserve">, 2007, </w:t>
      </w:r>
      <w:r w:rsidR="00F32D1B">
        <w:rPr>
          <w:rFonts w:ascii="Times New Roman" w:hAnsi="Times New Roman" w:cs="Times New Roman"/>
          <w:sz w:val="24"/>
          <w:szCs w:val="24"/>
        </w:rPr>
        <w:t xml:space="preserve">the Washington Utilities and Transportation Commission (Commission) </w:t>
      </w:r>
      <w:r>
        <w:rPr>
          <w:rFonts w:ascii="Times New Roman" w:hAnsi="Times New Roman" w:cs="Times New Roman"/>
          <w:sz w:val="24"/>
          <w:szCs w:val="24"/>
        </w:rPr>
        <w:t xml:space="preserve">adopted </w:t>
      </w:r>
      <w:r w:rsidR="00F32D1B">
        <w:rPr>
          <w:rFonts w:ascii="Times New Roman" w:hAnsi="Times New Roman" w:cs="Times New Roman"/>
          <w:sz w:val="24"/>
          <w:szCs w:val="24"/>
        </w:rPr>
        <w:t>the W</w:t>
      </w:r>
      <w:r>
        <w:rPr>
          <w:rFonts w:ascii="Times New Roman" w:hAnsi="Times New Roman" w:cs="Times New Roman"/>
          <w:sz w:val="24"/>
          <w:szCs w:val="24"/>
        </w:rPr>
        <w:t xml:space="preserve">est </w:t>
      </w:r>
      <w:r w:rsidR="00F32D1B">
        <w:rPr>
          <w:rFonts w:ascii="Times New Roman" w:hAnsi="Times New Roman" w:cs="Times New Roman"/>
          <w:sz w:val="24"/>
          <w:szCs w:val="24"/>
        </w:rPr>
        <w:t>Control A</w:t>
      </w:r>
      <w:r>
        <w:rPr>
          <w:rFonts w:ascii="Times New Roman" w:hAnsi="Times New Roman" w:cs="Times New Roman"/>
          <w:sz w:val="24"/>
          <w:szCs w:val="24"/>
        </w:rPr>
        <w:t xml:space="preserve">rea </w:t>
      </w:r>
      <w:r w:rsidR="00F32D1B">
        <w:rPr>
          <w:rFonts w:ascii="Times New Roman" w:hAnsi="Times New Roman" w:cs="Times New Roman"/>
          <w:sz w:val="24"/>
          <w:szCs w:val="24"/>
        </w:rPr>
        <w:t>Inter-Jurisdictional</w:t>
      </w:r>
      <w:r>
        <w:rPr>
          <w:rFonts w:ascii="Times New Roman" w:hAnsi="Times New Roman" w:cs="Times New Roman"/>
          <w:sz w:val="24"/>
          <w:szCs w:val="24"/>
        </w:rPr>
        <w:t xml:space="preserve"> </w:t>
      </w:r>
      <w:r w:rsidR="00F32D1B">
        <w:rPr>
          <w:rFonts w:ascii="Times New Roman" w:hAnsi="Times New Roman" w:cs="Times New Roman"/>
          <w:sz w:val="24"/>
          <w:szCs w:val="24"/>
        </w:rPr>
        <w:t>A</w:t>
      </w:r>
      <w:r>
        <w:rPr>
          <w:rFonts w:ascii="Times New Roman" w:hAnsi="Times New Roman" w:cs="Times New Roman"/>
          <w:sz w:val="24"/>
          <w:szCs w:val="24"/>
        </w:rPr>
        <w:t xml:space="preserve">llocation </w:t>
      </w:r>
      <w:r w:rsidR="00F32D1B">
        <w:rPr>
          <w:rFonts w:ascii="Times New Roman" w:hAnsi="Times New Roman" w:cs="Times New Roman"/>
          <w:sz w:val="24"/>
          <w:szCs w:val="24"/>
        </w:rPr>
        <w:t>M</w:t>
      </w:r>
      <w:r>
        <w:rPr>
          <w:rFonts w:ascii="Times New Roman" w:hAnsi="Times New Roman" w:cs="Times New Roman"/>
          <w:sz w:val="24"/>
          <w:szCs w:val="24"/>
        </w:rPr>
        <w:t xml:space="preserve">ethodology </w:t>
      </w:r>
      <w:r w:rsidR="00F32D1B">
        <w:rPr>
          <w:rFonts w:ascii="Times New Roman" w:hAnsi="Times New Roman" w:cs="Times New Roman"/>
          <w:sz w:val="24"/>
          <w:szCs w:val="24"/>
        </w:rPr>
        <w:t xml:space="preserve">(WCA) </w:t>
      </w:r>
      <w:r w:rsidR="005F2D02">
        <w:rPr>
          <w:rFonts w:ascii="Times New Roman" w:hAnsi="Times New Roman" w:cs="Times New Roman"/>
          <w:sz w:val="24"/>
          <w:szCs w:val="24"/>
        </w:rPr>
        <w:t xml:space="preserve">for </w:t>
      </w:r>
      <w:r w:rsidR="00F32D1B">
        <w:rPr>
          <w:rFonts w:ascii="Times New Roman" w:hAnsi="Times New Roman" w:cs="Times New Roman"/>
          <w:sz w:val="24"/>
          <w:szCs w:val="24"/>
        </w:rPr>
        <w:t>a five-year evaluation period.</w:t>
      </w:r>
      <w:r w:rsidR="005F2D02">
        <w:rPr>
          <w:rStyle w:val="FootnoteReference"/>
          <w:rFonts w:ascii="Times New Roman" w:hAnsi="Times New Roman" w:cs="Times New Roman"/>
          <w:sz w:val="24"/>
          <w:szCs w:val="24"/>
        </w:rPr>
        <w:footnoteReference w:id="1"/>
      </w:r>
      <w:r w:rsidR="00F32D1B">
        <w:rPr>
          <w:rFonts w:ascii="Times New Roman" w:hAnsi="Times New Roman" w:cs="Times New Roman"/>
          <w:sz w:val="24"/>
          <w:szCs w:val="24"/>
        </w:rPr>
        <w:t xml:space="preserve">  </w:t>
      </w:r>
      <w:r w:rsidR="005F2D02">
        <w:rPr>
          <w:rFonts w:ascii="Times New Roman" w:hAnsi="Times New Roman" w:cs="Times New Roman"/>
          <w:sz w:val="24"/>
          <w:szCs w:val="24"/>
        </w:rPr>
        <w:t>Because PacifiCorp, d/b/a Pacific Power &amp; Light Company (PacifiCorp</w:t>
      </w:r>
      <w:r w:rsidR="00076ABB">
        <w:rPr>
          <w:rFonts w:ascii="Times New Roman" w:hAnsi="Times New Roman" w:cs="Times New Roman"/>
          <w:sz w:val="24"/>
          <w:szCs w:val="24"/>
        </w:rPr>
        <w:t xml:space="preserve"> or Company</w:t>
      </w:r>
      <w:r w:rsidR="005F2D02">
        <w:rPr>
          <w:rFonts w:ascii="Times New Roman" w:hAnsi="Times New Roman" w:cs="Times New Roman"/>
          <w:sz w:val="24"/>
          <w:szCs w:val="24"/>
        </w:rPr>
        <w:t xml:space="preserve">) is a multi-jurisdictional utility, the WCA outlines how total-company costs, revenues, and rate base balances are allocated to Washington for the purpose of establishing </w:t>
      </w:r>
      <w:r w:rsidR="00601D4D">
        <w:rPr>
          <w:rFonts w:ascii="Times New Roman" w:hAnsi="Times New Roman" w:cs="Times New Roman"/>
          <w:sz w:val="24"/>
          <w:szCs w:val="24"/>
        </w:rPr>
        <w:t>retail</w:t>
      </w:r>
      <w:r w:rsidR="005F2D02">
        <w:rPr>
          <w:rFonts w:ascii="Times New Roman" w:hAnsi="Times New Roman" w:cs="Times New Roman"/>
          <w:sz w:val="24"/>
          <w:szCs w:val="24"/>
        </w:rPr>
        <w:t xml:space="preserve"> rates in Washington.  This report provides an evaluation of the WCA during the five-year period established by the Commission.</w:t>
      </w:r>
      <w:r w:rsidR="00601D4D">
        <w:rPr>
          <w:rStyle w:val="FootnoteReference"/>
          <w:rFonts w:ascii="Times New Roman" w:hAnsi="Times New Roman" w:cs="Times New Roman"/>
          <w:sz w:val="24"/>
          <w:szCs w:val="24"/>
        </w:rPr>
        <w:footnoteReference w:id="2"/>
      </w:r>
    </w:p>
    <w:p w:rsidR="00A475EB" w:rsidRDefault="00A475EB" w:rsidP="00F32D1B">
      <w:pPr>
        <w:spacing w:after="0" w:line="240" w:lineRule="auto"/>
        <w:rPr>
          <w:rFonts w:ascii="Times New Roman" w:hAnsi="Times New Roman" w:cs="Times New Roman"/>
          <w:sz w:val="24"/>
          <w:szCs w:val="24"/>
        </w:rPr>
      </w:pPr>
    </w:p>
    <w:p w:rsidR="007B1B00" w:rsidRDefault="00A475EB" w:rsidP="00A475EB">
      <w:pPr>
        <w:spacing w:after="0" w:line="240" w:lineRule="auto"/>
        <w:rPr>
          <w:rFonts w:ascii="Times New Roman" w:hAnsi="Times New Roman" w:cs="Times New Roman"/>
          <w:sz w:val="24"/>
          <w:szCs w:val="24"/>
        </w:rPr>
      </w:pPr>
      <w:r>
        <w:rPr>
          <w:rFonts w:ascii="Times New Roman" w:hAnsi="Times New Roman" w:cs="Times New Roman"/>
          <w:sz w:val="24"/>
          <w:szCs w:val="24"/>
        </w:rPr>
        <w:t>This evaluation is based on the Company’s experience during the trial period</w:t>
      </w:r>
      <w:r w:rsidR="00CF7BE8">
        <w:rPr>
          <w:rFonts w:ascii="Times New Roman" w:hAnsi="Times New Roman" w:cs="Times New Roman"/>
          <w:sz w:val="24"/>
          <w:szCs w:val="24"/>
        </w:rPr>
        <w:t>.</w:t>
      </w:r>
      <w:r w:rsidR="007B1B00">
        <w:rPr>
          <w:rFonts w:ascii="Times New Roman" w:hAnsi="Times New Roman" w:cs="Times New Roman"/>
          <w:sz w:val="24"/>
          <w:szCs w:val="24"/>
        </w:rPr>
        <w:t xml:space="preserve">  In general, the Company does not believe that the WCA is a sustainable approach to setting rates in Washington, primarily because it is incompatible with how the Company actually plans and operates its six-state system.  This creates over</w:t>
      </w:r>
      <w:r w:rsidR="00441091">
        <w:rPr>
          <w:rFonts w:ascii="Times New Roman" w:hAnsi="Times New Roman" w:cs="Times New Roman"/>
          <w:sz w:val="24"/>
          <w:szCs w:val="24"/>
        </w:rPr>
        <w:t>-</w:t>
      </w:r>
      <w:r w:rsidR="007B1B00">
        <w:rPr>
          <w:rFonts w:ascii="Times New Roman" w:hAnsi="Times New Roman" w:cs="Times New Roman"/>
          <w:sz w:val="24"/>
          <w:szCs w:val="24"/>
        </w:rPr>
        <w:t xml:space="preserve"> and under</w:t>
      </w:r>
      <w:r w:rsidR="00441091">
        <w:rPr>
          <w:rFonts w:ascii="Times New Roman" w:hAnsi="Times New Roman" w:cs="Times New Roman"/>
          <w:sz w:val="24"/>
          <w:szCs w:val="24"/>
        </w:rPr>
        <w:t>-</w:t>
      </w:r>
      <w:r w:rsidR="007B1B00">
        <w:rPr>
          <w:rFonts w:ascii="Times New Roman" w:hAnsi="Times New Roman" w:cs="Times New Roman"/>
          <w:sz w:val="24"/>
          <w:szCs w:val="24"/>
        </w:rPr>
        <w:t xml:space="preserve">recovery of costs that the Company actually incurs, and has resulted in a mismatch </w:t>
      </w:r>
      <w:r w:rsidR="00155E3B">
        <w:rPr>
          <w:rFonts w:ascii="Times New Roman" w:hAnsi="Times New Roman" w:cs="Times New Roman"/>
          <w:sz w:val="24"/>
          <w:szCs w:val="24"/>
        </w:rPr>
        <w:t>of</w:t>
      </w:r>
      <w:r w:rsidR="007B1B00">
        <w:rPr>
          <w:rFonts w:ascii="Times New Roman" w:hAnsi="Times New Roman" w:cs="Times New Roman"/>
          <w:sz w:val="24"/>
          <w:szCs w:val="24"/>
        </w:rPr>
        <w:t xml:space="preserve"> certain costs </w:t>
      </w:r>
      <w:r w:rsidR="00155E3B">
        <w:rPr>
          <w:rFonts w:ascii="Times New Roman" w:hAnsi="Times New Roman" w:cs="Times New Roman"/>
          <w:sz w:val="24"/>
          <w:szCs w:val="24"/>
        </w:rPr>
        <w:t>accounted for in t</w:t>
      </w:r>
      <w:r w:rsidR="007B1B00">
        <w:rPr>
          <w:rFonts w:ascii="Times New Roman" w:hAnsi="Times New Roman" w:cs="Times New Roman"/>
          <w:sz w:val="24"/>
          <w:szCs w:val="24"/>
        </w:rPr>
        <w:t xml:space="preserve">he auditable books and records of the Company and the costs reflected in rates.  It is also significantly challenging for </w:t>
      </w:r>
      <w:r w:rsidR="003D2D71">
        <w:rPr>
          <w:rFonts w:ascii="Times New Roman" w:hAnsi="Times New Roman" w:cs="Times New Roman"/>
          <w:sz w:val="24"/>
          <w:szCs w:val="24"/>
        </w:rPr>
        <w:t>the Company to have Washington</w:t>
      </w:r>
      <w:r w:rsidR="007B1B00">
        <w:rPr>
          <w:rFonts w:ascii="Times New Roman" w:hAnsi="Times New Roman" w:cs="Times New Roman"/>
          <w:sz w:val="24"/>
          <w:szCs w:val="24"/>
        </w:rPr>
        <w:t xml:space="preserve"> </w:t>
      </w:r>
      <w:r w:rsidR="003D2D71">
        <w:rPr>
          <w:rFonts w:ascii="Times New Roman" w:hAnsi="Times New Roman" w:cs="Times New Roman"/>
          <w:sz w:val="24"/>
          <w:szCs w:val="24"/>
        </w:rPr>
        <w:t>use a different allocation methodology than</w:t>
      </w:r>
      <w:r w:rsidR="007B1B00">
        <w:rPr>
          <w:rFonts w:ascii="Times New Roman" w:hAnsi="Times New Roman" w:cs="Times New Roman"/>
          <w:sz w:val="24"/>
          <w:szCs w:val="24"/>
        </w:rPr>
        <w:t xml:space="preserve"> the Company’s other five jurisdictions.  As a result, the Company </w:t>
      </w:r>
      <w:r w:rsidR="0079219D">
        <w:rPr>
          <w:rFonts w:ascii="Times New Roman" w:hAnsi="Times New Roman" w:cs="Times New Roman"/>
          <w:sz w:val="24"/>
          <w:szCs w:val="24"/>
        </w:rPr>
        <w:t xml:space="preserve">is </w:t>
      </w:r>
      <w:r w:rsidR="009E39E5">
        <w:rPr>
          <w:rFonts w:ascii="Times New Roman" w:hAnsi="Times New Roman" w:cs="Times New Roman"/>
          <w:sz w:val="24"/>
          <w:szCs w:val="24"/>
        </w:rPr>
        <w:t>propos</w:t>
      </w:r>
      <w:r w:rsidR="0079219D">
        <w:rPr>
          <w:rFonts w:ascii="Times New Roman" w:hAnsi="Times New Roman" w:cs="Times New Roman"/>
          <w:sz w:val="24"/>
          <w:szCs w:val="24"/>
        </w:rPr>
        <w:t>ing</w:t>
      </w:r>
      <w:r w:rsidR="007B1B00">
        <w:rPr>
          <w:rFonts w:ascii="Times New Roman" w:hAnsi="Times New Roman" w:cs="Times New Roman"/>
          <w:sz w:val="24"/>
          <w:szCs w:val="24"/>
        </w:rPr>
        <w:t xml:space="preserve"> certain modifications to the WCA in </w:t>
      </w:r>
      <w:r w:rsidR="009E39E5">
        <w:rPr>
          <w:rFonts w:ascii="Times New Roman" w:hAnsi="Times New Roman" w:cs="Times New Roman"/>
          <w:sz w:val="24"/>
          <w:szCs w:val="24"/>
        </w:rPr>
        <w:t xml:space="preserve">its 2013 </w:t>
      </w:r>
      <w:r w:rsidR="0079219D">
        <w:rPr>
          <w:rFonts w:ascii="Times New Roman" w:hAnsi="Times New Roman" w:cs="Times New Roman"/>
          <w:sz w:val="24"/>
          <w:szCs w:val="24"/>
        </w:rPr>
        <w:t xml:space="preserve">general </w:t>
      </w:r>
      <w:r w:rsidR="009E39E5">
        <w:rPr>
          <w:rFonts w:ascii="Times New Roman" w:hAnsi="Times New Roman" w:cs="Times New Roman"/>
          <w:sz w:val="24"/>
          <w:szCs w:val="24"/>
        </w:rPr>
        <w:t>rate case</w:t>
      </w:r>
      <w:r w:rsidR="007B1B00">
        <w:rPr>
          <w:rFonts w:ascii="Times New Roman" w:hAnsi="Times New Roman" w:cs="Times New Roman"/>
          <w:sz w:val="24"/>
          <w:szCs w:val="24"/>
        </w:rPr>
        <w:t xml:space="preserve">, and </w:t>
      </w:r>
      <w:r w:rsidR="009E39E5">
        <w:rPr>
          <w:rFonts w:ascii="Times New Roman" w:hAnsi="Times New Roman" w:cs="Times New Roman"/>
          <w:sz w:val="24"/>
          <w:szCs w:val="24"/>
        </w:rPr>
        <w:t xml:space="preserve">will </w:t>
      </w:r>
      <w:r w:rsidR="007B1B00">
        <w:rPr>
          <w:rFonts w:ascii="Times New Roman" w:hAnsi="Times New Roman" w:cs="Times New Roman"/>
          <w:sz w:val="24"/>
          <w:szCs w:val="24"/>
        </w:rPr>
        <w:t>request that the Commission direct Staff to actively participate in the</w:t>
      </w:r>
      <w:r w:rsidR="009E39E5">
        <w:rPr>
          <w:rFonts w:ascii="Times New Roman" w:hAnsi="Times New Roman" w:cs="Times New Roman"/>
          <w:sz w:val="24"/>
          <w:szCs w:val="24"/>
        </w:rPr>
        <w:t xml:space="preserve"> upcoming</w:t>
      </w:r>
      <w:r w:rsidR="007B1B00">
        <w:rPr>
          <w:rFonts w:ascii="Times New Roman" w:hAnsi="Times New Roman" w:cs="Times New Roman"/>
          <w:sz w:val="24"/>
          <w:szCs w:val="24"/>
        </w:rPr>
        <w:t xml:space="preserve"> Multi-State Process (MSP)</w:t>
      </w:r>
      <w:r w:rsidR="00E42A5E">
        <w:rPr>
          <w:rFonts w:ascii="Times New Roman" w:hAnsi="Times New Roman" w:cs="Times New Roman"/>
          <w:sz w:val="24"/>
          <w:szCs w:val="24"/>
        </w:rPr>
        <w:t xml:space="preserve"> Standing Committee activities.</w:t>
      </w:r>
    </w:p>
    <w:p w:rsidR="007B1B00" w:rsidRDefault="007B1B00" w:rsidP="00A475EB">
      <w:pPr>
        <w:spacing w:after="0" w:line="240" w:lineRule="auto"/>
        <w:rPr>
          <w:rFonts w:ascii="Times New Roman" w:hAnsi="Times New Roman" w:cs="Times New Roman"/>
          <w:sz w:val="24"/>
          <w:szCs w:val="24"/>
        </w:rPr>
      </w:pPr>
    </w:p>
    <w:p w:rsidR="008F2988" w:rsidRDefault="007B1B00" w:rsidP="00A475EB">
      <w:pPr>
        <w:spacing w:after="0" w:line="240" w:lineRule="auto"/>
        <w:rPr>
          <w:rFonts w:ascii="Times New Roman" w:hAnsi="Times New Roman" w:cs="Times New Roman"/>
          <w:sz w:val="24"/>
          <w:szCs w:val="24"/>
        </w:rPr>
      </w:pPr>
      <w:r>
        <w:rPr>
          <w:rFonts w:ascii="Times New Roman" w:hAnsi="Times New Roman" w:cs="Times New Roman"/>
          <w:sz w:val="24"/>
          <w:szCs w:val="24"/>
        </w:rPr>
        <w:t>This evaluation</w:t>
      </w:r>
      <w:r w:rsidR="00CF7BE8">
        <w:rPr>
          <w:rFonts w:ascii="Times New Roman" w:hAnsi="Times New Roman" w:cs="Times New Roman"/>
          <w:sz w:val="24"/>
          <w:szCs w:val="24"/>
        </w:rPr>
        <w:t xml:space="preserve"> also reflects</w:t>
      </w:r>
      <w:r w:rsidR="00A475EB">
        <w:rPr>
          <w:rFonts w:ascii="Times New Roman" w:hAnsi="Times New Roman" w:cs="Times New Roman"/>
          <w:sz w:val="24"/>
          <w:szCs w:val="24"/>
        </w:rPr>
        <w:t xml:space="preserve"> discussions with Commission Staff, Public Counsel, and the Industrial Customers of Northwest Utilities.  These </w:t>
      </w:r>
      <w:r w:rsidR="00E60000">
        <w:rPr>
          <w:rFonts w:ascii="Times New Roman" w:hAnsi="Times New Roman" w:cs="Times New Roman"/>
          <w:sz w:val="24"/>
          <w:szCs w:val="24"/>
        </w:rPr>
        <w:t xml:space="preserve">discussions </w:t>
      </w:r>
      <w:r w:rsidR="00A475EB">
        <w:rPr>
          <w:rFonts w:ascii="Times New Roman" w:hAnsi="Times New Roman" w:cs="Times New Roman"/>
          <w:sz w:val="24"/>
          <w:szCs w:val="24"/>
        </w:rPr>
        <w:t>were the result of a settlement in the Company’s 2011 general rate case</w:t>
      </w:r>
      <w:r w:rsidR="006517D5">
        <w:rPr>
          <w:rFonts w:ascii="Times New Roman" w:hAnsi="Times New Roman" w:cs="Times New Roman"/>
          <w:sz w:val="24"/>
          <w:szCs w:val="24"/>
        </w:rPr>
        <w:t xml:space="preserve"> (d</w:t>
      </w:r>
      <w:r w:rsidR="00155E3B">
        <w:rPr>
          <w:rFonts w:ascii="Times New Roman" w:hAnsi="Times New Roman" w:cs="Times New Roman"/>
          <w:sz w:val="24"/>
          <w:szCs w:val="24"/>
        </w:rPr>
        <w:t>ocket UE-111190)</w:t>
      </w:r>
      <w:r w:rsidR="00A475EB">
        <w:rPr>
          <w:rFonts w:ascii="Times New Roman" w:hAnsi="Times New Roman" w:cs="Times New Roman"/>
          <w:sz w:val="24"/>
          <w:szCs w:val="24"/>
        </w:rPr>
        <w:t xml:space="preserve">.  In </w:t>
      </w:r>
      <w:r w:rsidR="00A1277A">
        <w:rPr>
          <w:rFonts w:ascii="Times New Roman" w:hAnsi="Times New Roman" w:cs="Times New Roman"/>
          <w:sz w:val="24"/>
          <w:szCs w:val="24"/>
        </w:rPr>
        <w:t>that s</w:t>
      </w:r>
      <w:r w:rsidR="00A475EB">
        <w:rPr>
          <w:rFonts w:ascii="Times New Roman" w:hAnsi="Times New Roman" w:cs="Times New Roman"/>
          <w:sz w:val="24"/>
          <w:szCs w:val="24"/>
        </w:rPr>
        <w:t xml:space="preserve">ettlement, the Company agreed not to file another rate case until January 2013 in order to engage in a collaborative process to discuss, among other things, the WCA as ordered by the Commission, challenges and concerns with the methodology, and possible modifications or alternatives.  </w:t>
      </w:r>
      <w:r w:rsidR="00A1277A">
        <w:rPr>
          <w:rFonts w:ascii="Times New Roman" w:hAnsi="Times New Roman" w:cs="Times New Roman"/>
          <w:sz w:val="24"/>
          <w:szCs w:val="24"/>
        </w:rPr>
        <w:t xml:space="preserve">From April through October 2012, the parties convened </w:t>
      </w:r>
      <w:r w:rsidR="00E42A5E">
        <w:rPr>
          <w:rFonts w:ascii="Times New Roman" w:hAnsi="Times New Roman" w:cs="Times New Roman"/>
          <w:sz w:val="24"/>
          <w:szCs w:val="24"/>
        </w:rPr>
        <w:t>ten</w:t>
      </w:r>
      <w:r w:rsidR="00A1277A">
        <w:rPr>
          <w:rFonts w:ascii="Times New Roman" w:hAnsi="Times New Roman" w:cs="Times New Roman"/>
          <w:sz w:val="24"/>
          <w:szCs w:val="24"/>
        </w:rPr>
        <w:t xml:space="preserve"> meetings.</w:t>
      </w:r>
      <w:r w:rsidR="00E60000">
        <w:rPr>
          <w:rFonts w:ascii="Times New Roman" w:hAnsi="Times New Roman" w:cs="Times New Roman"/>
          <w:sz w:val="24"/>
          <w:szCs w:val="24"/>
        </w:rPr>
        <w:t xml:space="preserve">  </w:t>
      </w:r>
      <w:r w:rsidR="00387058">
        <w:rPr>
          <w:rFonts w:ascii="Times New Roman" w:hAnsi="Times New Roman" w:cs="Times New Roman"/>
          <w:sz w:val="24"/>
          <w:szCs w:val="24"/>
        </w:rPr>
        <w:t>Unfortunately</w:t>
      </w:r>
      <w:r w:rsidR="00E60000">
        <w:rPr>
          <w:rFonts w:ascii="Times New Roman" w:hAnsi="Times New Roman" w:cs="Times New Roman"/>
          <w:sz w:val="24"/>
          <w:szCs w:val="24"/>
        </w:rPr>
        <w:t xml:space="preserve">, no </w:t>
      </w:r>
      <w:r w:rsidR="009E39E5">
        <w:rPr>
          <w:rFonts w:ascii="Times New Roman" w:hAnsi="Times New Roman" w:cs="Times New Roman"/>
          <w:sz w:val="24"/>
          <w:szCs w:val="24"/>
        </w:rPr>
        <w:t>consensus</w:t>
      </w:r>
      <w:r w:rsidR="00E60000">
        <w:rPr>
          <w:rFonts w:ascii="Times New Roman" w:hAnsi="Times New Roman" w:cs="Times New Roman"/>
          <w:sz w:val="24"/>
          <w:szCs w:val="24"/>
        </w:rPr>
        <w:t xml:space="preserve"> was </w:t>
      </w:r>
      <w:r w:rsidR="009E39E5">
        <w:rPr>
          <w:rFonts w:ascii="Times New Roman" w:hAnsi="Times New Roman" w:cs="Times New Roman"/>
          <w:sz w:val="24"/>
          <w:szCs w:val="24"/>
        </w:rPr>
        <w:t>reached</w:t>
      </w:r>
      <w:r w:rsidR="00E60000">
        <w:rPr>
          <w:rFonts w:ascii="Times New Roman" w:hAnsi="Times New Roman" w:cs="Times New Roman"/>
          <w:sz w:val="24"/>
          <w:szCs w:val="24"/>
        </w:rPr>
        <w:t xml:space="preserve"> among the parties to address the Company’s continued concerns that the WCA is not a sustainable approach </w:t>
      </w:r>
      <w:r w:rsidR="00E42A5E">
        <w:rPr>
          <w:rFonts w:ascii="Times New Roman" w:hAnsi="Times New Roman" w:cs="Times New Roman"/>
          <w:sz w:val="24"/>
          <w:szCs w:val="24"/>
        </w:rPr>
        <w:t>to setting rates in Washington.</w:t>
      </w:r>
    </w:p>
    <w:p w:rsidR="005F2D02" w:rsidRDefault="005F2D02" w:rsidP="00F32D1B">
      <w:pPr>
        <w:spacing w:after="0" w:line="240" w:lineRule="auto"/>
        <w:rPr>
          <w:rFonts w:ascii="Times New Roman" w:hAnsi="Times New Roman" w:cs="Times New Roman"/>
          <w:sz w:val="24"/>
          <w:szCs w:val="24"/>
        </w:rPr>
      </w:pPr>
    </w:p>
    <w:p w:rsidR="00E62709" w:rsidRDefault="005D34FF">
      <w:pPr>
        <w:jc w:val="center"/>
        <w:rPr>
          <w:rFonts w:ascii="Times New Roman" w:hAnsi="Times New Roman" w:cs="Times New Roman"/>
          <w:b/>
          <w:sz w:val="24"/>
          <w:szCs w:val="24"/>
        </w:rPr>
      </w:pPr>
      <w:r w:rsidRPr="005D34FF">
        <w:rPr>
          <w:rFonts w:ascii="Times New Roman" w:eastAsia="Times New Roman" w:hAnsi="Times New Roman" w:cs="Times New Roman"/>
          <w:b/>
          <w:color w:val="000000" w:themeColor="text1"/>
          <w:sz w:val="24"/>
          <w:szCs w:val="24"/>
        </w:rPr>
        <w:t>II.</w:t>
      </w:r>
      <w:r w:rsidRPr="005D34FF">
        <w:rPr>
          <w:rFonts w:ascii="Times New Roman" w:eastAsia="Times New Roman" w:hAnsi="Times New Roman" w:cs="Times New Roman"/>
          <w:b/>
          <w:color w:val="000000" w:themeColor="text1"/>
          <w:sz w:val="24"/>
          <w:szCs w:val="24"/>
        </w:rPr>
        <w:tab/>
      </w:r>
      <w:r w:rsidR="00BC4BC9">
        <w:rPr>
          <w:rFonts w:ascii="Times New Roman" w:hAnsi="Times New Roman" w:cs="Times New Roman"/>
          <w:b/>
          <w:sz w:val="24"/>
          <w:szCs w:val="24"/>
        </w:rPr>
        <w:t xml:space="preserve">DESCRIPTION OF </w:t>
      </w:r>
      <w:r w:rsidR="00601D4D">
        <w:rPr>
          <w:rFonts w:ascii="Times New Roman" w:hAnsi="Times New Roman" w:cs="Times New Roman"/>
          <w:b/>
          <w:sz w:val="24"/>
          <w:szCs w:val="24"/>
        </w:rPr>
        <w:t xml:space="preserve">THE </w:t>
      </w:r>
      <w:r w:rsidR="00E42A5E">
        <w:rPr>
          <w:rFonts w:ascii="Times New Roman" w:hAnsi="Times New Roman" w:cs="Times New Roman"/>
          <w:b/>
          <w:sz w:val="24"/>
          <w:szCs w:val="24"/>
        </w:rPr>
        <w:t>WCA</w:t>
      </w:r>
    </w:p>
    <w:p w:rsidR="00C63B31" w:rsidRDefault="00601D4D" w:rsidP="005327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approved by the Commission, </w:t>
      </w:r>
      <w:r w:rsidR="00A41851">
        <w:rPr>
          <w:rFonts w:ascii="Times New Roman" w:hAnsi="Times New Roman" w:cs="Times New Roman"/>
          <w:sz w:val="24"/>
          <w:szCs w:val="24"/>
        </w:rPr>
        <w:t>t</w:t>
      </w:r>
      <w:r w:rsidR="00A41851" w:rsidRPr="00601D4D">
        <w:rPr>
          <w:rFonts w:ascii="Times New Roman" w:hAnsi="Times New Roman" w:cs="Times New Roman"/>
          <w:sz w:val="24"/>
          <w:szCs w:val="24"/>
        </w:rPr>
        <w:t xml:space="preserve">he WCA </w:t>
      </w:r>
      <w:r w:rsidR="00A41851">
        <w:rPr>
          <w:rFonts w:ascii="Times New Roman" w:hAnsi="Times New Roman" w:cs="Times New Roman"/>
          <w:sz w:val="24"/>
          <w:szCs w:val="24"/>
        </w:rPr>
        <w:t>isolates the costs</w:t>
      </w:r>
      <w:r w:rsidR="00E4550E">
        <w:rPr>
          <w:rFonts w:ascii="Times New Roman" w:hAnsi="Times New Roman" w:cs="Times New Roman"/>
          <w:sz w:val="24"/>
          <w:szCs w:val="24"/>
        </w:rPr>
        <w:t xml:space="preserve"> and revenues</w:t>
      </w:r>
      <w:r w:rsidR="00A41851">
        <w:rPr>
          <w:rFonts w:ascii="Times New Roman" w:hAnsi="Times New Roman" w:cs="Times New Roman"/>
          <w:sz w:val="24"/>
          <w:szCs w:val="24"/>
        </w:rPr>
        <w:t xml:space="preserve"> associated with </w:t>
      </w:r>
      <w:r w:rsidR="00E60000">
        <w:rPr>
          <w:rFonts w:ascii="Times New Roman" w:hAnsi="Times New Roman" w:cs="Times New Roman"/>
          <w:sz w:val="24"/>
          <w:szCs w:val="24"/>
        </w:rPr>
        <w:t xml:space="preserve">assets located in the Company’s </w:t>
      </w:r>
      <w:r w:rsidR="00A41851">
        <w:rPr>
          <w:rFonts w:ascii="Times New Roman" w:hAnsi="Times New Roman" w:cs="Times New Roman"/>
          <w:sz w:val="24"/>
          <w:szCs w:val="24"/>
        </w:rPr>
        <w:t xml:space="preserve">west </w:t>
      </w:r>
      <w:r w:rsidR="009E39E5">
        <w:rPr>
          <w:rFonts w:ascii="Times New Roman" w:hAnsi="Times New Roman" w:cs="Times New Roman"/>
          <w:sz w:val="24"/>
          <w:szCs w:val="24"/>
        </w:rPr>
        <w:t>“</w:t>
      </w:r>
      <w:r w:rsidR="00A41851">
        <w:rPr>
          <w:rFonts w:ascii="Times New Roman" w:hAnsi="Times New Roman" w:cs="Times New Roman"/>
          <w:sz w:val="24"/>
          <w:szCs w:val="24"/>
        </w:rPr>
        <w:t>control area</w:t>
      </w:r>
      <w:r w:rsidR="009E39E5">
        <w:rPr>
          <w:rFonts w:ascii="Times New Roman" w:hAnsi="Times New Roman" w:cs="Times New Roman"/>
          <w:sz w:val="24"/>
          <w:szCs w:val="24"/>
        </w:rPr>
        <w:t>”</w:t>
      </w:r>
      <w:r w:rsidR="00E60000">
        <w:rPr>
          <w:rFonts w:ascii="Times New Roman" w:hAnsi="Times New Roman" w:cs="Times New Roman"/>
          <w:sz w:val="24"/>
          <w:szCs w:val="24"/>
        </w:rPr>
        <w:t xml:space="preserve"> or </w:t>
      </w:r>
      <w:r w:rsidR="00441091">
        <w:rPr>
          <w:rFonts w:ascii="Times New Roman" w:hAnsi="Times New Roman" w:cs="Times New Roman"/>
          <w:sz w:val="24"/>
          <w:szCs w:val="24"/>
        </w:rPr>
        <w:t xml:space="preserve">“PacifiCorp West </w:t>
      </w:r>
      <w:r w:rsidR="006B7AE7">
        <w:rPr>
          <w:rFonts w:ascii="Times New Roman" w:hAnsi="Times New Roman" w:cs="Times New Roman"/>
          <w:sz w:val="24"/>
          <w:szCs w:val="24"/>
        </w:rPr>
        <w:t>Balancing A</w:t>
      </w:r>
      <w:r w:rsidR="00E60000">
        <w:rPr>
          <w:rFonts w:ascii="Times New Roman" w:hAnsi="Times New Roman" w:cs="Times New Roman"/>
          <w:sz w:val="24"/>
          <w:szCs w:val="24"/>
        </w:rPr>
        <w:t xml:space="preserve">uthority </w:t>
      </w:r>
      <w:r w:rsidR="006B7AE7">
        <w:rPr>
          <w:rFonts w:ascii="Times New Roman" w:hAnsi="Times New Roman" w:cs="Times New Roman"/>
          <w:sz w:val="24"/>
          <w:szCs w:val="24"/>
        </w:rPr>
        <w:t>A</w:t>
      </w:r>
      <w:r w:rsidR="00441091">
        <w:rPr>
          <w:rFonts w:ascii="Times New Roman" w:hAnsi="Times New Roman" w:cs="Times New Roman"/>
          <w:sz w:val="24"/>
          <w:szCs w:val="24"/>
        </w:rPr>
        <w:t xml:space="preserve">rea” </w:t>
      </w:r>
      <w:r w:rsidR="00E60000">
        <w:rPr>
          <w:rFonts w:ascii="Times New Roman" w:hAnsi="Times New Roman" w:cs="Times New Roman"/>
          <w:sz w:val="24"/>
          <w:szCs w:val="24"/>
        </w:rPr>
        <w:t>(PACW),</w:t>
      </w:r>
      <w:r w:rsidR="00A41851">
        <w:rPr>
          <w:rFonts w:ascii="Times New Roman" w:hAnsi="Times New Roman" w:cs="Times New Roman"/>
          <w:sz w:val="24"/>
          <w:szCs w:val="24"/>
        </w:rPr>
        <w:t xml:space="preserve"> and allocates to Washington a proportionate share of the costs </w:t>
      </w:r>
      <w:r w:rsidR="00E4550E">
        <w:rPr>
          <w:rFonts w:ascii="Times New Roman" w:hAnsi="Times New Roman" w:cs="Times New Roman"/>
          <w:sz w:val="24"/>
          <w:szCs w:val="24"/>
        </w:rPr>
        <w:t xml:space="preserve">and revenues </w:t>
      </w:r>
      <w:r w:rsidR="00A41851">
        <w:rPr>
          <w:rFonts w:ascii="Times New Roman" w:hAnsi="Times New Roman" w:cs="Times New Roman"/>
          <w:sz w:val="24"/>
          <w:szCs w:val="24"/>
        </w:rPr>
        <w:t xml:space="preserve">based primarily on </w:t>
      </w:r>
      <w:r w:rsidR="00E60000">
        <w:rPr>
          <w:rFonts w:ascii="Times New Roman" w:hAnsi="Times New Roman" w:cs="Times New Roman"/>
          <w:sz w:val="24"/>
          <w:szCs w:val="24"/>
        </w:rPr>
        <w:t xml:space="preserve">Washington’s relative contribution to </w:t>
      </w:r>
      <w:r w:rsidR="00E42A5E">
        <w:rPr>
          <w:rFonts w:ascii="Times New Roman" w:hAnsi="Times New Roman" w:cs="Times New Roman"/>
          <w:sz w:val="24"/>
          <w:szCs w:val="24"/>
        </w:rPr>
        <w:t>demand</w:t>
      </w:r>
      <w:r w:rsidR="00E60000">
        <w:rPr>
          <w:rFonts w:ascii="Times New Roman" w:hAnsi="Times New Roman" w:cs="Times New Roman"/>
          <w:sz w:val="24"/>
          <w:szCs w:val="24"/>
        </w:rPr>
        <w:t xml:space="preserve"> and energy requirements</w:t>
      </w:r>
      <w:r w:rsidR="00A41851">
        <w:rPr>
          <w:rFonts w:ascii="Times New Roman" w:hAnsi="Times New Roman" w:cs="Times New Roman"/>
          <w:sz w:val="24"/>
          <w:szCs w:val="24"/>
        </w:rPr>
        <w:t>.  T</w:t>
      </w:r>
      <w:r>
        <w:rPr>
          <w:rFonts w:ascii="Times New Roman" w:hAnsi="Times New Roman" w:cs="Times New Roman"/>
          <w:sz w:val="24"/>
          <w:szCs w:val="24"/>
        </w:rPr>
        <w:t xml:space="preserve">he </w:t>
      </w:r>
      <w:r w:rsidR="006B7AE7">
        <w:rPr>
          <w:rFonts w:ascii="Times New Roman" w:hAnsi="Times New Roman" w:cs="Times New Roman"/>
          <w:sz w:val="24"/>
          <w:szCs w:val="24"/>
        </w:rPr>
        <w:t xml:space="preserve">WCA </w:t>
      </w:r>
      <w:r>
        <w:rPr>
          <w:rFonts w:ascii="Times New Roman" w:hAnsi="Times New Roman" w:cs="Times New Roman"/>
          <w:sz w:val="24"/>
          <w:szCs w:val="24"/>
        </w:rPr>
        <w:t xml:space="preserve">includes </w:t>
      </w:r>
      <w:r w:rsidR="00C63B31">
        <w:rPr>
          <w:rFonts w:ascii="Times New Roman" w:hAnsi="Times New Roman" w:cs="Times New Roman"/>
          <w:sz w:val="24"/>
          <w:szCs w:val="24"/>
        </w:rPr>
        <w:t xml:space="preserve">loads, </w:t>
      </w:r>
      <w:r w:rsidR="00E60000">
        <w:rPr>
          <w:rFonts w:ascii="Times New Roman" w:hAnsi="Times New Roman" w:cs="Times New Roman"/>
          <w:sz w:val="24"/>
          <w:szCs w:val="24"/>
        </w:rPr>
        <w:t>generation and transmission assets</w:t>
      </w:r>
      <w:r w:rsidR="00C63B31">
        <w:rPr>
          <w:rFonts w:ascii="Times New Roman" w:hAnsi="Times New Roman" w:cs="Times New Roman"/>
          <w:sz w:val="24"/>
          <w:szCs w:val="24"/>
        </w:rPr>
        <w:t xml:space="preserve"> and wholesale contracts</w:t>
      </w:r>
      <w:r w:rsidR="00E60000">
        <w:rPr>
          <w:rFonts w:ascii="Times New Roman" w:hAnsi="Times New Roman" w:cs="Times New Roman"/>
          <w:sz w:val="24"/>
          <w:szCs w:val="24"/>
        </w:rPr>
        <w:t xml:space="preserve"> for facilities located in California, Oregon</w:t>
      </w:r>
      <w:r w:rsidR="00441091">
        <w:rPr>
          <w:rFonts w:ascii="Times New Roman" w:hAnsi="Times New Roman" w:cs="Times New Roman"/>
          <w:sz w:val="24"/>
          <w:szCs w:val="24"/>
        </w:rPr>
        <w:t>,</w:t>
      </w:r>
      <w:r w:rsidR="00E60000">
        <w:rPr>
          <w:rFonts w:ascii="Times New Roman" w:hAnsi="Times New Roman" w:cs="Times New Roman"/>
          <w:sz w:val="24"/>
          <w:szCs w:val="24"/>
        </w:rPr>
        <w:t xml:space="preserve"> and Washington</w:t>
      </w:r>
      <w:r w:rsidR="00C63B31">
        <w:rPr>
          <w:rFonts w:ascii="Times New Roman" w:hAnsi="Times New Roman" w:cs="Times New Roman"/>
          <w:sz w:val="24"/>
          <w:szCs w:val="24"/>
        </w:rPr>
        <w:t xml:space="preserve">.  It also includes </w:t>
      </w:r>
      <w:r w:rsidR="00C63B31">
        <w:rPr>
          <w:rFonts w:ascii="Times New Roman" w:hAnsi="Times New Roman" w:cs="Times New Roman"/>
          <w:sz w:val="24"/>
          <w:szCs w:val="24"/>
        </w:rPr>
        <w:lastRenderedPageBreak/>
        <w:t xml:space="preserve">transmission and generation assets located outside of </w:t>
      </w:r>
      <w:r w:rsidR="00E60000">
        <w:rPr>
          <w:rFonts w:ascii="Times New Roman" w:hAnsi="Times New Roman" w:cs="Times New Roman"/>
          <w:sz w:val="24"/>
          <w:szCs w:val="24"/>
        </w:rPr>
        <w:t>California, Oregon</w:t>
      </w:r>
      <w:r w:rsidR="00441091">
        <w:rPr>
          <w:rFonts w:ascii="Times New Roman" w:hAnsi="Times New Roman" w:cs="Times New Roman"/>
          <w:sz w:val="24"/>
          <w:szCs w:val="24"/>
        </w:rPr>
        <w:t>,</w:t>
      </w:r>
      <w:r w:rsidR="00E60000">
        <w:rPr>
          <w:rFonts w:ascii="Times New Roman" w:hAnsi="Times New Roman" w:cs="Times New Roman"/>
          <w:sz w:val="24"/>
          <w:szCs w:val="24"/>
        </w:rPr>
        <w:t xml:space="preserve"> and Washington </w:t>
      </w:r>
      <w:r w:rsidR="00381310">
        <w:rPr>
          <w:rFonts w:ascii="Times New Roman" w:hAnsi="Times New Roman" w:cs="Times New Roman"/>
          <w:sz w:val="24"/>
          <w:szCs w:val="24"/>
        </w:rPr>
        <w:t xml:space="preserve">that </w:t>
      </w:r>
      <w:r w:rsidR="00E60000">
        <w:rPr>
          <w:rFonts w:ascii="Times New Roman" w:hAnsi="Times New Roman" w:cs="Times New Roman"/>
          <w:sz w:val="24"/>
          <w:szCs w:val="24"/>
        </w:rPr>
        <w:t>are electrically located in PACW</w:t>
      </w:r>
      <w:r w:rsidR="00C63B31">
        <w:rPr>
          <w:rFonts w:ascii="Times New Roman" w:hAnsi="Times New Roman" w:cs="Times New Roman"/>
          <w:sz w:val="24"/>
          <w:szCs w:val="24"/>
        </w:rPr>
        <w:t xml:space="preserve">.  The </w:t>
      </w:r>
      <w:r w:rsidR="006B7AE7">
        <w:rPr>
          <w:rFonts w:ascii="Times New Roman" w:hAnsi="Times New Roman" w:cs="Times New Roman"/>
          <w:sz w:val="24"/>
          <w:szCs w:val="24"/>
        </w:rPr>
        <w:t>WCA</w:t>
      </w:r>
      <w:r w:rsidR="009E39E5">
        <w:rPr>
          <w:rFonts w:ascii="Times New Roman" w:hAnsi="Times New Roman" w:cs="Times New Roman"/>
          <w:sz w:val="24"/>
          <w:szCs w:val="24"/>
        </w:rPr>
        <w:t xml:space="preserve"> </w:t>
      </w:r>
      <w:r w:rsidR="00E60000">
        <w:rPr>
          <w:rFonts w:ascii="Times New Roman" w:hAnsi="Times New Roman" w:cs="Times New Roman"/>
          <w:sz w:val="24"/>
          <w:szCs w:val="24"/>
        </w:rPr>
        <w:t>exclude</w:t>
      </w:r>
      <w:r w:rsidR="009E39E5">
        <w:rPr>
          <w:rFonts w:ascii="Times New Roman" w:hAnsi="Times New Roman" w:cs="Times New Roman"/>
          <w:sz w:val="24"/>
          <w:szCs w:val="24"/>
        </w:rPr>
        <w:t>s</w:t>
      </w:r>
      <w:r w:rsidR="00E60000">
        <w:rPr>
          <w:rFonts w:ascii="Times New Roman" w:hAnsi="Times New Roman" w:cs="Times New Roman"/>
          <w:sz w:val="24"/>
          <w:szCs w:val="24"/>
        </w:rPr>
        <w:t xml:space="preserve"> all loads and assets located within </w:t>
      </w:r>
      <w:r w:rsidR="00441091">
        <w:rPr>
          <w:rFonts w:ascii="Times New Roman" w:hAnsi="Times New Roman" w:cs="Times New Roman"/>
          <w:sz w:val="24"/>
          <w:szCs w:val="24"/>
        </w:rPr>
        <w:t xml:space="preserve">PacifiCorp’s </w:t>
      </w:r>
      <w:r w:rsidR="006B7AE7">
        <w:rPr>
          <w:rFonts w:ascii="Times New Roman" w:hAnsi="Times New Roman" w:cs="Times New Roman"/>
          <w:sz w:val="24"/>
          <w:szCs w:val="24"/>
        </w:rPr>
        <w:t>E</w:t>
      </w:r>
      <w:r w:rsidR="00441091">
        <w:rPr>
          <w:rFonts w:ascii="Times New Roman" w:hAnsi="Times New Roman" w:cs="Times New Roman"/>
          <w:sz w:val="24"/>
          <w:szCs w:val="24"/>
        </w:rPr>
        <w:t>ast</w:t>
      </w:r>
      <w:r w:rsidR="00C63B31">
        <w:rPr>
          <w:rFonts w:ascii="Times New Roman" w:hAnsi="Times New Roman" w:cs="Times New Roman"/>
          <w:sz w:val="24"/>
          <w:szCs w:val="24"/>
        </w:rPr>
        <w:t xml:space="preserve"> </w:t>
      </w:r>
      <w:r w:rsidR="006B7AE7">
        <w:rPr>
          <w:rFonts w:ascii="Times New Roman" w:hAnsi="Times New Roman" w:cs="Times New Roman"/>
          <w:sz w:val="24"/>
          <w:szCs w:val="24"/>
        </w:rPr>
        <w:t>B</w:t>
      </w:r>
      <w:r w:rsidR="00381310">
        <w:rPr>
          <w:rFonts w:ascii="Times New Roman" w:hAnsi="Times New Roman" w:cs="Times New Roman"/>
          <w:sz w:val="24"/>
          <w:szCs w:val="24"/>
        </w:rPr>
        <w:t xml:space="preserve">alancing </w:t>
      </w:r>
      <w:r w:rsidR="006B7AE7">
        <w:rPr>
          <w:rFonts w:ascii="Times New Roman" w:hAnsi="Times New Roman" w:cs="Times New Roman"/>
          <w:sz w:val="24"/>
          <w:szCs w:val="24"/>
        </w:rPr>
        <w:t>A</w:t>
      </w:r>
      <w:r w:rsidR="00381310">
        <w:rPr>
          <w:rFonts w:ascii="Times New Roman" w:hAnsi="Times New Roman" w:cs="Times New Roman"/>
          <w:sz w:val="24"/>
          <w:szCs w:val="24"/>
        </w:rPr>
        <w:t xml:space="preserve">uthority </w:t>
      </w:r>
      <w:r w:rsidR="006B7AE7">
        <w:rPr>
          <w:rFonts w:ascii="Times New Roman" w:hAnsi="Times New Roman" w:cs="Times New Roman"/>
          <w:sz w:val="24"/>
          <w:szCs w:val="24"/>
        </w:rPr>
        <w:t>A</w:t>
      </w:r>
      <w:r w:rsidR="00441091">
        <w:rPr>
          <w:rFonts w:ascii="Times New Roman" w:hAnsi="Times New Roman" w:cs="Times New Roman"/>
          <w:sz w:val="24"/>
          <w:szCs w:val="24"/>
        </w:rPr>
        <w:t xml:space="preserve">rea </w:t>
      </w:r>
      <w:r w:rsidR="00381310">
        <w:rPr>
          <w:rFonts w:ascii="Times New Roman" w:hAnsi="Times New Roman" w:cs="Times New Roman"/>
          <w:sz w:val="24"/>
          <w:szCs w:val="24"/>
        </w:rPr>
        <w:t>(PACE)</w:t>
      </w:r>
      <w:r w:rsidR="00E42A5E">
        <w:rPr>
          <w:rFonts w:ascii="Times New Roman" w:hAnsi="Times New Roman" w:cs="Times New Roman"/>
          <w:sz w:val="24"/>
          <w:szCs w:val="24"/>
        </w:rPr>
        <w:t>.</w:t>
      </w:r>
    </w:p>
    <w:p w:rsidR="00A41851" w:rsidRDefault="00A41851" w:rsidP="00601D4D">
      <w:pPr>
        <w:spacing w:after="0" w:line="240" w:lineRule="auto"/>
        <w:rPr>
          <w:rFonts w:ascii="Times New Roman" w:hAnsi="Times New Roman" w:cs="Times New Roman"/>
          <w:sz w:val="24"/>
          <w:szCs w:val="24"/>
        </w:rPr>
      </w:pPr>
    </w:p>
    <w:p w:rsidR="00A41851" w:rsidRDefault="00285AC8" w:rsidP="00601D4D">
      <w:pPr>
        <w:spacing w:after="0" w:line="240" w:lineRule="auto"/>
        <w:rPr>
          <w:rFonts w:ascii="Times New Roman" w:hAnsi="Times New Roman" w:cs="Times New Roman"/>
          <w:sz w:val="24"/>
          <w:szCs w:val="24"/>
        </w:rPr>
      </w:pPr>
      <w:r>
        <w:rPr>
          <w:rFonts w:ascii="Times New Roman" w:hAnsi="Times New Roman" w:cs="Times New Roman"/>
          <w:sz w:val="24"/>
          <w:szCs w:val="24"/>
        </w:rPr>
        <w:t>The primary revenue requirement components and the associated treatment unde</w:t>
      </w:r>
      <w:r w:rsidR="00E42A5E">
        <w:rPr>
          <w:rFonts w:ascii="Times New Roman" w:hAnsi="Times New Roman" w:cs="Times New Roman"/>
          <w:sz w:val="24"/>
          <w:szCs w:val="24"/>
        </w:rPr>
        <w:t>r the WCA are described below.</w:t>
      </w:r>
    </w:p>
    <w:p w:rsidR="00285AC8" w:rsidRDefault="00285AC8" w:rsidP="00601D4D">
      <w:pPr>
        <w:spacing w:after="0" w:line="240" w:lineRule="auto"/>
        <w:rPr>
          <w:rFonts w:ascii="Times New Roman" w:hAnsi="Times New Roman" w:cs="Times New Roman"/>
          <w:sz w:val="24"/>
          <w:szCs w:val="24"/>
        </w:rPr>
      </w:pPr>
    </w:p>
    <w:p w:rsidR="00285AC8" w:rsidRPr="00285AC8" w:rsidRDefault="00285AC8" w:rsidP="00601D4D">
      <w:pPr>
        <w:spacing w:after="0" w:line="240" w:lineRule="auto"/>
        <w:rPr>
          <w:rFonts w:ascii="Times New Roman" w:hAnsi="Times New Roman" w:cs="Times New Roman"/>
          <w:b/>
          <w:sz w:val="24"/>
          <w:szCs w:val="24"/>
        </w:rPr>
      </w:pPr>
      <w:r w:rsidRPr="00285AC8">
        <w:rPr>
          <w:rFonts w:ascii="Times New Roman" w:hAnsi="Times New Roman" w:cs="Times New Roman"/>
          <w:b/>
          <w:sz w:val="24"/>
          <w:szCs w:val="24"/>
        </w:rPr>
        <w:t>A.</w:t>
      </w:r>
      <w:r w:rsidRPr="00285AC8">
        <w:rPr>
          <w:rFonts w:ascii="Times New Roman" w:hAnsi="Times New Roman" w:cs="Times New Roman"/>
          <w:b/>
          <w:sz w:val="24"/>
          <w:szCs w:val="24"/>
        </w:rPr>
        <w:tab/>
        <w:t>Generating Resources</w:t>
      </w:r>
    </w:p>
    <w:p w:rsidR="00285AC8" w:rsidRPr="00285AC8" w:rsidRDefault="00285AC8" w:rsidP="00601D4D">
      <w:pPr>
        <w:spacing w:after="0" w:line="240" w:lineRule="auto"/>
        <w:rPr>
          <w:rFonts w:ascii="Times New Roman" w:hAnsi="Times New Roman" w:cs="Times New Roman"/>
          <w:b/>
          <w:sz w:val="24"/>
          <w:szCs w:val="24"/>
        </w:rPr>
      </w:pPr>
    </w:p>
    <w:p w:rsidR="00285AC8" w:rsidRDefault="00285AC8" w:rsidP="00601D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81310">
        <w:rPr>
          <w:rFonts w:ascii="Times New Roman" w:hAnsi="Times New Roman" w:cs="Times New Roman"/>
          <w:sz w:val="24"/>
          <w:szCs w:val="24"/>
        </w:rPr>
        <w:t>WCA</w:t>
      </w:r>
      <w:r>
        <w:rPr>
          <w:rFonts w:ascii="Times New Roman" w:hAnsi="Times New Roman" w:cs="Times New Roman"/>
          <w:sz w:val="24"/>
          <w:szCs w:val="24"/>
        </w:rPr>
        <w:t xml:space="preserve"> includes: (1) the Hermiston and Chehalis natural-gas-fired generating plants; (2) the Jim Bridger and Colstrip Unit 4 coal-fired generating plants; (3) the Leaning Juniper, Marengo, Marengo II, and Goodnoe Hills wind generating facilities; (4) the Lewis River, North Umpqua, Klamath, and Prospect (Rogue River) major hydroelectric projects, as well as minor hydroelectric projects in California, Oregon, and Washington</w:t>
      </w:r>
      <w:r w:rsidR="00076ABB">
        <w:rPr>
          <w:rFonts w:ascii="Times New Roman" w:hAnsi="Times New Roman" w:cs="Times New Roman"/>
          <w:sz w:val="24"/>
          <w:szCs w:val="24"/>
        </w:rPr>
        <w:t>; and (5) wholesale contract</w:t>
      </w:r>
      <w:r w:rsidR="00381310">
        <w:rPr>
          <w:rFonts w:ascii="Times New Roman" w:hAnsi="Times New Roman" w:cs="Times New Roman"/>
          <w:sz w:val="24"/>
          <w:szCs w:val="24"/>
        </w:rPr>
        <w:t>s</w:t>
      </w:r>
      <w:r w:rsidR="00076ABB">
        <w:rPr>
          <w:rFonts w:ascii="Times New Roman" w:hAnsi="Times New Roman" w:cs="Times New Roman"/>
          <w:sz w:val="24"/>
          <w:szCs w:val="24"/>
        </w:rPr>
        <w:t xml:space="preserve"> and sales with </w:t>
      </w:r>
      <w:r w:rsidR="00381310">
        <w:rPr>
          <w:rFonts w:ascii="Times New Roman" w:hAnsi="Times New Roman" w:cs="Times New Roman"/>
          <w:sz w:val="24"/>
          <w:szCs w:val="24"/>
        </w:rPr>
        <w:t>third parties</w:t>
      </w:r>
      <w:r w:rsidR="00076ABB">
        <w:rPr>
          <w:rFonts w:ascii="Times New Roman" w:hAnsi="Times New Roman" w:cs="Times New Roman"/>
          <w:sz w:val="24"/>
          <w:szCs w:val="24"/>
        </w:rPr>
        <w:t>, including the Bonneville Power Administration (BPA)</w:t>
      </w:r>
      <w:r w:rsidR="00E42A5E">
        <w:rPr>
          <w:rFonts w:ascii="Times New Roman" w:hAnsi="Times New Roman" w:cs="Times New Roman"/>
          <w:sz w:val="24"/>
          <w:szCs w:val="24"/>
        </w:rPr>
        <w:t>.</w:t>
      </w:r>
    </w:p>
    <w:p w:rsidR="00C777B5" w:rsidRDefault="00C777B5" w:rsidP="00601D4D">
      <w:pPr>
        <w:spacing w:after="0" w:line="240" w:lineRule="auto"/>
        <w:rPr>
          <w:rFonts w:ascii="Times New Roman" w:hAnsi="Times New Roman" w:cs="Times New Roman"/>
          <w:sz w:val="24"/>
          <w:szCs w:val="24"/>
        </w:rPr>
      </w:pPr>
    </w:p>
    <w:p w:rsidR="006517D5" w:rsidRDefault="00285AC8" w:rsidP="00601D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fixed and </w:t>
      </w:r>
      <w:r w:rsidR="00076ABB">
        <w:rPr>
          <w:rFonts w:ascii="Times New Roman" w:hAnsi="Times New Roman" w:cs="Times New Roman"/>
          <w:sz w:val="24"/>
          <w:szCs w:val="24"/>
        </w:rPr>
        <w:t>operating</w:t>
      </w:r>
      <w:r>
        <w:rPr>
          <w:rFonts w:ascii="Times New Roman" w:hAnsi="Times New Roman" w:cs="Times New Roman"/>
          <w:sz w:val="24"/>
          <w:szCs w:val="24"/>
        </w:rPr>
        <w:t xml:space="preserve"> costs associated with </w:t>
      </w:r>
      <w:r w:rsidR="00076ABB">
        <w:rPr>
          <w:rFonts w:ascii="Times New Roman" w:hAnsi="Times New Roman" w:cs="Times New Roman"/>
          <w:sz w:val="24"/>
          <w:szCs w:val="24"/>
        </w:rPr>
        <w:t>Company-owned</w:t>
      </w:r>
      <w:r>
        <w:rPr>
          <w:rFonts w:ascii="Times New Roman" w:hAnsi="Times New Roman" w:cs="Times New Roman"/>
          <w:sz w:val="24"/>
          <w:szCs w:val="24"/>
        </w:rPr>
        <w:t xml:space="preserve"> resources are allocated </w:t>
      </w:r>
      <w:r w:rsidR="005F334A">
        <w:rPr>
          <w:rFonts w:ascii="Times New Roman" w:hAnsi="Times New Roman" w:cs="Times New Roman"/>
          <w:sz w:val="24"/>
          <w:szCs w:val="24"/>
        </w:rPr>
        <w:t xml:space="preserve">to Washington </w:t>
      </w:r>
      <w:r>
        <w:rPr>
          <w:rFonts w:ascii="Times New Roman" w:hAnsi="Times New Roman" w:cs="Times New Roman"/>
          <w:sz w:val="24"/>
          <w:szCs w:val="24"/>
        </w:rPr>
        <w:t xml:space="preserve">using the Control Area Generation West (CAGW) allocation factor, which is developed based on Washington’s </w:t>
      </w:r>
      <w:r w:rsidR="00076ABB">
        <w:rPr>
          <w:rFonts w:ascii="Times New Roman" w:hAnsi="Times New Roman" w:cs="Times New Roman"/>
          <w:sz w:val="24"/>
          <w:szCs w:val="24"/>
        </w:rPr>
        <w:t>relative contribution to</w:t>
      </w:r>
      <w:r>
        <w:rPr>
          <w:rFonts w:ascii="Times New Roman" w:hAnsi="Times New Roman" w:cs="Times New Roman"/>
          <w:sz w:val="24"/>
          <w:szCs w:val="24"/>
        </w:rPr>
        <w:t xml:space="preserve"> total </w:t>
      </w:r>
      <w:r w:rsidR="00155E3B">
        <w:rPr>
          <w:rFonts w:ascii="Times New Roman" w:hAnsi="Times New Roman" w:cs="Times New Roman"/>
          <w:sz w:val="24"/>
          <w:szCs w:val="24"/>
        </w:rPr>
        <w:t>demand and energy requirements for California, Oregon, and Washington</w:t>
      </w:r>
      <w:r w:rsidR="00381310">
        <w:rPr>
          <w:rFonts w:ascii="Times New Roman" w:hAnsi="Times New Roman" w:cs="Times New Roman"/>
          <w:sz w:val="24"/>
          <w:szCs w:val="24"/>
        </w:rPr>
        <w:t xml:space="preserve">. </w:t>
      </w:r>
      <w:r w:rsidR="006B7AE7">
        <w:rPr>
          <w:rFonts w:ascii="Times New Roman" w:hAnsi="Times New Roman" w:cs="Times New Roman"/>
          <w:sz w:val="24"/>
          <w:szCs w:val="24"/>
        </w:rPr>
        <w:t xml:space="preserve"> </w:t>
      </w:r>
      <w:r w:rsidR="00381310">
        <w:rPr>
          <w:rFonts w:ascii="Times New Roman" w:hAnsi="Times New Roman" w:cs="Times New Roman"/>
          <w:sz w:val="24"/>
          <w:szCs w:val="24"/>
        </w:rPr>
        <w:t xml:space="preserve">The factor is weighted to reflect </w:t>
      </w:r>
    </w:p>
    <w:p w:rsidR="00C63B31" w:rsidRDefault="00076ABB" w:rsidP="00601D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75 percent </w:t>
      </w:r>
      <w:r w:rsidR="00285AC8">
        <w:rPr>
          <w:rFonts w:ascii="Times New Roman" w:hAnsi="Times New Roman" w:cs="Times New Roman"/>
          <w:sz w:val="24"/>
          <w:szCs w:val="24"/>
        </w:rPr>
        <w:t xml:space="preserve">demand and </w:t>
      </w:r>
      <w:r w:rsidR="00E42A5E">
        <w:rPr>
          <w:rFonts w:ascii="Times New Roman" w:hAnsi="Times New Roman" w:cs="Times New Roman"/>
          <w:sz w:val="24"/>
          <w:szCs w:val="24"/>
        </w:rPr>
        <w:t>25 </w:t>
      </w:r>
      <w:r>
        <w:rPr>
          <w:rFonts w:ascii="Times New Roman" w:hAnsi="Times New Roman" w:cs="Times New Roman"/>
          <w:sz w:val="24"/>
          <w:szCs w:val="24"/>
        </w:rPr>
        <w:t xml:space="preserve">percent </w:t>
      </w:r>
      <w:r w:rsidR="00285AC8">
        <w:rPr>
          <w:rFonts w:ascii="Times New Roman" w:hAnsi="Times New Roman" w:cs="Times New Roman"/>
          <w:sz w:val="24"/>
          <w:szCs w:val="24"/>
        </w:rPr>
        <w:t xml:space="preserve">energy. </w:t>
      </w:r>
      <w:r>
        <w:rPr>
          <w:rFonts w:ascii="Times New Roman" w:hAnsi="Times New Roman" w:cs="Times New Roman"/>
          <w:sz w:val="24"/>
          <w:szCs w:val="24"/>
        </w:rPr>
        <w:t xml:space="preserve"> The fuel costs associated with the natural gas and coal facilities are allocated </w:t>
      </w:r>
      <w:r w:rsidR="005F334A">
        <w:rPr>
          <w:rFonts w:ascii="Times New Roman" w:hAnsi="Times New Roman" w:cs="Times New Roman"/>
          <w:sz w:val="24"/>
          <w:szCs w:val="24"/>
        </w:rPr>
        <w:t xml:space="preserve">to Washington </w:t>
      </w:r>
      <w:r>
        <w:rPr>
          <w:rFonts w:ascii="Times New Roman" w:hAnsi="Times New Roman" w:cs="Times New Roman"/>
          <w:sz w:val="24"/>
          <w:szCs w:val="24"/>
        </w:rPr>
        <w:t xml:space="preserve">using the Control Area Energy West (CAEW) allocation factor, which is developed based on Washington’s relative contribution to </w:t>
      </w:r>
      <w:r w:rsidR="00155E3B">
        <w:rPr>
          <w:rFonts w:ascii="Times New Roman" w:hAnsi="Times New Roman" w:cs="Times New Roman"/>
          <w:sz w:val="24"/>
          <w:szCs w:val="24"/>
        </w:rPr>
        <w:t xml:space="preserve">total </w:t>
      </w:r>
      <w:r>
        <w:rPr>
          <w:rFonts w:ascii="Times New Roman" w:hAnsi="Times New Roman" w:cs="Times New Roman"/>
          <w:sz w:val="24"/>
          <w:szCs w:val="24"/>
        </w:rPr>
        <w:t>energy</w:t>
      </w:r>
      <w:r w:rsidR="00381310">
        <w:rPr>
          <w:rFonts w:ascii="Times New Roman" w:hAnsi="Times New Roman" w:cs="Times New Roman"/>
          <w:sz w:val="24"/>
          <w:szCs w:val="24"/>
        </w:rPr>
        <w:t xml:space="preserve"> requirements</w:t>
      </w:r>
      <w:r w:rsidR="00155E3B">
        <w:rPr>
          <w:rFonts w:ascii="Times New Roman" w:hAnsi="Times New Roman" w:cs="Times New Roman"/>
          <w:sz w:val="24"/>
          <w:szCs w:val="24"/>
        </w:rPr>
        <w:t xml:space="preserve"> for California, Oregon, and Washington</w:t>
      </w:r>
      <w:r>
        <w:rPr>
          <w:rFonts w:ascii="Times New Roman" w:hAnsi="Times New Roman" w:cs="Times New Roman"/>
          <w:sz w:val="24"/>
          <w:szCs w:val="24"/>
        </w:rPr>
        <w:t>.</w:t>
      </w:r>
      <w:r w:rsidR="0099752B">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Wholesale contracts and sales are </w:t>
      </w:r>
      <w:r w:rsidR="00E42A5E">
        <w:rPr>
          <w:rFonts w:ascii="Times New Roman" w:hAnsi="Times New Roman" w:cs="Times New Roman"/>
          <w:sz w:val="24"/>
          <w:szCs w:val="24"/>
        </w:rPr>
        <w:t>allocated using the CAGW factor </w:t>
      </w:r>
      <w:r>
        <w:rPr>
          <w:rFonts w:ascii="Times New Roman" w:hAnsi="Times New Roman" w:cs="Times New Roman"/>
          <w:sz w:val="24"/>
          <w:szCs w:val="24"/>
        </w:rPr>
        <w:t>for firm contracts and the CAEW for non-firm contracts.</w:t>
      </w:r>
    </w:p>
    <w:p w:rsidR="0099752B" w:rsidRDefault="0099752B" w:rsidP="00601D4D">
      <w:pPr>
        <w:spacing w:after="0" w:line="240" w:lineRule="auto"/>
        <w:rPr>
          <w:rFonts w:ascii="Times New Roman" w:hAnsi="Times New Roman" w:cs="Times New Roman"/>
          <w:sz w:val="24"/>
          <w:szCs w:val="24"/>
        </w:rPr>
      </w:pPr>
    </w:p>
    <w:p w:rsidR="0099752B" w:rsidRDefault="00381310" w:rsidP="00601D4D">
      <w:pPr>
        <w:spacing w:after="0" w:line="240" w:lineRule="auto"/>
        <w:rPr>
          <w:rFonts w:ascii="Times New Roman" w:hAnsi="Times New Roman" w:cs="Times New Roman"/>
          <w:sz w:val="24"/>
          <w:szCs w:val="24"/>
        </w:rPr>
      </w:pPr>
      <w:r>
        <w:rPr>
          <w:rFonts w:ascii="Times New Roman" w:hAnsi="Times New Roman" w:cs="Times New Roman"/>
          <w:sz w:val="24"/>
          <w:szCs w:val="24"/>
        </w:rPr>
        <w:t>Generation-related c</w:t>
      </w:r>
      <w:r w:rsidR="0099752B">
        <w:rPr>
          <w:rFonts w:ascii="Times New Roman" w:hAnsi="Times New Roman" w:cs="Times New Roman"/>
          <w:sz w:val="24"/>
          <w:szCs w:val="24"/>
        </w:rPr>
        <w:t xml:space="preserve">osts that cannot be directly assigned to either </w:t>
      </w:r>
      <w:r w:rsidR="00B22652">
        <w:rPr>
          <w:rFonts w:ascii="Times New Roman" w:hAnsi="Times New Roman" w:cs="Times New Roman"/>
          <w:sz w:val="24"/>
          <w:szCs w:val="24"/>
        </w:rPr>
        <w:t>PACW or PACE</w:t>
      </w:r>
      <w:r w:rsidR="0099752B">
        <w:rPr>
          <w:rFonts w:ascii="Times New Roman" w:hAnsi="Times New Roman" w:cs="Times New Roman"/>
          <w:sz w:val="24"/>
          <w:szCs w:val="24"/>
        </w:rPr>
        <w:t xml:space="preserve">, such as certain engineering and management </w:t>
      </w:r>
      <w:r w:rsidR="00B9295E">
        <w:rPr>
          <w:rFonts w:ascii="Times New Roman" w:hAnsi="Times New Roman" w:cs="Times New Roman"/>
          <w:sz w:val="24"/>
          <w:szCs w:val="24"/>
        </w:rPr>
        <w:t>expenses</w:t>
      </w:r>
      <w:r w:rsidR="0099752B">
        <w:rPr>
          <w:rFonts w:ascii="Times New Roman" w:hAnsi="Times New Roman" w:cs="Times New Roman"/>
          <w:sz w:val="24"/>
          <w:szCs w:val="24"/>
        </w:rPr>
        <w:t xml:space="preserve">, are allocated </w:t>
      </w:r>
      <w:r w:rsidR="00B9295E">
        <w:rPr>
          <w:rFonts w:ascii="Times New Roman" w:hAnsi="Times New Roman" w:cs="Times New Roman"/>
          <w:sz w:val="24"/>
          <w:szCs w:val="24"/>
        </w:rPr>
        <w:t xml:space="preserve">to Washington </w:t>
      </w:r>
      <w:r w:rsidR="0099752B">
        <w:rPr>
          <w:rFonts w:ascii="Times New Roman" w:hAnsi="Times New Roman" w:cs="Times New Roman"/>
          <w:sz w:val="24"/>
          <w:szCs w:val="24"/>
        </w:rPr>
        <w:t>using the System Generation (SG) factor</w:t>
      </w:r>
      <w:r w:rsidR="00B9295E">
        <w:rPr>
          <w:rFonts w:ascii="Times New Roman" w:hAnsi="Times New Roman" w:cs="Times New Roman"/>
          <w:sz w:val="24"/>
          <w:szCs w:val="24"/>
        </w:rPr>
        <w:t>.  This factor</w:t>
      </w:r>
      <w:r w:rsidR="0099752B">
        <w:rPr>
          <w:rFonts w:ascii="Times New Roman" w:hAnsi="Times New Roman" w:cs="Times New Roman"/>
          <w:sz w:val="24"/>
          <w:szCs w:val="24"/>
        </w:rPr>
        <w:t xml:space="preserve"> is developed based on Washington’s relative contribution to total-company </w:t>
      </w:r>
      <w:r w:rsidR="00E42A5E">
        <w:rPr>
          <w:rFonts w:ascii="Times New Roman" w:hAnsi="Times New Roman" w:cs="Times New Roman"/>
          <w:sz w:val="24"/>
          <w:szCs w:val="24"/>
        </w:rPr>
        <w:t>demand</w:t>
      </w:r>
      <w:r w:rsidR="00B22652">
        <w:rPr>
          <w:rFonts w:ascii="Times New Roman" w:hAnsi="Times New Roman" w:cs="Times New Roman"/>
          <w:sz w:val="24"/>
          <w:szCs w:val="24"/>
        </w:rPr>
        <w:t xml:space="preserve"> and energy requirements </w:t>
      </w:r>
      <w:r w:rsidR="00E42A5E">
        <w:rPr>
          <w:rFonts w:ascii="Times New Roman" w:hAnsi="Times New Roman" w:cs="Times New Roman"/>
          <w:sz w:val="24"/>
          <w:szCs w:val="24"/>
        </w:rPr>
        <w:t>(75 percent demand, 25 </w:t>
      </w:r>
      <w:r w:rsidR="00B9295E">
        <w:rPr>
          <w:rFonts w:ascii="Times New Roman" w:hAnsi="Times New Roman" w:cs="Times New Roman"/>
          <w:sz w:val="24"/>
          <w:szCs w:val="24"/>
        </w:rPr>
        <w:t>percent energy).</w:t>
      </w:r>
    </w:p>
    <w:p w:rsidR="00076ABB" w:rsidRDefault="00076ABB" w:rsidP="00601D4D">
      <w:pPr>
        <w:spacing w:after="0" w:line="240" w:lineRule="auto"/>
        <w:rPr>
          <w:rFonts w:ascii="Times New Roman" w:hAnsi="Times New Roman" w:cs="Times New Roman"/>
          <w:sz w:val="24"/>
          <w:szCs w:val="24"/>
        </w:rPr>
      </w:pPr>
    </w:p>
    <w:p w:rsidR="00076ABB" w:rsidRPr="00076ABB" w:rsidRDefault="00076ABB" w:rsidP="00601D4D">
      <w:pPr>
        <w:spacing w:after="0" w:line="240" w:lineRule="auto"/>
        <w:rPr>
          <w:rFonts w:ascii="Times New Roman" w:hAnsi="Times New Roman" w:cs="Times New Roman"/>
          <w:b/>
          <w:sz w:val="24"/>
          <w:szCs w:val="24"/>
        </w:rPr>
      </w:pPr>
      <w:r w:rsidRPr="00076ABB">
        <w:rPr>
          <w:rFonts w:ascii="Times New Roman" w:hAnsi="Times New Roman" w:cs="Times New Roman"/>
          <w:b/>
          <w:sz w:val="24"/>
          <w:szCs w:val="24"/>
        </w:rPr>
        <w:t>B.</w:t>
      </w:r>
      <w:r w:rsidRPr="00076ABB">
        <w:rPr>
          <w:rFonts w:ascii="Times New Roman" w:hAnsi="Times New Roman" w:cs="Times New Roman"/>
          <w:b/>
          <w:sz w:val="24"/>
          <w:szCs w:val="24"/>
        </w:rPr>
        <w:tab/>
      </w:r>
      <w:r>
        <w:rPr>
          <w:rFonts w:ascii="Times New Roman" w:hAnsi="Times New Roman" w:cs="Times New Roman"/>
          <w:b/>
          <w:sz w:val="24"/>
          <w:szCs w:val="24"/>
        </w:rPr>
        <w:t xml:space="preserve">Transmission </w:t>
      </w:r>
      <w:r w:rsidR="005F334A">
        <w:rPr>
          <w:rFonts w:ascii="Times New Roman" w:hAnsi="Times New Roman" w:cs="Times New Roman"/>
          <w:b/>
          <w:sz w:val="24"/>
          <w:szCs w:val="24"/>
        </w:rPr>
        <w:t>Facilities</w:t>
      </w:r>
    </w:p>
    <w:p w:rsidR="00076ABB" w:rsidRDefault="00076ABB" w:rsidP="00601D4D">
      <w:pPr>
        <w:spacing w:after="0" w:line="240" w:lineRule="auto"/>
        <w:rPr>
          <w:rFonts w:ascii="Times New Roman" w:hAnsi="Times New Roman" w:cs="Times New Roman"/>
          <w:sz w:val="24"/>
          <w:szCs w:val="24"/>
        </w:rPr>
      </w:pPr>
    </w:p>
    <w:p w:rsidR="00076ABB" w:rsidRDefault="00076ABB" w:rsidP="00601D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fixed and operating costs of transmission facilities located within </w:t>
      </w:r>
      <w:r w:rsidR="00B22652">
        <w:rPr>
          <w:rFonts w:ascii="Times New Roman" w:hAnsi="Times New Roman" w:cs="Times New Roman"/>
          <w:sz w:val="24"/>
          <w:szCs w:val="24"/>
        </w:rPr>
        <w:t>PACW</w:t>
      </w:r>
      <w:r>
        <w:rPr>
          <w:rFonts w:ascii="Times New Roman" w:hAnsi="Times New Roman" w:cs="Times New Roman"/>
          <w:sz w:val="24"/>
          <w:szCs w:val="24"/>
        </w:rPr>
        <w:t xml:space="preserve"> are allocated to Washington using the CAGW</w:t>
      </w:r>
      <w:r w:rsidR="006B7AE7">
        <w:rPr>
          <w:rFonts w:ascii="Times New Roman" w:hAnsi="Times New Roman" w:cs="Times New Roman"/>
          <w:sz w:val="24"/>
          <w:szCs w:val="24"/>
        </w:rPr>
        <w:t xml:space="preserve"> </w:t>
      </w:r>
      <w:r>
        <w:rPr>
          <w:rFonts w:ascii="Times New Roman" w:hAnsi="Times New Roman" w:cs="Times New Roman"/>
          <w:sz w:val="24"/>
          <w:szCs w:val="24"/>
        </w:rPr>
        <w:t>factor described above.</w:t>
      </w:r>
    </w:p>
    <w:p w:rsidR="00076ABB" w:rsidRDefault="00076ABB" w:rsidP="00601D4D">
      <w:pPr>
        <w:spacing w:after="0" w:line="240" w:lineRule="auto"/>
        <w:rPr>
          <w:rFonts w:ascii="Times New Roman" w:hAnsi="Times New Roman" w:cs="Times New Roman"/>
          <w:sz w:val="24"/>
          <w:szCs w:val="24"/>
        </w:rPr>
      </w:pPr>
    </w:p>
    <w:p w:rsidR="00076ABB" w:rsidRPr="005F334A" w:rsidRDefault="005F334A" w:rsidP="00601D4D">
      <w:pPr>
        <w:spacing w:after="0" w:line="240" w:lineRule="auto"/>
        <w:rPr>
          <w:rFonts w:ascii="Times New Roman" w:hAnsi="Times New Roman" w:cs="Times New Roman"/>
          <w:b/>
          <w:sz w:val="24"/>
          <w:szCs w:val="24"/>
        </w:rPr>
      </w:pPr>
      <w:r w:rsidRPr="005F334A">
        <w:rPr>
          <w:rFonts w:ascii="Times New Roman" w:hAnsi="Times New Roman" w:cs="Times New Roman"/>
          <w:b/>
          <w:sz w:val="24"/>
          <w:szCs w:val="24"/>
        </w:rPr>
        <w:t>C.</w:t>
      </w:r>
      <w:r w:rsidRPr="005F334A">
        <w:rPr>
          <w:rFonts w:ascii="Times New Roman" w:hAnsi="Times New Roman" w:cs="Times New Roman"/>
          <w:b/>
          <w:sz w:val="24"/>
          <w:szCs w:val="24"/>
        </w:rPr>
        <w:tab/>
        <w:t>Distribution Facilities</w:t>
      </w:r>
    </w:p>
    <w:p w:rsidR="005F334A" w:rsidRDefault="005F334A" w:rsidP="00601D4D">
      <w:pPr>
        <w:spacing w:after="0" w:line="240" w:lineRule="auto"/>
        <w:rPr>
          <w:rFonts w:ascii="Times New Roman" w:hAnsi="Times New Roman" w:cs="Times New Roman"/>
          <w:sz w:val="24"/>
          <w:szCs w:val="24"/>
        </w:rPr>
      </w:pPr>
    </w:p>
    <w:p w:rsidR="005F334A" w:rsidRDefault="005F334A" w:rsidP="00601D4D">
      <w:pPr>
        <w:spacing w:after="0" w:line="240" w:lineRule="auto"/>
        <w:rPr>
          <w:rFonts w:ascii="Times New Roman" w:hAnsi="Times New Roman" w:cs="Times New Roman"/>
          <w:sz w:val="24"/>
          <w:szCs w:val="24"/>
        </w:rPr>
      </w:pPr>
      <w:r>
        <w:rPr>
          <w:rFonts w:ascii="Times New Roman" w:hAnsi="Times New Roman" w:cs="Times New Roman"/>
          <w:sz w:val="24"/>
          <w:szCs w:val="24"/>
        </w:rPr>
        <w:t>Distribution-related expenses and investments are directly assigned to the state in whic</w:t>
      </w:r>
      <w:r w:rsidR="006517D5">
        <w:rPr>
          <w:rFonts w:ascii="Times New Roman" w:hAnsi="Times New Roman" w:cs="Times New Roman"/>
          <w:sz w:val="24"/>
          <w:szCs w:val="24"/>
        </w:rPr>
        <w:t>h located, also referred to as s</w:t>
      </w:r>
      <w:r>
        <w:rPr>
          <w:rFonts w:ascii="Times New Roman" w:hAnsi="Times New Roman" w:cs="Times New Roman"/>
          <w:sz w:val="24"/>
          <w:szCs w:val="24"/>
        </w:rPr>
        <w:t>itus assignment.  Certain distribution costs, such as administrative and eng</w:t>
      </w:r>
      <w:r w:rsidR="006517D5">
        <w:rPr>
          <w:rFonts w:ascii="Times New Roman" w:hAnsi="Times New Roman" w:cs="Times New Roman"/>
          <w:sz w:val="24"/>
          <w:szCs w:val="24"/>
        </w:rPr>
        <w:t>ineering costs, that cannot be s</w:t>
      </w:r>
      <w:r>
        <w:rPr>
          <w:rFonts w:ascii="Times New Roman" w:hAnsi="Times New Roman" w:cs="Times New Roman"/>
          <w:sz w:val="24"/>
          <w:szCs w:val="24"/>
        </w:rPr>
        <w:t>itus assigned are allocated using the System Net Plant Distribution (SNPD) allocation factor.  This factor is developed based on each state’s contribution to the total-company net electric plant in service distribution balance.</w:t>
      </w:r>
    </w:p>
    <w:p w:rsidR="005F334A" w:rsidRDefault="005F334A" w:rsidP="005F334A">
      <w:pPr>
        <w:spacing w:after="0" w:line="240" w:lineRule="auto"/>
        <w:rPr>
          <w:rFonts w:ascii="Times New Roman" w:hAnsi="Times New Roman" w:cs="Times New Roman"/>
          <w:b/>
          <w:sz w:val="24"/>
          <w:szCs w:val="24"/>
        </w:rPr>
      </w:pPr>
    </w:p>
    <w:p w:rsidR="005F334A" w:rsidRDefault="005F334A" w:rsidP="005F334A">
      <w:pPr>
        <w:spacing w:after="0" w:line="240" w:lineRule="auto"/>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Administrative &amp; General</w:t>
      </w:r>
    </w:p>
    <w:p w:rsidR="005F334A" w:rsidRPr="005F334A" w:rsidRDefault="005F334A" w:rsidP="005F334A">
      <w:pPr>
        <w:spacing w:after="0" w:line="240" w:lineRule="auto"/>
        <w:rPr>
          <w:rFonts w:ascii="Times New Roman" w:hAnsi="Times New Roman" w:cs="Times New Roman"/>
          <w:sz w:val="24"/>
          <w:szCs w:val="24"/>
        </w:rPr>
      </w:pPr>
    </w:p>
    <w:p w:rsidR="00C777B5" w:rsidRDefault="005F334A" w:rsidP="00C777B5">
      <w:pPr>
        <w:spacing w:after="0" w:line="240" w:lineRule="auto"/>
        <w:rPr>
          <w:rFonts w:ascii="Times New Roman" w:hAnsi="Times New Roman" w:cs="Times New Roman"/>
          <w:sz w:val="24"/>
          <w:szCs w:val="24"/>
        </w:rPr>
      </w:pPr>
      <w:r>
        <w:rPr>
          <w:rFonts w:ascii="Times New Roman" w:hAnsi="Times New Roman" w:cs="Times New Roman"/>
          <w:sz w:val="24"/>
          <w:szCs w:val="24"/>
        </w:rPr>
        <w:t>Administrative and general (A&amp;G) expenses are allocated using a variety of allocation factors</w:t>
      </w:r>
      <w:r w:rsidR="0099752B">
        <w:rPr>
          <w:rFonts w:ascii="Times New Roman" w:hAnsi="Times New Roman" w:cs="Times New Roman"/>
          <w:sz w:val="24"/>
          <w:szCs w:val="24"/>
        </w:rPr>
        <w:t xml:space="preserve">.  For example, </w:t>
      </w:r>
      <w:r>
        <w:rPr>
          <w:rFonts w:ascii="Times New Roman" w:hAnsi="Times New Roman" w:cs="Times New Roman"/>
          <w:sz w:val="24"/>
          <w:szCs w:val="24"/>
        </w:rPr>
        <w:t xml:space="preserve">state-specific </w:t>
      </w:r>
      <w:r w:rsidR="0099752B">
        <w:rPr>
          <w:rFonts w:ascii="Times New Roman" w:hAnsi="Times New Roman" w:cs="Times New Roman"/>
          <w:sz w:val="24"/>
          <w:szCs w:val="24"/>
        </w:rPr>
        <w:t>expenses are allocated using the Situs factor</w:t>
      </w:r>
      <w:r>
        <w:rPr>
          <w:rFonts w:ascii="Times New Roman" w:hAnsi="Times New Roman" w:cs="Times New Roman"/>
          <w:sz w:val="24"/>
          <w:szCs w:val="24"/>
        </w:rPr>
        <w:t xml:space="preserve">, customer-related </w:t>
      </w:r>
      <w:r w:rsidR="0099752B">
        <w:rPr>
          <w:rFonts w:ascii="Times New Roman" w:hAnsi="Times New Roman" w:cs="Times New Roman"/>
          <w:sz w:val="24"/>
          <w:szCs w:val="24"/>
        </w:rPr>
        <w:t xml:space="preserve">expenses </w:t>
      </w:r>
      <w:r>
        <w:rPr>
          <w:rFonts w:ascii="Times New Roman" w:hAnsi="Times New Roman" w:cs="Times New Roman"/>
          <w:sz w:val="24"/>
          <w:szCs w:val="24"/>
        </w:rPr>
        <w:t xml:space="preserve">(such as the Company’s billing system) </w:t>
      </w:r>
      <w:r w:rsidR="0099752B">
        <w:rPr>
          <w:rFonts w:ascii="Times New Roman" w:hAnsi="Times New Roman" w:cs="Times New Roman"/>
          <w:sz w:val="24"/>
          <w:szCs w:val="24"/>
        </w:rPr>
        <w:t xml:space="preserve">are allocated </w:t>
      </w:r>
      <w:r>
        <w:rPr>
          <w:rFonts w:ascii="Times New Roman" w:hAnsi="Times New Roman" w:cs="Times New Roman"/>
          <w:sz w:val="24"/>
          <w:szCs w:val="24"/>
        </w:rPr>
        <w:t xml:space="preserve">using the customer number (CN) factor, and general A&amp;G expenses </w:t>
      </w:r>
      <w:r w:rsidR="0099752B">
        <w:rPr>
          <w:rFonts w:ascii="Times New Roman" w:hAnsi="Times New Roman" w:cs="Times New Roman"/>
          <w:sz w:val="24"/>
          <w:szCs w:val="24"/>
        </w:rPr>
        <w:t xml:space="preserve">are allocated </w:t>
      </w:r>
      <w:r>
        <w:rPr>
          <w:rFonts w:ascii="Times New Roman" w:hAnsi="Times New Roman" w:cs="Times New Roman"/>
          <w:sz w:val="24"/>
          <w:szCs w:val="24"/>
        </w:rPr>
        <w:t>using the System Overhead (SO) factor.</w:t>
      </w:r>
      <w:r w:rsidR="0099752B">
        <w:rPr>
          <w:rFonts w:ascii="Times New Roman" w:hAnsi="Times New Roman" w:cs="Times New Roman"/>
          <w:sz w:val="24"/>
          <w:szCs w:val="24"/>
        </w:rPr>
        <w:t xml:space="preserve">  A&amp;G costs directly attributable to generation or transmission functions are allocated consistent with the fixed and variable costs associated with those functions, as described above.</w:t>
      </w:r>
    </w:p>
    <w:p w:rsidR="00B22652" w:rsidRDefault="00B22652" w:rsidP="00C777B5">
      <w:pPr>
        <w:spacing w:after="0" w:line="240" w:lineRule="auto"/>
        <w:rPr>
          <w:rFonts w:ascii="Times New Roman" w:hAnsi="Times New Roman" w:cs="Times New Roman"/>
          <w:sz w:val="24"/>
          <w:szCs w:val="24"/>
        </w:rPr>
      </w:pPr>
    </w:p>
    <w:p w:rsidR="00B22652" w:rsidRDefault="00B22652" w:rsidP="00C777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detailed listing of each allocation factor by FERC account is contained in the WCA Allocation </w:t>
      </w:r>
      <w:r w:rsidR="007B1B00">
        <w:rPr>
          <w:rFonts w:ascii="Times New Roman" w:hAnsi="Times New Roman" w:cs="Times New Roman"/>
          <w:sz w:val="24"/>
          <w:szCs w:val="24"/>
        </w:rPr>
        <w:t>Manual</w:t>
      </w:r>
      <w:r w:rsidR="006B7AE7">
        <w:rPr>
          <w:rFonts w:ascii="Times New Roman" w:hAnsi="Times New Roman" w:cs="Times New Roman"/>
          <w:sz w:val="24"/>
          <w:szCs w:val="24"/>
        </w:rPr>
        <w:t>,</w:t>
      </w:r>
      <w:r w:rsidR="00D55F67">
        <w:rPr>
          <w:rFonts w:ascii="Times New Roman" w:hAnsi="Times New Roman" w:cs="Times New Roman"/>
          <w:sz w:val="24"/>
          <w:szCs w:val="24"/>
        </w:rPr>
        <w:t xml:space="preserve"> which</w:t>
      </w:r>
      <w:r>
        <w:rPr>
          <w:rFonts w:ascii="Times New Roman" w:hAnsi="Times New Roman" w:cs="Times New Roman"/>
          <w:sz w:val="24"/>
          <w:szCs w:val="24"/>
        </w:rPr>
        <w:t xml:space="preserve"> </w:t>
      </w:r>
      <w:r w:rsidR="006B7AE7">
        <w:rPr>
          <w:rFonts w:ascii="Times New Roman" w:hAnsi="Times New Roman" w:cs="Times New Roman"/>
          <w:sz w:val="24"/>
          <w:szCs w:val="24"/>
        </w:rPr>
        <w:t xml:space="preserve">has been </w:t>
      </w:r>
      <w:r w:rsidR="007B1B00">
        <w:rPr>
          <w:rFonts w:ascii="Times New Roman" w:hAnsi="Times New Roman" w:cs="Times New Roman"/>
          <w:sz w:val="24"/>
          <w:szCs w:val="24"/>
        </w:rPr>
        <w:t>provided</w:t>
      </w:r>
      <w:r w:rsidRPr="007B1B00">
        <w:rPr>
          <w:rFonts w:ascii="Times New Roman" w:hAnsi="Times New Roman" w:cs="Times New Roman"/>
          <w:sz w:val="24"/>
          <w:szCs w:val="24"/>
        </w:rPr>
        <w:t xml:space="preserve"> in </w:t>
      </w:r>
      <w:r w:rsidR="006B7AE7">
        <w:rPr>
          <w:rFonts w:ascii="Times New Roman" w:hAnsi="Times New Roman" w:cs="Times New Roman"/>
          <w:sz w:val="24"/>
          <w:szCs w:val="24"/>
        </w:rPr>
        <w:t xml:space="preserve">each of the Company’s rate cases beginning with </w:t>
      </w:r>
      <w:r w:rsidR="006517D5">
        <w:rPr>
          <w:rFonts w:ascii="Times New Roman" w:hAnsi="Times New Roman" w:cs="Times New Roman"/>
          <w:sz w:val="24"/>
          <w:szCs w:val="24"/>
        </w:rPr>
        <w:t>d</w:t>
      </w:r>
      <w:r w:rsidRPr="007B1B00">
        <w:rPr>
          <w:rFonts w:ascii="Times New Roman" w:hAnsi="Times New Roman" w:cs="Times New Roman"/>
          <w:sz w:val="24"/>
          <w:szCs w:val="24"/>
        </w:rPr>
        <w:t>ocket UE-09</w:t>
      </w:r>
      <w:r w:rsidR="007B1B00">
        <w:rPr>
          <w:rFonts w:ascii="Times New Roman" w:hAnsi="Times New Roman" w:cs="Times New Roman"/>
          <w:sz w:val="24"/>
          <w:szCs w:val="24"/>
        </w:rPr>
        <w:t>0205.</w:t>
      </w:r>
    </w:p>
    <w:p w:rsidR="00C777B5" w:rsidRDefault="00C777B5" w:rsidP="00C777B5">
      <w:pPr>
        <w:spacing w:after="0" w:line="240" w:lineRule="auto"/>
        <w:rPr>
          <w:rFonts w:ascii="Times New Roman" w:hAnsi="Times New Roman" w:cs="Times New Roman"/>
          <w:sz w:val="24"/>
          <w:szCs w:val="24"/>
        </w:rPr>
      </w:pPr>
    </w:p>
    <w:p w:rsidR="00602A26" w:rsidRDefault="005D34FF" w:rsidP="00C77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sidR="00BC4BC9">
        <w:rPr>
          <w:rFonts w:ascii="Times New Roman" w:hAnsi="Times New Roman" w:cs="Times New Roman"/>
          <w:b/>
          <w:sz w:val="24"/>
          <w:szCs w:val="24"/>
        </w:rPr>
        <w:t>CHALLENGES WITH THE WCA</w:t>
      </w:r>
    </w:p>
    <w:p w:rsidR="00B9295E" w:rsidRDefault="00B9295E" w:rsidP="00A41851">
      <w:pPr>
        <w:spacing w:after="0" w:line="240" w:lineRule="auto"/>
        <w:rPr>
          <w:rFonts w:ascii="Times New Roman" w:hAnsi="Times New Roman" w:cs="Times New Roman"/>
          <w:sz w:val="24"/>
          <w:szCs w:val="24"/>
        </w:rPr>
      </w:pPr>
      <w:bookmarkStart w:id="0" w:name="1EF52BA71CCED72719E588287E1DE40B"/>
    </w:p>
    <w:p w:rsidR="00387058" w:rsidRDefault="00387058" w:rsidP="00A41851">
      <w:pPr>
        <w:spacing w:after="0" w:line="240" w:lineRule="auto"/>
        <w:rPr>
          <w:rFonts w:ascii="Times New Roman" w:hAnsi="Times New Roman" w:cs="Times New Roman"/>
          <w:sz w:val="24"/>
          <w:szCs w:val="24"/>
        </w:rPr>
      </w:pPr>
      <w:r>
        <w:rPr>
          <w:rFonts w:ascii="Times New Roman" w:hAnsi="Times New Roman" w:cs="Times New Roman"/>
          <w:sz w:val="24"/>
          <w:szCs w:val="24"/>
        </w:rPr>
        <w:t>Over the trial period, the Company has identified the following five major challenges resulting from Wa</w:t>
      </w:r>
      <w:r w:rsidR="00570448">
        <w:rPr>
          <w:rFonts w:ascii="Times New Roman" w:hAnsi="Times New Roman" w:cs="Times New Roman"/>
          <w:sz w:val="24"/>
          <w:szCs w:val="24"/>
        </w:rPr>
        <w:t>shington’s adoption of the WCA:</w:t>
      </w:r>
    </w:p>
    <w:p w:rsidR="00387058" w:rsidRPr="00A41851" w:rsidRDefault="00387058" w:rsidP="00A41851">
      <w:pPr>
        <w:spacing w:after="0" w:line="240" w:lineRule="auto"/>
        <w:rPr>
          <w:rFonts w:ascii="Times New Roman" w:hAnsi="Times New Roman" w:cs="Times New Roman"/>
          <w:sz w:val="24"/>
          <w:szCs w:val="24"/>
        </w:rPr>
      </w:pPr>
    </w:p>
    <w:p w:rsidR="004B1360" w:rsidRDefault="00175422" w:rsidP="00E511F5">
      <w:pPr>
        <w:pStyle w:val="ListParagraph"/>
        <w:numPr>
          <w:ilvl w:val="0"/>
          <w:numId w:val="8"/>
        </w:numPr>
        <w:ind w:left="720"/>
        <w:rPr>
          <w:b/>
          <w:color w:val="000000"/>
        </w:rPr>
      </w:pPr>
      <w:bookmarkStart w:id="1" w:name="E8E0C6FBA47682B05D6B838315ADED3C"/>
      <w:bookmarkEnd w:id="0"/>
      <w:r w:rsidRPr="00E511F5">
        <w:rPr>
          <w:b/>
          <w:color w:val="000000"/>
        </w:rPr>
        <w:t xml:space="preserve">The WCA Does Not Reflect </w:t>
      </w:r>
      <w:r w:rsidR="00E511F5">
        <w:rPr>
          <w:b/>
          <w:color w:val="000000"/>
        </w:rPr>
        <w:t>the Actual</w:t>
      </w:r>
      <w:r w:rsidRPr="00E511F5">
        <w:rPr>
          <w:b/>
          <w:color w:val="000000"/>
        </w:rPr>
        <w:t xml:space="preserve"> Operations of the Company</w:t>
      </w:r>
    </w:p>
    <w:p w:rsidR="00E511F5" w:rsidRPr="00E511F5" w:rsidRDefault="00E511F5" w:rsidP="00E511F5">
      <w:pPr>
        <w:pStyle w:val="ListParagraph"/>
        <w:ind w:left="1080"/>
        <w:rPr>
          <w:b/>
          <w:color w:val="000000"/>
        </w:rPr>
      </w:pPr>
    </w:p>
    <w:p w:rsidR="00FF7B60" w:rsidRDefault="004B1360" w:rsidP="00E511F5">
      <w:pPr>
        <w:spacing w:after="0" w:line="240" w:lineRule="auto"/>
        <w:rPr>
          <w:rFonts w:ascii="Times New Roman" w:hAnsi="Times New Roman" w:cs="Times New Roman"/>
          <w:sz w:val="24"/>
          <w:szCs w:val="24"/>
        </w:rPr>
      </w:pPr>
      <w:r w:rsidRPr="00E511F5">
        <w:rPr>
          <w:rFonts w:ascii="Times New Roman" w:hAnsi="Times New Roman" w:cs="Times New Roman"/>
          <w:sz w:val="24"/>
          <w:szCs w:val="24"/>
        </w:rPr>
        <w:t>Although the Company operat</w:t>
      </w:r>
      <w:r w:rsidR="00155E3B">
        <w:rPr>
          <w:rFonts w:ascii="Times New Roman" w:hAnsi="Times New Roman" w:cs="Times New Roman"/>
          <w:sz w:val="24"/>
          <w:szCs w:val="24"/>
        </w:rPr>
        <w:t>es two balancing authority area</w:t>
      </w:r>
      <w:r w:rsidRPr="00E511F5">
        <w:rPr>
          <w:rFonts w:ascii="Times New Roman" w:hAnsi="Times New Roman" w:cs="Times New Roman"/>
          <w:sz w:val="24"/>
          <w:szCs w:val="24"/>
        </w:rPr>
        <w:t>s, its system is integrated and power is dispatched from a central control center.  Power is pu</w:t>
      </w:r>
      <w:r w:rsidR="00155E3B">
        <w:rPr>
          <w:rFonts w:ascii="Times New Roman" w:hAnsi="Times New Roman" w:cs="Times New Roman"/>
          <w:sz w:val="24"/>
          <w:szCs w:val="24"/>
        </w:rPr>
        <w:t>rchased, sold, and transferred between</w:t>
      </w:r>
      <w:r w:rsidRPr="00E511F5">
        <w:rPr>
          <w:rFonts w:ascii="Times New Roman" w:hAnsi="Times New Roman" w:cs="Times New Roman"/>
          <w:sz w:val="24"/>
          <w:szCs w:val="24"/>
        </w:rPr>
        <w:t xml:space="preserve"> </w:t>
      </w:r>
      <w:r w:rsidR="00387058">
        <w:rPr>
          <w:rFonts w:ascii="Times New Roman" w:hAnsi="Times New Roman" w:cs="Times New Roman"/>
          <w:sz w:val="24"/>
          <w:szCs w:val="24"/>
        </w:rPr>
        <w:t>PACW and PACE</w:t>
      </w:r>
      <w:r w:rsidRPr="00E511F5">
        <w:rPr>
          <w:rFonts w:ascii="Times New Roman" w:hAnsi="Times New Roman" w:cs="Times New Roman"/>
          <w:sz w:val="24"/>
          <w:szCs w:val="24"/>
        </w:rPr>
        <w:t xml:space="preserve">.  Having a </w:t>
      </w:r>
      <w:r w:rsidR="00E511F5">
        <w:rPr>
          <w:rFonts w:ascii="Times New Roman" w:hAnsi="Times New Roman" w:cs="Times New Roman"/>
          <w:sz w:val="24"/>
          <w:szCs w:val="24"/>
        </w:rPr>
        <w:t xml:space="preserve">geographically diverse, </w:t>
      </w:r>
      <w:r w:rsidRPr="00E511F5">
        <w:rPr>
          <w:rFonts w:ascii="Times New Roman" w:hAnsi="Times New Roman" w:cs="Times New Roman"/>
          <w:sz w:val="24"/>
          <w:szCs w:val="24"/>
        </w:rPr>
        <w:t xml:space="preserve">six-state </w:t>
      </w:r>
      <w:r w:rsidR="00E511F5">
        <w:rPr>
          <w:rFonts w:ascii="Times New Roman" w:hAnsi="Times New Roman" w:cs="Times New Roman"/>
          <w:sz w:val="24"/>
          <w:szCs w:val="24"/>
        </w:rPr>
        <w:t>system</w:t>
      </w:r>
      <w:r w:rsidRPr="00E511F5">
        <w:rPr>
          <w:rFonts w:ascii="Times New Roman" w:hAnsi="Times New Roman" w:cs="Times New Roman"/>
          <w:sz w:val="24"/>
          <w:szCs w:val="24"/>
        </w:rPr>
        <w:t xml:space="preserve"> is a benefit to customers because </w:t>
      </w:r>
      <w:r w:rsidR="00E511F5">
        <w:rPr>
          <w:rFonts w:ascii="Times New Roman" w:hAnsi="Times New Roman" w:cs="Times New Roman"/>
          <w:sz w:val="24"/>
          <w:szCs w:val="24"/>
        </w:rPr>
        <w:t xml:space="preserve">of enhanced flexibility in dispatching power, enhanced system reliability, peaking diversity, and greater access to wholesale markets.  The WCA artificially divides an otherwise integrated system, and creates a fictitious “stand-alone west control area utility.”  </w:t>
      </w:r>
      <w:r w:rsidR="00387058">
        <w:rPr>
          <w:rFonts w:ascii="Times New Roman" w:hAnsi="Times New Roman" w:cs="Times New Roman"/>
          <w:sz w:val="24"/>
          <w:szCs w:val="24"/>
        </w:rPr>
        <w:t>Although there are transmission constraints between PACW and PACE that limit the transfer capability, it does not change the fact that PacifiCorp operates the two balancing authorit</w:t>
      </w:r>
      <w:r w:rsidR="00155E3B">
        <w:rPr>
          <w:rFonts w:ascii="Times New Roman" w:hAnsi="Times New Roman" w:cs="Times New Roman"/>
          <w:sz w:val="24"/>
          <w:szCs w:val="24"/>
        </w:rPr>
        <w:t>y area</w:t>
      </w:r>
      <w:r w:rsidR="00387058">
        <w:rPr>
          <w:rFonts w:ascii="Times New Roman" w:hAnsi="Times New Roman" w:cs="Times New Roman"/>
          <w:sz w:val="24"/>
          <w:szCs w:val="24"/>
        </w:rPr>
        <w:t xml:space="preserve"> as a single system</w:t>
      </w:r>
      <w:r w:rsidR="00570448">
        <w:rPr>
          <w:rFonts w:ascii="Times New Roman" w:hAnsi="Times New Roman" w:cs="Times New Roman"/>
          <w:sz w:val="24"/>
          <w:szCs w:val="24"/>
        </w:rPr>
        <w:t>,</w:t>
      </w:r>
      <w:r w:rsidR="00387058">
        <w:rPr>
          <w:rFonts w:ascii="Times New Roman" w:hAnsi="Times New Roman" w:cs="Times New Roman"/>
          <w:sz w:val="24"/>
          <w:szCs w:val="24"/>
        </w:rPr>
        <w:t xml:space="preserve"> which optimizes total-system costs.  There is no separate optimization of PACW and PACE, as assumed under the WCA.</w:t>
      </w:r>
    </w:p>
    <w:p w:rsidR="006B7AE7" w:rsidRDefault="006B7AE7" w:rsidP="00E511F5">
      <w:pPr>
        <w:spacing w:after="0" w:line="240" w:lineRule="auto"/>
        <w:rPr>
          <w:rFonts w:ascii="Times New Roman" w:hAnsi="Times New Roman" w:cs="Times New Roman"/>
          <w:sz w:val="24"/>
          <w:szCs w:val="24"/>
        </w:rPr>
      </w:pPr>
    </w:p>
    <w:p w:rsidR="00D55F67" w:rsidRDefault="00FF7B60" w:rsidP="00E511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Company’s long-term integrated resource plan reflects this integrated system, </w:t>
      </w:r>
      <w:r w:rsidR="00B70F3F">
        <w:rPr>
          <w:rFonts w:ascii="Times New Roman" w:hAnsi="Times New Roman" w:cs="Times New Roman"/>
          <w:sz w:val="24"/>
          <w:szCs w:val="24"/>
        </w:rPr>
        <w:t xml:space="preserve">and </w:t>
      </w:r>
      <w:r>
        <w:rPr>
          <w:rFonts w:ascii="Times New Roman" w:hAnsi="Times New Roman" w:cs="Times New Roman"/>
          <w:sz w:val="24"/>
          <w:szCs w:val="24"/>
        </w:rPr>
        <w:t xml:space="preserve">long-term planning and resource decisions </w:t>
      </w:r>
      <w:r w:rsidR="00B70F3F">
        <w:rPr>
          <w:rFonts w:ascii="Times New Roman" w:hAnsi="Times New Roman" w:cs="Times New Roman"/>
          <w:sz w:val="24"/>
          <w:szCs w:val="24"/>
        </w:rPr>
        <w:t xml:space="preserve">are based </w:t>
      </w:r>
      <w:r>
        <w:rPr>
          <w:rFonts w:ascii="Times New Roman" w:hAnsi="Times New Roman" w:cs="Times New Roman"/>
          <w:sz w:val="24"/>
          <w:szCs w:val="24"/>
        </w:rPr>
        <w:t xml:space="preserve">on the infrastructure in the Company’s </w:t>
      </w:r>
      <w:r w:rsidR="00387058">
        <w:rPr>
          <w:rFonts w:ascii="Times New Roman" w:hAnsi="Times New Roman" w:cs="Times New Roman"/>
          <w:sz w:val="24"/>
          <w:szCs w:val="24"/>
        </w:rPr>
        <w:t>six-</w:t>
      </w:r>
      <w:r>
        <w:rPr>
          <w:rFonts w:ascii="Times New Roman" w:hAnsi="Times New Roman" w:cs="Times New Roman"/>
          <w:sz w:val="24"/>
          <w:szCs w:val="24"/>
        </w:rPr>
        <w:t xml:space="preserve">state service territory and load requirements for the system as a whole.  Accordingly, investment decisions are not made on a “west control area” basis.  </w:t>
      </w:r>
      <w:r w:rsidR="00B70F3F">
        <w:rPr>
          <w:rFonts w:ascii="Times New Roman" w:hAnsi="Times New Roman" w:cs="Times New Roman"/>
          <w:sz w:val="24"/>
          <w:szCs w:val="24"/>
        </w:rPr>
        <w:t>T</w:t>
      </w:r>
      <w:r w:rsidR="00387058">
        <w:rPr>
          <w:rFonts w:ascii="Times New Roman" w:hAnsi="Times New Roman" w:cs="Times New Roman"/>
          <w:sz w:val="24"/>
          <w:szCs w:val="24"/>
        </w:rPr>
        <w:t>he planning process recognizes transmission constraints across the system in optimizing its portfolio to result in a risk-adjusted</w:t>
      </w:r>
      <w:r w:rsidR="00570448">
        <w:rPr>
          <w:rFonts w:ascii="Times New Roman" w:hAnsi="Times New Roman" w:cs="Times New Roman"/>
          <w:sz w:val="24"/>
          <w:szCs w:val="24"/>
        </w:rPr>
        <w:t>,</w:t>
      </w:r>
      <w:r w:rsidR="00387058">
        <w:rPr>
          <w:rFonts w:ascii="Times New Roman" w:hAnsi="Times New Roman" w:cs="Times New Roman"/>
          <w:sz w:val="24"/>
          <w:szCs w:val="24"/>
        </w:rPr>
        <w:t xml:space="preserve"> least</w:t>
      </w:r>
      <w:r w:rsidR="00570448">
        <w:rPr>
          <w:rFonts w:ascii="Times New Roman" w:hAnsi="Times New Roman" w:cs="Times New Roman"/>
          <w:sz w:val="24"/>
          <w:szCs w:val="24"/>
        </w:rPr>
        <w:t>-</w:t>
      </w:r>
      <w:r w:rsidR="00387058">
        <w:rPr>
          <w:rFonts w:ascii="Times New Roman" w:hAnsi="Times New Roman" w:cs="Times New Roman"/>
          <w:sz w:val="24"/>
          <w:szCs w:val="24"/>
        </w:rPr>
        <w:t>cost</w:t>
      </w:r>
      <w:r w:rsidR="00570448">
        <w:rPr>
          <w:rFonts w:ascii="Times New Roman" w:hAnsi="Times New Roman" w:cs="Times New Roman"/>
          <w:sz w:val="24"/>
          <w:szCs w:val="24"/>
        </w:rPr>
        <w:t>,</w:t>
      </w:r>
      <w:r w:rsidR="00387058">
        <w:rPr>
          <w:rFonts w:ascii="Times New Roman" w:hAnsi="Times New Roman" w:cs="Times New Roman"/>
          <w:sz w:val="24"/>
          <w:szCs w:val="24"/>
        </w:rPr>
        <w:t xml:space="preserve"> six-state plan. </w:t>
      </w:r>
      <w:r w:rsidR="00B70F3F">
        <w:rPr>
          <w:rFonts w:ascii="Times New Roman" w:hAnsi="Times New Roman" w:cs="Times New Roman"/>
          <w:sz w:val="24"/>
          <w:szCs w:val="24"/>
        </w:rPr>
        <w:t xml:space="preserve"> </w:t>
      </w:r>
      <w:r w:rsidR="00387058">
        <w:rPr>
          <w:rFonts w:ascii="Times New Roman" w:hAnsi="Times New Roman" w:cs="Times New Roman"/>
          <w:sz w:val="24"/>
          <w:szCs w:val="24"/>
        </w:rPr>
        <w:t>S</w:t>
      </w:r>
      <w:r>
        <w:rPr>
          <w:rFonts w:ascii="Times New Roman" w:hAnsi="Times New Roman" w:cs="Times New Roman"/>
          <w:sz w:val="24"/>
          <w:szCs w:val="24"/>
        </w:rPr>
        <w:t>etting rates using the WCA ignores not only how the Company actually operates the system, but also how the Company plans to serve it</w:t>
      </w:r>
      <w:r w:rsidR="00570448">
        <w:rPr>
          <w:rFonts w:ascii="Times New Roman" w:hAnsi="Times New Roman" w:cs="Times New Roman"/>
          <w:sz w:val="24"/>
          <w:szCs w:val="24"/>
        </w:rPr>
        <w:t>s customers in all six states.</w:t>
      </w:r>
    </w:p>
    <w:p w:rsidR="006B7AE7" w:rsidRDefault="006B7AE7" w:rsidP="00E511F5">
      <w:pPr>
        <w:spacing w:after="0" w:line="240" w:lineRule="auto"/>
        <w:rPr>
          <w:rFonts w:ascii="Times New Roman" w:hAnsi="Times New Roman" w:cs="Times New Roman"/>
          <w:sz w:val="24"/>
          <w:szCs w:val="24"/>
        </w:rPr>
      </w:pPr>
    </w:p>
    <w:p w:rsidR="00D55F67" w:rsidRDefault="00D55F67" w:rsidP="00E42A5E">
      <w:pPr>
        <w:pStyle w:val="ListParagraph"/>
        <w:keepNext/>
        <w:numPr>
          <w:ilvl w:val="0"/>
          <w:numId w:val="8"/>
        </w:numPr>
        <w:ind w:left="720"/>
        <w:rPr>
          <w:b/>
          <w:color w:val="000000"/>
        </w:rPr>
      </w:pPr>
      <w:r>
        <w:rPr>
          <w:b/>
          <w:color w:val="000000"/>
        </w:rPr>
        <w:t>The WCA is Inconsistent with How the Company Finances its Investments</w:t>
      </w:r>
    </w:p>
    <w:p w:rsidR="00D55F67" w:rsidRDefault="00D55F67" w:rsidP="00D55F67">
      <w:pPr>
        <w:spacing w:after="0" w:line="240" w:lineRule="auto"/>
        <w:rPr>
          <w:rFonts w:ascii="Times New Roman" w:hAnsi="Times New Roman" w:cs="Times New Roman"/>
          <w:sz w:val="24"/>
          <w:szCs w:val="24"/>
        </w:rPr>
      </w:pPr>
    </w:p>
    <w:p w:rsidR="00D55F67" w:rsidRDefault="00D55F67" w:rsidP="00D55F67">
      <w:pPr>
        <w:spacing w:after="0" w:line="240" w:lineRule="auto"/>
        <w:rPr>
          <w:rFonts w:ascii="Times New Roman" w:hAnsi="Times New Roman" w:cs="Times New Roman"/>
          <w:sz w:val="24"/>
          <w:szCs w:val="24"/>
        </w:rPr>
      </w:pPr>
      <w:r>
        <w:rPr>
          <w:rFonts w:ascii="Times New Roman" w:hAnsi="Times New Roman" w:cs="Times New Roman"/>
          <w:sz w:val="24"/>
          <w:szCs w:val="24"/>
        </w:rPr>
        <w:t>The Company finances its operation on a total-company basis.  The Company’s credit ratings benefit from the Company’s six-state service territory:</w:t>
      </w:r>
    </w:p>
    <w:p w:rsidR="00D55F67" w:rsidRDefault="00D55F67" w:rsidP="00D55F67">
      <w:pPr>
        <w:spacing w:after="0" w:line="240" w:lineRule="auto"/>
        <w:rPr>
          <w:rFonts w:ascii="Times New Roman" w:hAnsi="Times New Roman" w:cs="Times New Roman"/>
          <w:sz w:val="24"/>
          <w:szCs w:val="24"/>
        </w:rPr>
      </w:pPr>
    </w:p>
    <w:p w:rsidR="006B7AE7" w:rsidRDefault="00D55F67" w:rsidP="006B7AE7">
      <w:pPr>
        <w:tabs>
          <w:tab w:val="left" w:pos="8730"/>
        </w:tabs>
        <w:spacing w:after="0" w:line="240" w:lineRule="auto"/>
        <w:ind w:left="1440" w:right="1170"/>
        <w:rPr>
          <w:rFonts w:ascii="Times New Roman" w:hAnsi="Times New Roman" w:cs="Times New Roman"/>
          <w:sz w:val="24"/>
          <w:szCs w:val="24"/>
        </w:rPr>
      </w:pPr>
      <w:r>
        <w:rPr>
          <w:rFonts w:ascii="Times New Roman" w:hAnsi="Times New Roman" w:cs="Times New Roman"/>
          <w:sz w:val="24"/>
          <w:szCs w:val="24"/>
        </w:rPr>
        <w:t>[C]redit rating on PacifiCorp reflects an “excellent” business risk profile. . . .  Our assessment of the business risk profile takes into account PacifiCorp’s position as a vertically integrated electric utility with geographical, market, and regulatory diversity over its six-state service territory.</w:t>
      </w:r>
      <w:r>
        <w:rPr>
          <w:rStyle w:val="FootnoteReference"/>
          <w:rFonts w:ascii="Times New Roman" w:hAnsi="Times New Roman" w:cs="Times New Roman"/>
          <w:sz w:val="24"/>
          <w:szCs w:val="24"/>
        </w:rPr>
        <w:footnoteReference w:id="4"/>
      </w:r>
    </w:p>
    <w:p w:rsidR="006B7AE7" w:rsidRDefault="006B7AE7" w:rsidP="006B7AE7">
      <w:pPr>
        <w:tabs>
          <w:tab w:val="left" w:pos="8730"/>
        </w:tabs>
        <w:spacing w:before="120" w:after="240" w:line="240" w:lineRule="auto"/>
        <w:ind w:left="1080" w:right="1166"/>
        <w:jc w:val="center"/>
        <w:rPr>
          <w:rFonts w:ascii="Times New Roman" w:hAnsi="Times New Roman" w:cs="Times New Roman"/>
          <w:sz w:val="24"/>
          <w:szCs w:val="24"/>
        </w:rPr>
      </w:pPr>
      <w:r>
        <w:rPr>
          <w:rFonts w:ascii="Times New Roman" w:hAnsi="Times New Roman" w:cs="Times New Roman"/>
          <w:sz w:val="24"/>
          <w:szCs w:val="24"/>
        </w:rPr>
        <w:t>____________________</w:t>
      </w:r>
    </w:p>
    <w:p w:rsidR="00D55F67" w:rsidRDefault="00D55F67" w:rsidP="006B7AE7">
      <w:pPr>
        <w:tabs>
          <w:tab w:val="left" w:pos="8730"/>
        </w:tabs>
        <w:spacing w:after="0" w:line="240" w:lineRule="auto"/>
        <w:ind w:left="1440" w:right="1170"/>
        <w:rPr>
          <w:rFonts w:ascii="Times New Roman" w:hAnsi="Times New Roman" w:cs="Times New Roman"/>
          <w:sz w:val="24"/>
          <w:szCs w:val="24"/>
        </w:rPr>
      </w:pPr>
      <w:r>
        <w:rPr>
          <w:rFonts w:ascii="Times New Roman" w:hAnsi="Times New Roman" w:cs="Times New Roman"/>
          <w:sz w:val="24"/>
          <w:szCs w:val="24"/>
        </w:rPr>
        <w:t>The market diversity of PacifiCorp’s six-state service territory is favorable from a credit perspective because it mitigates the economic and regulatory impacts of concentration in any one jurisdiction.</w:t>
      </w:r>
      <w:r>
        <w:rPr>
          <w:rStyle w:val="FootnoteReference"/>
          <w:rFonts w:ascii="Times New Roman" w:hAnsi="Times New Roman" w:cs="Times New Roman"/>
          <w:sz w:val="24"/>
          <w:szCs w:val="24"/>
        </w:rPr>
        <w:footnoteReference w:id="5"/>
      </w:r>
    </w:p>
    <w:p w:rsidR="00D55F67" w:rsidRDefault="00D55F67" w:rsidP="00D55F67">
      <w:pPr>
        <w:spacing w:after="0" w:line="240" w:lineRule="auto"/>
        <w:ind w:left="1620" w:right="720"/>
        <w:rPr>
          <w:rFonts w:ascii="Times New Roman" w:hAnsi="Times New Roman" w:cs="Times New Roman"/>
          <w:sz w:val="24"/>
          <w:szCs w:val="24"/>
        </w:rPr>
      </w:pPr>
    </w:p>
    <w:p w:rsidR="00D55F67" w:rsidRDefault="00D55F67" w:rsidP="00D55F67">
      <w:pPr>
        <w:spacing w:after="0" w:line="240" w:lineRule="auto"/>
        <w:rPr>
          <w:rFonts w:ascii="Times New Roman" w:hAnsi="Times New Roman" w:cs="Times New Roman"/>
          <w:sz w:val="24"/>
          <w:szCs w:val="24"/>
        </w:rPr>
      </w:pPr>
      <w:r>
        <w:rPr>
          <w:rFonts w:ascii="Times New Roman" w:hAnsi="Times New Roman" w:cs="Times New Roman"/>
          <w:sz w:val="24"/>
          <w:szCs w:val="24"/>
        </w:rPr>
        <w:t>These positive credit ratings</w:t>
      </w:r>
      <w:r w:rsidR="003008EC">
        <w:rPr>
          <w:rFonts w:ascii="Times New Roman" w:hAnsi="Times New Roman" w:cs="Times New Roman"/>
          <w:sz w:val="24"/>
          <w:szCs w:val="24"/>
        </w:rPr>
        <w:t xml:space="preserve"> help</w:t>
      </w:r>
      <w:r>
        <w:rPr>
          <w:rFonts w:ascii="Times New Roman" w:hAnsi="Times New Roman" w:cs="Times New Roman"/>
          <w:sz w:val="24"/>
          <w:szCs w:val="24"/>
        </w:rPr>
        <w:t xml:space="preserve"> </w:t>
      </w:r>
      <w:r w:rsidR="003008EC">
        <w:rPr>
          <w:rFonts w:ascii="Times New Roman" w:hAnsi="Times New Roman" w:cs="Times New Roman"/>
          <w:sz w:val="24"/>
          <w:szCs w:val="24"/>
        </w:rPr>
        <w:t>reduce</w:t>
      </w:r>
      <w:r>
        <w:rPr>
          <w:rFonts w:ascii="Times New Roman" w:hAnsi="Times New Roman" w:cs="Times New Roman"/>
          <w:sz w:val="24"/>
          <w:szCs w:val="24"/>
        </w:rPr>
        <w:t xml:space="preserve"> debt costs, to the benefit of the Company’s customers.  Under the WCA, customers receive the full benefit of reduced debt costs, but Washington rates do not accurately reflect Washington’s allocation of the costs to operate the six-state system </w:t>
      </w:r>
      <w:r w:rsidR="00570448">
        <w:rPr>
          <w:rFonts w:ascii="Times New Roman" w:hAnsi="Times New Roman" w:cs="Times New Roman"/>
          <w:sz w:val="24"/>
          <w:szCs w:val="24"/>
        </w:rPr>
        <w:t>supporting</w:t>
      </w:r>
      <w:r>
        <w:rPr>
          <w:rFonts w:ascii="Times New Roman" w:hAnsi="Times New Roman" w:cs="Times New Roman"/>
          <w:sz w:val="24"/>
          <w:szCs w:val="24"/>
        </w:rPr>
        <w:t xml:space="preserve"> the Company’s positive credit ratings.  </w:t>
      </w:r>
      <w:r w:rsidR="00E83CB6">
        <w:rPr>
          <w:rFonts w:ascii="Times New Roman" w:hAnsi="Times New Roman" w:cs="Times New Roman"/>
          <w:sz w:val="24"/>
          <w:szCs w:val="24"/>
        </w:rPr>
        <w:t xml:space="preserve">If the Company were to separately finance its operations on a state-by-state basis, it is </w:t>
      </w:r>
      <w:r w:rsidR="003008EC">
        <w:rPr>
          <w:rFonts w:ascii="Times New Roman" w:hAnsi="Times New Roman" w:cs="Times New Roman"/>
          <w:sz w:val="24"/>
          <w:szCs w:val="24"/>
        </w:rPr>
        <w:t xml:space="preserve">very </w:t>
      </w:r>
      <w:r w:rsidR="00E83CB6">
        <w:rPr>
          <w:rFonts w:ascii="Times New Roman" w:hAnsi="Times New Roman" w:cs="Times New Roman"/>
          <w:sz w:val="24"/>
          <w:szCs w:val="24"/>
        </w:rPr>
        <w:t>likely that the credit ratings of the smaller entities</w:t>
      </w:r>
      <w:r w:rsidR="003008EC">
        <w:rPr>
          <w:rFonts w:ascii="Times New Roman" w:hAnsi="Times New Roman" w:cs="Times New Roman"/>
          <w:sz w:val="24"/>
          <w:szCs w:val="24"/>
        </w:rPr>
        <w:t xml:space="preserve">, such as Washington, </w:t>
      </w:r>
      <w:r w:rsidR="00E83CB6">
        <w:rPr>
          <w:rFonts w:ascii="Times New Roman" w:hAnsi="Times New Roman" w:cs="Times New Roman"/>
          <w:sz w:val="24"/>
          <w:szCs w:val="24"/>
        </w:rPr>
        <w:t xml:space="preserve">would be lower than </w:t>
      </w:r>
      <w:r w:rsidR="003008EC">
        <w:rPr>
          <w:rFonts w:ascii="Times New Roman" w:hAnsi="Times New Roman" w:cs="Times New Roman"/>
          <w:sz w:val="24"/>
          <w:szCs w:val="24"/>
        </w:rPr>
        <w:t>PacifiCorp’s existing ratings resulting in higher capital costs and prices to customers.</w:t>
      </w:r>
    </w:p>
    <w:p w:rsidR="00D55F67" w:rsidRDefault="00D55F67" w:rsidP="00E511F5">
      <w:pPr>
        <w:spacing w:after="0" w:line="240" w:lineRule="auto"/>
        <w:rPr>
          <w:rFonts w:ascii="Times New Roman" w:hAnsi="Times New Roman" w:cs="Times New Roman"/>
          <w:sz w:val="24"/>
          <w:szCs w:val="24"/>
        </w:rPr>
      </w:pPr>
    </w:p>
    <w:p w:rsidR="00D55F67" w:rsidRPr="00E511F5" w:rsidRDefault="00D55F67" w:rsidP="00D55F67">
      <w:pPr>
        <w:pStyle w:val="ListParagraph"/>
        <w:numPr>
          <w:ilvl w:val="0"/>
          <w:numId w:val="8"/>
        </w:numPr>
        <w:ind w:left="720"/>
        <w:rPr>
          <w:rFonts w:eastAsia="Calibri"/>
          <w:b/>
        </w:rPr>
      </w:pPr>
      <w:r w:rsidRPr="00E511F5">
        <w:rPr>
          <w:rFonts w:eastAsia="Calibri"/>
          <w:b/>
        </w:rPr>
        <w:t xml:space="preserve">The WCA is Inconsistent with how Costs are Allocated in the Company’s Five Other </w:t>
      </w:r>
      <w:r w:rsidR="00570448">
        <w:rPr>
          <w:rFonts w:eastAsia="Calibri"/>
          <w:b/>
        </w:rPr>
        <w:t xml:space="preserve">State </w:t>
      </w:r>
      <w:r w:rsidRPr="00E511F5">
        <w:rPr>
          <w:rFonts w:eastAsia="Calibri"/>
          <w:b/>
        </w:rPr>
        <w:t>Jurisdictions</w:t>
      </w:r>
    </w:p>
    <w:p w:rsidR="00D55F67" w:rsidRDefault="00D55F67" w:rsidP="00D55F67">
      <w:pPr>
        <w:spacing w:after="0" w:line="240" w:lineRule="auto"/>
        <w:rPr>
          <w:rFonts w:ascii="Times New Roman" w:hAnsi="Times New Roman" w:cs="Times New Roman"/>
          <w:color w:val="000000" w:themeColor="text1"/>
          <w:sz w:val="24"/>
          <w:szCs w:val="24"/>
        </w:rPr>
      </w:pPr>
    </w:p>
    <w:p w:rsidR="00D55F67" w:rsidRDefault="00D55F67" w:rsidP="00D55F6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PacifiCorp’s five other </w:t>
      </w:r>
      <w:r w:rsidR="00570448">
        <w:rPr>
          <w:rFonts w:ascii="Times New Roman" w:hAnsi="Times New Roman" w:cs="Times New Roman"/>
          <w:color w:val="000000" w:themeColor="text1"/>
          <w:sz w:val="24"/>
          <w:szCs w:val="24"/>
        </w:rPr>
        <w:t xml:space="preserve">state </w:t>
      </w:r>
      <w:r>
        <w:rPr>
          <w:rFonts w:ascii="Times New Roman" w:hAnsi="Times New Roman" w:cs="Times New Roman"/>
          <w:color w:val="000000" w:themeColor="text1"/>
          <w:sz w:val="24"/>
          <w:szCs w:val="24"/>
        </w:rPr>
        <w:t>jurisdictions (California, Idaho, Oregon, Utah, and Wyoming), the state regulatory commissions use the same inter-jurisdictional allocation methodology—the 2010 Protocol.  The 2010 Protocol is a six-state, system-based methodology</w:t>
      </w:r>
      <w:r w:rsidR="00E83CB6">
        <w:rPr>
          <w:rFonts w:ascii="Times New Roman" w:hAnsi="Times New Roman" w:cs="Times New Roman"/>
          <w:color w:val="000000" w:themeColor="text1"/>
          <w:sz w:val="24"/>
          <w:szCs w:val="24"/>
        </w:rPr>
        <w:t xml:space="preserve"> </w:t>
      </w:r>
      <w:r w:rsidR="006B7AE7">
        <w:rPr>
          <w:rFonts w:ascii="Times New Roman" w:hAnsi="Times New Roman" w:cs="Times New Roman"/>
          <w:color w:val="000000" w:themeColor="text1"/>
          <w:sz w:val="24"/>
          <w:szCs w:val="24"/>
        </w:rPr>
        <w:t xml:space="preserve">that </w:t>
      </w:r>
      <w:r w:rsidR="00E83CB6">
        <w:rPr>
          <w:rFonts w:ascii="Times New Roman" w:hAnsi="Times New Roman" w:cs="Times New Roman"/>
          <w:color w:val="000000" w:themeColor="text1"/>
          <w:sz w:val="24"/>
          <w:szCs w:val="24"/>
        </w:rPr>
        <w:t>reflects the actual planning and operation of the system</w:t>
      </w:r>
      <w:r>
        <w:rPr>
          <w:rFonts w:ascii="Times New Roman" w:hAnsi="Times New Roman" w:cs="Times New Roman"/>
          <w:color w:val="000000" w:themeColor="text1"/>
          <w:sz w:val="24"/>
          <w:szCs w:val="24"/>
        </w:rPr>
        <w:t xml:space="preserve">.  With the use of the WCA in Washington, the sum of the six state allocations do not equal the whole, leading to over-allocation of </w:t>
      </w:r>
      <w:r w:rsidR="00B70F3F">
        <w:rPr>
          <w:rFonts w:ascii="Times New Roman" w:hAnsi="Times New Roman" w:cs="Times New Roman"/>
          <w:color w:val="000000" w:themeColor="text1"/>
          <w:sz w:val="24"/>
          <w:szCs w:val="24"/>
        </w:rPr>
        <w:t>PACW</w:t>
      </w:r>
      <w:r>
        <w:rPr>
          <w:rFonts w:ascii="Times New Roman" w:hAnsi="Times New Roman" w:cs="Times New Roman"/>
          <w:color w:val="000000" w:themeColor="text1"/>
          <w:sz w:val="24"/>
          <w:szCs w:val="24"/>
        </w:rPr>
        <w:t xml:space="preserve"> investments and under-allocation of </w:t>
      </w:r>
      <w:r w:rsidR="00B70F3F">
        <w:rPr>
          <w:rFonts w:ascii="Times New Roman" w:hAnsi="Times New Roman" w:cs="Times New Roman"/>
          <w:color w:val="000000" w:themeColor="text1"/>
          <w:sz w:val="24"/>
          <w:szCs w:val="24"/>
        </w:rPr>
        <w:t>PACE</w:t>
      </w:r>
      <w:r>
        <w:rPr>
          <w:rFonts w:ascii="Times New Roman" w:hAnsi="Times New Roman" w:cs="Times New Roman"/>
          <w:color w:val="000000" w:themeColor="text1"/>
          <w:sz w:val="24"/>
          <w:szCs w:val="24"/>
        </w:rPr>
        <w:t xml:space="preserve"> investments.</w:t>
      </w:r>
    </w:p>
    <w:p w:rsidR="00D55F67" w:rsidRDefault="00D55F67" w:rsidP="00D55F67">
      <w:pPr>
        <w:spacing w:after="0" w:line="240" w:lineRule="auto"/>
        <w:rPr>
          <w:rFonts w:ascii="Times New Roman" w:hAnsi="Times New Roman" w:cs="Times New Roman"/>
          <w:color w:val="000000" w:themeColor="text1"/>
          <w:sz w:val="24"/>
          <w:szCs w:val="24"/>
        </w:rPr>
      </w:pPr>
    </w:p>
    <w:p w:rsidR="00D55F67" w:rsidRDefault="00D55F67" w:rsidP="00D55F6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Parties involved in regulatory proceedings in each of these five states participate in regular MSP</w:t>
      </w:r>
      <w:r w:rsidR="001E6554">
        <w:rPr>
          <w:rFonts w:ascii="Times New Roman" w:hAnsi="Times New Roman" w:cs="Times New Roman"/>
          <w:color w:val="000000" w:themeColor="text1"/>
          <w:sz w:val="24"/>
          <w:szCs w:val="24"/>
        </w:rPr>
        <w:t xml:space="preserve"> Standing Committee</w:t>
      </w:r>
      <w:r>
        <w:rPr>
          <w:rFonts w:ascii="Times New Roman" w:hAnsi="Times New Roman" w:cs="Times New Roman"/>
          <w:color w:val="000000" w:themeColor="text1"/>
          <w:sz w:val="24"/>
          <w:szCs w:val="24"/>
        </w:rPr>
        <w:t xml:space="preserve"> workgroup meetings to discuss emerging issues and potential refinements to the 2010 Protocol.  The 2010 Protocol </w:t>
      </w:r>
      <w:r w:rsidR="00570448">
        <w:rPr>
          <w:rFonts w:ascii="Times New Roman" w:hAnsi="Times New Roman" w:cs="Times New Roman"/>
          <w:color w:val="000000" w:themeColor="text1"/>
          <w:sz w:val="24"/>
          <w:szCs w:val="24"/>
        </w:rPr>
        <w:t>will be used through</w:t>
      </w:r>
      <w:r>
        <w:rPr>
          <w:rFonts w:ascii="Times New Roman" w:hAnsi="Times New Roman" w:cs="Times New Roman"/>
          <w:color w:val="000000" w:themeColor="text1"/>
          <w:sz w:val="24"/>
          <w:szCs w:val="24"/>
        </w:rPr>
        <w:t xml:space="preserve"> 2016.  Accordingly, representatives from these states are beginning to discuss potential alternative allocation methodologies to replace the 2010 Protocol.  During the collaborative discussions, Washington </w:t>
      </w:r>
      <w:r w:rsidR="00570448">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ommission </w:t>
      </w:r>
      <w:r w:rsidR="0057044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taff </w:t>
      </w:r>
      <w:r w:rsidR="009E39E5">
        <w:rPr>
          <w:rFonts w:ascii="Times New Roman" w:hAnsi="Times New Roman" w:cs="Times New Roman"/>
          <w:color w:val="000000" w:themeColor="text1"/>
          <w:sz w:val="24"/>
          <w:szCs w:val="24"/>
        </w:rPr>
        <w:t xml:space="preserve">indicated a willingness </w:t>
      </w:r>
      <w:r>
        <w:rPr>
          <w:rFonts w:ascii="Times New Roman" w:hAnsi="Times New Roman" w:cs="Times New Roman"/>
          <w:color w:val="000000" w:themeColor="text1"/>
          <w:sz w:val="24"/>
          <w:szCs w:val="24"/>
        </w:rPr>
        <w:t xml:space="preserve">to participate in the MSP workgroup discussions.  The Company strongly encourages participation from the </w:t>
      </w:r>
      <w:r w:rsidR="00FB1190">
        <w:rPr>
          <w:rFonts w:ascii="Times New Roman" w:hAnsi="Times New Roman" w:cs="Times New Roman"/>
          <w:color w:val="000000" w:themeColor="text1"/>
          <w:sz w:val="24"/>
          <w:szCs w:val="24"/>
        </w:rPr>
        <w:t xml:space="preserve">other </w:t>
      </w:r>
      <w:r>
        <w:rPr>
          <w:rFonts w:ascii="Times New Roman" w:hAnsi="Times New Roman" w:cs="Times New Roman"/>
          <w:color w:val="000000" w:themeColor="text1"/>
          <w:sz w:val="24"/>
          <w:szCs w:val="24"/>
        </w:rPr>
        <w:t xml:space="preserve">Washington parties to see if all six states can reach a consensus on an appropriate </w:t>
      </w:r>
      <w:r w:rsidR="00E83CB6">
        <w:rPr>
          <w:rFonts w:ascii="Times New Roman" w:hAnsi="Times New Roman" w:cs="Times New Roman"/>
          <w:color w:val="000000" w:themeColor="text1"/>
          <w:sz w:val="24"/>
          <w:szCs w:val="24"/>
        </w:rPr>
        <w:t xml:space="preserve">approach </w:t>
      </w:r>
      <w:r>
        <w:rPr>
          <w:rFonts w:ascii="Times New Roman" w:hAnsi="Times New Roman" w:cs="Times New Roman"/>
          <w:color w:val="000000" w:themeColor="text1"/>
          <w:sz w:val="24"/>
          <w:szCs w:val="24"/>
        </w:rPr>
        <w:t>for use after the 2010 Protocol expires.</w:t>
      </w:r>
    </w:p>
    <w:p w:rsidR="004B1360" w:rsidRPr="00C02ACB" w:rsidRDefault="004B1360" w:rsidP="00C02ACB">
      <w:pPr>
        <w:spacing w:after="0" w:line="240" w:lineRule="auto"/>
        <w:rPr>
          <w:rFonts w:ascii="Times New Roman" w:hAnsi="Times New Roman" w:cs="Times New Roman"/>
          <w:sz w:val="24"/>
          <w:szCs w:val="24"/>
        </w:rPr>
      </w:pPr>
    </w:p>
    <w:p w:rsidR="00175422" w:rsidRPr="00E511F5" w:rsidRDefault="00175422" w:rsidP="00E511F5">
      <w:pPr>
        <w:pStyle w:val="ListParagraph"/>
        <w:numPr>
          <w:ilvl w:val="0"/>
          <w:numId w:val="8"/>
        </w:numPr>
        <w:ind w:left="720"/>
        <w:rPr>
          <w:rFonts w:eastAsia="Calibri"/>
          <w:b/>
        </w:rPr>
      </w:pPr>
      <w:r w:rsidRPr="00E511F5">
        <w:rPr>
          <w:rFonts w:eastAsia="Calibri"/>
          <w:b/>
        </w:rPr>
        <w:t xml:space="preserve">The WCA Originally Impeded the Adoption of a </w:t>
      </w:r>
      <w:r w:rsidR="00570448">
        <w:rPr>
          <w:rFonts w:eastAsia="Calibri"/>
          <w:b/>
        </w:rPr>
        <w:t>Power Cost Adjustment Mechanism</w:t>
      </w:r>
    </w:p>
    <w:p w:rsidR="004B1360" w:rsidRPr="00C02ACB" w:rsidRDefault="004B1360" w:rsidP="00C02ACB">
      <w:pPr>
        <w:spacing w:after="0" w:line="240" w:lineRule="auto"/>
        <w:rPr>
          <w:rFonts w:ascii="Times New Roman" w:hAnsi="Times New Roman" w:cs="Times New Roman"/>
          <w:sz w:val="24"/>
          <w:szCs w:val="24"/>
        </w:rPr>
      </w:pPr>
    </w:p>
    <w:p w:rsidR="00A25C6A" w:rsidRDefault="00225BA1" w:rsidP="00C02ACB">
      <w:pPr>
        <w:spacing w:after="0" w:line="240" w:lineRule="auto"/>
        <w:rPr>
          <w:rFonts w:ascii="Times New Roman" w:hAnsi="Times New Roman" w:cs="Times New Roman"/>
          <w:sz w:val="24"/>
          <w:szCs w:val="24"/>
        </w:rPr>
      </w:pPr>
      <w:r>
        <w:rPr>
          <w:rFonts w:ascii="Times New Roman" w:hAnsi="Times New Roman" w:cs="Times New Roman"/>
          <w:sz w:val="24"/>
          <w:szCs w:val="24"/>
        </w:rPr>
        <w:t>One of the primary reasons that the Commission previously rejected a power cost adjustment mechanism (PCAM) is the lack of accounting detail for actual net power costs (NPC) because the “computer-generated actual costs has not been shown to be reliable</w:t>
      </w:r>
      <w:r w:rsidR="00A25C6A">
        <w:rPr>
          <w:rFonts w:ascii="Times New Roman" w:hAnsi="Times New Roman" w:cs="Times New Roman"/>
          <w:sz w:val="24"/>
          <w:szCs w:val="24"/>
        </w:rPr>
        <w:t>:</w:t>
      </w:r>
      <w:r>
        <w:rPr>
          <w:rFonts w:ascii="Times New Roman" w:hAnsi="Times New Roman" w:cs="Times New Roman"/>
          <w:sz w:val="24"/>
          <w:szCs w:val="24"/>
        </w:rPr>
        <w:t>”</w:t>
      </w:r>
      <w:r w:rsidR="00A25C6A">
        <w:rPr>
          <w:rStyle w:val="FootnoteReference"/>
          <w:rFonts w:ascii="Times New Roman" w:hAnsi="Times New Roman" w:cs="Times New Roman"/>
          <w:sz w:val="24"/>
          <w:szCs w:val="24"/>
        </w:rPr>
        <w:footnoteReference w:id="6"/>
      </w:r>
    </w:p>
    <w:p w:rsidR="00A25C6A" w:rsidRDefault="00A25C6A" w:rsidP="00C02ACB">
      <w:pPr>
        <w:spacing w:after="0" w:line="240" w:lineRule="auto"/>
        <w:rPr>
          <w:rFonts w:ascii="Times New Roman" w:hAnsi="Times New Roman" w:cs="Times New Roman"/>
          <w:sz w:val="24"/>
          <w:szCs w:val="24"/>
        </w:rPr>
      </w:pPr>
    </w:p>
    <w:p w:rsidR="00C02ACB" w:rsidRDefault="00A25C6A" w:rsidP="006B7AE7">
      <w:pPr>
        <w:spacing w:after="0" w:line="240" w:lineRule="auto"/>
        <w:ind w:left="1440" w:right="1170"/>
        <w:rPr>
          <w:rFonts w:ascii="Times New Roman" w:hAnsi="Times New Roman" w:cs="Times New Roman"/>
          <w:sz w:val="24"/>
          <w:szCs w:val="24"/>
        </w:rPr>
      </w:pPr>
      <w:r>
        <w:rPr>
          <w:rFonts w:ascii="Times New Roman" w:hAnsi="Times New Roman" w:cs="Times New Roman"/>
          <w:sz w:val="24"/>
          <w:szCs w:val="24"/>
        </w:rPr>
        <w:t xml:space="preserve">Our concern is that the computer-generated, pseudo-actual costs will themselves be only estimates including some statistical (i.e., modeling) variability (i.e., error).  The Company and Staff contend that actual data, rather than assumptions, will be used in the computer model.  Presumably that will reduce the modeling error and produce a more precise result.  Truing-up one estimate with another more precise estimate </w:t>
      </w:r>
      <w:r>
        <w:rPr>
          <w:rFonts w:ascii="Times New Roman" w:hAnsi="Times New Roman" w:cs="Times New Roman"/>
          <w:i/>
          <w:sz w:val="24"/>
          <w:szCs w:val="24"/>
        </w:rPr>
        <w:t>may</w:t>
      </w:r>
      <w:r>
        <w:rPr>
          <w:rFonts w:ascii="Times New Roman" w:hAnsi="Times New Roman" w:cs="Times New Roman"/>
          <w:sz w:val="24"/>
          <w:szCs w:val="24"/>
        </w:rPr>
        <w:t xml:space="preserve"> be justified, but the risk is that neither will be accurate and using two inaccurate, even if precise, estimates of cost to set cost-based rates could lead us to depart farther and farther from actual costs.</w:t>
      </w:r>
      <w:r>
        <w:rPr>
          <w:rStyle w:val="FootnoteReference"/>
          <w:rFonts w:ascii="Times New Roman" w:hAnsi="Times New Roman" w:cs="Times New Roman"/>
          <w:sz w:val="24"/>
          <w:szCs w:val="24"/>
        </w:rPr>
        <w:footnoteReference w:id="7"/>
      </w:r>
    </w:p>
    <w:p w:rsidR="00C22607" w:rsidRDefault="00C22607" w:rsidP="00C22607">
      <w:pPr>
        <w:spacing w:after="0" w:line="240" w:lineRule="auto"/>
        <w:ind w:left="2160" w:right="1170"/>
        <w:rPr>
          <w:rFonts w:ascii="Times New Roman" w:hAnsi="Times New Roman" w:cs="Times New Roman"/>
          <w:sz w:val="24"/>
          <w:szCs w:val="24"/>
        </w:rPr>
      </w:pPr>
    </w:p>
    <w:p w:rsidR="00A25C6A" w:rsidRDefault="00A25C6A" w:rsidP="00A25C6A">
      <w:pPr>
        <w:spacing w:after="0" w:line="240" w:lineRule="auto"/>
        <w:rPr>
          <w:rFonts w:ascii="Times New Roman" w:hAnsi="Times New Roman" w:cs="Times New Roman"/>
          <w:sz w:val="24"/>
          <w:szCs w:val="24"/>
        </w:rPr>
      </w:pPr>
      <w:r>
        <w:rPr>
          <w:rFonts w:ascii="Times New Roman" w:hAnsi="Times New Roman" w:cs="Times New Roman"/>
          <w:sz w:val="24"/>
          <w:szCs w:val="24"/>
        </w:rPr>
        <w:t>As discussed above, since the WCA creates a fictitious system, the NPC under the WCA have historically not been tied to the Company’s accounting records.</w:t>
      </w:r>
      <w:r w:rsidR="00FB1190">
        <w:rPr>
          <w:rFonts w:ascii="Times New Roman" w:hAnsi="Times New Roman" w:cs="Times New Roman"/>
          <w:sz w:val="24"/>
          <w:szCs w:val="24"/>
        </w:rPr>
        <w:t xml:space="preserve">  As noted above, the Company does not dispatch its system to optimize PACW and PACE separately.  </w:t>
      </w:r>
      <w:r w:rsidR="00B70F3F">
        <w:rPr>
          <w:rFonts w:ascii="Times New Roman" w:hAnsi="Times New Roman" w:cs="Times New Roman"/>
          <w:sz w:val="24"/>
          <w:szCs w:val="24"/>
        </w:rPr>
        <w:t xml:space="preserve">Accordingly, since the adoption of the WCA, </w:t>
      </w:r>
      <w:r w:rsidR="00FB1190">
        <w:rPr>
          <w:rFonts w:ascii="Times New Roman" w:hAnsi="Times New Roman" w:cs="Times New Roman"/>
          <w:sz w:val="24"/>
          <w:szCs w:val="24"/>
        </w:rPr>
        <w:t xml:space="preserve">the Company’s </w:t>
      </w:r>
      <w:r w:rsidR="00570448">
        <w:rPr>
          <w:rFonts w:ascii="Times New Roman" w:hAnsi="Times New Roman" w:cs="Times New Roman"/>
          <w:sz w:val="24"/>
          <w:szCs w:val="24"/>
        </w:rPr>
        <w:t>Commission basis reports, quarterly results of operations,</w:t>
      </w:r>
      <w:r w:rsidR="00FB1190">
        <w:rPr>
          <w:rFonts w:ascii="Times New Roman" w:hAnsi="Times New Roman" w:cs="Times New Roman"/>
          <w:sz w:val="24"/>
          <w:szCs w:val="24"/>
        </w:rPr>
        <w:t xml:space="preserve"> and rate case filings remove actual total-company net power costs and replace them with </w:t>
      </w:r>
      <w:r w:rsidR="00B70F3F">
        <w:rPr>
          <w:rFonts w:ascii="Times New Roman" w:hAnsi="Times New Roman" w:cs="Times New Roman"/>
          <w:sz w:val="24"/>
          <w:szCs w:val="24"/>
        </w:rPr>
        <w:t>“pseudo-</w:t>
      </w:r>
      <w:r w:rsidR="00FB1190">
        <w:rPr>
          <w:rFonts w:ascii="Times New Roman" w:hAnsi="Times New Roman" w:cs="Times New Roman"/>
          <w:sz w:val="24"/>
          <w:szCs w:val="24"/>
        </w:rPr>
        <w:t>actuals</w:t>
      </w:r>
      <w:r w:rsidR="00B70F3F">
        <w:rPr>
          <w:rFonts w:ascii="Times New Roman" w:hAnsi="Times New Roman" w:cs="Times New Roman"/>
          <w:sz w:val="24"/>
          <w:szCs w:val="24"/>
        </w:rPr>
        <w:t>”</w:t>
      </w:r>
      <w:r w:rsidR="00FB1190">
        <w:rPr>
          <w:rFonts w:ascii="Times New Roman" w:hAnsi="Times New Roman" w:cs="Times New Roman"/>
          <w:sz w:val="24"/>
          <w:szCs w:val="24"/>
        </w:rPr>
        <w:t xml:space="preserve"> calculated by the GRID</w:t>
      </w:r>
      <w:r w:rsidR="009E39E5">
        <w:rPr>
          <w:rFonts w:ascii="Times New Roman" w:hAnsi="Times New Roman" w:cs="Times New Roman"/>
          <w:sz w:val="24"/>
          <w:szCs w:val="24"/>
        </w:rPr>
        <w:t xml:space="preserve"> net power cost</w:t>
      </w:r>
      <w:r w:rsidR="00FB1190">
        <w:rPr>
          <w:rFonts w:ascii="Times New Roman" w:hAnsi="Times New Roman" w:cs="Times New Roman"/>
          <w:sz w:val="24"/>
          <w:szCs w:val="24"/>
        </w:rPr>
        <w:t xml:space="preserve"> model.</w:t>
      </w:r>
      <w:r w:rsidR="009E39E5">
        <w:rPr>
          <w:rFonts w:ascii="Times New Roman" w:hAnsi="Times New Roman" w:cs="Times New Roman"/>
          <w:sz w:val="24"/>
          <w:szCs w:val="24"/>
        </w:rPr>
        <w:t xml:space="preserve">  PacifiCorp is the only electric utility in the state of Washington that has been denied a PCAM.</w:t>
      </w:r>
    </w:p>
    <w:p w:rsidR="00A25C6A" w:rsidRDefault="00A25C6A" w:rsidP="00A25C6A">
      <w:pPr>
        <w:spacing w:after="0" w:line="240" w:lineRule="auto"/>
        <w:ind w:left="2160" w:right="1440"/>
        <w:rPr>
          <w:rFonts w:ascii="Times New Roman" w:hAnsi="Times New Roman" w:cs="Times New Roman"/>
          <w:sz w:val="24"/>
          <w:szCs w:val="24"/>
        </w:rPr>
      </w:pPr>
    </w:p>
    <w:p w:rsidR="00D55F67" w:rsidRDefault="00D55F67" w:rsidP="00D55F67">
      <w:pPr>
        <w:pStyle w:val="ListParagraph"/>
        <w:numPr>
          <w:ilvl w:val="0"/>
          <w:numId w:val="8"/>
        </w:numPr>
        <w:ind w:left="720"/>
        <w:rPr>
          <w:b/>
          <w:color w:val="000000"/>
        </w:rPr>
      </w:pPr>
      <w:r>
        <w:rPr>
          <w:b/>
          <w:color w:val="000000"/>
        </w:rPr>
        <w:t xml:space="preserve">The WCA is a Hybrid of a Situs and System Methodology, which Leads to </w:t>
      </w:r>
      <w:r w:rsidR="0046375E">
        <w:rPr>
          <w:b/>
          <w:color w:val="000000"/>
        </w:rPr>
        <w:t>Inconsistencies</w:t>
      </w:r>
    </w:p>
    <w:p w:rsidR="00D55F67" w:rsidRPr="00C02ACB" w:rsidRDefault="00D55F67" w:rsidP="00D55F67">
      <w:pPr>
        <w:spacing w:after="0" w:line="240" w:lineRule="auto"/>
        <w:rPr>
          <w:rFonts w:ascii="Times New Roman" w:hAnsi="Times New Roman" w:cs="Times New Roman"/>
          <w:sz w:val="24"/>
          <w:szCs w:val="24"/>
        </w:rPr>
      </w:pPr>
    </w:p>
    <w:p w:rsidR="00856650" w:rsidRDefault="00D55F67" w:rsidP="00D55F67">
      <w:pPr>
        <w:spacing w:after="0" w:line="240" w:lineRule="auto"/>
        <w:rPr>
          <w:rFonts w:ascii="Times New Roman" w:hAnsi="Times New Roman" w:cs="Times New Roman"/>
          <w:sz w:val="24"/>
          <w:szCs w:val="24"/>
        </w:rPr>
      </w:pPr>
      <w:r>
        <w:rPr>
          <w:rFonts w:ascii="Times New Roman" w:hAnsi="Times New Roman" w:cs="Times New Roman"/>
          <w:sz w:val="24"/>
          <w:szCs w:val="24"/>
        </w:rPr>
        <w:t>Because the WCA does not represent a true system or situs methodology,</w:t>
      </w:r>
      <w:r w:rsidR="0046375E">
        <w:rPr>
          <w:rFonts w:ascii="Times New Roman" w:hAnsi="Times New Roman" w:cs="Times New Roman"/>
          <w:sz w:val="24"/>
          <w:szCs w:val="24"/>
        </w:rPr>
        <w:t xml:space="preserve"> inconsistencies have developed over time </w:t>
      </w:r>
      <w:r w:rsidR="006502C4">
        <w:rPr>
          <w:rFonts w:ascii="Times New Roman" w:hAnsi="Times New Roman" w:cs="Times New Roman"/>
          <w:sz w:val="24"/>
          <w:szCs w:val="24"/>
        </w:rPr>
        <w:t>causing</w:t>
      </w:r>
      <w:r w:rsidR="009E39E5">
        <w:rPr>
          <w:rFonts w:ascii="Times New Roman" w:hAnsi="Times New Roman" w:cs="Times New Roman"/>
          <w:sz w:val="24"/>
          <w:szCs w:val="24"/>
        </w:rPr>
        <w:t xml:space="preserve"> Washington rates to depart f</w:t>
      </w:r>
      <w:r w:rsidR="001E6554">
        <w:rPr>
          <w:rFonts w:ascii="Times New Roman" w:hAnsi="Times New Roman" w:cs="Times New Roman"/>
          <w:sz w:val="24"/>
          <w:szCs w:val="24"/>
        </w:rPr>
        <w:t>u</w:t>
      </w:r>
      <w:r w:rsidR="009E39E5">
        <w:rPr>
          <w:rFonts w:ascii="Times New Roman" w:hAnsi="Times New Roman" w:cs="Times New Roman"/>
          <w:sz w:val="24"/>
          <w:szCs w:val="24"/>
        </w:rPr>
        <w:t>rther and f</w:t>
      </w:r>
      <w:r w:rsidR="001E6554">
        <w:rPr>
          <w:rFonts w:ascii="Times New Roman" w:hAnsi="Times New Roman" w:cs="Times New Roman"/>
          <w:sz w:val="24"/>
          <w:szCs w:val="24"/>
        </w:rPr>
        <w:t>u</w:t>
      </w:r>
      <w:r w:rsidR="009E39E5">
        <w:rPr>
          <w:rFonts w:ascii="Times New Roman" w:hAnsi="Times New Roman" w:cs="Times New Roman"/>
          <w:sz w:val="24"/>
          <w:szCs w:val="24"/>
        </w:rPr>
        <w:t>rther from actual costs or result</w:t>
      </w:r>
      <w:r w:rsidR="006502C4">
        <w:rPr>
          <w:rFonts w:ascii="Times New Roman" w:hAnsi="Times New Roman" w:cs="Times New Roman"/>
          <w:sz w:val="24"/>
          <w:szCs w:val="24"/>
        </w:rPr>
        <w:t>ing</w:t>
      </w:r>
      <w:r w:rsidR="009E39E5">
        <w:rPr>
          <w:rFonts w:ascii="Times New Roman" w:hAnsi="Times New Roman" w:cs="Times New Roman"/>
          <w:sz w:val="24"/>
          <w:szCs w:val="24"/>
        </w:rPr>
        <w:t xml:space="preserve"> in outcome-based proposals</w:t>
      </w:r>
      <w:r w:rsidR="001E07E1">
        <w:rPr>
          <w:rFonts w:ascii="Times New Roman" w:hAnsi="Times New Roman" w:cs="Times New Roman"/>
          <w:sz w:val="24"/>
          <w:szCs w:val="24"/>
        </w:rPr>
        <w:t>.</w:t>
      </w:r>
    </w:p>
    <w:p w:rsidR="00856650" w:rsidRDefault="00856650" w:rsidP="00D55F67">
      <w:pPr>
        <w:spacing w:after="0" w:line="240" w:lineRule="auto"/>
        <w:rPr>
          <w:rFonts w:ascii="Times New Roman" w:hAnsi="Times New Roman" w:cs="Times New Roman"/>
          <w:sz w:val="24"/>
          <w:szCs w:val="24"/>
        </w:rPr>
      </w:pPr>
    </w:p>
    <w:p w:rsidR="00856650" w:rsidRDefault="00856650" w:rsidP="00D55F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calculation of net power costs, there are two </w:t>
      </w:r>
      <w:r w:rsidR="00900986">
        <w:rPr>
          <w:rFonts w:ascii="Times New Roman" w:hAnsi="Times New Roman" w:cs="Times New Roman"/>
          <w:sz w:val="24"/>
          <w:szCs w:val="24"/>
        </w:rPr>
        <w:t>items of significant concern</w:t>
      </w:r>
      <w:r w:rsidR="0046375E">
        <w:rPr>
          <w:rFonts w:ascii="Times New Roman" w:hAnsi="Times New Roman" w:cs="Times New Roman"/>
          <w:sz w:val="24"/>
          <w:szCs w:val="24"/>
        </w:rPr>
        <w:t>.</w:t>
      </w:r>
      <w:r>
        <w:rPr>
          <w:rFonts w:ascii="Times New Roman" w:hAnsi="Times New Roman" w:cs="Times New Roman"/>
          <w:sz w:val="24"/>
          <w:szCs w:val="24"/>
        </w:rPr>
        <w:t xml:space="preserve">  First, the WCA treats </w:t>
      </w:r>
      <w:r w:rsidR="00900986">
        <w:rPr>
          <w:rFonts w:ascii="Times New Roman" w:hAnsi="Times New Roman" w:cs="Times New Roman"/>
          <w:sz w:val="24"/>
          <w:szCs w:val="24"/>
        </w:rPr>
        <w:t xml:space="preserve">power purchase agreements (PPAs) with </w:t>
      </w:r>
      <w:r>
        <w:rPr>
          <w:rFonts w:ascii="Times New Roman" w:hAnsi="Times New Roman" w:cs="Times New Roman"/>
          <w:sz w:val="24"/>
          <w:szCs w:val="24"/>
        </w:rPr>
        <w:t>qualif</w:t>
      </w:r>
      <w:r w:rsidR="001E6554">
        <w:rPr>
          <w:rFonts w:ascii="Times New Roman" w:hAnsi="Times New Roman" w:cs="Times New Roman"/>
          <w:sz w:val="24"/>
          <w:szCs w:val="24"/>
        </w:rPr>
        <w:t>ied</w:t>
      </w:r>
      <w:r>
        <w:rPr>
          <w:rFonts w:ascii="Times New Roman" w:hAnsi="Times New Roman" w:cs="Times New Roman"/>
          <w:sz w:val="24"/>
          <w:szCs w:val="24"/>
        </w:rPr>
        <w:t xml:space="preserve"> facilities (QF</w:t>
      </w:r>
      <w:r w:rsidR="00900986">
        <w:rPr>
          <w:rFonts w:ascii="Times New Roman" w:hAnsi="Times New Roman" w:cs="Times New Roman"/>
          <w:sz w:val="24"/>
          <w:szCs w:val="24"/>
        </w:rPr>
        <w:t>s</w:t>
      </w:r>
      <w:r>
        <w:rPr>
          <w:rFonts w:ascii="Times New Roman" w:hAnsi="Times New Roman" w:cs="Times New Roman"/>
          <w:sz w:val="24"/>
          <w:szCs w:val="24"/>
        </w:rPr>
        <w:t xml:space="preserve">) differently than all other PACW generating resources by not reflecting the costs of </w:t>
      </w:r>
      <w:r w:rsidR="00900986">
        <w:rPr>
          <w:rFonts w:ascii="Times New Roman" w:hAnsi="Times New Roman" w:cs="Times New Roman"/>
          <w:sz w:val="24"/>
          <w:szCs w:val="24"/>
        </w:rPr>
        <w:t xml:space="preserve">PPAs with </w:t>
      </w:r>
      <w:r>
        <w:rPr>
          <w:rFonts w:ascii="Times New Roman" w:hAnsi="Times New Roman" w:cs="Times New Roman"/>
          <w:sz w:val="24"/>
          <w:szCs w:val="24"/>
        </w:rPr>
        <w:t xml:space="preserve">QFs </w:t>
      </w:r>
      <w:r w:rsidR="009E39E5">
        <w:rPr>
          <w:rFonts w:ascii="Times New Roman" w:hAnsi="Times New Roman" w:cs="Times New Roman"/>
          <w:sz w:val="24"/>
          <w:szCs w:val="24"/>
        </w:rPr>
        <w:t xml:space="preserve">located </w:t>
      </w:r>
      <w:r>
        <w:rPr>
          <w:rFonts w:ascii="Times New Roman" w:hAnsi="Times New Roman" w:cs="Times New Roman"/>
          <w:sz w:val="24"/>
          <w:szCs w:val="24"/>
        </w:rPr>
        <w:t>in Oregon and California</w:t>
      </w:r>
      <w:r w:rsidR="001E07E1">
        <w:rPr>
          <w:rFonts w:ascii="Times New Roman" w:hAnsi="Times New Roman" w:cs="Times New Roman"/>
          <w:sz w:val="24"/>
          <w:szCs w:val="24"/>
        </w:rPr>
        <w:t xml:space="preserve"> even though output from these QFs serve Washington retail load</w:t>
      </w:r>
      <w:r>
        <w:rPr>
          <w:rFonts w:ascii="Times New Roman" w:hAnsi="Times New Roman" w:cs="Times New Roman"/>
          <w:sz w:val="24"/>
          <w:szCs w:val="24"/>
        </w:rPr>
        <w:t xml:space="preserve">.  Second, the net power costs are reduced by an imputed sale to PACE, without </w:t>
      </w:r>
      <w:r w:rsidR="001E07E1">
        <w:rPr>
          <w:rFonts w:ascii="Times New Roman" w:hAnsi="Times New Roman" w:cs="Times New Roman"/>
          <w:sz w:val="24"/>
          <w:szCs w:val="24"/>
        </w:rPr>
        <w:t>including the cost of the assets located in PACE that would be required to wheel power from PACW to wholesale markets located in PACE.</w:t>
      </w:r>
    </w:p>
    <w:p w:rsidR="001E07E1" w:rsidRDefault="001E07E1" w:rsidP="00D55F67">
      <w:pPr>
        <w:spacing w:after="0" w:line="240" w:lineRule="auto"/>
        <w:rPr>
          <w:rFonts w:ascii="Times New Roman" w:hAnsi="Times New Roman" w:cs="Times New Roman"/>
          <w:sz w:val="24"/>
          <w:szCs w:val="24"/>
        </w:rPr>
      </w:pPr>
    </w:p>
    <w:p w:rsidR="006502C4" w:rsidRDefault="00856650" w:rsidP="00D55F67">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D55F67">
        <w:rPr>
          <w:rFonts w:ascii="Times New Roman" w:hAnsi="Times New Roman" w:cs="Times New Roman"/>
          <w:sz w:val="24"/>
          <w:szCs w:val="24"/>
        </w:rPr>
        <w:t xml:space="preserve">n </w:t>
      </w:r>
      <w:r>
        <w:rPr>
          <w:rFonts w:ascii="Times New Roman" w:hAnsi="Times New Roman" w:cs="Times New Roman"/>
          <w:sz w:val="24"/>
          <w:szCs w:val="24"/>
        </w:rPr>
        <w:t>addition</w:t>
      </w:r>
      <w:r w:rsidR="00D55F67">
        <w:rPr>
          <w:rFonts w:ascii="Times New Roman" w:hAnsi="Times New Roman" w:cs="Times New Roman"/>
          <w:sz w:val="24"/>
          <w:szCs w:val="24"/>
        </w:rPr>
        <w:t xml:space="preserve">, </w:t>
      </w:r>
      <w:r>
        <w:rPr>
          <w:rFonts w:ascii="Times New Roman" w:hAnsi="Times New Roman" w:cs="Times New Roman"/>
          <w:sz w:val="24"/>
          <w:szCs w:val="24"/>
        </w:rPr>
        <w:t>parties have</w:t>
      </w:r>
      <w:r w:rsidR="00D55F67">
        <w:rPr>
          <w:rFonts w:ascii="Times New Roman" w:hAnsi="Times New Roman" w:cs="Times New Roman"/>
          <w:sz w:val="24"/>
          <w:szCs w:val="24"/>
        </w:rPr>
        <w:t xml:space="preserve"> proposed changes in how allocation factors are applied and to which costs they are applied based solely on whether the change reduces the costs ultimately allocated </w:t>
      </w:r>
      <w:r w:rsidR="00FB1190">
        <w:rPr>
          <w:rFonts w:ascii="Times New Roman" w:hAnsi="Times New Roman" w:cs="Times New Roman"/>
          <w:sz w:val="24"/>
          <w:szCs w:val="24"/>
        </w:rPr>
        <w:t xml:space="preserve">or assigned </w:t>
      </w:r>
      <w:r w:rsidR="00D55F67">
        <w:rPr>
          <w:rFonts w:ascii="Times New Roman" w:hAnsi="Times New Roman" w:cs="Times New Roman"/>
          <w:sz w:val="24"/>
          <w:szCs w:val="24"/>
        </w:rPr>
        <w:t xml:space="preserve">to Washington.  This has been particularly true for </w:t>
      </w:r>
      <w:r w:rsidR="00900986">
        <w:rPr>
          <w:rFonts w:ascii="Times New Roman" w:hAnsi="Times New Roman" w:cs="Times New Roman"/>
          <w:sz w:val="24"/>
          <w:szCs w:val="24"/>
        </w:rPr>
        <w:t>A&amp;G</w:t>
      </w:r>
      <w:r w:rsidR="00D55F67">
        <w:rPr>
          <w:rFonts w:ascii="Times New Roman" w:hAnsi="Times New Roman" w:cs="Times New Roman"/>
          <w:sz w:val="24"/>
          <w:szCs w:val="24"/>
        </w:rPr>
        <w:t xml:space="preserve"> expenses</w:t>
      </w:r>
      <w:r w:rsidR="00570448">
        <w:rPr>
          <w:rFonts w:ascii="Times New Roman" w:hAnsi="Times New Roman" w:cs="Times New Roman"/>
          <w:sz w:val="24"/>
          <w:szCs w:val="24"/>
        </w:rPr>
        <w:t xml:space="preserve">, and </w:t>
      </w:r>
      <w:r w:rsidR="00D55F67">
        <w:rPr>
          <w:rFonts w:ascii="Times New Roman" w:hAnsi="Times New Roman" w:cs="Times New Roman"/>
          <w:sz w:val="24"/>
          <w:szCs w:val="24"/>
        </w:rPr>
        <w:t>has led to an inconsistent application of allocation factors among cost categories.</w:t>
      </w:r>
    </w:p>
    <w:p w:rsidR="006502C4" w:rsidRDefault="006502C4" w:rsidP="00D55F67">
      <w:pPr>
        <w:spacing w:after="0" w:line="240" w:lineRule="auto"/>
        <w:rPr>
          <w:rFonts w:ascii="Times New Roman" w:hAnsi="Times New Roman" w:cs="Times New Roman"/>
          <w:sz w:val="24"/>
          <w:szCs w:val="24"/>
        </w:rPr>
      </w:pPr>
    </w:p>
    <w:p w:rsidR="00D55F67" w:rsidRDefault="00856650" w:rsidP="00D55F6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55F67">
        <w:rPr>
          <w:rFonts w:ascii="Times New Roman" w:hAnsi="Times New Roman" w:cs="Times New Roman"/>
          <w:sz w:val="24"/>
          <w:szCs w:val="24"/>
        </w:rPr>
        <w:t xml:space="preserve">s a result of discussions among the parties after the Commission issued its order in the Company’s 2010 rate case, several cost categories were deemed more appropriately situs assigned, including advertising, memberships, and subscription expenses.  During these discussions, certain parties were reluctant to agree on further situs assignment of cost categories because of the uncertainty of the </w:t>
      </w:r>
      <w:r w:rsidR="009A5A26">
        <w:rPr>
          <w:rFonts w:ascii="Times New Roman" w:hAnsi="Times New Roman" w:cs="Times New Roman"/>
          <w:sz w:val="24"/>
          <w:szCs w:val="24"/>
        </w:rPr>
        <w:t xml:space="preserve">overall </w:t>
      </w:r>
      <w:r w:rsidR="00D55F67">
        <w:rPr>
          <w:rFonts w:ascii="Times New Roman" w:hAnsi="Times New Roman" w:cs="Times New Roman"/>
          <w:sz w:val="24"/>
          <w:szCs w:val="24"/>
        </w:rPr>
        <w:t xml:space="preserve">impact on </w:t>
      </w:r>
      <w:r w:rsidR="00940AD7">
        <w:rPr>
          <w:rFonts w:ascii="Times New Roman" w:hAnsi="Times New Roman" w:cs="Times New Roman"/>
          <w:sz w:val="24"/>
          <w:szCs w:val="24"/>
        </w:rPr>
        <w:t>Washington’s allo</w:t>
      </w:r>
      <w:r w:rsidR="009A2C5E">
        <w:rPr>
          <w:rFonts w:ascii="Times New Roman" w:hAnsi="Times New Roman" w:cs="Times New Roman"/>
          <w:sz w:val="24"/>
          <w:szCs w:val="24"/>
        </w:rPr>
        <w:t>cated costs.</w:t>
      </w:r>
    </w:p>
    <w:p w:rsidR="00940AD7" w:rsidRDefault="00940AD7" w:rsidP="00D55F67">
      <w:pPr>
        <w:spacing w:after="0" w:line="240" w:lineRule="auto"/>
        <w:rPr>
          <w:rFonts w:ascii="Times New Roman" w:hAnsi="Times New Roman" w:cs="Times New Roman"/>
          <w:sz w:val="24"/>
          <w:szCs w:val="24"/>
        </w:rPr>
      </w:pPr>
    </w:p>
    <w:p w:rsidR="00940AD7" w:rsidRDefault="00940AD7" w:rsidP="00D55F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Company has also identified inconsistencies in assumptions used in the development of WCA </w:t>
      </w:r>
      <w:r w:rsidR="00F47343">
        <w:rPr>
          <w:rFonts w:ascii="Times New Roman" w:hAnsi="Times New Roman" w:cs="Times New Roman"/>
          <w:sz w:val="24"/>
          <w:szCs w:val="24"/>
        </w:rPr>
        <w:t xml:space="preserve">inter-jurisdictional </w:t>
      </w:r>
      <w:r>
        <w:rPr>
          <w:rFonts w:ascii="Times New Roman" w:hAnsi="Times New Roman" w:cs="Times New Roman"/>
          <w:sz w:val="24"/>
          <w:szCs w:val="24"/>
        </w:rPr>
        <w:t xml:space="preserve">allocation factors with elements of the Company’s cost of service study, which uses the Commission’s approved methodology.  Specifically, the Company uses the peak credit method in the cost of service study, which results in demand/energy weightings of 38 percent/62 percent, but the WCA </w:t>
      </w:r>
      <w:r w:rsidR="00F47343">
        <w:rPr>
          <w:rFonts w:ascii="Times New Roman" w:hAnsi="Times New Roman" w:cs="Times New Roman"/>
          <w:sz w:val="24"/>
          <w:szCs w:val="24"/>
        </w:rPr>
        <w:t xml:space="preserve">inter-jurisdictional </w:t>
      </w:r>
      <w:r>
        <w:rPr>
          <w:rFonts w:ascii="Times New Roman" w:hAnsi="Times New Roman" w:cs="Times New Roman"/>
          <w:sz w:val="24"/>
          <w:szCs w:val="24"/>
        </w:rPr>
        <w:t>allocation factors are derived using 75 percent/25 percent demand/energy weighting</w:t>
      </w:r>
      <w:r w:rsidR="005B2808">
        <w:rPr>
          <w:rFonts w:ascii="Times New Roman" w:hAnsi="Times New Roman" w:cs="Times New Roman"/>
          <w:sz w:val="24"/>
          <w:szCs w:val="24"/>
        </w:rPr>
        <w:t>s</w:t>
      </w:r>
      <w:r>
        <w:rPr>
          <w:rFonts w:ascii="Times New Roman" w:hAnsi="Times New Roman" w:cs="Times New Roman"/>
          <w:sz w:val="24"/>
          <w:szCs w:val="24"/>
        </w:rPr>
        <w:t xml:space="preserve">.  In addition, the cost of service study uses </w:t>
      </w:r>
      <w:r w:rsidR="00322708">
        <w:rPr>
          <w:rFonts w:ascii="Times New Roman" w:hAnsi="Times New Roman" w:cs="Times New Roman"/>
          <w:sz w:val="24"/>
          <w:szCs w:val="24"/>
        </w:rPr>
        <w:t>class loads coincident with PacifiCorp’s highest</w:t>
      </w:r>
      <w:r>
        <w:rPr>
          <w:rFonts w:ascii="Times New Roman" w:hAnsi="Times New Roman" w:cs="Times New Roman"/>
          <w:sz w:val="24"/>
          <w:szCs w:val="24"/>
        </w:rPr>
        <w:t xml:space="preserve"> 100 winter and</w:t>
      </w:r>
      <w:r w:rsidR="00322708">
        <w:rPr>
          <w:rFonts w:ascii="Times New Roman" w:hAnsi="Times New Roman" w:cs="Times New Roman"/>
          <w:sz w:val="24"/>
          <w:szCs w:val="24"/>
        </w:rPr>
        <w:t xml:space="preserve"> highest</w:t>
      </w:r>
      <w:r>
        <w:rPr>
          <w:rFonts w:ascii="Times New Roman" w:hAnsi="Times New Roman" w:cs="Times New Roman"/>
          <w:sz w:val="24"/>
          <w:szCs w:val="24"/>
        </w:rPr>
        <w:t xml:space="preserve"> 100 summer hour</w:t>
      </w:r>
      <w:r w:rsidR="00322708">
        <w:rPr>
          <w:rFonts w:ascii="Times New Roman" w:hAnsi="Times New Roman" w:cs="Times New Roman"/>
          <w:sz w:val="24"/>
          <w:szCs w:val="24"/>
        </w:rPr>
        <w:t xml:space="preserve">ly retail </w:t>
      </w:r>
      <w:r w:rsidR="00C25FF5">
        <w:rPr>
          <w:rFonts w:ascii="Times New Roman" w:hAnsi="Times New Roman" w:cs="Times New Roman"/>
          <w:sz w:val="24"/>
          <w:szCs w:val="24"/>
        </w:rPr>
        <w:t>WCA</w:t>
      </w:r>
      <w:r w:rsidR="00322708">
        <w:rPr>
          <w:rFonts w:ascii="Times New Roman" w:hAnsi="Times New Roman" w:cs="Times New Roman"/>
          <w:sz w:val="24"/>
          <w:szCs w:val="24"/>
        </w:rPr>
        <w:t xml:space="preserve"> peak loads</w:t>
      </w:r>
      <w:r>
        <w:rPr>
          <w:rFonts w:ascii="Times New Roman" w:hAnsi="Times New Roman" w:cs="Times New Roman"/>
          <w:sz w:val="24"/>
          <w:szCs w:val="24"/>
        </w:rPr>
        <w:t xml:space="preserve"> in determining </w:t>
      </w:r>
      <w:r w:rsidR="00322708">
        <w:rPr>
          <w:rFonts w:ascii="Times New Roman" w:hAnsi="Times New Roman" w:cs="Times New Roman"/>
          <w:sz w:val="24"/>
          <w:szCs w:val="24"/>
        </w:rPr>
        <w:t>the demand and energy classification percentages used to allocate generation and transmission costs</w:t>
      </w:r>
      <w:r>
        <w:rPr>
          <w:rFonts w:ascii="Times New Roman" w:hAnsi="Times New Roman" w:cs="Times New Roman"/>
          <w:sz w:val="24"/>
          <w:szCs w:val="24"/>
        </w:rPr>
        <w:t xml:space="preserve">, but the WCA </w:t>
      </w:r>
      <w:r w:rsidR="00F47343">
        <w:rPr>
          <w:rFonts w:ascii="Times New Roman" w:hAnsi="Times New Roman" w:cs="Times New Roman"/>
          <w:sz w:val="24"/>
          <w:szCs w:val="24"/>
        </w:rPr>
        <w:t xml:space="preserve">inter-jurisdictional </w:t>
      </w:r>
      <w:r>
        <w:rPr>
          <w:rFonts w:ascii="Times New Roman" w:hAnsi="Times New Roman" w:cs="Times New Roman"/>
          <w:sz w:val="24"/>
          <w:szCs w:val="24"/>
        </w:rPr>
        <w:t xml:space="preserve">allocation factors </w:t>
      </w:r>
      <w:r w:rsidR="005B2808">
        <w:rPr>
          <w:rFonts w:ascii="Times New Roman" w:hAnsi="Times New Roman" w:cs="Times New Roman"/>
          <w:sz w:val="24"/>
          <w:szCs w:val="24"/>
        </w:rPr>
        <w:t>are based on</w:t>
      </w:r>
      <w:r>
        <w:rPr>
          <w:rFonts w:ascii="Times New Roman" w:hAnsi="Times New Roman" w:cs="Times New Roman"/>
          <w:sz w:val="24"/>
          <w:szCs w:val="24"/>
        </w:rPr>
        <w:t xml:space="preserve"> </w:t>
      </w:r>
      <w:r w:rsidR="003008EC">
        <w:rPr>
          <w:rFonts w:ascii="Times New Roman" w:hAnsi="Times New Roman" w:cs="Times New Roman"/>
          <w:sz w:val="24"/>
          <w:szCs w:val="24"/>
        </w:rPr>
        <w:t xml:space="preserve">the </w:t>
      </w:r>
      <w:r>
        <w:rPr>
          <w:rFonts w:ascii="Times New Roman" w:hAnsi="Times New Roman" w:cs="Times New Roman"/>
          <w:sz w:val="24"/>
          <w:szCs w:val="24"/>
        </w:rPr>
        <w:t xml:space="preserve">12 monthly </w:t>
      </w:r>
      <w:r w:rsidR="00C25FF5">
        <w:rPr>
          <w:rFonts w:ascii="Times New Roman" w:hAnsi="Times New Roman" w:cs="Times New Roman"/>
          <w:sz w:val="24"/>
          <w:szCs w:val="24"/>
        </w:rPr>
        <w:t>WCA</w:t>
      </w:r>
      <w:r w:rsidR="003008EC">
        <w:rPr>
          <w:rFonts w:ascii="Times New Roman" w:hAnsi="Times New Roman" w:cs="Times New Roman"/>
          <w:sz w:val="24"/>
          <w:szCs w:val="24"/>
        </w:rPr>
        <w:t xml:space="preserve"> </w:t>
      </w:r>
      <w:r>
        <w:rPr>
          <w:rFonts w:ascii="Times New Roman" w:hAnsi="Times New Roman" w:cs="Times New Roman"/>
          <w:sz w:val="24"/>
          <w:szCs w:val="24"/>
        </w:rPr>
        <w:t>coincident peaks.</w:t>
      </w:r>
    </w:p>
    <w:bookmarkEnd w:id="1"/>
    <w:p w:rsidR="00B9295E" w:rsidRDefault="00B9295E" w:rsidP="00D120B6">
      <w:pPr>
        <w:spacing w:after="0" w:line="240" w:lineRule="auto"/>
        <w:jc w:val="center"/>
        <w:rPr>
          <w:rFonts w:ascii="Times New Roman" w:eastAsia="Calibri" w:hAnsi="Times New Roman" w:cs="Times New Roman"/>
          <w:b/>
          <w:sz w:val="24"/>
          <w:szCs w:val="24"/>
        </w:rPr>
      </w:pPr>
    </w:p>
    <w:p w:rsidR="007C4521" w:rsidRDefault="007C4521" w:rsidP="007C4521">
      <w:pPr>
        <w:spacing w:after="0" w:line="240" w:lineRule="auto"/>
        <w:ind w:firstLine="180"/>
        <w:jc w:val="center"/>
        <w:rPr>
          <w:rFonts w:ascii="Times New Roman" w:eastAsia="Calibri" w:hAnsi="Times New Roman" w:cs="Times New Roman"/>
          <w:b/>
          <w:sz w:val="24"/>
          <w:szCs w:val="24"/>
        </w:rPr>
      </w:pPr>
      <w:r>
        <w:rPr>
          <w:rFonts w:ascii="Times New Roman" w:eastAsia="Calibri" w:hAnsi="Times New Roman" w:cs="Times New Roman"/>
          <w:b/>
          <w:sz w:val="24"/>
          <w:szCs w:val="24"/>
        </w:rPr>
        <w:t>IV.</w:t>
      </w:r>
      <w:r w:rsidR="006502C4">
        <w:rPr>
          <w:rFonts w:ascii="Times New Roman" w:eastAsia="Calibri" w:hAnsi="Times New Roman" w:cs="Times New Roman"/>
          <w:b/>
          <w:sz w:val="24"/>
          <w:szCs w:val="24"/>
        </w:rPr>
        <w:tab/>
      </w:r>
      <w:r>
        <w:rPr>
          <w:rFonts w:ascii="Times New Roman" w:eastAsia="Calibri" w:hAnsi="Times New Roman" w:cs="Times New Roman"/>
          <w:b/>
          <w:sz w:val="24"/>
          <w:szCs w:val="24"/>
        </w:rPr>
        <w:t>ALTERNATIVES TO THE WCA CONSIDERED DURING THE COLLABORATIVE PROCESS</w:t>
      </w:r>
    </w:p>
    <w:p w:rsidR="007C4521" w:rsidRDefault="007C4521" w:rsidP="007C4521">
      <w:pPr>
        <w:spacing w:after="0" w:line="240" w:lineRule="auto"/>
        <w:rPr>
          <w:rFonts w:ascii="Times New Roman" w:hAnsi="Times New Roman" w:cs="Times New Roman"/>
          <w:color w:val="000000" w:themeColor="text1"/>
          <w:sz w:val="24"/>
          <w:szCs w:val="24"/>
        </w:rPr>
      </w:pPr>
    </w:p>
    <w:p w:rsidR="007C4521" w:rsidRDefault="007C4521" w:rsidP="007C452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During the collaborative process, the parties discussed t</w:t>
      </w:r>
      <w:r w:rsidR="006502C4">
        <w:rPr>
          <w:rFonts w:ascii="Times New Roman" w:hAnsi="Times New Roman" w:cs="Times New Roman"/>
          <w:color w:val="000000" w:themeColor="text1"/>
          <w:sz w:val="24"/>
          <w:szCs w:val="24"/>
        </w:rPr>
        <w:t>wo alternatives to the WCA: (1) </w:t>
      </w:r>
      <w:r>
        <w:rPr>
          <w:rFonts w:ascii="Times New Roman" w:hAnsi="Times New Roman" w:cs="Times New Roman"/>
          <w:color w:val="000000" w:themeColor="text1"/>
          <w:sz w:val="24"/>
          <w:szCs w:val="24"/>
        </w:rPr>
        <w:t>moving to a true situs methodology; and (2) moving to a six-state system approach.</w:t>
      </w:r>
    </w:p>
    <w:p w:rsidR="007C4521" w:rsidRDefault="007C4521" w:rsidP="007C4521">
      <w:pPr>
        <w:spacing w:after="0" w:line="240" w:lineRule="auto"/>
        <w:rPr>
          <w:rFonts w:ascii="Times New Roman" w:hAnsi="Times New Roman" w:cs="Times New Roman"/>
          <w:color w:val="000000" w:themeColor="text1"/>
          <w:sz w:val="24"/>
          <w:szCs w:val="24"/>
        </w:rPr>
      </w:pPr>
    </w:p>
    <w:p w:rsidR="007C4521" w:rsidRDefault="007C4521" w:rsidP="007C4521">
      <w:pPr>
        <w:pStyle w:val="ListParagraph"/>
        <w:numPr>
          <w:ilvl w:val="0"/>
          <w:numId w:val="11"/>
        </w:numPr>
        <w:ind w:hanging="720"/>
        <w:rPr>
          <w:b/>
          <w:color w:val="000000" w:themeColor="text1"/>
        </w:rPr>
      </w:pPr>
      <w:r w:rsidRPr="007C4521">
        <w:rPr>
          <w:b/>
          <w:color w:val="000000" w:themeColor="text1"/>
        </w:rPr>
        <w:t>True Situs Methodology</w:t>
      </w:r>
    </w:p>
    <w:p w:rsidR="007C4521" w:rsidRDefault="007C4521" w:rsidP="007C4521">
      <w:pPr>
        <w:spacing w:after="0" w:line="240" w:lineRule="auto"/>
        <w:rPr>
          <w:rFonts w:ascii="Times New Roman" w:hAnsi="Times New Roman" w:cs="Times New Roman"/>
          <w:color w:val="000000" w:themeColor="text1"/>
          <w:sz w:val="24"/>
          <w:szCs w:val="24"/>
        </w:rPr>
      </w:pPr>
    </w:p>
    <w:p w:rsidR="007C4521" w:rsidRDefault="007C4521" w:rsidP="007C452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response to the Commission’s statement that it expected the review of the WCA to “greatly refine the WCA to produce results that more closely represent Washington-only actual costs and revenues,” the parties discussed how a true situs model could be incorporated in the Company’s Washington service territory.</w:t>
      </w:r>
      <w:r>
        <w:rPr>
          <w:rStyle w:val="FootnoteReference"/>
          <w:rFonts w:ascii="Times New Roman" w:hAnsi="Times New Roman" w:cs="Times New Roman"/>
          <w:color w:val="000000" w:themeColor="text1"/>
          <w:sz w:val="24"/>
          <w:szCs w:val="24"/>
        </w:rPr>
        <w:footnoteReference w:id="8"/>
      </w:r>
      <w:r>
        <w:rPr>
          <w:rFonts w:ascii="Times New Roman" w:hAnsi="Times New Roman" w:cs="Times New Roman"/>
          <w:color w:val="000000" w:themeColor="text1"/>
          <w:sz w:val="24"/>
          <w:szCs w:val="24"/>
        </w:rPr>
        <w:t xml:space="preserve">  The parties discussed identifying fixed </w:t>
      </w:r>
      <w:r w:rsidR="00C777B5">
        <w:rPr>
          <w:rFonts w:ascii="Times New Roman" w:hAnsi="Times New Roman" w:cs="Times New Roman"/>
          <w:color w:val="000000" w:themeColor="text1"/>
          <w:sz w:val="24"/>
          <w:szCs w:val="24"/>
        </w:rPr>
        <w:t>portions of existing generation res</w:t>
      </w:r>
      <w:r>
        <w:rPr>
          <w:rFonts w:ascii="Times New Roman" w:hAnsi="Times New Roman" w:cs="Times New Roman"/>
          <w:color w:val="000000" w:themeColor="text1"/>
          <w:sz w:val="24"/>
          <w:szCs w:val="24"/>
        </w:rPr>
        <w:t>ou</w:t>
      </w:r>
      <w:r w:rsidR="00C777B5">
        <w:rPr>
          <w:rFonts w:ascii="Times New Roman" w:hAnsi="Times New Roman" w:cs="Times New Roman"/>
          <w:color w:val="000000" w:themeColor="text1"/>
          <w:sz w:val="24"/>
          <w:szCs w:val="24"/>
        </w:rPr>
        <w:t>rc</w:t>
      </w:r>
      <w:r>
        <w:rPr>
          <w:rFonts w:ascii="Times New Roman" w:hAnsi="Times New Roman" w:cs="Times New Roman"/>
          <w:color w:val="000000" w:themeColor="text1"/>
          <w:sz w:val="24"/>
          <w:szCs w:val="24"/>
        </w:rPr>
        <w:t>es that could be used to serve Washington load, with specific situs assigned purchases and sales to balance Washington load</w:t>
      </w:r>
      <w:r w:rsidR="001E07E1">
        <w:rPr>
          <w:rFonts w:ascii="Times New Roman" w:hAnsi="Times New Roman" w:cs="Times New Roman"/>
          <w:color w:val="000000" w:themeColor="text1"/>
          <w:sz w:val="24"/>
          <w:szCs w:val="24"/>
        </w:rPr>
        <w:t xml:space="preserve"> and resources</w:t>
      </w:r>
      <w:r>
        <w:rPr>
          <w:rFonts w:ascii="Times New Roman" w:hAnsi="Times New Roman" w:cs="Times New Roman"/>
          <w:color w:val="000000" w:themeColor="text1"/>
          <w:sz w:val="24"/>
          <w:szCs w:val="24"/>
        </w:rPr>
        <w:t xml:space="preserve">.  This proposal is similar to the </w:t>
      </w:r>
      <w:r w:rsidR="00C777B5">
        <w:rPr>
          <w:rFonts w:ascii="Times New Roman" w:hAnsi="Times New Roman" w:cs="Times New Roman"/>
          <w:color w:val="000000" w:themeColor="text1"/>
          <w:sz w:val="24"/>
          <w:szCs w:val="24"/>
        </w:rPr>
        <w:t xml:space="preserve">Southern </w:t>
      </w:r>
      <w:r>
        <w:rPr>
          <w:rFonts w:ascii="Times New Roman" w:hAnsi="Times New Roman" w:cs="Times New Roman"/>
          <w:color w:val="000000" w:themeColor="text1"/>
          <w:sz w:val="24"/>
          <w:szCs w:val="24"/>
        </w:rPr>
        <w:t>Company structure, where each state utility owns and operates its own generation.</w:t>
      </w:r>
      <w:r w:rsidR="009E2A9B">
        <w:rPr>
          <w:rFonts w:ascii="Times New Roman" w:hAnsi="Times New Roman" w:cs="Times New Roman"/>
          <w:color w:val="000000" w:themeColor="text1"/>
          <w:sz w:val="24"/>
          <w:szCs w:val="24"/>
        </w:rPr>
        <w:t xml:space="preserve">  It is also similar to the Company’s Structural</w:t>
      </w:r>
      <w:r w:rsidR="006517D5">
        <w:rPr>
          <w:rFonts w:ascii="Times New Roman" w:hAnsi="Times New Roman" w:cs="Times New Roman"/>
          <w:color w:val="000000" w:themeColor="text1"/>
          <w:sz w:val="24"/>
          <w:szCs w:val="24"/>
        </w:rPr>
        <w:t xml:space="preserve"> Realignment Proposal filed in d</w:t>
      </w:r>
      <w:r w:rsidR="009E2A9B">
        <w:rPr>
          <w:rFonts w:ascii="Times New Roman" w:hAnsi="Times New Roman" w:cs="Times New Roman"/>
          <w:color w:val="000000" w:themeColor="text1"/>
          <w:sz w:val="24"/>
          <w:szCs w:val="24"/>
        </w:rPr>
        <w:t xml:space="preserve">ocket </w:t>
      </w:r>
      <w:r w:rsidR="00DB16D8">
        <w:rPr>
          <w:rFonts w:ascii="Times New Roman" w:hAnsi="Times New Roman" w:cs="Times New Roman"/>
          <w:color w:val="000000" w:themeColor="text1"/>
          <w:sz w:val="24"/>
          <w:szCs w:val="24"/>
        </w:rPr>
        <w:t>UE-001878.</w:t>
      </w:r>
      <w:r>
        <w:rPr>
          <w:rFonts w:ascii="Times New Roman" w:hAnsi="Times New Roman" w:cs="Times New Roman"/>
          <w:color w:val="000000" w:themeColor="text1"/>
          <w:sz w:val="24"/>
          <w:szCs w:val="24"/>
        </w:rPr>
        <w:t xml:space="preserve">  Transmission costs under this proposal </w:t>
      </w:r>
      <w:r w:rsidR="00FB1190">
        <w:rPr>
          <w:rFonts w:ascii="Times New Roman" w:hAnsi="Times New Roman" w:cs="Times New Roman"/>
          <w:color w:val="000000" w:themeColor="text1"/>
          <w:sz w:val="24"/>
          <w:szCs w:val="24"/>
        </w:rPr>
        <w:t xml:space="preserve">would </w:t>
      </w:r>
      <w:r>
        <w:rPr>
          <w:rFonts w:ascii="Times New Roman" w:hAnsi="Times New Roman" w:cs="Times New Roman"/>
          <w:color w:val="000000" w:themeColor="text1"/>
          <w:sz w:val="24"/>
          <w:szCs w:val="24"/>
        </w:rPr>
        <w:t>be based upon the Company’s Federal Energy Regulatory Commission Open Access Transmission Tariff.  Distribution</w:t>
      </w:r>
      <w:r w:rsidR="006517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related costs would remain situs assigned</w:t>
      </w:r>
      <w:r w:rsidR="0090098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while a share of </w:t>
      </w:r>
      <w:r w:rsidR="00900986">
        <w:rPr>
          <w:rFonts w:ascii="Times New Roman" w:hAnsi="Times New Roman" w:cs="Times New Roman"/>
          <w:color w:val="000000" w:themeColor="text1"/>
          <w:sz w:val="24"/>
          <w:szCs w:val="24"/>
        </w:rPr>
        <w:t>A&amp;G</w:t>
      </w:r>
      <w:r>
        <w:rPr>
          <w:rFonts w:ascii="Times New Roman" w:hAnsi="Times New Roman" w:cs="Times New Roman"/>
          <w:color w:val="000000" w:themeColor="text1"/>
          <w:sz w:val="24"/>
          <w:szCs w:val="24"/>
        </w:rPr>
        <w:t xml:space="preserve"> expenses would still need to be </w:t>
      </w:r>
      <w:r w:rsidR="00C777B5">
        <w:rPr>
          <w:rFonts w:ascii="Times New Roman" w:hAnsi="Times New Roman" w:cs="Times New Roman"/>
          <w:color w:val="000000" w:themeColor="text1"/>
          <w:sz w:val="24"/>
          <w:szCs w:val="24"/>
        </w:rPr>
        <w:t>allocated</w:t>
      </w:r>
      <w:r>
        <w:rPr>
          <w:rFonts w:ascii="Times New Roman" w:hAnsi="Times New Roman" w:cs="Times New Roman"/>
          <w:color w:val="000000" w:themeColor="text1"/>
          <w:sz w:val="24"/>
          <w:szCs w:val="24"/>
        </w:rPr>
        <w:t xml:space="preserve"> to Washington using some type of allocation factors.</w:t>
      </w:r>
    </w:p>
    <w:p w:rsidR="00FB1190" w:rsidRDefault="00FB1190" w:rsidP="007C4521">
      <w:pPr>
        <w:spacing w:after="0" w:line="240" w:lineRule="auto"/>
        <w:rPr>
          <w:rFonts w:ascii="Times New Roman" w:hAnsi="Times New Roman" w:cs="Times New Roman"/>
          <w:color w:val="000000" w:themeColor="text1"/>
          <w:sz w:val="24"/>
          <w:szCs w:val="24"/>
        </w:rPr>
      </w:pPr>
    </w:p>
    <w:p w:rsidR="00C777B5" w:rsidRDefault="007C4521" w:rsidP="007C452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proposal ultimately proved to be </w:t>
      </w:r>
      <w:r w:rsidR="009E2A9B">
        <w:rPr>
          <w:rFonts w:ascii="Times New Roman" w:hAnsi="Times New Roman" w:cs="Times New Roman"/>
          <w:color w:val="000000" w:themeColor="text1"/>
          <w:sz w:val="24"/>
          <w:szCs w:val="24"/>
        </w:rPr>
        <w:t>unworkable</w:t>
      </w:r>
      <w:r w:rsidR="001E6554">
        <w:rPr>
          <w:rFonts w:ascii="Times New Roman" w:hAnsi="Times New Roman" w:cs="Times New Roman"/>
          <w:color w:val="000000" w:themeColor="text1"/>
          <w:sz w:val="24"/>
          <w:szCs w:val="24"/>
        </w:rPr>
        <w:t xml:space="preserve"> at this time</w:t>
      </w:r>
      <w:r>
        <w:rPr>
          <w:rFonts w:ascii="Times New Roman" w:hAnsi="Times New Roman" w:cs="Times New Roman"/>
          <w:color w:val="000000" w:themeColor="text1"/>
          <w:sz w:val="24"/>
          <w:szCs w:val="24"/>
        </w:rPr>
        <w:t xml:space="preserve">, primarily due to the complexity </w:t>
      </w:r>
      <w:r w:rsidR="009E2A9B">
        <w:rPr>
          <w:rFonts w:ascii="Times New Roman" w:hAnsi="Times New Roman" w:cs="Times New Roman"/>
          <w:color w:val="000000" w:themeColor="text1"/>
          <w:sz w:val="24"/>
          <w:szCs w:val="24"/>
        </w:rPr>
        <w:t xml:space="preserve">and </w:t>
      </w:r>
      <w:r w:rsidR="006276FE">
        <w:rPr>
          <w:rFonts w:ascii="Times New Roman" w:hAnsi="Times New Roman" w:cs="Times New Roman"/>
          <w:color w:val="000000" w:themeColor="text1"/>
          <w:sz w:val="24"/>
          <w:szCs w:val="24"/>
        </w:rPr>
        <w:t xml:space="preserve">difficulty of reaching agreement on which </w:t>
      </w:r>
      <w:r w:rsidR="00C777B5">
        <w:rPr>
          <w:rFonts w:ascii="Times New Roman" w:hAnsi="Times New Roman" w:cs="Times New Roman"/>
          <w:color w:val="000000" w:themeColor="text1"/>
          <w:sz w:val="24"/>
          <w:szCs w:val="24"/>
        </w:rPr>
        <w:t>generation</w:t>
      </w:r>
      <w:r>
        <w:rPr>
          <w:rFonts w:ascii="Times New Roman" w:hAnsi="Times New Roman" w:cs="Times New Roman"/>
          <w:color w:val="000000" w:themeColor="text1"/>
          <w:sz w:val="24"/>
          <w:szCs w:val="24"/>
        </w:rPr>
        <w:t xml:space="preserve"> resources, and what share of those resources</w:t>
      </w:r>
      <w:r w:rsidR="006276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would</w:t>
      </w:r>
      <w:r w:rsidR="00627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serv</w:t>
      </w:r>
      <w:r w:rsidR="006276FE">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Washington load.</w:t>
      </w:r>
      <w:r w:rsidR="009E2A9B">
        <w:rPr>
          <w:rFonts w:ascii="Times New Roman" w:hAnsi="Times New Roman" w:cs="Times New Roman"/>
          <w:color w:val="000000" w:themeColor="text1"/>
          <w:sz w:val="24"/>
          <w:szCs w:val="24"/>
        </w:rPr>
        <w:t xml:space="preserve">  Any outcome that d</w:t>
      </w:r>
      <w:r w:rsidR="00900986">
        <w:rPr>
          <w:rFonts w:ascii="Times New Roman" w:hAnsi="Times New Roman" w:cs="Times New Roman"/>
          <w:color w:val="000000" w:themeColor="text1"/>
          <w:sz w:val="24"/>
          <w:szCs w:val="24"/>
        </w:rPr>
        <w:t>oes</w:t>
      </w:r>
      <w:r w:rsidR="009E2A9B">
        <w:rPr>
          <w:rFonts w:ascii="Times New Roman" w:hAnsi="Times New Roman" w:cs="Times New Roman"/>
          <w:color w:val="000000" w:themeColor="text1"/>
          <w:sz w:val="24"/>
          <w:szCs w:val="24"/>
        </w:rPr>
        <w:t xml:space="preserve"> not reflect the Company’s </w:t>
      </w:r>
      <w:r w:rsidR="00856650">
        <w:rPr>
          <w:rFonts w:ascii="Times New Roman" w:hAnsi="Times New Roman" w:cs="Times New Roman"/>
          <w:color w:val="000000" w:themeColor="text1"/>
          <w:sz w:val="24"/>
          <w:szCs w:val="24"/>
        </w:rPr>
        <w:t xml:space="preserve">actual </w:t>
      </w:r>
      <w:r w:rsidR="009E2A9B">
        <w:rPr>
          <w:rFonts w:ascii="Times New Roman" w:hAnsi="Times New Roman" w:cs="Times New Roman"/>
          <w:color w:val="000000" w:themeColor="text1"/>
          <w:sz w:val="24"/>
          <w:szCs w:val="24"/>
        </w:rPr>
        <w:t xml:space="preserve">costs to serve its Washington customers </w:t>
      </w:r>
      <w:r w:rsidR="006276FE">
        <w:rPr>
          <w:rFonts w:ascii="Times New Roman" w:hAnsi="Times New Roman" w:cs="Times New Roman"/>
          <w:color w:val="000000" w:themeColor="text1"/>
          <w:sz w:val="24"/>
          <w:szCs w:val="24"/>
        </w:rPr>
        <w:t>would be</w:t>
      </w:r>
      <w:r w:rsidR="009E2A9B">
        <w:rPr>
          <w:rFonts w:ascii="Times New Roman" w:hAnsi="Times New Roman" w:cs="Times New Roman"/>
          <w:color w:val="000000" w:themeColor="text1"/>
          <w:sz w:val="24"/>
          <w:szCs w:val="24"/>
        </w:rPr>
        <w:t xml:space="preserve"> as un</w:t>
      </w:r>
      <w:r w:rsidR="001E6554">
        <w:rPr>
          <w:rFonts w:ascii="Times New Roman" w:hAnsi="Times New Roman" w:cs="Times New Roman"/>
          <w:color w:val="000000" w:themeColor="text1"/>
          <w:sz w:val="24"/>
          <w:szCs w:val="24"/>
        </w:rPr>
        <w:t>sustainable</w:t>
      </w:r>
      <w:r w:rsidR="009E2A9B">
        <w:rPr>
          <w:rFonts w:ascii="Times New Roman" w:hAnsi="Times New Roman" w:cs="Times New Roman"/>
          <w:color w:val="000000" w:themeColor="text1"/>
          <w:sz w:val="24"/>
          <w:szCs w:val="24"/>
        </w:rPr>
        <w:t xml:space="preserve"> as the WCA.  In addition, establishing and financing a stand-alone Washington distribution utility could increase costs to Washington customers.</w:t>
      </w:r>
      <w:r w:rsidR="00DB16D8">
        <w:rPr>
          <w:rFonts w:ascii="Times New Roman" w:hAnsi="Times New Roman" w:cs="Times New Roman"/>
          <w:color w:val="000000" w:themeColor="text1"/>
          <w:sz w:val="24"/>
          <w:szCs w:val="24"/>
        </w:rPr>
        <w:t xml:space="preserve">  However, as part of the upcoming MSP Standing Committee workgroup efforts, the Company has committed to comprehensive</w:t>
      </w:r>
      <w:r w:rsidR="006276FE">
        <w:rPr>
          <w:rFonts w:ascii="Times New Roman" w:hAnsi="Times New Roman" w:cs="Times New Roman"/>
          <w:color w:val="000000" w:themeColor="text1"/>
          <w:sz w:val="24"/>
          <w:szCs w:val="24"/>
        </w:rPr>
        <w:t>ly</w:t>
      </w:r>
      <w:r w:rsidR="00DB16D8">
        <w:rPr>
          <w:rFonts w:ascii="Times New Roman" w:hAnsi="Times New Roman" w:cs="Times New Roman"/>
          <w:color w:val="000000" w:themeColor="text1"/>
          <w:sz w:val="24"/>
          <w:szCs w:val="24"/>
        </w:rPr>
        <w:t xml:space="preserve"> evaluati</w:t>
      </w:r>
      <w:r w:rsidR="006276FE">
        <w:rPr>
          <w:rFonts w:ascii="Times New Roman" w:hAnsi="Times New Roman" w:cs="Times New Roman"/>
          <w:color w:val="000000" w:themeColor="text1"/>
          <w:sz w:val="24"/>
          <w:szCs w:val="24"/>
        </w:rPr>
        <w:t>ng</w:t>
      </w:r>
      <w:r w:rsidR="00DB16D8">
        <w:rPr>
          <w:rFonts w:ascii="Times New Roman" w:hAnsi="Times New Roman" w:cs="Times New Roman"/>
          <w:color w:val="000000" w:themeColor="text1"/>
          <w:sz w:val="24"/>
          <w:szCs w:val="24"/>
        </w:rPr>
        <w:t xml:space="preserve"> the costs and benefits of structural separation options</w:t>
      </w:r>
      <w:r w:rsidR="006276FE">
        <w:rPr>
          <w:rFonts w:ascii="Times New Roman" w:hAnsi="Times New Roman" w:cs="Times New Roman"/>
          <w:color w:val="000000" w:themeColor="text1"/>
          <w:sz w:val="24"/>
          <w:szCs w:val="24"/>
        </w:rPr>
        <w:t>, which</w:t>
      </w:r>
      <w:r w:rsidR="00DB16D8">
        <w:rPr>
          <w:rFonts w:ascii="Times New Roman" w:hAnsi="Times New Roman" w:cs="Times New Roman"/>
          <w:color w:val="000000" w:themeColor="text1"/>
          <w:sz w:val="24"/>
          <w:szCs w:val="24"/>
        </w:rPr>
        <w:t xml:space="preserve"> may identify a viable option for states </w:t>
      </w:r>
      <w:r w:rsidR="006502C4">
        <w:rPr>
          <w:rFonts w:ascii="Times New Roman" w:hAnsi="Times New Roman" w:cs="Times New Roman"/>
          <w:color w:val="000000" w:themeColor="text1"/>
          <w:sz w:val="24"/>
          <w:szCs w:val="24"/>
        </w:rPr>
        <w:t>wanting</w:t>
      </w:r>
      <w:r w:rsidR="00DB16D8">
        <w:rPr>
          <w:rFonts w:ascii="Times New Roman" w:hAnsi="Times New Roman" w:cs="Times New Roman"/>
          <w:color w:val="000000" w:themeColor="text1"/>
          <w:sz w:val="24"/>
          <w:szCs w:val="24"/>
        </w:rPr>
        <w:t xml:space="preserve"> to pursue permanent structural separation or subscription options for new generation resources.</w:t>
      </w:r>
    </w:p>
    <w:p w:rsidR="006502C4" w:rsidRDefault="006502C4" w:rsidP="007C4521">
      <w:pPr>
        <w:spacing w:after="0" w:line="240" w:lineRule="auto"/>
        <w:rPr>
          <w:rFonts w:ascii="Times New Roman" w:hAnsi="Times New Roman" w:cs="Times New Roman"/>
          <w:color w:val="000000" w:themeColor="text1"/>
          <w:sz w:val="24"/>
          <w:szCs w:val="24"/>
        </w:rPr>
      </w:pPr>
    </w:p>
    <w:p w:rsidR="00C777B5" w:rsidRPr="00C777B5" w:rsidRDefault="00C777B5" w:rsidP="00C777B5">
      <w:pPr>
        <w:pStyle w:val="ListParagraph"/>
        <w:numPr>
          <w:ilvl w:val="0"/>
          <w:numId w:val="11"/>
        </w:numPr>
        <w:ind w:hanging="720"/>
        <w:rPr>
          <w:b/>
          <w:color w:val="000000" w:themeColor="text1"/>
        </w:rPr>
      </w:pPr>
      <w:r w:rsidRPr="00C777B5">
        <w:rPr>
          <w:b/>
          <w:color w:val="000000" w:themeColor="text1"/>
        </w:rPr>
        <w:t xml:space="preserve">Six-State System </w:t>
      </w:r>
      <w:r w:rsidR="00900986">
        <w:rPr>
          <w:b/>
          <w:color w:val="000000" w:themeColor="text1"/>
        </w:rPr>
        <w:t xml:space="preserve">Allocation </w:t>
      </w:r>
      <w:r w:rsidRPr="00C777B5">
        <w:rPr>
          <w:b/>
          <w:color w:val="000000" w:themeColor="text1"/>
        </w:rPr>
        <w:t>Metho</w:t>
      </w:r>
      <w:r>
        <w:rPr>
          <w:b/>
          <w:color w:val="000000" w:themeColor="text1"/>
        </w:rPr>
        <w:t>do</w:t>
      </w:r>
      <w:r w:rsidRPr="00C777B5">
        <w:rPr>
          <w:b/>
          <w:color w:val="000000" w:themeColor="text1"/>
        </w:rPr>
        <w:t>logy</w:t>
      </w:r>
    </w:p>
    <w:p w:rsidR="00D120B6" w:rsidRPr="00B9295E" w:rsidRDefault="00D120B6" w:rsidP="00B9295E">
      <w:pPr>
        <w:spacing w:after="0" w:line="240" w:lineRule="auto"/>
        <w:rPr>
          <w:rFonts w:ascii="Times New Roman" w:eastAsia="Calibri" w:hAnsi="Times New Roman" w:cs="Times New Roman"/>
          <w:sz w:val="24"/>
          <w:szCs w:val="24"/>
        </w:rPr>
      </w:pPr>
    </w:p>
    <w:p w:rsidR="005773BF" w:rsidRDefault="007805CB" w:rsidP="005773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Since the Commission adopted the WCA, the Company’s system operations have not significantly changed.  There are, however, plans for future tr</w:t>
      </w:r>
      <w:bookmarkStart w:id="2" w:name="_GoBack"/>
      <w:bookmarkEnd w:id="2"/>
      <w:r>
        <w:rPr>
          <w:rFonts w:ascii="Times New Roman" w:eastAsia="Calibri" w:hAnsi="Times New Roman" w:cs="Times New Roman"/>
          <w:sz w:val="24"/>
          <w:szCs w:val="24"/>
        </w:rPr>
        <w:t xml:space="preserve">ansmission projects across the west and emerging market initiatives that could </w:t>
      </w:r>
      <w:r w:rsidR="00900986">
        <w:rPr>
          <w:rFonts w:ascii="Times New Roman" w:eastAsia="Calibri" w:hAnsi="Times New Roman" w:cs="Times New Roman"/>
          <w:sz w:val="24"/>
          <w:szCs w:val="24"/>
        </w:rPr>
        <w:t>affect</w:t>
      </w:r>
      <w:r>
        <w:rPr>
          <w:rFonts w:ascii="Times New Roman" w:eastAsia="Calibri" w:hAnsi="Times New Roman" w:cs="Times New Roman"/>
          <w:sz w:val="24"/>
          <w:szCs w:val="24"/>
        </w:rPr>
        <w:t xml:space="preserve"> the manner in which the six-state system is operated.  </w:t>
      </w:r>
      <w:r w:rsidR="005773BF">
        <w:rPr>
          <w:rFonts w:ascii="Times New Roman" w:eastAsia="Calibri" w:hAnsi="Times New Roman" w:cs="Times New Roman"/>
          <w:sz w:val="24"/>
          <w:szCs w:val="24"/>
        </w:rPr>
        <w:t xml:space="preserve">During the collaborative process, the </w:t>
      </w:r>
      <w:r w:rsidR="009E2A9B">
        <w:rPr>
          <w:rFonts w:ascii="Times New Roman" w:eastAsia="Calibri" w:hAnsi="Times New Roman" w:cs="Times New Roman"/>
          <w:sz w:val="24"/>
          <w:szCs w:val="24"/>
        </w:rPr>
        <w:t xml:space="preserve">Company </w:t>
      </w:r>
      <w:r w:rsidR="005773BF">
        <w:rPr>
          <w:rFonts w:ascii="Times New Roman" w:eastAsia="Calibri" w:hAnsi="Times New Roman" w:cs="Times New Roman"/>
          <w:sz w:val="24"/>
          <w:szCs w:val="24"/>
        </w:rPr>
        <w:t xml:space="preserve">identified some potential triggers that would </w:t>
      </w:r>
      <w:r w:rsidR="00484EE4">
        <w:rPr>
          <w:rFonts w:ascii="Times New Roman" w:eastAsia="Calibri" w:hAnsi="Times New Roman" w:cs="Times New Roman"/>
          <w:sz w:val="24"/>
          <w:szCs w:val="24"/>
        </w:rPr>
        <w:t xml:space="preserve">enhance the Company’s ability to demonstrate the </w:t>
      </w:r>
      <w:r w:rsidR="00484EE4" w:rsidRPr="00484EE4">
        <w:rPr>
          <w:rFonts w:ascii="Times New Roman" w:eastAsia="Calibri" w:hAnsi="Times New Roman" w:cs="Times New Roman"/>
          <w:sz w:val="24"/>
          <w:szCs w:val="24"/>
        </w:rPr>
        <w:t>direct or indirect benefits to Washington</w:t>
      </w:r>
      <w:r w:rsidR="00484EE4">
        <w:rPr>
          <w:rFonts w:ascii="Times New Roman" w:eastAsia="Calibri" w:hAnsi="Times New Roman" w:cs="Times New Roman"/>
          <w:sz w:val="24"/>
          <w:szCs w:val="24"/>
        </w:rPr>
        <w:t xml:space="preserve"> customers</w:t>
      </w:r>
      <w:r w:rsidR="00484EE4" w:rsidRPr="00484EE4">
        <w:rPr>
          <w:rFonts w:ascii="Times New Roman" w:eastAsia="Calibri" w:hAnsi="Times New Roman" w:cs="Times New Roman"/>
          <w:sz w:val="24"/>
          <w:szCs w:val="24"/>
        </w:rPr>
        <w:t xml:space="preserve"> of its integrated system-wide resource</w:t>
      </w:r>
      <w:r w:rsidR="003B727A">
        <w:rPr>
          <w:rFonts w:ascii="Times New Roman" w:eastAsia="Calibri" w:hAnsi="Times New Roman" w:cs="Times New Roman"/>
          <w:sz w:val="24"/>
          <w:szCs w:val="24"/>
        </w:rPr>
        <w:t>s</w:t>
      </w:r>
      <w:r w:rsidR="00484EE4">
        <w:rPr>
          <w:rFonts w:ascii="Times New Roman" w:eastAsia="Calibri" w:hAnsi="Times New Roman" w:cs="Times New Roman"/>
          <w:sz w:val="24"/>
          <w:szCs w:val="24"/>
        </w:rPr>
        <w:t xml:space="preserve">, and </w:t>
      </w:r>
      <w:r w:rsidR="005773BF">
        <w:rPr>
          <w:rFonts w:ascii="Times New Roman" w:eastAsia="Calibri" w:hAnsi="Times New Roman" w:cs="Times New Roman"/>
          <w:sz w:val="24"/>
          <w:szCs w:val="24"/>
        </w:rPr>
        <w:t>support a change to a system-based allocation methodology</w:t>
      </w:r>
      <w:r w:rsidR="009E2A9B">
        <w:rPr>
          <w:rFonts w:ascii="Times New Roman" w:eastAsia="Calibri" w:hAnsi="Times New Roman" w:cs="Times New Roman"/>
          <w:sz w:val="24"/>
          <w:szCs w:val="24"/>
        </w:rPr>
        <w:t>, similar to the 2010 Protocol</w:t>
      </w:r>
      <w:r w:rsidR="009A2C5E">
        <w:rPr>
          <w:rFonts w:ascii="Times New Roman" w:eastAsia="Calibri" w:hAnsi="Times New Roman" w:cs="Times New Roman"/>
          <w:sz w:val="24"/>
          <w:szCs w:val="24"/>
        </w:rPr>
        <w:t>.  These triggers include:</w:t>
      </w:r>
    </w:p>
    <w:p w:rsidR="005773BF" w:rsidRDefault="005773BF" w:rsidP="005773BF">
      <w:pPr>
        <w:spacing w:after="0" w:line="240" w:lineRule="auto"/>
        <w:rPr>
          <w:rFonts w:ascii="Times New Roman" w:eastAsia="Calibri" w:hAnsi="Times New Roman" w:cs="Times New Roman"/>
          <w:sz w:val="24"/>
          <w:szCs w:val="24"/>
        </w:rPr>
      </w:pPr>
    </w:p>
    <w:p w:rsidR="005773BF" w:rsidRPr="005773BF" w:rsidRDefault="005773BF" w:rsidP="005773BF">
      <w:pPr>
        <w:pStyle w:val="ListParagraph"/>
        <w:numPr>
          <w:ilvl w:val="0"/>
          <w:numId w:val="9"/>
        </w:numPr>
      </w:pPr>
      <w:r>
        <w:rPr>
          <w:rFonts w:eastAsia="Calibri"/>
        </w:rPr>
        <w:t>I</w:t>
      </w:r>
      <w:r w:rsidRPr="005773BF">
        <w:rPr>
          <w:rFonts w:eastAsia="Calibri"/>
        </w:rPr>
        <w:t xml:space="preserve">ncreased transmission capacity between </w:t>
      </w:r>
      <w:r w:rsidR="009E2A9B">
        <w:rPr>
          <w:rFonts w:eastAsia="Calibri"/>
        </w:rPr>
        <w:t>PACW and PACE</w:t>
      </w:r>
      <w:r w:rsidR="00900986">
        <w:rPr>
          <w:rFonts w:eastAsia="Calibri"/>
        </w:rPr>
        <w:t>.</w:t>
      </w:r>
      <w:r w:rsidRPr="005773BF">
        <w:rPr>
          <w:rFonts w:eastAsia="Calibri"/>
        </w:rPr>
        <w:t xml:space="preserve"> </w:t>
      </w:r>
    </w:p>
    <w:p w:rsidR="007805CB" w:rsidRPr="007805CB" w:rsidRDefault="005773BF" w:rsidP="005773BF">
      <w:pPr>
        <w:pStyle w:val="ListParagraph"/>
        <w:numPr>
          <w:ilvl w:val="0"/>
          <w:numId w:val="9"/>
        </w:numPr>
      </w:pPr>
      <w:r>
        <w:rPr>
          <w:rFonts w:eastAsia="Calibri"/>
        </w:rPr>
        <w:t>A</w:t>
      </w:r>
      <w:r w:rsidRPr="005773BF">
        <w:rPr>
          <w:rFonts w:eastAsia="Calibri"/>
        </w:rPr>
        <w:t xml:space="preserve"> change in Washington law allowing the Company to use </w:t>
      </w:r>
      <w:r w:rsidR="009E2A9B">
        <w:rPr>
          <w:rFonts w:eastAsia="Calibri"/>
        </w:rPr>
        <w:t>PACE</w:t>
      </w:r>
      <w:r w:rsidRPr="005773BF">
        <w:rPr>
          <w:rFonts w:eastAsia="Calibri"/>
        </w:rPr>
        <w:t xml:space="preserve"> resources to comply </w:t>
      </w:r>
      <w:r w:rsidR="009E2A9B">
        <w:rPr>
          <w:rFonts w:eastAsia="Calibri"/>
        </w:rPr>
        <w:t xml:space="preserve">with </w:t>
      </w:r>
      <w:r w:rsidRPr="005773BF">
        <w:rPr>
          <w:rFonts w:eastAsia="Calibri"/>
        </w:rPr>
        <w:t>Washington</w:t>
      </w:r>
      <w:r w:rsidR="00900986">
        <w:rPr>
          <w:rFonts w:eastAsia="Calibri"/>
        </w:rPr>
        <w:t>’s renewable portfolio standard.</w:t>
      </w:r>
      <w:r w:rsidRPr="005773BF">
        <w:rPr>
          <w:rFonts w:eastAsia="Calibri"/>
        </w:rPr>
        <w:t xml:space="preserve"> </w:t>
      </w:r>
    </w:p>
    <w:p w:rsidR="005773BF" w:rsidRPr="005773BF" w:rsidRDefault="00F66B01" w:rsidP="005773BF">
      <w:pPr>
        <w:pStyle w:val="ListParagraph"/>
        <w:numPr>
          <w:ilvl w:val="0"/>
          <w:numId w:val="9"/>
        </w:numPr>
      </w:pPr>
      <w:r>
        <w:rPr>
          <w:rFonts w:eastAsia="Calibri"/>
        </w:rPr>
        <w:t>Operation of Pacifi</w:t>
      </w:r>
      <w:r w:rsidR="006502C4">
        <w:rPr>
          <w:rFonts w:eastAsia="Calibri"/>
        </w:rPr>
        <w:t>C</w:t>
      </w:r>
      <w:r>
        <w:rPr>
          <w:rFonts w:eastAsia="Calibri"/>
        </w:rPr>
        <w:t>orp’s system under a single balancing authority</w:t>
      </w:r>
      <w:r w:rsidR="001E07E1">
        <w:rPr>
          <w:rFonts w:eastAsia="Calibri"/>
        </w:rPr>
        <w:t xml:space="preserve"> area</w:t>
      </w:r>
      <w:r w:rsidR="00900986">
        <w:rPr>
          <w:rFonts w:eastAsia="Calibri"/>
        </w:rPr>
        <w:t>.</w:t>
      </w:r>
    </w:p>
    <w:p w:rsidR="00B9295E" w:rsidRPr="005773BF" w:rsidRDefault="007805CB" w:rsidP="005773BF">
      <w:pPr>
        <w:pStyle w:val="ListParagraph"/>
        <w:numPr>
          <w:ilvl w:val="0"/>
          <w:numId w:val="9"/>
        </w:numPr>
      </w:pPr>
      <w:r>
        <w:rPr>
          <w:rFonts w:eastAsia="Calibri"/>
        </w:rPr>
        <w:t>Implementation of f</w:t>
      </w:r>
      <w:r w:rsidR="009E2A9B">
        <w:rPr>
          <w:rFonts w:eastAsia="Calibri"/>
        </w:rPr>
        <w:t>ederal and regional efforts to increase market initiatives throughout the western U</w:t>
      </w:r>
      <w:r w:rsidR="006502C4">
        <w:rPr>
          <w:rFonts w:eastAsia="Calibri"/>
        </w:rPr>
        <w:t>nited States.</w:t>
      </w:r>
    </w:p>
    <w:p w:rsidR="005773BF" w:rsidRDefault="005773BF" w:rsidP="005773BF">
      <w:pPr>
        <w:pStyle w:val="ListParagraph"/>
      </w:pPr>
    </w:p>
    <w:p w:rsidR="00F23FE5" w:rsidRDefault="00484EE4">
      <w:pPr>
        <w:pStyle w:val="ListParagraph"/>
        <w:ind w:left="0"/>
      </w:pPr>
      <w:r>
        <w:t>Due to the evolving nature of these</w:t>
      </w:r>
      <w:r w:rsidR="007805CB">
        <w:t xml:space="preserve"> efforts, the Company believes that a six-state system </w:t>
      </w:r>
      <w:r w:rsidR="00900986">
        <w:t xml:space="preserve">allocation </w:t>
      </w:r>
      <w:r w:rsidR="007805CB">
        <w:t xml:space="preserve">methodology should remain </w:t>
      </w:r>
      <w:r w:rsidR="006502C4">
        <w:t>a</w:t>
      </w:r>
      <w:r w:rsidR="007805CB">
        <w:t xml:space="preserve"> consideration in the future in Washington.</w:t>
      </w:r>
    </w:p>
    <w:p w:rsidR="007805CB" w:rsidRPr="005773BF" w:rsidRDefault="007805CB" w:rsidP="007805CB">
      <w:pPr>
        <w:pStyle w:val="ListParagraph"/>
      </w:pPr>
    </w:p>
    <w:p w:rsidR="00F23FE5" w:rsidRDefault="007805CB" w:rsidP="006502C4">
      <w:pPr>
        <w:pStyle w:val="ListParagraph"/>
        <w:ind w:left="0"/>
        <w:jc w:val="center"/>
      </w:pPr>
      <w:r w:rsidRPr="00B9295E">
        <w:rPr>
          <w:b/>
        </w:rPr>
        <w:t>V.</w:t>
      </w:r>
      <w:r w:rsidRPr="00B9295E">
        <w:rPr>
          <w:b/>
        </w:rPr>
        <w:tab/>
      </w:r>
      <w:r>
        <w:rPr>
          <w:b/>
        </w:rPr>
        <w:t>RECOMMENDATIONS</w:t>
      </w:r>
    </w:p>
    <w:p w:rsidR="00F23FE5" w:rsidRPr="005A4D5E" w:rsidRDefault="00F23FE5">
      <w:pPr>
        <w:pStyle w:val="ListParagraph"/>
        <w:ind w:left="0"/>
      </w:pPr>
    </w:p>
    <w:p w:rsidR="00200B8D" w:rsidRDefault="009E2CA3">
      <w:pPr>
        <w:pStyle w:val="ListParagraph"/>
        <w:ind w:left="0"/>
      </w:pPr>
      <w:r>
        <w:t xml:space="preserve">The collaborative process allowed the Company to outline its concerns with the continued use of the WCA to set rates in Washington.  </w:t>
      </w:r>
      <w:r w:rsidR="005A4D5E">
        <w:t>T</w:t>
      </w:r>
      <w:r>
        <w:t xml:space="preserve">he Company presented those concerns in this report.  During the collaborative process, all parties had the opportunity to gain knowledge and share ideas about potential alternatives ranging from a </w:t>
      </w:r>
      <w:r w:rsidR="006276FE">
        <w:t>true</w:t>
      </w:r>
      <w:r>
        <w:t xml:space="preserve"> situs model to a six-state system model.  Given the timing of the upcoming efforts with PacifiCorp’s other five state jurisdictions to analyze and develop alternatives to the 2010 Protocol for use after 2016, the Company believes that those efforts should also be used to address the challenges in Washington, and </w:t>
      </w:r>
      <w:r w:rsidR="005A4D5E">
        <w:t xml:space="preserve">the Company urges </w:t>
      </w:r>
      <w:r w:rsidR="005A4D5E" w:rsidRPr="005A4D5E">
        <w:t xml:space="preserve">the Commission </w:t>
      </w:r>
      <w:r w:rsidR="005A4D5E">
        <w:t xml:space="preserve">to </w:t>
      </w:r>
      <w:r w:rsidR="005A4D5E" w:rsidRPr="005A4D5E">
        <w:t xml:space="preserve">direct Staff to actively participate in the upcoming MSP Standing Committee activities. </w:t>
      </w:r>
      <w:r w:rsidR="006276FE">
        <w:t xml:space="preserve"> </w:t>
      </w:r>
      <w:r>
        <w:t xml:space="preserve">The Company also believes, however, that there are near-term modifications that can be made to the WCA to better match the Company’s actual costs to the costs reflected in rates.  The Company </w:t>
      </w:r>
      <w:r w:rsidR="006276FE">
        <w:t>is proposing</w:t>
      </w:r>
      <w:r>
        <w:t xml:space="preserve"> these modifications</w:t>
      </w:r>
      <w:r w:rsidR="001E07E1">
        <w:t xml:space="preserve"> in its 2013 general rate case.</w:t>
      </w:r>
    </w:p>
    <w:sectPr w:rsidR="00200B8D" w:rsidSect="00C777B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71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78" w:rsidRPr="000B0F96" w:rsidRDefault="00F94978" w:rsidP="00A27BB4">
      <w:pPr>
        <w:spacing w:after="0" w:line="240" w:lineRule="auto"/>
        <w:rPr>
          <w:rFonts w:ascii="Times New Roman" w:hAnsi="Times New Roman"/>
          <w:sz w:val="24"/>
        </w:rPr>
      </w:pPr>
      <w:r>
        <w:separator/>
      </w:r>
    </w:p>
  </w:endnote>
  <w:endnote w:type="continuationSeparator" w:id="0">
    <w:p w:rsidR="00F94978" w:rsidRPr="000B0F96" w:rsidRDefault="00F94978" w:rsidP="00A27BB4">
      <w:pPr>
        <w:spacing w:after="0" w:line="240" w:lineRule="auto"/>
        <w:rPr>
          <w:rFonts w:ascii="Times New Roman" w:hAnsi="Times New Roman"/>
          <w:sz w:val="24"/>
        </w:rPr>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CA" w:rsidRDefault="001508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34A" w:rsidRDefault="00601D4D" w:rsidP="00C63B31">
    <w:pPr>
      <w:pStyle w:val="Footer"/>
      <w:tabs>
        <w:tab w:val="clear" w:pos="9360"/>
        <w:tab w:val="right" w:pos="8640"/>
      </w:tabs>
      <w:jc w:val="right"/>
      <w:rPr>
        <w:rFonts w:ascii="Times New Roman" w:hAnsi="Times New Roman" w:cs="Times New Roman"/>
        <w:sz w:val="24"/>
        <w:szCs w:val="24"/>
      </w:rPr>
    </w:pPr>
    <w:r>
      <w:rPr>
        <w:rFonts w:ascii="Times New Roman" w:hAnsi="Times New Roman" w:cs="Times New Roman"/>
        <w:sz w:val="24"/>
        <w:szCs w:val="24"/>
      </w:rPr>
      <w:t>WCA</w:t>
    </w:r>
    <w:r w:rsidR="000473F4" w:rsidRPr="007A19C7">
      <w:rPr>
        <w:rFonts w:ascii="Times New Roman" w:hAnsi="Times New Roman" w:cs="Times New Roman"/>
        <w:sz w:val="24"/>
        <w:szCs w:val="24"/>
      </w:rPr>
      <w:t xml:space="preserve"> Report</w:t>
    </w:r>
    <w:r w:rsidR="006276FE">
      <w:rPr>
        <w:rFonts w:ascii="Times New Roman" w:hAnsi="Times New Roman" w:cs="Times New Roman"/>
        <w:sz w:val="24"/>
        <w:szCs w:val="24"/>
      </w:rPr>
      <w:t>—January 2013</w:t>
    </w:r>
  </w:p>
  <w:p w:rsidR="000473F4" w:rsidRPr="007A19C7" w:rsidRDefault="005F334A" w:rsidP="00C63B31">
    <w:pPr>
      <w:pStyle w:val="Footer"/>
      <w:tabs>
        <w:tab w:val="clear" w:pos="9360"/>
        <w:tab w:val="right" w:pos="8640"/>
      </w:tabs>
      <w:jc w:val="right"/>
      <w:rPr>
        <w:rFonts w:ascii="Times New Roman" w:hAnsi="Times New Roman" w:cs="Times New Roman"/>
        <w:sz w:val="24"/>
        <w:szCs w:val="24"/>
      </w:rPr>
    </w:pPr>
    <w:r>
      <w:rPr>
        <w:rFonts w:ascii="Times New Roman" w:hAnsi="Times New Roman" w:cs="Times New Roman"/>
        <w:sz w:val="24"/>
        <w:szCs w:val="24"/>
      </w:rPr>
      <w:t xml:space="preserve">Page </w:t>
    </w:r>
    <w:r w:rsidR="000704F2" w:rsidRPr="005F334A">
      <w:rPr>
        <w:rFonts w:ascii="Times New Roman" w:hAnsi="Times New Roman" w:cs="Times New Roman"/>
        <w:sz w:val="24"/>
        <w:szCs w:val="24"/>
      </w:rPr>
      <w:fldChar w:fldCharType="begin"/>
    </w:r>
    <w:r w:rsidRPr="005F334A">
      <w:rPr>
        <w:rFonts w:ascii="Times New Roman" w:hAnsi="Times New Roman" w:cs="Times New Roman"/>
        <w:sz w:val="24"/>
        <w:szCs w:val="24"/>
      </w:rPr>
      <w:instrText xml:space="preserve"> PAGE   \* MERGEFORMAT </w:instrText>
    </w:r>
    <w:r w:rsidR="000704F2" w:rsidRPr="005F334A">
      <w:rPr>
        <w:rFonts w:ascii="Times New Roman" w:hAnsi="Times New Roman" w:cs="Times New Roman"/>
        <w:sz w:val="24"/>
        <w:szCs w:val="24"/>
      </w:rPr>
      <w:fldChar w:fldCharType="separate"/>
    </w:r>
    <w:r w:rsidR="001508CA">
      <w:rPr>
        <w:rFonts w:ascii="Times New Roman" w:hAnsi="Times New Roman" w:cs="Times New Roman"/>
        <w:noProof/>
        <w:sz w:val="24"/>
        <w:szCs w:val="24"/>
      </w:rPr>
      <w:t>1</w:t>
    </w:r>
    <w:r w:rsidR="000704F2" w:rsidRPr="005F334A">
      <w:rPr>
        <w:rFonts w:ascii="Times New Roman" w:hAnsi="Times New Roman" w:cs="Times New Roman"/>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CA" w:rsidRDefault="001508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78" w:rsidRPr="000B0F96" w:rsidRDefault="00F94978" w:rsidP="00A27BB4">
      <w:pPr>
        <w:spacing w:after="0" w:line="240" w:lineRule="auto"/>
        <w:rPr>
          <w:rFonts w:ascii="Times New Roman" w:hAnsi="Times New Roman"/>
          <w:sz w:val="24"/>
        </w:rPr>
      </w:pPr>
      <w:r>
        <w:separator/>
      </w:r>
    </w:p>
  </w:footnote>
  <w:footnote w:type="continuationSeparator" w:id="0">
    <w:p w:rsidR="00F94978" w:rsidRPr="000B0F96" w:rsidRDefault="00F94978" w:rsidP="00A27BB4">
      <w:pPr>
        <w:spacing w:after="0" w:line="240" w:lineRule="auto"/>
        <w:rPr>
          <w:rFonts w:ascii="Times New Roman" w:hAnsi="Times New Roman"/>
          <w:sz w:val="24"/>
        </w:rPr>
      </w:pPr>
      <w:r>
        <w:continuationSeparator/>
      </w:r>
    </w:p>
  </w:footnote>
  <w:footnote w:id="1">
    <w:p w:rsidR="005F2D02" w:rsidRDefault="005F2D02">
      <w:pPr>
        <w:pStyle w:val="FootnoteText"/>
      </w:pPr>
      <w:r>
        <w:rPr>
          <w:rStyle w:val="FootnoteReference"/>
        </w:rPr>
        <w:footnoteRef/>
      </w:r>
      <w:r>
        <w:t xml:space="preserve"> Docket UE-061546, Order 08, ¶ 43.</w:t>
      </w:r>
    </w:p>
  </w:footnote>
  <w:footnote w:id="2">
    <w:p w:rsidR="00601D4D" w:rsidRDefault="00601D4D">
      <w:pPr>
        <w:pStyle w:val="FootnoteText"/>
      </w:pPr>
      <w:r>
        <w:rPr>
          <w:rStyle w:val="FootnoteReference"/>
        </w:rPr>
        <w:footnoteRef/>
      </w:r>
      <w:r>
        <w:t xml:space="preserve"> In Order 06 in Docket UE-100749, the Commission indicated that a review of the WCA was due in June 2012.  </w:t>
      </w:r>
      <w:r w:rsidRPr="00601D4D">
        <w:t>Docket UE-100749, Order 06, ¶</w:t>
      </w:r>
      <w:r w:rsidR="006517D5">
        <w:t xml:space="preserve"> </w:t>
      </w:r>
      <w:r w:rsidRPr="00601D4D">
        <w:t>294, n444.</w:t>
      </w:r>
      <w:r>
        <w:t xml:space="preserve">  In PacifiCorp’s 2011 general rate case</w:t>
      </w:r>
      <w:r w:rsidRPr="00601D4D">
        <w:t>, the Commission extended the five-year evaluation perio</w:t>
      </w:r>
      <w:r>
        <w:t>d from June 2012 to January 2013.  Docket UE-111190, Order 07, ¶ 8 (March 30, 2012)</w:t>
      </w:r>
      <w:r w:rsidR="009A2C5E">
        <w:t>.</w:t>
      </w:r>
    </w:p>
  </w:footnote>
  <w:footnote w:id="3">
    <w:p w:rsidR="0099752B" w:rsidRDefault="0099752B">
      <w:pPr>
        <w:pStyle w:val="FootnoteText"/>
      </w:pPr>
      <w:r>
        <w:rPr>
          <w:rStyle w:val="FootnoteReference"/>
        </w:rPr>
        <w:footnoteRef/>
      </w:r>
      <w:r>
        <w:t xml:space="preserve"> Costs and balances for the Jim Bridger generating plant and associated transmission are allocated using the Jim Bridger Generation (JBG) factor and Jim Bridger Energy (JBE) factor.  These factors are modifications of the CAGW and CAEW factors, respectivel</w:t>
      </w:r>
      <w:r w:rsidR="009A2C5E">
        <w:t>y.</w:t>
      </w:r>
    </w:p>
  </w:footnote>
  <w:footnote w:id="4">
    <w:p w:rsidR="00D55F67" w:rsidRDefault="00D55F67" w:rsidP="00D55F67">
      <w:pPr>
        <w:pStyle w:val="FootnoteText"/>
      </w:pPr>
      <w:r>
        <w:rPr>
          <w:rStyle w:val="FootnoteReference"/>
        </w:rPr>
        <w:footnoteRef/>
      </w:r>
      <w:r>
        <w:t xml:space="preserve"> Standard &amp; Poor’s Ratings Direct (October 23, 2012)</w:t>
      </w:r>
      <w:r w:rsidR="00B70F3F">
        <w:t>.</w:t>
      </w:r>
    </w:p>
  </w:footnote>
  <w:footnote w:id="5">
    <w:p w:rsidR="00D55F67" w:rsidRDefault="00D55F67" w:rsidP="00D55F67">
      <w:pPr>
        <w:pStyle w:val="FootnoteText"/>
      </w:pPr>
      <w:r>
        <w:rPr>
          <w:rStyle w:val="FootnoteReference"/>
        </w:rPr>
        <w:footnoteRef/>
      </w:r>
      <w:r>
        <w:t xml:space="preserve"> Moody’s Investors Service (May 8, 2012)</w:t>
      </w:r>
      <w:r w:rsidR="00B70F3F">
        <w:t>.</w:t>
      </w:r>
    </w:p>
  </w:footnote>
  <w:footnote w:id="6">
    <w:p w:rsidR="006517D5" w:rsidRDefault="00A25C6A">
      <w:pPr>
        <w:pStyle w:val="FootnoteText"/>
      </w:pPr>
      <w:r>
        <w:rPr>
          <w:rStyle w:val="FootnoteReference"/>
        </w:rPr>
        <w:footnoteRef/>
      </w:r>
      <w:r>
        <w:t xml:space="preserve"> </w:t>
      </w:r>
      <w:r w:rsidRPr="00A25C6A">
        <w:rPr>
          <w:i/>
        </w:rPr>
        <w:t>Wash. Utils. &amp; Transp. Comm’n v. PacifiCorp d/b/a Pacific Power &amp; Light Co.</w:t>
      </w:r>
      <w:r>
        <w:t xml:space="preserve">, Docket UE-061546, </w:t>
      </w:r>
    </w:p>
    <w:p w:rsidR="00A25C6A" w:rsidRDefault="00A25C6A">
      <w:pPr>
        <w:pStyle w:val="FootnoteText"/>
      </w:pPr>
      <w:r>
        <w:t>Order 08, ¶ 59 (June 27, 2007).</w:t>
      </w:r>
    </w:p>
  </w:footnote>
  <w:footnote w:id="7">
    <w:p w:rsidR="00A25C6A" w:rsidRDefault="00A25C6A">
      <w:pPr>
        <w:pStyle w:val="FootnoteText"/>
      </w:pPr>
      <w:r>
        <w:rPr>
          <w:rStyle w:val="FootnoteReference"/>
        </w:rPr>
        <w:footnoteRef/>
      </w:r>
      <w:r>
        <w:t xml:space="preserve"> </w:t>
      </w:r>
      <w:r w:rsidRPr="00A25C6A">
        <w:rPr>
          <w:i/>
        </w:rPr>
        <w:t>Id.</w:t>
      </w:r>
      <w:r>
        <w:t>, ¶ 77.</w:t>
      </w:r>
    </w:p>
  </w:footnote>
  <w:footnote w:id="8">
    <w:p w:rsidR="007C4521" w:rsidRDefault="007C4521">
      <w:pPr>
        <w:pStyle w:val="FootnoteText"/>
      </w:pPr>
      <w:r>
        <w:rPr>
          <w:rStyle w:val="FootnoteReference"/>
        </w:rPr>
        <w:footnoteRef/>
      </w:r>
      <w:r>
        <w:t xml:space="preserve"> </w:t>
      </w:r>
      <w:r w:rsidRPr="007C4521">
        <w:rPr>
          <w:i/>
        </w:rPr>
        <w:t>Wash. Utils &amp; Transp. Comm’n v. PacifiCorp d/b/a Pacific Power &amp; Light</w:t>
      </w:r>
      <w:r>
        <w:t>,</w:t>
      </w:r>
      <w:r w:rsidR="006517D5">
        <w:t xml:space="preserve"> Docket UE-100749, Order 06, </w:t>
      </w:r>
      <w:r>
        <w:t>n 444 (March 25,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CA" w:rsidRDefault="001508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CA" w:rsidRDefault="001508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CA" w:rsidRDefault="001508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964"/>
    <w:multiLevelType w:val="hybridMultilevel"/>
    <w:tmpl w:val="BB3A499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E3B1A68"/>
    <w:multiLevelType w:val="hybridMultilevel"/>
    <w:tmpl w:val="6002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53552"/>
    <w:multiLevelType w:val="hybridMultilevel"/>
    <w:tmpl w:val="744E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E961813"/>
    <w:multiLevelType w:val="hybridMultilevel"/>
    <w:tmpl w:val="9C18C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BA0463E"/>
    <w:multiLevelType w:val="hybridMultilevel"/>
    <w:tmpl w:val="EC1A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AE41AE"/>
    <w:multiLevelType w:val="hybridMultilevel"/>
    <w:tmpl w:val="60C4C828"/>
    <w:lvl w:ilvl="0" w:tplc="679AE0F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574D8A"/>
    <w:multiLevelType w:val="hybridMultilevel"/>
    <w:tmpl w:val="F0C8A7F8"/>
    <w:lvl w:ilvl="0" w:tplc="628ADB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23768C"/>
    <w:multiLevelType w:val="hybridMultilevel"/>
    <w:tmpl w:val="C26C1B88"/>
    <w:lvl w:ilvl="0" w:tplc="A0148D6A">
      <w:start w:val="1"/>
      <w:numFmt w:val="upperLetter"/>
      <w:lvlText w:val="%1."/>
      <w:lvlJc w:val="left"/>
      <w:pPr>
        <w:ind w:left="720" w:hanging="36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E02E14"/>
    <w:multiLevelType w:val="hybridMultilevel"/>
    <w:tmpl w:val="E648E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E3697"/>
    <w:multiLevelType w:val="hybridMultilevel"/>
    <w:tmpl w:val="F65A9C58"/>
    <w:lvl w:ilvl="0" w:tplc="582A9A3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85D77"/>
    <w:multiLevelType w:val="hybridMultilevel"/>
    <w:tmpl w:val="C44A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3"/>
  </w:num>
  <w:num w:numId="7">
    <w:abstractNumId w:val="8"/>
  </w:num>
  <w:num w:numId="8">
    <w:abstractNumId w:val="5"/>
  </w:num>
  <w:num w:numId="9">
    <w:abstractNumId w:val="1"/>
  </w:num>
  <w:num w:numId="10">
    <w:abstractNumId w:val="9"/>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A27BB4"/>
    <w:rsid w:val="00004F1B"/>
    <w:rsid w:val="00005F5E"/>
    <w:rsid w:val="00006DD0"/>
    <w:rsid w:val="0002207B"/>
    <w:rsid w:val="00023BB0"/>
    <w:rsid w:val="0003158A"/>
    <w:rsid w:val="000473F4"/>
    <w:rsid w:val="00052F7E"/>
    <w:rsid w:val="000704F2"/>
    <w:rsid w:val="00076ABB"/>
    <w:rsid w:val="0008323B"/>
    <w:rsid w:val="00092AF8"/>
    <w:rsid w:val="000B3ED9"/>
    <w:rsid w:val="000B72A8"/>
    <w:rsid w:val="000C1B09"/>
    <w:rsid w:val="000C45D4"/>
    <w:rsid w:val="000D1204"/>
    <w:rsid w:val="000D14BA"/>
    <w:rsid w:val="000D79A4"/>
    <w:rsid w:val="000F2E07"/>
    <w:rsid w:val="00104778"/>
    <w:rsid w:val="0010765D"/>
    <w:rsid w:val="001269FB"/>
    <w:rsid w:val="00130840"/>
    <w:rsid w:val="00132B45"/>
    <w:rsid w:val="001508CA"/>
    <w:rsid w:val="00155E3B"/>
    <w:rsid w:val="00175422"/>
    <w:rsid w:val="001760ED"/>
    <w:rsid w:val="001B4047"/>
    <w:rsid w:val="001C3240"/>
    <w:rsid w:val="001E07E1"/>
    <w:rsid w:val="001E328E"/>
    <w:rsid w:val="001E37F5"/>
    <w:rsid w:val="001E6554"/>
    <w:rsid w:val="00200B8D"/>
    <w:rsid w:val="00221DC3"/>
    <w:rsid w:val="002232EF"/>
    <w:rsid w:val="00225BA1"/>
    <w:rsid w:val="00246DCE"/>
    <w:rsid w:val="00253C16"/>
    <w:rsid w:val="00266925"/>
    <w:rsid w:val="00285AC8"/>
    <w:rsid w:val="002902F5"/>
    <w:rsid w:val="0029737C"/>
    <w:rsid w:val="002A4DE1"/>
    <w:rsid w:val="002A6926"/>
    <w:rsid w:val="002B2F7D"/>
    <w:rsid w:val="002C3322"/>
    <w:rsid w:val="002E0288"/>
    <w:rsid w:val="002E276E"/>
    <w:rsid w:val="002F0D3D"/>
    <w:rsid w:val="002F40D3"/>
    <w:rsid w:val="002F4ADD"/>
    <w:rsid w:val="003008EC"/>
    <w:rsid w:val="00304340"/>
    <w:rsid w:val="00317BBD"/>
    <w:rsid w:val="00322708"/>
    <w:rsid w:val="00334949"/>
    <w:rsid w:val="00340FF3"/>
    <w:rsid w:val="003434F7"/>
    <w:rsid w:val="00346B8D"/>
    <w:rsid w:val="00356615"/>
    <w:rsid w:val="003774F5"/>
    <w:rsid w:val="00381310"/>
    <w:rsid w:val="0038138F"/>
    <w:rsid w:val="003829E5"/>
    <w:rsid w:val="00387058"/>
    <w:rsid w:val="003A290A"/>
    <w:rsid w:val="003B727A"/>
    <w:rsid w:val="003C1E92"/>
    <w:rsid w:val="003D2D71"/>
    <w:rsid w:val="003E26BA"/>
    <w:rsid w:val="004118FB"/>
    <w:rsid w:val="00420962"/>
    <w:rsid w:val="00423290"/>
    <w:rsid w:val="00441091"/>
    <w:rsid w:val="004556C2"/>
    <w:rsid w:val="00457CFE"/>
    <w:rsid w:val="0046375E"/>
    <w:rsid w:val="00472436"/>
    <w:rsid w:val="00484EE4"/>
    <w:rsid w:val="00485CC0"/>
    <w:rsid w:val="00486058"/>
    <w:rsid w:val="00487AC8"/>
    <w:rsid w:val="004951C0"/>
    <w:rsid w:val="004A4488"/>
    <w:rsid w:val="004B1360"/>
    <w:rsid w:val="004C17AC"/>
    <w:rsid w:val="004E7411"/>
    <w:rsid w:val="004F00BA"/>
    <w:rsid w:val="00510765"/>
    <w:rsid w:val="0051213D"/>
    <w:rsid w:val="0052122E"/>
    <w:rsid w:val="00525725"/>
    <w:rsid w:val="005327F1"/>
    <w:rsid w:val="00564617"/>
    <w:rsid w:val="00564ED4"/>
    <w:rsid w:val="00570448"/>
    <w:rsid w:val="0057268A"/>
    <w:rsid w:val="00573AAB"/>
    <w:rsid w:val="005773BF"/>
    <w:rsid w:val="00592A47"/>
    <w:rsid w:val="005960A8"/>
    <w:rsid w:val="005960BD"/>
    <w:rsid w:val="005A4D5E"/>
    <w:rsid w:val="005B174F"/>
    <w:rsid w:val="005B2808"/>
    <w:rsid w:val="005B43A7"/>
    <w:rsid w:val="005D34FF"/>
    <w:rsid w:val="005D6FA1"/>
    <w:rsid w:val="005F2D02"/>
    <w:rsid w:val="005F334A"/>
    <w:rsid w:val="00601D4D"/>
    <w:rsid w:val="00602A26"/>
    <w:rsid w:val="006217E3"/>
    <w:rsid w:val="006276FE"/>
    <w:rsid w:val="006426D6"/>
    <w:rsid w:val="00644616"/>
    <w:rsid w:val="006502C4"/>
    <w:rsid w:val="006517D5"/>
    <w:rsid w:val="0065573B"/>
    <w:rsid w:val="0066200E"/>
    <w:rsid w:val="00677B0A"/>
    <w:rsid w:val="00680441"/>
    <w:rsid w:val="0068509F"/>
    <w:rsid w:val="006863EA"/>
    <w:rsid w:val="006977F9"/>
    <w:rsid w:val="006A6055"/>
    <w:rsid w:val="006B4A10"/>
    <w:rsid w:val="006B7AE7"/>
    <w:rsid w:val="00704BD0"/>
    <w:rsid w:val="00704F99"/>
    <w:rsid w:val="00723C38"/>
    <w:rsid w:val="00723FD8"/>
    <w:rsid w:val="00726EBA"/>
    <w:rsid w:val="00730249"/>
    <w:rsid w:val="00730E93"/>
    <w:rsid w:val="00733375"/>
    <w:rsid w:val="0073349E"/>
    <w:rsid w:val="00745332"/>
    <w:rsid w:val="00774EE1"/>
    <w:rsid w:val="0077544F"/>
    <w:rsid w:val="007805CB"/>
    <w:rsid w:val="0078213C"/>
    <w:rsid w:val="007847E8"/>
    <w:rsid w:val="00791BF8"/>
    <w:rsid w:val="0079219D"/>
    <w:rsid w:val="00792F8D"/>
    <w:rsid w:val="007A19C7"/>
    <w:rsid w:val="007B1B00"/>
    <w:rsid w:val="007C08E0"/>
    <w:rsid w:val="007C11FA"/>
    <w:rsid w:val="007C4521"/>
    <w:rsid w:val="007E2085"/>
    <w:rsid w:val="007F4A62"/>
    <w:rsid w:val="008023C7"/>
    <w:rsid w:val="00804A71"/>
    <w:rsid w:val="00806799"/>
    <w:rsid w:val="00856650"/>
    <w:rsid w:val="00870D61"/>
    <w:rsid w:val="00892377"/>
    <w:rsid w:val="008A6FF3"/>
    <w:rsid w:val="008B7F09"/>
    <w:rsid w:val="008C4D92"/>
    <w:rsid w:val="008E0374"/>
    <w:rsid w:val="008F03EA"/>
    <w:rsid w:val="008F2988"/>
    <w:rsid w:val="00900986"/>
    <w:rsid w:val="00925EA8"/>
    <w:rsid w:val="00937CF4"/>
    <w:rsid w:val="00940AD7"/>
    <w:rsid w:val="00941285"/>
    <w:rsid w:val="0099752B"/>
    <w:rsid w:val="009A2C5E"/>
    <w:rsid w:val="009A5A26"/>
    <w:rsid w:val="009A781A"/>
    <w:rsid w:val="009C07A1"/>
    <w:rsid w:val="009C307F"/>
    <w:rsid w:val="009C7B9A"/>
    <w:rsid w:val="009E2A9B"/>
    <w:rsid w:val="009E2CA3"/>
    <w:rsid w:val="009E39E5"/>
    <w:rsid w:val="009E6334"/>
    <w:rsid w:val="009E6696"/>
    <w:rsid w:val="00A1277A"/>
    <w:rsid w:val="00A14DEB"/>
    <w:rsid w:val="00A17200"/>
    <w:rsid w:val="00A20D14"/>
    <w:rsid w:val="00A25C6A"/>
    <w:rsid w:val="00A27BB4"/>
    <w:rsid w:val="00A41851"/>
    <w:rsid w:val="00A45442"/>
    <w:rsid w:val="00A475EB"/>
    <w:rsid w:val="00A5541E"/>
    <w:rsid w:val="00A607DD"/>
    <w:rsid w:val="00A673F7"/>
    <w:rsid w:val="00A76543"/>
    <w:rsid w:val="00A84E5D"/>
    <w:rsid w:val="00AA5497"/>
    <w:rsid w:val="00AA757F"/>
    <w:rsid w:val="00AE1051"/>
    <w:rsid w:val="00AE7BDD"/>
    <w:rsid w:val="00B2021C"/>
    <w:rsid w:val="00B22652"/>
    <w:rsid w:val="00B236BC"/>
    <w:rsid w:val="00B5321A"/>
    <w:rsid w:val="00B57FE2"/>
    <w:rsid w:val="00B70F3F"/>
    <w:rsid w:val="00B748FD"/>
    <w:rsid w:val="00B8487D"/>
    <w:rsid w:val="00B91F83"/>
    <w:rsid w:val="00B9295E"/>
    <w:rsid w:val="00BB38AC"/>
    <w:rsid w:val="00BC4BC9"/>
    <w:rsid w:val="00BF3516"/>
    <w:rsid w:val="00BF3E27"/>
    <w:rsid w:val="00C02ACB"/>
    <w:rsid w:val="00C04B62"/>
    <w:rsid w:val="00C054CA"/>
    <w:rsid w:val="00C22607"/>
    <w:rsid w:val="00C25FF5"/>
    <w:rsid w:val="00C26893"/>
    <w:rsid w:val="00C31AF1"/>
    <w:rsid w:val="00C35559"/>
    <w:rsid w:val="00C50C55"/>
    <w:rsid w:val="00C54390"/>
    <w:rsid w:val="00C553FC"/>
    <w:rsid w:val="00C63B31"/>
    <w:rsid w:val="00C70ABF"/>
    <w:rsid w:val="00C777B5"/>
    <w:rsid w:val="00C81ED7"/>
    <w:rsid w:val="00C838D1"/>
    <w:rsid w:val="00C83A9E"/>
    <w:rsid w:val="00C84BF5"/>
    <w:rsid w:val="00C868BD"/>
    <w:rsid w:val="00C924A9"/>
    <w:rsid w:val="00CD150B"/>
    <w:rsid w:val="00CD6CD0"/>
    <w:rsid w:val="00CF17B2"/>
    <w:rsid w:val="00CF7BE8"/>
    <w:rsid w:val="00D120B6"/>
    <w:rsid w:val="00D21DA2"/>
    <w:rsid w:val="00D2471A"/>
    <w:rsid w:val="00D30203"/>
    <w:rsid w:val="00D40A58"/>
    <w:rsid w:val="00D5498B"/>
    <w:rsid w:val="00D55F67"/>
    <w:rsid w:val="00D749AB"/>
    <w:rsid w:val="00D90053"/>
    <w:rsid w:val="00DA2D0E"/>
    <w:rsid w:val="00DB16D8"/>
    <w:rsid w:val="00DC0D28"/>
    <w:rsid w:val="00DC5B63"/>
    <w:rsid w:val="00DE63D4"/>
    <w:rsid w:val="00E015DB"/>
    <w:rsid w:val="00E07E24"/>
    <w:rsid w:val="00E1207F"/>
    <w:rsid w:val="00E30395"/>
    <w:rsid w:val="00E421B0"/>
    <w:rsid w:val="00E42A5E"/>
    <w:rsid w:val="00E4550E"/>
    <w:rsid w:val="00E511F5"/>
    <w:rsid w:val="00E54231"/>
    <w:rsid w:val="00E60000"/>
    <w:rsid w:val="00E62709"/>
    <w:rsid w:val="00E83CB6"/>
    <w:rsid w:val="00E9587C"/>
    <w:rsid w:val="00EB168E"/>
    <w:rsid w:val="00EE6221"/>
    <w:rsid w:val="00EF7A0C"/>
    <w:rsid w:val="00F23FE5"/>
    <w:rsid w:val="00F32D1B"/>
    <w:rsid w:val="00F47343"/>
    <w:rsid w:val="00F51F23"/>
    <w:rsid w:val="00F521DC"/>
    <w:rsid w:val="00F56612"/>
    <w:rsid w:val="00F66B01"/>
    <w:rsid w:val="00F70413"/>
    <w:rsid w:val="00F72607"/>
    <w:rsid w:val="00F733CA"/>
    <w:rsid w:val="00F90DA1"/>
    <w:rsid w:val="00F93B05"/>
    <w:rsid w:val="00F94978"/>
    <w:rsid w:val="00FB1190"/>
    <w:rsid w:val="00FC0D27"/>
    <w:rsid w:val="00FC30AE"/>
    <w:rsid w:val="00FF7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F2"/>
  </w:style>
  <w:style w:type="paragraph" w:styleId="Heading1">
    <w:name w:val="heading 1"/>
    <w:basedOn w:val="Normal"/>
    <w:next w:val="Normal"/>
    <w:link w:val="Heading1Char"/>
    <w:uiPriority w:val="9"/>
    <w:qFormat/>
    <w:rsid w:val="00A27B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7B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27BB4"/>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A27BB4"/>
    <w:rPr>
      <w:rFonts w:ascii="Times New Roman" w:hAnsi="Times New Roman" w:cs="Times New Roman"/>
      <w:sz w:val="20"/>
      <w:szCs w:val="20"/>
    </w:rPr>
  </w:style>
  <w:style w:type="paragraph" w:styleId="ListParagraph">
    <w:name w:val="List Paragraph"/>
    <w:basedOn w:val="Normal"/>
    <w:uiPriority w:val="34"/>
    <w:qFormat/>
    <w:rsid w:val="00A27BB4"/>
    <w:pPr>
      <w:spacing w:after="0" w:line="240" w:lineRule="auto"/>
      <w:ind w:left="720"/>
    </w:pPr>
    <w:rPr>
      <w:rFonts w:ascii="Times New Roman" w:hAnsi="Times New Roman" w:cs="Times New Roman"/>
      <w:sz w:val="24"/>
      <w:szCs w:val="24"/>
    </w:rPr>
  </w:style>
  <w:style w:type="character" w:styleId="FootnoteReference">
    <w:name w:val="footnote reference"/>
    <w:basedOn w:val="DefaultParagraphFont"/>
    <w:uiPriority w:val="99"/>
    <w:unhideWhenUsed/>
    <w:rsid w:val="00A27BB4"/>
    <w:rPr>
      <w:vertAlign w:val="superscript"/>
    </w:rPr>
  </w:style>
  <w:style w:type="character" w:customStyle="1" w:styleId="Heading1Char">
    <w:name w:val="Heading 1 Char"/>
    <w:basedOn w:val="DefaultParagraphFont"/>
    <w:link w:val="Heading1"/>
    <w:uiPriority w:val="9"/>
    <w:rsid w:val="00A27B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7BB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E0374"/>
    <w:rPr>
      <w:sz w:val="16"/>
      <w:szCs w:val="16"/>
    </w:rPr>
  </w:style>
  <w:style w:type="paragraph" w:styleId="CommentText">
    <w:name w:val="annotation text"/>
    <w:basedOn w:val="Normal"/>
    <w:link w:val="CommentTextChar"/>
    <w:uiPriority w:val="99"/>
    <w:semiHidden/>
    <w:unhideWhenUsed/>
    <w:rsid w:val="008E0374"/>
    <w:pPr>
      <w:spacing w:line="240" w:lineRule="auto"/>
    </w:pPr>
    <w:rPr>
      <w:sz w:val="20"/>
      <w:szCs w:val="20"/>
    </w:rPr>
  </w:style>
  <w:style w:type="character" w:customStyle="1" w:styleId="CommentTextChar">
    <w:name w:val="Comment Text Char"/>
    <w:basedOn w:val="DefaultParagraphFont"/>
    <w:link w:val="CommentText"/>
    <w:uiPriority w:val="99"/>
    <w:semiHidden/>
    <w:rsid w:val="008E0374"/>
    <w:rPr>
      <w:sz w:val="20"/>
      <w:szCs w:val="20"/>
    </w:rPr>
  </w:style>
  <w:style w:type="paragraph" w:styleId="CommentSubject">
    <w:name w:val="annotation subject"/>
    <w:basedOn w:val="CommentText"/>
    <w:next w:val="CommentText"/>
    <w:link w:val="CommentSubjectChar"/>
    <w:uiPriority w:val="99"/>
    <w:semiHidden/>
    <w:unhideWhenUsed/>
    <w:rsid w:val="008E0374"/>
    <w:rPr>
      <w:b/>
      <w:bCs/>
    </w:rPr>
  </w:style>
  <w:style w:type="character" w:customStyle="1" w:styleId="CommentSubjectChar">
    <w:name w:val="Comment Subject Char"/>
    <w:basedOn w:val="CommentTextChar"/>
    <w:link w:val="CommentSubject"/>
    <w:uiPriority w:val="99"/>
    <w:semiHidden/>
    <w:rsid w:val="008E0374"/>
    <w:rPr>
      <w:b/>
      <w:bCs/>
      <w:sz w:val="20"/>
      <w:szCs w:val="20"/>
    </w:rPr>
  </w:style>
  <w:style w:type="paragraph" w:styleId="BalloonText">
    <w:name w:val="Balloon Text"/>
    <w:basedOn w:val="Normal"/>
    <w:link w:val="BalloonTextChar"/>
    <w:uiPriority w:val="99"/>
    <w:semiHidden/>
    <w:unhideWhenUsed/>
    <w:rsid w:val="008E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374"/>
    <w:rPr>
      <w:rFonts w:ascii="Tahoma" w:hAnsi="Tahoma" w:cs="Tahoma"/>
      <w:sz w:val="16"/>
      <w:szCs w:val="16"/>
    </w:rPr>
  </w:style>
  <w:style w:type="table" w:styleId="TableGrid">
    <w:name w:val="Table Grid"/>
    <w:basedOn w:val="TableNormal"/>
    <w:uiPriority w:val="59"/>
    <w:rsid w:val="00D54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2F8D"/>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7A19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19C7"/>
  </w:style>
  <w:style w:type="paragraph" w:styleId="Footer">
    <w:name w:val="footer"/>
    <w:basedOn w:val="Normal"/>
    <w:link w:val="FooterChar"/>
    <w:uiPriority w:val="99"/>
    <w:semiHidden/>
    <w:unhideWhenUsed/>
    <w:rsid w:val="007A19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19C7"/>
  </w:style>
  <w:style w:type="paragraph" w:styleId="Revision">
    <w:name w:val="Revision"/>
    <w:hidden/>
    <w:uiPriority w:val="99"/>
    <w:semiHidden/>
    <w:rsid w:val="004556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7B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7B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27BB4"/>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A27BB4"/>
    <w:rPr>
      <w:rFonts w:ascii="Times New Roman" w:hAnsi="Times New Roman" w:cs="Times New Roman"/>
      <w:sz w:val="20"/>
      <w:szCs w:val="20"/>
    </w:rPr>
  </w:style>
  <w:style w:type="paragraph" w:styleId="ListParagraph">
    <w:name w:val="List Paragraph"/>
    <w:basedOn w:val="Normal"/>
    <w:uiPriority w:val="34"/>
    <w:qFormat/>
    <w:rsid w:val="00A27BB4"/>
    <w:pPr>
      <w:spacing w:after="0" w:line="240" w:lineRule="auto"/>
      <w:ind w:left="720"/>
    </w:pPr>
    <w:rPr>
      <w:rFonts w:ascii="Times New Roman" w:hAnsi="Times New Roman" w:cs="Times New Roman"/>
      <w:sz w:val="24"/>
      <w:szCs w:val="24"/>
    </w:rPr>
  </w:style>
  <w:style w:type="character" w:styleId="FootnoteReference">
    <w:name w:val="footnote reference"/>
    <w:basedOn w:val="DefaultParagraphFont"/>
    <w:uiPriority w:val="99"/>
    <w:unhideWhenUsed/>
    <w:rsid w:val="00A27BB4"/>
    <w:rPr>
      <w:vertAlign w:val="superscript"/>
    </w:rPr>
  </w:style>
  <w:style w:type="character" w:customStyle="1" w:styleId="Heading1Char">
    <w:name w:val="Heading 1 Char"/>
    <w:basedOn w:val="DefaultParagraphFont"/>
    <w:link w:val="Heading1"/>
    <w:uiPriority w:val="9"/>
    <w:rsid w:val="00A27B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7BB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E0374"/>
    <w:rPr>
      <w:sz w:val="16"/>
      <w:szCs w:val="16"/>
    </w:rPr>
  </w:style>
  <w:style w:type="paragraph" w:styleId="CommentText">
    <w:name w:val="annotation text"/>
    <w:basedOn w:val="Normal"/>
    <w:link w:val="CommentTextChar"/>
    <w:uiPriority w:val="99"/>
    <w:semiHidden/>
    <w:unhideWhenUsed/>
    <w:rsid w:val="008E0374"/>
    <w:pPr>
      <w:spacing w:line="240" w:lineRule="auto"/>
    </w:pPr>
    <w:rPr>
      <w:sz w:val="20"/>
      <w:szCs w:val="20"/>
    </w:rPr>
  </w:style>
  <w:style w:type="character" w:customStyle="1" w:styleId="CommentTextChar">
    <w:name w:val="Comment Text Char"/>
    <w:basedOn w:val="DefaultParagraphFont"/>
    <w:link w:val="CommentText"/>
    <w:uiPriority w:val="99"/>
    <w:semiHidden/>
    <w:rsid w:val="008E0374"/>
    <w:rPr>
      <w:sz w:val="20"/>
      <w:szCs w:val="20"/>
    </w:rPr>
  </w:style>
  <w:style w:type="paragraph" w:styleId="CommentSubject">
    <w:name w:val="annotation subject"/>
    <w:basedOn w:val="CommentText"/>
    <w:next w:val="CommentText"/>
    <w:link w:val="CommentSubjectChar"/>
    <w:uiPriority w:val="99"/>
    <w:semiHidden/>
    <w:unhideWhenUsed/>
    <w:rsid w:val="008E0374"/>
    <w:rPr>
      <w:b/>
      <w:bCs/>
    </w:rPr>
  </w:style>
  <w:style w:type="character" w:customStyle="1" w:styleId="CommentSubjectChar">
    <w:name w:val="Comment Subject Char"/>
    <w:basedOn w:val="CommentTextChar"/>
    <w:link w:val="CommentSubject"/>
    <w:uiPriority w:val="99"/>
    <w:semiHidden/>
    <w:rsid w:val="008E0374"/>
    <w:rPr>
      <w:b/>
      <w:bCs/>
      <w:sz w:val="20"/>
      <w:szCs w:val="20"/>
    </w:rPr>
  </w:style>
  <w:style w:type="paragraph" w:styleId="BalloonText">
    <w:name w:val="Balloon Text"/>
    <w:basedOn w:val="Normal"/>
    <w:link w:val="BalloonTextChar"/>
    <w:uiPriority w:val="99"/>
    <w:semiHidden/>
    <w:unhideWhenUsed/>
    <w:rsid w:val="008E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374"/>
    <w:rPr>
      <w:rFonts w:ascii="Tahoma" w:hAnsi="Tahoma" w:cs="Tahoma"/>
      <w:sz w:val="16"/>
      <w:szCs w:val="16"/>
    </w:rPr>
  </w:style>
  <w:style w:type="table" w:styleId="TableGrid">
    <w:name w:val="Table Grid"/>
    <w:basedOn w:val="TableNormal"/>
    <w:uiPriority w:val="59"/>
    <w:rsid w:val="00D54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2F8D"/>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7A19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19C7"/>
  </w:style>
  <w:style w:type="paragraph" w:styleId="Footer">
    <w:name w:val="footer"/>
    <w:basedOn w:val="Normal"/>
    <w:link w:val="FooterChar"/>
    <w:uiPriority w:val="99"/>
    <w:semiHidden/>
    <w:unhideWhenUsed/>
    <w:rsid w:val="007A19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19C7"/>
  </w:style>
  <w:style w:type="paragraph" w:styleId="Revision">
    <w:name w:val="Revision"/>
    <w:hidden/>
    <w:uiPriority w:val="99"/>
    <w:semiHidden/>
    <w:rsid w:val="004556C2"/>
    <w:pPr>
      <w:spacing w:after="0" w:line="240" w:lineRule="auto"/>
    </w:pPr>
  </w:style>
</w:styles>
</file>

<file path=word/webSettings.xml><?xml version="1.0" encoding="utf-8"?>
<w:webSettings xmlns:r="http://schemas.openxmlformats.org/officeDocument/2006/relationships" xmlns:w="http://schemas.openxmlformats.org/wordprocessingml/2006/main">
  <w:divs>
    <w:div w:id="39014820">
      <w:bodyDiv w:val="1"/>
      <w:marLeft w:val="0"/>
      <w:marRight w:val="0"/>
      <w:marTop w:val="0"/>
      <w:marBottom w:val="0"/>
      <w:divBdr>
        <w:top w:val="none" w:sz="0" w:space="0" w:color="auto"/>
        <w:left w:val="none" w:sz="0" w:space="0" w:color="auto"/>
        <w:bottom w:val="none" w:sz="0" w:space="0" w:color="auto"/>
        <w:right w:val="none" w:sz="0" w:space="0" w:color="auto"/>
      </w:divBdr>
    </w:div>
    <w:div w:id="92479152">
      <w:bodyDiv w:val="1"/>
      <w:marLeft w:val="0"/>
      <w:marRight w:val="0"/>
      <w:marTop w:val="0"/>
      <w:marBottom w:val="0"/>
      <w:divBdr>
        <w:top w:val="none" w:sz="0" w:space="0" w:color="auto"/>
        <w:left w:val="none" w:sz="0" w:space="0" w:color="auto"/>
        <w:bottom w:val="none" w:sz="0" w:space="0" w:color="auto"/>
        <w:right w:val="none" w:sz="0" w:space="0" w:color="auto"/>
      </w:divBdr>
    </w:div>
    <w:div w:id="158471368">
      <w:bodyDiv w:val="1"/>
      <w:marLeft w:val="0"/>
      <w:marRight w:val="0"/>
      <w:marTop w:val="0"/>
      <w:marBottom w:val="0"/>
      <w:divBdr>
        <w:top w:val="none" w:sz="0" w:space="0" w:color="auto"/>
        <w:left w:val="none" w:sz="0" w:space="0" w:color="auto"/>
        <w:bottom w:val="none" w:sz="0" w:space="0" w:color="auto"/>
        <w:right w:val="none" w:sz="0" w:space="0" w:color="auto"/>
      </w:divBdr>
    </w:div>
    <w:div w:id="277177359">
      <w:bodyDiv w:val="1"/>
      <w:marLeft w:val="0"/>
      <w:marRight w:val="0"/>
      <w:marTop w:val="0"/>
      <w:marBottom w:val="0"/>
      <w:divBdr>
        <w:top w:val="none" w:sz="0" w:space="0" w:color="auto"/>
        <w:left w:val="none" w:sz="0" w:space="0" w:color="auto"/>
        <w:bottom w:val="none" w:sz="0" w:space="0" w:color="auto"/>
        <w:right w:val="none" w:sz="0" w:space="0" w:color="auto"/>
      </w:divBdr>
    </w:div>
    <w:div w:id="756367235">
      <w:bodyDiv w:val="1"/>
      <w:marLeft w:val="0"/>
      <w:marRight w:val="0"/>
      <w:marTop w:val="0"/>
      <w:marBottom w:val="0"/>
      <w:divBdr>
        <w:top w:val="none" w:sz="0" w:space="0" w:color="auto"/>
        <w:left w:val="none" w:sz="0" w:space="0" w:color="auto"/>
        <w:bottom w:val="none" w:sz="0" w:space="0" w:color="auto"/>
        <w:right w:val="none" w:sz="0" w:space="0" w:color="auto"/>
      </w:divBdr>
    </w:div>
    <w:div w:id="901599751">
      <w:bodyDiv w:val="1"/>
      <w:marLeft w:val="0"/>
      <w:marRight w:val="0"/>
      <w:marTop w:val="0"/>
      <w:marBottom w:val="0"/>
      <w:divBdr>
        <w:top w:val="none" w:sz="0" w:space="0" w:color="auto"/>
        <w:left w:val="none" w:sz="0" w:space="0" w:color="auto"/>
        <w:bottom w:val="none" w:sz="0" w:space="0" w:color="auto"/>
        <w:right w:val="none" w:sz="0" w:space="0" w:color="auto"/>
      </w:divBdr>
    </w:div>
    <w:div w:id="1328050256">
      <w:bodyDiv w:val="1"/>
      <w:marLeft w:val="0"/>
      <w:marRight w:val="0"/>
      <w:marTop w:val="0"/>
      <w:marBottom w:val="0"/>
      <w:divBdr>
        <w:top w:val="none" w:sz="0" w:space="0" w:color="auto"/>
        <w:left w:val="none" w:sz="0" w:space="0" w:color="auto"/>
        <w:bottom w:val="none" w:sz="0" w:space="0" w:color="auto"/>
        <w:right w:val="none" w:sz="0" w:space="0" w:color="auto"/>
      </w:divBdr>
    </w:div>
    <w:div w:id="1437091964">
      <w:bodyDiv w:val="1"/>
      <w:marLeft w:val="0"/>
      <w:marRight w:val="0"/>
      <w:marTop w:val="0"/>
      <w:marBottom w:val="0"/>
      <w:divBdr>
        <w:top w:val="none" w:sz="0" w:space="0" w:color="auto"/>
        <w:left w:val="none" w:sz="0" w:space="0" w:color="auto"/>
        <w:bottom w:val="none" w:sz="0" w:space="0" w:color="auto"/>
        <w:right w:val="none" w:sz="0" w:space="0" w:color="auto"/>
      </w:divBdr>
    </w:div>
    <w:div w:id="1593781966">
      <w:bodyDiv w:val="1"/>
      <w:marLeft w:val="0"/>
      <w:marRight w:val="0"/>
      <w:marTop w:val="0"/>
      <w:marBottom w:val="0"/>
      <w:divBdr>
        <w:top w:val="none" w:sz="0" w:space="0" w:color="auto"/>
        <w:left w:val="none" w:sz="0" w:space="0" w:color="auto"/>
        <w:bottom w:val="none" w:sz="0" w:space="0" w:color="auto"/>
        <w:right w:val="none" w:sz="0" w:space="0" w:color="auto"/>
      </w:divBdr>
    </w:div>
    <w:div w:id="1693917226">
      <w:bodyDiv w:val="1"/>
      <w:marLeft w:val="0"/>
      <w:marRight w:val="0"/>
      <w:marTop w:val="0"/>
      <w:marBottom w:val="0"/>
      <w:divBdr>
        <w:top w:val="none" w:sz="0" w:space="0" w:color="auto"/>
        <w:left w:val="none" w:sz="0" w:space="0" w:color="auto"/>
        <w:bottom w:val="none" w:sz="0" w:space="0" w:color="auto"/>
        <w:right w:val="none" w:sz="0" w:space="0" w:color="auto"/>
      </w:divBdr>
    </w:div>
    <w:div w:id="1840074749">
      <w:bodyDiv w:val="1"/>
      <w:marLeft w:val="0"/>
      <w:marRight w:val="0"/>
      <w:marTop w:val="0"/>
      <w:marBottom w:val="0"/>
      <w:divBdr>
        <w:top w:val="none" w:sz="0" w:space="0" w:color="auto"/>
        <w:left w:val="none" w:sz="0" w:space="0" w:color="auto"/>
        <w:bottom w:val="none" w:sz="0" w:space="0" w:color="auto"/>
        <w:right w:val="none" w:sz="0" w:space="0" w:color="auto"/>
      </w:divBdr>
    </w:div>
    <w:div w:id="1900433557">
      <w:bodyDiv w:val="1"/>
      <w:marLeft w:val="0"/>
      <w:marRight w:val="0"/>
      <w:marTop w:val="0"/>
      <w:marBottom w:val="0"/>
      <w:divBdr>
        <w:top w:val="none" w:sz="0" w:space="0" w:color="auto"/>
        <w:left w:val="none" w:sz="0" w:space="0" w:color="auto"/>
        <w:bottom w:val="none" w:sz="0" w:space="0" w:color="auto"/>
        <w:right w:val="none" w:sz="0" w:space="0" w:color="auto"/>
      </w:divBdr>
    </w:div>
    <w:div w:id="20413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65185-8D0B-443C-876D-030133E1EACE}"/>
</file>

<file path=customXml/itemProps2.xml><?xml version="1.0" encoding="utf-8"?>
<ds:datastoreItem xmlns:ds="http://schemas.openxmlformats.org/officeDocument/2006/customXml" ds:itemID="{22E17CF6-9382-4415-9007-DD47A62C3528}"/>
</file>

<file path=customXml/itemProps3.xml><?xml version="1.0" encoding="utf-8"?>
<ds:datastoreItem xmlns:ds="http://schemas.openxmlformats.org/officeDocument/2006/customXml" ds:itemID="{56541FF3-68FB-4B4B-8307-6CC496777434}"/>
</file>

<file path=customXml/itemProps4.xml><?xml version="1.0" encoding="utf-8"?>
<ds:datastoreItem xmlns:ds="http://schemas.openxmlformats.org/officeDocument/2006/customXml" ds:itemID="{FCE3EFDE-C07A-4E4D-98F2-7C5C5A9C311B}"/>
</file>

<file path=docProps/app.xml><?xml version="1.0" encoding="utf-8"?>
<Properties xmlns="http://schemas.openxmlformats.org/officeDocument/2006/extended-properties" xmlns:vt="http://schemas.openxmlformats.org/officeDocument/2006/docPropsVTypes">
  <Template>Normal.dotm</Template>
  <TotalTime>0</TotalTime>
  <Pages>9</Pages>
  <Words>2926</Words>
  <Characters>16681</Characters>
  <Application>Microsoft Office Word</Application>
  <DocSecurity>0</DocSecurity>
  <Lines>139</Lines>
  <Paragraphs>39</Paragraphs>
  <ScaleCrop>false</ScaleCrop>
  <Company/>
  <LinksUpToDate>false</LinksUpToDate>
  <CharactersWithSpaces>19568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2013-01-09T21:14:00Z</dcterms:created>
  <dcterms:modified xsi:type="dcterms:W3CDTF">2013-01-09T21:14:00Z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