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52" w:rsidRDefault="00785152" w:rsidP="00E45B69">
      <w:pPr>
        <w:pStyle w:val="BodyTextIndent"/>
        <w:rPr>
          <w:b/>
          <w:bCs/>
        </w:rPr>
      </w:pPr>
      <w:r>
        <w:rPr>
          <w:b/>
          <w:bCs/>
        </w:rPr>
        <w:t>Q.</w:t>
      </w:r>
      <w:r>
        <w:rPr>
          <w:b/>
          <w:bCs/>
        </w:rPr>
        <w:tab/>
        <w:t xml:space="preserve">Please state your </w:t>
      </w:r>
      <w:r>
        <w:rPr>
          <w:rStyle w:val="LineNumber"/>
          <w:b/>
          <w:bCs/>
        </w:rPr>
        <w:t>name</w:t>
      </w:r>
      <w:r>
        <w:rPr>
          <w:b/>
          <w:bCs/>
        </w:rPr>
        <w:t>, business address and present position with PacifiCorp (</w:t>
      </w:r>
      <w:r w:rsidR="000F52AA">
        <w:rPr>
          <w:b/>
          <w:bCs/>
        </w:rPr>
        <w:t xml:space="preserve">the </w:t>
      </w:r>
      <w:r>
        <w:rPr>
          <w:b/>
          <w:bCs/>
        </w:rPr>
        <w:t>Company).</w:t>
      </w:r>
    </w:p>
    <w:p w:rsidR="00785152" w:rsidRDefault="00785152" w:rsidP="00E45B69">
      <w:pPr>
        <w:numPr>
          <w:ilvl w:val="0"/>
          <w:numId w:val="34"/>
        </w:numPr>
      </w:pPr>
      <w:r>
        <w:t xml:space="preserve">My name is Bruce N. Williams.  My business address is 825 NE Multnomah, </w:t>
      </w:r>
      <w:smartTag w:uri="urn:schemas-microsoft-com:office:smarttags" w:element="address">
        <w:smartTag w:uri="urn:schemas-microsoft-com:office:smarttags" w:element="Street">
          <w:r>
            <w:t>Suite</w:t>
          </w:r>
        </w:smartTag>
        <w:r>
          <w:t xml:space="preserve"> 1900</w:t>
        </w:r>
      </w:smartTag>
      <w:r>
        <w:t xml:space="preserve">, </w:t>
      </w:r>
      <w:proofErr w:type="gramStart"/>
      <w:smartTag w:uri="urn:schemas-microsoft-com:office:smarttags" w:element="place">
        <w:r>
          <w:t>Portland</w:t>
        </w:r>
        <w:proofErr w:type="gramEnd"/>
        <w:r>
          <w:t xml:space="preserve">, </w:t>
        </w:r>
        <w:smartTag w:uri="urn:schemas-microsoft-com:office:smarttags" w:element="State">
          <w:r>
            <w:t>Oregon</w:t>
          </w:r>
        </w:smartTag>
        <w:r>
          <w:t xml:space="preserve"> </w:t>
        </w:r>
        <w:smartTag w:uri="urn:schemas-microsoft-com:office:smarttags" w:element="PostalCode">
          <w:r>
            <w:t>97232</w:t>
          </w:r>
        </w:smartTag>
      </w:smartTag>
      <w:r>
        <w:t xml:space="preserve">.  </w:t>
      </w:r>
      <w:r w:rsidR="0016006C">
        <w:t>My present position is</w:t>
      </w:r>
      <w:r>
        <w:t xml:space="preserve"> Vice President and Treasurer.</w:t>
      </w:r>
    </w:p>
    <w:p w:rsidR="00785152" w:rsidRDefault="00785152" w:rsidP="00E45B69">
      <w:pPr>
        <w:pStyle w:val="Heading1"/>
        <w:tabs>
          <w:tab w:val="num" w:pos="720"/>
        </w:tabs>
      </w:pPr>
      <w:r>
        <w:t>Qualifications</w:t>
      </w:r>
    </w:p>
    <w:p w:rsidR="00785152" w:rsidRDefault="002E7DBB" w:rsidP="00E45B69">
      <w:pPr>
        <w:numPr>
          <w:ilvl w:val="0"/>
          <w:numId w:val="20"/>
        </w:numPr>
        <w:rPr>
          <w:b/>
          <w:bCs/>
        </w:rPr>
      </w:pPr>
      <w:r>
        <w:rPr>
          <w:b/>
          <w:bCs/>
        </w:rPr>
        <w:t>Briefly describe your education</w:t>
      </w:r>
      <w:r w:rsidR="000F52AA">
        <w:rPr>
          <w:b/>
          <w:bCs/>
        </w:rPr>
        <w:t>al and professional background</w:t>
      </w:r>
      <w:r w:rsidR="00785152">
        <w:rPr>
          <w:b/>
          <w:bCs/>
        </w:rPr>
        <w:t xml:space="preserve">. </w:t>
      </w:r>
    </w:p>
    <w:p w:rsidR="00785152" w:rsidRDefault="00785152" w:rsidP="00E45B69">
      <w:pPr>
        <w:pStyle w:val="BodyTextIndent"/>
        <w:numPr>
          <w:ilvl w:val="0"/>
          <w:numId w:val="21"/>
        </w:numPr>
      </w:pPr>
      <w:r>
        <w:t xml:space="preserve">I received a Bachelor of Science degree in Business Administration with a concentration in Finance from </w:t>
      </w:r>
      <w:smartTag w:uri="urn:schemas-microsoft-com:office:smarttags" w:element="place">
        <w:smartTag w:uri="urn:schemas-microsoft-com:office:smarttags" w:element="PlaceName">
          <w:r>
            <w:t>Oregon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in June 1980.  I also received the Chartered Financial Analyst designation upon passing the examination in September 1986.  I</w:t>
      </w:r>
      <w:r w:rsidR="003A09E9">
        <w:t xml:space="preserve"> </w:t>
      </w:r>
      <w:r>
        <w:t>have been employed by the Company for 2</w:t>
      </w:r>
      <w:r w:rsidR="00043CFA">
        <w:t>4</w:t>
      </w:r>
      <w:r>
        <w:t xml:space="preserve"> years.  My business experience has included financing of the Company’s electric operations and non-utility activities, </w:t>
      </w:r>
      <w:r w:rsidR="00B71F78">
        <w:t xml:space="preserve">responsibility for the investment management of the Company’s qualified and non-qualified </w:t>
      </w:r>
      <w:r w:rsidR="00C06F73">
        <w:t>r</w:t>
      </w:r>
      <w:r w:rsidR="00B71F78">
        <w:t>etirement plan assets, and investor</w:t>
      </w:r>
      <w:r>
        <w:t xml:space="preserve"> relations.</w:t>
      </w:r>
    </w:p>
    <w:p w:rsidR="00785152" w:rsidRDefault="00785152" w:rsidP="00E45B69">
      <w:pPr>
        <w:numPr>
          <w:ilvl w:val="0"/>
          <w:numId w:val="22"/>
        </w:numPr>
        <w:rPr>
          <w:b/>
          <w:bCs/>
        </w:rPr>
      </w:pPr>
      <w:r>
        <w:rPr>
          <w:b/>
          <w:bCs/>
        </w:rPr>
        <w:t>Please describe your present duties.</w:t>
      </w:r>
    </w:p>
    <w:p w:rsidR="00785152" w:rsidRPr="00281FE9" w:rsidRDefault="00785152" w:rsidP="00281FE9">
      <w:pPr>
        <w:pStyle w:val="BodyTextIndent"/>
        <w:numPr>
          <w:ilvl w:val="0"/>
          <w:numId w:val="23"/>
        </w:numPr>
        <w:rPr>
          <w:b/>
        </w:rPr>
      </w:pPr>
      <w:r>
        <w:t xml:space="preserve">I am responsible for the Company’s treasury, credit risk management, pension and other investment management activities.  I am </w:t>
      </w:r>
      <w:r w:rsidR="0079648E">
        <w:t xml:space="preserve">also </w:t>
      </w:r>
      <w:r>
        <w:t xml:space="preserve">responsible for the preparation of PacifiCorp’s embedded cost of debt and preferred equity and </w:t>
      </w:r>
      <w:r w:rsidR="0079648E">
        <w:t xml:space="preserve">any associated </w:t>
      </w:r>
      <w:r>
        <w:t>testimony related to capital structure</w:t>
      </w:r>
      <w:r w:rsidR="0079648E">
        <w:t xml:space="preserve"> for regulatory filings in all of PacifiCorp’s state and federal jurisdictions</w:t>
      </w:r>
      <w:r>
        <w:t xml:space="preserve">. </w:t>
      </w:r>
      <w:r w:rsidR="00DA022B">
        <w:br w:type="page"/>
      </w:r>
      <w:r w:rsidRPr="00281FE9">
        <w:rPr>
          <w:b/>
        </w:rPr>
        <w:lastRenderedPageBreak/>
        <w:t>Purpose of Testimony</w:t>
      </w:r>
    </w:p>
    <w:p w:rsidR="00785152" w:rsidRDefault="00785152" w:rsidP="00E45B69">
      <w:pPr>
        <w:numPr>
          <w:ilvl w:val="0"/>
          <w:numId w:val="24"/>
        </w:numPr>
        <w:rPr>
          <w:b/>
          <w:bCs/>
        </w:rPr>
      </w:pPr>
      <w:r>
        <w:rPr>
          <w:b/>
          <w:bCs/>
        </w:rPr>
        <w:t>What is the purpose of your testimony?</w:t>
      </w:r>
    </w:p>
    <w:p w:rsidR="00785152" w:rsidRDefault="00037E10" w:rsidP="00E45B69">
      <w:pPr>
        <w:pStyle w:val="BodyTextIndent"/>
        <w:widowControl w:val="0"/>
        <w:numPr>
          <w:ilvl w:val="0"/>
          <w:numId w:val="35"/>
        </w:numPr>
        <w:ind w:hanging="720"/>
      </w:pPr>
      <w:r>
        <w:t>F</w:t>
      </w:r>
      <w:r w:rsidR="00785152">
        <w:t>irst</w:t>
      </w:r>
      <w:r>
        <w:t>, I</w:t>
      </w:r>
      <w:r w:rsidR="00785152">
        <w:t xml:space="preserve"> present a financing overview of the Company.  Next, I </w:t>
      </w:r>
      <w:r w:rsidR="00F349D1">
        <w:t>d</w:t>
      </w:r>
      <w:r w:rsidR="00785152">
        <w:t>iscuss the amounts of common equity, debt, and preferred stock included in the Company’s p</w:t>
      </w:r>
      <w:r w:rsidR="00F51489">
        <w:t>roposed</w:t>
      </w:r>
      <w:r w:rsidR="00785152">
        <w:t xml:space="preserve"> capital structure.  I then analyze the embedded cost of debt and preferred stock supporting PacifiCorp’s electric operations in the state of Washington as </w:t>
      </w:r>
      <w:r w:rsidR="002742B6">
        <w:t xml:space="preserve">of </w:t>
      </w:r>
      <w:r w:rsidR="00043CFA">
        <w:t>December 31, 2010.</w:t>
      </w:r>
      <w:r w:rsidR="00785152">
        <w:t xml:space="preserve">  This analysis includes the use of known and measurable changes to the debt and preferred stock portfolios.  </w:t>
      </w:r>
    </w:p>
    <w:p w:rsidR="00785152" w:rsidRDefault="00785152" w:rsidP="00E45B69">
      <w:pPr>
        <w:pStyle w:val="BodyTextIndent"/>
      </w:pPr>
      <w:r>
        <w:rPr>
          <w:b/>
          <w:bCs/>
        </w:rPr>
        <w:t>Q.</w:t>
      </w:r>
      <w:r>
        <w:rPr>
          <w:b/>
          <w:bCs/>
        </w:rPr>
        <w:tab/>
        <w:t>What time period does your analys</w:t>
      </w:r>
      <w:r w:rsidR="0079648E">
        <w:rPr>
          <w:b/>
          <w:bCs/>
        </w:rPr>
        <w:t>e</w:t>
      </w:r>
      <w:r>
        <w:rPr>
          <w:b/>
          <w:bCs/>
        </w:rPr>
        <w:t xml:space="preserve">s cover? </w:t>
      </w:r>
    </w:p>
    <w:p w:rsidR="00785152" w:rsidRDefault="00785152" w:rsidP="00E45B69">
      <w:pPr>
        <w:pStyle w:val="BodyTextIndent"/>
        <w:tabs>
          <w:tab w:val="left" w:pos="1620"/>
        </w:tabs>
      </w:pPr>
      <w:r>
        <w:t>A.</w:t>
      </w:r>
      <w:r>
        <w:tab/>
        <w:t>The test period in this proceeding is the twelve</w:t>
      </w:r>
      <w:r w:rsidR="007549B8">
        <w:t>-</w:t>
      </w:r>
      <w:r>
        <w:t xml:space="preserve">months </w:t>
      </w:r>
      <w:r w:rsidR="0087259B">
        <w:t>end</w:t>
      </w:r>
      <w:r w:rsidR="00782410">
        <w:t>ed</w:t>
      </w:r>
      <w:r w:rsidR="0087259B">
        <w:t xml:space="preserve"> </w:t>
      </w:r>
      <w:r w:rsidR="00043CFA">
        <w:t>December 31, 2009</w:t>
      </w:r>
      <w:r>
        <w:t xml:space="preserve"> with known and measurable adjustments</w:t>
      </w:r>
      <w:r w:rsidR="00A854E0">
        <w:t xml:space="preserve">.  For cost of capital, the Company has used a pro forma period </w:t>
      </w:r>
      <w:r>
        <w:t>through</w:t>
      </w:r>
      <w:r w:rsidR="0087259B">
        <w:t xml:space="preserve"> </w:t>
      </w:r>
      <w:r w:rsidR="00043CFA">
        <w:t>December 31, 2010.</w:t>
      </w:r>
      <w:r w:rsidR="0016006C">
        <w:t xml:space="preserve">  </w:t>
      </w:r>
      <w:r>
        <w:t xml:space="preserve"> </w:t>
      </w:r>
      <w:r w:rsidR="00A854E0">
        <w:t>Therefore, t</w:t>
      </w:r>
      <w:r>
        <w:t>he determination of the embedded cost of debt and preferred stock was conducted using the Company’s actual costs adjusted for changes through</w:t>
      </w:r>
      <w:r w:rsidR="002E6A61">
        <w:t xml:space="preserve"> </w:t>
      </w:r>
      <w:r w:rsidR="00043CFA">
        <w:t>December 31, 2010,</w:t>
      </w:r>
      <w:r>
        <w:t xml:space="preserve"> as I later detail in </w:t>
      </w:r>
      <w:r w:rsidR="00281FE9">
        <w:t>my testimony</w:t>
      </w:r>
      <w:r>
        <w:t xml:space="preserve">.  </w:t>
      </w:r>
    </w:p>
    <w:p w:rsidR="005B5861" w:rsidRDefault="005B5861" w:rsidP="005B5861">
      <w:pPr>
        <w:pStyle w:val="BodyTextIndent"/>
        <w:ind w:left="0" w:firstLine="0"/>
        <w:rPr>
          <w:b/>
          <w:bCs/>
        </w:rPr>
      </w:pPr>
      <w:r>
        <w:rPr>
          <w:b/>
          <w:bCs/>
        </w:rPr>
        <w:t>Q.</w:t>
      </w:r>
      <w:r>
        <w:rPr>
          <w:b/>
          <w:bCs/>
        </w:rPr>
        <w:tab/>
        <w:t>What is the overall cost of capital that you are proposing in this proceeding?</w:t>
      </w:r>
    </w:p>
    <w:p w:rsidR="005B5861" w:rsidRPr="00281FE9" w:rsidRDefault="005B5861" w:rsidP="00F3079D">
      <w:pPr>
        <w:pStyle w:val="BodyTextIndent"/>
        <w:rPr>
          <w:b/>
          <w:bCs/>
        </w:rPr>
      </w:pPr>
      <w:r>
        <w:t>A.</w:t>
      </w:r>
      <w:r>
        <w:tab/>
        <w:t>PacifiCorp is proposing an overall cost of capital of 8.</w:t>
      </w:r>
      <w:r w:rsidR="00EE5416">
        <w:t>34</w:t>
      </w:r>
      <w:r>
        <w:t xml:space="preserve"> percent.  This cost includes the Return on Equity recommendation </w:t>
      </w:r>
      <w:r w:rsidR="00782410">
        <w:t xml:space="preserve">presented </w:t>
      </w:r>
      <w:r w:rsidR="0093446E">
        <w:t xml:space="preserve">in the direct testimony </w:t>
      </w:r>
      <w:r w:rsidR="00AA2A58">
        <w:t>of Company</w:t>
      </w:r>
      <w:r w:rsidR="00782410">
        <w:t xml:space="preserve"> witness </w:t>
      </w:r>
      <w:r>
        <w:t>S</w:t>
      </w:r>
      <w:r w:rsidR="00AA2A58">
        <w:t xml:space="preserve">amuel C. </w:t>
      </w:r>
      <w:proofErr w:type="spellStart"/>
      <w:r w:rsidR="00AA2A58">
        <w:t>Hadaway</w:t>
      </w:r>
      <w:proofErr w:type="spellEnd"/>
      <w:r w:rsidR="00782410">
        <w:t xml:space="preserve"> </w:t>
      </w:r>
      <w:r>
        <w:t xml:space="preserve">and the </w:t>
      </w:r>
      <w:r w:rsidR="00F3079D">
        <w:t xml:space="preserve">following capital structure and </w:t>
      </w:r>
      <w:r>
        <w:t>costs:</w:t>
      </w:r>
      <w:r w:rsidR="00DA022B">
        <w:br w:type="page"/>
      </w:r>
      <w:r w:rsidR="00F3079D">
        <w:lastRenderedPageBreak/>
        <w:t xml:space="preserve">                                          </w:t>
      </w:r>
      <w:r w:rsidR="009B5C07" w:rsidRPr="009B5C07">
        <w:rPr>
          <w:b/>
        </w:rPr>
        <w:t>Overall Cost of Capital</w:t>
      </w:r>
    </w:p>
    <w:p w:rsidR="005B5861" w:rsidRDefault="005B5861" w:rsidP="005B5861">
      <w:pPr>
        <w:keepNext/>
        <w:keepLines/>
        <w:tabs>
          <w:tab w:val="right" w:pos="3600"/>
          <w:tab w:val="right" w:pos="4860"/>
          <w:tab w:val="right" w:pos="6210"/>
        </w:tabs>
      </w:pPr>
      <w:r>
        <w:tab/>
      </w:r>
      <w:r>
        <w:tab/>
      </w:r>
      <w:r>
        <w:tab/>
        <w:t>Percent of</w:t>
      </w:r>
      <w:r>
        <w:tab/>
        <w:t>%</w:t>
      </w:r>
      <w:r>
        <w:tab/>
      </w:r>
      <w:r>
        <w:tab/>
        <w:t>Weighted</w:t>
      </w:r>
    </w:p>
    <w:p w:rsidR="005B5861" w:rsidRDefault="005B5861" w:rsidP="005B5861">
      <w:pPr>
        <w:keepNext/>
        <w:keepLines/>
        <w:tabs>
          <w:tab w:val="right" w:pos="2880"/>
          <w:tab w:val="right" w:pos="4590"/>
          <w:tab w:val="right" w:pos="6300"/>
          <w:tab w:val="right" w:pos="8100"/>
        </w:tabs>
      </w:pPr>
      <w:r>
        <w:tab/>
      </w:r>
      <w:r>
        <w:tab/>
      </w:r>
      <w:r>
        <w:rPr>
          <w:u w:val="single"/>
        </w:rPr>
        <w:t>Component</w:t>
      </w:r>
      <w:r>
        <w:rPr>
          <w:u w:val="single"/>
        </w:rPr>
        <w:tab/>
        <w:t>Total</w:t>
      </w:r>
      <w:r>
        <w:rPr>
          <w:u w:val="single"/>
        </w:rPr>
        <w:tab/>
        <w:t>Cost</w:t>
      </w:r>
      <w:r>
        <w:rPr>
          <w:u w:val="single"/>
        </w:rPr>
        <w:tab/>
        <w:t>Average</w:t>
      </w:r>
    </w:p>
    <w:p w:rsidR="005B5861" w:rsidRDefault="005B5861" w:rsidP="005B5861">
      <w:pPr>
        <w:keepNext/>
        <w:keepLines/>
        <w:tabs>
          <w:tab w:val="right" w:pos="2880"/>
          <w:tab w:val="right" w:pos="4770"/>
          <w:tab w:val="right" w:pos="6480"/>
          <w:tab w:val="right" w:pos="8100"/>
        </w:tabs>
      </w:pPr>
      <w:r>
        <w:tab/>
      </w:r>
      <w:r>
        <w:tab/>
        <w:t>Long Term Debt</w:t>
      </w:r>
      <w:r>
        <w:tab/>
        <w:t>47.6%</w:t>
      </w:r>
      <w:r>
        <w:tab/>
        <w:t>5.89%</w:t>
      </w:r>
      <w:r>
        <w:tab/>
        <w:t>2.80%</w:t>
      </w:r>
      <w:r>
        <w:tab/>
        <w:t xml:space="preserve">  </w:t>
      </w:r>
    </w:p>
    <w:p w:rsidR="005B5861" w:rsidRDefault="005B5861" w:rsidP="005B5861">
      <w:pPr>
        <w:keepNext/>
        <w:keepLines/>
        <w:tabs>
          <w:tab w:val="right" w:pos="2880"/>
          <w:tab w:val="right" w:pos="4770"/>
          <w:tab w:val="right" w:pos="6480"/>
          <w:tab w:val="right" w:pos="8100"/>
        </w:tabs>
      </w:pPr>
      <w:r>
        <w:tab/>
      </w:r>
      <w:r>
        <w:tab/>
        <w:t>Preferred Stock</w:t>
      </w:r>
      <w:r>
        <w:tab/>
        <w:t>0.3%</w:t>
      </w:r>
      <w:r>
        <w:tab/>
        <w:t>5.41%</w:t>
      </w:r>
      <w:r>
        <w:tab/>
        <w:t>0.02%</w:t>
      </w:r>
    </w:p>
    <w:p w:rsidR="005B5861" w:rsidRDefault="005B5861" w:rsidP="005B5861">
      <w:pPr>
        <w:keepNext/>
        <w:keepLines/>
        <w:tabs>
          <w:tab w:val="right" w:pos="2880"/>
          <w:tab w:val="right" w:pos="4770"/>
          <w:tab w:val="right" w:pos="6480"/>
          <w:tab w:val="right" w:pos="8100"/>
        </w:tabs>
      </w:pPr>
      <w:r>
        <w:tab/>
      </w:r>
      <w:r>
        <w:tab/>
        <w:t>Common Stock Equity</w:t>
      </w:r>
      <w:r>
        <w:tab/>
      </w:r>
      <w:r w:rsidRPr="00EE5416">
        <w:rPr>
          <w:u w:val="single"/>
        </w:rPr>
        <w:t>52.1%</w:t>
      </w:r>
      <w:r>
        <w:tab/>
        <w:t>10.60%</w:t>
      </w:r>
      <w:r w:rsidRPr="0066026C">
        <w:tab/>
      </w:r>
      <w:r w:rsidRPr="00EE5416">
        <w:rPr>
          <w:u w:val="single"/>
        </w:rPr>
        <w:t>5.52%</w:t>
      </w:r>
      <w:r w:rsidRPr="0066026C">
        <w:tab/>
      </w:r>
      <w:r w:rsidRPr="0066026C">
        <w:tab/>
        <w:t>Total</w:t>
      </w:r>
      <w:r w:rsidRPr="0066026C">
        <w:tab/>
      </w:r>
      <w:r>
        <w:t xml:space="preserve">       100.0%</w:t>
      </w:r>
      <w:r w:rsidRPr="004A5D9B">
        <w:t xml:space="preserve">                               </w:t>
      </w:r>
      <w:r w:rsidRPr="004A5D9B">
        <w:tab/>
      </w:r>
      <w:r>
        <w:t>8.</w:t>
      </w:r>
      <w:r w:rsidR="00EE5416">
        <w:t>34</w:t>
      </w:r>
      <w:r>
        <w:t>%</w:t>
      </w:r>
    </w:p>
    <w:p w:rsidR="005B5861" w:rsidRDefault="005B5861" w:rsidP="005B5861">
      <w:pPr>
        <w:numPr>
          <w:ilvl w:val="0"/>
          <w:numId w:val="40"/>
        </w:numPr>
        <w:tabs>
          <w:tab w:val="left" w:pos="720"/>
        </w:tabs>
        <w:ind w:hanging="720"/>
        <w:jc w:val="both"/>
        <w:rPr>
          <w:b/>
          <w:bCs/>
        </w:rPr>
      </w:pPr>
      <w:r w:rsidRPr="00AF3369">
        <w:rPr>
          <w:b/>
          <w:bCs/>
        </w:rPr>
        <w:t>Why have</w:t>
      </w:r>
      <w:r w:rsidR="00A067E6">
        <w:rPr>
          <w:b/>
          <w:bCs/>
        </w:rPr>
        <w:t xml:space="preserve">n’t </w:t>
      </w:r>
      <w:r w:rsidRPr="00AF3369">
        <w:rPr>
          <w:b/>
          <w:bCs/>
        </w:rPr>
        <w:t>you included short-term debt as part of the capital structure?</w:t>
      </w:r>
    </w:p>
    <w:p w:rsidR="004179FC" w:rsidRDefault="005B5861" w:rsidP="005B5861">
      <w:pPr>
        <w:widowControl w:val="0"/>
        <w:numPr>
          <w:ilvl w:val="0"/>
          <w:numId w:val="41"/>
        </w:numPr>
        <w:tabs>
          <w:tab w:val="num" w:pos="720"/>
        </w:tabs>
        <w:ind w:hanging="720"/>
      </w:pPr>
      <w:r>
        <w:t xml:space="preserve">The Company </w:t>
      </w:r>
      <w:r w:rsidR="004179FC">
        <w:t>does not expect to have any short-term debt during the period ending December 31, 2010.</w:t>
      </w:r>
      <w:r w:rsidR="00833FC1">
        <w:t xml:space="preserve">  As discussed later in my testimony the Company’s proposed capital structure is based on an average of the five-quarter ends during the time period ending December 31, 2010. </w:t>
      </w:r>
      <w:r w:rsidR="004179FC">
        <w:t xml:space="preserve">    </w:t>
      </w:r>
    </w:p>
    <w:p w:rsidR="00777891" w:rsidRDefault="009B5C07">
      <w:pPr>
        <w:widowControl w:val="0"/>
        <w:rPr>
          <w:b/>
        </w:rPr>
      </w:pPr>
      <w:r w:rsidRPr="009B5C07">
        <w:rPr>
          <w:b/>
        </w:rPr>
        <w:t>Q.</w:t>
      </w:r>
      <w:r w:rsidRPr="009B5C07">
        <w:rPr>
          <w:b/>
        </w:rPr>
        <w:tab/>
        <w:t xml:space="preserve">Does the Company </w:t>
      </w:r>
      <w:proofErr w:type="gramStart"/>
      <w:r w:rsidRPr="009B5C07">
        <w:rPr>
          <w:b/>
        </w:rPr>
        <w:t>have</w:t>
      </w:r>
      <w:proofErr w:type="gramEnd"/>
      <w:r w:rsidRPr="009B5C07">
        <w:rPr>
          <w:b/>
        </w:rPr>
        <w:t xml:space="preserve"> concerns about the fairness of the inclusion of short-term debt in the capital structure?</w:t>
      </w:r>
    </w:p>
    <w:p w:rsidR="00777891" w:rsidRDefault="00833FC1">
      <w:pPr>
        <w:widowControl w:val="0"/>
      </w:pPr>
      <w:r>
        <w:t>A.</w:t>
      </w:r>
      <w:r>
        <w:tab/>
        <w:t>Yes.  T</w:t>
      </w:r>
      <w:r w:rsidR="005B5861">
        <w:t>he Company continues to believe that it is inappropriate and inequitable to include short-term debt in the capital structure for PacifiCorp</w:t>
      </w:r>
      <w:r w:rsidR="005B5861" w:rsidRPr="0043315A">
        <w:t xml:space="preserve"> </w:t>
      </w:r>
      <w:r w:rsidR="00A7422C">
        <w:t>a</w:t>
      </w:r>
      <w:r w:rsidR="005B5861">
        <w:t>s</w:t>
      </w:r>
      <w:r w:rsidR="00A7422C">
        <w:t xml:space="preserve"> </w:t>
      </w:r>
      <w:r w:rsidR="005B5861">
        <w:t xml:space="preserve">short-term debt </w:t>
      </w:r>
      <w:r w:rsidR="00A7422C">
        <w:t xml:space="preserve">would </w:t>
      </w:r>
      <w:r w:rsidR="005B5861">
        <w:t>effectively be double-counted as financing both rate base and construction work in progress.  To remedy this inconsistency, PacifiCorp would need to deviate from the Federal Energy Regulatory Commission-prescribed method for determining the allowance for funds used during construction.  Unfortunately, this is not a practical solution for PacifiCorp as it would result in assets that are allocated to more than one state having multiple, different book values and depreciation rates.</w:t>
      </w:r>
    </w:p>
    <w:p w:rsidR="00EE5416" w:rsidRDefault="005B5861" w:rsidP="00665862">
      <w:pPr>
        <w:keepNext/>
        <w:keepLines/>
        <w:tabs>
          <w:tab w:val="left" w:pos="1440"/>
          <w:tab w:val="right" w:pos="2880"/>
          <w:tab w:val="right" w:pos="4770"/>
          <w:tab w:val="right" w:pos="6480"/>
          <w:tab w:val="right" w:pos="8100"/>
        </w:tabs>
      </w:pPr>
      <w:r>
        <w:lastRenderedPageBreak/>
        <w:tab/>
      </w:r>
      <w:r w:rsidR="00665862">
        <w:tab/>
      </w:r>
      <w:r>
        <w:t xml:space="preserve">Further, </w:t>
      </w:r>
      <w:r w:rsidR="00A7422C">
        <w:t>s</w:t>
      </w:r>
      <w:r>
        <w:t>hort-term balances can move dramatically and the Company often has periods of time when there is no short-term debt outstanding</w:t>
      </w:r>
      <w:r w:rsidR="00A7422C">
        <w:t>, such as the period ending December 31, 2010</w:t>
      </w:r>
      <w:r>
        <w:t>.  The fact that there are periods of time with no short-term debt demonstrates that short-term debt is not a permanent source of financing rate base.  The Company will continue to evaluate this treatment of short-term debt and may request the Commission to reconsider it in future cases</w:t>
      </w:r>
      <w:r w:rsidR="00EE5416">
        <w:t xml:space="preserve">.  </w:t>
      </w:r>
    </w:p>
    <w:p w:rsidR="00EE5416" w:rsidRDefault="00EE5416" w:rsidP="00EE5416">
      <w:pPr>
        <w:pStyle w:val="BodyTextIndent"/>
        <w:ind w:left="0" w:firstLine="0"/>
      </w:pPr>
      <w:r>
        <w:rPr>
          <w:b/>
          <w:bCs/>
        </w:rPr>
        <w:t>Financing Overview</w:t>
      </w:r>
    </w:p>
    <w:p w:rsidR="00EE5416" w:rsidRDefault="00EE5416" w:rsidP="00EE5416">
      <w:pPr>
        <w:pStyle w:val="BodyTextIndent"/>
        <w:numPr>
          <w:ilvl w:val="0"/>
          <w:numId w:val="26"/>
        </w:numPr>
        <w:rPr>
          <w:b/>
          <w:bCs/>
        </w:rPr>
      </w:pPr>
      <w:r>
        <w:rPr>
          <w:b/>
          <w:bCs/>
        </w:rPr>
        <w:t>How does the Company finance its electric utility operations?</w:t>
      </w:r>
    </w:p>
    <w:p w:rsidR="00902CE6" w:rsidRDefault="00EE5416" w:rsidP="00B63011">
      <w:pPr>
        <w:pStyle w:val="BodyTextIndent"/>
        <w:tabs>
          <w:tab w:val="left" w:pos="-3600"/>
          <w:tab w:val="left" w:pos="-3240"/>
        </w:tabs>
        <w:rPr>
          <w:bCs/>
        </w:rPr>
      </w:pPr>
      <w:r w:rsidRPr="00213FA0">
        <w:rPr>
          <w:bCs/>
        </w:rPr>
        <w:t>A.</w:t>
      </w:r>
      <w:r w:rsidRPr="00213FA0">
        <w:rPr>
          <w:bCs/>
        </w:rPr>
        <w:tab/>
      </w:r>
      <w:r>
        <w:rPr>
          <w:bCs/>
        </w:rPr>
        <w:t>The Company finances its regulated utility operations utilizing roughly a 50/50 percent mix of debt and common equity capital.  Immediately prior to and during periods of significant capital expenditures, the Company may need to allow the common equity component of the capital structure to increase.  This provides more flexibility regarding the type and timing of debt financing, better access to</w:t>
      </w:r>
      <w:r w:rsidR="00B63011">
        <w:rPr>
          <w:bCs/>
        </w:rPr>
        <w:t xml:space="preserve"> </w:t>
      </w:r>
      <w:r>
        <w:rPr>
          <w:bCs/>
        </w:rPr>
        <w:t xml:space="preserve">the capital markets, a more competitive cost of debt, and over the long-run, more stable credit ratings; all of which assist in financing such expenditures.  </w:t>
      </w:r>
      <w:r w:rsidR="00902CE6">
        <w:rPr>
          <w:bCs/>
        </w:rPr>
        <w:t xml:space="preserve">In fact, the Company’s equity component has increased from the 50/50 percent and is expected to remain above that level for the next several years to </w:t>
      </w:r>
      <w:r w:rsidR="00B816E1">
        <w:rPr>
          <w:bCs/>
        </w:rPr>
        <w:t xml:space="preserve">facilitate the financings necessary </w:t>
      </w:r>
      <w:r w:rsidR="002D5B76">
        <w:rPr>
          <w:bCs/>
        </w:rPr>
        <w:t xml:space="preserve">for </w:t>
      </w:r>
      <w:r w:rsidR="00902CE6">
        <w:rPr>
          <w:bCs/>
        </w:rPr>
        <w:t>investments in system reliability and infrastructure.</w:t>
      </w:r>
    </w:p>
    <w:p w:rsidR="00EE5416" w:rsidRDefault="00902CE6" w:rsidP="00524A59">
      <w:pPr>
        <w:pStyle w:val="BodyTextIndent"/>
        <w:tabs>
          <w:tab w:val="left" w:pos="0"/>
          <w:tab w:val="left" w:pos="720"/>
        </w:tabs>
        <w:ind w:hanging="630"/>
        <w:rPr>
          <w:bCs/>
        </w:rPr>
      </w:pPr>
      <w:r>
        <w:rPr>
          <w:bCs/>
        </w:rPr>
        <w:tab/>
      </w:r>
      <w:r>
        <w:rPr>
          <w:bCs/>
        </w:rPr>
        <w:tab/>
      </w:r>
      <w:r w:rsidR="00EE5416">
        <w:rPr>
          <w:bCs/>
        </w:rPr>
        <w:t>In addition, all else being equal, the Company will need to have a greater common</w:t>
      </w:r>
      <w:r>
        <w:rPr>
          <w:bCs/>
        </w:rPr>
        <w:t xml:space="preserve"> </w:t>
      </w:r>
      <w:r w:rsidR="00EE5416">
        <w:rPr>
          <w:bCs/>
        </w:rPr>
        <w:t>equity component to offset various adjustments that rating agencies make to the debt component of the Company’s published financial statements.  I will discuss these adjustments in greater detail later in this testimony.</w:t>
      </w:r>
    </w:p>
    <w:p w:rsidR="00777891" w:rsidRDefault="00BF1B01">
      <w:pPr>
        <w:pStyle w:val="BodyTextIndent"/>
        <w:numPr>
          <w:ilvl w:val="0"/>
          <w:numId w:val="42"/>
        </w:numPr>
        <w:tabs>
          <w:tab w:val="left" w:pos="720"/>
        </w:tabs>
      </w:pPr>
      <w:r w:rsidRPr="00BF1B01">
        <w:rPr>
          <w:b/>
          <w:bCs/>
        </w:rPr>
        <w:lastRenderedPageBreak/>
        <w:t>More specifically, what does the Company anticipate for the period ending December 31, 2010?</w:t>
      </w:r>
    </w:p>
    <w:p w:rsidR="00777891" w:rsidRDefault="00BF1B01">
      <w:pPr>
        <w:pStyle w:val="BodyTextIndent"/>
      </w:pPr>
      <w:r w:rsidRPr="00BF1B01">
        <w:rPr>
          <w:bCs/>
        </w:rPr>
        <w:t xml:space="preserve"> </w:t>
      </w:r>
      <w:r w:rsidR="00833FC1" w:rsidRPr="00BF1B01">
        <w:rPr>
          <w:bCs/>
        </w:rPr>
        <w:t>A.</w:t>
      </w:r>
      <w:r w:rsidR="00833FC1" w:rsidRPr="00BF1B01">
        <w:rPr>
          <w:bCs/>
        </w:rPr>
        <w:tab/>
      </w:r>
      <w:r>
        <w:rPr>
          <w:bCs/>
        </w:rPr>
        <w:t>D</w:t>
      </w:r>
      <w:r w:rsidR="000D7CCB" w:rsidRPr="00BF1B01">
        <w:rPr>
          <w:bCs/>
        </w:rPr>
        <w:t>uring the period ending December 31, 2010</w:t>
      </w:r>
      <w:r>
        <w:rPr>
          <w:bCs/>
        </w:rPr>
        <w:t>,</w:t>
      </w:r>
      <w:r w:rsidR="000D7CCB" w:rsidRPr="00BF1B01">
        <w:rPr>
          <w:bCs/>
        </w:rPr>
        <w:t xml:space="preserve"> the Company anticipates</w:t>
      </w:r>
      <w:r>
        <w:rPr>
          <w:bCs/>
        </w:rPr>
        <w:t>: (1) to</w:t>
      </w:r>
      <w:r w:rsidR="000D7CCB" w:rsidRPr="00BF1B01">
        <w:rPr>
          <w:bCs/>
        </w:rPr>
        <w:t xml:space="preserve"> receiv</w:t>
      </w:r>
      <w:r>
        <w:rPr>
          <w:bCs/>
        </w:rPr>
        <w:t>e</w:t>
      </w:r>
      <w:r w:rsidR="000D7CCB" w:rsidRPr="00BF1B01">
        <w:rPr>
          <w:bCs/>
        </w:rPr>
        <w:t xml:space="preserve"> additional cash equity contributions </w:t>
      </w:r>
      <w:r w:rsidR="000D7CCB" w:rsidRPr="006067C4">
        <w:rPr>
          <w:bCs/>
        </w:rPr>
        <w:t>from</w:t>
      </w:r>
      <w:r w:rsidR="009B5C07" w:rsidRPr="006067C4">
        <w:rPr>
          <w:bCs/>
        </w:rPr>
        <w:t xml:space="preserve"> </w:t>
      </w:r>
      <w:r w:rsidR="007C618C" w:rsidRPr="00BF1B01">
        <w:rPr>
          <w:bCs/>
        </w:rPr>
        <w:t xml:space="preserve">its </w:t>
      </w:r>
      <w:r w:rsidR="000D7CCB" w:rsidRPr="00BF1B01">
        <w:rPr>
          <w:bCs/>
        </w:rPr>
        <w:t xml:space="preserve">indirect parent company, MidAmerican Energy Holdings Company (MEHC), </w:t>
      </w:r>
      <w:r>
        <w:rPr>
          <w:bCs/>
        </w:rPr>
        <w:t xml:space="preserve">(2) </w:t>
      </w:r>
      <w:r w:rsidR="000D7CCB" w:rsidRPr="00BF1B01">
        <w:rPr>
          <w:bCs/>
        </w:rPr>
        <w:t>to retain all of the earnings generated rather than pay a dividend and</w:t>
      </w:r>
      <w:r w:rsidR="00044D14" w:rsidRPr="00BF1B01">
        <w:rPr>
          <w:bCs/>
        </w:rPr>
        <w:t>,</w:t>
      </w:r>
      <w:r w:rsidR="000D7CCB" w:rsidRPr="00BF1B01">
        <w:rPr>
          <w:bCs/>
        </w:rPr>
        <w:t xml:space="preserve"> </w:t>
      </w:r>
      <w:r>
        <w:rPr>
          <w:bCs/>
        </w:rPr>
        <w:t xml:space="preserve">(3) </w:t>
      </w:r>
      <w:r w:rsidR="000D7CCB" w:rsidRPr="00BF1B01">
        <w:rPr>
          <w:bCs/>
        </w:rPr>
        <w:t xml:space="preserve">at this time, </w:t>
      </w:r>
      <w:r>
        <w:rPr>
          <w:bCs/>
        </w:rPr>
        <w:t xml:space="preserve">to issue </w:t>
      </w:r>
      <w:r w:rsidR="00044D14" w:rsidRPr="00BF1B01">
        <w:rPr>
          <w:bCs/>
        </w:rPr>
        <w:t xml:space="preserve">no new </w:t>
      </w:r>
      <w:r w:rsidR="000D7CCB" w:rsidRPr="00BF1B01">
        <w:rPr>
          <w:bCs/>
        </w:rPr>
        <w:t xml:space="preserve">long-term debt. </w:t>
      </w:r>
      <w:r w:rsidR="000D7CCB">
        <w:rPr>
          <w:bCs/>
        </w:rPr>
        <w:t xml:space="preserve"> </w:t>
      </w:r>
      <w:r w:rsidR="000D7CCB">
        <w:t>While the Company does not presently expect to issue new long-term debt before December 31, 2010</w:t>
      </w:r>
      <w:r w:rsidR="002D5B76" w:rsidRPr="006A0E47">
        <w:t>,</w:t>
      </w:r>
      <w:r w:rsidR="00F92CD5" w:rsidRPr="006A0E47">
        <w:t xml:space="preserve"> </w:t>
      </w:r>
      <w:r w:rsidR="009B5C07" w:rsidRPr="009B5C07">
        <w:t>the need exists for</w:t>
      </w:r>
      <w:r w:rsidR="000D7CCB">
        <w:t xml:space="preserve"> significant new issuances in subsequent periods and it will be important to maintain </w:t>
      </w:r>
      <w:r w:rsidR="006E2438">
        <w:t>the Company’s</w:t>
      </w:r>
      <w:r w:rsidR="000D7CCB">
        <w:t xml:space="preserve"> credit ratings in order to access the market for</w:t>
      </w:r>
      <w:r w:rsidR="00044D14">
        <w:t xml:space="preserve"> this</w:t>
      </w:r>
      <w:r w:rsidR="000D7CCB">
        <w:t xml:space="preserve"> new debt at reasonable interest rates.</w:t>
      </w:r>
    </w:p>
    <w:p w:rsidR="00785152" w:rsidRPr="00297E9F" w:rsidRDefault="00785152" w:rsidP="00E45B69">
      <w:pPr>
        <w:rPr>
          <w:b/>
          <w:bCs/>
        </w:rPr>
      </w:pPr>
      <w:proofErr w:type="gramStart"/>
      <w:r>
        <w:rPr>
          <w:b/>
          <w:bCs/>
        </w:rPr>
        <w:t xml:space="preserve">Q.  </w:t>
      </w:r>
      <w:r>
        <w:rPr>
          <w:b/>
          <w:bCs/>
        </w:rPr>
        <w:tab/>
        <w:t>Please explain the Company’s requirements to generate new capital</w:t>
      </w:r>
      <w:r w:rsidR="00F51489">
        <w:rPr>
          <w:b/>
          <w:bCs/>
        </w:rPr>
        <w:t>.</w:t>
      </w:r>
      <w:proofErr w:type="gramEnd"/>
    </w:p>
    <w:p w:rsidR="00213FA0" w:rsidRPr="00213FA0" w:rsidRDefault="00785152" w:rsidP="00785655">
      <w:pPr>
        <w:pStyle w:val="BodyTextIndent"/>
        <w:rPr>
          <w:bCs/>
        </w:rPr>
      </w:pPr>
      <w:r w:rsidRPr="00297E9F">
        <w:t>A.</w:t>
      </w:r>
      <w:r w:rsidRPr="00297E9F">
        <w:tab/>
      </w:r>
      <w:r w:rsidR="00612523">
        <w:t xml:space="preserve">As described </w:t>
      </w:r>
      <w:r>
        <w:t>in</w:t>
      </w:r>
      <w:r w:rsidR="00070BB8">
        <w:t xml:space="preserve"> Company witness</w:t>
      </w:r>
      <w:r>
        <w:t xml:space="preserve"> </w:t>
      </w:r>
      <w:r w:rsidR="000F52AA">
        <w:t>Richard P.</w:t>
      </w:r>
      <w:r w:rsidR="00070BB8">
        <w:t xml:space="preserve"> </w:t>
      </w:r>
      <w:proofErr w:type="spellStart"/>
      <w:r>
        <w:t>Reiten’s</w:t>
      </w:r>
      <w:proofErr w:type="spellEnd"/>
      <w:r>
        <w:t xml:space="preserve"> </w:t>
      </w:r>
      <w:r w:rsidR="00070BB8">
        <w:t xml:space="preserve">direct </w:t>
      </w:r>
      <w:r>
        <w:t>testimony</w:t>
      </w:r>
      <w:r w:rsidRPr="00297E9F">
        <w:t xml:space="preserve">, the Company </w:t>
      </w:r>
      <w:r w:rsidR="00F51489">
        <w:t>continues to</w:t>
      </w:r>
      <w:r w:rsidR="00DD2EB4">
        <w:t xml:space="preserve"> have ongoing investment in infrastructure including investment in transmission and distribution.  </w:t>
      </w:r>
      <w:r w:rsidR="00902CE6">
        <w:t>T</w:t>
      </w:r>
      <w:r>
        <w:t>h</w:t>
      </w:r>
      <w:r w:rsidR="00F349D1">
        <w:t xml:space="preserve">ese </w:t>
      </w:r>
      <w:r w:rsidR="00F51489">
        <w:t xml:space="preserve">and future </w:t>
      </w:r>
      <w:r w:rsidR="0079648E">
        <w:t xml:space="preserve">capital additions </w:t>
      </w:r>
      <w:r w:rsidR="00F349D1">
        <w:t xml:space="preserve">and </w:t>
      </w:r>
      <w:r>
        <w:t>investment</w:t>
      </w:r>
      <w:r w:rsidR="00F349D1">
        <w:t>s</w:t>
      </w:r>
      <w:r>
        <w:t xml:space="preserve"> will require the Company to raise funds </w:t>
      </w:r>
      <w:r w:rsidR="00F51489">
        <w:t>by</w:t>
      </w:r>
      <w:r>
        <w:t xml:space="preserve"> issuing significant amounts of new long-term debt in the capital markets and </w:t>
      </w:r>
      <w:r w:rsidR="0079648E">
        <w:t>obtaining</w:t>
      </w:r>
      <w:r>
        <w:t xml:space="preserve"> new capital contributions from its parent company. </w:t>
      </w:r>
      <w:r w:rsidR="00782410">
        <w:t xml:space="preserve"> </w:t>
      </w:r>
      <w:r>
        <w:t>Funds will also be made available by the continued absence of any dividends or distributions by PacifiCorp to its parent company during the period.</w:t>
      </w:r>
      <w:r w:rsidR="00007755">
        <w:t xml:space="preserve">  Since the acquisition of PacifiCorp by </w:t>
      </w:r>
      <w:r w:rsidR="00925982">
        <w:t xml:space="preserve">MEHC </w:t>
      </w:r>
      <w:r w:rsidR="0087259B">
        <w:t xml:space="preserve">in March 2006, </w:t>
      </w:r>
      <w:r w:rsidR="002C735C">
        <w:t xml:space="preserve">there have been </w:t>
      </w:r>
      <w:r w:rsidR="0087259B">
        <w:t>no common stock dividends or distributions, PacifiCorp has received $</w:t>
      </w:r>
      <w:r w:rsidR="007F49FC">
        <w:t>990</w:t>
      </w:r>
      <w:r w:rsidR="0087259B">
        <w:t xml:space="preserve"> million in additional cash equity contributions </w:t>
      </w:r>
      <w:r w:rsidR="00925982">
        <w:t xml:space="preserve">from MEHC </w:t>
      </w:r>
      <w:r w:rsidR="0087259B">
        <w:t>and $1.</w:t>
      </w:r>
      <w:r w:rsidR="007F49FC">
        <w:t>6</w:t>
      </w:r>
      <w:r w:rsidR="0087259B">
        <w:t xml:space="preserve"> billion</w:t>
      </w:r>
      <w:r w:rsidR="00D36583">
        <w:t xml:space="preserve"> of earnings</w:t>
      </w:r>
      <w:r w:rsidR="00012014">
        <w:t xml:space="preserve"> have been retained in PacifiCorp.</w:t>
      </w:r>
      <w:r w:rsidR="00D36583">
        <w:t xml:space="preserve">  These </w:t>
      </w:r>
      <w:r w:rsidR="00D36583">
        <w:lastRenderedPageBreak/>
        <w:t xml:space="preserve">actions help ensure that PacifiCorp remains well-positioned to support the additional investments that have been and will continue to be made in the system. </w:t>
      </w:r>
    </w:p>
    <w:p w:rsidR="00785152" w:rsidRDefault="00213FA0" w:rsidP="00E45B69">
      <w:pPr>
        <w:pStyle w:val="BodyTextIndent"/>
        <w:numPr>
          <w:ilvl w:val="0"/>
          <w:numId w:val="28"/>
        </w:numPr>
        <w:rPr>
          <w:b/>
          <w:bCs/>
        </w:rPr>
      </w:pPr>
      <w:r>
        <w:rPr>
          <w:b/>
          <w:bCs/>
        </w:rPr>
        <w:t xml:space="preserve">What type of debt and preferred equity securities does the Company employ in meeting its financing requirements? </w:t>
      </w:r>
    </w:p>
    <w:p w:rsidR="00785152" w:rsidRDefault="00785152" w:rsidP="00E45B69">
      <w:pPr>
        <w:pStyle w:val="BodyTextIndent"/>
        <w:widowControl w:val="0"/>
        <w:numPr>
          <w:ilvl w:val="0"/>
          <w:numId w:val="29"/>
        </w:numPr>
      </w:pPr>
      <w:r>
        <w:t>The Company relies on a mix of first mortgage</w:t>
      </w:r>
      <w:r w:rsidR="00516340">
        <w:t xml:space="preserve"> bonds, other secured debt, tax-</w:t>
      </w:r>
      <w:r>
        <w:t>exempt debt, unsecured debt and preferred stock to meet its long-term financing requirements.</w:t>
      </w:r>
      <w:r w:rsidR="005B5861">
        <w:t xml:space="preserve"> These securities employ various maturities in order to provide flexibility and mitigate refinancing risks.</w:t>
      </w:r>
    </w:p>
    <w:p w:rsidR="00785152" w:rsidRDefault="00785152" w:rsidP="00E45B69">
      <w:pPr>
        <w:pStyle w:val="BodyTextIndent"/>
        <w:widowControl w:val="0"/>
        <w:ind w:firstLine="720"/>
      </w:pPr>
      <w:r>
        <w:t>The Company has co</w:t>
      </w:r>
      <w:r w:rsidR="00FB15DB">
        <w:t>mpleted</w:t>
      </w:r>
      <w:r>
        <w:t xml:space="preserve"> the majority of its long-term financing utilizing secured first mortgage bonds issued under the Mortgage Indenture dated </w:t>
      </w:r>
      <w:smartTag w:uri="urn:schemas-microsoft-com:office:smarttags" w:element="date">
        <w:smartTagPr>
          <w:attr w:name="Month" w:val="1"/>
          <w:attr w:name="Day" w:val="9"/>
          <w:attr w:name="Year" w:val="1989"/>
        </w:smartTagPr>
        <w:r>
          <w:t>January 9, 1989</w:t>
        </w:r>
      </w:smartTag>
      <w:r>
        <w:t xml:space="preserve">.  Exhibit </w:t>
      </w:r>
      <w:r w:rsidR="00FC3EFB">
        <w:t>No.__</w:t>
      </w:r>
      <w:proofErr w:type="gramStart"/>
      <w:r w:rsidR="00FC3EFB">
        <w:t>_</w:t>
      </w:r>
      <w:r>
        <w:t>(</w:t>
      </w:r>
      <w:proofErr w:type="gramEnd"/>
      <w:r>
        <w:t>BNW-</w:t>
      </w:r>
      <w:r w:rsidR="00612523">
        <w:t>2</w:t>
      </w:r>
      <w:r>
        <w:t xml:space="preserve">) shows that, </w:t>
      </w:r>
      <w:r w:rsidR="005B5861">
        <w:t>for the twelve</w:t>
      </w:r>
      <w:r w:rsidR="00782410">
        <w:t>-</w:t>
      </w:r>
      <w:r w:rsidR="005B5861">
        <w:t xml:space="preserve">months ending December 31, 2010, </w:t>
      </w:r>
      <w:r>
        <w:t xml:space="preserve"> the Company is projected to have approximately $</w:t>
      </w:r>
      <w:r w:rsidR="006031DF">
        <w:t>5.</w:t>
      </w:r>
      <w:r w:rsidR="005B5861">
        <w:t>6</w:t>
      </w:r>
      <w:r>
        <w:t xml:space="preserve"> billion of first mortgage bonds outstanding, with an average cost of </w:t>
      </w:r>
      <w:r w:rsidR="006031DF">
        <w:t>6.</w:t>
      </w:r>
      <w:r w:rsidR="005B5861">
        <w:t>38</w:t>
      </w:r>
      <w:r>
        <w:t xml:space="preserve"> percent</w:t>
      </w:r>
      <w:r w:rsidR="00F727C4">
        <w:t>.</w:t>
      </w:r>
      <w:r>
        <w:t xml:space="preserve">  Presently, all outstanding first mortgage bonds bear interest at fixed rates.  Proceeds from the issuance of the first mortgage bonds (and other financing instruments) are used to finance the combined utility operation</w:t>
      </w:r>
      <w:r w:rsidR="00EE5416">
        <w:t>.</w:t>
      </w:r>
    </w:p>
    <w:p w:rsidR="00785152" w:rsidRDefault="00785152" w:rsidP="008317F8">
      <w:pPr>
        <w:pStyle w:val="BodyTextIndent"/>
        <w:ind w:firstLine="720"/>
      </w:pPr>
      <w:r>
        <w:t>Another important source of financing has been the tax-exempt financing associated with certain qualifying equipment at power generation plants.  Under arrangements with local counties and other tax-exempt entities, the Company borrows the proceeds and guarantees the repayment of the long-term debt in order to take advantage of the tax-exempt status</w:t>
      </w:r>
      <w:r w:rsidR="006E2438">
        <w:t xml:space="preserve"> of the other entities</w:t>
      </w:r>
      <w:r>
        <w:t xml:space="preserve"> in financings. </w:t>
      </w:r>
      <w:r w:rsidR="00F727C4">
        <w:t>During the twelve</w:t>
      </w:r>
      <w:r w:rsidR="007549B8">
        <w:t>-</w:t>
      </w:r>
      <w:r w:rsidR="00F727C4">
        <w:t>months ending December 31, 2010,</w:t>
      </w:r>
      <w:r w:rsidR="007D746C">
        <w:t xml:space="preserve"> </w:t>
      </w:r>
      <w:r>
        <w:t xml:space="preserve">the Company’s tax-exempt portfolio is projected to be $738 million in principal amount with an average cost </w:t>
      </w:r>
      <w:r>
        <w:lastRenderedPageBreak/>
        <w:t xml:space="preserve">of </w:t>
      </w:r>
      <w:r w:rsidR="00F727C4">
        <w:t>2.21</w:t>
      </w:r>
      <w:r w:rsidR="006031DF">
        <w:t xml:space="preserve"> </w:t>
      </w:r>
      <w:r>
        <w:t>percent (</w:t>
      </w:r>
      <w:r w:rsidR="00B816E1">
        <w:t>based on the actual costs at December 31, 2009, including</w:t>
      </w:r>
      <w:r>
        <w:t xml:space="preserve"> the cost of issuance and credit enhancement)</w:t>
      </w:r>
      <w:r w:rsidR="00694A50">
        <w:t>.</w:t>
      </w:r>
    </w:p>
    <w:p w:rsidR="008317F8" w:rsidRDefault="00056AA0" w:rsidP="008317F8">
      <w:pPr>
        <w:pStyle w:val="BodyTextIndent"/>
        <w:ind w:left="0" w:firstLine="0"/>
        <w:rPr>
          <w:b/>
          <w:bCs/>
        </w:rPr>
      </w:pPr>
      <w:r>
        <w:rPr>
          <w:b/>
          <w:bCs/>
        </w:rPr>
        <w:t>Capital Structure</w:t>
      </w:r>
    </w:p>
    <w:p w:rsidR="008317F8" w:rsidRDefault="008317F8" w:rsidP="00DF2E0C">
      <w:pPr>
        <w:pStyle w:val="BodyTextIndent"/>
        <w:rPr>
          <w:b/>
          <w:bCs/>
        </w:rPr>
      </w:pPr>
      <w:r>
        <w:rPr>
          <w:b/>
          <w:bCs/>
        </w:rPr>
        <w:t>Q.</w:t>
      </w:r>
      <w:r w:rsidR="00DF2E0C">
        <w:rPr>
          <w:b/>
          <w:bCs/>
        </w:rPr>
        <w:tab/>
        <w:t>How did the Company</w:t>
      </w:r>
      <w:r w:rsidR="005F1EE0">
        <w:rPr>
          <w:b/>
          <w:bCs/>
        </w:rPr>
        <w:t xml:space="preserve"> </w:t>
      </w:r>
      <w:proofErr w:type="gramStart"/>
      <w:r w:rsidR="005F1EE0">
        <w:rPr>
          <w:b/>
          <w:bCs/>
        </w:rPr>
        <w:t>determine</w:t>
      </w:r>
      <w:proofErr w:type="gramEnd"/>
      <w:r w:rsidR="005F1EE0">
        <w:rPr>
          <w:b/>
          <w:bCs/>
        </w:rPr>
        <w:t xml:space="preserve"> the capital structure </w:t>
      </w:r>
      <w:r w:rsidR="007C25E6">
        <w:rPr>
          <w:b/>
          <w:bCs/>
        </w:rPr>
        <w:t xml:space="preserve">proposed </w:t>
      </w:r>
      <w:r w:rsidR="005F1EE0">
        <w:rPr>
          <w:b/>
          <w:bCs/>
        </w:rPr>
        <w:t>in this proceeding?</w:t>
      </w:r>
      <w:r w:rsidR="005F1EE0" w:rsidRPr="00612523">
        <w:rPr>
          <w:b/>
          <w:bCs/>
        </w:rPr>
        <w:t xml:space="preserve">  </w:t>
      </w:r>
    </w:p>
    <w:p w:rsidR="005F1EE0" w:rsidRPr="008317F8" w:rsidRDefault="008317F8" w:rsidP="008317F8">
      <w:pPr>
        <w:pStyle w:val="BodyTextIndent"/>
        <w:rPr>
          <w:b/>
          <w:bCs/>
        </w:rPr>
      </w:pPr>
      <w:r w:rsidRPr="008317F8">
        <w:rPr>
          <w:bCs/>
        </w:rPr>
        <w:t>A.</w:t>
      </w:r>
      <w:r>
        <w:rPr>
          <w:b/>
          <w:bCs/>
        </w:rPr>
        <w:tab/>
      </w:r>
      <w:r w:rsidR="005F1EE0">
        <w:t>The Company used an average of the five</w:t>
      </w:r>
      <w:r w:rsidR="002C1393">
        <w:t>-</w:t>
      </w:r>
      <w:r w:rsidR="005F1EE0">
        <w:t>quarter ends during th</w:t>
      </w:r>
      <w:r w:rsidR="00D36583">
        <w:t>e</w:t>
      </w:r>
      <w:r w:rsidR="005F1EE0">
        <w:t xml:space="preserve"> time period ending </w:t>
      </w:r>
      <w:r w:rsidR="00D96F2B">
        <w:t>December 31, 2010</w:t>
      </w:r>
      <w:r w:rsidR="005F1EE0">
        <w:t xml:space="preserve"> to calculate its proposed capital structure.  Th</w:t>
      </w:r>
      <w:r w:rsidR="007E164F">
        <w:t>is</w:t>
      </w:r>
      <w:r w:rsidR="005F1EE0">
        <w:t xml:space="preserve"> approach smooth</w:t>
      </w:r>
      <w:r w:rsidR="00925982">
        <w:t>e</w:t>
      </w:r>
      <w:r w:rsidR="005F1EE0">
        <w:t xml:space="preserve">s volatility in the capital structure </w:t>
      </w:r>
      <w:r w:rsidR="00B816E1">
        <w:t>which will</w:t>
      </w:r>
      <w:r w:rsidR="005F1EE0">
        <w:t xml:space="preserve"> fluctuat</w:t>
      </w:r>
      <w:r w:rsidR="00925982">
        <w:t>e</w:t>
      </w:r>
      <w:r w:rsidR="005F1EE0">
        <w:t xml:space="preserve"> as the Company e</w:t>
      </w:r>
      <w:r w:rsidR="00925982">
        <w:t>xpends capital, issues</w:t>
      </w:r>
      <w:r w:rsidR="00B816E1">
        <w:t xml:space="preserve"> or retires</w:t>
      </w:r>
      <w:r w:rsidR="00925982">
        <w:t xml:space="preserve"> debt, retains </w:t>
      </w:r>
      <w:r w:rsidR="005F1EE0">
        <w:t>earn</w:t>
      </w:r>
      <w:r w:rsidR="00925982">
        <w:t>ing</w:t>
      </w:r>
      <w:r w:rsidR="005F1EE0">
        <w:t xml:space="preserve">s </w:t>
      </w:r>
      <w:r w:rsidR="00B816E1">
        <w:t>and</w:t>
      </w:r>
      <w:r w:rsidR="005F1EE0">
        <w:t xml:space="preserve"> receives infusions of new equity.</w:t>
      </w:r>
      <w:r w:rsidR="00EA114D">
        <w:t xml:space="preserve">  </w:t>
      </w:r>
      <w:r w:rsidR="005F1EE0">
        <w:t>Th</w:t>
      </w:r>
      <w:r w:rsidR="00EA114D">
        <w:t xml:space="preserve">e Company calculated its capital structure in this same manner </w:t>
      </w:r>
      <w:r w:rsidR="005F1EE0">
        <w:t xml:space="preserve">in its last </w:t>
      </w:r>
      <w:r w:rsidR="00D96F2B">
        <w:t xml:space="preserve">two </w:t>
      </w:r>
      <w:r w:rsidR="00785655">
        <w:t xml:space="preserve">Washington </w:t>
      </w:r>
      <w:r w:rsidR="005F1EE0">
        <w:t>general rate case</w:t>
      </w:r>
      <w:r w:rsidR="00D96F2B">
        <w:t>s.</w:t>
      </w:r>
      <w:r w:rsidR="005F1EE0">
        <w:t xml:space="preserve">   </w:t>
      </w:r>
      <w:r w:rsidR="00EA114D">
        <w:t xml:space="preserve">This </w:t>
      </w:r>
      <w:r w:rsidR="0030569E">
        <w:t>method</w:t>
      </w:r>
      <w:r w:rsidR="00EA114D">
        <w:t xml:space="preserve"> is </w:t>
      </w:r>
      <w:r w:rsidR="005F1EE0">
        <w:t xml:space="preserve">also consistent with the approach to capital structure advocated by Public Counsel in Docket UE-050684.    </w:t>
      </w:r>
    </w:p>
    <w:p w:rsidR="00056AA0" w:rsidRDefault="00056AA0" w:rsidP="00056AA0">
      <w:pPr>
        <w:pStyle w:val="BodyTextIndent"/>
        <w:widowControl w:val="0"/>
        <w:rPr>
          <w:b/>
          <w:bCs/>
        </w:rPr>
      </w:pPr>
      <w:r>
        <w:rPr>
          <w:b/>
          <w:bCs/>
        </w:rPr>
        <w:t>Q.</w:t>
      </w:r>
      <w:r>
        <w:rPr>
          <w:b/>
          <w:bCs/>
        </w:rPr>
        <w:tab/>
        <w:t>How d</w:t>
      </w:r>
      <w:r w:rsidR="00EA114D">
        <w:rPr>
          <w:b/>
          <w:bCs/>
        </w:rPr>
        <w:t>oes</w:t>
      </w:r>
      <w:r>
        <w:rPr>
          <w:b/>
          <w:bCs/>
        </w:rPr>
        <w:t xml:space="preserve"> </w:t>
      </w:r>
      <w:r w:rsidR="00EA114D">
        <w:rPr>
          <w:b/>
          <w:bCs/>
        </w:rPr>
        <w:t>the Company</w:t>
      </w:r>
      <w:r>
        <w:rPr>
          <w:b/>
          <w:bCs/>
        </w:rPr>
        <w:t xml:space="preserve"> </w:t>
      </w:r>
      <w:proofErr w:type="gramStart"/>
      <w:r>
        <w:rPr>
          <w:b/>
          <w:bCs/>
        </w:rPr>
        <w:t>determine</w:t>
      </w:r>
      <w:proofErr w:type="gramEnd"/>
      <w:r>
        <w:rPr>
          <w:b/>
          <w:bCs/>
        </w:rPr>
        <w:t xml:space="preserve"> the amount of common equity, debt, and preferred stock to be included in </w:t>
      </w:r>
      <w:r w:rsidR="00EA114D">
        <w:rPr>
          <w:b/>
          <w:bCs/>
        </w:rPr>
        <w:t>its</w:t>
      </w:r>
      <w:r>
        <w:rPr>
          <w:b/>
          <w:bCs/>
        </w:rPr>
        <w:t xml:space="preserve"> capital structure?</w:t>
      </w:r>
    </w:p>
    <w:p w:rsidR="00056AA0" w:rsidRDefault="00056AA0" w:rsidP="00056AA0">
      <w:pPr>
        <w:pStyle w:val="BodyTextIndent"/>
        <w:widowControl w:val="0"/>
      </w:pPr>
      <w:r>
        <w:t>A.</w:t>
      </w:r>
      <w:r>
        <w:tab/>
        <w:t xml:space="preserve">As a regulated utility, PacifiCorp has a duty and an obligation to provide safe, adequate and reliable service to customers in its </w:t>
      </w:r>
      <w:smartTag w:uri="urn:schemas-microsoft-com:office:smarttags" w:element="State">
        <w:smartTag w:uri="urn:schemas-microsoft-com:office:smarttags" w:element="place">
          <w:r>
            <w:t>Washington</w:t>
          </w:r>
        </w:smartTag>
      </w:smartTag>
      <w:r>
        <w:t xml:space="preserve"> service territory while balancing cost and risk.  Significant capital expenditures for</w:t>
      </w:r>
      <w:r w:rsidR="00D96F2B">
        <w:t xml:space="preserve"> </w:t>
      </w:r>
      <w:r w:rsidR="000F1370">
        <w:t>system reliability and infrastructure</w:t>
      </w:r>
      <w:r>
        <w:t xml:space="preserve"> are required for the Company to fulfill this obligation.  Through its planning process, the Company determined the amounts of necessary new financing needed to support these activities and calculated the equity and debt ratios required to maintain</w:t>
      </w:r>
      <w:r w:rsidR="00D96F2B">
        <w:t xml:space="preserve"> continued access to the financial markets.</w:t>
      </w:r>
      <w:r>
        <w:t xml:space="preserve"> </w:t>
      </w:r>
    </w:p>
    <w:p w:rsidR="00056AA0" w:rsidRDefault="00056AA0" w:rsidP="00056AA0">
      <w:pPr>
        <w:pStyle w:val="BodyTextIndent"/>
        <w:rPr>
          <w:b/>
          <w:bCs/>
        </w:rPr>
      </w:pPr>
      <w:r>
        <w:rPr>
          <w:b/>
          <w:bCs/>
        </w:rPr>
        <w:lastRenderedPageBreak/>
        <w:t>Q.</w:t>
      </w:r>
      <w:r>
        <w:rPr>
          <w:b/>
          <w:bCs/>
        </w:rPr>
        <w:tab/>
        <w:t>Ha</w:t>
      </w:r>
      <w:r w:rsidR="00EA114D">
        <w:rPr>
          <w:b/>
          <w:bCs/>
        </w:rPr>
        <w:t xml:space="preserve">s </w:t>
      </w:r>
      <w:r>
        <w:rPr>
          <w:b/>
          <w:bCs/>
        </w:rPr>
        <w:t xml:space="preserve">the Company’s capital structure </w:t>
      </w:r>
      <w:r w:rsidR="00EA114D">
        <w:rPr>
          <w:b/>
          <w:bCs/>
        </w:rPr>
        <w:t>demonstrated</w:t>
      </w:r>
      <w:r>
        <w:rPr>
          <w:b/>
          <w:bCs/>
        </w:rPr>
        <w:t xml:space="preserve"> increase</w:t>
      </w:r>
      <w:r w:rsidR="00EA114D">
        <w:rPr>
          <w:b/>
          <w:bCs/>
        </w:rPr>
        <w:t>d</w:t>
      </w:r>
      <w:r>
        <w:rPr>
          <w:b/>
          <w:bCs/>
        </w:rPr>
        <w:t xml:space="preserve"> amount</w:t>
      </w:r>
      <w:r w:rsidR="00EA114D">
        <w:rPr>
          <w:b/>
          <w:bCs/>
        </w:rPr>
        <w:t>s</w:t>
      </w:r>
      <w:r>
        <w:rPr>
          <w:b/>
          <w:bCs/>
        </w:rPr>
        <w:t xml:space="preserve"> of equity?</w:t>
      </w:r>
    </w:p>
    <w:p w:rsidR="00056AA0" w:rsidRDefault="00056AA0" w:rsidP="00056AA0">
      <w:pPr>
        <w:pStyle w:val="BodyTextIndent"/>
      </w:pPr>
      <w:r>
        <w:t>A.</w:t>
      </w:r>
      <w:r>
        <w:tab/>
        <w:t xml:space="preserve">Yes. </w:t>
      </w:r>
      <w:r w:rsidR="00925982">
        <w:t xml:space="preserve"> This is consistent with the “general trend of increasing equity capitalization in the industry,” noted by the Commission in its </w:t>
      </w:r>
      <w:r w:rsidR="00A854E0">
        <w:t xml:space="preserve">final </w:t>
      </w:r>
      <w:r w:rsidR="00925982" w:rsidRPr="00A854E0">
        <w:t>Order</w:t>
      </w:r>
      <w:r w:rsidR="00771E9C" w:rsidRPr="00A854E0">
        <w:t xml:space="preserve"> </w:t>
      </w:r>
      <w:r w:rsidR="00925982" w:rsidRPr="00A854E0">
        <w:t xml:space="preserve">in </w:t>
      </w:r>
      <w:r w:rsidR="00771E9C" w:rsidRPr="00A854E0">
        <w:t xml:space="preserve">Docket </w:t>
      </w:r>
      <w:r w:rsidR="00925982" w:rsidRPr="00A854E0">
        <w:t>UE-050</w:t>
      </w:r>
      <w:r w:rsidR="00771E9C" w:rsidRPr="00A854E0">
        <w:t>684</w:t>
      </w:r>
      <w:r w:rsidR="00925982" w:rsidRPr="00A854E0">
        <w:t>,</w:t>
      </w:r>
      <w:r w:rsidR="00925982">
        <w:t xml:space="preserve"> and reflects MEHC’s significant capital contributions to PacifiCorp since it acquired the Company. </w:t>
      </w:r>
      <w:r>
        <w:t xml:space="preserve"> </w:t>
      </w:r>
    </w:p>
    <w:p w:rsidR="00785152" w:rsidRDefault="00785152" w:rsidP="00056AA0">
      <w:pPr>
        <w:pStyle w:val="BodyTextIndent"/>
        <w:ind w:left="0" w:firstLine="0"/>
        <w:rPr>
          <w:b/>
          <w:bCs/>
        </w:rPr>
      </w:pPr>
      <w:r>
        <w:rPr>
          <w:b/>
          <w:bCs/>
        </w:rPr>
        <w:t>Q.</w:t>
      </w:r>
      <w:r>
        <w:rPr>
          <w:b/>
          <w:bCs/>
        </w:rPr>
        <w:tab/>
        <w:t>Why is there the need for additional equity in the capital structure?</w:t>
      </w:r>
    </w:p>
    <w:p w:rsidR="00056AA0" w:rsidRDefault="00785152" w:rsidP="00056AA0">
      <w:pPr>
        <w:pStyle w:val="BodyTextIndent"/>
        <w:widowControl w:val="0"/>
      </w:pPr>
      <w:r>
        <w:t>A.</w:t>
      </w:r>
      <w:r>
        <w:tab/>
        <w:t xml:space="preserve">The Company’s </w:t>
      </w:r>
      <w:r w:rsidR="008048E3">
        <w:t>capital structure</w:t>
      </w:r>
      <w:r>
        <w:t xml:space="preserve"> reflects the cost increases described in this case, including investment in </w:t>
      </w:r>
      <w:r w:rsidR="000F1370">
        <w:t>infrastructure</w:t>
      </w:r>
      <w:r w:rsidR="00D96F2B">
        <w:t xml:space="preserve"> </w:t>
      </w:r>
      <w:r w:rsidR="00EE5416">
        <w:t>and</w:t>
      </w:r>
      <w:r>
        <w:t xml:space="preserve"> power costs.  These cost increases, coupled with the credit rating agencies</w:t>
      </w:r>
      <w:r w:rsidR="00FB15DB">
        <w:t>’</w:t>
      </w:r>
      <w:r>
        <w:t xml:space="preserve"> expectations for credit metrics and balance sheet strength, mean that the Company cannot finance itself solely with new debt. </w:t>
      </w:r>
      <w:r w:rsidR="00406070">
        <w:t xml:space="preserve"> </w:t>
      </w:r>
      <w:r>
        <w:t xml:space="preserve">Additional equity </w:t>
      </w:r>
      <w:r w:rsidR="00925982">
        <w:t>is</w:t>
      </w:r>
      <w:r>
        <w:t xml:space="preserve"> required along with improved business results and other considerations to support </w:t>
      </w:r>
      <w:r w:rsidR="00D96F2B">
        <w:t>PacifiCorp’s current senior secured</w:t>
      </w:r>
      <w:r w:rsidR="003564ED">
        <w:t xml:space="preserve"> ‘A’</w:t>
      </w:r>
      <w:r>
        <w:t xml:space="preserve"> credit rating from Standard &amp; Poor’s</w:t>
      </w:r>
      <w:r w:rsidR="000567FC">
        <w:t xml:space="preserve"> (S&amp;P)</w:t>
      </w:r>
      <w:r>
        <w:t xml:space="preserve">, </w:t>
      </w:r>
      <w:r w:rsidR="003564ED">
        <w:t>‘A2’</w:t>
      </w:r>
      <w:r>
        <w:t xml:space="preserve"> rating from Moody’s Investors Service (Moody’s), and ‘A-’from Fitch Rating</w:t>
      </w:r>
      <w:r w:rsidR="0099300A">
        <w:t>s.</w:t>
      </w:r>
    </w:p>
    <w:p w:rsidR="00785152" w:rsidRDefault="00785152" w:rsidP="00B870F8">
      <w:pPr>
        <w:pStyle w:val="BodyTextIndent"/>
        <w:widowControl w:val="0"/>
        <w:rPr>
          <w:b/>
          <w:bCs/>
        </w:rPr>
      </w:pPr>
      <w:r>
        <w:rPr>
          <w:b/>
          <w:bCs/>
        </w:rPr>
        <w:t>Q.</w:t>
      </w:r>
      <w:r>
        <w:rPr>
          <w:b/>
          <w:bCs/>
        </w:rPr>
        <w:tab/>
        <w:t xml:space="preserve">Please describe the changes to the </w:t>
      </w:r>
      <w:r w:rsidR="00B870F8">
        <w:rPr>
          <w:b/>
          <w:bCs/>
        </w:rPr>
        <w:t>amount of outstanding long-term</w:t>
      </w:r>
      <w:r w:rsidR="008317F8">
        <w:rPr>
          <w:b/>
          <w:bCs/>
        </w:rPr>
        <w:t xml:space="preserve"> </w:t>
      </w:r>
      <w:r w:rsidR="00B870F8">
        <w:rPr>
          <w:b/>
          <w:bCs/>
        </w:rPr>
        <w:t>debt.</w:t>
      </w:r>
    </w:p>
    <w:p w:rsidR="00B63011" w:rsidRPr="00B63011" w:rsidRDefault="00516340" w:rsidP="00B63011">
      <w:pPr>
        <w:pStyle w:val="BodyTextIndent"/>
        <w:widowControl w:val="0"/>
      </w:pPr>
      <w:r>
        <w:t>A.</w:t>
      </w:r>
      <w:r>
        <w:tab/>
      </w:r>
      <w:r w:rsidR="002E6A61">
        <w:t>During the period</w:t>
      </w:r>
      <w:r w:rsidR="00785152">
        <w:t xml:space="preserve"> ending </w:t>
      </w:r>
      <w:r w:rsidR="007F2C09">
        <w:t>December 31, 2010,</w:t>
      </w:r>
      <w:r w:rsidR="00785152">
        <w:t xml:space="preserve"> the balance of the outstanding long-term debt will change through maturities</w:t>
      </w:r>
      <w:r w:rsidR="007F2C09">
        <w:t xml:space="preserve"> and </w:t>
      </w:r>
      <w:r w:rsidR="00785152">
        <w:t>principal amortization</w:t>
      </w:r>
      <w:r w:rsidR="007F2C09">
        <w:t>.</w:t>
      </w:r>
      <w:r w:rsidR="002179D8">
        <w:t xml:space="preserve">  </w:t>
      </w:r>
      <w:r w:rsidR="00785152">
        <w:t xml:space="preserve">Based upon the long-term debt series outstanding at </w:t>
      </w:r>
      <w:r w:rsidR="000C723A">
        <w:t>December 31, 200</w:t>
      </w:r>
      <w:r w:rsidR="007F2C09">
        <w:t>9</w:t>
      </w:r>
      <w:r w:rsidR="000C723A">
        <w:t>,</w:t>
      </w:r>
      <w:r w:rsidR="00785152">
        <w:t xml:space="preserve"> I have calculated the reduction to the outstanding balances for maturities, principal amortization and sinking fund requirements which are scheduled to occur during the period ending </w:t>
      </w:r>
      <w:r w:rsidR="007F2C09">
        <w:t>December 31, 2010.</w:t>
      </w:r>
      <w:r w:rsidR="00B63011">
        <w:rPr>
          <w:b/>
          <w:bCs/>
        </w:rPr>
        <w:br w:type="page"/>
      </w:r>
    </w:p>
    <w:p w:rsidR="003B406A" w:rsidRDefault="00785152" w:rsidP="00694A50">
      <w:pPr>
        <w:pStyle w:val="BodyTextIndent"/>
        <w:widowControl w:val="0"/>
        <w:rPr>
          <w:b/>
          <w:bCs/>
        </w:rPr>
      </w:pPr>
      <w:proofErr w:type="gramStart"/>
      <w:r>
        <w:rPr>
          <w:b/>
          <w:bCs/>
        </w:rPr>
        <w:lastRenderedPageBreak/>
        <w:t>Q.</w:t>
      </w:r>
      <w:r>
        <w:rPr>
          <w:b/>
          <w:bCs/>
        </w:rPr>
        <w:tab/>
        <w:t xml:space="preserve">Is the proposed capital structure </w:t>
      </w:r>
      <w:r w:rsidR="00915AE1">
        <w:rPr>
          <w:b/>
          <w:bCs/>
        </w:rPr>
        <w:t xml:space="preserve">consistent with </w:t>
      </w:r>
      <w:r>
        <w:rPr>
          <w:b/>
          <w:bCs/>
        </w:rPr>
        <w:t>the Company’s current credit rating?</w:t>
      </w:r>
      <w:proofErr w:type="gramEnd"/>
    </w:p>
    <w:p w:rsidR="00785152" w:rsidRDefault="00785152" w:rsidP="00E45B69">
      <w:pPr>
        <w:pStyle w:val="BodyTextIndent"/>
        <w:rPr>
          <w:b/>
          <w:bCs/>
        </w:rPr>
      </w:pPr>
      <w:r>
        <w:t>A.</w:t>
      </w:r>
      <w:r>
        <w:tab/>
        <w:t xml:space="preserve">Yes.  This capital structure is intended to enable the Company to deliver its required capital expenditures while maintaining credit ratios that </w:t>
      </w:r>
      <w:r w:rsidR="00DD7966">
        <w:t xml:space="preserve">are expected to </w:t>
      </w:r>
      <w:r>
        <w:t xml:space="preserve">support the continuance of </w:t>
      </w:r>
      <w:r w:rsidR="00DD7966">
        <w:t xml:space="preserve">PacifiCorp’s current </w:t>
      </w:r>
      <w:r>
        <w:t>credit rating</w:t>
      </w:r>
      <w:r w:rsidR="00DD7966">
        <w:t>s</w:t>
      </w:r>
      <w:r>
        <w:t xml:space="preserve">.  </w:t>
      </w:r>
      <w:r>
        <w:rPr>
          <w:b/>
          <w:bCs/>
        </w:rPr>
        <w:t xml:space="preserve"> </w:t>
      </w:r>
    </w:p>
    <w:p w:rsidR="00FB15DB" w:rsidRDefault="00FB15DB" w:rsidP="00E45B69">
      <w:pPr>
        <w:pStyle w:val="BodyTextIndent"/>
        <w:rPr>
          <w:b/>
          <w:bCs/>
        </w:rPr>
      </w:pPr>
      <w:proofErr w:type="gramStart"/>
      <w:r>
        <w:rPr>
          <w:b/>
          <w:bCs/>
        </w:rPr>
        <w:t>Q.</w:t>
      </w:r>
      <w:r>
        <w:rPr>
          <w:b/>
          <w:bCs/>
        </w:rPr>
        <w:tab/>
        <w:t xml:space="preserve">Are </w:t>
      </w:r>
      <w:r w:rsidRPr="00FB15DB">
        <w:rPr>
          <w:b/>
          <w:bCs/>
        </w:rPr>
        <w:t>PacifiCorp</w:t>
      </w:r>
      <w:r>
        <w:rPr>
          <w:b/>
          <w:bCs/>
        </w:rPr>
        <w:t>’s stand-alone credit metrics consistent with the Company’s current credit ratings?</w:t>
      </w:r>
      <w:proofErr w:type="gramEnd"/>
    </w:p>
    <w:p w:rsidR="0084006D" w:rsidRPr="00274F94" w:rsidRDefault="00FB15DB" w:rsidP="000F52AA">
      <w:pPr>
        <w:pStyle w:val="BodyTextIndent"/>
        <w:widowControl w:val="0"/>
        <w:rPr>
          <w:bCs/>
        </w:rPr>
      </w:pPr>
      <w:r w:rsidRPr="00274F94">
        <w:rPr>
          <w:bCs/>
        </w:rPr>
        <w:t>A</w:t>
      </w:r>
      <w:r>
        <w:rPr>
          <w:b/>
          <w:bCs/>
        </w:rPr>
        <w:t>.</w:t>
      </w:r>
      <w:r>
        <w:rPr>
          <w:b/>
          <w:bCs/>
        </w:rPr>
        <w:tab/>
      </w:r>
      <w:r w:rsidRPr="00274F94">
        <w:rPr>
          <w:bCs/>
        </w:rPr>
        <w:t xml:space="preserve">No. </w:t>
      </w:r>
      <w:r w:rsidR="008317F8">
        <w:rPr>
          <w:bCs/>
        </w:rPr>
        <w:t xml:space="preserve"> </w:t>
      </w:r>
      <w:r w:rsidR="0084006D" w:rsidRPr="00274F94">
        <w:rPr>
          <w:bCs/>
        </w:rPr>
        <w:t>As stated by S</w:t>
      </w:r>
      <w:r w:rsidR="00797982">
        <w:rPr>
          <w:bCs/>
        </w:rPr>
        <w:t>&amp;P,</w:t>
      </w:r>
      <w:r w:rsidR="0084006D" w:rsidRPr="00274F94">
        <w:rPr>
          <w:bCs/>
        </w:rPr>
        <w:t xml:space="preserve"> “</w:t>
      </w:r>
      <w:r w:rsidR="00DD7966">
        <w:rPr>
          <w:bCs/>
        </w:rPr>
        <w:t>Although</w:t>
      </w:r>
      <w:r w:rsidR="00D52309" w:rsidRPr="00274F94">
        <w:rPr>
          <w:bCs/>
        </w:rPr>
        <w:t xml:space="preserve"> </w:t>
      </w:r>
      <w:r w:rsidR="005D2AE1" w:rsidRPr="00274F94">
        <w:rPr>
          <w:bCs/>
        </w:rPr>
        <w:t xml:space="preserve"> t</w:t>
      </w:r>
      <w:r w:rsidR="00D52309" w:rsidRPr="00274F94">
        <w:rPr>
          <w:bCs/>
        </w:rPr>
        <w:t xml:space="preserve">he…. utility’s credit metrics are more consistent on a standalone basis with a ‘BBB’ category rating, </w:t>
      </w:r>
      <w:r w:rsidR="00DD7966">
        <w:rPr>
          <w:bCs/>
        </w:rPr>
        <w:t xml:space="preserve">S&amp;P’s Ratings Services expects that management will achieve cash flow metrics more consistent with the ‘A’ rating category over the next several years.  Supportive rate case outcomes remain </w:t>
      </w:r>
      <w:proofErr w:type="gramStart"/>
      <w:r w:rsidR="00DD7966">
        <w:rPr>
          <w:bCs/>
        </w:rPr>
        <w:t>key</w:t>
      </w:r>
      <w:proofErr w:type="gramEnd"/>
      <w:r w:rsidR="00DD7966">
        <w:rPr>
          <w:bCs/>
        </w:rPr>
        <w:t xml:space="preserve"> to maintaining and improving financial performance.</w:t>
      </w:r>
      <w:r w:rsidR="00EE22DD">
        <w:rPr>
          <w:bCs/>
        </w:rPr>
        <w:t>”</w:t>
      </w:r>
      <w:r w:rsidR="00C079CE">
        <w:rPr>
          <w:rStyle w:val="FootnoteReference"/>
          <w:bCs/>
        </w:rPr>
        <w:footnoteReference w:id="1"/>
      </w:r>
    </w:p>
    <w:p w:rsidR="00FB15DB" w:rsidRDefault="0084006D" w:rsidP="000F52AA">
      <w:pPr>
        <w:pStyle w:val="BodyTextIndent"/>
        <w:widowControl w:val="0"/>
        <w:ind w:firstLine="720"/>
        <w:rPr>
          <w:bCs/>
        </w:rPr>
      </w:pPr>
      <w:r w:rsidRPr="00274F94">
        <w:rPr>
          <w:bCs/>
        </w:rPr>
        <w:t xml:space="preserve">Another important element </w:t>
      </w:r>
      <w:r w:rsidR="00B72F06" w:rsidRPr="00274F94">
        <w:rPr>
          <w:bCs/>
        </w:rPr>
        <w:t>supporting</w:t>
      </w:r>
      <w:r w:rsidRPr="00274F94">
        <w:rPr>
          <w:bCs/>
        </w:rPr>
        <w:t xml:space="preserve"> the Company’s current</w:t>
      </w:r>
      <w:r w:rsidR="00571EBA">
        <w:rPr>
          <w:bCs/>
        </w:rPr>
        <w:t xml:space="preserve"> credit</w:t>
      </w:r>
      <w:r w:rsidRPr="00274F94">
        <w:rPr>
          <w:bCs/>
        </w:rPr>
        <w:t xml:space="preserve"> ratings is the </w:t>
      </w:r>
      <w:r w:rsidR="007D693A">
        <w:rPr>
          <w:bCs/>
        </w:rPr>
        <w:t>ownership by MEHC.</w:t>
      </w:r>
      <w:r w:rsidR="00B72F06" w:rsidRPr="00274F94">
        <w:rPr>
          <w:bCs/>
        </w:rPr>
        <w:t xml:space="preserve"> </w:t>
      </w:r>
      <w:r w:rsidRPr="00274F94">
        <w:rPr>
          <w:bCs/>
        </w:rPr>
        <w:t xml:space="preserve"> Absent ownership</w:t>
      </w:r>
      <w:r w:rsidR="00B72F06" w:rsidRPr="00274F94">
        <w:rPr>
          <w:bCs/>
        </w:rPr>
        <w:t xml:space="preserve"> by MEHC </w:t>
      </w:r>
      <w:r w:rsidR="00C079CE">
        <w:rPr>
          <w:bCs/>
        </w:rPr>
        <w:t>and</w:t>
      </w:r>
      <w:r w:rsidR="00B72F06" w:rsidRPr="00274F94">
        <w:rPr>
          <w:bCs/>
        </w:rPr>
        <w:t xml:space="preserve"> constructive regulatory treatment</w:t>
      </w:r>
      <w:r w:rsidRPr="00274F94">
        <w:rPr>
          <w:bCs/>
        </w:rPr>
        <w:t xml:space="preserve">, PacifiCorp’s credit ratings would likely suffer at least a one rating level downgrade.  </w:t>
      </w:r>
    </w:p>
    <w:p w:rsidR="007D693A" w:rsidRPr="00274F94" w:rsidRDefault="007D693A" w:rsidP="007D693A">
      <w:pPr>
        <w:pStyle w:val="BodyTextIndent"/>
        <w:widowControl w:val="0"/>
        <w:ind w:firstLine="90"/>
        <w:rPr>
          <w:bCs/>
        </w:rPr>
      </w:pPr>
      <w:r>
        <w:rPr>
          <w:bCs/>
        </w:rPr>
        <w:tab/>
        <w:t>Maintaining the existing ratings however, is becoming more challenging due to the additional adjustments that rating agencies are making to PacifiCorp’s published financial results.  I will discuss these adjustments in more detail later in this testimony.</w:t>
      </w:r>
    </w:p>
    <w:p w:rsidR="00785152" w:rsidRDefault="00785152" w:rsidP="00E45B69">
      <w:pPr>
        <w:pStyle w:val="BodyTextIndent"/>
        <w:rPr>
          <w:b/>
          <w:bCs/>
        </w:rPr>
      </w:pPr>
      <w:r>
        <w:rPr>
          <w:b/>
          <w:bCs/>
        </w:rPr>
        <w:lastRenderedPageBreak/>
        <w:t>Q.</w:t>
      </w:r>
      <w:r>
        <w:rPr>
          <w:b/>
          <w:bCs/>
        </w:rPr>
        <w:tab/>
        <w:t xml:space="preserve">How does maintenance of </w:t>
      </w:r>
      <w:r w:rsidR="003C64ED">
        <w:rPr>
          <w:b/>
          <w:bCs/>
        </w:rPr>
        <w:t>the Company’s current</w:t>
      </w:r>
      <w:r>
        <w:rPr>
          <w:b/>
          <w:bCs/>
        </w:rPr>
        <w:t xml:space="preserve"> credit rating</w:t>
      </w:r>
      <w:r w:rsidR="00274F94">
        <w:rPr>
          <w:b/>
          <w:bCs/>
        </w:rPr>
        <w:t>s</w:t>
      </w:r>
      <w:r>
        <w:rPr>
          <w:b/>
          <w:bCs/>
        </w:rPr>
        <w:t xml:space="preserve"> benefit customers?</w:t>
      </w:r>
    </w:p>
    <w:p w:rsidR="00785152" w:rsidRDefault="00785152" w:rsidP="00E45B69">
      <w:pPr>
        <w:pStyle w:val="BodyTextIndent"/>
      </w:pPr>
      <w:r>
        <w:t>A.</w:t>
      </w:r>
      <w:r>
        <w:tab/>
        <w:t>The credit rating</w:t>
      </w:r>
      <w:r w:rsidR="007D693A">
        <w:t xml:space="preserve"> of </w:t>
      </w:r>
      <w:r>
        <w:t xml:space="preserve">a utility </w:t>
      </w:r>
      <w:r w:rsidR="007D693A">
        <w:t>has</w:t>
      </w:r>
      <w:r>
        <w:t xml:space="preserve"> a direct impact on the price that a utility pays to attract the capital necessary to support its current and future operating needs.  A s</w:t>
      </w:r>
      <w:r w:rsidR="003C64ED">
        <w:t>olid</w:t>
      </w:r>
      <w:r>
        <w:t xml:space="preserve"> credit rating directly benefits customers by reducing immediate and future borrowing costs related to the financing needed to support regulatory operations.</w:t>
      </w:r>
    </w:p>
    <w:p w:rsidR="00785152" w:rsidRDefault="00785152" w:rsidP="0074689D">
      <w:pPr>
        <w:pStyle w:val="BodyTextIndent"/>
        <w:ind w:left="0" w:firstLine="0"/>
        <w:rPr>
          <w:b/>
          <w:bCs/>
        </w:rPr>
      </w:pPr>
      <w:r>
        <w:rPr>
          <w:b/>
          <w:bCs/>
        </w:rPr>
        <w:t>Q.</w:t>
      </w:r>
      <w:r>
        <w:rPr>
          <w:b/>
          <w:bCs/>
        </w:rPr>
        <w:tab/>
        <w:t>Are there other benefits?</w:t>
      </w:r>
    </w:p>
    <w:p w:rsidR="00461B21" w:rsidRDefault="00785152" w:rsidP="00E45B69">
      <w:pPr>
        <w:pStyle w:val="BodyTextIndent"/>
      </w:pPr>
      <w:r>
        <w:t>A.</w:t>
      </w:r>
      <w:r>
        <w:tab/>
        <w:t>Yes.  During periods of capital market disruptions, higher-rated companies are more likely to have on-going, uninterrupted access to capital</w:t>
      </w:r>
      <w:r w:rsidR="007D693A">
        <w:t xml:space="preserve"> and access at lower costs</w:t>
      </w:r>
      <w:r>
        <w:t>.  This is not always the case with lower-rated companies, which find themselves either unable to secure capital or able to secure capital only on unfavorable terms and conditions</w:t>
      </w:r>
      <w:r w:rsidR="007D693A">
        <w:t xml:space="preserve"> during such periods</w:t>
      </w:r>
      <w:r>
        <w:t xml:space="preserve">.  </w:t>
      </w:r>
    </w:p>
    <w:p w:rsidR="007D693A" w:rsidRDefault="00785152" w:rsidP="00EB0382">
      <w:pPr>
        <w:pStyle w:val="BodyTextIndent"/>
        <w:ind w:firstLine="720"/>
      </w:pPr>
      <w:r>
        <w:t xml:space="preserve">In addition, higher-rated companies have greater access to the long-term markets for power purchases and sales.  Such access provides these companies with more alternatives when attempting to meet the current and future load requirements of their customers.  </w:t>
      </w:r>
    </w:p>
    <w:p w:rsidR="00785152" w:rsidRDefault="00785152" w:rsidP="00EB0382">
      <w:pPr>
        <w:pStyle w:val="BodyTextIndent"/>
        <w:ind w:firstLine="720"/>
      </w:pPr>
      <w:r>
        <w:t xml:space="preserve">Finally, a company with strong ratings will often avoid having to meet costly collateral requirements that are typically imposed on lower-rated companies when securing power in these markets. </w:t>
      </w:r>
    </w:p>
    <w:p w:rsidR="002A2FBC" w:rsidRPr="008317F8" w:rsidRDefault="002A2FBC" w:rsidP="008317F8">
      <w:pPr>
        <w:ind w:left="0" w:firstLine="0"/>
      </w:pPr>
      <w:proofErr w:type="gramStart"/>
      <w:r>
        <w:rPr>
          <w:b/>
          <w:bCs/>
        </w:rPr>
        <w:t xml:space="preserve">Q.   </w:t>
      </w:r>
      <w:r>
        <w:rPr>
          <w:b/>
          <w:bCs/>
        </w:rPr>
        <w:tab/>
      </w:r>
      <w:r w:rsidRPr="00D648AF">
        <w:rPr>
          <w:b/>
          <w:bCs/>
        </w:rPr>
        <w:t xml:space="preserve">Did S&amp;P </w:t>
      </w:r>
      <w:r>
        <w:rPr>
          <w:b/>
          <w:bCs/>
        </w:rPr>
        <w:t xml:space="preserve">and Moody’s </w:t>
      </w:r>
      <w:r w:rsidRPr="00D648AF">
        <w:rPr>
          <w:b/>
          <w:bCs/>
        </w:rPr>
        <w:t>change the Company</w:t>
      </w:r>
      <w:r>
        <w:rPr>
          <w:b/>
          <w:bCs/>
        </w:rPr>
        <w:t>’</w:t>
      </w:r>
      <w:r w:rsidRPr="00D648AF">
        <w:rPr>
          <w:b/>
          <w:bCs/>
        </w:rPr>
        <w:t>s credit ratings</w:t>
      </w:r>
      <w:r>
        <w:rPr>
          <w:b/>
          <w:bCs/>
        </w:rPr>
        <w:t xml:space="preserve"> in 2009</w:t>
      </w:r>
      <w:r w:rsidRPr="00D648AF">
        <w:rPr>
          <w:b/>
          <w:bCs/>
        </w:rPr>
        <w:t>?</w:t>
      </w:r>
      <w:proofErr w:type="gramEnd"/>
    </w:p>
    <w:p w:rsidR="002A2FBC" w:rsidRDefault="002A2FBC" w:rsidP="002A2FBC">
      <w:pPr>
        <w:widowControl w:val="0"/>
      </w:pPr>
      <w:r>
        <w:t>A.</w:t>
      </w:r>
      <w:r>
        <w:tab/>
        <w:t xml:space="preserve">Yes.  S&amp;P upgraded PacifiCorp’s senior secured debt to ‘A’ while it downgraded PacifiCorp’s short-term debt rating to ‘A-2’.  </w:t>
      </w:r>
      <w:proofErr w:type="gramStart"/>
      <w:r>
        <w:t>Similarly, Moody’s upgraded PacifiCorp’s senior secured debt to ‘A2’.</w:t>
      </w:r>
      <w:proofErr w:type="gramEnd"/>
    </w:p>
    <w:p w:rsidR="002A2FBC" w:rsidRDefault="002A2FBC" w:rsidP="002A2FBC">
      <w:pPr>
        <w:rPr>
          <w:b/>
          <w:bCs/>
        </w:rPr>
      </w:pPr>
      <w:r w:rsidRPr="00D648AF">
        <w:rPr>
          <w:b/>
          <w:bCs/>
        </w:rPr>
        <w:lastRenderedPageBreak/>
        <w:t>Q.</w:t>
      </w:r>
      <w:r w:rsidRPr="00D648AF">
        <w:rPr>
          <w:b/>
          <w:bCs/>
        </w:rPr>
        <w:tab/>
        <w:t>Please explain these rating changes.</w:t>
      </w:r>
    </w:p>
    <w:p w:rsidR="002A2FBC" w:rsidRDefault="002A2FBC" w:rsidP="002A2FBC">
      <w:pPr>
        <w:widowControl w:val="0"/>
      </w:pPr>
      <w:r>
        <w:t>A.</w:t>
      </w:r>
      <w:r>
        <w:tab/>
        <w:t>The upgrade to PacifiCorp’s senior secured debt merely reflects a change in S&amp;P’s methodology rather than a change in PacifiCorp’s credit quality or financial metrics.  S&amp;P changed its approach to estimating the amount of collateral available to senior secured debt holders in the event of a default by PacifiCorp on its first mortgage bonds.</w:t>
      </w:r>
    </w:p>
    <w:p w:rsidR="002A2FBC" w:rsidRDefault="002A2FBC" w:rsidP="002A2FBC">
      <w:pPr>
        <w:widowControl w:val="0"/>
        <w:ind w:firstLine="720"/>
      </w:pPr>
      <w:r>
        <w:t>S&amp;P continues to be cautious about PacifiCorp’s credit metrics and, as noted previously, views the Company’s credit metrics on a stand-alone basis as more consistent with a ‘BBB’ rating.  Indeed, in downgrading the Company’s short-term debt rating, S&amp;P cited a need to take a firmer view on linking PacifiCorp</w:t>
      </w:r>
      <w:r w:rsidR="00111B75">
        <w:t>’s</w:t>
      </w:r>
      <w:r>
        <w:t xml:space="preserve"> short-term ratings to stand-alone credit quality.  S&amp;P sustained their current ‘A-’ corporate credit rating based on their expectation “that management will achieve cash flow metrics more consistent with an ‘A’ rating over the next several years.”</w:t>
      </w:r>
      <w:r>
        <w:rPr>
          <w:rStyle w:val="FootnoteReference"/>
        </w:rPr>
        <w:footnoteReference w:id="2"/>
      </w:r>
      <w:r>
        <w:t xml:space="preserve"> </w:t>
      </w:r>
    </w:p>
    <w:p w:rsidR="002A2FBC" w:rsidRDefault="002A2FBC" w:rsidP="002A2FBC">
      <w:pPr>
        <w:ind w:firstLine="720"/>
      </w:pPr>
      <w:r>
        <w:t xml:space="preserve">Moody’s upgrade of PacifiCorp’s senior debt was part of an industry-wide action in which the majority of senior secured debt ratings of investment-grade regulated utilities were upgraded by one level.  The action was a result of an analysis of the history of regulated utility defaults and was not specific or unique to the Company.  </w:t>
      </w:r>
    </w:p>
    <w:p w:rsidR="002A2FBC" w:rsidRPr="001739B2" w:rsidRDefault="002A2FBC" w:rsidP="002A2FBC">
      <w:pPr>
        <w:keepNext/>
      </w:pPr>
      <w:proofErr w:type="gramStart"/>
      <w:r>
        <w:rPr>
          <w:b/>
          <w:bCs/>
        </w:rPr>
        <w:lastRenderedPageBreak/>
        <w:t>Q.</w:t>
      </w:r>
      <w:r>
        <w:rPr>
          <w:b/>
          <w:bCs/>
        </w:rPr>
        <w:tab/>
        <w:t>Do these</w:t>
      </w:r>
      <w:r w:rsidRPr="007214A1">
        <w:rPr>
          <w:b/>
          <w:bCs/>
        </w:rPr>
        <w:t xml:space="preserve"> rating </w:t>
      </w:r>
      <w:r>
        <w:rPr>
          <w:b/>
          <w:bCs/>
        </w:rPr>
        <w:t xml:space="preserve">agency </w:t>
      </w:r>
      <w:r w:rsidRPr="007214A1">
        <w:rPr>
          <w:b/>
          <w:bCs/>
        </w:rPr>
        <w:t>action</w:t>
      </w:r>
      <w:r>
        <w:rPr>
          <w:b/>
          <w:bCs/>
        </w:rPr>
        <w:t>s</w:t>
      </w:r>
      <w:r w:rsidRPr="007214A1">
        <w:rPr>
          <w:b/>
          <w:bCs/>
        </w:rPr>
        <w:t xml:space="preserve"> change the Company</w:t>
      </w:r>
      <w:r>
        <w:rPr>
          <w:b/>
          <w:bCs/>
        </w:rPr>
        <w:t>’</w:t>
      </w:r>
      <w:r w:rsidRPr="007214A1">
        <w:rPr>
          <w:b/>
          <w:bCs/>
        </w:rPr>
        <w:t>s ne</w:t>
      </w:r>
      <w:r>
        <w:rPr>
          <w:b/>
          <w:bCs/>
        </w:rPr>
        <w:t xml:space="preserve">ed to add equity to its capital </w:t>
      </w:r>
      <w:r w:rsidRPr="007214A1">
        <w:rPr>
          <w:b/>
          <w:bCs/>
        </w:rPr>
        <w:t>structure and improve its financial metrics?</w:t>
      </w:r>
      <w:proofErr w:type="gramEnd"/>
    </w:p>
    <w:p w:rsidR="002A2FBC" w:rsidRDefault="002A2FBC" w:rsidP="002A2FBC">
      <w:r w:rsidRPr="007214A1">
        <w:t>A.</w:t>
      </w:r>
      <w:r>
        <w:tab/>
        <w:t>No.  Without continued improvement in financial metrics along with supportive state regulatory outcomes in rate cases, the ratings direction is likely to be lower rather than higher for PacifiCorp.</w:t>
      </w:r>
    </w:p>
    <w:p w:rsidR="002A2FBC" w:rsidRPr="00E03287" w:rsidRDefault="002A2FBC" w:rsidP="002A2FBC">
      <w:pPr>
        <w:rPr>
          <w:b/>
        </w:rPr>
      </w:pPr>
      <w:r w:rsidRPr="00E03287">
        <w:rPr>
          <w:b/>
        </w:rPr>
        <w:t>Q.</w:t>
      </w:r>
      <w:r w:rsidRPr="00E03287">
        <w:rPr>
          <w:b/>
        </w:rPr>
        <w:tab/>
        <w:t>Do S&amp;P</w:t>
      </w:r>
      <w:r>
        <w:rPr>
          <w:b/>
        </w:rPr>
        <w:t>’</w:t>
      </w:r>
      <w:r w:rsidRPr="00E03287">
        <w:rPr>
          <w:b/>
        </w:rPr>
        <w:t>s recent credit report</w:t>
      </w:r>
      <w:r w:rsidR="00F379B6">
        <w:rPr>
          <w:b/>
        </w:rPr>
        <w:t>s</w:t>
      </w:r>
      <w:r w:rsidRPr="00E03287">
        <w:rPr>
          <w:b/>
        </w:rPr>
        <w:t xml:space="preserve"> on PacifiCorp underline S&amp;P</w:t>
      </w:r>
      <w:r>
        <w:rPr>
          <w:b/>
        </w:rPr>
        <w:t>’s</w:t>
      </w:r>
      <w:r w:rsidRPr="00E03287">
        <w:rPr>
          <w:b/>
        </w:rPr>
        <w:t xml:space="preserve"> expectation that PacifiCorp improve its financial metrics in order to maintain its current credit rating?  </w:t>
      </w:r>
    </w:p>
    <w:p w:rsidR="00387151" w:rsidRDefault="002A2FBC" w:rsidP="00142D02">
      <w:r>
        <w:t>A.</w:t>
      </w:r>
      <w:r>
        <w:tab/>
        <w:t>Yes.  S&amp;P made several references to the need for PacifiCorp to improve its stand-alone financial metrics, noting that PacifiCorp had a “</w:t>
      </w:r>
      <w:r w:rsidRPr="00E03287">
        <w:t>significant financial risk profile that reflects a large capital program</w:t>
      </w:r>
      <w:r>
        <w:t xml:space="preserve"> </w:t>
      </w:r>
      <w:r w:rsidRPr="00E03287">
        <w:t>and the need to shore up cash flow metrics.</w:t>
      </w:r>
      <w:r>
        <w:t>” S&amp;P also stated that “</w:t>
      </w:r>
      <w:r w:rsidRPr="00273CD3">
        <w:t xml:space="preserve">Given the recent turmoil in both liquidity and the capital markets, </w:t>
      </w:r>
      <w:r w:rsidR="00440AE0" w:rsidRPr="007C618C">
        <w:t>we</w:t>
      </w:r>
      <w:r w:rsidRPr="00273CD3">
        <w:t xml:space="preserve"> have taken a firmer view on the need to link</w:t>
      </w:r>
      <w:r>
        <w:t xml:space="preserve"> </w:t>
      </w:r>
      <w:r w:rsidRPr="00273CD3">
        <w:t xml:space="preserve">the short-term ratings on PacifiCorp to its stand-alone credit quality, which supports an </w:t>
      </w:r>
      <w:r>
        <w:t>‘</w:t>
      </w:r>
      <w:r w:rsidRPr="00273CD3">
        <w:t>A-2</w:t>
      </w:r>
      <w:r>
        <w:t>’</w:t>
      </w:r>
      <w:r w:rsidRPr="00273CD3">
        <w:t xml:space="preserve"> short-term rating.</w:t>
      </w:r>
      <w:r>
        <w:t xml:space="preserve">”  Exhibit </w:t>
      </w:r>
      <w:r w:rsidR="00F379B6">
        <w:t>No.</w:t>
      </w:r>
      <w:r w:rsidR="00EE22DD">
        <w:t>_</w:t>
      </w:r>
      <w:r w:rsidR="00B63011">
        <w:softHyphen/>
        <w:t>_</w:t>
      </w:r>
      <w:proofErr w:type="gramStart"/>
      <w:r w:rsidR="008E6938">
        <w:t>_</w:t>
      </w:r>
      <w:r w:rsidR="00F379B6">
        <w:t>(</w:t>
      </w:r>
      <w:proofErr w:type="gramEnd"/>
      <w:r w:rsidR="00F379B6">
        <w:t>BNW-3)</w:t>
      </w:r>
      <w:r w:rsidR="00EE22DD">
        <w:t xml:space="preserve"> is </w:t>
      </w:r>
      <w:r>
        <w:t>the February 17, 2010 S</w:t>
      </w:r>
      <w:r w:rsidR="00F379B6">
        <w:t>&amp;</w:t>
      </w:r>
      <w:r>
        <w:t>P Ratings Direct publication.  S&amp;P also reiterated its credit views including that “supportive rate case outcomes remain key to maintaining and improving financial performance.”</w:t>
      </w:r>
    </w:p>
    <w:p w:rsidR="00A30FED" w:rsidRDefault="00A30FED" w:rsidP="009F2D1B">
      <w:pPr>
        <w:pStyle w:val="BodyTextIndent"/>
        <w:widowControl w:val="0"/>
        <w:rPr>
          <w:b/>
          <w:bCs/>
        </w:rPr>
      </w:pPr>
      <w:r>
        <w:rPr>
          <w:b/>
          <w:bCs/>
        </w:rPr>
        <w:t>Purchase Power Agreements</w:t>
      </w:r>
    </w:p>
    <w:p w:rsidR="00785152" w:rsidRDefault="00785152" w:rsidP="009F2D1B">
      <w:pPr>
        <w:pStyle w:val="BodyTextIndent"/>
        <w:widowControl w:val="0"/>
      </w:pPr>
      <w:r>
        <w:rPr>
          <w:b/>
          <w:bCs/>
        </w:rPr>
        <w:t xml:space="preserve">Q. </w:t>
      </w:r>
      <w:r>
        <w:rPr>
          <w:b/>
          <w:bCs/>
        </w:rPr>
        <w:tab/>
        <w:t>Is the Company subject to rating agency debt imputation associated with Purchase</w:t>
      </w:r>
      <w:r>
        <w:t xml:space="preserve"> </w:t>
      </w:r>
      <w:r>
        <w:rPr>
          <w:b/>
          <w:bCs/>
        </w:rPr>
        <w:t>Power Agreements?</w:t>
      </w:r>
      <w:r>
        <w:t xml:space="preserve"> </w:t>
      </w:r>
    </w:p>
    <w:p w:rsidR="00785152" w:rsidRDefault="00785152" w:rsidP="009F2D1B">
      <w:pPr>
        <w:pStyle w:val="BodyTextIndent"/>
        <w:widowControl w:val="0"/>
      </w:pPr>
      <w:r>
        <w:t>A.</w:t>
      </w:r>
      <w:r>
        <w:tab/>
        <w:t xml:space="preserve">Yes.  Rating agencies and financial analysts consider </w:t>
      </w:r>
      <w:r w:rsidR="00673D6C">
        <w:t>p</w:t>
      </w:r>
      <w:r>
        <w:t xml:space="preserve">urchase </w:t>
      </w:r>
      <w:r w:rsidR="00673D6C">
        <w:t>p</w:t>
      </w:r>
      <w:r>
        <w:t xml:space="preserve">ower </w:t>
      </w:r>
      <w:r w:rsidR="00673D6C">
        <w:t>a</w:t>
      </w:r>
      <w:r>
        <w:t xml:space="preserve">greements (PPAs) to be debt-like and will impute debt and related interest when calculating </w:t>
      </w:r>
      <w:r>
        <w:lastRenderedPageBreak/>
        <w:t xml:space="preserve">financial ratios.  For example, S&amp;P will adjust the Company’s published financial results and </w:t>
      </w:r>
      <w:r w:rsidR="0009641E">
        <w:t>impute</w:t>
      </w:r>
      <w:r>
        <w:t xml:space="preserve"> debt</w:t>
      </w:r>
      <w:r w:rsidR="0009641E">
        <w:t xml:space="preserve"> balances</w:t>
      </w:r>
      <w:r>
        <w:t xml:space="preserve"> and interest </w:t>
      </w:r>
      <w:r w:rsidR="0009641E">
        <w:t xml:space="preserve">expense </w:t>
      </w:r>
      <w:r w:rsidR="00673D6C">
        <w:t>resulting from</w:t>
      </w:r>
      <w:r w:rsidR="0009641E">
        <w:t xml:space="preserve"> </w:t>
      </w:r>
      <w:r>
        <w:t xml:space="preserve">PPAs when assessing creditworthiness.  </w:t>
      </w:r>
      <w:r w:rsidR="00673D6C">
        <w:t>It does</w:t>
      </w:r>
      <w:r>
        <w:t xml:space="preserve"> so in order to obtain a more accurate assessment of a company’s financial commitments and fixed payments.  Exhibit </w:t>
      </w:r>
      <w:r w:rsidR="00FC3EFB">
        <w:t>No.</w:t>
      </w:r>
      <w:r w:rsidR="003D4B2D">
        <w:t>_</w:t>
      </w:r>
      <w:r w:rsidR="00B63011">
        <w:t>_</w:t>
      </w:r>
      <w:proofErr w:type="gramStart"/>
      <w:r w:rsidR="003D4B2D">
        <w:t>_</w:t>
      </w:r>
      <w:r>
        <w:t>(</w:t>
      </w:r>
      <w:proofErr w:type="gramEnd"/>
      <w:r>
        <w:t>BNW-</w:t>
      </w:r>
      <w:r w:rsidR="000B5294">
        <w:t>4</w:t>
      </w:r>
      <w:r>
        <w:t xml:space="preserve">) is the May </w:t>
      </w:r>
      <w:r w:rsidR="00673D6C">
        <w:t>7,</w:t>
      </w:r>
      <w:r>
        <w:t xml:space="preserve"> </w:t>
      </w:r>
      <w:r w:rsidR="00F379B6">
        <w:t>2007</w:t>
      </w:r>
      <w:r>
        <w:t xml:space="preserve"> publication by S&amp;P detailing its view of the debt aspects of PPAs</w:t>
      </w:r>
      <w:r w:rsidR="008E6938">
        <w:t>.</w:t>
      </w:r>
      <w:r>
        <w:t xml:space="preserve"> </w:t>
      </w:r>
    </w:p>
    <w:p w:rsidR="00785152" w:rsidRDefault="00785152" w:rsidP="00E45B69">
      <w:pPr>
        <w:pStyle w:val="BodyTextIndent"/>
        <w:rPr>
          <w:b/>
          <w:bCs/>
        </w:rPr>
      </w:pPr>
      <w:r>
        <w:rPr>
          <w:b/>
          <w:bCs/>
        </w:rPr>
        <w:t>Q.</w:t>
      </w:r>
      <w:r>
        <w:rPr>
          <w:b/>
          <w:bCs/>
        </w:rPr>
        <w:tab/>
        <w:t xml:space="preserve">How does this impact the Company? </w:t>
      </w:r>
    </w:p>
    <w:p w:rsidR="000F52AA" w:rsidRDefault="00785152" w:rsidP="00142D02">
      <w:pPr>
        <w:pStyle w:val="BodyText2"/>
      </w:pPr>
      <w:r>
        <w:t xml:space="preserve">A. </w:t>
      </w:r>
      <w:r>
        <w:tab/>
      </w:r>
      <w:r w:rsidR="00673D6C">
        <w:t>In the</w:t>
      </w:r>
      <w:r w:rsidR="00B816E1">
        <w:t>ir</w:t>
      </w:r>
      <w:r w:rsidR="00673D6C">
        <w:t xml:space="preserve"> February 17, 2010 Ratings Direct report cited above,</w:t>
      </w:r>
      <w:r>
        <w:t xml:space="preserve"> S&amp;P </w:t>
      </w:r>
      <w:r w:rsidR="00B816E1">
        <w:t>stated that approximately</w:t>
      </w:r>
      <w:r>
        <w:t xml:space="preserve"> $4</w:t>
      </w:r>
      <w:r w:rsidR="00673D6C">
        <w:t>25</w:t>
      </w:r>
      <w:r>
        <w:t xml:space="preserve"> million of additional debt and related interest expense were added to </w:t>
      </w:r>
      <w:r w:rsidR="004E21CB">
        <w:t>the Company’s</w:t>
      </w:r>
      <w:r>
        <w:t xml:space="preserve"> debt and coverage tests </w:t>
      </w:r>
      <w:r w:rsidR="00673D6C">
        <w:t xml:space="preserve">solely </w:t>
      </w:r>
      <w:r>
        <w:t xml:space="preserve">as a result of PPAs. </w:t>
      </w:r>
      <w:r w:rsidR="00142D02">
        <w:t xml:space="preserve">There were also other adjustments made by S&amp;P that resulted in an imputation into PacifiCorp’s credit ratios of approximately $1 billion of debt and $73 million of interest in total.  These adjustments are detailed by S&amp;P in their April 1, 2009 Ratings Direct report </w:t>
      </w:r>
      <w:r w:rsidR="006E2438">
        <w:t xml:space="preserve">attached as </w:t>
      </w:r>
      <w:r w:rsidR="00142D02">
        <w:t>Exhibit No._</w:t>
      </w:r>
      <w:r w:rsidR="00B56D21">
        <w:t>_</w:t>
      </w:r>
      <w:proofErr w:type="gramStart"/>
      <w:r w:rsidR="00B63011">
        <w:t>_</w:t>
      </w:r>
      <w:r w:rsidR="008E6938">
        <w:t>(</w:t>
      </w:r>
      <w:proofErr w:type="gramEnd"/>
      <w:r w:rsidR="00142D02">
        <w:t>BNW-5)</w:t>
      </w:r>
      <w:r w:rsidR="008E6938">
        <w:t>.</w:t>
      </w:r>
    </w:p>
    <w:p w:rsidR="00142D02" w:rsidRDefault="00142D02" w:rsidP="00142D02">
      <w:pPr>
        <w:pStyle w:val="BodyText2"/>
        <w:rPr>
          <w:b/>
          <w:bCs/>
        </w:rPr>
      </w:pPr>
      <w:r>
        <w:rPr>
          <w:b/>
          <w:bCs/>
        </w:rPr>
        <w:t xml:space="preserve">Q.  </w:t>
      </w:r>
      <w:r>
        <w:rPr>
          <w:b/>
          <w:bCs/>
        </w:rPr>
        <w:tab/>
        <w:t xml:space="preserve">How would the inclusion of this PPA-related debt and these other adjustments affect the Company’s capital structure as S&amp;P reviews credit metrics? </w:t>
      </w:r>
    </w:p>
    <w:p w:rsidR="00142D02" w:rsidRDefault="00142D02" w:rsidP="00142D02">
      <w:pPr>
        <w:pStyle w:val="BodyText2"/>
      </w:pPr>
      <w:r>
        <w:t xml:space="preserve">A.  </w:t>
      </w:r>
      <w:r>
        <w:tab/>
        <w:t xml:space="preserve">Negatively.  By including the imputed debt resulting from PPAs and these other adjustments, the Company’s capital structure has a lower equity component as a corollary to the higher debt component, lower coverage ratios and reduced financial flexibility than what might otherwise appear to be the case from a review of the book value capital structure.  For example, if one were to add the $1 billion of debt adjustments that S&amp;P makes to the Company’s capital structure in </w:t>
      </w:r>
      <w:r>
        <w:lastRenderedPageBreak/>
        <w:t xml:space="preserve">this case, the resulting common equity percentage would decline from 52.1 percent to </w:t>
      </w:r>
      <w:r w:rsidR="00196C99">
        <w:t>48.4</w:t>
      </w:r>
      <w:r>
        <w:t xml:space="preserve"> percent.  The table below shows the proposed capital structure and how the S&amp;P adjustments impact the components.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041"/>
        <w:gridCol w:w="1739"/>
        <w:gridCol w:w="2448"/>
      </w:tblGrid>
      <w:tr w:rsidR="00142D02" w:rsidTr="00F7759B">
        <w:tc>
          <w:tcPr>
            <w:tcW w:w="8136" w:type="dxa"/>
            <w:gridSpan w:val="4"/>
          </w:tcPr>
          <w:p w:rsidR="00142D02" w:rsidRPr="00F171B8" w:rsidRDefault="00142D02" w:rsidP="00F7759B">
            <w:pPr>
              <w:pStyle w:val="BodyText2"/>
              <w:keepNext/>
              <w:keepLines/>
              <w:spacing w:line="240" w:lineRule="auto"/>
              <w:ind w:left="0" w:firstLine="0"/>
              <w:jc w:val="center"/>
              <w:rPr>
                <w:b/>
                <w:sz w:val="22"/>
                <w:szCs w:val="22"/>
              </w:rPr>
            </w:pPr>
            <w:r w:rsidRPr="00CA0878">
              <w:rPr>
                <w:b/>
              </w:rPr>
              <w:t>Illustration of Rating Agency Adjustments to PacifiCorp</w:t>
            </w:r>
            <w:r>
              <w:rPr>
                <w:b/>
              </w:rPr>
              <w:t>’</w:t>
            </w:r>
            <w:r w:rsidRPr="00CA0878">
              <w:rPr>
                <w:b/>
              </w:rPr>
              <w:t>s Capital Structure</w:t>
            </w:r>
          </w:p>
          <w:p w:rsidR="00142D02" w:rsidRDefault="00142D02" w:rsidP="00F7759B">
            <w:pPr>
              <w:pStyle w:val="BodyText2"/>
              <w:keepNext/>
              <w:keepLines/>
              <w:spacing w:line="240" w:lineRule="auto"/>
              <w:ind w:left="0" w:firstLine="0"/>
              <w:jc w:val="center"/>
            </w:pPr>
            <w:r w:rsidRPr="00CA0878">
              <w:rPr>
                <w:b/>
              </w:rPr>
              <w:t>($ in millions)</w:t>
            </w:r>
          </w:p>
        </w:tc>
      </w:tr>
      <w:tr w:rsidR="00142D02" w:rsidTr="00362B48">
        <w:tc>
          <w:tcPr>
            <w:tcW w:w="1908" w:type="dxa"/>
          </w:tcPr>
          <w:p w:rsidR="00142D02" w:rsidRPr="00F171B8" w:rsidRDefault="00142D02" w:rsidP="00F7759B">
            <w:pPr>
              <w:pStyle w:val="BodyText2"/>
              <w:keepNext/>
              <w:keepLines/>
              <w:spacing w:line="240" w:lineRule="auto"/>
              <w:ind w:left="0" w:firstLine="0"/>
            </w:pPr>
          </w:p>
        </w:tc>
        <w:tc>
          <w:tcPr>
            <w:tcW w:w="2041" w:type="dxa"/>
          </w:tcPr>
          <w:p w:rsidR="00142D02" w:rsidRPr="00F171B8" w:rsidRDefault="00142D02" w:rsidP="00362B48">
            <w:pPr>
              <w:pStyle w:val="BodyText2"/>
              <w:keepNext/>
              <w:keepLines/>
              <w:spacing w:line="240" w:lineRule="auto"/>
              <w:ind w:left="0" w:firstLine="0"/>
              <w:jc w:val="center"/>
              <w:rPr>
                <w:sz w:val="22"/>
                <w:szCs w:val="22"/>
              </w:rPr>
            </w:pPr>
            <w:r w:rsidRPr="00CA0878">
              <w:t xml:space="preserve">Book </w:t>
            </w:r>
            <w:r>
              <w:t>V</w:t>
            </w:r>
            <w:r w:rsidRPr="00CA0878">
              <w:t>alues</w:t>
            </w:r>
            <w:r>
              <w:t xml:space="preserve"> </w:t>
            </w:r>
            <w:r w:rsidRPr="00CA0878">
              <w:t>/</w:t>
            </w:r>
            <w:r>
              <w:t xml:space="preserve"> </w:t>
            </w:r>
            <w:r w:rsidRPr="00CA0878">
              <w:t>Ratios</w:t>
            </w:r>
          </w:p>
        </w:tc>
        <w:tc>
          <w:tcPr>
            <w:tcW w:w="1739" w:type="dxa"/>
          </w:tcPr>
          <w:p w:rsidR="00362B48" w:rsidRPr="00362B48" w:rsidRDefault="00142D02" w:rsidP="00362B48">
            <w:pPr>
              <w:pStyle w:val="BodyText2"/>
              <w:keepNext/>
              <w:keepLines/>
              <w:spacing w:line="240" w:lineRule="auto"/>
              <w:ind w:left="0" w:firstLine="0"/>
              <w:jc w:val="center"/>
              <w:rPr>
                <w:sz w:val="22"/>
                <w:szCs w:val="22"/>
              </w:rPr>
            </w:pPr>
            <w:r w:rsidRPr="00CA0878">
              <w:t>Rating Agency Adjustments</w:t>
            </w:r>
          </w:p>
        </w:tc>
        <w:tc>
          <w:tcPr>
            <w:tcW w:w="2448" w:type="dxa"/>
          </w:tcPr>
          <w:p w:rsidR="00142D02" w:rsidRPr="00F171B8" w:rsidRDefault="00142D02" w:rsidP="00F7759B">
            <w:pPr>
              <w:pStyle w:val="BodyText2"/>
              <w:keepNext/>
              <w:keepLines/>
              <w:spacing w:line="240" w:lineRule="auto"/>
              <w:ind w:left="0" w:firstLine="0"/>
              <w:jc w:val="center"/>
              <w:rPr>
                <w:sz w:val="22"/>
                <w:szCs w:val="22"/>
              </w:rPr>
            </w:pPr>
            <w:r w:rsidRPr="00CA0878">
              <w:t xml:space="preserve">Adjusted Book </w:t>
            </w:r>
            <w:r>
              <w:t>V</w:t>
            </w:r>
            <w:r w:rsidRPr="00CA0878">
              <w:t>alues</w:t>
            </w:r>
            <w:r w:rsidR="00362B48">
              <w:t xml:space="preserve"> </w:t>
            </w:r>
            <w:r w:rsidRPr="00CA0878">
              <w:t>/</w:t>
            </w:r>
            <w:r>
              <w:t xml:space="preserve"> R</w:t>
            </w:r>
            <w:r w:rsidRPr="00CA0878">
              <w:t>atios</w:t>
            </w:r>
          </w:p>
        </w:tc>
      </w:tr>
      <w:tr w:rsidR="00142D02" w:rsidTr="00362B48">
        <w:tc>
          <w:tcPr>
            <w:tcW w:w="1908" w:type="dxa"/>
          </w:tcPr>
          <w:p w:rsidR="00142D02" w:rsidRPr="00F171B8" w:rsidRDefault="00142D02" w:rsidP="00F7759B">
            <w:pPr>
              <w:pStyle w:val="BodyText2"/>
              <w:keepNext/>
              <w:keepLines/>
              <w:spacing w:line="240" w:lineRule="auto"/>
              <w:ind w:left="0" w:firstLine="0"/>
              <w:rPr>
                <w:sz w:val="22"/>
                <w:szCs w:val="22"/>
              </w:rPr>
            </w:pPr>
            <w:r w:rsidRPr="00F171B8">
              <w:t>Long-Term Debt</w:t>
            </w:r>
          </w:p>
        </w:tc>
        <w:tc>
          <w:tcPr>
            <w:tcW w:w="2041" w:type="dxa"/>
          </w:tcPr>
          <w:p w:rsidR="00142D02" w:rsidRPr="00F171B8" w:rsidRDefault="00B56D21" w:rsidP="00F7759B">
            <w:pPr>
              <w:pStyle w:val="BodyText2"/>
              <w:keepNext/>
              <w:keepLines/>
              <w:spacing w:line="240" w:lineRule="auto"/>
              <w:ind w:left="0" w:firstLine="0"/>
              <w:jc w:val="center"/>
              <w:rPr>
                <w:sz w:val="22"/>
                <w:szCs w:val="22"/>
              </w:rPr>
            </w:pPr>
            <w:r>
              <w:rPr>
                <w:sz w:val="22"/>
                <w:szCs w:val="22"/>
              </w:rPr>
              <w:t>$</w:t>
            </w:r>
            <w:r w:rsidR="000D7CCB">
              <w:rPr>
                <w:sz w:val="22"/>
                <w:szCs w:val="22"/>
              </w:rPr>
              <w:t>6,369/47.6%</w:t>
            </w:r>
          </w:p>
        </w:tc>
        <w:tc>
          <w:tcPr>
            <w:tcW w:w="1739" w:type="dxa"/>
          </w:tcPr>
          <w:p w:rsidR="00142D02" w:rsidRPr="00F171B8" w:rsidRDefault="00142D02" w:rsidP="00F7759B">
            <w:pPr>
              <w:pStyle w:val="BodyText2"/>
              <w:keepNext/>
              <w:keepLines/>
              <w:spacing w:line="240" w:lineRule="auto"/>
              <w:ind w:left="0" w:firstLine="0"/>
              <w:jc w:val="center"/>
              <w:rPr>
                <w:sz w:val="22"/>
                <w:szCs w:val="22"/>
              </w:rPr>
            </w:pPr>
            <w:r w:rsidRPr="00CA0878">
              <w:t>$1,034</w:t>
            </w:r>
          </w:p>
        </w:tc>
        <w:tc>
          <w:tcPr>
            <w:tcW w:w="2448" w:type="dxa"/>
          </w:tcPr>
          <w:p w:rsidR="00142D02" w:rsidRPr="00F171B8" w:rsidRDefault="00B56D21" w:rsidP="00F7759B">
            <w:pPr>
              <w:pStyle w:val="BodyText2"/>
              <w:keepNext/>
              <w:keepLines/>
              <w:spacing w:line="240" w:lineRule="auto"/>
              <w:ind w:left="0" w:firstLine="0"/>
              <w:jc w:val="center"/>
              <w:rPr>
                <w:sz w:val="22"/>
                <w:szCs w:val="22"/>
              </w:rPr>
            </w:pPr>
            <w:r>
              <w:rPr>
                <w:sz w:val="22"/>
                <w:szCs w:val="22"/>
              </w:rPr>
              <w:t>$</w:t>
            </w:r>
            <w:r w:rsidR="000D7CCB">
              <w:rPr>
                <w:sz w:val="22"/>
                <w:szCs w:val="22"/>
              </w:rPr>
              <w:t>7,403/51.3%</w:t>
            </w:r>
          </w:p>
        </w:tc>
      </w:tr>
      <w:tr w:rsidR="00142D02" w:rsidTr="00362B48">
        <w:tc>
          <w:tcPr>
            <w:tcW w:w="1908" w:type="dxa"/>
          </w:tcPr>
          <w:p w:rsidR="00142D02" w:rsidRPr="00F171B8" w:rsidRDefault="00142D02" w:rsidP="00F7759B">
            <w:pPr>
              <w:pStyle w:val="BodyText2"/>
              <w:keepNext/>
              <w:keepLines/>
              <w:spacing w:line="240" w:lineRule="auto"/>
              <w:ind w:left="0" w:firstLine="0"/>
            </w:pPr>
            <w:r w:rsidRPr="00F171B8">
              <w:t>Preferred Stock</w:t>
            </w:r>
          </w:p>
        </w:tc>
        <w:tc>
          <w:tcPr>
            <w:tcW w:w="2041" w:type="dxa"/>
          </w:tcPr>
          <w:p w:rsidR="00142D02" w:rsidRPr="00F171B8" w:rsidRDefault="00362B48" w:rsidP="00F7759B">
            <w:pPr>
              <w:pStyle w:val="BodyText2"/>
              <w:keepNext/>
              <w:keepLines/>
              <w:spacing w:line="240" w:lineRule="auto"/>
              <w:ind w:left="0" w:firstLine="0"/>
              <w:jc w:val="center"/>
              <w:rPr>
                <w:sz w:val="22"/>
                <w:szCs w:val="22"/>
              </w:rPr>
            </w:pPr>
            <w:r>
              <w:rPr>
                <w:sz w:val="22"/>
                <w:szCs w:val="22"/>
              </w:rPr>
              <w:t>$</w:t>
            </w:r>
            <w:r w:rsidR="000D7CCB">
              <w:rPr>
                <w:sz w:val="22"/>
                <w:szCs w:val="22"/>
              </w:rPr>
              <w:t>41/0.3%</w:t>
            </w:r>
          </w:p>
        </w:tc>
        <w:tc>
          <w:tcPr>
            <w:tcW w:w="1739" w:type="dxa"/>
          </w:tcPr>
          <w:p w:rsidR="00142D02" w:rsidRPr="00F171B8" w:rsidRDefault="00142D02" w:rsidP="00F7759B">
            <w:pPr>
              <w:pStyle w:val="BodyText2"/>
              <w:keepNext/>
              <w:keepLines/>
              <w:spacing w:line="240" w:lineRule="auto"/>
              <w:ind w:left="0" w:firstLine="0"/>
              <w:jc w:val="center"/>
              <w:rPr>
                <w:sz w:val="22"/>
                <w:szCs w:val="22"/>
              </w:rPr>
            </w:pPr>
            <w:r w:rsidRPr="00CA0878">
              <w:t>0</w:t>
            </w:r>
          </w:p>
        </w:tc>
        <w:tc>
          <w:tcPr>
            <w:tcW w:w="2448" w:type="dxa"/>
          </w:tcPr>
          <w:p w:rsidR="00142D02" w:rsidRPr="00F171B8" w:rsidRDefault="00362B48" w:rsidP="00F7759B">
            <w:pPr>
              <w:pStyle w:val="BodyText2"/>
              <w:keepNext/>
              <w:keepLines/>
              <w:spacing w:line="240" w:lineRule="auto"/>
              <w:ind w:left="0" w:firstLine="0"/>
              <w:jc w:val="center"/>
              <w:rPr>
                <w:sz w:val="22"/>
                <w:szCs w:val="22"/>
              </w:rPr>
            </w:pPr>
            <w:r>
              <w:rPr>
                <w:sz w:val="22"/>
                <w:szCs w:val="22"/>
              </w:rPr>
              <w:t>$</w:t>
            </w:r>
            <w:r w:rsidR="000D7CCB">
              <w:rPr>
                <w:sz w:val="22"/>
                <w:szCs w:val="22"/>
              </w:rPr>
              <w:t>41/0.3%</w:t>
            </w:r>
          </w:p>
        </w:tc>
      </w:tr>
      <w:tr w:rsidR="00142D02" w:rsidTr="00362B48">
        <w:tc>
          <w:tcPr>
            <w:tcW w:w="1908" w:type="dxa"/>
          </w:tcPr>
          <w:p w:rsidR="00142D02" w:rsidRPr="00F171B8" w:rsidRDefault="00142D02" w:rsidP="00F7759B">
            <w:pPr>
              <w:pStyle w:val="BodyText2"/>
              <w:keepNext/>
              <w:keepLines/>
              <w:spacing w:line="240" w:lineRule="auto"/>
              <w:ind w:left="0" w:firstLine="0"/>
            </w:pPr>
            <w:r w:rsidRPr="00F171B8">
              <w:t>Common Equity</w:t>
            </w:r>
          </w:p>
        </w:tc>
        <w:tc>
          <w:tcPr>
            <w:tcW w:w="2041" w:type="dxa"/>
          </w:tcPr>
          <w:p w:rsidR="00142D02" w:rsidRPr="00F171B8" w:rsidRDefault="00362B48" w:rsidP="00F7759B">
            <w:pPr>
              <w:pStyle w:val="BodyText2"/>
              <w:keepNext/>
              <w:keepLines/>
              <w:spacing w:line="240" w:lineRule="auto"/>
              <w:ind w:left="0" w:firstLine="0"/>
              <w:jc w:val="center"/>
              <w:rPr>
                <w:sz w:val="22"/>
                <w:szCs w:val="22"/>
              </w:rPr>
            </w:pPr>
            <w:r>
              <w:rPr>
                <w:sz w:val="22"/>
                <w:szCs w:val="22"/>
              </w:rPr>
              <w:t>$</w:t>
            </w:r>
            <w:r w:rsidR="000D7CCB">
              <w:rPr>
                <w:sz w:val="22"/>
                <w:szCs w:val="22"/>
              </w:rPr>
              <w:t>6,984/52.1%</w:t>
            </w:r>
          </w:p>
        </w:tc>
        <w:tc>
          <w:tcPr>
            <w:tcW w:w="1739" w:type="dxa"/>
          </w:tcPr>
          <w:p w:rsidR="00142D02" w:rsidRPr="00F171B8" w:rsidRDefault="00142D02" w:rsidP="00F7759B">
            <w:pPr>
              <w:pStyle w:val="BodyText2"/>
              <w:keepNext/>
              <w:keepLines/>
              <w:spacing w:line="240" w:lineRule="auto"/>
              <w:ind w:left="0" w:firstLine="0"/>
              <w:jc w:val="center"/>
              <w:rPr>
                <w:sz w:val="22"/>
                <w:szCs w:val="22"/>
              </w:rPr>
            </w:pPr>
            <w:r w:rsidRPr="00CA0878">
              <w:t>0</w:t>
            </w:r>
          </w:p>
        </w:tc>
        <w:tc>
          <w:tcPr>
            <w:tcW w:w="2448" w:type="dxa"/>
          </w:tcPr>
          <w:p w:rsidR="00142D02" w:rsidRPr="00F171B8" w:rsidRDefault="00362B48" w:rsidP="00F7759B">
            <w:pPr>
              <w:pStyle w:val="BodyText2"/>
              <w:keepNext/>
              <w:keepLines/>
              <w:spacing w:line="240" w:lineRule="auto"/>
              <w:ind w:left="0" w:firstLine="0"/>
              <w:jc w:val="center"/>
              <w:rPr>
                <w:sz w:val="22"/>
                <w:szCs w:val="22"/>
              </w:rPr>
            </w:pPr>
            <w:r>
              <w:rPr>
                <w:sz w:val="22"/>
                <w:szCs w:val="22"/>
              </w:rPr>
              <w:t>$</w:t>
            </w:r>
            <w:r w:rsidR="000D7CCB">
              <w:rPr>
                <w:sz w:val="22"/>
                <w:szCs w:val="22"/>
              </w:rPr>
              <w:t>6,984/48.4%</w:t>
            </w:r>
          </w:p>
        </w:tc>
      </w:tr>
      <w:tr w:rsidR="00142D02" w:rsidTr="00362B48">
        <w:tc>
          <w:tcPr>
            <w:tcW w:w="1908" w:type="dxa"/>
          </w:tcPr>
          <w:p w:rsidR="00142D02" w:rsidRPr="00F171B8" w:rsidRDefault="00142D02" w:rsidP="00F7759B">
            <w:pPr>
              <w:pStyle w:val="BodyText2"/>
              <w:keepNext/>
              <w:keepLines/>
              <w:spacing w:line="240" w:lineRule="auto"/>
              <w:ind w:left="0" w:firstLine="0"/>
            </w:pPr>
            <w:r w:rsidRPr="00F171B8">
              <w:t>Totals</w:t>
            </w:r>
          </w:p>
        </w:tc>
        <w:tc>
          <w:tcPr>
            <w:tcW w:w="2041" w:type="dxa"/>
          </w:tcPr>
          <w:p w:rsidR="00142D02" w:rsidRPr="00F171B8" w:rsidRDefault="000D7CCB" w:rsidP="00F7759B">
            <w:pPr>
              <w:pStyle w:val="BodyText2"/>
              <w:keepNext/>
              <w:keepLines/>
              <w:spacing w:line="240" w:lineRule="auto"/>
              <w:ind w:left="0" w:firstLine="0"/>
              <w:jc w:val="center"/>
              <w:rPr>
                <w:sz w:val="22"/>
                <w:szCs w:val="22"/>
              </w:rPr>
            </w:pPr>
            <w:r>
              <w:rPr>
                <w:sz w:val="22"/>
                <w:szCs w:val="22"/>
              </w:rPr>
              <w:t>$13,394/100.0%</w:t>
            </w:r>
          </w:p>
        </w:tc>
        <w:tc>
          <w:tcPr>
            <w:tcW w:w="1739" w:type="dxa"/>
          </w:tcPr>
          <w:p w:rsidR="00142D02" w:rsidRPr="00F171B8" w:rsidRDefault="000D7CCB" w:rsidP="00196C99">
            <w:pPr>
              <w:pStyle w:val="BodyText2"/>
              <w:keepNext/>
              <w:keepLines/>
              <w:spacing w:line="240" w:lineRule="auto"/>
              <w:ind w:left="0" w:firstLine="0"/>
              <w:rPr>
                <w:sz w:val="22"/>
                <w:szCs w:val="22"/>
              </w:rPr>
            </w:pPr>
            <w:r>
              <w:rPr>
                <w:sz w:val="22"/>
                <w:szCs w:val="22"/>
              </w:rPr>
              <w:t xml:space="preserve">       $1,034</w:t>
            </w:r>
          </w:p>
        </w:tc>
        <w:tc>
          <w:tcPr>
            <w:tcW w:w="2448" w:type="dxa"/>
          </w:tcPr>
          <w:p w:rsidR="00142D02" w:rsidRPr="00F171B8" w:rsidRDefault="000D7CCB" w:rsidP="00F7759B">
            <w:pPr>
              <w:pStyle w:val="BodyText2"/>
              <w:keepNext/>
              <w:keepLines/>
              <w:spacing w:line="240" w:lineRule="auto"/>
              <w:ind w:left="0" w:firstLine="0"/>
              <w:jc w:val="center"/>
              <w:rPr>
                <w:sz w:val="22"/>
                <w:szCs w:val="22"/>
              </w:rPr>
            </w:pPr>
            <w:r>
              <w:rPr>
                <w:sz w:val="22"/>
                <w:szCs w:val="22"/>
              </w:rPr>
              <w:t>$14,428/100.0%</w:t>
            </w:r>
          </w:p>
        </w:tc>
      </w:tr>
    </w:tbl>
    <w:p w:rsidR="00142D02" w:rsidRPr="00ED2334" w:rsidRDefault="00142D02" w:rsidP="00B63011">
      <w:pPr>
        <w:pStyle w:val="BodyText2"/>
        <w:suppressLineNumbers/>
      </w:pPr>
    </w:p>
    <w:p w:rsidR="00785152" w:rsidRPr="00632017" w:rsidRDefault="00785152" w:rsidP="00E45B69">
      <w:pPr>
        <w:pStyle w:val="BodyTextIndent"/>
        <w:widowControl w:val="0"/>
        <w:ind w:left="0" w:firstLine="0"/>
        <w:rPr>
          <w:b/>
          <w:bCs/>
        </w:rPr>
      </w:pPr>
      <w:r w:rsidRPr="00632017">
        <w:rPr>
          <w:b/>
          <w:bCs/>
        </w:rPr>
        <w:t>Financing Cost Calculations</w:t>
      </w:r>
    </w:p>
    <w:p w:rsidR="00785152" w:rsidRDefault="00785152" w:rsidP="00E45B69">
      <w:pPr>
        <w:pStyle w:val="BodyTextIndent"/>
        <w:rPr>
          <w:b/>
          <w:bCs/>
        </w:rPr>
      </w:pPr>
      <w:r>
        <w:rPr>
          <w:b/>
          <w:bCs/>
        </w:rPr>
        <w:t>Q.</w:t>
      </w:r>
      <w:r>
        <w:rPr>
          <w:b/>
          <w:bCs/>
        </w:rPr>
        <w:tab/>
        <w:t>How did you calculate the Company’s embedded costs of long-term debt and preferred stock?</w:t>
      </w:r>
    </w:p>
    <w:p w:rsidR="00785152" w:rsidRDefault="00785152" w:rsidP="00E45B69">
      <w:pPr>
        <w:pStyle w:val="BodyTextIndent"/>
      </w:pPr>
      <w:r>
        <w:t>A.</w:t>
      </w:r>
      <w:r>
        <w:tab/>
        <w:t xml:space="preserve">I calculated the embedded costs of debt and preferred stock using the methodology relied upon in the </w:t>
      </w:r>
      <w:r w:rsidR="00F7759B">
        <w:t xml:space="preserve">Company’s </w:t>
      </w:r>
      <w:r>
        <w:t xml:space="preserve">previous rate cases in Washington and other jurisdictions. </w:t>
      </w:r>
    </w:p>
    <w:p w:rsidR="00785152" w:rsidRDefault="00785152" w:rsidP="00E45B69">
      <w:pPr>
        <w:pStyle w:val="BodyTextIndent"/>
      </w:pPr>
      <w:r>
        <w:rPr>
          <w:b/>
          <w:bCs/>
        </w:rPr>
        <w:t>Q.</w:t>
      </w:r>
      <w:r>
        <w:rPr>
          <w:b/>
          <w:bCs/>
        </w:rPr>
        <w:tab/>
        <w:t>Please explain the cost of long-term debt calculation.</w:t>
      </w:r>
    </w:p>
    <w:p w:rsidR="00785152" w:rsidRDefault="00785152" w:rsidP="00E45B69">
      <w:pPr>
        <w:pStyle w:val="BodyTextIndent"/>
        <w:widowControl w:val="0"/>
      </w:pPr>
      <w:r>
        <w:t>A.</w:t>
      </w:r>
      <w:r>
        <w:tab/>
        <w:t xml:space="preserve">I calculated the cost of debt by issue, based on each debt series’ interest rate and net proceeds at the issuance date, to produce a bond yield to maturity for each series of debt.  </w:t>
      </w:r>
      <w:r w:rsidR="00F7759B">
        <w:t>For variable rate securities</w:t>
      </w:r>
      <w:r w:rsidR="00143FB8">
        <w:t>,</w:t>
      </w:r>
      <w:r w:rsidR="00F7759B">
        <w:t xml:space="preserve"> I used the costs at December 31, 2009. </w:t>
      </w:r>
      <w:r w:rsidR="00DB3C72">
        <w:t xml:space="preserve"> </w:t>
      </w:r>
      <w:r>
        <w:t xml:space="preserve">It should be noted that in the event a bond was issued to refinance a higher cost bond, the pre-tax premium and unamortized costs, if any, associated with the refinancing were subtracted from the net proceeds of the bonds that were issued.  </w:t>
      </w:r>
      <w:r>
        <w:lastRenderedPageBreak/>
        <w:t>The bond yield was then multiplied by the principal amount outstanding of each debt issue, resulting in an annualized cost of each debt issue.  Aggregating the annual cost of each debt issue produces the total annualized cost of debt.  Dividing the total annualized cost of debt by the total principal amount of debt outstanding produces the weighted average cost for all debt issues.  This is the Company’s embedded cost of long-term debt.</w:t>
      </w:r>
    </w:p>
    <w:p w:rsidR="00785152" w:rsidRDefault="00785152" w:rsidP="00E45B69">
      <w:pPr>
        <w:pStyle w:val="BodyTextIndent"/>
        <w:ind w:left="0" w:firstLine="0"/>
        <w:rPr>
          <w:b/>
          <w:bCs/>
        </w:rPr>
      </w:pPr>
      <w:r>
        <w:rPr>
          <w:b/>
          <w:bCs/>
        </w:rPr>
        <w:t>Q.</w:t>
      </w:r>
      <w:r>
        <w:rPr>
          <w:b/>
          <w:bCs/>
        </w:rPr>
        <w:tab/>
        <w:t>How did you calculate the embedded cost of preferred stock?</w:t>
      </w:r>
    </w:p>
    <w:p w:rsidR="00785152" w:rsidRDefault="00785152" w:rsidP="00E45B69">
      <w:pPr>
        <w:pStyle w:val="BodyTextIndent"/>
      </w:pPr>
      <w:r>
        <w:t>A.</w:t>
      </w:r>
      <w:r>
        <w:tab/>
        <w:t xml:space="preserve">The embedded cost of preferred stock was calculated by first determining the cost of money for each issue.  This is the result of dividing the annual dividend rate by the per share net proceeds for each series of preferred stock.  The cost associated with each series was then multiplied by the total par or stated value outstanding for each issue to yield the annualized cost for each issue.  The sum of annualized costs for each issue produces the total annual cost for the entire preferred stock portfolio.  I then divided the total annual cost by the total amount of preferred stock outstanding to produce the weighted average cost for all issues.  This is the Company’s embedded cost of preferred stock. </w:t>
      </w:r>
    </w:p>
    <w:p w:rsidR="00785152" w:rsidRDefault="00785152" w:rsidP="00D61BA8">
      <w:pPr>
        <w:pStyle w:val="BodyTextIndent"/>
        <w:ind w:left="0" w:firstLine="0"/>
        <w:rPr>
          <w:b/>
          <w:bCs/>
        </w:rPr>
      </w:pPr>
      <w:r>
        <w:rPr>
          <w:b/>
          <w:bCs/>
        </w:rPr>
        <w:t>Embedded Cost of Long-Term Debt</w:t>
      </w:r>
    </w:p>
    <w:p w:rsidR="00785152" w:rsidRDefault="00785152" w:rsidP="00E45B69">
      <w:pPr>
        <w:pStyle w:val="BodyTextIndent"/>
        <w:rPr>
          <w:b/>
          <w:bCs/>
        </w:rPr>
      </w:pPr>
      <w:r>
        <w:rPr>
          <w:b/>
          <w:bCs/>
        </w:rPr>
        <w:t>Q.</w:t>
      </w:r>
      <w:r>
        <w:rPr>
          <w:b/>
          <w:bCs/>
        </w:rPr>
        <w:tab/>
        <w:t>What is the Company’s embedded cost of long-term debt?</w:t>
      </w:r>
    </w:p>
    <w:p w:rsidR="00B63011" w:rsidRPr="00B63011" w:rsidRDefault="00785152" w:rsidP="00B63011">
      <w:pPr>
        <w:pStyle w:val="BodyTextIndent"/>
      </w:pPr>
      <w:r>
        <w:t>A.</w:t>
      </w:r>
      <w:r>
        <w:tab/>
        <w:t xml:space="preserve">The cost of long-term debt is </w:t>
      </w:r>
      <w:r w:rsidR="00DB3C72">
        <w:t>5.89</w:t>
      </w:r>
      <w:r>
        <w:t xml:space="preserve"> percent, at </w:t>
      </w:r>
      <w:r w:rsidR="00DB3C72">
        <w:t>December 31, 2010</w:t>
      </w:r>
      <w:r>
        <w:t xml:space="preserve"> as shown in </w:t>
      </w:r>
      <w:r w:rsidR="00FC3EFB">
        <w:t>Exhibit No.</w:t>
      </w:r>
      <w:r w:rsidR="00B63011">
        <w:t>_</w:t>
      </w:r>
      <w:r>
        <w:t>_</w:t>
      </w:r>
      <w:proofErr w:type="gramStart"/>
      <w:r>
        <w:t>_(</w:t>
      </w:r>
      <w:proofErr w:type="gramEnd"/>
      <w:r>
        <w:t>BNW-</w:t>
      </w:r>
      <w:r w:rsidR="00376D93">
        <w:t>2</w:t>
      </w:r>
      <w:r>
        <w:t>).</w:t>
      </w:r>
      <w:r w:rsidR="002742B6">
        <w:t xml:space="preserve">    </w:t>
      </w:r>
      <w:r w:rsidR="00B63011">
        <w:rPr>
          <w:b/>
          <w:bCs/>
        </w:rPr>
        <w:br w:type="page"/>
      </w:r>
    </w:p>
    <w:p w:rsidR="00785152" w:rsidRDefault="00785152" w:rsidP="00E45B69">
      <w:pPr>
        <w:pStyle w:val="BodyTextIndent"/>
        <w:keepNext/>
        <w:ind w:left="0" w:firstLine="0"/>
        <w:rPr>
          <w:b/>
          <w:bCs/>
        </w:rPr>
      </w:pPr>
      <w:r>
        <w:rPr>
          <w:b/>
          <w:bCs/>
        </w:rPr>
        <w:lastRenderedPageBreak/>
        <w:t>Embedded Cost of Preferred Stock</w:t>
      </w:r>
    </w:p>
    <w:p w:rsidR="00785152" w:rsidRDefault="00785152" w:rsidP="00E45B69">
      <w:pPr>
        <w:pStyle w:val="BodyTextIndent"/>
        <w:ind w:left="0" w:firstLine="0"/>
        <w:rPr>
          <w:b/>
          <w:bCs/>
        </w:rPr>
      </w:pPr>
      <w:r>
        <w:rPr>
          <w:b/>
          <w:bCs/>
        </w:rPr>
        <w:t>Q.</w:t>
      </w:r>
      <w:r>
        <w:rPr>
          <w:b/>
          <w:bCs/>
        </w:rPr>
        <w:tab/>
        <w:t>What is the Company’s embedded cost of preferred stock?</w:t>
      </w:r>
    </w:p>
    <w:p w:rsidR="00785152" w:rsidRDefault="006E2438" w:rsidP="00E45B69">
      <w:pPr>
        <w:pStyle w:val="BodyTextIndent"/>
        <w:numPr>
          <w:ilvl w:val="0"/>
          <w:numId w:val="32"/>
        </w:numPr>
        <w:tabs>
          <w:tab w:val="clear" w:pos="720"/>
        </w:tabs>
      </w:pPr>
      <w:r>
        <w:t>T</w:t>
      </w:r>
      <w:r w:rsidR="00785152">
        <w:t xml:space="preserve">he embedded cost of preferred stock </w:t>
      </w:r>
      <w:r>
        <w:t xml:space="preserve">is 5.41 percent, </w:t>
      </w:r>
      <w:r w:rsidR="00785152">
        <w:t xml:space="preserve">at </w:t>
      </w:r>
      <w:r w:rsidR="00DB3C72">
        <w:t>December 31, 2010</w:t>
      </w:r>
      <w:r>
        <w:t>,</w:t>
      </w:r>
      <w:r w:rsidR="00C34085">
        <w:t xml:space="preserve"> </w:t>
      </w:r>
      <w:r>
        <w:t>as shown in Exhibit No._</w:t>
      </w:r>
      <w:r w:rsidR="00B63011">
        <w:t>_</w:t>
      </w:r>
      <w:r>
        <w:t>_(BNW-6).</w:t>
      </w:r>
      <w:r w:rsidR="00785152">
        <w:t xml:space="preserve">   </w:t>
      </w:r>
    </w:p>
    <w:p w:rsidR="00785152" w:rsidRPr="00534982" w:rsidRDefault="00785152" w:rsidP="00E45B69">
      <w:pPr>
        <w:pStyle w:val="BodyTextIndent"/>
        <w:ind w:left="0" w:firstLine="0"/>
        <w:rPr>
          <w:b/>
          <w:bCs/>
        </w:rPr>
      </w:pPr>
      <w:r w:rsidRPr="00534982">
        <w:rPr>
          <w:b/>
          <w:bCs/>
        </w:rPr>
        <w:t>Fulfillment of MEHC Commitment</w:t>
      </w:r>
    </w:p>
    <w:p w:rsidR="00785152" w:rsidRPr="003F00AC" w:rsidRDefault="00785152" w:rsidP="00E45B69">
      <w:pPr>
        <w:rPr>
          <w:b/>
          <w:bCs/>
        </w:rPr>
      </w:pPr>
      <w:r w:rsidRPr="003F00AC">
        <w:rPr>
          <w:b/>
          <w:bCs/>
        </w:rPr>
        <w:t>Q.</w:t>
      </w:r>
      <w:r>
        <w:rPr>
          <w:b/>
          <w:bCs/>
        </w:rPr>
        <w:tab/>
      </w:r>
      <w:r w:rsidRPr="003F00AC">
        <w:rPr>
          <w:b/>
          <w:bCs/>
        </w:rPr>
        <w:t xml:space="preserve">Did </w:t>
      </w:r>
      <w:r>
        <w:rPr>
          <w:b/>
          <w:bCs/>
        </w:rPr>
        <w:t>PacifiCorp</w:t>
      </w:r>
      <w:r w:rsidRPr="003F00AC">
        <w:rPr>
          <w:b/>
          <w:bCs/>
        </w:rPr>
        <w:t xml:space="preserve"> and </w:t>
      </w:r>
      <w:r>
        <w:rPr>
          <w:b/>
          <w:bCs/>
        </w:rPr>
        <w:t xml:space="preserve">MEHC </w:t>
      </w:r>
      <w:r w:rsidRPr="003F00AC">
        <w:rPr>
          <w:b/>
          <w:bCs/>
        </w:rPr>
        <w:t>make certain commitments concerning cost of incremental</w:t>
      </w:r>
      <w:r w:rsidR="0009641E">
        <w:rPr>
          <w:b/>
          <w:bCs/>
        </w:rPr>
        <w:t xml:space="preserve"> long-term</w:t>
      </w:r>
      <w:r w:rsidRPr="003F00AC">
        <w:rPr>
          <w:b/>
          <w:bCs/>
        </w:rPr>
        <w:t xml:space="preserve"> debt?</w:t>
      </w:r>
    </w:p>
    <w:p w:rsidR="00785152" w:rsidRDefault="00785152" w:rsidP="00E45B69">
      <w:r>
        <w:t>A.</w:t>
      </w:r>
      <w:r>
        <w:tab/>
        <w:t xml:space="preserve">Yes.  During the regulatory approval process related to the acquisition of the Company, MEHC stated that the incremental cost of long-term debt would be reduced as a result of the acquisition by MEHC, due to the association with Berkshire Hathaway.  In Docket </w:t>
      </w:r>
      <w:r w:rsidR="00376D93">
        <w:t>UE</w:t>
      </w:r>
      <w:r w:rsidR="0016006C">
        <w:t>-</w:t>
      </w:r>
      <w:r>
        <w:t>051090, MEHC and PacifiCorp made a formal commitment (General Commitment 37) that over the five years</w:t>
      </w:r>
      <w:r w:rsidR="00710425">
        <w:t xml:space="preserve"> following the closing of the transaction</w:t>
      </w:r>
      <w:r>
        <w:t xml:space="preserve">, they would demonstrate that incremental long-term debt issuances would be at a spread ten basis points below </w:t>
      </w:r>
      <w:r w:rsidR="00E24C4A">
        <w:t>PacifiCorp’s</w:t>
      </w:r>
      <w:r>
        <w:t xml:space="preserve"> similarly rated peers.</w:t>
      </w:r>
    </w:p>
    <w:p w:rsidR="00785152" w:rsidRPr="00E40B07" w:rsidRDefault="00785152" w:rsidP="00E45B69">
      <w:pPr>
        <w:rPr>
          <w:b/>
          <w:bCs/>
        </w:rPr>
      </w:pPr>
      <w:r>
        <w:rPr>
          <w:b/>
          <w:bCs/>
        </w:rPr>
        <w:t>Q.</w:t>
      </w:r>
      <w:r>
        <w:rPr>
          <w:b/>
          <w:bCs/>
        </w:rPr>
        <w:tab/>
      </w:r>
      <w:r w:rsidRPr="00E40B07">
        <w:rPr>
          <w:b/>
          <w:bCs/>
        </w:rPr>
        <w:t xml:space="preserve">Has </w:t>
      </w:r>
      <w:r>
        <w:rPr>
          <w:b/>
          <w:bCs/>
        </w:rPr>
        <w:t>the Company</w:t>
      </w:r>
      <w:r w:rsidRPr="00E40B07">
        <w:rPr>
          <w:b/>
          <w:bCs/>
        </w:rPr>
        <w:t xml:space="preserve"> issued any</w:t>
      </w:r>
      <w:r w:rsidR="0009641E">
        <w:rPr>
          <w:b/>
          <w:bCs/>
        </w:rPr>
        <w:t xml:space="preserve"> long-term</w:t>
      </w:r>
      <w:r w:rsidRPr="00E40B07">
        <w:rPr>
          <w:b/>
          <w:bCs/>
        </w:rPr>
        <w:t xml:space="preserve"> debt that </w:t>
      </w:r>
      <w:r w:rsidR="00547CB2">
        <w:rPr>
          <w:b/>
          <w:bCs/>
        </w:rPr>
        <w:t xml:space="preserve">has not been previously assessed as to whether it satisfied </w:t>
      </w:r>
      <w:r w:rsidR="00E24C4A">
        <w:rPr>
          <w:b/>
          <w:bCs/>
        </w:rPr>
        <w:t>General</w:t>
      </w:r>
      <w:r w:rsidR="00547CB2">
        <w:rPr>
          <w:b/>
          <w:bCs/>
        </w:rPr>
        <w:t xml:space="preserve"> </w:t>
      </w:r>
      <w:r w:rsidR="00E24C4A">
        <w:rPr>
          <w:b/>
          <w:bCs/>
        </w:rPr>
        <w:t>C</w:t>
      </w:r>
      <w:r w:rsidRPr="00E40B07">
        <w:rPr>
          <w:b/>
          <w:bCs/>
        </w:rPr>
        <w:t>ommitment</w:t>
      </w:r>
      <w:r w:rsidR="00E24C4A">
        <w:rPr>
          <w:b/>
          <w:bCs/>
        </w:rPr>
        <w:t xml:space="preserve"> 37</w:t>
      </w:r>
      <w:r w:rsidRPr="00E40B07">
        <w:rPr>
          <w:b/>
          <w:bCs/>
        </w:rPr>
        <w:t>?</w:t>
      </w:r>
    </w:p>
    <w:p w:rsidR="005F4269" w:rsidRDefault="00785152" w:rsidP="00E45B69">
      <w:pPr>
        <w:widowControl w:val="0"/>
      </w:pPr>
      <w:r>
        <w:t>A.</w:t>
      </w:r>
      <w:r>
        <w:tab/>
      </w:r>
      <w:r w:rsidR="00DB3C72">
        <w:t>No.  All long-term debt issuances subject to this commitment have been included in prior cases with evidence that each of the respective issuances of long-term debt fulfilled the requirements of General Commitment 37.</w:t>
      </w:r>
    </w:p>
    <w:p w:rsidR="007126C1" w:rsidRPr="007126C1" w:rsidRDefault="00DF094D" w:rsidP="00E45B69">
      <w:pPr>
        <w:widowControl w:val="0"/>
        <w:rPr>
          <w:b/>
        </w:rPr>
      </w:pPr>
      <w:r w:rsidRPr="00DF094D">
        <w:rPr>
          <w:b/>
        </w:rPr>
        <w:t>Q.</w:t>
      </w:r>
      <w:r w:rsidRPr="00DF094D">
        <w:rPr>
          <w:b/>
        </w:rPr>
        <w:tab/>
        <w:t>Is there an action that would be appropriate for the Commis</w:t>
      </w:r>
      <w:r w:rsidR="007126C1">
        <w:rPr>
          <w:b/>
        </w:rPr>
        <w:t>s</w:t>
      </w:r>
      <w:r w:rsidRPr="00DF094D">
        <w:rPr>
          <w:b/>
        </w:rPr>
        <w:t>ion to now take?</w:t>
      </w:r>
    </w:p>
    <w:p w:rsidR="00196C99" w:rsidRDefault="007126C1" w:rsidP="00E45B69">
      <w:pPr>
        <w:widowControl w:val="0"/>
      </w:pPr>
      <w:r>
        <w:t>A.</w:t>
      </w:r>
      <w:r>
        <w:tab/>
        <w:t>Yes</w:t>
      </w:r>
      <w:r w:rsidR="00524A59">
        <w:t xml:space="preserve">. </w:t>
      </w:r>
      <w:r>
        <w:t xml:space="preserve"> </w:t>
      </w:r>
      <w:r w:rsidR="00524A59">
        <w:t>T</w:t>
      </w:r>
      <w:r w:rsidR="00FB3B1E">
        <w:t xml:space="preserve">his five-year commitment will expire before the end of the suspension </w:t>
      </w:r>
      <w:r w:rsidR="00FB3B1E">
        <w:lastRenderedPageBreak/>
        <w:t xml:space="preserve">period in this case.  </w:t>
      </w:r>
      <w:r w:rsidR="00BF31F9">
        <w:t>If no additional long-term debt is issued prior to March 21, 2011, five years following the close of the transaction, t</w:t>
      </w:r>
      <w:r>
        <w:t xml:space="preserve">he Company respectfully requests the Commission </w:t>
      </w:r>
      <w:r w:rsidR="000F1685">
        <w:t xml:space="preserve">include in its order </w:t>
      </w:r>
      <w:r w:rsidR="00BF31F9">
        <w:t xml:space="preserve">a finding that the Company has fulfilled the requirements of </w:t>
      </w:r>
      <w:r>
        <w:t>General Commitment 37</w:t>
      </w:r>
      <w:r w:rsidR="00BF31F9">
        <w:t xml:space="preserve"> and </w:t>
      </w:r>
      <w:r w:rsidR="000F1685">
        <w:t>the commitment has been completed.</w:t>
      </w:r>
    </w:p>
    <w:p w:rsidR="00785152" w:rsidRDefault="00196C99" w:rsidP="00524A59">
      <w:pPr>
        <w:widowControl w:val="0"/>
        <w:rPr>
          <w:b/>
          <w:bCs/>
        </w:rPr>
      </w:pPr>
      <w:r>
        <w:tab/>
      </w:r>
      <w:r w:rsidR="00785152">
        <w:rPr>
          <w:b/>
          <w:bCs/>
        </w:rPr>
        <w:t>Do</w:t>
      </w:r>
      <w:r w:rsidR="00376D93">
        <w:rPr>
          <w:b/>
          <w:bCs/>
        </w:rPr>
        <w:t xml:space="preserve">es this conclude your </w:t>
      </w:r>
      <w:r w:rsidR="00E40491">
        <w:rPr>
          <w:b/>
          <w:bCs/>
        </w:rPr>
        <w:t xml:space="preserve">direct </w:t>
      </w:r>
      <w:r w:rsidR="00376D93">
        <w:rPr>
          <w:b/>
          <w:bCs/>
        </w:rPr>
        <w:t>testimony</w:t>
      </w:r>
      <w:r w:rsidR="00516340">
        <w:rPr>
          <w:b/>
          <w:bCs/>
        </w:rPr>
        <w:t>?</w:t>
      </w:r>
    </w:p>
    <w:p w:rsidR="00785152" w:rsidRDefault="00785152" w:rsidP="00E45B69">
      <w:pPr>
        <w:pStyle w:val="BodyTextIndent"/>
        <w:ind w:left="0" w:firstLine="0"/>
      </w:pPr>
      <w:r>
        <w:t>A.</w:t>
      </w:r>
      <w:r>
        <w:tab/>
        <w:t>Yes.</w:t>
      </w:r>
    </w:p>
    <w:sectPr w:rsidR="00785152" w:rsidSect="009F2D1B">
      <w:headerReference w:type="default" r:id="rId8"/>
      <w:footerReference w:type="default" r:id="rId9"/>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A58" w:rsidRDefault="00AA2A58">
      <w:r>
        <w:separator/>
      </w:r>
    </w:p>
  </w:endnote>
  <w:endnote w:type="continuationSeparator" w:id="0">
    <w:p w:rsidR="00AA2A58" w:rsidRDefault="00AA2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A58" w:rsidRDefault="00AA2A58" w:rsidP="000F52AA">
    <w:pPr>
      <w:pStyle w:val="Footer"/>
      <w:tabs>
        <w:tab w:val="clear" w:pos="4320"/>
      </w:tabs>
      <w:spacing w:line="240" w:lineRule="auto"/>
      <w:rPr>
        <w:rStyle w:val="PageNumber"/>
      </w:rPr>
    </w:pPr>
    <w:r>
      <w:rPr>
        <w:rStyle w:val="PageNumber"/>
      </w:rPr>
      <w:t>Direct Testimony of Bruce N. Williams</w:t>
    </w:r>
    <w:r>
      <w:rPr>
        <w:rStyle w:val="PageNumber"/>
      </w:rPr>
      <w:tab/>
      <w:t>Exhibit No.__</w:t>
    </w:r>
    <w:proofErr w:type="gramStart"/>
    <w:r>
      <w:rPr>
        <w:rStyle w:val="PageNumber"/>
      </w:rPr>
      <w:t>_(</w:t>
    </w:r>
    <w:proofErr w:type="gramEnd"/>
    <w:r>
      <w:rPr>
        <w:rStyle w:val="PageNumber"/>
      </w:rPr>
      <w:t>BNW-1T)</w:t>
    </w:r>
  </w:p>
  <w:p w:rsidR="00AA2A58" w:rsidRDefault="00AA2A58" w:rsidP="000F52AA">
    <w:pPr>
      <w:pStyle w:val="Footer"/>
      <w:tabs>
        <w:tab w:val="clear" w:pos="4320"/>
      </w:tabs>
      <w:spacing w:line="240" w:lineRule="auto"/>
      <w:jc w:val="right"/>
    </w:pPr>
    <w:r>
      <w:rPr>
        <w:rStyle w:val="PageNumber"/>
      </w:rPr>
      <w:t xml:space="preserve">Page </w:t>
    </w:r>
    <w:r w:rsidR="004125D7">
      <w:rPr>
        <w:rStyle w:val="PageNumber"/>
      </w:rPr>
      <w:fldChar w:fldCharType="begin"/>
    </w:r>
    <w:r>
      <w:rPr>
        <w:rStyle w:val="PageNumber"/>
      </w:rPr>
      <w:instrText xml:space="preserve"> PAGE </w:instrText>
    </w:r>
    <w:r w:rsidR="004125D7">
      <w:rPr>
        <w:rStyle w:val="PageNumber"/>
      </w:rPr>
      <w:fldChar w:fldCharType="separate"/>
    </w:r>
    <w:r w:rsidR="00F3079D">
      <w:rPr>
        <w:rStyle w:val="PageNumber"/>
        <w:noProof/>
      </w:rPr>
      <w:t>3</w:t>
    </w:r>
    <w:r w:rsidR="004125D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A58" w:rsidRDefault="00AA2A58">
      <w:r>
        <w:separator/>
      </w:r>
    </w:p>
  </w:footnote>
  <w:footnote w:type="continuationSeparator" w:id="0">
    <w:p w:rsidR="00AA2A58" w:rsidRDefault="00AA2A58">
      <w:r>
        <w:continuationSeparator/>
      </w:r>
    </w:p>
  </w:footnote>
  <w:footnote w:id="1">
    <w:p w:rsidR="00AA2A58" w:rsidRDefault="00AA2A58">
      <w:pPr>
        <w:pStyle w:val="FootnoteText"/>
      </w:pPr>
      <w:r>
        <w:rPr>
          <w:rStyle w:val="FootnoteReference"/>
        </w:rPr>
        <w:footnoteRef/>
      </w:r>
      <w:r>
        <w:t xml:space="preserve"> Standard &amp; Poor’s Rating Direct, February 17, 2010, Exhibit No.__(BNW-3)</w:t>
      </w:r>
    </w:p>
    <w:p w:rsidR="00AA2A58" w:rsidRDefault="00AA2A58">
      <w:pPr>
        <w:pStyle w:val="FootnoteText"/>
      </w:pPr>
    </w:p>
  </w:footnote>
  <w:footnote w:id="2">
    <w:p w:rsidR="00AA2A58" w:rsidRDefault="00AA2A58" w:rsidP="00B56D21">
      <w:pPr>
        <w:pStyle w:val="FootnoteText"/>
        <w:tabs>
          <w:tab w:val="left" w:pos="0"/>
        </w:tabs>
        <w:spacing w:line="240" w:lineRule="auto"/>
        <w:ind w:left="0" w:firstLine="0"/>
      </w:pPr>
      <w:r>
        <w:rPr>
          <w:rStyle w:val="FootnoteReference"/>
        </w:rPr>
        <w:footnoteRef/>
      </w:r>
      <w:r>
        <w:t>Standard &amp; Poor’s Ratings Direct April 1, 2009, Exhibit No._</w:t>
      </w:r>
      <w:proofErr w:type="gramStart"/>
      <w:r>
        <w:t>_(</w:t>
      </w:r>
      <w:proofErr w:type="gramEnd"/>
      <w:r>
        <w:t>BNW-5), and reiterated in the Ratings Direct of February 17,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A58" w:rsidRDefault="00AA2A58" w:rsidP="00CD101B">
    <w:pPr>
      <w:pStyle w:val="Header"/>
      <w:tabs>
        <w:tab w:val="clear" w:pos="8640"/>
        <w:tab w:val="right" w:pos="8550"/>
      </w:tabs>
      <w:jc w:val="right"/>
    </w:pPr>
    <w:r>
      <w:t xml:space="preserve">Page </w:t>
    </w:r>
    <w:r w:rsidR="004125D7">
      <w:rPr>
        <w:rStyle w:val="PageNumber"/>
      </w:rPr>
      <w:fldChar w:fldCharType="begin"/>
    </w:r>
    <w:r>
      <w:rPr>
        <w:rStyle w:val="PageNumber"/>
      </w:rPr>
      <w:instrText xml:space="preserve"> PAGE </w:instrText>
    </w:r>
    <w:r w:rsidR="004125D7">
      <w:rPr>
        <w:rStyle w:val="PageNumber"/>
      </w:rPr>
      <w:fldChar w:fldCharType="separate"/>
    </w:r>
    <w:r w:rsidR="00F3079D">
      <w:rPr>
        <w:rStyle w:val="PageNumber"/>
        <w:noProof/>
      </w:rPr>
      <w:t>3</w:t>
    </w:r>
    <w:r w:rsidR="004125D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F57"/>
    <w:multiLevelType w:val="singleLevel"/>
    <w:tmpl w:val="15ACE200"/>
    <w:lvl w:ilvl="0">
      <w:start w:val="17"/>
      <w:numFmt w:val="upperLetter"/>
      <w:lvlText w:val="%1."/>
      <w:lvlJc w:val="left"/>
      <w:pPr>
        <w:tabs>
          <w:tab w:val="num" w:pos="720"/>
        </w:tabs>
        <w:ind w:left="720" w:hanging="720"/>
      </w:pPr>
      <w:rPr>
        <w:rFonts w:cs="Times New Roman" w:hint="default"/>
      </w:rPr>
    </w:lvl>
  </w:abstractNum>
  <w:abstractNum w:abstractNumId="1">
    <w:nsid w:val="0928017C"/>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2">
    <w:nsid w:val="0BF858F0"/>
    <w:multiLevelType w:val="singleLevel"/>
    <w:tmpl w:val="8DCE93C6"/>
    <w:lvl w:ilvl="0">
      <w:start w:val="17"/>
      <w:numFmt w:val="upperLetter"/>
      <w:lvlText w:val="%1."/>
      <w:lvlJc w:val="left"/>
      <w:pPr>
        <w:tabs>
          <w:tab w:val="num" w:pos="720"/>
        </w:tabs>
        <w:ind w:left="720" w:hanging="720"/>
      </w:pPr>
      <w:rPr>
        <w:rFonts w:cs="Times New Roman" w:hint="default"/>
      </w:rPr>
    </w:lvl>
  </w:abstractNum>
  <w:abstractNum w:abstractNumId="3">
    <w:nsid w:val="0EB03597"/>
    <w:multiLevelType w:val="singleLevel"/>
    <w:tmpl w:val="2C0E6A5E"/>
    <w:lvl w:ilvl="0">
      <w:start w:val="17"/>
      <w:numFmt w:val="upperLetter"/>
      <w:lvlText w:val="%1."/>
      <w:lvlJc w:val="left"/>
      <w:pPr>
        <w:tabs>
          <w:tab w:val="num" w:pos="720"/>
        </w:tabs>
        <w:ind w:left="720" w:hanging="720"/>
      </w:pPr>
      <w:rPr>
        <w:rFonts w:cs="Times New Roman" w:hint="default"/>
      </w:rPr>
    </w:lvl>
  </w:abstractNum>
  <w:abstractNum w:abstractNumId="4">
    <w:nsid w:val="0F136DF6"/>
    <w:multiLevelType w:val="singleLevel"/>
    <w:tmpl w:val="A21A6D8C"/>
    <w:lvl w:ilvl="0">
      <w:start w:val="17"/>
      <w:numFmt w:val="upperLetter"/>
      <w:lvlText w:val="%1."/>
      <w:lvlJc w:val="left"/>
      <w:pPr>
        <w:tabs>
          <w:tab w:val="num" w:pos="720"/>
        </w:tabs>
        <w:ind w:left="720" w:hanging="720"/>
      </w:pPr>
      <w:rPr>
        <w:rFonts w:cs="Times New Roman" w:hint="default"/>
      </w:rPr>
    </w:lvl>
  </w:abstractNum>
  <w:abstractNum w:abstractNumId="5">
    <w:nsid w:val="0FBA0E24"/>
    <w:multiLevelType w:val="singleLevel"/>
    <w:tmpl w:val="5ACCD2CE"/>
    <w:lvl w:ilvl="0">
      <w:start w:val="1"/>
      <w:numFmt w:val="upperLetter"/>
      <w:lvlText w:val="%1."/>
      <w:lvlJc w:val="left"/>
      <w:pPr>
        <w:tabs>
          <w:tab w:val="num" w:pos="720"/>
        </w:tabs>
        <w:ind w:left="720" w:hanging="720"/>
      </w:pPr>
      <w:rPr>
        <w:rFonts w:cs="Times New Roman" w:hint="default"/>
      </w:rPr>
    </w:lvl>
  </w:abstractNum>
  <w:abstractNum w:abstractNumId="6">
    <w:nsid w:val="12492BC6"/>
    <w:multiLevelType w:val="hybridMultilevel"/>
    <w:tmpl w:val="8E76DE6A"/>
    <w:lvl w:ilvl="0" w:tplc="3A8A39CA">
      <w:start w:val="17"/>
      <w:numFmt w:val="upperLetter"/>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A42576"/>
    <w:multiLevelType w:val="singleLevel"/>
    <w:tmpl w:val="8F60B86A"/>
    <w:lvl w:ilvl="0">
      <w:start w:val="1"/>
      <w:numFmt w:val="upperLetter"/>
      <w:lvlText w:val="%1."/>
      <w:lvlJc w:val="left"/>
      <w:pPr>
        <w:tabs>
          <w:tab w:val="num" w:pos="720"/>
        </w:tabs>
        <w:ind w:left="720" w:hanging="720"/>
      </w:pPr>
      <w:rPr>
        <w:rFonts w:cs="Times New Roman" w:hint="default"/>
      </w:rPr>
    </w:lvl>
  </w:abstractNum>
  <w:abstractNum w:abstractNumId="8">
    <w:nsid w:val="14F355CD"/>
    <w:multiLevelType w:val="singleLevel"/>
    <w:tmpl w:val="06508F40"/>
    <w:lvl w:ilvl="0">
      <w:start w:val="17"/>
      <w:numFmt w:val="upperLetter"/>
      <w:lvlText w:val="%1."/>
      <w:lvlJc w:val="left"/>
      <w:pPr>
        <w:tabs>
          <w:tab w:val="num" w:pos="720"/>
        </w:tabs>
        <w:ind w:left="720" w:hanging="720"/>
      </w:pPr>
      <w:rPr>
        <w:rFonts w:cs="Times New Roman" w:hint="default"/>
        <w:b/>
      </w:rPr>
    </w:lvl>
  </w:abstractNum>
  <w:abstractNum w:abstractNumId="9">
    <w:nsid w:val="16C24C82"/>
    <w:multiLevelType w:val="singleLevel"/>
    <w:tmpl w:val="9B4C264E"/>
    <w:lvl w:ilvl="0">
      <w:start w:val="17"/>
      <w:numFmt w:val="upperLetter"/>
      <w:lvlText w:val="%1."/>
      <w:lvlJc w:val="left"/>
      <w:pPr>
        <w:tabs>
          <w:tab w:val="num" w:pos="720"/>
        </w:tabs>
        <w:ind w:left="720" w:hanging="720"/>
      </w:pPr>
      <w:rPr>
        <w:rFonts w:cs="Times New Roman" w:hint="default"/>
      </w:rPr>
    </w:lvl>
  </w:abstractNum>
  <w:abstractNum w:abstractNumId="10">
    <w:nsid w:val="17E027B6"/>
    <w:multiLevelType w:val="singleLevel"/>
    <w:tmpl w:val="63E4A964"/>
    <w:lvl w:ilvl="0">
      <w:start w:val="17"/>
      <w:numFmt w:val="upperLetter"/>
      <w:lvlText w:val="%1."/>
      <w:lvlJc w:val="left"/>
      <w:pPr>
        <w:tabs>
          <w:tab w:val="num" w:pos="720"/>
        </w:tabs>
        <w:ind w:left="720" w:hanging="720"/>
      </w:pPr>
      <w:rPr>
        <w:rFonts w:cs="Times New Roman" w:hint="default"/>
      </w:rPr>
    </w:lvl>
  </w:abstractNum>
  <w:abstractNum w:abstractNumId="11">
    <w:nsid w:val="1926056F"/>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12">
    <w:nsid w:val="1D143778"/>
    <w:multiLevelType w:val="hybridMultilevel"/>
    <w:tmpl w:val="69EE6FE2"/>
    <w:lvl w:ilvl="0" w:tplc="4C829A98">
      <w:start w:val="1"/>
      <w:numFmt w:val="upperLetter"/>
      <w:lvlText w:val="%1."/>
      <w:lvlJc w:val="left"/>
      <w:pPr>
        <w:tabs>
          <w:tab w:val="num" w:pos="2160"/>
        </w:tabs>
        <w:ind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nsid w:val="1D1C5FA4"/>
    <w:multiLevelType w:val="singleLevel"/>
    <w:tmpl w:val="C2167736"/>
    <w:lvl w:ilvl="0">
      <w:start w:val="17"/>
      <w:numFmt w:val="upperLetter"/>
      <w:lvlText w:val="%1."/>
      <w:lvlJc w:val="left"/>
      <w:pPr>
        <w:tabs>
          <w:tab w:val="num" w:pos="720"/>
        </w:tabs>
        <w:ind w:left="720" w:hanging="720"/>
      </w:pPr>
      <w:rPr>
        <w:rFonts w:cs="Times New Roman" w:hint="default"/>
      </w:rPr>
    </w:lvl>
  </w:abstractNum>
  <w:abstractNum w:abstractNumId="14">
    <w:nsid w:val="21027531"/>
    <w:multiLevelType w:val="singleLevel"/>
    <w:tmpl w:val="6DB2CF7A"/>
    <w:lvl w:ilvl="0">
      <w:start w:val="17"/>
      <w:numFmt w:val="upperLetter"/>
      <w:lvlText w:val="%1."/>
      <w:lvlJc w:val="left"/>
      <w:pPr>
        <w:tabs>
          <w:tab w:val="num" w:pos="720"/>
        </w:tabs>
        <w:ind w:left="720" w:hanging="720"/>
      </w:pPr>
      <w:rPr>
        <w:rFonts w:cs="Times New Roman" w:hint="default"/>
      </w:rPr>
    </w:lvl>
  </w:abstractNum>
  <w:abstractNum w:abstractNumId="15">
    <w:nsid w:val="2925291E"/>
    <w:multiLevelType w:val="singleLevel"/>
    <w:tmpl w:val="5CCA1020"/>
    <w:lvl w:ilvl="0">
      <w:start w:val="1"/>
      <w:numFmt w:val="upperLetter"/>
      <w:lvlText w:val="%1."/>
      <w:lvlJc w:val="left"/>
      <w:pPr>
        <w:tabs>
          <w:tab w:val="num" w:pos="720"/>
        </w:tabs>
        <w:ind w:left="720" w:hanging="720"/>
      </w:pPr>
      <w:rPr>
        <w:rFonts w:cs="Times New Roman" w:hint="default"/>
      </w:rPr>
    </w:lvl>
  </w:abstractNum>
  <w:abstractNum w:abstractNumId="16">
    <w:nsid w:val="2E470ED7"/>
    <w:multiLevelType w:val="singleLevel"/>
    <w:tmpl w:val="193C7A44"/>
    <w:lvl w:ilvl="0">
      <w:start w:val="17"/>
      <w:numFmt w:val="upperLetter"/>
      <w:lvlText w:val="%1."/>
      <w:lvlJc w:val="left"/>
      <w:pPr>
        <w:tabs>
          <w:tab w:val="num" w:pos="720"/>
        </w:tabs>
        <w:ind w:left="720" w:hanging="720"/>
      </w:pPr>
      <w:rPr>
        <w:rFonts w:cs="Times New Roman" w:hint="default"/>
      </w:rPr>
    </w:lvl>
  </w:abstractNum>
  <w:abstractNum w:abstractNumId="17">
    <w:nsid w:val="34D475D0"/>
    <w:multiLevelType w:val="singleLevel"/>
    <w:tmpl w:val="13E8F0EE"/>
    <w:lvl w:ilvl="0">
      <w:start w:val="17"/>
      <w:numFmt w:val="upperLetter"/>
      <w:lvlText w:val="%1."/>
      <w:lvlJc w:val="left"/>
      <w:pPr>
        <w:tabs>
          <w:tab w:val="num" w:pos="720"/>
        </w:tabs>
        <w:ind w:left="720" w:hanging="720"/>
      </w:pPr>
      <w:rPr>
        <w:rFonts w:cs="Times New Roman" w:hint="default"/>
      </w:rPr>
    </w:lvl>
  </w:abstractNum>
  <w:abstractNum w:abstractNumId="18">
    <w:nsid w:val="38252F51"/>
    <w:multiLevelType w:val="hybridMultilevel"/>
    <w:tmpl w:val="43AE00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89727DC"/>
    <w:multiLevelType w:val="singleLevel"/>
    <w:tmpl w:val="B5842D0A"/>
    <w:lvl w:ilvl="0">
      <w:start w:val="17"/>
      <w:numFmt w:val="upperLetter"/>
      <w:lvlText w:val="%1."/>
      <w:lvlJc w:val="left"/>
      <w:pPr>
        <w:tabs>
          <w:tab w:val="num" w:pos="720"/>
        </w:tabs>
        <w:ind w:left="720" w:hanging="720"/>
      </w:pPr>
      <w:rPr>
        <w:rFonts w:cs="Times New Roman" w:hint="default"/>
      </w:rPr>
    </w:lvl>
  </w:abstractNum>
  <w:abstractNum w:abstractNumId="20">
    <w:nsid w:val="3D911900"/>
    <w:multiLevelType w:val="singleLevel"/>
    <w:tmpl w:val="B5169BD0"/>
    <w:lvl w:ilvl="0">
      <w:start w:val="1"/>
      <w:numFmt w:val="upperLetter"/>
      <w:lvlText w:val="%1."/>
      <w:lvlJc w:val="left"/>
      <w:pPr>
        <w:tabs>
          <w:tab w:val="num" w:pos="720"/>
        </w:tabs>
        <w:ind w:left="720" w:hanging="720"/>
      </w:pPr>
      <w:rPr>
        <w:rFonts w:cs="Times New Roman" w:hint="default"/>
      </w:rPr>
    </w:lvl>
  </w:abstractNum>
  <w:abstractNum w:abstractNumId="21">
    <w:nsid w:val="3FA73383"/>
    <w:multiLevelType w:val="singleLevel"/>
    <w:tmpl w:val="D1E6F980"/>
    <w:lvl w:ilvl="0">
      <w:start w:val="17"/>
      <w:numFmt w:val="upperLetter"/>
      <w:lvlText w:val="%1."/>
      <w:lvlJc w:val="left"/>
      <w:pPr>
        <w:tabs>
          <w:tab w:val="num" w:pos="720"/>
        </w:tabs>
        <w:ind w:left="720" w:hanging="720"/>
      </w:pPr>
      <w:rPr>
        <w:rFonts w:cs="Times New Roman" w:hint="default"/>
      </w:rPr>
    </w:lvl>
  </w:abstractNum>
  <w:abstractNum w:abstractNumId="22">
    <w:nsid w:val="45B62BD9"/>
    <w:multiLevelType w:val="singleLevel"/>
    <w:tmpl w:val="B82AC302"/>
    <w:lvl w:ilvl="0">
      <w:start w:val="17"/>
      <w:numFmt w:val="upperLetter"/>
      <w:lvlText w:val="%1."/>
      <w:lvlJc w:val="left"/>
      <w:pPr>
        <w:tabs>
          <w:tab w:val="num" w:pos="720"/>
        </w:tabs>
        <w:ind w:left="720" w:hanging="720"/>
      </w:pPr>
      <w:rPr>
        <w:rFonts w:cs="Times New Roman" w:hint="default"/>
      </w:rPr>
    </w:lvl>
  </w:abstractNum>
  <w:abstractNum w:abstractNumId="23">
    <w:nsid w:val="48274762"/>
    <w:multiLevelType w:val="singleLevel"/>
    <w:tmpl w:val="82A21A52"/>
    <w:lvl w:ilvl="0">
      <w:start w:val="17"/>
      <w:numFmt w:val="upperLetter"/>
      <w:lvlText w:val="%1."/>
      <w:lvlJc w:val="left"/>
      <w:pPr>
        <w:tabs>
          <w:tab w:val="num" w:pos="720"/>
        </w:tabs>
        <w:ind w:left="720" w:hanging="720"/>
      </w:pPr>
      <w:rPr>
        <w:rFonts w:cs="Times New Roman" w:hint="default"/>
      </w:rPr>
    </w:lvl>
  </w:abstractNum>
  <w:abstractNum w:abstractNumId="24">
    <w:nsid w:val="4C302328"/>
    <w:multiLevelType w:val="singleLevel"/>
    <w:tmpl w:val="D450962C"/>
    <w:lvl w:ilvl="0">
      <w:start w:val="1"/>
      <w:numFmt w:val="upperLetter"/>
      <w:lvlText w:val="%1."/>
      <w:lvlJc w:val="left"/>
      <w:pPr>
        <w:tabs>
          <w:tab w:val="num" w:pos="720"/>
        </w:tabs>
        <w:ind w:left="720" w:hanging="720"/>
      </w:pPr>
      <w:rPr>
        <w:rFonts w:cs="Times New Roman" w:hint="default"/>
      </w:rPr>
    </w:lvl>
  </w:abstractNum>
  <w:abstractNum w:abstractNumId="25">
    <w:nsid w:val="527F1ECA"/>
    <w:multiLevelType w:val="singleLevel"/>
    <w:tmpl w:val="B8AE8FAE"/>
    <w:lvl w:ilvl="0">
      <w:start w:val="1"/>
      <w:numFmt w:val="upperLetter"/>
      <w:lvlText w:val="%1."/>
      <w:lvlJc w:val="left"/>
      <w:pPr>
        <w:tabs>
          <w:tab w:val="num" w:pos="720"/>
        </w:tabs>
        <w:ind w:left="720" w:hanging="720"/>
      </w:pPr>
      <w:rPr>
        <w:rFonts w:cs="Times New Roman" w:hint="default"/>
      </w:rPr>
    </w:lvl>
  </w:abstractNum>
  <w:abstractNum w:abstractNumId="26">
    <w:nsid w:val="547541AA"/>
    <w:multiLevelType w:val="hybridMultilevel"/>
    <w:tmpl w:val="97225FE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5782C0D"/>
    <w:multiLevelType w:val="singleLevel"/>
    <w:tmpl w:val="453A21C2"/>
    <w:lvl w:ilvl="0">
      <w:start w:val="17"/>
      <w:numFmt w:val="upperLetter"/>
      <w:lvlText w:val="%1."/>
      <w:lvlJc w:val="left"/>
      <w:pPr>
        <w:tabs>
          <w:tab w:val="num" w:pos="720"/>
        </w:tabs>
        <w:ind w:left="720" w:hanging="720"/>
      </w:pPr>
      <w:rPr>
        <w:rFonts w:cs="Times New Roman" w:hint="default"/>
      </w:rPr>
    </w:lvl>
  </w:abstractNum>
  <w:abstractNum w:abstractNumId="28">
    <w:nsid w:val="59804B01"/>
    <w:multiLevelType w:val="hybridMultilevel"/>
    <w:tmpl w:val="41B888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9D87C02"/>
    <w:multiLevelType w:val="hybridMultilevel"/>
    <w:tmpl w:val="72524BC2"/>
    <w:lvl w:ilvl="0" w:tplc="AC801FE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B2F7445"/>
    <w:multiLevelType w:val="singleLevel"/>
    <w:tmpl w:val="9ECEB9EE"/>
    <w:lvl w:ilvl="0">
      <w:start w:val="1"/>
      <w:numFmt w:val="upperLetter"/>
      <w:lvlText w:val="%1."/>
      <w:lvlJc w:val="left"/>
      <w:pPr>
        <w:tabs>
          <w:tab w:val="num" w:pos="720"/>
        </w:tabs>
        <w:ind w:left="720" w:hanging="720"/>
      </w:pPr>
      <w:rPr>
        <w:rFonts w:cs="Times New Roman" w:hint="default"/>
      </w:rPr>
    </w:lvl>
  </w:abstractNum>
  <w:abstractNum w:abstractNumId="31">
    <w:nsid w:val="5C7F4F52"/>
    <w:multiLevelType w:val="singleLevel"/>
    <w:tmpl w:val="98487AE4"/>
    <w:lvl w:ilvl="0">
      <w:start w:val="1"/>
      <w:numFmt w:val="upperLetter"/>
      <w:lvlText w:val="%1."/>
      <w:lvlJc w:val="left"/>
      <w:pPr>
        <w:tabs>
          <w:tab w:val="num" w:pos="720"/>
        </w:tabs>
        <w:ind w:left="720" w:hanging="720"/>
      </w:pPr>
      <w:rPr>
        <w:rFonts w:cs="Times New Roman" w:hint="default"/>
      </w:rPr>
    </w:lvl>
  </w:abstractNum>
  <w:abstractNum w:abstractNumId="32">
    <w:nsid w:val="5FEE7F56"/>
    <w:multiLevelType w:val="singleLevel"/>
    <w:tmpl w:val="B56474C4"/>
    <w:lvl w:ilvl="0">
      <w:start w:val="17"/>
      <w:numFmt w:val="upperLetter"/>
      <w:lvlText w:val="%1."/>
      <w:lvlJc w:val="left"/>
      <w:pPr>
        <w:tabs>
          <w:tab w:val="num" w:pos="720"/>
        </w:tabs>
        <w:ind w:left="720" w:hanging="720"/>
      </w:pPr>
      <w:rPr>
        <w:rFonts w:cs="Times New Roman" w:hint="default"/>
      </w:rPr>
    </w:lvl>
  </w:abstractNum>
  <w:abstractNum w:abstractNumId="33">
    <w:nsid w:val="61F94788"/>
    <w:multiLevelType w:val="singleLevel"/>
    <w:tmpl w:val="F2FC6A6C"/>
    <w:lvl w:ilvl="0">
      <w:start w:val="1"/>
      <w:numFmt w:val="upperLetter"/>
      <w:lvlText w:val="%1."/>
      <w:lvlJc w:val="left"/>
      <w:pPr>
        <w:tabs>
          <w:tab w:val="num" w:pos="720"/>
        </w:tabs>
        <w:ind w:left="720" w:hanging="720"/>
      </w:pPr>
      <w:rPr>
        <w:rFonts w:cs="Times New Roman" w:hint="default"/>
      </w:rPr>
    </w:lvl>
  </w:abstractNum>
  <w:abstractNum w:abstractNumId="34">
    <w:nsid w:val="64777C36"/>
    <w:multiLevelType w:val="singleLevel"/>
    <w:tmpl w:val="3B0A7ADE"/>
    <w:lvl w:ilvl="0">
      <w:start w:val="1"/>
      <w:numFmt w:val="upperLetter"/>
      <w:lvlText w:val="%1."/>
      <w:lvlJc w:val="left"/>
      <w:pPr>
        <w:tabs>
          <w:tab w:val="num" w:pos="720"/>
        </w:tabs>
        <w:ind w:left="720" w:hanging="720"/>
      </w:pPr>
      <w:rPr>
        <w:rFonts w:cs="Times New Roman" w:hint="default"/>
        <w:b w:val="0"/>
      </w:rPr>
    </w:lvl>
  </w:abstractNum>
  <w:abstractNum w:abstractNumId="35">
    <w:nsid w:val="64E72E4D"/>
    <w:multiLevelType w:val="singleLevel"/>
    <w:tmpl w:val="FE36F916"/>
    <w:lvl w:ilvl="0">
      <w:start w:val="17"/>
      <w:numFmt w:val="upperLetter"/>
      <w:lvlText w:val="%1."/>
      <w:lvlJc w:val="left"/>
      <w:pPr>
        <w:tabs>
          <w:tab w:val="num" w:pos="720"/>
        </w:tabs>
        <w:ind w:left="720" w:hanging="720"/>
      </w:pPr>
      <w:rPr>
        <w:rFonts w:cs="Times New Roman" w:hint="default"/>
      </w:rPr>
    </w:lvl>
  </w:abstractNum>
  <w:abstractNum w:abstractNumId="36">
    <w:nsid w:val="66F76126"/>
    <w:multiLevelType w:val="hybridMultilevel"/>
    <w:tmpl w:val="1DC43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35ECD"/>
    <w:multiLevelType w:val="singleLevel"/>
    <w:tmpl w:val="66181CB4"/>
    <w:lvl w:ilvl="0">
      <w:start w:val="17"/>
      <w:numFmt w:val="upperLetter"/>
      <w:lvlText w:val="%1."/>
      <w:lvlJc w:val="left"/>
      <w:pPr>
        <w:tabs>
          <w:tab w:val="num" w:pos="720"/>
        </w:tabs>
        <w:ind w:left="720" w:hanging="720"/>
      </w:pPr>
      <w:rPr>
        <w:rFonts w:cs="Times New Roman" w:hint="default"/>
      </w:rPr>
    </w:lvl>
  </w:abstractNum>
  <w:abstractNum w:abstractNumId="38">
    <w:nsid w:val="6C9C6CB5"/>
    <w:multiLevelType w:val="multilevel"/>
    <w:tmpl w:val="72524BC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9">
    <w:nsid w:val="6D0472AD"/>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40">
    <w:nsid w:val="70C177BB"/>
    <w:multiLevelType w:val="singleLevel"/>
    <w:tmpl w:val="1A184E90"/>
    <w:lvl w:ilvl="0">
      <w:start w:val="1"/>
      <w:numFmt w:val="upperLetter"/>
      <w:lvlText w:val="%1."/>
      <w:lvlJc w:val="left"/>
      <w:pPr>
        <w:tabs>
          <w:tab w:val="num" w:pos="720"/>
        </w:tabs>
        <w:ind w:left="720" w:hanging="720"/>
      </w:pPr>
      <w:rPr>
        <w:rFonts w:cs="Times New Roman" w:hint="default"/>
      </w:rPr>
    </w:lvl>
  </w:abstractNum>
  <w:abstractNum w:abstractNumId="41">
    <w:nsid w:val="779C5FD4"/>
    <w:multiLevelType w:val="singleLevel"/>
    <w:tmpl w:val="39ACF3F6"/>
    <w:lvl w:ilvl="0">
      <w:start w:val="17"/>
      <w:numFmt w:val="upperLetter"/>
      <w:lvlText w:val="%1."/>
      <w:lvlJc w:val="left"/>
      <w:pPr>
        <w:tabs>
          <w:tab w:val="num" w:pos="720"/>
        </w:tabs>
        <w:ind w:left="720" w:hanging="720"/>
      </w:pPr>
      <w:rPr>
        <w:rFonts w:cs="Times New Roman" w:hint="default"/>
      </w:rPr>
    </w:lvl>
  </w:abstractNum>
  <w:abstractNum w:abstractNumId="42">
    <w:nsid w:val="791E5602"/>
    <w:multiLevelType w:val="singleLevel"/>
    <w:tmpl w:val="8F4CBD52"/>
    <w:lvl w:ilvl="0">
      <w:start w:val="17"/>
      <w:numFmt w:val="upperLetter"/>
      <w:lvlText w:val="%1."/>
      <w:lvlJc w:val="left"/>
      <w:pPr>
        <w:tabs>
          <w:tab w:val="num" w:pos="720"/>
        </w:tabs>
        <w:ind w:left="720" w:hanging="720"/>
      </w:pPr>
      <w:rPr>
        <w:rFonts w:cs="Times New Roman" w:hint="default"/>
      </w:rPr>
    </w:lvl>
  </w:abstractNum>
  <w:num w:numId="1">
    <w:abstractNumId w:val="0"/>
  </w:num>
  <w:num w:numId="2">
    <w:abstractNumId w:val="30"/>
  </w:num>
  <w:num w:numId="3">
    <w:abstractNumId w:val="23"/>
  </w:num>
  <w:num w:numId="4">
    <w:abstractNumId w:val="4"/>
  </w:num>
  <w:num w:numId="5">
    <w:abstractNumId w:val="17"/>
  </w:num>
  <w:num w:numId="6">
    <w:abstractNumId w:val="25"/>
  </w:num>
  <w:num w:numId="7">
    <w:abstractNumId w:val="21"/>
  </w:num>
  <w:num w:numId="8">
    <w:abstractNumId w:val="10"/>
  </w:num>
  <w:num w:numId="9">
    <w:abstractNumId w:val="37"/>
  </w:num>
  <w:num w:numId="10">
    <w:abstractNumId w:val="24"/>
  </w:num>
  <w:num w:numId="11">
    <w:abstractNumId w:val="32"/>
  </w:num>
  <w:num w:numId="12">
    <w:abstractNumId w:val="16"/>
  </w:num>
  <w:num w:numId="13">
    <w:abstractNumId w:val="1"/>
  </w:num>
  <w:num w:numId="14">
    <w:abstractNumId w:val="11"/>
  </w:num>
  <w:num w:numId="15">
    <w:abstractNumId w:val="42"/>
  </w:num>
  <w:num w:numId="16">
    <w:abstractNumId w:val="9"/>
  </w:num>
  <w:num w:numId="17">
    <w:abstractNumId w:val="22"/>
  </w:num>
  <w:num w:numId="18">
    <w:abstractNumId w:val="39"/>
  </w:num>
  <w:num w:numId="19">
    <w:abstractNumId w:val="2"/>
  </w:num>
  <w:num w:numId="20">
    <w:abstractNumId w:val="3"/>
  </w:num>
  <w:num w:numId="21">
    <w:abstractNumId w:val="7"/>
  </w:num>
  <w:num w:numId="22">
    <w:abstractNumId w:val="13"/>
  </w:num>
  <w:num w:numId="23">
    <w:abstractNumId w:val="34"/>
  </w:num>
  <w:num w:numId="24">
    <w:abstractNumId w:val="35"/>
  </w:num>
  <w:num w:numId="25">
    <w:abstractNumId w:val="15"/>
  </w:num>
  <w:num w:numId="26">
    <w:abstractNumId w:val="41"/>
  </w:num>
  <w:num w:numId="27">
    <w:abstractNumId w:val="33"/>
  </w:num>
  <w:num w:numId="28">
    <w:abstractNumId w:val="14"/>
  </w:num>
  <w:num w:numId="29">
    <w:abstractNumId w:val="5"/>
  </w:num>
  <w:num w:numId="30">
    <w:abstractNumId w:val="27"/>
  </w:num>
  <w:num w:numId="31">
    <w:abstractNumId w:val="20"/>
  </w:num>
  <w:num w:numId="32">
    <w:abstractNumId w:val="40"/>
  </w:num>
  <w:num w:numId="33">
    <w:abstractNumId w:val="19"/>
  </w:num>
  <w:num w:numId="34">
    <w:abstractNumId w:val="31"/>
  </w:num>
  <w:num w:numId="35">
    <w:abstractNumId w:val="26"/>
  </w:num>
  <w:num w:numId="36">
    <w:abstractNumId w:val="28"/>
  </w:num>
  <w:num w:numId="37">
    <w:abstractNumId w:val="29"/>
  </w:num>
  <w:num w:numId="38">
    <w:abstractNumId w:val="38"/>
  </w:num>
  <w:num w:numId="39">
    <w:abstractNumId w:val="18"/>
  </w:num>
  <w:num w:numId="40">
    <w:abstractNumId w:val="6"/>
  </w:num>
  <w:num w:numId="41">
    <w:abstractNumId w:val="12"/>
  </w:num>
  <w:num w:numId="42">
    <w:abstractNumId w:val="8"/>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34982"/>
    <w:rsid w:val="00007755"/>
    <w:rsid w:val="00012014"/>
    <w:rsid w:val="00016494"/>
    <w:rsid w:val="000166F7"/>
    <w:rsid w:val="00017651"/>
    <w:rsid w:val="00024BB4"/>
    <w:rsid w:val="00026A66"/>
    <w:rsid w:val="00030457"/>
    <w:rsid w:val="000311CB"/>
    <w:rsid w:val="000330AE"/>
    <w:rsid w:val="000344DE"/>
    <w:rsid w:val="000350ED"/>
    <w:rsid w:val="00037E10"/>
    <w:rsid w:val="00043CFA"/>
    <w:rsid w:val="00044D14"/>
    <w:rsid w:val="000567FC"/>
    <w:rsid w:val="00056AA0"/>
    <w:rsid w:val="00070BB8"/>
    <w:rsid w:val="00074DDB"/>
    <w:rsid w:val="0009641E"/>
    <w:rsid w:val="000A0D94"/>
    <w:rsid w:val="000B5294"/>
    <w:rsid w:val="000C5F8B"/>
    <w:rsid w:val="000C723A"/>
    <w:rsid w:val="000D7CCB"/>
    <w:rsid w:val="000E2345"/>
    <w:rsid w:val="000E29B1"/>
    <w:rsid w:val="000E3370"/>
    <w:rsid w:val="000F1370"/>
    <w:rsid w:val="000F1685"/>
    <w:rsid w:val="000F4F56"/>
    <w:rsid w:val="000F52AA"/>
    <w:rsid w:val="00100671"/>
    <w:rsid w:val="00110D17"/>
    <w:rsid w:val="00111B75"/>
    <w:rsid w:val="001141FD"/>
    <w:rsid w:val="00122C22"/>
    <w:rsid w:val="00124F43"/>
    <w:rsid w:val="00136DC1"/>
    <w:rsid w:val="00142D02"/>
    <w:rsid w:val="00143811"/>
    <w:rsid w:val="00143FB8"/>
    <w:rsid w:val="00157C7D"/>
    <w:rsid w:val="0016006C"/>
    <w:rsid w:val="00160376"/>
    <w:rsid w:val="0016697A"/>
    <w:rsid w:val="00170F3B"/>
    <w:rsid w:val="00193C86"/>
    <w:rsid w:val="00196C99"/>
    <w:rsid w:val="00197F72"/>
    <w:rsid w:val="001A202C"/>
    <w:rsid w:val="001A6256"/>
    <w:rsid w:val="001B5FFF"/>
    <w:rsid w:val="001C37C8"/>
    <w:rsid w:val="001C52C5"/>
    <w:rsid w:val="001D7E93"/>
    <w:rsid w:val="001E0BDC"/>
    <w:rsid w:val="001E2D67"/>
    <w:rsid w:val="001E38C2"/>
    <w:rsid w:val="001E4BA0"/>
    <w:rsid w:val="00204CBA"/>
    <w:rsid w:val="002102E0"/>
    <w:rsid w:val="002126DB"/>
    <w:rsid w:val="00213FA0"/>
    <w:rsid w:val="002179D8"/>
    <w:rsid w:val="00222AE5"/>
    <w:rsid w:val="00223601"/>
    <w:rsid w:val="0022396C"/>
    <w:rsid w:val="00225CBB"/>
    <w:rsid w:val="00240EC1"/>
    <w:rsid w:val="0024250B"/>
    <w:rsid w:val="00262A04"/>
    <w:rsid w:val="002742B6"/>
    <w:rsid w:val="00274F94"/>
    <w:rsid w:val="002761FA"/>
    <w:rsid w:val="00281901"/>
    <w:rsid w:val="00281FE9"/>
    <w:rsid w:val="00287810"/>
    <w:rsid w:val="002919E3"/>
    <w:rsid w:val="00297E9F"/>
    <w:rsid w:val="002A2FBC"/>
    <w:rsid w:val="002A7803"/>
    <w:rsid w:val="002B5CFB"/>
    <w:rsid w:val="002B71E4"/>
    <w:rsid w:val="002C0B46"/>
    <w:rsid w:val="002C1393"/>
    <w:rsid w:val="002C2DA8"/>
    <w:rsid w:val="002C55DD"/>
    <w:rsid w:val="002C735C"/>
    <w:rsid w:val="002D5B76"/>
    <w:rsid w:val="002E6A61"/>
    <w:rsid w:val="002E7080"/>
    <w:rsid w:val="002E7DBB"/>
    <w:rsid w:val="002F0145"/>
    <w:rsid w:val="002F04DC"/>
    <w:rsid w:val="002F2EC9"/>
    <w:rsid w:val="0030092C"/>
    <w:rsid w:val="003055CB"/>
    <w:rsid w:val="0030569E"/>
    <w:rsid w:val="003125F7"/>
    <w:rsid w:val="0031795F"/>
    <w:rsid w:val="00320074"/>
    <w:rsid w:val="003204BA"/>
    <w:rsid w:val="003215BA"/>
    <w:rsid w:val="00325BB2"/>
    <w:rsid w:val="0032667E"/>
    <w:rsid w:val="003319ED"/>
    <w:rsid w:val="0034057A"/>
    <w:rsid w:val="00343E5F"/>
    <w:rsid w:val="00347883"/>
    <w:rsid w:val="00351565"/>
    <w:rsid w:val="00352A33"/>
    <w:rsid w:val="003564ED"/>
    <w:rsid w:val="00362B48"/>
    <w:rsid w:val="00367310"/>
    <w:rsid w:val="00376D93"/>
    <w:rsid w:val="0038036D"/>
    <w:rsid w:val="00387151"/>
    <w:rsid w:val="003875E5"/>
    <w:rsid w:val="00391540"/>
    <w:rsid w:val="003962D8"/>
    <w:rsid w:val="003A09E9"/>
    <w:rsid w:val="003A25E8"/>
    <w:rsid w:val="003B1810"/>
    <w:rsid w:val="003B406A"/>
    <w:rsid w:val="003C1D58"/>
    <w:rsid w:val="003C1FED"/>
    <w:rsid w:val="003C5D80"/>
    <w:rsid w:val="003C64ED"/>
    <w:rsid w:val="003C71FE"/>
    <w:rsid w:val="003D485A"/>
    <w:rsid w:val="003D4B2D"/>
    <w:rsid w:val="003D7E38"/>
    <w:rsid w:val="003F00AC"/>
    <w:rsid w:val="003F148E"/>
    <w:rsid w:val="003F1E97"/>
    <w:rsid w:val="004003F7"/>
    <w:rsid w:val="00401FA6"/>
    <w:rsid w:val="004023B9"/>
    <w:rsid w:val="00406070"/>
    <w:rsid w:val="00407D39"/>
    <w:rsid w:val="004125D7"/>
    <w:rsid w:val="004179FC"/>
    <w:rsid w:val="0043315A"/>
    <w:rsid w:val="00440AE0"/>
    <w:rsid w:val="0045075C"/>
    <w:rsid w:val="004560AE"/>
    <w:rsid w:val="00461B21"/>
    <w:rsid w:val="00475229"/>
    <w:rsid w:val="00484412"/>
    <w:rsid w:val="00497955"/>
    <w:rsid w:val="004A5D9B"/>
    <w:rsid w:val="004C594A"/>
    <w:rsid w:val="004C6FAD"/>
    <w:rsid w:val="004D787C"/>
    <w:rsid w:val="004E21CB"/>
    <w:rsid w:val="004E3795"/>
    <w:rsid w:val="004E4370"/>
    <w:rsid w:val="004F09F8"/>
    <w:rsid w:val="004F7F6E"/>
    <w:rsid w:val="00501345"/>
    <w:rsid w:val="00501B53"/>
    <w:rsid w:val="005143CE"/>
    <w:rsid w:val="00514CB4"/>
    <w:rsid w:val="00515856"/>
    <w:rsid w:val="00516340"/>
    <w:rsid w:val="0052433C"/>
    <w:rsid w:val="00524A59"/>
    <w:rsid w:val="00530905"/>
    <w:rsid w:val="00533E78"/>
    <w:rsid w:val="00534982"/>
    <w:rsid w:val="00547CB2"/>
    <w:rsid w:val="00553A58"/>
    <w:rsid w:val="00561BB5"/>
    <w:rsid w:val="005653A6"/>
    <w:rsid w:val="00571EBA"/>
    <w:rsid w:val="0057376A"/>
    <w:rsid w:val="00586CCC"/>
    <w:rsid w:val="005902E5"/>
    <w:rsid w:val="00597FE3"/>
    <w:rsid w:val="005A6450"/>
    <w:rsid w:val="005B34E6"/>
    <w:rsid w:val="005B5861"/>
    <w:rsid w:val="005C5469"/>
    <w:rsid w:val="005D2AE1"/>
    <w:rsid w:val="005E1408"/>
    <w:rsid w:val="005E51AA"/>
    <w:rsid w:val="005F1EE0"/>
    <w:rsid w:val="005F4269"/>
    <w:rsid w:val="005F74E2"/>
    <w:rsid w:val="005F7D01"/>
    <w:rsid w:val="0060134D"/>
    <w:rsid w:val="006031DF"/>
    <w:rsid w:val="006067C4"/>
    <w:rsid w:val="00606AB1"/>
    <w:rsid w:val="0060707A"/>
    <w:rsid w:val="00612523"/>
    <w:rsid w:val="00613EC4"/>
    <w:rsid w:val="006165E9"/>
    <w:rsid w:val="006170B5"/>
    <w:rsid w:val="00632017"/>
    <w:rsid w:val="00633BA0"/>
    <w:rsid w:val="00634A3C"/>
    <w:rsid w:val="00642C93"/>
    <w:rsid w:val="0066026C"/>
    <w:rsid w:val="00661088"/>
    <w:rsid w:val="00665862"/>
    <w:rsid w:val="00673D6C"/>
    <w:rsid w:val="00674F40"/>
    <w:rsid w:val="00685A49"/>
    <w:rsid w:val="00694A50"/>
    <w:rsid w:val="00696BE5"/>
    <w:rsid w:val="006A0E47"/>
    <w:rsid w:val="006B172C"/>
    <w:rsid w:val="006B20ED"/>
    <w:rsid w:val="006C52F4"/>
    <w:rsid w:val="006C6902"/>
    <w:rsid w:val="006D0713"/>
    <w:rsid w:val="006E2438"/>
    <w:rsid w:val="006E24B9"/>
    <w:rsid w:val="006E3A13"/>
    <w:rsid w:val="006E7161"/>
    <w:rsid w:val="006F3BC2"/>
    <w:rsid w:val="007072BB"/>
    <w:rsid w:val="00710425"/>
    <w:rsid w:val="007106A7"/>
    <w:rsid w:val="007126C1"/>
    <w:rsid w:val="00716293"/>
    <w:rsid w:val="0072623F"/>
    <w:rsid w:val="007334B2"/>
    <w:rsid w:val="00733F7B"/>
    <w:rsid w:val="0074063B"/>
    <w:rsid w:val="00744786"/>
    <w:rsid w:val="0074689D"/>
    <w:rsid w:val="00750F9B"/>
    <w:rsid w:val="007549B8"/>
    <w:rsid w:val="00771E9C"/>
    <w:rsid w:val="00773CF6"/>
    <w:rsid w:val="00775E1E"/>
    <w:rsid w:val="00777891"/>
    <w:rsid w:val="00782410"/>
    <w:rsid w:val="00785152"/>
    <w:rsid w:val="00785655"/>
    <w:rsid w:val="0079648E"/>
    <w:rsid w:val="00797982"/>
    <w:rsid w:val="007A782D"/>
    <w:rsid w:val="007B5BAF"/>
    <w:rsid w:val="007B656F"/>
    <w:rsid w:val="007C25E6"/>
    <w:rsid w:val="007C5A8B"/>
    <w:rsid w:val="007C618C"/>
    <w:rsid w:val="007C71C9"/>
    <w:rsid w:val="007D4210"/>
    <w:rsid w:val="007D693A"/>
    <w:rsid w:val="007D746C"/>
    <w:rsid w:val="007E164F"/>
    <w:rsid w:val="007E61D6"/>
    <w:rsid w:val="007E715E"/>
    <w:rsid w:val="007F2C09"/>
    <w:rsid w:val="007F49FC"/>
    <w:rsid w:val="008048E3"/>
    <w:rsid w:val="008317F8"/>
    <w:rsid w:val="00833FC1"/>
    <w:rsid w:val="008349DF"/>
    <w:rsid w:val="00835F56"/>
    <w:rsid w:val="00837E4C"/>
    <w:rsid w:val="0084006D"/>
    <w:rsid w:val="0084558E"/>
    <w:rsid w:val="008471C3"/>
    <w:rsid w:val="0087259B"/>
    <w:rsid w:val="0087432B"/>
    <w:rsid w:val="008A7155"/>
    <w:rsid w:val="008C2D39"/>
    <w:rsid w:val="008C67EE"/>
    <w:rsid w:val="008C694B"/>
    <w:rsid w:val="008D2FF2"/>
    <w:rsid w:val="008D6D7C"/>
    <w:rsid w:val="008D7BB3"/>
    <w:rsid w:val="008E4209"/>
    <w:rsid w:val="008E6938"/>
    <w:rsid w:val="009013C4"/>
    <w:rsid w:val="00902CE6"/>
    <w:rsid w:val="00903785"/>
    <w:rsid w:val="00910EBE"/>
    <w:rsid w:val="00910FF2"/>
    <w:rsid w:val="00915AE1"/>
    <w:rsid w:val="009258C7"/>
    <w:rsid w:val="00925982"/>
    <w:rsid w:val="00932C07"/>
    <w:rsid w:val="0093446E"/>
    <w:rsid w:val="0094233E"/>
    <w:rsid w:val="00945666"/>
    <w:rsid w:val="00963795"/>
    <w:rsid w:val="00963946"/>
    <w:rsid w:val="0098209F"/>
    <w:rsid w:val="009850FD"/>
    <w:rsid w:val="0099300A"/>
    <w:rsid w:val="009A6956"/>
    <w:rsid w:val="009B18A3"/>
    <w:rsid w:val="009B54C0"/>
    <w:rsid w:val="009B5C07"/>
    <w:rsid w:val="009C3C58"/>
    <w:rsid w:val="009C515F"/>
    <w:rsid w:val="009C6EAF"/>
    <w:rsid w:val="009E1FB3"/>
    <w:rsid w:val="009F0356"/>
    <w:rsid w:val="009F2D1B"/>
    <w:rsid w:val="009F584B"/>
    <w:rsid w:val="00A067E6"/>
    <w:rsid w:val="00A07294"/>
    <w:rsid w:val="00A11BF4"/>
    <w:rsid w:val="00A30FED"/>
    <w:rsid w:val="00A44499"/>
    <w:rsid w:val="00A47C6F"/>
    <w:rsid w:val="00A542DE"/>
    <w:rsid w:val="00A62A67"/>
    <w:rsid w:val="00A67833"/>
    <w:rsid w:val="00A70237"/>
    <w:rsid w:val="00A71916"/>
    <w:rsid w:val="00A7422C"/>
    <w:rsid w:val="00A74648"/>
    <w:rsid w:val="00A854E0"/>
    <w:rsid w:val="00AA2A58"/>
    <w:rsid w:val="00AA2B43"/>
    <w:rsid w:val="00AA6014"/>
    <w:rsid w:val="00AB03FB"/>
    <w:rsid w:val="00AC2F95"/>
    <w:rsid w:val="00AC35E5"/>
    <w:rsid w:val="00AE4BFB"/>
    <w:rsid w:val="00AF3369"/>
    <w:rsid w:val="00AF3993"/>
    <w:rsid w:val="00AF4DA5"/>
    <w:rsid w:val="00B21742"/>
    <w:rsid w:val="00B23BE3"/>
    <w:rsid w:val="00B33AE4"/>
    <w:rsid w:val="00B56D21"/>
    <w:rsid w:val="00B60F7A"/>
    <w:rsid w:val="00B618CE"/>
    <w:rsid w:val="00B63011"/>
    <w:rsid w:val="00B7120E"/>
    <w:rsid w:val="00B71F78"/>
    <w:rsid w:val="00B72F06"/>
    <w:rsid w:val="00B81500"/>
    <w:rsid w:val="00B816E1"/>
    <w:rsid w:val="00B85EE4"/>
    <w:rsid w:val="00B86C6D"/>
    <w:rsid w:val="00B870F8"/>
    <w:rsid w:val="00BB6193"/>
    <w:rsid w:val="00BB6B2C"/>
    <w:rsid w:val="00BC38D3"/>
    <w:rsid w:val="00BC7735"/>
    <w:rsid w:val="00BE7755"/>
    <w:rsid w:val="00BF1A10"/>
    <w:rsid w:val="00BF1B01"/>
    <w:rsid w:val="00BF31F9"/>
    <w:rsid w:val="00BF4D16"/>
    <w:rsid w:val="00C06F73"/>
    <w:rsid w:val="00C079CE"/>
    <w:rsid w:val="00C223A3"/>
    <w:rsid w:val="00C23BC3"/>
    <w:rsid w:val="00C25488"/>
    <w:rsid w:val="00C257D4"/>
    <w:rsid w:val="00C34085"/>
    <w:rsid w:val="00C3533C"/>
    <w:rsid w:val="00C43FB5"/>
    <w:rsid w:val="00C5725B"/>
    <w:rsid w:val="00C768C2"/>
    <w:rsid w:val="00C85292"/>
    <w:rsid w:val="00C94A93"/>
    <w:rsid w:val="00C951B7"/>
    <w:rsid w:val="00CA2E8A"/>
    <w:rsid w:val="00CD101B"/>
    <w:rsid w:val="00CD3F52"/>
    <w:rsid w:val="00CF7144"/>
    <w:rsid w:val="00D05921"/>
    <w:rsid w:val="00D11223"/>
    <w:rsid w:val="00D1143E"/>
    <w:rsid w:val="00D15953"/>
    <w:rsid w:val="00D21562"/>
    <w:rsid w:val="00D36583"/>
    <w:rsid w:val="00D52309"/>
    <w:rsid w:val="00D61BA8"/>
    <w:rsid w:val="00D86C11"/>
    <w:rsid w:val="00D92162"/>
    <w:rsid w:val="00D953CC"/>
    <w:rsid w:val="00D95747"/>
    <w:rsid w:val="00D96F2B"/>
    <w:rsid w:val="00D97DCD"/>
    <w:rsid w:val="00DA022B"/>
    <w:rsid w:val="00DA68D3"/>
    <w:rsid w:val="00DB2D2C"/>
    <w:rsid w:val="00DB31EA"/>
    <w:rsid w:val="00DB3C72"/>
    <w:rsid w:val="00DB55C4"/>
    <w:rsid w:val="00DB6E96"/>
    <w:rsid w:val="00DC31A0"/>
    <w:rsid w:val="00DD044A"/>
    <w:rsid w:val="00DD1E80"/>
    <w:rsid w:val="00DD2EB4"/>
    <w:rsid w:val="00DD7966"/>
    <w:rsid w:val="00DE5CE4"/>
    <w:rsid w:val="00DF094D"/>
    <w:rsid w:val="00DF2E0C"/>
    <w:rsid w:val="00E02CDD"/>
    <w:rsid w:val="00E05522"/>
    <w:rsid w:val="00E16C9D"/>
    <w:rsid w:val="00E16EAD"/>
    <w:rsid w:val="00E24C4A"/>
    <w:rsid w:val="00E25AA0"/>
    <w:rsid w:val="00E40491"/>
    <w:rsid w:val="00E404D1"/>
    <w:rsid w:val="00E40B07"/>
    <w:rsid w:val="00E41296"/>
    <w:rsid w:val="00E45B69"/>
    <w:rsid w:val="00E47C2D"/>
    <w:rsid w:val="00E54CE3"/>
    <w:rsid w:val="00E54D83"/>
    <w:rsid w:val="00E61DDB"/>
    <w:rsid w:val="00E65B05"/>
    <w:rsid w:val="00E733CE"/>
    <w:rsid w:val="00E829D8"/>
    <w:rsid w:val="00E94580"/>
    <w:rsid w:val="00EA114D"/>
    <w:rsid w:val="00EA195C"/>
    <w:rsid w:val="00EA2451"/>
    <w:rsid w:val="00EA4E36"/>
    <w:rsid w:val="00EB0382"/>
    <w:rsid w:val="00EB4AB7"/>
    <w:rsid w:val="00EC2280"/>
    <w:rsid w:val="00ED2334"/>
    <w:rsid w:val="00ED49E4"/>
    <w:rsid w:val="00EE22DD"/>
    <w:rsid w:val="00EE5416"/>
    <w:rsid w:val="00EE660F"/>
    <w:rsid w:val="00EE6FDF"/>
    <w:rsid w:val="00EF16F6"/>
    <w:rsid w:val="00EF3732"/>
    <w:rsid w:val="00EF47BF"/>
    <w:rsid w:val="00F103EE"/>
    <w:rsid w:val="00F26A88"/>
    <w:rsid w:val="00F27341"/>
    <w:rsid w:val="00F3079D"/>
    <w:rsid w:val="00F349D1"/>
    <w:rsid w:val="00F3687E"/>
    <w:rsid w:val="00F3704F"/>
    <w:rsid w:val="00F379B6"/>
    <w:rsid w:val="00F51489"/>
    <w:rsid w:val="00F53332"/>
    <w:rsid w:val="00F716F0"/>
    <w:rsid w:val="00F727C4"/>
    <w:rsid w:val="00F7759B"/>
    <w:rsid w:val="00F85CE8"/>
    <w:rsid w:val="00F92CD5"/>
    <w:rsid w:val="00FB15DB"/>
    <w:rsid w:val="00FB24A2"/>
    <w:rsid w:val="00FB3B1E"/>
    <w:rsid w:val="00FB6130"/>
    <w:rsid w:val="00FC3EFB"/>
    <w:rsid w:val="00FC5359"/>
    <w:rsid w:val="00FF1467"/>
    <w:rsid w:val="00FF3E45"/>
    <w:rsid w:val="00FF76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13"/>
    <w:pPr>
      <w:spacing w:line="480" w:lineRule="auto"/>
      <w:ind w:left="720" w:hanging="720"/>
    </w:pPr>
    <w:rPr>
      <w:sz w:val="24"/>
      <w:szCs w:val="24"/>
    </w:rPr>
  </w:style>
  <w:style w:type="paragraph" w:styleId="Heading1">
    <w:name w:val="heading 1"/>
    <w:basedOn w:val="Normal"/>
    <w:next w:val="Normal"/>
    <w:link w:val="Heading1Char"/>
    <w:qFormat/>
    <w:rsid w:val="006E3A13"/>
    <w:pPr>
      <w:keepNext/>
      <w:outlineLvl w:val="0"/>
    </w:pPr>
    <w:rPr>
      <w:b/>
      <w:bCs/>
    </w:rPr>
  </w:style>
  <w:style w:type="paragraph" w:styleId="Heading2">
    <w:name w:val="heading 2"/>
    <w:basedOn w:val="Normal"/>
    <w:next w:val="Normal"/>
    <w:link w:val="Heading2Char"/>
    <w:qFormat/>
    <w:rsid w:val="006E3A13"/>
    <w:pPr>
      <w:keepNext/>
      <w:ind w:left="0" w:firstLine="0"/>
      <w:outlineLvl w:val="1"/>
    </w:pPr>
    <w:rPr>
      <w:b/>
      <w:bCs/>
    </w:rPr>
  </w:style>
  <w:style w:type="paragraph" w:styleId="Heading3">
    <w:name w:val="heading 3"/>
    <w:basedOn w:val="Normal"/>
    <w:next w:val="Normal"/>
    <w:link w:val="Heading3Char"/>
    <w:qFormat/>
    <w:rsid w:val="006E3A13"/>
    <w:pPr>
      <w:keepNext/>
      <w:outlineLvl w:val="2"/>
    </w:pPr>
    <w:rPr>
      <w:u w:val="single"/>
    </w:rPr>
  </w:style>
  <w:style w:type="paragraph" w:styleId="Heading4">
    <w:name w:val="heading 4"/>
    <w:basedOn w:val="Normal"/>
    <w:next w:val="Normal"/>
    <w:link w:val="Heading4Char"/>
    <w:qFormat/>
    <w:rsid w:val="006E3A13"/>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EC9"/>
    <w:rPr>
      <w:rFonts w:ascii="Cambria" w:hAnsi="Cambria" w:cs="Cambria"/>
      <w:b/>
      <w:bCs/>
      <w:kern w:val="32"/>
      <w:sz w:val="32"/>
      <w:szCs w:val="32"/>
    </w:rPr>
  </w:style>
  <w:style w:type="character" w:customStyle="1" w:styleId="Heading2Char">
    <w:name w:val="Heading 2 Char"/>
    <w:basedOn w:val="DefaultParagraphFont"/>
    <w:link w:val="Heading2"/>
    <w:semiHidden/>
    <w:rsid w:val="002F2EC9"/>
    <w:rPr>
      <w:rFonts w:ascii="Cambria" w:hAnsi="Cambria" w:cs="Cambria"/>
      <w:b/>
      <w:bCs/>
      <w:i/>
      <w:iCs/>
      <w:sz w:val="28"/>
      <w:szCs w:val="28"/>
    </w:rPr>
  </w:style>
  <w:style w:type="character" w:customStyle="1" w:styleId="Heading3Char">
    <w:name w:val="Heading 3 Char"/>
    <w:basedOn w:val="DefaultParagraphFont"/>
    <w:link w:val="Heading3"/>
    <w:semiHidden/>
    <w:rsid w:val="002F2EC9"/>
    <w:rPr>
      <w:rFonts w:ascii="Cambria" w:hAnsi="Cambria" w:cs="Cambria"/>
      <w:b/>
      <w:bCs/>
      <w:sz w:val="26"/>
      <w:szCs w:val="26"/>
    </w:rPr>
  </w:style>
  <w:style w:type="character" w:customStyle="1" w:styleId="Heading4Char">
    <w:name w:val="Heading 4 Char"/>
    <w:basedOn w:val="DefaultParagraphFont"/>
    <w:link w:val="Heading4"/>
    <w:semiHidden/>
    <w:rsid w:val="002F2EC9"/>
    <w:rPr>
      <w:rFonts w:ascii="Calibri" w:hAnsi="Calibri" w:cs="Calibri"/>
      <w:b/>
      <w:bCs/>
      <w:sz w:val="28"/>
      <w:szCs w:val="28"/>
    </w:rPr>
  </w:style>
  <w:style w:type="paragraph" w:styleId="BodyTextIndent">
    <w:name w:val="Body Text Indent"/>
    <w:basedOn w:val="Normal"/>
    <w:link w:val="BodyTextIndentChar"/>
    <w:rsid w:val="006E3A13"/>
  </w:style>
  <w:style w:type="character" w:customStyle="1" w:styleId="BodyText2Char">
    <w:name w:val="Body Text 2 Char"/>
    <w:basedOn w:val="DefaultParagraphFont"/>
    <w:link w:val="BodyTextIndent"/>
    <w:semiHidden/>
    <w:rsid w:val="00475229"/>
    <w:rPr>
      <w:rFonts w:cs="Times New Roman"/>
      <w:sz w:val="24"/>
      <w:szCs w:val="24"/>
    </w:rPr>
  </w:style>
  <w:style w:type="character" w:customStyle="1" w:styleId="BodyTextIndentChar">
    <w:name w:val="Body Text Indent Char"/>
    <w:basedOn w:val="DefaultParagraphFont"/>
    <w:link w:val="BodyTextIndent"/>
    <w:rsid w:val="002F2EC9"/>
    <w:rPr>
      <w:rFonts w:cs="Times New Roman"/>
      <w:sz w:val="24"/>
      <w:szCs w:val="24"/>
    </w:rPr>
  </w:style>
  <w:style w:type="paragraph" w:styleId="Header">
    <w:name w:val="header"/>
    <w:basedOn w:val="Normal"/>
    <w:link w:val="HeaderChar"/>
    <w:rsid w:val="006E3A13"/>
    <w:pPr>
      <w:tabs>
        <w:tab w:val="center" w:pos="4320"/>
        <w:tab w:val="right" w:pos="8640"/>
      </w:tabs>
      <w:spacing w:line="240" w:lineRule="auto"/>
    </w:pPr>
  </w:style>
  <w:style w:type="character" w:customStyle="1" w:styleId="HeaderChar">
    <w:name w:val="Header Char"/>
    <w:basedOn w:val="DefaultParagraphFont"/>
    <w:link w:val="Header"/>
    <w:semiHidden/>
    <w:rsid w:val="002F2EC9"/>
    <w:rPr>
      <w:rFonts w:cs="Times New Roman"/>
      <w:sz w:val="24"/>
      <w:szCs w:val="24"/>
    </w:rPr>
  </w:style>
  <w:style w:type="paragraph" w:styleId="Footer">
    <w:name w:val="footer"/>
    <w:basedOn w:val="Normal"/>
    <w:link w:val="FooterChar"/>
    <w:rsid w:val="006E3A13"/>
    <w:pPr>
      <w:tabs>
        <w:tab w:val="center" w:pos="4320"/>
        <w:tab w:val="right" w:pos="8640"/>
      </w:tabs>
    </w:pPr>
  </w:style>
  <w:style w:type="character" w:customStyle="1" w:styleId="FooterChar">
    <w:name w:val="Footer Char"/>
    <w:basedOn w:val="DefaultParagraphFont"/>
    <w:link w:val="Footer"/>
    <w:semiHidden/>
    <w:rsid w:val="002F2EC9"/>
    <w:rPr>
      <w:rFonts w:cs="Times New Roman"/>
      <w:sz w:val="24"/>
      <w:szCs w:val="24"/>
    </w:rPr>
  </w:style>
  <w:style w:type="character" w:styleId="PageNumber">
    <w:name w:val="page number"/>
    <w:basedOn w:val="DefaultParagraphFont"/>
    <w:rsid w:val="006E3A13"/>
    <w:rPr>
      <w:rFonts w:cs="Times New Roman"/>
    </w:rPr>
  </w:style>
  <w:style w:type="character" w:styleId="LineNumber">
    <w:name w:val="line number"/>
    <w:basedOn w:val="DefaultParagraphFont"/>
    <w:rsid w:val="006E3A13"/>
    <w:rPr>
      <w:rFonts w:cs="Times New Roman"/>
    </w:rPr>
  </w:style>
  <w:style w:type="paragraph" w:styleId="DocumentMap">
    <w:name w:val="Document Map"/>
    <w:basedOn w:val="Normal"/>
    <w:link w:val="DocumentMapChar"/>
    <w:semiHidden/>
    <w:rsid w:val="006E3A13"/>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2EC9"/>
    <w:rPr>
      <w:rFonts w:cs="Times New Roman"/>
      <w:sz w:val="2"/>
      <w:szCs w:val="2"/>
    </w:rPr>
  </w:style>
  <w:style w:type="paragraph" w:styleId="Title">
    <w:name w:val="Title"/>
    <w:basedOn w:val="Normal"/>
    <w:link w:val="TitleChar"/>
    <w:qFormat/>
    <w:rsid w:val="006E3A13"/>
    <w:pPr>
      <w:jc w:val="center"/>
    </w:pPr>
    <w:rPr>
      <w:b/>
      <w:bCs/>
      <w:sz w:val="28"/>
      <w:szCs w:val="28"/>
    </w:rPr>
  </w:style>
  <w:style w:type="character" w:customStyle="1" w:styleId="TitleChar">
    <w:name w:val="Title Char"/>
    <w:basedOn w:val="DefaultParagraphFont"/>
    <w:link w:val="Title"/>
    <w:rsid w:val="002F2EC9"/>
    <w:rPr>
      <w:rFonts w:ascii="Cambria" w:hAnsi="Cambria" w:cs="Cambria"/>
      <w:b/>
      <w:bCs/>
      <w:kern w:val="28"/>
      <w:sz w:val="32"/>
      <w:szCs w:val="32"/>
    </w:rPr>
  </w:style>
  <w:style w:type="paragraph" w:customStyle="1" w:styleId="FirmName">
    <w:name w:val="Firm Name"/>
    <w:basedOn w:val="Normal"/>
    <w:rsid w:val="006E3A13"/>
    <w:pPr>
      <w:spacing w:line="254" w:lineRule="exact"/>
      <w:ind w:left="0" w:firstLine="0"/>
      <w:jc w:val="center"/>
    </w:pPr>
    <w:rPr>
      <w:sz w:val="20"/>
      <w:szCs w:val="20"/>
    </w:rPr>
  </w:style>
  <w:style w:type="paragraph" w:styleId="BalloonText">
    <w:name w:val="Balloon Text"/>
    <w:basedOn w:val="Normal"/>
    <w:link w:val="BalloonTextChar"/>
    <w:semiHidden/>
    <w:rsid w:val="006E3A13"/>
    <w:rPr>
      <w:rFonts w:ascii="Tahoma" w:hAnsi="Tahoma" w:cs="Tahoma"/>
      <w:sz w:val="16"/>
      <w:szCs w:val="16"/>
    </w:rPr>
  </w:style>
  <w:style w:type="character" w:customStyle="1" w:styleId="BalloonTextChar">
    <w:name w:val="Balloon Text Char"/>
    <w:basedOn w:val="DefaultParagraphFont"/>
    <w:link w:val="BalloonText"/>
    <w:semiHidden/>
    <w:rsid w:val="002F2EC9"/>
    <w:rPr>
      <w:rFonts w:cs="Times New Roman"/>
      <w:sz w:val="2"/>
      <w:szCs w:val="2"/>
    </w:rPr>
  </w:style>
  <w:style w:type="paragraph" w:customStyle="1" w:styleId="CharChar1">
    <w:name w:val="Char Char1"/>
    <w:basedOn w:val="Normal"/>
    <w:rsid w:val="00534982"/>
    <w:pPr>
      <w:spacing w:after="160" w:line="240" w:lineRule="exact"/>
      <w:ind w:left="0" w:firstLine="0"/>
    </w:pPr>
    <w:rPr>
      <w:rFonts w:ascii="Verdana" w:hAnsi="Verdana" w:cs="Verdana"/>
      <w:sz w:val="20"/>
      <w:szCs w:val="20"/>
    </w:rPr>
  </w:style>
  <w:style w:type="paragraph" w:customStyle="1" w:styleId="CharChar2">
    <w:name w:val="Char Char2"/>
    <w:basedOn w:val="Normal"/>
    <w:rsid w:val="00612523"/>
    <w:pPr>
      <w:spacing w:after="160" w:line="240" w:lineRule="exact"/>
      <w:ind w:left="0" w:firstLine="0"/>
    </w:pPr>
    <w:rPr>
      <w:rFonts w:ascii="Verdana" w:hAnsi="Verdana"/>
    </w:rPr>
  </w:style>
  <w:style w:type="character" w:styleId="CommentReference">
    <w:name w:val="annotation reference"/>
    <w:basedOn w:val="DefaultParagraphFont"/>
    <w:semiHidden/>
    <w:rsid w:val="0030569E"/>
    <w:rPr>
      <w:sz w:val="16"/>
      <w:szCs w:val="16"/>
    </w:rPr>
  </w:style>
  <w:style w:type="paragraph" w:styleId="CommentText">
    <w:name w:val="annotation text"/>
    <w:basedOn w:val="Normal"/>
    <w:semiHidden/>
    <w:rsid w:val="0030569E"/>
    <w:rPr>
      <w:sz w:val="20"/>
      <w:szCs w:val="20"/>
    </w:rPr>
  </w:style>
  <w:style w:type="paragraph" w:styleId="CommentSubject">
    <w:name w:val="annotation subject"/>
    <w:basedOn w:val="CommentText"/>
    <w:next w:val="CommentText"/>
    <w:semiHidden/>
    <w:rsid w:val="0030569E"/>
    <w:rPr>
      <w:b/>
      <w:bCs/>
    </w:rPr>
  </w:style>
  <w:style w:type="paragraph" w:styleId="FootnoteText">
    <w:name w:val="footnote text"/>
    <w:basedOn w:val="Normal"/>
    <w:link w:val="FootnoteTextChar"/>
    <w:uiPriority w:val="99"/>
    <w:semiHidden/>
    <w:unhideWhenUsed/>
    <w:rsid w:val="007D693A"/>
    <w:rPr>
      <w:sz w:val="20"/>
      <w:szCs w:val="20"/>
    </w:rPr>
  </w:style>
  <w:style w:type="character" w:customStyle="1" w:styleId="FootnoteTextChar">
    <w:name w:val="Footnote Text Char"/>
    <w:basedOn w:val="DefaultParagraphFont"/>
    <w:link w:val="FootnoteText"/>
    <w:uiPriority w:val="99"/>
    <w:semiHidden/>
    <w:rsid w:val="007D693A"/>
  </w:style>
  <w:style w:type="character" w:styleId="FootnoteReference">
    <w:name w:val="footnote reference"/>
    <w:basedOn w:val="DefaultParagraphFont"/>
    <w:uiPriority w:val="99"/>
    <w:semiHidden/>
    <w:unhideWhenUsed/>
    <w:rsid w:val="007D693A"/>
    <w:rPr>
      <w:vertAlign w:val="superscript"/>
    </w:rPr>
  </w:style>
  <w:style w:type="paragraph" w:styleId="Revision">
    <w:name w:val="Revision"/>
    <w:hidden/>
    <w:uiPriority w:val="99"/>
    <w:semiHidden/>
    <w:rsid w:val="00673D6C"/>
    <w:rPr>
      <w:sz w:val="24"/>
      <w:szCs w:val="24"/>
    </w:rPr>
  </w:style>
  <w:style w:type="paragraph" w:styleId="BodyText2">
    <w:name w:val="Body Text 2"/>
    <w:basedOn w:val="Normal"/>
    <w:link w:val="BodyText2Char1"/>
    <w:uiPriority w:val="99"/>
    <w:unhideWhenUsed/>
    <w:rsid w:val="00142D02"/>
    <w:pPr>
      <w:spacing w:after="120"/>
    </w:pPr>
  </w:style>
  <w:style w:type="character" w:customStyle="1" w:styleId="BodyText2Char1">
    <w:name w:val="Body Text 2 Char1"/>
    <w:basedOn w:val="DefaultParagraphFont"/>
    <w:link w:val="BodyText2"/>
    <w:uiPriority w:val="99"/>
    <w:rsid w:val="00142D02"/>
    <w:rPr>
      <w:sz w:val="24"/>
      <w:szCs w:val="24"/>
    </w:rPr>
  </w:style>
  <w:style w:type="paragraph" w:styleId="ListParagraph">
    <w:name w:val="List Paragraph"/>
    <w:basedOn w:val="Normal"/>
    <w:uiPriority w:val="34"/>
    <w:qFormat/>
    <w:rsid w:val="00A067E6"/>
    <w:pPr>
      <w:contextualSpacing/>
    </w:pPr>
  </w:style>
</w:styles>
</file>

<file path=word/webSettings.xml><?xml version="1.0" encoding="utf-8"?>
<w:webSettings xmlns:r="http://schemas.openxmlformats.org/officeDocument/2006/relationships" xmlns:w="http://schemas.openxmlformats.org/wordprocessingml/2006/main">
  <w:divs>
    <w:div w:id="368919354">
      <w:bodyDiv w:val="1"/>
      <w:marLeft w:val="0"/>
      <w:marRight w:val="0"/>
      <w:marTop w:val="0"/>
      <w:marBottom w:val="0"/>
      <w:divBdr>
        <w:top w:val="none" w:sz="0" w:space="0" w:color="auto"/>
        <w:left w:val="none" w:sz="0" w:space="0" w:color="auto"/>
        <w:bottom w:val="none" w:sz="0" w:space="0" w:color="auto"/>
        <w:right w:val="none" w:sz="0" w:space="0" w:color="auto"/>
      </w:divBdr>
    </w:div>
    <w:div w:id="4303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D4029-AB2F-4D95-A8C4-989AE8E3FC92}"/>
</file>

<file path=customXml/itemProps2.xml><?xml version="1.0" encoding="utf-8"?>
<ds:datastoreItem xmlns:ds="http://schemas.openxmlformats.org/officeDocument/2006/customXml" ds:itemID="{82A0186B-475B-4C36-A486-14DCD8622724}"/>
</file>

<file path=customXml/itemProps3.xml><?xml version="1.0" encoding="utf-8"?>
<ds:datastoreItem xmlns:ds="http://schemas.openxmlformats.org/officeDocument/2006/customXml" ds:itemID="{01D73405-0447-4D6D-ACEA-2EB47A4B97EA}"/>
</file>

<file path=customXml/itemProps4.xml><?xml version="1.0" encoding="utf-8"?>
<ds:datastoreItem xmlns:ds="http://schemas.openxmlformats.org/officeDocument/2006/customXml" ds:itemID="{F187047A-FB68-4178-BB1A-1DCEBFCA377A}"/>
</file>

<file path=customXml/itemProps5.xml><?xml version="1.0" encoding="utf-8"?>
<ds:datastoreItem xmlns:ds="http://schemas.openxmlformats.org/officeDocument/2006/customXml" ds:itemID="{DCBD6461-DA25-45FC-9185-E9CC8EF204BD}"/>
</file>

<file path=docProps/app.xml><?xml version="1.0" encoding="utf-8"?>
<Properties xmlns="http://schemas.openxmlformats.org/officeDocument/2006/extended-properties" xmlns:vt="http://schemas.openxmlformats.org/officeDocument/2006/docPropsVTypes">
  <Template>Normal.dotm</Template>
  <TotalTime>0</TotalTime>
  <Pages>17</Pages>
  <Words>3667</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23947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
  <cp:keywords/>
  <dc:description/>
  <cp:lastModifiedBy/>
  <cp:revision>1</cp:revision>
  <cp:lastPrinted>2009-01-27T17:11:00Z</cp:lastPrinted>
  <dcterms:created xsi:type="dcterms:W3CDTF">2010-04-29T03:34:00Z</dcterms:created>
  <dcterms:modified xsi:type="dcterms:W3CDTF">2010-05-02T19:06:00Z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