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02301" w14:textId="77777777" w:rsidR="008E49FD" w:rsidRDefault="007310A0">
      <w:pPr>
        <w:spacing w:after="14"/>
        <w:ind w:left="10" w:right="6593" w:hanging="10"/>
        <w:jc w:val="right"/>
      </w:pPr>
      <w:proofErr w:type="spellStart"/>
      <w:r>
        <w:rPr>
          <w:rFonts w:ascii="Times New Roman" w:eastAsia="Times New Roman" w:hAnsi="Times New Roman" w:cs="Times New Roman"/>
          <w:b/>
          <w:sz w:val="24"/>
        </w:rPr>
        <w:t>TR</w:t>
      </w:r>
      <w:proofErr w:type="spellEnd"/>
      <w:r>
        <w:rPr>
          <w:rFonts w:ascii="Times New Roman" w:eastAsia="Times New Roman" w:hAnsi="Times New Roman" w:cs="Times New Roman"/>
          <w:b/>
          <w:sz w:val="24"/>
        </w:rPr>
        <w:t xml:space="preserve">-151079 Oil Train Safety Rulemaking </w:t>
      </w:r>
    </w:p>
    <w:p w14:paraId="4B4BA691" w14:textId="77777777" w:rsidR="008E49FD" w:rsidRDefault="007310A0">
      <w:pPr>
        <w:spacing w:after="14"/>
        <w:ind w:left="10" w:right="6878" w:hanging="10"/>
        <w:jc w:val="right"/>
      </w:pPr>
      <w:r>
        <w:rPr>
          <w:rFonts w:ascii="Times New Roman" w:eastAsia="Times New Roman" w:hAnsi="Times New Roman" w:cs="Times New Roman"/>
          <w:b/>
          <w:sz w:val="24"/>
        </w:rPr>
        <w:t xml:space="preserve">Comment Summary Matrix </w:t>
      </w:r>
      <w:proofErr w:type="spellStart"/>
      <w:r>
        <w:rPr>
          <w:rFonts w:ascii="Times New Roman" w:eastAsia="Times New Roman" w:hAnsi="Times New Roman" w:cs="Times New Roman"/>
          <w:b/>
          <w:sz w:val="24"/>
        </w:rPr>
        <w:t>CR102</w:t>
      </w:r>
      <w:proofErr w:type="spellEnd"/>
      <w:r>
        <w:rPr>
          <w:rFonts w:ascii="Times New Roman" w:eastAsia="Times New Roman" w:hAnsi="Times New Roman" w:cs="Times New Roman"/>
          <w:b/>
          <w:sz w:val="24"/>
        </w:rPr>
        <w:t xml:space="preserve"> </w:t>
      </w:r>
    </w:p>
    <w:p w14:paraId="3041F446" w14:textId="77777777" w:rsidR="008E49FD" w:rsidRDefault="007310A0">
      <w:pPr>
        <w:spacing w:after="19"/>
        <w:ind w:right="7751"/>
        <w:jc w:val="right"/>
      </w:pPr>
      <w:r>
        <w:rPr>
          <w:rFonts w:ascii="Times New Roman" w:eastAsia="Times New Roman" w:hAnsi="Times New Roman" w:cs="Times New Roman"/>
          <w:sz w:val="24"/>
        </w:rPr>
        <w:t xml:space="preserve">December 24, 2015 </w:t>
      </w:r>
    </w:p>
    <w:p w14:paraId="6D44F4F9" w14:textId="77777777" w:rsidR="008E49FD" w:rsidRDefault="007310A0">
      <w:pPr>
        <w:spacing w:after="0"/>
      </w:pPr>
      <w:r>
        <w:rPr>
          <w:rFonts w:ascii="Times New Roman" w:eastAsia="Times New Roman" w:hAnsi="Times New Roman" w:cs="Times New Roman"/>
          <w:sz w:val="24"/>
        </w:rPr>
        <w:t xml:space="preserve"> </w:t>
      </w:r>
    </w:p>
    <w:tbl>
      <w:tblPr>
        <w:tblStyle w:val="TableGrid"/>
        <w:tblW w:w="17270" w:type="dxa"/>
        <w:tblInd w:w="6" w:type="dxa"/>
        <w:tblCellMar>
          <w:top w:w="7" w:type="dxa"/>
          <w:left w:w="107" w:type="dxa"/>
          <w:right w:w="26" w:type="dxa"/>
        </w:tblCellMar>
        <w:tblLook w:val="04A0" w:firstRow="1" w:lastRow="0" w:firstColumn="1" w:lastColumn="0" w:noHBand="0" w:noVBand="1"/>
      </w:tblPr>
      <w:tblGrid>
        <w:gridCol w:w="2380"/>
        <w:gridCol w:w="2223"/>
        <w:gridCol w:w="7076"/>
        <w:gridCol w:w="5591"/>
      </w:tblGrid>
      <w:tr w:rsidR="008E49FD" w14:paraId="41AFEC26" w14:textId="77777777">
        <w:trPr>
          <w:trHeight w:val="283"/>
        </w:trPr>
        <w:tc>
          <w:tcPr>
            <w:tcW w:w="2380" w:type="dxa"/>
            <w:tcBorders>
              <w:top w:val="single" w:sz="4" w:space="0" w:color="000000"/>
              <w:left w:val="single" w:sz="4" w:space="0" w:color="000000"/>
              <w:bottom w:val="single" w:sz="4" w:space="0" w:color="000000"/>
              <w:right w:val="single" w:sz="4" w:space="0" w:color="000000"/>
            </w:tcBorders>
            <w:shd w:val="clear" w:color="auto" w:fill="D9D9D9"/>
          </w:tcPr>
          <w:p w14:paraId="0976E29B" w14:textId="77777777" w:rsidR="008E49FD" w:rsidRDefault="007310A0">
            <w:r>
              <w:rPr>
                <w:rFonts w:ascii="Times New Roman" w:eastAsia="Times New Roman" w:hAnsi="Times New Roman" w:cs="Times New Roman"/>
                <w:b/>
                <w:sz w:val="24"/>
              </w:rPr>
              <w:t xml:space="preserve">Section </w:t>
            </w:r>
          </w:p>
        </w:tc>
        <w:tc>
          <w:tcPr>
            <w:tcW w:w="2223" w:type="dxa"/>
            <w:tcBorders>
              <w:top w:val="single" w:sz="4" w:space="0" w:color="000000"/>
              <w:left w:val="single" w:sz="4" w:space="0" w:color="000000"/>
              <w:bottom w:val="single" w:sz="4" w:space="0" w:color="000000"/>
              <w:right w:val="single" w:sz="4" w:space="0" w:color="000000"/>
            </w:tcBorders>
            <w:shd w:val="clear" w:color="auto" w:fill="D9D9D9"/>
          </w:tcPr>
          <w:p w14:paraId="30E00863" w14:textId="77777777" w:rsidR="008E49FD" w:rsidRDefault="007310A0">
            <w:pPr>
              <w:ind w:left="1"/>
            </w:pPr>
            <w:r>
              <w:rPr>
                <w:rFonts w:ascii="Times New Roman" w:eastAsia="Times New Roman" w:hAnsi="Times New Roman" w:cs="Times New Roman"/>
                <w:b/>
                <w:sz w:val="24"/>
              </w:rPr>
              <w:t xml:space="preserve">Commenter </w:t>
            </w:r>
          </w:p>
        </w:tc>
        <w:tc>
          <w:tcPr>
            <w:tcW w:w="7076" w:type="dxa"/>
            <w:tcBorders>
              <w:top w:val="single" w:sz="4" w:space="0" w:color="000000"/>
              <w:left w:val="single" w:sz="4" w:space="0" w:color="000000"/>
              <w:bottom w:val="single" w:sz="4" w:space="0" w:color="000000"/>
              <w:right w:val="single" w:sz="4" w:space="0" w:color="000000"/>
            </w:tcBorders>
            <w:shd w:val="clear" w:color="auto" w:fill="D9D9D9"/>
          </w:tcPr>
          <w:p w14:paraId="1DAE7AA9" w14:textId="77777777" w:rsidR="008E49FD" w:rsidRDefault="007310A0">
            <w:pPr>
              <w:ind w:left="1"/>
            </w:pPr>
            <w:r>
              <w:rPr>
                <w:rFonts w:ascii="Times New Roman" w:eastAsia="Times New Roman" w:hAnsi="Times New Roman" w:cs="Times New Roman"/>
                <w:b/>
                <w:sz w:val="24"/>
              </w:rPr>
              <w:t xml:space="preserve">Comments </w:t>
            </w:r>
          </w:p>
        </w:tc>
        <w:tc>
          <w:tcPr>
            <w:tcW w:w="5591" w:type="dxa"/>
            <w:tcBorders>
              <w:top w:val="single" w:sz="4" w:space="0" w:color="000000"/>
              <w:left w:val="single" w:sz="4" w:space="0" w:color="000000"/>
              <w:bottom w:val="single" w:sz="4" w:space="0" w:color="000000"/>
              <w:right w:val="single" w:sz="4" w:space="0" w:color="000000"/>
            </w:tcBorders>
            <w:shd w:val="clear" w:color="auto" w:fill="D9D9D9"/>
          </w:tcPr>
          <w:p w14:paraId="49A45DD1" w14:textId="77777777" w:rsidR="008E49FD" w:rsidRDefault="007310A0">
            <w:pPr>
              <w:ind w:left="1"/>
            </w:pPr>
            <w:r>
              <w:rPr>
                <w:rFonts w:ascii="Times New Roman" w:eastAsia="Times New Roman" w:hAnsi="Times New Roman" w:cs="Times New Roman"/>
                <w:b/>
                <w:sz w:val="24"/>
              </w:rPr>
              <w:t xml:space="preserve">Staff Response </w:t>
            </w:r>
          </w:p>
        </w:tc>
      </w:tr>
      <w:tr w:rsidR="008E49FD" w14:paraId="5F809514" w14:textId="77777777">
        <w:trPr>
          <w:trHeight w:val="2822"/>
        </w:trPr>
        <w:tc>
          <w:tcPr>
            <w:tcW w:w="2380" w:type="dxa"/>
            <w:tcBorders>
              <w:top w:val="single" w:sz="4" w:space="0" w:color="000000"/>
              <w:left w:val="single" w:sz="4" w:space="0" w:color="000000"/>
              <w:bottom w:val="single" w:sz="4" w:space="0" w:color="000000"/>
              <w:right w:val="single" w:sz="4" w:space="0" w:color="000000"/>
            </w:tcBorders>
          </w:tcPr>
          <w:p w14:paraId="150343C0" w14:textId="77777777" w:rsidR="008E49FD" w:rsidRDefault="007310A0">
            <w:r>
              <w:rPr>
                <w:rFonts w:ascii="Times New Roman" w:eastAsia="Times New Roman" w:hAnsi="Times New Roman" w:cs="Times New Roman"/>
                <w:sz w:val="24"/>
              </w:rPr>
              <w:t xml:space="preserve">WAC 480-62-270, </w:t>
            </w:r>
          </w:p>
          <w:p w14:paraId="394ADD57" w14:textId="77777777" w:rsidR="008E49FD" w:rsidRDefault="007310A0">
            <w:r>
              <w:rPr>
                <w:rFonts w:ascii="Times New Roman" w:eastAsia="Times New Roman" w:hAnsi="Times New Roman" w:cs="Times New Roman"/>
                <w:sz w:val="24"/>
              </w:rPr>
              <w:t xml:space="preserve">Safety standards at private crossings </w:t>
            </w:r>
          </w:p>
        </w:tc>
        <w:tc>
          <w:tcPr>
            <w:tcW w:w="2223" w:type="dxa"/>
            <w:tcBorders>
              <w:top w:val="single" w:sz="4" w:space="0" w:color="000000"/>
              <w:left w:val="single" w:sz="4" w:space="0" w:color="000000"/>
              <w:bottom w:val="single" w:sz="4" w:space="0" w:color="000000"/>
              <w:right w:val="single" w:sz="4" w:space="0" w:color="000000"/>
            </w:tcBorders>
          </w:tcPr>
          <w:p w14:paraId="081A1C1D" w14:textId="77777777" w:rsidR="008E49FD" w:rsidRDefault="007310A0">
            <w:pPr>
              <w:ind w:left="1"/>
            </w:pPr>
            <w:r>
              <w:rPr>
                <w:rFonts w:ascii="Times New Roman" w:eastAsia="Times New Roman" w:hAnsi="Times New Roman" w:cs="Times New Roman"/>
                <w:sz w:val="24"/>
              </w:rPr>
              <w:t xml:space="preserve">Citizen, Jean Avery </w:t>
            </w:r>
          </w:p>
        </w:tc>
        <w:tc>
          <w:tcPr>
            <w:tcW w:w="7076" w:type="dxa"/>
            <w:tcBorders>
              <w:top w:val="single" w:sz="4" w:space="0" w:color="000000"/>
              <w:left w:val="single" w:sz="4" w:space="0" w:color="000000"/>
              <w:bottom w:val="single" w:sz="4" w:space="0" w:color="000000"/>
              <w:right w:val="single" w:sz="4" w:space="0" w:color="000000"/>
            </w:tcBorders>
          </w:tcPr>
          <w:p w14:paraId="6CB53F47" w14:textId="77777777" w:rsidR="008E49FD" w:rsidRDefault="007310A0">
            <w:pPr>
              <w:ind w:left="1"/>
            </w:pPr>
            <w:r>
              <w:rPr>
                <w:rFonts w:ascii="Times New Roman" w:eastAsia="Times New Roman" w:hAnsi="Times New Roman" w:cs="Times New Roman"/>
                <w:sz w:val="24"/>
              </w:rPr>
              <w:t xml:space="preserve">The commenter believes: </w:t>
            </w:r>
          </w:p>
          <w:p w14:paraId="00497039" w14:textId="77777777" w:rsidR="008E49FD" w:rsidRDefault="007310A0">
            <w:pPr>
              <w:numPr>
                <w:ilvl w:val="0"/>
                <w:numId w:val="1"/>
              </w:numPr>
              <w:spacing w:after="4" w:line="238" w:lineRule="auto"/>
              <w:ind w:hanging="360"/>
            </w:pPr>
            <w:r>
              <w:rPr>
                <w:rFonts w:ascii="Times New Roman" w:eastAsia="Times New Roman" w:hAnsi="Times New Roman" w:cs="Times New Roman"/>
                <w:sz w:val="24"/>
              </w:rPr>
              <w:t xml:space="preserve">Crossing areas should include distances on both sides of the tracks and in all directions.   </w:t>
            </w:r>
          </w:p>
          <w:p w14:paraId="1C62DDB3" w14:textId="77777777" w:rsidR="008E49FD" w:rsidRDefault="007310A0">
            <w:pPr>
              <w:numPr>
                <w:ilvl w:val="0"/>
                <w:numId w:val="1"/>
              </w:numPr>
              <w:ind w:hanging="360"/>
            </w:pPr>
            <w:r>
              <w:rPr>
                <w:rFonts w:ascii="Times New Roman" w:eastAsia="Times New Roman" w:hAnsi="Times New Roman" w:cs="Times New Roman"/>
                <w:sz w:val="24"/>
              </w:rPr>
              <w:t xml:space="preserve">Crossings should include a posting of the largest area of possible impact of a crude oil spill (similar to the “tsunami zone” signs).   </w:t>
            </w:r>
          </w:p>
        </w:tc>
        <w:tc>
          <w:tcPr>
            <w:tcW w:w="5591" w:type="dxa"/>
            <w:tcBorders>
              <w:top w:val="single" w:sz="4" w:space="0" w:color="000000"/>
              <w:left w:val="single" w:sz="4" w:space="0" w:color="000000"/>
              <w:bottom w:val="single" w:sz="4" w:space="0" w:color="000000"/>
              <w:right w:val="single" w:sz="4" w:space="0" w:color="000000"/>
            </w:tcBorders>
          </w:tcPr>
          <w:p w14:paraId="17DFEF34" w14:textId="77777777" w:rsidR="008E49FD" w:rsidRDefault="007310A0">
            <w:pPr>
              <w:numPr>
                <w:ilvl w:val="0"/>
                <w:numId w:val="2"/>
              </w:numPr>
              <w:spacing w:after="1" w:line="254" w:lineRule="auto"/>
              <w:ind w:right="327" w:hanging="360"/>
            </w:pPr>
            <w:r>
              <w:rPr>
                <w:rFonts w:ascii="Times New Roman" w:eastAsia="Times New Roman" w:hAnsi="Times New Roman" w:cs="Times New Roman"/>
                <w:sz w:val="24"/>
              </w:rPr>
              <w:t xml:space="preserve">The recommendations and safety measures contained in WAC 480-62-270 are consistent with the federal government and provide additional safety precautions to ensure that the crossing is well marked and there is a process if the crossing has hazards that require more than signage.   </w:t>
            </w:r>
          </w:p>
          <w:p w14:paraId="04E85138" w14:textId="77777777" w:rsidR="008E49FD" w:rsidRDefault="007310A0">
            <w:pPr>
              <w:numPr>
                <w:ilvl w:val="0"/>
                <w:numId w:val="2"/>
              </w:numPr>
              <w:ind w:right="327" w:hanging="360"/>
            </w:pPr>
            <w:r>
              <w:rPr>
                <w:rFonts w:ascii="Times New Roman" w:eastAsia="Times New Roman" w:hAnsi="Times New Roman" w:cs="Times New Roman"/>
                <w:sz w:val="24"/>
              </w:rPr>
              <w:t xml:space="preserve">HB 1449 did not direct the Commission to create impact zones associated with crude oil movement by rail.   </w:t>
            </w:r>
          </w:p>
        </w:tc>
      </w:tr>
      <w:tr w:rsidR="008E49FD" w14:paraId="0C70A98E" w14:textId="77777777">
        <w:trPr>
          <w:trHeight w:val="4587"/>
        </w:trPr>
        <w:tc>
          <w:tcPr>
            <w:tcW w:w="2380" w:type="dxa"/>
            <w:tcBorders>
              <w:top w:val="single" w:sz="4" w:space="0" w:color="000000"/>
              <w:left w:val="single" w:sz="4" w:space="0" w:color="000000"/>
              <w:bottom w:val="single" w:sz="4" w:space="0" w:color="000000"/>
              <w:right w:val="single" w:sz="4" w:space="0" w:color="000000"/>
            </w:tcBorders>
          </w:tcPr>
          <w:p w14:paraId="62E401E5" w14:textId="77777777" w:rsidR="008E49FD" w:rsidRDefault="007310A0">
            <w:r>
              <w:rPr>
                <w:rFonts w:ascii="Times New Roman" w:eastAsia="Times New Roman" w:hAnsi="Times New Roman" w:cs="Times New Roman"/>
                <w:sz w:val="24"/>
              </w:rPr>
              <w:t xml:space="preserve">WAC 480-62-270, </w:t>
            </w:r>
          </w:p>
          <w:p w14:paraId="6029A207" w14:textId="77777777" w:rsidR="008E49FD" w:rsidRDefault="007310A0">
            <w:r>
              <w:rPr>
                <w:rFonts w:ascii="Times New Roman" w:eastAsia="Times New Roman" w:hAnsi="Times New Roman" w:cs="Times New Roman"/>
                <w:sz w:val="24"/>
              </w:rPr>
              <w:t xml:space="preserve">Safety standards at private crossings </w:t>
            </w:r>
          </w:p>
        </w:tc>
        <w:tc>
          <w:tcPr>
            <w:tcW w:w="2223" w:type="dxa"/>
            <w:tcBorders>
              <w:top w:val="single" w:sz="4" w:space="0" w:color="000000"/>
              <w:left w:val="single" w:sz="4" w:space="0" w:color="000000"/>
              <w:bottom w:val="single" w:sz="4" w:space="0" w:color="000000"/>
              <w:right w:val="single" w:sz="4" w:space="0" w:color="000000"/>
            </w:tcBorders>
          </w:tcPr>
          <w:p w14:paraId="3839DFB4" w14:textId="77777777" w:rsidR="008E49FD" w:rsidRDefault="007310A0">
            <w:pPr>
              <w:ind w:left="1"/>
            </w:pPr>
            <w:r>
              <w:rPr>
                <w:rFonts w:ascii="Times New Roman" w:eastAsia="Times New Roman" w:hAnsi="Times New Roman" w:cs="Times New Roman"/>
                <w:sz w:val="24"/>
              </w:rPr>
              <w:t xml:space="preserve">Union Pacific (UP), Melissa Hagan </w:t>
            </w:r>
          </w:p>
        </w:tc>
        <w:tc>
          <w:tcPr>
            <w:tcW w:w="7076" w:type="dxa"/>
            <w:tcBorders>
              <w:top w:val="single" w:sz="4" w:space="0" w:color="000000"/>
              <w:left w:val="single" w:sz="4" w:space="0" w:color="000000"/>
              <w:bottom w:val="single" w:sz="4" w:space="0" w:color="000000"/>
              <w:right w:val="single" w:sz="4" w:space="0" w:color="000000"/>
            </w:tcBorders>
          </w:tcPr>
          <w:p w14:paraId="1F47CB38" w14:textId="77777777" w:rsidR="008E49FD" w:rsidRDefault="007310A0">
            <w:pPr>
              <w:numPr>
                <w:ilvl w:val="0"/>
                <w:numId w:val="3"/>
              </w:numPr>
              <w:spacing w:after="3" w:line="238" w:lineRule="auto"/>
              <w:ind w:hanging="271"/>
            </w:pPr>
            <w:r>
              <w:rPr>
                <w:rFonts w:ascii="Times New Roman" w:eastAsia="Times New Roman" w:hAnsi="Times New Roman" w:cs="Times New Roman"/>
                <w:sz w:val="24"/>
              </w:rPr>
              <w:t xml:space="preserve">In WAC 480-62-270(2), UP is concerned that the railroads only have 90 days following the adoption of the rule to install signage at private crossings.  The timeline would impose a significant burden on UP.  UP requests the Commission allow 180 days to comply. </w:t>
            </w:r>
          </w:p>
          <w:p w14:paraId="204BDA1E" w14:textId="77777777" w:rsidR="008E49FD" w:rsidRDefault="007310A0">
            <w:pPr>
              <w:numPr>
                <w:ilvl w:val="0"/>
                <w:numId w:val="3"/>
              </w:numPr>
              <w:spacing w:after="3" w:line="238" w:lineRule="auto"/>
              <w:ind w:hanging="271"/>
            </w:pPr>
            <w:r>
              <w:rPr>
                <w:rFonts w:ascii="Times New Roman" w:eastAsia="Times New Roman" w:hAnsi="Times New Roman" w:cs="Times New Roman"/>
                <w:sz w:val="24"/>
              </w:rPr>
              <w:t xml:space="preserve">UP suggests the Commission consider including an exception to its signage requirement for private crossings where only a de </w:t>
            </w:r>
            <w:proofErr w:type="spellStart"/>
            <w:r>
              <w:rPr>
                <w:rFonts w:ascii="Times New Roman" w:eastAsia="Times New Roman" w:hAnsi="Times New Roman" w:cs="Times New Roman"/>
                <w:sz w:val="24"/>
              </w:rPr>
              <w:t>minimis</w:t>
            </w:r>
            <w:proofErr w:type="spellEnd"/>
            <w:r>
              <w:rPr>
                <w:rFonts w:ascii="Times New Roman" w:eastAsia="Times New Roman" w:hAnsi="Times New Roman" w:cs="Times New Roman"/>
                <w:sz w:val="24"/>
              </w:rPr>
              <w:t xml:space="preserve"> amount of crude oil is transported.   </w:t>
            </w:r>
          </w:p>
          <w:p w14:paraId="18FB8246" w14:textId="77777777" w:rsidR="008E49FD" w:rsidRDefault="007310A0">
            <w:pPr>
              <w:numPr>
                <w:ilvl w:val="0"/>
                <w:numId w:val="3"/>
              </w:numPr>
              <w:spacing w:after="47" w:line="238" w:lineRule="auto"/>
              <w:ind w:hanging="271"/>
            </w:pPr>
            <w:r>
              <w:rPr>
                <w:rFonts w:ascii="Times New Roman" w:eastAsia="Times New Roman" w:hAnsi="Times New Roman" w:cs="Times New Roman"/>
                <w:sz w:val="24"/>
              </w:rPr>
              <w:t xml:space="preserve">UP suggests a technical change to the language in WAC 480-62270(4).  UP stated that the rule would require an additional </w:t>
            </w:r>
            <w:proofErr w:type="spellStart"/>
            <w:r>
              <w:rPr>
                <w:rFonts w:ascii="Times New Roman" w:eastAsia="Times New Roman" w:hAnsi="Times New Roman" w:cs="Times New Roman"/>
                <w:sz w:val="24"/>
              </w:rPr>
              <w:t>crossbuck</w:t>
            </w:r>
            <w:proofErr w:type="spellEnd"/>
            <w:r>
              <w:rPr>
                <w:rFonts w:ascii="Times New Roman" w:eastAsia="Times New Roman" w:hAnsi="Times New Roman" w:cs="Times New Roman"/>
                <w:sz w:val="24"/>
              </w:rPr>
              <w:t xml:space="preserve"> to be installed within 90 days of the adoption of the rule.  UP believes this is a clerical mistake and the language should read </w:t>
            </w:r>
          </w:p>
          <w:p w14:paraId="03C174F3" w14:textId="77777777" w:rsidR="008E49FD" w:rsidRDefault="007310A0">
            <w:pPr>
              <w:ind w:right="184"/>
              <w:jc w:val="right"/>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within</w:t>
            </w:r>
            <w:proofErr w:type="gramEnd"/>
            <w:r>
              <w:rPr>
                <w:rFonts w:ascii="Times New Roman" w:eastAsia="Times New Roman" w:hAnsi="Times New Roman" w:cs="Times New Roman"/>
                <w:sz w:val="24"/>
              </w:rPr>
              <w:t xml:space="preserve"> 90 days of notification of the insufficient sight restriction.”   </w:t>
            </w:r>
          </w:p>
        </w:tc>
        <w:tc>
          <w:tcPr>
            <w:tcW w:w="5591" w:type="dxa"/>
            <w:tcBorders>
              <w:top w:val="single" w:sz="4" w:space="0" w:color="000000"/>
              <w:left w:val="single" w:sz="4" w:space="0" w:color="000000"/>
              <w:bottom w:val="single" w:sz="4" w:space="0" w:color="000000"/>
              <w:right w:val="single" w:sz="4" w:space="0" w:color="000000"/>
            </w:tcBorders>
          </w:tcPr>
          <w:p w14:paraId="2FB046A0" w14:textId="77777777" w:rsidR="008E49FD" w:rsidRDefault="007310A0">
            <w:pPr>
              <w:numPr>
                <w:ilvl w:val="0"/>
                <w:numId w:val="4"/>
              </w:numPr>
              <w:spacing w:after="1" w:line="254" w:lineRule="auto"/>
              <w:ind w:hanging="360"/>
            </w:pPr>
            <w:r>
              <w:rPr>
                <w:rFonts w:ascii="Times New Roman" w:eastAsia="Times New Roman" w:hAnsi="Times New Roman" w:cs="Times New Roman"/>
                <w:sz w:val="24"/>
              </w:rPr>
              <w:t xml:space="preserve">The 90-day timeline UP cited is from a previous draft of the proposed rules.  The </w:t>
            </w:r>
            <w:proofErr w:type="spellStart"/>
            <w:r>
              <w:rPr>
                <w:rFonts w:ascii="Times New Roman" w:eastAsia="Times New Roman" w:hAnsi="Times New Roman" w:cs="Times New Roman"/>
                <w:sz w:val="24"/>
              </w:rPr>
              <w:t>CR102</w:t>
            </w:r>
            <w:proofErr w:type="spellEnd"/>
            <w:r>
              <w:rPr>
                <w:rFonts w:ascii="Times New Roman" w:eastAsia="Times New Roman" w:hAnsi="Times New Roman" w:cs="Times New Roman"/>
                <w:sz w:val="24"/>
              </w:rPr>
              <w:t xml:space="preserve"> language that was drafted and posted to the Commission website allows for 120 days following the adoption of the rule to install signage at private crossings. </w:t>
            </w:r>
          </w:p>
          <w:p w14:paraId="18923262" w14:textId="77777777" w:rsidR="008E49FD" w:rsidRDefault="007310A0">
            <w:pPr>
              <w:numPr>
                <w:ilvl w:val="0"/>
                <w:numId w:val="4"/>
              </w:numPr>
              <w:spacing w:after="4" w:line="254" w:lineRule="auto"/>
              <w:ind w:hanging="360"/>
            </w:pPr>
            <w:r>
              <w:rPr>
                <w:rFonts w:ascii="Times New Roman" w:eastAsia="Times New Roman" w:hAnsi="Times New Roman" w:cs="Times New Roman"/>
                <w:sz w:val="24"/>
              </w:rPr>
              <w:t xml:space="preserve">If a railroad uses a private crossing to haul a de </w:t>
            </w:r>
            <w:proofErr w:type="spellStart"/>
            <w:r>
              <w:rPr>
                <w:rFonts w:ascii="Times New Roman" w:eastAsia="Times New Roman" w:hAnsi="Times New Roman" w:cs="Times New Roman"/>
                <w:sz w:val="24"/>
              </w:rPr>
              <w:t>minimis</w:t>
            </w:r>
            <w:proofErr w:type="spellEnd"/>
            <w:r>
              <w:rPr>
                <w:rFonts w:ascii="Times New Roman" w:eastAsia="Times New Roman" w:hAnsi="Times New Roman" w:cs="Times New Roman"/>
                <w:sz w:val="24"/>
              </w:rPr>
              <w:t xml:space="preserve"> amount of oil and believes an exemption from the rule is in order, the railroad may apply for an exemption from the Commission. </w:t>
            </w:r>
          </w:p>
          <w:p w14:paraId="3BA38D4D" w14:textId="77777777" w:rsidR="008E49FD" w:rsidRDefault="007310A0">
            <w:pPr>
              <w:numPr>
                <w:ilvl w:val="0"/>
                <w:numId w:val="4"/>
              </w:numPr>
              <w:ind w:hanging="360"/>
            </w:pPr>
            <w:r>
              <w:rPr>
                <w:rFonts w:ascii="Times New Roman" w:eastAsia="Times New Roman" w:hAnsi="Times New Roman" w:cs="Times New Roman"/>
                <w:sz w:val="24"/>
              </w:rPr>
              <w:t xml:space="preserve">The 90-day timeline UP cited is from a previous draft of the proposed rules.  The </w:t>
            </w:r>
            <w:proofErr w:type="spellStart"/>
            <w:r>
              <w:rPr>
                <w:rFonts w:ascii="Times New Roman" w:eastAsia="Times New Roman" w:hAnsi="Times New Roman" w:cs="Times New Roman"/>
                <w:sz w:val="24"/>
              </w:rPr>
              <w:t>CR102</w:t>
            </w:r>
            <w:proofErr w:type="spellEnd"/>
            <w:r>
              <w:rPr>
                <w:rFonts w:ascii="Times New Roman" w:eastAsia="Times New Roman" w:hAnsi="Times New Roman" w:cs="Times New Roman"/>
                <w:sz w:val="24"/>
              </w:rPr>
              <w:t xml:space="preserve"> language that was drafted and posted to the Commission website reads that a railroad is required to install an additional </w:t>
            </w:r>
            <w:proofErr w:type="spellStart"/>
            <w:r>
              <w:rPr>
                <w:rFonts w:ascii="Times New Roman" w:eastAsia="Times New Roman" w:hAnsi="Times New Roman" w:cs="Times New Roman"/>
                <w:sz w:val="24"/>
              </w:rPr>
              <w:t>crossbuck</w:t>
            </w:r>
            <w:proofErr w:type="spellEnd"/>
            <w:r>
              <w:rPr>
                <w:rFonts w:ascii="Times New Roman" w:eastAsia="Times New Roman" w:hAnsi="Times New Roman" w:cs="Times New Roman"/>
                <w:sz w:val="24"/>
              </w:rPr>
              <w:t xml:space="preserve"> within 120 days of receiving notification of the hazard from commission staff. </w:t>
            </w:r>
          </w:p>
        </w:tc>
      </w:tr>
    </w:tbl>
    <w:p w14:paraId="5925533F" w14:textId="77777777" w:rsidR="008E49FD" w:rsidRDefault="008E49FD">
      <w:pPr>
        <w:spacing w:after="0"/>
        <w:ind w:left="-1440" w:right="55"/>
      </w:pPr>
    </w:p>
    <w:tbl>
      <w:tblPr>
        <w:tblStyle w:val="TableGrid"/>
        <w:tblW w:w="17273" w:type="dxa"/>
        <w:tblInd w:w="5" w:type="dxa"/>
        <w:tblCellMar>
          <w:top w:w="7" w:type="dxa"/>
          <w:left w:w="108" w:type="dxa"/>
          <w:right w:w="55" w:type="dxa"/>
        </w:tblCellMar>
        <w:tblLook w:val="04A0" w:firstRow="1" w:lastRow="0" w:firstColumn="1" w:lastColumn="0" w:noHBand="0" w:noVBand="1"/>
      </w:tblPr>
      <w:tblGrid>
        <w:gridCol w:w="2382"/>
        <w:gridCol w:w="2223"/>
        <w:gridCol w:w="7076"/>
        <w:gridCol w:w="5592"/>
      </w:tblGrid>
      <w:tr w:rsidR="008E49FD" w14:paraId="455492D7" w14:textId="77777777" w:rsidTr="0012765D">
        <w:trPr>
          <w:trHeight w:val="6354"/>
        </w:trPr>
        <w:tc>
          <w:tcPr>
            <w:tcW w:w="2382" w:type="dxa"/>
            <w:tcBorders>
              <w:top w:val="single" w:sz="4" w:space="0" w:color="000000"/>
              <w:left w:val="single" w:sz="4" w:space="0" w:color="000000"/>
              <w:bottom w:val="single" w:sz="4" w:space="0" w:color="000000"/>
              <w:right w:val="single" w:sz="4" w:space="0" w:color="000000"/>
            </w:tcBorders>
          </w:tcPr>
          <w:p w14:paraId="07F78D9A" w14:textId="77777777" w:rsidR="008E49FD" w:rsidRDefault="007310A0">
            <w:r>
              <w:rPr>
                <w:rFonts w:ascii="Times New Roman" w:eastAsia="Times New Roman" w:hAnsi="Times New Roman" w:cs="Times New Roman"/>
                <w:sz w:val="24"/>
              </w:rPr>
              <w:lastRenderedPageBreak/>
              <w:t xml:space="preserve">WAC 480-62-300 </w:t>
            </w:r>
          </w:p>
          <w:p w14:paraId="3F000E22" w14:textId="77777777" w:rsidR="008E49FD" w:rsidRDefault="007310A0">
            <w:r>
              <w:rPr>
                <w:rFonts w:ascii="Times New Roman" w:eastAsia="Times New Roman" w:hAnsi="Times New Roman" w:cs="Times New Roman"/>
                <w:sz w:val="24"/>
              </w:rPr>
              <w:t>Annual reports—</w:t>
            </w:r>
          </w:p>
          <w:p w14:paraId="002B093E" w14:textId="77777777" w:rsidR="008E49FD" w:rsidRDefault="007310A0">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0E0E4FAA" w14:textId="77777777" w:rsidR="008E49FD" w:rsidRDefault="007310A0">
            <w:r>
              <w:rPr>
                <w:rFonts w:ascii="Times New Roman" w:eastAsia="Times New Roman" w:hAnsi="Times New Roman" w:cs="Times New Roman"/>
                <w:sz w:val="24"/>
              </w:rPr>
              <w:t xml:space="preserve">Senator Christine </w:t>
            </w:r>
            <w:proofErr w:type="spellStart"/>
            <w:r>
              <w:rPr>
                <w:rFonts w:ascii="Times New Roman" w:eastAsia="Times New Roman" w:hAnsi="Times New Roman" w:cs="Times New Roman"/>
                <w:sz w:val="24"/>
              </w:rPr>
              <w:t>Rolfes</w:t>
            </w:r>
            <w:proofErr w:type="spellEnd"/>
            <w:r>
              <w:rPr>
                <w:rFonts w:ascii="Times New Roman" w:eastAsia="Times New Roman" w:hAnsi="Times New Roman" w:cs="Times New Roman"/>
                <w:sz w:val="24"/>
              </w:rPr>
              <w:t xml:space="preserve"> </w:t>
            </w:r>
          </w:p>
        </w:tc>
        <w:tc>
          <w:tcPr>
            <w:tcW w:w="7076" w:type="dxa"/>
            <w:tcBorders>
              <w:top w:val="single" w:sz="4" w:space="0" w:color="000000"/>
              <w:left w:val="single" w:sz="4" w:space="0" w:color="000000"/>
              <w:bottom w:val="single" w:sz="4" w:space="0" w:color="000000"/>
              <w:right w:val="single" w:sz="4" w:space="0" w:color="000000"/>
            </w:tcBorders>
          </w:tcPr>
          <w:p w14:paraId="5612F2D1" w14:textId="77777777" w:rsidR="008E49FD" w:rsidRDefault="007310A0">
            <w:r>
              <w:rPr>
                <w:rFonts w:ascii="Times New Roman" w:eastAsia="Times New Roman" w:hAnsi="Times New Roman" w:cs="Times New Roman"/>
                <w:sz w:val="24"/>
              </w:rPr>
              <w:t xml:space="preserve">The commenter believes: </w:t>
            </w:r>
          </w:p>
          <w:p w14:paraId="2FFA1DC4" w14:textId="77777777" w:rsidR="008E49FD" w:rsidRDefault="007310A0">
            <w:pPr>
              <w:numPr>
                <w:ilvl w:val="0"/>
                <w:numId w:val="5"/>
              </w:numPr>
              <w:spacing w:after="3" w:line="238" w:lineRule="auto"/>
              <w:ind w:hanging="360"/>
            </w:pPr>
            <w:r>
              <w:rPr>
                <w:rFonts w:ascii="Times New Roman" w:eastAsia="Times New Roman" w:hAnsi="Times New Roman" w:cs="Times New Roman"/>
                <w:sz w:val="24"/>
              </w:rPr>
              <w:t xml:space="preserve">The proposed definition of reasonable worst case spill is far too conservative. </w:t>
            </w:r>
          </w:p>
          <w:p w14:paraId="2954AC17" w14:textId="77777777" w:rsidR="008E49FD" w:rsidRDefault="007310A0">
            <w:pPr>
              <w:numPr>
                <w:ilvl w:val="0"/>
                <w:numId w:val="5"/>
              </w:numPr>
              <w:spacing w:after="3" w:line="238" w:lineRule="auto"/>
              <w:ind w:hanging="360"/>
            </w:pPr>
            <w:r>
              <w:rPr>
                <w:rFonts w:ascii="Times New Roman" w:eastAsia="Times New Roman" w:hAnsi="Times New Roman" w:cs="Times New Roman"/>
                <w:sz w:val="24"/>
              </w:rPr>
              <w:t xml:space="preserve">The calculation of a potential amount of oil spilled assumes the train will follow the maximum operating speed.  A reasonable worst case should cover circumstances when a train is out of control and, therefore, exceeding the maximum speed. </w:t>
            </w:r>
          </w:p>
          <w:p w14:paraId="305AB790" w14:textId="77777777" w:rsidR="008E49FD" w:rsidRDefault="007310A0">
            <w:pPr>
              <w:numPr>
                <w:ilvl w:val="0"/>
                <w:numId w:val="5"/>
              </w:numPr>
              <w:spacing w:after="3" w:line="238" w:lineRule="auto"/>
              <w:ind w:hanging="360"/>
            </w:pPr>
            <w:r>
              <w:rPr>
                <w:rFonts w:ascii="Times New Roman" w:eastAsia="Times New Roman" w:hAnsi="Times New Roman" w:cs="Times New Roman"/>
                <w:sz w:val="24"/>
              </w:rPr>
              <w:t xml:space="preserve">Planning and estimating for reasonable worst case should be calculated and assessed for a large metropolitan area such as Spokane or Seattle. </w:t>
            </w:r>
          </w:p>
          <w:p w14:paraId="2340D48C" w14:textId="77777777" w:rsidR="008E49FD" w:rsidRDefault="007310A0">
            <w:pPr>
              <w:numPr>
                <w:ilvl w:val="0"/>
                <w:numId w:val="5"/>
              </w:numPr>
              <w:ind w:hanging="360"/>
            </w:pPr>
            <w:r>
              <w:rPr>
                <w:rFonts w:ascii="Times New Roman" w:eastAsia="Times New Roman" w:hAnsi="Times New Roman" w:cs="Times New Roman"/>
                <w:sz w:val="24"/>
              </w:rPr>
              <w:t xml:space="preserve">The estimate of the per barrel cleanup cost seems excessively low. </w:t>
            </w:r>
          </w:p>
        </w:tc>
        <w:tc>
          <w:tcPr>
            <w:tcW w:w="5592" w:type="dxa"/>
            <w:tcBorders>
              <w:top w:val="single" w:sz="4" w:space="0" w:color="000000"/>
              <w:left w:val="single" w:sz="4" w:space="0" w:color="000000"/>
              <w:bottom w:val="single" w:sz="4" w:space="0" w:color="000000"/>
              <w:right w:val="single" w:sz="4" w:space="0" w:color="000000"/>
            </w:tcBorders>
          </w:tcPr>
          <w:p w14:paraId="0926D268" w14:textId="77777777" w:rsidR="008E49FD" w:rsidRDefault="007310A0">
            <w:pPr>
              <w:numPr>
                <w:ilvl w:val="0"/>
                <w:numId w:val="6"/>
              </w:numPr>
              <w:spacing w:after="2" w:line="254" w:lineRule="auto"/>
              <w:ind w:right="12" w:hanging="360"/>
            </w:pPr>
            <w:r>
              <w:rPr>
                <w:rFonts w:ascii="Times New Roman" w:eastAsia="Times New Roman" w:hAnsi="Times New Roman" w:cs="Times New Roman"/>
                <w:sz w:val="24"/>
              </w:rPr>
              <w:t xml:space="preserve">The Commission researched similar definitions in other states and at the federal level.  The state of California limits the definition to 20% of the train.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while not defining a reasonable worst case, calculates a high consequence event in the recently adopted enhanced tank car rule.  The Commission utilized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calculation as the preferred methodology. </w:t>
            </w:r>
          </w:p>
          <w:p w14:paraId="3162A790" w14:textId="77777777" w:rsidR="008E49FD" w:rsidRDefault="007310A0">
            <w:pPr>
              <w:numPr>
                <w:ilvl w:val="0"/>
                <w:numId w:val="6"/>
              </w:numPr>
              <w:spacing w:after="4" w:line="254" w:lineRule="auto"/>
              <w:ind w:right="12" w:hanging="360"/>
            </w:pPr>
            <w:r>
              <w:rPr>
                <w:rFonts w:ascii="Times New Roman" w:eastAsia="Times New Roman" w:hAnsi="Times New Roman" w:cs="Times New Roman"/>
                <w:sz w:val="24"/>
              </w:rPr>
              <w:t xml:space="preserve">The Commission explored ways to calculate a reasonable worst case scenario that was not unduly punitive to railroad operators that operate on small sections of track at speeds less than 10 mph. </w:t>
            </w:r>
          </w:p>
          <w:p w14:paraId="30C3199A" w14:textId="77777777" w:rsidR="008E49FD" w:rsidRDefault="007310A0">
            <w:pPr>
              <w:numPr>
                <w:ilvl w:val="0"/>
                <w:numId w:val="6"/>
              </w:numPr>
              <w:spacing w:after="4" w:line="254" w:lineRule="auto"/>
              <w:ind w:right="12" w:hanging="360"/>
            </w:pPr>
            <w:r>
              <w:rPr>
                <w:rFonts w:ascii="Times New Roman" w:eastAsia="Times New Roman" w:hAnsi="Times New Roman" w:cs="Times New Roman"/>
                <w:sz w:val="24"/>
              </w:rPr>
              <w:t xml:space="preserve">The Commission looked to other states for guidelines on financial responsibility and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in its regulatory impact analysis of the federal enhanced tank car rule.  The Commission estimate exceeds other states (i.e. California) and matches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calculations.  </w:t>
            </w:r>
          </w:p>
          <w:p w14:paraId="47B9FE10" w14:textId="77777777" w:rsidR="008E49FD" w:rsidRDefault="007310A0">
            <w:pPr>
              <w:numPr>
                <w:ilvl w:val="0"/>
                <w:numId w:val="6"/>
              </w:numPr>
              <w:ind w:right="12" w:hanging="360"/>
            </w:pPr>
            <w:r>
              <w:rPr>
                <w:rFonts w:ascii="Times New Roman" w:eastAsia="Times New Roman" w:hAnsi="Times New Roman" w:cs="Times New Roman"/>
                <w:sz w:val="24"/>
              </w:rPr>
              <w:t xml:space="preserve">The per barrel cleanup cost was calculated using the data available in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regulatory impact analysis.   </w:t>
            </w:r>
          </w:p>
        </w:tc>
      </w:tr>
      <w:tr w:rsidR="00823D09" w14:paraId="27469807" w14:textId="77777777" w:rsidTr="00823D09">
        <w:trPr>
          <w:trHeight w:val="5820"/>
        </w:trPr>
        <w:tc>
          <w:tcPr>
            <w:tcW w:w="2382" w:type="dxa"/>
            <w:tcBorders>
              <w:top w:val="single" w:sz="4" w:space="0" w:color="auto"/>
              <w:left w:val="single" w:sz="4" w:space="0" w:color="000000"/>
              <w:bottom w:val="single" w:sz="4" w:space="0" w:color="auto"/>
              <w:right w:val="single" w:sz="4" w:space="0" w:color="000000"/>
            </w:tcBorders>
          </w:tcPr>
          <w:p w14:paraId="58921294" w14:textId="77777777" w:rsidR="00823D09" w:rsidRDefault="00823D09">
            <w:r>
              <w:rPr>
                <w:rFonts w:ascii="Times New Roman" w:eastAsia="Times New Roman" w:hAnsi="Times New Roman" w:cs="Times New Roman"/>
                <w:sz w:val="24"/>
              </w:rPr>
              <w:lastRenderedPageBreak/>
              <w:t xml:space="preserve">WAC 480-62-300 </w:t>
            </w:r>
          </w:p>
          <w:p w14:paraId="76DF94C0" w14:textId="77777777" w:rsidR="00823D09" w:rsidRDefault="00823D09">
            <w:r>
              <w:rPr>
                <w:rFonts w:ascii="Times New Roman" w:eastAsia="Times New Roman" w:hAnsi="Times New Roman" w:cs="Times New Roman"/>
                <w:sz w:val="24"/>
              </w:rPr>
              <w:t>Annual reports—</w:t>
            </w:r>
          </w:p>
          <w:p w14:paraId="7A5A738C" w14:textId="77777777" w:rsidR="00823D09" w:rsidRDefault="00823D09">
            <w:r>
              <w:rPr>
                <w:rFonts w:ascii="Times New Roman" w:eastAsia="Times New Roman" w:hAnsi="Times New Roman" w:cs="Times New Roman"/>
                <w:sz w:val="24"/>
              </w:rPr>
              <w:t xml:space="preserve">Regulatory fees </w:t>
            </w:r>
          </w:p>
        </w:tc>
        <w:tc>
          <w:tcPr>
            <w:tcW w:w="2223" w:type="dxa"/>
            <w:tcBorders>
              <w:top w:val="single" w:sz="4" w:space="0" w:color="auto"/>
              <w:left w:val="single" w:sz="4" w:space="0" w:color="000000"/>
              <w:bottom w:val="single" w:sz="4" w:space="0" w:color="auto"/>
              <w:right w:val="single" w:sz="4" w:space="0" w:color="000000"/>
            </w:tcBorders>
          </w:tcPr>
          <w:p w14:paraId="7B0FADFA" w14:textId="77777777" w:rsidR="00823D09" w:rsidRDefault="00823D09">
            <w:r>
              <w:rPr>
                <w:rFonts w:ascii="Times New Roman" w:eastAsia="Times New Roman" w:hAnsi="Times New Roman" w:cs="Times New Roman"/>
                <w:sz w:val="24"/>
              </w:rPr>
              <w:t xml:space="preserve">Department of </w:t>
            </w:r>
          </w:p>
          <w:p w14:paraId="23925438" w14:textId="77777777" w:rsidR="00823D09" w:rsidRDefault="00823D09">
            <w:r>
              <w:rPr>
                <w:rFonts w:ascii="Times New Roman" w:eastAsia="Times New Roman" w:hAnsi="Times New Roman" w:cs="Times New Roman"/>
                <w:sz w:val="24"/>
              </w:rPr>
              <w:t xml:space="preserve">Ecology, Dale </w:t>
            </w:r>
          </w:p>
          <w:p w14:paraId="3FB5C0AF" w14:textId="77777777" w:rsidR="00823D09" w:rsidRDefault="00823D09">
            <w:r>
              <w:rPr>
                <w:rFonts w:ascii="Times New Roman" w:eastAsia="Times New Roman" w:hAnsi="Times New Roman" w:cs="Times New Roman"/>
                <w:sz w:val="24"/>
              </w:rPr>
              <w:t xml:space="preserve">Jensen </w:t>
            </w:r>
          </w:p>
        </w:tc>
        <w:tc>
          <w:tcPr>
            <w:tcW w:w="7076" w:type="dxa"/>
            <w:tcBorders>
              <w:top w:val="single" w:sz="4" w:space="0" w:color="auto"/>
              <w:left w:val="single" w:sz="4" w:space="0" w:color="000000"/>
              <w:bottom w:val="single" w:sz="4" w:space="0" w:color="auto"/>
              <w:right w:val="single" w:sz="4" w:space="0" w:color="000000"/>
            </w:tcBorders>
          </w:tcPr>
          <w:p w14:paraId="3AADD955" w14:textId="77777777" w:rsidR="00823D09" w:rsidRDefault="00823D09">
            <w:pPr>
              <w:spacing w:after="12"/>
            </w:pPr>
            <w:r>
              <w:rPr>
                <w:rFonts w:ascii="Times New Roman" w:eastAsia="Times New Roman" w:hAnsi="Times New Roman" w:cs="Times New Roman"/>
                <w:sz w:val="24"/>
              </w:rPr>
              <w:t xml:space="preserve">The commenter states: </w:t>
            </w:r>
          </w:p>
          <w:p w14:paraId="3A7770F7" w14:textId="77777777" w:rsidR="00823D09" w:rsidRDefault="00823D09">
            <w:pPr>
              <w:numPr>
                <w:ilvl w:val="0"/>
                <w:numId w:val="7"/>
              </w:numPr>
              <w:spacing w:after="3" w:line="238" w:lineRule="auto"/>
              <w:ind w:right="4" w:hanging="360"/>
            </w:pPr>
            <w:r>
              <w:rPr>
                <w:rFonts w:ascii="Times New Roman" w:eastAsia="Times New Roman" w:hAnsi="Times New Roman" w:cs="Times New Roman"/>
                <w:sz w:val="24"/>
              </w:rPr>
              <w:t xml:space="preserve">Ecology supports the Commission’s effort to promote and secure a demonstration of financial responsibility for the cleanup costs of oil spills. </w:t>
            </w:r>
          </w:p>
          <w:p w14:paraId="13357A77" w14:textId="77777777" w:rsidR="00823D09" w:rsidRDefault="00823D09">
            <w:pPr>
              <w:numPr>
                <w:ilvl w:val="0"/>
                <w:numId w:val="7"/>
              </w:numPr>
              <w:spacing w:after="3" w:line="238" w:lineRule="auto"/>
              <w:ind w:right="4" w:hanging="360"/>
            </w:pPr>
            <w:r>
              <w:rPr>
                <w:rFonts w:ascii="Times New Roman" w:eastAsia="Times New Roman" w:hAnsi="Times New Roman" w:cs="Times New Roman"/>
                <w:sz w:val="24"/>
              </w:rPr>
              <w:t xml:space="preserve">The proposed rule appears to establish a reasonable level of financial responsibility for cleanup costs associated with an oil spill. </w:t>
            </w:r>
          </w:p>
          <w:p w14:paraId="6E3FAEB2" w14:textId="77777777" w:rsidR="00823D09" w:rsidRDefault="00823D09">
            <w:pPr>
              <w:numPr>
                <w:ilvl w:val="0"/>
                <w:numId w:val="7"/>
              </w:numPr>
              <w:ind w:right="4" w:hanging="360"/>
            </w:pPr>
            <w:r>
              <w:rPr>
                <w:rFonts w:ascii="Times New Roman" w:eastAsia="Times New Roman" w:hAnsi="Times New Roman" w:cs="Times New Roman"/>
                <w:sz w:val="24"/>
              </w:rPr>
              <w:t xml:space="preserve">Ecology notes that the estimated cleanup cost of $400 per gallon is only a portion of the overall costs of an oil spill.  The potential costs for restoration of property and natural resources along with </w:t>
            </w:r>
          </w:p>
          <w:p w14:paraId="1C1DCC9D" w14:textId="77777777" w:rsidR="00823D09" w:rsidRDefault="00823D09">
            <w:pPr>
              <w:spacing w:after="3" w:line="238" w:lineRule="auto"/>
              <w:ind w:left="360"/>
            </w:pPr>
            <w:proofErr w:type="gramStart"/>
            <w:r>
              <w:rPr>
                <w:rFonts w:ascii="Times New Roman" w:eastAsia="Times New Roman" w:hAnsi="Times New Roman" w:cs="Times New Roman"/>
                <w:sz w:val="24"/>
              </w:rPr>
              <w:t>loss</w:t>
            </w:r>
            <w:proofErr w:type="gramEnd"/>
            <w:r>
              <w:rPr>
                <w:rFonts w:ascii="Times New Roman" w:eastAsia="Times New Roman" w:hAnsi="Times New Roman" w:cs="Times New Roman"/>
                <w:sz w:val="24"/>
              </w:rPr>
              <w:t xml:space="preserve"> of life would be additional costs above and beyond the cost for cleanup of spilled oil.   </w:t>
            </w:r>
          </w:p>
          <w:p w14:paraId="3E3F76E1" w14:textId="77777777" w:rsidR="00823D09" w:rsidRDefault="00823D09">
            <w:pPr>
              <w:numPr>
                <w:ilvl w:val="0"/>
                <w:numId w:val="9"/>
              </w:numPr>
              <w:spacing w:after="3" w:line="238" w:lineRule="auto"/>
              <w:ind w:hanging="360"/>
            </w:pPr>
            <w:r>
              <w:rPr>
                <w:rFonts w:ascii="Times New Roman" w:eastAsia="Times New Roman" w:hAnsi="Times New Roman" w:cs="Times New Roman"/>
                <w:sz w:val="24"/>
              </w:rPr>
              <w:t xml:space="preserve">In the event of a worst case spill, the true cost of damages incurred could certainly exceed the level established within the proposed rule. </w:t>
            </w:r>
          </w:p>
          <w:p w14:paraId="05A7ECB1" w14:textId="23C07965" w:rsidR="00823D09" w:rsidRDefault="00823D09" w:rsidP="000E57C6">
            <w:pPr>
              <w:numPr>
                <w:ilvl w:val="0"/>
                <w:numId w:val="9"/>
              </w:numPr>
              <w:ind w:hanging="360"/>
            </w:pPr>
            <w:r>
              <w:rPr>
                <w:rFonts w:ascii="Times New Roman" w:eastAsia="Times New Roman" w:hAnsi="Times New Roman" w:cs="Times New Roman"/>
                <w:sz w:val="24"/>
              </w:rPr>
              <w:t xml:space="preserve">Ecology recommends the adoption of the rule as currently proposed. </w:t>
            </w:r>
          </w:p>
        </w:tc>
        <w:tc>
          <w:tcPr>
            <w:tcW w:w="5592" w:type="dxa"/>
            <w:tcBorders>
              <w:top w:val="single" w:sz="4" w:space="0" w:color="auto"/>
              <w:left w:val="single" w:sz="4" w:space="0" w:color="000000"/>
              <w:bottom w:val="single" w:sz="4" w:space="0" w:color="auto"/>
              <w:right w:val="single" w:sz="4" w:space="0" w:color="000000"/>
            </w:tcBorders>
          </w:tcPr>
          <w:p w14:paraId="16300464" w14:textId="77777777" w:rsidR="00823D09" w:rsidRDefault="00823D09">
            <w:pPr>
              <w:numPr>
                <w:ilvl w:val="0"/>
                <w:numId w:val="8"/>
              </w:numPr>
              <w:spacing w:after="4" w:line="254" w:lineRule="auto"/>
              <w:ind w:hanging="360"/>
            </w:pPr>
            <w:r>
              <w:rPr>
                <w:rFonts w:ascii="Times New Roman" w:eastAsia="Times New Roman" w:hAnsi="Times New Roman" w:cs="Times New Roman"/>
                <w:sz w:val="24"/>
              </w:rPr>
              <w:t xml:space="preserve">The Commission looks forward to working in partnership with the Department of Ecology on its contingency plan rulemaking. </w:t>
            </w:r>
          </w:p>
          <w:p w14:paraId="4B252BBF" w14:textId="77777777" w:rsidR="00823D09" w:rsidRDefault="00823D09">
            <w:pPr>
              <w:numPr>
                <w:ilvl w:val="0"/>
                <w:numId w:val="8"/>
              </w:numPr>
              <w:ind w:hanging="360"/>
            </w:pPr>
            <w:r>
              <w:rPr>
                <w:rFonts w:ascii="Times New Roman" w:eastAsia="Times New Roman" w:hAnsi="Times New Roman" w:cs="Times New Roman"/>
                <w:sz w:val="24"/>
              </w:rPr>
              <w:t xml:space="preserve">Commission staff agrees. </w:t>
            </w:r>
          </w:p>
          <w:p w14:paraId="7772D99C" w14:textId="77777777" w:rsidR="00823D09" w:rsidRDefault="00823D09">
            <w:pPr>
              <w:numPr>
                <w:ilvl w:val="0"/>
                <w:numId w:val="8"/>
              </w:numPr>
              <w:ind w:hanging="360"/>
            </w:pPr>
            <w:r>
              <w:rPr>
                <w:rFonts w:ascii="Times New Roman" w:eastAsia="Times New Roman" w:hAnsi="Times New Roman" w:cs="Times New Roman"/>
                <w:sz w:val="24"/>
              </w:rPr>
              <w:t xml:space="preserve">The Commission agrees that the potential costs associated with loss of life and restoration of property and natural resources would far exceed the costs of cleanup.  The Commission supports the Department of Ecology as it evaluates the contingency plan rules for the state related to </w:t>
            </w:r>
          </w:p>
          <w:p w14:paraId="0C131A87" w14:textId="77777777" w:rsidR="00823D09" w:rsidRDefault="00823D09">
            <w:pPr>
              <w:spacing w:after="5" w:line="254" w:lineRule="auto"/>
              <w:ind w:left="360"/>
            </w:pPr>
            <w:proofErr w:type="gramStart"/>
            <w:r>
              <w:rPr>
                <w:rFonts w:ascii="Times New Roman" w:eastAsia="Times New Roman" w:hAnsi="Times New Roman" w:cs="Times New Roman"/>
                <w:sz w:val="24"/>
              </w:rPr>
              <w:t>railroads</w:t>
            </w:r>
            <w:proofErr w:type="gramEnd"/>
            <w:r>
              <w:rPr>
                <w:rFonts w:ascii="Times New Roman" w:eastAsia="Times New Roman" w:hAnsi="Times New Roman" w:cs="Times New Roman"/>
                <w:sz w:val="24"/>
              </w:rPr>
              <w:t xml:space="preserve"> and believes that the rule process may find that cleanup costs exceed the documented studies and reports available at this time. </w:t>
            </w:r>
          </w:p>
          <w:p w14:paraId="53ED7366" w14:textId="77777777" w:rsidR="00823D09" w:rsidRDefault="00823D09">
            <w:pPr>
              <w:numPr>
                <w:ilvl w:val="0"/>
                <w:numId w:val="10"/>
              </w:numPr>
              <w:spacing w:line="263" w:lineRule="auto"/>
              <w:ind w:hanging="360"/>
            </w:pPr>
            <w:r>
              <w:rPr>
                <w:rFonts w:ascii="Times New Roman" w:eastAsia="Times New Roman" w:hAnsi="Times New Roman" w:cs="Times New Roman"/>
                <w:sz w:val="24"/>
              </w:rPr>
              <w:t xml:space="preserve">The Commission agrees that an absolute worst case spill could exceed any level of cost that staff was able to find in federal or state rules or in available studies. However, HB 1449 refers to a “reasonable” worst case spill and not an absolute worst case spill. </w:t>
            </w:r>
          </w:p>
          <w:p w14:paraId="6C0C19CC" w14:textId="5770FF66" w:rsidR="00823D09" w:rsidRDefault="00823D09" w:rsidP="00096A7A">
            <w:pPr>
              <w:numPr>
                <w:ilvl w:val="0"/>
                <w:numId w:val="10"/>
              </w:numPr>
              <w:ind w:hanging="360"/>
            </w:pPr>
            <w:r>
              <w:rPr>
                <w:rFonts w:ascii="Times New Roman" w:eastAsia="Times New Roman" w:hAnsi="Times New Roman" w:cs="Times New Roman"/>
                <w:sz w:val="24"/>
              </w:rPr>
              <w:t xml:space="preserve">Commission staff agrees. </w:t>
            </w:r>
          </w:p>
        </w:tc>
      </w:tr>
      <w:tr w:rsidR="00F912FE" w14:paraId="30FB6496" w14:textId="77777777" w:rsidTr="00F912FE">
        <w:tc>
          <w:tcPr>
            <w:tcW w:w="17273" w:type="dxa"/>
            <w:gridSpan w:val="4"/>
            <w:tcBorders>
              <w:top w:val="single" w:sz="4" w:space="0" w:color="auto"/>
            </w:tcBorders>
          </w:tcPr>
          <w:p w14:paraId="6328D835" w14:textId="77777777" w:rsidR="00F912FE" w:rsidRDefault="00F912FE" w:rsidP="00F912FE">
            <w:pPr>
              <w:spacing w:after="4" w:line="254" w:lineRule="auto"/>
              <w:rPr>
                <w:rFonts w:ascii="Times New Roman" w:eastAsia="Times New Roman" w:hAnsi="Times New Roman" w:cs="Times New Roman"/>
                <w:sz w:val="24"/>
              </w:rPr>
            </w:pPr>
            <w:bookmarkStart w:id="0" w:name="_GoBack"/>
            <w:bookmarkEnd w:id="0"/>
          </w:p>
        </w:tc>
      </w:tr>
      <w:tr w:rsidR="008E49FD" w14:paraId="7C298EFB" w14:textId="77777777" w:rsidTr="0012765D">
        <w:tblPrEx>
          <w:tblCellMar>
            <w:right w:w="65" w:type="dxa"/>
          </w:tblCellMar>
        </w:tblPrEx>
        <w:trPr>
          <w:trHeight w:val="6519"/>
        </w:trPr>
        <w:tc>
          <w:tcPr>
            <w:tcW w:w="2382" w:type="dxa"/>
            <w:tcBorders>
              <w:top w:val="single" w:sz="4" w:space="0" w:color="000000"/>
              <w:left w:val="single" w:sz="4" w:space="0" w:color="000000"/>
              <w:bottom w:val="single" w:sz="4" w:space="0" w:color="000000"/>
              <w:right w:val="single" w:sz="4" w:space="0" w:color="000000"/>
            </w:tcBorders>
          </w:tcPr>
          <w:p w14:paraId="2F6410C5" w14:textId="77777777" w:rsidR="008E49FD" w:rsidRDefault="007310A0">
            <w:r>
              <w:rPr>
                <w:rFonts w:ascii="Times New Roman" w:eastAsia="Times New Roman" w:hAnsi="Times New Roman" w:cs="Times New Roman"/>
                <w:sz w:val="24"/>
              </w:rPr>
              <w:lastRenderedPageBreak/>
              <w:t xml:space="preserve">WAC 480-62-300 </w:t>
            </w:r>
          </w:p>
          <w:p w14:paraId="2CE429DD" w14:textId="77777777" w:rsidR="008E49FD" w:rsidRDefault="007310A0">
            <w:r>
              <w:rPr>
                <w:rFonts w:ascii="Times New Roman" w:eastAsia="Times New Roman" w:hAnsi="Times New Roman" w:cs="Times New Roman"/>
                <w:sz w:val="24"/>
              </w:rPr>
              <w:t>Annual reports—</w:t>
            </w:r>
          </w:p>
          <w:p w14:paraId="4826DB07" w14:textId="77777777" w:rsidR="008E49FD" w:rsidRDefault="007310A0">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15AD69EC" w14:textId="77777777" w:rsidR="008E49FD" w:rsidRDefault="007310A0">
            <w:r>
              <w:rPr>
                <w:rFonts w:ascii="Times New Roman" w:eastAsia="Times New Roman" w:hAnsi="Times New Roman" w:cs="Times New Roman"/>
                <w:sz w:val="24"/>
              </w:rPr>
              <w:t xml:space="preserve">BNSF, Johan Hellman </w:t>
            </w:r>
          </w:p>
        </w:tc>
        <w:tc>
          <w:tcPr>
            <w:tcW w:w="7076" w:type="dxa"/>
            <w:tcBorders>
              <w:top w:val="single" w:sz="4" w:space="0" w:color="000000"/>
              <w:left w:val="single" w:sz="4" w:space="0" w:color="000000"/>
              <w:bottom w:val="single" w:sz="4" w:space="0" w:color="000000"/>
              <w:right w:val="single" w:sz="4" w:space="0" w:color="000000"/>
            </w:tcBorders>
          </w:tcPr>
          <w:p w14:paraId="38C53610" w14:textId="77777777" w:rsidR="008E49FD" w:rsidRDefault="007310A0">
            <w:pPr>
              <w:ind w:left="360"/>
            </w:pPr>
            <w:r>
              <w:rPr>
                <w:rFonts w:ascii="Times New Roman" w:eastAsia="Times New Roman" w:hAnsi="Times New Roman" w:cs="Times New Roman"/>
                <w:sz w:val="24"/>
              </w:rPr>
              <w:t xml:space="preserve">The commenter suggests: </w:t>
            </w:r>
          </w:p>
          <w:p w14:paraId="00B7C78D" w14:textId="77777777" w:rsidR="008E49FD" w:rsidRDefault="007310A0">
            <w:pPr>
              <w:numPr>
                <w:ilvl w:val="0"/>
                <w:numId w:val="11"/>
              </w:numPr>
              <w:spacing w:after="3" w:line="239" w:lineRule="auto"/>
              <w:ind w:hanging="360"/>
            </w:pPr>
            <w:r>
              <w:rPr>
                <w:rFonts w:ascii="Times New Roman" w:eastAsia="Times New Roman" w:hAnsi="Times New Roman" w:cs="Times New Roman"/>
                <w:sz w:val="24"/>
              </w:rPr>
              <w:t xml:space="preserve">The definition of reasonable worst case in the </w:t>
            </w:r>
            <w:proofErr w:type="spellStart"/>
            <w:r>
              <w:rPr>
                <w:rFonts w:ascii="Times New Roman" w:eastAsia="Times New Roman" w:hAnsi="Times New Roman" w:cs="Times New Roman"/>
                <w:sz w:val="24"/>
              </w:rPr>
              <w:t>CR101</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CR102</w:t>
            </w:r>
            <w:proofErr w:type="spellEnd"/>
            <w:r>
              <w:rPr>
                <w:rFonts w:ascii="Times New Roman" w:eastAsia="Times New Roman" w:hAnsi="Times New Roman" w:cs="Times New Roman"/>
                <w:sz w:val="24"/>
              </w:rPr>
              <w:t xml:space="preserve"> are flawed.  The formula focuses on one aspect of rail safety – speed.  There are numerous other factors that may influence the potential of a rail car carrying crude oil to derail and spill. </w:t>
            </w:r>
          </w:p>
          <w:p w14:paraId="256F277E" w14:textId="77777777" w:rsidR="008E49FD" w:rsidRDefault="007310A0">
            <w:pPr>
              <w:numPr>
                <w:ilvl w:val="0"/>
                <w:numId w:val="11"/>
              </w:numPr>
              <w:spacing w:after="4" w:line="238" w:lineRule="auto"/>
              <w:ind w:hanging="360"/>
            </w:pPr>
            <w:r>
              <w:rPr>
                <w:rFonts w:ascii="Times New Roman" w:eastAsia="Times New Roman" w:hAnsi="Times New Roman" w:cs="Times New Roman"/>
                <w:sz w:val="24"/>
              </w:rPr>
              <w:t xml:space="preserve">The authority of any state to regulate train speeds is questionable since the federal government has exclusive jurisdiction over train speed. </w:t>
            </w:r>
          </w:p>
          <w:p w14:paraId="344ADA40" w14:textId="77777777" w:rsidR="008E49FD" w:rsidRDefault="007310A0">
            <w:pPr>
              <w:numPr>
                <w:ilvl w:val="0"/>
                <w:numId w:val="11"/>
              </w:numPr>
              <w:ind w:hanging="360"/>
            </w:pPr>
            <w:r>
              <w:rPr>
                <w:rFonts w:ascii="Times New Roman" w:eastAsia="Times New Roman" w:hAnsi="Times New Roman" w:cs="Times New Roman"/>
                <w:sz w:val="24"/>
              </w:rPr>
              <w:t xml:space="preserve">A definition of worst case spill based solely on speed could negatively impact other aspects of rail safety and operations across the state, including at public crossings. </w:t>
            </w:r>
          </w:p>
        </w:tc>
        <w:tc>
          <w:tcPr>
            <w:tcW w:w="5592" w:type="dxa"/>
            <w:tcBorders>
              <w:top w:val="single" w:sz="4" w:space="0" w:color="000000"/>
              <w:left w:val="single" w:sz="4" w:space="0" w:color="000000"/>
              <w:bottom w:val="single" w:sz="4" w:space="0" w:color="000000"/>
              <w:right w:val="single" w:sz="4" w:space="0" w:color="000000"/>
            </w:tcBorders>
          </w:tcPr>
          <w:p w14:paraId="36A3A78C" w14:textId="77777777" w:rsidR="008E49FD" w:rsidRDefault="007310A0">
            <w:pPr>
              <w:numPr>
                <w:ilvl w:val="0"/>
                <w:numId w:val="12"/>
              </w:numPr>
              <w:spacing w:after="3" w:line="238" w:lineRule="auto"/>
              <w:ind w:right="6" w:hanging="360"/>
            </w:pPr>
            <w:r>
              <w:rPr>
                <w:rFonts w:ascii="Times New Roman" w:eastAsia="Times New Roman" w:hAnsi="Times New Roman" w:cs="Times New Roman"/>
                <w:sz w:val="24"/>
              </w:rPr>
              <w:t xml:space="preserve">The Commission researched available options to calculate reasonable worst case and found that speed was the one variable that could reduce the amount of kinetic force involved in a derailment.  The Commission explored some of the other factors BNSF previously mentioned, but chose to follow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calculations.    </w:t>
            </w:r>
          </w:p>
          <w:p w14:paraId="3F5F8355" w14:textId="77777777" w:rsidR="008E49FD" w:rsidRDefault="007310A0">
            <w:pPr>
              <w:numPr>
                <w:ilvl w:val="0"/>
                <w:numId w:val="12"/>
              </w:numPr>
              <w:spacing w:line="238" w:lineRule="auto"/>
              <w:ind w:right="6" w:hanging="360"/>
            </w:pPr>
            <w:r>
              <w:rPr>
                <w:rFonts w:ascii="Times New Roman" w:eastAsia="Times New Roman" w:hAnsi="Times New Roman" w:cs="Times New Roman"/>
                <w:sz w:val="24"/>
              </w:rPr>
              <w:t xml:space="preserve">The Commission agrees with BNSF that the state does not have the authority to regulate train speeds.  The requirement in the annual report for reporting financial responsibility is for informational purposes only. It does not authorize the </w:t>
            </w:r>
          </w:p>
          <w:p w14:paraId="4E3E3164" w14:textId="77777777" w:rsidR="008E49FD" w:rsidRDefault="007310A0">
            <w:pPr>
              <w:spacing w:after="3" w:line="238" w:lineRule="auto"/>
              <w:ind w:left="360"/>
            </w:pPr>
            <w:r>
              <w:rPr>
                <w:rFonts w:ascii="Times New Roman" w:eastAsia="Times New Roman" w:hAnsi="Times New Roman" w:cs="Times New Roman"/>
                <w:sz w:val="24"/>
              </w:rPr>
              <w:t xml:space="preserve">Commission to economically regulate railroads or railroad speed, nor do the draft rules propose to do so. </w:t>
            </w:r>
          </w:p>
          <w:p w14:paraId="42F9972E" w14:textId="77777777" w:rsidR="008E49FD" w:rsidRDefault="007310A0">
            <w:pPr>
              <w:numPr>
                <w:ilvl w:val="0"/>
                <w:numId w:val="12"/>
              </w:numPr>
              <w:ind w:right="6" w:hanging="360"/>
            </w:pPr>
            <w:r>
              <w:rPr>
                <w:rFonts w:ascii="Times New Roman" w:eastAsia="Times New Roman" w:hAnsi="Times New Roman" w:cs="Times New Roman"/>
                <w:sz w:val="24"/>
              </w:rPr>
              <w:t xml:space="preserve">The Commission does not believe that a reporting feature on an annual report will cause a railroad to changes its speeds or operating practices.  The Commission is expressly prohibited from economic regulation of railroads, may not use the information submitted by a railroad as a basis for penalties and nothing in the report may be construed as assigning liability. </w:t>
            </w:r>
          </w:p>
        </w:tc>
      </w:tr>
    </w:tbl>
    <w:p w14:paraId="615F3A21" w14:textId="77777777" w:rsidR="008E49FD" w:rsidRDefault="008E49FD">
      <w:pPr>
        <w:spacing w:after="0"/>
        <w:ind w:left="-1440" w:right="55"/>
      </w:pPr>
    </w:p>
    <w:tbl>
      <w:tblPr>
        <w:tblStyle w:val="TableGrid"/>
        <w:tblW w:w="17273" w:type="dxa"/>
        <w:tblInd w:w="5" w:type="dxa"/>
        <w:tblCellMar>
          <w:top w:w="7" w:type="dxa"/>
          <w:left w:w="72" w:type="dxa"/>
          <w:right w:w="106" w:type="dxa"/>
        </w:tblCellMar>
        <w:tblLook w:val="04A0" w:firstRow="1" w:lastRow="0" w:firstColumn="1" w:lastColumn="0" w:noHBand="0" w:noVBand="1"/>
      </w:tblPr>
      <w:tblGrid>
        <w:gridCol w:w="2382"/>
        <w:gridCol w:w="2223"/>
        <w:gridCol w:w="7076"/>
        <w:gridCol w:w="5592"/>
      </w:tblGrid>
      <w:tr w:rsidR="008E49FD" w14:paraId="41F6B9ED" w14:textId="77777777" w:rsidTr="0012765D">
        <w:trPr>
          <w:trHeight w:val="9119"/>
        </w:trPr>
        <w:tc>
          <w:tcPr>
            <w:tcW w:w="2382" w:type="dxa"/>
            <w:tcBorders>
              <w:top w:val="single" w:sz="4" w:space="0" w:color="000000"/>
              <w:left w:val="single" w:sz="4" w:space="0" w:color="000000"/>
              <w:bottom w:val="single" w:sz="4" w:space="0" w:color="000000"/>
              <w:right w:val="single" w:sz="4" w:space="0" w:color="000000"/>
            </w:tcBorders>
          </w:tcPr>
          <w:p w14:paraId="1D45E313" w14:textId="77777777" w:rsidR="008E49FD" w:rsidRDefault="007310A0">
            <w:pPr>
              <w:ind w:left="36"/>
            </w:pPr>
            <w:r>
              <w:rPr>
                <w:rFonts w:ascii="Times New Roman" w:eastAsia="Times New Roman" w:hAnsi="Times New Roman" w:cs="Times New Roman"/>
                <w:sz w:val="24"/>
              </w:rPr>
              <w:lastRenderedPageBreak/>
              <w:t xml:space="preserve">WAC 480-62-300 </w:t>
            </w:r>
          </w:p>
          <w:p w14:paraId="1D2516A3" w14:textId="77777777" w:rsidR="008E49FD" w:rsidRDefault="007310A0">
            <w:pPr>
              <w:ind w:left="36"/>
            </w:pPr>
            <w:r>
              <w:rPr>
                <w:rFonts w:ascii="Times New Roman" w:eastAsia="Times New Roman" w:hAnsi="Times New Roman" w:cs="Times New Roman"/>
                <w:sz w:val="24"/>
              </w:rPr>
              <w:t>Annual reports—</w:t>
            </w:r>
          </w:p>
          <w:p w14:paraId="32E230AD" w14:textId="77777777" w:rsidR="008E49FD" w:rsidRDefault="007310A0">
            <w:pPr>
              <w:ind w:left="36"/>
            </w:pPr>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2A721EF0" w14:textId="77777777" w:rsidR="008E49FD" w:rsidRDefault="007310A0">
            <w:pPr>
              <w:ind w:left="36"/>
            </w:pPr>
            <w:r>
              <w:rPr>
                <w:rFonts w:ascii="Times New Roman" w:eastAsia="Times New Roman" w:hAnsi="Times New Roman" w:cs="Times New Roman"/>
                <w:sz w:val="24"/>
              </w:rPr>
              <w:t xml:space="preserve">Union Pacific (UP), Melissa Hagan </w:t>
            </w:r>
          </w:p>
        </w:tc>
        <w:tc>
          <w:tcPr>
            <w:tcW w:w="7076" w:type="dxa"/>
            <w:tcBorders>
              <w:top w:val="single" w:sz="4" w:space="0" w:color="000000"/>
              <w:left w:val="single" w:sz="4" w:space="0" w:color="000000"/>
              <w:bottom w:val="single" w:sz="4" w:space="0" w:color="000000"/>
              <w:right w:val="single" w:sz="4" w:space="0" w:color="000000"/>
            </w:tcBorders>
          </w:tcPr>
          <w:p w14:paraId="7719989A" w14:textId="77777777" w:rsidR="008E49FD" w:rsidRDefault="007310A0">
            <w:pPr>
              <w:ind w:left="360"/>
            </w:pPr>
            <w:r>
              <w:rPr>
                <w:rFonts w:ascii="Times New Roman" w:eastAsia="Times New Roman" w:hAnsi="Times New Roman" w:cs="Times New Roman"/>
                <w:sz w:val="24"/>
              </w:rPr>
              <w:t xml:space="preserve">The commenter states:  </w:t>
            </w:r>
          </w:p>
          <w:p w14:paraId="2C004DB9" w14:textId="77777777" w:rsidR="008E49FD" w:rsidRDefault="007310A0">
            <w:pPr>
              <w:numPr>
                <w:ilvl w:val="0"/>
                <w:numId w:val="13"/>
              </w:numPr>
              <w:spacing w:after="3" w:line="238" w:lineRule="auto"/>
              <w:ind w:hanging="360"/>
            </w:pPr>
            <w:r>
              <w:rPr>
                <w:rFonts w:ascii="Times New Roman" w:eastAsia="Times New Roman" w:hAnsi="Times New Roman" w:cs="Times New Roman"/>
                <w:sz w:val="24"/>
              </w:rPr>
              <w:t xml:space="preserve">The imposition of financial reporting would conflict with federal law. </w:t>
            </w:r>
          </w:p>
          <w:p w14:paraId="22B27CC3" w14:textId="77777777" w:rsidR="008E49FD" w:rsidRDefault="007310A0">
            <w:pPr>
              <w:numPr>
                <w:ilvl w:val="0"/>
                <w:numId w:val="13"/>
              </w:numPr>
              <w:spacing w:after="3" w:line="238" w:lineRule="auto"/>
              <w:ind w:hanging="360"/>
            </w:pPr>
            <w:r>
              <w:rPr>
                <w:rFonts w:ascii="Times New Roman" w:eastAsia="Times New Roman" w:hAnsi="Times New Roman" w:cs="Times New Roman"/>
                <w:sz w:val="24"/>
              </w:rPr>
              <w:t xml:space="preserve">Adoption of the Surface Transportation Board (STB) R-1 report should be a sufficient reporting mechanism for meeting the requirements of the statute. </w:t>
            </w:r>
          </w:p>
          <w:p w14:paraId="3469146A" w14:textId="77777777" w:rsidR="008E49FD" w:rsidRDefault="007310A0">
            <w:pPr>
              <w:numPr>
                <w:ilvl w:val="0"/>
                <w:numId w:val="13"/>
              </w:numPr>
              <w:spacing w:after="43" w:line="238" w:lineRule="auto"/>
              <w:ind w:hanging="360"/>
            </w:pPr>
            <w:r>
              <w:rPr>
                <w:rFonts w:ascii="Times New Roman" w:eastAsia="Times New Roman" w:hAnsi="Times New Roman" w:cs="Times New Roman"/>
                <w:sz w:val="24"/>
              </w:rPr>
              <w:t xml:space="preserve">Aspects of the annual reporting provisions remain under the exclusive jurisdiction of the federal government for the preservation of common carrier service obligations. </w:t>
            </w:r>
          </w:p>
          <w:p w14:paraId="3E40FC9A" w14:textId="77777777" w:rsidR="008E49FD" w:rsidRDefault="007310A0">
            <w:pPr>
              <w:numPr>
                <w:ilvl w:val="0"/>
                <w:numId w:val="13"/>
              </w:numPr>
              <w:spacing w:after="3" w:line="238" w:lineRule="auto"/>
              <w:ind w:hanging="360"/>
            </w:pPr>
            <w:r>
              <w:rPr>
                <w:rFonts w:ascii="Times New Roman" w:eastAsia="Times New Roman" w:hAnsi="Times New Roman" w:cs="Times New Roman"/>
                <w:sz w:val="24"/>
              </w:rPr>
              <w:t xml:space="preserve">UP is concerned about the “financial fitness” and insurance requirements in the draft rule. </w:t>
            </w:r>
          </w:p>
          <w:p w14:paraId="5E276E78" w14:textId="77777777" w:rsidR="008E49FD" w:rsidRDefault="007310A0">
            <w:pPr>
              <w:numPr>
                <w:ilvl w:val="0"/>
                <w:numId w:val="13"/>
              </w:numPr>
              <w:spacing w:line="251" w:lineRule="auto"/>
              <w:ind w:hanging="360"/>
            </w:pPr>
            <w:r>
              <w:rPr>
                <w:rFonts w:ascii="Times New Roman" w:eastAsia="Times New Roman" w:hAnsi="Times New Roman" w:cs="Times New Roman"/>
                <w:sz w:val="24"/>
              </w:rPr>
              <w:t xml:space="preserve">Requirements that railroads provide annual reporting statements that identify all insurance carried by the railroad, including coverage amounts, limitations, and other conditions of the insurance as well as a reasonable worst case spill of oil are preempted by federal law. Such requirements compromise the integrity of </w:t>
            </w:r>
            <w:proofErr w:type="spellStart"/>
            <w:r>
              <w:rPr>
                <w:rFonts w:ascii="Times New Roman" w:eastAsia="Times New Roman" w:hAnsi="Times New Roman" w:cs="Times New Roman"/>
                <w:sz w:val="24"/>
              </w:rPr>
              <w:t>UP’s</w:t>
            </w:r>
            <w:proofErr w:type="spellEnd"/>
            <w:r>
              <w:rPr>
                <w:rFonts w:ascii="Times New Roman" w:eastAsia="Times New Roman" w:hAnsi="Times New Roman" w:cs="Times New Roman"/>
                <w:sz w:val="24"/>
              </w:rPr>
              <w:t xml:space="preserve"> confidential business records and are “blatantly discriminatory” on their face. </w:t>
            </w:r>
          </w:p>
          <w:p w14:paraId="29C5D939" w14:textId="77777777" w:rsidR="008E49FD" w:rsidRDefault="007310A0">
            <w:pPr>
              <w:numPr>
                <w:ilvl w:val="0"/>
                <w:numId w:val="13"/>
              </w:numPr>
              <w:spacing w:line="238" w:lineRule="auto"/>
              <w:ind w:hanging="360"/>
            </w:pPr>
            <w:r>
              <w:rPr>
                <w:rFonts w:ascii="Times New Roman" w:eastAsia="Times New Roman" w:hAnsi="Times New Roman" w:cs="Times New Roman"/>
                <w:sz w:val="24"/>
              </w:rPr>
              <w:t xml:space="preserve">Congress’s assertion of federal authority over the railroad industry has been recognized as “among the most pervasive and comprehensive of federal regulatory schemes.”  The ICC </w:t>
            </w:r>
          </w:p>
          <w:p w14:paraId="262B1B34" w14:textId="77777777" w:rsidR="008E49FD" w:rsidRDefault="007310A0">
            <w:pPr>
              <w:spacing w:after="3" w:line="238" w:lineRule="auto"/>
              <w:ind w:left="360"/>
            </w:pPr>
            <w:r>
              <w:rPr>
                <w:rFonts w:ascii="Times New Roman" w:eastAsia="Times New Roman" w:hAnsi="Times New Roman" w:cs="Times New Roman"/>
                <w:sz w:val="24"/>
              </w:rPr>
              <w:t xml:space="preserve">Termination Act confers exclusive jurisdiction over licensing and economic regulation of interstate railroad operations on the STB. </w:t>
            </w:r>
          </w:p>
          <w:p w14:paraId="5EBF55E8" w14:textId="77777777" w:rsidR="008E49FD" w:rsidRDefault="007310A0">
            <w:pPr>
              <w:numPr>
                <w:ilvl w:val="0"/>
                <w:numId w:val="13"/>
              </w:numPr>
              <w:spacing w:after="3" w:line="238" w:lineRule="auto"/>
              <w:ind w:hanging="360"/>
            </w:pPr>
            <w:r>
              <w:rPr>
                <w:rFonts w:ascii="Times New Roman" w:eastAsia="Times New Roman" w:hAnsi="Times New Roman" w:cs="Times New Roman"/>
                <w:sz w:val="24"/>
              </w:rPr>
              <w:t xml:space="preserve">STB has stated that the ICC Termination Act Section 10501(b) is intended to prevent a patchwork of local regulation from unreasonably interfering with interstate commerce.  </w:t>
            </w:r>
          </w:p>
          <w:p w14:paraId="6D4F9213" w14:textId="77777777" w:rsidR="008E49FD" w:rsidRDefault="007310A0">
            <w:pPr>
              <w:numPr>
                <w:ilvl w:val="0"/>
                <w:numId w:val="13"/>
              </w:numPr>
              <w:ind w:hanging="360"/>
            </w:pPr>
            <w:r>
              <w:rPr>
                <w:rFonts w:ascii="Times New Roman" w:eastAsia="Times New Roman" w:hAnsi="Times New Roman" w:cs="Times New Roman"/>
                <w:sz w:val="24"/>
              </w:rPr>
              <w:t xml:space="preserve">Federal courts and the STB have found two types of state regulations of railroads to be so pernicious as to be “categorically” preempted without any inquiry into the state’s reason.  First, states are categorically prevented from intruding into matters that are directly regulated by the STB – any form of state economic regulation which may include a financial fitness inquiry.  Second, states cannot impose permitting or preclearance requirements. </w:t>
            </w:r>
          </w:p>
        </w:tc>
        <w:tc>
          <w:tcPr>
            <w:tcW w:w="5592" w:type="dxa"/>
            <w:tcBorders>
              <w:top w:val="single" w:sz="4" w:space="0" w:color="000000"/>
              <w:left w:val="single" w:sz="4" w:space="0" w:color="000000"/>
              <w:bottom w:val="single" w:sz="4" w:space="0" w:color="000000"/>
              <w:right w:val="single" w:sz="4" w:space="0" w:color="000000"/>
            </w:tcBorders>
          </w:tcPr>
          <w:p w14:paraId="20A3D937" w14:textId="77777777" w:rsidR="008E49FD" w:rsidRDefault="007310A0">
            <w:pPr>
              <w:numPr>
                <w:ilvl w:val="0"/>
                <w:numId w:val="14"/>
              </w:numPr>
              <w:spacing w:after="3" w:line="238" w:lineRule="auto"/>
              <w:ind w:hanging="360"/>
            </w:pPr>
            <w:r>
              <w:rPr>
                <w:rFonts w:ascii="Times New Roman" w:eastAsia="Times New Roman" w:hAnsi="Times New Roman" w:cs="Times New Roman"/>
                <w:sz w:val="24"/>
              </w:rPr>
              <w:t xml:space="preserve">Commission staff does not believe that requirements of an annual report conflicts with federal law. </w:t>
            </w:r>
          </w:p>
          <w:p w14:paraId="48D0E5A0" w14:textId="77777777" w:rsidR="008E49FD" w:rsidRDefault="007310A0">
            <w:pPr>
              <w:numPr>
                <w:ilvl w:val="0"/>
                <w:numId w:val="14"/>
              </w:numPr>
              <w:ind w:hanging="360"/>
            </w:pPr>
            <w:r>
              <w:rPr>
                <w:rFonts w:ascii="Times New Roman" w:eastAsia="Times New Roman" w:hAnsi="Times New Roman" w:cs="Times New Roman"/>
                <w:sz w:val="24"/>
              </w:rPr>
              <w:t xml:space="preserve">The Commission currently allows and asks for the </w:t>
            </w:r>
          </w:p>
          <w:p w14:paraId="11061261" w14:textId="77777777" w:rsidR="008E49FD" w:rsidRDefault="007310A0">
            <w:pPr>
              <w:spacing w:after="3" w:line="238" w:lineRule="auto"/>
              <w:ind w:left="396"/>
            </w:pPr>
            <w:r>
              <w:rPr>
                <w:rFonts w:ascii="Times New Roman" w:eastAsia="Times New Roman" w:hAnsi="Times New Roman" w:cs="Times New Roman"/>
                <w:sz w:val="24"/>
              </w:rPr>
              <w:t xml:space="preserve">STB R-1 as a portion of its annual report but the STB R-1 does not include financial responsibility for spill data as required by Washington state statute. </w:t>
            </w:r>
          </w:p>
          <w:p w14:paraId="30FBD241" w14:textId="77777777" w:rsidR="008E49FD" w:rsidRDefault="007310A0">
            <w:pPr>
              <w:numPr>
                <w:ilvl w:val="0"/>
                <w:numId w:val="14"/>
              </w:numPr>
              <w:spacing w:after="3" w:line="238" w:lineRule="auto"/>
              <w:ind w:hanging="360"/>
            </w:pPr>
            <w:r>
              <w:rPr>
                <w:rFonts w:ascii="Times New Roman" w:eastAsia="Times New Roman" w:hAnsi="Times New Roman" w:cs="Times New Roman"/>
                <w:sz w:val="24"/>
              </w:rPr>
              <w:t xml:space="preserve">Commission staff does not believe that requirements of an annual report violate common carrier service obligations or the jurisdiction of the federal government. </w:t>
            </w:r>
          </w:p>
          <w:p w14:paraId="47BDD83C" w14:textId="77777777" w:rsidR="008E49FD" w:rsidRDefault="007310A0">
            <w:pPr>
              <w:numPr>
                <w:ilvl w:val="0"/>
                <w:numId w:val="14"/>
              </w:numPr>
              <w:spacing w:after="3" w:line="238" w:lineRule="auto"/>
              <w:ind w:hanging="360"/>
            </w:pPr>
            <w:r>
              <w:rPr>
                <w:rFonts w:ascii="Times New Roman" w:eastAsia="Times New Roman" w:hAnsi="Times New Roman" w:cs="Times New Roman"/>
                <w:sz w:val="24"/>
              </w:rPr>
              <w:t xml:space="preserve">The annual report is not used to determine financial fitness, Section 10 of HB 1449 expressly prohibits the Commission from economic regulation of railroads. The data in the annual report is for informational purposes only. </w:t>
            </w:r>
          </w:p>
          <w:p w14:paraId="591D60B8" w14:textId="77777777" w:rsidR="008E49FD" w:rsidRDefault="007310A0">
            <w:pPr>
              <w:numPr>
                <w:ilvl w:val="0"/>
                <w:numId w:val="14"/>
              </w:numPr>
              <w:spacing w:after="44" w:line="238" w:lineRule="auto"/>
              <w:ind w:hanging="360"/>
            </w:pPr>
            <w:r>
              <w:rPr>
                <w:rFonts w:ascii="Times New Roman" w:eastAsia="Times New Roman" w:hAnsi="Times New Roman" w:cs="Times New Roman"/>
                <w:sz w:val="24"/>
              </w:rPr>
              <w:t xml:space="preserve">The Commission is sensitive to the need for the railroad industry to maintain confidential business records.  However, the requirements in the rule language, including insurance and worst case scenarios, are issues openly discussed by UP.  As stated in the UP 2014 STB Annual Report on page </w:t>
            </w:r>
          </w:p>
          <w:p w14:paraId="57145466" w14:textId="77777777" w:rsidR="008E49FD" w:rsidRDefault="007310A0">
            <w:pPr>
              <w:ind w:left="396"/>
            </w:pPr>
            <w:r>
              <w:rPr>
                <w:rFonts w:ascii="Times New Roman" w:eastAsia="Times New Roman" w:hAnsi="Times New Roman" w:cs="Times New Roman"/>
                <w:sz w:val="24"/>
              </w:rPr>
              <w:t>10, “We transport certain hazardous materials and other materials, including crude oil, ethanol, and toxic inhalation hazard (</w:t>
            </w:r>
            <w:proofErr w:type="spellStart"/>
            <w:r>
              <w:rPr>
                <w:rFonts w:ascii="Times New Roman" w:eastAsia="Times New Roman" w:hAnsi="Times New Roman" w:cs="Times New Roman"/>
                <w:sz w:val="24"/>
              </w:rPr>
              <w:t>TIH</w:t>
            </w:r>
            <w:proofErr w:type="spellEnd"/>
            <w:r>
              <w:rPr>
                <w:rFonts w:ascii="Times New Roman" w:eastAsia="Times New Roman" w:hAnsi="Times New Roman" w:cs="Times New Roman"/>
                <w:sz w:val="24"/>
              </w:rPr>
              <w:t xml:space="preserve">) materials, such as chlorine, that pose certain risks in the event of a release or combustion … A rail accident or other incident or accident on our network, at our facilities, or at the facilities of our customers involving the release or combustion of hazardous materials could involve significant costs and claims for personal injury, property damage, and </w:t>
            </w:r>
          </w:p>
        </w:tc>
      </w:tr>
      <w:tr w:rsidR="008E49FD" w14:paraId="213612C6" w14:textId="77777777" w:rsidTr="0012765D">
        <w:tblPrEx>
          <w:tblCellMar>
            <w:right w:w="66" w:type="dxa"/>
          </w:tblCellMar>
        </w:tblPrEx>
        <w:trPr>
          <w:trHeight w:val="9280"/>
        </w:trPr>
        <w:tc>
          <w:tcPr>
            <w:tcW w:w="2382" w:type="dxa"/>
            <w:tcBorders>
              <w:top w:val="single" w:sz="4" w:space="0" w:color="000000"/>
              <w:left w:val="single" w:sz="4" w:space="0" w:color="000000"/>
              <w:bottom w:val="single" w:sz="4" w:space="0" w:color="000000"/>
              <w:right w:val="single" w:sz="4" w:space="0" w:color="000000"/>
            </w:tcBorders>
          </w:tcPr>
          <w:p w14:paraId="216CB7E8" w14:textId="77777777" w:rsidR="008E49FD" w:rsidRDefault="008E49FD"/>
        </w:tc>
        <w:tc>
          <w:tcPr>
            <w:tcW w:w="2223" w:type="dxa"/>
            <w:tcBorders>
              <w:top w:val="single" w:sz="4" w:space="0" w:color="000000"/>
              <w:left w:val="single" w:sz="4" w:space="0" w:color="000000"/>
              <w:bottom w:val="single" w:sz="4" w:space="0" w:color="000000"/>
              <w:right w:val="single" w:sz="4" w:space="0" w:color="000000"/>
            </w:tcBorders>
          </w:tcPr>
          <w:p w14:paraId="62D7F993" w14:textId="77777777" w:rsidR="008E49FD" w:rsidRDefault="008E49FD"/>
        </w:tc>
        <w:tc>
          <w:tcPr>
            <w:tcW w:w="7076" w:type="dxa"/>
            <w:tcBorders>
              <w:top w:val="single" w:sz="4" w:space="0" w:color="000000"/>
              <w:left w:val="single" w:sz="4" w:space="0" w:color="000000"/>
              <w:bottom w:val="single" w:sz="4" w:space="0" w:color="000000"/>
              <w:right w:val="single" w:sz="4" w:space="0" w:color="000000"/>
            </w:tcBorders>
          </w:tcPr>
          <w:p w14:paraId="128E6262" w14:textId="77777777" w:rsidR="008E49FD" w:rsidRDefault="007310A0">
            <w:pPr>
              <w:numPr>
                <w:ilvl w:val="0"/>
                <w:numId w:val="15"/>
              </w:numPr>
              <w:spacing w:after="3" w:line="238" w:lineRule="auto"/>
              <w:ind w:hanging="360"/>
            </w:pPr>
            <w:r>
              <w:rPr>
                <w:rFonts w:ascii="Times New Roman" w:eastAsia="Times New Roman" w:hAnsi="Times New Roman" w:cs="Times New Roman"/>
                <w:sz w:val="24"/>
              </w:rPr>
              <w:t xml:space="preserve">UP is required to transport all commodities, including crude oil.  Railroads cannot stop transporting crude oil through the state. </w:t>
            </w:r>
          </w:p>
          <w:p w14:paraId="7B61053E" w14:textId="77777777" w:rsidR="008E49FD" w:rsidRDefault="007310A0">
            <w:pPr>
              <w:numPr>
                <w:ilvl w:val="0"/>
                <w:numId w:val="15"/>
              </w:numPr>
              <w:spacing w:after="3" w:line="238" w:lineRule="auto"/>
              <w:ind w:hanging="360"/>
            </w:pPr>
            <w:r>
              <w:rPr>
                <w:rFonts w:ascii="Times New Roman" w:eastAsia="Times New Roman" w:hAnsi="Times New Roman" w:cs="Times New Roman"/>
                <w:sz w:val="24"/>
              </w:rPr>
              <w:t xml:space="preserve">The Commission cannot regulate the amount of insurance to be held by a federally licensed rail carrier.  Regulating financial fitness of rail carriers is quintessential economic regulation that is preempted.   </w:t>
            </w:r>
          </w:p>
          <w:p w14:paraId="54130BD7" w14:textId="77777777" w:rsidR="008E49FD" w:rsidRDefault="007310A0">
            <w:pPr>
              <w:numPr>
                <w:ilvl w:val="0"/>
                <w:numId w:val="15"/>
              </w:numPr>
              <w:spacing w:after="7" w:line="238" w:lineRule="auto"/>
              <w:ind w:hanging="360"/>
            </w:pPr>
            <w:r>
              <w:rPr>
                <w:rFonts w:ascii="Times New Roman" w:eastAsia="Times New Roman" w:hAnsi="Times New Roman" w:cs="Times New Roman"/>
                <w:sz w:val="24"/>
              </w:rPr>
              <w:t xml:space="preserve">The Commission cannot superimpose another layer of economic regulation by forcing carriers to demonstrate they have obtained a minimum level of insurance.  </w:t>
            </w:r>
          </w:p>
          <w:p w14:paraId="79BA1BBB" w14:textId="77777777" w:rsidR="008E49FD" w:rsidRDefault="007310A0">
            <w:pPr>
              <w:numPr>
                <w:ilvl w:val="0"/>
                <w:numId w:val="15"/>
              </w:numPr>
              <w:spacing w:after="3" w:line="238" w:lineRule="auto"/>
              <w:ind w:hanging="360"/>
            </w:pPr>
            <w:proofErr w:type="spellStart"/>
            <w:r>
              <w:rPr>
                <w:rFonts w:ascii="Times New Roman" w:eastAsia="Times New Roman" w:hAnsi="Times New Roman" w:cs="Times New Roman"/>
                <w:sz w:val="24"/>
              </w:rPr>
              <w:t>UP’s</w:t>
            </w:r>
            <w:proofErr w:type="spellEnd"/>
            <w:r>
              <w:rPr>
                <w:rFonts w:ascii="Times New Roman" w:eastAsia="Times New Roman" w:hAnsi="Times New Roman" w:cs="Times New Roman"/>
                <w:sz w:val="24"/>
              </w:rPr>
              <w:t xml:space="preserve"> R-1 for 2014 reports net revenue from railway operations of $8.5 billion.  Legislation requires no disclosure beyond that already made publicly available in the R-1. </w:t>
            </w:r>
          </w:p>
          <w:p w14:paraId="73C6D2F6" w14:textId="77777777" w:rsidR="008E49FD" w:rsidRDefault="007310A0">
            <w:pPr>
              <w:numPr>
                <w:ilvl w:val="0"/>
                <w:numId w:val="15"/>
              </w:numPr>
              <w:ind w:hanging="360"/>
            </w:pPr>
            <w:r>
              <w:rPr>
                <w:rFonts w:ascii="Times New Roman" w:eastAsia="Times New Roman" w:hAnsi="Times New Roman" w:cs="Times New Roman"/>
                <w:sz w:val="24"/>
              </w:rPr>
              <w:t xml:space="preserve">Coverage amounts, limitations, and other conditions of the insurance would require UP to divulge the terms of insurance coverage that UP has negotiated with its insurance providers. </w:t>
            </w:r>
          </w:p>
        </w:tc>
        <w:tc>
          <w:tcPr>
            <w:tcW w:w="5592" w:type="dxa"/>
            <w:tcBorders>
              <w:top w:val="single" w:sz="4" w:space="0" w:color="000000"/>
              <w:left w:val="single" w:sz="4" w:space="0" w:color="000000"/>
              <w:bottom w:val="single" w:sz="4" w:space="0" w:color="000000"/>
              <w:right w:val="single" w:sz="4" w:space="0" w:color="000000"/>
            </w:tcBorders>
          </w:tcPr>
          <w:p w14:paraId="2D98154A" w14:textId="77777777" w:rsidR="008E49FD" w:rsidRDefault="007310A0">
            <w:pPr>
              <w:spacing w:line="243" w:lineRule="auto"/>
              <w:ind w:left="396"/>
            </w:pPr>
            <w:proofErr w:type="gramStart"/>
            <w:r>
              <w:rPr>
                <w:rFonts w:ascii="Times New Roman" w:eastAsia="Times New Roman" w:hAnsi="Times New Roman" w:cs="Times New Roman"/>
                <w:sz w:val="24"/>
              </w:rPr>
              <w:t>environmental</w:t>
            </w:r>
            <w:proofErr w:type="gramEnd"/>
            <w:r>
              <w:rPr>
                <w:rFonts w:ascii="Times New Roman" w:eastAsia="Times New Roman" w:hAnsi="Times New Roman" w:cs="Times New Roman"/>
                <w:sz w:val="24"/>
              </w:rPr>
              <w:t xml:space="preserve"> penalties and remediation in excess of our insurance coverage for these risks ….”  Further, on page 11 of the same 2014 Annual Report, UP concedes that hauling hazardous materials like crude oil may impact the company’s operations, “We could incur significant costs as a result of any of the foregoing, and we may be required to incur significant expenses to investigate and remediate known, unknown, or future environmental contamination, which could have a material adverse effect on our results of operations, financial condition, and liquidity.”   </w:t>
            </w:r>
          </w:p>
          <w:p w14:paraId="3E757D57" w14:textId="77777777" w:rsidR="008E49FD" w:rsidRDefault="007310A0">
            <w:pPr>
              <w:numPr>
                <w:ilvl w:val="0"/>
                <w:numId w:val="16"/>
              </w:numPr>
              <w:spacing w:after="3" w:line="238" w:lineRule="auto"/>
              <w:ind w:hanging="360"/>
            </w:pPr>
            <w:r>
              <w:rPr>
                <w:rFonts w:ascii="Times New Roman" w:eastAsia="Times New Roman" w:hAnsi="Times New Roman" w:cs="Times New Roman"/>
                <w:sz w:val="24"/>
              </w:rPr>
              <w:t xml:space="preserve">The reporting requirements are for informational purposes only. The Commission is expressly prohibited from economically regulating railroads or using the information for punitive measures. </w:t>
            </w:r>
          </w:p>
          <w:p w14:paraId="3C565B0E" w14:textId="77777777" w:rsidR="008E49FD" w:rsidRDefault="007310A0">
            <w:pPr>
              <w:numPr>
                <w:ilvl w:val="0"/>
                <w:numId w:val="16"/>
              </w:numPr>
              <w:ind w:hanging="360"/>
            </w:pPr>
            <w:r>
              <w:rPr>
                <w:rFonts w:ascii="Times New Roman" w:eastAsia="Times New Roman" w:hAnsi="Times New Roman" w:cs="Times New Roman"/>
                <w:sz w:val="24"/>
              </w:rPr>
              <w:t xml:space="preserve">Please see answer #6. </w:t>
            </w:r>
          </w:p>
          <w:p w14:paraId="57F009DE" w14:textId="77777777" w:rsidR="008E49FD" w:rsidRDefault="007310A0">
            <w:pPr>
              <w:numPr>
                <w:ilvl w:val="0"/>
                <w:numId w:val="16"/>
              </w:numPr>
              <w:ind w:hanging="360"/>
            </w:pPr>
            <w:r>
              <w:rPr>
                <w:rFonts w:ascii="Times New Roman" w:eastAsia="Times New Roman" w:hAnsi="Times New Roman" w:cs="Times New Roman"/>
                <w:sz w:val="24"/>
              </w:rPr>
              <w:t xml:space="preserve">Please see answer #6. </w:t>
            </w:r>
          </w:p>
          <w:p w14:paraId="2EB76510" w14:textId="77777777" w:rsidR="008E49FD" w:rsidRDefault="007310A0">
            <w:pPr>
              <w:numPr>
                <w:ilvl w:val="0"/>
                <w:numId w:val="16"/>
              </w:numPr>
              <w:spacing w:after="3" w:line="238" w:lineRule="auto"/>
              <w:ind w:hanging="360"/>
            </w:pPr>
            <w:r>
              <w:rPr>
                <w:rFonts w:ascii="Times New Roman" w:eastAsia="Times New Roman" w:hAnsi="Times New Roman" w:cs="Times New Roman"/>
                <w:sz w:val="24"/>
              </w:rPr>
              <w:t xml:space="preserve">The rules in no way limit transportation of crude oil in the state. </w:t>
            </w:r>
          </w:p>
          <w:p w14:paraId="4CACE15E" w14:textId="77777777" w:rsidR="008E49FD" w:rsidRDefault="007310A0">
            <w:pPr>
              <w:numPr>
                <w:ilvl w:val="0"/>
                <w:numId w:val="16"/>
              </w:numPr>
              <w:ind w:hanging="360"/>
            </w:pPr>
            <w:r>
              <w:rPr>
                <w:rFonts w:ascii="Times New Roman" w:eastAsia="Times New Roman" w:hAnsi="Times New Roman" w:cs="Times New Roman"/>
                <w:sz w:val="24"/>
              </w:rPr>
              <w:t xml:space="preserve">Please see answer #6. </w:t>
            </w:r>
          </w:p>
          <w:p w14:paraId="1F4EA2B9" w14:textId="77777777" w:rsidR="008E49FD" w:rsidRDefault="007310A0">
            <w:pPr>
              <w:numPr>
                <w:ilvl w:val="0"/>
                <w:numId w:val="16"/>
              </w:numPr>
              <w:ind w:hanging="360"/>
            </w:pPr>
            <w:r>
              <w:rPr>
                <w:rFonts w:ascii="Times New Roman" w:eastAsia="Times New Roman" w:hAnsi="Times New Roman" w:cs="Times New Roman"/>
                <w:sz w:val="24"/>
              </w:rPr>
              <w:t xml:space="preserve">Please see answer #6. </w:t>
            </w:r>
          </w:p>
          <w:p w14:paraId="26C5694D" w14:textId="77777777" w:rsidR="008E49FD" w:rsidRDefault="007310A0">
            <w:pPr>
              <w:numPr>
                <w:ilvl w:val="0"/>
                <w:numId w:val="16"/>
              </w:numPr>
              <w:spacing w:after="20"/>
              <w:ind w:hanging="360"/>
            </w:pPr>
            <w:r>
              <w:rPr>
                <w:rFonts w:ascii="Times New Roman" w:eastAsia="Times New Roman" w:hAnsi="Times New Roman" w:cs="Times New Roman"/>
                <w:sz w:val="24"/>
              </w:rPr>
              <w:t xml:space="preserve">HB 1449 requires railroads to report to the </w:t>
            </w:r>
          </w:p>
          <w:p w14:paraId="7E657D7E" w14:textId="77777777" w:rsidR="008E49FD" w:rsidRDefault="007310A0">
            <w:pPr>
              <w:spacing w:after="3" w:line="238" w:lineRule="auto"/>
              <w:ind w:left="396" w:right="42"/>
            </w:pPr>
            <w:r>
              <w:rPr>
                <w:rFonts w:ascii="Times New Roman" w:eastAsia="Times New Roman" w:hAnsi="Times New Roman" w:cs="Times New Roman"/>
                <w:sz w:val="24"/>
              </w:rPr>
              <w:t xml:space="preserve">Commission related to the railroad’s ability to pay damages in the event of a spill or accident involving the transport of crude oil, including a statement of whether the railroad has the ability to pay for damages resulting from a reasonable worst case spill.  Please also refer to answer #5. </w:t>
            </w:r>
          </w:p>
          <w:p w14:paraId="168C58C4" w14:textId="77777777" w:rsidR="008E49FD" w:rsidRDefault="007310A0">
            <w:pPr>
              <w:numPr>
                <w:ilvl w:val="0"/>
                <w:numId w:val="16"/>
              </w:numPr>
              <w:ind w:hanging="360"/>
            </w:pPr>
            <w:r>
              <w:rPr>
                <w:rFonts w:ascii="Times New Roman" w:eastAsia="Times New Roman" w:hAnsi="Times New Roman" w:cs="Times New Roman"/>
                <w:sz w:val="24"/>
              </w:rPr>
              <w:t xml:space="preserve">Filings by railroads to the STB disclose insurance levels and rates when the railroad company is interested in increased fees or protection from liability under common carrier provisions.   </w:t>
            </w:r>
          </w:p>
        </w:tc>
      </w:tr>
      <w:tr w:rsidR="008E49FD" w14:paraId="788814FE" w14:textId="77777777" w:rsidTr="0012765D">
        <w:tblPrEx>
          <w:tblCellMar>
            <w:left w:w="108" w:type="dxa"/>
            <w:right w:w="50" w:type="dxa"/>
          </w:tblCellMar>
        </w:tblPrEx>
        <w:trPr>
          <w:trHeight w:val="9119"/>
        </w:trPr>
        <w:tc>
          <w:tcPr>
            <w:tcW w:w="2382" w:type="dxa"/>
            <w:tcBorders>
              <w:top w:val="single" w:sz="4" w:space="0" w:color="000000"/>
              <w:left w:val="single" w:sz="4" w:space="0" w:color="000000"/>
              <w:bottom w:val="single" w:sz="4" w:space="0" w:color="000000"/>
              <w:right w:val="single" w:sz="4" w:space="0" w:color="000000"/>
            </w:tcBorders>
          </w:tcPr>
          <w:p w14:paraId="32AC11AF" w14:textId="77777777" w:rsidR="008E49FD" w:rsidRDefault="007310A0">
            <w:r>
              <w:rPr>
                <w:rFonts w:ascii="Times New Roman" w:eastAsia="Times New Roman" w:hAnsi="Times New Roman" w:cs="Times New Roman"/>
                <w:sz w:val="24"/>
              </w:rPr>
              <w:lastRenderedPageBreak/>
              <w:t xml:space="preserve">WAC 480-62-300 </w:t>
            </w:r>
          </w:p>
          <w:p w14:paraId="0E2F36E7" w14:textId="77777777" w:rsidR="008E49FD" w:rsidRDefault="007310A0">
            <w:r>
              <w:rPr>
                <w:rFonts w:ascii="Times New Roman" w:eastAsia="Times New Roman" w:hAnsi="Times New Roman" w:cs="Times New Roman"/>
                <w:sz w:val="24"/>
              </w:rPr>
              <w:t>Annual reports—</w:t>
            </w:r>
          </w:p>
          <w:p w14:paraId="4459E49B" w14:textId="77777777" w:rsidR="008E49FD" w:rsidRDefault="007310A0">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47A3D9FC" w14:textId="77777777" w:rsidR="008E49FD" w:rsidRDefault="007310A0">
            <w:r>
              <w:rPr>
                <w:rFonts w:ascii="Times New Roman" w:eastAsia="Times New Roman" w:hAnsi="Times New Roman" w:cs="Times New Roman"/>
                <w:sz w:val="24"/>
              </w:rPr>
              <w:t xml:space="preserve">Columbia </w:t>
            </w:r>
          </w:p>
          <w:p w14:paraId="73EE83EB" w14:textId="77777777" w:rsidR="008E49FD" w:rsidRDefault="007310A0">
            <w:r>
              <w:rPr>
                <w:rFonts w:ascii="Times New Roman" w:eastAsia="Times New Roman" w:hAnsi="Times New Roman" w:cs="Times New Roman"/>
                <w:sz w:val="24"/>
              </w:rPr>
              <w:t xml:space="preserve">Riverkeeper, </w:t>
            </w:r>
          </w:p>
          <w:p w14:paraId="2047B360" w14:textId="77777777" w:rsidR="008E49FD" w:rsidRDefault="007310A0">
            <w:r>
              <w:rPr>
                <w:rFonts w:ascii="Times New Roman" w:eastAsia="Times New Roman" w:hAnsi="Times New Roman" w:cs="Times New Roman"/>
                <w:sz w:val="24"/>
              </w:rPr>
              <w:t xml:space="preserve">Friends of the </w:t>
            </w:r>
          </w:p>
          <w:p w14:paraId="79B93E04" w14:textId="77777777" w:rsidR="008E49FD" w:rsidRDefault="007310A0">
            <w:r>
              <w:rPr>
                <w:rFonts w:ascii="Times New Roman" w:eastAsia="Times New Roman" w:hAnsi="Times New Roman" w:cs="Times New Roman"/>
                <w:sz w:val="24"/>
              </w:rPr>
              <w:t xml:space="preserve">Columbia Gorge, </w:t>
            </w:r>
          </w:p>
          <w:p w14:paraId="528D1EFB" w14:textId="77777777" w:rsidR="008E49FD" w:rsidRDefault="007310A0">
            <w:r>
              <w:rPr>
                <w:rFonts w:ascii="Times New Roman" w:eastAsia="Times New Roman" w:hAnsi="Times New Roman" w:cs="Times New Roman"/>
                <w:sz w:val="24"/>
              </w:rPr>
              <w:t xml:space="preserve">Forest Ethics, RE </w:t>
            </w:r>
          </w:p>
          <w:p w14:paraId="0AEA6305" w14:textId="77777777" w:rsidR="008E49FD" w:rsidRDefault="007310A0">
            <w:r>
              <w:rPr>
                <w:rFonts w:ascii="Times New Roman" w:eastAsia="Times New Roman" w:hAnsi="Times New Roman" w:cs="Times New Roman"/>
                <w:sz w:val="24"/>
              </w:rPr>
              <w:t xml:space="preserve">Sources for </w:t>
            </w:r>
          </w:p>
          <w:p w14:paraId="5CE57681" w14:textId="77777777" w:rsidR="008E49FD" w:rsidRDefault="007310A0">
            <w:r>
              <w:rPr>
                <w:rFonts w:ascii="Times New Roman" w:eastAsia="Times New Roman" w:hAnsi="Times New Roman" w:cs="Times New Roman"/>
                <w:sz w:val="24"/>
              </w:rPr>
              <w:t xml:space="preserve">Sustainable </w:t>
            </w:r>
          </w:p>
          <w:p w14:paraId="6A001BD6" w14:textId="77777777" w:rsidR="008E49FD" w:rsidRDefault="007310A0">
            <w:r>
              <w:rPr>
                <w:rFonts w:ascii="Times New Roman" w:eastAsia="Times New Roman" w:hAnsi="Times New Roman" w:cs="Times New Roman"/>
                <w:sz w:val="24"/>
              </w:rPr>
              <w:t xml:space="preserve">Communities, Sierra </w:t>
            </w:r>
          </w:p>
          <w:p w14:paraId="2138CCF1" w14:textId="77777777" w:rsidR="008E49FD" w:rsidRDefault="007310A0">
            <w:r>
              <w:rPr>
                <w:rFonts w:ascii="Times New Roman" w:eastAsia="Times New Roman" w:hAnsi="Times New Roman" w:cs="Times New Roman"/>
                <w:sz w:val="24"/>
              </w:rPr>
              <w:t xml:space="preserve">Club Washington </w:t>
            </w:r>
          </w:p>
          <w:p w14:paraId="1B1AF81E" w14:textId="77777777" w:rsidR="008E49FD" w:rsidRDefault="007310A0">
            <w:r>
              <w:rPr>
                <w:rFonts w:ascii="Times New Roman" w:eastAsia="Times New Roman" w:hAnsi="Times New Roman" w:cs="Times New Roman"/>
                <w:sz w:val="24"/>
              </w:rPr>
              <w:t xml:space="preserve">Chapter, The Lands </w:t>
            </w:r>
          </w:p>
          <w:p w14:paraId="74AD6412" w14:textId="77777777" w:rsidR="008E49FD" w:rsidRDefault="007310A0">
            <w:r>
              <w:rPr>
                <w:rFonts w:ascii="Times New Roman" w:eastAsia="Times New Roman" w:hAnsi="Times New Roman" w:cs="Times New Roman"/>
                <w:sz w:val="24"/>
              </w:rPr>
              <w:t xml:space="preserve">Council, </w:t>
            </w:r>
          </w:p>
          <w:p w14:paraId="3AE50A30" w14:textId="77777777" w:rsidR="008E49FD" w:rsidRDefault="007310A0">
            <w:r>
              <w:rPr>
                <w:rFonts w:ascii="Times New Roman" w:eastAsia="Times New Roman" w:hAnsi="Times New Roman" w:cs="Times New Roman"/>
                <w:sz w:val="24"/>
              </w:rPr>
              <w:t xml:space="preserve">Washington </w:t>
            </w:r>
          </w:p>
          <w:p w14:paraId="7FC4B2D1" w14:textId="77777777" w:rsidR="008E49FD" w:rsidRDefault="007310A0">
            <w:r>
              <w:rPr>
                <w:rFonts w:ascii="Times New Roman" w:eastAsia="Times New Roman" w:hAnsi="Times New Roman" w:cs="Times New Roman"/>
                <w:sz w:val="24"/>
              </w:rPr>
              <w:t xml:space="preserve">Environmental </w:t>
            </w:r>
          </w:p>
          <w:p w14:paraId="380D04E5" w14:textId="77777777" w:rsidR="008E49FD" w:rsidRDefault="007310A0">
            <w:r>
              <w:rPr>
                <w:rFonts w:ascii="Times New Roman" w:eastAsia="Times New Roman" w:hAnsi="Times New Roman" w:cs="Times New Roman"/>
                <w:sz w:val="24"/>
              </w:rPr>
              <w:t xml:space="preserve">Council, </w:t>
            </w:r>
          </w:p>
          <w:p w14:paraId="6681A087" w14:textId="77777777" w:rsidR="008E49FD" w:rsidRDefault="007310A0">
            <w:r>
              <w:rPr>
                <w:rFonts w:ascii="Times New Roman" w:eastAsia="Times New Roman" w:hAnsi="Times New Roman" w:cs="Times New Roman"/>
                <w:sz w:val="24"/>
              </w:rPr>
              <w:t xml:space="preserve">Washington </w:t>
            </w:r>
          </w:p>
          <w:p w14:paraId="15F844FF" w14:textId="77777777" w:rsidR="008E49FD" w:rsidRDefault="007310A0">
            <w:r>
              <w:rPr>
                <w:rFonts w:ascii="Times New Roman" w:eastAsia="Times New Roman" w:hAnsi="Times New Roman" w:cs="Times New Roman"/>
                <w:sz w:val="24"/>
              </w:rPr>
              <w:t xml:space="preserve">Physicians for </w:t>
            </w:r>
          </w:p>
          <w:p w14:paraId="707B97F7" w14:textId="77777777" w:rsidR="008E49FD" w:rsidRDefault="007310A0">
            <w:r>
              <w:rPr>
                <w:rFonts w:ascii="Times New Roman" w:eastAsia="Times New Roman" w:hAnsi="Times New Roman" w:cs="Times New Roman"/>
                <w:sz w:val="24"/>
              </w:rPr>
              <w:t xml:space="preserve">Social </w:t>
            </w:r>
          </w:p>
          <w:p w14:paraId="5081DAD0" w14:textId="77777777" w:rsidR="008E49FD" w:rsidRDefault="007310A0">
            <w:r>
              <w:rPr>
                <w:rFonts w:ascii="Times New Roman" w:eastAsia="Times New Roman" w:hAnsi="Times New Roman" w:cs="Times New Roman"/>
                <w:sz w:val="24"/>
              </w:rPr>
              <w:t xml:space="preserve">Responsibility </w:t>
            </w:r>
          </w:p>
        </w:tc>
        <w:tc>
          <w:tcPr>
            <w:tcW w:w="7076" w:type="dxa"/>
            <w:tcBorders>
              <w:top w:val="single" w:sz="4" w:space="0" w:color="000000"/>
              <w:left w:val="single" w:sz="4" w:space="0" w:color="000000"/>
              <w:bottom w:val="single" w:sz="4" w:space="0" w:color="000000"/>
              <w:right w:val="single" w:sz="4" w:space="0" w:color="000000"/>
            </w:tcBorders>
          </w:tcPr>
          <w:p w14:paraId="20B42F9C" w14:textId="77777777" w:rsidR="008E49FD" w:rsidRDefault="007310A0">
            <w:pPr>
              <w:ind w:left="360"/>
            </w:pPr>
            <w:r>
              <w:rPr>
                <w:rFonts w:ascii="Times New Roman" w:eastAsia="Times New Roman" w:hAnsi="Times New Roman" w:cs="Times New Roman"/>
                <w:sz w:val="24"/>
              </w:rPr>
              <w:t xml:space="preserve">The commenter includes, in its comments: </w:t>
            </w:r>
          </w:p>
          <w:p w14:paraId="3B93498A" w14:textId="77777777" w:rsidR="008E49FD" w:rsidRDefault="007310A0">
            <w:pPr>
              <w:numPr>
                <w:ilvl w:val="0"/>
                <w:numId w:val="17"/>
              </w:numPr>
              <w:spacing w:after="3" w:line="238" w:lineRule="auto"/>
              <w:ind w:hanging="360"/>
            </w:pPr>
            <w:r>
              <w:rPr>
                <w:rFonts w:ascii="Times New Roman" w:eastAsia="Times New Roman" w:hAnsi="Times New Roman" w:cs="Times New Roman"/>
                <w:sz w:val="24"/>
              </w:rPr>
              <w:t>Concerns regarding the worst case spill cost in WAC 480-62300(2</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d). </w:t>
            </w:r>
          </w:p>
          <w:p w14:paraId="1C79131E" w14:textId="77777777" w:rsidR="008E49FD" w:rsidRDefault="007310A0">
            <w:pPr>
              <w:numPr>
                <w:ilvl w:val="0"/>
                <w:numId w:val="17"/>
              </w:numPr>
              <w:spacing w:after="3" w:line="238" w:lineRule="auto"/>
              <w:ind w:hanging="360"/>
            </w:pPr>
            <w:r>
              <w:rPr>
                <w:rFonts w:ascii="Times New Roman" w:eastAsia="Times New Roman" w:hAnsi="Times New Roman" w:cs="Times New Roman"/>
                <w:sz w:val="24"/>
              </w:rPr>
              <w:t xml:space="preserve">Objections to the adoption of the worst case scenario cost of oil spill cleanup. </w:t>
            </w:r>
          </w:p>
          <w:p w14:paraId="6BDF3386" w14:textId="77777777" w:rsidR="008E49FD" w:rsidRDefault="007310A0">
            <w:pPr>
              <w:numPr>
                <w:ilvl w:val="0"/>
                <w:numId w:val="17"/>
              </w:numPr>
              <w:spacing w:after="3" w:line="238" w:lineRule="auto"/>
              <w:ind w:hanging="360"/>
            </w:pPr>
            <w:r>
              <w:rPr>
                <w:rFonts w:ascii="Times New Roman" w:eastAsia="Times New Roman" w:hAnsi="Times New Roman" w:cs="Times New Roman"/>
                <w:sz w:val="24"/>
              </w:rPr>
              <w:t xml:space="preserve">The monetary amount of $16,800 per barrel multiplied by the percentage of the largest train of crude oil gravely underestimates the potential cost of an oil train disaster. </w:t>
            </w:r>
          </w:p>
          <w:p w14:paraId="6CC87C69" w14:textId="77777777" w:rsidR="008E49FD" w:rsidRDefault="007310A0">
            <w:pPr>
              <w:numPr>
                <w:ilvl w:val="0"/>
                <w:numId w:val="17"/>
              </w:numPr>
              <w:spacing w:line="264" w:lineRule="auto"/>
              <w:ind w:hanging="360"/>
            </w:pPr>
            <w:r>
              <w:rPr>
                <w:rFonts w:ascii="Times New Roman" w:eastAsia="Times New Roman" w:hAnsi="Times New Roman" w:cs="Times New Roman"/>
                <w:sz w:val="24"/>
              </w:rPr>
              <w:t xml:space="preserve">The Commission deviated significantly from the charge in the legislation which does not call for financial assurance for a “typical accident” or “high consequence accident” but for a “worst case spill.”   </w:t>
            </w:r>
          </w:p>
          <w:p w14:paraId="6259B52A" w14:textId="77777777" w:rsidR="008E49FD" w:rsidRDefault="007310A0">
            <w:pPr>
              <w:numPr>
                <w:ilvl w:val="0"/>
                <w:numId w:val="17"/>
              </w:numPr>
              <w:spacing w:after="3" w:line="238" w:lineRule="auto"/>
              <w:ind w:hanging="360"/>
            </w:pPr>
            <w:r>
              <w:rPr>
                <w:rFonts w:ascii="Times New Roman" w:eastAsia="Times New Roman" w:hAnsi="Times New Roman" w:cs="Times New Roman"/>
                <w:sz w:val="24"/>
              </w:rPr>
              <w:t xml:space="preserve">Lac </w:t>
            </w:r>
            <w:proofErr w:type="spellStart"/>
            <w:r>
              <w:rPr>
                <w:rFonts w:ascii="Times New Roman" w:eastAsia="Times New Roman" w:hAnsi="Times New Roman" w:cs="Times New Roman"/>
                <w:sz w:val="24"/>
              </w:rPr>
              <w:t>Megantic</w:t>
            </w:r>
            <w:proofErr w:type="spellEnd"/>
            <w:r>
              <w:rPr>
                <w:rFonts w:ascii="Times New Roman" w:eastAsia="Times New Roman" w:hAnsi="Times New Roman" w:cs="Times New Roman"/>
                <w:sz w:val="24"/>
              </w:rPr>
              <w:t xml:space="preserve"> may not be the worst case spill scenario.  An oil spill in an area with a denser population, such as Seattle, or an area that is environmentally sensitive, such as the Columbia River, could have cleanup costs much higher than Lac </w:t>
            </w:r>
            <w:proofErr w:type="spellStart"/>
            <w:r>
              <w:rPr>
                <w:rFonts w:ascii="Times New Roman" w:eastAsia="Times New Roman" w:hAnsi="Times New Roman" w:cs="Times New Roman"/>
                <w:sz w:val="24"/>
              </w:rPr>
              <w:t>Megantic</w:t>
            </w:r>
            <w:proofErr w:type="spellEnd"/>
            <w:r>
              <w:rPr>
                <w:rFonts w:ascii="Times New Roman" w:eastAsia="Times New Roman" w:hAnsi="Times New Roman" w:cs="Times New Roman"/>
                <w:sz w:val="24"/>
              </w:rPr>
              <w:t xml:space="preserve"> on a per barrel basis. </w:t>
            </w:r>
          </w:p>
          <w:p w14:paraId="2687F130" w14:textId="77777777" w:rsidR="008E49FD" w:rsidRDefault="007310A0">
            <w:pPr>
              <w:numPr>
                <w:ilvl w:val="0"/>
                <w:numId w:val="17"/>
              </w:numPr>
              <w:spacing w:line="279" w:lineRule="auto"/>
              <w:ind w:hanging="360"/>
            </w:pPr>
            <w:r>
              <w:rPr>
                <w:rFonts w:ascii="Times New Roman" w:eastAsia="Times New Roman" w:hAnsi="Times New Roman" w:cs="Times New Roman"/>
                <w:sz w:val="24"/>
              </w:rPr>
              <w:t xml:space="preserve">Recommends looking at real world examples like Lac </w:t>
            </w:r>
            <w:proofErr w:type="spellStart"/>
            <w:r>
              <w:rPr>
                <w:rFonts w:ascii="Times New Roman" w:eastAsia="Times New Roman" w:hAnsi="Times New Roman" w:cs="Times New Roman"/>
                <w:sz w:val="24"/>
              </w:rPr>
              <w:t>Megantic</w:t>
            </w:r>
            <w:proofErr w:type="spellEnd"/>
            <w:r>
              <w:rPr>
                <w:rFonts w:ascii="Times New Roman" w:eastAsia="Times New Roman" w:hAnsi="Times New Roman" w:cs="Times New Roman"/>
                <w:sz w:val="24"/>
              </w:rPr>
              <w:t xml:space="preserve"> and “near miss” incidents to model what could happen. </w:t>
            </w:r>
          </w:p>
          <w:p w14:paraId="483C8B9D" w14:textId="77777777" w:rsidR="008E49FD" w:rsidRDefault="007310A0">
            <w:pPr>
              <w:numPr>
                <w:ilvl w:val="0"/>
                <w:numId w:val="17"/>
              </w:numPr>
              <w:spacing w:after="5" w:line="238" w:lineRule="auto"/>
              <w:ind w:hanging="360"/>
            </w:pPr>
            <w:r>
              <w:rPr>
                <w:rFonts w:ascii="Times New Roman" w:eastAsia="Times New Roman" w:hAnsi="Times New Roman" w:cs="Times New Roman"/>
                <w:sz w:val="24"/>
              </w:rPr>
              <w:t xml:space="preserve">Suggests the Commission use the worst high consequence event considered in the Final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Regulatory Impact Analysis on page 110. </w:t>
            </w:r>
          </w:p>
          <w:p w14:paraId="55C4E352" w14:textId="77777777" w:rsidR="008E49FD" w:rsidRDefault="007310A0">
            <w:pPr>
              <w:numPr>
                <w:ilvl w:val="0"/>
                <w:numId w:val="17"/>
              </w:numPr>
              <w:spacing w:line="243" w:lineRule="auto"/>
              <w:ind w:hanging="360"/>
            </w:pP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projected a 95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percentile high consequence derailment that simulates the cost of a derailment in a high population density area.  The cost of these events would be far more serious at an estimate of $6.3 billion. </w:t>
            </w:r>
          </w:p>
          <w:p w14:paraId="7D51A018" w14:textId="77777777" w:rsidR="008E49FD" w:rsidRDefault="007310A0">
            <w:pPr>
              <w:numPr>
                <w:ilvl w:val="0"/>
                <w:numId w:val="17"/>
              </w:numPr>
              <w:spacing w:after="3" w:line="238" w:lineRule="auto"/>
              <w:ind w:hanging="360"/>
            </w:pPr>
            <w:proofErr w:type="spellStart"/>
            <w:r>
              <w:rPr>
                <w:rFonts w:ascii="Times New Roman" w:eastAsia="Times New Roman" w:hAnsi="Times New Roman" w:cs="Times New Roman"/>
                <w:sz w:val="24"/>
              </w:rPr>
              <w:t>USDOT</w:t>
            </w:r>
            <w:proofErr w:type="spellEnd"/>
            <w:r>
              <w:rPr>
                <w:rFonts w:ascii="Times New Roman" w:eastAsia="Times New Roman" w:hAnsi="Times New Roman" w:cs="Times New Roman"/>
                <w:sz w:val="24"/>
              </w:rPr>
              <w:t xml:space="preserve"> believes that in any given year, there is a 5% chance that a major derailment will happen in an urban setting in the U.S. with a cost of $6.3 billion. </w:t>
            </w:r>
          </w:p>
          <w:p w14:paraId="3F77BAB8" w14:textId="77777777" w:rsidR="008E49FD" w:rsidRDefault="007310A0">
            <w:pPr>
              <w:numPr>
                <w:ilvl w:val="0"/>
                <w:numId w:val="17"/>
              </w:numPr>
              <w:ind w:hanging="360"/>
            </w:pPr>
            <w:r>
              <w:rPr>
                <w:rFonts w:ascii="Times New Roman" w:eastAsia="Times New Roman" w:hAnsi="Times New Roman" w:cs="Times New Roman"/>
                <w:sz w:val="24"/>
              </w:rPr>
              <w:t xml:space="preserve">The cost of a $6.3 billion spill results in a per gallon cost of $2,100. </w:t>
            </w:r>
          </w:p>
          <w:p w14:paraId="6F430460" w14:textId="77777777" w:rsidR="008E49FD" w:rsidRDefault="007310A0">
            <w:pPr>
              <w:numPr>
                <w:ilvl w:val="0"/>
                <w:numId w:val="17"/>
              </w:numPr>
              <w:ind w:hanging="360"/>
            </w:pPr>
            <w:r>
              <w:rPr>
                <w:rFonts w:ascii="Times New Roman" w:eastAsia="Times New Roman" w:hAnsi="Times New Roman" w:cs="Times New Roman"/>
                <w:sz w:val="24"/>
              </w:rPr>
              <w:t xml:space="preserve">HB 1449 states that the purpose of the bill is to ensure that responsible parties are liable, and have the resources and ability to respond to spills and provide compensation for all costs and </w:t>
            </w:r>
          </w:p>
        </w:tc>
        <w:tc>
          <w:tcPr>
            <w:tcW w:w="5592" w:type="dxa"/>
            <w:tcBorders>
              <w:top w:val="single" w:sz="4" w:space="0" w:color="000000"/>
              <w:left w:val="single" w:sz="4" w:space="0" w:color="000000"/>
              <w:bottom w:val="single" w:sz="4" w:space="0" w:color="000000"/>
              <w:right w:val="single" w:sz="4" w:space="0" w:color="000000"/>
            </w:tcBorders>
          </w:tcPr>
          <w:p w14:paraId="790BC76A" w14:textId="77777777" w:rsidR="008E49FD" w:rsidRDefault="007310A0">
            <w:pPr>
              <w:numPr>
                <w:ilvl w:val="0"/>
                <w:numId w:val="18"/>
              </w:numPr>
              <w:spacing w:after="3" w:line="238" w:lineRule="auto"/>
              <w:ind w:hanging="360"/>
            </w:pPr>
            <w:r>
              <w:rPr>
                <w:rFonts w:ascii="Times New Roman" w:eastAsia="Times New Roman" w:hAnsi="Times New Roman" w:cs="Times New Roman"/>
                <w:sz w:val="24"/>
              </w:rPr>
              <w:t xml:space="preserve">The Commission used available study and report data, as well as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regulatory impact analysis to set spill cost. </w:t>
            </w:r>
          </w:p>
          <w:p w14:paraId="53EE271E" w14:textId="77777777" w:rsidR="008E49FD" w:rsidRDefault="007310A0">
            <w:pPr>
              <w:numPr>
                <w:ilvl w:val="0"/>
                <w:numId w:val="18"/>
              </w:numPr>
              <w:spacing w:after="3" w:line="238" w:lineRule="auto"/>
              <w:ind w:hanging="360"/>
            </w:pPr>
            <w:r>
              <w:rPr>
                <w:rFonts w:ascii="Times New Roman" w:eastAsia="Times New Roman" w:hAnsi="Times New Roman" w:cs="Times New Roman"/>
                <w:sz w:val="24"/>
              </w:rPr>
              <w:t xml:space="preserve">The Commission used available data, through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federal enhanced tank car rule to determine reasonable worst case scenario. </w:t>
            </w:r>
          </w:p>
          <w:p w14:paraId="725F7C3E" w14:textId="77777777" w:rsidR="008E49FD" w:rsidRDefault="007310A0">
            <w:pPr>
              <w:numPr>
                <w:ilvl w:val="0"/>
                <w:numId w:val="18"/>
              </w:numPr>
              <w:spacing w:after="3" w:line="238" w:lineRule="auto"/>
              <w:ind w:hanging="360"/>
            </w:pPr>
            <w:r>
              <w:rPr>
                <w:rFonts w:ascii="Times New Roman" w:eastAsia="Times New Roman" w:hAnsi="Times New Roman" w:cs="Times New Roman"/>
                <w:sz w:val="24"/>
              </w:rPr>
              <w:t xml:space="preserve">The Commission used the available data to determine per barrel cleanup costs.  The percentage was extracted from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w:t>
            </w:r>
          </w:p>
          <w:p w14:paraId="542E4844" w14:textId="77777777" w:rsidR="008E49FD" w:rsidRDefault="007310A0">
            <w:pPr>
              <w:numPr>
                <w:ilvl w:val="0"/>
                <w:numId w:val="18"/>
              </w:numPr>
              <w:spacing w:line="243" w:lineRule="auto"/>
              <w:ind w:hanging="360"/>
            </w:pPr>
            <w:r>
              <w:rPr>
                <w:rFonts w:ascii="Times New Roman" w:eastAsia="Times New Roman" w:hAnsi="Times New Roman" w:cs="Times New Roman"/>
                <w:sz w:val="24"/>
              </w:rPr>
              <w:t xml:space="preserve">The Commission was charged with defining a “reasonable” worst case spill.  The definition of “reasonable” is subjective but the Commission believes that if the legislature had intended an absolute worst case spill, then the quantifier “reasonable” would not have been included.  A high consequence event from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was used because it calculated costs, showed potential impacts and predicted possible derailments. </w:t>
            </w:r>
          </w:p>
          <w:p w14:paraId="0E97285B" w14:textId="77777777" w:rsidR="008E49FD" w:rsidRDefault="007310A0">
            <w:pPr>
              <w:numPr>
                <w:ilvl w:val="0"/>
                <w:numId w:val="18"/>
              </w:numPr>
              <w:spacing w:after="24" w:line="238" w:lineRule="auto"/>
              <w:ind w:hanging="360"/>
            </w:pPr>
            <w:r>
              <w:rPr>
                <w:rFonts w:ascii="Times New Roman" w:eastAsia="Times New Roman" w:hAnsi="Times New Roman" w:cs="Times New Roman"/>
                <w:sz w:val="24"/>
              </w:rPr>
              <w:t xml:space="preserve">The Commission agrees that there are numerous scenarios where an absolute worst case spill would be significantly more than what was drafted in the </w:t>
            </w:r>
            <w:proofErr w:type="spellStart"/>
            <w:r>
              <w:rPr>
                <w:rFonts w:ascii="Times New Roman" w:eastAsia="Times New Roman" w:hAnsi="Times New Roman" w:cs="Times New Roman"/>
                <w:sz w:val="24"/>
              </w:rPr>
              <w:t>CR102</w:t>
            </w:r>
            <w:proofErr w:type="spellEnd"/>
            <w:r>
              <w:rPr>
                <w:rFonts w:ascii="Times New Roman" w:eastAsia="Times New Roman" w:hAnsi="Times New Roman" w:cs="Times New Roman"/>
                <w:sz w:val="24"/>
              </w:rPr>
              <w:t xml:space="preserve"> and in Lac </w:t>
            </w:r>
            <w:proofErr w:type="spellStart"/>
            <w:r>
              <w:rPr>
                <w:rFonts w:ascii="Times New Roman" w:eastAsia="Times New Roman" w:hAnsi="Times New Roman" w:cs="Times New Roman"/>
                <w:sz w:val="24"/>
              </w:rPr>
              <w:t>Megantic</w:t>
            </w:r>
            <w:proofErr w:type="spellEnd"/>
            <w:r>
              <w:rPr>
                <w:rFonts w:ascii="Times New Roman" w:eastAsia="Times New Roman" w:hAnsi="Times New Roman" w:cs="Times New Roman"/>
                <w:sz w:val="24"/>
              </w:rPr>
              <w:t xml:space="preserve">.  The annual report is for informational purposes only and is not intended to be an absolute worst case scenario but rather a </w:t>
            </w:r>
          </w:p>
          <w:p w14:paraId="57F3E1C1" w14:textId="77777777" w:rsidR="008E49FD" w:rsidRDefault="007310A0">
            <w:pPr>
              <w:ind w:left="36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reasonable</w:t>
            </w:r>
            <w:proofErr w:type="gramEnd"/>
            <w:r>
              <w:rPr>
                <w:rFonts w:ascii="Times New Roman" w:eastAsia="Times New Roman" w:hAnsi="Times New Roman" w:cs="Times New Roman"/>
                <w:sz w:val="24"/>
              </w:rPr>
              <w:t xml:space="preserve">” worst case. </w:t>
            </w:r>
          </w:p>
          <w:p w14:paraId="422899E1" w14:textId="77777777" w:rsidR="008E49FD" w:rsidRDefault="007310A0">
            <w:pPr>
              <w:numPr>
                <w:ilvl w:val="0"/>
                <w:numId w:val="18"/>
              </w:numPr>
              <w:spacing w:after="1" w:line="238" w:lineRule="auto"/>
              <w:ind w:hanging="360"/>
            </w:pPr>
            <w:r>
              <w:rPr>
                <w:rFonts w:ascii="Times New Roman" w:eastAsia="Times New Roman" w:hAnsi="Times New Roman" w:cs="Times New Roman"/>
                <w:sz w:val="24"/>
              </w:rPr>
              <w:t xml:space="preserve">The Commission reviewed available data related to crude oil transportation by rail and used a methodology that was based in fact and accepted by the federal agencies that regulate railroads and tank </w:t>
            </w:r>
          </w:p>
          <w:p w14:paraId="2AA434BE" w14:textId="77777777" w:rsidR="008E49FD" w:rsidRDefault="007310A0">
            <w:pPr>
              <w:ind w:left="360"/>
            </w:pPr>
            <w:proofErr w:type="gramStart"/>
            <w:r>
              <w:rPr>
                <w:rFonts w:ascii="Times New Roman" w:eastAsia="Times New Roman" w:hAnsi="Times New Roman" w:cs="Times New Roman"/>
                <w:sz w:val="24"/>
              </w:rPr>
              <w:t>cars</w:t>
            </w:r>
            <w:proofErr w:type="gram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and Federal Railroad Administration. </w:t>
            </w:r>
          </w:p>
        </w:tc>
      </w:tr>
    </w:tbl>
    <w:p w14:paraId="179A486A" w14:textId="77777777" w:rsidR="008E49FD" w:rsidRDefault="008E49FD">
      <w:pPr>
        <w:spacing w:after="0"/>
        <w:ind w:left="-1440" w:right="55"/>
      </w:pPr>
    </w:p>
    <w:tbl>
      <w:tblPr>
        <w:tblStyle w:val="TableGrid"/>
        <w:tblW w:w="17273" w:type="dxa"/>
        <w:tblInd w:w="5" w:type="dxa"/>
        <w:tblCellMar>
          <w:top w:w="7" w:type="dxa"/>
          <w:left w:w="108" w:type="dxa"/>
          <w:right w:w="113" w:type="dxa"/>
        </w:tblCellMar>
        <w:tblLook w:val="04A0" w:firstRow="1" w:lastRow="0" w:firstColumn="1" w:lastColumn="0" w:noHBand="0" w:noVBand="1"/>
      </w:tblPr>
      <w:tblGrid>
        <w:gridCol w:w="2382"/>
        <w:gridCol w:w="2223"/>
        <w:gridCol w:w="7076"/>
        <w:gridCol w:w="5592"/>
      </w:tblGrid>
      <w:tr w:rsidR="008E49FD" w14:paraId="5E047C6E" w14:textId="77777777" w:rsidTr="007C3FDC">
        <w:trPr>
          <w:trHeight w:val="8843"/>
        </w:trPr>
        <w:tc>
          <w:tcPr>
            <w:tcW w:w="2382" w:type="dxa"/>
            <w:tcBorders>
              <w:top w:val="single" w:sz="4" w:space="0" w:color="000000"/>
              <w:left w:val="single" w:sz="4" w:space="0" w:color="000000"/>
              <w:bottom w:val="single" w:sz="4" w:space="0" w:color="000000"/>
              <w:right w:val="single" w:sz="4" w:space="0" w:color="000000"/>
            </w:tcBorders>
          </w:tcPr>
          <w:p w14:paraId="14D8D2F7" w14:textId="77777777" w:rsidR="008E49FD" w:rsidRDefault="008E49FD"/>
        </w:tc>
        <w:tc>
          <w:tcPr>
            <w:tcW w:w="2223" w:type="dxa"/>
            <w:tcBorders>
              <w:top w:val="single" w:sz="4" w:space="0" w:color="000000"/>
              <w:left w:val="single" w:sz="4" w:space="0" w:color="000000"/>
              <w:bottom w:val="single" w:sz="4" w:space="0" w:color="000000"/>
              <w:right w:val="single" w:sz="4" w:space="0" w:color="000000"/>
            </w:tcBorders>
          </w:tcPr>
          <w:p w14:paraId="5D221A02" w14:textId="77777777" w:rsidR="008E49FD" w:rsidRDefault="008E49FD"/>
        </w:tc>
        <w:tc>
          <w:tcPr>
            <w:tcW w:w="7076" w:type="dxa"/>
            <w:tcBorders>
              <w:top w:val="single" w:sz="4" w:space="0" w:color="000000"/>
              <w:left w:val="single" w:sz="4" w:space="0" w:color="000000"/>
              <w:bottom w:val="single" w:sz="4" w:space="0" w:color="000000"/>
              <w:right w:val="single" w:sz="4" w:space="0" w:color="000000"/>
            </w:tcBorders>
          </w:tcPr>
          <w:p w14:paraId="004C9520" w14:textId="77777777" w:rsidR="008E49FD" w:rsidRDefault="007310A0">
            <w:pPr>
              <w:spacing w:after="3" w:line="238" w:lineRule="auto"/>
              <w:ind w:left="360"/>
            </w:pPr>
            <w:proofErr w:type="gramStart"/>
            <w:r>
              <w:rPr>
                <w:rFonts w:ascii="Times New Roman" w:eastAsia="Times New Roman" w:hAnsi="Times New Roman" w:cs="Times New Roman"/>
                <w:sz w:val="24"/>
              </w:rPr>
              <w:t>damages</w:t>
            </w:r>
            <w:proofErr w:type="gramEnd"/>
            <w:r>
              <w:rPr>
                <w:rFonts w:ascii="Times New Roman" w:eastAsia="Times New Roman" w:hAnsi="Times New Roman" w:cs="Times New Roman"/>
                <w:sz w:val="24"/>
              </w:rPr>
              <w:t xml:space="preserve"> (Section 1(3)(c)).  The Commission only considered cleanup costs and ignored the separate cost of damages. </w:t>
            </w:r>
          </w:p>
          <w:p w14:paraId="15018A4D" w14:textId="77777777" w:rsidR="008E49FD" w:rsidRDefault="007310A0">
            <w:pPr>
              <w:numPr>
                <w:ilvl w:val="0"/>
                <w:numId w:val="19"/>
              </w:numPr>
              <w:spacing w:line="258" w:lineRule="auto"/>
              <w:ind w:hanging="360"/>
            </w:pPr>
            <w:r>
              <w:rPr>
                <w:rFonts w:ascii="Times New Roman" w:eastAsia="Times New Roman" w:hAnsi="Times New Roman" w:cs="Times New Roman"/>
                <w:sz w:val="24"/>
              </w:rPr>
              <w:t xml:space="preserve">The proposal unlawfully limits the potential costs in ways that are inconsistent with the governing legislation.  Legislature used the word “damages” rather than “cleanup costs.”   </w:t>
            </w:r>
          </w:p>
          <w:p w14:paraId="77235CC0" w14:textId="77777777" w:rsidR="008E49FD" w:rsidRDefault="007310A0">
            <w:pPr>
              <w:numPr>
                <w:ilvl w:val="0"/>
                <w:numId w:val="19"/>
              </w:numPr>
              <w:spacing w:after="3" w:line="238" w:lineRule="auto"/>
              <w:ind w:hanging="360"/>
            </w:pPr>
            <w:r>
              <w:rPr>
                <w:rFonts w:ascii="Times New Roman" w:eastAsia="Times New Roman" w:hAnsi="Times New Roman" w:cs="Times New Roman"/>
                <w:sz w:val="24"/>
              </w:rPr>
              <w:t xml:space="preserve">Damages should account for both economic damages and noneconomic damages. </w:t>
            </w:r>
          </w:p>
          <w:p w14:paraId="22AA2379" w14:textId="77777777" w:rsidR="008E49FD" w:rsidRDefault="007310A0">
            <w:pPr>
              <w:numPr>
                <w:ilvl w:val="0"/>
                <w:numId w:val="19"/>
              </w:numPr>
              <w:spacing w:after="4" w:line="238" w:lineRule="auto"/>
              <w:ind w:hanging="360"/>
            </w:pPr>
            <w:r>
              <w:rPr>
                <w:rFonts w:ascii="Times New Roman" w:eastAsia="Times New Roman" w:hAnsi="Times New Roman" w:cs="Times New Roman"/>
                <w:sz w:val="24"/>
              </w:rPr>
              <w:t xml:space="preserve">The Commission focused on cleanup costs and the analysis should fully account for both spills and accidents. </w:t>
            </w:r>
          </w:p>
          <w:p w14:paraId="741FB065" w14:textId="77777777" w:rsidR="008E49FD" w:rsidRDefault="007310A0">
            <w:pPr>
              <w:numPr>
                <w:ilvl w:val="0"/>
                <w:numId w:val="19"/>
              </w:numPr>
              <w:ind w:hanging="360"/>
            </w:pPr>
            <w:r>
              <w:rPr>
                <w:rFonts w:ascii="Times New Roman" w:eastAsia="Times New Roman" w:hAnsi="Times New Roman" w:cs="Times New Roman"/>
                <w:sz w:val="24"/>
              </w:rPr>
              <w:t xml:space="preserve">Worst case planning should include all risk categories. </w:t>
            </w:r>
          </w:p>
          <w:p w14:paraId="7EBF11EB" w14:textId="77777777" w:rsidR="008E49FD" w:rsidRDefault="007310A0">
            <w:pPr>
              <w:numPr>
                <w:ilvl w:val="0"/>
                <w:numId w:val="19"/>
              </w:numPr>
              <w:spacing w:after="3" w:line="238" w:lineRule="auto"/>
              <w:ind w:hanging="360"/>
            </w:pPr>
            <w:r>
              <w:rPr>
                <w:rFonts w:ascii="Times New Roman" w:eastAsia="Times New Roman" w:hAnsi="Times New Roman" w:cs="Times New Roman"/>
                <w:sz w:val="24"/>
              </w:rPr>
              <w:t xml:space="preserve">Maximum possible speed should be factored into worst case and not the fastest operating speed. </w:t>
            </w:r>
          </w:p>
          <w:p w14:paraId="031F4EB3" w14:textId="77777777" w:rsidR="008E49FD" w:rsidRDefault="007310A0">
            <w:pPr>
              <w:numPr>
                <w:ilvl w:val="0"/>
                <w:numId w:val="19"/>
              </w:numPr>
              <w:ind w:hanging="360"/>
            </w:pPr>
            <w:r>
              <w:rPr>
                <w:rFonts w:ascii="Times New Roman" w:eastAsia="Times New Roman" w:hAnsi="Times New Roman" w:cs="Times New Roman"/>
                <w:sz w:val="24"/>
              </w:rPr>
              <w:t xml:space="preserve">Rule, as written, sets a weak standard. </w:t>
            </w:r>
          </w:p>
        </w:tc>
        <w:tc>
          <w:tcPr>
            <w:tcW w:w="5592" w:type="dxa"/>
            <w:tcBorders>
              <w:top w:val="single" w:sz="4" w:space="0" w:color="000000"/>
              <w:left w:val="single" w:sz="4" w:space="0" w:color="000000"/>
              <w:bottom w:val="single" w:sz="4" w:space="0" w:color="000000"/>
              <w:right w:val="single" w:sz="4" w:space="0" w:color="000000"/>
            </w:tcBorders>
          </w:tcPr>
          <w:p w14:paraId="631AD2E9" w14:textId="77777777" w:rsidR="008E49FD" w:rsidRDefault="007310A0">
            <w:pPr>
              <w:numPr>
                <w:ilvl w:val="0"/>
                <w:numId w:val="20"/>
              </w:numPr>
              <w:spacing w:after="3" w:line="238" w:lineRule="auto"/>
              <w:ind w:hanging="360"/>
            </w:pPr>
            <w:r>
              <w:rPr>
                <w:rFonts w:ascii="Times New Roman" w:eastAsia="Times New Roman" w:hAnsi="Times New Roman" w:cs="Times New Roman"/>
                <w:sz w:val="24"/>
              </w:rPr>
              <w:t xml:space="preserve">The Commission reviewed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regulatory impact analysis on the worst high consequence event for fatality and non-fatality damages.  The Commission focused the methodology on cleanup costs and damages associated with the spilled oil and not fatality, non-fatality and societal costs. </w:t>
            </w:r>
          </w:p>
          <w:p w14:paraId="171A2318" w14:textId="77777777" w:rsidR="008E49FD" w:rsidRDefault="007310A0">
            <w:pPr>
              <w:numPr>
                <w:ilvl w:val="0"/>
                <w:numId w:val="20"/>
              </w:numPr>
              <w:spacing w:after="3" w:line="238" w:lineRule="auto"/>
              <w:ind w:hanging="360"/>
            </w:pPr>
            <w:r>
              <w:rPr>
                <w:rFonts w:ascii="Times New Roman" w:eastAsia="Times New Roman" w:hAnsi="Times New Roman" w:cs="Times New Roman"/>
                <w:sz w:val="24"/>
              </w:rPr>
              <w:t xml:space="preserve">The Commission agrees that an absolute worst case spill, and in particular an accident that takes into account fatalities and societal costs could exceed the cleanup costs envisioned in the proposed rule. However the legislation required the Commission to define a “reasonable” worst case spill and not an absolute worst case. </w:t>
            </w:r>
          </w:p>
          <w:p w14:paraId="60C11028"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6995B076" w14:textId="77777777" w:rsidR="008E49FD" w:rsidRDefault="007310A0">
            <w:pPr>
              <w:numPr>
                <w:ilvl w:val="0"/>
                <w:numId w:val="20"/>
              </w:numPr>
              <w:spacing w:line="248" w:lineRule="auto"/>
              <w:ind w:hanging="360"/>
            </w:pPr>
            <w:r>
              <w:rPr>
                <w:rFonts w:ascii="Times New Roman" w:eastAsia="Times New Roman" w:hAnsi="Times New Roman" w:cs="Times New Roman"/>
                <w:sz w:val="24"/>
              </w:rPr>
              <w:t xml:space="preserve">The cost per gallon proposed by the commenter includes the costs of fatalities and damages outside the scope of the Commission’s rulemaking. See answer #6, 7 and 8. </w:t>
            </w:r>
          </w:p>
          <w:p w14:paraId="2E9F8838"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39398EA8"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7022935A"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797BD91B"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1F44D2ED" w14:textId="77777777" w:rsidR="008E49FD" w:rsidRDefault="007310A0">
            <w:pPr>
              <w:numPr>
                <w:ilvl w:val="0"/>
                <w:numId w:val="20"/>
              </w:numPr>
              <w:ind w:hanging="360"/>
            </w:pPr>
            <w:r>
              <w:rPr>
                <w:rFonts w:ascii="Times New Roman" w:eastAsia="Times New Roman" w:hAnsi="Times New Roman" w:cs="Times New Roman"/>
                <w:sz w:val="24"/>
              </w:rPr>
              <w:t xml:space="preserve">See answer #6, 7 and 8.  </w:t>
            </w:r>
          </w:p>
          <w:p w14:paraId="2E5C9A27" w14:textId="77777777" w:rsidR="008E49FD" w:rsidRDefault="007310A0">
            <w:pPr>
              <w:numPr>
                <w:ilvl w:val="0"/>
                <w:numId w:val="20"/>
              </w:numPr>
              <w:spacing w:after="3" w:line="238" w:lineRule="auto"/>
              <w:ind w:hanging="360"/>
            </w:pPr>
            <w:r>
              <w:rPr>
                <w:rFonts w:ascii="Times New Roman" w:eastAsia="Times New Roman" w:hAnsi="Times New Roman" w:cs="Times New Roman"/>
                <w:sz w:val="24"/>
              </w:rPr>
              <w:t xml:space="preserve">The Commission used the maximum operating speed to determine the reasonable worst case spill methodology to ensure that railroad operators that travel at lower speeds for limited distances would not be subjected with the same cost calculation as unit trains travelling at higher rates of speed throughout the state. </w:t>
            </w:r>
          </w:p>
          <w:p w14:paraId="31928BA8" w14:textId="77777777" w:rsidR="008E49FD" w:rsidRDefault="007310A0">
            <w:pPr>
              <w:numPr>
                <w:ilvl w:val="0"/>
                <w:numId w:val="20"/>
              </w:numPr>
              <w:ind w:hanging="360"/>
            </w:pPr>
            <w:r>
              <w:rPr>
                <w:rFonts w:ascii="Times New Roman" w:eastAsia="Times New Roman" w:hAnsi="Times New Roman" w:cs="Times New Roman"/>
                <w:sz w:val="24"/>
              </w:rPr>
              <w:t xml:space="preserve">The rule requires specific data from the railroads for informational purposes only, it does not bestow </w:t>
            </w:r>
          </w:p>
        </w:tc>
      </w:tr>
      <w:tr w:rsidR="008E49FD" w14:paraId="254071A8" w14:textId="77777777" w:rsidTr="007C3FDC">
        <w:tblPrEx>
          <w:tblCellMar>
            <w:left w:w="72" w:type="dxa"/>
            <w:right w:w="5" w:type="dxa"/>
          </w:tblCellMar>
        </w:tblPrEx>
        <w:trPr>
          <w:trHeight w:val="599"/>
        </w:trPr>
        <w:tc>
          <w:tcPr>
            <w:tcW w:w="2382" w:type="dxa"/>
            <w:tcBorders>
              <w:top w:val="single" w:sz="4" w:space="0" w:color="000000"/>
              <w:left w:val="single" w:sz="4" w:space="0" w:color="000000"/>
              <w:bottom w:val="single" w:sz="4" w:space="0" w:color="000000"/>
              <w:right w:val="single" w:sz="4" w:space="0" w:color="000000"/>
            </w:tcBorders>
          </w:tcPr>
          <w:p w14:paraId="73F02DBD" w14:textId="77777777" w:rsidR="008E49FD" w:rsidRDefault="008E49FD"/>
        </w:tc>
        <w:tc>
          <w:tcPr>
            <w:tcW w:w="2223" w:type="dxa"/>
            <w:tcBorders>
              <w:top w:val="single" w:sz="4" w:space="0" w:color="000000"/>
              <w:left w:val="single" w:sz="4" w:space="0" w:color="000000"/>
              <w:bottom w:val="single" w:sz="4" w:space="0" w:color="000000"/>
              <w:right w:val="single" w:sz="4" w:space="0" w:color="000000"/>
            </w:tcBorders>
          </w:tcPr>
          <w:p w14:paraId="6017977B" w14:textId="77777777" w:rsidR="008E49FD" w:rsidRDefault="008E49FD"/>
        </w:tc>
        <w:tc>
          <w:tcPr>
            <w:tcW w:w="7076" w:type="dxa"/>
            <w:tcBorders>
              <w:top w:val="single" w:sz="4" w:space="0" w:color="000000"/>
              <w:left w:val="single" w:sz="4" w:space="0" w:color="000000"/>
              <w:bottom w:val="single" w:sz="4" w:space="0" w:color="000000"/>
              <w:right w:val="single" w:sz="4" w:space="0" w:color="000000"/>
            </w:tcBorders>
          </w:tcPr>
          <w:p w14:paraId="041B3236" w14:textId="77777777" w:rsidR="008E49FD" w:rsidRDefault="008E49FD"/>
        </w:tc>
        <w:tc>
          <w:tcPr>
            <w:tcW w:w="5592" w:type="dxa"/>
            <w:tcBorders>
              <w:top w:val="single" w:sz="4" w:space="0" w:color="000000"/>
              <w:left w:val="single" w:sz="4" w:space="0" w:color="000000"/>
              <w:bottom w:val="single" w:sz="4" w:space="0" w:color="000000"/>
              <w:right w:val="single" w:sz="4" w:space="0" w:color="000000"/>
            </w:tcBorders>
          </w:tcPr>
          <w:p w14:paraId="22620401" w14:textId="77777777" w:rsidR="008E49FD" w:rsidRDefault="007310A0">
            <w:pPr>
              <w:ind w:left="396"/>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Commission with any economic regulatory authority and, therefore, sets no standards.  </w:t>
            </w:r>
          </w:p>
        </w:tc>
      </w:tr>
      <w:tr w:rsidR="008E49FD" w14:paraId="4200CA49" w14:textId="77777777" w:rsidTr="007C3FDC">
        <w:tblPrEx>
          <w:tblCellMar>
            <w:left w:w="72" w:type="dxa"/>
            <w:right w:w="5" w:type="dxa"/>
          </w:tblCellMar>
        </w:tblPrEx>
        <w:trPr>
          <w:trHeight w:val="1390"/>
        </w:trPr>
        <w:tc>
          <w:tcPr>
            <w:tcW w:w="2382" w:type="dxa"/>
            <w:tcBorders>
              <w:top w:val="single" w:sz="4" w:space="0" w:color="000000"/>
              <w:left w:val="single" w:sz="4" w:space="0" w:color="000000"/>
              <w:bottom w:val="single" w:sz="4" w:space="0" w:color="000000"/>
              <w:right w:val="single" w:sz="4" w:space="0" w:color="000000"/>
            </w:tcBorders>
          </w:tcPr>
          <w:p w14:paraId="345504F6" w14:textId="77777777" w:rsidR="008E49FD" w:rsidRDefault="007310A0">
            <w:pPr>
              <w:ind w:left="36"/>
            </w:pPr>
            <w:r>
              <w:rPr>
                <w:rFonts w:ascii="Times New Roman" w:eastAsia="Times New Roman" w:hAnsi="Times New Roman" w:cs="Times New Roman"/>
                <w:sz w:val="24"/>
              </w:rPr>
              <w:t xml:space="preserve">WAC 480-62-300 </w:t>
            </w:r>
          </w:p>
          <w:p w14:paraId="3CAC1D6C" w14:textId="77777777" w:rsidR="008E49FD" w:rsidRDefault="007310A0">
            <w:pPr>
              <w:ind w:left="36"/>
            </w:pPr>
            <w:r>
              <w:rPr>
                <w:rFonts w:ascii="Times New Roman" w:eastAsia="Times New Roman" w:hAnsi="Times New Roman" w:cs="Times New Roman"/>
                <w:sz w:val="24"/>
              </w:rPr>
              <w:t>Annual reports—</w:t>
            </w:r>
          </w:p>
          <w:p w14:paraId="31F179B9" w14:textId="77777777" w:rsidR="008E49FD" w:rsidRDefault="007310A0">
            <w:pPr>
              <w:ind w:left="36"/>
            </w:pPr>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17D77E9C" w14:textId="77777777" w:rsidR="008E49FD" w:rsidRDefault="007310A0">
            <w:pPr>
              <w:ind w:left="36"/>
            </w:pPr>
            <w:r>
              <w:rPr>
                <w:rFonts w:ascii="Times New Roman" w:eastAsia="Times New Roman" w:hAnsi="Times New Roman" w:cs="Times New Roman"/>
                <w:sz w:val="24"/>
              </w:rPr>
              <w:t xml:space="preserve">Citizen, Jean Avery </w:t>
            </w:r>
          </w:p>
        </w:tc>
        <w:tc>
          <w:tcPr>
            <w:tcW w:w="7076" w:type="dxa"/>
            <w:tcBorders>
              <w:top w:val="single" w:sz="4" w:space="0" w:color="000000"/>
              <w:left w:val="single" w:sz="4" w:space="0" w:color="000000"/>
              <w:bottom w:val="single" w:sz="4" w:space="0" w:color="000000"/>
              <w:right w:val="single" w:sz="4" w:space="0" w:color="000000"/>
            </w:tcBorders>
          </w:tcPr>
          <w:p w14:paraId="4120D654" w14:textId="77777777" w:rsidR="008E49FD" w:rsidRDefault="007310A0">
            <w:pPr>
              <w:ind w:left="36" w:right="59"/>
            </w:pPr>
            <w:r>
              <w:rPr>
                <w:rFonts w:ascii="Times New Roman" w:eastAsia="Times New Roman" w:hAnsi="Times New Roman" w:cs="Times New Roman"/>
                <w:sz w:val="24"/>
              </w:rPr>
              <w:t xml:space="preserve">The commenter believes that cleanup requirements should include short and long-term mitigation for neighborhoods, waterways, wetlands, aquatic life and environmental regions and habitats near the tracks. </w:t>
            </w:r>
          </w:p>
        </w:tc>
        <w:tc>
          <w:tcPr>
            <w:tcW w:w="5592" w:type="dxa"/>
            <w:tcBorders>
              <w:top w:val="single" w:sz="4" w:space="0" w:color="000000"/>
              <w:left w:val="single" w:sz="4" w:space="0" w:color="000000"/>
              <w:bottom w:val="single" w:sz="4" w:space="0" w:color="000000"/>
              <w:right w:val="single" w:sz="4" w:space="0" w:color="000000"/>
            </w:tcBorders>
          </w:tcPr>
          <w:p w14:paraId="23CB1C13" w14:textId="77777777" w:rsidR="008E49FD" w:rsidRDefault="007310A0">
            <w:pPr>
              <w:ind w:left="36" w:right="73"/>
            </w:pPr>
            <w:r>
              <w:rPr>
                <w:rFonts w:ascii="Times New Roman" w:eastAsia="Times New Roman" w:hAnsi="Times New Roman" w:cs="Times New Roman"/>
                <w:sz w:val="24"/>
              </w:rPr>
              <w:t xml:space="preserve">The rule requires specific data from the railroads for informational purposes only.  The Commission supports the Department of Ecology in its contingency plan rulemaking which will have measures in place to mitigate oil spills. </w:t>
            </w:r>
          </w:p>
        </w:tc>
      </w:tr>
      <w:tr w:rsidR="008E49FD" w14:paraId="1C5C471A" w14:textId="77777777" w:rsidTr="007C3FDC">
        <w:tblPrEx>
          <w:tblCellMar>
            <w:left w:w="72" w:type="dxa"/>
            <w:right w:w="5" w:type="dxa"/>
          </w:tblCellMar>
        </w:tblPrEx>
        <w:trPr>
          <w:trHeight w:val="7187"/>
        </w:trPr>
        <w:tc>
          <w:tcPr>
            <w:tcW w:w="2382" w:type="dxa"/>
            <w:tcBorders>
              <w:top w:val="single" w:sz="4" w:space="0" w:color="000000"/>
              <w:left w:val="single" w:sz="4" w:space="0" w:color="000000"/>
              <w:bottom w:val="single" w:sz="4" w:space="0" w:color="000000"/>
              <w:right w:val="single" w:sz="4" w:space="0" w:color="000000"/>
            </w:tcBorders>
          </w:tcPr>
          <w:p w14:paraId="335D3401" w14:textId="77777777" w:rsidR="008E49FD" w:rsidRDefault="007310A0">
            <w:pPr>
              <w:ind w:left="36"/>
            </w:pPr>
            <w:r>
              <w:rPr>
                <w:rFonts w:ascii="Times New Roman" w:eastAsia="Times New Roman" w:hAnsi="Times New Roman" w:cs="Times New Roman"/>
                <w:sz w:val="24"/>
              </w:rPr>
              <w:t xml:space="preserve">WAC 480-62-300 </w:t>
            </w:r>
          </w:p>
          <w:p w14:paraId="19A0C9E8" w14:textId="77777777" w:rsidR="008E49FD" w:rsidRDefault="007310A0">
            <w:pPr>
              <w:ind w:left="36"/>
            </w:pPr>
            <w:r>
              <w:rPr>
                <w:rFonts w:ascii="Times New Roman" w:eastAsia="Times New Roman" w:hAnsi="Times New Roman" w:cs="Times New Roman"/>
                <w:sz w:val="24"/>
              </w:rPr>
              <w:t>Annual reports—</w:t>
            </w:r>
          </w:p>
          <w:p w14:paraId="486E7DF5" w14:textId="77777777" w:rsidR="008E49FD" w:rsidRDefault="007310A0">
            <w:pPr>
              <w:ind w:left="36"/>
            </w:pPr>
            <w:r>
              <w:rPr>
                <w:rFonts w:ascii="Times New Roman" w:eastAsia="Times New Roman" w:hAnsi="Times New Roman" w:cs="Times New Roman"/>
                <w:sz w:val="24"/>
              </w:rPr>
              <w:t xml:space="preserve">Regulatory fees </w:t>
            </w:r>
          </w:p>
        </w:tc>
        <w:tc>
          <w:tcPr>
            <w:tcW w:w="2223" w:type="dxa"/>
            <w:tcBorders>
              <w:top w:val="single" w:sz="4" w:space="0" w:color="000000"/>
              <w:left w:val="single" w:sz="4" w:space="0" w:color="000000"/>
              <w:bottom w:val="single" w:sz="4" w:space="0" w:color="000000"/>
              <w:right w:val="single" w:sz="4" w:space="0" w:color="000000"/>
            </w:tcBorders>
          </w:tcPr>
          <w:p w14:paraId="51E2EE14" w14:textId="77777777" w:rsidR="008E49FD" w:rsidRDefault="007310A0">
            <w:pPr>
              <w:ind w:left="36"/>
            </w:pPr>
            <w:r>
              <w:rPr>
                <w:rFonts w:ascii="Times New Roman" w:eastAsia="Times New Roman" w:hAnsi="Times New Roman" w:cs="Times New Roman"/>
                <w:sz w:val="24"/>
              </w:rPr>
              <w:t xml:space="preserve">Rail Safety Policy Expert, Fred Millar </w:t>
            </w:r>
          </w:p>
        </w:tc>
        <w:tc>
          <w:tcPr>
            <w:tcW w:w="7076" w:type="dxa"/>
            <w:tcBorders>
              <w:top w:val="single" w:sz="4" w:space="0" w:color="000000"/>
              <w:left w:val="single" w:sz="4" w:space="0" w:color="000000"/>
              <w:bottom w:val="single" w:sz="4" w:space="0" w:color="000000"/>
              <w:right w:val="single" w:sz="4" w:space="0" w:color="000000"/>
            </w:tcBorders>
          </w:tcPr>
          <w:p w14:paraId="09D45973" w14:textId="77777777" w:rsidR="008E49FD" w:rsidRDefault="007310A0">
            <w:pPr>
              <w:ind w:left="36"/>
            </w:pPr>
            <w:r>
              <w:rPr>
                <w:rFonts w:ascii="Times New Roman" w:eastAsia="Times New Roman" w:hAnsi="Times New Roman" w:cs="Times New Roman"/>
                <w:sz w:val="24"/>
              </w:rPr>
              <w:t xml:space="preserve">The commenter states: </w:t>
            </w:r>
          </w:p>
          <w:p w14:paraId="32783EA2" w14:textId="77777777" w:rsidR="008E49FD" w:rsidRDefault="007310A0">
            <w:pPr>
              <w:numPr>
                <w:ilvl w:val="0"/>
                <w:numId w:val="21"/>
              </w:numPr>
              <w:spacing w:after="3" w:line="238" w:lineRule="auto"/>
              <w:ind w:hanging="360"/>
            </w:pPr>
            <w:r>
              <w:rPr>
                <w:rFonts w:ascii="Times New Roman" w:eastAsia="Times New Roman" w:hAnsi="Times New Roman" w:cs="Times New Roman"/>
                <w:sz w:val="24"/>
              </w:rPr>
              <w:t xml:space="preserve">The Commission should apply federal regulatory precedents in chemical accident prevention to objectively define reasonable worst case oil spill. </w:t>
            </w:r>
          </w:p>
          <w:p w14:paraId="4A07ACFC" w14:textId="77777777" w:rsidR="008E49FD" w:rsidRDefault="007310A0">
            <w:pPr>
              <w:numPr>
                <w:ilvl w:val="0"/>
                <w:numId w:val="21"/>
              </w:numPr>
              <w:spacing w:after="3" w:line="238" w:lineRule="auto"/>
              <w:ind w:hanging="360"/>
            </w:pPr>
            <w:r>
              <w:rPr>
                <w:rFonts w:ascii="Times New Roman" w:eastAsia="Times New Roman" w:hAnsi="Times New Roman" w:cs="Times New Roman"/>
                <w:sz w:val="24"/>
              </w:rPr>
              <w:t xml:space="preserve">Worst case should be based on the capacity of the longest crude by rail train and not half a train. </w:t>
            </w:r>
          </w:p>
          <w:p w14:paraId="23841B1C" w14:textId="77777777" w:rsidR="008E49FD" w:rsidRDefault="007310A0">
            <w:pPr>
              <w:numPr>
                <w:ilvl w:val="0"/>
                <w:numId w:val="21"/>
              </w:numPr>
              <w:spacing w:after="3" w:line="238" w:lineRule="auto"/>
              <w:ind w:hanging="360"/>
            </w:pPr>
            <w:r>
              <w:rPr>
                <w:rFonts w:ascii="Times New Roman" w:eastAsia="Times New Roman" w:hAnsi="Times New Roman" w:cs="Times New Roman"/>
                <w:sz w:val="24"/>
              </w:rPr>
              <w:t xml:space="preserve">The rule should cover oil spills and other kinds of harmful discharges (fire, explosion, toxic gas cloud). </w:t>
            </w:r>
          </w:p>
          <w:p w14:paraId="1E10D9AA" w14:textId="77777777" w:rsidR="008E49FD" w:rsidRDefault="007310A0">
            <w:pPr>
              <w:numPr>
                <w:ilvl w:val="0"/>
                <w:numId w:val="21"/>
              </w:numPr>
              <w:spacing w:after="3" w:line="238" w:lineRule="auto"/>
              <w:ind w:hanging="360"/>
            </w:pPr>
            <w:r>
              <w:rPr>
                <w:rFonts w:ascii="Times New Roman" w:eastAsia="Times New Roman" w:hAnsi="Times New Roman" w:cs="Times New Roman"/>
                <w:sz w:val="24"/>
              </w:rPr>
              <w:t xml:space="preserve">The Commission should make a direct request to each crude by rail carrier to provide information relevant to any state assessment of crude by rail risks, railroads worst case scenarios, catastrophic insurance coverage limits, comprehensive emergency response plans, routing analysis and route selection documents. </w:t>
            </w:r>
          </w:p>
          <w:p w14:paraId="077B1618" w14:textId="77777777" w:rsidR="008E49FD" w:rsidRDefault="007310A0">
            <w:pPr>
              <w:numPr>
                <w:ilvl w:val="0"/>
                <w:numId w:val="21"/>
              </w:numPr>
              <w:spacing w:after="3" w:line="238" w:lineRule="auto"/>
              <w:ind w:hanging="360"/>
            </w:pPr>
            <w:r>
              <w:rPr>
                <w:rFonts w:ascii="Times New Roman" w:eastAsia="Times New Roman" w:hAnsi="Times New Roman" w:cs="Times New Roman"/>
                <w:sz w:val="24"/>
              </w:rPr>
              <w:t xml:space="preserve">Scaling down the worst case understates the common public understanding and longstanding federal regulatory definitions. </w:t>
            </w:r>
          </w:p>
          <w:p w14:paraId="180B4733" w14:textId="77777777" w:rsidR="008E49FD" w:rsidRDefault="007310A0">
            <w:pPr>
              <w:numPr>
                <w:ilvl w:val="0"/>
                <w:numId w:val="21"/>
              </w:numPr>
              <w:spacing w:after="46" w:line="238" w:lineRule="auto"/>
              <w:ind w:hanging="360"/>
            </w:pPr>
            <w:r>
              <w:rPr>
                <w:rFonts w:ascii="Times New Roman" w:eastAsia="Times New Roman" w:hAnsi="Times New Roman" w:cs="Times New Roman"/>
                <w:sz w:val="24"/>
              </w:rPr>
              <w:t xml:space="preserve">Worst case needs to include dense cities or sensitive environmental areas. </w:t>
            </w:r>
          </w:p>
          <w:p w14:paraId="03B73703" w14:textId="77777777" w:rsidR="008E49FD" w:rsidRDefault="007310A0">
            <w:pPr>
              <w:numPr>
                <w:ilvl w:val="0"/>
                <w:numId w:val="21"/>
              </w:numPr>
              <w:ind w:hanging="360"/>
            </w:pPr>
            <w:r>
              <w:rPr>
                <w:rFonts w:ascii="Times New Roman" w:eastAsia="Times New Roman" w:hAnsi="Times New Roman" w:cs="Times New Roman"/>
                <w:sz w:val="24"/>
              </w:rPr>
              <w:t xml:space="preserve">Discharges go beyond the bare “oil cleanup” costs. </w:t>
            </w:r>
          </w:p>
          <w:p w14:paraId="26C62C82" w14:textId="77777777" w:rsidR="008E49FD" w:rsidRDefault="007310A0">
            <w:pPr>
              <w:numPr>
                <w:ilvl w:val="0"/>
                <w:numId w:val="21"/>
              </w:numPr>
              <w:spacing w:after="3" w:line="239" w:lineRule="auto"/>
              <w:ind w:hanging="360"/>
            </w:pPr>
            <w:r>
              <w:rPr>
                <w:rFonts w:ascii="Times New Roman" w:eastAsia="Times New Roman" w:hAnsi="Times New Roman" w:cs="Times New Roman"/>
                <w:sz w:val="24"/>
              </w:rPr>
              <w:t xml:space="preserve">HB 1449, Section 5(3), mandates that the department “determine the contingency plan requirements for railroads transporting oil in bulk.” HB 1449 does not include, in subsections (4) through (11), the requirement that a railroad provide calculations of its worst case scenario, as in other federal accident prevention and emergency response legislation. </w:t>
            </w:r>
          </w:p>
          <w:p w14:paraId="1BA63678" w14:textId="77777777" w:rsidR="008E49FD" w:rsidRDefault="007310A0">
            <w:pPr>
              <w:numPr>
                <w:ilvl w:val="0"/>
                <w:numId w:val="21"/>
              </w:numPr>
              <w:ind w:hanging="360"/>
            </w:pPr>
            <w:r>
              <w:rPr>
                <w:rFonts w:ascii="Times New Roman" w:eastAsia="Times New Roman" w:hAnsi="Times New Roman" w:cs="Times New Roman"/>
                <w:sz w:val="24"/>
              </w:rPr>
              <w:t xml:space="preserve">Legislation fails to require the railroad to provide documentation on its worst case scenarios for hazardous cargoes.  </w:t>
            </w:r>
          </w:p>
        </w:tc>
        <w:tc>
          <w:tcPr>
            <w:tcW w:w="5592" w:type="dxa"/>
            <w:tcBorders>
              <w:top w:val="single" w:sz="4" w:space="0" w:color="000000"/>
              <w:left w:val="single" w:sz="4" w:space="0" w:color="000000"/>
              <w:bottom w:val="single" w:sz="4" w:space="0" w:color="000000"/>
              <w:right w:val="single" w:sz="4" w:space="0" w:color="000000"/>
            </w:tcBorders>
          </w:tcPr>
          <w:p w14:paraId="528458C2" w14:textId="77777777" w:rsidR="008E49FD" w:rsidRDefault="007310A0">
            <w:pPr>
              <w:numPr>
                <w:ilvl w:val="0"/>
                <w:numId w:val="22"/>
              </w:numPr>
              <w:spacing w:after="3" w:line="238" w:lineRule="auto"/>
              <w:ind w:hanging="360"/>
            </w:pPr>
            <w:r>
              <w:rPr>
                <w:rFonts w:ascii="Times New Roman" w:eastAsia="Times New Roman" w:hAnsi="Times New Roman" w:cs="Times New Roman"/>
                <w:sz w:val="24"/>
              </w:rPr>
              <w:t xml:space="preserve">The Commission looked at the federal agencies that regulate railroads and utilized the data available to define reasonable worst case spill.   </w:t>
            </w:r>
          </w:p>
          <w:p w14:paraId="3A4DE909" w14:textId="77777777" w:rsidR="008E49FD" w:rsidRDefault="007310A0">
            <w:pPr>
              <w:numPr>
                <w:ilvl w:val="0"/>
                <w:numId w:val="22"/>
              </w:numPr>
              <w:spacing w:after="3" w:line="238" w:lineRule="auto"/>
              <w:ind w:hanging="360"/>
            </w:pPr>
            <w:r>
              <w:rPr>
                <w:rFonts w:ascii="Times New Roman" w:eastAsia="Times New Roman" w:hAnsi="Times New Roman" w:cs="Times New Roman"/>
                <w:sz w:val="24"/>
              </w:rPr>
              <w:t xml:space="preserve">The Commission used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to establish a methodology for determining a reasonable worst case spill.  The quantifier “reasonable” is interpreted to mean less than the largest amount of oil being carried. </w:t>
            </w:r>
          </w:p>
          <w:p w14:paraId="59F1E0F3" w14:textId="77777777" w:rsidR="008E49FD" w:rsidRDefault="007310A0">
            <w:pPr>
              <w:numPr>
                <w:ilvl w:val="0"/>
                <w:numId w:val="22"/>
              </w:numPr>
              <w:spacing w:after="4" w:line="238" w:lineRule="auto"/>
              <w:ind w:hanging="360"/>
            </w:pPr>
            <w:r>
              <w:rPr>
                <w:rFonts w:ascii="Times New Roman" w:eastAsia="Times New Roman" w:hAnsi="Times New Roman" w:cs="Times New Roman"/>
                <w:sz w:val="24"/>
              </w:rPr>
              <w:t xml:space="preserve">Discharges are defined in the oil spill statutes at the state level and do not include fires, explosions or toxic gas clouds. </w:t>
            </w:r>
          </w:p>
          <w:p w14:paraId="2F4FAC96" w14:textId="77777777" w:rsidR="008E49FD" w:rsidRDefault="007310A0">
            <w:pPr>
              <w:numPr>
                <w:ilvl w:val="0"/>
                <w:numId w:val="22"/>
              </w:numPr>
              <w:spacing w:after="3" w:line="238" w:lineRule="auto"/>
              <w:ind w:hanging="360"/>
            </w:pPr>
            <w:r>
              <w:rPr>
                <w:rFonts w:ascii="Times New Roman" w:eastAsia="Times New Roman" w:hAnsi="Times New Roman" w:cs="Times New Roman"/>
                <w:sz w:val="24"/>
              </w:rPr>
              <w:t xml:space="preserve">Commissioners requested information pertaining to company calculations on worst case spills and insurance levels at the rulemaking workshop, but has not received any information from the railroads.  </w:t>
            </w:r>
          </w:p>
          <w:p w14:paraId="1E9CB5F5" w14:textId="77777777" w:rsidR="008E49FD" w:rsidRDefault="007310A0">
            <w:pPr>
              <w:numPr>
                <w:ilvl w:val="0"/>
                <w:numId w:val="22"/>
              </w:numPr>
              <w:spacing w:after="3" w:line="238" w:lineRule="auto"/>
              <w:ind w:hanging="360"/>
            </w:pPr>
            <w:r>
              <w:rPr>
                <w:rFonts w:ascii="Times New Roman" w:eastAsia="Times New Roman" w:hAnsi="Times New Roman" w:cs="Times New Roman"/>
                <w:sz w:val="24"/>
              </w:rPr>
              <w:t xml:space="preserve">The scale down approach was used in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and was the best available data for the Commission to review in determining a reasonable worst case spill.   </w:t>
            </w:r>
          </w:p>
          <w:p w14:paraId="7CFD4C12" w14:textId="77777777" w:rsidR="008E49FD" w:rsidRDefault="007310A0">
            <w:pPr>
              <w:numPr>
                <w:ilvl w:val="0"/>
                <w:numId w:val="22"/>
              </w:numPr>
              <w:ind w:hanging="360"/>
            </w:pPr>
            <w:r>
              <w:rPr>
                <w:rFonts w:ascii="Times New Roman" w:eastAsia="Times New Roman" w:hAnsi="Times New Roman" w:cs="Times New Roman"/>
                <w:sz w:val="24"/>
              </w:rPr>
              <w:t xml:space="preserve">The Commission supports the Department of Ecology in its rulemaking on contingency plan standards including spill risks in environmentally sensitive areas.  Reporting financial responsibility data as required in HB 1449 is for informational purposes only and relates directly to cleanup costs. </w:t>
            </w:r>
          </w:p>
        </w:tc>
      </w:tr>
    </w:tbl>
    <w:p w14:paraId="1B206DF7" w14:textId="77777777" w:rsidR="008E49FD" w:rsidRDefault="008E49FD">
      <w:pPr>
        <w:spacing w:after="0"/>
        <w:ind w:left="-1440" w:right="55"/>
      </w:pPr>
    </w:p>
    <w:tbl>
      <w:tblPr>
        <w:tblStyle w:val="TableGrid"/>
        <w:tblW w:w="17273" w:type="dxa"/>
        <w:tblInd w:w="5" w:type="dxa"/>
        <w:tblCellMar>
          <w:top w:w="7" w:type="dxa"/>
          <w:left w:w="72" w:type="dxa"/>
          <w:right w:w="55" w:type="dxa"/>
        </w:tblCellMar>
        <w:tblLook w:val="04A0" w:firstRow="1" w:lastRow="0" w:firstColumn="1" w:lastColumn="0" w:noHBand="0" w:noVBand="1"/>
      </w:tblPr>
      <w:tblGrid>
        <w:gridCol w:w="2382"/>
        <w:gridCol w:w="2223"/>
        <w:gridCol w:w="7076"/>
        <w:gridCol w:w="5592"/>
      </w:tblGrid>
      <w:tr w:rsidR="008E49FD" w14:paraId="54DBD3D4" w14:textId="77777777">
        <w:trPr>
          <w:trHeight w:val="8843"/>
        </w:trPr>
        <w:tc>
          <w:tcPr>
            <w:tcW w:w="2381" w:type="dxa"/>
            <w:tcBorders>
              <w:top w:val="single" w:sz="4" w:space="0" w:color="000000"/>
              <w:left w:val="single" w:sz="4" w:space="0" w:color="000000"/>
              <w:bottom w:val="single" w:sz="4" w:space="0" w:color="000000"/>
              <w:right w:val="single" w:sz="4" w:space="0" w:color="000000"/>
            </w:tcBorders>
          </w:tcPr>
          <w:p w14:paraId="46275514" w14:textId="77777777" w:rsidR="008E49FD" w:rsidRDefault="008E49FD"/>
        </w:tc>
        <w:tc>
          <w:tcPr>
            <w:tcW w:w="2223" w:type="dxa"/>
            <w:tcBorders>
              <w:top w:val="single" w:sz="4" w:space="0" w:color="000000"/>
              <w:left w:val="single" w:sz="4" w:space="0" w:color="000000"/>
              <w:bottom w:val="single" w:sz="4" w:space="0" w:color="000000"/>
              <w:right w:val="single" w:sz="4" w:space="0" w:color="000000"/>
            </w:tcBorders>
          </w:tcPr>
          <w:p w14:paraId="6DF7AA84" w14:textId="77777777" w:rsidR="008E49FD" w:rsidRDefault="008E49FD"/>
        </w:tc>
        <w:tc>
          <w:tcPr>
            <w:tcW w:w="7076" w:type="dxa"/>
            <w:tcBorders>
              <w:top w:val="single" w:sz="4" w:space="0" w:color="000000"/>
              <w:left w:val="single" w:sz="4" w:space="0" w:color="000000"/>
              <w:bottom w:val="single" w:sz="4" w:space="0" w:color="000000"/>
              <w:right w:val="single" w:sz="4" w:space="0" w:color="000000"/>
            </w:tcBorders>
          </w:tcPr>
          <w:p w14:paraId="51558A61" w14:textId="77777777" w:rsidR="008E49FD" w:rsidRDefault="007310A0">
            <w:pPr>
              <w:numPr>
                <w:ilvl w:val="0"/>
                <w:numId w:val="23"/>
              </w:numPr>
              <w:spacing w:after="21" w:line="238" w:lineRule="auto"/>
              <w:ind w:hanging="360"/>
            </w:pPr>
            <w:r>
              <w:rPr>
                <w:rFonts w:ascii="Times New Roman" w:eastAsia="Times New Roman" w:hAnsi="Times New Roman" w:cs="Times New Roman"/>
                <w:sz w:val="24"/>
              </w:rPr>
              <w:t xml:space="preserve">The Commission should define “reasonable” as what could happen versus what has already happened. </w:t>
            </w:r>
          </w:p>
          <w:p w14:paraId="59AA91F7" w14:textId="77777777" w:rsidR="008E49FD" w:rsidRDefault="007310A0">
            <w:pPr>
              <w:numPr>
                <w:ilvl w:val="0"/>
                <w:numId w:val="23"/>
              </w:numPr>
              <w:ind w:hanging="360"/>
            </w:pPr>
            <w:r>
              <w:rPr>
                <w:rFonts w:ascii="Times New Roman" w:eastAsia="Times New Roman" w:hAnsi="Times New Roman" w:cs="Times New Roman"/>
                <w:sz w:val="24"/>
              </w:rPr>
              <w:t xml:space="preserve">The Commission’s cleanup cost calculations are dubious. </w:t>
            </w:r>
          </w:p>
          <w:p w14:paraId="7FAE8BB1" w14:textId="77777777" w:rsidR="008E49FD" w:rsidRDefault="007310A0">
            <w:pPr>
              <w:numPr>
                <w:ilvl w:val="0"/>
                <w:numId w:val="23"/>
              </w:numPr>
              <w:spacing w:after="3" w:line="238" w:lineRule="auto"/>
              <w:ind w:hanging="360"/>
            </w:pPr>
            <w:r>
              <w:rPr>
                <w:rFonts w:ascii="Times New Roman" w:eastAsia="Times New Roman" w:hAnsi="Times New Roman" w:cs="Times New Roman"/>
                <w:sz w:val="24"/>
              </w:rPr>
              <w:t xml:space="preserve">The Commission process for calculating fees does not properly weight safety.   </w:t>
            </w:r>
          </w:p>
          <w:p w14:paraId="6631F2C5" w14:textId="77777777" w:rsidR="008E49FD" w:rsidRDefault="007310A0">
            <w:pPr>
              <w:numPr>
                <w:ilvl w:val="0"/>
                <w:numId w:val="23"/>
              </w:numPr>
              <w:spacing w:after="3" w:line="238" w:lineRule="auto"/>
              <w:ind w:hanging="360"/>
            </w:pPr>
            <w:r>
              <w:rPr>
                <w:rFonts w:ascii="Times New Roman" w:eastAsia="Times New Roman" w:hAnsi="Times New Roman" w:cs="Times New Roman"/>
                <w:sz w:val="24"/>
              </w:rPr>
              <w:t xml:space="preserve">The Commission relies on estimates on future railroad compliance with voluntary speed limits.  Human error or criminal negligence is a key causal factor in runaway train disasters. </w:t>
            </w:r>
          </w:p>
          <w:p w14:paraId="253B57F2" w14:textId="77777777" w:rsidR="008E49FD" w:rsidRDefault="007310A0">
            <w:pPr>
              <w:numPr>
                <w:ilvl w:val="0"/>
                <w:numId w:val="23"/>
              </w:numPr>
              <w:spacing w:after="3" w:line="239" w:lineRule="auto"/>
              <w:ind w:hanging="360"/>
            </w:pPr>
            <w:r>
              <w:rPr>
                <w:rFonts w:ascii="Times New Roman" w:eastAsia="Times New Roman" w:hAnsi="Times New Roman" w:cs="Times New Roman"/>
                <w:sz w:val="24"/>
              </w:rPr>
              <w:t xml:space="preserve">The Commission should look at federal regulatory regimes besides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HHFT</w:t>
            </w:r>
            <w:proofErr w:type="spellEnd"/>
            <w:r>
              <w:rPr>
                <w:rFonts w:ascii="Times New Roman" w:eastAsia="Times New Roman" w:hAnsi="Times New Roman" w:cs="Times New Roman"/>
                <w:sz w:val="24"/>
              </w:rPr>
              <w:t xml:space="preserve"> rule for worst case scenario. </w:t>
            </w:r>
          </w:p>
          <w:p w14:paraId="70A9935C" w14:textId="77777777" w:rsidR="008E49FD" w:rsidRDefault="007310A0">
            <w:pPr>
              <w:numPr>
                <w:ilvl w:val="0"/>
                <w:numId w:val="23"/>
              </w:numPr>
              <w:ind w:hanging="360"/>
            </w:pPr>
            <w:r>
              <w:rPr>
                <w:rFonts w:ascii="Times New Roman" w:eastAsia="Times New Roman" w:hAnsi="Times New Roman" w:cs="Times New Roman"/>
                <w:sz w:val="24"/>
              </w:rPr>
              <w:t xml:space="preserve">The entire train should be used to calculate release potential. </w:t>
            </w:r>
          </w:p>
          <w:p w14:paraId="34873652" w14:textId="77777777" w:rsidR="008E49FD" w:rsidRDefault="007310A0">
            <w:pPr>
              <w:numPr>
                <w:ilvl w:val="0"/>
                <w:numId w:val="23"/>
              </w:numPr>
              <w:spacing w:after="3" w:line="238" w:lineRule="auto"/>
              <w:ind w:hanging="360"/>
            </w:pPr>
            <w:r>
              <w:rPr>
                <w:rFonts w:ascii="Times New Roman" w:eastAsia="Times New Roman" w:hAnsi="Times New Roman" w:cs="Times New Roman"/>
                <w:sz w:val="24"/>
              </w:rPr>
              <w:t xml:space="preserve">New </w:t>
            </w:r>
            <w:proofErr w:type="spellStart"/>
            <w:r>
              <w:rPr>
                <w:rFonts w:ascii="Times New Roman" w:eastAsia="Times New Roman" w:hAnsi="Times New Roman" w:cs="Times New Roman"/>
                <w:sz w:val="24"/>
              </w:rPr>
              <w:t>HHFT</w:t>
            </w:r>
            <w:proofErr w:type="spellEnd"/>
            <w:r>
              <w:rPr>
                <w:rFonts w:ascii="Times New Roman" w:eastAsia="Times New Roman" w:hAnsi="Times New Roman" w:cs="Times New Roman"/>
                <w:sz w:val="24"/>
              </w:rPr>
              <w:t xml:space="preserve"> rule does not include the societal costs of crude by rail accidents. </w:t>
            </w:r>
          </w:p>
          <w:p w14:paraId="423BB20B" w14:textId="77777777" w:rsidR="008E49FD" w:rsidRDefault="007310A0">
            <w:pPr>
              <w:numPr>
                <w:ilvl w:val="0"/>
                <w:numId w:val="23"/>
              </w:numPr>
              <w:spacing w:after="3" w:line="238" w:lineRule="auto"/>
              <w:ind w:hanging="360"/>
            </w:pPr>
            <w:r>
              <w:rPr>
                <w:rFonts w:ascii="Times New Roman" w:eastAsia="Times New Roman" w:hAnsi="Times New Roman" w:cs="Times New Roman"/>
                <w:sz w:val="24"/>
              </w:rPr>
              <w:t xml:space="preserve">The EPA definition of worst case scenario is based on the largest release of what could happen. </w:t>
            </w:r>
          </w:p>
          <w:p w14:paraId="072A2A10" w14:textId="77777777" w:rsidR="008E49FD" w:rsidRDefault="007310A0">
            <w:pPr>
              <w:numPr>
                <w:ilvl w:val="0"/>
                <w:numId w:val="23"/>
              </w:numPr>
              <w:spacing w:line="249" w:lineRule="auto"/>
              <w:ind w:hanging="360"/>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HHFT</w:t>
            </w:r>
            <w:proofErr w:type="spellEnd"/>
            <w:r>
              <w:rPr>
                <w:rFonts w:ascii="Times New Roman" w:eastAsia="Times New Roman" w:hAnsi="Times New Roman" w:cs="Times New Roman"/>
                <w:sz w:val="24"/>
              </w:rPr>
              <w:t xml:space="preserve"> Regulatory Impact Analysis underlying most of the Commission’s analysis is a cost-benefit analysis and used to justify the cost of the new safety regulations. </w:t>
            </w:r>
          </w:p>
          <w:p w14:paraId="779C6806" w14:textId="77777777" w:rsidR="008E49FD" w:rsidRDefault="007310A0">
            <w:pPr>
              <w:numPr>
                <w:ilvl w:val="0"/>
                <w:numId w:val="23"/>
              </w:numPr>
              <w:spacing w:after="3" w:line="238" w:lineRule="auto"/>
              <w:ind w:hanging="360"/>
            </w:pPr>
            <w:proofErr w:type="spellStart"/>
            <w:r>
              <w:rPr>
                <w:rFonts w:ascii="Times New Roman" w:eastAsia="Times New Roman" w:hAnsi="Times New Roman" w:cs="Times New Roman"/>
                <w:sz w:val="24"/>
              </w:rPr>
              <w:t>HHFT</w:t>
            </w:r>
            <w:proofErr w:type="spellEnd"/>
            <w:r>
              <w:rPr>
                <w:rFonts w:ascii="Times New Roman" w:eastAsia="Times New Roman" w:hAnsi="Times New Roman" w:cs="Times New Roman"/>
                <w:sz w:val="24"/>
              </w:rPr>
              <w:t xml:space="preserve"> regulations are less than maximally stringent for accident protection regarding speed and tank car puncture resistance. </w:t>
            </w:r>
          </w:p>
          <w:p w14:paraId="464FA192" w14:textId="77777777" w:rsidR="008E49FD" w:rsidRDefault="007310A0">
            <w:pPr>
              <w:numPr>
                <w:ilvl w:val="0"/>
                <w:numId w:val="23"/>
              </w:numPr>
              <w:spacing w:after="3" w:line="238" w:lineRule="auto"/>
              <w:ind w:hanging="360"/>
            </w:pPr>
            <w:r>
              <w:rPr>
                <w:rFonts w:ascii="Times New Roman" w:eastAsia="Times New Roman" w:hAnsi="Times New Roman" w:cs="Times New Roman"/>
                <w:sz w:val="24"/>
              </w:rPr>
              <w:t xml:space="preserve">The Commission should not be limited to scaling down a worst case scenario since any regulations in this area are heavily preempted. </w:t>
            </w:r>
          </w:p>
          <w:p w14:paraId="77F62D63" w14:textId="77777777" w:rsidR="008E49FD" w:rsidRDefault="007310A0">
            <w:pPr>
              <w:numPr>
                <w:ilvl w:val="0"/>
                <w:numId w:val="23"/>
              </w:numPr>
              <w:ind w:hanging="360"/>
            </w:pPr>
            <w:r>
              <w:rPr>
                <w:rFonts w:ascii="Times New Roman" w:eastAsia="Times New Roman" w:hAnsi="Times New Roman" w:cs="Times New Roman"/>
                <w:sz w:val="24"/>
              </w:rPr>
              <w:t xml:space="preserve">HB 1449 is only an information law. </w:t>
            </w:r>
          </w:p>
        </w:tc>
        <w:tc>
          <w:tcPr>
            <w:tcW w:w="5592" w:type="dxa"/>
            <w:tcBorders>
              <w:top w:val="single" w:sz="4" w:space="0" w:color="000000"/>
              <w:left w:val="single" w:sz="4" w:space="0" w:color="000000"/>
              <w:bottom w:val="single" w:sz="4" w:space="0" w:color="000000"/>
              <w:right w:val="single" w:sz="4" w:space="0" w:color="000000"/>
            </w:tcBorders>
          </w:tcPr>
          <w:p w14:paraId="3A381684"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The Commission believes the intent of the legislature, as stated in the bill analysis before final amendment, relates directly to oil spill cleanup and damages directly related to the spilled oil. </w:t>
            </w:r>
          </w:p>
          <w:p w14:paraId="14C4A0FE" w14:textId="77777777" w:rsidR="008E49FD" w:rsidRDefault="007310A0">
            <w:pPr>
              <w:numPr>
                <w:ilvl w:val="0"/>
                <w:numId w:val="24"/>
              </w:numPr>
              <w:spacing w:after="4" w:line="238" w:lineRule="auto"/>
              <w:ind w:hanging="360"/>
            </w:pPr>
            <w:r>
              <w:rPr>
                <w:rFonts w:ascii="Times New Roman" w:eastAsia="Times New Roman" w:hAnsi="Times New Roman" w:cs="Times New Roman"/>
                <w:sz w:val="24"/>
              </w:rPr>
              <w:t xml:space="preserve">The requirement in HB 1449, Section 5(3), requires the Department of Ecology, not the Commission, to determine contingency plan requirements. The Commission supports the Department of Ecology in its rulemaking on contingency plans. </w:t>
            </w:r>
          </w:p>
          <w:p w14:paraId="5660FE59"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The Commission is limited to the scope of the legislation. </w:t>
            </w:r>
          </w:p>
          <w:p w14:paraId="620A8082"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The Commission used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to determine reasonable worst case spill.  </w:t>
            </w:r>
          </w:p>
          <w:p w14:paraId="47F0F5CF"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The per barrel cleanup cost was calculated using the data available in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regulatory impact analysis and in reviewing the standards in California on railroads.  Washington’s per barrel costs are higher than California and is consistent with the studies and reports used for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regulatory impact analysis.   </w:t>
            </w:r>
          </w:p>
          <w:p w14:paraId="0212E656"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Commission rail program staff is supported by the railroad industry through a regulatory fee.  The fee is used to promote rail safety. Oil underlies only a portion of the duties performed by rail staff. </w:t>
            </w:r>
          </w:p>
          <w:p w14:paraId="2A1B2671" w14:textId="77777777" w:rsidR="008E49FD" w:rsidRDefault="007310A0">
            <w:pPr>
              <w:numPr>
                <w:ilvl w:val="0"/>
                <w:numId w:val="24"/>
              </w:numPr>
              <w:spacing w:after="3" w:line="238" w:lineRule="auto"/>
              <w:ind w:hanging="360"/>
            </w:pPr>
            <w:r>
              <w:rPr>
                <w:rFonts w:ascii="Times New Roman" w:eastAsia="Times New Roman" w:hAnsi="Times New Roman" w:cs="Times New Roman"/>
                <w:sz w:val="24"/>
              </w:rPr>
              <w:t xml:space="preserve">The Commission relies on operating speed as a determination of reasonable and to allow railroads that operate at very low speeds to not have the same reporting requirement as railroads operating at 55 mph. </w:t>
            </w:r>
          </w:p>
          <w:p w14:paraId="6E9E958A" w14:textId="77777777" w:rsidR="008E49FD" w:rsidRDefault="007310A0">
            <w:pPr>
              <w:numPr>
                <w:ilvl w:val="0"/>
                <w:numId w:val="24"/>
              </w:numPr>
              <w:ind w:hanging="360"/>
            </w:pPr>
            <w:r>
              <w:rPr>
                <w:rFonts w:ascii="Times New Roman" w:eastAsia="Times New Roman" w:hAnsi="Times New Roman" w:cs="Times New Roman"/>
                <w:sz w:val="24"/>
              </w:rPr>
              <w:t xml:space="preserve">The Commission reviewed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and standards related to oil pollution and contingency planning. </w:t>
            </w:r>
          </w:p>
        </w:tc>
      </w:tr>
      <w:tr w:rsidR="008E49FD" w14:paraId="08A6125B" w14:textId="77777777">
        <w:trPr>
          <w:trHeight w:val="8452"/>
        </w:trPr>
        <w:tc>
          <w:tcPr>
            <w:tcW w:w="2381" w:type="dxa"/>
            <w:tcBorders>
              <w:top w:val="single" w:sz="4" w:space="0" w:color="000000"/>
              <w:left w:val="single" w:sz="4" w:space="0" w:color="000000"/>
              <w:bottom w:val="single" w:sz="4" w:space="0" w:color="000000"/>
              <w:right w:val="single" w:sz="4" w:space="0" w:color="000000"/>
            </w:tcBorders>
          </w:tcPr>
          <w:p w14:paraId="105A603C" w14:textId="77777777" w:rsidR="008E49FD" w:rsidRDefault="008E49FD"/>
        </w:tc>
        <w:tc>
          <w:tcPr>
            <w:tcW w:w="2223" w:type="dxa"/>
            <w:tcBorders>
              <w:top w:val="single" w:sz="4" w:space="0" w:color="000000"/>
              <w:left w:val="single" w:sz="4" w:space="0" w:color="000000"/>
              <w:bottom w:val="single" w:sz="4" w:space="0" w:color="000000"/>
              <w:right w:val="single" w:sz="4" w:space="0" w:color="000000"/>
            </w:tcBorders>
          </w:tcPr>
          <w:p w14:paraId="762A86B4" w14:textId="77777777" w:rsidR="008E49FD" w:rsidRDefault="008E49FD"/>
        </w:tc>
        <w:tc>
          <w:tcPr>
            <w:tcW w:w="7076" w:type="dxa"/>
            <w:tcBorders>
              <w:top w:val="single" w:sz="4" w:space="0" w:color="000000"/>
              <w:left w:val="single" w:sz="4" w:space="0" w:color="000000"/>
              <w:bottom w:val="single" w:sz="4" w:space="0" w:color="000000"/>
              <w:right w:val="single" w:sz="4" w:space="0" w:color="000000"/>
            </w:tcBorders>
          </w:tcPr>
          <w:p w14:paraId="587EAE56" w14:textId="77777777" w:rsidR="008E49FD" w:rsidRDefault="008E49FD"/>
        </w:tc>
        <w:tc>
          <w:tcPr>
            <w:tcW w:w="5592" w:type="dxa"/>
            <w:tcBorders>
              <w:top w:val="single" w:sz="4" w:space="0" w:color="000000"/>
              <w:left w:val="single" w:sz="4" w:space="0" w:color="000000"/>
              <w:bottom w:val="single" w:sz="4" w:space="0" w:color="000000"/>
              <w:right w:val="single" w:sz="4" w:space="0" w:color="000000"/>
            </w:tcBorders>
          </w:tcPr>
          <w:p w14:paraId="0EF2F854" w14:textId="77777777" w:rsidR="008E49FD" w:rsidRDefault="007310A0">
            <w:pPr>
              <w:numPr>
                <w:ilvl w:val="0"/>
                <w:numId w:val="25"/>
              </w:numPr>
              <w:spacing w:line="258" w:lineRule="auto"/>
              <w:ind w:hanging="360"/>
            </w:pPr>
            <w:r>
              <w:rPr>
                <w:rFonts w:ascii="Times New Roman" w:eastAsia="Times New Roman" w:hAnsi="Times New Roman" w:cs="Times New Roman"/>
                <w:sz w:val="24"/>
              </w:rPr>
              <w:t xml:space="preserve">The Commission had the obligation to define “reasonable” which is something less than the absolute worst case spill. </w:t>
            </w:r>
          </w:p>
          <w:p w14:paraId="1A2D7540" w14:textId="77777777" w:rsidR="008E49FD" w:rsidRDefault="007310A0">
            <w:pPr>
              <w:numPr>
                <w:ilvl w:val="0"/>
                <w:numId w:val="25"/>
              </w:numPr>
              <w:spacing w:after="3" w:line="238" w:lineRule="auto"/>
              <w:ind w:hanging="360"/>
            </w:pPr>
            <w:r>
              <w:rPr>
                <w:rFonts w:ascii="Times New Roman" w:eastAsia="Times New Roman" w:hAnsi="Times New Roman" w:cs="Times New Roman"/>
                <w:sz w:val="24"/>
              </w:rPr>
              <w:t xml:space="preserve">The Commission agrees and does not believe that HB 1449 is intended to account for all societal costs in the reporting function of the annual report.   </w:t>
            </w:r>
          </w:p>
          <w:p w14:paraId="5CF7DDB5" w14:textId="77777777" w:rsidR="008E49FD" w:rsidRDefault="007310A0">
            <w:pPr>
              <w:numPr>
                <w:ilvl w:val="0"/>
                <w:numId w:val="25"/>
              </w:numPr>
              <w:ind w:hanging="360"/>
            </w:pPr>
            <w:r>
              <w:rPr>
                <w:rFonts w:ascii="Times New Roman" w:eastAsia="Times New Roman" w:hAnsi="Times New Roman" w:cs="Times New Roman"/>
                <w:sz w:val="24"/>
              </w:rPr>
              <w:t xml:space="preserve">For the purposes of this rulemaking, the </w:t>
            </w:r>
          </w:p>
          <w:p w14:paraId="2C015135" w14:textId="77777777" w:rsidR="008E49FD" w:rsidRDefault="007310A0">
            <w:pPr>
              <w:spacing w:line="243" w:lineRule="auto"/>
              <w:ind w:left="360"/>
            </w:pPr>
            <w:r>
              <w:rPr>
                <w:rFonts w:ascii="Times New Roman" w:eastAsia="Times New Roman" w:hAnsi="Times New Roman" w:cs="Times New Roman"/>
                <w:sz w:val="24"/>
              </w:rPr>
              <w:t xml:space="preserve">Commission used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to determine reasonable worst case spill. The Commission would not oppose a worst case scenario that was defined broadly if used by the Department of Ecology’s in its contingency plan rules. </w:t>
            </w:r>
          </w:p>
          <w:p w14:paraId="499519AC" w14:textId="77777777" w:rsidR="008E49FD" w:rsidRDefault="007310A0">
            <w:pPr>
              <w:numPr>
                <w:ilvl w:val="0"/>
                <w:numId w:val="25"/>
              </w:numPr>
              <w:spacing w:after="3" w:line="238" w:lineRule="auto"/>
              <w:ind w:hanging="360"/>
            </w:pPr>
            <w:r>
              <w:rPr>
                <w:rFonts w:ascii="Times New Roman" w:eastAsia="Times New Roman" w:hAnsi="Times New Roman" w:cs="Times New Roman"/>
                <w:sz w:val="24"/>
              </w:rPr>
              <w:t xml:space="preserve">The Commission agrees that the regulatory impact analysis is primarily a cost benefit analysis. </w:t>
            </w:r>
          </w:p>
          <w:p w14:paraId="7806B6E5" w14:textId="77777777" w:rsidR="008E49FD" w:rsidRDefault="007310A0">
            <w:pPr>
              <w:numPr>
                <w:ilvl w:val="0"/>
                <w:numId w:val="25"/>
              </w:numPr>
              <w:spacing w:after="3" w:line="238" w:lineRule="auto"/>
              <w:ind w:hanging="360"/>
            </w:pPr>
            <w:r>
              <w:rPr>
                <w:rFonts w:ascii="Times New Roman" w:eastAsia="Times New Roman" w:hAnsi="Times New Roman" w:cs="Times New Roman"/>
                <w:sz w:val="24"/>
              </w:rPr>
              <w:t xml:space="preserve">The Commission submitted comments to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requesting more stringent standards.  Further, the Commission wrote Congress to express opposition to the removal of the electronically controlled pneumatic brakes from the </w:t>
            </w:r>
            <w:proofErr w:type="spellStart"/>
            <w:r>
              <w:rPr>
                <w:rFonts w:ascii="Times New Roman" w:eastAsia="Times New Roman" w:hAnsi="Times New Roman" w:cs="Times New Roman"/>
                <w:sz w:val="24"/>
              </w:rPr>
              <w:t>PHMSA</w:t>
            </w:r>
            <w:proofErr w:type="spellEnd"/>
            <w:r>
              <w:rPr>
                <w:rFonts w:ascii="Times New Roman" w:eastAsia="Times New Roman" w:hAnsi="Times New Roman" w:cs="Times New Roman"/>
                <w:sz w:val="24"/>
              </w:rPr>
              <w:t xml:space="preserve"> enhanced tank car rule. </w:t>
            </w:r>
          </w:p>
          <w:p w14:paraId="34A3601C" w14:textId="77777777" w:rsidR="008E49FD" w:rsidRDefault="007310A0">
            <w:pPr>
              <w:numPr>
                <w:ilvl w:val="0"/>
                <w:numId w:val="25"/>
              </w:numPr>
              <w:spacing w:after="3" w:line="238" w:lineRule="auto"/>
              <w:ind w:hanging="360"/>
            </w:pPr>
            <w:r>
              <w:rPr>
                <w:rFonts w:ascii="Times New Roman" w:eastAsia="Times New Roman" w:hAnsi="Times New Roman" w:cs="Times New Roman"/>
                <w:sz w:val="24"/>
              </w:rPr>
              <w:t xml:space="preserve">The Commission believes that the qualifier “reasonable” requires a regulation that is less than an absolute worst case spill. </w:t>
            </w:r>
          </w:p>
          <w:p w14:paraId="7AAAE1D1" w14:textId="77777777" w:rsidR="008E49FD" w:rsidRDefault="007310A0">
            <w:pPr>
              <w:numPr>
                <w:ilvl w:val="0"/>
                <w:numId w:val="25"/>
              </w:numPr>
              <w:ind w:hanging="360"/>
            </w:pPr>
            <w:r>
              <w:rPr>
                <w:rFonts w:ascii="Times New Roman" w:eastAsia="Times New Roman" w:hAnsi="Times New Roman" w:cs="Times New Roman"/>
                <w:sz w:val="24"/>
              </w:rPr>
              <w:t xml:space="preserve">The Commission agrees that the financial reporting requirement contained in HB 1449 is for informational purposes only. The Commission is expressly prohibited from economically regulating railroads or using the information collected for punitive measures.   </w:t>
            </w:r>
          </w:p>
        </w:tc>
      </w:tr>
    </w:tbl>
    <w:p w14:paraId="661AD13F" w14:textId="77777777" w:rsidR="008E49FD" w:rsidRDefault="007310A0">
      <w:pPr>
        <w:spacing w:after="0"/>
        <w:jc w:val="both"/>
      </w:pPr>
      <w:r>
        <w:rPr>
          <w:rFonts w:ascii="Times New Roman" w:eastAsia="Times New Roman" w:hAnsi="Times New Roman" w:cs="Times New Roman"/>
          <w:sz w:val="24"/>
        </w:rPr>
        <w:t xml:space="preserve"> </w:t>
      </w:r>
    </w:p>
    <w:sectPr w:rsidR="008E49FD">
      <w:footerReference w:type="even" r:id="rId10"/>
      <w:footerReference w:type="default" r:id="rId11"/>
      <w:footerReference w:type="first" r:id="rId12"/>
      <w:pgSz w:w="20160" w:h="12240" w:orient="landscape"/>
      <w:pgMar w:top="1445" w:right="1387" w:bottom="1455"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6261E" w14:textId="77777777" w:rsidR="00EB67F2" w:rsidRDefault="007310A0">
      <w:pPr>
        <w:spacing w:after="0" w:line="240" w:lineRule="auto"/>
      </w:pPr>
      <w:r>
        <w:separator/>
      </w:r>
    </w:p>
  </w:endnote>
  <w:endnote w:type="continuationSeparator" w:id="0">
    <w:p w14:paraId="0EFF73D5" w14:textId="77777777" w:rsidR="00EB67F2" w:rsidRDefault="0073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80C6" w14:textId="77777777" w:rsidR="008E49FD" w:rsidRDefault="007310A0">
    <w:pPr>
      <w:spacing w:after="0"/>
      <w:ind w:right="48"/>
      <w:jc w:val="center"/>
    </w:pPr>
    <w:r>
      <w:fldChar w:fldCharType="begin"/>
    </w:r>
    <w:r>
      <w:instrText xml:space="preserve"> PAGE   \* MERGEFORMAT </w:instrText>
    </w:r>
    <w:r>
      <w:fldChar w:fldCharType="separate"/>
    </w:r>
    <w:r>
      <w:t>1</w:t>
    </w:r>
    <w:r>
      <w:fldChar w:fldCharType="end"/>
    </w:r>
    <w:r>
      <w:t xml:space="preserve"> </w:t>
    </w:r>
  </w:p>
  <w:p w14:paraId="46B11581" w14:textId="77777777" w:rsidR="008E49FD" w:rsidRDefault="007310A0">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6297" w14:textId="77777777" w:rsidR="008E49FD" w:rsidRDefault="007310A0">
    <w:pPr>
      <w:spacing w:after="0"/>
      <w:ind w:right="48"/>
      <w:jc w:val="center"/>
    </w:pPr>
    <w:r>
      <w:fldChar w:fldCharType="begin"/>
    </w:r>
    <w:r>
      <w:instrText xml:space="preserve"> PAGE   \* MERGEFORMAT </w:instrText>
    </w:r>
    <w:r>
      <w:fldChar w:fldCharType="separate"/>
    </w:r>
    <w:r w:rsidR="00F912FE">
      <w:rPr>
        <w:noProof/>
      </w:rPr>
      <w:t>11</w:t>
    </w:r>
    <w:r>
      <w:fldChar w:fldCharType="end"/>
    </w:r>
    <w:r>
      <w:t xml:space="preserve"> </w:t>
    </w:r>
  </w:p>
  <w:p w14:paraId="361D0B08" w14:textId="77777777" w:rsidR="008E49FD" w:rsidRDefault="007310A0">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3DABD" w14:textId="77777777" w:rsidR="008E49FD" w:rsidRDefault="007310A0">
    <w:pPr>
      <w:spacing w:after="0"/>
      <w:ind w:right="48"/>
      <w:jc w:val="center"/>
    </w:pPr>
    <w:r>
      <w:fldChar w:fldCharType="begin"/>
    </w:r>
    <w:r>
      <w:instrText xml:space="preserve"> PAGE   \* MERGEFORMAT </w:instrText>
    </w:r>
    <w:r>
      <w:fldChar w:fldCharType="separate"/>
    </w:r>
    <w:r>
      <w:t>1</w:t>
    </w:r>
    <w:r>
      <w:fldChar w:fldCharType="end"/>
    </w:r>
    <w:r>
      <w:t xml:space="preserve"> </w:t>
    </w:r>
  </w:p>
  <w:p w14:paraId="5A2B48EB" w14:textId="77777777" w:rsidR="008E49FD" w:rsidRDefault="007310A0">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E9BBF" w14:textId="77777777" w:rsidR="00EB67F2" w:rsidRDefault="007310A0">
      <w:pPr>
        <w:spacing w:after="0" w:line="240" w:lineRule="auto"/>
      </w:pPr>
      <w:r>
        <w:separator/>
      </w:r>
    </w:p>
  </w:footnote>
  <w:footnote w:type="continuationSeparator" w:id="0">
    <w:p w14:paraId="32111E46" w14:textId="77777777" w:rsidR="00EB67F2" w:rsidRDefault="00731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F99"/>
    <w:multiLevelType w:val="hybridMultilevel"/>
    <w:tmpl w:val="E0E8BBC4"/>
    <w:lvl w:ilvl="0" w:tplc="D188EBA0">
      <w:start w:val="1"/>
      <w:numFmt w:val="decimal"/>
      <w:lvlText w:val="%1."/>
      <w:lvlJc w:val="left"/>
      <w:pPr>
        <w:ind w:left="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69DD8">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2A274">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8C5FE">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E2A24">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ABCDE">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EC326">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A1ECE">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0A3BE">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125DF"/>
    <w:multiLevelType w:val="hybridMultilevel"/>
    <w:tmpl w:val="103061FA"/>
    <w:lvl w:ilvl="0" w:tplc="457C24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277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81E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0E9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E3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455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07C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E83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069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30F4B"/>
    <w:multiLevelType w:val="hybridMultilevel"/>
    <w:tmpl w:val="D0909F26"/>
    <w:lvl w:ilvl="0" w:tplc="FBF0CE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E37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6A5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A7E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AB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090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6C8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CF1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0B8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43B6F"/>
    <w:multiLevelType w:val="hybridMultilevel"/>
    <w:tmpl w:val="B7F49328"/>
    <w:lvl w:ilvl="0" w:tplc="0924F75C">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051C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ADA5C">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666CA">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8BF50">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4C874">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26FB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EE0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61C2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D33E9"/>
    <w:multiLevelType w:val="hybridMultilevel"/>
    <w:tmpl w:val="4316EF04"/>
    <w:lvl w:ilvl="0" w:tplc="011E491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E37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24D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E5A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A4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CDF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2DE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24B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0332F"/>
    <w:multiLevelType w:val="hybridMultilevel"/>
    <w:tmpl w:val="B75001B0"/>
    <w:lvl w:ilvl="0" w:tplc="00AC3B20">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E92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45F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A9C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603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C57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41D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2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49F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BF0017"/>
    <w:multiLevelType w:val="hybridMultilevel"/>
    <w:tmpl w:val="60204634"/>
    <w:lvl w:ilvl="0" w:tplc="9AE02EB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EFE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22B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BD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E09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68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8D5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6A7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2E9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B2944"/>
    <w:multiLevelType w:val="hybridMultilevel"/>
    <w:tmpl w:val="C2629E78"/>
    <w:lvl w:ilvl="0" w:tplc="F65A775E">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42F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828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08C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E29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6C5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ED1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0A5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C2D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9309E2"/>
    <w:multiLevelType w:val="hybridMultilevel"/>
    <w:tmpl w:val="CDDE575E"/>
    <w:lvl w:ilvl="0" w:tplc="028C04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95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42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E98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098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CE3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09B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A30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851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6C2A7E"/>
    <w:multiLevelType w:val="hybridMultilevel"/>
    <w:tmpl w:val="CE86A070"/>
    <w:lvl w:ilvl="0" w:tplc="742406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8C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4F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20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E5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061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AAE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0D5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A35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8E58D9"/>
    <w:multiLevelType w:val="hybridMultilevel"/>
    <w:tmpl w:val="A0C8BE90"/>
    <w:lvl w:ilvl="0" w:tplc="2E5A7E54">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90F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E8F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295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8D5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0F8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4A9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822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4D3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1F15C4"/>
    <w:multiLevelType w:val="hybridMultilevel"/>
    <w:tmpl w:val="5DA6309A"/>
    <w:lvl w:ilvl="0" w:tplc="00FE595E">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8A8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436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626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61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EFC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602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EF5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4F1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5A2D4D"/>
    <w:multiLevelType w:val="hybridMultilevel"/>
    <w:tmpl w:val="4C2C9318"/>
    <w:lvl w:ilvl="0" w:tplc="96468D18">
      <w:start w:val="7"/>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459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4D9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AA3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682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ADD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830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04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056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677AEB"/>
    <w:multiLevelType w:val="hybridMultilevel"/>
    <w:tmpl w:val="B568DC88"/>
    <w:lvl w:ilvl="0" w:tplc="F7C85A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2C9C2">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C752C">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C6428">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85F68">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EA294">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C780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A62D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EADE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7B56F8"/>
    <w:multiLevelType w:val="hybridMultilevel"/>
    <w:tmpl w:val="80687A04"/>
    <w:lvl w:ilvl="0" w:tplc="71820634">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084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8D8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ABD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4F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277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AD0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E58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A8C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0120D5"/>
    <w:multiLevelType w:val="hybridMultilevel"/>
    <w:tmpl w:val="7386786A"/>
    <w:lvl w:ilvl="0" w:tplc="FBA6A7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CE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CEF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C1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0E5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4CC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255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681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2EF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7267EE"/>
    <w:multiLevelType w:val="hybridMultilevel"/>
    <w:tmpl w:val="CC64A328"/>
    <w:lvl w:ilvl="0" w:tplc="A37EBD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65B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213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4C9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AAB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E56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EAE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6DA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A6A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A01182"/>
    <w:multiLevelType w:val="hybridMultilevel"/>
    <w:tmpl w:val="983E1D60"/>
    <w:lvl w:ilvl="0" w:tplc="3A60C80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A95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E099A">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9B08">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AD9F0">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69646">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ADF9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28D4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4D66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7733E2"/>
    <w:multiLevelType w:val="hybridMultilevel"/>
    <w:tmpl w:val="53CAC8FE"/>
    <w:lvl w:ilvl="0" w:tplc="7570BAC0">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2F0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25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CB7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27B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4AE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CFC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08F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AE8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A27BEC"/>
    <w:multiLevelType w:val="hybridMultilevel"/>
    <w:tmpl w:val="B8E49410"/>
    <w:lvl w:ilvl="0" w:tplc="9CE45A16">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A59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E64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083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67A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CD8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49D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E9E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E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D63882"/>
    <w:multiLevelType w:val="hybridMultilevel"/>
    <w:tmpl w:val="08AC1730"/>
    <w:lvl w:ilvl="0" w:tplc="F4B43086">
      <w:start w:val="6"/>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E26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2E3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EAE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870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0B8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075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E91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831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E34D0A"/>
    <w:multiLevelType w:val="hybridMultilevel"/>
    <w:tmpl w:val="5D4467B0"/>
    <w:lvl w:ilvl="0" w:tplc="5E2C21FC">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6E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E2B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2B6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C02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4AE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01A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E46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436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EC3075"/>
    <w:multiLevelType w:val="hybridMultilevel"/>
    <w:tmpl w:val="70366732"/>
    <w:lvl w:ilvl="0" w:tplc="73CCC2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A188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479E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EADCA">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85B2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A880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A826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AA31E">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AAB7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855137"/>
    <w:multiLevelType w:val="hybridMultilevel"/>
    <w:tmpl w:val="E5C4433C"/>
    <w:lvl w:ilvl="0" w:tplc="E4FAD3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476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C10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E3C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C83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E7B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6A6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6E3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806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EF7024"/>
    <w:multiLevelType w:val="hybridMultilevel"/>
    <w:tmpl w:val="AF1A2038"/>
    <w:lvl w:ilvl="0" w:tplc="65806E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8DA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0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08E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6E7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ED8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E75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A4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44D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0"/>
  </w:num>
  <w:num w:numId="4">
    <w:abstractNumId w:val="6"/>
  </w:num>
  <w:num w:numId="5">
    <w:abstractNumId w:val="9"/>
  </w:num>
  <w:num w:numId="6">
    <w:abstractNumId w:val="24"/>
  </w:num>
  <w:num w:numId="7">
    <w:abstractNumId w:val="16"/>
  </w:num>
  <w:num w:numId="8">
    <w:abstractNumId w:val="2"/>
  </w:num>
  <w:num w:numId="9">
    <w:abstractNumId w:val="10"/>
  </w:num>
  <w:num w:numId="10">
    <w:abstractNumId w:val="19"/>
  </w:num>
  <w:num w:numId="11">
    <w:abstractNumId w:val="15"/>
  </w:num>
  <w:num w:numId="12">
    <w:abstractNumId w:val="23"/>
  </w:num>
  <w:num w:numId="13">
    <w:abstractNumId w:val="22"/>
  </w:num>
  <w:num w:numId="14">
    <w:abstractNumId w:val="18"/>
  </w:num>
  <w:num w:numId="15">
    <w:abstractNumId w:val="17"/>
  </w:num>
  <w:num w:numId="16">
    <w:abstractNumId w:val="20"/>
  </w:num>
  <w:num w:numId="17">
    <w:abstractNumId w:val="8"/>
  </w:num>
  <w:num w:numId="18">
    <w:abstractNumId w:val="1"/>
  </w:num>
  <w:num w:numId="19">
    <w:abstractNumId w:val="21"/>
  </w:num>
  <w:num w:numId="20">
    <w:abstractNumId w:val="14"/>
  </w:num>
  <w:num w:numId="21">
    <w:abstractNumId w:val="13"/>
  </w:num>
  <w:num w:numId="22">
    <w:abstractNumId w:val="5"/>
  </w:num>
  <w:num w:numId="23">
    <w:abstractNumId w:val="3"/>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FD"/>
    <w:rsid w:val="0012765D"/>
    <w:rsid w:val="007310A0"/>
    <w:rsid w:val="007C3FDC"/>
    <w:rsid w:val="00823D09"/>
    <w:rsid w:val="008E49FD"/>
    <w:rsid w:val="00EB67F2"/>
    <w:rsid w:val="00F9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AAED"/>
  <w15:docId w15:val="{2CACE6FA-D66D-421B-B24B-78EC3DD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151079</DocketNumber>
    <IndustryCode xmlns="dc463f71-b30c-4ab2-9473-d307f9d35888">210</IndustryCode>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2016-02-09T08:00:00+00:00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B340EA-BD9C-42BB-A543-0D15A67FE70B}"/>
</file>

<file path=customXml/itemProps2.xml><?xml version="1.0" encoding="utf-8"?>
<ds:datastoreItem xmlns:ds="http://schemas.openxmlformats.org/officeDocument/2006/customXml" ds:itemID="{0B3610BD-BC3F-4669-89A6-02F65BF61D45}"/>
</file>

<file path=customXml/itemProps3.xml><?xml version="1.0" encoding="utf-8"?>
<ds:datastoreItem xmlns:ds="http://schemas.openxmlformats.org/officeDocument/2006/customXml" ds:itemID="{0DA087EB-58B5-430C-A04E-57D11BF38E17}"/>
</file>

<file path=customXml/itemProps4.xml><?xml version="1.0" encoding="utf-8"?>
<ds:datastoreItem xmlns:ds="http://schemas.openxmlformats.org/officeDocument/2006/customXml" ds:itemID="{915D1BA3-84B2-46E1-828D-464EBB50F902}"/>
</file>

<file path=docProps/app.xml><?xml version="1.0" encoding="utf-8"?>
<Properties xmlns="http://schemas.openxmlformats.org/officeDocument/2006/extended-properties" xmlns:vt="http://schemas.openxmlformats.org/officeDocument/2006/docPropsVTypes">
  <Template>Normal</Template>
  <TotalTime>27</TotalTime>
  <Pages>11</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Vicki (UTC)</dc:creator>
  <cp:keywords/>
  <cp:lastModifiedBy>Walker, Kippi (UTC)</cp:lastModifiedBy>
  <cp:revision>4</cp:revision>
  <cp:lastPrinted>2016-02-09T18:54:00Z</cp:lastPrinted>
  <dcterms:created xsi:type="dcterms:W3CDTF">2016-02-09T18:30:00Z</dcterms:created>
  <dcterms:modified xsi:type="dcterms:W3CDTF">2016-02-09T18:59:00Z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