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7FB7FD" w14:textId="77777777" w:rsidR="005711E5" w:rsidRPr="00892A0D" w:rsidRDefault="005711E5">
      <w:pPr>
        <w:pStyle w:val="BodyText"/>
        <w:rPr>
          <w:b/>
          <w:bCs/>
          <w:sz w:val="25"/>
          <w:szCs w:val="25"/>
        </w:rPr>
      </w:pPr>
      <w:r w:rsidRPr="00892A0D">
        <w:rPr>
          <w:b/>
          <w:bCs/>
          <w:sz w:val="25"/>
          <w:szCs w:val="25"/>
        </w:rPr>
        <w:t>BEFORE THE WASHINGTON</w:t>
      </w:r>
    </w:p>
    <w:p w14:paraId="28C248CB" w14:textId="77777777" w:rsidR="005711E5" w:rsidRDefault="005711E5">
      <w:pPr>
        <w:pStyle w:val="BodyText"/>
        <w:rPr>
          <w:b/>
          <w:bCs/>
          <w:sz w:val="25"/>
          <w:szCs w:val="25"/>
        </w:rPr>
      </w:pPr>
      <w:r w:rsidRPr="00892A0D">
        <w:rPr>
          <w:b/>
          <w:bCs/>
          <w:sz w:val="25"/>
          <w:szCs w:val="25"/>
        </w:rPr>
        <w:t>UTILITIES AND TRANSPORTATION COMMISSION</w:t>
      </w:r>
    </w:p>
    <w:p w14:paraId="406F4C2B" w14:textId="77777777" w:rsidR="001F448E" w:rsidRDefault="001F448E">
      <w:pPr>
        <w:pStyle w:val="BodyText"/>
        <w:rPr>
          <w:b/>
          <w:bCs/>
          <w:sz w:val="25"/>
          <w:szCs w:val="25"/>
        </w:rPr>
      </w:pPr>
    </w:p>
    <w:tbl>
      <w:tblPr>
        <w:tblW w:w="0" w:type="auto"/>
        <w:tblLook w:val="0000" w:firstRow="0" w:lastRow="0" w:firstColumn="0" w:lastColumn="0" w:noHBand="0" w:noVBand="0"/>
      </w:tblPr>
      <w:tblGrid>
        <w:gridCol w:w="4248"/>
        <w:gridCol w:w="360"/>
        <w:gridCol w:w="4248"/>
      </w:tblGrid>
      <w:tr w:rsidR="00150B1F" w:rsidRPr="00652981" w14:paraId="6C693B95" w14:textId="77777777" w:rsidTr="00150B1F">
        <w:tc>
          <w:tcPr>
            <w:tcW w:w="4248" w:type="dxa"/>
          </w:tcPr>
          <w:p w14:paraId="08C9DED9" w14:textId="77777777" w:rsidR="00150B1F" w:rsidRDefault="00150B1F" w:rsidP="00150B1F">
            <w:pPr>
              <w:tabs>
                <w:tab w:val="left" w:pos="2160"/>
              </w:tabs>
              <w:spacing w:line="264" w:lineRule="auto"/>
              <w:rPr>
                <w:bCs/>
                <w:sz w:val="25"/>
                <w:szCs w:val="25"/>
              </w:rPr>
            </w:pPr>
            <w:r>
              <w:rPr>
                <w:bCs/>
                <w:sz w:val="25"/>
                <w:szCs w:val="25"/>
              </w:rPr>
              <w:t>In the Matter of the Petition of</w:t>
            </w:r>
          </w:p>
          <w:p w14:paraId="4376DA69" w14:textId="77777777" w:rsidR="00150B1F" w:rsidRDefault="00150B1F" w:rsidP="00150B1F">
            <w:pPr>
              <w:tabs>
                <w:tab w:val="left" w:pos="2160"/>
              </w:tabs>
              <w:spacing w:line="264" w:lineRule="auto"/>
              <w:rPr>
                <w:bCs/>
                <w:sz w:val="25"/>
                <w:szCs w:val="25"/>
              </w:rPr>
            </w:pPr>
          </w:p>
          <w:p w14:paraId="41A5D519" w14:textId="77777777" w:rsidR="00150B1F" w:rsidRDefault="00150B1F" w:rsidP="00150B1F">
            <w:pPr>
              <w:tabs>
                <w:tab w:val="left" w:pos="2160"/>
              </w:tabs>
              <w:spacing w:line="264" w:lineRule="auto"/>
              <w:rPr>
                <w:bCs/>
                <w:sz w:val="25"/>
                <w:szCs w:val="25"/>
              </w:rPr>
            </w:pPr>
            <w:r>
              <w:rPr>
                <w:bCs/>
                <w:sz w:val="25"/>
                <w:szCs w:val="25"/>
              </w:rPr>
              <w:t>QWEST CORPORATION d/b/a CENTURYLINK QC</w:t>
            </w:r>
          </w:p>
          <w:p w14:paraId="11ECE997" w14:textId="77777777" w:rsidR="00150B1F" w:rsidRDefault="00150B1F" w:rsidP="00150B1F">
            <w:pPr>
              <w:tabs>
                <w:tab w:val="left" w:pos="2160"/>
              </w:tabs>
              <w:spacing w:line="264" w:lineRule="auto"/>
              <w:rPr>
                <w:bCs/>
                <w:sz w:val="25"/>
                <w:szCs w:val="25"/>
              </w:rPr>
            </w:pPr>
          </w:p>
          <w:p w14:paraId="48CA0099" w14:textId="77777777" w:rsidR="00150B1F" w:rsidRDefault="00150B1F" w:rsidP="00150B1F">
            <w:pPr>
              <w:tabs>
                <w:tab w:val="left" w:pos="2160"/>
              </w:tabs>
              <w:spacing w:line="264" w:lineRule="auto"/>
              <w:rPr>
                <w:bCs/>
                <w:sz w:val="25"/>
                <w:szCs w:val="25"/>
              </w:rPr>
            </w:pPr>
            <w:r>
              <w:rPr>
                <w:bCs/>
                <w:sz w:val="25"/>
                <w:szCs w:val="25"/>
              </w:rPr>
              <w:t>For Commission Approval of 201</w:t>
            </w:r>
            <w:r w:rsidR="00AE6CD4">
              <w:rPr>
                <w:bCs/>
                <w:sz w:val="25"/>
                <w:szCs w:val="25"/>
              </w:rPr>
              <w:t>5</w:t>
            </w:r>
            <w:r>
              <w:rPr>
                <w:bCs/>
                <w:sz w:val="25"/>
                <w:szCs w:val="25"/>
              </w:rPr>
              <w:t xml:space="preserve"> Additions to its Non-Impaired Wire Center List</w:t>
            </w:r>
          </w:p>
          <w:p w14:paraId="0885D703" w14:textId="77777777" w:rsidR="00150B1F" w:rsidRPr="00652981" w:rsidRDefault="00150B1F" w:rsidP="00150B1F">
            <w:pPr>
              <w:tabs>
                <w:tab w:val="left" w:pos="2160"/>
              </w:tabs>
              <w:spacing w:line="264" w:lineRule="auto"/>
              <w:rPr>
                <w:sz w:val="25"/>
                <w:szCs w:val="25"/>
              </w:rPr>
            </w:pPr>
            <w:r w:rsidRPr="00652981">
              <w:rPr>
                <w:sz w:val="25"/>
                <w:szCs w:val="25"/>
              </w:rPr>
              <w:t xml:space="preserve">. . . . . . . . . . . . . . . . </w:t>
            </w:r>
            <w:r w:rsidR="00500D07">
              <w:rPr>
                <w:sz w:val="25"/>
                <w:szCs w:val="25"/>
              </w:rPr>
              <w:t xml:space="preserve">. . . . . . . . . . . . . . . </w:t>
            </w:r>
            <w:r w:rsidR="0031048E">
              <w:rPr>
                <w:sz w:val="25"/>
                <w:szCs w:val="25"/>
              </w:rPr>
              <w:t xml:space="preserve">. </w:t>
            </w:r>
          </w:p>
        </w:tc>
        <w:tc>
          <w:tcPr>
            <w:tcW w:w="360" w:type="dxa"/>
          </w:tcPr>
          <w:p w14:paraId="11963102" w14:textId="77777777" w:rsidR="00150B1F" w:rsidRPr="00652981" w:rsidRDefault="00150B1F" w:rsidP="00150B1F">
            <w:pPr>
              <w:spacing w:line="264" w:lineRule="auto"/>
              <w:rPr>
                <w:sz w:val="25"/>
                <w:szCs w:val="25"/>
              </w:rPr>
            </w:pPr>
            <w:r w:rsidRPr="00652981">
              <w:rPr>
                <w:sz w:val="25"/>
                <w:szCs w:val="25"/>
              </w:rPr>
              <w:t>)</w:t>
            </w:r>
          </w:p>
          <w:p w14:paraId="49E2E5EE" w14:textId="77777777" w:rsidR="00150B1F" w:rsidRPr="00652981" w:rsidRDefault="00150B1F" w:rsidP="00150B1F">
            <w:pPr>
              <w:spacing w:line="264" w:lineRule="auto"/>
              <w:rPr>
                <w:sz w:val="25"/>
                <w:szCs w:val="25"/>
              </w:rPr>
            </w:pPr>
            <w:r w:rsidRPr="00652981">
              <w:rPr>
                <w:sz w:val="25"/>
                <w:szCs w:val="25"/>
              </w:rPr>
              <w:t>)</w:t>
            </w:r>
          </w:p>
          <w:p w14:paraId="209BAAE3" w14:textId="77777777" w:rsidR="00150B1F" w:rsidRPr="00652981" w:rsidRDefault="00150B1F" w:rsidP="00150B1F">
            <w:pPr>
              <w:spacing w:line="264" w:lineRule="auto"/>
              <w:rPr>
                <w:sz w:val="25"/>
                <w:szCs w:val="25"/>
              </w:rPr>
            </w:pPr>
            <w:r w:rsidRPr="00652981">
              <w:rPr>
                <w:sz w:val="25"/>
                <w:szCs w:val="25"/>
              </w:rPr>
              <w:t>)</w:t>
            </w:r>
          </w:p>
          <w:p w14:paraId="0EF78EA0" w14:textId="77777777" w:rsidR="00150B1F" w:rsidRPr="00652981" w:rsidRDefault="00150B1F" w:rsidP="00150B1F">
            <w:pPr>
              <w:spacing w:line="264" w:lineRule="auto"/>
              <w:rPr>
                <w:sz w:val="25"/>
                <w:szCs w:val="25"/>
              </w:rPr>
            </w:pPr>
            <w:r w:rsidRPr="00652981">
              <w:rPr>
                <w:sz w:val="25"/>
                <w:szCs w:val="25"/>
              </w:rPr>
              <w:t>)</w:t>
            </w:r>
          </w:p>
          <w:p w14:paraId="4A274087" w14:textId="77777777" w:rsidR="00150B1F" w:rsidRPr="00652981" w:rsidRDefault="00150B1F" w:rsidP="00150B1F">
            <w:pPr>
              <w:spacing w:line="264" w:lineRule="auto"/>
              <w:rPr>
                <w:sz w:val="25"/>
                <w:szCs w:val="25"/>
              </w:rPr>
            </w:pPr>
            <w:r w:rsidRPr="00652981">
              <w:rPr>
                <w:sz w:val="25"/>
                <w:szCs w:val="25"/>
              </w:rPr>
              <w:t>)</w:t>
            </w:r>
          </w:p>
          <w:p w14:paraId="5EE361EB" w14:textId="77777777" w:rsidR="00150B1F" w:rsidRPr="00652981" w:rsidRDefault="00150B1F" w:rsidP="00150B1F">
            <w:pPr>
              <w:spacing w:line="264" w:lineRule="auto"/>
              <w:rPr>
                <w:sz w:val="25"/>
                <w:szCs w:val="25"/>
              </w:rPr>
            </w:pPr>
            <w:r w:rsidRPr="00652981">
              <w:rPr>
                <w:sz w:val="25"/>
                <w:szCs w:val="25"/>
              </w:rPr>
              <w:t>)</w:t>
            </w:r>
          </w:p>
          <w:p w14:paraId="54305D45" w14:textId="77777777" w:rsidR="00150B1F" w:rsidRPr="00652981" w:rsidRDefault="00150B1F" w:rsidP="00150B1F">
            <w:pPr>
              <w:spacing w:line="264" w:lineRule="auto"/>
              <w:rPr>
                <w:sz w:val="25"/>
                <w:szCs w:val="25"/>
              </w:rPr>
            </w:pPr>
            <w:r w:rsidRPr="00652981">
              <w:rPr>
                <w:sz w:val="25"/>
                <w:szCs w:val="25"/>
              </w:rPr>
              <w:t>)</w:t>
            </w:r>
          </w:p>
          <w:p w14:paraId="5E77054B" w14:textId="77777777" w:rsidR="00150B1F" w:rsidRPr="00652981" w:rsidRDefault="00150B1F" w:rsidP="00150B1F">
            <w:pPr>
              <w:spacing w:line="264" w:lineRule="auto"/>
              <w:rPr>
                <w:sz w:val="25"/>
                <w:szCs w:val="25"/>
              </w:rPr>
            </w:pPr>
            <w:r w:rsidRPr="00652981">
              <w:rPr>
                <w:sz w:val="25"/>
                <w:szCs w:val="25"/>
              </w:rPr>
              <w:t>)</w:t>
            </w:r>
          </w:p>
          <w:p w14:paraId="1712F74C" w14:textId="77777777" w:rsidR="00150B1F" w:rsidRPr="00652981" w:rsidRDefault="00150B1F" w:rsidP="00150B1F">
            <w:pPr>
              <w:spacing w:line="264" w:lineRule="auto"/>
              <w:rPr>
                <w:sz w:val="25"/>
                <w:szCs w:val="25"/>
              </w:rPr>
            </w:pPr>
            <w:r w:rsidRPr="00652981">
              <w:rPr>
                <w:sz w:val="25"/>
                <w:szCs w:val="25"/>
              </w:rPr>
              <w:t>)</w:t>
            </w:r>
          </w:p>
        </w:tc>
        <w:tc>
          <w:tcPr>
            <w:tcW w:w="4248" w:type="dxa"/>
          </w:tcPr>
          <w:p w14:paraId="4DA5EB69" w14:textId="77777777" w:rsidR="00150B1F" w:rsidRPr="00652981" w:rsidRDefault="00150B1F" w:rsidP="00150B1F">
            <w:pPr>
              <w:spacing w:line="264" w:lineRule="auto"/>
              <w:rPr>
                <w:sz w:val="25"/>
                <w:szCs w:val="25"/>
              </w:rPr>
            </w:pPr>
            <w:r w:rsidRPr="00652981">
              <w:rPr>
                <w:sz w:val="25"/>
                <w:szCs w:val="25"/>
              </w:rPr>
              <w:t>DOCKET</w:t>
            </w:r>
            <w:r w:rsidR="00AE6CD4">
              <w:rPr>
                <w:sz w:val="25"/>
                <w:szCs w:val="25"/>
              </w:rPr>
              <w:t xml:space="preserve"> UT-151296</w:t>
            </w:r>
          </w:p>
          <w:p w14:paraId="7144FBF3" w14:textId="77777777" w:rsidR="00150B1F" w:rsidRPr="00652981" w:rsidRDefault="00150B1F" w:rsidP="00150B1F">
            <w:pPr>
              <w:spacing w:line="264" w:lineRule="auto"/>
              <w:rPr>
                <w:sz w:val="25"/>
                <w:szCs w:val="25"/>
              </w:rPr>
            </w:pPr>
          </w:p>
          <w:p w14:paraId="7E828D30" w14:textId="77777777" w:rsidR="00150B1F" w:rsidRDefault="00150B1F" w:rsidP="00150B1F">
            <w:pPr>
              <w:spacing w:line="264" w:lineRule="auto"/>
              <w:rPr>
                <w:sz w:val="25"/>
                <w:szCs w:val="25"/>
              </w:rPr>
            </w:pPr>
            <w:r>
              <w:rPr>
                <w:sz w:val="25"/>
                <w:szCs w:val="25"/>
              </w:rPr>
              <w:t>ORDER</w:t>
            </w:r>
            <w:r w:rsidR="00561CA1">
              <w:rPr>
                <w:sz w:val="25"/>
                <w:szCs w:val="25"/>
              </w:rPr>
              <w:t xml:space="preserve"> 03</w:t>
            </w:r>
          </w:p>
          <w:p w14:paraId="716F6AA3" w14:textId="77777777" w:rsidR="000E1020" w:rsidRDefault="000E1020" w:rsidP="00150B1F">
            <w:pPr>
              <w:spacing w:line="264" w:lineRule="auto"/>
              <w:rPr>
                <w:sz w:val="25"/>
                <w:szCs w:val="25"/>
              </w:rPr>
            </w:pPr>
          </w:p>
          <w:p w14:paraId="5A5AE753" w14:textId="77777777" w:rsidR="00150B1F" w:rsidRPr="00652981" w:rsidRDefault="00561CA1" w:rsidP="00150B1F">
            <w:pPr>
              <w:spacing w:line="264" w:lineRule="auto"/>
              <w:rPr>
                <w:sz w:val="25"/>
                <w:szCs w:val="25"/>
              </w:rPr>
            </w:pPr>
            <w:r>
              <w:rPr>
                <w:sz w:val="25"/>
                <w:szCs w:val="25"/>
              </w:rPr>
              <w:t>INITIAL ORDER GRANTING PETITION</w:t>
            </w:r>
          </w:p>
        </w:tc>
      </w:tr>
    </w:tbl>
    <w:p w14:paraId="1C1FBA91" w14:textId="77777777" w:rsidR="00E548AD" w:rsidRPr="0031048E" w:rsidRDefault="00E548AD" w:rsidP="0031048E">
      <w:pPr>
        <w:spacing w:line="288" w:lineRule="auto"/>
        <w:rPr>
          <w:szCs w:val="25"/>
        </w:rPr>
      </w:pPr>
    </w:p>
    <w:p w14:paraId="084514D6" w14:textId="77777777" w:rsidR="001C5C92" w:rsidRDefault="00675876" w:rsidP="0031048E">
      <w:pPr>
        <w:spacing w:line="288" w:lineRule="auto"/>
        <w:jc w:val="center"/>
        <w:rPr>
          <w:b/>
          <w:szCs w:val="25"/>
        </w:rPr>
      </w:pPr>
      <w:r w:rsidRPr="0031048E">
        <w:rPr>
          <w:b/>
          <w:szCs w:val="25"/>
        </w:rPr>
        <w:t>BACKGROUND</w:t>
      </w:r>
    </w:p>
    <w:p w14:paraId="5D3D0625" w14:textId="77777777" w:rsidR="0031048E" w:rsidRPr="0031048E" w:rsidRDefault="0031048E" w:rsidP="0031048E">
      <w:pPr>
        <w:spacing w:line="288" w:lineRule="auto"/>
        <w:jc w:val="center"/>
        <w:rPr>
          <w:b/>
          <w:szCs w:val="25"/>
        </w:rPr>
      </w:pPr>
    </w:p>
    <w:p w14:paraId="0921A052" w14:textId="77777777" w:rsidR="00150B1F" w:rsidRPr="0031048E" w:rsidRDefault="004059E6" w:rsidP="0031048E">
      <w:pPr>
        <w:numPr>
          <w:ilvl w:val="0"/>
          <w:numId w:val="2"/>
        </w:numPr>
        <w:spacing w:line="288" w:lineRule="auto"/>
        <w:rPr>
          <w:szCs w:val="25"/>
        </w:rPr>
      </w:pPr>
      <w:r w:rsidRPr="0031048E">
        <w:rPr>
          <w:szCs w:val="25"/>
        </w:rPr>
        <w:t xml:space="preserve">On </w:t>
      </w:r>
      <w:r w:rsidR="00AE6CD4" w:rsidRPr="0031048E">
        <w:rPr>
          <w:szCs w:val="25"/>
        </w:rPr>
        <w:t>June 23</w:t>
      </w:r>
      <w:r w:rsidRPr="0031048E">
        <w:rPr>
          <w:szCs w:val="25"/>
        </w:rPr>
        <w:t>, 201</w:t>
      </w:r>
      <w:r w:rsidR="00AE6CD4" w:rsidRPr="0031048E">
        <w:rPr>
          <w:szCs w:val="25"/>
        </w:rPr>
        <w:t>5</w:t>
      </w:r>
      <w:r w:rsidRPr="0031048E">
        <w:rPr>
          <w:szCs w:val="25"/>
        </w:rPr>
        <w:t xml:space="preserve">, </w:t>
      </w:r>
      <w:r w:rsidR="00150B1F" w:rsidRPr="0031048E">
        <w:rPr>
          <w:bCs/>
          <w:szCs w:val="25"/>
        </w:rPr>
        <w:t>Qwest Corp</w:t>
      </w:r>
      <w:bookmarkStart w:id="0" w:name="_GoBack"/>
      <w:bookmarkEnd w:id="0"/>
      <w:r w:rsidR="00150B1F" w:rsidRPr="0031048E">
        <w:rPr>
          <w:bCs/>
          <w:szCs w:val="25"/>
        </w:rPr>
        <w:t xml:space="preserve">oration d/b/a CenturyLink QC (CenturyLink) </w:t>
      </w:r>
      <w:r w:rsidR="00150B1F" w:rsidRPr="0031048E">
        <w:rPr>
          <w:szCs w:val="25"/>
        </w:rPr>
        <w:t xml:space="preserve">filed with the Washington Utilities and Transportation Commission (Commission) a petition </w:t>
      </w:r>
      <w:r w:rsidR="00AE6CD4" w:rsidRPr="0031048E">
        <w:rPr>
          <w:szCs w:val="25"/>
        </w:rPr>
        <w:t xml:space="preserve">for approval of additions to its list of non-impaired wire centers (Petition) in accordance with the Federal Communications Commission’s (FCC) Triennial Review Remand Order (TRRO). The additional wire centers are Renton, Spokane Fairfax, Spokane Hudson, Spokane Keystone, Spokane Walnut, Spokane Whitworth, Tacoma Fawcett, and </w:t>
      </w:r>
      <w:r w:rsidR="00150B1F" w:rsidRPr="0031048E">
        <w:rPr>
          <w:szCs w:val="25"/>
        </w:rPr>
        <w:t xml:space="preserve">Yakima Chestnut.  </w:t>
      </w:r>
    </w:p>
    <w:p w14:paraId="6A102C53" w14:textId="77777777" w:rsidR="00DE545F" w:rsidRPr="0031048E" w:rsidRDefault="00DE545F" w:rsidP="0031048E">
      <w:pPr>
        <w:spacing w:line="288" w:lineRule="auto"/>
        <w:rPr>
          <w:szCs w:val="25"/>
        </w:rPr>
      </w:pPr>
    </w:p>
    <w:p w14:paraId="09815162" w14:textId="77777777" w:rsidR="004059E6" w:rsidRDefault="004059E6" w:rsidP="0031048E">
      <w:pPr>
        <w:numPr>
          <w:ilvl w:val="0"/>
          <w:numId w:val="2"/>
        </w:numPr>
        <w:spacing w:line="288" w:lineRule="auto"/>
        <w:rPr>
          <w:szCs w:val="25"/>
        </w:rPr>
      </w:pPr>
      <w:r w:rsidRPr="0031048E">
        <w:rPr>
          <w:szCs w:val="25"/>
        </w:rPr>
        <w:t>The Commission convened a prehearing conference on J</w:t>
      </w:r>
      <w:r w:rsidR="00AE6CD4" w:rsidRPr="0031048E">
        <w:rPr>
          <w:szCs w:val="25"/>
        </w:rPr>
        <w:t>uly 29, 2015</w:t>
      </w:r>
      <w:r w:rsidR="00AC2EEE" w:rsidRPr="0031048E">
        <w:rPr>
          <w:szCs w:val="25"/>
        </w:rPr>
        <w:t>, at which the Commission adopted a preliminary procedural schedule</w:t>
      </w:r>
      <w:r w:rsidR="00500D07" w:rsidRPr="0031048E">
        <w:rPr>
          <w:szCs w:val="25"/>
        </w:rPr>
        <w:t>. That schedule</w:t>
      </w:r>
      <w:r w:rsidR="00AC2EEE" w:rsidRPr="0031048E">
        <w:rPr>
          <w:szCs w:val="25"/>
        </w:rPr>
        <w:t xml:space="preserve"> requir</w:t>
      </w:r>
      <w:r w:rsidR="00500D07" w:rsidRPr="0031048E">
        <w:rPr>
          <w:szCs w:val="25"/>
        </w:rPr>
        <w:t>ed</w:t>
      </w:r>
      <w:r w:rsidR="00AC2EEE" w:rsidRPr="0031048E">
        <w:rPr>
          <w:szCs w:val="25"/>
        </w:rPr>
        <w:t xml:space="preserve"> Commission regulatory staff (Staff)</w:t>
      </w:r>
      <w:r w:rsidR="00AC2EEE" w:rsidRPr="0031048E">
        <w:rPr>
          <w:rStyle w:val="FootnoteReference"/>
          <w:szCs w:val="25"/>
        </w:rPr>
        <w:footnoteReference w:id="1"/>
      </w:r>
      <w:r w:rsidR="00AC2EEE" w:rsidRPr="0031048E">
        <w:rPr>
          <w:szCs w:val="25"/>
        </w:rPr>
        <w:t xml:space="preserve"> and intervenor Integra Telecom (Integra) to file any </w:t>
      </w:r>
      <w:r w:rsidR="00AE6CD4" w:rsidRPr="0031048E">
        <w:rPr>
          <w:szCs w:val="25"/>
        </w:rPr>
        <w:t xml:space="preserve">comments related </w:t>
      </w:r>
      <w:r w:rsidR="00AC2EEE" w:rsidRPr="0031048E">
        <w:rPr>
          <w:szCs w:val="25"/>
        </w:rPr>
        <w:t xml:space="preserve">to the Petition by </w:t>
      </w:r>
      <w:r w:rsidR="00444D1B" w:rsidRPr="0031048E">
        <w:rPr>
          <w:szCs w:val="25"/>
        </w:rPr>
        <w:t>August 19, 2015</w:t>
      </w:r>
      <w:r w:rsidR="00F05768" w:rsidRPr="0031048E">
        <w:rPr>
          <w:szCs w:val="25"/>
        </w:rPr>
        <w:t>.</w:t>
      </w:r>
    </w:p>
    <w:p w14:paraId="411BDF4A" w14:textId="77777777" w:rsidR="0031048E" w:rsidRPr="0031048E" w:rsidRDefault="0031048E" w:rsidP="0031048E">
      <w:pPr>
        <w:spacing w:line="288" w:lineRule="auto"/>
        <w:rPr>
          <w:szCs w:val="25"/>
        </w:rPr>
      </w:pPr>
    </w:p>
    <w:p w14:paraId="6551E6AF" w14:textId="77777777" w:rsidR="00F05768" w:rsidRDefault="00AC2EEE" w:rsidP="0031048E">
      <w:pPr>
        <w:numPr>
          <w:ilvl w:val="0"/>
          <w:numId w:val="2"/>
        </w:numPr>
        <w:spacing w:line="288" w:lineRule="auto"/>
        <w:rPr>
          <w:szCs w:val="25"/>
        </w:rPr>
      </w:pPr>
      <w:r w:rsidRPr="0031048E">
        <w:rPr>
          <w:szCs w:val="25"/>
        </w:rPr>
        <w:t xml:space="preserve">On </w:t>
      </w:r>
      <w:r w:rsidR="00444D1B" w:rsidRPr="0031048E">
        <w:rPr>
          <w:szCs w:val="25"/>
        </w:rPr>
        <w:t>August 14, 2015</w:t>
      </w:r>
      <w:r w:rsidRPr="0031048E">
        <w:rPr>
          <w:szCs w:val="25"/>
        </w:rPr>
        <w:t>, Integra</w:t>
      </w:r>
      <w:r w:rsidR="004625FE" w:rsidRPr="0031048E">
        <w:rPr>
          <w:szCs w:val="25"/>
        </w:rPr>
        <w:t xml:space="preserve"> filed comments in which it stated that based on its review and confirmation of the highly confidential data CenturyLink provided, Integra does not object to </w:t>
      </w:r>
      <w:r w:rsidR="00675876" w:rsidRPr="0031048E">
        <w:rPr>
          <w:szCs w:val="25"/>
        </w:rPr>
        <w:t>classifying</w:t>
      </w:r>
      <w:r w:rsidR="004625FE" w:rsidRPr="0031048E">
        <w:rPr>
          <w:szCs w:val="25"/>
        </w:rPr>
        <w:t xml:space="preserve"> the </w:t>
      </w:r>
      <w:r w:rsidR="00444D1B" w:rsidRPr="0031048E">
        <w:rPr>
          <w:szCs w:val="25"/>
        </w:rPr>
        <w:t>additional wire centers as CenturyLink requests in its Petition</w:t>
      </w:r>
      <w:r w:rsidR="004625FE" w:rsidRPr="0031048E">
        <w:rPr>
          <w:szCs w:val="25"/>
        </w:rPr>
        <w:t>.</w:t>
      </w:r>
      <w:r w:rsidR="00444D1B" w:rsidRPr="0031048E">
        <w:rPr>
          <w:szCs w:val="25"/>
        </w:rPr>
        <w:t xml:space="preserve"> On </w:t>
      </w:r>
      <w:r w:rsidR="008F380F" w:rsidRPr="0031048E">
        <w:rPr>
          <w:szCs w:val="25"/>
        </w:rPr>
        <w:t>August 18</w:t>
      </w:r>
      <w:r w:rsidR="00444D1B" w:rsidRPr="0031048E">
        <w:rPr>
          <w:szCs w:val="25"/>
        </w:rPr>
        <w:t xml:space="preserve">, 2015, Staff filed a letter stating that it has </w:t>
      </w:r>
      <w:r w:rsidR="008F380F" w:rsidRPr="0031048E">
        <w:rPr>
          <w:szCs w:val="25"/>
        </w:rPr>
        <w:t>identified no issues with the relief requested in the Petition and does not believe that further process is warranted</w:t>
      </w:r>
      <w:r w:rsidR="00444D1B" w:rsidRPr="0031048E">
        <w:rPr>
          <w:szCs w:val="25"/>
        </w:rPr>
        <w:t xml:space="preserve">. </w:t>
      </w:r>
    </w:p>
    <w:p w14:paraId="120BA862" w14:textId="77777777" w:rsidR="0031048E" w:rsidRPr="0031048E" w:rsidRDefault="0031048E" w:rsidP="0031048E">
      <w:pPr>
        <w:spacing w:line="288" w:lineRule="auto"/>
        <w:rPr>
          <w:szCs w:val="25"/>
        </w:rPr>
      </w:pPr>
    </w:p>
    <w:p w14:paraId="64478527" w14:textId="77777777" w:rsidR="004059E6" w:rsidRDefault="00B0790B" w:rsidP="0031048E">
      <w:pPr>
        <w:numPr>
          <w:ilvl w:val="0"/>
          <w:numId w:val="2"/>
        </w:numPr>
        <w:spacing w:line="288" w:lineRule="auto"/>
        <w:rPr>
          <w:szCs w:val="25"/>
        </w:rPr>
      </w:pPr>
      <w:r w:rsidRPr="0031048E">
        <w:rPr>
          <w:szCs w:val="25"/>
        </w:rPr>
        <w:lastRenderedPageBreak/>
        <w:t>Lisa Anderl</w:t>
      </w:r>
      <w:r w:rsidR="00F342D5" w:rsidRPr="0031048E">
        <w:rPr>
          <w:szCs w:val="25"/>
        </w:rPr>
        <w:t xml:space="preserve">, </w:t>
      </w:r>
      <w:r w:rsidRPr="0031048E">
        <w:rPr>
          <w:szCs w:val="25"/>
        </w:rPr>
        <w:t xml:space="preserve">Senior Associate General Counsel, </w:t>
      </w:r>
      <w:r w:rsidR="00F7277C" w:rsidRPr="0031048E">
        <w:rPr>
          <w:szCs w:val="25"/>
        </w:rPr>
        <w:t>Seattle</w:t>
      </w:r>
      <w:r w:rsidR="008A195B" w:rsidRPr="0031048E">
        <w:rPr>
          <w:szCs w:val="25"/>
        </w:rPr>
        <w:t xml:space="preserve">, </w:t>
      </w:r>
      <w:r w:rsidR="001C37C8" w:rsidRPr="0031048E">
        <w:rPr>
          <w:szCs w:val="25"/>
        </w:rPr>
        <w:t xml:space="preserve">represents </w:t>
      </w:r>
      <w:r w:rsidRPr="0031048E">
        <w:rPr>
          <w:szCs w:val="25"/>
        </w:rPr>
        <w:t>CenturyLink</w:t>
      </w:r>
      <w:r w:rsidR="0031048E">
        <w:rPr>
          <w:szCs w:val="25"/>
        </w:rPr>
        <w:t xml:space="preserve">. </w:t>
      </w:r>
      <w:r w:rsidRPr="0031048E">
        <w:rPr>
          <w:szCs w:val="25"/>
        </w:rPr>
        <w:t>Jennifer Cameron-Rulkowski</w:t>
      </w:r>
      <w:r w:rsidR="004661ED" w:rsidRPr="0031048E">
        <w:rPr>
          <w:szCs w:val="25"/>
        </w:rPr>
        <w:t xml:space="preserve">, </w:t>
      </w:r>
      <w:r w:rsidR="006D2993" w:rsidRPr="0031048E">
        <w:rPr>
          <w:szCs w:val="25"/>
        </w:rPr>
        <w:t xml:space="preserve">Assistant Attorney General, </w:t>
      </w:r>
      <w:r w:rsidR="00A12760" w:rsidRPr="0031048E">
        <w:rPr>
          <w:szCs w:val="25"/>
        </w:rPr>
        <w:t>Olympia,</w:t>
      </w:r>
      <w:r w:rsidR="008A195B" w:rsidRPr="0031048E">
        <w:rPr>
          <w:szCs w:val="25"/>
        </w:rPr>
        <w:t xml:space="preserve"> </w:t>
      </w:r>
      <w:r w:rsidR="006D2993" w:rsidRPr="0031048E">
        <w:rPr>
          <w:szCs w:val="25"/>
        </w:rPr>
        <w:t xml:space="preserve">represents </w:t>
      </w:r>
      <w:r w:rsidR="00AC2EEE" w:rsidRPr="0031048E">
        <w:rPr>
          <w:szCs w:val="25"/>
        </w:rPr>
        <w:t>Staff</w:t>
      </w:r>
      <w:r w:rsidR="006D2993" w:rsidRPr="0031048E">
        <w:rPr>
          <w:szCs w:val="25"/>
        </w:rPr>
        <w:t>.</w:t>
      </w:r>
      <w:r w:rsidR="00DC3D40" w:rsidRPr="0031048E">
        <w:rPr>
          <w:szCs w:val="25"/>
        </w:rPr>
        <w:t xml:space="preserve"> </w:t>
      </w:r>
      <w:r w:rsidRPr="0031048E">
        <w:rPr>
          <w:szCs w:val="25"/>
        </w:rPr>
        <w:t xml:space="preserve">Douglas Denney, Vice President, </w:t>
      </w:r>
      <w:r w:rsidR="00DF4015" w:rsidRPr="0031048E">
        <w:rPr>
          <w:szCs w:val="25"/>
        </w:rPr>
        <w:t xml:space="preserve">Costs &amp; Policy, </w:t>
      </w:r>
      <w:r w:rsidR="00444D1B" w:rsidRPr="0031048E">
        <w:rPr>
          <w:szCs w:val="25"/>
        </w:rPr>
        <w:t>Vancouver, Washington</w:t>
      </w:r>
      <w:r w:rsidR="0031548C" w:rsidRPr="0031048E">
        <w:rPr>
          <w:szCs w:val="25"/>
        </w:rPr>
        <w:t xml:space="preserve">, </w:t>
      </w:r>
      <w:r w:rsidRPr="0031048E">
        <w:rPr>
          <w:szCs w:val="25"/>
        </w:rPr>
        <w:t>rep</w:t>
      </w:r>
      <w:r w:rsidR="00AC2EEE" w:rsidRPr="0031048E">
        <w:rPr>
          <w:szCs w:val="25"/>
        </w:rPr>
        <w:t>resents Integra</w:t>
      </w:r>
      <w:r w:rsidR="0031548C" w:rsidRPr="0031048E">
        <w:rPr>
          <w:szCs w:val="25"/>
        </w:rPr>
        <w:t>.</w:t>
      </w:r>
    </w:p>
    <w:p w14:paraId="26CC02EF" w14:textId="77777777" w:rsidR="0031048E" w:rsidRPr="0031048E" w:rsidRDefault="0031048E" w:rsidP="0031048E">
      <w:pPr>
        <w:spacing w:line="288" w:lineRule="auto"/>
        <w:rPr>
          <w:szCs w:val="25"/>
        </w:rPr>
      </w:pPr>
    </w:p>
    <w:p w14:paraId="7B995586" w14:textId="77777777" w:rsidR="004625FE" w:rsidRDefault="004625FE" w:rsidP="0031048E">
      <w:pPr>
        <w:spacing w:line="288" w:lineRule="auto"/>
        <w:jc w:val="center"/>
        <w:rPr>
          <w:b/>
          <w:color w:val="000000"/>
          <w:szCs w:val="25"/>
        </w:rPr>
      </w:pPr>
      <w:r w:rsidRPr="0031048E">
        <w:rPr>
          <w:b/>
          <w:color w:val="000000"/>
          <w:szCs w:val="25"/>
        </w:rPr>
        <w:t>DISCUSSION</w:t>
      </w:r>
    </w:p>
    <w:p w14:paraId="4472F98E" w14:textId="77777777" w:rsidR="0031048E" w:rsidRPr="0031048E" w:rsidRDefault="0031048E" w:rsidP="0031048E">
      <w:pPr>
        <w:spacing w:line="288" w:lineRule="auto"/>
        <w:jc w:val="center"/>
        <w:rPr>
          <w:b/>
          <w:color w:val="000000"/>
          <w:szCs w:val="25"/>
        </w:rPr>
      </w:pPr>
    </w:p>
    <w:p w14:paraId="09DC8A71" w14:textId="77777777" w:rsidR="004059E6" w:rsidRPr="0031048E" w:rsidRDefault="006945C3" w:rsidP="0031048E">
      <w:pPr>
        <w:numPr>
          <w:ilvl w:val="0"/>
          <w:numId w:val="2"/>
        </w:numPr>
        <w:spacing w:line="288" w:lineRule="auto"/>
        <w:rPr>
          <w:color w:val="000000"/>
          <w:szCs w:val="25"/>
        </w:rPr>
      </w:pPr>
      <w:r w:rsidRPr="0031048E">
        <w:rPr>
          <w:szCs w:val="25"/>
        </w:rPr>
        <w:t>The FCC’</w:t>
      </w:r>
      <w:r w:rsidR="006312FD" w:rsidRPr="0031048E">
        <w:rPr>
          <w:szCs w:val="25"/>
        </w:rPr>
        <w:t>s TRRO established</w:t>
      </w:r>
      <w:r w:rsidRPr="0031048E">
        <w:rPr>
          <w:szCs w:val="25"/>
        </w:rPr>
        <w:t xml:space="preserve"> criteria for determining when an incumbent local exchange carrier (ILEC), such as CenturyLink, may be relieved of its obligation to provide certain unbundled network elements (UNE</w:t>
      </w:r>
      <w:r w:rsidR="0031048E">
        <w:rPr>
          <w:szCs w:val="25"/>
        </w:rPr>
        <w:t xml:space="preserve">s) in designated wire centers. </w:t>
      </w:r>
      <w:r w:rsidRPr="0031048E">
        <w:rPr>
          <w:szCs w:val="25"/>
        </w:rPr>
        <w:t>In wire centers classified as Tier 2, the ILEC is not required to provide UNE dark fiber transport</w:t>
      </w:r>
      <w:r w:rsidR="00521418" w:rsidRPr="0031048E">
        <w:rPr>
          <w:szCs w:val="25"/>
        </w:rPr>
        <w:t xml:space="preserve"> or</w:t>
      </w:r>
      <w:r w:rsidRPr="0031048E">
        <w:rPr>
          <w:szCs w:val="25"/>
        </w:rPr>
        <w:t xml:space="preserve"> </w:t>
      </w:r>
      <w:r w:rsidR="005935E8" w:rsidRPr="0031048E">
        <w:rPr>
          <w:szCs w:val="25"/>
        </w:rPr>
        <w:t xml:space="preserve">UNE </w:t>
      </w:r>
      <w:r w:rsidRPr="0031048E">
        <w:rPr>
          <w:szCs w:val="25"/>
        </w:rPr>
        <w:t xml:space="preserve">DS3 transport between that wire center and another wire center </w:t>
      </w:r>
      <w:r w:rsidR="00851E9B" w:rsidRPr="0031048E">
        <w:rPr>
          <w:szCs w:val="25"/>
        </w:rPr>
        <w:t xml:space="preserve">that is </w:t>
      </w:r>
      <w:r w:rsidRPr="0031048E">
        <w:rPr>
          <w:szCs w:val="25"/>
        </w:rPr>
        <w:t>classified as either Tier 1 or Tier 2</w:t>
      </w:r>
      <w:r w:rsidR="008A195B" w:rsidRPr="0031048E">
        <w:rPr>
          <w:szCs w:val="25"/>
        </w:rPr>
        <w:t>.</w:t>
      </w:r>
      <w:r w:rsidRPr="0031048E">
        <w:rPr>
          <w:szCs w:val="25"/>
        </w:rPr>
        <w:t xml:space="preserve"> </w:t>
      </w:r>
      <w:r w:rsidR="006312FD" w:rsidRPr="0031048E">
        <w:rPr>
          <w:szCs w:val="25"/>
        </w:rPr>
        <w:t xml:space="preserve">A </w:t>
      </w:r>
      <w:r w:rsidR="00F16874" w:rsidRPr="0031048E">
        <w:rPr>
          <w:szCs w:val="25"/>
        </w:rPr>
        <w:t xml:space="preserve">Tier 2 </w:t>
      </w:r>
      <w:r w:rsidR="006312FD" w:rsidRPr="0031048E">
        <w:rPr>
          <w:szCs w:val="25"/>
        </w:rPr>
        <w:t xml:space="preserve">wire center </w:t>
      </w:r>
      <w:r w:rsidR="00330D1E" w:rsidRPr="0031048E">
        <w:rPr>
          <w:szCs w:val="25"/>
        </w:rPr>
        <w:t xml:space="preserve">is not a Tier 1 wire center and </w:t>
      </w:r>
      <w:r w:rsidR="006312FD" w:rsidRPr="0031048E">
        <w:rPr>
          <w:szCs w:val="25"/>
        </w:rPr>
        <w:t xml:space="preserve">contains </w:t>
      </w:r>
      <w:r w:rsidR="00E81C0C" w:rsidRPr="0031048E">
        <w:rPr>
          <w:szCs w:val="25"/>
        </w:rPr>
        <w:t xml:space="preserve">at least </w:t>
      </w:r>
      <w:r w:rsidR="006312FD" w:rsidRPr="0031048E">
        <w:rPr>
          <w:szCs w:val="25"/>
        </w:rPr>
        <w:t xml:space="preserve">three </w:t>
      </w:r>
      <w:r w:rsidR="00F16874" w:rsidRPr="0031048E">
        <w:rPr>
          <w:szCs w:val="25"/>
        </w:rPr>
        <w:t>fiber-based collocat</w:t>
      </w:r>
      <w:r w:rsidR="006312FD" w:rsidRPr="0031048E">
        <w:rPr>
          <w:szCs w:val="25"/>
        </w:rPr>
        <w:t xml:space="preserve">ors or serves </w:t>
      </w:r>
      <w:r w:rsidR="00E81C0C" w:rsidRPr="0031048E">
        <w:rPr>
          <w:szCs w:val="25"/>
        </w:rPr>
        <w:t xml:space="preserve">at least </w:t>
      </w:r>
      <w:r w:rsidR="006312FD" w:rsidRPr="0031048E">
        <w:rPr>
          <w:szCs w:val="25"/>
        </w:rPr>
        <w:t>24,000 business lines, or both</w:t>
      </w:r>
      <w:r w:rsidR="00F16874" w:rsidRPr="0031048E">
        <w:rPr>
          <w:szCs w:val="25"/>
        </w:rPr>
        <w:t>.</w:t>
      </w:r>
      <w:r w:rsidR="00330D1E" w:rsidRPr="0031048E">
        <w:rPr>
          <w:szCs w:val="25"/>
        </w:rPr>
        <w:t xml:space="preserve"> A Tier 1 wire center contains at least four fiber-based collocators or serves at least 38,000 business lines, or both.</w:t>
      </w:r>
      <w:r w:rsidR="006312FD" w:rsidRPr="0031048E">
        <w:rPr>
          <w:rStyle w:val="FootnoteReference"/>
          <w:szCs w:val="25"/>
        </w:rPr>
        <w:footnoteReference w:id="2"/>
      </w:r>
    </w:p>
    <w:p w14:paraId="6CB7B9F6" w14:textId="77777777" w:rsidR="0031048E" w:rsidRPr="0031048E" w:rsidRDefault="0031048E" w:rsidP="0031048E">
      <w:pPr>
        <w:spacing w:line="288" w:lineRule="auto"/>
        <w:rPr>
          <w:color w:val="000000"/>
          <w:szCs w:val="25"/>
        </w:rPr>
      </w:pPr>
    </w:p>
    <w:p w14:paraId="5F65F2F3" w14:textId="77777777" w:rsidR="00444D1B" w:rsidRPr="0031048E" w:rsidRDefault="006312FD" w:rsidP="0031048E">
      <w:pPr>
        <w:numPr>
          <w:ilvl w:val="0"/>
          <w:numId w:val="2"/>
        </w:numPr>
        <w:spacing w:line="288" w:lineRule="auto"/>
        <w:rPr>
          <w:color w:val="000000"/>
          <w:szCs w:val="25"/>
        </w:rPr>
      </w:pPr>
      <w:r w:rsidRPr="0031048E">
        <w:rPr>
          <w:szCs w:val="25"/>
        </w:rPr>
        <w:t xml:space="preserve">CenturyLink presented evidence that </w:t>
      </w:r>
      <w:r w:rsidR="00444D1B" w:rsidRPr="0031048E">
        <w:rPr>
          <w:szCs w:val="25"/>
        </w:rPr>
        <w:t xml:space="preserve">the following </w:t>
      </w:r>
      <w:r w:rsidRPr="0031048E">
        <w:rPr>
          <w:szCs w:val="25"/>
        </w:rPr>
        <w:t>wire center</w:t>
      </w:r>
      <w:r w:rsidR="00444D1B" w:rsidRPr="0031048E">
        <w:rPr>
          <w:szCs w:val="25"/>
        </w:rPr>
        <w:t>s</w:t>
      </w:r>
      <w:r w:rsidRPr="0031048E">
        <w:rPr>
          <w:szCs w:val="25"/>
        </w:rPr>
        <w:t xml:space="preserve"> </w:t>
      </w:r>
      <w:r w:rsidR="00444D1B" w:rsidRPr="0031048E">
        <w:rPr>
          <w:szCs w:val="25"/>
        </w:rPr>
        <w:t>satisfy</w:t>
      </w:r>
      <w:r w:rsidR="00521418" w:rsidRPr="0031048E">
        <w:rPr>
          <w:szCs w:val="25"/>
        </w:rPr>
        <w:t xml:space="preserve"> the FCC’s criteria for classification as a Tier </w:t>
      </w:r>
      <w:r w:rsidR="00444D1B" w:rsidRPr="0031048E">
        <w:rPr>
          <w:szCs w:val="25"/>
        </w:rPr>
        <w:t xml:space="preserve">1 or Tier </w:t>
      </w:r>
      <w:r w:rsidR="00521418" w:rsidRPr="0031048E">
        <w:rPr>
          <w:szCs w:val="25"/>
        </w:rPr>
        <w:t>2 wire center</w:t>
      </w:r>
      <w:r w:rsidR="00444D1B" w:rsidRPr="0031048E">
        <w:rPr>
          <w:szCs w:val="25"/>
        </w:rPr>
        <w:t>:</w:t>
      </w:r>
    </w:p>
    <w:p w14:paraId="6526335C" w14:textId="77777777" w:rsidR="0031048E" w:rsidRPr="0031048E" w:rsidRDefault="0031048E" w:rsidP="0031048E">
      <w:pPr>
        <w:spacing w:line="288" w:lineRule="auto"/>
        <w:rPr>
          <w:color w:val="000000"/>
          <w:szCs w:val="25"/>
        </w:rPr>
      </w:pPr>
    </w:p>
    <w:p w14:paraId="058D3D85" w14:textId="77777777" w:rsidR="00A44E3A" w:rsidRPr="0031048E" w:rsidRDefault="00A44E3A" w:rsidP="0031048E">
      <w:pPr>
        <w:spacing w:line="288" w:lineRule="auto"/>
        <w:ind w:left="720"/>
        <w:rPr>
          <w:szCs w:val="25"/>
          <w:u w:val="single"/>
        </w:rPr>
      </w:pPr>
      <w:r w:rsidRPr="0031048E">
        <w:rPr>
          <w:szCs w:val="25"/>
          <w:u w:val="single"/>
        </w:rPr>
        <w:t>Wire Center</w:t>
      </w:r>
      <w:r w:rsidRPr="0031048E">
        <w:rPr>
          <w:szCs w:val="25"/>
          <w:u w:val="single"/>
        </w:rPr>
        <w:tab/>
      </w:r>
      <w:r w:rsidRPr="0031048E">
        <w:rPr>
          <w:szCs w:val="25"/>
          <w:u w:val="single"/>
        </w:rPr>
        <w:tab/>
      </w:r>
      <w:r w:rsidRPr="0031048E">
        <w:rPr>
          <w:szCs w:val="25"/>
          <w:u w:val="single"/>
        </w:rPr>
        <w:tab/>
        <w:t>CLLI</w:t>
      </w:r>
      <w:r w:rsidRPr="0031048E">
        <w:rPr>
          <w:szCs w:val="25"/>
          <w:u w:val="single"/>
        </w:rPr>
        <w:tab/>
      </w:r>
      <w:r w:rsidRPr="0031048E">
        <w:rPr>
          <w:szCs w:val="25"/>
          <w:u w:val="single"/>
        </w:rPr>
        <w:tab/>
      </w:r>
      <w:r w:rsidRPr="0031048E">
        <w:rPr>
          <w:szCs w:val="25"/>
          <w:u w:val="single"/>
        </w:rPr>
        <w:tab/>
        <w:t xml:space="preserve">TIER </w:t>
      </w:r>
    </w:p>
    <w:p w14:paraId="167DDCC7" w14:textId="77777777" w:rsidR="00444D1B" w:rsidRPr="0031048E" w:rsidRDefault="00444D1B" w:rsidP="0031048E">
      <w:pPr>
        <w:spacing w:line="288" w:lineRule="auto"/>
        <w:ind w:left="720"/>
        <w:rPr>
          <w:szCs w:val="25"/>
        </w:rPr>
      </w:pPr>
      <w:r w:rsidRPr="0031048E">
        <w:rPr>
          <w:szCs w:val="25"/>
        </w:rPr>
        <w:t xml:space="preserve">Renton </w:t>
      </w:r>
      <w:r w:rsidRPr="0031048E">
        <w:rPr>
          <w:szCs w:val="25"/>
        </w:rPr>
        <w:tab/>
      </w:r>
      <w:r w:rsidRPr="0031048E">
        <w:rPr>
          <w:szCs w:val="25"/>
        </w:rPr>
        <w:tab/>
      </w:r>
      <w:r w:rsidRPr="0031048E">
        <w:rPr>
          <w:szCs w:val="25"/>
        </w:rPr>
        <w:tab/>
        <w:t>RNTNWA01</w:t>
      </w:r>
      <w:r w:rsidR="00A44E3A" w:rsidRPr="0031048E">
        <w:rPr>
          <w:szCs w:val="25"/>
        </w:rPr>
        <w:tab/>
      </w:r>
      <w:r w:rsidR="00A44E3A" w:rsidRPr="0031048E">
        <w:rPr>
          <w:szCs w:val="25"/>
        </w:rPr>
        <w:tab/>
        <w:t>Tier 1</w:t>
      </w:r>
    </w:p>
    <w:p w14:paraId="758B8060" w14:textId="77777777" w:rsidR="00444D1B" w:rsidRPr="0031048E" w:rsidRDefault="00444D1B" w:rsidP="0031048E">
      <w:pPr>
        <w:spacing w:line="288" w:lineRule="auto"/>
        <w:ind w:left="720"/>
        <w:rPr>
          <w:szCs w:val="25"/>
        </w:rPr>
      </w:pPr>
      <w:r w:rsidRPr="0031048E">
        <w:rPr>
          <w:szCs w:val="25"/>
        </w:rPr>
        <w:t>Spokane Fairfax</w:t>
      </w:r>
      <w:r w:rsidRPr="0031048E">
        <w:rPr>
          <w:szCs w:val="25"/>
        </w:rPr>
        <w:tab/>
      </w:r>
      <w:r w:rsidRPr="0031048E">
        <w:rPr>
          <w:szCs w:val="25"/>
        </w:rPr>
        <w:tab/>
        <w:t>SPKNWAFA</w:t>
      </w:r>
      <w:r w:rsidR="00A44E3A" w:rsidRPr="0031048E">
        <w:rPr>
          <w:szCs w:val="25"/>
        </w:rPr>
        <w:tab/>
      </w:r>
      <w:r w:rsidR="00A44E3A" w:rsidRPr="0031048E">
        <w:rPr>
          <w:szCs w:val="25"/>
        </w:rPr>
        <w:tab/>
        <w:t>Tier 2</w:t>
      </w:r>
    </w:p>
    <w:p w14:paraId="03C8EB06" w14:textId="77777777" w:rsidR="00444D1B" w:rsidRPr="0031048E" w:rsidRDefault="00444D1B" w:rsidP="0031048E">
      <w:pPr>
        <w:spacing w:line="288" w:lineRule="auto"/>
        <w:ind w:left="720"/>
        <w:rPr>
          <w:szCs w:val="25"/>
        </w:rPr>
      </w:pPr>
      <w:r w:rsidRPr="0031048E">
        <w:rPr>
          <w:szCs w:val="25"/>
        </w:rPr>
        <w:t>Spokane Hudson</w:t>
      </w:r>
      <w:r w:rsidRPr="0031048E">
        <w:rPr>
          <w:szCs w:val="25"/>
        </w:rPr>
        <w:tab/>
      </w:r>
      <w:r w:rsidRPr="0031048E">
        <w:rPr>
          <w:szCs w:val="25"/>
        </w:rPr>
        <w:tab/>
        <w:t>SPKNWAHD</w:t>
      </w:r>
      <w:r w:rsidR="00A44E3A" w:rsidRPr="0031048E">
        <w:rPr>
          <w:szCs w:val="25"/>
        </w:rPr>
        <w:tab/>
      </w:r>
      <w:r w:rsidR="00A44E3A" w:rsidRPr="0031048E">
        <w:rPr>
          <w:szCs w:val="25"/>
        </w:rPr>
        <w:tab/>
        <w:t>Tier 2</w:t>
      </w:r>
    </w:p>
    <w:p w14:paraId="4DECFA4E" w14:textId="77777777" w:rsidR="00444D1B" w:rsidRPr="0031048E" w:rsidRDefault="00444D1B" w:rsidP="0031048E">
      <w:pPr>
        <w:spacing w:line="288" w:lineRule="auto"/>
        <w:ind w:left="720"/>
        <w:rPr>
          <w:szCs w:val="25"/>
        </w:rPr>
      </w:pPr>
      <w:r w:rsidRPr="0031048E">
        <w:rPr>
          <w:szCs w:val="25"/>
        </w:rPr>
        <w:t>Spokane Keystone</w:t>
      </w:r>
      <w:r w:rsidRPr="0031048E">
        <w:rPr>
          <w:szCs w:val="25"/>
        </w:rPr>
        <w:tab/>
      </w:r>
      <w:r w:rsidRPr="0031048E">
        <w:rPr>
          <w:szCs w:val="25"/>
        </w:rPr>
        <w:tab/>
        <w:t>SPKNWAKY</w:t>
      </w:r>
      <w:r w:rsidR="00A44E3A" w:rsidRPr="0031048E">
        <w:rPr>
          <w:szCs w:val="25"/>
        </w:rPr>
        <w:tab/>
      </w:r>
      <w:r w:rsidR="00A44E3A" w:rsidRPr="0031048E">
        <w:rPr>
          <w:szCs w:val="25"/>
        </w:rPr>
        <w:tab/>
        <w:t>Tier 2</w:t>
      </w:r>
    </w:p>
    <w:p w14:paraId="174B53DC" w14:textId="77777777" w:rsidR="00444D1B" w:rsidRPr="0031048E" w:rsidRDefault="00444D1B" w:rsidP="0031048E">
      <w:pPr>
        <w:spacing w:line="288" w:lineRule="auto"/>
        <w:ind w:left="720"/>
        <w:rPr>
          <w:szCs w:val="25"/>
        </w:rPr>
      </w:pPr>
      <w:r w:rsidRPr="0031048E">
        <w:rPr>
          <w:szCs w:val="25"/>
        </w:rPr>
        <w:t>Spokane Walnut</w:t>
      </w:r>
      <w:r w:rsidRPr="0031048E">
        <w:rPr>
          <w:szCs w:val="25"/>
        </w:rPr>
        <w:tab/>
      </w:r>
      <w:r w:rsidRPr="0031048E">
        <w:rPr>
          <w:szCs w:val="25"/>
        </w:rPr>
        <w:tab/>
        <w:t>SPKNWAWA</w:t>
      </w:r>
      <w:r w:rsidR="00A44E3A" w:rsidRPr="0031048E">
        <w:rPr>
          <w:szCs w:val="25"/>
        </w:rPr>
        <w:tab/>
      </w:r>
      <w:r w:rsidR="0031048E">
        <w:rPr>
          <w:szCs w:val="25"/>
        </w:rPr>
        <w:tab/>
      </w:r>
      <w:r w:rsidR="00A44E3A" w:rsidRPr="0031048E">
        <w:rPr>
          <w:szCs w:val="25"/>
        </w:rPr>
        <w:t>Tier 1</w:t>
      </w:r>
    </w:p>
    <w:p w14:paraId="3FDCEA60" w14:textId="77777777" w:rsidR="00444D1B" w:rsidRPr="0031048E" w:rsidRDefault="00444D1B" w:rsidP="0031048E">
      <w:pPr>
        <w:spacing w:line="288" w:lineRule="auto"/>
        <w:ind w:left="720"/>
        <w:rPr>
          <w:szCs w:val="25"/>
        </w:rPr>
      </w:pPr>
      <w:r w:rsidRPr="0031048E">
        <w:rPr>
          <w:szCs w:val="25"/>
        </w:rPr>
        <w:t>Spokane Whitworth</w:t>
      </w:r>
      <w:r w:rsidRPr="0031048E">
        <w:rPr>
          <w:szCs w:val="25"/>
        </w:rPr>
        <w:tab/>
      </w:r>
      <w:r w:rsidRPr="0031048E">
        <w:rPr>
          <w:szCs w:val="25"/>
        </w:rPr>
        <w:tab/>
        <w:t>SPKNWAWH</w:t>
      </w:r>
      <w:r w:rsidR="00A44E3A" w:rsidRPr="0031048E">
        <w:rPr>
          <w:szCs w:val="25"/>
        </w:rPr>
        <w:tab/>
      </w:r>
      <w:r w:rsidR="0031048E">
        <w:rPr>
          <w:szCs w:val="25"/>
        </w:rPr>
        <w:tab/>
      </w:r>
      <w:r w:rsidR="00A44E3A" w:rsidRPr="0031048E">
        <w:rPr>
          <w:szCs w:val="25"/>
        </w:rPr>
        <w:t>Tier 2</w:t>
      </w:r>
    </w:p>
    <w:p w14:paraId="19183B58" w14:textId="77777777" w:rsidR="00444D1B" w:rsidRPr="0031048E" w:rsidRDefault="00444D1B" w:rsidP="0031048E">
      <w:pPr>
        <w:spacing w:line="288" w:lineRule="auto"/>
        <w:ind w:left="720"/>
        <w:rPr>
          <w:szCs w:val="25"/>
        </w:rPr>
      </w:pPr>
      <w:r w:rsidRPr="0031048E">
        <w:rPr>
          <w:szCs w:val="25"/>
        </w:rPr>
        <w:t>Tacoma Fawcett</w:t>
      </w:r>
      <w:r w:rsidRPr="0031048E">
        <w:rPr>
          <w:szCs w:val="25"/>
        </w:rPr>
        <w:tab/>
      </w:r>
      <w:r w:rsidRPr="0031048E">
        <w:rPr>
          <w:szCs w:val="25"/>
        </w:rPr>
        <w:tab/>
        <w:t>TACMWAFA</w:t>
      </w:r>
      <w:r w:rsidR="00A44E3A" w:rsidRPr="0031048E">
        <w:rPr>
          <w:szCs w:val="25"/>
        </w:rPr>
        <w:tab/>
      </w:r>
      <w:r w:rsidR="0031048E">
        <w:rPr>
          <w:szCs w:val="25"/>
        </w:rPr>
        <w:tab/>
      </w:r>
      <w:r w:rsidR="00A44E3A" w:rsidRPr="0031048E">
        <w:rPr>
          <w:szCs w:val="25"/>
        </w:rPr>
        <w:t>Tier 1</w:t>
      </w:r>
    </w:p>
    <w:p w14:paraId="51A969F9" w14:textId="77777777" w:rsidR="00444D1B" w:rsidRPr="0031048E" w:rsidRDefault="00444D1B" w:rsidP="0031048E">
      <w:pPr>
        <w:spacing w:line="288" w:lineRule="auto"/>
        <w:ind w:left="720"/>
        <w:rPr>
          <w:szCs w:val="25"/>
        </w:rPr>
      </w:pPr>
      <w:r w:rsidRPr="0031048E">
        <w:rPr>
          <w:szCs w:val="25"/>
        </w:rPr>
        <w:t>Yakima Chestnut</w:t>
      </w:r>
      <w:r w:rsidR="006312FD" w:rsidRPr="0031048E">
        <w:rPr>
          <w:szCs w:val="25"/>
        </w:rPr>
        <w:t xml:space="preserve"> </w:t>
      </w:r>
      <w:r w:rsidRPr="0031048E">
        <w:rPr>
          <w:szCs w:val="25"/>
        </w:rPr>
        <w:tab/>
      </w:r>
      <w:r w:rsidRPr="0031048E">
        <w:rPr>
          <w:szCs w:val="25"/>
        </w:rPr>
        <w:tab/>
        <w:t>YAKMWA02</w:t>
      </w:r>
      <w:r w:rsidR="00A44E3A" w:rsidRPr="0031048E">
        <w:rPr>
          <w:szCs w:val="25"/>
        </w:rPr>
        <w:tab/>
      </w:r>
      <w:r w:rsidR="00A44E3A" w:rsidRPr="0031048E">
        <w:rPr>
          <w:szCs w:val="25"/>
        </w:rPr>
        <w:tab/>
        <w:t>Tier 1</w:t>
      </w:r>
    </w:p>
    <w:p w14:paraId="6B53487A" w14:textId="77777777" w:rsidR="00444D1B" w:rsidRPr="0031048E" w:rsidRDefault="00444D1B" w:rsidP="0031048E">
      <w:pPr>
        <w:spacing w:line="288" w:lineRule="auto"/>
        <w:ind w:left="720"/>
        <w:rPr>
          <w:szCs w:val="25"/>
        </w:rPr>
      </w:pPr>
    </w:p>
    <w:p w14:paraId="7510540C" w14:textId="77777777" w:rsidR="006312FD" w:rsidRPr="0031048E" w:rsidRDefault="006312FD" w:rsidP="0031048E">
      <w:pPr>
        <w:numPr>
          <w:ilvl w:val="0"/>
          <w:numId w:val="2"/>
        </w:numPr>
        <w:spacing w:line="288" w:lineRule="auto"/>
        <w:rPr>
          <w:color w:val="000000"/>
          <w:szCs w:val="25"/>
        </w:rPr>
      </w:pPr>
      <w:r w:rsidRPr="0031048E">
        <w:rPr>
          <w:szCs w:val="25"/>
        </w:rPr>
        <w:t>Neither Staff nor Integra dispute</w:t>
      </w:r>
      <w:r w:rsidR="00330D1E" w:rsidRPr="0031048E">
        <w:rPr>
          <w:szCs w:val="25"/>
        </w:rPr>
        <w:t>s</w:t>
      </w:r>
      <w:r w:rsidRPr="0031048E">
        <w:rPr>
          <w:szCs w:val="25"/>
        </w:rPr>
        <w:t xml:space="preserve"> this evidence or otherwise object</w:t>
      </w:r>
      <w:r w:rsidR="00330D1E" w:rsidRPr="0031048E">
        <w:rPr>
          <w:szCs w:val="25"/>
        </w:rPr>
        <w:t>s</w:t>
      </w:r>
      <w:r w:rsidRPr="0031048E">
        <w:rPr>
          <w:szCs w:val="25"/>
        </w:rPr>
        <w:t xml:space="preserve"> to </w:t>
      </w:r>
      <w:r w:rsidR="00521418" w:rsidRPr="0031048E">
        <w:rPr>
          <w:szCs w:val="25"/>
        </w:rPr>
        <w:t xml:space="preserve">the requested </w:t>
      </w:r>
      <w:r w:rsidRPr="0031048E">
        <w:rPr>
          <w:szCs w:val="25"/>
        </w:rPr>
        <w:t>classif</w:t>
      </w:r>
      <w:r w:rsidR="00521418" w:rsidRPr="0031048E">
        <w:rPr>
          <w:szCs w:val="25"/>
        </w:rPr>
        <w:t>ication</w:t>
      </w:r>
      <w:r w:rsidR="0031048E">
        <w:rPr>
          <w:szCs w:val="25"/>
        </w:rPr>
        <w:t>.</w:t>
      </w:r>
      <w:r w:rsidR="00851E9B" w:rsidRPr="0031048E">
        <w:rPr>
          <w:szCs w:val="25"/>
        </w:rPr>
        <w:t xml:space="preserve"> Accordingly, the</w:t>
      </w:r>
      <w:r w:rsidR="00444D1B" w:rsidRPr="0031048E">
        <w:rPr>
          <w:szCs w:val="25"/>
        </w:rPr>
        <w:t>se</w:t>
      </w:r>
      <w:r w:rsidR="00851E9B" w:rsidRPr="0031048E">
        <w:rPr>
          <w:szCs w:val="25"/>
        </w:rPr>
        <w:t xml:space="preserve"> wire center</w:t>
      </w:r>
      <w:r w:rsidR="00444D1B" w:rsidRPr="0031048E">
        <w:rPr>
          <w:szCs w:val="25"/>
        </w:rPr>
        <w:t>s are</w:t>
      </w:r>
      <w:r w:rsidR="00851E9B" w:rsidRPr="0031048E">
        <w:rPr>
          <w:szCs w:val="25"/>
        </w:rPr>
        <w:t xml:space="preserve"> entitled to be classified as </w:t>
      </w:r>
      <w:r w:rsidR="00444D1B" w:rsidRPr="0031048E">
        <w:rPr>
          <w:szCs w:val="25"/>
        </w:rPr>
        <w:t>CenturyLink requests</w:t>
      </w:r>
      <w:r w:rsidR="00851E9B" w:rsidRPr="0031048E">
        <w:rPr>
          <w:szCs w:val="25"/>
        </w:rPr>
        <w:t>.</w:t>
      </w:r>
    </w:p>
    <w:p w14:paraId="0E754793" w14:textId="77777777" w:rsidR="00500D07" w:rsidRPr="0031048E" w:rsidRDefault="00500D07" w:rsidP="0031048E">
      <w:pPr>
        <w:spacing w:line="288" w:lineRule="auto"/>
        <w:jc w:val="center"/>
        <w:rPr>
          <w:b/>
          <w:szCs w:val="25"/>
        </w:rPr>
      </w:pPr>
    </w:p>
    <w:p w14:paraId="44478594" w14:textId="77777777" w:rsidR="0031048E" w:rsidRDefault="0031048E" w:rsidP="0031048E">
      <w:pPr>
        <w:spacing w:line="288" w:lineRule="auto"/>
        <w:jc w:val="center"/>
        <w:rPr>
          <w:b/>
          <w:szCs w:val="25"/>
        </w:rPr>
      </w:pPr>
      <w:r>
        <w:rPr>
          <w:b/>
          <w:szCs w:val="25"/>
        </w:rPr>
        <w:br w:type="page"/>
      </w:r>
    </w:p>
    <w:p w14:paraId="06DC5AEE" w14:textId="77777777" w:rsidR="00464C0F" w:rsidRDefault="00464C0F" w:rsidP="0031048E">
      <w:pPr>
        <w:spacing w:line="288" w:lineRule="auto"/>
        <w:jc w:val="center"/>
        <w:rPr>
          <w:b/>
          <w:szCs w:val="25"/>
        </w:rPr>
      </w:pPr>
      <w:r w:rsidRPr="0031048E">
        <w:rPr>
          <w:b/>
          <w:szCs w:val="25"/>
        </w:rPr>
        <w:lastRenderedPageBreak/>
        <w:t>ORDER</w:t>
      </w:r>
    </w:p>
    <w:p w14:paraId="4E991FF9" w14:textId="77777777" w:rsidR="0031048E" w:rsidRPr="0031048E" w:rsidRDefault="0031048E" w:rsidP="0031048E">
      <w:pPr>
        <w:spacing w:line="288" w:lineRule="auto"/>
        <w:jc w:val="center"/>
        <w:rPr>
          <w:b/>
          <w:color w:val="000000"/>
          <w:szCs w:val="25"/>
        </w:rPr>
      </w:pPr>
    </w:p>
    <w:p w14:paraId="636C602F" w14:textId="77777777" w:rsidR="00464C0F" w:rsidRPr="0031048E" w:rsidRDefault="00464C0F" w:rsidP="0031048E">
      <w:pPr>
        <w:numPr>
          <w:ilvl w:val="0"/>
          <w:numId w:val="2"/>
        </w:numPr>
        <w:spacing w:line="288" w:lineRule="auto"/>
        <w:rPr>
          <w:color w:val="000000"/>
          <w:szCs w:val="25"/>
        </w:rPr>
      </w:pPr>
      <w:r w:rsidRPr="0031048E">
        <w:rPr>
          <w:szCs w:val="25"/>
        </w:rPr>
        <w:t xml:space="preserve">THE COMMISSION ORDERS that the petition of </w:t>
      </w:r>
      <w:r w:rsidRPr="0031048E">
        <w:rPr>
          <w:bCs/>
          <w:szCs w:val="25"/>
        </w:rPr>
        <w:t>Qwest Corporation d/b/a CenturyLink QC for</w:t>
      </w:r>
      <w:r w:rsidRPr="0031048E">
        <w:rPr>
          <w:szCs w:val="25"/>
        </w:rPr>
        <w:t xml:space="preserve"> approval of the addition of </w:t>
      </w:r>
      <w:r w:rsidR="00500D07" w:rsidRPr="0031048E">
        <w:rPr>
          <w:szCs w:val="25"/>
        </w:rPr>
        <w:t>the Renton (Tier 1), Spokane Fairfax (Tier 2), Spokane Hudson (Tier 2), Spokane Keystone (Tier 2), Spokane Walnut (Tier 1), Spokane Whitworth (Tier 2), Tacoma Fawcett (Tier 1), and Yakima Chestnut</w:t>
      </w:r>
      <w:r w:rsidRPr="0031048E">
        <w:rPr>
          <w:szCs w:val="25"/>
        </w:rPr>
        <w:t xml:space="preserve"> </w:t>
      </w:r>
      <w:r w:rsidR="00500D07" w:rsidRPr="0031048E">
        <w:rPr>
          <w:szCs w:val="25"/>
        </w:rPr>
        <w:t xml:space="preserve">(Tier 1) </w:t>
      </w:r>
      <w:r w:rsidRPr="0031048E">
        <w:rPr>
          <w:szCs w:val="25"/>
        </w:rPr>
        <w:t>wire center</w:t>
      </w:r>
      <w:r w:rsidR="00500D07" w:rsidRPr="0031048E">
        <w:rPr>
          <w:szCs w:val="25"/>
        </w:rPr>
        <w:t>s</w:t>
      </w:r>
      <w:r w:rsidRPr="0031048E">
        <w:rPr>
          <w:szCs w:val="25"/>
        </w:rPr>
        <w:t xml:space="preserve"> to its list of non-impaired wire centers in accordance with the FCC’s TRRO is GRANTED, and the Commission approves th</w:t>
      </w:r>
      <w:r w:rsidR="00444D1B" w:rsidRPr="0031048E">
        <w:rPr>
          <w:szCs w:val="25"/>
        </w:rPr>
        <w:t>ose</w:t>
      </w:r>
      <w:r w:rsidRPr="0031048E">
        <w:rPr>
          <w:szCs w:val="25"/>
        </w:rPr>
        <w:t xml:space="preserve"> addition</w:t>
      </w:r>
      <w:r w:rsidR="00444D1B" w:rsidRPr="0031048E">
        <w:rPr>
          <w:szCs w:val="25"/>
        </w:rPr>
        <w:t>s</w:t>
      </w:r>
      <w:r w:rsidRPr="0031048E">
        <w:rPr>
          <w:szCs w:val="25"/>
        </w:rPr>
        <w:t>.</w:t>
      </w:r>
    </w:p>
    <w:p w14:paraId="4FB2C4EA" w14:textId="77777777" w:rsidR="0031048E" w:rsidRPr="0031048E" w:rsidRDefault="0031048E" w:rsidP="0031048E">
      <w:pPr>
        <w:spacing w:line="288" w:lineRule="auto"/>
        <w:rPr>
          <w:color w:val="000000"/>
          <w:szCs w:val="25"/>
        </w:rPr>
      </w:pPr>
    </w:p>
    <w:p w14:paraId="183916AF" w14:textId="77777777" w:rsidR="004059E6" w:rsidRPr="0031048E" w:rsidRDefault="004059E6" w:rsidP="0031048E">
      <w:pPr>
        <w:spacing w:line="288" w:lineRule="auto"/>
        <w:rPr>
          <w:szCs w:val="25"/>
        </w:rPr>
      </w:pPr>
      <w:r w:rsidRPr="0031048E">
        <w:rPr>
          <w:szCs w:val="25"/>
        </w:rPr>
        <w:t xml:space="preserve">Dated at Olympia, Washington, and effective </w:t>
      </w:r>
      <w:r w:rsidR="008F380F" w:rsidRPr="0031048E">
        <w:rPr>
          <w:szCs w:val="25"/>
        </w:rPr>
        <w:t>August 19</w:t>
      </w:r>
      <w:r w:rsidR="00614AA9" w:rsidRPr="0031048E">
        <w:rPr>
          <w:szCs w:val="25"/>
        </w:rPr>
        <w:t>, 201</w:t>
      </w:r>
      <w:r w:rsidR="00444D1B" w:rsidRPr="0031048E">
        <w:rPr>
          <w:szCs w:val="25"/>
        </w:rPr>
        <w:t>5</w:t>
      </w:r>
      <w:r w:rsidRPr="0031048E">
        <w:rPr>
          <w:szCs w:val="25"/>
        </w:rPr>
        <w:t>.</w:t>
      </w:r>
    </w:p>
    <w:p w14:paraId="6127EA99" w14:textId="77777777" w:rsidR="004059E6" w:rsidRPr="0031048E" w:rsidRDefault="004059E6" w:rsidP="0031048E">
      <w:pPr>
        <w:pStyle w:val="Header"/>
        <w:tabs>
          <w:tab w:val="clear" w:pos="4320"/>
          <w:tab w:val="clear" w:pos="8640"/>
        </w:tabs>
        <w:spacing w:line="288" w:lineRule="auto"/>
        <w:rPr>
          <w:szCs w:val="25"/>
        </w:rPr>
      </w:pPr>
    </w:p>
    <w:p w14:paraId="535FE42B" w14:textId="77777777" w:rsidR="004059E6" w:rsidRPr="0031048E" w:rsidRDefault="004059E6" w:rsidP="0031048E">
      <w:pPr>
        <w:spacing w:line="288" w:lineRule="auto"/>
        <w:jc w:val="center"/>
        <w:rPr>
          <w:szCs w:val="25"/>
        </w:rPr>
      </w:pPr>
      <w:r w:rsidRPr="0031048E">
        <w:rPr>
          <w:szCs w:val="25"/>
        </w:rPr>
        <w:t>WASHINGTON UTILITIES AND TRANSPORTATION COMMISSION</w:t>
      </w:r>
    </w:p>
    <w:p w14:paraId="20C137BD" w14:textId="77777777" w:rsidR="004059E6" w:rsidRPr="0031048E" w:rsidRDefault="004059E6" w:rsidP="0031048E">
      <w:pPr>
        <w:spacing w:line="288" w:lineRule="auto"/>
        <w:rPr>
          <w:szCs w:val="25"/>
        </w:rPr>
      </w:pPr>
    </w:p>
    <w:p w14:paraId="2F8419A4" w14:textId="77777777" w:rsidR="004059E6" w:rsidRPr="0031048E" w:rsidRDefault="004059E6" w:rsidP="0031048E">
      <w:pPr>
        <w:spacing w:line="288" w:lineRule="auto"/>
        <w:rPr>
          <w:szCs w:val="25"/>
        </w:rPr>
      </w:pPr>
    </w:p>
    <w:p w14:paraId="79D86318" w14:textId="77777777" w:rsidR="00024CD1" w:rsidRPr="0031048E" w:rsidRDefault="00024CD1" w:rsidP="0031048E">
      <w:pPr>
        <w:spacing w:line="288" w:lineRule="auto"/>
        <w:rPr>
          <w:szCs w:val="25"/>
        </w:rPr>
      </w:pPr>
    </w:p>
    <w:p w14:paraId="7D5E8A99" w14:textId="77777777" w:rsidR="00024CD1" w:rsidRPr="0031048E" w:rsidRDefault="00AC2EEE" w:rsidP="0031048E">
      <w:pPr>
        <w:spacing w:line="288" w:lineRule="auto"/>
        <w:ind w:left="3600" w:firstLine="720"/>
        <w:rPr>
          <w:szCs w:val="25"/>
        </w:rPr>
      </w:pPr>
      <w:r w:rsidRPr="0031048E">
        <w:rPr>
          <w:szCs w:val="25"/>
        </w:rPr>
        <w:t>GREGORY J. KOPTA</w:t>
      </w:r>
    </w:p>
    <w:p w14:paraId="2EF80B97" w14:textId="77777777" w:rsidR="00DA664A" w:rsidRPr="0031048E" w:rsidRDefault="00024CD1" w:rsidP="0031048E">
      <w:pPr>
        <w:spacing w:line="288" w:lineRule="auto"/>
        <w:rPr>
          <w:szCs w:val="25"/>
        </w:rPr>
      </w:pPr>
      <w:r w:rsidRPr="0031048E">
        <w:rPr>
          <w:szCs w:val="25"/>
        </w:rPr>
        <w:tab/>
      </w:r>
      <w:r w:rsidRPr="0031048E">
        <w:rPr>
          <w:szCs w:val="25"/>
        </w:rPr>
        <w:tab/>
      </w:r>
      <w:r w:rsidRPr="0031048E">
        <w:rPr>
          <w:szCs w:val="25"/>
        </w:rPr>
        <w:tab/>
      </w:r>
      <w:r w:rsidRPr="0031048E">
        <w:rPr>
          <w:szCs w:val="25"/>
        </w:rPr>
        <w:tab/>
      </w:r>
      <w:r w:rsidRPr="0031048E">
        <w:rPr>
          <w:szCs w:val="25"/>
        </w:rPr>
        <w:tab/>
      </w:r>
      <w:r w:rsidRPr="0031048E">
        <w:rPr>
          <w:szCs w:val="25"/>
        </w:rPr>
        <w:tab/>
        <w:t>Administrative Law Judge</w:t>
      </w:r>
    </w:p>
    <w:p w14:paraId="7CE16B01" w14:textId="77777777" w:rsidR="00824062" w:rsidRPr="0031048E" w:rsidRDefault="00824062" w:rsidP="0031048E">
      <w:pPr>
        <w:spacing w:line="264" w:lineRule="auto"/>
        <w:rPr>
          <w:szCs w:val="25"/>
        </w:rPr>
      </w:pPr>
      <w:r w:rsidRPr="0031048E">
        <w:rPr>
          <w:szCs w:val="25"/>
        </w:rPr>
        <w:br w:type="page"/>
      </w:r>
    </w:p>
    <w:p w14:paraId="6ED30CAE" w14:textId="77777777" w:rsidR="00824062" w:rsidRPr="0031048E" w:rsidRDefault="00824062" w:rsidP="0031048E">
      <w:pPr>
        <w:spacing w:line="264" w:lineRule="auto"/>
        <w:jc w:val="center"/>
        <w:rPr>
          <w:szCs w:val="25"/>
        </w:rPr>
      </w:pPr>
      <w:r w:rsidRPr="0031048E">
        <w:rPr>
          <w:b/>
          <w:szCs w:val="25"/>
        </w:rPr>
        <w:lastRenderedPageBreak/>
        <w:t>NOTICE TO THE PARTIES</w:t>
      </w:r>
    </w:p>
    <w:p w14:paraId="319A7136" w14:textId="77777777" w:rsidR="00824062" w:rsidRPr="0031048E" w:rsidRDefault="00824062" w:rsidP="0031048E">
      <w:pPr>
        <w:spacing w:line="264" w:lineRule="auto"/>
        <w:rPr>
          <w:sz w:val="14"/>
          <w:szCs w:val="16"/>
        </w:rPr>
      </w:pPr>
    </w:p>
    <w:p w14:paraId="0CF60427" w14:textId="77777777" w:rsidR="00824062" w:rsidRPr="0031048E" w:rsidRDefault="00824062" w:rsidP="0031048E">
      <w:pPr>
        <w:spacing w:line="264" w:lineRule="auto"/>
        <w:rPr>
          <w:szCs w:val="25"/>
        </w:rPr>
      </w:pPr>
      <w:r w:rsidRPr="0031048E">
        <w:rPr>
          <w:szCs w:val="25"/>
        </w:rPr>
        <w:t>This is an Initial O</w:t>
      </w:r>
      <w:r w:rsidR="0031048E">
        <w:rPr>
          <w:szCs w:val="25"/>
        </w:rPr>
        <w:t>rder.</w:t>
      </w:r>
      <w:r w:rsidRPr="0031048E">
        <w:rPr>
          <w:szCs w:val="25"/>
        </w:rPr>
        <w:t xml:space="preserve"> The action proposed in this initial o</w:t>
      </w:r>
      <w:r w:rsidR="0031048E">
        <w:rPr>
          <w:szCs w:val="25"/>
        </w:rPr>
        <w:t xml:space="preserve">rder is not yet effective. </w:t>
      </w:r>
      <w:r w:rsidRPr="0031048E">
        <w:rPr>
          <w:szCs w:val="25"/>
        </w:rPr>
        <w:t xml:space="preserve">If you disagree with this Initial Order and want the Commission to consider your comments, you must take specific action within </w:t>
      </w:r>
      <w:r w:rsidR="0031048E">
        <w:rPr>
          <w:szCs w:val="25"/>
        </w:rPr>
        <w:t>the time limits outlined below.</w:t>
      </w:r>
      <w:r w:rsidRPr="0031048E">
        <w:rPr>
          <w:szCs w:val="25"/>
        </w:rPr>
        <w:t xml:space="preserve"> If you agree with this Initial Order and would like it to become final before the time limits expire, you may send a letter to the Commission, waiving your right to petition for administrative review.</w:t>
      </w:r>
    </w:p>
    <w:p w14:paraId="550A1659" w14:textId="77777777" w:rsidR="00824062" w:rsidRPr="0031048E" w:rsidRDefault="00824062" w:rsidP="0031048E">
      <w:pPr>
        <w:spacing w:line="264" w:lineRule="auto"/>
        <w:rPr>
          <w:sz w:val="14"/>
          <w:szCs w:val="16"/>
        </w:rPr>
      </w:pPr>
    </w:p>
    <w:p w14:paraId="7F08276D" w14:textId="77777777" w:rsidR="00824062" w:rsidRPr="0031048E" w:rsidRDefault="00824062" w:rsidP="0031048E">
      <w:pPr>
        <w:spacing w:line="264" w:lineRule="auto"/>
        <w:rPr>
          <w:szCs w:val="25"/>
        </w:rPr>
      </w:pPr>
      <w:r w:rsidRPr="0031048E">
        <w:rPr>
          <w:szCs w:val="25"/>
        </w:rPr>
        <w:t>WAC 480-07-825(2) provides that any party to this proceeding has twenty (20) days after the entry of this Initial Order to file a Petition for Administrative Review (Petition)</w:t>
      </w:r>
      <w:r w:rsidR="0031048E">
        <w:rPr>
          <w:szCs w:val="25"/>
        </w:rPr>
        <w:t xml:space="preserve">. </w:t>
      </w:r>
      <w:r w:rsidRPr="0031048E">
        <w:rPr>
          <w:szCs w:val="25"/>
        </w:rPr>
        <w:t>Section (3) of the rule identifies what you must include in any Petition as well as other requirements for a Petition.</w:t>
      </w:r>
      <w:r w:rsidR="0031048E">
        <w:rPr>
          <w:szCs w:val="25"/>
        </w:rPr>
        <w:t xml:space="preserve"> </w:t>
      </w:r>
      <w:r w:rsidRPr="0031048E">
        <w:rPr>
          <w:szCs w:val="25"/>
        </w:rPr>
        <w:t>WAC 480-07-825(4) states that any party may file an Answer to a Petition (Answer) within (10) days after service of the Petition.</w:t>
      </w:r>
    </w:p>
    <w:p w14:paraId="76DD6B4B" w14:textId="77777777" w:rsidR="00824062" w:rsidRPr="0031048E" w:rsidRDefault="00824062" w:rsidP="0031048E">
      <w:pPr>
        <w:spacing w:line="264" w:lineRule="auto"/>
        <w:rPr>
          <w:sz w:val="14"/>
          <w:szCs w:val="16"/>
        </w:rPr>
      </w:pPr>
    </w:p>
    <w:p w14:paraId="276A0F43" w14:textId="77777777" w:rsidR="00824062" w:rsidRPr="0031048E" w:rsidRDefault="00824062" w:rsidP="0031048E">
      <w:pPr>
        <w:spacing w:line="264" w:lineRule="auto"/>
        <w:rPr>
          <w:szCs w:val="25"/>
        </w:rPr>
      </w:pPr>
      <w:r w:rsidRPr="0031048E">
        <w:rPr>
          <w:szCs w:val="25"/>
        </w:rPr>
        <w:t>WAC 480-07-830 states that before the Commission enters a final order any party may file a petition to reopen a contested proceeding to permit receipt of evidence essential to a decision, but unavailable and not reasonably discoverable at the time of hearing, or for ot</w:t>
      </w:r>
      <w:r w:rsidR="0031048E">
        <w:rPr>
          <w:szCs w:val="25"/>
        </w:rPr>
        <w:t xml:space="preserve">her good and sufficient cause. </w:t>
      </w:r>
      <w:r w:rsidRPr="0031048E">
        <w:rPr>
          <w:szCs w:val="25"/>
        </w:rPr>
        <w:t>The Commission will not accept answers to such a petition unless the Commission requests answers by written notice.</w:t>
      </w:r>
    </w:p>
    <w:p w14:paraId="2AD85049" w14:textId="77777777" w:rsidR="00824062" w:rsidRPr="0031048E" w:rsidRDefault="00824062" w:rsidP="0031048E">
      <w:pPr>
        <w:spacing w:line="264" w:lineRule="auto"/>
        <w:rPr>
          <w:sz w:val="14"/>
          <w:szCs w:val="16"/>
        </w:rPr>
      </w:pPr>
    </w:p>
    <w:p w14:paraId="478CDD48" w14:textId="77777777" w:rsidR="00824062" w:rsidRPr="0031048E" w:rsidRDefault="00824062" w:rsidP="0031048E">
      <w:pPr>
        <w:spacing w:line="264" w:lineRule="auto"/>
        <w:rPr>
          <w:szCs w:val="25"/>
        </w:rPr>
      </w:pPr>
      <w:r w:rsidRPr="0031048E">
        <w:rPr>
          <w:szCs w:val="25"/>
        </w:rPr>
        <w:t>RCW 80.01.060(3) provides that an Initial Order will become final without further Commission action if no party seeks administrative review of the Initial Order and if the Commission does not exercise administra</w:t>
      </w:r>
      <w:r w:rsidR="0031048E">
        <w:rPr>
          <w:szCs w:val="25"/>
        </w:rPr>
        <w:t xml:space="preserve">tive review on its own motion. </w:t>
      </w:r>
      <w:r w:rsidRPr="0031048E">
        <w:rPr>
          <w:szCs w:val="25"/>
        </w:rPr>
        <w:t>You will be notified if this order becomes final either by operation of law or on administrative review.</w:t>
      </w:r>
    </w:p>
    <w:p w14:paraId="0211E80E" w14:textId="77777777" w:rsidR="00824062" w:rsidRPr="0031048E" w:rsidRDefault="00824062" w:rsidP="0031048E">
      <w:pPr>
        <w:spacing w:line="264" w:lineRule="auto"/>
        <w:rPr>
          <w:sz w:val="14"/>
          <w:szCs w:val="16"/>
        </w:rPr>
      </w:pPr>
    </w:p>
    <w:p w14:paraId="04000CD9" w14:textId="77777777" w:rsidR="00824062" w:rsidRPr="0031048E" w:rsidRDefault="00824062" w:rsidP="0031048E">
      <w:pPr>
        <w:spacing w:line="264" w:lineRule="auto"/>
        <w:rPr>
          <w:szCs w:val="25"/>
        </w:rPr>
      </w:pPr>
      <w:r w:rsidRPr="0031048E">
        <w:rPr>
          <w:szCs w:val="25"/>
        </w:rPr>
        <w:t>You must serve on each party of record one copy of any Petition or Answer filed with the Commission, including proof of service as required</w:t>
      </w:r>
      <w:r w:rsidR="0031048E">
        <w:rPr>
          <w:szCs w:val="25"/>
        </w:rPr>
        <w:t xml:space="preserve"> by WAC 480-07-150(8) and (9). </w:t>
      </w:r>
      <w:r w:rsidRPr="0031048E">
        <w:rPr>
          <w:szCs w:val="25"/>
        </w:rPr>
        <w:t>To file a Petition or Answer with the Commission, you must file an original and one (1)</w:t>
      </w:r>
      <w:r w:rsidRPr="0031048E">
        <w:rPr>
          <w:b/>
          <w:szCs w:val="25"/>
        </w:rPr>
        <w:t xml:space="preserve"> </w:t>
      </w:r>
      <w:r w:rsidRPr="0031048E">
        <w:rPr>
          <w:szCs w:val="25"/>
        </w:rPr>
        <w:t>cop</w:t>
      </w:r>
      <w:r w:rsidR="00E548AD" w:rsidRPr="0031048E">
        <w:rPr>
          <w:szCs w:val="25"/>
        </w:rPr>
        <w:t>y</w:t>
      </w:r>
      <w:r w:rsidRPr="0031048E">
        <w:rPr>
          <w:szCs w:val="25"/>
        </w:rPr>
        <w:t xml:space="preserve"> of your Petition or Answer by mail delivery to:</w:t>
      </w:r>
    </w:p>
    <w:p w14:paraId="10F9974F" w14:textId="77777777" w:rsidR="00824062" w:rsidRPr="0031048E" w:rsidRDefault="00824062" w:rsidP="0031048E">
      <w:pPr>
        <w:spacing w:line="264" w:lineRule="auto"/>
        <w:rPr>
          <w:sz w:val="16"/>
          <w:szCs w:val="18"/>
        </w:rPr>
      </w:pPr>
    </w:p>
    <w:p w14:paraId="522E7E31" w14:textId="77777777" w:rsidR="00824062" w:rsidRPr="0031048E" w:rsidRDefault="00824062" w:rsidP="0031048E">
      <w:pPr>
        <w:spacing w:line="264" w:lineRule="auto"/>
        <w:rPr>
          <w:szCs w:val="25"/>
        </w:rPr>
      </w:pPr>
      <w:r w:rsidRPr="0031048E">
        <w:rPr>
          <w:szCs w:val="25"/>
        </w:rPr>
        <w:t>Attn: Steven V. King, Executive Director and Secretary</w:t>
      </w:r>
    </w:p>
    <w:p w14:paraId="5CABF9D9" w14:textId="77777777" w:rsidR="00824062" w:rsidRPr="0031048E" w:rsidRDefault="00824062" w:rsidP="0031048E">
      <w:pPr>
        <w:spacing w:line="264" w:lineRule="auto"/>
        <w:rPr>
          <w:szCs w:val="25"/>
        </w:rPr>
      </w:pPr>
      <w:smartTag w:uri="urn:schemas-microsoft-com:office:smarttags" w:element="place">
        <w:smartTag w:uri="urn:schemas-microsoft-com:office:smarttags" w:element="State">
          <w:r w:rsidRPr="0031048E">
            <w:rPr>
              <w:szCs w:val="25"/>
            </w:rPr>
            <w:t>Washington</w:t>
          </w:r>
        </w:smartTag>
      </w:smartTag>
      <w:r w:rsidRPr="0031048E">
        <w:rPr>
          <w:szCs w:val="25"/>
        </w:rPr>
        <w:t xml:space="preserve"> Utilities and Transportation Commission </w:t>
      </w:r>
    </w:p>
    <w:p w14:paraId="4C9CEC79" w14:textId="77777777" w:rsidR="00824062" w:rsidRPr="0031048E" w:rsidRDefault="00824062" w:rsidP="0031048E">
      <w:pPr>
        <w:spacing w:line="264" w:lineRule="auto"/>
        <w:rPr>
          <w:szCs w:val="25"/>
        </w:rPr>
      </w:pPr>
      <w:smartTag w:uri="urn:schemas-microsoft-com:office:smarttags" w:element="address">
        <w:smartTag w:uri="urn:schemas-microsoft-com:office:smarttags" w:element="Street">
          <w:r w:rsidRPr="0031048E">
            <w:rPr>
              <w:szCs w:val="25"/>
            </w:rPr>
            <w:t>P.O. Box</w:t>
          </w:r>
        </w:smartTag>
        <w:r w:rsidRPr="0031048E">
          <w:rPr>
            <w:szCs w:val="25"/>
          </w:rPr>
          <w:t xml:space="preserve"> 47250</w:t>
        </w:r>
      </w:smartTag>
    </w:p>
    <w:p w14:paraId="3B28B45A" w14:textId="77777777" w:rsidR="00824062" w:rsidRPr="0031048E" w:rsidRDefault="00824062" w:rsidP="0031048E">
      <w:pPr>
        <w:spacing w:line="264" w:lineRule="auto"/>
        <w:rPr>
          <w:b/>
          <w:szCs w:val="25"/>
        </w:rPr>
      </w:pPr>
      <w:r w:rsidRPr="0031048E">
        <w:rPr>
          <w:szCs w:val="25"/>
        </w:rPr>
        <w:t>Olympia, Washington  98504-7250</w:t>
      </w:r>
    </w:p>
    <w:p w14:paraId="239BA4BB" w14:textId="77777777" w:rsidR="00824062" w:rsidRPr="0031048E" w:rsidRDefault="00824062" w:rsidP="0031048E">
      <w:pPr>
        <w:spacing w:line="264" w:lineRule="auto"/>
        <w:rPr>
          <w:szCs w:val="25"/>
        </w:rPr>
      </w:pPr>
    </w:p>
    <w:sectPr w:rsidR="00824062" w:rsidRPr="0031048E" w:rsidSect="0031048E">
      <w:headerReference w:type="default" r:id="rId11"/>
      <w:headerReference w:type="first" r:id="rId12"/>
      <w:type w:val="continuous"/>
      <w:pgSz w:w="12240" w:h="15840"/>
      <w:pgMar w:top="1440" w:right="1440" w:bottom="1440" w:left="2160" w:header="1440" w:footer="720" w:gutter="0"/>
      <w:cols w:space="0" w:equalWidth="0">
        <w:col w:w="9000" w:space="0"/>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7CA83" w14:textId="77777777" w:rsidR="000C7739" w:rsidRDefault="000C7739">
      <w:r>
        <w:separator/>
      </w:r>
    </w:p>
  </w:endnote>
  <w:endnote w:type="continuationSeparator" w:id="0">
    <w:p w14:paraId="719C5FA0" w14:textId="77777777" w:rsidR="000C7739" w:rsidRDefault="000C7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4A7E1" w14:textId="77777777" w:rsidR="000C7739" w:rsidRDefault="000C7739">
      <w:r>
        <w:separator/>
      </w:r>
    </w:p>
  </w:footnote>
  <w:footnote w:type="continuationSeparator" w:id="0">
    <w:p w14:paraId="4C58E138" w14:textId="77777777" w:rsidR="000C7739" w:rsidRDefault="000C7739">
      <w:r>
        <w:continuationSeparator/>
      </w:r>
    </w:p>
  </w:footnote>
  <w:footnote w:id="1">
    <w:p w14:paraId="0DE8E91A" w14:textId="77777777" w:rsidR="00AC2EEE" w:rsidRDefault="00AC2EEE" w:rsidP="00AC2EEE">
      <w:pPr>
        <w:pStyle w:val="FootnoteText"/>
      </w:pPr>
      <w:r>
        <w:rPr>
          <w:rStyle w:val="FootnoteReference"/>
        </w:rPr>
        <w:footnoteRef/>
      </w:r>
      <w:r>
        <w:t xml:space="preserve"> In a formal proceeding</w:t>
      </w:r>
      <w:r w:rsidRPr="006D2993">
        <w:t>, such as this, the Commission’s regulatory staff participates like any other party, while the C</w:t>
      </w:r>
      <w:r w:rsidR="0031048E">
        <w:t>ommissioners make the decision.</w:t>
      </w:r>
      <w:r w:rsidRPr="006D2993">
        <w:t xml:space="preserve"> To assure fairness, the Commissioners, the presiding administrative law judge, and the Commissioners’ policy and accounting advisors do not discuss the merits of this proceeding with the regulatory staff, or any other party, without giving notice and opportunity </w:t>
      </w:r>
      <w:r w:rsidR="0031048E">
        <w:t>for all parties to participate.</w:t>
      </w:r>
      <w:r w:rsidRPr="006D2993">
        <w:t xml:space="preserve"> </w:t>
      </w:r>
      <w:r w:rsidRPr="006D2993">
        <w:rPr>
          <w:i/>
        </w:rPr>
        <w:t>See</w:t>
      </w:r>
      <w:r w:rsidRPr="006D2993">
        <w:t xml:space="preserve"> RCW 34.05.455</w:t>
      </w:r>
      <w:r>
        <w:t>.</w:t>
      </w:r>
    </w:p>
  </w:footnote>
  <w:footnote w:id="2">
    <w:p w14:paraId="3B433F6C" w14:textId="77777777" w:rsidR="006312FD" w:rsidRDefault="006312FD">
      <w:pPr>
        <w:pStyle w:val="FootnoteText"/>
      </w:pPr>
      <w:r>
        <w:rPr>
          <w:rStyle w:val="FootnoteReference"/>
        </w:rPr>
        <w:footnoteRef/>
      </w:r>
      <w:r>
        <w:t xml:space="preserve"> 47 C.F.R. § 51.319(e).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A2E78" w14:textId="77777777" w:rsidR="00B0607B" w:rsidRPr="00F523EC" w:rsidRDefault="00AE6CD4">
    <w:pPr>
      <w:pStyle w:val="Header"/>
      <w:rPr>
        <w:rStyle w:val="PageNumber"/>
        <w:b/>
        <w:bCs/>
        <w:sz w:val="20"/>
      </w:rPr>
    </w:pPr>
    <w:r>
      <w:rPr>
        <w:b/>
        <w:bCs/>
        <w:sz w:val="20"/>
      </w:rPr>
      <w:t>DOCKET UT-151296</w:t>
    </w:r>
    <w:r w:rsidR="00B0607B" w:rsidRPr="00F523EC">
      <w:rPr>
        <w:b/>
        <w:bCs/>
        <w:sz w:val="20"/>
      </w:rPr>
      <w:tab/>
    </w:r>
    <w:r w:rsidR="00B0607B" w:rsidRPr="00F523EC">
      <w:rPr>
        <w:b/>
        <w:bCs/>
        <w:sz w:val="20"/>
      </w:rPr>
      <w:tab/>
      <w:t xml:space="preserve">PAGE </w:t>
    </w:r>
    <w:r w:rsidR="00B0607B" w:rsidRPr="00F523EC">
      <w:rPr>
        <w:rStyle w:val="PageNumber"/>
        <w:b/>
        <w:bCs/>
        <w:sz w:val="20"/>
      </w:rPr>
      <w:fldChar w:fldCharType="begin"/>
    </w:r>
    <w:r w:rsidR="00B0607B" w:rsidRPr="00F523EC">
      <w:rPr>
        <w:rStyle w:val="PageNumber"/>
        <w:b/>
        <w:bCs/>
        <w:sz w:val="20"/>
      </w:rPr>
      <w:instrText xml:space="preserve"> PAGE </w:instrText>
    </w:r>
    <w:r w:rsidR="00B0607B" w:rsidRPr="00F523EC">
      <w:rPr>
        <w:rStyle w:val="PageNumber"/>
        <w:b/>
        <w:bCs/>
        <w:sz w:val="20"/>
      </w:rPr>
      <w:fldChar w:fldCharType="separate"/>
    </w:r>
    <w:r w:rsidR="00F20DA0">
      <w:rPr>
        <w:rStyle w:val="PageNumber"/>
        <w:b/>
        <w:bCs/>
        <w:noProof/>
        <w:sz w:val="20"/>
      </w:rPr>
      <w:t>4</w:t>
    </w:r>
    <w:r w:rsidR="00B0607B" w:rsidRPr="00F523EC">
      <w:rPr>
        <w:rStyle w:val="PageNumber"/>
        <w:b/>
        <w:bCs/>
        <w:sz w:val="20"/>
      </w:rPr>
      <w:fldChar w:fldCharType="end"/>
    </w:r>
  </w:p>
  <w:p w14:paraId="1665A789" w14:textId="77777777" w:rsidR="00B0607B" w:rsidRPr="00F523EC" w:rsidRDefault="00B0607B">
    <w:pPr>
      <w:pStyle w:val="Header"/>
      <w:rPr>
        <w:rStyle w:val="PageNumber"/>
        <w:b/>
        <w:bCs/>
        <w:sz w:val="20"/>
      </w:rPr>
    </w:pPr>
    <w:r w:rsidRPr="00F523EC">
      <w:rPr>
        <w:rStyle w:val="PageNumber"/>
        <w:b/>
        <w:bCs/>
        <w:sz w:val="20"/>
      </w:rPr>
      <w:t>ORDER 0</w:t>
    </w:r>
    <w:r w:rsidR="00AC2EEE">
      <w:rPr>
        <w:rStyle w:val="PageNumber"/>
        <w:b/>
        <w:bCs/>
        <w:sz w:val="20"/>
      </w:rPr>
      <w:t>3</w:t>
    </w:r>
  </w:p>
  <w:p w14:paraId="54D8E2A6" w14:textId="77777777" w:rsidR="00B0607B" w:rsidRPr="00F523EC" w:rsidRDefault="00B0607B" w:rsidP="007B4D08">
    <w:pPr>
      <w:pStyle w:val="Header"/>
      <w:ind w:left="-720"/>
      <w:rPr>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4C0D3" w14:textId="10CA9FFB" w:rsidR="008E38F3" w:rsidRPr="008E38F3" w:rsidRDefault="008E38F3" w:rsidP="008E38F3">
    <w:pPr>
      <w:pStyle w:val="Header"/>
      <w:jc w:val="right"/>
      <w:rPr>
        <w:b/>
        <w:sz w:val="20"/>
        <w:szCs w:val="20"/>
      </w:rPr>
    </w:pPr>
    <w:r>
      <w:rPr>
        <w:b/>
        <w:sz w:val="20"/>
        <w:szCs w:val="20"/>
      </w:rPr>
      <w:t>[Service date August 19,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C8E2B15"/>
    <w:multiLevelType w:val="hybridMultilevel"/>
    <w:tmpl w:val="6B2E5F6E"/>
    <w:lvl w:ilvl="0" w:tplc="0E2E59A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171526"/>
    <w:multiLevelType w:val="hybridMultilevel"/>
    <w:tmpl w:val="276CB9F2"/>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E063A0"/>
    <w:multiLevelType w:val="hybridMultilevel"/>
    <w:tmpl w:val="9B72CAE0"/>
    <w:lvl w:ilvl="0" w:tplc="A51478C6">
      <w:start w:val="1"/>
      <w:numFmt w:val="decimal"/>
      <w:lvlText w:val="%1"/>
      <w:lvlJc w:val="left"/>
      <w:pPr>
        <w:tabs>
          <w:tab w:val="num" w:pos="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1280986"/>
    <w:multiLevelType w:val="hybridMultilevel"/>
    <w:tmpl w:val="88747476"/>
    <w:lvl w:ilvl="0" w:tplc="8E1080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AA32DC"/>
    <w:multiLevelType w:val="hybridMultilevel"/>
    <w:tmpl w:val="08B429A0"/>
    <w:lvl w:ilvl="0" w:tplc="B05076C0">
      <w:start w:val="9"/>
      <w:numFmt w:val="upperLetter"/>
      <w:lvlText w:val="%1."/>
      <w:lvlJc w:val="left"/>
      <w:pPr>
        <w:tabs>
          <w:tab w:val="num" w:pos="720"/>
        </w:tabs>
        <w:ind w:left="720" w:hanging="360"/>
      </w:pPr>
      <w:rPr>
        <w:rFonts w:hint="default"/>
      </w:rPr>
    </w:lvl>
    <w:lvl w:ilvl="1" w:tplc="22124DCE">
      <w:start w:val="1"/>
      <w:numFmt w:val="upperLetter"/>
      <w:lvlText w:val="%2."/>
      <w:lvlJc w:val="left"/>
      <w:pPr>
        <w:tabs>
          <w:tab w:val="num" w:pos="450"/>
        </w:tabs>
        <w:ind w:left="450" w:hanging="360"/>
      </w:pPr>
      <w:rPr>
        <w:rFonts w:ascii="Times New Roman" w:eastAsia="Times New Roman" w:hAnsi="Times New Roman" w:cs="Times New Roman"/>
      </w:rPr>
    </w:lvl>
    <w:lvl w:ilvl="2" w:tplc="39640320">
      <w:start w:val="1"/>
      <w:numFmt w:val="decimal"/>
      <w:lvlText w:val="%3."/>
      <w:lvlJc w:val="right"/>
      <w:pPr>
        <w:tabs>
          <w:tab w:val="num" w:pos="180"/>
        </w:tabs>
        <w:ind w:left="18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0F">
      <w:start w:val="1"/>
      <w:numFmt w:val="decimal"/>
      <w:lvlText w:val="%6."/>
      <w:lvlJc w:val="left"/>
      <w:pPr>
        <w:tabs>
          <w:tab w:val="num" w:pos="4500"/>
        </w:tabs>
        <w:ind w:left="4500" w:hanging="360"/>
      </w:pPr>
      <w:rPr>
        <w:rFonts w:hint="default"/>
        <w:i w:val="0"/>
      </w:rPr>
    </w:lvl>
    <w:lvl w:ilvl="6" w:tplc="9A8A3250">
      <w:start w:val="2"/>
      <w:numFmt w:val="lowerLetter"/>
      <w:lvlText w:val="%7."/>
      <w:lvlJc w:val="left"/>
      <w:pPr>
        <w:ind w:left="5040" w:hanging="360"/>
      </w:pPr>
      <w:rPr>
        <w:rFonts w:hint="default"/>
      </w:rPr>
    </w:lvl>
    <w:lvl w:ilvl="7" w:tplc="59E6484E">
      <w:start w:val="7"/>
      <w:numFmt w:val="bullet"/>
      <w:lvlText w:val=""/>
      <w:lvlJc w:val="left"/>
      <w:pPr>
        <w:ind w:left="5760" w:hanging="360"/>
      </w:pPr>
      <w:rPr>
        <w:rFonts w:ascii="Symbol" w:eastAsia="Times New Roman" w:hAnsi="Symbol" w:cs="Times New Roman" w:hint="default"/>
      </w:r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4"/>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55"/>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A1B"/>
    <w:rsid w:val="00024BC5"/>
    <w:rsid w:val="00024CD1"/>
    <w:rsid w:val="000477A6"/>
    <w:rsid w:val="00061E67"/>
    <w:rsid w:val="00077947"/>
    <w:rsid w:val="00083556"/>
    <w:rsid w:val="000A30D2"/>
    <w:rsid w:val="000A5CAE"/>
    <w:rsid w:val="000B4295"/>
    <w:rsid w:val="000C200E"/>
    <w:rsid w:val="000C468E"/>
    <w:rsid w:val="000C7739"/>
    <w:rsid w:val="000D5F40"/>
    <w:rsid w:val="000D6A1B"/>
    <w:rsid w:val="000E1020"/>
    <w:rsid w:val="000E14C0"/>
    <w:rsid w:val="000E4BC9"/>
    <w:rsid w:val="000E75B5"/>
    <w:rsid w:val="000F1D22"/>
    <w:rsid w:val="000F45EC"/>
    <w:rsid w:val="000F6A61"/>
    <w:rsid w:val="0011065E"/>
    <w:rsid w:val="0012336B"/>
    <w:rsid w:val="00150B1F"/>
    <w:rsid w:val="00161DE2"/>
    <w:rsid w:val="0017428F"/>
    <w:rsid w:val="00177BFE"/>
    <w:rsid w:val="00181093"/>
    <w:rsid w:val="00181604"/>
    <w:rsid w:val="001851E1"/>
    <w:rsid w:val="00185245"/>
    <w:rsid w:val="001C37C8"/>
    <w:rsid w:val="001C5C92"/>
    <w:rsid w:val="001C7B06"/>
    <w:rsid w:val="001D5D9E"/>
    <w:rsid w:val="001E456A"/>
    <w:rsid w:val="001F448E"/>
    <w:rsid w:val="00200E0C"/>
    <w:rsid w:val="00242283"/>
    <w:rsid w:val="002427AA"/>
    <w:rsid w:val="002458F0"/>
    <w:rsid w:val="00245E9C"/>
    <w:rsid w:val="00257F90"/>
    <w:rsid w:val="0026515A"/>
    <w:rsid w:val="00272DB6"/>
    <w:rsid w:val="002838B4"/>
    <w:rsid w:val="00286C6E"/>
    <w:rsid w:val="00293CC3"/>
    <w:rsid w:val="002B02ED"/>
    <w:rsid w:val="002B7624"/>
    <w:rsid w:val="002C137C"/>
    <w:rsid w:val="002D6D88"/>
    <w:rsid w:val="003032BD"/>
    <w:rsid w:val="0031048E"/>
    <w:rsid w:val="0031548C"/>
    <w:rsid w:val="00321F71"/>
    <w:rsid w:val="0032503C"/>
    <w:rsid w:val="00330D1E"/>
    <w:rsid w:val="00343481"/>
    <w:rsid w:val="00361A64"/>
    <w:rsid w:val="00373A0E"/>
    <w:rsid w:val="00396A24"/>
    <w:rsid w:val="003A7E28"/>
    <w:rsid w:val="003B4DD0"/>
    <w:rsid w:val="003C3D41"/>
    <w:rsid w:val="003D0A22"/>
    <w:rsid w:val="003E7566"/>
    <w:rsid w:val="004059E6"/>
    <w:rsid w:val="00407582"/>
    <w:rsid w:val="00410180"/>
    <w:rsid w:val="00416DB9"/>
    <w:rsid w:val="00427395"/>
    <w:rsid w:val="00434B19"/>
    <w:rsid w:val="00444D1B"/>
    <w:rsid w:val="00455F2E"/>
    <w:rsid w:val="004625FE"/>
    <w:rsid w:val="00464C0F"/>
    <w:rsid w:val="004661ED"/>
    <w:rsid w:val="00474753"/>
    <w:rsid w:val="004806A5"/>
    <w:rsid w:val="00483D29"/>
    <w:rsid w:val="004B7A43"/>
    <w:rsid w:val="004C18CB"/>
    <w:rsid w:val="004F0ABB"/>
    <w:rsid w:val="004F3DA4"/>
    <w:rsid w:val="00500D07"/>
    <w:rsid w:val="00504B40"/>
    <w:rsid w:val="00521418"/>
    <w:rsid w:val="0052470A"/>
    <w:rsid w:val="00524B07"/>
    <w:rsid w:val="00533D33"/>
    <w:rsid w:val="00535C63"/>
    <w:rsid w:val="00561CA1"/>
    <w:rsid w:val="005711E5"/>
    <w:rsid w:val="00576CE9"/>
    <w:rsid w:val="00577714"/>
    <w:rsid w:val="00585DDF"/>
    <w:rsid w:val="005872A3"/>
    <w:rsid w:val="00590813"/>
    <w:rsid w:val="005935E8"/>
    <w:rsid w:val="005A3025"/>
    <w:rsid w:val="005D7742"/>
    <w:rsid w:val="005E6F51"/>
    <w:rsid w:val="005F1D52"/>
    <w:rsid w:val="005F41C0"/>
    <w:rsid w:val="006034BA"/>
    <w:rsid w:val="00614AA9"/>
    <w:rsid w:val="00624601"/>
    <w:rsid w:val="006312FD"/>
    <w:rsid w:val="00637A82"/>
    <w:rsid w:val="006406DC"/>
    <w:rsid w:val="0065632A"/>
    <w:rsid w:val="0067482D"/>
    <w:rsid w:val="00675876"/>
    <w:rsid w:val="006858F9"/>
    <w:rsid w:val="00687C38"/>
    <w:rsid w:val="006945C3"/>
    <w:rsid w:val="006B008C"/>
    <w:rsid w:val="006B3251"/>
    <w:rsid w:val="006C3612"/>
    <w:rsid w:val="006D2993"/>
    <w:rsid w:val="006E0032"/>
    <w:rsid w:val="006E11B3"/>
    <w:rsid w:val="00707479"/>
    <w:rsid w:val="0071495E"/>
    <w:rsid w:val="00723E4D"/>
    <w:rsid w:val="00773130"/>
    <w:rsid w:val="007772CB"/>
    <w:rsid w:val="00781A64"/>
    <w:rsid w:val="00790181"/>
    <w:rsid w:val="00795186"/>
    <w:rsid w:val="007A140E"/>
    <w:rsid w:val="007B4D08"/>
    <w:rsid w:val="007B6EBB"/>
    <w:rsid w:val="007B787F"/>
    <w:rsid w:val="007C50E4"/>
    <w:rsid w:val="007C6396"/>
    <w:rsid w:val="007E1D89"/>
    <w:rsid w:val="00815A2E"/>
    <w:rsid w:val="00816F71"/>
    <w:rsid w:val="00817AF5"/>
    <w:rsid w:val="00824062"/>
    <w:rsid w:val="008265F4"/>
    <w:rsid w:val="00835849"/>
    <w:rsid w:val="00837849"/>
    <w:rsid w:val="00837B26"/>
    <w:rsid w:val="00840CDE"/>
    <w:rsid w:val="00841C4C"/>
    <w:rsid w:val="00851E9B"/>
    <w:rsid w:val="0086626A"/>
    <w:rsid w:val="00871AF0"/>
    <w:rsid w:val="00871C36"/>
    <w:rsid w:val="00872A89"/>
    <w:rsid w:val="00881A92"/>
    <w:rsid w:val="0088564D"/>
    <w:rsid w:val="00892A0D"/>
    <w:rsid w:val="008A195B"/>
    <w:rsid w:val="008A68AC"/>
    <w:rsid w:val="008B0AC8"/>
    <w:rsid w:val="008B626F"/>
    <w:rsid w:val="008C0C7D"/>
    <w:rsid w:val="008C3602"/>
    <w:rsid w:val="008D1805"/>
    <w:rsid w:val="008D2E86"/>
    <w:rsid w:val="008E38F3"/>
    <w:rsid w:val="008F1FCE"/>
    <w:rsid w:val="008F380F"/>
    <w:rsid w:val="008F6E81"/>
    <w:rsid w:val="00900204"/>
    <w:rsid w:val="00922D7C"/>
    <w:rsid w:val="00923999"/>
    <w:rsid w:val="0092713B"/>
    <w:rsid w:val="00965F84"/>
    <w:rsid w:val="00972457"/>
    <w:rsid w:val="00973B3C"/>
    <w:rsid w:val="0097454A"/>
    <w:rsid w:val="009766F2"/>
    <w:rsid w:val="009A04BC"/>
    <w:rsid w:val="009A7325"/>
    <w:rsid w:val="009B0D06"/>
    <w:rsid w:val="009D1BF4"/>
    <w:rsid w:val="009E53D2"/>
    <w:rsid w:val="009F53BE"/>
    <w:rsid w:val="00A05A5E"/>
    <w:rsid w:val="00A11DD7"/>
    <w:rsid w:val="00A12760"/>
    <w:rsid w:val="00A1514B"/>
    <w:rsid w:val="00A3253B"/>
    <w:rsid w:val="00A44E3A"/>
    <w:rsid w:val="00A5248D"/>
    <w:rsid w:val="00A64AED"/>
    <w:rsid w:val="00A7450F"/>
    <w:rsid w:val="00A81DE4"/>
    <w:rsid w:val="00A84830"/>
    <w:rsid w:val="00A8530D"/>
    <w:rsid w:val="00A912B3"/>
    <w:rsid w:val="00AA3CB6"/>
    <w:rsid w:val="00AC2EEE"/>
    <w:rsid w:val="00AD3F7D"/>
    <w:rsid w:val="00AD5050"/>
    <w:rsid w:val="00AD665C"/>
    <w:rsid w:val="00AE1F2C"/>
    <w:rsid w:val="00AE2198"/>
    <w:rsid w:val="00AE5D30"/>
    <w:rsid w:val="00AE6CD4"/>
    <w:rsid w:val="00AF6C67"/>
    <w:rsid w:val="00B0607B"/>
    <w:rsid w:val="00B0790B"/>
    <w:rsid w:val="00B116CA"/>
    <w:rsid w:val="00B132CB"/>
    <w:rsid w:val="00B154B4"/>
    <w:rsid w:val="00B42B7C"/>
    <w:rsid w:val="00B4570A"/>
    <w:rsid w:val="00B61BF7"/>
    <w:rsid w:val="00B8506F"/>
    <w:rsid w:val="00B91D7E"/>
    <w:rsid w:val="00B93370"/>
    <w:rsid w:val="00BA3DC9"/>
    <w:rsid w:val="00BA4E78"/>
    <w:rsid w:val="00BB0E3C"/>
    <w:rsid w:val="00BB23F4"/>
    <w:rsid w:val="00BC1B21"/>
    <w:rsid w:val="00BF481F"/>
    <w:rsid w:val="00BF5430"/>
    <w:rsid w:val="00BF6AAC"/>
    <w:rsid w:val="00C2536E"/>
    <w:rsid w:val="00C2749F"/>
    <w:rsid w:val="00C27E41"/>
    <w:rsid w:val="00C35593"/>
    <w:rsid w:val="00C50397"/>
    <w:rsid w:val="00C508F7"/>
    <w:rsid w:val="00C55C67"/>
    <w:rsid w:val="00C6151D"/>
    <w:rsid w:val="00C81123"/>
    <w:rsid w:val="00CB1D76"/>
    <w:rsid w:val="00CC64FE"/>
    <w:rsid w:val="00CD3241"/>
    <w:rsid w:val="00CE551A"/>
    <w:rsid w:val="00D0002C"/>
    <w:rsid w:val="00D04018"/>
    <w:rsid w:val="00D47014"/>
    <w:rsid w:val="00D53941"/>
    <w:rsid w:val="00D55305"/>
    <w:rsid w:val="00D80B74"/>
    <w:rsid w:val="00D97EA3"/>
    <w:rsid w:val="00DA664A"/>
    <w:rsid w:val="00DC31FE"/>
    <w:rsid w:val="00DC39A1"/>
    <w:rsid w:val="00DC3D40"/>
    <w:rsid w:val="00DC5382"/>
    <w:rsid w:val="00DD0DE6"/>
    <w:rsid w:val="00DE068F"/>
    <w:rsid w:val="00DE545F"/>
    <w:rsid w:val="00DF4015"/>
    <w:rsid w:val="00DF7FC4"/>
    <w:rsid w:val="00E3735C"/>
    <w:rsid w:val="00E37F95"/>
    <w:rsid w:val="00E50DC4"/>
    <w:rsid w:val="00E548AD"/>
    <w:rsid w:val="00E61EF1"/>
    <w:rsid w:val="00E6570A"/>
    <w:rsid w:val="00E70B26"/>
    <w:rsid w:val="00E720B0"/>
    <w:rsid w:val="00E77C95"/>
    <w:rsid w:val="00E77D3F"/>
    <w:rsid w:val="00E81C0C"/>
    <w:rsid w:val="00E92252"/>
    <w:rsid w:val="00E93208"/>
    <w:rsid w:val="00EB0FEA"/>
    <w:rsid w:val="00EC3B3D"/>
    <w:rsid w:val="00EC438B"/>
    <w:rsid w:val="00EE31EA"/>
    <w:rsid w:val="00EE5CE7"/>
    <w:rsid w:val="00EF45DF"/>
    <w:rsid w:val="00F01266"/>
    <w:rsid w:val="00F05768"/>
    <w:rsid w:val="00F13B83"/>
    <w:rsid w:val="00F15FB9"/>
    <w:rsid w:val="00F16874"/>
    <w:rsid w:val="00F20DA0"/>
    <w:rsid w:val="00F22970"/>
    <w:rsid w:val="00F24673"/>
    <w:rsid w:val="00F326EC"/>
    <w:rsid w:val="00F342D5"/>
    <w:rsid w:val="00F365CE"/>
    <w:rsid w:val="00F523EC"/>
    <w:rsid w:val="00F578A6"/>
    <w:rsid w:val="00F658D2"/>
    <w:rsid w:val="00F7277C"/>
    <w:rsid w:val="00F74FE3"/>
    <w:rsid w:val="00F7532D"/>
    <w:rsid w:val="00F97419"/>
    <w:rsid w:val="00FC4B3F"/>
    <w:rsid w:val="00FC630D"/>
    <w:rsid w:val="00FD007B"/>
    <w:rsid w:val="00FD16D5"/>
    <w:rsid w:val="00FF5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Street"/>
  <w:shapeDefaults>
    <o:shapedefaults v:ext="edit" spidmax="8193"/>
    <o:shapelayout v:ext="edit">
      <o:idmap v:ext="edit" data="1"/>
    </o:shapelayout>
  </w:shapeDefaults>
  <w:decimalSymbol w:val="."/>
  <w:listSeparator w:val=","/>
  <w14:docId w14:val="22C9C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jc w:val="center"/>
      <w:outlineLvl w:val="0"/>
    </w:pPr>
    <w:rPr>
      <w:rFonts w:ascii="Arial" w:hAnsi="Arial" w:cs="Arial"/>
    </w:rPr>
  </w:style>
  <w:style w:type="paragraph" w:styleId="Heading2">
    <w:name w:val="heading 2"/>
    <w:basedOn w:val="Normal"/>
    <w:next w:val="Normal"/>
    <w:qFormat/>
    <w:pPr>
      <w:keepNext/>
      <w:jc w:val="center"/>
      <w:outlineLvl w:val="1"/>
    </w:pPr>
    <w:rPr>
      <w:rFonts w:ascii="Palatino Linotype" w:hAnsi="Palatino Linotype"/>
      <w:b/>
      <w:bCs/>
    </w:rPr>
  </w:style>
  <w:style w:type="paragraph" w:styleId="Heading3">
    <w:name w:val="heading 3"/>
    <w:basedOn w:val="Normal"/>
    <w:next w:val="Normal"/>
    <w:link w:val="Heading3Char"/>
    <w:uiPriority w:val="9"/>
    <w:semiHidden/>
    <w:unhideWhenUsed/>
    <w:qFormat/>
    <w:rsid w:val="00024C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5040" w:firstLine="8640"/>
    </w:pPr>
    <w:rPr>
      <w:rFonts w:ascii="Palatino Linotype" w:hAnsi="Palatino Linotype" w:cs="Arial"/>
    </w:rPr>
  </w:style>
  <w:style w:type="paragraph" w:styleId="BodyTextIndent2">
    <w:name w:val="Body Text Indent 2"/>
    <w:basedOn w:val="Normal"/>
    <w:semiHidden/>
    <w:pPr>
      <w:ind w:left="385"/>
    </w:pPr>
    <w:rPr>
      <w:rFonts w:ascii="Palatino Linotype" w:hAnsi="Palatino Linotype"/>
    </w:rPr>
  </w:style>
  <w:style w:type="character" w:styleId="CommentReference">
    <w:name w:val="annotation reference"/>
    <w:uiPriority w:val="99"/>
    <w:semiHidden/>
    <w:unhideWhenUsed/>
    <w:rsid w:val="00A1514B"/>
    <w:rPr>
      <w:sz w:val="16"/>
      <w:szCs w:val="16"/>
    </w:rPr>
  </w:style>
  <w:style w:type="paragraph" w:styleId="CommentText">
    <w:name w:val="annotation text"/>
    <w:basedOn w:val="Normal"/>
    <w:link w:val="CommentTextChar"/>
    <w:uiPriority w:val="99"/>
    <w:semiHidden/>
    <w:unhideWhenUsed/>
    <w:rsid w:val="00A1514B"/>
    <w:rPr>
      <w:sz w:val="20"/>
      <w:szCs w:val="20"/>
    </w:rPr>
  </w:style>
  <w:style w:type="character" w:customStyle="1" w:styleId="CommentTextChar">
    <w:name w:val="Comment Text Char"/>
    <w:basedOn w:val="DefaultParagraphFont"/>
    <w:link w:val="CommentText"/>
    <w:uiPriority w:val="99"/>
    <w:semiHidden/>
    <w:rsid w:val="00A1514B"/>
  </w:style>
  <w:style w:type="paragraph" w:styleId="CommentSubject">
    <w:name w:val="annotation subject"/>
    <w:basedOn w:val="CommentText"/>
    <w:next w:val="CommentText"/>
    <w:link w:val="CommentSubjectChar"/>
    <w:uiPriority w:val="99"/>
    <w:semiHidden/>
    <w:unhideWhenUsed/>
    <w:rsid w:val="00A1514B"/>
    <w:rPr>
      <w:b/>
      <w:bCs/>
    </w:rPr>
  </w:style>
  <w:style w:type="character" w:customStyle="1" w:styleId="CommentSubjectChar">
    <w:name w:val="Comment Subject Char"/>
    <w:link w:val="CommentSubject"/>
    <w:uiPriority w:val="99"/>
    <w:semiHidden/>
    <w:rsid w:val="00A1514B"/>
    <w:rPr>
      <w:b/>
      <w:bCs/>
    </w:rPr>
  </w:style>
  <w:style w:type="paragraph" w:styleId="BalloonText">
    <w:name w:val="Balloon Text"/>
    <w:basedOn w:val="Normal"/>
    <w:link w:val="BalloonTextChar"/>
    <w:uiPriority w:val="99"/>
    <w:semiHidden/>
    <w:unhideWhenUsed/>
    <w:rsid w:val="00A1514B"/>
    <w:rPr>
      <w:rFonts w:ascii="Tahoma" w:hAnsi="Tahoma" w:cs="Tahoma"/>
      <w:sz w:val="16"/>
      <w:szCs w:val="16"/>
    </w:rPr>
  </w:style>
  <w:style w:type="character" w:customStyle="1" w:styleId="BalloonTextChar">
    <w:name w:val="Balloon Text Char"/>
    <w:link w:val="BalloonText"/>
    <w:uiPriority w:val="99"/>
    <w:semiHidden/>
    <w:rsid w:val="00A1514B"/>
    <w:rPr>
      <w:rFonts w:ascii="Tahoma" w:hAnsi="Tahoma" w:cs="Tahoma"/>
      <w:sz w:val="16"/>
      <w:szCs w:val="16"/>
    </w:rPr>
  </w:style>
  <w:style w:type="table" w:styleId="TableGrid">
    <w:name w:val="Table Grid"/>
    <w:basedOn w:val="TableNormal"/>
    <w:uiPriority w:val="59"/>
    <w:rsid w:val="00892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5C92"/>
    <w:pPr>
      <w:ind w:left="720"/>
      <w:contextualSpacing/>
    </w:pPr>
  </w:style>
  <w:style w:type="character" w:styleId="Hyperlink">
    <w:name w:val="Hyperlink"/>
    <w:uiPriority w:val="99"/>
    <w:rsid w:val="004059E6"/>
    <w:rPr>
      <w:color w:val="0000FF"/>
      <w:u w:val="single"/>
    </w:rPr>
  </w:style>
  <w:style w:type="character" w:customStyle="1" w:styleId="HeaderChar">
    <w:name w:val="Header Char"/>
    <w:link w:val="Header"/>
    <w:uiPriority w:val="99"/>
    <w:rsid w:val="004059E6"/>
    <w:rPr>
      <w:sz w:val="24"/>
      <w:szCs w:val="24"/>
    </w:rPr>
  </w:style>
  <w:style w:type="character" w:customStyle="1" w:styleId="Heading3Char">
    <w:name w:val="Heading 3 Char"/>
    <w:basedOn w:val="DefaultParagraphFont"/>
    <w:link w:val="Heading3"/>
    <w:uiPriority w:val="9"/>
    <w:semiHidden/>
    <w:rsid w:val="00024CD1"/>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unhideWhenUsed/>
    <w:rsid w:val="002C137C"/>
    <w:rPr>
      <w:sz w:val="22"/>
      <w:szCs w:val="20"/>
    </w:rPr>
  </w:style>
  <w:style w:type="character" w:customStyle="1" w:styleId="FootnoteTextChar">
    <w:name w:val="Footnote Text Char"/>
    <w:basedOn w:val="DefaultParagraphFont"/>
    <w:link w:val="FootnoteText"/>
    <w:uiPriority w:val="99"/>
    <w:rsid w:val="002C137C"/>
    <w:rPr>
      <w:sz w:val="22"/>
    </w:rPr>
  </w:style>
  <w:style w:type="character" w:styleId="FootnoteReference">
    <w:name w:val="footnote reference"/>
    <w:basedOn w:val="DefaultParagraphFont"/>
    <w:uiPriority w:val="99"/>
    <w:semiHidden/>
    <w:unhideWhenUsed/>
    <w:rsid w:val="006D2993"/>
    <w:rPr>
      <w:vertAlign w:val="superscript"/>
    </w:rPr>
  </w:style>
  <w:style w:type="paragraph" w:styleId="Revision">
    <w:name w:val="Revision"/>
    <w:hidden/>
    <w:uiPriority w:val="99"/>
    <w:semiHidden/>
    <w:rsid w:val="000E75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Initial</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2015-06-22T07:00:00+00:00</OpenedDate>
    <Date1 xmlns="dc463f71-b30c-4ab2-9473-d307f9d35888">2015-08-19T07:00:00+00:00</Date1>
    <IsDocumentOrder xmlns="dc463f71-b30c-4ab2-9473-d307f9d35888">true</IsDocumentOrder>
    <IsHighlyConfidential xmlns="dc463f71-b30c-4ab2-9473-d307f9d35888">false</IsHighlyConfidential>
    <CaseCompanyNames xmlns="dc463f71-b30c-4ab2-9473-d307f9d35888">Qwest Corporation</CaseCompanyNames>
    <DocketNumber xmlns="dc463f71-b30c-4ab2-9473-d307f9d35888">151296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9C3E284151B3547BABF4B3796C60620" ma:contentTypeVersion="119" ma:contentTypeDescription="" ma:contentTypeScope="" ma:versionID="280dcf883c257c38e19ecb11c448091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B2DA38-7738-4708-8F85-FA4F855B2909}"/>
</file>

<file path=customXml/itemProps2.xml><?xml version="1.0" encoding="utf-8"?>
<ds:datastoreItem xmlns:ds="http://schemas.openxmlformats.org/officeDocument/2006/customXml" ds:itemID="{4C48E27E-E1A0-4EE9-905C-69C7B28E7D28}"/>
</file>

<file path=customXml/itemProps3.xml><?xml version="1.0" encoding="utf-8"?>
<ds:datastoreItem xmlns:ds="http://schemas.openxmlformats.org/officeDocument/2006/customXml" ds:itemID="{FB973E70-CE3D-45A0-8877-550AE8D3C30E}"/>
</file>

<file path=customXml/itemProps4.xml><?xml version="1.0" encoding="utf-8"?>
<ds:datastoreItem xmlns:ds="http://schemas.openxmlformats.org/officeDocument/2006/customXml" ds:itemID="{52F2C70D-125E-4ADC-8855-7D45A279BDEE}"/>
</file>

<file path=customXml/itemProps5.xml><?xml version="1.0" encoding="utf-8"?>
<ds:datastoreItem xmlns:ds="http://schemas.openxmlformats.org/officeDocument/2006/customXml" ds:itemID="{FA6A12F4-6B27-4B21-94E0-CD621AB35018}"/>
</file>

<file path=docProps/app.xml><?xml version="1.0" encoding="utf-8"?>
<Properties xmlns="http://schemas.openxmlformats.org/officeDocument/2006/extended-properties" xmlns:vt="http://schemas.openxmlformats.org/officeDocument/2006/docPropsVTypes">
  <Template>Normal</Template>
  <TotalTime>0</TotalTime>
  <Pages>4</Pages>
  <Words>959</Words>
  <Characters>5068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2015-08-18T22:35:00Z</dcterms:created>
  <dcterms:modified xsi:type="dcterms:W3CDTF">2015-08-18T22:38:00Z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0x0101006E56B4D1795A2E4DB2F0B01679ED314A0009C3E284151B3547BABF4B3796C60620</vt:lpwstr>
  </property>
  <property fmtid="{D5CDD505-2E9C-101B-9397-08002B2CF9AE}" pid="3" name="_docset_NoMedatataSyncRequired">
    <vt:lpwstr>False</vt:lpwstr>
  </property>
</Properties>
</file>