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39CAEF99" w14:textId="77777777" w:rsidTr="00F45919">
        <w:tc>
          <w:tcPr>
            <w:tcW w:w="4788" w:type="dxa"/>
          </w:tcPr>
          <w:p w14:paraId="39CAEF92" w14:textId="77777777"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39CAEF93"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CAEF94"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39CAEF95"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9CAEF96"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39CAEF97" w14:textId="77777777" w:rsidR="00F86C06" w:rsidRDefault="00F86C06" w:rsidP="00F45919">
            <w:pPr>
              <w:pStyle w:val="Header"/>
              <w:rPr>
                <w:rFonts w:cs="Arial"/>
                <w:b/>
                <w:bCs/>
                <w:sz w:val="18"/>
                <w:szCs w:val="18"/>
              </w:rPr>
            </w:pPr>
          </w:p>
        </w:tc>
        <w:tc>
          <w:tcPr>
            <w:tcW w:w="4788" w:type="dxa"/>
          </w:tcPr>
          <w:p w14:paraId="39CAEF98"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39CAEF9A" w14:textId="77777777" w:rsidR="00FC1D02" w:rsidRDefault="00FC1D02" w:rsidP="00F45919">
      <w:pPr>
        <w:pStyle w:val="NoSpacing"/>
        <w:ind w:right="-270"/>
        <w:jc w:val="both"/>
        <w:rPr>
          <w:rFonts w:ascii="Times New Roman" w:hAnsi="Times New Roman"/>
          <w:sz w:val="24"/>
          <w:szCs w:val="24"/>
        </w:rPr>
      </w:pPr>
    </w:p>
    <w:p w14:paraId="39CAEF9B" w14:textId="77777777" w:rsidR="00F45919" w:rsidRDefault="00B334C8" w:rsidP="00F45919">
      <w:pPr>
        <w:pStyle w:val="NoSpacing"/>
        <w:ind w:right="-270"/>
        <w:jc w:val="both"/>
        <w:rPr>
          <w:rFonts w:ascii="Times New Roman" w:hAnsi="Times New Roman"/>
          <w:sz w:val="24"/>
          <w:szCs w:val="24"/>
        </w:rPr>
      </w:pPr>
      <w:r>
        <w:rPr>
          <w:rFonts w:ascii="Times New Roman" w:hAnsi="Times New Roman"/>
          <w:sz w:val="24"/>
          <w:szCs w:val="24"/>
        </w:rPr>
        <w:t>April 3</w:t>
      </w:r>
      <w:r w:rsidR="00535574">
        <w:rPr>
          <w:rFonts w:ascii="Times New Roman" w:hAnsi="Times New Roman"/>
          <w:sz w:val="24"/>
          <w:szCs w:val="24"/>
        </w:rPr>
        <w:t>, 2017</w:t>
      </w:r>
    </w:p>
    <w:p w14:paraId="39CAEF9C" w14:textId="77777777" w:rsidR="00FC1D02" w:rsidRPr="00C4686F" w:rsidRDefault="00FC1D02" w:rsidP="00F45919">
      <w:pPr>
        <w:pStyle w:val="NoSpacing"/>
        <w:ind w:right="-270"/>
        <w:jc w:val="both"/>
        <w:rPr>
          <w:rFonts w:ascii="Times New Roman" w:hAnsi="Times New Roman"/>
          <w:sz w:val="24"/>
          <w:szCs w:val="24"/>
        </w:rPr>
      </w:pPr>
    </w:p>
    <w:p w14:paraId="39CAEF9D" w14:textId="77777777" w:rsidR="00F45919" w:rsidRPr="00C4686F" w:rsidRDefault="00F45919" w:rsidP="00F45919">
      <w:pPr>
        <w:pStyle w:val="NoSpacing"/>
        <w:ind w:right="-270"/>
        <w:jc w:val="both"/>
        <w:rPr>
          <w:rFonts w:ascii="Times New Roman" w:hAnsi="Times New Roman"/>
          <w:sz w:val="24"/>
          <w:szCs w:val="24"/>
        </w:rPr>
      </w:pPr>
    </w:p>
    <w:p w14:paraId="39CAEF9E"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14:paraId="39CAEF9F" w14:textId="77777777" w:rsidR="00F45919" w:rsidRPr="00C4686F" w:rsidRDefault="00F45919" w:rsidP="00F45919">
      <w:pPr>
        <w:pStyle w:val="NoSpacing"/>
        <w:ind w:right="-270"/>
        <w:jc w:val="both"/>
        <w:rPr>
          <w:rFonts w:ascii="Times New Roman" w:hAnsi="Times New Roman"/>
          <w:b/>
          <w:sz w:val="24"/>
          <w:szCs w:val="24"/>
          <w:u w:val="single"/>
        </w:rPr>
      </w:pPr>
    </w:p>
    <w:p w14:paraId="39CAEFA0"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39CAEFA1"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39CAEFA2"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39CAEFA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39CAEFA4"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39CAEFA5"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39CAEFA6" w14:textId="77777777" w:rsidR="00F45919" w:rsidRPr="004E6D17" w:rsidRDefault="00F45919" w:rsidP="00F45919">
      <w:pPr>
        <w:pStyle w:val="NoSpacing"/>
        <w:ind w:right="-270"/>
        <w:jc w:val="both"/>
        <w:rPr>
          <w:rFonts w:ascii="Times New Roman" w:hAnsi="Times New Roman"/>
          <w:b/>
          <w:sz w:val="24"/>
          <w:szCs w:val="24"/>
          <w:u w:val="single"/>
        </w:rPr>
      </w:pPr>
    </w:p>
    <w:p w14:paraId="39CAEFA7" w14:textId="77777777"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B334C8">
        <w:rPr>
          <w:rFonts w:ascii="Times New Roman" w:hAnsi="Times New Roman"/>
          <w:sz w:val="24"/>
          <w:szCs w:val="24"/>
        </w:rPr>
        <w:t>UE-151069 and U-161024</w:t>
      </w:r>
      <w:r w:rsidR="00AE5EB4">
        <w:rPr>
          <w:rFonts w:ascii="Times New Roman" w:hAnsi="Times New Roman"/>
          <w:sz w:val="24"/>
          <w:szCs w:val="24"/>
        </w:rPr>
        <w:t xml:space="preserve"> </w:t>
      </w:r>
      <w:r w:rsidR="00D96E8B">
        <w:rPr>
          <w:rFonts w:ascii="Times New Roman" w:hAnsi="Times New Roman"/>
          <w:sz w:val="24"/>
          <w:szCs w:val="24"/>
        </w:rPr>
        <w:t xml:space="preserve">- </w:t>
      </w:r>
      <w:r w:rsidR="008A797C">
        <w:rPr>
          <w:rFonts w:ascii="Times New Roman" w:hAnsi="Times New Roman"/>
          <w:sz w:val="24"/>
          <w:szCs w:val="24"/>
        </w:rPr>
        <w:t>Comments of Avista Utilities</w:t>
      </w:r>
      <w:r w:rsidR="00535574">
        <w:rPr>
          <w:rFonts w:ascii="Times New Roman" w:hAnsi="Times New Roman"/>
          <w:sz w:val="24"/>
          <w:szCs w:val="24"/>
        </w:rPr>
        <w:t xml:space="preserve"> on Draft </w:t>
      </w:r>
      <w:r w:rsidR="00B334C8">
        <w:rPr>
          <w:rFonts w:ascii="Times New Roman" w:hAnsi="Times New Roman"/>
          <w:sz w:val="24"/>
          <w:szCs w:val="24"/>
        </w:rPr>
        <w:t>Report</w:t>
      </w:r>
      <w:r w:rsidR="00535574">
        <w:rPr>
          <w:rFonts w:ascii="Times New Roman" w:hAnsi="Times New Roman"/>
          <w:sz w:val="24"/>
          <w:szCs w:val="24"/>
        </w:rPr>
        <w:t xml:space="preserve"> and </w:t>
      </w:r>
      <w:r w:rsidR="00B334C8">
        <w:rPr>
          <w:rFonts w:ascii="Times New Roman" w:hAnsi="Times New Roman"/>
          <w:sz w:val="24"/>
          <w:szCs w:val="24"/>
        </w:rPr>
        <w:t xml:space="preserve">Policy </w:t>
      </w:r>
      <w:r w:rsidR="00535574">
        <w:rPr>
          <w:rFonts w:ascii="Times New Roman" w:hAnsi="Times New Roman"/>
          <w:sz w:val="24"/>
          <w:szCs w:val="24"/>
        </w:rPr>
        <w:t>Statement</w:t>
      </w:r>
      <w:r w:rsidR="00B334C8">
        <w:rPr>
          <w:rFonts w:ascii="Times New Roman" w:hAnsi="Times New Roman"/>
          <w:sz w:val="24"/>
          <w:szCs w:val="24"/>
        </w:rPr>
        <w:t xml:space="preserve"> on treatment of Energy Storage Technologies in Integrated Resource Planning and Resource Acquisition</w:t>
      </w:r>
    </w:p>
    <w:p w14:paraId="39CAEFA8" w14:textId="77777777" w:rsidR="00F45919" w:rsidRPr="00F45919" w:rsidRDefault="00F45919" w:rsidP="00F45919">
      <w:pPr>
        <w:pStyle w:val="NoSpacing"/>
        <w:ind w:right="-270"/>
        <w:jc w:val="both"/>
        <w:rPr>
          <w:rFonts w:ascii="Times New Roman" w:hAnsi="Times New Roman"/>
          <w:sz w:val="24"/>
          <w:szCs w:val="24"/>
        </w:rPr>
      </w:pPr>
    </w:p>
    <w:p w14:paraId="39CAEFA9" w14:textId="77777777"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39CAEFAA" w14:textId="77777777" w:rsidR="001D5E5E" w:rsidRDefault="001D5E5E" w:rsidP="003D2B0E">
      <w:pPr>
        <w:pStyle w:val="NoSpacing"/>
        <w:spacing w:line="360" w:lineRule="auto"/>
        <w:ind w:firstLine="720"/>
        <w:jc w:val="both"/>
        <w:rPr>
          <w:rFonts w:ascii="Times New Roman" w:hAnsi="Times New Roman"/>
          <w:sz w:val="24"/>
          <w:szCs w:val="24"/>
        </w:rPr>
      </w:pPr>
    </w:p>
    <w:p w14:paraId="39CAEFAB" w14:textId="77777777" w:rsidR="003D2B0E" w:rsidRDefault="00F45919"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3D2B0E">
        <w:rPr>
          <w:rFonts w:ascii="Times New Roman" w:hAnsi="Times New Roman"/>
          <w:sz w:val="24"/>
          <w:szCs w:val="24"/>
        </w:rPr>
        <w:t xml:space="preserve">otice) issued in Docket </w:t>
      </w:r>
      <w:r w:rsidR="00AE5EB4">
        <w:rPr>
          <w:rFonts w:ascii="Times New Roman" w:hAnsi="Times New Roman"/>
          <w:sz w:val="24"/>
          <w:szCs w:val="24"/>
        </w:rPr>
        <w:t>UE-1</w:t>
      </w:r>
      <w:r w:rsidR="00B334C8">
        <w:rPr>
          <w:rFonts w:ascii="Times New Roman" w:hAnsi="Times New Roman"/>
          <w:sz w:val="24"/>
          <w:szCs w:val="24"/>
        </w:rPr>
        <w:t>51069 and U-161024</w:t>
      </w:r>
      <w:r w:rsidR="001E4F3D">
        <w:rPr>
          <w:rFonts w:ascii="Times New Roman" w:hAnsi="Times New Roman"/>
          <w:sz w:val="24"/>
          <w:szCs w:val="24"/>
        </w:rPr>
        <w:t xml:space="preserve"> on </w:t>
      </w:r>
      <w:r w:rsidR="00B334C8">
        <w:rPr>
          <w:rFonts w:ascii="Times New Roman" w:hAnsi="Times New Roman"/>
          <w:sz w:val="24"/>
          <w:szCs w:val="24"/>
        </w:rPr>
        <w:t>March 6</w:t>
      </w:r>
      <w:r w:rsidR="007761CC">
        <w:rPr>
          <w:rFonts w:ascii="Times New Roman" w:hAnsi="Times New Roman"/>
          <w:sz w:val="24"/>
          <w:szCs w:val="24"/>
        </w:rPr>
        <w:t>, 2017</w:t>
      </w:r>
      <w:r w:rsidR="00D42609">
        <w:rPr>
          <w:rFonts w:ascii="Times New Roman" w:hAnsi="Times New Roman"/>
          <w:sz w:val="24"/>
          <w:szCs w:val="24"/>
        </w:rPr>
        <w:t>.</w:t>
      </w:r>
    </w:p>
    <w:p w14:paraId="39CAEFAC" w14:textId="77777777" w:rsidR="00D42609" w:rsidRPr="003D2B0E" w:rsidRDefault="00D42609" w:rsidP="00407476">
      <w:pPr>
        <w:pStyle w:val="NoSpacing"/>
        <w:ind w:firstLine="720"/>
        <w:jc w:val="both"/>
        <w:rPr>
          <w:rFonts w:ascii="Times New Roman" w:hAnsi="Times New Roman"/>
          <w:sz w:val="24"/>
          <w:szCs w:val="24"/>
        </w:rPr>
      </w:pPr>
    </w:p>
    <w:p w14:paraId="39CAEFAD" w14:textId="77777777" w:rsidR="00D42609" w:rsidRDefault="00F3153E" w:rsidP="001E4F3D">
      <w:pPr>
        <w:pStyle w:val="NoSpacing"/>
        <w:spacing w:line="360" w:lineRule="auto"/>
        <w:ind w:firstLine="720"/>
        <w:jc w:val="both"/>
        <w:rPr>
          <w:rFonts w:ascii="Times New Roman" w:hAnsi="Times New Roman"/>
          <w:sz w:val="24"/>
          <w:szCs w:val="24"/>
        </w:rPr>
      </w:pPr>
      <w:r>
        <w:rPr>
          <w:rFonts w:ascii="Times New Roman" w:hAnsi="Times New Roman"/>
          <w:sz w:val="24"/>
          <w:szCs w:val="24"/>
        </w:rPr>
        <w:t>Commission</w:t>
      </w:r>
      <w:r w:rsidR="00B334C8">
        <w:rPr>
          <w:rFonts w:ascii="Times New Roman" w:hAnsi="Times New Roman"/>
          <w:sz w:val="24"/>
          <w:szCs w:val="24"/>
        </w:rPr>
        <w:t xml:space="preserve"> Staff initiated</w:t>
      </w:r>
      <w:r w:rsidR="003D2B0E" w:rsidRPr="003D2B0E">
        <w:rPr>
          <w:rFonts w:ascii="Times New Roman" w:hAnsi="Times New Roman"/>
          <w:sz w:val="24"/>
          <w:szCs w:val="24"/>
        </w:rPr>
        <w:t xml:space="preserve"> </w:t>
      </w:r>
      <w:r w:rsidR="00D42609">
        <w:rPr>
          <w:rFonts w:ascii="Times New Roman" w:hAnsi="Times New Roman"/>
          <w:sz w:val="24"/>
          <w:szCs w:val="24"/>
        </w:rPr>
        <w:t xml:space="preserve">Docket </w:t>
      </w:r>
      <w:r w:rsidR="00AE5EB4">
        <w:rPr>
          <w:rFonts w:ascii="Times New Roman" w:hAnsi="Times New Roman"/>
          <w:sz w:val="24"/>
          <w:szCs w:val="24"/>
        </w:rPr>
        <w:t>UE-</w:t>
      </w:r>
      <w:r w:rsidR="00B334C8">
        <w:rPr>
          <w:rFonts w:ascii="Times New Roman" w:hAnsi="Times New Roman"/>
          <w:sz w:val="24"/>
          <w:szCs w:val="24"/>
        </w:rPr>
        <w:t>151069</w:t>
      </w:r>
      <w:r w:rsidR="00D42609">
        <w:rPr>
          <w:rFonts w:ascii="Times New Roman" w:hAnsi="Times New Roman"/>
          <w:sz w:val="24"/>
          <w:szCs w:val="24"/>
        </w:rPr>
        <w:t xml:space="preserve"> </w:t>
      </w:r>
      <w:r w:rsidR="00B334C8">
        <w:rPr>
          <w:rFonts w:ascii="Times New Roman" w:hAnsi="Times New Roman"/>
          <w:sz w:val="24"/>
          <w:szCs w:val="24"/>
        </w:rPr>
        <w:t xml:space="preserve">to investigate </w:t>
      </w:r>
      <w:r w:rsidR="00AE5EB4">
        <w:rPr>
          <w:rFonts w:ascii="Times New Roman" w:hAnsi="Times New Roman"/>
          <w:sz w:val="24"/>
          <w:szCs w:val="24"/>
        </w:rPr>
        <w:t>“</w:t>
      </w:r>
      <w:r w:rsidR="00B334C8">
        <w:rPr>
          <w:rFonts w:ascii="Times New Roman" w:hAnsi="Times New Roman"/>
          <w:sz w:val="24"/>
          <w:szCs w:val="24"/>
        </w:rPr>
        <w:t xml:space="preserve">the role of energy storage in electric utility planning and procurement.”  </w:t>
      </w:r>
      <w:r w:rsidR="001E4F3D">
        <w:rPr>
          <w:rFonts w:ascii="Times New Roman" w:hAnsi="Times New Roman"/>
          <w:sz w:val="24"/>
          <w:szCs w:val="24"/>
        </w:rPr>
        <w:t>Avista</w:t>
      </w:r>
      <w:r w:rsidR="00B334C8">
        <w:rPr>
          <w:rFonts w:ascii="Times New Roman" w:hAnsi="Times New Roman"/>
          <w:sz w:val="24"/>
          <w:szCs w:val="24"/>
        </w:rPr>
        <w:t xml:space="preserve"> attended the Commission’s workshop held on August 25, 2015 and </w:t>
      </w:r>
      <w:r w:rsidR="001E4F3D">
        <w:rPr>
          <w:rFonts w:ascii="Times New Roman" w:hAnsi="Times New Roman"/>
          <w:sz w:val="24"/>
          <w:szCs w:val="24"/>
        </w:rPr>
        <w:t xml:space="preserve">provided comments </w:t>
      </w:r>
      <w:r w:rsidR="00B334C8">
        <w:rPr>
          <w:rFonts w:ascii="Times New Roman" w:hAnsi="Times New Roman"/>
          <w:sz w:val="24"/>
          <w:szCs w:val="24"/>
        </w:rPr>
        <w:t xml:space="preserve">on Staff’s White Paper on Modeling Energy Storage on September </w:t>
      </w:r>
      <w:r w:rsidR="00C22DD1" w:rsidRPr="00C22DD1">
        <w:rPr>
          <w:rFonts w:ascii="Times New Roman" w:hAnsi="Times New Roman"/>
          <w:sz w:val="24"/>
          <w:szCs w:val="24"/>
        </w:rPr>
        <w:t>25,</w:t>
      </w:r>
      <w:r w:rsidR="00B334C8">
        <w:rPr>
          <w:rFonts w:ascii="Times New Roman" w:hAnsi="Times New Roman"/>
          <w:sz w:val="24"/>
          <w:szCs w:val="24"/>
        </w:rPr>
        <w:t xml:space="preserve"> 2015.  </w:t>
      </w:r>
      <w:r w:rsidR="007761CC">
        <w:rPr>
          <w:rFonts w:ascii="Times New Roman" w:hAnsi="Times New Roman"/>
          <w:sz w:val="24"/>
          <w:szCs w:val="24"/>
        </w:rPr>
        <w:t xml:space="preserve">Along with the </w:t>
      </w:r>
      <w:r w:rsidR="001E4F3D">
        <w:rPr>
          <w:rFonts w:ascii="Times New Roman" w:hAnsi="Times New Roman"/>
          <w:sz w:val="24"/>
          <w:szCs w:val="24"/>
        </w:rPr>
        <w:t xml:space="preserve">Notice issued </w:t>
      </w:r>
      <w:r w:rsidR="001B3487">
        <w:rPr>
          <w:rFonts w:ascii="Times New Roman" w:hAnsi="Times New Roman"/>
          <w:sz w:val="24"/>
          <w:szCs w:val="24"/>
        </w:rPr>
        <w:t>on March 7, 2017</w:t>
      </w:r>
      <w:r w:rsidR="00B334C8">
        <w:rPr>
          <w:rFonts w:ascii="Times New Roman" w:hAnsi="Times New Roman"/>
          <w:sz w:val="24"/>
          <w:szCs w:val="24"/>
        </w:rPr>
        <w:t xml:space="preserve"> </w:t>
      </w:r>
      <w:r w:rsidR="001E4F3D">
        <w:rPr>
          <w:rFonts w:ascii="Times New Roman" w:hAnsi="Times New Roman"/>
          <w:sz w:val="24"/>
          <w:szCs w:val="24"/>
        </w:rPr>
        <w:t>the Commission</w:t>
      </w:r>
      <w:r w:rsidR="007761CC">
        <w:rPr>
          <w:rFonts w:ascii="Times New Roman" w:hAnsi="Times New Roman"/>
          <w:sz w:val="24"/>
          <w:szCs w:val="24"/>
        </w:rPr>
        <w:t xml:space="preserve"> issued a “Draft </w:t>
      </w:r>
      <w:r w:rsidR="00B334C8">
        <w:rPr>
          <w:rFonts w:ascii="Times New Roman" w:hAnsi="Times New Roman"/>
          <w:sz w:val="24"/>
          <w:szCs w:val="24"/>
        </w:rPr>
        <w:t xml:space="preserve">Report and </w:t>
      </w:r>
      <w:r w:rsidR="007761CC">
        <w:rPr>
          <w:rFonts w:ascii="Times New Roman" w:hAnsi="Times New Roman"/>
          <w:sz w:val="24"/>
          <w:szCs w:val="24"/>
        </w:rPr>
        <w:t xml:space="preserve">Policy Statement </w:t>
      </w:r>
      <w:r w:rsidR="00B334C8">
        <w:rPr>
          <w:rFonts w:ascii="Times New Roman" w:hAnsi="Times New Roman"/>
          <w:sz w:val="24"/>
          <w:szCs w:val="24"/>
        </w:rPr>
        <w:t xml:space="preserve">on </w:t>
      </w:r>
      <w:r w:rsidR="0001236F">
        <w:rPr>
          <w:rFonts w:ascii="Times New Roman" w:hAnsi="Times New Roman"/>
          <w:sz w:val="24"/>
          <w:szCs w:val="24"/>
        </w:rPr>
        <w:t xml:space="preserve">the treatment of energy storage technologies in integrated </w:t>
      </w:r>
      <w:r w:rsidR="0001236F">
        <w:rPr>
          <w:rFonts w:ascii="Times New Roman" w:hAnsi="Times New Roman"/>
          <w:sz w:val="24"/>
          <w:szCs w:val="24"/>
        </w:rPr>
        <w:lastRenderedPageBreak/>
        <w:t xml:space="preserve">resource planning and resource acquisition.  </w:t>
      </w:r>
      <w:r w:rsidR="007761CC">
        <w:rPr>
          <w:rFonts w:ascii="Times New Roman" w:hAnsi="Times New Roman"/>
          <w:sz w:val="24"/>
          <w:szCs w:val="24"/>
        </w:rPr>
        <w:t>The Commission is now seeking comments in response to the draft policy statement.</w:t>
      </w:r>
    </w:p>
    <w:p w14:paraId="39CAEFAE" w14:textId="77777777" w:rsidR="001E4F3D" w:rsidRDefault="001E4F3D" w:rsidP="001E4F3D">
      <w:pPr>
        <w:pStyle w:val="NoSpacing"/>
        <w:spacing w:line="360" w:lineRule="auto"/>
        <w:ind w:firstLine="720"/>
        <w:jc w:val="both"/>
        <w:rPr>
          <w:rFonts w:ascii="Times New Roman" w:hAnsi="Times New Roman"/>
          <w:sz w:val="24"/>
          <w:szCs w:val="24"/>
        </w:rPr>
      </w:pPr>
    </w:p>
    <w:p w14:paraId="39CAEFAF" w14:textId="77777777" w:rsidR="00330D67" w:rsidRDefault="004D1DBE" w:rsidP="00405852">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appreciates</w:t>
      </w:r>
      <w:r w:rsidR="007761CC">
        <w:rPr>
          <w:rFonts w:ascii="Times New Roman" w:hAnsi="Times New Roman"/>
          <w:sz w:val="24"/>
          <w:szCs w:val="24"/>
        </w:rPr>
        <w:t xml:space="preserve"> the opportunity to provide </w:t>
      </w:r>
      <w:r>
        <w:rPr>
          <w:rFonts w:ascii="Times New Roman" w:hAnsi="Times New Roman"/>
          <w:sz w:val="24"/>
          <w:szCs w:val="24"/>
        </w:rPr>
        <w:t xml:space="preserve">comments </w:t>
      </w:r>
      <w:r w:rsidR="003D2B0E">
        <w:rPr>
          <w:rFonts w:ascii="Times New Roman" w:hAnsi="Times New Roman"/>
          <w:sz w:val="24"/>
          <w:szCs w:val="24"/>
        </w:rPr>
        <w:t xml:space="preserve">in response to the </w:t>
      </w:r>
      <w:r w:rsidR="007761CC">
        <w:rPr>
          <w:rFonts w:ascii="Times New Roman" w:hAnsi="Times New Roman"/>
          <w:sz w:val="24"/>
          <w:szCs w:val="24"/>
        </w:rPr>
        <w:t>draft policy statement.  First, the Company would like to thank Commission Staff for their time and diligence in prepar</w:t>
      </w:r>
      <w:r w:rsidR="000823F2">
        <w:rPr>
          <w:rFonts w:ascii="Times New Roman" w:hAnsi="Times New Roman"/>
          <w:sz w:val="24"/>
          <w:szCs w:val="24"/>
        </w:rPr>
        <w:t>ing the draft policy statement.  The first draft of the policy statement is a good start, however, there are many areas that need additional attention</w:t>
      </w:r>
      <w:r w:rsidR="005E04A5">
        <w:rPr>
          <w:rFonts w:ascii="Times New Roman" w:hAnsi="Times New Roman"/>
          <w:sz w:val="24"/>
          <w:szCs w:val="24"/>
        </w:rPr>
        <w:t xml:space="preserve"> or clarification</w:t>
      </w:r>
      <w:r w:rsidR="000823F2">
        <w:rPr>
          <w:rFonts w:ascii="Times New Roman" w:hAnsi="Times New Roman"/>
          <w:sz w:val="24"/>
          <w:szCs w:val="24"/>
        </w:rPr>
        <w:t>, which the Company will address</w:t>
      </w:r>
      <w:r w:rsidR="00330D67">
        <w:rPr>
          <w:rFonts w:ascii="Times New Roman" w:hAnsi="Times New Roman"/>
          <w:sz w:val="24"/>
          <w:szCs w:val="24"/>
        </w:rPr>
        <w:t xml:space="preserve"> in its comments</w:t>
      </w:r>
      <w:r w:rsidR="000823F2">
        <w:rPr>
          <w:rFonts w:ascii="Times New Roman" w:hAnsi="Times New Roman"/>
          <w:sz w:val="24"/>
          <w:szCs w:val="24"/>
        </w:rPr>
        <w:t>.</w:t>
      </w:r>
    </w:p>
    <w:p w14:paraId="39CAEFB0" w14:textId="77777777" w:rsidR="00190732" w:rsidRDefault="005E04A5" w:rsidP="00190732">
      <w:pPr>
        <w:spacing w:line="360" w:lineRule="auto"/>
        <w:jc w:val="both"/>
        <w:rPr>
          <w:rFonts w:ascii="Times New Roman" w:hAnsi="Times New Roman"/>
        </w:rPr>
      </w:pPr>
      <w:r>
        <w:rPr>
          <w:rFonts w:ascii="Times New Roman" w:hAnsi="Times New Roman"/>
        </w:rPr>
        <w:tab/>
      </w:r>
    </w:p>
    <w:p w14:paraId="39CAEFB1" w14:textId="77777777" w:rsidR="00190732" w:rsidRPr="00190732" w:rsidRDefault="00782EF6" w:rsidP="00190732">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The Commission</w:t>
      </w:r>
      <w:r w:rsidR="00C22DD1">
        <w:rPr>
          <w:rFonts w:ascii="Times New Roman" w:eastAsia="Calibri" w:hAnsi="Times New Roman" w:cs="Times New Roman"/>
        </w:rPr>
        <w:t>, in its draft policy statement</w:t>
      </w:r>
      <w:r w:rsidRPr="00190732">
        <w:rPr>
          <w:rFonts w:ascii="Times New Roman" w:eastAsia="Calibri" w:hAnsi="Times New Roman" w:cs="Times New Roman"/>
        </w:rPr>
        <w:t xml:space="preserve"> identifies the regulatory issue being </w:t>
      </w:r>
      <w:r w:rsidR="00524B0C" w:rsidRPr="00190732">
        <w:rPr>
          <w:rFonts w:ascii="Times New Roman" w:eastAsia="Calibri" w:hAnsi="Times New Roman" w:cs="Times New Roman"/>
        </w:rPr>
        <w:t>addressed</w:t>
      </w:r>
      <w:r w:rsidR="00C22DD1">
        <w:rPr>
          <w:rFonts w:ascii="Times New Roman" w:eastAsia="Calibri" w:hAnsi="Times New Roman" w:cs="Times New Roman"/>
        </w:rPr>
        <w:t xml:space="preserve"> “is </w:t>
      </w:r>
      <w:r w:rsidRPr="00190732">
        <w:rPr>
          <w:rFonts w:ascii="Times New Roman" w:eastAsia="Calibri" w:hAnsi="Times New Roman" w:cs="Times New Roman"/>
        </w:rPr>
        <w:t>to identify the barriers that remain for energy storage and develop policies to overcome them.</w:t>
      </w:r>
      <w:r w:rsidR="00524B0C" w:rsidRPr="00190732">
        <w:rPr>
          <w:rFonts w:ascii="Times New Roman" w:eastAsia="Calibri" w:hAnsi="Times New Roman" w:cs="Times New Roman"/>
        </w:rPr>
        <w:t>”</w:t>
      </w:r>
      <w:r w:rsidRPr="0054150E">
        <w:rPr>
          <w:rFonts w:ascii="Times New Roman" w:eastAsia="Calibri" w:hAnsi="Times New Roman" w:cs="Times New Roman"/>
          <w:vertAlign w:val="superscript"/>
        </w:rPr>
        <w:footnoteReference w:id="1"/>
      </w:r>
      <w:r w:rsidR="00524B0C" w:rsidRPr="00BC0297">
        <w:rPr>
          <w:rFonts w:ascii="Times New Roman" w:eastAsia="Calibri" w:hAnsi="Times New Roman" w:cs="Times New Roman"/>
          <w:sz w:val="20"/>
        </w:rPr>
        <w:t xml:space="preserve"> </w:t>
      </w:r>
      <w:r w:rsidR="00524B0C" w:rsidRPr="00190732">
        <w:rPr>
          <w:rFonts w:ascii="Times New Roman" w:eastAsia="Calibri" w:hAnsi="Times New Roman" w:cs="Times New Roman"/>
        </w:rPr>
        <w:t xml:space="preserve"> </w:t>
      </w:r>
      <w:r w:rsidR="00190732" w:rsidRPr="00190732">
        <w:rPr>
          <w:rFonts w:ascii="Times New Roman" w:eastAsia="Calibri" w:hAnsi="Times New Roman" w:cs="Times New Roman"/>
        </w:rPr>
        <w:t>The Commission’s draft policy statement arrives at four conclusions supporting its position to encourage greater utility adoption of energy storage.  First, the Commission explains the need for a disaggregated value stream study for energy storage because its value crosses the generation, transmission and distribution areas of the business.</w:t>
      </w:r>
      <w:r w:rsidR="00D34D97">
        <w:rPr>
          <w:rStyle w:val="FootnoteReference"/>
          <w:rFonts w:ascii="Times New Roman" w:eastAsia="Calibri" w:hAnsi="Times New Roman" w:cs="Times New Roman"/>
        </w:rPr>
        <w:footnoteReference w:id="2"/>
      </w:r>
      <w:r w:rsidR="00190732" w:rsidRPr="00190732">
        <w:rPr>
          <w:rFonts w:ascii="Times New Roman" w:eastAsia="Calibri" w:hAnsi="Times New Roman" w:cs="Times New Roman"/>
        </w:rPr>
        <w:t xml:space="preserve">  The second conclusion is </w:t>
      </w:r>
      <w:r w:rsidR="00D34D97">
        <w:rPr>
          <w:rFonts w:ascii="Times New Roman" w:eastAsia="Calibri" w:hAnsi="Times New Roman" w:cs="Times New Roman"/>
        </w:rPr>
        <w:t xml:space="preserve">that as utilities respond </w:t>
      </w:r>
      <w:r w:rsidR="00190732" w:rsidRPr="00190732">
        <w:rPr>
          <w:rFonts w:ascii="Times New Roman" w:eastAsia="Calibri" w:hAnsi="Times New Roman" w:cs="Times New Roman"/>
        </w:rPr>
        <w:t xml:space="preserve">to </w:t>
      </w:r>
      <w:r w:rsidR="00D34D97">
        <w:rPr>
          <w:rFonts w:ascii="Times New Roman" w:eastAsia="Calibri" w:hAnsi="Times New Roman" w:cs="Times New Roman"/>
        </w:rPr>
        <w:t xml:space="preserve">the </w:t>
      </w:r>
      <w:r w:rsidR="00190732" w:rsidRPr="00190732">
        <w:rPr>
          <w:rFonts w:ascii="Times New Roman" w:eastAsia="Calibri" w:hAnsi="Times New Roman" w:cs="Times New Roman"/>
        </w:rPr>
        <w:t>challenges</w:t>
      </w:r>
      <w:r w:rsidR="00D34D97">
        <w:rPr>
          <w:rFonts w:ascii="Times New Roman" w:eastAsia="Calibri" w:hAnsi="Times New Roman" w:cs="Times New Roman"/>
        </w:rPr>
        <w:t xml:space="preserve"> of their current and future environment</w:t>
      </w:r>
      <w:r w:rsidR="00190732" w:rsidRPr="00190732">
        <w:rPr>
          <w:rFonts w:ascii="Times New Roman" w:eastAsia="Calibri" w:hAnsi="Times New Roman" w:cs="Times New Roman"/>
        </w:rPr>
        <w:t xml:space="preserve">, </w:t>
      </w:r>
      <w:r w:rsidR="00D34D97">
        <w:rPr>
          <w:rFonts w:ascii="Times New Roman" w:eastAsia="Calibri" w:hAnsi="Times New Roman" w:cs="Times New Roman"/>
        </w:rPr>
        <w:t xml:space="preserve">they will need to “become more flexible in their resource planning and procurement”, and “develop a clearer understanding” of the </w:t>
      </w:r>
      <w:r w:rsidR="00190732" w:rsidRPr="00190732">
        <w:rPr>
          <w:rFonts w:ascii="Times New Roman" w:eastAsia="Calibri" w:hAnsi="Times New Roman" w:cs="Times New Roman"/>
        </w:rPr>
        <w:t>differentiation between generation technologies</w:t>
      </w:r>
      <w:r w:rsidR="001570B6">
        <w:rPr>
          <w:rFonts w:ascii="Times New Roman" w:eastAsia="Calibri" w:hAnsi="Times New Roman" w:cs="Times New Roman"/>
        </w:rPr>
        <w:t xml:space="preserve"> and “their associated value streams”</w:t>
      </w:r>
      <w:r w:rsidR="00190732" w:rsidRPr="00190732">
        <w:rPr>
          <w:rFonts w:ascii="Times New Roman" w:eastAsia="Calibri" w:hAnsi="Times New Roman" w:cs="Times New Roman"/>
        </w:rPr>
        <w:t>.</w:t>
      </w:r>
      <w:r w:rsidR="00D34D97">
        <w:rPr>
          <w:rStyle w:val="FootnoteReference"/>
          <w:rFonts w:ascii="Times New Roman" w:eastAsia="Calibri" w:hAnsi="Times New Roman" w:cs="Times New Roman"/>
        </w:rPr>
        <w:footnoteReference w:id="3"/>
      </w:r>
      <w:r w:rsidR="00190732" w:rsidRPr="00190732">
        <w:rPr>
          <w:rFonts w:ascii="Times New Roman" w:eastAsia="Calibri" w:hAnsi="Times New Roman" w:cs="Times New Roman"/>
        </w:rPr>
        <w:t xml:space="preserve">  Third, the Commission believes sub-hourly modeling will help utilities differentiate between resources</w:t>
      </w:r>
      <w:r w:rsidR="00125703">
        <w:rPr>
          <w:rFonts w:ascii="Times New Roman" w:eastAsia="Calibri" w:hAnsi="Times New Roman" w:cs="Times New Roman"/>
        </w:rPr>
        <w:t>,</w:t>
      </w:r>
      <w:r w:rsidR="00190732" w:rsidRPr="00190732">
        <w:rPr>
          <w:rFonts w:ascii="Times New Roman" w:eastAsia="Calibri" w:hAnsi="Times New Roman" w:cs="Times New Roman"/>
        </w:rPr>
        <w:t xml:space="preserve"> </w:t>
      </w:r>
      <w:r w:rsidR="00125703">
        <w:rPr>
          <w:rFonts w:ascii="Times New Roman" w:eastAsia="Calibri" w:hAnsi="Times New Roman" w:cs="Times New Roman"/>
        </w:rPr>
        <w:t>including</w:t>
      </w:r>
      <w:r w:rsidR="00190732" w:rsidRPr="00190732">
        <w:rPr>
          <w:rFonts w:ascii="Times New Roman" w:eastAsia="Calibri" w:hAnsi="Times New Roman" w:cs="Times New Roman"/>
        </w:rPr>
        <w:t xml:space="preserve"> the benefit of storage technologies.</w:t>
      </w:r>
      <w:r w:rsidR="00D34D97">
        <w:rPr>
          <w:rStyle w:val="FootnoteReference"/>
          <w:rFonts w:ascii="Times New Roman" w:eastAsia="Calibri" w:hAnsi="Times New Roman" w:cs="Times New Roman"/>
        </w:rPr>
        <w:footnoteReference w:id="4"/>
      </w:r>
      <w:r w:rsidR="00C22DD1">
        <w:rPr>
          <w:rFonts w:ascii="Times New Roman" w:eastAsia="Calibri" w:hAnsi="Times New Roman" w:cs="Times New Roman"/>
        </w:rPr>
        <w:t xml:space="preserve">  And f</w:t>
      </w:r>
      <w:r w:rsidR="00190732" w:rsidRPr="00190732">
        <w:rPr>
          <w:rFonts w:ascii="Times New Roman" w:eastAsia="Calibri" w:hAnsi="Times New Roman" w:cs="Times New Roman"/>
        </w:rPr>
        <w:t xml:space="preserve">inally, utilities are reminded the Commission will accept storage technologies as a component of rate base so long as such </w:t>
      </w:r>
      <w:r w:rsidR="00C22DD1">
        <w:rPr>
          <w:rFonts w:ascii="Times New Roman" w:eastAsia="Calibri" w:hAnsi="Times New Roman" w:cs="Times New Roman"/>
        </w:rPr>
        <w:t>procurement is shown to be cost-</w:t>
      </w:r>
      <w:r w:rsidR="00190732" w:rsidRPr="00190732">
        <w:rPr>
          <w:rFonts w:ascii="Times New Roman" w:eastAsia="Calibri" w:hAnsi="Times New Roman" w:cs="Times New Roman"/>
        </w:rPr>
        <w:t>effective when including all benefits of the technology.</w:t>
      </w:r>
      <w:r w:rsidR="00D34D97">
        <w:rPr>
          <w:rStyle w:val="FootnoteReference"/>
          <w:rFonts w:ascii="Times New Roman" w:eastAsia="Calibri" w:hAnsi="Times New Roman" w:cs="Times New Roman"/>
        </w:rPr>
        <w:footnoteReference w:id="5"/>
      </w:r>
    </w:p>
    <w:p w14:paraId="39CAEFB2" w14:textId="77777777" w:rsidR="00190732" w:rsidRPr="00190732" w:rsidRDefault="00190732" w:rsidP="00190732">
      <w:pPr>
        <w:spacing w:line="360" w:lineRule="auto"/>
        <w:jc w:val="both"/>
        <w:rPr>
          <w:rFonts w:ascii="Times New Roman" w:eastAsia="Calibri" w:hAnsi="Times New Roman" w:cs="Times New Roman"/>
        </w:rPr>
      </w:pPr>
    </w:p>
    <w:p w14:paraId="39CAEFB3" w14:textId="77777777" w:rsidR="00190732" w:rsidRPr="00190732" w:rsidRDefault="00190732" w:rsidP="009A68A4">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Avista is encouraged the Commission is forward-looking with regard to energy storage technologies.  Utilities</w:t>
      </w:r>
      <w:r w:rsidR="009A68A4">
        <w:rPr>
          <w:rFonts w:ascii="Times New Roman" w:eastAsia="Calibri" w:hAnsi="Times New Roman" w:cs="Times New Roman"/>
        </w:rPr>
        <w:t xml:space="preserve"> around the country, including Avista,</w:t>
      </w:r>
      <w:r w:rsidRPr="00190732">
        <w:rPr>
          <w:rFonts w:ascii="Times New Roman" w:eastAsia="Calibri" w:hAnsi="Times New Roman" w:cs="Times New Roman"/>
        </w:rPr>
        <w:t xml:space="preserve"> are working diligently to disaggr</w:t>
      </w:r>
      <w:r w:rsidR="00C22DD1">
        <w:rPr>
          <w:rFonts w:ascii="Times New Roman" w:eastAsia="Calibri" w:hAnsi="Times New Roman" w:cs="Times New Roman"/>
        </w:rPr>
        <w:t xml:space="preserve">egate value streams </w:t>
      </w:r>
      <w:r w:rsidR="00125703">
        <w:rPr>
          <w:rFonts w:ascii="Times New Roman" w:eastAsia="Calibri" w:hAnsi="Times New Roman" w:cs="Times New Roman"/>
        </w:rPr>
        <w:t>and (benefits</w:t>
      </w:r>
      <w:r w:rsidRPr="00190732">
        <w:rPr>
          <w:rFonts w:ascii="Times New Roman" w:eastAsia="Calibri" w:hAnsi="Times New Roman" w:cs="Times New Roman"/>
        </w:rPr>
        <w:t xml:space="preserve">) from the generation, transmission and distribution </w:t>
      </w:r>
      <w:r w:rsidR="009A68A4">
        <w:rPr>
          <w:rFonts w:ascii="Times New Roman" w:eastAsia="Calibri" w:hAnsi="Times New Roman" w:cs="Times New Roman"/>
        </w:rPr>
        <w:t>functions</w:t>
      </w:r>
      <w:r w:rsidRPr="00190732">
        <w:rPr>
          <w:rFonts w:ascii="Times New Roman" w:eastAsia="Calibri" w:hAnsi="Times New Roman" w:cs="Times New Roman"/>
        </w:rPr>
        <w:t xml:space="preserve">, not only </w:t>
      </w:r>
      <w:r w:rsidRPr="00190732">
        <w:rPr>
          <w:rFonts w:ascii="Times New Roman" w:eastAsia="Calibri" w:hAnsi="Times New Roman" w:cs="Times New Roman"/>
        </w:rPr>
        <w:lastRenderedPageBreak/>
        <w:t>for energy storage, but for</w:t>
      </w:r>
      <w:r w:rsidR="00125703">
        <w:rPr>
          <w:rFonts w:ascii="Times New Roman" w:eastAsia="Calibri" w:hAnsi="Times New Roman" w:cs="Times New Roman"/>
        </w:rPr>
        <w:t xml:space="preserve"> the</w:t>
      </w:r>
      <w:r w:rsidRPr="00190732">
        <w:rPr>
          <w:rFonts w:ascii="Times New Roman" w:eastAsia="Calibri" w:hAnsi="Times New Roman" w:cs="Times New Roman"/>
        </w:rPr>
        <w:t xml:space="preserve"> more traditional generation and conservation resources.  </w:t>
      </w:r>
      <w:r w:rsidR="00125703">
        <w:rPr>
          <w:rFonts w:ascii="Times New Roman" w:eastAsia="Calibri" w:hAnsi="Times New Roman" w:cs="Times New Roman"/>
        </w:rPr>
        <w:t xml:space="preserve">This is a </w:t>
      </w:r>
      <w:r w:rsidR="009A68A4">
        <w:rPr>
          <w:rFonts w:ascii="Times New Roman" w:eastAsia="Calibri" w:hAnsi="Times New Roman" w:cs="Times New Roman"/>
        </w:rPr>
        <w:t>complex</w:t>
      </w:r>
      <w:r w:rsidR="00125703">
        <w:rPr>
          <w:rFonts w:ascii="Times New Roman" w:eastAsia="Calibri" w:hAnsi="Times New Roman" w:cs="Times New Roman"/>
        </w:rPr>
        <w:t>,</w:t>
      </w:r>
      <w:r w:rsidR="00854F5B">
        <w:rPr>
          <w:rFonts w:ascii="Times New Roman" w:eastAsia="Calibri" w:hAnsi="Times New Roman" w:cs="Times New Roman"/>
        </w:rPr>
        <w:t xml:space="preserve"> and </w:t>
      </w:r>
      <w:r w:rsidR="009A68A4">
        <w:rPr>
          <w:rFonts w:ascii="Times New Roman" w:eastAsia="Calibri" w:hAnsi="Times New Roman" w:cs="Times New Roman"/>
        </w:rPr>
        <w:t>ongoing process that is in its early stages</w:t>
      </w:r>
      <w:r w:rsidRPr="00190732">
        <w:rPr>
          <w:rFonts w:ascii="Times New Roman" w:eastAsia="Calibri" w:hAnsi="Times New Roman" w:cs="Times New Roman"/>
        </w:rPr>
        <w:t xml:space="preserve">.  </w:t>
      </w:r>
      <w:r w:rsidR="00BA16DB">
        <w:rPr>
          <w:rFonts w:ascii="Times New Roman" w:eastAsia="Calibri" w:hAnsi="Times New Roman" w:cs="Times New Roman"/>
        </w:rPr>
        <w:t>Avista’s</w:t>
      </w:r>
      <w:r w:rsidRPr="00190732">
        <w:rPr>
          <w:rFonts w:ascii="Times New Roman" w:eastAsia="Calibri" w:hAnsi="Times New Roman" w:cs="Times New Roman"/>
        </w:rPr>
        <w:t xml:space="preserve"> learnings </w:t>
      </w:r>
      <w:r w:rsidR="009A68A4">
        <w:rPr>
          <w:rFonts w:ascii="Times New Roman" w:eastAsia="Calibri" w:hAnsi="Times New Roman" w:cs="Times New Roman"/>
        </w:rPr>
        <w:t>thus</w:t>
      </w:r>
      <w:r w:rsidRPr="00190732">
        <w:rPr>
          <w:rFonts w:ascii="Times New Roman" w:eastAsia="Calibri" w:hAnsi="Times New Roman" w:cs="Times New Roman"/>
        </w:rPr>
        <w:t xml:space="preserve"> far show </w:t>
      </w:r>
      <w:r w:rsidR="00BA16DB">
        <w:rPr>
          <w:rFonts w:ascii="Times New Roman" w:eastAsia="Calibri" w:hAnsi="Times New Roman" w:cs="Times New Roman"/>
        </w:rPr>
        <w:t xml:space="preserve">that </w:t>
      </w:r>
      <w:r w:rsidRPr="00190732">
        <w:rPr>
          <w:rFonts w:ascii="Times New Roman" w:eastAsia="Calibri" w:hAnsi="Times New Roman" w:cs="Times New Roman"/>
        </w:rPr>
        <w:t>energy storage technologies, in their various forms, clearly have</w:t>
      </w:r>
      <w:r w:rsidR="00854F5B">
        <w:rPr>
          <w:rFonts w:ascii="Times New Roman" w:eastAsia="Calibri" w:hAnsi="Times New Roman" w:cs="Times New Roman"/>
        </w:rPr>
        <w:t xml:space="preserve"> some</w:t>
      </w:r>
      <w:r w:rsidRPr="00190732">
        <w:rPr>
          <w:rFonts w:ascii="Times New Roman" w:eastAsia="Calibri" w:hAnsi="Times New Roman" w:cs="Times New Roman"/>
        </w:rPr>
        <w:t xml:space="preserve"> benefits </w:t>
      </w:r>
      <w:r w:rsidR="00854F5B">
        <w:rPr>
          <w:rFonts w:ascii="Times New Roman" w:eastAsia="Calibri" w:hAnsi="Times New Roman" w:cs="Times New Roman"/>
        </w:rPr>
        <w:t>that differ from</w:t>
      </w:r>
      <w:r w:rsidRPr="00190732">
        <w:rPr>
          <w:rFonts w:ascii="Times New Roman" w:eastAsia="Calibri" w:hAnsi="Times New Roman" w:cs="Times New Roman"/>
        </w:rPr>
        <w:t xml:space="preserve"> </w:t>
      </w:r>
      <w:r w:rsidR="00BA16DB">
        <w:rPr>
          <w:rFonts w:ascii="Times New Roman" w:eastAsia="Calibri" w:hAnsi="Times New Roman" w:cs="Times New Roman"/>
        </w:rPr>
        <w:t xml:space="preserve">the </w:t>
      </w:r>
      <w:r w:rsidRPr="00190732">
        <w:rPr>
          <w:rFonts w:ascii="Times New Roman" w:eastAsia="Calibri" w:hAnsi="Times New Roman" w:cs="Times New Roman"/>
        </w:rPr>
        <w:t xml:space="preserve">traditional energy and capacity </w:t>
      </w:r>
      <w:r w:rsidR="00854F5B">
        <w:rPr>
          <w:rFonts w:ascii="Times New Roman" w:eastAsia="Calibri" w:hAnsi="Times New Roman" w:cs="Times New Roman"/>
        </w:rPr>
        <w:t>resources</w:t>
      </w:r>
      <w:r w:rsidRPr="00190732">
        <w:rPr>
          <w:rFonts w:ascii="Times New Roman" w:eastAsia="Calibri" w:hAnsi="Times New Roman" w:cs="Times New Roman"/>
        </w:rPr>
        <w:t xml:space="preserve">.  The technology is still in </w:t>
      </w:r>
      <w:r w:rsidR="00BA16DB">
        <w:rPr>
          <w:rFonts w:ascii="Times New Roman" w:eastAsia="Calibri" w:hAnsi="Times New Roman" w:cs="Times New Roman"/>
        </w:rPr>
        <w:t xml:space="preserve">the </w:t>
      </w:r>
      <w:r w:rsidRPr="00190732">
        <w:rPr>
          <w:rFonts w:ascii="Times New Roman" w:eastAsia="Calibri" w:hAnsi="Times New Roman" w:cs="Times New Roman"/>
        </w:rPr>
        <w:t xml:space="preserve">development </w:t>
      </w:r>
      <w:r w:rsidR="00BA16DB">
        <w:rPr>
          <w:rFonts w:ascii="Times New Roman" w:eastAsia="Calibri" w:hAnsi="Times New Roman" w:cs="Times New Roman"/>
        </w:rPr>
        <w:t xml:space="preserve">stages </w:t>
      </w:r>
      <w:r w:rsidRPr="00190732">
        <w:rPr>
          <w:rFonts w:ascii="Times New Roman" w:eastAsia="Calibri" w:hAnsi="Times New Roman" w:cs="Times New Roman"/>
        </w:rPr>
        <w:t>and its potential benefits are no</w:t>
      </w:r>
      <w:r w:rsidR="00584E9B">
        <w:rPr>
          <w:rFonts w:ascii="Times New Roman" w:eastAsia="Calibri" w:hAnsi="Times New Roman" w:cs="Times New Roman"/>
        </w:rPr>
        <w:t xml:space="preserve">t </w:t>
      </w:r>
      <w:r w:rsidR="00854F5B">
        <w:rPr>
          <w:rFonts w:ascii="Times New Roman" w:eastAsia="Calibri" w:hAnsi="Times New Roman" w:cs="Times New Roman"/>
        </w:rPr>
        <w:t xml:space="preserve">as well-known as </w:t>
      </w:r>
      <w:r w:rsidRPr="00190732">
        <w:rPr>
          <w:rFonts w:ascii="Times New Roman" w:eastAsia="Calibri" w:hAnsi="Times New Roman" w:cs="Times New Roman"/>
        </w:rPr>
        <w:t>compared to other technologies.</w:t>
      </w:r>
    </w:p>
    <w:p w14:paraId="39CAEFB4" w14:textId="77777777" w:rsidR="00190732" w:rsidRPr="00190732" w:rsidRDefault="00190732" w:rsidP="00190732">
      <w:pPr>
        <w:spacing w:line="360" w:lineRule="auto"/>
        <w:jc w:val="both"/>
        <w:rPr>
          <w:rFonts w:ascii="Times New Roman" w:eastAsia="Calibri" w:hAnsi="Times New Roman" w:cs="Times New Roman"/>
        </w:rPr>
      </w:pPr>
    </w:p>
    <w:p w14:paraId="39CAEFB5" w14:textId="77777777" w:rsidR="00190732" w:rsidRPr="00190732" w:rsidRDefault="00854F5B" w:rsidP="00BA16DB">
      <w:pPr>
        <w:spacing w:line="360" w:lineRule="auto"/>
        <w:ind w:firstLine="720"/>
        <w:jc w:val="both"/>
        <w:rPr>
          <w:rFonts w:ascii="Times New Roman" w:eastAsia="Calibri" w:hAnsi="Times New Roman" w:cs="Times New Roman"/>
        </w:rPr>
      </w:pPr>
      <w:r>
        <w:rPr>
          <w:rFonts w:ascii="Times New Roman" w:eastAsia="Calibri" w:hAnsi="Times New Roman" w:cs="Times New Roman"/>
        </w:rPr>
        <w:t>T</w:t>
      </w:r>
      <w:r w:rsidR="00964D2E">
        <w:rPr>
          <w:rFonts w:ascii="Times New Roman" w:eastAsia="Calibri" w:hAnsi="Times New Roman" w:cs="Times New Roman"/>
        </w:rPr>
        <w:t xml:space="preserve">he draft policy statement </w:t>
      </w:r>
      <w:r>
        <w:rPr>
          <w:rFonts w:ascii="Times New Roman" w:eastAsia="Calibri" w:hAnsi="Times New Roman" w:cs="Times New Roman"/>
        </w:rPr>
        <w:t>exhibits an interest in the possibility of</w:t>
      </w:r>
      <w:r w:rsidR="00190732" w:rsidRPr="00190732">
        <w:rPr>
          <w:rFonts w:ascii="Times New Roman" w:eastAsia="Calibri" w:hAnsi="Times New Roman" w:cs="Times New Roman"/>
        </w:rPr>
        <w:t xml:space="preserve"> util</w:t>
      </w:r>
      <w:r>
        <w:rPr>
          <w:rFonts w:ascii="Times New Roman" w:eastAsia="Calibri" w:hAnsi="Times New Roman" w:cs="Times New Roman"/>
        </w:rPr>
        <w:t xml:space="preserve">ity adoption of energy storage being a part of the </w:t>
      </w:r>
      <w:r w:rsidR="00190732" w:rsidRPr="00190732">
        <w:rPr>
          <w:rFonts w:ascii="Times New Roman" w:eastAsia="Calibri" w:hAnsi="Times New Roman" w:cs="Times New Roman"/>
        </w:rPr>
        <w:t>solution to many utility problems, including “new technologies, environmental imperatives, lower load growth and customer engagement.”</w:t>
      </w:r>
      <w:r w:rsidR="00190732" w:rsidRPr="00964D2E">
        <w:rPr>
          <w:rFonts w:ascii="Times New Roman" w:eastAsia="Calibri" w:hAnsi="Times New Roman" w:cs="Times New Roman"/>
          <w:vertAlign w:val="superscript"/>
        </w:rPr>
        <w:footnoteReference w:id="6"/>
      </w:r>
      <w:r w:rsidR="00190732" w:rsidRPr="00190732">
        <w:rPr>
          <w:rFonts w:ascii="Times New Roman" w:eastAsia="Calibri" w:hAnsi="Times New Roman" w:cs="Times New Roman"/>
        </w:rPr>
        <w:t xml:space="preserve">  E</w:t>
      </w:r>
      <w:r>
        <w:rPr>
          <w:rFonts w:ascii="Times New Roman" w:eastAsia="Calibri" w:hAnsi="Times New Roman" w:cs="Times New Roman"/>
        </w:rPr>
        <w:t>nergy storage technologies, apart from</w:t>
      </w:r>
      <w:r w:rsidR="00190732" w:rsidRPr="00190732">
        <w:rPr>
          <w:rFonts w:ascii="Times New Roman" w:eastAsia="Calibri" w:hAnsi="Times New Roman" w:cs="Times New Roman"/>
        </w:rPr>
        <w:t xml:space="preserve"> pumped hydro with its long and proven track record, are in their infancy from the perspectives of cost, reliability and commercial availability</w:t>
      </w:r>
      <w:r w:rsidR="00964D2E">
        <w:rPr>
          <w:rFonts w:ascii="Times New Roman" w:eastAsia="Calibri" w:hAnsi="Times New Roman" w:cs="Times New Roman"/>
        </w:rPr>
        <w:t>.  Also,</w:t>
      </w:r>
      <w:r w:rsidR="00190732" w:rsidRPr="00190732">
        <w:rPr>
          <w:rFonts w:ascii="Times New Roman" w:eastAsia="Calibri" w:hAnsi="Times New Roman" w:cs="Times New Roman"/>
        </w:rPr>
        <w:t xml:space="preserve"> the </w:t>
      </w:r>
      <w:r w:rsidR="00D507F3">
        <w:rPr>
          <w:rFonts w:ascii="Times New Roman" w:eastAsia="Calibri" w:hAnsi="Times New Roman" w:cs="Times New Roman"/>
        </w:rPr>
        <w:t xml:space="preserve">current </w:t>
      </w:r>
      <w:r w:rsidR="00190732" w:rsidRPr="00190732">
        <w:rPr>
          <w:rFonts w:ascii="Times New Roman" w:eastAsia="Calibri" w:hAnsi="Times New Roman" w:cs="Times New Roman"/>
        </w:rPr>
        <w:t xml:space="preserve">underlying economics of energy storage present a large barrier to adoption, </w:t>
      </w:r>
      <w:r w:rsidR="00584E9B">
        <w:rPr>
          <w:rFonts w:ascii="Times New Roman" w:eastAsia="Calibri" w:hAnsi="Times New Roman" w:cs="Times New Roman"/>
        </w:rPr>
        <w:t>except for</w:t>
      </w:r>
      <w:r w:rsidR="00190732" w:rsidRPr="00190732">
        <w:rPr>
          <w:rFonts w:ascii="Times New Roman" w:eastAsia="Calibri" w:hAnsi="Times New Roman" w:cs="Times New Roman"/>
        </w:rPr>
        <w:t xml:space="preserve"> a few discrete applications.</w:t>
      </w:r>
      <w:r w:rsidR="00190732" w:rsidRPr="00964D2E">
        <w:rPr>
          <w:rFonts w:ascii="Times New Roman" w:eastAsia="Calibri" w:hAnsi="Times New Roman" w:cs="Times New Roman"/>
          <w:vertAlign w:val="superscript"/>
        </w:rPr>
        <w:footnoteReference w:id="7"/>
      </w:r>
      <w:r w:rsidR="00190732" w:rsidRPr="00190732">
        <w:rPr>
          <w:rFonts w:ascii="Times New Roman" w:eastAsia="Calibri" w:hAnsi="Times New Roman" w:cs="Times New Roman"/>
        </w:rPr>
        <w:t xml:space="preserve"> </w:t>
      </w:r>
    </w:p>
    <w:p w14:paraId="39CAEFB6" w14:textId="77777777" w:rsidR="00190732" w:rsidRPr="00190732" w:rsidRDefault="00190732" w:rsidP="00190732">
      <w:pPr>
        <w:spacing w:line="360" w:lineRule="auto"/>
        <w:jc w:val="both"/>
        <w:rPr>
          <w:rFonts w:ascii="Times New Roman" w:eastAsia="Calibri" w:hAnsi="Times New Roman" w:cs="Times New Roman"/>
        </w:rPr>
      </w:pPr>
    </w:p>
    <w:p w14:paraId="39CAEFB7" w14:textId="77777777" w:rsidR="00190732" w:rsidRPr="00190732" w:rsidRDefault="00854F5B" w:rsidP="006A4311">
      <w:pPr>
        <w:spacing w:line="360" w:lineRule="auto"/>
        <w:ind w:firstLine="720"/>
        <w:jc w:val="both"/>
        <w:rPr>
          <w:rFonts w:ascii="Times New Roman" w:eastAsia="Calibri" w:hAnsi="Times New Roman" w:cs="Times New Roman"/>
        </w:rPr>
      </w:pPr>
      <w:r>
        <w:rPr>
          <w:rFonts w:ascii="Times New Roman" w:eastAsia="Calibri" w:hAnsi="Times New Roman" w:cs="Times New Roman"/>
        </w:rPr>
        <w:t>D</w:t>
      </w:r>
      <w:r w:rsidR="00190732" w:rsidRPr="00190732">
        <w:rPr>
          <w:rFonts w:ascii="Times New Roman" w:eastAsia="Calibri" w:hAnsi="Times New Roman" w:cs="Times New Roman"/>
        </w:rPr>
        <w:t>istribution system planning is performed differently than Integrated Resource Planning</w:t>
      </w:r>
      <w:r w:rsidR="00584E9B">
        <w:rPr>
          <w:rFonts w:ascii="Times New Roman" w:eastAsia="Calibri" w:hAnsi="Times New Roman" w:cs="Times New Roman"/>
        </w:rPr>
        <w:t xml:space="preserve"> (IRP), however</w:t>
      </w:r>
      <w:r w:rsidR="00190732" w:rsidRPr="00190732">
        <w:rPr>
          <w:rFonts w:ascii="Times New Roman" w:eastAsia="Calibri" w:hAnsi="Times New Roman" w:cs="Times New Roman"/>
        </w:rPr>
        <w:t xml:space="preserve"> its underlying principle of serving customer requirements at </w:t>
      </w:r>
      <w:r w:rsidR="00B050ED">
        <w:rPr>
          <w:rFonts w:ascii="Times New Roman" w:eastAsia="Calibri" w:hAnsi="Times New Roman" w:cs="Times New Roman"/>
        </w:rPr>
        <w:t xml:space="preserve">the </w:t>
      </w:r>
      <w:r w:rsidR="00190732" w:rsidRPr="00190732">
        <w:rPr>
          <w:rFonts w:ascii="Times New Roman" w:eastAsia="Calibri" w:hAnsi="Times New Roman" w:cs="Times New Roman"/>
        </w:rPr>
        <w:t xml:space="preserve">lowest </w:t>
      </w:r>
      <w:r w:rsidR="00D507F3">
        <w:rPr>
          <w:rFonts w:ascii="Times New Roman" w:eastAsia="Calibri" w:hAnsi="Times New Roman" w:cs="Times New Roman"/>
        </w:rPr>
        <w:t xml:space="preserve">reasonable </w:t>
      </w:r>
      <w:r w:rsidR="00190732" w:rsidRPr="00190732">
        <w:rPr>
          <w:rFonts w:ascii="Times New Roman" w:eastAsia="Calibri" w:hAnsi="Times New Roman" w:cs="Times New Roman"/>
        </w:rPr>
        <w:t>cost remains the same</w:t>
      </w:r>
      <w:r>
        <w:rPr>
          <w:rFonts w:ascii="Times New Roman" w:eastAsia="Calibri" w:hAnsi="Times New Roman" w:cs="Times New Roman"/>
        </w:rPr>
        <w:t xml:space="preserve"> currently, we believe</w:t>
      </w:r>
      <w:r w:rsidR="00190732" w:rsidRPr="00190732">
        <w:rPr>
          <w:rFonts w:ascii="Times New Roman" w:eastAsia="Calibri" w:hAnsi="Times New Roman" w:cs="Times New Roman"/>
        </w:rPr>
        <w:t xml:space="preserve">.  The cost of new or upgraded facilities </w:t>
      </w:r>
      <w:r>
        <w:rPr>
          <w:rFonts w:ascii="Times New Roman" w:eastAsia="Calibri" w:hAnsi="Times New Roman" w:cs="Times New Roman"/>
        </w:rPr>
        <w:t>is still</w:t>
      </w:r>
      <w:r w:rsidR="00190732" w:rsidRPr="00190732">
        <w:rPr>
          <w:rFonts w:ascii="Times New Roman" w:eastAsia="Calibri" w:hAnsi="Times New Roman" w:cs="Times New Roman"/>
        </w:rPr>
        <w:t xml:space="preserve"> the lowest-cost </w:t>
      </w:r>
      <w:r w:rsidR="00D507F3">
        <w:rPr>
          <w:rFonts w:ascii="Times New Roman" w:eastAsia="Calibri" w:hAnsi="Times New Roman" w:cs="Times New Roman"/>
        </w:rPr>
        <w:t xml:space="preserve">and most </w:t>
      </w:r>
      <w:r w:rsidR="00190732" w:rsidRPr="00190732">
        <w:rPr>
          <w:rFonts w:ascii="Times New Roman" w:eastAsia="Calibri" w:hAnsi="Times New Roman" w:cs="Times New Roman"/>
        </w:rPr>
        <w:t>reliable option</w:t>
      </w:r>
      <w:r>
        <w:rPr>
          <w:rFonts w:ascii="Times New Roman" w:eastAsia="Calibri" w:hAnsi="Times New Roman" w:cs="Times New Roman"/>
        </w:rPr>
        <w:t xml:space="preserve">, as compared </w:t>
      </w:r>
      <w:r w:rsidR="00190732" w:rsidRPr="00190732">
        <w:rPr>
          <w:rFonts w:ascii="Times New Roman" w:eastAsia="Calibri" w:hAnsi="Times New Roman" w:cs="Times New Roman"/>
        </w:rPr>
        <w:t xml:space="preserve">to other technologies like </w:t>
      </w:r>
      <w:r w:rsidR="00BB01D5">
        <w:rPr>
          <w:rFonts w:ascii="Times New Roman" w:eastAsia="Calibri" w:hAnsi="Times New Roman" w:cs="Times New Roman"/>
        </w:rPr>
        <w:t xml:space="preserve">energy </w:t>
      </w:r>
      <w:r w:rsidR="00190732" w:rsidRPr="00190732">
        <w:rPr>
          <w:rFonts w:ascii="Times New Roman" w:eastAsia="Calibri" w:hAnsi="Times New Roman" w:cs="Times New Roman"/>
        </w:rPr>
        <w:t xml:space="preserve">storage.  </w:t>
      </w:r>
      <w:r w:rsidR="00BB01D5">
        <w:rPr>
          <w:rFonts w:ascii="Times New Roman" w:eastAsia="Calibri" w:hAnsi="Times New Roman" w:cs="Times New Roman"/>
        </w:rPr>
        <w:t>Energy storage</w:t>
      </w:r>
      <w:r w:rsidR="006E2E7B">
        <w:rPr>
          <w:rFonts w:ascii="Times New Roman" w:eastAsia="Calibri" w:hAnsi="Times New Roman" w:cs="Times New Roman"/>
        </w:rPr>
        <w:t>,</w:t>
      </w:r>
      <w:r w:rsidR="00190732" w:rsidRPr="00190732">
        <w:rPr>
          <w:rFonts w:ascii="Times New Roman" w:eastAsia="Calibri" w:hAnsi="Times New Roman" w:cs="Times New Roman"/>
        </w:rPr>
        <w:t xml:space="preserve"> </w:t>
      </w:r>
      <w:r w:rsidR="006E2E7B">
        <w:rPr>
          <w:rFonts w:ascii="Times New Roman" w:eastAsia="Calibri" w:hAnsi="Times New Roman" w:cs="Times New Roman"/>
        </w:rPr>
        <w:t xml:space="preserve">at this time is simply </w:t>
      </w:r>
      <w:r w:rsidR="00190732" w:rsidRPr="00190732">
        <w:rPr>
          <w:rFonts w:ascii="Times New Roman" w:eastAsia="Calibri" w:hAnsi="Times New Roman" w:cs="Times New Roman"/>
        </w:rPr>
        <w:t xml:space="preserve">not cost-effective relative to traditional wire solutions.  Avista evaluates storage and other emerging technologies as they pertain to distribution system planning.  The </w:t>
      </w:r>
      <w:r w:rsidR="006E2E7B">
        <w:rPr>
          <w:rFonts w:ascii="Times New Roman" w:eastAsia="Calibri" w:hAnsi="Times New Roman" w:cs="Times New Roman"/>
        </w:rPr>
        <w:t xml:space="preserve">current </w:t>
      </w:r>
      <w:r w:rsidR="00190732" w:rsidRPr="00190732">
        <w:rPr>
          <w:rFonts w:ascii="Times New Roman" w:eastAsia="Calibri" w:hAnsi="Times New Roman" w:cs="Times New Roman"/>
        </w:rPr>
        <w:t>challenge</w:t>
      </w:r>
      <w:r w:rsidR="006E2E7B">
        <w:rPr>
          <w:rFonts w:ascii="Times New Roman" w:eastAsia="Calibri" w:hAnsi="Times New Roman" w:cs="Times New Roman"/>
        </w:rPr>
        <w:t xml:space="preserve"> we believe</w:t>
      </w:r>
      <w:r w:rsidR="00190732" w:rsidRPr="00190732">
        <w:rPr>
          <w:rFonts w:ascii="Times New Roman" w:eastAsia="Calibri" w:hAnsi="Times New Roman" w:cs="Times New Roman"/>
        </w:rPr>
        <w:t xml:space="preserve"> </w:t>
      </w:r>
      <w:r w:rsidR="00D507F3">
        <w:rPr>
          <w:rFonts w:ascii="Times New Roman" w:eastAsia="Calibri" w:hAnsi="Times New Roman" w:cs="Times New Roman"/>
        </w:rPr>
        <w:t>involves</w:t>
      </w:r>
      <w:r w:rsidR="00190732" w:rsidRPr="00190732">
        <w:rPr>
          <w:rFonts w:ascii="Times New Roman" w:eastAsia="Calibri" w:hAnsi="Times New Roman" w:cs="Times New Roman"/>
        </w:rPr>
        <w:t xml:space="preserve"> communicating the breadth and results of these evaluations, rather than </w:t>
      </w:r>
      <w:r w:rsidR="00BB01D5">
        <w:rPr>
          <w:rFonts w:ascii="Times New Roman" w:eastAsia="Calibri" w:hAnsi="Times New Roman" w:cs="Times New Roman"/>
        </w:rPr>
        <w:t xml:space="preserve">the </w:t>
      </w:r>
      <w:r w:rsidR="00190732" w:rsidRPr="00190732">
        <w:rPr>
          <w:rFonts w:ascii="Times New Roman" w:eastAsia="Calibri" w:hAnsi="Times New Roman" w:cs="Times New Roman"/>
        </w:rPr>
        <w:t xml:space="preserve">development of an entirely new process or analytical framework. </w:t>
      </w:r>
    </w:p>
    <w:p w14:paraId="39CAEFB8" w14:textId="77777777" w:rsidR="00190732" w:rsidRPr="00190732" w:rsidRDefault="00190732" w:rsidP="00190732">
      <w:pPr>
        <w:spacing w:line="360" w:lineRule="auto"/>
        <w:jc w:val="both"/>
        <w:rPr>
          <w:rFonts w:ascii="Times New Roman" w:eastAsia="Calibri" w:hAnsi="Times New Roman" w:cs="Times New Roman"/>
        </w:rPr>
      </w:pPr>
    </w:p>
    <w:p w14:paraId="39CAEFB9" w14:textId="77777777" w:rsidR="00190732" w:rsidRPr="00190732" w:rsidRDefault="00834AED" w:rsidP="00BB01D5">
      <w:pPr>
        <w:spacing w:line="360" w:lineRule="auto"/>
        <w:ind w:firstLine="720"/>
        <w:jc w:val="both"/>
        <w:rPr>
          <w:rFonts w:ascii="Times New Roman" w:eastAsia="Calibri" w:hAnsi="Times New Roman" w:cs="Times New Roman"/>
        </w:rPr>
      </w:pPr>
      <w:r>
        <w:rPr>
          <w:rFonts w:ascii="Times New Roman" w:eastAsia="Calibri" w:hAnsi="Times New Roman" w:cs="Times New Roman"/>
        </w:rPr>
        <w:t>A</w:t>
      </w:r>
      <w:r w:rsidR="00190732" w:rsidRPr="00190732">
        <w:rPr>
          <w:rFonts w:ascii="Times New Roman" w:eastAsia="Calibri" w:hAnsi="Times New Roman" w:cs="Times New Roman"/>
        </w:rPr>
        <w:t>nother reason</w:t>
      </w:r>
      <w:r>
        <w:rPr>
          <w:rFonts w:ascii="Times New Roman" w:eastAsia="Calibri" w:hAnsi="Times New Roman" w:cs="Times New Roman"/>
        </w:rPr>
        <w:t xml:space="preserve"> why d</w:t>
      </w:r>
      <w:r w:rsidRPr="00190732">
        <w:rPr>
          <w:rFonts w:ascii="Times New Roman" w:eastAsia="Calibri" w:hAnsi="Times New Roman" w:cs="Times New Roman"/>
        </w:rPr>
        <w:t xml:space="preserve">istribution system planning is different from </w:t>
      </w:r>
      <w:r>
        <w:rPr>
          <w:rFonts w:ascii="Times New Roman" w:eastAsia="Calibri" w:hAnsi="Times New Roman" w:cs="Times New Roman"/>
        </w:rPr>
        <w:t xml:space="preserve">the IRP </w:t>
      </w:r>
      <w:r w:rsidR="00466B68">
        <w:rPr>
          <w:rFonts w:ascii="Times New Roman" w:eastAsia="Calibri" w:hAnsi="Times New Roman" w:cs="Times New Roman"/>
        </w:rPr>
        <w:t xml:space="preserve">process </w:t>
      </w:r>
      <w:r>
        <w:rPr>
          <w:rFonts w:ascii="Times New Roman" w:eastAsia="Calibri" w:hAnsi="Times New Roman" w:cs="Times New Roman"/>
        </w:rPr>
        <w:t xml:space="preserve">is </w:t>
      </w:r>
      <w:r w:rsidR="00190732" w:rsidRPr="00190732">
        <w:rPr>
          <w:rFonts w:ascii="Times New Roman" w:eastAsia="Calibri" w:hAnsi="Times New Roman" w:cs="Times New Roman"/>
        </w:rPr>
        <w:t xml:space="preserve">the magnitude of the </w:t>
      </w:r>
      <w:r w:rsidR="00BB01D5">
        <w:rPr>
          <w:rFonts w:ascii="Times New Roman" w:eastAsia="Calibri" w:hAnsi="Times New Roman" w:cs="Times New Roman"/>
        </w:rPr>
        <w:t xml:space="preserve">investment </w:t>
      </w:r>
      <w:r w:rsidR="00190732" w:rsidRPr="00190732">
        <w:rPr>
          <w:rFonts w:ascii="Times New Roman" w:eastAsia="Calibri" w:hAnsi="Times New Roman" w:cs="Times New Roman"/>
        </w:rPr>
        <w:t>decisions</w:t>
      </w:r>
      <w:r>
        <w:rPr>
          <w:rFonts w:ascii="Times New Roman" w:eastAsia="Calibri" w:hAnsi="Times New Roman" w:cs="Times New Roman"/>
        </w:rPr>
        <w:t xml:space="preserve"> being a small fraction</w:t>
      </w:r>
      <w:r w:rsidR="00190732" w:rsidRPr="00190732">
        <w:rPr>
          <w:rFonts w:ascii="Times New Roman" w:eastAsia="Calibri" w:hAnsi="Times New Roman" w:cs="Times New Roman"/>
        </w:rPr>
        <w:t xml:space="preserve"> of power supply </w:t>
      </w:r>
      <w:r w:rsidR="006E2E7B">
        <w:rPr>
          <w:rFonts w:ascii="Times New Roman" w:eastAsia="Calibri" w:hAnsi="Times New Roman" w:cs="Times New Roman"/>
        </w:rPr>
        <w:t xml:space="preserve">related </w:t>
      </w:r>
      <w:r w:rsidR="00190732" w:rsidRPr="00190732">
        <w:rPr>
          <w:rFonts w:ascii="Times New Roman" w:eastAsia="Calibri" w:hAnsi="Times New Roman" w:cs="Times New Roman"/>
        </w:rPr>
        <w:t xml:space="preserve">decisions.  Like distribution assets, a new generation asset could be in </w:t>
      </w:r>
      <w:r w:rsidR="00D507F3">
        <w:rPr>
          <w:rFonts w:ascii="Times New Roman" w:eastAsia="Calibri" w:hAnsi="Times New Roman" w:cs="Times New Roman"/>
        </w:rPr>
        <w:t>service for 30-</w:t>
      </w:r>
      <w:r w:rsidR="00584E9B">
        <w:rPr>
          <w:rFonts w:ascii="Times New Roman" w:eastAsia="Calibri" w:hAnsi="Times New Roman" w:cs="Times New Roman"/>
        </w:rPr>
        <w:t>50</w:t>
      </w:r>
      <w:r w:rsidR="00466B68">
        <w:rPr>
          <w:rFonts w:ascii="Times New Roman" w:eastAsia="Calibri" w:hAnsi="Times New Roman" w:cs="Times New Roman"/>
        </w:rPr>
        <w:t xml:space="preserve"> years, however e</w:t>
      </w:r>
      <w:r w:rsidR="00190732" w:rsidRPr="00190732">
        <w:rPr>
          <w:rFonts w:ascii="Times New Roman" w:eastAsia="Calibri" w:hAnsi="Times New Roman" w:cs="Times New Roman"/>
        </w:rPr>
        <w:t>ach generation asset decision can be in the magnitude of hun</w:t>
      </w:r>
      <w:r w:rsidR="00466B68">
        <w:rPr>
          <w:rFonts w:ascii="Times New Roman" w:eastAsia="Calibri" w:hAnsi="Times New Roman" w:cs="Times New Roman"/>
        </w:rPr>
        <w:t>dreds of millions of dollars where d</w:t>
      </w:r>
      <w:r w:rsidR="00190732" w:rsidRPr="00190732">
        <w:rPr>
          <w:rFonts w:ascii="Times New Roman" w:eastAsia="Calibri" w:hAnsi="Times New Roman" w:cs="Times New Roman"/>
        </w:rPr>
        <w:t xml:space="preserve">istribution feeder upgrades are in the </w:t>
      </w:r>
      <w:r w:rsidR="006E2E7B">
        <w:rPr>
          <w:rFonts w:ascii="Times New Roman" w:eastAsia="Calibri" w:hAnsi="Times New Roman" w:cs="Times New Roman"/>
        </w:rPr>
        <w:t xml:space="preserve">hundreds of thousands to single-digit </w:t>
      </w:r>
      <w:r w:rsidR="00190732" w:rsidRPr="00190732">
        <w:rPr>
          <w:rFonts w:ascii="Times New Roman" w:eastAsia="Calibri" w:hAnsi="Times New Roman" w:cs="Times New Roman"/>
        </w:rPr>
        <w:t xml:space="preserve">millions.  Further, </w:t>
      </w:r>
      <w:r w:rsidR="00190732" w:rsidRPr="00190732">
        <w:rPr>
          <w:rFonts w:ascii="Times New Roman" w:eastAsia="Calibri" w:hAnsi="Times New Roman" w:cs="Times New Roman"/>
        </w:rPr>
        <w:lastRenderedPageBreak/>
        <w:t xml:space="preserve">distribution planning must be responsive to </w:t>
      </w:r>
      <w:r w:rsidR="00BB01D5" w:rsidRPr="00466B68">
        <w:rPr>
          <w:rFonts w:ascii="Times New Roman" w:eastAsia="Calibri" w:hAnsi="Times New Roman" w:cs="Times New Roman"/>
          <w:u w:val="single"/>
        </w:rPr>
        <w:t>near-term</w:t>
      </w:r>
      <w:r w:rsidR="00BB01D5">
        <w:rPr>
          <w:rFonts w:ascii="Times New Roman" w:eastAsia="Calibri" w:hAnsi="Times New Roman" w:cs="Times New Roman"/>
        </w:rPr>
        <w:t xml:space="preserve"> </w:t>
      </w:r>
      <w:r w:rsidR="00190732" w:rsidRPr="00190732">
        <w:rPr>
          <w:rFonts w:ascii="Times New Roman" w:eastAsia="Calibri" w:hAnsi="Times New Roman" w:cs="Times New Roman"/>
        </w:rPr>
        <w:t>customer demands for new interconnection requests</w:t>
      </w:r>
      <w:r w:rsidR="00BB01D5">
        <w:rPr>
          <w:rFonts w:ascii="Times New Roman" w:eastAsia="Calibri" w:hAnsi="Times New Roman" w:cs="Times New Roman"/>
        </w:rPr>
        <w:t xml:space="preserve"> and needs</w:t>
      </w:r>
      <w:r w:rsidR="00190732" w:rsidRPr="00190732">
        <w:rPr>
          <w:rFonts w:ascii="Times New Roman" w:eastAsia="Calibri" w:hAnsi="Times New Roman" w:cs="Times New Roman"/>
        </w:rPr>
        <w:t xml:space="preserve">. </w:t>
      </w:r>
    </w:p>
    <w:p w14:paraId="39CAEFBA" w14:textId="77777777" w:rsidR="00190732" w:rsidRPr="00190732" w:rsidRDefault="00190732" w:rsidP="00190732">
      <w:pPr>
        <w:spacing w:line="360" w:lineRule="auto"/>
        <w:jc w:val="both"/>
        <w:rPr>
          <w:rFonts w:ascii="Times New Roman" w:eastAsia="Calibri" w:hAnsi="Times New Roman" w:cs="Times New Roman"/>
        </w:rPr>
      </w:pPr>
    </w:p>
    <w:p w14:paraId="39CAEFBB" w14:textId="77777777" w:rsidR="00190732" w:rsidRPr="00740D1D" w:rsidRDefault="00190732" w:rsidP="00A66822">
      <w:pPr>
        <w:spacing w:line="360" w:lineRule="auto"/>
        <w:jc w:val="center"/>
        <w:rPr>
          <w:rFonts w:ascii="Times New Roman" w:eastAsia="Calibri" w:hAnsi="Times New Roman" w:cs="Times New Roman"/>
          <w:b/>
        </w:rPr>
      </w:pPr>
      <w:r w:rsidRPr="00740D1D">
        <w:rPr>
          <w:rFonts w:ascii="Times New Roman" w:eastAsia="Calibri" w:hAnsi="Times New Roman" w:cs="Times New Roman"/>
          <w:b/>
        </w:rPr>
        <w:t>Section V: Statement of Commission Policy</w:t>
      </w:r>
    </w:p>
    <w:p w14:paraId="39CAEFBC" w14:textId="77777777" w:rsidR="00190732" w:rsidRPr="00190732" w:rsidRDefault="00190732" w:rsidP="00190732">
      <w:pPr>
        <w:spacing w:line="360" w:lineRule="auto"/>
        <w:jc w:val="both"/>
        <w:rPr>
          <w:rFonts w:ascii="Times New Roman" w:eastAsia="Calibri" w:hAnsi="Times New Roman" w:cs="Times New Roman"/>
        </w:rPr>
      </w:pPr>
    </w:p>
    <w:p w14:paraId="39CAEFBD" w14:textId="77777777" w:rsidR="00190732" w:rsidRPr="00190732" w:rsidRDefault="00190732" w:rsidP="00740D1D">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 xml:space="preserve">Paragraph 41 </w:t>
      </w:r>
      <w:r w:rsidR="00740D1D">
        <w:rPr>
          <w:rFonts w:ascii="Times New Roman" w:eastAsia="Calibri" w:hAnsi="Times New Roman" w:cs="Times New Roman"/>
        </w:rPr>
        <w:t xml:space="preserve">of the draft policy statement </w:t>
      </w:r>
      <w:r w:rsidRPr="00190732">
        <w:rPr>
          <w:rFonts w:ascii="Times New Roman" w:eastAsia="Calibri" w:hAnsi="Times New Roman" w:cs="Times New Roman"/>
        </w:rPr>
        <w:t xml:space="preserve">states </w:t>
      </w:r>
      <w:r w:rsidR="00740D1D">
        <w:rPr>
          <w:rFonts w:ascii="Times New Roman" w:eastAsia="Calibri" w:hAnsi="Times New Roman" w:cs="Times New Roman"/>
        </w:rPr>
        <w:t>that “</w:t>
      </w:r>
      <w:r w:rsidRPr="00190732">
        <w:rPr>
          <w:rFonts w:ascii="Times New Roman" w:eastAsia="Calibri" w:hAnsi="Times New Roman" w:cs="Times New Roman"/>
        </w:rPr>
        <w:t>energy storage is a key enabling technology for the state’s energy policies</w:t>
      </w:r>
      <w:r w:rsidR="00740D1D">
        <w:rPr>
          <w:rFonts w:ascii="Times New Roman" w:eastAsia="Calibri" w:hAnsi="Times New Roman" w:cs="Times New Roman"/>
        </w:rPr>
        <w:t>”</w:t>
      </w:r>
      <w:r w:rsidRPr="00190732">
        <w:rPr>
          <w:rFonts w:ascii="Times New Roman" w:eastAsia="Calibri" w:hAnsi="Times New Roman" w:cs="Times New Roman"/>
        </w:rPr>
        <w:t>, yet there is no evidence to show how energy storage provides such support.  Energy storage is currently not cost-effective</w:t>
      </w:r>
      <w:r w:rsidR="00D507F3">
        <w:rPr>
          <w:rFonts w:ascii="Times New Roman" w:eastAsia="Calibri" w:hAnsi="Times New Roman" w:cs="Times New Roman"/>
        </w:rPr>
        <w:t xml:space="preserve"> in most circumstances</w:t>
      </w:r>
      <w:r w:rsidRPr="00190732">
        <w:rPr>
          <w:rFonts w:ascii="Times New Roman" w:eastAsia="Calibri" w:hAnsi="Times New Roman" w:cs="Times New Roman"/>
        </w:rPr>
        <w:t xml:space="preserve">, and it </w:t>
      </w:r>
      <w:r w:rsidR="00BA2357">
        <w:rPr>
          <w:rFonts w:ascii="Times New Roman" w:eastAsia="Calibri" w:hAnsi="Times New Roman" w:cs="Times New Roman"/>
        </w:rPr>
        <w:t>may</w:t>
      </w:r>
      <w:r w:rsidRPr="00190732">
        <w:rPr>
          <w:rFonts w:ascii="Times New Roman" w:eastAsia="Calibri" w:hAnsi="Times New Roman" w:cs="Times New Roman"/>
        </w:rPr>
        <w:t xml:space="preserve"> take years of technology</w:t>
      </w:r>
      <w:r w:rsidR="00D507F3">
        <w:rPr>
          <w:rFonts w:ascii="Times New Roman" w:eastAsia="Calibri" w:hAnsi="Times New Roman" w:cs="Times New Roman"/>
        </w:rPr>
        <w:t xml:space="preserve"> improvements</w:t>
      </w:r>
      <w:r w:rsidRPr="00190732">
        <w:rPr>
          <w:rFonts w:ascii="Times New Roman" w:eastAsia="Calibri" w:hAnsi="Times New Roman" w:cs="Times New Roman"/>
        </w:rPr>
        <w:t xml:space="preserve"> and cost-reduction advances to match </w:t>
      </w:r>
      <w:r w:rsidR="00D507F3">
        <w:rPr>
          <w:rFonts w:ascii="Times New Roman" w:eastAsia="Calibri" w:hAnsi="Times New Roman" w:cs="Times New Roman"/>
        </w:rPr>
        <w:t xml:space="preserve">or exceed </w:t>
      </w:r>
      <w:r w:rsidR="006E2E7B">
        <w:rPr>
          <w:rFonts w:ascii="Times New Roman" w:eastAsia="Calibri" w:hAnsi="Times New Roman" w:cs="Times New Roman"/>
        </w:rPr>
        <w:t xml:space="preserve">the </w:t>
      </w:r>
      <w:r w:rsidRPr="00190732">
        <w:rPr>
          <w:rFonts w:ascii="Times New Roman" w:eastAsia="Calibri" w:hAnsi="Times New Roman" w:cs="Times New Roman"/>
        </w:rPr>
        <w:t>traditional utility reliability solutions.</w:t>
      </w:r>
      <w:r w:rsidR="00A66822">
        <w:rPr>
          <w:rFonts w:ascii="Times New Roman" w:eastAsia="Calibri" w:hAnsi="Times New Roman" w:cs="Times New Roman"/>
        </w:rPr>
        <w:t xml:space="preserve"> </w:t>
      </w:r>
      <w:r w:rsidRPr="00190732">
        <w:rPr>
          <w:rFonts w:ascii="Times New Roman" w:eastAsia="Calibri" w:hAnsi="Times New Roman" w:cs="Times New Roman"/>
        </w:rPr>
        <w:t xml:space="preserve"> Utilities are in the best position to find and deploy the technology cost effectively as they </w:t>
      </w:r>
      <w:r w:rsidR="00BA2357">
        <w:rPr>
          <w:rFonts w:ascii="Times New Roman" w:eastAsia="Calibri" w:hAnsi="Times New Roman" w:cs="Times New Roman"/>
        </w:rPr>
        <w:t xml:space="preserve">continue to </w:t>
      </w:r>
      <w:r w:rsidRPr="00190732">
        <w:rPr>
          <w:rFonts w:ascii="Times New Roman" w:eastAsia="Calibri" w:hAnsi="Times New Roman" w:cs="Times New Roman"/>
        </w:rPr>
        <w:t>survey the market for least cost solutions.</w:t>
      </w:r>
    </w:p>
    <w:p w14:paraId="39CAEFBE" w14:textId="77777777" w:rsidR="00190732" w:rsidRPr="00190732" w:rsidRDefault="00190732" w:rsidP="00190732">
      <w:pPr>
        <w:spacing w:line="360" w:lineRule="auto"/>
        <w:jc w:val="both"/>
        <w:rPr>
          <w:rFonts w:ascii="Times New Roman" w:eastAsia="Calibri" w:hAnsi="Times New Roman" w:cs="Times New Roman"/>
        </w:rPr>
      </w:pPr>
    </w:p>
    <w:p w14:paraId="39CAEFBF" w14:textId="77777777" w:rsidR="00190732" w:rsidRPr="00A66822" w:rsidRDefault="00190732" w:rsidP="00190732">
      <w:pPr>
        <w:spacing w:line="360" w:lineRule="auto"/>
        <w:jc w:val="both"/>
        <w:rPr>
          <w:rFonts w:ascii="Times New Roman" w:eastAsia="Calibri" w:hAnsi="Times New Roman" w:cs="Times New Roman"/>
          <w:b/>
        </w:rPr>
      </w:pPr>
      <w:r w:rsidRPr="00A66822">
        <w:rPr>
          <w:rFonts w:ascii="Times New Roman" w:eastAsia="Calibri" w:hAnsi="Times New Roman" w:cs="Times New Roman"/>
          <w:b/>
        </w:rPr>
        <w:t>A. Changing Planning Paradigms</w:t>
      </w:r>
    </w:p>
    <w:p w14:paraId="39CAEFC0" w14:textId="77777777" w:rsidR="00190732" w:rsidRPr="00190732" w:rsidRDefault="00190732" w:rsidP="00A66822">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 xml:space="preserve">The </w:t>
      </w:r>
      <w:r w:rsidR="00A66822">
        <w:rPr>
          <w:rFonts w:ascii="Times New Roman" w:eastAsia="Calibri" w:hAnsi="Times New Roman" w:cs="Times New Roman"/>
        </w:rPr>
        <w:t>draft policy statement concludes that</w:t>
      </w:r>
      <w:r w:rsidRPr="00190732">
        <w:rPr>
          <w:rFonts w:ascii="Times New Roman" w:eastAsia="Calibri" w:hAnsi="Times New Roman" w:cs="Times New Roman"/>
        </w:rPr>
        <w:t xml:space="preserve"> functional separation is </w:t>
      </w:r>
      <w:r w:rsidR="00A66822">
        <w:rPr>
          <w:rFonts w:ascii="Times New Roman" w:eastAsia="Calibri" w:hAnsi="Times New Roman" w:cs="Times New Roman"/>
        </w:rPr>
        <w:t xml:space="preserve">one of the </w:t>
      </w:r>
      <w:r w:rsidRPr="00190732">
        <w:rPr>
          <w:rFonts w:ascii="Times New Roman" w:eastAsia="Calibri" w:hAnsi="Times New Roman" w:cs="Times New Roman"/>
        </w:rPr>
        <w:t>reason</w:t>
      </w:r>
      <w:r w:rsidR="00A66822">
        <w:rPr>
          <w:rFonts w:ascii="Times New Roman" w:eastAsia="Calibri" w:hAnsi="Times New Roman" w:cs="Times New Roman"/>
        </w:rPr>
        <w:t>s</w:t>
      </w:r>
      <w:r w:rsidRPr="00190732">
        <w:rPr>
          <w:rFonts w:ascii="Times New Roman" w:eastAsia="Calibri" w:hAnsi="Times New Roman" w:cs="Times New Roman"/>
        </w:rPr>
        <w:t xml:space="preserve"> </w:t>
      </w:r>
      <w:r w:rsidR="00A66822">
        <w:rPr>
          <w:rFonts w:ascii="Times New Roman" w:eastAsia="Calibri" w:hAnsi="Times New Roman" w:cs="Times New Roman"/>
        </w:rPr>
        <w:t xml:space="preserve">energy </w:t>
      </w:r>
      <w:r w:rsidRPr="00190732">
        <w:rPr>
          <w:rFonts w:ascii="Times New Roman" w:eastAsia="Calibri" w:hAnsi="Times New Roman" w:cs="Times New Roman"/>
        </w:rPr>
        <w:t xml:space="preserve">storage </w:t>
      </w:r>
      <w:r w:rsidR="00A66822">
        <w:rPr>
          <w:rFonts w:ascii="Times New Roman" w:eastAsia="Calibri" w:hAnsi="Times New Roman" w:cs="Times New Roman"/>
        </w:rPr>
        <w:t>has not been</w:t>
      </w:r>
      <w:r w:rsidRPr="00190732">
        <w:rPr>
          <w:rFonts w:ascii="Times New Roman" w:eastAsia="Calibri" w:hAnsi="Times New Roman" w:cs="Times New Roman"/>
        </w:rPr>
        <w:t xml:space="preserve"> included </w:t>
      </w:r>
      <w:r w:rsidR="00A66822">
        <w:rPr>
          <w:rFonts w:ascii="Times New Roman" w:eastAsia="Calibri" w:hAnsi="Times New Roman" w:cs="Times New Roman"/>
        </w:rPr>
        <w:t xml:space="preserve">or selected </w:t>
      </w:r>
      <w:r w:rsidRPr="00190732">
        <w:rPr>
          <w:rFonts w:ascii="Times New Roman" w:eastAsia="Calibri" w:hAnsi="Times New Roman" w:cs="Times New Roman"/>
        </w:rPr>
        <w:t xml:space="preserve">in past </w:t>
      </w:r>
      <w:r w:rsidR="00BA2357">
        <w:rPr>
          <w:rFonts w:ascii="Times New Roman" w:eastAsia="Calibri" w:hAnsi="Times New Roman" w:cs="Times New Roman"/>
        </w:rPr>
        <w:t>IRPs</w:t>
      </w:r>
      <w:r w:rsidRPr="00190732">
        <w:rPr>
          <w:rFonts w:ascii="Times New Roman" w:eastAsia="Calibri" w:hAnsi="Times New Roman" w:cs="Times New Roman"/>
        </w:rPr>
        <w:t>.  Avista respectfully disagrees.  Through various efforts the Company has looked at the benefits beyond traditional power supply in a number of its past IRPs.  Even with these benefits, other resource alternatives are more cost</w:t>
      </w:r>
      <w:r w:rsidR="009524D6">
        <w:rPr>
          <w:rFonts w:ascii="Times New Roman" w:eastAsia="Calibri" w:hAnsi="Times New Roman" w:cs="Times New Roman"/>
        </w:rPr>
        <w:t>-</w:t>
      </w:r>
      <w:r w:rsidRPr="00190732">
        <w:rPr>
          <w:rFonts w:ascii="Times New Roman" w:eastAsia="Calibri" w:hAnsi="Times New Roman" w:cs="Times New Roman"/>
        </w:rPr>
        <w:t xml:space="preserve">effective.  </w:t>
      </w:r>
      <w:r w:rsidR="009524D6">
        <w:rPr>
          <w:rFonts w:ascii="Times New Roman" w:eastAsia="Calibri" w:hAnsi="Times New Roman" w:cs="Times New Roman"/>
        </w:rPr>
        <w:t>T</w:t>
      </w:r>
      <w:r w:rsidRPr="00190732">
        <w:rPr>
          <w:rFonts w:ascii="Times New Roman" w:eastAsia="Calibri" w:hAnsi="Times New Roman" w:cs="Times New Roman"/>
        </w:rPr>
        <w:t xml:space="preserve">here </w:t>
      </w:r>
      <w:r w:rsidR="006E2E7B">
        <w:rPr>
          <w:rFonts w:ascii="Times New Roman" w:eastAsia="Calibri" w:hAnsi="Times New Roman" w:cs="Times New Roman"/>
        </w:rPr>
        <w:t>have been</w:t>
      </w:r>
      <w:r w:rsidRPr="00190732">
        <w:rPr>
          <w:rFonts w:ascii="Times New Roman" w:eastAsia="Calibri" w:hAnsi="Times New Roman" w:cs="Times New Roman"/>
        </w:rPr>
        <w:t xml:space="preserve"> barriers </w:t>
      </w:r>
      <w:r w:rsidR="00BA2357">
        <w:rPr>
          <w:rFonts w:ascii="Times New Roman" w:eastAsia="Calibri" w:hAnsi="Times New Roman" w:cs="Times New Roman"/>
        </w:rPr>
        <w:t>to energy storage procurement</w:t>
      </w:r>
      <w:r w:rsidR="006E2E7B">
        <w:rPr>
          <w:rFonts w:ascii="Times New Roman" w:eastAsia="Calibri" w:hAnsi="Times New Roman" w:cs="Times New Roman"/>
        </w:rPr>
        <w:t>, however, we believe these barriers are being</w:t>
      </w:r>
      <w:r w:rsidRPr="00190732">
        <w:rPr>
          <w:rFonts w:ascii="Times New Roman" w:eastAsia="Calibri" w:hAnsi="Times New Roman" w:cs="Times New Roman"/>
        </w:rPr>
        <w:t xml:space="preserve"> removed as the sophistication of utilities to evaluate conservation and other programs </w:t>
      </w:r>
      <w:r w:rsidR="006E2E7B">
        <w:rPr>
          <w:rFonts w:ascii="Times New Roman" w:eastAsia="Calibri" w:hAnsi="Times New Roman" w:cs="Times New Roman"/>
        </w:rPr>
        <w:t xml:space="preserve">has </w:t>
      </w:r>
      <w:r w:rsidRPr="00190732">
        <w:rPr>
          <w:rFonts w:ascii="Times New Roman" w:eastAsia="Calibri" w:hAnsi="Times New Roman" w:cs="Times New Roman"/>
        </w:rPr>
        <w:t xml:space="preserve">increased, and regulators require utilities to consider all benefits associated with non-power supply solutions. </w:t>
      </w:r>
      <w:r w:rsidR="00A67C6C">
        <w:rPr>
          <w:rFonts w:ascii="Times New Roman" w:eastAsia="Calibri" w:hAnsi="Times New Roman" w:cs="Times New Roman"/>
        </w:rPr>
        <w:t>Avista supports</w:t>
      </w:r>
      <w:r w:rsidRPr="00190732">
        <w:rPr>
          <w:rFonts w:ascii="Times New Roman" w:eastAsia="Calibri" w:hAnsi="Times New Roman" w:cs="Times New Roman"/>
        </w:rPr>
        <w:t xml:space="preserve"> the Commission</w:t>
      </w:r>
      <w:r w:rsidR="00A67C6C">
        <w:rPr>
          <w:rFonts w:ascii="Times New Roman" w:eastAsia="Calibri" w:hAnsi="Times New Roman" w:cs="Times New Roman"/>
        </w:rPr>
        <w:t>’s recommendation that</w:t>
      </w:r>
      <w:r w:rsidRPr="00190732">
        <w:rPr>
          <w:rFonts w:ascii="Times New Roman" w:eastAsia="Calibri" w:hAnsi="Times New Roman" w:cs="Times New Roman"/>
        </w:rPr>
        <w:t xml:space="preserve"> utilities include non-power supply benefits for </w:t>
      </w:r>
      <w:r w:rsidR="009524D6">
        <w:rPr>
          <w:rFonts w:ascii="Times New Roman" w:eastAsia="Calibri" w:hAnsi="Times New Roman" w:cs="Times New Roman"/>
        </w:rPr>
        <w:t xml:space="preserve">energy </w:t>
      </w:r>
      <w:r w:rsidRPr="00190732">
        <w:rPr>
          <w:rFonts w:ascii="Times New Roman" w:eastAsia="Calibri" w:hAnsi="Times New Roman" w:cs="Times New Roman"/>
        </w:rPr>
        <w:t xml:space="preserve">storage and other resource options, but does not support bringing distribution planning into the IRP.  </w:t>
      </w:r>
      <w:r w:rsidR="00A67C6C" w:rsidRPr="00190732">
        <w:rPr>
          <w:rFonts w:ascii="Times New Roman" w:eastAsia="Calibri" w:hAnsi="Times New Roman" w:cs="Times New Roman"/>
        </w:rPr>
        <w:t>Instead</w:t>
      </w:r>
      <w:r w:rsidR="00A67C6C">
        <w:rPr>
          <w:rFonts w:ascii="Times New Roman" w:eastAsia="Calibri" w:hAnsi="Times New Roman" w:cs="Times New Roman"/>
        </w:rPr>
        <w:t>,</w:t>
      </w:r>
      <w:r w:rsidR="00A67C6C" w:rsidRPr="00190732">
        <w:rPr>
          <w:rFonts w:ascii="Times New Roman" w:eastAsia="Calibri" w:hAnsi="Times New Roman" w:cs="Times New Roman"/>
        </w:rPr>
        <w:t xml:space="preserve"> </w:t>
      </w:r>
      <w:r w:rsidR="00A67C6C">
        <w:rPr>
          <w:rFonts w:ascii="Times New Roman" w:eastAsia="Calibri" w:hAnsi="Times New Roman" w:cs="Times New Roman"/>
        </w:rPr>
        <w:t>it would</w:t>
      </w:r>
      <w:r w:rsidR="00A67C6C" w:rsidRPr="00190732">
        <w:rPr>
          <w:rFonts w:ascii="Times New Roman" w:eastAsia="Calibri" w:hAnsi="Times New Roman" w:cs="Times New Roman"/>
        </w:rPr>
        <w:t xml:space="preserve"> better serve customers by encouraging </w:t>
      </w:r>
      <w:r w:rsidR="00A67C6C">
        <w:rPr>
          <w:rFonts w:ascii="Times New Roman" w:eastAsia="Calibri" w:hAnsi="Times New Roman" w:cs="Times New Roman"/>
        </w:rPr>
        <w:t xml:space="preserve">more in-depth </w:t>
      </w:r>
      <w:r w:rsidR="00A67C6C" w:rsidRPr="00190732">
        <w:rPr>
          <w:rFonts w:ascii="Times New Roman" w:eastAsia="Calibri" w:hAnsi="Times New Roman" w:cs="Times New Roman"/>
        </w:rPr>
        <w:t>communication</w:t>
      </w:r>
      <w:r w:rsidR="00A67C6C">
        <w:rPr>
          <w:rFonts w:ascii="Times New Roman" w:eastAsia="Calibri" w:hAnsi="Times New Roman" w:cs="Times New Roman"/>
        </w:rPr>
        <w:t>s between the Company’s various planning groups,</w:t>
      </w:r>
      <w:r w:rsidR="00A67C6C" w:rsidRPr="00190732">
        <w:rPr>
          <w:rFonts w:ascii="Times New Roman" w:eastAsia="Calibri" w:hAnsi="Times New Roman" w:cs="Times New Roman"/>
        </w:rPr>
        <w:t xml:space="preserve"> to ensure </w:t>
      </w:r>
      <w:r w:rsidR="00A67C6C">
        <w:rPr>
          <w:rFonts w:ascii="Times New Roman" w:eastAsia="Calibri" w:hAnsi="Times New Roman" w:cs="Times New Roman"/>
        </w:rPr>
        <w:t xml:space="preserve">energy </w:t>
      </w:r>
      <w:r w:rsidR="00A67C6C" w:rsidRPr="00190732">
        <w:rPr>
          <w:rFonts w:ascii="Times New Roman" w:eastAsia="Calibri" w:hAnsi="Times New Roman" w:cs="Times New Roman"/>
        </w:rPr>
        <w:t>storage is</w:t>
      </w:r>
      <w:r w:rsidR="00A67C6C">
        <w:rPr>
          <w:rFonts w:ascii="Times New Roman" w:eastAsia="Calibri" w:hAnsi="Times New Roman" w:cs="Times New Roman"/>
        </w:rPr>
        <w:t xml:space="preserve"> deployed where and when it becomes</w:t>
      </w:r>
      <w:r w:rsidR="00A67C6C" w:rsidRPr="00190732">
        <w:rPr>
          <w:rFonts w:ascii="Times New Roman" w:eastAsia="Calibri" w:hAnsi="Times New Roman" w:cs="Times New Roman"/>
        </w:rPr>
        <w:t xml:space="preserve"> cost effective </w:t>
      </w:r>
      <w:r w:rsidR="00A67C6C">
        <w:rPr>
          <w:rFonts w:ascii="Times New Roman" w:eastAsia="Calibri" w:hAnsi="Times New Roman" w:cs="Times New Roman"/>
        </w:rPr>
        <w:t xml:space="preserve">and reliable. </w:t>
      </w:r>
      <w:r w:rsidRPr="00190732">
        <w:rPr>
          <w:rFonts w:ascii="Times New Roman" w:eastAsia="Calibri" w:hAnsi="Times New Roman" w:cs="Times New Roman"/>
        </w:rPr>
        <w:t>The Commission has correctly recognized that integration of these value streams into all aspects of utility planning will take time, as ideal modeling and analytical tools are generally not commercially available today.</w:t>
      </w:r>
    </w:p>
    <w:p w14:paraId="39CAEFC1" w14:textId="77777777" w:rsidR="00190732" w:rsidRPr="00190732" w:rsidRDefault="00190732" w:rsidP="00190732">
      <w:pPr>
        <w:spacing w:line="360" w:lineRule="auto"/>
        <w:jc w:val="both"/>
        <w:rPr>
          <w:rFonts w:ascii="Times New Roman" w:eastAsia="Calibri" w:hAnsi="Times New Roman" w:cs="Times New Roman"/>
        </w:rPr>
      </w:pPr>
    </w:p>
    <w:p w14:paraId="39CAEFC2" w14:textId="77777777" w:rsidR="00190732" w:rsidRPr="00190732" w:rsidRDefault="00BA2357" w:rsidP="00DB4944">
      <w:pPr>
        <w:spacing w:line="360" w:lineRule="auto"/>
        <w:ind w:firstLine="720"/>
        <w:jc w:val="both"/>
        <w:rPr>
          <w:rFonts w:ascii="Times New Roman" w:eastAsia="Calibri" w:hAnsi="Times New Roman" w:cs="Times New Roman"/>
        </w:rPr>
      </w:pPr>
      <w:r>
        <w:rPr>
          <w:rFonts w:ascii="Times New Roman" w:eastAsia="Calibri" w:hAnsi="Times New Roman" w:cs="Times New Roman"/>
        </w:rPr>
        <w:lastRenderedPageBreak/>
        <w:t>With regard to the prudence</w:t>
      </w:r>
      <w:r w:rsidR="00DB4944">
        <w:rPr>
          <w:rFonts w:ascii="Times New Roman" w:eastAsia="Calibri" w:hAnsi="Times New Roman" w:cs="Times New Roman"/>
        </w:rPr>
        <w:t xml:space="preserve"> of resource acquisition, the draft policy statement explains that any new resource acquisitions must </w:t>
      </w:r>
      <w:r w:rsidR="00190732" w:rsidRPr="00190732">
        <w:rPr>
          <w:rFonts w:ascii="Times New Roman" w:eastAsia="Calibri" w:hAnsi="Times New Roman" w:cs="Times New Roman"/>
        </w:rPr>
        <w:t xml:space="preserve">be supported by </w:t>
      </w:r>
      <w:r w:rsidR="00DB4944">
        <w:rPr>
          <w:rFonts w:ascii="Times New Roman" w:eastAsia="Calibri" w:hAnsi="Times New Roman" w:cs="Times New Roman"/>
        </w:rPr>
        <w:t xml:space="preserve">a </w:t>
      </w:r>
      <w:r w:rsidR="00190732" w:rsidRPr="00190732">
        <w:rPr>
          <w:rFonts w:ascii="Times New Roman" w:eastAsia="Calibri" w:hAnsi="Times New Roman" w:cs="Times New Roman"/>
        </w:rPr>
        <w:t xml:space="preserve">demonstration that </w:t>
      </w:r>
      <w:r w:rsidR="00DB4944">
        <w:rPr>
          <w:rFonts w:ascii="Times New Roman" w:eastAsia="Calibri" w:hAnsi="Times New Roman" w:cs="Times New Roman"/>
        </w:rPr>
        <w:t xml:space="preserve">energy </w:t>
      </w:r>
      <w:r w:rsidR="00190732" w:rsidRPr="00190732">
        <w:rPr>
          <w:rFonts w:ascii="Times New Roman" w:eastAsia="Calibri" w:hAnsi="Times New Roman" w:cs="Times New Roman"/>
        </w:rPr>
        <w:t xml:space="preserve">storage alternatives were considered and not found </w:t>
      </w:r>
      <w:r w:rsidR="00093FAD">
        <w:rPr>
          <w:rFonts w:ascii="Times New Roman" w:eastAsia="Calibri" w:hAnsi="Times New Roman" w:cs="Times New Roman"/>
        </w:rPr>
        <w:t>more cost-effective</w:t>
      </w:r>
      <w:r w:rsidR="00190732" w:rsidRPr="00190732">
        <w:rPr>
          <w:rFonts w:ascii="Times New Roman" w:eastAsia="Calibri" w:hAnsi="Times New Roman" w:cs="Times New Roman"/>
        </w:rPr>
        <w:t xml:space="preserve"> to the alternative acquisition decision.  Avista does not object to this guidance, but believes the gu</w:t>
      </w:r>
      <w:r>
        <w:rPr>
          <w:rFonts w:ascii="Times New Roman" w:eastAsia="Calibri" w:hAnsi="Times New Roman" w:cs="Times New Roman"/>
        </w:rPr>
        <w:t>idance c</w:t>
      </w:r>
      <w:r w:rsidR="00190732" w:rsidRPr="00190732">
        <w:rPr>
          <w:rFonts w:ascii="Times New Roman" w:eastAsia="Calibri" w:hAnsi="Times New Roman" w:cs="Times New Roman"/>
        </w:rPr>
        <w:t xml:space="preserve">ould be less broad.  For example, consideration in a prudence review should include </w:t>
      </w:r>
      <w:r w:rsidR="00093FAD">
        <w:rPr>
          <w:rFonts w:ascii="Times New Roman" w:eastAsia="Calibri" w:hAnsi="Times New Roman" w:cs="Times New Roman"/>
        </w:rPr>
        <w:t xml:space="preserve">the </w:t>
      </w:r>
      <w:r w:rsidR="00190732" w:rsidRPr="00190732">
        <w:rPr>
          <w:rFonts w:ascii="Times New Roman" w:eastAsia="Calibri" w:hAnsi="Times New Roman" w:cs="Times New Roman"/>
        </w:rPr>
        <w:t xml:space="preserve">consideration of </w:t>
      </w:r>
      <w:r w:rsidR="00093FAD">
        <w:rPr>
          <w:rFonts w:ascii="Times New Roman" w:eastAsia="Calibri" w:hAnsi="Times New Roman" w:cs="Times New Roman"/>
        </w:rPr>
        <w:t xml:space="preserve">energy </w:t>
      </w:r>
      <w:r w:rsidR="00190732" w:rsidRPr="00190732">
        <w:rPr>
          <w:rFonts w:ascii="Times New Roman" w:eastAsia="Calibri" w:hAnsi="Times New Roman" w:cs="Times New Roman"/>
        </w:rPr>
        <w:t>storage technology only if: 1) a capacity need is identified</w:t>
      </w:r>
      <w:r w:rsidR="00093FAD">
        <w:rPr>
          <w:rFonts w:ascii="Times New Roman" w:eastAsia="Calibri" w:hAnsi="Times New Roman" w:cs="Times New Roman"/>
        </w:rPr>
        <w:t>,</w:t>
      </w:r>
      <w:r w:rsidR="00190732" w:rsidRPr="00190732">
        <w:rPr>
          <w:rFonts w:ascii="Times New Roman" w:eastAsia="Calibri" w:hAnsi="Times New Roman" w:cs="Times New Roman"/>
        </w:rPr>
        <w:t xml:space="preserve"> 2) </w:t>
      </w:r>
      <w:r w:rsidR="00093FAD">
        <w:rPr>
          <w:rFonts w:ascii="Times New Roman" w:eastAsia="Calibri" w:hAnsi="Times New Roman" w:cs="Times New Roman"/>
        </w:rPr>
        <w:t xml:space="preserve">energy </w:t>
      </w:r>
      <w:r w:rsidR="00190732" w:rsidRPr="00190732">
        <w:rPr>
          <w:rFonts w:ascii="Times New Roman" w:eastAsia="Calibri" w:hAnsi="Times New Roman" w:cs="Times New Roman"/>
        </w:rPr>
        <w:t>storage meets the reliability requirements of the application, 3) the evaluation w</w:t>
      </w:r>
      <w:r w:rsidR="00093FAD">
        <w:rPr>
          <w:rFonts w:ascii="Times New Roman" w:eastAsia="Calibri" w:hAnsi="Times New Roman" w:cs="Times New Roman"/>
        </w:rPr>
        <w:t>ill not delay serving customers</w:t>
      </w:r>
      <w:r w:rsidR="00190732" w:rsidRPr="00190732">
        <w:rPr>
          <w:rFonts w:ascii="Times New Roman" w:eastAsia="Calibri" w:hAnsi="Times New Roman" w:cs="Times New Roman"/>
        </w:rPr>
        <w:t xml:space="preserve">, and 4) </w:t>
      </w:r>
      <w:r w:rsidR="006E2E7B">
        <w:rPr>
          <w:rFonts w:ascii="Times New Roman" w:eastAsia="Calibri" w:hAnsi="Times New Roman" w:cs="Times New Roman"/>
        </w:rPr>
        <w:t>there is an opportunity to</w:t>
      </w:r>
      <w:r w:rsidR="00190732" w:rsidRPr="00190732">
        <w:rPr>
          <w:rFonts w:ascii="Times New Roman" w:eastAsia="Calibri" w:hAnsi="Times New Roman" w:cs="Times New Roman"/>
        </w:rPr>
        <w:t xml:space="preserve"> filter out, with an initial screening, high-cost technologies from detailed analyses.</w:t>
      </w:r>
      <w:r w:rsidR="00190732" w:rsidRPr="00DB4944">
        <w:rPr>
          <w:rFonts w:ascii="Times New Roman" w:eastAsia="Calibri" w:hAnsi="Times New Roman" w:cs="Times New Roman"/>
          <w:vertAlign w:val="superscript"/>
        </w:rPr>
        <w:footnoteReference w:id="8"/>
      </w:r>
      <w:r w:rsidR="00190732" w:rsidRPr="00DB4944">
        <w:rPr>
          <w:rFonts w:ascii="Times New Roman" w:eastAsia="Calibri" w:hAnsi="Times New Roman" w:cs="Times New Roman"/>
          <w:vertAlign w:val="superscript"/>
        </w:rPr>
        <w:t xml:space="preserve"> </w:t>
      </w:r>
    </w:p>
    <w:p w14:paraId="39CAEFC3" w14:textId="77777777" w:rsidR="00190732" w:rsidRPr="00190732" w:rsidRDefault="00190732" w:rsidP="00190732">
      <w:pPr>
        <w:spacing w:line="360" w:lineRule="auto"/>
        <w:jc w:val="both"/>
        <w:rPr>
          <w:rFonts w:ascii="Times New Roman" w:eastAsia="Calibri" w:hAnsi="Times New Roman" w:cs="Times New Roman"/>
        </w:rPr>
      </w:pPr>
    </w:p>
    <w:p w14:paraId="39CAEFC4" w14:textId="77777777" w:rsidR="00190732" w:rsidRPr="00190732" w:rsidRDefault="00190732" w:rsidP="008E33E6">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 xml:space="preserve">While Avista appreciates the Commission observation and support </w:t>
      </w:r>
      <w:r w:rsidR="008E33E6">
        <w:rPr>
          <w:rFonts w:ascii="Times New Roman" w:eastAsia="Calibri" w:hAnsi="Times New Roman" w:cs="Times New Roman"/>
        </w:rPr>
        <w:t>that “energy storage has the potential to help utilities manage the changing demands on the grid while offering a potential opportunity of new investment”,</w:t>
      </w:r>
      <w:r w:rsidR="008E33E6">
        <w:rPr>
          <w:rStyle w:val="FootnoteReference"/>
          <w:rFonts w:ascii="Times New Roman" w:eastAsia="Calibri" w:hAnsi="Times New Roman" w:cs="Times New Roman"/>
        </w:rPr>
        <w:footnoteReference w:id="9"/>
      </w:r>
      <w:r w:rsidR="008E33E6">
        <w:rPr>
          <w:rFonts w:ascii="Times New Roman" w:eastAsia="Calibri" w:hAnsi="Times New Roman" w:cs="Times New Roman"/>
        </w:rPr>
        <w:t xml:space="preserve"> </w:t>
      </w:r>
      <w:r w:rsidR="00A67C6C">
        <w:rPr>
          <w:rFonts w:ascii="Times New Roman" w:eastAsia="Calibri" w:hAnsi="Times New Roman" w:cs="Times New Roman"/>
        </w:rPr>
        <w:t>energy storage’s</w:t>
      </w:r>
      <w:r w:rsidRPr="00190732">
        <w:rPr>
          <w:rFonts w:ascii="Times New Roman" w:eastAsia="Calibri" w:hAnsi="Times New Roman" w:cs="Times New Roman"/>
        </w:rPr>
        <w:t xml:space="preserve"> present and forecast</w:t>
      </w:r>
      <w:r w:rsidR="008E33E6">
        <w:rPr>
          <w:rFonts w:ascii="Times New Roman" w:eastAsia="Calibri" w:hAnsi="Times New Roman" w:cs="Times New Roman"/>
        </w:rPr>
        <w:t>ed</w:t>
      </w:r>
      <w:r w:rsidRPr="00190732">
        <w:rPr>
          <w:rFonts w:ascii="Times New Roman" w:eastAsia="Calibri" w:hAnsi="Times New Roman" w:cs="Times New Roman"/>
        </w:rPr>
        <w:t xml:space="preserve"> economics, and </w:t>
      </w:r>
      <w:r w:rsidR="008E33E6">
        <w:rPr>
          <w:rFonts w:ascii="Times New Roman" w:eastAsia="Calibri" w:hAnsi="Times New Roman" w:cs="Times New Roman"/>
        </w:rPr>
        <w:t xml:space="preserve">limited </w:t>
      </w:r>
      <w:r w:rsidRPr="00190732">
        <w:rPr>
          <w:rFonts w:ascii="Times New Roman" w:eastAsia="Calibri" w:hAnsi="Times New Roman" w:cs="Times New Roman"/>
        </w:rPr>
        <w:t xml:space="preserve">abilities to meet utility requirements, mean the likelihood of significant </w:t>
      </w:r>
      <w:r w:rsidR="00A67C6C">
        <w:rPr>
          <w:rFonts w:ascii="Times New Roman" w:eastAsia="Calibri" w:hAnsi="Times New Roman" w:cs="Times New Roman"/>
        </w:rPr>
        <w:t xml:space="preserve">near-term </w:t>
      </w:r>
      <w:r w:rsidRPr="00190732">
        <w:rPr>
          <w:rFonts w:ascii="Times New Roman" w:eastAsia="Calibri" w:hAnsi="Times New Roman" w:cs="Times New Roman"/>
        </w:rPr>
        <w:t>utility investments</w:t>
      </w:r>
      <w:r w:rsidR="008E33E6">
        <w:rPr>
          <w:rFonts w:ascii="Times New Roman" w:eastAsia="Calibri" w:hAnsi="Times New Roman" w:cs="Times New Roman"/>
        </w:rPr>
        <w:t xml:space="preserve"> </w:t>
      </w:r>
      <w:r w:rsidR="006E2E7B">
        <w:rPr>
          <w:rFonts w:ascii="Times New Roman" w:eastAsia="Calibri" w:hAnsi="Times New Roman" w:cs="Times New Roman"/>
        </w:rPr>
        <w:t xml:space="preserve">in energy storage </w:t>
      </w:r>
      <w:r w:rsidR="008E33E6">
        <w:rPr>
          <w:rFonts w:ascii="Times New Roman" w:eastAsia="Calibri" w:hAnsi="Times New Roman" w:cs="Times New Roman"/>
        </w:rPr>
        <w:t xml:space="preserve">remains </w:t>
      </w:r>
      <w:r w:rsidRPr="00190732">
        <w:rPr>
          <w:rFonts w:ascii="Times New Roman" w:eastAsia="Calibri" w:hAnsi="Times New Roman" w:cs="Times New Roman"/>
        </w:rPr>
        <w:t xml:space="preserve">low.  </w:t>
      </w:r>
    </w:p>
    <w:p w14:paraId="39CAEFC5" w14:textId="77777777" w:rsidR="00190732" w:rsidRPr="00190732" w:rsidRDefault="00190732" w:rsidP="00190732">
      <w:pPr>
        <w:spacing w:line="360" w:lineRule="auto"/>
        <w:jc w:val="both"/>
        <w:rPr>
          <w:rFonts w:ascii="Times New Roman" w:eastAsia="Calibri" w:hAnsi="Times New Roman" w:cs="Times New Roman"/>
        </w:rPr>
      </w:pPr>
    </w:p>
    <w:p w14:paraId="39CAEFC6" w14:textId="77777777" w:rsidR="00190732" w:rsidRPr="008E33E6" w:rsidRDefault="00190732" w:rsidP="00190732">
      <w:pPr>
        <w:spacing w:line="360" w:lineRule="auto"/>
        <w:jc w:val="both"/>
        <w:rPr>
          <w:rFonts w:ascii="Times New Roman" w:eastAsia="Calibri" w:hAnsi="Times New Roman" w:cs="Times New Roman"/>
          <w:b/>
        </w:rPr>
      </w:pPr>
      <w:r w:rsidRPr="008E33E6">
        <w:rPr>
          <w:rFonts w:ascii="Times New Roman" w:eastAsia="Calibri" w:hAnsi="Times New Roman" w:cs="Times New Roman"/>
          <w:b/>
        </w:rPr>
        <w:t>B. Modeling Guidelines</w:t>
      </w:r>
    </w:p>
    <w:p w14:paraId="39CAEFC7" w14:textId="77777777" w:rsidR="00190732" w:rsidRPr="00190732" w:rsidRDefault="00190732" w:rsidP="008E33E6">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 xml:space="preserve">Avista, and the northwest utility industry are evaluating </w:t>
      </w:r>
      <w:r w:rsidR="00B1601E">
        <w:rPr>
          <w:rFonts w:ascii="Times New Roman" w:eastAsia="Calibri" w:hAnsi="Times New Roman" w:cs="Times New Roman"/>
        </w:rPr>
        <w:t>i</w:t>
      </w:r>
      <w:r w:rsidR="00A67C6C">
        <w:rPr>
          <w:rFonts w:ascii="Times New Roman" w:eastAsia="Calibri" w:hAnsi="Times New Roman" w:cs="Times New Roman"/>
        </w:rPr>
        <w:t>ntra-hour modeling tools</w:t>
      </w:r>
      <w:r w:rsidR="006E2E7B">
        <w:rPr>
          <w:rFonts w:ascii="Times New Roman" w:eastAsia="Calibri" w:hAnsi="Times New Roman" w:cs="Times New Roman"/>
        </w:rPr>
        <w:t>. I</w:t>
      </w:r>
      <w:r w:rsidRPr="00190732">
        <w:rPr>
          <w:rFonts w:ascii="Times New Roman" w:eastAsia="Calibri" w:hAnsi="Times New Roman" w:cs="Times New Roman"/>
        </w:rPr>
        <w:t xml:space="preserve">ntra-hour modeling is not practical for two key reasons.  First, increased granularity slows down model solution times to the point </w:t>
      </w:r>
      <w:r w:rsidR="00B1601E">
        <w:rPr>
          <w:rFonts w:ascii="Times New Roman" w:eastAsia="Calibri" w:hAnsi="Times New Roman" w:cs="Times New Roman"/>
        </w:rPr>
        <w:t xml:space="preserve">that evaluating </w:t>
      </w:r>
      <w:r w:rsidRPr="00190732">
        <w:rPr>
          <w:rFonts w:ascii="Times New Roman" w:eastAsia="Calibri" w:hAnsi="Times New Roman" w:cs="Times New Roman"/>
        </w:rPr>
        <w:t>any reasonable number of planning scenarios in an IRP process</w:t>
      </w:r>
      <w:r w:rsidR="00B1601E">
        <w:rPr>
          <w:rFonts w:ascii="Times New Roman" w:eastAsia="Calibri" w:hAnsi="Times New Roman" w:cs="Times New Roman"/>
        </w:rPr>
        <w:t xml:space="preserve"> becomes difficult, </w:t>
      </w:r>
      <w:r w:rsidR="005E41AE">
        <w:rPr>
          <w:rFonts w:ascii="Times New Roman" w:eastAsia="Calibri" w:hAnsi="Times New Roman" w:cs="Times New Roman"/>
        </w:rPr>
        <w:t>if not possible</w:t>
      </w:r>
      <w:r w:rsidRPr="00190732">
        <w:rPr>
          <w:rFonts w:ascii="Times New Roman" w:eastAsia="Calibri" w:hAnsi="Times New Roman" w:cs="Times New Roman"/>
        </w:rPr>
        <w:t xml:space="preserve">.  Second, and possibly more challenging, is a lack of reliable data available to feed these models for a regional analysis.  Absent </w:t>
      </w:r>
      <w:r w:rsidR="00564DE1">
        <w:rPr>
          <w:rFonts w:ascii="Times New Roman" w:eastAsia="Calibri" w:hAnsi="Times New Roman" w:cs="Times New Roman"/>
        </w:rPr>
        <w:t>reliable</w:t>
      </w:r>
      <w:r w:rsidRPr="00190732">
        <w:rPr>
          <w:rFonts w:ascii="Times New Roman" w:eastAsia="Calibri" w:hAnsi="Times New Roman" w:cs="Times New Roman"/>
        </w:rPr>
        <w:t xml:space="preserve"> data</w:t>
      </w:r>
      <w:r w:rsidR="00B1601E">
        <w:rPr>
          <w:rFonts w:ascii="Times New Roman" w:eastAsia="Calibri" w:hAnsi="Times New Roman" w:cs="Times New Roman"/>
        </w:rPr>
        <w:t>,</w:t>
      </w:r>
      <w:r w:rsidRPr="00190732">
        <w:rPr>
          <w:rFonts w:ascii="Times New Roman" w:eastAsia="Calibri" w:hAnsi="Times New Roman" w:cs="Times New Roman"/>
        </w:rPr>
        <w:t xml:space="preserve"> the results of such modelin</w:t>
      </w:r>
      <w:r w:rsidR="00B1601E">
        <w:rPr>
          <w:rFonts w:ascii="Times New Roman" w:eastAsia="Calibri" w:hAnsi="Times New Roman" w:cs="Times New Roman"/>
        </w:rPr>
        <w:t>g would be questionable at best.</w:t>
      </w:r>
      <w:r w:rsidRPr="00190732">
        <w:rPr>
          <w:rFonts w:ascii="Times New Roman" w:eastAsia="Calibri" w:hAnsi="Times New Roman" w:cs="Times New Roman"/>
        </w:rPr>
        <w:t xml:space="preserve"> </w:t>
      </w:r>
    </w:p>
    <w:p w14:paraId="39CAEFC8" w14:textId="77777777" w:rsidR="00190732" w:rsidRPr="00190732" w:rsidRDefault="00190732" w:rsidP="00190732">
      <w:pPr>
        <w:spacing w:line="360" w:lineRule="auto"/>
        <w:jc w:val="both"/>
        <w:rPr>
          <w:rFonts w:ascii="Times New Roman" w:eastAsia="Calibri" w:hAnsi="Times New Roman" w:cs="Times New Roman"/>
        </w:rPr>
      </w:pPr>
    </w:p>
    <w:p w14:paraId="39CAEFC9" w14:textId="77777777" w:rsidR="00190732" w:rsidRPr="00190732" w:rsidRDefault="00190732" w:rsidP="00B1601E">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Avista agrees</w:t>
      </w:r>
      <w:r w:rsidR="00B1601E">
        <w:rPr>
          <w:rFonts w:ascii="Times New Roman" w:eastAsia="Calibri" w:hAnsi="Times New Roman" w:cs="Times New Roman"/>
        </w:rPr>
        <w:t xml:space="preserve"> with the Commission</w:t>
      </w:r>
      <w:r w:rsidRPr="00190732">
        <w:rPr>
          <w:rFonts w:ascii="Times New Roman" w:eastAsia="Calibri" w:hAnsi="Times New Roman" w:cs="Times New Roman"/>
        </w:rPr>
        <w:t xml:space="preserve"> finding </w:t>
      </w:r>
      <w:r w:rsidR="00564DE1">
        <w:rPr>
          <w:rFonts w:ascii="Times New Roman" w:eastAsia="Calibri" w:hAnsi="Times New Roman" w:cs="Times New Roman"/>
        </w:rPr>
        <w:t xml:space="preserve">that </w:t>
      </w:r>
      <w:r w:rsidRPr="00190732">
        <w:rPr>
          <w:rFonts w:ascii="Times New Roman" w:eastAsia="Calibri" w:hAnsi="Times New Roman" w:cs="Times New Roman"/>
        </w:rPr>
        <w:t xml:space="preserve">intra-hour modeling </w:t>
      </w:r>
      <w:r w:rsidR="00564DE1">
        <w:rPr>
          <w:rFonts w:ascii="Times New Roman" w:eastAsia="Calibri" w:hAnsi="Times New Roman" w:cs="Times New Roman"/>
        </w:rPr>
        <w:t xml:space="preserve">could be </w:t>
      </w:r>
      <w:r w:rsidRPr="00190732">
        <w:rPr>
          <w:rFonts w:ascii="Times New Roman" w:eastAsia="Calibri" w:hAnsi="Times New Roman" w:cs="Times New Roman"/>
        </w:rPr>
        <w:t xml:space="preserve">helpful to identify power supply values until markets can be developed to price </w:t>
      </w:r>
      <w:r w:rsidR="00564DE1">
        <w:rPr>
          <w:rFonts w:ascii="Times New Roman" w:eastAsia="Calibri" w:hAnsi="Times New Roman" w:cs="Times New Roman"/>
        </w:rPr>
        <w:t>such</w:t>
      </w:r>
      <w:r w:rsidRPr="00190732">
        <w:rPr>
          <w:rFonts w:ascii="Times New Roman" w:eastAsia="Calibri" w:hAnsi="Times New Roman" w:cs="Times New Roman"/>
        </w:rPr>
        <w:t xml:space="preserve"> services. </w:t>
      </w:r>
      <w:r w:rsidR="00564DE1">
        <w:rPr>
          <w:rFonts w:ascii="Times New Roman" w:eastAsia="Calibri" w:hAnsi="Times New Roman" w:cs="Times New Roman"/>
        </w:rPr>
        <w:t xml:space="preserve"> </w:t>
      </w:r>
      <w:r w:rsidRPr="00190732">
        <w:rPr>
          <w:rFonts w:ascii="Times New Roman" w:eastAsia="Calibri" w:hAnsi="Times New Roman" w:cs="Times New Roman"/>
        </w:rPr>
        <w:t xml:space="preserve">Until the </w:t>
      </w:r>
      <w:r w:rsidRPr="00190732">
        <w:rPr>
          <w:rFonts w:ascii="Times New Roman" w:eastAsia="Calibri" w:hAnsi="Times New Roman" w:cs="Times New Roman"/>
        </w:rPr>
        <w:lastRenderedPageBreak/>
        <w:t xml:space="preserve">region is managed under a single system operator, the only way to value intra-hour power supply need is to develop </w:t>
      </w:r>
      <w:r w:rsidR="00564DE1">
        <w:rPr>
          <w:rFonts w:ascii="Times New Roman" w:eastAsia="Calibri" w:hAnsi="Times New Roman" w:cs="Times New Roman"/>
        </w:rPr>
        <w:t>a</w:t>
      </w:r>
      <w:r w:rsidR="005E41AE">
        <w:rPr>
          <w:rFonts w:ascii="Times New Roman" w:eastAsia="Calibri" w:hAnsi="Times New Roman" w:cs="Times New Roman"/>
        </w:rPr>
        <w:t xml:space="preserve"> utility system model. C</w:t>
      </w:r>
      <w:r w:rsidRPr="00190732">
        <w:rPr>
          <w:rFonts w:ascii="Times New Roman" w:eastAsia="Calibri" w:hAnsi="Times New Roman" w:cs="Times New Roman"/>
        </w:rPr>
        <w:t>ommercially available products with intra-hour capabilities such as AURORA and PLEXOS cannot prope</w:t>
      </w:r>
      <w:r w:rsidR="005E41AE">
        <w:rPr>
          <w:rFonts w:ascii="Times New Roman" w:eastAsia="Calibri" w:hAnsi="Times New Roman" w:cs="Times New Roman"/>
        </w:rPr>
        <w:t>rl</w:t>
      </w:r>
      <w:r w:rsidRPr="00190732">
        <w:rPr>
          <w:rFonts w:ascii="Times New Roman" w:eastAsia="Calibri" w:hAnsi="Times New Roman" w:cs="Times New Roman"/>
        </w:rPr>
        <w:t xml:space="preserve">y access these benefits due to their lack of ability to adequately optimize hydro production.  The Commission points to various tools in Paragraph 49 it believes can be used for IRP modeling.  Unfortunately these tools evaluate economics in a vacuum, and run counter to IRP planning in the first place.  They simplify the power supply equation because of an inability to efficiently represent industry complexities using mathematics, and because of the data hurdles that exist today.  For example, we </w:t>
      </w:r>
      <w:r w:rsidR="00564DE1">
        <w:rPr>
          <w:rFonts w:ascii="Times New Roman" w:eastAsia="Calibri" w:hAnsi="Times New Roman" w:cs="Times New Roman"/>
        </w:rPr>
        <w:t>do not</w:t>
      </w:r>
      <w:r w:rsidRPr="00190732">
        <w:rPr>
          <w:rFonts w:ascii="Times New Roman" w:eastAsia="Calibri" w:hAnsi="Times New Roman" w:cs="Times New Roman"/>
        </w:rPr>
        <w:t xml:space="preserve"> have ancillary service markets </w:t>
      </w:r>
      <w:r w:rsidR="00564DE1">
        <w:rPr>
          <w:rFonts w:ascii="Times New Roman" w:eastAsia="Calibri" w:hAnsi="Times New Roman" w:cs="Times New Roman"/>
        </w:rPr>
        <w:t>in the Northwest</w:t>
      </w:r>
      <w:r w:rsidRPr="00190732">
        <w:rPr>
          <w:rFonts w:ascii="Times New Roman" w:eastAsia="Calibri" w:hAnsi="Times New Roman" w:cs="Times New Roman"/>
        </w:rPr>
        <w:t xml:space="preserve"> to provide prices for such models.  Broader portfolio analysis, well beyond the capabilities of these tools, is the only good way to eva</w:t>
      </w:r>
      <w:r w:rsidR="00564DE1">
        <w:rPr>
          <w:rFonts w:ascii="Times New Roman" w:eastAsia="Calibri" w:hAnsi="Times New Roman" w:cs="Times New Roman"/>
        </w:rPr>
        <w:t>luate ancillary values in the N</w:t>
      </w:r>
      <w:r w:rsidRPr="00190732">
        <w:rPr>
          <w:rFonts w:ascii="Times New Roman" w:eastAsia="Calibri" w:hAnsi="Times New Roman" w:cs="Times New Roman"/>
        </w:rPr>
        <w:t>orthwest. These tools are useful to identify area</w:t>
      </w:r>
      <w:r w:rsidR="006E2E7B">
        <w:rPr>
          <w:rFonts w:ascii="Times New Roman" w:eastAsia="Calibri" w:hAnsi="Times New Roman" w:cs="Times New Roman"/>
        </w:rPr>
        <w:t>s</w:t>
      </w:r>
      <w:r w:rsidRPr="00190732">
        <w:rPr>
          <w:rFonts w:ascii="Times New Roman" w:eastAsia="Calibri" w:hAnsi="Times New Roman" w:cs="Times New Roman"/>
        </w:rPr>
        <w:t xml:space="preserve"> of potential benefit for the utility to consider in its planning process, but they should not be used directly for planning purposes.</w:t>
      </w:r>
    </w:p>
    <w:p w14:paraId="39CAEFCA" w14:textId="77777777" w:rsidR="00190732" w:rsidRPr="00190732" w:rsidRDefault="00190732" w:rsidP="00190732">
      <w:pPr>
        <w:spacing w:line="360" w:lineRule="auto"/>
        <w:jc w:val="both"/>
        <w:rPr>
          <w:rFonts w:ascii="Times New Roman" w:eastAsia="Calibri" w:hAnsi="Times New Roman" w:cs="Times New Roman"/>
        </w:rPr>
      </w:pPr>
    </w:p>
    <w:p w14:paraId="39CAEFCB" w14:textId="77777777" w:rsidR="00190732" w:rsidRPr="00190732" w:rsidRDefault="00190732" w:rsidP="00107F3F">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As evidence of Avista’s efforts to more precisely model the value streams of storage an</w:t>
      </w:r>
      <w:r w:rsidR="006E2E7B">
        <w:rPr>
          <w:rFonts w:ascii="Times New Roman" w:eastAsia="Calibri" w:hAnsi="Times New Roman" w:cs="Times New Roman"/>
        </w:rPr>
        <w:t>d other technologies, it’s the Company’s</w:t>
      </w:r>
      <w:r w:rsidRPr="00190732">
        <w:rPr>
          <w:rFonts w:ascii="Times New Roman" w:eastAsia="Calibri" w:hAnsi="Times New Roman" w:cs="Times New Roman"/>
        </w:rPr>
        <w:t xml:space="preserve"> </w:t>
      </w:r>
      <w:r w:rsidR="006E2E7B">
        <w:rPr>
          <w:rFonts w:ascii="Times New Roman" w:eastAsia="Calibri" w:hAnsi="Times New Roman" w:cs="Times New Roman"/>
        </w:rPr>
        <w:t xml:space="preserve">Avista </w:t>
      </w:r>
      <w:r w:rsidRPr="00190732">
        <w:rPr>
          <w:rFonts w:ascii="Times New Roman" w:eastAsia="Calibri" w:hAnsi="Times New Roman" w:cs="Times New Roman"/>
        </w:rPr>
        <w:t xml:space="preserve">Decision Support System (ADSS) </w:t>
      </w:r>
      <w:r w:rsidR="006E2E7B">
        <w:rPr>
          <w:rFonts w:ascii="Times New Roman" w:eastAsia="Calibri" w:hAnsi="Times New Roman" w:cs="Times New Roman"/>
        </w:rPr>
        <w:t xml:space="preserve">that </w:t>
      </w:r>
      <w:r w:rsidRPr="00190732">
        <w:rPr>
          <w:rFonts w:ascii="Times New Roman" w:eastAsia="Calibri" w:hAnsi="Times New Roman" w:cs="Times New Roman"/>
        </w:rPr>
        <w:t xml:space="preserve">performs system-wide intra-hour optimization.  </w:t>
      </w:r>
      <w:r w:rsidR="006E2E7B">
        <w:rPr>
          <w:rFonts w:ascii="Times New Roman" w:eastAsia="Calibri" w:hAnsi="Times New Roman" w:cs="Times New Roman"/>
        </w:rPr>
        <w:t>Progress</w:t>
      </w:r>
      <w:r w:rsidRPr="00190732">
        <w:rPr>
          <w:rFonts w:ascii="Times New Roman" w:eastAsia="Calibri" w:hAnsi="Times New Roman" w:cs="Times New Roman"/>
        </w:rPr>
        <w:t xml:space="preserve"> on intra-hour modeling </w:t>
      </w:r>
      <w:r w:rsidR="00AC1BAF">
        <w:rPr>
          <w:rFonts w:ascii="Times New Roman" w:eastAsia="Calibri" w:hAnsi="Times New Roman" w:cs="Times New Roman"/>
        </w:rPr>
        <w:t xml:space="preserve">is dependent on </w:t>
      </w:r>
      <w:r w:rsidRPr="00190732">
        <w:rPr>
          <w:rFonts w:ascii="Times New Roman" w:eastAsia="Calibri" w:hAnsi="Times New Roman" w:cs="Times New Roman"/>
        </w:rPr>
        <w:t xml:space="preserve">available </w:t>
      </w:r>
      <w:r w:rsidR="00AC1BAF">
        <w:rPr>
          <w:rFonts w:ascii="Times New Roman" w:eastAsia="Calibri" w:hAnsi="Times New Roman" w:cs="Times New Roman"/>
        </w:rPr>
        <w:t xml:space="preserve">technology </w:t>
      </w:r>
      <w:r w:rsidRPr="00190732">
        <w:rPr>
          <w:rFonts w:ascii="Times New Roman" w:eastAsia="Calibri" w:hAnsi="Times New Roman" w:cs="Times New Roman"/>
        </w:rPr>
        <w:t xml:space="preserve">to analyze the problem. </w:t>
      </w:r>
      <w:r w:rsidR="00AC1BAF">
        <w:rPr>
          <w:rFonts w:ascii="Times New Roman" w:eastAsia="Calibri" w:hAnsi="Times New Roman" w:cs="Times New Roman"/>
        </w:rPr>
        <w:t>As the modeling technology progresses</w:t>
      </w:r>
      <w:r w:rsidRPr="00190732">
        <w:rPr>
          <w:rFonts w:ascii="Times New Roman" w:eastAsia="Calibri" w:hAnsi="Times New Roman" w:cs="Times New Roman"/>
        </w:rPr>
        <w:t xml:space="preserve">, the Commission should consider the impacts on overall model solution times to ensure the broader, and more financially significant, goals of IRP planning are not greatly compromised. </w:t>
      </w:r>
    </w:p>
    <w:p w14:paraId="39CAEFCC" w14:textId="77777777" w:rsidR="00100AEF" w:rsidRPr="00190732" w:rsidRDefault="00100AEF" w:rsidP="00190732">
      <w:pPr>
        <w:spacing w:line="360" w:lineRule="auto"/>
        <w:jc w:val="both"/>
        <w:rPr>
          <w:rFonts w:ascii="Times New Roman" w:eastAsia="Calibri" w:hAnsi="Times New Roman" w:cs="Times New Roman"/>
        </w:rPr>
      </w:pPr>
    </w:p>
    <w:p w14:paraId="39CAEFCD" w14:textId="77777777" w:rsidR="00190732" w:rsidRPr="00266608" w:rsidRDefault="00190732" w:rsidP="00190732">
      <w:pPr>
        <w:spacing w:line="360" w:lineRule="auto"/>
        <w:jc w:val="both"/>
        <w:rPr>
          <w:rFonts w:ascii="Times New Roman" w:eastAsia="Calibri" w:hAnsi="Times New Roman" w:cs="Times New Roman"/>
          <w:b/>
        </w:rPr>
      </w:pPr>
      <w:r w:rsidRPr="00266608">
        <w:rPr>
          <w:rFonts w:ascii="Times New Roman" w:eastAsia="Calibri" w:hAnsi="Times New Roman" w:cs="Times New Roman"/>
          <w:b/>
        </w:rPr>
        <w:t>B. Regulatory Treatment</w:t>
      </w:r>
    </w:p>
    <w:p w14:paraId="39CAEFCE" w14:textId="77777777" w:rsidR="00190732" w:rsidRPr="00190732" w:rsidRDefault="00190732" w:rsidP="00107F3F">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Avista agrees procurement processes can be technology neutral, as encouraged in Paragraph 58.  Howeve</w:t>
      </w:r>
      <w:r w:rsidR="00100AEF">
        <w:rPr>
          <w:rFonts w:ascii="Times New Roman" w:eastAsia="Calibri" w:hAnsi="Times New Roman" w:cs="Times New Roman"/>
        </w:rPr>
        <w:t>r, in many circumstances this may</w:t>
      </w:r>
      <w:r w:rsidRPr="00190732">
        <w:rPr>
          <w:rFonts w:ascii="Times New Roman" w:eastAsia="Calibri" w:hAnsi="Times New Roman" w:cs="Times New Roman"/>
        </w:rPr>
        <w:t xml:space="preserve"> not</w:t>
      </w:r>
      <w:r w:rsidR="00100AEF">
        <w:rPr>
          <w:rFonts w:ascii="Times New Roman" w:eastAsia="Calibri" w:hAnsi="Times New Roman" w:cs="Times New Roman"/>
        </w:rPr>
        <w:t xml:space="preserve"> be</w:t>
      </w:r>
      <w:r w:rsidRPr="00190732">
        <w:rPr>
          <w:rFonts w:ascii="Times New Roman" w:eastAsia="Calibri" w:hAnsi="Times New Roman" w:cs="Times New Roman"/>
        </w:rPr>
        <w:t xml:space="preserve"> possible.  Procurement should </w:t>
      </w:r>
      <w:r w:rsidR="00100AEF">
        <w:rPr>
          <w:rFonts w:ascii="Times New Roman" w:eastAsia="Calibri" w:hAnsi="Times New Roman" w:cs="Times New Roman"/>
        </w:rPr>
        <w:t>consider</w:t>
      </w:r>
      <w:r w:rsidR="00AC1BAF">
        <w:rPr>
          <w:rFonts w:ascii="Times New Roman" w:eastAsia="Calibri" w:hAnsi="Times New Roman" w:cs="Times New Roman"/>
        </w:rPr>
        <w:t>,</w:t>
      </w:r>
      <w:r w:rsidR="00100AEF">
        <w:rPr>
          <w:rFonts w:ascii="Times New Roman" w:eastAsia="Calibri" w:hAnsi="Times New Roman" w:cs="Times New Roman"/>
        </w:rPr>
        <w:t xml:space="preserve"> </w:t>
      </w:r>
      <w:r w:rsidRPr="00190732">
        <w:rPr>
          <w:rFonts w:ascii="Times New Roman" w:eastAsia="Calibri" w:hAnsi="Times New Roman" w:cs="Times New Roman"/>
        </w:rPr>
        <w:t>and be tailored to</w:t>
      </w:r>
      <w:r w:rsidR="00AC1BAF">
        <w:rPr>
          <w:rFonts w:ascii="Times New Roman" w:eastAsia="Calibri" w:hAnsi="Times New Roman" w:cs="Times New Roman"/>
        </w:rPr>
        <w:t>,</w:t>
      </w:r>
      <w:r w:rsidRPr="00190732">
        <w:rPr>
          <w:rFonts w:ascii="Times New Roman" w:eastAsia="Calibri" w:hAnsi="Times New Roman" w:cs="Times New Roman"/>
        </w:rPr>
        <w:t xml:space="preserve"> the technologies reasonably expected to meet utility needs.  The IRP process can help with this tailoring.  Utilities likely can broaden procu</w:t>
      </w:r>
      <w:r w:rsidR="00100AEF">
        <w:rPr>
          <w:rFonts w:ascii="Times New Roman" w:eastAsia="Calibri" w:hAnsi="Times New Roman" w:cs="Times New Roman"/>
        </w:rPr>
        <w:t>rement documentation to help third</w:t>
      </w:r>
      <w:r w:rsidRPr="00190732">
        <w:rPr>
          <w:rFonts w:ascii="Times New Roman" w:eastAsia="Calibri" w:hAnsi="Times New Roman" w:cs="Times New Roman"/>
        </w:rPr>
        <w:t>-party bidders.</w:t>
      </w:r>
    </w:p>
    <w:p w14:paraId="39CAEFCF" w14:textId="77777777" w:rsidR="00190732" w:rsidRPr="00190732" w:rsidRDefault="00190732" w:rsidP="00190732">
      <w:pPr>
        <w:spacing w:line="360" w:lineRule="auto"/>
        <w:jc w:val="both"/>
        <w:rPr>
          <w:rFonts w:ascii="Times New Roman" w:eastAsia="Calibri" w:hAnsi="Times New Roman" w:cs="Times New Roman"/>
        </w:rPr>
      </w:pPr>
    </w:p>
    <w:p w14:paraId="39CAEFD0" w14:textId="77777777" w:rsidR="00190732" w:rsidRDefault="00100AEF" w:rsidP="00107F3F">
      <w:pPr>
        <w:spacing w:line="360" w:lineRule="auto"/>
        <w:ind w:firstLine="720"/>
        <w:jc w:val="both"/>
        <w:rPr>
          <w:rFonts w:ascii="Times New Roman" w:eastAsia="Calibri" w:hAnsi="Times New Roman" w:cs="Times New Roman"/>
        </w:rPr>
      </w:pPr>
      <w:r>
        <w:rPr>
          <w:rFonts w:ascii="Times New Roman" w:eastAsia="Calibri" w:hAnsi="Times New Roman" w:cs="Times New Roman"/>
        </w:rPr>
        <w:t>Even when storage costs fall</w:t>
      </w:r>
      <w:r w:rsidR="00190732" w:rsidRPr="00190732">
        <w:rPr>
          <w:rFonts w:ascii="Times New Roman" w:eastAsia="Calibri" w:hAnsi="Times New Roman" w:cs="Times New Roman"/>
        </w:rPr>
        <w:t xml:space="preserve"> and the technology matures to commercial viability, its value can be very site specific.  Offering a single rate tariff, or multiple tariffs would </w:t>
      </w:r>
      <w:r w:rsidR="00AC1BAF">
        <w:rPr>
          <w:rFonts w:ascii="Times New Roman" w:eastAsia="Calibri" w:hAnsi="Times New Roman" w:cs="Times New Roman"/>
        </w:rPr>
        <w:t xml:space="preserve">likely </w:t>
      </w:r>
      <w:r w:rsidR="00190732" w:rsidRPr="00190732">
        <w:rPr>
          <w:rFonts w:ascii="Times New Roman" w:eastAsia="Calibri" w:hAnsi="Times New Roman" w:cs="Times New Roman"/>
        </w:rPr>
        <w:t xml:space="preserve">not be practical.  OATT tariffs will not fairly represent the value of various and other ancillary services </w:t>
      </w:r>
      <w:r w:rsidR="00190732" w:rsidRPr="00190732">
        <w:rPr>
          <w:rFonts w:ascii="Times New Roman" w:eastAsia="Calibri" w:hAnsi="Times New Roman" w:cs="Times New Roman"/>
        </w:rPr>
        <w:lastRenderedPageBreak/>
        <w:t>provided by energy storage resources.  Ancillary service value</w:t>
      </w:r>
      <w:r>
        <w:rPr>
          <w:rFonts w:ascii="Times New Roman" w:eastAsia="Calibri" w:hAnsi="Times New Roman" w:cs="Times New Roman"/>
        </w:rPr>
        <w:t>s</w:t>
      </w:r>
      <w:r w:rsidR="00190732" w:rsidRPr="00190732">
        <w:rPr>
          <w:rFonts w:ascii="Times New Roman" w:eastAsia="Calibri" w:hAnsi="Times New Roman" w:cs="Times New Roman"/>
        </w:rPr>
        <w:t xml:space="preserve"> al</w:t>
      </w:r>
      <w:r w:rsidR="00AC1BAF">
        <w:rPr>
          <w:rFonts w:ascii="Times New Roman" w:eastAsia="Calibri" w:hAnsi="Times New Roman" w:cs="Times New Roman"/>
        </w:rPr>
        <w:t>so are not linear or infinite. I</w:t>
      </w:r>
      <w:r w:rsidR="00190732" w:rsidRPr="00190732">
        <w:rPr>
          <w:rFonts w:ascii="Times New Roman" w:eastAsia="Calibri" w:hAnsi="Times New Roman" w:cs="Times New Roman"/>
        </w:rPr>
        <w:t xml:space="preserve">f the utility is short of capacity, it is willing to pay for the service, but once it has adequate flexibility, the value is diminished greatly. </w:t>
      </w:r>
    </w:p>
    <w:p w14:paraId="39CAEFD1" w14:textId="77777777" w:rsidR="00190732" w:rsidRPr="00190732" w:rsidRDefault="00190732" w:rsidP="00190732">
      <w:pPr>
        <w:spacing w:line="360" w:lineRule="auto"/>
        <w:jc w:val="both"/>
        <w:rPr>
          <w:rFonts w:ascii="Times New Roman" w:eastAsia="Calibri" w:hAnsi="Times New Roman" w:cs="Times New Roman"/>
        </w:rPr>
      </w:pPr>
    </w:p>
    <w:p w14:paraId="39CAEFD2" w14:textId="77777777" w:rsidR="00190732" w:rsidRPr="00190732" w:rsidRDefault="00190732" w:rsidP="00043DC3">
      <w:pPr>
        <w:spacing w:line="360" w:lineRule="auto"/>
        <w:ind w:firstLine="720"/>
        <w:jc w:val="both"/>
        <w:rPr>
          <w:rFonts w:ascii="Times New Roman" w:eastAsia="Calibri" w:hAnsi="Times New Roman" w:cs="Times New Roman"/>
        </w:rPr>
      </w:pPr>
      <w:r w:rsidRPr="00190732">
        <w:rPr>
          <w:rFonts w:ascii="Times New Roman" w:eastAsia="Calibri" w:hAnsi="Times New Roman" w:cs="Times New Roman"/>
        </w:rPr>
        <w:t>In Paragraph 59 the Commission indicates it may accept some degree of uncertainty in the evaluation of energy st</w:t>
      </w:r>
      <w:r w:rsidR="00100AEF">
        <w:rPr>
          <w:rFonts w:ascii="Times New Roman" w:eastAsia="Calibri" w:hAnsi="Times New Roman" w:cs="Times New Roman"/>
        </w:rPr>
        <w:t>orage benefits within a prudence</w:t>
      </w:r>
      <w:r w:rsidRPr="00190732">
        <w:rPr>
          <w:rFonts w:ascii="Times New Roman" w:eastAsia="Calibri" w:hAnsi="Times New Roman" w:cs="Times New Roman"/>
        </w:rPr>
        <w:t xml:space="preserve"> filing.  </w:t>
      </w:r>
      <w:r w:rsidR="00AC1BAF">
        <w:rPr>
          <w:rFonts w:ascii="Times New Roman" w:eastAsia="Calibri" w:hAnsi="Times New Roman" w:cs="Times New Roman"/>
        </w:rPr>
        <w:t>Uncertainty related to a prudence determination is generally a barrier to investment; and the greater the uncertainty, the greater the barrier.</w:t>
      </w:r>
      <w:r w:rsidRPr="00190732">
        <w:rPr>
          <w:rFonts w:ascii="Times New Roman" w:eastAsia="Calibri" w:hAnsi="Times New Roman" w:cs="Times New Roman"/>
        </w:rPr>
        <w:t xml:space="preserve">  </w:t>
      </w:r>
    </w:p>
    <w:p w14:paraId="39CAEFD3" w14:textId="77777777" w:rsidR="003F1331" w:rsidRDefault="003F1331" w:rsidP="00190732">
      <w:pPr>
        <w:pStyle w:val="NoSpacing"/>
        <w:spacing w:line="360" w:lineRule="auto"/>
        <w:jc w:val="both"/>
        <w:rPr>
          <w:rFonts w:ascii="Times New Roman" w:hAnsi="Times New Roman"/>
          <w:sz w:val="24"/>
          <w:szCs w:val="24"/>
        </w:rPr>
      </w:pPr>
    </w:p>
    <w:p w14:paraId="39CAEFD4" w14:textId="77777777" w:rsidR="00CB5A54" w:rsidRPr="00DA1C41" w:rsidRDefault="00100AEF" w:rsidP="00CB5A54">
      <w:pPr>
        <w:spacing w:line="360" w:lineRule="auto"/>
        <w:ind w:firstLine="720"/>
        <w:jc w:val="both"/>
        <w:rPr>
          <w:rFonts w:ascii="Times New Roman" w:hAnsi="Times New Roman" w:cs="Times New Roman"/>
        </w:rPr>
      </w:pPr>
      <w:r>
        <w:rPr>
          <w:rFonts w:ascii="Times New Roman" w:hAnsi="Times New Roman" w:cs="Times New Roman"/>
        </w:rPr>
        <w:t xml:space="preserve">Again, </w:t>
      </w:r>
      <w:r w:rsidR="00CB5A54" w:rsidRPr="0067498C">
        <w:rPr>
          <w:rFonts w:ascii="Times New Roman" w:hAnsi="Times New Roman" w:cs="Times New Roman"/>
        </w:rPr>
        <w:t xml:space="preserve">Avista appreciates the opportunity to provide these comments, and we look forward to </w:t>
      </w:r>
      <w:r w:rsidR="00CB5A54">
        <w:rPr>
          <w:rFonts w:ascii="Times New Roman" w:hAnsi="Times New Roman" w:cs="Times New Roman"/>
        </w:rPr>
        <w:t>the continued dialogue in this process</w:t>
      </w:r>
      <w:r w:rsidR="00CB5A54" w:rsidRPr="0067498C">
        <w:rPr>
          <w:rFonts w:ascii="Times New Roman" w:hAnsi="Times New Roman" w:cs="Times New Roman"/>
        </w:rPr>
        <w:t>.</w:t>
      </w:r>
      <w:r w:rsidR="00CB5A54">
        <w:rPr>
          <w:rFonts w:ascii="Times New Roman" w:hAnsi="Times New Roman" w:cs="Times New Roman"/>
        </w:rPr>
        <w:t xml:space="preserve">  </w:t>
      </w:r>
      <w:r w:rsidR="00CB5A54">
        <w:rPr>
          <w:rFonts w:ascii="Times New Roman" w:hAnsi="Times New Roman"/>
        </w:rPr>
        <w:t>Please direct any questions</w:t>
      </w:r>
      <w:r w:rsidR="00CB5A54" w:rsidRPr="0067498C">
        <w:rPr>
          <w:rFonts w:ascii="Times New Roman" w:hAnsi="Times New Roman"/>
        </w:rPr>
        <w:t xml:space="preserve"> regarding these comments</w:t>
      </w:r>
      <w:r w:rsidR="00CB5A54">
        <w:rPr>
          <w:rFonts w:ascii="Times New Roman" w:hAnsi="Times New Roman"/>
        </w:rPr>
        <w:t xml:space="preserve"> to </w:t>
      </w:r>
      <w:r>
        <w:rPr>
          <w:rFonts w:ascii="Times New Roman" w:hAnsi="Times New Roman"/>
        </w:rPr>
        <w:t>Clint Kalich at 509-495-4532 or myself</w:t>
      </w:r>
      <w:r w:rsidR="00AC1BAF">
        <w:rPr>
          <w:rFonts w:ascii="Times New Roman" w:hAnsi="Times New Roman"/>
        </w:rPr>
        <w:t xml:space="preserve"> at 509-495-4975</w:t>
      </w:r>
      <w:r w:rsidR="00CB5A54">
        <w:rPr>
          <w:rFonts w:ascii="Times New Roman" w:hAnsi="Times New Roman"/>
        </w:rPr>
        <w:t xml:space="preserve"> or by email, </w:t>
      </w:r>
      <w:hyperlink r:id="rId11" w:history="1">
        <w:r w:rsidR="00AC1BAF" w:rsidRPr="005B03DF">
          <w:rPr>
            <w:rStyle w:val="Hyperlink"/>
            <w:rFonts w:ascii="Times New Roman" w:hAnsi="Times New Roman" w:cs="Times New Roman"/>
            <w:lang w:val="fr-FR"/>
          </w:rPr>
          <w:t>linda.gervais@avistacorp.com</w:t>
        </w:r>
      </w:hyperlink>
      <w:r w:rsidR="00CB5A54">
        <w:rPr>
          <w:rFonts w:ascii="Times New Roman" w:hAnsi="Times New Roman"/>
        </w:rPr>
        <w:t>.</w:t>
      </w:r>
    </w:p>
    <w:p w14:paraId="39CAEFD5" w14:textId="77777777" w:rsidR="00CB5A54" w:rsidRPr="0067498C" w:rsidRDefault="00CB5A54" w:rsidP="00CB5A54">
      <w:pPr>
        <w:pStyle w:val="NoSpacing"/>
        <w:spacing w:line="360" w:lineRule="auto"/>
        <w:ind w:right="-270" w:firstLine="720"/>
        <w:jc w:val="both"/>
        <w:rPr>
          <w:rFonts w:ascii="Times New Roman" w:hAnsi="Times New Roman"/>
          <w:sz w:val="24"/>
          <w:szCs w:val="24"/>
        </w:rPr>
      </w:pPr>
    </w:p>
    <w:p w14:paraId="39CAEFD6" w14:textId="77777777"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14:paraId="39CAEFD7" w14:textId="77777777" w:rsidR="00CB5A54" w:rsidRPr="000D15BF" w:rsidRDefault="00CB5A54" w:rsidP="00CB5A54">
      <w:pPr>
        <w:jc w:val="both"/>
        <w:rPr>
          <w:rFonts w:ascii="Times New Roman" w:hAnsi="Times New Roman" w:cs="Times New Roman"/>
        </w:rPr>
      </w:pPr>
    </w:p>
    <w:p w14:paraId="39CAEFD8" w14:textId="77777777" w:rsidR="00CB5A54" w:rsidRPr="00F20848" w:rsidRDefault="00AC1BAF" w:rsidP="00CB5A54">
      <w:pPr>
        <w:jc w:val="both"/>
        <w:rPr>
          <w:rFonts w:ascii="Brush Script MT" w:hAnsi="Brush Script MT" w:cs="Times New Roman"/>
          <w:noProof/>
          <w:sz w:val="32"/>
        </w:rPr>
      </w:pPr>
      <w:r>
        <w:rPr>
          <w:rFonts w:ascii="Brush Script MT" w:hAnsi="Brush Script MT" w:cs="Times New Roman"/>
          <w:noProof/>
          <w:sz w:val="32"/>
        </w:rPr>
        <w:t>Linda Gervais</w:t>
      </w:r>
    </w:p>
    <w:p w14:paraId="39CAEFD9" w14:textId="77777777" w:rsidR="00CB5A54" w:rsidRPr="000D15BF" w:rsidRDefault="00CB5A54" w:rsidP="00CB5A54">
      <w:pPr>
        <w:jc w:val="both"/>
        <w:rPr>
          <w:rFonts w:ascii="Times New Roman" w:hAnsi="Times New Roman" w:cs="Times New Roman"/>
        </w:rPr>
      </w:pPr>
    </w:p>
    <w:p w14:paraId="39CAEFDA" w14:textId="77777777" w:rsidR="00CB5A54" w:rsidRPr="000D15BF"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p>
    <w:p w14:paraId="39CAEFDB" w14:textId="77777777"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12"/>
      <w:footerReference w:type="default" r:id="rId13"/>
      <w:headerReference w:type="first" r:id="rId14"/>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EFDE" w14:textId="77777777" w:rsidR="001A46E0" w:rsidRDefault="001A46E0" w:rsidP="002A1126">
      <w:r>
        <w:separator/>
      </w:r>
    </w:p>
  </w:endnote>
  <w:endnote w:type="continuationSeparator" w:id="0">
    <w:p w14:paraId="39CAEFDF" w14:textId="77777777" w:rsidR="001A46E0" w:rsidRDefault="001A46E0"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EFE1" w14:textId="77777777" w:rsidR="00A62CE4" w:rsidRDefault="00486882"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7</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7</w:t>
        </w:r>
        <w:r w:rsidR="00A62CE4" w:rsidRPr="00F54081">
          <w:rPr>
            <w:rFonts w:ascii="Times New Roman" w:hAnsi="Times New Roman" w:cs="Times New Roman"/>
          </w:rPr>
          <w:fldChar w:fldCharType="end"/>
        </w:r>
      </w:sdtContent>
    </w:sdt>
  </w:p>
  <w:p w14:paraId="39CAEFE2" w14:textId="77777777" w:rsidR="00A62CE4" w:rsidRDefault="00A62CE4">
    <w:pPr>
      <w:pStyle w:val="Footer"/>
      <w:pBdr>
        <w:top w:val="single" w:sz="4" w:space="1" w:color="D9D9D9" w:themeColor="background1" w:themeShade="D9"/>
      </w:pBdr>
      <w:jc w:val="right"/>
    </w:pPr>
  </w:p>
  <w:p w14:paraId="39CAEFE3"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AEFDC" w14:textId="77777777" w:rsidR="001A46E0" w:rsidRDefault="001A46E0" w:rsidP="002A1126">
      <w:r>
        <w:separator/>
      </w:r>
    </w:p>
  </w:footnote>
  <w:footnote w:type="continuationSeparator" w:id="0">
    <w:p w14:paraId="39CAEFDD" w14:textId="77777777" w:rsidR="001A46E0" w:rsidRDefault="001A46E0" w:rsidP="002A1126">
      <w:r>
        <w:continuationSeparator/>
      </w:r>
    </w:p>
  </w:footnote>
  <w:footnote w:id="1">
    <w:p w14:paraId="39CAEFE7" w14:textId="77777777" w:rsidR="00782EF6" w:rsidRDefault="00782EF6">
      <w:pPr>
        <w:pStyle w:val="FootnoteText"/>
      </w:pPr>
      <w:r>
        <w:rPr>
          <w:rStyle w:val="FootnoteReference"/>
        </w:rPr>
        <w:footnoteRef/>
      </w:r>
      <w:r>
        <w:t xml:space="preserve"> Docket UE-151069 and U161024, Draft Policy Statement, ¶ 25</w:t>
      </w:r>
    </w:p>
  </w:footnote>
  <w:footnote w:id="2">
    <w:p w14:paraId="39CAEFE8" w14:textId="77777777" w:rsidR="00D34D97" w:rsidRDefault="00D34D97">
      <w:pPr>
        <w:pStyle w:val="FootnoteText"/>
      </w:pPr>
      <w:r>
        <w:rPr>
          <w:rStyle w:val="FootnoteReference"/>
        </w:rPr>
        <w:footnoteRef/>
      </w:r>
      <w:r>
        <w:t xml:space="preserve"> Docket UE-151069 and U161024, Draft Policy Statement, ¶ 63</w:t>
      </w:r>
    </w:p>
  </w:footnote>
  <w:footnote w:id="3">
    <w:p w14:paraId="39CAEFE9" w14:textId="77777777" w:rsidR="00D34D97" w:rsidRDefault="00D34D97">
      <w:pPr>
        <w:pStyle w:val="FootnoteText"/>
      </w:pPr>
      <w:r>
        <w:rPr>
          <w:rStyle w:val="FootnoteReference"/>
        </w:rPr>
        <w:footnoteRef/>
      </w:r>
      <w:r>
        <w:t xml:space="preserve"> Docket UE-151069 and U161024, Draft Policy Statement, ¶ 64</w:t>
      </w:r>
    </w:p>
  </w:footnote>
  <w:footnote w:id="4">
    <w:p w14:paraId="39CAEFEA" w14:textId="77777777" w:rsidR="00D34D97" w:rsidRDefault="00D34D97">
      <w:pPr>
        <w:pStyle w:val="FootnoteText"/>
      </w:pPr>
      <w:r>
        <w:rPr>
          <w:rStyle w:val="FootnoteReference"/>
        </w:rPr>
        <w:footnoteRef/>
      </w:r>
      <w:r>
        <w:t xml:space="preserve"> Docket UE-151069 and U161024, Draft Policy Statement, ¶ 65</w:t>
      </w:r>
    </w:p>
  </w:footnote>
  <w:footnote w:id="5">
    <w:p w14:paraId="39CAEFEB" w14:textId="77777777" w:rsidR="00D34D97" w:rsidRDefault="00D34D97">
      <w:pPr>
        <w:pStyle w:val="FootnoteText"/>
      </w:pPr>
      <w:r>
        <w:rPr>
          <w:rStyle w:val="FootnoteReference"/>
        </w:rPr>
        <w:footnoteRef/>
      </w:r>
      <w:r>
        <w:t xml:space="preserve"> Docket UE-151069 and U161024, Draft Policy Statement, ¶ 66</w:t>
      </w:r>
    </w:p>
  </w:footnote>
  <w:footnote w:id="6">
    <w:p w14:paraId="39CAEFEC" w14:textId="77777777" w:rsidR="00190732" w:rsidRDefault="00190732" w:rsidP="00190732">
      <w:pPr>
        <w:pStyle w:val="FootnoteText"/>
      </w:pPr>
      <w:r>
        <w:rPr>
          <w:rStyle w:val="FootnoteReference"/>
          <w:rFonts w:eastAsiaTheme="majorEastAsia"/>
        </w:rPr>
        <w:footnoteRef/>
      </w:r>
      <w:r w:rsidR="00964D2E">
        <w:t xml:space="preserve"> Docket UE-151069 and U</w:t>
      </w:r>
      <w:r w:rsidR="00466B68">
        <w:t>-</w:t>
      </w:r>
      <w:r w:rsidR="00964D2E">
        <w:t>161024, Draft Policy Statement, ¶ 64</w:t>
      </w:r>
    </w:p>
  </w:footnote>
  <w:footnote w:id="7">
    <w:p w14:paraId="39CAEFED" w14:textId="77777777" w:rsidR="00190732" w:rsidRDefault="00190732" w:rsidP="00190732">
      <w:pPr>
        <w:pStyle w:val="FootnoteText"/>
      </w:pPr>
      <w:r>
        <w:rPr>
          <w:rStyle w:val="FootnoteReference"/>
          <w:rFonts w:eastAsiaTheme="majorEastAsia"/>
        </w:rPr>
        <w:footnoteRef/>
      </w:r>
      <w:r>
        <w:t xml:space="preserve"> For example, rebuilding a very long feeder to supply a</w:t>
      </w:r>
      <w:r w:rsidR="00466B68">
        <w:t xml:space="preserve"> growing load at the end of the</w:t>
      </w:r>
      <w:r>
        <w:t xml:space="preserve"> feeder might</w:t>
      </w:r>
      <w:r w:rsidR="00466B68">
        <w:t>,</w:t>
      </w:r>
      <w:r>
        <w:t xml:space="preserve"> under certain circumstances</w:t>
      </w:r>
      <w:r w:rsidR="00466B68">
        <w:t>,</w:t>
      </w:r>
      <w:r>
        <w:t xml:space="preserve"> be remedied </w:t>
      </w:r>
      <w:r w:rsidR="00D507F3">
        <w:t>with</w:t>
      </w:r>
      <w:r>
        <w:t xml:space="preserve"> the use of a battery or other peak-shifting resource.</w:t>
      </w:r>
    </w:p>
  </w:footnote>
  <w:footnote w:id="8">
    <w:p w14:paraId="39CAEFEE" w14:textId="77777777" w:rsidR="00190732" w:rsidRDefault="00190732" w:rsidP="00FB2736">
      <w:pPr>
        <w:pStyle w:val="FootnoteText"/>
        <w:jc w:val="both"/>
      </w:pPr>
      <w:r>
        <w:rPr>
          <w:rStyle w:val="FootnoteReference"/>
          <w:rFonts w:eastAsiaTheme="majorEastAsia"/>
        </w:rPr>
        <w:footnoteRef/>
      </w:r>
      <w:r>
        <w:t xml:space="preserve"> Energy storage does not provide energy to the system.</w:t>
      </w:r>
      <w:r w:rsidR="00FB2736">
        <w:t xml:space="preserve"> In addition, absent a screening criteria, the range of closely evaluated alternatives would be unlimited.  Avista recommends implementing some cost/benefit ratio threshold before an energy storage resource would be included as an option.  For example, in the past Avista has use a 130% of avoided cost threshold before conservati</w:t>
      </w:r>
      <w:r w:rsidR="00BA2357">
        <w:t>on resources are included in its</w:t>
      </w:r>
      <w:r w:rsidR="00FB2736">
        <w:t xml:space="preserve"> IRP PRiSM resource selection model.</w:t>
      </w:r>
    </w:p>
  </w:footnote>
  <w:footnote w:id="9">
    <w:p w14:paraId="39CAEFEF" w14:textId="77777777" w:rsidR="008E33E6" w:rsidRDefault="008E33E6">
      <w:pPr>
        <w:pStyle w:val="FootnoteText"/>
      </w:pPr>
      <w:r>
        <w:rPr>
          <w:rStyle w:val="FootnoteReference"/>
        </w:rPr>
        <w:footnoteRef/>
      </w:r>
      <w:r>
        <w:t xml:space="preserve"> Docket UE-151069 and U</w:t>
      </w:r>
      <w:r w:rsidR="00BA2357">
        <w:t>-</w:t>
      </w:r>
      <w:r>
        <w:t>161024, Draft Policy Statement, ¶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EFE0"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EFE4" w14:textId="77777777" w:rsidR="00A62CE4" w:rsidRDefault="00A62CE4" w:rsidP="003D0502">
    <w:pPr>
      <w:pStyle w:val="Header"/>
      <w:spacing w:after="480"/>
      <w:ind w:left="-1166" w:right="-1166"/>
    </w:pPr>
    <w:r w:rsidRPr="0071027A">
      <w:rPr>
        <w:noProof/>
      </w:rPr>
      <w:drawing>
        <wp:inline distT="0" distB="0" distL="0" distR="0" wp14:anchorId="39CAEFE5" wp14:editId="39CAEFE6">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4"/>
  </w:num>
  <w:num w:numId="4">
    <w:abstractNumId w:val="19"/>
  </w:num>
  <w:num w:numId="5">
    <w:abstractNumId w:val="5"/>
  </w:num>
  <w:num w:numId="6">
    <w:abstractNumId w:val="23"/>
  </w:num>
  <w:num w:numId="7">
    <w:abstractNumId w:val="20"/>
  </w:num>
  <w:num w:numId="8">
    <w:abstractNumId w:val="32"/>
  </w:num>
  <w:num w:numId="9">
    <w:abstractNumId w:val="31"/>
  </w:num>
  <w:num w:numId="10">
    <w:abstractNumId w:val="29"/>
  </w:num>
  <w:num w:numId="11">
    <w:abstractNumId w:val="22"/>
  </w:num>
  <w:num w:numId="12">
    <w:abstractNumId w:val="7"/>
  </w:num>
  <w:num w:numId="13">
    <w:abstractNumId w:val="3"/>
  </w:num>
  <w:num w:numId="14">
    <w:abstractNumId w:val="0"/>
  </w:num>
  <w:num w:numId="15">
    <w:abstractNumId w:val="2"/>
  </w:num>
  <w:num w:numId="16">
    <w:abstractNumId w:val="16"/>
  </w:num>
  <w:num w:numId="17">
    <w:abstractNumId w:val="8"/>
  </w:num>
  <w:num w:numId="18">
    <w:abstractNumId w:val="17"/>
  </w:num>
  <w:num w:numId="19">
    <w:abstractNumId w:val="11"/>
  </w:num>
  <w:num w:numId="20">
    <w:abstractNumId w:val="6"/>
  </w:num>
  <w:num w:numId="21">
    <w:abstractNumId w:val="4"/>
  </w:num>
  <w:num w:numId="22">
    <w:abstractNumId w:val="18"/>
  </w:num>
  <w:num w:numId="23">
    <w:abstractNumId w:val="15"/>
  </w:num>
  <w:num w:numId="24">
    <w:abstractNumId w:val="12"/>
  </w:num>
  <w:num w:numId="25">
    <w:abstractNumId w:val="21"/>
  </w:num>
  <w:num w:numId="26">
    <w:abstractNumId w:val="13"/>
  </w:num>
  <w:num w:numId="27">
    <w:abstractNumId w:val="25"/>
  </w:num>
  <w:num w:numId="28">
    <w:abstractNumId w:val="1"/>
  </w:num>
  <w:num w:numId="29">
    <w:abstractNumId w:val="28"/>
  </w:num>
  <w:num w:numId="30">
    <w:abstractNumId w:val="10"/>
  </w:num>
  <w:num w:numId="31">
    <w:abstractNumId w:val="27"/>
  </w:num>
  <w:num w:numId="32">
    <w:abstractNumId w:val="26"/>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36F"/>
    <w:rsid w:val="000124D7"/>
    <w:rsid w:val="000153DB"/>
    <w:rsid w:val="0001790C"/>
    <w:rsid w:val="0002253F"/>
    <w:rsid w:val="00023152"/>
    <w:rsid w:val="000248C6"/>
    <w:rsid w:val="00027FB7"/>
    <w:rsid w:val="00033523"/>
    <w:rsid w:val="000345EF"/>
    <w:rsid w:val="00035F31"/>
    <w:rsid w:val="000369B1"/>
    <w:rsid w:val="00042D25"/>
    <w:rsid w:val="00043DC3"/>
    <w:rsid w:val="00047C30"/>
    <w:rsid w:val="000515D1"/>
    <w:rsid w:val="000515F7"/>
    <w:rsid w:val="0005607B"/>
    <w:rsid w:val="00070446"/>
    <w:rsid w:val="000749BD"/>
    <w:rsid w:val="00075133"/>
    <w:rsid w:val="00075F09"/>
    <w:rsid w:val="00077661"/>
    <w:rsid w:val="000823F2"/>
    <w:rsid w:val="000829EC"/>
    <w:rsid w:val="00084A90"/>
    <w:rsid w:val="00093FAD"/>
    <w:rsid w:val="00096744"/>
    <w:rsid w:val="000A1440"/>
    <w:rsid w:val="000A5B43"/>
    <w:rsid w:val="000A610C"/>
    <w:rsid w:val="000A69FA"/>
    <w:rsid w:val="000A6C6F"/>
    <w:rsid w:val="000B04F1"/>
    <w:rsid w:val="000B6281"/>
    <w:rsid w:val="000B69C5"/>
    <w:rsid w:val="000C249F"/>
    <w:rsid w:val="000C2CE2"/>
    <w:rsid w:val="000C32A7"/>
    <w:rsid w:val="000C529C"/>
    <w:rsid w:val="000C5848"/>
    <w:rsid w:val="000E329F"/>
    <w:rsid w:val="000F2669"/>
    <w:rsid w:val="000F32A5"/>
    <w:rsid w:val="000F350D"/>
    <w:rsid w:val="000F4873"/>
    <w:rsid w:val="000F7CF2"/>
    <w:rsid w:val="00100AEF"/>
    <w:rsid w:val="00105BBC"/>
    <w:rsid w:val="00107F3F"/>
    <w:rsid w:val="00114E77"/>
    <w:rsid w:val="00121FC9"/>
    <w:rsid w:val="001223C1"/>
    <w:rsid w:val="00122E57"/>
    <w:rsid w:val="001255C2"/>
    <w:rsid w:val="00125703"/>
    <w:rsid w:val="0013094D"/>
    <w:rsid w:val="001401F2"/>
    <w:rsid w:val="00142E03"/>
    <w:rsid w:val="001570B6"/>
    <w:rsid w:val="00161957"/>
    <w:rsid w:val="00165AB5"/>
    <w:rsid w:val="00165DE8"/>
    <w:rsid w:val="00183969"/>
    <w:rsid w:val="0018417C"/>
    <w:rsid w:val="001856CB"/>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C3F7D"/>
    <w:rsid w:val="001C5FB0"/>
    <w:rsid w:val="001D273A"/>
    <w:rsid w:val="001D2DB5"/>
    <w:rsid w:val="001D4E89"/>
    <w:rsid w:val="001D5E5E"/>
    <w:rsid w:val="001D6B4F"/>
    <w:rsid w:val="001E2AB9"/>
    <w:rsid w:val="001E451C"/>
    <w:rsid w:val="001E4F3D"/>
    <w:rsid w:val="001E60BC"/>
    <w:rsid w:val="001E72F0"/>
    <w:rsid w:val="001E7D9B"/>
    <w:rsid w:val="001F5FCA"/>
    <w:rsid w:val="001F60FF"/>
    <w:rsid w:val="001F74C2"/>
    <w:rsid w:val="002071FB"/>
    <w:rsid w:val="00207727"/>
    <w:rsid w:val="0021043B"/>
    <w:rsid w:val="00211B9A"/>
    <w:rsid w:val="0022116D"/>
    <w:rsid w:val="00221D4C"/>
    <w:rsid w:val="002232B2"/>
    <w:rsid w:val="00223779"/>
    <w:rsid w:val="0023572A"/>
    <w:rsid w:val="00235BBC"/>
    <w:rsid w:val="00236DDB"/>
    <w:rsid w:val="0023794F"/>
    <w:rsid w:val="0024167F"/>
    <w:rsid w:val="002433D5"/>
    <w:rsid w:val="00247995"/>
    <w:rsid w:val="0026107E"/>
    <w:rsid w:val="002664BF"/>
    <w:rsid w:val="00266608"/>
    <w:rsid w:val="002671D5"/>
    <w:rsid w:val="0027135F"/>
    <w:rsid w:val="00272E0B"/>
    <w:rsid w:val="00273E68"/>
    <w:rsid w:val="002756FF"/>
    <w:rsid w:val="002842B6"/>
    <w:rsid w:val="00287463"/>
    <w:rsid w:val="00287DF2"/>
    <w:rsid w:val="002A1126"/>
    <w:rsid w:val="002B1468"/>
    <w:rsid w:val="002B7D0E"/>
    <w:rsid w:val="002C2722"/>
    <w:rsid w:val="002C71B6"/>
    <w:rsid w:val="002D14D8"/>
    <w:rsid w:val="002D1E08"/>
    <w:rsid w:val="002D74BF"/>
    <w:rsid w:val="002E3993"/>
    <w:rsid w:val="002E6643"/>
    <w:rsid w:val="002F04A0"/>
    <w:rsid w:val="002F088F"/>
    <w:rsid w:val="002F218E"/>
    <w:rsid w:val="002F3F73"/>
    <w:rsid w:val="002F536E"/>
    <w:rsid w:val="0030193E"/>
    <w:rsid w:val="00311F63"/>
    <w:rsid w:val="00313771"/>
    <w:rsid w:val="00314215"/>
    <w:rsid w:val="00321EEC"/>
    <w:rsid w:val="00324EAF"/>
    <w:rsid w:val="0032526D"/>
    <w:rsid w:val="0032776A"/>
    <w:rsid w:val="00330D67"/>
    <w:rsid w:val="00336A40"/>
    <w:rsid w:val="00337F64"/>
    <w:rsid w:val="00344DC2"/>
    <w:rsid w:val="003509FD"/>
    <w:rsid w:val="0035206C"/>
    <w:rsid w:val="00355E5A"/>
    <w:rsid w:val="003605F1"/>
    <w:rsid w:val="003642D8"/>
    <w:rsid w:val="0036714C"/>
    <w:rsid w:val="00367A25"/>
    <w:rsid w:val="00370CA6"/>
    <w:rsid w:val="00376A2F"/>
    <w:rsid w:val="00381CA4"/>
    <w:rsid w:val="00383266"/>
    <w:rsid w:val="00385158"/>
    <w:rsid w:val="00385820"/>
    <w:rsid w:val="003A02AB"/>
    <w:rsid w:val="003B16D1"/>
    <w:rsid w:val="003D0502"/>
    <w:rsid w:val="003D25E1"/>
    <w:rsid w:val="003D2B0E"/>
    <w:rsid w:val="003D3048"/>
    <w:rsid w:val="003D53A1"/>
    <w:rsid w:val="003E3ACD"/>
    <w:rsid w:val="003F1331"/>
    <w:rsid w:val="003F3678"/>
    <w:rsid w:val="003F4623"/>
    <w:rsid w:val="003F7181"/>
    <w:rsid w:val="00405852"/>
    <w:rsid w:val="00407476"/>
    <w:rsid w:val="00407F9D"/>
    <w:rsid w:val="004200EF"/>
    <w:rsid w:val="00421E87"/>
    <w:rsid w:val="00430848"/>
    <w:rsid w:val="0044076C"/>
    <w:rsid w:val="004417AB"/>
    <w:rsid w:val="00441F4A"/>
    <w:rsid w:val="00443A3B"/>
    <w:rsid w:val="00461771"/>
    <w:rsid w:val="00466B68"/>
    <w:rsid w:val="004708AF"/>
    <w:rsid w:val="004712D1"/>
    <w:rsid w:val="004743C8"/>
    <w:rsid w:val="00477F3F"/>
    <w:rsid w:val="00483416"/>
    <w:rsid w:val="00485E4F"/>
    <w:rsid w:val="00486882"/>
    <w:rsid w:val="00486A80"/>
    <w:rsid w:val="004913E4"/>
    <w:rsid w:val="004A2ECD"/>
    <w:rsid w:val="004A3B4B"/>
    <w:rsid w:val="004A5DE1"/>
    <w:rsid w:val="004A6346"/>
    <w:rsid w:val="004B5927"/>
    <w:rsid w:val="004B60C4"/>
    <w:rsid w:val="004B7AAF"/>
    <w:rsid w:val="004C0897"/>
    <w:rsid w:val="004C2388"/>
    <w:rsid w:val="004C428C"/>
    <w:rsid w:val="004D166C"/>
    <w:rsid w:val="004D1DBE"/>
    <w:rsid w:val="004E29CE"/>
    <w:rsid w:val="004E5D26"/>
    <w:rsid w:val="004F1B02"/>
    <w:rsid w:val="004F4A73"/>
    <w:rsid w:val="004F7450"/>
    <w:rsid w:val="004F7A19"/>
    <w:rsid w:val="005011E0"/>
    <w:rsid w:val="0050334E"/>
    <w:rsid w:val="00507690"/>
    <w:rsid w:val="00516C68"/>
    <w:rsid w:val="00524B0C"/>
    <w:rsid w:val="00525902"/>
    <w:rsid w:val="00530BE0"/>
    <w:rsid w:val="0053159B"/>
    <w:rsid w:val="005342EC"/>
    <w:rsid w:val="005343ED"/>
    <w:rsid w:val="00535574"/>
    <w:rsid w:val="005355AB"/>
    <w:rsid w:val="00540901"/>
    <w:rsid w:val="0054150E"/>
    <w:rsid w:val="00545D55"/>
    <w:rsid w:val="00547E25"/>
    <w:rsid w:val="00552886"/>
    <w:rsid w:val="0055302E"/>
    <w:rsid w:val="005544F5"/>
    <w:rsid w:val="00561E47"/>
    <w:rsid w:val="00564DE1"/>
    <w:rsid w:val="00566AAE"/>
    <w:rsid w:val="00570699"/>
    <w:rsid w:val="00584E9B"/>
    <w:rsid w:val="00593876"/>
    <w:rsid w:val="00593ABF"/>
    <w:rsid w:val="005948C2"/>
    <w:rsid w:val="00597A10"/>
    <w:rsid w:val="005A2764"/>
    <w:rsid w:val="005A3212"/>
    <w:rsid w:val="005B1794"/>
    <w:rsid w:val="005B5CF9"/>
    <w:rsid w:val="005D2CE5"/>
    <w:rsid w:val="005E04A5"/>
    <w:rsid w:val="005E2932"/>
    <w:rsid w:val="005E41AE"/>
    <w:rsid w:val="005E44E7"/>
    <w:rsid w:val="005E5919"/>
    <w:rsid w:val="005E7898"/>
    <w:rsid w:val="005F0748"/>
    <w:rsid w:val="005F39C5"/>
    <w:rsid w:val="005F73A4"/>
    <w:rsid w:val="00604544"/>
    <w:rsid w:val="00604CE3"/>
    <w:rsid w:val="006071C6"/>
    <w:rsid w:val="006157BD"/>
    <w:rsid w:val="00620B71"/>
    <w:rsid w:val="0062299D"/>
    <w:rsid w:val="00630F73"/>
    <w:rsid w:val="00634071"/>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90F83"/>
    <w:rsid w:val="00693682"/>
    <w:rsid w:val="00694FC3"/>
    <w:rsid w:val="006952D1"/>
    <w:rsid w:val="00695A31"/>
    <w:rsid w:val="00696A33"/>
    <w:rsid w:val="006A2183"/>
    <w:rsid w:val="006A4311"/>
    <w:rsid w:val="006A4367"/>
    <w:rsid w:val="006B353D"/>
    <w:rsid w:val="006B7178"/>
    <w:rsid w:val="006C0B5F"/>
    <w:rsid w:val="006C4729"/>
    <w:rsid w:val="006C6708"/>
    <w:rsid w:val="006C670C"/>
    <w:rsid w:val="006D47D8"/>
    <w:rsid w:val="006D6987"/>
    <w:rsid w:val="006D6A6B"/>
    <w:rsid w:val="006E1080"/>
    <w:rsid w:val="006E2E7B"/>
    <w:rsid w:val="006F2F2A"/>
    <w:rsid w:val="006F7A91"/>
    <w:rsid w:val="00706C17"/>
    <w:rsid w:val="00712A54"/>
    <w:rsid w:val="00714841"/>
    <w:rsid w:val="00723985"/>
    <w:rsid w:val="00726B3F"/>
    <w:rsid w:val="0072705C"/>
    <w:rsid w:val="0072774E"/>
    <w:rsid w:val="00727EF9"/>
    <w:rsid w:val="007316BE"/>
    <w:rsid w:val="00732BD3"/>
    <w:rsid w:val="00734B77"/>
    <w:rsid w:val="00734C2B"/>
    <w:rsid w:val="00740D1D"/>
    <w:rsid w:val="0074403E"/>
    <w:rsid w:val="007447AB"/>
    <w:rsid w:val="00747B68"/>
    <w:rsid w:val="00751B79"/>
    <w:rsid w:val="00756F8D"/>
    <w:rsid w:val="0075745A"/>
    <w:rsid w:val="00757B41"/>
    <w:rsid w:val="00767B87"/>
    <w:rsid w:val="00771953"/>
    <w:rsid w:val="007761CC"/>
    <w:rsid w:val="00781B75"/>
    <w:rsid w:val="00782EF6"/>
    <w:rsid w:val="007848FF"/>
    <w:rsid w:val="00790457"/>
    <w:rsid w:val="00797CBA"/>
    <w:rsid w:val="00797D29"/>
    <w:rsid w:val="007B392C"/>
    <w:rsid w:val="007B42CD"/>
    <w:rsid w:val="007B5D52"/>
    <w:rsid w:val="007B73D2"/>
    <w:rsid w:val="007C035B"/>
    <w:rsid w:val="007C6D2C"/>
    <w:rsid w:val="007D0AB9"/>
    <w:rsid w:val="007E3C42"/>
    <w:rsid w:val="007E3FE5"/>
    <w:rsid w:val="007E6172"/>
    <w:rsid w:val="007F4389"/>
    <w:rsid w:val="00800760"/>
    <w:rsid w:val="00801F8E"/>
    <w:rsid w:val="00804EA2"/>
    <w:rsid w:val="00807809"/>
    <w:rsid w:val="008301C3"/>
    <w:rsid w:val="008310F5"/>
    <w:rsid w:val="008318AA"/>
    <w:rsid w:val="00834AED"/>
    <w:rsid w:val="00840B2A"/>
    <w:rsid w:val="008456A3"/>
    <w:rsid w:val="0085158D"/>
    <w:rsid w:val="00851B79"/>
    <w:rsid w:val="00852DF8"/>
    <w:rsid w:val="0085359E"/>
    <w:rsid w:val="00854F5B"/>
    <w:rsid w:val="008564D6"/>
    <w:rsid w:val="00860818"/>
    <w:rsid w:val="008619A7"/>
    <w:rsid w:val="00864A8A"/>
    <w:rsid w:val="00874769"/>
    <w:rsid w:val="00876BB7"/>
    <w:rsid w:val="008835B2"/>
    <w:rsid w:val="00894A4C"/>
    <w:rsid w:val="00897007"/>
    <w:rsid w:val="008A1409"/>
    <w:rsid w:val="008A44E5"/>
    <w:rsid w:val="008A7501"/>
    <w:rsid w:val="008A797C"/>
    <w:rsid w:val="008B543B"/>
    <w:rsid w:val="008B73F4"/>
    <w:rsid w:val="008C0266"/>
    <w:rsid w:val="008C1322"/>
    <w:rsid w:val="008C4B2D"/>
    <w:rsid w:val="008D35B9"/>
    <w:rsid w:val="008E33E6"/>
    <w:rsid w:val="008E77CE"/>
    <w:rsid w:val="008F073C"/>
    <w:rsid w:val="008F4868"/>
    <w:rsid w:val="008F6493"/>
    <w:rsid w:val="008F65BD"/>
    <w:rsid w:val="008F716F"/>
    <w:rsid w:val="00916838"/>
    <w:rsid w:val="00923DE1"/>
    <w:rsid w:val="00925A8F"/>
    <w:rsid w:val="009434FA"/>
    <w:rsid w:val="00944EDC"/>
    <w:rsid w:val="009524D6"/>
    <w:rsid w:val="00956F77"/>
    <w:rsid w:val="009575AB"/>
    <w:rsid w:val="00964D2E"/>
    <w:rsid w:val="00970034"/>
    <w:rsid w:val="00971839"/>
    <w:rsid w:val="009737C9"/>
    <w:rsid w:val="0098158F"/>
    <w:rsid w:val="0098265E"/>
    <w:rsid w:val="0098618C"/>
    <w:rsid w:val="009910CF"/>
    <w:rsid w:val="00995742"/>
    <w:rsid w:val="009969BB"/>
    <w:rsid w:val="009A0D5F"/>
    <w:rsid w:val="009A68A4"/>
    <w:rsid w:val="009A756B"/>
    <w:rsid w:val="009B3764"/>
    <w:rsid w:val="009C033C"/>
    <w:rsid w:val="009C22AC"/>
    <w:rsid w:val="009C2491"/>
    <w:rsid w:val="009C6101"/>
    <w:rsid w:val="009C70E6"/>
    <w:rsid w:val="009D6112"/>
    <w:rsid w:val="009D75EB"/>
    <w:rsid w:val="009D7ABD"/>
    <w:rsid w:val="009E20BC"/>
    <w:rsid w:val="009F0C95"/>
    <w:rsid w:val="009F15E7"/>
    <w:rsid w:val="00A0430B"/>
    <w:rsid w:val="00A0631B"/>
    <w:rsid w:val="00A11372"/>
    <w:rsid w:val="00A12D21"/>
    <w:rsid w:val="00A20A2E"/>
    <w:rsid w:val="00A30728"/>
    <w:rsid w:val="00A30F52"/>
    <w:rsid w:val="00A41F89"/>
    <w:rsid w:val="00A43A76"/>
    <w:rsid w:val="00A4450A"/>
    <w:rsid w:val="00A46051"/>
    <w:rsid w:val="00A55F8B"/>
    <w:rsid w:val="00A56024"/>
    <w:rsid w:val="00A576A9"/>
    <w:rsid w:val="00A61203"/>
    <w:rsid w:val="00A618F4"/>
    <w:rsid w:val="00A62CE4"/>
    <w:rsid w:val="00A66822"/>
    <w:rsid w:val="00A67C6C"/>
    <w:rsid w:val="00A711C1"/>
    <w:rsid w:val="00A75F9C"/>
    <w:rsid w:val="00A80544"/>
    <w:rsid w:val="00A8245D"/>
    <w:rsid w:val="00A82BD4"/>
    <w:rsid w:val="00A85460"/>
    <w:rsid w:val="00A87384"/>
    <w:rsid w:val="00A906F9"/>
    <w:rsid w:val="00A90854"/>
    <w:rsid w:val="00A9471E"/>
    <w:rsid w:val="00A95DB4"/>
    <w:rsid w:val="00A96FC3"/>
    <w:rsid w:val="00AA24C6"/>
    <w:rsid w:val="00AB0867"/>
    <w:rsid w:val="00AC1BAF"/>
    <w:rsid w:val="00AC2E91"/>
    <w:rsid w:val="00AC6759"/>
    <w:rsid w:val="00AD0297"/>
    <w:rsid w:val="00AD03B9"/>
    <w:rsid w:val="00AD24DB"/>
    <w:rsid w:val="00AD7A30"/>
    <w:rsid w:val="00AE1633"/>
    <w:rsid w:val="00AE5EB4"/>
    <w:rsid w:val="00AF0093"/>
    <w:rsid w:val="00AF03EB"/>
    <w:rsid w:val="00AF347F"/>
    <w:rsid w:val="00AF3EBB"/>
    <w:rsid w:val="00AF4327"/>
    <w:rsid w:val="00AF7DC9"/>
    <w:rsid w:val="00B02F68"/>
    <w:rsid w:val="00B050ED"/>
    <w:rsid w:val="00B11231"/>
    <w:rsid w:val="00B12F7B"/>
    <w:rsid w:val="00B156C5"/>
    <w:rsid w:val="00B1601E"/>
    <w:rsid w:val="00B1620E"/>
    <w:rsid w:val="00B219F7"/>
    <w:rsid w:val="00B334C8"/>
    <w:rsid w:val="00B353BB"/>
    <w:rsid w:val="00B367AF"/>
    <w:rsid w:val="00B3771B"/>
    <w:rsid w:val="00B42145"/>
    <w:rsid w:val="00B45FCC"/>
    <w:rsid w:val="00B55D6C"/>
    <w:rsid w:val="00B616B5"/>
    <w:rsid w:val="00B61A28"/>
    <w:rsid w:val="00B61D19"/>
    <w:rsid w:val="00B65377"/>
    <w:rsid w:val="00B715E8"/>
    <w:rsid w:val="00B81D27"/>
    <w:rsid w:val="00B872D4"/>
    <w:rsid w:val="00B91DAF"/>
    <w:rsid w:val="00B91E24"/>
    <w:rsid w:val="00B97B0B"/>
    <w:rsid w:val="00BA16DB"/>
    <w:rsid w:val="00BA18FF"/>
    <w:rsid w:val="00BA2357"/>
    <w:rsid w:val="00BA7904"/>
    <w:rsid w:val="00BB01D5"/>
    <w:rsid w:val="00BB1DD9"/>
    <w:rsid w:val="00BC0297"/>
    <w:rsid w:val="00BC5AAA"/>
    <w:rsid w:val="00BD2677"/>
    <w:rsid w:val="00BE0F0F"/>
    <w:rsid w:val="00BE7169"/>
    <w:rsid w:val="00BF217F"/>
    <w:rsid w:val="00C0096E"/>
    <w:rsid w:val="00C06B49"/>
    <w:rsid w:val="00C12BCE"/>
    <w:rsid w:val="00C150E6"/>
    <w:rsid w:val="00C15D7D"/>
    <w:rsid w:val="00C17E78"/>
    <w:rsid w:val="00C22DD1"/>
    <w:rsid w:val="00C23D94"/>
    <w:rsid w:val="00C2501A"/>
    <w:rsid w:val="00C34700"/>
    <w:rsid w:val="00C46768"/>
    <w:rsid w:val="00C51FB2"/>
    <w:rsid w:val="00C52CD3"/>
    <w:rsid w:val="00C571E3"/>
    <w:rsid w:val="00C90BFC"/>
    <w:rsid w:val="00C978AA"/>
    <w:rsid w:val="00CA01B0"/>
    <w:rsid w:val="00CA0644"/>
    <w:rsid w:val="00CA0BE6"/>
    <w:rsid w:val="00CA3409"/>
    <w:rsid w:val="00CB5A54"/>
    <w:rsid w:val="00CC2222"/>
    <w:rsid w:val="00CC5505"/>
    <w:rsid w:val="00CC7323"/>
    <w:rsid w:val="00CD1EAD"/>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507F3"/>
    <w:rsid w:val="00D54BE6"/>
    <w:rsid w:val="00D57EF6"/>
    <w:rsid w:val="00D64EBE"/>
    <w:rsid w:val="00D66F3F"/>
    <w:rsid w:val="00D70AAA"/>
    <w:rsid w:val="00D82960"/>
    <w:rsid w:val="00D86E50"/>
    <w:rsid w:val="00D92984"/>
    <w:rsid w:val="00D92B05"/>
    <w:rsid w:val="00D967E7"/>
    <w:rsid w:val="00D96E8B"/>
    <w:rsid w:val="00DA1C41"/>
    <w:rsid w:val="00DB4255"/>
    <w:rsid w:val="00DB465B"/>
    <w:rsid w:val="00DB4944"/>
    <w:rsid w:val="00DC11D2"/>
    <w:rsid w:val="00DC1DF2"/>
    <w:rsid w:val="00DC294F"/>
    <w:rsid w:val="00DD0329"/>
    <w:rsid w:val="00DD113A"/>
    <w:rsid w:val="00DD3DB0"/>
    <w:rsid w:val="00DD4CB5"/>
    <w:rsid w:val="00DD6584"/>
    <w:rsid w:val="00DD7835"/>
    <w:rsid w:val="00DD7D43"/>
    <w:rsid w:val="00DE020E"/>
    <w:rsid w:val="00DE02C1"/>
    <w:rsid w:val="00DE5ADF"/>
    <w:rsid w:val="00E0054B"/>
    <w:rsid w:val="00E0217D"/>
    <w:rsid w:val="00E07093"/>
    <w:rsid w:val="00E15441"/>
    <w:rsid w:val="00E21427"/>
    <w:rsid w:val="00E22827"/>
    <w:rsid w:val="00E25158"/>
    <w:rsid w:val="00E260FE"/>
    <w:rsid w:val="00E313B2"/>
    <w:rsid w:val="00E31A47"/>
    <w:rsid w:val="00E32E5D"/>
    <w:rsid w:val="00E3352F"/>
    <w:rsid w:val="00E361CE"/>
    <w:rsid w:val="00E36584"/>
    <w:rsid w:val="00E36A52"/>
    <w:rsid w:val="00E3756F"/>
    <w:rsid w:val="00E4016E"/>
    <w:rsid w:val="00E46E1A"/>
    <w:rsid w:val="00E55815"/>
    <w:rsid w:val="00E55A2B"/>
    <w:rsid w:val="00E56E77"/>
    <w:rsid w:val="00E6063E"/>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7913"/>
    <w:rsid w:val="00EC514D"/>
    <w:rsid w:val="00ED4578"/>
    <w:rsid w:val="00EE19DE"/>
    <w:rsid w:val="00EE6172"/>
    <w:rsid w:val="00EF335F"/>
    <w:rsid w:val="00EF6A5C"/>
    <w:rsid w:val="00F009A1"/>
    <w:rsid w:val="00F06262"/>
    <w:rsid w:val="00F12AD4"/>
    <w:rsid w:val="00F12D78"/>
    <w:rsid w:val="00F15690"/>
    <w:rsid w:val="00F204F8"/>
    <w:rsid w:val="00F20848"/>
    <w:rsid w:val="00F23345"/>
    <w:rsid w:val="00F3153E"/>
    <w:rsid w:val="00F31804"/>
    <w:rsid w:val="00F35FD2"/>
    <w:rsid w:val="00F3627B"/>
    <w:rsid w:val="00F44AA1"/>
    <w:rsid w:val="00F44E98"/>
    <w:rsid w:val="00F455CC"/>
    <w:rsid w:val="00F45919"/>
    <w:rsid w:val="00F47613"/>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73EF"/>
    <w:rsid w:val="00F978BA"/>
    <w:rsid w:val="00FA15E0"/>
    <w:rsid w:val="00FA2FFF"/>
    <w:rsid w:val="00FB2736"/>
    <w:rsid w:val="00FB4AAC"/>
    <w:rsid w:val="00FB57E5"/>
    <w:rsid w:val="00FB5A32"/>
    <w:rsid w:val="00FC1D02"/>
    <w:rsid w:val="00FC2D89"/>
    <w:rsid w:val="00FC4D76"/>
    <w:rsid w:val="00FC57BA"/>
    <w:rsid w:val="00FD18DB"/>
    <w:rsid w:val="00FD44D5"/>
    <w:rsid w:val="00FE0CE5"/>
    <w:rsid w:val="00FE6437"/>
    <w:rsid w:val="00FE75BB"/>
    <w:rsid w:val="00FF18FE"/>
    <w:rsid w:val="00FF412A"/>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9CAEF92"/>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2017-04-03T07:00:00+00:00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Energy Storage</Nickname>
    <DocketNumber xmlns="dc463f71-b30c-4ab2-9473-d307f9d35888">151069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7A8022-234B-41B4-9BC1-180F432C2D68}">
  <ds:schemaRefs>
    <ds:schemaRef ds:uri="6a7bd91e-004b-490a-8704-e368d63d59a0"/>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6EAB70C-4894-474B-A357-71FB8BFA1CE6}">
  <ds:schemaRefs>
    <ds:schemaRef ds:uri="http://schemas.microsoft.com/sharepoint/v3/contenttype/forms"/>
  </ds:schemaRefs>
</ds:datastoreItem>
</file>

<file path=customXml/itemProps3.xml><?xml version="1.0" encoding="utf-8"?>
<ds:datastoreItem xmlns:ds="http://schemas.openxmlformats.org/officeDocument/2006/customXml" ds:itemID="{69964F64-EB9F-4962-811F-0EC9FE4BC2DA}"/>
</file>

<file path=customXml/itemProps4.xml><?xml version="1.0" encoding="utf-8"?>
<ds:datastoreItem xmlns:ds="http://schemas.openxmlformats.org/officeDocument/2006/customXml" ds:itemID="{E1003512-9CB0-4FDE-A39B-2603C4E59226}">
  <ds:schemaRefs>
    <ds:schemaRef ds:uri="http://schemas.openxmlformats.org/officeDocument/2006/bibliography"/>
  </ds:schemaRefs>
</ds:datastoreItem>
</file>

<file path=customXml/itemProps5.xml><?xml version="1.0" encoding="utf-8"?>
<ds:datastoreItem xmlns:ds="http://schemas.openxmlformats.org/officeDocument/2006/customXml" ds:itemID="{60BF837A-4244-449E-951F-23900E69E226}"/>
</file>

<file path=docProps/app.xml><?xml version="1.0" encoding="utf-8"?>
<Properties xmlns="http://schemas.openxmlformats.org/officeDocument/2006/extended-properties" xmlns:vt="http://schemas.openxmlformats.org/officeDocument/2006/docPropsVTypes">
  <Template>Normal.dotm</Template>
  <TotalTime>1</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2017-04-03T20:23:00Z</cp:lastPrinted>
  <dcterms:created xsi:type="dcterms:W3CDTF">2017-04-04T21:00:00Z</dcterms:created>
  <dcterms:modified xsi:type="dcterms:W3CDTF">2017-04-04T21:00:00Z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y fmtid="{D5CDD505-2E9C-101B-9397-08002B2CF9AE}" pid="4" name="IsEFSEC">
    <vt:bool>false</vt:bool>
  </property>
</Properties>
</file>