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4B" w:rsidRPr="007A6E4B" w:rsidRDefault="007A6E4B" w:rsidP="00FA07AE">
      <w:pPr>
        <w:ind w:left="720" w:hanging="720"/>
        <w:jc w:val="both"/>
        <w:rPr>
          <w:rFonts w:ascii="Arial" w:hAnsi="Arial" w:cs="Arial"/>
          <w:sz w:val="20"/>
        </w:rPr>
      </w:pPr>
      <w:r w:rsidRPr="007A6E4B">
        <w:rPr>
          <w:rFonts w:ascii="Arial" w:hAnsi="Arial" w:cs="Arial"/>
          <w:sz w:val="20"/>
        </w:rPr>
        <w:t>B.</w:t>
      </w:r>
      <w:r w:rsidRPr="007A6E4B">
        <w:rPr>
          <w:rFonts w:ascii="Arial" w:hAnsi="Arial" w:cs="Arial"/>
          <w:sz w:val="20"/>
        </w:rPr>
        <w:tab/>
      </w:r>
      <w:r w:rsidR="00FA07AE">
        <w:rPr>
          <w:rFonts w:ascii="Arial" w:hAnsi="Arial" w:cs="Arial"/>
          <w:sz w:val="20"/>
          <w:u w:val="single"/>
        </w:rPr>
        <w:t>METER TEST PROCEDURES</w:t>
      </w:r>
      <w:r w:rsidRPr="007A6E4B">
        <w:rPr>
          <w:rFonts w:ascii="Arial" w:hAnsi="Arial" w:cs="Arial"/>
          <w:sz w:val="20"/>
        </w:rPr>
        <w:t>: (As of the effective date of this tariff.)</w:t>
      </w:r>
    </w:p>
    <w:p w:rsidR="007A6E4B" w:rsidRPr="007A6E4B" w:rsidRDefault="007A6E4B" w:rsidP="00FA07AE">
      <w:pPr>
        <w:ind w:left="720"/>
        <w:jc w:val="both"/>
        <w:rPr>
          <w:rFonts w:ascii="Arial" w:hAnsi="Arial" w:cs="Arial"/>
          <w:sz w:val="20"/>
        </w:rPr>
      </w:pPr>
    </w:p>
    <w:p w:rsidR="00ED64C3" w:rsidRPr="00ED64C3" w:rsidRDefault="00ED64C3" w:rsidP="00FA07AE">
      <w:pPr>
        <w:tabs>
          <w:tab w:val="left" w:pos="1440"/>
        </w:tabs>
        <w:ind w:left="1440" w:hanging="720"/>
        <w:jc w:val="both"/>
        <w:rPr>
          <w:rFonts w:ascii="Arial" w:hAnsi="Arial" w:cs="Arial"/>
          <w:sz w:val="20"/>
        </w:rPr>
      </w:pPr>
      <w:r w:rsidRPr="00ED64C3">
        <w:rPr>
          <w:rFonts w:ascii="Arial" w:hAnsi="Arial" w:cs="Arial"/>
          <w:sz w:val="20"/>
        </w:rPr>
        <w:t>4.</w:t>
      </w:r>
      <w:r w:rsidRPr="00ED64C3">
        <w:rPr>
          <w:rFonts w:ascii="Arial" w:hAnsi="Arial" w:cs="Arial"/>
          <w:sz w:val="20"/>
        </w:rPr>
        <w:tab/>
        <w:t>Billing Adjustments for Meter Error.  If a meter, tested at a Customer's request, errs more than +/- 2%, slow or fast, the Company will adjust its billings.  The Company will correct billings for the six months prior to the test, or to the date of the last test, whichever is the shortest time.  The Company may adjust from the date the error occurred, if it can determine that date.  The Company will refund only to the customer last served by the meter prior to the test.</w:t>
      </w:r>
    </w:p>
    <w:p w:rsidR="00ED64C3" w:rsidRPr="00ED64C3" w:rsidRDefault="00ED64C3" w:rsidP="00FA07AE">
      <w:pPr>
        <w:tabs>
          <w:tab w:val="left" w:pos="1440"/>
        </w:tabs>
        <w:ind w:left="1440" w:hanging="720"/>
        <w:jc w:val="both"/>
        <w:rPr>
          <w:rFonts w:ascii="Arial" w:hAnsi="Arial" w:cs="Arial"/>
          <w:sz w:val="20"/>
        </w:rPr>
      </w:pPr>
    </w:p>
    <w:p w:rsidR="00ED64C3" w:rsidRPr="00ED64C3" w:rsidRDefault="00ED64C3" w:rsidP="00FA07AE">
      <w:pPr>
        <w:tabs>
          <w:tab w:val="left" w:pos="1440"/>
        </w:tabs>
        <w:ind w:left="1440" w:hanging="720"/>
        <w:jc w:val="both"/>
        <w:rPr>
          <w:rFonts w:ascii="Arial" w:hAnsi="Arial" w:cs="Arial"/>
          <w:sz w:val="20"/>
        </w:rPr>
      </w:pPr>
      <w:r w:rsidRPr="00ED64C3">
        <w:rPr>
          <w:rFonts w:ascii="Arial" w:hAnsi="Arial" w:cs="Arial"/>
          <w:sz w:val="20"/>
        </w:rPr>
        <w:t xml:space="preserve">     </w:t>
      </w:r>
      <w:r>
        <w:rPr>
          <w:rFonts w:ascii="Arial" w:hAnsi="Arial" w:cs="Arial"/>
          <w:sz w:val="20"/>
        </w:rPr>
        <w:tab/>
      </w:r>
      <w:r w:rsidR="00FA07AE">
        <w:rPr>
          <w:rFonts w:ascii="Arial" w:hAnsi="Arial" w:cs="Arial"/>
          <w:sz w:val="20"/>
        </w:rPr>
        <w:tab/>
      </w:r>
      <w:r w:rsidRPr="00ED64C3">
        <w:rPr>
          <w:rFonts w:ascii="Arial" w:hAnsi="Arial" w:cs="Arial"/>
          <w:sz w:val="20"/>
        </w:rPr>
        <w:t>If a meter fails to correctly register the amount of electric power or energy used by the customer, the Company will estimate the amount of such use from the best available information.</w:t>
      </w:r>
    </w:p>
    <w:p w:rsidR="00ED64C3" w:rsidRPr="00ED64C3" w:rsidRDefault="00ED64C3" w:rsidP="00FA07AE">
      <w:pPr>
        <w:tabs>
          <w:tab w:val="left" w:pos="1440"/>
        </w:tabs>
        <w:ind w:left="1440" w:hanging="720"/>
        <w:jc w:val="both"/>
        <w:rPr>
          <w:rFonts w:ascii="Arial" w:hAnsi="Arial" w:cs="Arial"/>
          <w:sz w:val="20"/>
        </w:rPr>
      </w:pPr>
    </w:p>
    <w:p w:rsidR="00ED64C3" w:rsidRDefault="00604EAB" w:rsidP="00FA07AE">
      <w:pPr>
        <w:tabs>
          <w:tab w:val="left" w:pos="1440"/>
        </w:tabs>
        <w:ind w:left="1440" w:hanging="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5F1CC3CD" wp14:editId="6D9072D3">
                <wp:simplePos x="0" y="0"/>
                <wp:positionH relativeFrom="column">
                  <wp:posOffset>6200775</wp:posOffset>
                </wp:positionH>
                <wp:positionV relativeFrom="paragraph">
                  <wp:posOffset>554990</wp:posOffset>
                </wp:positionV>
                <wp:extent cx="409575" cy="4162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09575" cy="416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Pr="00604EAB" w:rsidRDefault="00604EAB">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8.25pt;margin-top:43.7pt;width:32.25pt;height:3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mlfgIAAGIFAAAOAAAAZHJzL2Uyb0RvYy54bWysVE1v2zAMvQ/YfxB0X51kSbMGdYqsRYcB&#10;RVusHXpWZKkxJomaxMTOfv0o2U6DbpcOu9gU+Ujx8UPnF601bKdCrMGVfHwy4kw5CVXtnkv+/fH6&#10;wyfOIgpXCQNOlXyvIr9Yvn933viFmsAGTKUCoyAuLhpf8g2iXxRFlBtlRTwBrxwZNQQrkI7huaiC&#10;aCi6NcVkNDotGgiVDyBVjKS96ox8meNrrSTeaR0VMlNyyg3zN+TvOn2L5blYPAfhN7Xs0xD/kIUV&#10;taNLD6GuBAq2DfUfoWwtA0TQeCLBFqB1LVXmQGzGo1dsHjbCq8yFihP9oUzx/4WVt7v7wOqq5HPO&#10;nLDUokfVIvsMLZun6jQ+Lgj04AmGLampy4M+kjKRbnWw6U90GNmpzvtDbVMwScrp6Gw2n3EmyTQd&#10;n06mk1kKU7x4+xDxiwLLklDyQL3LJRW7m4gddICkyxxc18bk/hnHmpKffpyNssPBQsGNS1iVJ6EP&#10;kxh1mWcJ90YljHHflKZKZAJJkWdQXZrAdoKmR0ipHGbuOS6hE0pTEm9x7PEvWb3FueMx3AwOD862&#10;dhAy+1dpVz+GlHWHp5of8U4ituu27/Qaqj01OkC3KNHL65q6cSMi3otAm0G9pW3HO/poA1R16CXO&#10;NhB+/U2f8DSwZOWsoU0refy5FUFxZr46GuWz8XSaVjMfprP5hA7h2LI+tritvQRqx5jeFS+zmPBo&#10;BlEHsE/0KKzSrWQSTtLdJcdBvMRu/+lRkWq1yiBaRi/wxj14mUKn7qRZe2yfRPD9QCKN8i0MOykW&#10;r+aywyZPB6stgq7z0KYCd1XtC0+LnMe+f3TSS3F8zqiXp3H5GwAA//8DAFBLAwQUAAYACAAAACEA&#10;eZhUOeMAAAALAQAADwAAAGRycy9kb3ducmV2LnhtbEyPTU+DQBRF9yb+h8kzcWeHEloo8mgaksbE&#10;6KK1G3cPZgrE+UBm2qK/3umqLl/eyb3nFutJK3aWo+utQZjPImDSNFb0pkU4fGyfMmDOkxGkrJEI&#10;P9LBury/KygX9mJ28rz3LQshxuWE0Hk/5Jy7ppOa3MwO0oTf0Y6afDjHlouRLiFcKx5H0ZJr6k1o&#10;6GiQVSebr/1JI7xW23fa1bHOflX18nbcDN+HzwXi48O0eQbm5eRvMFz1gzqUwam2JyMcUwirdLkI&#10;KEKWJsCuQJTMw7oaIU3iFfCy4P83lH8AAAD//wMAUEsBAi0AFAAGAAgAAAAhALaDOJL+AAAA4QEA&#10;ABMAAAAAAAAAAAAAAAAAAAAAAFtDb250ZW50X1R5cGVzXS54bWxQSwECLQAUAAYACAAAACEAOP0h&#10;/9YAAACUAQAACwAAAAAAAAAAAAAAAAAvAQAAX3JlbHMvLnJlbHNQSwECLQAUAAYACAAAACEA2XxZ&#10;pX4CAABiBQAADgAAAAAAAAAAAAAAAAAuAgAAZHJzL2Uyb0RvYy54bWxQSwECLQAUAAYACAAAACEA&#10;eZhUOeMAAAALAQAADwAAAAAAAAAAAAAAAADYBAAAZHJzL2Rvd25yZXYueG1sUEsFBgAAAAAEAAQA&#10;8wAAAOgFAAAAAA==&#10;" filled="f" stroked="f" strokeweight=".5pt">
                <v:textbox>
                  <w:txbxContent>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Default="00604EAB">
                      <w:pPr>
                        <w:rPr>
                          <w:rFonts w:ascii="Arial" w:hAnsi="Arial" w:cs="Arial"/>
                          <w:sz w:val="20"/>
                        </w:rPr>
                      </w:pPr>
                    </w:p>
                    <w:p w:rsidR="00604EAB" w:rsidRPr="00604EAB" w:rsidRDefault="00604EAB">
                      <w:pPr>
                        <w:rPr>
                          <w:rFonts w:ascii="Arial" w:hAnsi="Arial" w:cs="Arial"/>
                          <w:sz w:val="20"/>
                        </w:rPr>
                      </w:pPr>
                      <w:r>
                        <w:rPr>
                          <w:rFonts w:ascii="Arial" w:hAnsi="Arial" w:cs="Arial"/>
                          <w:sz w:val="20"/>
                        </w:rPr>
                        <w:t>(N)</w:t>
                      </w:r>
                    </w:p>
                  </w:txbxContent>
                </v:textbox>
              </v:shape>
            </w:pict>
          </mc:Fallback>
        </mc:AlternateContent>
      </w:r>
      <w:proofErr w:type="gramStart"/>
      <w:r w:rsidR="00ED64C3" w:rsidRPr="00ED64C3">
        <w:rPr>
          <w:rFonts w:ascii="Arial" w:hAnsi="Arial" w:cs="Arial"/>
          <w:sz w:val="20"/>
        </w:rPr>
        <w:t>5.</w:t>
      </w:r>
      <w:r w:rsidR="00ED64C3" w:rsidRPr="00ED64C3">
        <w:rPr>
          <w:rFonts w:ascii="Arial" w:hAnsi="Arial" w:cs="Arial"/>
          <w:sz w:val="20"/>
        </w:rPr>
        <w:tab/>
      </w:r>
      <w:proofErr w:type="spellStart"/>
      <w:r w:rsidR="00ED64C3" w:rsidRPr="00ED64C3">
        <w:rPr>
          <w:rFonts w:ascii="Arial" w:hAnsi="Arial" w:cs="Arial"/>
          <w:sz w:val="20"/>
        </w:rPr>
        <w:t>Watthour</w:t>
      </w:r>
      <w:proofErr w:type="spellEnd"/>
      <w:r w:rsidR="00ED64C3" w:rsidRPr="00ED64C3">
        <w:rPr>
          <w:rFonts w:ascii="Arial" w:hAnsi="Arial" w:cs="Arial"/>
          <w:sz w:val="20"/>
        </w:rPr>
        <w:t xml:space="preserve"> Reference Standards.</w:t>
      </w:r>
      <w:proofErr w:type="gramEnd"/>
      <w:r w:rsidR="00ED64C3" w:rsidRPr="00ED64C3">
        <w:rPr>
          <w:rFonts w:ascii="Arial" w:hAnsi="Arial" w:cs="Arial"/>
          <w:sz w:val="20"/>
        </w:rPr>
        <w:t xml:space="preserve">  The Company uses a precision reference standard as primary calibration for meter testing equipment.  Meter test equipment is examined annually to assure compliance with the National Institute of Standard and Technology (NIST) standards. The certification interval for PacifiCorp's other standards, are as follows:</w:t>
      </w:r>
    </w:p>
    <w:p w:rsidR="00ED64C3" w:rsidRPr="00ED64C3" w:rsidRDefault="00ED64C3" w:rsidP="00ED64C3">
      <w:pPr>
        <w:ind w:left="2160" w:hanging="720"/>
        <w:jc w:val="both"/>
        <w:rPr>
          <w:rFonts w:ascii="Arial" w:hAnsi="Arial" w:cs="Arial"/>
          <w:sz w:val="20"/>
        </w:rPr>
      </w:pPr>
    </w:p>
    <w:p w:rsidR="00ED64C3" w:rsidRPr="00ED64C3" w:rsidRDefault="00ED64C3" w:rsidP="00FA07AE">
      <w:pPr>
        <w:numPr>
          <w:ilvl w:val="0"/>
          <w:numId w:val="3"/>
        </w:numPr>
        <w:ind w:left="1800"/>
        <w:jc w:val="both"/>
        <w:rPr>
          <w:rFonts w:ascii="Arial" w:hAnsi="Arial" w:cs="Arial"/>
          <w:sz w:val="20"/>
        </w:rPr>
      </w:pPr>
      <w:r w:rsidRPr="00ED64C3">
        <w:rPr>
          <w:rFonts w:ascii="Arial" w:hAnsi="Arial" w:cs="Arial"/>
          <w:sz w:val="20"/>
        </w:rPr>
        <w:t>Transfer Standards (travel to certify field and shop standards) are performed quarterly.</w:t>
      </w:r>
    </w:p>
    <w:p w:rsidR="00ED64C3" w:rsidRPr="00ED64C3" w:rsidRDefault="00ED64C3" w:rsidP="00FA07AE">
      <w:pPr>
        <w:numPr>
          <w:ilvl w:val="12"/>
          <w:numId w:val="0"/>
        </w:numPr>
        <w:ind w:left="1800" w:hanging="360"/>
        <w:jc w:val="both"/>
        <w:rPr>
          <w:rFonts w:ascii="Arial" w:hAnsi="Arial" w:cs="Arial"/>
          <w:sz w:val="20"/>
        </w:rPr>
      </w:pPr>
    </w:p>
    <w:p w:rsidR="00ED64C3" w:rsidRPr="00ED64C3" w:rsidRDefault="00ED64C3" w:rsidP="00FA07AE">
      <w:pPr>
        <w:numPr>
          <w:ilvl w:val="0"/>
          <w:numId w:val="3"/>
        </w:numPr>
        <w:ind w:left="1800"/>
        <w:jc w:val="both"/>
        <w:rPr>
          <w:rFonts w:ascii="Arial" w:hAnsi="Arial" w:cs="Arial"/>
          <w:sz w:val="20"/>
        </w:rPr>
      </w:pPr>
      <w:r w:rsidRPr="00ED64C3">
        <w:rPr>
          <w:rFonts w:ascii="Arial" w:hAnsi="Arial" w:cs="Arial"/>
          <w:sz w:val="20"/>
        </w:rPr>
        <w:t xml:space="preserve">Field and Shop Standards (used by the field </w:t>
      </w:r>
      <w:proofErr w:type="spellStart"/>
      <w:r w:rsidRPr="00ED64C3">
        <w:rPr>
          <w:rFonts w:ascii="Arial" w:hAnsi="Arial" w:cs="Arial"/>
          <w:sz w:val="20"/>
        </w:rPr>
        <w:t>metermen</w:t>
      </w:r>
      <w:proofErr w:type="spellEnd"/>
      <w:r w:rsidRPr="00ED64C3">
        <w:rPr>
          <w:rFonts w:ascii="Arial" w:hAnsi="Arial" w:cs="Arial"/>
          <w:sz w:val="20"/>
        </w:rPr>
        <w:t>) are performed annually.</w:t>
      </w:r>
    </w:p>
    <w:p w:rsidR="00ED64C3" w:rsidRPr="00ED64C3" w:rsidRDefault="00ED64C3" w:rsidP="00ED64C3">
      <w:pPr>
        <w:jc w:val="both"/>
        <w:rPr>
          <w:rFonts w:ascii="Arial" w:hAnsi="Arial" w:cs="Arial"/>
          <w:sz w:val="20"/>
        </w:rPr>
      </w:pPr>
    </w:p>
    <w:p w:rsidR="00ED64C3" w:rsidRPr="00ED64C3" w:rsidRDefault="00ED64C3" w:rsidP="00FA07AE">
      <w:pPr>
        <w:ind w:hanging="720"/>
        <w:jc w:val="both"/>
        <w:rPr>
          <w:rFonts w:ascii="Arial" w:hAnsi="Arial" w:cs="Arial"/>
          <w:sz w:val="20"/>
        </w:rPr>
      </w:pPr>
      <w:r w:rsidRPr="00ED64C3">
        <w:rPr>
          <w:rFonts w:ascii="Arial" w:hAnsi="Arial" w:cs="Arial"/>
          <w:sz w:val="20"/>
        </w:rPr>
        <w:tab/>
        <w:t>C.</w:t>
      </w:r>
      <w:r w:rsidRPr="00ED64C3">
        <w:rPr>
          <w:rFonts w:ascii="Arial" w:hAnsi="Arial" w:cs="Arial"/>
          <w:sz w:val="20"/>
        </w:rPr>
        <w:tab/>
      </w:r>
      <w:r w:rsidR="00FA07AE">
        <w:rPr>
          <w:rFonts w:ascii="Arial" w:hAnsi="Arial" w:cs="Arial"/>
          <w:sz w:val="20"/>
          <w:u w:val="single"/>
        </w:rPr>
        <w:t>TYPES AND USE OF SERVICE:</w:t>
      </w:r>
    </w:p>
    <w:p w:rsidR="00ED64C3" w:rsidRPr="00ED64C3" w:rsidRDefault="00ED64C3" w:rsidP="00ED64C3">
      <w:pPr>
        <w:jc w:val="both"/>
        <w:rPr>
          <w:rFonts w:ascii="Arial" w:hAnsi="Arial" w:cs="Arial"/>
          <w:sz w:val="20"/>
        </w:rPr>
      </w:pPr>
    </w:p>
    <w:p w:rsidR="00ED64C3" w:rsidRPr="00ED64C3" w:rsidRDefault="00ED64C3" w:rsidP="00FA07AE">
      <w:pPr>
        <w:ind w:left="1440" w:hanging="720"/>
        <w:jc w:val="both"/>
        <w:rPr>
          <w:rFonts w:ascii="Arial" w:hAnsi="Arial" w:cs="Arial"/>
          <w:sz w:val="20"/>
        </w:rPr>
      </w:pPr>
      <w:r w:rsidRPr="00ED64C3">
        <w:rPr>
          <w:rFonts w:ascii="Arial" w:hAnsi="Arial" w:cs="Arial"/>
          <w:sz w:val="20"/>
        </w:rPr>
        <w:t>1.</w:t>
      </w:r>
      <w:r w:rsidRPr="00ED64C3">
        <w:rPr>
          <w:rFonts w:ascii="Arial" w:hAnsi="Arial" w:cs="Arial"/>
          <w:sz w:val="20"/>
        </w:rPr>
        <w:tab/>
        <w:t>Individual Customer.  The Company bases its rates on one Point of Delivery on the Customer's premises at one voltage and phase classification.  When a Customer requires service at more than one Point of Delivery, voltage or phase classification, the Company will separately meter and bill each service.</w:t>
      </w:r>
    </w:p>
    <w:p w:rsidR="00ED64C3" w:rsidRPr="00ED64C3" w:rsidRDefault="00ED64C3" w:rsidP="00FA07AE">
      <w:pPr>
        <w:ind w:left="1440" w:hanging="720"/>
        <w:jc w:val="both"/>
        <w:rPr>
          <w:rFonts w:ascii="Arial" w:hAnsi="Arial" w:cs="Arial"/>
          <w:sz w:val="20"/>
        </w:rPr>
      </w:pPr>
      <w:r w:rsidRPr="00ED64C3">
        <w:rPr>
          <w:rFonts w:ascii="Arial" w:hAnsi="Arial" w:cs="Arial"/>
          <w:sz w:val="20"/>
        </w:rPr>
        <w:tab/>
      </w:r>
    </w:p>
    <w:p w:rsidR="00ED64C3" w:rsidRPr="00ED64C3" w:rsidRDefault="00FA07AE" w:rsidP="00FA07AE">
      <w:pPr>
        <w:ind w:left="1440"/>
        <w:jc w:val="both"/>
        <w:rPr>
          <w:rFonts w:ascii="Arial" w:hAnsi="Arial" w:cs="Arial"/>
          <w:sz w:val="20"/>
        </w:rPr>
      </w:pPr>
      <w:r>
        <w:rPr>
          <w:rFonts w:ascii="Arial" w:hAnsi="Arial" w:cs="Arial"/>
          <w:sz w:val="20"/>
        </w:rPr>
        <w:tab/>
      </w:r>
      <w:r w:rsidR="00ED64C3" w:rsidRPr="00ED64C3">
        <w:rPr>
          <w:rFonts w:ascii="Arial" w:hAnsi="Arial" w:cs="Arial"/>
          <w:sz w:val="20"/>
        </w:rPr>
        <w:t>Separate premises, even though owned by the same customer, will not be supplied through the same meter, except as may be specifically provided for in the applicable rate schedule.</w:t>
      </w:r>
    </w:p>
    <w:p w:rsidR="00ED64C3" w:rsidRPr="00ED64C3" w:rsidRDefault="00ED64C3" w:rsidP="00FA07AE">
      <w:pPr>
        <w:ind w:left="1440" w:hanging="720"/>
        <w:jc w:val="both"/>
        <w:rPr>
          <w:rFonts w:ascii="Arial" w:hAnsi="Arial" w:cs="Arial"/>
          <w:sz w:val="20"/>
        </w:rPr>
      </w:pPr>
    </w:p>
    <w:p w:rsidR="007A6E4B" w:rsidRDefault="00ED64C3" w:rsidP="00FA07AE">
      <w:pPr>
        <w:ind w:left="1440" w:hanging="720"/>
        <w:jc w:val="both"/>
        <w:rPr>
          <w:rFonts w:ascii="Arial" w:hAnsi="Arial" w:cs="Arial"/>
          <w:sz w:val="20"/>
        </w:rPr>
      </w:pPr>
      <w:r w:rsidRPr="00ED64C3">
        <w:rPr>
          <w:rFonts w:ascii="Arial" w:hAnsi="Arial" w:cs="Arial"/>
          <w:sz w:val="20"/>
        </w:rPr>
        <w:t>2.</w:t>
      </w:r>
      <w:r w:rsidRPr="00ED64C3">
        <w:rPr>
          <w:rFonts w:ascii="Arial" w:hAnsi="Arial" w:cs="Arial"/>
          <w:sz w:val="20"/>
        </w:rPr>
        <w:tab/>
        <w:t>Multi-Unit Residential Complexes.  The Company will serve new multi-unit residential complexes only if it can directly meter and bill each occupant.  The Company will not require multiple meters on existing complexes that are metered through a single meter unless the service to the complex is increased.</w:t>
      </w:r>
    </w:p>
    <w:p w:rsidR="001A683C" w:rsidRDefault="001A683C" w:rsidP="00FA07AE">
      <w:pPr>
        <w:ind w:left="1440" w:hanging="720"/>
        <w:jc w:val="both"/>
        <w:rPr>
          <w:rFonts w:ascii="Arial" w:hAnsi="Arial" w:cs="Arial"/>
          <w:sz w:val="20"/>
        </w:rPr>
      </w:pPr>
    </w:p>
    <w:p w:rsidR="001A683C" w:rsidRPr="00ED64C3" w:rsidRDefault="001A683C" w:rsidP="00604EAB">
      <w:pPr>
        <w:ind w:left="1440" w:hanging="720"/>
        <w:jc w:val="center"/>
        <w:rPr>
          <w:rFonts w:ascii="Arial" w:hAnsi="Arial" w:cs="Arial"/>
          <w:sz w:val="20"/>
        </w:rPr>
      </w:pPr>
      <w:r>
        <w:rPr>
          <w:rFonts w:ascii="Arial" w:hAnsi="Arial" w:cs="Arial"/>
          <w:sz w:val="20"/>
        </w:rPr>
        <w:t>(Continued)</w:t>
      </w:r>
    </w:p>
    <w:sectPr w:rsidR="001A683C" w:rsidRPr="00ED64C3" w:rsidSect="00E616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27" w:rsidRDefault="00547427" w:rsidP="008474F2">
      <w:r>
        <w:separator/>
      </w:r>
    </w:p>
  </w:endnote>
  <w:endnote w:type="continuationSeparator" w:id="0">
    <w:p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F" w:rsidRDefault="007D4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35" w:rsidRDefault="00451435" w:rsidP="00087CF7">
    <w:pPr>
      <w:pStyle w:val="Footer"/>
      <w:pBdr>
        <w:bottom w:val="single" w:sz="6" w:space="0" w:color="auto"/>
      </w:pBdr>
      <w:tabs>
        <w:tab w:val="clear" w:pos="4680"/>
      </w:tabs>
      <w:ind w:left="900" w:hanging="900"/>
      <w:jc w:val="center"/>
      <w:rPr>
        <w:rFonts w:ascii="Arial" w:hAnsi="Arial" w:cs="Arial"/>
        <w:sz w:val="20"/>
      </w:rPr>
    </w:pP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1A683C">
      <w:rPr>
        <w:rFonts w:ascii="Arial" w:hAnsi="Arial" w:cs="Arial"/>
        <w:sz w:val="20"/>
      </w:rPr>
      <w:t>May 1, 2014</w:t>
    </w:r>
    <w:r>
      <w:rPr>
        <w:rFonts w:ascii="Arial" w:hAnsi="Arial" w:cs="Arial"/>
        <w:sz w:val="20"/>
      </w:rPr>
      <w:tab/>
    </w:r>
    <w:r>
      <w:rPr>
        <w:rFonts w:ascii="Arial" w:hAnsi="Arial" w:cs="Arial"/>
        <w:b/>
        <w:sz w:val="20"/>
      </w:rPr>
      <w:t>Effective:</w:t>
    </w:r>
    <w:r w:rsidR="00F3022B">
      <w:rPr>
        <w:rFonts w:ascii="Arial" w:hAnsi="Arial" w:cs="Arial"/>
        <w:sz w:val="20"/>
      </w:rPr>
      <w:t xml:space="preserve"> </w:t>
    </w:r>
    <w:bookmarkStart w:id="0" w:name="_GoBack"/>
    <w:r w:rsidR="007D4C2F">
      <w:rPr>
        <w:rFonts w:ascii="Arial" w:hAnsi="Arial" w:cs="Arial"/>
        <w:sz w:val="20"/>
      </w:rPr>
      <w:t>May 31</w:t>
    </w:r>
    <w:r w:rsidR="001A683C">
      <w:rPr>
        <w:rFonts w:ascii="Arial" w:hAnsi="Arial" w:cs="Arial"/>
        <w:sz w:val="20"/>
      </w:rPr>
      <w:t>, 2014</w:t>
    </w:r>
  </w:p>
  <w:bookmarkEnd w:id="0"/>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1A683C">
      <w:rPr>
        <w:rFonts w:ascii="Arial" w:hAnsi="Arial" w:cs="Arial"/>
        <w:sz w:val="20"/>
      </w:rPr>
      <w:t>UE-</w:t>
    </w:r>
  </w:p>
  <w:p w:rsidR="00DD73C7" w:rsidRDefault="001A683C" w:rsidP="00DD73C7">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7696" behindDoc="1" locked="0" layoutInCell="1" allowOverlap="1" wp14:anchorId="4CFF70BE" wp14:editId="7E950C13">
          <wp:simplePos x="0" y="0"/>
          <wp:positionH relativeFrom="column">
            <wp:posOffset>400050</wp:posOffset>
          </wp:positionH>
          <wp:positionV relativeFrom="paragraph">
            <wp:posOffset>12700</wp:posOffset>
          </wp:positionV>
          <wp:extent cx="2228850" cy="692785"/>
          <wp:effectExtent l="0" t="0" r="0" b="0"/>
          <wp:wrapNone/>
          <wp:docPr id="10" name="Picture 10"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3C7">
      <w:rPr>
        <w:rFonts w:ascii="Arial" w:hAnsi="Arial" w:cs="Arial"/>
        <w:b/>
        <w:sz w:val="20"/>
      </w:rPr>
      <w:t>Issued By Pacific Power &amp; Light Company</w:t>
    </w:r>
  </w:p>
  <w:p w:rsidR="001A683C" w:rsidRDefault="001A683C" w:rsidP="00087CF7">
    <w:pPr>
      <w:pStyle w:val="Footer"/>
      <w:tabs>
        <w:tab w:val="clear" w:pos="4680"/>
        <w:tab w:val="clear" w:pos="9360"/>
        <w:tab w:val="right" w:pos="9216"/>
      </w:tabs>
      <w:ind w:left="900" w:hanging="900"/>
      <w:jc w:val="center"/>
      <w:rPr>
        <w:rFonts w:ascii="Arial" w:hAnsi="Arial" w:cs="Arial"/>
        <w:b/>
        <w:sz w:val="20"/>
      </w:rPr>
    </w:pPr>
  </w:p>
  <w:p w:rsidR="00087CF7" w:rsidRDefault="001A683C"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noProof/>
        <w:sz w:val="20"/>
        <w:lang w:eastAsia="en-US"/>
      </w:rPr>
      <w:t xml:space="preserve"> </w:t>
    </w:r>
    <w:r w:rsidR="00087CF7">
      <w:rPr>
        <w:rFonts w:ascii="Arial" w:hAnsi="Arial" w:cs="Arial"/>
        <w:noProof/>
        <w:sz w:val="20"/>
        <w:lang w:eastAsia="en-US"/>
      </w:rPr>
      <w:drawing>
        <wp:anchor distT="0" distB="0" distL="114300" distR="114300" simplePos="0" relativeHeight="251665408" behindDoc="1" locked="0" layoutInCell="1" allowOverlap="1" wp14:anchorId="580772DE" wp14:editId="30CE8112">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087CF7">
      <w:rPr>
        <w:rFonts w:ascii="Arial" w:hAnsi="Arial" w:cs="Arial"/>
        <w:noProof/>
        <w:sz w:val="20"/>
        <w:lang w:eastAsia="en-US"/>
      </w:rPr>
      <w:drawing>
        <wp:anchor distT="0" distB="0" distL="114300" distR="114300" simplePos="0" relativeHeight="251661312" behindDoc="1" locked="0" layoutInCell="1" allowOverlap="1" wp14:anchorId="7D3A61E2" wp14:editId="43CA0CD8">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F" w:rsidRDefault="007D4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27" w:rsidRDefault="00547427" w:rsidP="008474F2">
      <w:r>
        <w:separator/>
      </w:r>
    </w:p>
  </w:footnote>
  <w:footnote w:type="continuationSeparator" w:id="0">
    <w:p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F" w:rsidRDefault="007D4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E5F9D" w:rsidRDefault="001A683C"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1E5F9D"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1A683C" w:rsidP="00A91A21">
    <w:pPr>
      <w:tabs>
        <w:tab w:val="left" w:pos="7200"/>
      </w:tabs>
      <w:ind w:right="2160"/>
      <w:jc w:val="right"/>
      <w:rPr>
        <w:rFonts w:ascii="Arial" w:hAnsi="Arial" w:cs="Arial"/>
        <w:sz w:val="20"/>
      </w:rPr>
    </w:pPr>
    <w:r>
      <w:rPr>
        <w:rFonts w:ascii="Arial" w:hAnsi="Arial" w:cs="Arial"/>
        <w:sz w:val="20"/>
      </w:rPr>
      <w:t>First Revision of Sheet No. R8.3</w:t>
    </w:r>
  </w:p>
  <w:p w:rsidR="00A91A21" w:rsidRDefault="001A683C" w:rsidP="00A91A21">
    <w:pPr>
      <w:tabs>
        <w:tab w:val="left" w:pos="7200"/>
      </w:tabs>
      <w:ind w:right="2160"/>
      <w:jc w:val="right"/>
      <w:rPr>
        <w:rFonts w:ascii="Arial" w:hAnsi="Arial" w:cs="Arial"/>
        <w:sz w:val="20"/>
      </w:rPr>
    </w:pPr>
    <w:r>
      <w:rPr>
        <w:rFonts w:ascii="Arial" w:hAnsi="Arial" w:cs="Arial"/>
        <w:sz w:val="20"/>
      </w:rPr>
      <w:t xml:space="preserve">Canceling </w:t>
    </w:r>
    <w:r w:rsidR="00451435">
      <w:rPr>
        <w:rFonts w:ascii="Arial" w:hAnsi="Arial" w:cs="Arial"/>
        <w:sz w:val="20"/>
      </w:rPr>
      <w:t xml:space="preserve">Original </w:t>
    </w:r>
    <w:r w:rsidR="00E522DD">
      <w:rPr>
        <w:rFonts w:ascii="Arial" w:hAnsi="Arial" w:cs="Arial"/>
        <w:sz w:val="20"/>
      </w:rPr>
      <w:t>Sheet No. R8</w:t>
    </w:r>
    <w:r w:rsidR="00ED64C3">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CF6051" w:rsidP="00A91A21">
    <w:pPr>
      <w:tabs>
        <w:tab w:val="left" w:pos="7200"/>
      </w:tabs>
      <w:ind w:right="2160"/>
      <w:rPr>
        <w:rFonts w:ascii="Arial" w:hAnsi="Arial" w:cs="Arial"/>
        <w:b/>
        <w:sz w:val="24"/>
        <w:szCs w:val="24"/>
      </w:rPr>
    </w:pPr>
    <w:r>
      <w:rPr>
        <w:rFonts w:ascii="Arial" w:hAnsi="Arial" w:cs="Arial"/>
        <w:b/>
        <w:sz w:val="24"/>
        <w:szCs w:val="24"/>
      </w:rPr>
      <w:t xml:space="preserve">Rule </w:t>
    </w:r>
    <w:r w:rsidR="00E522DD">
      <w:rPr>
        <w:rFonts w:ascii="Arial" w:hAnsi="Arial" w:cs="Arial"/>
        <w:b/>
        <w:sz w:val="24"/>
        <w:szCs w:val="24"/>
      </w:rPr>
      <w:t>8</w:t>
    </w:r>
  </w:p>
  <w:p w:rsidR="00451435" w:rsidRPr="00A91A21"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E522DD">
      <w:rPr>
        <w:rFonts w:ascii="Arial" w:hAnsi="Arial" w:cs="Arial"/>
        <w:b/>
        <w:sz w:val="20"/>
      </w:rPr>
      <w:t>METERING</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F" w:rsidRDefault="007D4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6213"/>
    <w:rsid w:val="0007094B"/>
    <w:rsid w:val="00086E4A"/>
    <w:rsid w:val="00087CF7"/>
    <w:rsid w:val="000A0FF1"/>
    <w:rsid w:val="000B36F4"/>
    <w:rsid w:val="001522E7"/>
    <w:rsid w:val="001620F1"/>
    <w:rsid w:val="00182B8F"/>
    <w:rsid w:val="001A683C"/>
    <w:rsid w:val="001D4F15"/>
    <w:rsid w:val="001E5F9D"/>
    <w:rsid w:val="001F19AC"/>
    <w:rsid w:val="00201673"/>
    <w:rsid w:val="00204381"/>
    <w:rsid w:val="00205735"/>
    <w:rsid w:val="00266E07"/>
    <w:rsid w:val="002C1B76"/>
    <w:rsid w:val="002C79BC"/>
    <w:rsid w:val="002E41E4"/>
    <w:rsid w:val="002E6C6E"/>
    <w:rsid w:val="002F19E9"/>
    <w:rsid w:val="00341521"/>
    <w:rsid w:val="00342742"/>
    <w:rsid w:val="0034455A"/>
    <w:rsid w:val="003545F5"/>
    <w:rsid w:val="003B01A0"/>
    <w:rsid w:val="003F72C1"/>
    <w:rsid w:val="004043D5"/>
    <w:rsid w:val="004127C9"/>
    <w:rsid w:val="00451435"/>
    <w:rsid w:val="004A30F3"/>
    <w:rsid w:val="004B1617"/>
    <w:rsid w:val="004B3240"/>
    <w:rsid w:val="004C5FE8"/>
    <w:rsid w:val="00546A05"/>
    <w:rsid w:val="00547427"/>
    <w:rsid w:val="00550C6E"/>
    <w:rsid w:val="00555712"/>
    <w:rsid w:val="00564506"/>
    <w:rsid w:val="00577682"/>
    <w:rsid w:val="00580EC3"/>
    <w:rsid w:val="0059549C"/>
    <w:rsid w:val="005A1156"/>
    <w:rsid w:val="005E29DE"/>
    <w:rsid w:val="005F64B9"/>
    <w:rsid w:val="005F7880"/>
    <w:rsid w:val="00604EAB"/>
    <w:rsid w:val="00622FED"/>
    <w:rsid w:val="006638F3"/>
    <w:rsid w:val="00685AFC"/>
    <w:rsid w:val="0068713C"/>
    <w:rsid w:val="006D7723"/>
    <w:rsid w:val="006E1287"/>
    <w:rsid w:val="00710518"/>
    <w:rsid w:val="00715FFA"/>
    <w:rsid w:val="00725039"/>
    <w:rsid w:val="007504BF"/>
    <w:rsid w:val="0077488B"/>
    <w:rsid w:val="007A6E4B"/>
    <w:rsid w:val="007D4C2F"/>
    <w:rsid w:val="007E0BC7"/>
    <w:rsid w:val="007F06C3"/>
    <w:rsid w:val="007F6029"/>
    <w:rsid w:val="0080282D"/>
    <w:rsid w:val="00813698"/>
    <w:rsid w:val="00823ACF"/>
    <w:rsid w:val="008474F2"/>
    <w:rsid w:val="00874A40"/>
    <w:rsid w:val="008766A2"/>
    <w:rsid w:val="00876B56"/>
    <w:rsid w:val="00886645"/>
    <w:rsid w:val="008A77C7"/>
    <w:rsid w:val="008C5377"/>
    <w:rsid w:val="008E7364"/>
    <w:rsid w:val="00920A5D"/>
    <w:rsid w:val="00977F2F"/>
    <w:rsid w:val="009E0C82"/>
    <w:rsid w:val="00A261ED"/>
    <w:rsid w:val="00A541CA"/>
    <w:rsid w:val="00A72436"/>
    <w:rsid w:val="00A91A21"/>
    <w:rsid w:val="00AA6EAF"/>
    <w:rsid w:val="00AD4335"/>
    <w:rsid w:val="00AE07BB"/>
    <w:rsid w:val="00AE1E9E"/>
    <w:rsid w:val="00AE7611"/>
    <w:rsid w:val="00AF0EAC"/>
    <w:rsid w:val="00B20EEB"/>
    <w:rsid w:val="00B43CBE"/>
    <w:rsid w:val="00B54432"/>
    <w:rsid w:val="00B62CA7"/>
    <w:rsid w:val="00B85B7D"/>
    <w:rsid w:val="00B86CD1"/>
    <w:rsid w:val="00BA088F"/>
    <w:rsid w:val="00C0493E"/>
    <w:rsid w:val="00C210FD"/>
    <w:rsid w:val="00C60F7D"/>
    <w:rsid w:val="00C91131"/>
    <w:rsid w:val="00CD01ED"/>
    <w:rsid w:val="00CE6692"/>
    <w:rsid w:val="00CF6051"/>
    <w:rsid w:val="00CF64E6"/>
    <w:rsid w:val="00D313E0"/>
    <w:rsid w:val="00D60206"/>
    <w:rsid w:val="00D8216E"/>
    <w:rsid w:val="00D932B5"/>
    <w:rsid w:val="00DD73C7"/>
    <w:rsid w:val="00E522DD"/>
    <w:rsid w:val="00E53EC5"/>
    <w:rsid w:val="00E61608"/>
    <w:rsid w:val="00E6731D"/>
    <w:rsid w:val="00E84454"/>
    <w:rsid w:val="00E86C83"/>
    <w:rsid w:val="00EA0EE4"/>
    <w:rsid w:val="00EA5629"/>
    <w:rsid w:val="00ED64C3"/>
    <w:rsid w:val="00F148A9"/>
    <w:rsid w:val="00F3022B"/>
    <w:rsid w:val="00F30DDC"/>
    <w:rsid w:val="00F3756B"/>
    <w:rsid w:val="00F50525"/>
    <w:rsid w:val="00F528E2"/>
    <w:rsid w:val="00F62533"/>
    <w:rsid w:val="00F66F8A"/>
    <w:rsid w:val="00FA07AE"/>
    <w:rsid w:val="00FC124E"/>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86FE8-44C4-4356-BF59-1C3D117A6458}"/>
</file>

<file path=customXml/itemProps2.xml><?xml version="1.0" encoding="utf-8"?>
<ds:datastoreItem xmlns:ds="http://schemas.openxmlformats.org/officeDocument/2006/customXml" ds:itemID="{8DAA7A11-D836-4CCF-8811-2876E684C607}"/>
</file>

<file path=customXml/itemProps3.xml><?xml version="1.0" encoding="utf-8"?>
<ds:datastoreItem xmlns:ds="http://schemas.openxmlformats.org/officeDocument/2006/customXml" ds:itemID="{71273931-304D-4983-95AE-C7A8144E8538}"/>
</file>

<file path=customXml/itemProps4.xml><?xml version="1.0" encoding="utf-8"?>
<ds:datastoreItem xmlns:ds="http://schemas.openxmlformats.org/officeDocument/2006/customXml" ds:itemID="{22996F17-5692-4950-997E-EB3DBB943C1D}"/>
</file>

<file path=customXml/itemProps5.xml><?xml version="1.0" encoding="utf-8"?>
<ds:datastoreItem xmlns:ds="http://schemas.openxmlformats.org/officeDocument/2006/customXml" ds:itemID="{4795AE47-292F-498E-94DF-43BA0893304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3</cp:revision>
  <cp:lastPrinted>2011-04-06T22:22:00Z</cp:lastPrinted>
  <dcterms:created xsi:type="dcterms:W3CDTF">2014-04-24T23:12:00Z</dcterms:created>
  <dcterms:modified xsi:type="dcterms:W3CDTF">2014-04-25T17:18:00Z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