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10</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10</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936BE1">
          <w:headerReference w:type="default" r:id="rId8"/>
          <w:footerReference w:type="default" r:id="rId9"/>
          <w:headerReference w:type="first" r:id="rId10"/>
          <w:footerReference w:type="first" r:id="rId11"/>
          <w:type w:val="continuous"/>
          <w:pgSz w:w="12240" w:h="15840" w:code="1"/>
          <w:pgMar w:top="1440" w:right="1584"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address">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t>
        </w:r>
        <w:smartTag w:uri="urn:schemas-microsoft-com:office:smarttags" w:element="State">
          <w:r w:rsidRPr="005540EB">
            <w:rPr>
              <w:rFonts w:ascii="Times New Roman" w:hAnsi="Times New Roman" w:cs="Times New Roman"/>
            </w:rPr>
            <w:t>Washington</w:t>
          </w:r>
        </w:smartTag>
      </w:smartTag>
      <w:r w:rsidRPr="005540EB">
        <w:rPr>
          <w:rFonts w:ascii="Times New Roman" w:hAnsi="Times New Roman" w:cs="Times New Roman"/>
        </w:rPr>
        <w:t xml:space="preserve">.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educational background</w:t>
      </w:r>
      <w:r w:rsidR="00586CB3">
        <w:rPr>
          <w:rFonts w:ascii="Times New Roman" w:hAnsi="Times New Roman" w:cs="Times New Roman"/>
        </w:rPr>
        <w:t xml:space="preserve"> and professional experience</w:t>
      </w:r>
      <w:r w:rsidRPr="005540EB">
        <w:rPr>
          <w:rFonts w:ascii="Times New Roman" w:hAnsi="Times New Roman" w:cs="Times New Roman"/>
        </w:rPr>
        <w:t>?</w:t>
      </w:r>
    </w:p>
    <w:p w:rsidR="00BF6CAC" w:rsidRDefault="005540EB" w:rsidP="00BF6CA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I am a </w:t>
      </w:r>
      <w:r w:rsidR="00F85036">
        <w:rPr>
          <w:rFonts w:ascii="Times New Roman" w:hAnsi="Times New Roman" w:cs="Times New Roman"/>
        </w:rPr>
        <w:t>1995</w:t>
      </w:r>
      <w:r w:rsidRPr="005540EB">
        <w:rPr>
          <w:rFonts w:ascii="Times New Roman" w:hAnsi="Times New Roman" w:cs="Times New Roman"/>
        </w:rPr>
        <w:t xml:space="preserve"> graduate of </w:t>
      </w:r>
      <w:r w:rsidR="00F85036">
        <w:rPr>
          <w:rFonts w:ascii="Times New Roman" w:hAnsi="Times New Roman" w:cs="Times New Roman"/>
        </w:rPr>
        <w:t>Gonzaga</w:t>
      </w:r>
      <w:r w:rsidRPr="005540EB">
        <w:rPr>
          <w:rFonts w:ascii="Times New Roman" w:hAnsi="Times New Roman" w:cs="Times New Roman"/>
        </w:rPr>
        <w:t xml:space="preserve"> </w:t>
      </w:r>
      <w:smartTag w:uri="urn:schemas-microsoft-com:office:smarttags" w:element="PlaceType">
        <w:r w:rsidRPr="005540EB">
          <w:rPr>
            <w:rFonts w:ascii="Times New Roman" w:hAnsi="Times New Roman" w:cs="Times New Roman"/>
          </w:rPr>
          <w:t>University</w:t>
        </w:r>
      </w:smartTag>
      <w:r w:rsidRPr="005540EB">
        <w:rPr>
          <w:rFonts w:ascii="Times New Roman" w:hAnsi="Times New Roman" w:cs="Times New Roman"/>
        </w:rPr>
        <w:t xml:space="preserve"> with </w:t>
      </w:r>
      <w:r w:rsidR="00F85036">
        <w:rPr>
          <w:rFonts w:ascii="Times New Roman" w:hAnsi="Times New Roman" w:cs="Times New Roman"/>
        </w:rPr>
        <w:t>a Bachelor</w:t>
      </w:r>
      <w:r w:rsidR="004A43E9">
        <w:rPr>
          <w:rFonts w:ascii="Times New Roman" w:hAnsi="Times New Roman" w:cs="Times New Roman"/>
        </w:rPr>
        <w:t>s</w:t>
      </w:r>
      <w:r w:rsidR="00F85036">
        <w:rPr>
          <w:rFonts w:ascii="Times New Roman" w:hAnsi="Times New Roman" w:cs="Times New Roman"/>
        </w:rPr>
        <w:t xml:space="preserve"> degree</w:t>
      </w:r>
      <w:r w:rsidRPr="005540EB">
        <w:rPr>
          <w:rFonts w:ascii="Times New Roman" w:hAnsi="Times New Roman" w:cs="Times New Roman"/>
        </w:rPr>
        <w:t xml:space="preserve"> in Business Administration</w:t>
      </w:r>
      <w:r w:rsidR="00F85036">
        <w:rPr>
          <w:rFonts w:ascii="Times New Roman" w:hAnsi="Times New Roman" w:cs="Times New Roman"/>
        </w:rPr>
        <w:t>.  In 1997 I graduated from Gonzaga University with a Masters degree in Business Administration</w:t>
      </w:r>
      <w:r w:rsidRPr="005540EB">
        <w:rPr>
          <w:rFonts w:ascii="Times New Roman" w:hAnsi="Times New Roman" w:cs="Times New Roman"/>
        </w:rPr>
        <w:t>.</w:t>
      </w:r>
      <w:r w:rsidR="00586CB3">
        <w:rPr>
          <w:rFonts w:ascii="Times New Roman" w:hAnsi="Times New Roman" w:cs="Times New Roman"/>
        </w:rPr>
        <w:t xml:space="preserve">  I started with Avista in April 1997 as a Resource Management Analyst in the Company’s DSM department.  Later, I became a Program Manager, responsible for energy efficiency program offerings for the Company’s educational </w:t>
      </w:r>
      <w:r w:rsidR="00586CB3" w:rsidRPr="00BF6CAC">
        <w:rPr>
          <w:rFonts w:ascii="Times New Roman" w:hAnsi="Times New Roman" w:cs="Times New Roman"/>
        </w:rPr>
        <w:t xml:space="preserve">and governmental customers.  </w:t>
      </w:r>
      <w:r w:rsidR="00BF6CAC">
        <w:rPr>
          <w:rFonts w:ascii="Times New Roman" w:hAnsi="Times New Roman" w:cs="Times New Roman"/>
        </w:rPr>
        <w:t xml:space="preserve">In 2000, I was selected to be one of the Company’s key Account Executives.  In this role I was responsible for, among other things, being the primary point of contact for </w:t>
      </w:r>
      <w:r w:rsidR="00147D24">
        <w:rPr>
          <w:rFonts w:ascii="Times New Roman" w:hAnsi="Times New Roman" w:cs="Times New Roman"/>
        </w:rPr>
        <w:t xml:space="preserve">numerous </w:t>
      </w:r>
      <w:r w:rsidR="00BF6CAC">
        <w:rPr>
          <w:rFonts w:ascii="Times New Roman" w:hAnsi="Times New Roman" w:cs="Times New Roman"/>
        </w:rPr>
        <w:t>commercial and industrial customers, as well as being the channel through which the Company offered its site specific energy efficiency programs.</w:t>
      </w:r>
    </w:p>
    <w:p w:rsidR="00BF6CAC" w:rsidRDefault="00BF6CAC" w:rsidP="00BF6CA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w:t>
      </w:r>
      <w:r w:rsidR="00AD2FA3">
        <w:rPr>
          <w:rFonts w:ascii="Times New Roman" w:hAnsi="Times New Roman" w:cs="Times New Roman"/>
        </w:rPr>
        <w:t xml:space="preserve"> in 2007.  </w:t>
      </w:r>
      <w:r>
        <w:rPr>
          <w:rFonts w:ascii="Times New Roman" w:hAnsi="Times New Roman" w:cs="Times New Roman"/>
        </w:rPr>
        <w:t xml:space="preserve">Responsibilities in this role included being the discovery coordinator for </w:t>
      </w:r>
      <w:r>
        <w:rPr>
          <w:rFonts w:ascii="Times New Roman" w:hAnsi="Times New Roman" w:cs="Times New Roman"/>
        </w:rPr>
        <w:lastRenderedPageBreak/>
        <w:t>the Company’s rate cases and lead coordinator for the Natural Gas Decoupling Mechanism pilot program and resulting reporting and analysis.  In November 2009, I was promoted to my current role.</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What is the scope of your testimony in this proceeding?</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this proceeding will cover the spread of the proposed annual electric revenue increase of </w:t>
      </w:r>
      <w:r w:rsidRPr="00CB3A2C">
        <w:rPr>
          <w:rFonts w:ascii="Times New Roman" w:hAnsi="Times New Roman" w:cs="Times New Roman"/>
        </w:rPr>
        <w:t>$</w:t>
      </w:r>
      <w:r w:rsidR="00CB3A2C" w:rsidRPr="00CB3A2C">
        <w:rPr>
          <w:rFonts w:ascii="Times New Roman" w:hAnsi="Times New Roman" w:cs="Times New Roman"/>
        </w:rPr>
        <w:t>55,298</w:t>
      </w:r>
      <w:r w:rsidRPr="00CB3A2C">
        <w:rPr>
          <w:rFonts w:ascii="Times New Roman" w:hAnsi="Times New Roman" w:cs="Times New Roman"/>
        </w:rPr>
        <w:t xml:space="preserve">,000, or </w:t>
      </w:r>
      <w:r w:rsidR="00CB3A2C" w:rsidRPr="00CB3A2C">
        <w:rPr>
          <w:rFonts w:ascii="Times New Roman" w:hAnsi="Times New Roman" w:cs="Times New Roman"/>
        </w:rPr>
        <w:t>13.8</w:t>
      </w:r>
      <w:r w:rsidRPr="00CB3A2C">
        <w:rPr>
          <w:rFonts w:ascii="Times New Roman" w:hAnsi="Times New Roman" w:cs="Times New Roman"/>
        </w:rPr>
        <w:t>%, among</w:t>
      </w:r>
      <w:r w:rsidRPr="005540EB">
        <w:rPr>
          <w:rFonts w:ascii="Times New Roman" w:hAnsi="Times New Roman" w:cs="Times New Roman"/>
        </w:rPr>
        <w:t xml:space="preserve"> the Company’s electric general service schedules.  </w:t>
      </w:r>
      <w:r w:rsidR="00894CE2">
        <w:rPr>
          <w:rFonts w:ascii="Times New Roman" w:hAnsi="Times New Roman" w:cs="Times New Roman"/>
        </w:rPr>
        <w:t xml:space="preserve">This represents an overall increase </w:t>
      </w:r>
      <w:r w:rsidR="00894CE2" w:rsidRPr="00944313">
        <w:rPr>
          <w:rFonts w:ascii="Times New Roman" w:hAnsi="Times New Roman" w:cs="Times New Roman"/>
        </w:rPr>
        <w:t xml:space="preserve">of </w:t>
      </w:r>
      <w:r w:rsidR="00944313" w:rsidRPr="00944313">
        <w:rPr>
          <w:rFonts w:ascii="Times New Roman" w:hAnsi="Times New Roman" w:cs="Times New Roman"/>
        </w:rPr>
        <w:t>13.4%</w:t>
      </w:r>
      <w:r w:rsidR="00894CE2" w:rsidRPr="00944313">
        <w:rPr>
          <w:rFonts w:ascii="Times New Roman" w:hAnsi="Times New Roman" w:cs="Times New Roman"/>
        </w:rPr>
        <w:t xml:space="preserve"> in</w:t>
      </w:r>
      <w:r w:rsidR="00894CE2">
        <w:rPr>
          <w:rFonts w:ascii="Times New Roman" w:hAnsi="Times New Roman" w:cs="Times New Roman"/>
        </w:rPr>
        <w:t xml:space="preserve"> billed</w:t>
      </w:r>
      <w:r w:rsidR="00147D24">
        <w:rPr>
          <w:rFonts w:ascii="Times New Roman" w:hAnsi="Times New Roman" w:cs="Times New Roman"/>
        </w:rPr>
        <w:t xml:space="preserve"> revenues/ rates</w:t>
      </w:r>
      <w:r w:rsidR="00894CE2">
        <w:rPr>
          <w:rFonts w:ascii="Times New Roman" w:hAnsi="Times New Roman" w:cs="Times New Roman"/>
        </w:rPr>
        <w:t xml:space="preserve">, as explained below.  </w:t>
      </w:r>
      <w:r w:rsidRPr="005540EB">
        <w:rPr>
          <w:rFonts w:ascii="Times New Roman" w:hAnsi="Times New Roman" w:cs="Times New Roman"/>
        </w:rPr>
        <w:t xml:space="preserve">With regard to natural gas service, I will describe the spread of the proposed annual revenue increase of </w:t>
      </w:r>
      <w:r w:rsidR="00DF1AB0">
        <w:rPr>
          <w:rFonts w:ascii="Times New Roman" w:hAnsi="Times New Roman" w:cs="Times New Roman"/>
        </w:rPr>
        <w:t>$8,489,000</w:t>
      </w:r>
      <w:r w:rsidRPr="005540EB">
        <w:rPr>
          <w:rFonts w:ascii="Times New Roman" w:hAnsi="Times New Roman" w:cs="Times New Roman"/>
        </w:rPr>
        <w:t xml:space="preserve">, or </w:t>
      </w:r>
      <w:r w:rsidR="00DF1AB0" w:rsidRPr="00DF1AB0">
        <w:rPr>
          <w:rFonts w:ascii="Times New Roman" w:hAnsi="Times New Roman" w:cs="Times New Roman"/>
        </w:rPr>
        <w:t>5.</w:t>
      </w:r>
      <w:r w:rsidR="008B5C02">
        <w:rPr>
          <w:rFonts w:ascii="Times New Roman" w:hAnsi="Times New Roman" w:cs="Times New Roman"/>
        </w:rPr>
        <w:t>4</w:t>
      </w:r>
      <w:r w:rsidRPr="00DF1AB0">
        <w:rPr>
          <w:rFonts w:ascii="Times New Roman" w:hAnsi="Times New Roman" w:cs="Times New Roman"/>
        </w:rPr>
        <w:t>%</w:t>
      </w:r>
      <w:r w:rsidR="007B58C5" w:rsidRPr="00DF1AB0">
        <w:rPr>
          <w:rStyle w:val="FootnoteReference"/>
          <w:rFonts w:ascii="Times New Roman" w:hAnsi="Times New Roman"/>
        </w:rPr>
        <w:footnoteReference w:id="1"/>
      </w:r>
      <w:r w:rsidRPr="00DF1AB0">
        <w:rPr>
          <w:rFonts w:ascii="Times New Roman" w:hAnsi="Times New Roman" w:cs="Times New Roman"/>
        </w:rPr>
        <w:t>,</w:t>
      </w:r>
      <w:r w:rsidRPr="005540EB">
        <w:rPr>
          <w:rFonts w:ascii="Times New Roman" w:hAnsi="Times New Roman" w:cs="Times New Roman"/>
        </w:rPr>
        <w:t xml:space="preserve"> among the Company’s natural gas service schedules.  My testimony will also describe the changes to the rates within the Company’s electric and natural gas service schedules.  </w:t>
      </w:r>
      <w:r w:rsidR="00F85036">
        <w:rPr>
          <w:rFonts w:ascii="Times New Roman" w:hAnsi="Times New Roman" w:cs="Times New Roman"/>
        </w:rPr>
        <w:t xml:space="preserve">Finally, I will </w:t>
      </w:r>
      <w:r w:rsidR="00B312FA">
        <w:rPr>
          <w:rFonts w:ascii="Times New Roman" w:hAnsi="Times New Roman" w:cs="Times New Roman"/>
        </w:rPr>
        <w:t>respond to</w:t>
      </w:r>
      <w:r w:rsidR="00F85036">
        <w:rPr>
          <w:rFonts w:ascii="Times New Roman" w:hAnsi="Times New Roman" w:cs="Times New Roman"/>
        </w:rPr>
        <w:t xml:space="preserve"> the Commission’s </w:t>
      </w:r>
      <w:r w:rsidR="00B312FA">
        <w:rPr>
          <w:rFonts w:ascii="Times New Roman" w:hAnsi="Times New Roman" w:cs="Times New Roman"/>
        </w:rPr>
        <w:t>recent order regarding</w:t>
      </w:r>
      <w:r w:rsidR="00F85036">
        <w:rPr>
          <w:rFonts w:ascii="Times New Roman" w:hAnsi="Times New Roman" w:cs="Times New Roman"/>
        </w:rPr>
        <w:t xml:space="preserve"> whether the Company’s natural gas </w:t>
      </w:r>
      <w:r w:rsidR="00BF6CAC">
        <w:rPr>
          <w:rFonts w:ascii="Times New Roman" w:hAnsi="Times New Roman" w:cs="Times New Roman"/>
        </w:rPr>
        <w:t>d</w:t>
      </w:r>
      <w:r w:rsidR="00F85036">
        <w:rPr>
          <w:rFonts w:ascii="Times New Roman" w:hAnsi="Times New Roman" w:cs="Times New Roman"/>
        </w:rPr>
        <w:t xml:space="preserve">ecoupling </w:t>
      </w:r>
      <w:r w:rsidR="00BF6CAC">
        <w:rPr>
          <w:rFonts w:ascii="Times New Roman" w:hAnsi="Times New Roman" w:cs="Times New Roman"/>
        </w:rPr>
        <w:t>m</w:t>
      </w:r>
      <w:r w:rsidR="00F85036">
        <w:rPr>
          <w:rFonts w:ascii="Times New Roman" w:hAnsi="Times New Roman" w:cs="Times New Roman"/>
        </w:rPr>
        <w:t xml:space="preserve">echanism should be applicable to </w:t>
      </w:r>
      <w:r w:rsidR="00BF6CAC">
        <w:rPr>
          <w:rFonts w:ascii="Times New Roman" w:hAnsi="Times New Roman" w:cs="Times New Roman"/>
        </w:rPr>
        <w:t xml:space="preserve">natural gas rate </w:t>
      </w:r>
      <w:r w:rsidR="00F85036">
        <w:rPr>
          <w:rFonts w:ascii="Times New Roman" w:hAnsi="Times New Roman" w:cs="Times New Roman"/>
        </w:rPr>
        <w:t xml:space="preserve">schedules </w:t>
      </w:r>
      <w:r w:rsidR="00545B95">
        <w:rPr>
          <w:rFonts w:ascii="Times New Roman" w:hAnsi="Times New Roman" w:cs="Times New Roman"/>
        </w:rPr>
        <w:t>other than</w:t>
      </w:r>
      <w:r w:rsidR="00147D24">
        <w:rPr>
          <w:rFonts w:ascii="Times New Roman" w:hAnsi="Times New Roman" w:cs="Times New Roman"/>
        </w:rPr>
        <w:t xml:space="preserve"> Schedule 101, </w:t>
      </w:r>
      <w:r w:rsidR="00B312FA">
        <w:rPr>
          <w:rFonts w:ascii="Times New Roman" w:hAnsi="Times New Roman" w:cs="Times New Roman"/>
        </w:rPr>
        <w:t>per pa</w:t>
      </w:r>
      <w:r w:rsidR="00916D0F">
        <w:rPr>
          <w:rFonts w:ascii="Times New Roman" w:hAnsi="Times New Roman" w:cs="Times New Roman"/>
        </w:rPr>
        <w:t>ragraph 303</w:t>
      </w:r>
      <w:r w:rsidR="00B312FA">
        <w:rPr>
          <w:rFonts w:ascii="Times New Roman" w:hAnsi="Times New Roman" w:cs="Times New Roman"/>
        </w:rPr>
        <w:t xml:space="preserve"> of the</w:t>
      </w:r>
      <w:r w:rsidR="00147D24">
        <w:rPr>
          <w:rFonts w:ascii="Times New Roman" w:hAnsi="Times New Roman" w:cs="Times New Roman"/>
        </w:rPr>
        <w:t xml:space="preserve"> Commission</w:t>
      </w:r>
      <w:r w:rsidR="00B312FA">
        <w:rPr>
          <w:rFonts w:ascii="Times New Roman" w:hAnsi="Times New Roman" w:cs="Times New Roman"/>
        </w:rPr>
        <w:t>’s</w:t>
      </w:r>
      <w:r w:rsidR="00147D24">
        <w:rPr>
          <w:rFonts w:ascii="Times New Roman" w:hAnsi="Times New Roman" w:cs="Times New Roman"/>
        </w:rPr>
        <w:t xml:space="preserve"> Order No. 10 in Docket UG-090135.</w:t>
      </w:r>
    </w:p>
    <w:p w:rsidR="005540EB" w:rsidRPr="005540EB" w:rsidRDefault="005540EB" w:rsidP="005540EB">
      <w:pPr>
        <w:pStyle w:val="P31"/>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916D0F">
        <w:rPr>
          <w:rFonts w:ascii="Times New Roman" w:hAnsi="Times New Roman" w:cs="Times New Roman"/>
        </w:rPr>
        <w:t xml:space="preserve"> These 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916D0F" w:rsidRDefault="00BF6CAC" w:rsidP="005A10A8">
      <w:pPr>
        <w:numPr>
          <w:ilvl w:val="0"/>
          <w:numId w:val="35"/>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t>1</w:t>
      </w:r>
    </w:p>
    <w:p w:rsidR="007645E8" w:rsidRPr="00916D0F" w:rsidRDefault="007645E8" w:rsidP="005A10A8">
      <w:pPr>
        <w:tabs>
          <w:tab w:val="left" w:pos="810"/>
          <w:tab w:val="left" w:pos="1440"/>
          <w:tab w:val="left" w:pos="6120"/>
          <w:tab w:val="left" w:pos="7920"/>
        </w:tabs>
        <w:ind w:left="720" w:right="-720"/>
        <w:rPr>
          <w:bCs/>
          <w:szCs w:val="22"/>
        </w:rPr>
      </w:pPr>
    </w:p>
    <w:p w:rsidR="005540EB" w:rsidRPr="00916D0F" w:rsidRDefault="005540EB" w:rsidP="00936BE1">
      <w:pPr>
        <w:numPr>
          <w:ilvl w:val="0"/>
          <w:numId w:val="35"/>
        </w:numPr>
        <w:tabs>
          <w:tab w:val="right" w:pos="810"/>
          <w:tab w:val="left" w:pos="1440"/>
          <w:tab w:val="left" w:pos="6120"/>
          <w:tab w:val="left" w:pos="7920"/>
          <w:tab w:val="left" w:pos="8100"/>
        </w:tabs>
        <w:ind w:right="-720"/>
        <w:rPr>
          <w:bCs/>
          <w:szCs w:val="22"/>
        </w:rPr>
      </w:pPr>
      <w:r w:rsidRPr="00916D0F">
        <w:rPr>
          <w:bCs/>
          <w:szCs w:val="22"/>
        </w:rPr>
        <w:t>Executive Summary</w:t>
      </w:r>
      <w:r w:rsidRPr="00916D0F">
        <w:rPr>
          <w:bCs/>
          <w:szCs w:val="22"/>
        </w:rPr>
        <w:tab/>
        <w:t xml:space="preserve"> </w:t>
      </w:r>
      <w:r w:rsidRPr="00916D0F">
        <w:rPr>
          <w:bCs/>
          <w:szCs w:val="22"/>
        </w:rPr>
        <w:tab/>
      </w:r>
      <w:r w:rsidR="00B312FA" w:rsidRPr="00916D0F">
        <w:rPr>
          <w:bCs/>
          <w:szCs w:val="22"/>
        </w:rPr>
        <w:t>3</w:t>
      </w:r>
    </w:p>
    <w:p w:rsidR="007645E8" w:rsidRPr="00916D0F" w:rsidRDefault="007645E8" w:rsidP="005A10A8">
      <w:pPr>
        <w:tabs>
          <w:tab w:val="left" w:pos="810"/>
          <w:tab w:val="left" w:pos="1440"/>
        </w:tabs>
        <w:ind w:left="720" w:right="-720"/>
        <w:rPr>
          <w:bCs/>
          <w:szCs w:val="22"/>
        </w:rPr>
      </w:pPr>
    </w:p>
    <w:p w:rsidR="005540EB" w:rsidRPr="00916D0F" w:rsidRDefault="005540EB" w:rsidP="005A10A8">
      <w:pPr>
        <w:numPr>
          <w:ilvl w:val="0"/>
          <w:numId w:val="35"/>
        </w:numPr>
        <w:tabs>
          <w:tab w:val="left" w:pos="810"/>
          <w:tab w:val="left" w:pos="1440"/>
        </w:tabs>
        <w:ind w:right="-720"/>
        <w:rPr>
          <w:bCs/>
          <w:szCs w:val="22"/>
        </w:rPr>
      </w:pPr>
      <w:r w:rsidRPr="00916D0F">
        <w:rPr>
          <w:bCs/>
          <w:szCs w:val="22"/>
        </w:rPr>
        <w:t>Proposed Electric Revenue Increase</w:t>
      </w:r>
    </w:p>
    <w:p w:rsidR="005540EB" w:rsidRPr="00916D0F" w:rsidRDefault="005540EB" w:rsidP="005A10A8">
      <w:pPr>
        <w:tabs>
          <w:tab w:val="left" w:pos="810"/>
          <w:tab w:val="left" w:pos="1080"/>
          <w:tab w:val="left" w:pos="1440"/>
        </w:tabs>
        <w:ind w:right="-720" w:firstLine="1440"/>
        <w:rPr>
          <w:bCs/>
          <w:szCs w:val="22"/>
        </w:rPr>
      </w:pPr>
      <w:r w:rsidRPr="00916D0F">
        <w:rPr>
          <w:bCs/>
          <w:szCs w:val="22"/>
        </w:rPr>
        <w:t>Summary of Rate Schedules and Tariffs</w:t>
      </w:r>
      <w:r w:rsidRPr="00916D0F">
        <w:rPr>
          <w:bCs/>
          <w:szCs w:val="22"/>
        </w:rPr>
        <w:tab/>
      </w:r>
      <w:r w:rsidRPr="00916D0F">
        <w:rPr>
          <w:bCs/>
          <w:szCs w:val="22"/>
        </w:rPr>
        <w:tab/>
        <w:t xml:space="preserve">  </w:t>
      </w:r>
      <w:r w:rsidRPr="00916D0F">
        <w:rPr>
          <w:bCs/>
          <w:szCs w:val="22"/>
        </w:rPr>
        <w:tab/>
      </w:r>
      <w:r w:rsidR="00BF6CAC" w:rsidRPr="00916D0F">
        <w:rPr>
          <w:bCs/>
          <w:szCs w:val="22"/>
        </w:rPr>
        <w:tab/>
      </w:r>
      <w:r w:rsidR="009605C7" w:rsidRPr="00916D0F">
        <w:rPr>
          <w:bCs/>
          <w:szCs w:val="22"/>
        </w:rPr>
        <w:t>6</w:t>
      </w:r>
    </w:p>
    <w:p w:rsidR="005540EB" w:rsidRPr="00916D0F" w:rsidRDefault="005540EB" w:rsidP="005A10A8">
      <w:pPr>
        <w:tabs>
          <w:tab w:val="left" w:pos="810"/>
          <w:tab w:val="left" w:pos="1080"/>
          <w:tab w:val="left" w:pos="1440"/>
        </w:tabs>
        <w:ind w:right="-720" w:firstLine="1440"/>
        <w:rPr>
          <w:bCs/>
          <w:szCs w:val="22"/>
        </w:rPr>
      </w:pPr>
      <w:r w:rsidRPr="00916D0F">
        <w:rPr>
          <w:bCs/>
          <w:szCs w:val="22"/>
        </w:rPr>
        <w:t>Proposed Rate Spre</w:t>
      </w:r>
      <w:r w:rsidR="00476E35" w:rsidRPr="00916D0F">
        <w:rPr>
          <w:bCs/>
          <w:szCs w:val="22"/>
        </w:rPr>
        <w:t xml:space="preserve">ad (Increase by Schedule)  </w:t>
      </w:r>
      <w:r w:rsidR="00476E35" w:rsidRPr="00916D0F">
        <w:rPr>
          <w:bCs/>
          <w:szCs w:val="22"/>
        </w:rPr>
        <w:tab/>
      </w:r>
      <w:r w:rsidR="00476E35" w:rsidRPr="00916D0F">
        <w:rPr>
          <w:bCs/>
          <w:szCs w:val="22"/>
        </w:rPr>
        <w:tab/>
      </w:r>
      <w:r w:rsidR="00476E35" w:rsidRPr="00916D0F">
        <w:rPr>
          <w:bCs/>
          <w:szCs w:val="22"/>
        </w:rPr>
        <w:tab/>
      </w:r>
      <w:r w:rsidR="008202A5">
        <w:rPr>
          <w:bCs/>
          <w:szCs w:val="22"/>
        </w:rPr>
        <w:t>8</w:t>
      </w:r>
    </w:p>
    <w:p w:rsidR="005540EB" w:rsidRPr="00916D0F" w:rsidRDefault="005540EB" w:rsidP="005A10A8">
      <w:pPr>
        <w:tabs>
          <w:tab w:val="left" w:pos="810"/>
          <w:tab w:val="left" w:pos="1080"/>
          <w:tab w:val="left" w:pos="1440"/>
        </w:tabs>
        <w:ind w:right="-720" w:firstLine="1440"/>
        <w:rPr>
          <w:bCs/>
          <w:szCs w:val="22"/>
        </w:rPr>
      </w:pPr>
      <w:r w:rsidRPr="00916D0F">
        <w:rPr>
          <w:bCs/>
          <w:szCs w:val="22"/>
        </w:rPr>
        <w:t>Proposed Rate Desig</w:t>
      </w:r>
      <w:r w:rsidR="009605C7" w:rsidRPr="00916D0F">
        <w:rPr>
          <w:bCs/>
          <w:szCs w:val="22"/>
        </w:rPr>
        <w:t>n (Rates within Schedules)</w:t>
      </w:r>
      <w:r w:rsidR="009605C7" w:rsidRPr="00916D0F">
        <w:rPr>
          <w:bCs/>
          <w:szCs w:val="22"/>
        </w:rPr>
        <w:tab/>
      </w:r>
      <w:r w:rsidR="009605C7" w:rsidRPr="00916D0F">
        <w:rPr>
          <w:bCs/>
          <w:szCs w:val="22"/>
        </w:rPr>
        <w:tab/>
        <w:t xml:space="preserve">          </w:t>
      </w:r>
      <w:r w:rsidR="00BF6CAC" w:rsidRPr="00916D0F">
        <w:rPr>
          <w:bCs/>
          <w:szCs w:val="22"/>
        </w:rPr>
        <w:t xml:space="preserve"> </w:t>
      </w:r>
      <w:r w:rsidR="00D64945" w:rsidRPr="00916D0F">
        <w:rPr>
          <w:bCs/>
          <w:szCs w:val="22"/>
        </w:rPr>
        <w:tab/>
      </w:r>
      <w:r w:rsidR="00476E35" w:rsidRPr="00916D0F">
        <w:rPr>
          <w:bCs/>
          <w:szCs w:val="22"/>
        </w:rPr>
        <w:t>1</w:t>
      </w:r>
      <w:r w:rsidR="000C64E4" w:rsidRPr="00916D0F">
        <w:rPr>
          <w:bCs/>
          <w:szCs w:val="22"/>
        </w:rPr>
        <w:t>0</w:t>
      </w:r>
    </w:p>
    <w:p w:rsidR="007645E8" w:rsidRPr="00916D0F" w:rsidRDefault="007645E8" w:rsidP="005A10A8">
      <w:pPr>
        <w:tabs>
          <w:tab w:val="left" w:pos="810"/>
          <w:tab w:val="left" w:pos="1440"/>
        </w:tabs>
        <w:ind w:left="720" w:right="-720"/>
        <w:rPr>
          <w:bCs/>
          <w:szCs w:val="22"/>
        </w:rPr>
      </w:pPr>
    </w:p>
    <w:p w:rsidR="00BF6CAC" w:rsidRPr="00916D0F" w:rsidRDefault="00BF6CAC" w:rsidP="005A10A8">
      <w:pPr>
        <w:numPr>
          <w:ilvl w:val="0"/>
          <w:numId w:val="35"/>
        </w:numPr>
        <w:tabs>
          <w:tab w:val="left" w:pos="810"/>
          <w:tab w:val="left" w:pos="1440"/>
        </w:tabs>
        <w:ind w:right="-720"/>
        <w:rPr>
          <w:bCs/>
          <w:szCs w:val="22"/>
        </w:rPr>
      </w:pPr>
      <w:r w:rsidRPr="00916D0F">
        <w:rPr>
          <w:bCs/>
          <w:szCs w:val="22"/>
        </w:rPr>
        <w:t>Proposed Natural Gas Revenue Increase</w:t>
      </w:r>
    </w:p>
    <w:p w:rsidR="00BF6CAC" w:rsidRPr="00916D0F" w:rsidRDefault="00BF6CAC" w:rsidP="00936BE1">
      <w:pPr>
        <w:tabs>
          <w:tab w:val="right" w:pos="810"/>
          <w:tab w:val="left" w:pos="1080"/>
          <w:tab w:val="left" w:pos="1440"/>
          <w:tab w:val="left" w:pos="7830"/>
          <w:tab w:val="left" w:pos="7920"/>
          <w:tab w:val="left" w:pos="8100"/>
        </w:tabs>
        <w:ind w:right="-720" w:firstLine="1440"/>
        <w:rPr>
          <w:bCs/>
          <w:szCs w:val="22"/>
        </w:rPr>
      </w:pPr>
      <w:r w:rsidRPr="00916D0F">
        <w:rPr>
          <w:bCs/>
          <w:szCs w:val="22"/>
        </w:rPr>
        <w:t>Summary of Rate Schedules and Tariffs</w:t>
      </w:r>
      <w:r w:rsidRPr="00916D0F">
        <w:rPr>
          <w:bCs/>
          <w:szCs w:val="22"/>
        </w:rPr>
        <w:tab/>
      </w:r>
      <w:r w:rsidR="00D64945" w:rsidRPr="00916D0F">
        <w:rPr>
          <w:bCs/>
          <w:szCs w:val="22"/>
        </w:rPr>
        <w:tab/>
      </w:r>
      <w:r w:rsidRPr="00916D0F">
        <w:rPr>
          <w:bCs/>
          <w:szCs w:val="22"/>
        </w:rPr>
        <w:t>1</w:t>
      </w:r>
      <w:r w:rsidR="008202A5">
        <w:rPr>
          <w:bCs/>
          <w:szCs w:val="22"/>
        </w:rPr>
        <w:t>9</w:t>
      </w:r>
    </w:p>
    <w:p w:rsidR="00BF6CAC" w:rsidRPr="00916D0F" w:rsidRDefault="00BF6CAC" w:rsidP="005A10A8">
      <w:pPr>
        <w:tabs>
          <w:tab w:val="left" w:pos="810"/>
          <w:tab w:val="left" w:pos="1080"/>
          <w:tab w:val="left" w:pos="1440"/>
        </w:tabs>
        <w:ind w:right="-720" w:firstLine="1440"/>
        <w:rPr>
          <w:bCs/>
          <w:szCs w:val="22"/>
        </w:rPr>
      </w:pPr>
      <w:r w:rsidRPr="00916D0F">
        <w:rPr>
          <w:bCs/>
          <w:szCs w:val="22"/>
        </w:rPr>
        <w:t>Proposed Rate Spre</w:t>
      </w:r>
      <w:r w:rsidR="007645E8" w:rsidRPr="00916D0F">
        <w:rPr>
          <w:bCs/>
          <w:szCs w:val="22"/>
        </w:rPr>
        <w:t xml:space="preserve">ad (Increase by Schedule)  </w:t>
      </w:r>
      <w:r w:rsidR="007645E8" w:rsidRPr="00916D0F">
        <w:rPr>
          <w:bCs/>
          <w:szCs w:val="22"/>
        </w:rPr>
        <w:tab/>
      </w:r>
      <w:r w:rsidR="007645E8" w:rsidRPr="00916D0F">
        <w:rPr>
          <w:bCs/>
          <w:szCs w:val="22"/>
        </w:rPr>
        <w:tab/>
        <w:t xml:space="preserve">          </w:t>
      </w:r>
      <w:r w:rsidR="00D64945" w:rsidRPr="00916D0F">
        <w:rPr>
          <w:bCs/>
          <w:szCs w:val="22"/>
        </w:rPr>
        <w:tab/>
      </w:r>
      <w:r w:rsidR="000C64E4" w:rsidRPr="00916D0F">
        <w:rPr>
          <w:bCs/>
          <w:szCs w:val="22"/>
        </w:rPr>
        <w:t>20</w:t>
      </w:r>
    </w:p>
    <w:p w:rsidR="007645E8" w:rsidRPr="00916D0F" w:rsidRDefault="00BF6CAC" w:rsidP="005A10A8">
      <w:pPr>
        <w:tabs>
          <w:tab w:val="left" w:pos="810"/>
          <w:tab w:val="left" w:pos="1080"/>
          <w:tab w:val="left" w:pos="1440"/>
        </w:tabs>
        <w:ind w:right="-720" w:firstLine="1440"/>
        <w:rPr>
          <w:bCs/>
          <w:szCs w:val="22"/>
        </w:rPr>
      </w:pPr>
      <w:r w:rsidRPr="00916D0F">
        <w:rPr>
          <w:bCs/>
          <w:szCs w:val="22"/>
        </w:rPr>
        <w:t>Proposed Rate Design (Rates within Schedules)</w:t>
      </w:r>
      <w:r w:rsidRPr="00916D0F">
        <w:rPr>
          <w:bCs/>
          <w:szCs w:val="22"/>
        </w:rPr>
        <w:tab/>
      </w:r>
      <w:r w:rsidRPr="00916D0F">
        <w:rPr>
          <w:bCs/>
          <w:szCs w:val="22"/>
        </w:rPr>
        <w:tab/>
      </w:r>
      <w:r w:rsidRPr="00916D0F">
        <w:rPr>
          <w:bCs/>
          <w:szCs w:val="22"/>
        </w:rPr>
        <w:tab/>
      </w:r>
      <w:r w:rsidR="007645E8" w:rsidRPr="00916D0F">
        <w:rPr>
          <w:bCs/>
          <w:szCs w:val="22"/>
        </w:rPr>
        <w:t>2</w:t>
      </w:r>
      <w:r w:rsidR="000C64E4" w:rsidRPr="00916D0F">
        <w:rPr>
          <w:bCs/>
          <w:szCs w:val="22"/>
        </w:rPr>
        <w:t>2</w:t>
      </w:r>
    </w:p>
    <w:p w:rsidR="00C01292" w:rsidRPr="00916D0F" w:rsidRDefault="00C01292" w:rsidP="005A10A8">
      <w:pPr>
        <w:tabs>
          <w:tab w:val="left" w:pos="810"/>
          <w:tab w:val="left" w:pos="1080"/>
          <w:tab w:val="left" w:pos="1440"/>
        </w:tabs>
        <w:ind w:right="-720" w:firstLine="1440"/>
        <w:rPr>
          <w:bCs/>
          <w:szCs w:val="22"/>
        </w:rPr>
      </w:pPr>
    </w:p>
    <w:p w:rsidR="00C01292" w:rsidRPr="00916D0F" w:rsidRDefault="004F713F" w:rsidP="005A10A8">
      <w:pPr>
        <w:numPr>
          <w:ilvl w:val="0"/>
          <w:numId w:val="35"/>
        </w:numPr>
        <w:tabs>
          <w:tab w:val="left" w:pos="1440"/>
        </w:tabs>
        <w:ind w:right="-720"/>
        <w:rPr>
          <w:bCs/>
          <w:szCs w:val="22"/>
        </w:rPr>
      </w:pPr>
      <w:r w:rsidRPr="00916D0F">
        <w:rPr>
          <w:bCs/>
          <w:szCs w:val="22"/>
        </w:rPr>
        <w:t>Basic Charge</w:t>
      </w:r>
      <w:r w:rsidRPr="00916D0F">
        <w:rPr>
          <w:bCs/>
          <w:szCs w:val="22"/>
        </w:rPr>
        <w:tab/>
      </w:r>
      <w:r w:rsidRPr="00916D0F">
        <w:rPr>
          <w:bCs/>
          <w:szCs w:val="22"/>
        </w:rPr>
        <w:tab/>
      </w:r>
      <w:r w:rsidRPr="00916D0F">
        <w:rPr>
          <w:bCs/>
          <w:szCs w:val="22"/>
        </w:rPr>
        <w:tab/>
      </w:r>
      <w:r w:rsidRPr="00916D0F">
        <w:rPr>
          <w:bCs/>
          <w:szCs w:val="22"/>
        </w:rPr>
        <w:tab/>
      </w:r>
      <w:r w:rsidR="00C01292" w:rsidRPr="00916D0F">
        <w:rPr>
          <w:bCs/>
          <w:szCs w:val="22"/>
        </w:rPr>
        <w:tab/>
      </w:r>
      <w:r w:rsidR="00C01292" w:rsidRPr="00916D0F">
        <w:rPr>
          <w:bCs/>
          <w:szCs w:val="22"/>
        </w:rPr>
        <w:tab/>
      </w:r>
      <w:r w:rsidR="00C01292" w:rsidRPr="00916D0F">
        <w:rPr>
          <w:bCs/>
          <w:szCs w:val="22"/>
        </w:rPr>
        <w:tab/>
        <w:t xml:space="preserve">            </w:t>
      </w:r>
      <w:r w:rsidR="000C64E4" w:rsidRPr="00916D0F">
        <w:rPr>
          <w:bCs/>
          <w:szCs w:val="22"/>
        </w:rPr>
        <w:t>27</w:t>
      </w:r>
    </w:p>
    <w:p w:rsidR="00D64945" w:rsidRPr="00916D0F" w:rsidRDefault="00D64945" w:rsidP="005A10A8">
      <w:pPr>
        <w:tabs>
          <w:tab w:val="left" w:pos="1440"/>
        </w:tabs>
        <w:ind w:left="720" w:right="-720"/>
        <w:rPr>
          <w:bCs/>
          <w:szCs w:val="22"/>
        </w:rPr>
      </w:pPr>
    </w:p>
    <w:p w:rsidR="00D64945" w:rsidRPr="00916D0F" w:rsidRDefault="004F713F" w:rsidP="005A10A8">
      <w:pPr>
        <w:numPr>
          <w:ilvl w:val="0"/>
          <w:numId w:val="35"/>
        </w:numPr>
        <w:tabs>
          <w:tab w:val="left" w:pos="1440"/>
        </w:tabs>
        <w:ind w:right="-720"/>
        <w:rPr>
          <w:bCs/>
          <w:szCs w:val="22"/>
        </w:rPr>
      </w:pPr>
      <w:r w:rsidRPr="00916D0F">
        <w:rPr>
          <w:bCs/>
          <w:szCs w:val="22"/>
        </w:rPr>
        <w:t>Decoupling Rate Schedule Applicability</w:t>
      </w:r>
      <w:r w:rsidR="007C32EE" w:rsidRPr="00916D0F">
        <w:rPr>
          <w:bCs/>
          <w:szCs w:val="22"/>
        </w:rPr>
        <w:tab/>
      </w:r>
      <w:r w:rsidR="007C32EE" w:rsidRPr="00916D0F">
        <w:rPr>
          <w:bCs/>
          <w:szCs w:val="22"/>
        </w:rPr>
        <w:tab/>
      </w:r>
      <w:r w:rsidRPr="00916D0F">
        <w:rPr>
          <w:bCs/>
          <w:szCs w:val="22"/>
        </w:rPr>
        <w:tab/>
      </w:r>
      <w:r w:rsidR="00D64945" w:rsidRPr="00916D0F">
        <w:rPr>
          <w:bCs/>
          <w:szCs w:val="22"/>
        </w:rPr>
        <w:tab/>
      </w:r>
      <w:r w:rsidR="002543B2" w:rsidRPr="00916D0F">
        <w:rPr>
          <w:bCs/>
          <w:szCs w:val="22"/>
        </w:rPr>
        <w:t>38</w:t>
      </w:r>
    </w:p>
    <w:p w:rsidR="00944313" w:rsidRDefault="00944313"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5540EB">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5540EB" w:rsidRDefault="005540EB" w:rsidP="002A2752">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What is the proposed electric revenue increase in this case and how is the Company proposing to spread the total increase by rate schedule?</w:t>
      </w:r>
    </w:p>
    <w:p w:rsidR="00524793" w:rsidRPr="00936BE1" w:rsidRDefault="005540EB" w:rsidP="00936BE1">
      <w:pPr>
        <w:pStyle w:val="P31"/>
        <w:numPr>
          <w:ilvl w:val="0"/>
          <w:numId w:val="34"/>
        </w:numPr>
        <w:tabs>
          <w:tab w:val="clear" w:pos="2160"/>
          <w:tab w:val="num" w:pos="2340"/>
        </w:tabs>
        <w:ind w:left="0" w:firstLine="720"/>
        <w:jc w:val="both"/>
        <w:rPr>
          <w:rFonts w:ascii="Times New Roman" w:hAnsi="Times New Roman" w:cs="Times New Roman"/>
        </w:rPr>
      </w:pPr>
      <w:r w:rsidRPr="00B5246C">
        <w:rPr>
          <w:rFonts w:ascii="Times New Roman" w:hAnsi="Times New Roman" w:cs="Times New Roman"/>
        </w:rPr>
        <w:t xml:space="preserve">The proposed electric increase is </w:t>
      </w:r>
      <w:r w:rsidR="00CB3A2C" w:rsidRPr="00CB3A2C">
        <w:rPr>
          <w:rFonts w:ascii="Times New Roman" w:hAnsi="Times New Roman" w:cs="Times New Roman"/>
        </w:rPr>
        <w:t>$55,298,000, or 13.8%</w:t>
      </w:r>
      <w:r w:rsidR="00CB3A2C">
        <w:rPr>
          <w:rFonts w:ascii="Times New Roman" w:hAnsi="Times New Roman" w:cs="Times New Roman"/>
        </w:rPr>
        <w:t xml:space="preserve"> </w:t>
      </w:r>
      <w:r w:rsidRPr="00B5246C">
        <w:rPr>
          <w:rFonts w:ascii="Times New Roman" w:hAnsi="Times New Roman" w:cs="Times New Roman"/>
        </w:rPr>
        <w:t xml:space="preserve">over present </w:t>
      </w:r>
      <w:r w:rsidRPr="00545B95">
        <w:rPr>
          <w:rFonts w:ascii="Times New Roman" w:hAnsi="Times New Roman" w:cs="Times New Roman"/>
          <w:u w:val="single"/>
        </w:rPr>
        <w:t>base</w:t>
      </w:r>
      <w:r w:rsidRPr="00B5246C">
        <w:rPr>
          <w:rFonts w:ascii="Times New Roman" w:hAnsi="Times New Roman" w:cs="Times New Roman"/>
        </w:rPr>
        <w:t xml:space="preserve"> tariff rates in effect.  The proposed general increase over present </w:t>
      </w:r>
      <w:r w:rsidRPr="00B5246C">
        <w:rPr>
          <w:rStyle w:val="T5"/>
          <w:rFonts w:ascii="Times New Roman" w:hAnsi="Times New Roman" w:cs="Times New Roman"/>
        </w:rPr>
        <w:t>billing</w:t>
      </w:r>
      <w:r w:rsidRPr="00B5246C">
        <w:rPr>
          <w:rFonts w:ascii="Times New Roman" w:hAnsi="Times New Roman" w:cs="Times New Roman"/>
        </w:rPr>
        <w:t xml:space="preserve"> rates, including all other rate adjustments (DSM and Residential Exchange), is</w:t>
      </w:r>
      <w:r w:rsidR="00944313">
        <w:rPr>
          <w:rFonts w:ascii="Times New Roman" w:hAnsi="Times New Roman" w:cs="Times New Roman"/>
        </w:rPr>
        <w:t xml:space="preserve"> 13.4%.</w:t>
      </w:r>
      <w:r w:rsidRPr="00B5246C">
        <w:rPr>
          <w:rFonts w:ascii="Times New Roman" w:hAnsi="Times New Roman" w:cs="Times New Roman"/>
        </w:rPr>
        <w:t xml:space="preserve">  </w:t>
      </w:r>
      <w:r w:rsidR="00B5246C" w:rsidRPr="00B5246C">
        <w:rPr>
          <w:rFonts w:ascii="Times New Roman" w:hAnsi="Times New Roman" w:cs="Times New Roman"/>
        </w:rPr>
        <w:t xml:space="preserve"> </w:t>
      </w:r>
      <w:r w:rsidRPr="00B5246C">
        <w:rPr>
          <w:rFonts w:ascii="Times New Roman" w:hAnsi="Times New Roman" w:cs="Times New Roman"/>
        </w:rPr>
        <w:t xml:space="preserve">The proposed general increase of </w:t>
      </w:r>
      <w:r w:rsidR="00CB3A2C" w:rsidRPr="00CB3A2C">
        <w:rPr>
          <w:rFonts w:ascii="Times New Roman" w:hAnsi="Times New Roman" w:cs="Times New Roman"/>
        </w:rPr>
        <w:t>$55,298,000</w:t>
      </w:r>
      <w:r w:rsidR="00CB3A2C">
        <w:rPr>
          <w:rFonts w:ascii="Times New Roman" w:hAnsi="Times New Roman" w:cs="Times New Roman"/>
        </w:rPr>
        <w:t xml:space="preserve"> </w:t>
      </w:r>
      <w:r w:rsidRPr="00B5246C">
        <w:rPr>
          <w:rFonts w:ascii="Times New Roman" w:hAnsi="Times New Roman" w:cs="Times New Roman"/>
        </w:rPr>
        <w:t xml:space="preserve">has been spread by rate schedule using the </w:t>
      </w:r>
      <w:r w:rsidR="00545B95">
        <w:rPr>
          <w:rFonts w:ascii="Times New Roman" w:hAnsi="Times New Roman" w:cs="Times New Roman"/>
        </w:rPr>
        <w:t xml:space="preserve">Company’s </w:t>
      </w:r>
      <w:r w:rsidRPr="00B5246C">
        <w:rPr>
          <w:rFonts w:ascii="Times New Roman" w:hAnsi="Times New Roman" w:cs="Times New Roman"/>
        </w:rPr>
        <w:t>cost of service study results</w:t>
      </w:r>
      <w:r w:rsidR="00545B95">
        <w:rPr>
          <w:rFonts w:ascii="Times New Roman" w:hAnsi="Times New Roman" w:cs="Times New Roman"/>
        </w:rPr>
        <w:t>, as discussed by Company witness Ms. Knox,</w:t>
      </w:r>
      <w:r w:rsidRPr="00B5246C">
        <w:rPr>
          <w:rFonts w:ascii="Times New Roman" w:hAnsi="Times New Roman" w:cs="Times New Roman"/>
        </w:rPr>
        <w:t xml:space="preserve"> as a guide.  The proposed percentage increase by rate schedule is as follows:  </w:t>
      </w:r>
      <w:r w:rsidR="00524793">
        <w:br w:type="page"/>
      </w:r>
    </w:p>
    <w:p w:rsidR="005540EB" w:rsidRPr="00B5246C" w:rsidRDefault="00A152BC" w:rsidP="00524793">
      <w:pPr>
        <w:pStyle w:val="P31"/>
        <w:jc w:val="both"/>
        <w:rPr>
          <w:rFonts w:ascii="Times New Roman" w:hAnsi="Times New Roman" w:cs="Times New Roman"/>
        </w:rPr>
      </w:pPr>
      <w:r w:rsidRPr="00A152BC">
        <w:rPr>
          <w:noProof/>
        </w:rPr>
        <w:lastRenderedPageBreak/>
        <w:drawing>
          <wp:anchor distT="0" distB="0" distL="114300" distR="114300" simplePos="0" relativeHeight="251676160" behindDoc="1" locked="0" layoutInCell="1" allowOverlap="1">
            <wp:simplePos x="0" y="0"/>
            <wp:positionH relativeFrom="column">
              <wp:posOffset>739597</wp:posOffset>
            </wp:positionH>
            <wp:positionV relativeFrom="paragraph">
              <wp:posOffset>51207</wp:posOffset>
            </wp:positionV>
            <wp:extent cx="3821125" cy="1901952"/>
            <wp:effectExtent l="19050" t="0" r="79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821125" cy="1901952"/>
                    </a:xfrm>
                    <a:prstGeom prst="rect">
                      <a:avLst/>
                    </a:prstGeom>
                    <a:noFill/>
                    <a:ln w="9525">
                      <a:noFill/>
                      <a:miter lim="800000"/>
                      <a:headEnd/>
                      <a:tailEnd/>
                    </a:ln>
                  </pic:spPr>
                </pic:pic>
              </a:graphicData>
            </a:graphic>
          </wp:anchor>
        </w:drawing>
      </w:r>
    </w:p>
    <w:p w:rsidR="005540EB" w:rsidRPr="007B58C5" w:rsidRDefault="005540EB" w:rsidP="005540EB">
      <w:pPr>
        <w:pStyle w:val="P85"/>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D23716">
      <w:pPr>
        <w:pStyle w:val="P31"/>
        <w:ind w:firstLine="0"/>
        <w:jc w:val="center"/>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540EB" w:rsidRPr="00944313" w:rsidRDefault="005540EB" w:rsidP="00944313">
      <w:pPr>
        <w:pStyle w:val="P31"/>
        <w:jc w:val="both"/>
        <w:rPr>
          <w:rFonts w:ascii="Times New Roman" w:hAnsi="Times New Roman" w:cs="Times New Roman"/>
        </w:rPr>
      </w:pPr>
      <w:r w:rsidRPr="005540EB">
        <w:rPr>
          <w:rFonts w:ascii="Times New Roman" w:hAnsi="Times New Roman" w:cs="Times New Roman"/>
        </w:rPr>
        <w:t>This information is shown in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2A2752">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5540EB" w:rsidRDefault="005540EB" w:rsidP="002A2752">
      <w:pPr>
        <w:pStyle w:val="P156"/>
        <w:numPr>
          <w:ilvl w:val="0"/>
          <w:numId w:val="1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proposed increase for a residential customer using an average of 1,000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is </w:t>
      </w:r>
      <w:r w:rsidR="00944313">
        <w:rPr>
          <w:rFonts w:ascii="Times New Roman" w:hAnsi="Times New Roman" w:cs="Times New Roman"/>
        </w:rPr>
        <w:t>$10.62</w:t>
      </w:r>
      <w:r w:rsidRPr="005540EB">
        <w:rPr>
          <w:rFonts w:ascii="Times New Roman" w:hAnsi="Times New Roman" w:cs="Times New Roman"/>
        </w:rPr>
        <w:t xml:space="preserve"> per month, or a </w:t>
      </w:r>
      <w:r w:rsidR="00944313" w:rsidRPr="00944313">
        <w:rPr>
          <w:rFonts w:ascii="Times New Roman" w:hAnsi="Times New Roman" w:cs="Times New Roman"/>
        </w:rPr>
        <w:t>14.</w:t>
      </w:r>
      <w:r w:rsidR="00944313">
        <w:rPr>
          <w:rFonts w:ascii="Times New Roman" w:hAnsi="Times New Roman" w:cs="Times New Roman"/>
        </w:rPr>
        <w:t>8</w:t>
      </w:r>
      <w:r w:rsidR="00944313" w:rsidRPr="00944313">
        <w:rPr>
          <w:rFonts w:ascii="Times New Roman" w:hAnsi="Times New Roman" w:cs="Times New Roman"/>
        </w:rPr>
        <w:t>%</w:t>
      </w:r>
      <w:r w:rsidRPr="00944313">
        <w:rPr>
          <w:rFonts w:ascii="Times New Roman" w:hAnsi="Times New Roman" w:cs="Times New Roman"/>
        </w:rPr>
        <w:t xml:space="preserve"> increase</w:t>
      </w:r>
      <w:r w:rsidRPr="005540EB">
        <w:rPr>
          <w:rFonts w:ascii="Times New Roman" w:hAnsi="Times New Roman" w:cs="Times New Roman"/>
        </w:rPr>
        <w:t xml:space="preserve"> in their electric bill.  As part of that increase, the Company is proposing that the basic/customer charge be increased from </w:t>
      </w:r>
      <w:r w:rsidR="00944313" w:rsidRPr="00944313">
        <w:rPr>
          <w:rFonts w:ascii="Times New Roman" w:hAnsi="Times New Roman" w:cs="Times New Roman"/>
        </w:rPr>
        <w:t>$6.00</w:t>
      </w:r>
      <w:r w:rsidRPr="00944313">
        <w:rPr>
          <w:rFonts w:ascii="Times New Roman" w:hAnsi="Times New Roman" w:cs="Times New Roman"/>
        </w:rPr>
        <w:t xml:space="preserve"> to $</w:t>
      </w:r>
      <w:r w:rsidR="00944313" w:rsidRPr="00944313">
        <w:rPr>
          <w:rFonts w:ascii="Times New Roman" w:hAnsi="Times New Roman" w:cs="Times New Roman"/>
        </w:rPr>
        <w:t>10</w:t>
      </w:r>
      <w:r w:rsidRPr="00944313">
        <w:rPr>
          <w:rFonts w:ascii="Times New Roman" w:hAnsi="Times New Roman" w:cs="Times New Roman"/>
        </w:rPr>
        <w:t>.00 per</w:t>
      </w:r>
      <w:r w:rsidRPr="005540EB">
        <w:rPr>
          <w:rFonts w:ascii="Times New Roman" w:hAnsi="Times New Roman" w:cs="Times New Roman"/>
        </w:rPr>
        <w:t xml:space="preserve"> month.  The present bill for </w:t>
      </w:r>
      <w:r w:rsidRPr="00944313">
        <w:rPr>
          <w:rFonts w:ascii="Times New Roman" w:hAnsi="Times New Roman" w:cs="Times New Roman"/>
        </w:rPr>
        <w:t xml:space="preserve">1,000 </w:t>
      </w:r>
      <w:proofErr w:type="spellStart"/>
      <w:r w:rsidRPr="00944313">
        <w:rPr>
          <w:rFonts w:ascii="Times New Roman" w:hAnsi="Times New Roman" w:cs="Times New Roman"/>
        </w:rPr>
        <w:t>kWhs</w:t>
      </w:r>
      <w:proofErr w:type="spellEnd"/>
      <w:r w:rsidRPr="00944313">
        <w:rPr>
          <w:rFonts w:ascii="Times New Roman" w:hAnsi="Times New Roman" w:cs="Times New Roman"/>
        </w:rPr>
        <w:t xml:space="preserve"> is $</w:t>
      </w:r>
      <w:r w:rsidR="00944313">
        <w:rPr>
          <w:rFonts w:ascii="Times New Roman" w:hAnsi="Times New Roman" w:cs="Times New Roman"/>
        </w:rPr>
        <w:t>71.79</w:t>
      </w:r>
      <w:r w:rsidRPr="00944313">
        <w:rPr>
          <w:rFonts w:ascii="Times New Roman" w:hAnsi="Times New Roman" w:cs="Times New Roman"/>
        </w:rPr>
        <w:t xml:space="preserve"> compared to the proposed level of $</w:t>
      </w:r>
      <w:r w:rsidR="00944313">
        <w:rPr>
          <w:rFonts w:ascii="Times New Roman" w:hAnsi="Times New Roman" w:cs="Times New Roman"/>
        </w:rPr>
        <w:t>82.41</w:t>
      </w:r>
      <w:r w:rsidRPr="00944313">
        <w:rPr>
          <w:rFonts w:ascii="Times New Roman" w:hAnsi="Times New Roman" w:cs="Times New Roman"/>
        </w:rPr>
        <w:t>, including all rate adjustments.</w:t>
      </w:r>
    </w:p>
    <w:p w:rsidR="00147D24" w:rsidRPr="005540EB" w:rsidRDefault="00147D24" w:rsidP="00147D24">
      <w:pPr>
        <w:pStyle w:val="P131"/>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Q.</w:t>
      </w:r>
      <w:r>
        <w:rPr>
          <w:rFonts w:ascii="Times New Roman" w:hAnsi="Times New Roman" w:cs="Times New Roman"/>
        </w:rPr>
        <w:tab/>
        <w:t>Why is the Company proposing an increase of this magnitude in the customer/basic charge</w:t>
      </w:r>
      <w:r w:rsidRPr="005540EB">
        <w:rPr>
          <w:rFonts w:ascii="Times New Roman" w:hAnsi="Times New Roman" w:cs="Times New Roman"/>
        </w:rPr>
        <w:t>?</w:t>
      </w:r>
    </w:p>
    <w:p w:rsidR="00916D0F" w:rsidRPr="003279B2" w:rsidRDefault="00147D24" w:rsidP="003279B2">
      <w:pPr>
        <w:pStyle w:val="P156"/>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Pr="00147D24">
        <w:rPr>
          <w:rFonts w:ascii="Times New Roman" w:hAnsi="Times New Roman" w:cs="Times New Roman"/>
        </w:rPr>
        <w:t xml:space="preserve">A significant portion of the Company’s costs are fixed and do not vary with customer usage.  These costs include distribution plant and operating costs to provide reliable service to customers.   Given the large disparity between the level of </w:t>
      </w:r>
      <w:r w:rsidR="00B312FA">
        <w:rPr>
          <w:rFonts w:ascii="Times New Roman" w:hAnsi="Times New Roman" w:cs="Times New Roman"/>
        </w:rPr>
        <w:t xml:space="preserve">fixed </w:t>
      </w:r>
      <w:r w:rsidRPr="00147D24">
        <w:rPr>
          <w:rFonts w:ascii="Times New Roman" w:hAnsi="Times New Roman" w:cs="Times New Roman"/>
        </w:rPr>
        <w:t>customer costs and the present level of the basic charge, the Company believes that it is appropriate to recover a more reasonable level of these fixed customer costs through the basic charge.   Section V of my testimony provides further details on our proposal.</w:t>
      </w:r>
      <w:r w:rsidR="00916D0F">
        <w:br w:type="page"/>
      </w:r>
    </w:p>
    <w:p w:rsidR="005540EB" w:rsidRPr="005540EB" w:rsidRDefault="005540EB" w:rsidP="002A2752">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2A2752">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2A2752">
      <w:pPr>
        <w:pStyle w:val="P139"/>
        <w:numPr>
          <w:ilvl w:val="0"/>
          <w:numId w:val="3"/>
        </w:numPr>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5540EB" w:rsidRPr="005540EB" w:rsidRDefault="005540EB" w:rsidP="002A2752">
      <w:pPr>
        <w:pStyle w:val="P165"/>
        <w:numPr>
          <w:ilvl w:val="0"/>
          <w:numId w:val="32"/>
        </w:numPr>
        <w:tabs>
          <w:tab w:val="num" w:pos="126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p>
    <w:p w:rsidR="005540EB" w:rsidRPr="005540EB" w:rsidRDefault="005540EB" w:rsidP="005540EB">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5540EB" w:rsidRPr="005540EB" w:rsidRDefault="005540EB" w:rsidP="005540EB">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 xml:space="preserve">Q. </w:t>
      </w:r>
      <w:r w:rsidRPr="005540EB">
        <w:rPr>
          <w:rFonts w:ascii="Times New Roman" w:hAnsi="Times New Roman" w:cs="Times New Roman"/>
        </w:rPr>
        <w:tab/>
        <w:t xml:space="preserve">How is the Company proposing to spread the overall natural gas increase of </w:t>
      </w:r>
      <w:r w:rsidR="00987E07">
        <w:rPr>
          <w:rFonts w:ascii="Times New Roman" w:hAnsi="Times New Roman" w:cs="Times New Roman"/>
        </w:rPr>
        <w:t>$8,489,000, or 5.</w:t>
      </w:r>
      <w:r w:rsidR="008B5C02">
        <w:rPr>
          <w:rFonts w:ascii="Times New Roman" w:hAnsi="Times New Roman" w:cs="Times New Roman"/>
        </w:rPr>
        <w:t>4</w:t>
      </w:r>
      <w:r w:rsidR="00987E07">
        <w:rPr>
          <w:rFonts w:ascii="Times New Roman" w:hAnsi="Times New Roman" w:cs="Times New Roman"/>
        </w:rPr>
        <w:t xml:space="preserve">% </w:t>
      </w:r>
      <w:r w:rsidRPr="005540EB">
        <w:rPr>
          <w:rFonts w:ascii="Times New Roman" w:hAnsi="Times New Roman" w:cs="Times New Roman"/>
        </w:rPr>
        <w:t>by service schedule?</w:t>
      </w:r>
    </w:p>
    <w:p w:rsidR="005540EB" w:rsidRDefault="00545B95" w:rsidP="005540EB">
      <w:pPr>
        <w:pStyle w:val="P19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6944" behindDoc="1" locked="0" layoutInCell="1" allowOverlap="1">
            <wp:simplePos x="0" y="0"/>
            <wp:positionH relativeFrom="column">
              <wp:posOffset>900532</wp:posOffset>
            </wp:positionH>
            <wp:positionV relativeFrom="paragraph">
              <wp:posOffset>666294</wp:posOffset>
            </wp:positionV>
            <wp:extent cx="3820490" cy="1821484"/>
            <wp:effectExtent l="19050" t="0" r="856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20490" cy="1821484"/>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 xml:space="preserve">The Company is proposing the following </w:t>
      </w:r>
      <w:r w:rsidR="004A5E9F" w:rsidRPr="004A5E9F">
        <w:rPr>
          <w:rFonts w:ascii="Times New Roman" w:hAnsi="Times New Roman" w:cs="Times New Roman"/>
          <w:u w:val="single"/>
        </w:rPr>
        <w:t>base</w:t>
      </w:r>
      <w:r w:rsidR="004A5E9F">
        <w:rPr>
          <w:rFonts w:ascii="Times New Roman" w:hAnsi="Times New Roman" w:cs="Times New Roman"/>
        </w:rPr>
        <w:t xml:space="preserve"> </w:t>
      </w:r>
      <w:r w:rsidR="005540EB" w:rsidRPr="005540EB">
        <w:rPr>
          <w:rFonts w:ascii="Times New Roman" w:hAnsi="Times New Roman" w:cs="Times New Roman"/>
        </w:rPr>
        <w:t>revenue/rate changes by rate schedule</w:t>
      </w:r>
      <w:r w:rsidR="00916D0F">
        <w:rPr>
          <w:rStyle w:val="FootnoteReference"/>
          <w:rFonts w:ascii="Times New Roman" w:hAnsi="Times New Roman"/>
        </w:rPr>
        <w:footnoteReference w:id="2"/>
      </w:r>
      <w:r w:rsidR="005540EB" w:rsidRPr="005540EB">
        <w:rPr>
          <w:rFonts w:ascii="Times New Roman" w:hAnsi="Times New Roman" w:cs="Times New Roman"/>
        </w:rPr>
        <w:t>:</w:t>
      </w:r>
    </w:p>
    <w:p w:rsidR="00B5246C" w:rsidRDefault="00B5246C"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545B95" w:rsidRDefault="005540EB" w:rsidP="008D1B9E">
      <w:pPr>
        <w:pStyle w:val="P249"/>
        <w:tabs>
          <w:tab w:val="left" w:pos="720"/>
        </w:tabs>
        <w:jc w:val="both"/>
        <w:rPr>
          <w:rFonts w:ascii="Times New Roman" w:hAnsi="Times New Roman" w:cs="Times New Roman"/>
        </w:rPr>
      </w:pPr>
      <w:r w:rsidRPr="005540EB">
        <w:rPr>
          <w:rFonts w:ascii="Times New Roman" w:hAnsi="Times New Roman" w:cs="Times New Roman"/>
        </w:rPr>
        <w:tab/>
      </w:r>
    </w:p>
    <w:p w:rsidR="005540EB" w:rsidRPr="005540EB" w:rsidRDefault="00545B95" w:rsidP="008D1B9E">
      <w:pPr>
        <w:pStyle w:val="P249"/>
        <w:tabs>
          <w:tab w:val="left" w:pos="720"/>
        </w:tabs>
        <w:jc w:val="both"/>
        <w:rPr>
          <w:rFonts w:ascii="Times New Roman" w:hAnsi="Times New Roman" w:cs="Times New Roman"/>
        </w:rPr>
      </w:pPr>
      <w:r>
        <w:rPr>
          <w:rFonts w:ascii="Times New Roman" w:hAnsi="Times New Roman" w:cs="Times New Roman"/>
        </w:rPr>
        <w:tab/>
      </w:r>
      <w:r w:rsidR="005540EB" w:rsidRPr="005540EB">
        <w:rPr>
          <w:rFonts w:ascii="Times New Roman" w:hAnsi="Times New Roman" w:cs="Times New Roman"/>
        </w:rPr>
        <w:t>This information is also shown on page 1 of Exhibit No._</w:t>
      </w:r>
      <w:r w:rsidR="0043473F">
        <w:rPr>
          <w:rFonts w:ascii="Times New Roman" w:hAnsi="Times New Roman" w:cs="Times New Roman"/>
        </w:rPr>
        <w:t>__</w:t>
      </w:r>
      <w:r w:rsidR="005540EB" w:rsidRPr="005540EB">
        <w:rPr>
          <w:rFonts w:ascii="Times New Roman" w:hAnsi="Times New Roman" w:cs="Times New Roman"/>
        </w:rPr>
        <w:t>(</w:t>
      </w:r>
      <w:r w:rsidR="00D8699E">
        <w:rPr>
          <w:rFonts w:ascii="Times New Roman" w:hAnsi="Times New Roman" w:cs="Times New Roman"/>
        </w:rPr>
        <w:t>PDE</w:t>
      </w:r>
      <w:r w:rsidR="005540EB" w:rsidRPr="005540EB">
        <w:rPr>
          <w:rFonts w:ascii="Times New Roman" w:hAnsi="Times New Roman" w:cs="Times New Roman"/>
        </w:rPr>
        <w:t xml:space="preserve">-7).  The Company utilized the results of the natural gas cost of service study, sponsored by Witness Knox, as a guide in spreading the overall revenue increase to its natural gas service </w:t>
      </w:r>
      <w:r w:rsidR="005540EB" w:rsidRPr="005540EB">
        <w:rPr>
          <w:rFonts w:ascii="Times New Roman" w:hAnsi="Times New Roman" w:cs="Times New Roman"/>
        </w:rPr>
        <w:lastRenderedPageBreak/>
        <w:t xml:space="preserve">schedules.  </w:t>
      </w:r>
    </w:p>
    <w:p w:rsidR="005540EB" w:rsidRPr="005540EB" w:rsidRDefault="005540EB" w:rsidP="002A2752">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sidR="00987E07">
        <w:rPr>
          <w:rFonts w:ascii="Times New Roman" w:hAnsi="Times New Roman" w:cs="Times New Roman"/>
        </w:rPr>
        <w:t>69</w:t>
      </w:r>
      <w:r w:rsidRPr="005540EB">
        <w:rPr>
          <w:rFonts w:ascii="Times New Roman" w:hAnsi="Times New Roman" w:cs="Times New Roman"/>
        </w:rPr>
        <w:t xml:space="preserve"> therms of gas per month </w:t>
      </w:r>
      <w:r w:rsidRPr="00987E07">
        <w:rPr>
          <w:rFonts w:ascii="Times New Roman" w:hAnsi="Times New Roman" w:cs="Times New Roman"/>
        </w:rPr>
        <w:t xml:space="preserve">would be </w:t>
      </w:r>
      <w:r w:rsidR="00987E07" w:rsidRPr="00987E07">
        <w:rPr>
          <w:rFonts w:ascii="Times New Roman" w:hAnsi="Times New Roman" w:cs="Times New Roman"/>
        </w:rPr>
        <w:t>$4.00</w:t>
      </w:r>
      <w:r w:rsidRPr="00987E07">
        <w:rPr>
          <w:rFonts w:ascii="Times New Roman" w:hAnsi="Times New Roman" w:cs="Times New Roman"/>
        </w:rPr>
        <w:t xml:space="preserve"> per month, or </w:t>
      </w:r>
      <w:r w:rsidR="00987E07" w:rsidRPr="00987E07">
        <w:rPr>
          <w:rFonts w:ascii="Times New Roman" w:hAnsi="Times New Roman" w:cs="Times New Roman"/>
        </w:rPr>
        <w:t>6.8%</w:t>
      </w:r>
      <w:r w:rsidRPr="00987E07">
        <w:rPr>
          <w:rFonts w:ascii="Times New Roman" w:hAnsi="Times New Roman" w:cs="Times New Roman"/>
        </w:rPr>
        <w:t xml:space="preserve">  A bill for </w:t>
      </w:r>
      <w:r w:rsidR="00987E07" w:rsidRPr="00987E07">
        <w:rPr>
          <w:rFonts w:ascii="Times New Roman" w:hAnsi="Times New Roman" w:cs="Times New Roman"/>
        </w:rPr>
        <w:t xml:space="preserve">69 </w:t>
      </w:r>
      <w:r w:rsidRPr="00987E07">
        <w:rPr>
          <w:rFonts w:ascii="Times New Roman" w:hAnsi="Times New Roman" w:cs="Times New Roman"/>
        </w:rPr>
        <w:t>therms per month would increase from the present level of $</w:t>
      </w:r>
      <w:r w:rsidR="00987E07" w:rsidRPr="00987E07">
        <w:rPr>
          <w:rFonts w:ascii="Times New Roman" w:hAnsi="Times New Roman" w:cs="Times New Roman"/>
        </w:rPr>
        <w:t>58.79</w:t>
      </w:r>
      <w:r w:rsidRPr="00987E07">
        <w:rPr>
          <w:rFonts w:ascii="Times New Roman" w:hAnsi="Times New Roman" w:cs="Times New Roman"/>
        </w:rPr>
        <w:t xml:space="preserve"> to a proposed level of $</w:t>
      </w:r>
      <w:r w:rsidR="00987E07" w:rsidRPr="00987E07">
        <w:rPr>
          <w:rFonts w:ascii="Times New Roman" w:hAnsi="Times New Roman" w:cs="Times New Roman"/>
        </w:rPr>
        <w:t>62.79</w:t>
      </w:r>
      <w:r w:rsidRPr="00987E07">
        <w:rPr>
          <w:rFonts w:ascii="Times New Roman" w:hAnsi="Times New Roman" w:cs="Times New Roman"/>
        </w:rPr>
        <w:t>, including all present rate adjustments.  As part of this increase, the Company is proposing</w:t>
      </w:r>
      <w:r w:rsidRPr="005540EB">
        <w:rPr>
          <w:rFonts w:ascii="Times New Roman" w:hAnsi="Times New Roman" w:cs="Times New Roman"/>
        </w:rPr>
        <w:t xml:space="preserve"> an increase in the monthly </w:t>
      </w:r>
      <w:r w:rsidRPr="00987E07">
        <w:rPr>
          <w:rFonts w:ascii="Times New Roman" w:hAnsi="Times New Roman" w:cs="Times New Roman"/>
        </w:rPr>
        <w:t xml:space="preserve">customer charge of </w:t>
      </w:r>
      <w:r w:rsidR="00987E07" w:rsidRPr="00987E07">
        <w:rPr>
          <w:rFonts w:ascii="Times New Roman" w:hAnsi="Times New Roman" w:cs="Times New Roman"/>
        </w:rPr>
        <w:t>$4.00</w:t>
      </w:r>
      <w:r w:rsidRPr="00987E07">
        <w:rPr>
          <w:rFonts w:ascii="Times New Roman" w:hAnsi="Times New Roman" w:cs="Times New Roman"/>
        </w:rPr>
        <w:t xml:space="preserve"> per month, from $</w:t>
      </w:r>
      <w:r w:rsidR="00987E07" w:rsidRPr="00987E07">
        <w:rPr>
          <w:rFonts w:ascii="Times New Roman" w:hAnsi="Times New Roman" w:cs="Times New Roman"/>
        </w:rPr>
        <w:t>6.00 to $10.00</w:t>
      </w:r>
      <w:r w:rsidR="00F50FF3">
        <w:rPr>
          <w:rFonts w:ascii="Times New Roman" w:hAnsi="Times New Roman" w:cs="Times New Roman"/>
        </w:rPr>
        <w:t>, to</w:t>
      </w:r>
      <w:r w:rsidR="00F50FF3" w:rsidRPr="00147D24">
        <w:rPr>
          <w:rFonts w:ascii="Times New Roman" w:hAnsi="Times New Roman" w:cs="Times New Roman"/>
        </w:rPr>
        <w:t xml:space="preserve"> recover a more reasonable level </w:t>
      </w:r>
      <w:r w:rsidR="00F50FF3">
        <w:rPr>
          <w:rFonts w:ascii="Times New Roman" w:hAnsi="Times New Roman" w:cs="Times New Roman"/>
        </w:rPr>
        <w:t>of</w:t>
      </w:r>
      <w:r w:rsidR="00F50FF3" w:rsidRPr="00147D24">
        <w:rPr>
          <w:rFonts w:ascii="Times New Roman" w:hAnsi="Times New Roman" w:cs="Times New Roman"/>
        </w:rPr>
        <w:t xml:space="preserve"> fixed customer costs</w:t>
      </w:r>
      <w:r w:rsidR="00F50FF3">
        <w:rPr>
          <w:rFonts w:ascii="Times New Roman" w:hAnsi="Times New Roman" w:cs="Times New Roman"/>
        </w:rPr>
        <w:t>.</w:t>
      </w:r>
    </w:p>
    <w:p w:rsidR="005540EB" w:rsidRPr="005540EB" w:rsidRDefault="005540EB" w:rsidP="005540EB">
      <w:pPr>
        <w:pStyle w:val="P271"/>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  PROPOSED ELECTRIC REVENUE INCREASE</w:t>
      </w:r>
    </w:p>
    <w:p w:rsidR="005540EB" w:rsidRPr="005540EB" w:rsidRDefault="005540EB" w:rsidP="005540EB">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5540EB">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5540EB">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5540EB">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BF36C1">
      <w:pPr>
        <w:pStyle w:val="P260"/>
        <w:tabs>
          <w:tab w:val="left" w:pos="720"/>
        </w:tabs>
        <w:jc w:val="both"/>
        <w:rPr>
          <w:rFonts w:ascii="Times New Roman" w:hAnsi="Times New Roman" w:cs="Times New Roman"/>
          <w:b w:val="0"/>
        </w:rPr>
      </w:pPr>
      <w:r w:rsidRPr="005540EB">
        <w:rPr>
          <w:rStyle w:val="T13"/>
          <w:rFonts w:ascii="Times New Roman" w:hAnsi="Times New Roman" w:cs="Times New Roman"/>
          <w:b w:val="0"/>
        </w:rPr>
        <w:tab/>
        <w:t>A.</w:t>
      </w:r>
      <w:r w:rsidRPr="005540EB">
        <w:rPr>
          <w:rStyle w:val="T13"/>
          <w:rFonts w:ascii="Times New Roman" w:hAnsi="Times New Roman" w:cs="Times New Roman"/>
          <w:b w:val="0"/>
        </w:rPr>
        <w:tab/>
      </w:r>
      <w:r w:rsidRPr="005540EB">
        <w:rPr>
          <w:rFonts w:ascii="Times New Roman" w:hAnsi="Times New Roman" w:cs="Times New Roman"/>
          <w:b w:val="0"/>
        </w:rPr>
        <w:t>Exhibit No._</w:t>
      </w:r>
      <w:r w:rsidR="0043473F">
        <w:rPr>
          <w:rFonts w:ascii="Times New Roman" w:hAnsi="Times New Roman" w:cs="Times New Roman"/>
          <w:b w:val="0"/>
        </w:rPr>
        <w:t>__</w:t>
      </w:r>
      <w:r w:rsidRPr="005540EB">
        <w:rPr>
          <w:rFonts w:ascii="Times New Roman" w:hAnsi="Times New Roman" w:cs="Times New Roman"/>
          <w:b w:val="0"/>
        </w:rPr>
        <w:t>(</w:t>
      </w:r>
      <w:r w:rsidR="00D8699E">
        <w:rPr>
          <w:rFonts w:ascii="Times New Roman" w:hAnsi="Times New Roman" w:cs="Times New Roman"/>
          <w:b w:val="0"/>
        </w:rPr>
        <w:t>PDE</w:t>
      </w:r>
      <w:r w:rsidRPr="005540EB">
        <w:rPr>
          <w:rFonts w:ascii="Times New Roman" w:hAnsi="Times New Roman" w:cs="Times New Roman"/>
          <w:b w:val="0"/>
        </w:rPr>
        <w:t>-4)</w:t>
      </w:r>
      <w:r w:rsidRPr="005540EB">
        <w:rPr>
          <w:rStyle w:val="T13"/>
          <w:rFonts w:ascii="Times New Roman" w:hAnsi="Times New Roman" w:cs="Times New Roman"/>
          <w:b w:val="0"/>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b w:val="0"/>
          <w:u w:val="none"/>
        </w:rPr>
        <w:t>base tariff</w:t>
      </w:r>
      <w:r w:rsidRPr="005540EB">
        <w:rPr>
          <w:rStyle w:val="T13"/>
          <w:rFonts w:ascii="Times New Roman" w:hAnsi="Times New Roman" w:cs="Times New Roman"/>
          <w:b w:val="0"/>
        </w:rPr>
        <w:t xml:space="preserve"> and billing </w:t>
      </w:r>
      <w:r w:rsidRPr="005540EB">
        <w:rPr>
          <w:rStyle w:val="T13"/>
          <w:rFonts w:ascii="Times New Roman" w:hAnsi="Times New Roman" w:cs="Times New Roman"/>
          <w:b w:val="0"/>
        </w:rPr>
        <w:lastRenderedPageBreak/>
        <w:t>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b w:val="0"/>
        </w:rPr>
        <w:t>,</w:t>
      </w:r>
      <w:r w:rsidRPr="005540EB">
        <w:rPr>
          <w:rStyle w:val="T13"/>
          <w:rFonts w:ascii="Times New Roman" w:hAnsi="Times New Roman" w:cs="Times New Roman"/>
          <w:b w:val="0"/>
        </w:rPr>
        <w:t xml:space="preserve"> and the proposed rates after application of the changes.  These pages will be referred to later in my testimony.    </w:t>
      </w:r>
    </w:p>
    <w:p w:rsidR="005540EB" w:rsidRPr="005540EB" w:rsidRDefault="005540EB" w:rsidP="005540EB">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Default="005540EB" w:rsidP="00894CE2">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Exchange rate credit.  </w:t>
      </w:r>
    </w:p>
    <w:p w:rsidR="00894CE2" w:rsidRDefault="00545B95" w:rsidP="00894CE2">
      <w:pPr>
        <w:pStyle w:val="P43"/>
        <w:jc w:val="both"/>
        <w:rPr>
          <w:rFonts w:ascii="Times New Roman" w:hAnsi="Times New Roman"/>
        </w:rPr>
      </w:pPr>
      <w:r>
        <w:rPr>
          <w:rFonts w:ascii="Times New Roman" w:hAnsi="Times New Roman"/>
          <w:noProof/>
        </w:rPr>
        <w:drawing>
          <wp:anchor distT="0" distB="0" distL="114300" distR="114300" simplePos="0" relativeHeight="251655680" behindDoc="1" locked="0" layoutInCell="1" allowOverlap="1">
            <wp:simplePos x="0" y="0"/>
            <wp:positionH relativeFrom="column">
              <wp:posOffset>695706</wp:posOffset>
            </wp:positionH>
            <wp:positionV relativeFrom="paragraph">
              <wp:posOffset>696773</wp:posOffset>
            </wp:positionV>
            <wp:extent cx="4311549" cy="1411833"/>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4311549" cy="1411833"/>
                    </a:xfrm>
                    <a:prstGeom prst="rect">
                      <a:avLst/>
                    </a:prstGeom>
                    <a:noFill/>
                    <a:ln w="9525">
                      <a:noFill/>
                      <a:miter lim="800000"/>
                      <a:headEnd/>
                      <a:tailEnd/>
                    </a:ln>
                  </pic:spPr>
                </pic:pic>
              </a:graphicData>
            </a:graphic>
          </wp:anchor>
        </w:drawing>
      </w:r>
      <w:r w:rsidR="005540EB" w:rsidRPr="00894CE2">
        <w:rPr>
          <w:rFonts w:ascii="Times New Roman" w:hAnsi="Times New Roman"/>
        </w:rPr>
        <w:t xml:space="preserve">The following table shows the type and number of customers served in </w:t>
      </w:r>
      <w:smartTag w:uri="urn:schemas-microsoft-com:office:smarttags" w:element="State">
        <w:smartTag w:uri="urn:schemas-microsoft-com:office:smarttags" w:element="place">
          <w:r w:rsidR="005540EB" w:rsidRPr="00894CE2">
            <w:rPr>
              <w:rFonts w:ascii="Times New Roman" w:hAnsi="Times New Roman"/>
            </w:rPr>
            <w:t>Washington</w:t>
          </w:r>
        </w:smartTag>
      </w:smartTag>
      <w:r w:rsidR="005540EB" w:rsidRPr="00894CE2">
        <w:rPr>
          <w:rFonts w:ascii="Times New Roman" w:hAnsi="Times New Roman"/>
        </w:rPr>
        <w:t xml:space="preserve"> (as of December 200</w:t>
      </w:r>
      <w:r w:rsidR="00B44612">
        <w:rPr>
          <w:rFonts w:ascii="Times New Roman" w:hAnsi="Times New Roman"/>
        </w:rPr>
        <w:t>9</w:t>
      </w:r>
      <w:r w:rsidR="005540EB" w:rsidRPr="00894CE2">
        <w:rPr>
          <w:rFonts w:ascii="Times New Roman" w:hAnsi="Times New Roman"/>
        </w:rPr>
        <w:t>) under each of the service schedules:</w:t>
      </w:r>
    </w:p>
    <w:p w:rsidR="005540EB" w:rsidRDefault="005540EB" w:rsidP="00F17ED7">
      <w:pPr>
        <w:pStyle w:val="P43"/>
        <w:ind w:firstLine="0"/>
        <w:jc w:val="center"/>
        <w:rPr>
          <w:rFonts w:ascii="Times New Roman" w:hAnsi="Times New Roman"/>
          <w:b/>
          <w:u w:val="single"/>
        </w:rPr>
      </w:pPr>
      <w:bookmarkStart w:id="0" w:name="OLE_LINK1"/>
    </w:p>
    <w:bookmarkEnd w:id="0"/>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5540EB" w:rsidRPr="005540EB" w:rsidRDefault="005540EB" w:rsidP="005540EB">
      <w:pPr>
        <w:pStyle w:val="P127"/>
        <w:outlineLvl w:val="0"/>
        <w:rPr>
          <w:rFonts w:ascii="Times New Roman" w:hAnsi="Times New Roman" w:cs="Times New Roman"/>
        </w:rPr>
      </w:pPr>
      <w:r w:rsidRPr="005540EB">
        <w:rPr>
          <w:rFonts w:ascii="Times New Roman" w:hAnsi="Times New Roman" w:cs="Times New Roman"/>
        </w:rPr>
        <w:lastRenderedPageBreak/>
        <w:t>Proposed Electric Rate Spread</w:t>
      </w:r>
    </w:p>
    <w:p w:rsidR="005540EB" w:rsidRPr="005540EB" w:rsidRDefault="005540EB" w:rsidP="002A2752">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request of </w:t>
      </w:r>
      <w:r w:rsidRPr="00CB3A2C">
        <w:rPr>
          <w:rStyle w:val="T11"/>
          <w:rFonts w:ascii="Times New Roman" w:hAnsi="Times New Roman" w:cs="Times New Roman"/>
        </w:rPr>
        <w:t>$</w:t>
      </w:r>
      <w:r w:rsidR="00CB3A2C" w:rsidRPr="00CB3A2C">
        <w:rPr>
          <w:rStyle w:val="T11"/>
          <w:rFonts w:ascii="Times New Roman" w:hAnsi="Times New Roman" w:cs="Times New Roman"/>
        </w:rPr>
        <w:t>55,298</w:t>
      </w:r>
      <w:r w:rsidRPr="00CB3A2C">
        <w:rPr>
          <w:rStyle w:val="T11"/>
          <w:rFonts w:ascii="Times New Roman" w:hAnsi="Times New Roman" w:cs="Times New Roman"/>
        </w:rPr>
        <w:t>,000</w:t>
      </w:r>
      <w:r w:rsidRPr="005540EB">
        <w:rPr>
          <w:rStyle w:val="T11"/>
          <w:rFonts w:ascii="Times New Roman" w:hAnsi="Times New Roman" w:cs="Times New Roman"/>
        </w:rPr>
        <w:t xml:space="preserve"> among its various rate schedules?</w:t>
      </w:r>
    </w:p>
    <w:p w:rsidR="005540EB" w:rsidRPr="005540EB" w:rsidRDefault="005540EB" w:rsidP="002A2752">
      <w:pPr>
        <w:pStyle w:val="P166"/>
        <w:numPr>
          <w:ilvl w:val="0"/>
          <w:numId w:val="29"/>
        </w:numPr>
        <w:tabs>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overall requested revenue increase be spread on the following basis</w:t>
      </w:r>
      <w:r w:rsidR="00944313">
        <w:rPr>
          <w:rFonts w:ascii="Times New Roman" w:hAnsi="Times New Roman" w:cs="Times New Roman"/>
        </w:rPr>
        <w:t>:</w:t>
      </w:r>
    </w:p>
    <w:p w:rsidR="005540EB" w:rsidRPr="005540EB" w:rsidRDefault="00A152BC" w:rsidP="00D23716">
      <w:pPr>
        <w:pStyle w:val="P85"/>
        <w:jc w:val="center"/>
        <w:rPr>
          <w:rFonts w:ascii="Times New Roman" w:hAnsi="Times New Roman" w:cs="Times New Roman"/>
        </w:rPr>
      </w:pPr>
      <w:r w:rsidRPr="00A152BC">
        <w:rPr>
          <w:noProof/>
        </w:rPr>
        <w:drawing>
          <wp:anchor distT="0" distB="0" distL="114300" distR="114300" simplePos="0" relativeHeight="251677184" behindDoc="1" locked="0" layoutInCell="1" allowOverlap="1">
            <wp:simplePos x="0" y="0"/>
            <wp:positionH relativeFrom="column">
              <wp:posOffset>842010</wp:posOffset>
            </wp:positionH>
            <wp:positionV relativeFrom="paragraph">
              <wp:posOffset>1829</wp:posOffset>
            </wp:positionV>
            <wp:extent cx="3909212" cy="1901952"/>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09212" cy="1901952"/>
                    </a:xfrm>
                    <a:prstGeom prst="rect">
                      <a:avLst/>
                    </a:prstGeom>
                    <a:noFill/>
                    <a:ln w="9525">
                      <a:noFill/>
                      <a:miter lim="800000"/>
                      <a:headEnd/>
                      <a:tailEnd/>
                    </a:ln>
                  </pic:spPr>
                </pic:pic>
              </a:graphicData>
            </a:graphic>
          </wp:anchor>
        </w:drawing>
      </w: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5540EB" w:rsidRPr="004C1B9A" w:rsidRDefault="005540EB" w:rsidP="005540EB">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his information is shown in detail on Page 1 of Exhibit No._</w:t>
      </w:r>
      <w:r w:rsidR="0043473F" w:rsidRPr="004C1B9A">
        <w:rPr>
          <w:rFonts w:ascii="Times New Roman" w:hAnsi="Times New Roman" w:cs="Times New Roman"/>
        </w:rPr>
        <w:t>__</w:t>
      </w:r>
      <w:r w:rsidRPr="004C1B9A">
        <w:rPr>
          <w:rFonts w:ascii="Times New Roman" w:hAnsi="Times New Roman" w:cs="Times New Roman"/>
        </w:rPr>
        <w:t>(</w:t>
      </w:r>
      <w:r w:rsidR="00D8699E" w:rsidRPr="004C1B9A">
        <w:rPr>
          <w:rFonts w:ascii="Times New Roman" w:hAnsi="Times New Roman" w:cs="Times New Roman"/>
        </w:rPr>
        <w:t>PDE</w:t>
      </w:r>
      <w:r w:rsidRPr="004C1B9A">
        <w:rPr>
          <w:rFonts w:ascii="Times New Roman" w:hAnsi="Times New Roman" w:cs="Times New Roman"/>
        </w:rPr>
        <w:t xml:space="preserve">-4). </w:t>
      </w:r>
    </w:p>
    <w:p w:rsidR="005540EB" w:rsidRPr="004C1B9A" w:rsidRDefault="00894CE2" w:rsidP="002A2752">
      <w:pPr>
        <w:pStyle w:val="P172"/>
        <w:numPr>
          <w:ilvl w:val="0"/>
          <w:numId w:val="14"/>
        </w:numPr>
        <w:ind w:left="0" w:firstLine="720"/>
        <w:jc w:val="both"/>
        <w:rPr>
          <w:rFonts w:ascii="Times New Roman" w:hAnsi="Times New Roman" w:cs="Times New Roman"/>
        </w:rPr>
      </w:pPr>
      <w:r w:rsidRPr="004C1B9A">
        <w:rPr>
          <w:rStyle w:val="T11"/>
          <w:rFonts w:ascii="Times New Roman" w:hAnsi="Times New Roman" w:cs="Times New Roman"/>
        </w:rPr>
        <w:t>What rationale did the C</w:t>
      </w:r>
      <w:r w:rsidR="005540EB" w:rsidRPr="004C1B9A">
        <w:rPr>
          <w:rStyle w:val="T11"/>
          <w:rFonts w:ascii="Times New Roman" w:hAnsi="Times New Roman" w:cs="Times New Roman"/>
        </w:rPr>
        <w:t>ompany use in developing the proposed general increase by rate schedule?</w:t>
      </w:r>
    </w:p>
    <w:p w:rsidR="00EB1E66" w:rsidRDefault="005540EB" w:rsidP="00EB1E66">
      <w:pPr>
        <w:pStyle w:val="P179"/>
        <w:ind w:left="0" w:firstLine="720"/>
        <w:jc w:val="both"/>
        <w:rPr>
          <w:rStyle w:val="T13"/>
        </w:rPr>
      </w:pPr>
      <w:r w:rsidRPr="004C1B9A">
        <w:rPr>
          <w:rFonts w:ascii="Times New Roman" w:hAnsi="Times New Roman" w:cs="Times New Roman"/>
          <w:b w:val="0"/>
        </w:rPr>
        <w:t>A.</w:t>
      </w:r>
      <w:r w:rsidRPr="004C1B9A">
        <w:rPr>
          <w:rFonts w:ascii="Times New Roman" w:hAnsi="Times New Roman" w:cs="Times New Roman"/>
          <w:b w:val="0"/>
        </w:rPr>
        <w:tab/>
      </w:r>
      <w:r w:rsidR="0043473F" w:rsidRPr="004C1B9A">
        <w:rPr>
          <w:rStyle w:val="T13"/>
          <w:rFonts w:ascii="Times New Roman" w:hAnsi="Times New Roman" w:cs="Times New Roman"/>
          <w:b w:val="0"/>
        </w:rPr>
        <w:t>The C</w:t>
      </w:r>
      <w:r w:rsidRPr="004C1B9A">
        <w:rPr>
          <w:rStyle w:val="T13"/>
          <w:rFonts w:ascii="Times New Roman" w:hAnsi="Times New Roman" w:cs="Times New Roman"/>
          <w:b w:val="0"/>
        </w:rPr>
        <w:t xml:space="preserve">ompany used the results of the cost of service study (sponsored by </w:t>
      </w:r>
      <w:r w:rsidR="0043473F" w:rsidRPr="004C1B9A">
        <w:rPr>
          <w:rStyle w:val="T13"/>
          <w:rFonts w:ascii="Times New Roman" w:hAnsi="Times New Roman" w:cs="Times New Roman"/>
          <w:b w:val="0"/>
        </w:rPr>
        <w:t>Ms.</w:t>
      </w:r>
      <w:r w:rsidRPr="004C1B9A">
        <w:rPr>
          <w:rStyle w:val="T13"/>
          <w:rFonts w:ascii="Times New Roman" w:hAnsi="Times New Roman" w:cs="Times New Roman"/>
          <w:b w:val="0"/>
        </w:rPr>
        <w:t xml:space="preserve"> Knox) as a guide to spread the general increase.  The spread of the proposed increase generally results in the rates of return for the various service schedules moving </w:t>
      </w:r>
      <w:r w:rsidR="00F50FF3">
        <w:rPr>
          <w:rStyle w:val="T13"/>
          <w:rFonts w:ascii="Times New Roman" w:hAnsi="Times New Roman" w:cs="Times New Roman"/>
          <w:b w:val="0"/>
        </w:rPr>
        <w:t xml:space="preserve">approximately one-third </w:t>
      </w:r>
      <w:r w:rsidRPr="004C1B9A">
        <w:rPr>
          <w:rStyle w:val="T13"/>
          <w:rFonts w:ascii="Times New Roman" w:hAnsi="Times New Roman" w:cs="Times New Roman"/>
          <w:b w:val="0"/>
        </w:rPr>
        <w:t>closer to the overall rate of return (unity).  The table below shows the relative rates of return (schedule rate of return divided by overall rate of return) before and after application of the proposed general increase, as well as the relative rate of return based on the application of the general increase on a uniform percentage basis (</w:t>
      </w:r>
      <w:r w:rsidR="004C1B9A" w:rsidRPr="004C1B9A">
        <w:rPr>
          <w:rStyle w:val="T13"/>
          <w:rFonts w:ascii="Times New Roman" w:hAnsi="Times New Roman" w:cs="Times New Roman"/>
          <w:b w:val="0"/>
        </w:rPr>
        <w:t>13.8</w:t>
      </w:r>
      <w:r w:rsidRPr="004C1B9A">
        <w:rPr>
          <w:rStyle w:val="T13"/>
          <w:rFonts w:ascii="Times New Roman" w:hAnsi="Times New Roman" w:cs="Times New Roman"/>
          <w:b w:val="0"/>
        </w:rPr>
        <w:t>%) to all rate schedules:</w:t>
      </w:r>
      <w:r w:rsidR="00EB1E66">
        <w:rPr>
          <w:rStyle w:val="T13"/>
          <w:rFonts w:ascii="Times New Roman" w:hAnsi="Times New Roman" w:cs="Times New Roman"/>
          <w:b w:val="0"/>
        </w:rPr>
        <w:br w:type="page"/>
      </w:r>
    </w:p>
    <w:p w:rsidR="005540EB" w:rsidRPr="00FD0FCC" w:rsidRDefault="00916D0F" w:rsidP="00944313">
      <w:pPr>
        <w:pStyle w:val="P179"/>
        <w:ind w:left="0" w:firstLine="720"/>
        <w:jc w:val="both"/>
        <w:rPr>
          <w:rStyle w:val="T13"/>
          <w:rFonts w:ascii="Times New Roman" w:hAnsi="Times New Roman" w:cs="Times New Roman"/>
          <w:b w:val="0"/>
        </w:rPr>
      </w:pPr>
      <w:r>
        <w:rPr>
          <w:rFonts w:ascii="Times New Roman" w:hAnsi="Times New Roman" w:cs="Times New Roman"/>
          <w:b w:val="0"/>
          <w:noProof/>
        </w:rPr>
        <w:lastRenderedPageBreak/>
        <w:drawing>
          <wp:anchor distT="0" distB="0" distL="114300" distR="114300" simplePos="0" relativeHeight="251681280" behindDoc="1" locked="0" layoutInCell="1" allowOverlap="1">
            <wp:simplePos x="0" y="0"/>
            <wp:positionH relativeFrom="column">
              <wp:posOffset>337261</wp:posOffset>
            </wp:positionH>
            <wp:positionV relativeFrom="paragraph">
              <wp:posOffset>0</wp:posOffset>
            </wp:positionV>
            <wp:extent cx="5291481" cy="2216506"/>
            <wp:effectExtent l="19050" t="0" r="4419"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91481" cy="2216506"/>
                    </a:xfrm>
                    <a:prstGeom prst="rect">
                      <a:avLst/>
                    </a:prstGeom>
                    <a:noFill/>
                    <a:ln w="9525">
                      <a:noFill/>
                      <a:miter lim="800000"/>
                      <a:headEnd/>
                      <a:tailEnd/>
                    </a:ln>
                  </pic:spPr>
                </pic:pic>
              </a:graphicData>
            </a:graphic>
          </wp:anchor>
        </w:drawing>
      </w: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5540EB" w:rsidRPr="004C1B9A" w:rsidRDefault="00894CE2" w:rsidP="00944313">
      <w:pPr>
        <w:pStyle w:val="P167"/>
        <w:tabs>
          <w:tab w:val="clear" w:pos="720"/>
          <w:tab w:val="left" w:pos="900"/>
        </w:tabs>
        <w:ind w:left="0" w:firstLine="720"/>
        <w:jc w:val="both"/>
        <w:rPr>
          <w:rStyle w:val="T11"/>
          <w:rFonts w:ascii="Times New Roman" w:hAnsi="Times New Roman" w:cs="Times New Roman"/>
          <w:b w:val="0"/>
        </w:rPr>
      </w:pPr>
      <w:r w:rsidRPr="004C1B9A">
        <w:rPr>
          <w:rFonts w:ascii="Times New Roman" w:hAnsi="Times New Roman" w:cs="Times New Roman"/>
        </w:rPr>
        <w:t>As shown, for those s</w:t>
      </w:r>
      <w:r w:rsidR="005540EB" w:rsidRPr="004C1B9A">
        <w:rPr>
          <w:rFonts w:ascii="Times New Roman" w:hAnsi="Times New Roman" w:cs="Times New Roman"/>
        </w:rPr>
        <w:t xml:space="preserve">chedules where the present rates are substantially above or below the cost of service, the proposed increase generally results in a reasonable movement toward unity (1.00).  </w:t>
      </w:r>
    </w:p>
    <w:p w:rsidR="005540EB" w:rsidRPr="004C1B9A" w:rsidRDefault="005540EB" w:rsidP="005540EB">
      <w:pPr>
        <w:pStyle w:val="P24"/>
        <w:tabs>
          <w:tab w:val="left" w:pos="1260"/>
        </w:tabs>
        <w:spacing w:line="480" w:lineRule="auto"/>
        <w:ind w:firstLine="720"/>
        <w:jc w:val="both"/>
        <w:rPr>
          <w:rStyle w:val="T11"/>
          <w:rFonts w:ascii="Times New Roman" w:hAnsi="Times New Roman" w:cs="Times New Roman"/>
        </w:rPr>
      </w:pPr>
      <w:r w:rsidRPr="004C1B9A">
        <w:rPr>
          <w:rStyle w:val="T11"/>
          <w:rFonts w:ascii="Times New Roman" w:hAnsi="Times New Roman" w:cs="Times New Roman"/>
        </w:rPr>
        <w:t>Q.</w:t>
      </w:r>
      <w:r w:rsidRPr="004C1B9A">
        <w:rPr>
          <w:rStyle w:val="T11"/>
          <w:rFonts w:ascii="Times New Roman" w:hAnsi="Times New Roman" w:cs="Times New Roman"/>
        </w:rPr>
        <w:tab/>
        <w:t>Looking at the results in the table above, it appears that the relative rates of return aren’t sub</w:t>
      </w:r>
      <w:r w:rsidR="0043473F" w:rsidRPr="004C1B9A">
        <w:rPr>
          <w:rStyle w:val="T11"/>
          <w:rFonts w:ascii="Times New Roman" w:hAnsi="Times New Roman" w:cs="Times New Roman"/>
        </w:rPr>
        <w:t>stantially different under the C</w:t>
      </w:r>
      <w:r w:rsidRPr="004C1B9A">
        <w:rPr>
          <w:rStyle w:val="T11"/>
          <w:rFonts w:ascii="Times New Roman" w:hAnsi="Times New Roman" w:cs="Times New Roman"/>
        </w:rPr>
        <w:t>ompany’s proposed rate spread compared to a uniform percenta</w:t>
      </w:r>
      <w:r w:rsidR="0043473F" w:rsidRPr="004C1B9A">
        <w:rPr>
          <w:rStyle w:val="T11"/>
          <w:rFonts w:ascii="Times New Roman" w:hAnsi="Times New Roman" w:cs="Times New Roman"/>
        </w:rPr>
        <w:t>ge application.  Why isn’t the C</w:t>
      </w:r>
      <w:r w:rsidRPr="004C1B9A">
        <w:rPr>
          <w:rStyle w:val="T11"/>
          <w:rFonts w:ascii="Times New Roman" w:hAnsi="Times New Roman" w:cs="Times New Roman"/>
        </w:rPr>
        <w:t>ompany just proposing to spread the general increase on a uniform percentage basis to the rate schedules?</w:t>
      </w:r>
    </w:p>
    <w:p w:rsidR="005540EB" w:rsidRPr="004C1B9A" w:rsidRDefault="005540EB" w:rsidP="005540EB">
      <w:pPr>
        <w:pStyle w:val="P24"/>
        <w:tabs>
          <w:tab w:val="left" w:pos="1260"/>
        </w:tabs>
        <w:spacing w:line="480" w:lineRule="auto"/>
        <w:ind w:firstLine="720"/>
        <w:jc w:val="both"/>
        <w:rPr>
          <w:rStyle w:val="T11"/>
          <w:rFonts w:ascii="Times New Roman" w:hAnsi="Times New Roman" w:cs="Times New Roman"/>
          <w:b w:val="0"/>
        </w:rPr>
      </w:pPr>
      <w:r w:rsidRPr="004C1B9A">
        <w:rPr>
          <w:rStyle w:val="T11"/>
          <w:rFonts w:ascii="Times New Roman" w:hAnsi="Times New Roman" w:cs="Times New Roman"/>
          <w:b w:val="0"/>
        </w:rPr>
        <w:t>A.</w:t>
      </w:r>
      <w:r w:rsidRPr="004C1B9A">
        <w:rPr>
          <w:rStyle w:val="T11"/>
          <w:rFonts w:ascii="Times New Roman" w:hAnsi="Times New Roman" w:cs="Times New Roman"/>
          <w:b w:val="0"/>
        </w:rPr>
        <w:tab/>
      </w:r>
      <w:r w:rsidR="008832F2">
        <w:rPr>
          <w:rStyle w:val="T11"/>
          <w:rFonts w:ascii="Times New Roman" w:hAnsi="Times New Roman" w:cs="Times New Roman"/>
          <w:b w:val="0"/>
        </w:rPr>
        <w:t xml:space="preserve">As explained by Ms. Knox, Avista recently completed a new load study, and incorporated the results of that study into its cost of service study.  In addition, Ms. Knox also explains a change to the peak credit methodology for demand allocation.  While we believe it is reasonable and appropriate to use the cost of service study results as the basis for rate spread, we have tempered the amount of movement toward unity proposed in this case due primarily to the overall level of the proposed increase.  Our proposal represents approximately </w:t>
      </w:r>
      <w:r w:rsidR="00916D0F">
        <w:rPr>
          <w:rStyle w:val="T11"/>
          <w:rFonts w:ascii="Times New Roman" w:hAnsi="Times New Roman" w:cs="Times New Roman"/>
          <w:b w:val="0"/>
        </w:rPr>
        <w:t xml:space="preserve">a </w:t>
      </w:r>
      <w:r w:rsidR="008832F2">
        <w:rPr>
          <w:rStyle w:val="T11"/>
          <w:rFonts w:ascii="Times New Roman" w:hAnsi="Times New Roman" w:cs="Times New Roman"/>
          <w:b w:val="0"/>
        </w:rPr>
        <w:t xml:space="preserve">one-third movement toward unity, and slightly greater movement toward unity would </w:t>
      </w:r>
      <w:r w:rsidR="00916D0F">
        <w:rPr>
          <w:rStyle w:val="T11"/>
          <w:rFonts w:ascii="Times New Roman" w:hAnsi="Times New Roman" w:cs="Times New Roman"/>
          <w:b w:val="0"/>
        </w:rPr>
        <w:t xml:space="preserve">than </w:t>
      </w:r>
      <w:r w:rsidR="008832F2">
        <w:rPr>
          <w:rStyle w:val="T11"/>
          <w:rFonts w:ascii="Times New Roman" w:hAnsi="Times New Roman" w:cs="Times New Roman"/>
          <w:b w:val="0"/>
        </w:rPr>
        <w:t xml:space="preserve">occur with the application of a uniform percentage increase across rate </w:t>
      </w:r>
      <w:r w:rsidR="008832F2">
        <w:rPr>
          <w:rStyle w:val="T11"/>
          <w:rFonts w:ascii="Times New Roman" w:hAnsi="Times New Roman" w:cs="Times New Roman"/>
          <w:b w:val="0"/>
        </w:rPr>
        <w:lastRenderedPageBreak/>
        <w:t xml:space="preserve">schedules.  The Company would plan to propose additional movement toward unity in future proceedings.   </w:t>
      </w:r>
    </w:p>
    <w:p w:rsidR="005540EB" w:rsidRPr="005540EB" w:rsidRDefault="005540EB" w:rsidP="005540EB">
      <w:pPr>
        <w:pStyle w:val="P252"/>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2A2752">
      <w:pPr>
        <w:pStyle w:val="P132"/>
        <w:numPr>
          <w:ilvl w:val="0"/>
          <w:numId w:val="25"/>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2A2752">
      <w:pPr>
        <w:pStyle w:val="P159"/>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Pr>
          <w:rFonts w:ascii="Times New Roman" w:hAnsi="Times New Roman" w:cs="Times New Roman"/>
        </w:rPr>
        <w:t>each of the schedules, column (</w:t>
      </w:r>
      <w:r w:rsidR="00916D0F">
        <w:rPr>
          <w:rFonts w:ascii="Times New Roman" w:hAnsi="Times New Roman" w:cs="Times New Roman"/>
        </w:rPr>
        <w:t>f</w:t>
      </w:r>
      <w:r w:rsidRPr="005540EB">
        <w:rPr>
          <w:rFonts w:ascii="Times New Roman" w:hAnsi="Times New Roman" w:cs="Times New Roman"/>
        </w:rPr>
        <w:t xml:space="preserve">) shows the proposed </w:t>
      </w:r>
      <w:r w:rsidRPr="005540EB">
        <w:rPr>
          <w:rStyle w:val="T5"/>
          <w:rFonts w:ascii="Times New Roman" w:hAnsi="Times New Roman" w:cs="Times New Roman"/>
        </w:rPr>
        <w:t>billing</w:t>
      </w:r>
      <w:r w:rsidRPr="005540EB">
        <w:rPr>
          <w:rFonts w:ascii="Times New Roman" w:hAnsi="Times New Roman" w:cs="Times New Roman"/>
        </w:rPr>
        <w:t xml:space="preserve"> rates and column (</w:t>
      </w:r>
      <w:r w:rsidR="00916D0F">
        <w:rPr>
          <w:rFonts w:ascii="Times New Roman" w:hAnsi="Times New Roman" w:cs="Times New Roman"/>
        </w:rPr>
        <w:t>g</w:t>
      </w:r>
      <w:r w:rsidRPr="005540EB">
        <w:rPr>
          <w:rFonts w:ascii="Times New Roman" w:hAnsi="Times New Roman" w:cs="Times New Roman"/>
        </w:rPr>
        <w:t xml:space="preserve">) shows the proposed </w:t>
      </w:r>
      <w:r w:rsidRPr="005540EB">
        <w:rPr>
          <w:rStyle w:val="T5"/>
          <w:rFonts w:ascii="Times New Roman" w:hAnsi="Times New Roman" w:cs="Times New Roman"/>
        </w:rPr>
        <w:t>base tariff</w:t>
      </w:r>
      <w:r w:rsidRPr="005540EB">
        <w:rPr>
          <w:rFonts w:ascii="Times New Roman" w:hAnsi="Times New Roman" w:cs="Times New Roman"/>
        </w:rPr>
        <w:t xml:space="preserve"> rates.</w:t>
      </w:r>
    </w:p>
    <w:p w:rsidR="005540EB" w:rsidRPr="005540EB" w:rsidRDefault="005540EB" w:rsidP="002A2752">
      <w:pPr>
        <w:pStyle w:val="P133"/>
        <w:numPr>
          <w:ilvl w:val="0"/>
          <w:numId w:val="15"/>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Is the Company proposing any changes to the existing rate structures within its rate schedules?</w:t>
      </w:r>
    </w:p>
    <w:p w:rsidR="005540EB" w:rsidRPr="005540EB" w:rsidRDefault="005540EB" w:rsidP="002A2752">
      <w:pPr>
        <w:pStyle w:val="P177"/>
        <w:numPr>
          <w:ilvl w:val="0"/>
          <w:numId w:val="21"/>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No, it is not. </w:t>
      </w:r>
    </w:p>
    <w:p w:rsidR="005540EB" w:rsidRPr="005540EB" w:rsidRDefault="005540EB" w:rsidP="002A2752">
      <w:pPr>
        <w:pStyle w:val="P141"/>
        <w:numPr>
          <w:ilvl w:val="0"/>
          <w:numId w:val="13"/>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Turning to Residential Service Schedule 1, could you please describe the present rate structure under this schedule?</w:t>
      </w:r>
    </w:p>
    <w:p w:rsidR="005540EB" w:rsidRPr="005540EB" w:rsidRDefault="005540EB" w:rsidP="002A2752">
      <w:pPr>
        <w:pStyle w:val="P160"/>
        <w:numPr>
          <w:ilvl w:val="0"/>
          <w:numId w:val="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Pr="005540EB">
        <w:rPr>
          <w:rFonts w:ascii="Times New Roman" w:hAnsi="Times New Roman" w:cs="Times New Roman"/>
        </w:rPr>
        <w:t xml:space="preserve"> basic charge of $</w:t>
      </w:r>
      <w:r w:rsidR="00D23716">
        <w:rPr>
          <w:rFonts w:ascii="Times New Roman" w:hAnsi="Times New Roman" w:cs="Times New Roman"/>
        </w:rPr>
        <w:t>6.00</w:t>
      </w:r>
      <w:r w:rsidRPr="005540EB">
        <w:rPr>
          <w:rFonts w:ascii="Times New Roman" w:hAnsi="Times New Roman" w:cs="Times New Roman"/>
        </w:rPr>
        <w:t xml:space="preserve"> per month and three energy rate blocks:  0-600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601-1,300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over 1,300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The present base tariff rate for the first 600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is </w:t>
      </w:r>
      <w:r w:rsidR="00D23716">
        <w:rPr>
          <w:rFonts w:ascii="Times New Roman" w:hAnsi="Times New Roman" w:cs="Times New Roman"/>
        </w:rPr>
        <w:t>6.103</w:t>
      </w:r>
      <w:r w:rsidRPr="005540EB">
        <w:rPr>
          <w:rFonts w:ascii="Times New Roman" w:hAnsi="Times New Roman" w:cs="Times New Roman"/>
        </w:rPr>
        <w:t xml:space="preserve"> cents per kWh, </w:t>
      </w:r>
      <w:r w:rsidR="00D23716">
        <w:rPr>
          <w:rFonts w:ascii="Times New Roman" w:hAnsi="Times New Roman" w:cs="Times New Roman"/>
        </w:rPr>
        <w:t>7.101</w:t>
      </w:r>
      <w:r w:rsidRPr="005540EB">
        <w:rPr>
          <w:rFonts w:ascii="Times New Roman" w:hAnsi="Times New Roman" w:cs="Times New Roman"/>
        </w:rPr>
        <w:t xml:space="preserve"> cents per kWh for the next 700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8.</w:t>
      </w:r>
      <w:r w:rsidR="00D23716">
        <w:rPr>
          <w:rFonts w:ascii="Times New Roman" w:hAnsi="Times New Roman" w:cs="Times New Roman"/>
        </w:rPr>
        <w:t>324</w:t>
      </w:r>
      <w:r w:rsidRPr="005540EB">
        <w:rPr>
          <w:rFonts w:ascii="Times New Roman" w:hAnsi="Times New Roman" w:cs="Times New Roman"/>
        </w:rPr>
        <w:t xml:space="preserve"> cents for all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over 1,300.  </w:t>
      </w:r>
    </w:p>
    <w:p w:rsidR="005540EB" w:rsidRPr="005540EB" w:rsidRDefault="005540EB" w:rsidP="002A2752">
      <w:pPr>
        <w:pStyle w:val="P134"/>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 xml:space="preserve">How does the Company propose to spread the proposed general revenue increase </w:t>
      </w:r>
      <w:r w:rsidRPr="00944313">
        <w:rPr>
          <w:rFonts w:ascii="Times New Roman" w:hAnsi="Times New Roman" w:cs="Times New Roman"/>
        </w:rPr>
        <w:t>of $</w:t>
      </w:r>
      <w:r w:rsidR="00944313" w:rsidRPr="00944313">
        <w:rPr>
          <w:rFonts w:ascii="Times New Roman" w:hAnsi="Times New Roman" w:cs="Times New Roman"/>
        </w:rPr>
        <w:t>26,160</w:t>
      </w:r>
      <w:r w:rsidRPr="00944313">
        <w:rPr>
          <w:rFonts w:ascii="Times New Roman" w:hAnsi="Times New Roman" w:cs="Times New Roman"/>
        </w:rPr>
        <w:t>,000</w:t>
      </w:r>
      <w:r w:rsidRPr="005540EB">
        <w:rPr>
          <w:rFonts w:ascii="Times New Roman" w:hAnsi="Times New Roman" w:cs="Times New Roman"/>
        </w:rPr>
        <w:t xml:space="preserve"> to Schedule 1?</w:t>
      </w:r>
    </w:p>
    <w:p w:rsidR="005540EB" w:rsidRPr="005540EB" w:rsidRDefault="005540EB" w:rsidP="002A2752">
      <w:pPr>
        <w:pStyle w:val="P161"/>
        <w:numPr>
          <w:ilvl w:val="0"/>
          <w:numId w:val="10"/>
        </w:numPr>
        <w:tabs>
          <w:tab w:val="num" w:pos="1440"/>
        </w:tabs>
        <w:ind w:left="0" w:firstLine="720"/>
        <w:jc w:val="both"/>
        <w:rPr>
          <w:rFonts w:ascii="Times New Roman" w:hAnsi="Times New Roman" w:cs="Times New Roman"/>
        </w:rPr>
      </w:pPr>
      <w:r w:rsidRPr="005540EB">
        <w:rPr>
          <w:rFonts w:ascii="Times New Roman" w:hAnsi="Times New Roman" w:cs="Times New Roman"/>
        </w:rPr>
        <w:t>The Company proposes to increase the monthly customer charge from $</w:t>
      </w:r>
      <w:r w:rsidR="00D23716">
        <w:rPr>
          <w:rFonts w:ascii="Times New Roman" w:hAnsi="Times New Roman" w:cs="Times New Roman"/>
        </w:rPr>
        <w:t>6.00</w:t>
      </w:r>
      <w:r w:rsidRPr="005540EB">
        <w:rPr>
          <w:rFonts w:ascii="Times New Roman" w:hAnsi="Times New Roman" w:cs="Times New Roman"/>
        </w:rPr>
        <w:t xml:space="preserve"> to $</w:t>
      </w:r>
      <w:r w:rsidR="00D23716">
        <w:rPr>
          <w:rFonts w:ascii="Times New Roman" w:hAnsi="Times New Roman" w:cs="Times New Roman"/>
        </w:rPr>
        <w:t>10</w:t>
      </w:r>
      <w:r w:rsidRPr="005540EB">
        <w:rPr>
          <w:rFonts w:ascii="Times New Roman" w:hAnsi="Times New Roman" w:cs="Times New Roman"/>
        </w:rPr>
        <w:t>.00</w:t>
      </w:r>
      <w:r w:rsidRPr="00AC3ADC">
        <w:rPr>
          <w:rFonts w:ascii="Times New Roman" w:hAnsi="Times New Roman" w:cs="Times New Roman"/>
        </w:rPr>
        <w:t xml:space="preserve">.  The proposed increase to the energy rate for the first block is </w:t>
      </w:r>
      <w:r w:rsidR="00AC3ADC" w:rsidRPr="00AC3ADC">
        <w:rPr>
          <w:rFonts w:ascii="Times New Roman" w:hAnsi="Times New Roman" w:cs="Times New Roman"/>
        </w:rPr>
        <w:t>0.621</w:t>
      </w:r>
      <w:r w:rsidRPr="00AC3ADC">
        <w:rPr>
          <w:rFonts w:ascii="Times New Roman" w:hAnsi="Times New Roman" w:cs="Times New Roman"/>
        </w:rPr>
        <w:t xml:space="preserve"> cents/kWh, </w:t>
      </w:r>
      <w:r w:rsidR="00AC3ADC" w:rsidRPr="00AC3ADC">
        <w:rPr>
          <w:rFonts w:ascii="Times New Roman" w:hAnsi="Times New Roman" w:cs="Times New Roman"/>
        </w:rPr>
        <w:t>0.723</w:t>
      </w:r>
      <w:r w:rsidRPr="00AC3ADC">
        <w:rPr>
          <w:rFonts w:ascii="Times New Roman" w:hAnsi="Times New Roman" w:cs="Times New Roman"/>
        </w:rPr>
        <w:t xml:space="preserve"> cents per kWh for the second block and </w:t>
      </w:r>
      <w:r w:rsidR="00AC3ADC" w:rsidRPr="00AC3ADC">
        <w:rPr>
          <w:rFonts w:ascii="Times New Roman" w:hAnsi="Times New Roman" w:cs="Times New Roman"/>
        </w:rPr>
        <w:t>0.846</w:t>
      </w:r>
      <w:r w:rsidRPr="00AC3ADC">
        <w:rPr>
          <w:rFonts w:ascii="Times New Roman" w:hAnsi="Times New Roman" w:cs="Times New Roman"/>
        </w:rPr>
        <w:t xml:space="preserve"> cents per</w:t>
      </w:r>
      <w:r w:rsidRPr="005540EB">
        <w:rPr>
          <w:rFonts w:ascii="Times New Roman" w:hAnsi="Times New Roman" w:cs="Times New Roman"/>
        </w:rPr>
        <w:t xml:space="preserve"> kWh for the tail-block.  The proposed rates for the </w:t>
      </w:r>
      <w:r w:rsidR="00AC3ADC">
        <w:rPr>
          <w:rFonts w:ascii="Times New Roman" w:hAnsi="Times New Roman" w:cs="Times New Roman"/>
        </w:rPr>
        <w:t xml:space="preserve">three </w:t>
      </w:r>
      <w:r w:rsidRPr="005540EB">
        <w:rPr>
          <w:rFonts w:ascii="Times New Roman" w:hAnsi="Times New Roman" w:cs="Times New Roman"/>
        </w:rPr>
        <w:t xml:space="preserve">block rates reflect </w:t>
      </w:r>
      <w:r w:rsidR="00CF6646">
        <w:rPr>
          <w:rFonts w:ascii="Times New Roman" w:hAnsi="Times New Roman" w:cs="Times New Roman"/>
        </w:rPr>
        <w:t xml:space="preserve">a uniform percentage </w:t>
      </w:r>
      <w:r w:rsidR="00FE07FB">
        <w:rPr>
          <w:rFonts w:ascii="Times New Roman" w:hAnsi="Times New Roman" w:cs="Times New Roman"/>
        </w:rPr>
        <w:t xml:space="preserve">increase </w:t>
      </w:r>
      <w:r w:rsidR="00CF6646">
        <w:rPr>
          <w:rFonts w:ascii="Times New Roman" w:hAnsi="Times New Roman" w:cs="Times New Roman"/>
        </w:rPr>
        <w:t>of 10.2%</w:t>
      </w:r>
      <w:r w:rsidRPr="005540EB">
        <w:rPr>
          <w:rFonts w:ascii="Times New Roman" w:hAnsi="Times New Roman" w:cs="Times New Roman"/>
        </w:rPr>
        <w:t xml:space="preserve">.  </w:t>
      </w:r>
    </w:p>
    <w:p w:rsidR="005540EB" w:rsidRPr="005540EB" w:rsidRDefault="005540EB" w:rsidP="002A2752">
      <w:pPr>
        <w:pStyle w:val="P161"/>
        <w:numPr>
          <w:ilvl w:val="1"/>
          <w:numId w:val="28"/>
        </w:numPr>
        <w:tabs>
          <w:tab w:val="num" w:pos="1440"/>
        </w:tabs>
        <w:ind w:left="0" w:firstLine="720"/>
        <w:jc w:val="both"/>
        <w:rPr>
          <w:rFonts w:ascii="Times New Roman" w:hAnsi="Times New Roman" w:cs="Times New Roman"/>
          <w:b/>
        </w:rPr>
      </w:pPr>
      <w:r w:rsidRPr="005540EB">
        <w:rPr>
          <w:rFonts w:ascii="Times New Roman" w:hAnsi="Times New Roman" w:cs="Times New Roman"/>
          <w:b/>
        </w:rPr>
        <w:t>Why is the Company proposing to increase the monthly customer charge from $</w:t>
      </w:r>
      <w:r w:rsidR="00D23716">
        <w:rPr>
          <w:rFonts w:ascii="Times New Roman" w:hAnsi="Times New Roman" w:cs="Times New Roman"/>
          <w:b/>
        </w:rPr>
        <w:t>6.00</w:t>
      </w:r>
      <w:r w:rsidRPr="005540EB">
        <w:rPr>
          <w:rFonts w:ascii="Times New Roman" w:hAnsi="Times New Roman" w:cs="Times New Roman"/>
          <w:b/>
        </w:rPr>
        <w:t xml:space="preserve"> to $</w:t>
      </w:r>
      <w:r w:rsidR="00D23716">
        <w:rPr>
          <w:rFonts w:ascii="Times New Roman" w:hAnsi="Times New Roman" w:cs="Times New Roman"/>
          <w:b/>
        </w:rPr>
        <w:t>10</w:t>
      </w:r>
      <w:r w:rsidRPr="005540EB">
        <w:rPr>
          <w:rFonts w:ascii="Times New Roman" w:hAnsi="Times New Roman" w:cs="Times New Roman"/>
          <w:b/>
        </w:rPr>
        <w:t>.00 per month?</w:t>
      </w:r>
    </w:p>
    <w:p w:rsidR="005540EB" w:rsidRPr="005540EB" w:rsidRDefault="005540EB" w:rsidP="005540EB">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sidR="00FE07FB">
        <w:rPr>
          <w:kern w:val="24"/>
        </w:rPr>
        <w:t xml:space="preserve">better </w:t>
      </w:r>
      <w:r w:rsidRPr="005540EB">
        <w:rPr>
          <w:kern w:val="24"/>
        </w:rPr>
        <w:t xml:space="preserve">reflect these increasing costs </w:t>
      </w:r>
      <w:r w:rsidR="00FE07FB">
        <w:rPr>
          <w:kern w:val="24"/>
        </w:rPr>
        <w:t>to serve customers</w:t>
      </w:r>
      <w:r w:rsidRPr="005540EB">
        <w:rPr>
          <w:kern w:val="24"/>
        </w:rPr>
        <w:t xml:space="preserve">.  </w:t>
      </w:r>
      <w:r w:rsidR="00D23716">
        <w:rPr>
          <w:kern w:val="24"/>
        </w:rPr>
        <w:t xml:space="preserve">Later in my testimony I will provide greater detail as to why the Company </w:t>
      </w:r>
      <w:r w:rsidR="00FE07FB">
        <w:rPr>
          <w:kern w:val="24"/>
        </w:rPr>
        <w:t>believes</w:t>
      </w:r>
      <w:r w:rsidR="00D23716">
        <w:rPr>
          <w:kern w:val="24"/>
        </w:rPr>
        <w:t xml:space="preserve"> the monthly customer charge should increase by $4.00 per month.</w:t>
      </w:r>
    </w:p>
    <w:p w:rsidR="005540EB" w:rsidRPr="005540EB" w:rsidRDefault="005540EB" w:rsidP="002A2752">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5540EB" w:rsidRDefault="005540EB" w:rsidP="002A2752">
      <w:pPr>
        <w:pStyle w:val="P175"/>
        <w:numPr>
          <w:ilvl w:val="0"/>
          <w:numId w:val="27"/>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average monthly usage for a residential customer is </w:t>
      </w:r>
      <w:r w:rsidR="000D7C83">
        <w:rPr>
          <w:rFonts w:ascii="Times New Roman" w:hAnsi="Times New Roman" w:cs="Times New Roman"/>
        </w:rPr>
        <w:t xml:space="preserve">approximately </w:t>
      </w:r>
      <w:r w:rsidRPr="005540EB">
        <w:rPr>
          <w:rFonts w:ascii="Times New Roman" w:hAnsi="Times New Roman" w:cs="Times New Roman"/>
        </w:rPr>
        <w:t xml:space="preserve">1,000 </w:t>
      </w:r>
      <w:proofErr w:type="spellStart"/>
      <w:r w:rsidRPr="005540EB">
        <w:rPr>
          <w:rFonts w:ascii="Times New Roman" w:hAnsi="Times New Roman" w:cs="Times New Roman"/>
        </w:rPr>
        <w:t>kWhs</w:t>
      </w:r>
      <w:proofErr w:type="spellEnd"/>
      <w:r w:rsidRPr="005540EB">
        <w:rPr>
          <w:rFonts w:ascii="Times New Roman" w:hAnsi="Times New Roman" w:cs="Times New Roman"/>
        </w:rPr>
        <w:t>.  Based on the proposed increase, the average monthly increase would be $</w:t>
      </w:r>
      <w:r w:rsidR="00AC3ADC">
        <w:rPr>
          <w:rFonts w:ascii="Times New Roman" w:hAnsi="Times New Roman" w:cs="Times New Roman"/>
        </w:rPr>
        <w:t>10.62</w:t>
      </w:r>
      <w:r w:rsidRPr="005540EB">
        <w:rPr>
          <w:rFonts w:ascii="Times New Roman" w:hAnsi="Times New Roman" w:cs="Times New Roman"/>
        </w:rPr>
        <w:t xml:space="preserve">, or </w:t>
      </w:r>
      <w:r w:rsidR="00AC3ADC">
        <w:rPr>
          <w:rFonts w:ascii="Times New Roman" w:hAnsi="Times New Roman" w:cs="Times New Roman"/>
        </w:rPr>
        <w:t>14.8</w:t>
      </w:r>
      <w:r w:rsidRPr="005540EB">
        <w:rPr>
          <w:rFonts w:ascii="Times New Roman" w:hAnsi="Times New Roman" w:cs="Times New Roman"/>
        </w:rPr>
        <w:t xml:space="preserve">%.  The present monthly bill for 1,000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of usage is </w:t>
      </w:r>
      <w:r w:rsidRPr="00AC3ADC">
        <w:rPr>
          <w:rFonts w:ascii="Times New Roman" w:hAnsi="Times New Roman" w:cs="Times New Roman"/>
        </w:rPr>
        <w:t>$</w:t>
      </w:r>
      <w:r w:rsidR="00D23716" w:rsidRPr="00AC3ADC">
        <w:rPr>
          <w:rFonts w:ascii="Times New Roman" w:hAnsi="Times New Roman" w:cs="Times New Roman"/>
        </w:rPr>
        <w:t>71.79</w:t>
      </w:r>
      <w:r w:rsidRPr="005540EB">
        <w:rPr>
          <w:rFonts w:ascii="Times New Roman" w:hAnsi="Times New Roman" w:cs="Times New Roman"/>
        </w:rPr>
        <w:t xml:space="preserve"> and the proposed monthly bill would be $</w:t>
      </w:r>
      <w:r w:rsidRPr="00AC3ADC">
        <w:rPr>
          <w:rFonts w:ascii="Times New Roman" w:hAnsi="Times New Roman" w:cs="Times New Roman"/>
        </w:rPr>
        <w:t>82.</w:t>
      </w:r>
      <w:r w:rsidR="00AC3ADC">
        <w:rPr>
          <w:rFonts w:ascii="Times New Roman" w:hAnsi="Times New Roman" w:cs="Times New Roman"/>
        </w:rPr>
        <w:t>41</w:t>
      </w:r>
      <w:r w:rsidRPr="005540EB">
        <w:rPr>
          <w:rFonts w:ascii="Times New Roman" w:hAnsi="Times New Roman" w:cs="Times New Roman"/>
        </w:rPr>
        <w:t>, including all rate adjustments.</w:t>
      </w:r>
    </w:p>
    <w:p w:rsidR="005540EB" w:rsidRPr="005540EB" w:rsidRDefault="005540EB" w:rsidP="002A2752">
      <w:pPr>
        <w:pStyle w:val="P137"/>
        <w:numPr>
          <w:ilvl w:val="1"/>
          <w:numId w:val="23"/>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2A2752">
      <w:pPr>
        <w:pStyle w:val="P162"/>
        <w:numPr>
          <w:ilvl w:val="0"/>
          <w:numId w:val="26"/>
        </w:numPr>
        <w:tabs>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Yes.  The present rate structure under the schedule includes a monthly customer charge of $6.</w:t>
      </w:r>
      <w:r w:rsidR="00D23716">
        <w:rPr>
          <w:rFonts w:ascii="Times New Roman" w:hAnsi="Times New Roman" w:cs="Times New Roman"/>
        </w:rPr>
        <w:t>7</w:t>
      </w:r>
      <w:r w:rsidRPr="005540EB">
        <w:rPr>
          <w:rFonts w:ascii="Times New Roman" w:hAnsi="Times New Roman" w:cs="Times New Roman"/>
        </w:rPr>
        <w:t xml:space="preserve">5, an energy rate of </w:t>
      </w:r>
      <w:r w:rsidR="00D23716">
        <w:rPr>
          <w:rFonts w:ascii="Times New Roman" w:hAnsi="Times New Roman" w:cs="Times New Roman"/>
        </w:rPr>
        <w:t>9.638</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and an energy rate of </w:t>
      </w:r>
      <w:r w:rsidR="00D23716">
        <w:rPr>
          <w:rFonts w:ascii="Times New Roman" w:hAnsi="Times New Roman" w:cs="Times New Roman"/>
        </w:rPr>
        <w:t>9.023</w:t>
      </w:r>
      <w:r w:rsidRPr="005540EB">
        <w:rPr>
          <w:rFonts w:ascii="Times New Roman" w:hAnsi="Times New Roman" w:cs="Times New Roman"/>
        </w:rPr>
        <w:t xml:space="preserve"> cents per kWh for usage over 3,650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There is also a demand charge of $</w:t>
      </w:r>
      <w:r w:rsidR="00D23716">
        <w:rPr>
          <w:rFonts w:ascii="Times New Roman" w:hAnsi="Times New Roman" w:cs="Times New Roman"/>
        </w:rPr>
        <w:t>4.25</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F04603" w:rsidP="00F0460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5540EB" w:rsidRPr="005540EB">
        <w:rPr>
          <w:rFonts w:ascii="Times New Roman" w:hAnsi="Times New Roman" w:cs="Times New Roman"/>
        </w:rPr>
        <w:t xml:space="preserve">How is the Company proposing to apply the proposed general revenue increase of </w:t>
      </w:r>
      <w:r w:rsidR="005540EB" w:rsidRPr="00AC3ADC">
        <w:rPr>
          <w:rFonts w:ascii="Times New Roman" w:hAnsi="Times New Roman" w:cs="Times New Roman"/>
        </w:rPr>
        <w:t>$</w:t>
      </w:r>
      <w:r w:rsidR="00AC3ADC" w:rsidRPr="00AC3ADC">
        <w:rPr>
          <w:rFonts w:ascii="Times New Roman" w:hAnsi="Times New Roman" w:cs="Times New Roman"/>
        </w:rPr>
        <w:t>5,230</w:t>
      </w:r>
      <w:r w:rsidR="005540EB" w:rsidRPr="00AC3ADC">
        <w:rPr>
          <w:rFonts w:ascii="Times New Roman" w:hAnsi="Times New Roman" w:cs="Times New Roman"/>
        </w:rPr>
        <w:t>,000</w:t>
      </w:r>
      <w:r w:rsidR="005540EB" w:rsidRPr="005540EB">
        <w:rPr>
          <w:rFonts w:ascii="Times New Roman" w:hAnsi="Times New Roman" w:cs="Times New Roman"/>
        </w:rPr>
        <w:t xml:space="preserve"> to the rates under Schedule 11? </w:t>
      </w:r>
    </w:p>
    <w:p w:rsidR="005540EB" w:rsidRDefault="00F04603" w:rsidP="00F04603">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005540EB" w:rsidRPr="005540EB">
        <w:rPr>
          <w:rFonts w:ascii="Times New Roman" w:hAnsi="Times New Roman" w:cs="Times New Roman"/>
        </w:rPr>
        <w:t>The Company is proposing that the customer charge be increased by $</w:t>
      </w:r>
      <w:r w:rsidR="00AC3ADC">
        <w:rPr>
          <w:rFonts w:ascii="Times New Roman" w:hAnsi="Times New Roman" w:cs="Times New Roman"/>
        </w:rPr>
        <w:t>3.25</w:t>
      </w:r>
      <w:r w:rsidR="005540EB" w:rsidRPr="005540EB">
        <w:rPr>
          <w:rFonts w:ascii="Times New Roman" w:hAnsi="Times New Roman" w:cs="Times New Roman"/>
        </w:rPr>
        <w:t>, from $6.</w:t>
      </w:r>
      <w:r w:rsidR="00D23716">
        <w:rPr>
          <w:rFonts w:ascii="Times New Roman" w:hAnsi="Times New Roman" w:cs="Times New Roman"/>
        </w:rPr>
        <w:t>75</w:t>
      </w:r>
      <w:r w:rsidR="005540EB" w:rsidRPr="005540EB">
        <w:rPr>
          <w:rFonts w:ascii="Times New Roman" w:hAnsi="Times New Roman" w:cs="Times New Roman"/>
        </w:rPr>
        <w:t xml:space="preserve"> to $</w:t>
      </w:r>
      <w:r w:rsidR="00AC3ADC">
        <w:rPr>
          <w:rFonts w:ascii="Times New Roman" w:hAnsi="Times New Roman" w:cs="Times New Roman"/>
        </w:rPr>
        <w:t>10.00</w:t>
      </w:r>
      <w:r w:rsidR="005540EB" w:rsidRPr="005540EB">
        <w:rPr>
          <w:rFonts w:ascii="Times New Roman" w:hAnsi="Times New Roman" w:cs="Times New Roman"/>
        </w:rPr>
        <w:t xml:space="preserve"> per month</w:t>
      </w:r>
      <w:r w:rsidR="00AC3ADC">
        <w:rPr>
          <w:rFonts w:ascii="Times New Roman" w:hAnsi="Times New Roman" w:cs="Times New Roman"/>
        </w:rPr>
        <w:t xml:space="preserve">.  </w:t>
      </w:r>
      <w:r w:rsidR="00916D0F">
        <w:rPr>
          <w:rFonts w:ascii="Times New Roman" w:hAnsi="Times New Roman" w:cs="Times New Roman"/>
        </w:rPr>
        <w:t xml:space="preserve">As with the proposed increase to the Schedule 1 basic charge, this proposal is intended to </w:t>
      </w:r>
      <w:r w:rsidR="00AC3ADC">
        <w:rPr>
          <w:rFonts w:ascii="Times New Roman" w:hAnsi="Times New Roman" w:cs="Times New Roman"/>
        </w:rPr>
        <w:t xml:space="preserve">better align recovery of fixed costs </w:t>
      </w:r>
      <w:r w:rsidR="00916D0F">
        <w:rPr>
          <w:rFonts w:ascii="Times New Roman" w:hAnsi="Times New Roman" w:cs="Times New Roman"/>
        </w:rPr>
        <w:t xml:space="preserve">on Schedule 11 through </w:t>
      </w:r>
      <w:r w:rsidR="00AC3ADC">
        <w:rPr>
          <w:rFonts w:ascii="Times New Roman" w:hAnsi="Times New Roman" w:cs="Times New Roman"/>
        </w:rPr>
        <w:t xml:space="preserve">the </w:t>
      </w:r>
      <w:r w:rsidR="000D7C83">
        <w:rPr>
          <w:rFonts w:ascii="Times New Roman" w:hAnsi="Times New Roman" w:cs="Times New Roman"/>
        </w:rPr>
        <w:t>basic</w:t>
      </w:r>
      <w:r w:rsidR="00AC3ADC">
        <w:rPr>
          <w:rFonts w:ascii="Times New Roman" w:hAnsi="Times New Roman" w:cs="Times New Roman"/>
        </w:rPr>
        <w:t xml:space="preserve"> charge.  In addition, the Company is proposing </w:t>
      </w:r>
      <w:r w:rsidR="005540EB" w:rsidRPr="005540EB">
        <w:rPr>
          <w:rFonts w:ascii="Times New Roman" w:hAnsi="Times New Roman" w:cs="Times New Roman"/>
        </w:rPr>
        <w:t xml:space="preserve">that the demand charge (over 20 kW) be </w:t>
      </w:r>
      <w:r w:rsidR="005540EB" w:rsidRPr="00AC3ADC">
        <w:rPr>
          <w:rFonts w:ascii="Times New Roman" w:hAnsi="Times New Roman" w:cs="Times New Roman"/>
        </w:rPr>
        <w:t>increased $0.</w:t>
      </w:r>
      <w:r w:rsidR="00AC3ADC" w:rsidRPr="00AC3ADC">
        <w:rPr>
          <w:rFonts w:ascii="Times New Roman" w:hAnsi="Times New Roman" w:cs="Times New Roman"/>
        </w:rPr>
        <w:t>75</w:t>
      </w:r>
      <w:r w:rsidR="005540EB" w:rsidRPr="005540EB">
        <w:rPr>
          <w:rFonts w:ascii="Times New Roman" w:hAnsi="Times New Roman" w:cs="Times New Roman"/>
        </w:rPr>
        <w:t xml:space="preserve"> per kW, from $</w:t>
      </w:r>
      <w:r w:rsidR="00704982">
        <w:rPr>
          <w:rFonts w:ascii="Times New Roman" w:hAnsi="Times New Roman" w:cs="Times New Roman"/>
        </w:rPr>
        <w:t>4.25</w:t>
      </w:r>
      <w:r w:rsidR="005540EB" w:rsidRPr="005540EB">
        <w:rPr>
          <w:rFonts w:ascii="Times New Roman" w:hAnsi="Times New Roman" w:cs="Times New Roman"/>
        </w:rPr>
        <w:t xml:space="preserve"> to $</w:t>
      </w:r>
      <w:r w:rsidR="00AC3ADC">
        <w:rPr>
          <w:rFonts w:ascii="Times New Roman" w:hAnsi="Times New Roman" w:cs="Times New Roman"/>
        </w:rPr>
        <w:t>5.00</w:t>
      </w:r>
      <w:r w:rsidR="005540EB" w:rsidRPr="005540EB">
        <w:rPr>
          <w:rFonts w:ascii="Times New Roman" w:hAnsi="Times New Roman" w:cs="Times New Roman"/>
        </w:rPr>
        <w:t xml:space="preserve">. </w:t>
      </w:r>
      <w:r w:rsidR="00C73089">
        <w:rPr>
          <w:rFonts w:ascii="Times New Roman" w:hAnsi="Times New Roman" w:cs="Times New Roman"/>
        </w:rPr>
        <w:t>This represents a 17.6% increase</w:t>
      </w:r>
      <w:r w:rsidR="00CF6646">
        <w:rPr>
          <w:rFonts w:ascii="Times New Roman" w:hAnsi="Times New Roman" w:cs="Times New Roman"/>
        </w:rPr>
        <w:t>,</w:t>
      </w:r>
      <w:r w:rsidR="00C73089">
        <w:rPr>
          <w:rFonts w:ascii="Times New Roman" w:hAnsi="Times New Roman" w:cs="Times New Roman"/>
        </w:rPr>
        <w:t xml:space="preserve"> which is greater than the overall increase to this rate schedule.  </w:t>
      </w:r>
      <w:r w:rsidR="005540EB" w:rsidRPr="005540EB">
        <w:rPr>
          <w:rFonts w:ascii="Times New Roman" w:hAnsi="Times New Roman" w:cs="Times New Roman"/>
        </w:rPr>
        <w:t xml:space="preserve">The remaining revenue increase for the </w:t>
      </w:r>
      <w:r w:rsidR="001020C1">
        <w:rPr>
          <w:rFonts w:ascii="Times New Roman" w:hAnsi="Times New Roman" w:cs="Times New Roman"/>
        </w:rPr>
        <w:t>s</w:t>
      </w:r>
      <w:r w:rsidR="005540EB" w:rsidRPr="005540EB">
        <w:rPr>
          <w:rFonts w:ascii="Times New Roman" w:hAnsi="Times New Roman" w:cs="Times New Roman"/>
        </w:rPr>
        <w:t xml:space="preserve">chedule is proposed to be recovered through a uniform percentage increase of </w:t>
      </w:r>
      <w:r w:rsidR="00AC3ADC">
        <w:rPr>
          <w:rFonts w:ascii="Times New Roman" w:hAnsi="Times New Roman" w:cs="Times New Roman"/>
        </w:rPr>
        <w:t>approximately 10.</w:t>
      </w:r>
      <w:r w:rsidR="002336F1">
        <w:rPr>
          <w:rFonts w:ascii="Times New Roman" w:hAnsi="Times New Roman" w:cs="Times New Roman"/>
        </w:rPr>
        <w:t>4</w:t>
      </w:r>
      <w:r w:rsidR="00AC3ADC">
        <w:rPr>
          <w:rFonts w:ascii="Times New Roman" w:hAnsi="Times New Roman" w:cs="Times New Roman"/>
        </w:rPr>
        <w:t xml:space="preserve">% </w:t>
      </w:r>
      <w:r w:rsidR="005540EB" w:rsidRPr="005540EB">
        <w:rPr>
          <w:rFonts w:ascii="Times New Roman" w:hAnsi="Times New Roman" w:cs="Times New Roman"/>
        </w:rPr>
        <w:t xml:space="preserve">applied to the two (block) energy rates.  The increase in the first </w:t>
      </w:r>
      <w:r w:rsidR="000A6BBC">
        <w:rPr>
          <w:rFonts w:ascii="Times New Roman" w:hAnsi="Times New Roman" w:cs="Times New Roman"/>
        </w:rPr>
        <w:t xml:space="preserve">block rate </w:t>
      </w:r>
      <w:r w:rsidR="000A6BBC" w:rsidRPr="00AC3ADC">
        <w:rPr>
          <w:rFonts w:ascii="Times New Roman" w:hAnsi="Times New Roman" w:cs="Times New Roman"/>
        </w:rPr>
        <w:t xml:space="preserve">is </w:t>
      </w:r>
      <w:r w:rsidR="00AC3ADC" w:rsidRPr="00AC3ADC">
        <w:rPr>
          <w:rFonts w:ascii="Times New Roman" w:hAnsi="Times New Roman" w:cs="Times New Roman"/>
        </w:rPr>
        <w:t>0.998</w:t>
      </w:r>
      <w:r w:rsidR="000A6BBC" w:rsidRPr="00AC3ADC">
        <w:rPr>
          <w:rFonts w:ascii="Times New Roman" w:hAnsi="Times New Roman" w:cs="Times New Roman"/>
        </w:rPr>
        <w:t xml:space="preserve"> cents per kWh, and </w:t>
      </w:r>
      <w:r w:rsidR="00AC3ADC" w:rsidRPr="00AC3ADC">
        <w:rPr>
          <w:rFonts w:ascii="Times New Roman" w:hAnsi="Times New Roman" w:cs="Times New Roman"/>
        </w:rPr>
        <w:t>0.932</w:t>
      </w:r>
      <w:r w:rsidR="000A6BBC" w:rsidRPr="00AC3ADC">
        <w:rPr>
          <w:rFonts w:ascii="Times New Roman" w:hAnsi="Times New Roman" w:cs="Times New Roman"/>
        </w:rPr>
        <w:t xml:space="preserve"> cents</w:t>
      </w:r>
      <w:r w:rsidR="000A6BBC">
        <w:rPr>
          <w:rFonts w:ascii="Times New Roman" w:hAnsi="Times New Roman" w:cs="Times New Roman"/>
        </w:rPr>
        <w:t xml:space="preserve"> per kW</w:t>
      </w:r>
      <w:r w:rsidR="005540EB" w:rsidRPr="005540EB">
        <w:rPr>
          <w:rFonts w:ascii="Times New Roman" w:hAnsi="Times New Roman" w:cs="Times New Roman"/>
        </w:rPr>
        <w:t xml:space="preserve">h </w:t>
      </w:r>
      <w:r w:rsidR="00FE07FB">
        <w:rPr>
          <w:rFonts w:ascii="Times New Roman" w:hAnsi="Times New Roman" w:cs="Times New Roman"/>
        </w:rPr>
        <w:t xml:space="preserve">for </w:t>
      </w:r>
      <w:r w:rsidR="005540EB" w:rsidRPr="005540EB">
        <w:rPr>
          <w:rFonts w:ascii="Times New Roman" w:hAnsi="Times New Roman" w:cs="Times New Roman"/>
        </w:rPr>
        <w:t xml:space="preserve">the second block rate.  </w:t>
      </w:r>
    </w:p>
    <w:p w:rsidR="00F04603" w:rsidRPr="005540EB" w:rsidRDefault="00F04603" w:rsidP="00F0460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t xml:space="preserve">Why is the Company proposing </w:t>
      </w:r>
      <w:r w:rsidR="00CF6646">
        <w:rPr>
          <w:rFonts w:ascii="Times New Roman" w:hAnsi="Times New Roman" w:cs="Times New Roman"/>
        </w:rPr>
        <w:t>a higher percentage increase to the demand charge as compared to the energy charges</w:t>
      </w:r>
      <w:r w:rsidRPr="005540EB">
        <w:rPr>
          <w:rFonts w:ascii="Times New Roman" w:hAnsi="Times New Roman" w:cs="Times New Roman"/>
        </w:rPr>
        <w:t xml:space="preserve">? </w:t>
      </w:r>
    </w:p>
    <w:p w:rsidR="00F04603" w:rsidRPr="00C86EA5" w:rsidRDefault="005141FE" w:rsidP="00C86EA5">
      <w:pPr>
        <w:pStyle w:val="BodyText2"/>
        <w:numPr>
          <w:ilvl w:val="0"/>
          <w:numId w:val="47"/>
        </w:numPr>
        <w:tabs>
          <w:tab w:val="clear" w:pos="1530"/>
          <w:tab w:val="num" w:pos="1440"/>
        </w:tabs>
        <w:ind w:left="0" w:firstLine="720"/>
        <w:rPr>
          <w:bCs/>
        </w:rPr>
      </w:pPr>
      <w:r>
        <w:rPr>
          <w:bCs/>
        </w:rPr>
        <w:t>T</w:t>
      </w:r>
      <w:r w:rsidR="00F04603" w:rsidRPr="005141FE">
        <w:rPr>
          <w:bCs/>
        </w:rPr>
        <w:t xml:space="preserve">he </w:t>
      </w:r>
      <w:r>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as well as for Schedules</w:t>
      </w:r>
      <w:r w:rsidR="00C73089">
        <w:rPr>
          <w:bCs/>
        </w:rPr>
        <w:t xml:space="preserve"> 21 and 25</w:t>
      </w:r>
      <w:r w:rsidR="00C86EA5">
        <w:rPr>
          <w:bCs/>
        </w:rPr>
        <w:t xml:space="preserve">, by a percentage greater than that </w:t>
      </w:r>
      <w:r w:rsidR="00CF6646">
        <w:rPr>
          <w:bCs/>
        </w:rPr>
        <w:t xml:space="preserve">applied </w:t>
      </w:r>
      <w:r w:rsidR="00C86EA5">
        <w:rPr>
          <w:bCs/>
        </w:rPr>
        <w:t xml:space="preserve">to the </w:t>
      </w:r>
      <w:r w:rsidR="00CF6646">
        <w:rPr>
          <w:bCs/>
        </w:rPr>
        <w:t>energy</w:t>
      </w:r>
      <w:r w:rsidR="00C86EA5">
        <w:rPr>
          <w:bCs/>
        </w:rPr>
        <w:t xml:space="preserve"> rates</w:t>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w:t>
      </w:r>
      <w:r w:rsidR="00F04603" w:rsidRPr="005141FE">
        <w:rPr>
          <w:bCs/>
        </w:rPr>
        <w:lastRenderedPageBreak/>
        <w:t xml:space="preserve">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F04603" w:rsidRPr="00150518" w:rsidRDefault="00F04603" w:rsidP="00F04603">
      <w:pPr>
        <w:pStyle w:val="BodyText2"/>
        <w:ind w:firstLine="720"/>
        <w:rPr>
          <w:bCs/>
        </w:rPr>
      </w:pPr>
      <w:r w:rsidRPr="005141FE">
        <w:rPr>
          <w:bCs/>
        </w:rPr>
        <w:t xml:space="preserve">The Company’s transmission and distribution system is constructed to meet the collective peak demand of its customers.  Additionally, the Company must have adequate resources available to meet peak demand.  If customers reduce their peak demand, it will reduce the need for additional investment in these facilities and resources.  </w:t>
      </w:r>
      <w:r w:rsidR="00C86EA5">
        <w:rPr>
          <w:bCs/>
        </w:rPr>
        <w:t>C</w:t>
      </w:r>
      <w:r w:rsidRPr="005141FE">
        <w:rPr>
          <w:bCs/>
        </w:rPr>
        <w:t>ustomers need to receive the proper price signal to encourage a reduction in their peak demand, i.e., higher demand charges.</w:t>
      </w:r>
    </w:p>
    <w:p w:rsidR="005141FE" w:rsidRDefault="005141FE" w:rsidP="005141FE">
      <w:pPr>
        <w:pStyle w:val="BodyText2"/>
        <w:numPr>
          <w:ilvl w:val="1"/>
          <w:numId w:val="47"/>
        </w:numPr>
        <w:tabs>
          <w:tab w:val="clear" w:pos="2970"/>
          <w:tab w:val="num" w:pos="1440"/>
        </w:tabs>
        <w:ind w:left="0" w:firstLine="720"/>
        <w:rPr>
          <w:b/>
          <w:bCs/>
        </w:rPr>
      </w:pPr>
      <w:r>
        <w:rPr>
          <w:b/>
          <w:bCs/>
        </w:rPr>
        <w:t>How does the level of demand costs from the Company’s cost of service study compare to the present demand charges?</w:t>
      </w:r>
    </w:p>
    <w:p w:rsidR="005141FE" w:rsidRPr="00171B4C" w:rsidRDefault="005141FE" w:rsidP="005141FE">
      <w:pPr>
        <w:pStyle w:val="BodyText2"/>
        <w:ind w:firstLine="720"/>
        <w:rPr>
          <w:bCs/>
        </w:rPr>
      </w:pPr>
      <w:r w:rsidRPr="00171B4C">
        <w:rPr>
          <w:bCs/>
        </w:rPr>
        <w:t>A.</w:t>
      </w:r>
      <w:r>
        <w:rPr>
          <w:bCs/>
        </w:rPr>
        <w:tab/>
        <w:t>The system allocated demand cost from the cost of service study is approximately $</w:t>
      </w:r>
      <w:r w:rsidR="00614DB9">
        <w:rPr>
          <w:bCs/>
        </w:rPr>
        <w:t>17</w:t>
      </w:r>
      <w:r>
        <w:rPr>
          <w:bCs/>
        </w:rPr>
        <w:t xml:space="preserve"> per kilowatt (kW)</w:t>
      </w:r>
      <w:r w:rsidR="002336F1">
        <w:rPr>
          <w:bCs/>
        </w:rPr>
        <w:t xml:space="preserve"> month</w:t>
      </w:r>
      <w:r w:rsidR="00AD2FA3">
        <w:rPr>
          <w:rStyle w:val="FootnoteReference"/>
          <w:bCs/>
        </w:rPr>
        <w:footnoteReference w:id="3"/>
      </w:r>
      <w:r>
        <w:rPr>
          <w:bCs/>
        </w:rPr>
        <w:t>.  The</w:t>
      </w:r>
      <w:r w:rsidR="00CF6646">
        <w:rPr>
          <w:bCs/>
        </w:rPr>
        <w:t xml:space="preserve"> Company’s</w:t>
      </w:r>
      <w:r>
        <w:rPr>
          <w:bCs/>
        </w:rPr>
        <w:t xml:space="preserve"> present </w:t>
      </w:r>
      <w:r w:rsidR="002336F1">
        <w:rPr>
          <w:bCs/>
        </w:rPr>
        <w:t xml:space="preserve">monthly </w:t>
      </w:r>
      <w:r>
        <w:rPr>
          <w:bCs/>
        </w:rPr>
        <w:t>demand charges range from $</w:t>
      </w:r>
      <w:r w:rsidR="00614DB9">
        <w:rPr>
          <w:bCs/>
        </w:rPr>
        <w:t>3.50</w:t>
      </w:r>
      <w:r>
        <w:rPr>
          <w:bCs/>
        </w:rPr>
        <w:t>-$</w:t>
      </w:r>
      <w:r w:rsidR="00614DB9">
        <w:rPr>
          <w:bCs/>
        </w:rPr>
        <w:t>4.25</w:t>
      </w:r>
      <w:r>
        <w:rPr>
          <w:bCs/>
        </w:rPr>
        <w:t>/kW</w:t>
      </w:r>
      <w:r w:rsidR="00CF6646">
        <w:rPr>
          <w:bCs/>
        </w:rPr>
        <w:t>, depending on service schedule</w:t>
      </w:r>
      <w:r>
        <w:rPr>
          <w:bCs/>
        </w:rPr>
        <w:t>.  While the exact level of costs classified as demand-</w:t>
      </w:r>
      <w:r w:rsidR="00A152BC">
        <w:rPr>
          <w:bCs/>
        </w:rPr>
        <w:t>related can be debated, clearly</w:t>
      </w:r>
      <w:r>
        <w:rPr>
          <w:bCs/>
        </w:rPr>
        <w:t xml:space="preserve"> the level </w:t>
      </w:r>
      <w:r w:rsidR="00CF6646">
        <w:rPr>
          <w:bCs/>
        </w:rPr>
        <w:t xml:space="preserve">of </w:t>
      </w:r>
      <w:r>
        <w:rPr>
          <w:bCs/>
        </w:rPr>
        <w:t xml:space="preserve">demand charges </w:t>
      </w:r>
      <w:r w:rsidR="00CF6646">
        <w:rPr>
          <w:bCs/>
        </w:rPr>
        <w:t>are well below</w:t>
      </w:r>
      <w:r>
        <w:rPr>
          <w:bCs/>
        </w:rPr>
        <w:t xml:space="preserve"> demand-related costs.   </w:t>
      </w:r>
    </w:p>
    <w:p w:rsidR="005540EB" w:rsidRPr="005540EB" w:rsidRDefault="005540EB" w:rsidP="005540EB">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chedule and how the Company is proposing to apply the increase of $</w:t>
      </w:r>
      <w:r w:rsidR="00614DB9">
        <w:rPr>
          <w:rStyle w:val="T11"/>
          <w:rFonts w:ascii="Times New Roman" w:hAnsi="Times New Roman" w:cs="Times New Roman"/>
        </w:rPr>
        <w:t>16,105,000</w:t>
      </w:r>
      <w:r w:rsidRPr="005540EB">
        <w:rPr>
          <w:rStyle w:val="T11"/>
          <w:rFonts w:ascii="Times New Roman" w:hAnsi="Times New Roman" w:cs="Times New Roman"/>
        </w:rPr>
        <w:t xml:space="preserve"> to the rates within the schedule?</w:t>
      </w:r>
    </w:p>
    <w:p w:rsidR="005540EB" w:rsidRPr="005540EB" w:rsidRDefault="005540EB" w:rsidP="005540EB">
      <w:pPr>
        <w:pStyle w:val="P106"/>
        <w:tabs>
          <w:tab w:val="left" w:pos="180"/>
          <w:tab w:val="num" w:pos="1440"/>
        </w:tabs>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FE07FB">
        <w:rPr>
          <w:rFonts w:ascii="Times New Roman" w:hAnsi="Times New Roman" w:cs="Times New Roman"/>
        </w:rPr>
        <w:t xml:space="preserve">Yes.  </w:t>
      </w:r>
      <w:r w:rsidRPr="005540EB">
        <w:rPr>
          <w:rFonts w:ascii="Times New Roman" w:hAnsi="Times New Roman" w:cs="Times New Roman"/>
        </w:rPr>
        <w:t>Large General Service Schedule 21 consists of a minimum monthly charge of $</w:t>
      </w:r>
      <w:r w:rsidR="00704982">
        <w:rPr>
          <w:rFonts w:ascii="Times New Roman" w:hAnsi="Times New Roman" w:cs="Times New Roman"/>
        </w:rPr>
        <w:t>300.00</w:t>
      </w:r>
      <w:r w:rsidRPr="005540EB">
        <w:rPr>
          <w:rFonts w:ascii="Times New Roman" w:hAnsi="Times New Roman" w:cs="Times New Roman"/>
        </w:rPr>
        <w:t xml:space="preserve"> for the first 50 </w:t>
      </w:r>
      <w:r w:rsidR="00704982">
        <w:rPr>
          <w:rFonts w:ascii="Times New Roman" w:hAnsi="Times New Roman" w:cs="Times New Roman"/>
        </w:rPr>
        <w:t>kW or less, a demand charge of $4.00</w:t>
      </w:r>
      <w:r w:rsidRPr="005540EB">
        <w:rPr>
          <w:rFonts w:ascii="Times New Roman" w:hAnsi="Times New Roman" w:cs="Times New Roman"/>
        </w:rPr>
        <w:t xml:space="preserve"> per kW for </w:t>
      </w:r>
      <w:r w:rsidRPr="005540EB">
        <w:rPr>
          <w:rFonts w:ascii="Times New Roman" w:hAnsi="Times New Roman" w:cs="Times New Roman"/>
        </w:rPr>
        <w:lastRenderedPageBreak/>
        <w:t xml:space="preserve">monthly demand in excess of 50 kW, and </w:t>
      </w:r>
      <w:r w:rsidR="00FE07FB">
        <w:rPr>
          <w:rFonts w:ascii="Times New Roman" w:hAnsi="Times New Roman" w:cs="Times New Roman"/>
        </w:rPr>
        <w:t>t</w:t>
      </w:r>
      <w:r w:rsidRPr="005540EB">
        <w:rPr>
          <w:rFonts w:ascii="Times New Roman" w:hAnsi="Times New Roman" w:cs="Times New Roman"/>
        </w:rPr>
        <w:t>wo energy</w:t>
      </w:r>
      <w:r w:rsidR="008B4398">
        <w:rPr>
          <w:rFonts w:ascii="Times New Roman" w:hAnsi="Times New Roman" w:cs="Times New Roman"/>
        </w:rPr>
        <w:t xml:space="preserve"> block</w:t>
      </w:r>
      <w:r w:rsidRPr="005540EB">
        <w:rPr>
          <w:rFonts w:ascii="Times New Roman" w:hAnsi="Times New Roman" w:cs="Times New Roman"/>
        </w:rPr>
        <w:t xml:space="preserve"> rates:  6.2</w:t>
      </w:r>
      <w:r w:rsidR="00704982">
        <w:rPr>
          <w:rFonts w:ascii="Times New Roman" w:hAnsi="Times New Roman" w:cs="Times New Roman"/>
        </w:rPr>
        <w:t>84</w:t>
      </w:r>
      <w:r w:rsidRPr="005540EB">
        <w:rPr>
          <w:rFonts w:ascii="Times New Roman" w:hAnsi="Times New Roman" w:cs="Times New Roman"/>
        </w:rPr>
        <w:t xml:space="preserve"> cents per kWh for the first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w:t>
      </w:r>
      <w:r w:rsidR="008B4398">
        <w:rPr>
          <w:rFonts w:ascii="Times New Roman" w:hAnsi="Times New Roman" w:cs="Times New Roman"/>
        </w:rPr>
        <w:t>,</w:t>
      </w:r>
      <w:r w:rsidRPr="005540EB">
        <w:rPr>
          <w:rFonts w:ascii="Times New Roman" w:hAnsi="Times New Roman" w:cs="Times New Roman"/>
        </w:rPr>
        <w:t xml:space="preserve"> and 5.</w:t>
      </w:r>
      <w:r w:rsidR="00704982">
        <w:rPr>
          <w:rFonts w:ascii="Times New Roman" w:hAnsi="Times New Roman" w:cs="Times New Roman"/>
        </w:rPr>
        <w:t>614</w:t>
      </w:r>
      <w:r w:rsidRPr="005540EB">
        <w:rPr>
          <w:rFonts w:ascii="Times New Roman" w:hAnsi="Times New Roman" w:cs="Times New Roman"/>
        </w:rPr>
        <w:t xml:space="preserve"> cents per kWh for all usage in excess of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The Company is proposing that the present minimum demand charge (for the first 50 kW or less) be increased by $</w:t>
      </w:r>
      <w:r w:rsidR="00614DB9">
        <w:rPr>
          <w:rFonts w:ascii="Times New Roman" w:hAnsi="Times New Roman" w:cs="Times New Roman"/>
        </w:rPr>
        <w:t>50</w:t>
      </w:r>
      <w:r w:rsidRPr="005540EB">
        <w:rPr>
          <w:rFonts w:ascii="Times New Roman" w:hAnsi="Times New Roman" w:cs="Times New Roman"/>
        </w:rPr>
        <w:t xml:space="preserve"> per month, from $</w:t>
      </w:r>
      <w:r w:rsidR="00704982">
        <w:rPr>
          <w:rFonts w:ascii="Times New Roman" w:hAnsi="Times New Roman" w:cs="Times New Roman"/>
        </w:rPr>
        <w:t>300</w:t>
      </w:r>
      <w:r w:rsidRPr="005540EB">
        <w:rPr>
          <w:rFonts w:ascii="Times New Roman" w:hAnsi="Times New Roman" w:cs="Times New Roman"/>
        </w:rPr>
        <w:t>.00 to $</w:t>
      </w:r>
      <w:r w:rsidR="00614DB9">
        <w:rPr>
          <w:rFonts w:ascii="Times New Roman" w:hAnsi="Times New Roman" w:cs="Times New Roman"/>
        </w:rPr>
        <w:t>350.00</w:t>
      </w:r>
      <w:r w:rsidRPr="005540EB">
        <w:rPr>
          <w:rFonts w:ascii="Times New Roman" w:hAnsi="Times New Roman" w:cs="Times New Roman"/>
        </w:rPr>
        <w:t>, and the demand charge for kW over 50 per month be increased by $</w:t>
      </w:r>
      <w:r w:rsidR="00614DB9">
        <w:rPr>
          <w:rFonts w:ascii="Times New Roman" w:hAnsi="Times New Roman" w:cs="Times New Roman"/>
        </w:rPr>
        <w:t>0.75</w:t>
      </w:r>
      <w:r w:rsidRPr="005540EB">
        <w:rPr>
          <w:rFonts w:ascii="Times New Roman" w:hAnsi="Times New Roman" w:cs="Times New Roman"/>
        </w:rPr>
        <w:t xml:space="preserve"> per kW, from $</w:t>
      </w:r>
      <w:r w:rsidR="00704982">
        <w:rPr>
          <w:rFonts w:ascii="Times New Roman" w:hAnsi="Times New Roman" w:cs="Times New Roman"/>
        </w:rPr>
        <w:t>4.00</w:t>
      </w:r>
      <w:r w:rsidRPr="005540EB">
        <w:rPr>
          <w:rFonts w:ascii="Times New Roman" w:hAnsi="Times New Roman" w:cs="Times New Roman"/>
        </w:rPr>
        <w:t xml:space="preserve"> to $</w:t>
      </w:r>
      <w:r w:rsidR="00614DB9">
        <w:rPr>
          <w:rFonts w:ascii="Times New Roman" w:hAnsi="Times New Roman" w:cs="Times New Roman"/>
        </w:rPr>
        <w:t>4.75, for reasons provided previously in my testimony</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increase of </w:t>
      </w:r>
      <w:r w:rsidR="00614DB9">
        <w:rPr>
          <w:rFonts w:ascii="Times New Roman" w:hAnsi="Times New Roman" w:cs="Times New Roman"/>
        </w:rPr>
        <w:t>approximately 12.3</w:t>
      </w:r>
      <w:r w:rsidRPr="005540EB">
        <w:rPr>
          <w:rFonts w:ascii="Times New Roman" w:hAnsi="Times New Roman" w:cs="Times New Roman"/>
        </w:rPr>
        <w:t xml:space="preserve">% applied to the two energy </w:t>
      </w:r>
      <w:r w:rsidR="008B4398">
        <w:rPr>
          <w:rFonts w:ascii="Times New Roman" w:hAnsi="Times New Roman" w:cs="Times New Roman"/>
        </w:rPr>
        <w:t xml:space="preserve">block </w:t>
      </w:r>
      <w:r w:rsidRPr="005540EB">
        <w:rPr>
          <w:rFonts w:ascii="Times New Roman" w:hAnsi="Times New Roman" w:cs="Times New Roman"/>
        </w:rPr>
        <w:t xml:space="preserve">rates.  The proposed increase for the first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used per month under the schedule </w:t>
      </w:r>
      <w:r w:rsidRPr="00614DB9">
        <w:rPr>
          <w:rFonts w:ascii="Times New Roman" w:hAnsi="Times New Roman" w:cs="Times New Roman"/>
        </w:rPr>
        <w:t xml:space="preserve">is </w:t>
      </w:r>
      <w:r w:rsidR="00614DB9" w:rsidRPr="00614DB9">
        <w:rPr>
          <w:rFonts w:ascii="Times New Roman" w:hAnsi="Times New Roman" w:cs="Times New Roman"/>
        </w:rPr>
        <w:t>0.773</w:t>
      </w:r>
      <w:r w:rsidRPr="00614DB9">
        <w:rPr>
          <w:rFonts w:ascii="Times New Roman" w:hAnsi="Times New Roman" w:cs="Times New Roman"/>
        </w:rPr>
        <w:t xml:space="preserve"> cents per kWh, and an increase of </w:t>
      </w:r>
      <w:r w:rsidR="00614DB9" w:rsidRPr="00614DB9">
        <w:rPr>
          <w:rFonts w:ascii="Times New Roman" w:hAnsi="Times New Roman" w:cs="Times New Roman"/>
        </w:rPr>
        <w:t>0.688</w:t>
      </w:r>
      <w:r w:rsidRPr="00614DB9">
        <w:rPr>
          <w:rFonts w:ascii="Times New Roman" w:hAnsi="Times New Roman" w:cs="Times New Roman"/>
        </w:rPr>
        <w:t xml:space="preserve"> </w:t>
      </w:r>
      <w:r w:rsidRPr="005540EB">
        <w:rPr>
          <w:rFonts w:ascii="Times New Roman" w:hAnsi="Times New Roman" w:cs="Times New Roman"/>
        </w:rPr>
        <w:t xml:space="preserve">cents per kWh for usage over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w:t>
      </w:r>
    </w:p>
    <w:p w:rsidR="005540EB" w:rsidRPr="005540EB" w:rsidRDefault="005540EB" w:rsidP="005540EB">
      <w:pPr>
        <w:pStyle w:val="P106"/>
        <w:jc w:val="both"/>
        <w:rPr>
          <w:rFonts w:ascii="Times New Roman" w:hAnsi="Times New Roman" w:cs="Times New Roman"/>
        </w:rPr>
      </w:pPr>
      <w:r w:rsidRPr="005540EB">
        <w:rPr>
          <w:rStyle w:val="T11"/>
          <w:rFonts w:ascii="Times New Roman" w:hAnsi="Times New Roman" w:cs="Times New Roman"/>
        </w:rPr>
        <w:t xml:space="preserve">Q.  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chedule and how the Company is proposing to apply the increase of $</w:t>
      </w:r>
      <w:r w:rsidR="00100091">
        <w:rPr>
          <w:rStyle w:val="T11"/>
          <w:rFonts w:ascii="Times New Roman" w:hAnsi="Times New Roman" w:cs="Times New Roman"/>
        </w:rPr>
        <w:t>5,645,000</w:t>
      </w:r>
      <w:r w:rsidRPr="005540EB">
        <w:rPr>
          <w:rStyle w:val="T11"/>
          <w:rFonts w:ascii="Times New Roman" w:hAnsi="Times New Roman" w:cs="Times New Roman"/>
        </w:rPr>
        <w:t xml:space="preserve"> to the rates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 xml:space="preserve">A.  </w:t>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$1</w:t>
      </w:r>
      <w:r w:rsidR="00704982">
        <w:rPr>
          <w:rFonts w:ascii="Times New Roman" w:hAnsi="Times New Roman" w:cs="Times New Roman"/>
        </w:rPr>
        <w:t>1</w:t>
      </w:r>
      <w:r w:rsidRPr="005540EB">
        <w:rPr>
          <w:rFonts w:ascii="Times New Roman" w:hAnsi="Times New Roman" w:cs="Times New Roman"/>
        </w:rPr>
        <w:t>,000.00 for the first 3,000 kVa or less, a demand charge of $</w:t>
      </w:r>
      <w:r w:rsidR="00704982">
        <w:rPr>
          <w:rFonts w:ascii="Times New Roman" w:hAnsi="Times New Roman" w:cs="Times New Roman"/>
        </w:rPr>
        <w:t>3.50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704982">
        <w:rPr>
          <w:rFonts w:ascii="Times New Roman" w:hAnsi="Times New Roman" w:cs="Times New Roman"/>
        </w:rPr>
        <w:t>4.928</w:t>
      </w:r>
      <w:r w:rsidRPr="005540EB">
        <w:rPr>
          <w:rFonts w:ascii="Times New Roman" w:hAnsi="Times New Roman" w:cs="Times New Roman"/>
        </w:rPr>
        <w:t xml:space="preserve"> cents per kWh for the first 500,000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4.</w:t>
      </w:r>
      <w:r w:rsidR="00704982">
        <w:rPr>
          <w:rFonts w:ascii="Times New Roman" w:hAnsi="Times New Roman" w:cs="Times New Roman"/>
        </w:rPr>
        <w:t>433</w:t>
      </w:r>
      <w:r w:rsidRPr="005540EB">
        <w:rPr>
          <w:rFonts w:ascii="Times New Roman" w:hAnsi="Times New Roman" w:cs="Times New Roman"/>
        </w:rPr>
        <w:t xml:space="preserve"> cents per kWh for the next 5.5 million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4.1</w:t>
      </w:r>
      <w:r w:rsidR="00704982">
        <w:rPr>
          <w:rFonts w:ascii="Times New Roman" w:hAnsi="Times New Roman" w:cs="Times New Roman"/>
        </w:rPr>
        <w:t>56</w:t>
      </w:r>
      <w:r w:rsidRPr="005540EB">
        <w:rPr>
          <w:rFonts w:ascii="Times New Roman" w:hAnsi="Times New Roman" w:cs="Times New Roman"/>
        </w:rPr>
        <w:t xml:space="preserve"> cents per kWh for all usage in excess of 6 million </w:t>
      </w:r>
      <w:proofErr w:type="spellStart"/>
      <w:r w:rsidRPr="005540EB">
        <w:rPr>
          <w:rFonts w:ascii="Times New Roman" w:hAnsi="Times New Roman" w:cs="Times New Roman"/>
        </w:rPr>
        <w:t>kWhs</w:t>
      </w:r>
      <w:proofErr w:type="spellEnd"/>
      <w:r w:rsidRPr="005540EB">
        <w:rPr>
          <w:rFonts w:ascii="Times New Roman" w:hAnsi="Times New Roman" w:cs="Times New Roman"/>
        </w:rPr>
        <w:t>.</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The Company is proposing that the present minimum demand charge under the schedule be increased by $</w:t>
      </w:r>
      <w:r w:rsidR="00100091">
        <w:rPr>
          <w:rFonts w:ascii="Times New Roman" w:hAnsi="Times New Roman" w:cs="Times New Roman"/>
        </w:rPr>
        <w:t>1,500</w:t>
      </w:r>
      <w:r w:rsidRPr="005540EB">
        <w:rPr>
          <w:rFonts w:ascii="Times New Roman" w:hAnsi="Times New Roman" w:cs="Times New Roman"/>
        </w:rPr>
        <w:t xml:space="preserve"> per month, from $1</w:t>
      </w:r>
      <w:r w:rsidR="00704982">
        <w:rPr>
          <w:rFonts w:ascii="Times New Roman" w:hAnsi="Times New Roman" w:cs="Times New Roman"/>
        </w:rPr>
        <w:t>1</w:t>
      </w:r>
      <w:r w:rsidRPr="005540EB">
        <w:rPr>
          <w:rFonts w:ascii="Times New Roman" w:hAnsi="Times New Roman" w:cs="Times New Roman"/>
        </w:rPr>
        <w:t>,000 to $</w:t>
      </w:r>
      <w:r w:rsidR="00100091">
        <w:rPr>
          <w:rFonts w:ascii="Times New Roman" w:hAnsi="Times New Roman" w:cs="Times New Roman"/>
        </w:rPr>
        <w:t>12,500</w:t>
      </w:r>
      <w:r w:rsidRPr="005540EB">
        <w:rPr>
          <w:rFonts w:ascii="Times New Roman" w:hAnsi="Times New Roman" w:cs="Times New Roman"/>
        </w:rPr>
        <w:t>, and the demand charge for kVa over 3,000 per month be increased by $0.</w:t>
      </w:r>
      <w:r w:rsidR="00100091">
        <w:rPr>
          <w:rFonts w:ascii="Times New Roman" w:hAnsi="Times New Roman" w:cs="Times New Roman"/>
        </w:rPr>
        <w:t>50</w:t>
      </w:r>
      <w:r w:rsidRPr="005540EB">
        <w:rPr>
          <w:rFonts w:ascii="Times New Roman" w:hAnsi="Times New Roman" w:cs="Times New Roman"/>
        </w:rPr>
        <w:t xml:space="preserve"> per kVa, from $3.</w:t>
      </w:r>
      <w:r w:rsidR="00704982">
        <w:rPr>
          <w:rFonts w:ascii="Times New Roman" w:hAnsi="Times New Roman" w:cs="Times New Roman"/>
        </w:rPr>
        <w:t>50</w:t>
      </w:r>
      <w:r w:rsidRPr="005540EB">
        <w:rPr>
          <w:rFonts w:ascii="Times New Roman" w:hAnsi="Times New Roman" w:cs="Times New Roman"/>
        </w:rPr>
        <w:t xml:space="preserve"> to $</w:t>
      </w:r>
      <w:r w:rsidR="00100091">
        <w:rPr>
          <w:rFonts w:ascii="Times New Roman" w:hAnsi="Times New Roman" w:cs="Times New Roman"/>
        </w:rPr>
        <w:t>4.00</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w:t>
      </w:r>
      <w:r w:rsidRPr="005540EB">
        <w:rPr>
          <w:rFonts w:ascii="Times New Roman" w:hAnsi="Times New Roman" w:cs="Times New Roman"/>
        </w:rPr>
        <w:lastRenderedPageBreak/>
        <w:t xml:space="preserve">uniform percentage increase of </w:t>
      </w:r>
      <w:r w:rsidR="00100091">
        <w:rPr>
          <w:rFonts w:ascii="Times New Roman" w:hAnsi="Times New Roman" w:cs="Times New Roman"/>
        </w:rPr>
        <w:t>approximately 12.1</w:t>
      </w:r>
      <w:r w:rsidR="008B4398">
        <w:rPr>
          <w:rFonts w:ascii="Times New Roman" w:hAnsi="Times New Roman" w:cs="Times New Roman"/>
        </w:rPr>
        <w:t xml:space="preserve">% applied to the three </w:t>
      </w:r>
      <w:r w:rsidRPr="005540EB">
        <w:rPr>
          <w:rFonts w:ascii="Times New Roman" w:hAnsi="Times New Roman" w:cs="Times New Roman"/>
        </w:rPr>
        <w:t xml:space="preserve">energy </w:t>
      </w:r>
      <w:r w:rsidR="008B4398">
        <w:rPr>
          <w:rFonts w:ascii="Times New Roman" w:hAnsi="Times New Roman" w:cs="Times New Roman"/>
        </w:rPr>
        <w:t xml:space="preserve">block </w:t>
      </w:r>
      <w:r w:rsidRPr="005540EB">
        <w:rPr>
          <w:rFonts w:ascii="Times New Roman" w:hAnsi="Times New Roman" w:cs="Times New Roman"/>
        </w:rPr>
        <w:t xml:space="preserve">rates.  The proposed energy rate increase for the first </w:t>
      </w:r>
      <w:r w:rsidRPr="00100091">
        <w:rPr>
          <w:rFonts w:ascii="Times New Roman" w:hAnsi="Times New Roman" w:cs="Times New Roman"/>
        </w:rPr>
        <w:t xml:space="preserve">500,000 </w:t>
      </w:r>
      <w:proofErr w:type="spellStart"/>
      <w:r w:rsidRPr="00100091">
        <w:rPr>
          <w:rFonts w:ascii="Times New Roman" w:hAnsi="Times New Roman" w:cs="Times New Roman"/>
        </w:rPr>
        <w:t>kWhs</w:t>
      </w:r>
      <w:proofErr w:type="spellEnd"/>
      <w:r w:rsidRPr="00100091">
        <w:rPr>
          <w:rFonts w:ascii="Times New Roman" w:hAnsi="Times New Roman" w:cs="Times New Roman"/>
        </w:rPr>
        <w:t xml:space="preserve"> used per month is 0.</w:t>
      </w:r>
      <w:r w:rsidR="00100091" w:rsidRPr="00100091">
        <w:rPr>
          <w:rFonts w:ascii="Times New Roman" w:hAnsi="Times New Roman" w:cs="Times New Roman"/>
        </w:rPr>
        <w:t>596</w:t>
      </w:r>
      <w:r w:rsidRPr="00100091">
        <w:rPr>
          <w:rFonts w:ascii="Times New Roman" w:hAnsi="Times New Roman" w:cs="Times New Roman"/>
        </w:rPr>
        <w:t xml:space="preserve"> cents per kWh, 0.</w:t>
      </w:r>
      <w:r w:rsidR="00100091" w:rsidRPr="00100091">
        <w:rPr>
          <w:rFonts w:ascii="Times New Roman" w:hAnsi="Times New Roman" w:cs="Times New Roman"/>
        </w:rPr>
        <w:t>536</w:t>
      </w:r>
      <w:r w:rsidRPr="00100091">
        <w:rPr>
          <w:rFonts w:ascii="Times New Roman" w:hAnsi="Times New Roman" w:cs="Times New Roman"/>
        </w:rPr>
        <w:t xml:space="preserve"> cents per kWh for the next 5.5 million, and 0.</w:t>
      </w:r>
      <w:r w:rsidR="00100091" w:rsidRPr="00100091">
        <w:rPr>
          <w:rFonts w:ascii="Times New Roman" w:hAnsi="Times New Roman" w:cs="Times New Roman"/>
        </w:rPr>
        <w:t>502</w:t>
      </w:r>
      <w:r w:rsidRPr="00100091">
        <w:rPr>
          <w:rFonts w:ascii="Times New Roman" w:hAnsi="Times New Roman" w:cs="Times New Roman"/>
        </w:rPr>
        <w:t xml:space="preserve"> cents per kWh for all usage over 6 million </w:t>
      </w:r>
      <w:proofErr w:type="spellStart"/>
      <w:r w:rsidRPr="00100091">
        <w:rPr>
          <w:rFonts w:ascii="Times New Roman" w:hAnsi="Times New Roman" w:cs="Times New Roman"/>
        </w:rPr>
        <w:t>kWhs</w:t>
      </w:r>
      <w:proofErr w:type="spellEnd"/>
      <w:r w:rsidRPr="00100091">
        <w:rPr>
          <w:rFonts w:ascii="Times New Roman" w:hAnsi="Times New Roman" w:cs="Times New Roman"/>
        </w:rPr>
        <w:t xml:space="preserve"> per month.</w:t>
      </w:r>
      <w:r w:rsidRPr="005540EB">
        <w:rPr>
          <w:rFonts w:ascii="Times New Roman" w:hAnsi="Times New Roman" w:cs="Times New Roman"/>
        </w:rPr>
        <w:t xml:space="preserve">  </w:t>
      </w:r>
    </w:p>
    <w:p w:rsidR="005540EB" w:rsidRPr="005540EB" w:rsidRDefault="005540EB" w:rsidP="005540EB">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increase </w:t>
      </w:r>
      <w:r w:rsidRPr="00100091">
        <w:rPr>
          <w:rStyle w:val="T11"/>
          <w:rFonts w:ascii="Times New Roman" w:hAnsi="Times New Roman" w:cs="Times New Roman"/>
        </w:rPr>
        <w:t>of $1,</w:t>
      </w:r>
      <w:r w:rsidR="00100091" w:rsidRPr="00100091">
        <w:rPr>
          <w:rStyle w:val="T11"/>
          <w:rFonts w:ascii="Times New Roman" w:hAnsi="Times New Roman" w:cs="Times New Roman"/>
        </w:rPr>
        <w:t>347</w:t>
      </w:r>
      <w:r w:rsidRPr="00100091">
        <w:rPr>
          <w:rStyle w:val="T11"/>
          <w:rFonts w:ascii="Times New Roman" w:hAnsi="Times New Roman" w:cs="Times New Roman"/>
        </w:rPr>
        <w:t>,000?</w:t>
      </w:r>
    </w:p>
    <w:p w:rsidR="005540EB" w:rsidRPr="005540EB" w:rsidRDefault="005540EB" w:rsidP="002A2752">
      <w:pPr>
        <w:pStyle w:val="P176"/>
        <w:numPr>
          <w:ilvl w:val="0"/>
          <w:numId w:val="7"/>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customer charge be increased by $</w:t>
      </w:r>
      <w:r w:rsidR="00100091">
        <w:rPr>
          <w:rFonts w:ascii="Times New Roman" w:hAnsi="Times New Roman" w:cs="Times New Roman"/>
        </w:rPr>
        <w:t>1.00</w:t>
      </w:r>
      <w:r w:rsidRPr="005540EB">
        <w:rPr>
          <w:rFonts w:ascii="Times New Roman" w:hAnsi="Times New Roman" w:cs="Times New Roman"/>
        </w:rPr>
        <w:t>, from $6.</w:t>
      </w:r>
      <w:r w:rsidR="00704982">
        <w:rPr>
          <w:rFonts w:ascii="Times New Roman" w:hAnsi="Times New Roman" w:cs="Times New Roman"/>
        </w:rPr>
        <w:t>7</w:t>
      </w:r>
      <w:r w:rsidRPr="005540EB">
        <w:rPr>
          <w:rFonts w:ascii="Times New Roman" w:hAnsi="Times New Roman" w:cs="Times New Roman"/>
        </w:rPr>
        <w:t>5 to $</w:t>
      </w:r>
      <w:r w:rsidR="00100091" w:rsidRPr="00100091">
        <w:rPr>
          <w:rFonts w:ascii="Times New Roman" w:hAnsi="Times New Roman" w:cs="Times New Roman"/>
        </w:rPr>
        <w:t>7</w:t>
      </w:r>
      <w:r w:rsidRPr="00100091">
        <w:rPr>
          <w:rFonts w:ascii="Times New Roman" w:hAnsi="Times New Roman" w:cs="Times New Roman"/>
        </w:rPr>
        <w:t>.75 p</w:t>
      </w:r>
      <w:r w:rsidRPr="005540EB">
        <w:rPr>
          <w:rFonts w:ascii="Times New Roman" w:hAnsi="Times New Roman" w:cs="Times New Roman"/>
        </w:rPr>
        <w:t xml:space="preserve">er month, with the remaining revenue increase spread on a uniform percentage increase of </w:t>
      </w:r>
      <w:r w:rsidR="00100091">
        <w:rPr>
          <w:rFonts w:ascii="Times New Roman" w:hAnsi="Times New Roman" w:cs="Times New Roman"/>
        </w:rPr>
        <w:t>14.8</w:t>
      </w:r>
      <w:r w:rsidRPr="005540EB">
        <w:rPr>
          <w:rFonts w:ascii="Times New Roman" w:hAnsi="Times New Roman" w:cs="Times New Roman"/>
        </w:rPr>
        <w:t xml:space="preserve">% to the two energy rate blocks under the </w:t>
      </w:r>
      <w:r w:rsidR="001020C1">
        <w:rPr>
          <w:rFonts w:ascii="Times New Roman" w:hAnsi="Times New Roman" w:cs="Times New Roman"/>
        </w:rPr>
        <w:t>s</w:t>
      </w:r>
      <w:r w:rsidRPr="005540EB">
        <w:rPr>
          <w:rFonts w:ascii="Times New Roman" w:hAnsi="Times New Roman" w:cs="Times New Roman"/>
        </w:rPr>
        <w:t>chedule.  The proposed increase in the first bloc</w:t>
      </w:r>
      <w:r w:rsidRPr="00100091">
        <w:rPr>
          <w:rFonts w:ascii="Times New Roman" w:hAnsi="Times New Roman" w:cs="Times New Roman"/>
        </w:rPr>
        <w:t xml:space="preserve">k rate is </w:t>
      </w:r>
      <w:r w:rsidR="00100091" w:rsidRPr="00100091">
        <w:rPr>
          <w:rFonts w:ascii="Times New Roman" w:hAnsi="Times New Roman" w:cs="Times New Roman"/>
        </w:rPr>
        <w:t>1.203</w:t>
      </w:r>
      <w:r w:rsidRPr="00100091">
        <w:rPr>
          <w:rFonts w:ascii="Times New Roman" w:hAnsi="Times New Roman" w:cs="Times New Roman"/>
        </w:rPr>
        <w:t xml:space="preserve"> cents per kWh and the increase in the second </w:t>
      </w:r>
      <w:r w:rsidR="002369E0" w:rsidRPr="00100091">
        <w:rPr>
          <w:rFonts w:ascii="Times New Roman" w:hAnsi="Times New Roman" w:cs="Times New Roman"/>
        </w:rPr>
        <w:t xml:space="preserve">block rate is </w:t>
      </w:r>
      <w:r w:rsidR="00100091" w:rsidRPr="00100091">
        <w:rPr>
          <w:rFonts w:ascii="Times New Roman" w:hAnsi="Times New Roman" w:cs="Times New Roman"/>
        </w:rPr>
        <w:t>0.858</w:t>
      </w:r>
      <w:r w:rsidR="002369E0" w:rsidRPr="00100091">
        <w:rPr>
          <w:rFonts w:ascii="Times New Roman" w:hAnsi="Times New Roman" w:cs="Times New Roman"/>
        </w:rPr>
        <w:t xml:space="preserve"> cents per</w:t>
      </w:r>
      <w:r w:rsidR="002369E0">
        <w:rPr>
          <w:rFonts w:ascii="Times New Roman" w:hAnsi="Times New Roman" w:cs="Times New Roman"/>
        </w:rPr>
        <w:t xml:space="preserve"> kW</w:t>
      </w:r>
      <w:r w:rsidRPr="005540EB">
        <w:rPr>
          <w:rFonts w:ascii="Times New Roman" w:hAnsi="Times New Roman" w:cs="Times New Roman"/>
        </w:rPr>
        <w:t xml:space="preserve">h.  </w:t>
      </w:r>
    </w:p>
    <w:p w:rsidR="005540EB" w:rsidRPr="005540EB" w:rsidRDefault="005540EB" w:rsidP="002A2752">
      <w:pPr>
        <w:pStyle w:val="P130"/>
        <w:numPr>
          <w:ilvl w:val="0"/>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How is the Company proposing to spread the proposed revenue increase of $</w:t>
      </w:r>
      <w:r w:rsidR="00100091">
        <w:rPr>
          <w:rFonts w:ascii="Times New Roman" w:hAnsi="Times New Roman" w:cs="Times New Roman"/>
        </w:rPr>
        <w:t>811,000</w:t>
      </w:r>
      <w:r w:rsidRPr="005540EB">
        <w:rPr>
          <w:rFonts w:ascii="Times New Roman" w:hAnsi="Times New Roman" w:cs="Times New Roman"/>
        </w:rPr>
        <w:t xml:space="preserve"> applicable to Street and Area Light schedules, to the rates contained in those schedules (Schedules 41-48)?</w:t>
      </w:r>
    </w:p>
    <w:p w:rsidR="005540EB" w:rsidRPr="005540EB" w:rsidRDefault="005540EB" w:rsidP="002A2752">
      <w:pPr>
        <w:pStyle w:val="P164"/>
        <w:numPr>
          <w:ilvl w:val="0"/>
          <w:numId w:val="31"/>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proposes to increase present street and area light (base) rates on a uniform percentage basis.  </w:t>
      </w:r>
      <w:r w:rsidR="00704982">
        <w:rPr>
          <w:rFonts w:ascii="Times New Roman" w:hAnsi="Times New Roman" w:cs="Times New Roman"/>
        </w:rPr>
        <w:t>T</w:t>
      </w:r>
      <w:r w:rsidRPr="005540EB">
        <w:rPr>
          <w:rFonts w:ascii="Times New Roman" w:hAnsi="Times New Roman" w:cs="Times New Roman"/>
        </w:rPr>
        <w:t xml:space="preserve">he proposed increase for all lighting rates is </w:t>
      </w:r>
      <w:r w:rsidR="00100091">
        <w:rPr>
          <w:rFonts w:ascii="Times New Roman" w:hAnsi="Times New Roman" w:cs="Times New Roman"/>
        </w:rPr>
        <w:t>13.8</w:t>
      </w:r>
      <w:r w:rsidRPr="005540EB">
        <w:rPr>
          <w:rFonts w:ascii="Times New Roman" w:hAnsi="Times New Roman" w:cs="Times New Roman"/>
        </w:rPr>
        <w:t>%.  The (base tariff) rates are shown in the tariffs for those schedules,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w:t>
      </w:r>
      <w:r w:rsidR="00916D0F">
        <w:rPr>
          <w:rFonts w:ascii="Times New Roman" w:hAnsi="Times New Roman" w:cs="Times New Roman"/>
        </w:rPr>
        <w:t>3</w:t>
      </w:r>
      <w:r w:rsidRPr="005540EB">
        <w:rPr>
          <w:rFonts w:ascii="Times New Roman" w:hAnsi="Times New Roman" w:cs="Times New Roman"/>
        </w:rPr>
        <w:t>).</w:t>
      </w:r>
    </w:p>
    <w:p w:rsidR="005540EB" w:rsidRPr="005540EB" w:rsidRDefault="005540EB" w:rsidP="002A2752">
      <w:pPr>
        <w:pStyle w:val="P148"/>
        <w:numPr>
          <w:ilvl w:val="1"/>
          <w:numId w:val="18"/>
        </w:numPr>
        <w:tabs>
          <w:tab w:val="num" w:pos="1440"/>
        </w:tabs>
        <w:ind w:left="0" w:firstLine="720"/>
        <w:jc w:val="both"/>
        <w:rPr>
          <w:rFonts w:ascii="Times New Roman" w:hAnsi="Times New Roman" w:cs="Times New Roman"/>
        </w:rPr>
      </w:pPr>
      <w:r w:rsidRPr="005540EB">
        <w:rPr>
          <w:rFonts w:ascii="Times New Roman" w:hAnsi="Times New Roman" w:cs="Times New Roman"/>
        </w:rPr>
        <w:t>Are you proposing any other changes to the Company’s electric service tariffs?</w:t>
      </w:r>
    </w:p>
    <w:p w:rsidR="00A67FB6" w:rsidRDefault="005D45EC" w:rsidP="005D45EC">
      <w:pPr>
        <w:pStyle w:val="BodyText2"/>
        <w:numPr>
          <w:ilvl w:val="0"/>
          <w:numId w:val="41"/>
        </w:numPr>
        <w:tabs>
          <w:tab w:val="left" w:pos="810"/>
          <w:tab w:val="left" w:pos="1440"/>
        </w:tabs>
        <w:ind w:left="0" w:firstLine="720"/>
      </w:pPr>
      <w:r>
        <w:t xml:space="preserve">Yes.  The Company is proposing to add language under Extra Large General Service Schedule 25 that would require </w:t>
      </w:r>
      <w:r w:rsidR="00C22D33">
        <w:t>a</w:t>
      </w:r>
      <w:r>
        <w:t xml:space="preserve"> customer to execute a special contract for service of a new</w:t>
      </w:r>
      <w:r w:rsidR="00A67FB6">
        <w:t xml:space="preserve"> </w:t>
      </w:r>
      <w:r>
        <w:t xml:space="preserve">incremental load requirement of 25 </w:t>
      </w:r>
      <w:proofErr w:type="spellStart"/>
      <w:r w:rsidR="00C22D33">
        <w:t>MVA</w:t>
      </w:r>
      <w:proofErr w:type="spellEnd"/>
      <w:r>
        <w:t xml:space="preserve"> or greater.  Specifically, </w:t>
      </w:r>
      <w:r>
        <w:lastRenderedPageBreak/>
        <w:t xml:space="preserve">under the “Special Terms and Conditions” section of the tariff, the proposed language states:  </w:t>
      </w:r>
    </w:p>
    <w:p w:rsidR="00A67FB6" w:rsidRDefault="005D45EC" w:rsidP="00A67FB6">
      <w:pPr>
        <w:pStyle w:val="BodyText2"/>
        <w:tabs>
          <w:tab w:val="left" w:pos="810"/>
        </w:tabs>
        <w:spacing w:line="240" w:lineRule="auto"/>
        <w:ind w:left="720"/>
      </w:pPr>
      <w:r>
        <w:t xml:space="preserve">“A new or existing customer with an incremental electric demand requirement of 25,000 kVa or greater must execute a special contract for service, wherein the rates, terms and conditions for service may be different than those set forth under this schedule.  The special contract will be subject to approval by the Washington Utilities and Transportation Commission (WUTC), and if the Company and the </w:t>
      </w:r>
      <w:r w:rsidR="00C22D33">
        <w:t>c</w:t>
      </w:r>
      <w:r>
        <w:t xml:space="preserve">ustomer cannot agree on the rates, terms and conditions of service, the matter will be brought before the WUTC for resolution.”  </w:t>
      </w:r>
    </w:p>
    <w:p w:rsidR="00A67FB6" w:rsidRDefault="00A67FB6" w:rsidP="00A67FB6">
      <w:pPr>
        <w:pStyle w:val="BodyText2"/>
        <w:tabs>
          <w:tab w:val="left" w:pos="810"/>
        </w:tabs>
        <w:ind w:left="720"/>
      </w:pPr>
    </w:p>
    <w:p w:rsidR="005D45EC" w:rsidRPr="00474CF8" w:rsidRDefault="005D45EC" w:rsidP="005D45EC">
      <w:pPr>
        <w:pStyle w:val="BodyText2"/>
        <w:numPr>
          <w:ilvl w:val="0"/>
          <w:numId w:val="43"/>
        </w:numPr>
        <w:tabs>
          <w:tab w:val="num" w:pos="1440"/>
        </w:tabs>
        <w:ind w:left="0" w:firstLine="720"/>
        <w:rPr>
          <w:b/>
        </w:rPr>
      </w:pPr>
      <w:r w:rsidRPr="00474CF8">
        <w:rPr>
          <w:b/>
        </w:rPr>
        <w:t>What is the Company’s rationale for this proposed provision?</w:t>
      </w:r>
    </w:p>
    <w:p w:rsidR="005D45EC" w:rsidRDefault="00CF6646" w:rsidP="005D45EC">
      <w:pPr>
        <w:pStyle w:val="BodyText2"/>
        <w:numPr>
          <w:ilvl w:val="0"/>
          <w:numId w:val="44"/>
        </w:numPr>
        <w:tabs>
          <w:tab w:val="clear" w:pos="1080"/>
          <w:tab w:val="num" w:pos="1440"/>
        </w:tabs>
        <w:ind w:left="0" w:firstLine="720"/>
      </w:pPr>
      <w:r w:rsidRPr="00CF6646">
        <w:t xml:space="preserve">The incremental cost associated with serving a new load of 25 megawatts or more </w:t>
      </w:r>
      <w:r>
        <w:t>could be</w:t>
      </w:r>
      <w:r w:rsidRPr="00CF6646">
        <w:t xml:space="preserve"> substantial.  </w:t>
      </w:r>
      <w:r w:rsidR="005D45EC">
        <w:t>Under the present Schedule 25 tariff, there is no provision limiting service at the rates set forth under this schedule.  A customer with a new load requirement of 25, 50, or even 100 megawatts could request, and perhaps demand, serv</w:t>
      </w:r>
      <w:r w:rsidR="0028794F">
        <w:t xml:space="preserve">ice at Schedule 25 rates.  The proposed </w:t>
      </w:r>
      <w:r w:rsidR="005D45EC">
        <w:t xml:space="preserve">provision would allow the Company and the Commission </w:t>
      </w:r>
      <w:r w:rsidR="0028794F">
        <w:t xml:space="preserve">to </w:t>
      </w:r>
      <w:r w:rsidR="005D45EC" w:rsidRPr="00A152BC">
        <w:t>consider</w:t>
      </w:r>
      <w:r w:rsidR="005D45EC">
        <w:t xml:space="preserve"> the incremental costs required to provide the requested service.  </w:t>
      </w:r>
    </w:p>
    <w:p w:rsidR="00C22D33" w:rsidRDefault="00C22D33" w:rsidP="00C22D33">
      <w:pPr>
        <w:pStyle w:val="BodyText2"/>
        <w:ind w:firstLine="720"/>
      </w:pPr>
      <w:r>
        <w:t xml:space="preserve">As an example, if a new large load customer of 50 </w:t>
      </w:r>
      <w:proofErr w:type="spellStart"/>
      <w:r>
        <w:t>aMW</w:t>
      </w:r>
      <w:proofErr w:type="spellEnd"/>
      <w:r>
        <w:t xml:space="preserve"> were to request service from Avista, it would require the Company to acquire new long-term firm resources earlier than otherwise planned.  The cost of new resources, whether they be combined cycle gas fired or wind generation, or both, range from approximately 7 cents to 11 cents per kWh.  If we were to use 8 cents per kWh for the new resource, just for illustrative purposes, and Avista were to sell the 50 </w:t>
      </w:r>
      <w:proofErr w:type="spellStart"/>
      <w:r>
        <w:t>aMW</w:t>
      </w:r>
      <w:proofErr w:type="spellEnd"/>
      <w:r>
        <w:t xml:space="preserve"> to the customer under our </w:t>
      </w:r>
      <w:r w:rsidRPr="00C22D33">
        <w:rPr>
          <w:u w:val="single"/>
        </w:rPr>
        <w:t>proposed</w:t>
      </w:r>
      <w:r>
        <w:t xml:space="preserve"> Schedule 25 rates</w:t>
      </w:r>
      <w:r w:rsidR="00A152BC">
        <w:t xml:space="preserve"> (and without the possibility of a special contract)</w:t>
      </w:r>
      <w:r>
        <w:t xml:space="preserve">, it would result in an incremental cost to other </w:t>
      </w:r>
      <w:r>
        <w:lastRenderedPageBreak/>
        <w:t>customers of approximately $</w:t>
      </w:r>
      <w:r w:rsidR="007B7C07">
        <w:t>11.</w:t>
      </w:r>
      <w:r w:rsidR="00075612">
        <w:t>4</w:t>
      </w:r>
      <w:r w:rsidR="007B7C07">
        <w:t xml:space="preserve"> million</w:t>
      </w:r>
      <w:r>
        <w:rPr>
          <w:rStyle w:val="FootnoteReference"/>
        </w:rPr>
        <w:footnoteReference w:id="4"/>
      </w:r>
      <w:r>
        <w:t>, or a</w:t>
      </w:r>
      <w:r w:rsidR="007B7C07">
        <w:t>n approximate</w:t>
      </w:r>
      <w:r>
        <w:t xml:space="preserve"> </w:t>
      </w:r>
      <w:r w:rsidR="007B7C07">
        <w:t>1.6</w:t>
      </w:r>
      <w:r>
        <w:t>% increase</w:t>
      </w:r>
      <w:r w:rsidR="007B7C07">
        <w:t xml:space="preserve"> (system)</w:t>
      </w:r>
      <w:r>
        <w:t xml:space="preserve"> in rates to all other customers.</w:t>
      </w:r>
    </w:p>
    <w:p w:rsidR="005D45EC" w:rsidRPr="00E10C3E" w:rsidRDefault="005D45EC" w:rsidP="005D45EC">
      <w:pPr>
        <w:pStyle w:val="BodyText2"/>
        <w:numPr>
          <w:ilvl w:val="0"/>
          <w:numId w:val="42"/>
        </w:numPr>
        <w:tabs>
          <w:tab w:val="left" w:pos="810"/>
          <w:tab w:val="left" w:pos="1440"/>
        </w:tabs>
        <w:ind w:left="0" w:firstLine="720"/>
        <w:rPr>
          <w:b/>
        </w:rPr>
      </w:pPr>
      <w:r w:rsidRPr="00E10C3E">
        <w:rPr>
          <w:b/>
        </w:rPr>
        <w:t xml:space="preserve">Does the Company have a similar provision in its </w:t>
      </w:r>
      <w:smartTag w:uri="urn:schemas-microsoft-com:office:smarttags" w:element="State">
        <w:smartTag w:uri="urn:schemas-microsoft-com:office:smarttags" w:element="place">
          <w:r w:rsidRPr="00E10C3E">
            <w:rPr>
              <w:b/>
            </w:rPr>
            <w:t>Idaho</w:t>
          </w:r>
        </w:smartTag>
      </w:smartTag>
      <w:r w:rsidRPr="00E10C3E">
        <w:rPr>
          <w:b/>
        </w:rPr>
        <w:t xml:space="preserve"> tariff?</w:t>
      </w:r>
    </w:p>
    <w:p w:rsidR="001B23F5" w:rsidRDefault="005D45EC" w:rsidP="001B23F5">
      <w:pPr>
        <w:pStyle w:val="BodyText2"/>
        <w:numPr>
          <w:ilvl w:val="0"/>
          <w:numId w:val="45"/>
        </w:numPr>
        <w:tabs>
          <w:tab w:val="clear" w:pos="1080"/>
          <w:tab w:val="num" w:pos="1440"/>
        </w:tabs>
        <w:ind w:left="0" w:firstLine="720"/>
        <w:rPr>
          <w:b/>
        </w:rPr>
      </w:pPr>
      <w:r w:rsidRPr="005A10A8">
        <w:t>Yes, however, the provision in the Idaho Schedule 25 tariff states that customers</w:t>
      </w:r>
      <w:r>
        <w:t xml:space="preserve"> whose </w:t>
      </w:r>
      <w:r>
        <w:rPr>
          <w:u w:val="single"/>
        </w:rPr>
        <w:t>total</w:t>
      </w:r>
      <w:r>
        <w:t xml:space="preserve"> demand requirement exceeds 25,000 kVa may be served under a special contract.  This provision has been in effect in </w:t>
      </w:r>
      <w:smartTag w:uri="urn:schemas-microsoft-com:office:smarttags" w:element="State">
        <w:smartTag w:uri="urn:schemas-microsoft-com:office:smarttags" w:element="place">
          <w:r>
            <w:t>Idaho</w:t>
          </w:r>
        </w:smartTag>
      </w:smartTag>
      <w:r>
        <w:t xml:space="preserve"> since 1992.  The only customer the Company serves in </w:t>
      </w:r>
      <w:smartTag w:uri="urn:schemas-microsoft-com:office:smarttags" w:element="State">
        <w:smartTag w:uri="urn:schemas-microsoft-com:office:smarttags" w:element="place">
          <w:r>
            <w:t>Idaho</w:t>
          </w:r>
        </w:smartTag>
      </w:smartTag>
      <w:r>
        <w:t xml:space="preserve"> that exceeds this level is </w:t>
      </w:r>
      <w:r w:rsidR="00625666">
        <w:t>Clearwater Paper</w:t>
      </w:r>
      <w:r>
        <w:t xml:space="preserve">. </w:t>
      </w:r>
      <w:r w:rsidR="001B23F5">
        <w:rPr>
          <w:b/>
        </w:rPr>
        <w:t xml:space="preserve"> </w:t>
      </w:r>
    </w:p>
    <w:p w:rsidR="005D45EC" w:rsidRPr="00E10C3E" w:rsidRDefault="005D45EC" w:rsidP="001B23F5">
      <w:pPr>
        <w:pStyle w:val="BodyText2"/>
        <w:ind w:firstLine="720"/>
        <w:rPr>
          <w:b/>
        </w:rPr>
      </w:pPr>
      <w:r>
        <w:rPr>
          <w:b/>
        </w:rPr>
        <w:t>Q</w:t>
      </w:r>
      <w:r w:rsidRPr="00E10C3E">
        <w:rPr>
          <w:b/>
        </w:rPr>
        <w:t>.</w:t>
      </w:r>
      <w:r w:rsidRPr="00E10C3E">
        <w:rPr>
          <w:b/>
        </w:rPr>
        <w:tab/>
        <w:t xml:space="preserve">Why isn’t the Company proposing specific service rates or a banded-rate associated with this incremental load provision?  </w:t>
      </w:r>
    </w:p>
    <w:p w:rsidR="005D45EC" w:rsidRDefault="005D45EC" w:rsidP="005D45EC">
      <w:pPr>
        <w:pStyle w:val="BodyText2"/>
        <w:tabs>
          <w:tab w:val="left" w:pos="1440"/>
        </w:tabs>
        <w:ind w:firstLine="720"/>
      </w:pPr>
      <w:r>
        <w:t>A.</w:t>
      </w:r>
      <w:r>
        <w:tab/>
        <w:t>The rates for service to an incremental load of this size should consider all of the specific load characteristics unique to that customer/load that could have a substantial effect on the cost of service.  These factors would include estimated energy usage and peak demand by month, day and hour, potential interruptibility, and distribution facility requirements, etc.</w:t>
      </w:r>
    </w:p>
    <w:p w:rsidR="005D45EC" w:rsidRPr="00E10C3E" w:rsidRDefault="005D45EC" w:rsidP="005D45EC">
      <w:pPr>
        <w:pStyle w:val="BodyText2"/>
        <w:tabs>
          <w:tab w:val="left" w:pos="810"/>
          <w:tab w:val="left" w:pos="1440"/>
        </w:tabs>
        <w:ind w:firstLine="720"/>
        <w:rPr>
          <w:b/>
        </w:rPr>
      </w:pPr>
      <w:r w:rsidRPr="00E10C3E">
        <w:rPr>
          <w:b/>
        </w:rPr>
        <w:t>Q.</w:t>
      </w:r>
      <w:r w:rsidRPr="00E10C3E">
        <w:rPr>
          <w:b/>
        </w:rPr>
        <w:tab/>
        <w:t>Even though there are no specific rates associated with the proposed provision, could the provision itself be considered “unduly discriminatory” when the Company is already serving customers whose load requirements exceed 25 megawatts (25,000 kVa)?</w:t>
      </w:r>
    </w:p>
    <w:p w:rsidR="005D45EC" w:rsidRDefault="005D45EC" w:rsidP="005D45EC">
      <w:pPr>
        <w:pStyle w:val="BodyText2"/>
        <w:ind w:firstLine="720"/>
      </w:pPr>
      <w:r>
        <w:t>A.</w:t>
      </w:r>
      <w:r>
        <w:tab/>
      </w:r>
      <w:r w:rsidR="001279B7">
        <w:t>No</w:t>
      </w:r>
      <w:r>
        <w:t xml:space="preserve">.  The provision states that, “the rates for service </w:t>
      </w:r>
      <w:r w:rsidRPr="00E10C3E">
        <w:rPr>
          <w:iCs/>
          <w:u w:val="single"/>
        </w:rPr>
        <w:t>may</w:t>
      </w:r>
      <w:r>
        <w:t xml:space="preserve"> be different than those set forth under this Schedule”.  The provision does not state that the rates </w:t>
      </w:r>
      <w:r w:rsidRPr="00E10C3E">
        <w:rPr>
          <w:iCs/>
          <w:u w:val="single"/>
        </w:rPr>
        <w:t>will</w:t>
      </w:r>
      <w:r>
        <w:rPr>
          <w:i/>
          <w:iCs/>
        </w:rPr>
        <w:t xml:space="preserve"> </w:t>
      </w:r>
      <w:r>
        <w:t xml:space="preserve">be different.  If the Company were to be presented with a new large load over 25,000 kVa, </w:t>
      </w:r>
      <w:r>
        <w:lastRenderedPageBreak/>
        <w:t xml:space="preserve">there would be opportunity to determine whether the characteristics of the new load warrant service rates </w:t>
      </w:r>
      <w:r w:rsidR="001279B7">
        <w:t>different</w:t>
      </w:r>
      <w:r>
        <w:t xml:space="preserve"> than those set forth under Schedule 25.  Any special contract proposed under this provision would be subject to Commission review to determine if the rates for service are fair, just, reasonable and sufficient, and are not unduly discriminatory. </w:t>
      </w:r>
    </w:p>
    <w:p w:rsidR="00936BE1" w:rsidRDefault="00936BE1"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general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r w:rsidR="001279B7">
        <w:rPr>
          <w:rFonts w:ascii="Times New Roman" w:hAnsi="Times New Roman" w:cs="Times New Roman"/>
        </w:rPr>
        <w:br w:type="page"/>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lastRenderedPageBreak/>
        <w:t>Summary of Natural Gas Rate Schedules and Tariffs</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review the Company's present rate schedules and the types of 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gas for customers whose annual requirements exceed 250,000 therms.  Schedule 148 is a banded-rate transportation tariff that allows for a negotiated service rate with large customers that have an economic alternative to taking 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at one time were provided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gas costs approved by the Commission in the prior PGA.  Because of their size, transportation service customers are analyzed individually to determine their appropriate share of </w:t>
      </w:r>
      <w:r w:rsidRPr="005540EB">
        <w:rPr>
          <w:rFonts w:ascii="Times New Roman" w:hAnsi="Times New Roman" w:cs="Times New Roman"/>
        </w:rPr>
        <w:lastRenderedPageBreak/>
        <w:t xml:space="preserve">deferred gas costs.  If those customers switch back to sales service, the Company continues to analyze those customers individually; otherwise, those customers would receive gas costs deferrals which are not due them, thus the need for Schedules 112, 122 and 132.  There are presently </w:t>
      </w:r>
      <w:r w:rsidRPr="00892BAC">
        <w:rPr>
          <w:rFonts w:ascii="Times New Roman" w:hAnsi="Times New Roman" w:cs="Times New Roman"/>
        </w:rPr>
        <w:t xml:space="preserve">only </w:t>
      </w:r>
      <w:r w:rsidRPr="00892BAC">
        <w:rPr>
          <w:rStyle w:val="T12"/>
          <w:rFonts w:ascii="Times New Roman" w:hAnsi="Times New Roman" w:cs="Times New Roman"/>
        </w:rPr>
        <w:t>ten</w:t>
      </w:r>
      <w:r w:rsidRPr="00892BAC">
        <w:rPr>
          <w:rFonts w:ascii="Times New Roman" w:hAnsi="Times New Roman" w:cs="Times New Roman"/>
        </w:rPr>
        <w:t xml:space="preserve"> customers</w:t>
      </w:r>
      <w:r w:rsidRPr="005540EB">
        <w:rPr>
          <w:rFonts w:ascii="Times New Roman" w:hAnsi="Times New Roman" w:cs="Times New Roman"/>
        </w:rPr>
        <w:t xml:space="preserve"> served under these schedules.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many customers does the Company serve under each of its natural gas rate schedules?</w:t>
      </w:r>
    </w:p>
    <w:p w:rsidR="005540EB" w:rsidRPr="005540EB" w:rsidRDefault="00CF6646" w:rsidP="005540EB">
      <w:pPr>
        <w:pStyle w:val="P204"/>
        <w:jc w:val="both"/>
        <w:rPr>
          <w:rFonts w:ascii="Times New Roman" w:hAnsi="Times New Roman" w:cs="Times New Roman"/>
        </w:rPr>
      </w:pPr>
      <w:r>
        <w:rPr>
          <w:rFonts w:ascii="Times New Roman" w:hAnsi="Times New Roman" w:cs="Times New Roman"/>
          <w:noProof/>
        </w:rPr>
        <w:drawing>
          <wp:anchor distT="0" distB="0" distL="114300" distR="114300" simplePos="0" relativeHeight="251656704" behindDoc="1" locked="0" layoutInCell="1" allowOverlap="1">
            <wp:simplePos x="0" y="0"/>
            <wp:positionH relativeFrom="column">
              <wp:posOffset>897668</wp:posOffset>
            </wp:positionH>
            <wp:positionV relativeFrom="paragraph">
              <wp:posOffset>608937</wp:posOffset>
            </wp:positionV>
            <wp:extent cx="4226947" cy="1407381"/>
            <wp:effectExtent l="19050" t="0" r="2153"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4226947" cy="1407381"/>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As of December 200</w:t>
      </w:r>
      <w:r w:rsidR="006C681F">
        <w:rPr>
          <w:rFonts w:ascii="Times New Roman" w:hAnsi="Times New Roman" w:cs="Times New Roman"/>
        </w:rPr>
        <w:t>9</w:t>
      </w:r>
      <w:r w:rsidR="005540EB" w:rsidRPr="005540EB">
        <w:rPr>
          <w:rFonts w:ascii="Times New Roman" w:hAnsi="Times New Roman" w:cs="Times New Roman"/>
        </w:rPr>
        <w:t>, the Company provided service to the following number of customers under each of its schedules:</w:t>
      </w:r>
    </w:p>
    <w:p w:rsidR="005540EB" w:rsidRPr="00AE4671" w:rsidRDefault="005540EB" w:rsidP="005540EB">
      <w:pPr>
        <w:pStyle w:val="P246"/>
        <w:outlineLvl w:val="0"/>
        <w:rPr>
          <w:rFonts w:ascii="Times New Roman" w:hAnsi="Times New Roman" w:cs="Times New Roman"/>
          <w:b w:val="0"/>
          <w:u w:val="none"/>
          <w:lang w:val="fr-FR"/>
        </w:rPr>
      </w:pPr>
      <w:r w:rsidRPr="00AE4671">
        <w:rPr>
          <w:rFonts w:ascii="Times New Roman" w:hAnsi="Times New Roman" w:cs="Times New Roman"/>
          <w:b w:val="0"/>
          <w:u w:val="none"/>
          <w:lang w:val="fr-FR"/>
        </w:rPr>
        <w:tab/>
      </w:r>
      <w:r w:rsidRPr="00AE4671">
        <w:rPr>
          <w:rFonts w:ascii="Times New Roman" w:hAnsi="Times New Roman" w:cs="Times New Roman"/>
          <w:b w:val="0"/>
          <w:u w:val="none"/>
          <w:lang w:val="fr-FR"/>
        </w:rPr>
        <w:tab/>
      </w:r>
      <w:r w:rsidRPr="00AE4671">
        <w:rPr>
          <w:rFonts w:ascii="Times New Roman" w:hAnsi="Times New Roman" w:cs="Times New Roman"/>
          <w:b w:val="0"/>
          <w:u w:val="none"/>
          <w:lang w:val="fr-FR"/>
        </w:rPr>
        <w:tab/>
      </w:r>
    </w:p>
    <w:p w:rsidR="00F17ED7" w:rsidRDefault="00F17ED7" w:rsidP="005540EB">
      <w:pPr>
        <w:pStyle w:val="P246"/>
        <w:jc w:val="both"/>
        <w:outlineLvl w:val="0"/>
        <w:rPr>
          <w:rFonts w:ascii="Times New Roman" w:hAnsi="Times New Roman" w:cs="Times New Roman"/>
        </w:rPr>
      </w:pPr>
    </w:p>
    <w:p w:rsidR="00F17ED7" w:rsidRDefault="00F17ED7" w:rsidP="005540EB">
      <w:pPr>
        <w:pStyle w:val="P246"/>
        <w:jc w:val="both"/>
        <w:outlineLvl w:val="0"/>
        <w:rPr>
          <w:rFonts w:ascii="Times New Roman" w:hAnsi="Times New Roman" w:cs="Times New Roman"/>
        </w:rPr>
      </w:pPr>
    </w:p>
    <w:p w:rsidR="00F17ED7" w:rsidRDefault="00F17ED7" w:rsidP="005540EB">
      <w:pPr>
        <w:pStyle w:val="P246"/>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540EB" w:rsidRDefault="005540EB" w:rsidP="005540EB">
      <w:pPr>
        <w:pStyle w:val="P24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does the Company propose to spread the overall revenue increase of $</w:t>
      </w:r>
      <w:r w:rsidR="00987E07">
        <w:rPr>
          <w:rFonts w:ascii="Times New Roman" w:hAnsi="Times New Roman" w:cs="Times New Roman"/>
        </w:rPr>
        <w:t>8,489,000</w:t>
      </w:r>
      <w:r w:rsidRPr="005540EB">
        <w:rPr>
          <w:rFonts w:ascii="Times New Roman" w:hAnsi="Times New Roman" w:cs="Times New Roman"/>
        </w:rPr>
        <w:t xml:space="preserve">, or </w:t>
      </w:r>
      <w:r w:rsidR="00987E07">
        <w:rPr>
          <w:rFonts w:ascii="Times New Roman" w:hAnsi="Times New Roman" w:cs="Times New Roman"/>
        </w:rPr>
        <w:t>5.4</w:t>
      </w:r>
      <w:r w:rsidRPr="005540EB">
        <w:rPr>
          <w:rFonts w:ascii="Times New Roman" w:hAnsi="Times New Roman" w:cs="Times New Roman"/>
        </w:rPr>
        <w:t>%, among its natural gas general service schedules?</w:t>
      </w:r>
    </w:p>
    <w:p w:rsidR="005540EB" w:rsidRPr="005540EB" w:rsidRDefault="00936BE1" w:rsidP="005540EB">
      <w:pPr>
        <w:pStyle w:val="P2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7968" behindDoc="1" locked="0" layoutInCell="1" allowOverlap="1">
            <wp:simplePos x="0" y="0"/>
            <wp:positionH relativeFrom="column">
              <wp:posOffset>967569</wp:posOffset>
            </wp:positionH>
            <wp:positionV relativeFrom="paragraph">
              <wp:posOffset>483538</wp:posOffset>
            </wp:positionV>
            <wp:extent cx="3911506" cy="1815153"/>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3911506" cy="1815153"/>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The Company is proposing the following revenue/rate changes by rate schedule:</w:t>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 xml:space="preserve">increase for Transportation Schedule 146 </w:t>
      </w:r>
      <w:r w:rsidRPr="005540EB">
        <w:rPr>
          <w:rFonts w:ascii="Times New Roman" w:hAnsi="Times New Roman" w:cs="Times New Roman"/>
          <w:b/>
          <w:bCs/>
        </w:rPr>
        <w:lastRenderedPageBreak/>
        <w:t>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increase for Transportation Schedule 146 is not comparable to the proposed increases for the other (sales) service schedules, as Schedule 146 revenue does not include an amount for the cost of gas or pipeline transportation, whereas the other sales schedules</w:t>
      </w:r>
      <w:r w:rsidR="00625666">
        <w:rPr>
          <w:rFonts w:ascii="Times New Roman" w:hAnsi="Times New Roman" w:cs="Times New Roman"/>
        </w:rPr>
        <w:t xml:space="preserve"> include these costs/revenue.  </w:t>
      </w:r>
      <w:r w:rsidRPr="005540EB">
        <w:rPr>
          <w:rFonts w:ascii="Times New Roman" w:hAnsi="Times New Roman" w:cs="Times New Roman"/>
        </w:rPr>
        <w:t>Transportation customers acquire their own g</w:t>
      </w:r>
      <w:r w:rsidR="00625666">
        <w:rPr>
          <w:rFonts w:ascii="Times New Roman" w:hAnsi="Times New Roman" w:cs="Times New Roman"/>
        </w:rPr>
        <w:t>as and pipeline transportation.</w:t>
      </w:r>
      <w:r w:rsidRPr="005540EB">
        <w:rPr>
          <w:rFonts w:ascii="Times New Roman" w:hAnsi="Times New Roman" w:cs="Times New Roman"/>
        </w:rPr>
        <w:t xml:space="preserve">  Including a conservative level of </w:t>
      </w:r>
      <w:r w:rsidR="00987E07">
        <w:rPr>
          <w:rFonts w:ascii="Times New Roman" w:hAnsi="Times New Roman" w:cs="Times New Roman"/>
        </w:rPr>
        <w:t>4</w:t>
      </w:r>
      <w:r w:rsidRPr="005540EB">
        <w:rPr>
          <w:rFonts w:ascii="Times New Roman" w:hAnsi="Times New Roman" w:cs="Times New Roman"/>
        </w:rPr>
        <w:t xml:space="preserve">0.0 cents per therm for the cost of gas and pipeline transportation, the proposed increase to Schedule 146 rates represents an average increase of </w:t>
      </w:r>
      <w:r w:rsidR="00987E07">
        <w:rPr>
          <w:rFonts w:ascii="Times New Roman" w:hAnsi="Times New Roman" w:cs="Times New Roman"/>
        </w:rPr>
        <w:t>1.</w:t>
      </w:r>
      <w:r w:rsidR="00BB4B20">
        <w:rPr>
          <w:rFonts w:ascii="Times New Roman" w:hAnsi="Times New Roman" w:cs="Times New Roman"/>
        </w:rPr>
        <w:t>74</w:t>
      </w:r>
      <w:r w:rsidRPr="005540EB">
        <w:rPr>
          <w:rFonts w:ascii="Times New Roman" w:hAnsi="Times New Roman" w:cs="Times New Roman"/>
        </w:rPr>
        <w:t>% in those customers’ total gas bill</w:t>
      </w:r>
      <w:r w:rsidR="00987E07">
        <w:rPr>
          <w:rFonts w:ascii="Times New Roman" w:hAnsi="Times New Roman" w:cs="Times New Roman"/>
        </w:rPr>
        <w:t>.</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information did the Company use to develop the proposed spread of the overall increase to the various rate schedules?</w:t>
      </w:r>
    </w:p>
    <w:p w:rsidR="00892BAC" w:rsidRDefault="005540EB" w:rsidP="00FD0FCC">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utilized the results of </w:t>
      </w:r>
      <w:r w:rsidR="0028794F">
        <w:rPr>
          <w:rFonts w:ascii="Times New Roman" w:hAnsi="Times New Roman" w:cs="Times New Roman"/>
        </w:rPr>
        <w:t xml:space="preserve">the </w:t>
      </w:r>
      <w:r w:rsidRPr="005540EB">
        <w:rPr>
          <w:rFonts w:ascii="Times New Roman" w:hAnsi="Times New Roman" w:cs="Times New Roman"/>
        </w:rPr>
        <w:t xml:space="preserve">cost of service study, as sponsored by </w:t>
      </w:r>
      <w:r w:rsidR="00667220">
        <w:rPr>
          <w:rFonts w:ascii="Times New Roman" w:hAnsi="Times New Roman" w:cs="Times New Roman"/>
        </w:rPr>
        <w:t>Ms.</w:t>
      </w:r>
      <w:r w:rsidRPr="005540EB">
        <w:rPr>
          <w:rFonts w:ascii="Times New Roman" w:hAnsi="Times New Roman" w:cs="Times New Roman"/>
        </w:rPr>
        <w:t xml:space="preserve"> Knox, as a guide in developing the proposed rate spread.  </w:t>
      </w:r>
      <w:r w:rsidR="00577848">
        <w:rPr>
          <w:rFonts w:ascii="Times New Roman" w:hAnsi="Times New Roman" w:cs="Times New Roman"/>
        </w:rPr>
        <w:t xml:space="preserve">As explained by Ms. Knox, this study was just completed and </w:t>
      </w:r>
      <w:r w:rsidR="001279B7">
        <w:rPr>
          <w:rFonts w:ascii="Times New Roman" w:hAnsi="Times New Roman" w:cs="Times New Roman"/>
        </w:rPr>
        <w:t>t</w:t>
      </w:r>
      <w:r w:rsidRPr="005540EB">
        <w:rPr>
          <w:rFonts w:ascii="Times New Roman" w:hAnsi="Times New Roman" w:cs="Times New Roman"/>
        </w:rPr>
        <w:t>he relative rates of return before and after application of the proposed increases by schedule are as follows:</w:t>
      </w:r>
    </w:p>
    <w:p w:rsidR="00667220" w:rsidRDefault="00F02AD8" w:rsidP="00FD0FCC">
      <w:pPr>
        <w:pStyle w:val="P253"/>
        <w:jc w:val="center"/>
        <w:outlineLvl w:val="0"/>
        <w:rPr>
          <w:rFonts w:ascii="Times New Roman" w:hAnsi="Times New Roman" w:cs="Times New Roman"/>
          <w:b w:val="0"/>
          <w:u w:val="none"/>
        </w:rPr>
      </w:pPr>
      <w:r w:rsidRPr="00F02AD8">
        <w:rPr>
          <w:noProof/>
          <w:u w:val="none"/>
        </w:rPr>
        <w:drawing>
          <wp:anchor distT="0" distB="0" distL="114300" distR="114300" simplePos="0" relativeHeight="251661824" behindDoc="1" locked="0" layoutInCell="1" allowOverlap="1">
            <wp:simplePos x="0" y="0"/>
            <wp:positionH relativeFrom="column">
              <wp:posOffset>517193</wp:posOffset>
            </wp:positionH>
            <wp:positionV relativeFrom="paragraph">
              <wp:posOffset>2275</wp:posOffset>
            </wp:positionV>
            <wp:extent cx="4743384" cy="1801504"/>
            <wp:effectExtent l="19050" t="0" r="66"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743384" cy="1801504"/>
                    </a:xfrm>
                    <a:prstGeom prst="rect">
                      <a:avLst/>
                    </a:prstGeom>
                    <a:noFill/>
                    <a:ln w="9525">
                      <a:noFill/>
                      <a:miter lim="800000"/>
                      <a:headEnd/>
                      <a:tailEnd/>
                    </a:ln>
                  </pic:spPr>
                </pic:pic>
              </a:graphicData>
            </a:graphic>
          </wp:anchor>
        </w:drawing>
      </w: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5540EB" w:rsidRPr="00797C30" w:rsidRDefault="005540EB" w:rsidP="005540EB">
      <w:pPr>
        <w:pStyle w:val="P253"/>
        <w:jc w:val="both"/>
        <w:outlineLvl w:val="0"/>
        <w:rPr>
          <w:rFonts w:ascii="Times New Roman" w:hAnsi="Times New Roman" w:cs="Times New Roman"/>
          <w:b w:val="0"/>
          <w:szCs w:val="24"/>
          <w:u w:val="none"/>
        </w:rPr>
      </w:pPr>
      <w:r w:rsidRPr="00797C30">
        <w:rPr>
          <w:rFonts w:ascii="Times New Roman" w:hAnsi="Times New Roman" w:cs="Times New Roman"/>
          <w:b w:val="0"/>
          <w:szCs w:val="24"/>
          <w:u w:val="none"/>
        </w:rPr>
        <w:t>Page 2 of Exhibit No._</w:t>
      </w:r>
      <w:r w:rsidR="00667220" w:rsidRPr="00797C30">
        <w:rPr>
          <w:rFonts w:ascii="Times New Roman" w:hAnsi="Times New Roman" w:cs="Times New Roman"/>
          <w:b w:val="0"/>
          <w:szCs w:val="24"/>
          <w:u w:val="none"/>
        </w:rPr>
        <w:t>__</w:t>
      </w:r>
      <w:r w:rsidRPr="00797C30">
        <w:rPr>
          <w:rFonts w:ascii="Times New Roman" w:hAnsi="Times New Roman" w:cs="Times New Roman"/>
          <w:b w:val="0"/>
          <w:szCs w:val="24"/>
          <w:u w:val="none"/>
        </w:rPr>
        <w:t>(</w:t>
      </w:r>
      <w:r w:rsidR="00D8699E" w:rsidRPr="00797C30">
        <w:rPr>
          <w:rFonts w:ascii="Times New Roman" w:hAnsi="Times New Roman" w:cs="Times New Roman"/>
          <w:b w:val="0"/>
          <w:szCs w:val="24"/>
          <w:u w:val="none"/>
        </w:rPr>
        <w:t>PDE</w:t>
      </w:r>
      <w:r w:rsidRPr="00797C30">
        <w:rPr>
          <w:rFonts w:ascii="Times New Roman" w:hAnsi="Times New Roman" w:cs="Times New Roman"/>
          <w:b w:val="0"/>
          <w:szCs w:val="24"/>
          <w:u w:val="none"/>
        </w:rPr>
        <w:t>-7) shows this information in more detail.</w:t>
      </w:r>
    </w:p>
    <w:p w:rsidR="005540EB" w:rsidRDefault="00CF6646" w:rsidP="005540EB">
      <w:pPr>
        <w:pStyle w:val="P253"/>
        <w:jc w:val="both"/>
        <w:outlineLvl w:val="0"/>
        <w:rPr>
          <w:rFonts w:ascii="Times New Roman" w:hAnsi="Times New Roman" w:cs="Times New Roman"/>
          <w:b w:val="0"/>
          <w:szCs w:val="24"/>
          <w:u w:val="none"/>
        </w:rPr>
      </w:pPr>
      <w:r>
        <w:rPr>
          <w:rFonts w:ascii="Times New Roman" w:hAnsi="Times New Roman" w:cs="Times New Roman"/>
          <w:b w:val="0"/>
          <w:szCs w:val="24"/>
          <w:u w:val="none"/>
        </w:rPr>
        <w:tab/>
      </w:r>
      <w:r w:rsidR="00797C30" w:rsidRPr="00797C30">
        <w:rPr>
          <w:rFonts w:ascii="Times New Roman" w:hAnsi="Times New Roman" w:cs="Times New Roman"/>
          <w:b w:val="0"/>
          <w:szCs w:val="24"/>
          <w:u w:val="none"/>
        </w:rPr>
        <w:t xml:space="preserve">The Company </w:t>
      </w:r>
      <w:r w:rsidR="00625666">
        <w:rPr>
          <w:rFonts w:ascii="Times New Roman" w:hAnsi="Times New Roman" w:cs="Times New Roman"/>
          <w:b w:val="0"/>
          <w:szCs w:val="24"/>
          <w:u w:val="none"/>
        </w:rPr>
        <w:t xml:space="preserve">believes </w:t>
      </w:r>
      <w:r w:rsidR="00797C30" w:rsidRPr="00797C30">
        <w:rPr>
          <w:rFonts w:ascii="Times New Roman" w:hAnsi="Times New Roman" w:cs="Times New Roman"/>
          <w:b w:val="0"/>
          <w:szCs w:val="24"/>
          <w:u w:val="none"/>
        </w:rPr>
        <w:t xml:space="preserve">that a reasonable range for the proposed relative rates of </w:t>
      </w:r>
      <w:r w:rsidR="00797C30" w:rsidRPr="00797C30">
        <w:rPr>
          <w:rFonts w:ascii="Times New Roman" w:hAnsi="Times New Roman" w:cs="Times New Roman"/>
          <w:b w:val="0"/>
          <w:szCs w:val="24"/>
          <w:u w:val="none"/>
        </w:rPr>
        <w:lastRenderedPageBreak/>
        <w:t xml:space="preserve">return would be in the 0.9 to 1.1 range.  As such, a move of approximately 60% towards unity for all schedules </w:t>
      </w:r>
      <w:r>
        <w:rPr>
          <w:rFonts w:ascii="Times New Roman" w:hAnsi="Times New Roman" w:cs="Times New Roman"/>
          <w:b w:val="0"/>
          <w:szCs w:val="24"/>
          <w:u w:val="none"/>
        </w:rPr>
        <w:t>met that goal</w:t>
      </w:r>
      <w:r w:rsidR="00797C30">
        <w:rPr>
          <w:rFonts w:ascii="Times New Roman" w:hAnsi="Times New Roman" w:cs="Times New Roman"/>
          <w:b w:val="0"/>
          <w:szCs w:val="24"/>
          <w:u w:val="none"/>
        </w:rPr>
        <w:t xml:space="preserve">, with the exception of Schedule 131.  This </w:t>
      </w:r>
      <w:r w:rsidR="008B5C02">
        <w:rPr>
          <w:rFonts w:ascii="Times New Roman" w:hAnsi="Times New Roman" w:cs="Times New Roman"/>
          <w:b w:val="0"/>
          <w:szCs w:val="24"/>
          <w:u w:val="none"/>
        </w:rPr>
        <w:t>s</w:t>
      </w:r>
      <w:r w:rsidR="00797C30">
        <w:rPr>
          <w:rFonts w:ascii="Times New Roman" w:hAnsi="Times New Roman" w:cs="Times New Roman"/>
          <w:b w:val="0"/>
          <w:szCs w:val="24"/>
          <w:u w:val="none"/>
        </w:rPr>
        <w:t xml:space="preserve">chedule only has one customer, and given their present relative rate of return, a move </w:t>
      </w:r>
      <w:r w:rsidR="00797C30" w:rsidRPr="00625666">
        <w:rPr>
          <w:rFonts w:ascii="Times New Roman" w:hAnsi="Times New Roman" w:cs="Times New Roman"/>
          <w:b w:val="0"/>
          <w:szCs w:val="24"/>
        </w:rPr>
        <w:t>to unity</w:t>
      </w:r>
      <w:r w:rsidR="00797C30">
        <w:rPr>
          <w:rFonts w:ascii="Times New Roman" w:hAnsi="Times New Roman" w:cs="Times New Roman"/>
          <w:b w:val="0"/>
          <w:szCs w:val="24"/>
          <w:u w:val="none"/>
        </w:rPr>
        <w:t xml:space="preserve"> was made.</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Could you please explain the present rate design within each of the Company’s present 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chedule contains a single rate per therm for all 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Interruptible Sales Service Schedule 131 has a four-tier declining-block rate structure for the first 10,000 therms, the next 15,000 therms, the next 25,000 therms, and usage over 50,000 therms per month.  The schedule also has an annual minimum deficiency </w:t>
      </w:r>
      <w:r w:rsidRPr="005540EB">
        <w:rPr>
          <w:rFonts w:ascii="Times New Roman" w:hAnsi="Times New Roman" w:cs="Times New Roman"/>
        </w:rPr>
        <w:lastRenderedPageBreak/>
        <w:t>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$20</w:t>
      </w:r>
      <w:r w:rsidR="001A4278">
        <w:rPr>
          <w:rFonts w:ascii="Times New Roman" w:hAnsi="Times New Roman" w:cs="Times New Roman"/>
        </w:rPr>
        <w:t>1.30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Is the Company proposing any changes to the present rate structures contained in its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increase of </w:t>
      </w:r>
      <w:r w:rsidR="00987E07">
        <w:rPr>
          <w:rStyle w:val="T11"/>
          <w:rFonts w:ascii="Times New Roman" w:hAnsi="Times New Roman" w:cs="Times New Roman"/>
        </w:rPr>
        <w:t>6.1</w:t>
      </w:r>
      <w:r w:rsidRPr="005540EB">
        <w:rPr>
          <w:rStyle w:val="T11"/>
          <w:rFonts w:ascii="Times New Roman" w:hAnsi="Times New Roman" w:cs="Times New Roman"/>
        </w:rPr>
        <w:t>% to the 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 is proposing to increase the basic/customer charge from $</w:t>
      </w:r>
      <w:r w:rsidR="001A4278">
        <w:rPr>
          <w:rFonts w:ascii="Times New Roman" w:hAnsi="Times New Roman" w:cs="Times New Roman"/>
        </w:rPr>
        <w:t>6.00</w:t>
      </w:r>
      <w:r w:rsidRPr="005540EB">
        <w:rPr>
          <w:rFonts w:ascii="Times New Roman" w:hAnsi="Times New Roman" w:cs="Times New Roman"/>
        </w:rPr>
        <w:t xml:space="preserve"> to $</w:t>
      </w:r>
      <w:r w:rsidR="001A4278">
        <w:rPr>
          <w:rFonts w:ascii="Times New Roman" w:hAnsi="Times New Roman" w:cs="Times New Roman"/>
        </w:rPr>
        <w:t>10</w:t>
      </w:r>
      <w:r w:rsidRPr="005540EB">
        <w:rPr>
          <w:rFonts w:ascii="Times New Roman" w:hAnsi="Times New Roman" w:cs="Times New Roman"/>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Why is the Company proposing an increase to the basic charge?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believes that the customer/basic charge should recover a reasonable portion of the fixed costs of providing service.  </w:t>
      </w:r>
      <w:r w:rsidR="00601C28">
        <w:rPr>
          <w:rFonts w:ascii="Times New Roman" w:hAnsi="Times New Roman" w:cs="Times New Roman"/>
        </w:rPr>
        <w:t>Support</w:t>
      </w:r>
      <w:r w:rsidR="001A4278">
        <w:rPr>
          <w:rFonts w:ascii="Times New Roman" w:hAnsi="Times New Roman" w:cs="Times New Roman"/>
        </w:rPr>
        <w:t xml:space="preserve"> for this increase is </w:t>
      </w:r>
      <w:r w:rsidR="001A4278">
        <w:rPr>
          <w:rFonts w:ascii="Times New Roman" w:hAnsi="Times New Roman" w:cs="Times New Roman"/>
        </w:rPr>
        <w:lastRenderedPageBreak/>
        <w:t>provided later in my testimony.</w:t>
      </w:r>
      <w:r w:rsidRPr="005540EB">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434EE0">
        <w:rPr>
          <w:rFonts w:ascii="Times New Roman" w:hAnsi="Times New Roman" w:cs="Times New Roman"/>
        </w:rPr>
        <w:t xml:space="preserve">The Company, </w:t>
      </w:r>
      <w:r w:rsidRPr="005540EB">
        <w:rPr>
          <w:rFonts w:ascii="Times New Roman" w:hAnsi="Times New Roman" w:cs="Times New Roman"/>
        </w:rPr>
        <w:t>as shown in column (e), 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r w:rsidR="00434EE0">
        <w:rPr>
          <w:rFonts w:ascii="Times New Roman" w:hAnsi="Times New Roman" w:cs="Times New Roman"/>
        </w:rPr>
        <w:t>, is not proposing a change to the per therm rate for Schedule 101 customers</w:t>
      </w:r>
      <w:r w:rsidRPr="005540EB">
        <w:rPr>
          <w:rFonts w:ascii="Times New Roman" w:hAnsi="Times New Roman" w:cs="Times New Roman"/>
        </w:rPr>
        <w:t xml:space="preserve">.  </w:t>
      </w:r>
      <w:r w:rsidR="00FF02B4">
        <w:rPr>
          <w:rFonts w:ascii="Times New Roman" w:hAnsi="Times New Roman" w:cs="Times New Roman"/>
        </w:rPr>
        <w:t xml:space="preserve"> The total revenue requirement for Schedule 101 would be recovered through the basic charge.</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sidR="00434EE0">
        <w:rPr>
          <w:rFonts w:ascii="Times New Roman" w:hAnsi="Times New Roman" w:cs="Times New Roman"/>
        </w:rPr>
        <w:t>69</w:t>
      </w:r>
      <w:r w:rsidRPr="005540EB">
        <w:rPr>
          <w:rFonts w:ascii="Times New Roman" w:hAnsi="Times New Roman" w:cs="Times New Roman"/>
        </w:rPr>
        <w:t xml:space="preserve"> therms of gas per month would be </w:t>
      </w:r>
      <w:r w:rsidRPr="00434EE0">
        <w:rPr>
          <w:rFonts w:ascii="Times New Roman" w:hAnsi="Times New Roman" w:cs="Times New Roman"/>
        </w:rPr>
        <w:t>$</w:t>
      </w:r>
      <w:r w:rsidR="00434EE0" w:rsidRPr="00434EE0">
        <w:rPr>
          <w:rFonts w:ascii="Times New Roman" w:hAnsi="Times New Roman" w:cs="Times New Roman"/>
        </w:rPr>
        <w:t>4.00</w:t>
      </w:r>
      <w:r w:rsidRPr="00434EE0">
        <w:rPr>
          <w:rFonts w:ascii="Times New Roman" w:hAnsi="Times New Roman" w:cs="Times New Roman"/>
        </w:rPr>
        <w:t xml:space="preserve"> per</w:t>
      </w:r>
      <w:r w:rsidRPr="005540EB">
        <w:rPr>
          <w:rFonts w:ascii="Times New Roman" w:hAnsi="Times New Roman" w:cs="Times New Roman"/>
        </w:rPr>
        <w:t xml:space="preserve"> month, or </w:t>
      </w:r>
      <w:r w:rsidR="00434EE0">
        <w:rPr>
          <w:rFonts w:ascii="Times New Roman" w:hAnsi="Times New Roman" w:cs="Times New Roman"/>
        </w:rPr>
        <w:t>6.8</w:t>
      </w:r>
      <w:r w:rsidRPr="005540EB">
        <w:rPr>
          <w:rFonts w:ascii="Times New Roman" w:hAnsi="Times New Roman" w:cs="Times New Roman"/>
        </w:rPr>
        <w:t xml:space="preserve">%.  A bill for </w:t>
      </w:r>
      <w:r w:rsidR="00434EE0">
        <w:rPr>
          <w:rFonts w:ascii="Times New Roman" w:hAnsi="Times New Roman" w:cs="Times New Roman"/>
        </w:rPr>
        <w:t>69</w:t>
      </w:r>
      <w:r w:rsidRPr="005540EB">
        <w:rPr>
          <w:rFonts w:ascii="Times New Roman" w:hAnsi="Times New Roman" w:cs="Times New Roman"/>
        </w:rPr>
        <w:t xml:space="preserve"> therms per month would increase from the present level of $</w:t>
      </w:r>
      <w:r w:rsidR="00434EE0">
        <w:rPr>
          <w:rFonts w:ascii="Times New Roman" w:hAnsi="Times New Roman" w:cs="Times New Roman"/>
        </w:rPr>
        <w:t>58.79</w:t>
      </w:r>
      <w:r w:rsidRPr="001A4278">
        <w:rPr>
          <w:rFonts w:ascii="Times New Roman" w:hAnsi="Times New Roman" w:cs="Times New Roman"/>
        </w:rPr>
        <w:t xml:space="preserve"> </w:t>
      </w:r>
      <w:r w:rsidRPr="005540EB">
        <w:rPr>
          <w:rFonts w:ascii="Times New Roman" w:hAnsi="Times New Roman" w:cs="Times New Roman"/>
        </w:rPr>
        <w:t>to a proposed level of $</w:t>
      </w:r>
      <w:r w:rsidR="00434EE0">
        <w:rPr>
          <w:rFonts w:ascii="Times New Roman" w:hAnsi="Times New Roman" w:cs="Times New Roman"/>
        </w:rPr>
        <w:t>62.79</w:t>
      </w:r>
      <w:r w:rsidRPr="005540EB">
        <w:rPr>
          <w:rFonts w:ascii="Times New Roman" w:hAnsi="Times New Roman" w:cs="Times New Roman"/>
        </w:rPr>
        <w:t>, including all present rate adjustments.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w:t>
      </w:r>
      <w:r w:rsidRPr="00797C30">
        <w:rPr>
          <w:rFonts w:ascii="Times New Roman" w:hAnsi="Times New Roman" w:cs="Times New Roman"/>
        </w:rPr>
        <w:lastRenderedPageBreak/>
        <w:t>placement for customers and a reasonable classification for cost analysis.  The proposed increase to the minimum charge for Schedule 111 (for 200 therms or less) of $</w:t>
      </w:r>
      <w:r w:rsidR="00797C30" w:rsidRPr="00797C30">
        <w:rPr>
          <w:rFonts w:ascii="Times New Roman" w:hAnsi="Times New Roman" w:cs="Times New Roman"/>
        </w:rPr>
        <w:t>4.00</w:t>
      </w:r>
      <w:r w:rsidRPr="00797C30">
        <w:rPr>
          <w:rFonts w:ascii="Times New Roman" w:hAnsi="Times New Roman" w:cs="Times New Roman"/>
        </w:rPr>
        <w:t xml:space="preserve"> per month is </w:t>
      </w:r>
      <w:r w:rsidR="00797C30" w:rsidRPr="00797C30">
        <w:rPr>
          <w:rFonts w:ascii="Times New Roman" w:hAnsi="Times New Roman" w:cs="Times New Roman"/>
        </w:rPr>
        <w:t xml:space="preserve">equal to the </w:t>
      </w:r>
      <w:r w:rsidR="00FF02B4">
        <w:rPr>
          <w:rFonts w:ascii="Times New Roman" w:hAnsi="Times New Roman" w:cs="Times New Roman"/>
        </w:rPr>
        <w:t>basic</w:t>
      </w:r>
      <w:r w:rsidRPr="00797C30">
        <w:rPr>
          <w:rFonts w:ascii="Times New Roman" w:hAnsi="Times New Roman" w:cs="Times New Roman"/>
        </w:rPr>
        <w:t xml:space="preserve"> charge increase of </w:t>
      </w:r>
      <w:r w:rsidR="00797C30" w:rsidRPr="00797C30">
        <w:rPr>
          <w:rFonts w:ascii="Times New Roman" w:hAnsi="Times New Roman" w:cs="Times New Roman"/>
        </w:rPr>
        <w:t>$4.00</w:t>
      </w:r>
      <w:r w:rsidR="008B5C02">
        <w:rPr>
          <w:rFonts w:ascii="Times New Roman" w:hAnsi="Times New Roman" w:cs="Times New Roman"/>
        </w:rPr>
        <w:t xml:space="preserve"> under Schedule 101</w:t>
      </w:r>
      <w:r w:rsidR="00797C30" w:rsidRPr="00797C30">
        <w:rPr>
          <w:rFonts w:ascii="Times New Roman" w:hAnsi="Times New Roman" w:cs="Times New Roman"/>
        </w:rPr>
        <w:t xml:space="preserve">.  Typically this Schedule 101 </w:t>
      </w:r>
      <w:r w:rsidR="00FF02B4">
        <w:rPr>
          <w:rFonts w:ascii="Times New Roman" w:hAnsi="Times New Roman" w:cs="Times New Roman"/>
        </w:rPr>
        <w:t>basic</w:t>
      </w:r>
      <w:r w:rsidR="00797C30" w:rsidRPr="00797C30">
        <w:rPr>
          <w:rFonts w:ascii="Times New Roman" w:hAnsi="Times New Roman" w:cs="Times New Roman"/>
        </w:rPr>
        <w:t xml:space="preserve"> charge increase, along with any </w:t>
      </w:r>
      <w:r w:rsidRPr="00797C30">
        <w:rPr>
          <w:rFonts w:ascii="Times New Roman" w:hAnsi="Times New Roman" w:cs="Times New Roman"/>
        </w:rPr>
        <w:t xml:space="preserve">proposed </w:t>
      </w:r>
      <w:r w:rsidR="00797C30" w:rsidRPr="00797C30">
        <w:rPr>
          <w:rFonts w:ascii="Times New Roman" w:hAnsi="Times New Roman" w:cs="Times New Roman"/>
        </w:rPr>
        <w:t>change</w:t>
      </w:r>
      <w:r w:rsidRPr="00797C30">
        <w:rPr>
          <w:rFonts w:ascii="Times New Roman" w:hAnsi="Times New Roman" w:cs="Times New Roman"/>
        </w:rPr>
        <w:t xml:space="preserve"> to the Schedule 101 rate per therm</w:t>
      </w:r>
      <w:r w:rsidR="00797C30" w:rsidRPr="00797C30">
        <w:rPr>
          <w:rFonts w:ascii="Times New Roman" w:hAnsi="Times New Roman" w:cs="Times New Roman"/>
        </w:rPr>
        <w:t xml:space="preserve">, </w:t>
      </w:r>
      <w:r w:rsidRPr="00797C30">
        <w:rPr>
          <w:rFonts w:ascii="Times New Roman" w:hAnsi="Times New Roman" w:cs="Times New Roman"/>
        </w:rPr>
        <w:t>multiplied by 200 therms</w:t>
      </w:r>
      <w:r w:rsidR="00797C30" w:rsidRPr="00797C30">
        <w:rPr>
          <w:rFonts w:ascii="Times New Roman" w:hAnsi="Times New Roman" w:cs="Times New Roman"/>
        </w:rPr>
        <w:t xml:space="preserve">, is the calculation used to determine the change in the </w:t>
      </w:r>
      <w:r w:rsidR="00797C30" w:rsidRPr="00D07D43">
        <w:rPr>
          <w:rFonts w:ascii="Times New Roman" w:hAnsi="Times New Roman" w:cs="Times New Roman"/>
        </w:rPr>
        <w:t>minimum charge for Schedule 111.  However, given that there is no proposed change to the volumetric per therm rate, the minimum charge for Schedule 111 was only increased by $4.00</w:t>
      </w:r>
      <w:r w:rsidRPr="00D07D43">
        <w:rPr>
          <w:rFonts w:ascii="Times New Roman" w:hAnsi="Times New Roman" w:cs="Times New Roman"/>
        </w:rPr>
        <w:t xml:space="preserve">.  This methodology maintains the present relationship between the schedules, and will minimize customer shifting.  The remaining proposed revenue increase for Schedule 111 was then spread on a uniform percentage increase of </w:t>
      </w:r>
      <w:r w:rsidR="00797C30" w:rsidRPr="00D07D43">
        <w:rPr>
          <w:rFonts w:ascii="Times New Roman" w:hAnsi="Times New Roman" w:cs="Times New Roman"/>
        </w:rPr>
        <w:t>3.4</w:t>
      </w:r>
      <w:r w:rsidRPr="00D07D43">
        <w:rPr>
          <w:rFonts w:ascii="Times New Roman" w:hAnsi="Times New Roman" w:cs="Times New Roman"/>
        </w:rPr>
        <w:t>% to the remai</w:t>
      </w:r>
      <w:r w:rsidR="00B312FA">
        <w:rPr>
          <w:rFonts w:ascii="Times New Roman" w:hAnsi="Times New Roman" w:cs="Times New Roman"/>
        </w:rPr>
        <w:t>ning two rate blocks under the s</w:t>
      </w:r>
      <w:r w:rsidRPr="00D07D43">
        <w:rPr>
          <w:rFonts w:ascii="Times New Roman" w:hAnsi="Times New Roman" w:cs="Times New Roman"/>
        </w:rPr>
        <w:t xml:space="preserve">chedule, resulting in an overall revenue increase of </w:t>
      </w:r>
      <w:r w:rsidR="00797C30" w:rsidRPr="00D07D43">
        <w:rPr>
          <w:rFonts w:ascii="Times New Roman" w:hAnsi="Times New Roman" w:cs="Times New Roman"/>
        </w:rPr>
        <w:t>3.3</w:t>
      </w:r>
      <w:r w:rsidR="00B312FA">
        <w:rPr>
          <w:rFonts w:ascii="Times New Roman" w:hAnsi="Times New Roman" w:cs="Times New Roman"/>
        </w:rPr>
        <w:t>% for the s</w:t>
      </w:r>
      <w:r w:rsidRPr="00D07D43">
        <w:rPr>
          <w:rFonts w:ascii="Times New Roman" w:hAnsi="Times New Roman" w:cs="Times New Roman"/>
        </w:rPr>
        <w:t>chedule.</w:t>
      </w:r>
    </w:p>
    <w:p w:rsidR="00936BE1" w:rsidRPr="00936BE1" w:rsidRDefault="005540EB" w:rsidP="00936BE1">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For Schedule 121, the increase in the minimum charge (for 500 therms or less) </w:t>
      </w:r>
      <w:r w:rsidR="00CF6646">
        <w:rPr>
          <w:rFonts w:ascii="Times New Roman" w:hAnsi="Times New Roman" w:cs="Times New Roman"/>
        </w:rPr>
        <w:t>is</w:t>
      </w:r>
      <w:r w:rsidRPr="005540EB">
        <w:rPr>
          <w:rFonts w:ascii="Times New Roman" w:hAnsi="Times New Roman" w:cs="Times New Roman"/>
        </w:rPr>
        <w:t xml:space="preserve"> $</w:t>
      </w:r>
      <w:r w:rsidR="00797C30">
        <w:rPr>
          <w:rFonts w:ascii="Times New Roman" w:hAnsi="Times New Roman" w:cs="Times New Roman"/>
        </w:rPr>
        <w:t>11.59</w:t>
      </w:r>
      <w:r w:rsidRPr="005540EB">
        <w:rPr>
          <w:rFonts w:ascii="Times New Roman" w:hAnsi="Times New Roman" w:cs="Times New Roman"/>
        </w:rPr>
        <w:t xml:space="preserve"> </w:t>
      </w:r>
      <w:r w:rsidR="008B5C02">
        <w:rPr>
          <w:rFonts w:ascii="Times New Roman" w:hAnsi="Times New Roman" w:cs="Times New Roman"/>
        </w:rPr>
        <w:t>for a total charge of $354.05</w:t>
      </w:r>
      <w:r w:rsidRPr="005540EB">
        <w:rPr>
          <w:rFonts w:ascii="Times New Roman" w:hAnsi="Times New Roman" w:cs="Times New Roman"/>
        </w:rPr>
        <w:t xml:space="preserve">. </w:t>
      </w:r>
      <w:r w:rsidR="00D503E1">
        <w:rPr>
          <w:rFonts w:ascii="Times New Roman" w:hAnsi="Times New Roman" w:cs="Times New Roman"/>
        </w:rPr>
        <w:t xml:space="preserve">  </w:t>
      </w:r>
      <w:r w:rsidR="00265299">
        <w:rPr>
          <w:rFonts w:ascii="Times New Roman" w:hAnsi="Times New Roman" w:cs="Times New Roman"/>
        </w:rPr>
        <w:t xml:space="preserve">The minimum charge </w:t>
      </w:r>
      <w:r w:rsidR="00CF6646">
        <w:rPr>
          <w:rFonts w:ascii="Times New Roman" w:hAnsi="Times New Roman" w:cs="Times New Roman"/>
        </w:rPr>
        <w:t>is</w:t>
      </w:r>
      <w:r w:rsidR="00265299">
        <w:rPr>
          <w:rFonts w:ascii="Times New Roman" w:hAnsi="Times New Roman" w:cs="Times New Roman"/>
        </w:rPr>
        <w:t xml:space="preserve"> derived by adding the </w:t>
      </w:r>
      <w:r w:rsidR="008B5C02">
        <w:rPr>
          <w:rFonts w:ascii="Times New Roman" w:hAnsi="Times New Roman" w:cs="Times New Roman"/>
        </w:rPr>
        <w:t>proposed S</w:t>
      </w:r>
      <w:r w:rsidR="00931621">
        <w:rPr>
          <w:rFonts w:ascii="Times New Roman" w:hAnsi="Times New Roman" w:cs="Times New Roman"/>
        </w:rPr>
        <w:t>chedule</w:t>
      </w:r>
      <w:r w:rsidR="00265299">
        <w:rPr>
          <w:rFonts w:ascii="Times New Roman" w:hAnsi="Times New Roman" w:cs="Times New Roman"/>
        </w:rPr>
        <w:t xml:space="preserve"> 101 </w:t>
      </w:r>
      <w:r w:rsidR="0040013A">
        <w:rPr>
          <w:rFonts w:ascii="Times New Roman" w:hAnsi="Times New Roman" w:cs="Times New Roman"/>
        </w:rPr>
        <w:t>basic</w:t>
      </w:r>
      <w:r w:rsidR="00265299">
        <w:rPr>
          <w:rFonts w:ascii="Times New Roman" w:hAnsi="Times New Roman" w:cs="Times New Roman"/>
        </w:rPr>
        <w:t xml:space="preserve"> charge of $10 to the product of 500 therms multiplied by the difference between the rate in Schedule 101 and the minimum rate under Schedule 121.  </w:t>
      </w:r>
    </w:p>
    <w:p w:rsidR="005A10A8" w:rsidRDefault="00265299" w:rsidP="00936BE1">
      <w:pPr>
        <w:pStyle w:val="TestBody"/>
        <w:widowControl w:val="0"/>
        <w:tabs>
          <w:tab w:val="left" w:pos="810"/>
          <w:tab w:val="left" w:pos="1440"/>
          <w:tab w:val="left" w:pos="2520"/>
        </w:tabs>
        <w:spacing w:line="480" w:lineRule="auto"/>
        <w:ind w:left="0" w:right="-100" w:firstLine="0"/>
      </w:pPr>
      <w:r>
        <w:rPr>
          <w:rFonts w:ascii="Times New Roman" w:hAnsi="Times New Roman" w:cs="Times New Roman"/>
        </w:rPr>
        <w:t>Below is the calculation:</w:t>
      </w:r>
    </w:p>
    <w:p w:rsidR="0040013A" w:rsidRDefault="00936BE1"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8992" behindDoc="1" locked="0" layoutInCell="1" allowOverlap="1">
            <wp:simplePos x="0" y="0"/>
            <wp:positionH relativeFrom="column">
              <wp:posOffset>1336040</wp:posOffset>
            </wp:positionH>
            <wp:positionV relativeFrom="paragraph">
              <wp:posOffset>85725</wp:posOffset>
            </wp:positionV>
            <wp:extent cx="2778125" cy="1774190"/>
            <wp:effectExtent l="19050" t="0" r="3175"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778125" cy="1774190"/>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EB1E66" w:rsidRDefault="00EB1E6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Pr>
          <w:rFonts w:ascii="Times New Roman" w:hAnsi="Times New Roman" w:cs="Times New Roman"/>
        </w:rPr>
        <w:lastRenderedPageBreak/>
        <w:t xml:space="preserve">approximately </w:t>
      </w:r>
      <w:r w:rsidR="00265299">
        <w:rPr>
          <w:rFonts w:ascii="Times New Roman" w:hAnsi="Times New Roman" w:cs="Times New Roman"/>
        </w:rPr>
        <w:t>3.8</w:t>
      </w:r>
      <w:r w:rsidRPr="005540EB">
        <w:rPr>
          <w:rFonts w:ascii="Times New Roman" w:hAnsi="Times New Roman" w:cs="Times New Roman"/>
        </w:rPr>
        <w:t xml:space="preserve">% to maintain consistency between the rates for Schedules 111 and 121.  The </w:t>
      </w:r>
      <w:r w:rsidR="00265299">
        <w:rPr>
          <w:rFonts w:ascii="Times New Roman" w:hAnsi="Times New Roman" w:cs="Times New Roman"/>
        </w:rPr>
        <w:t>fifth block was not adjusted</w:t>
      </w:r>
      <w:r w:rsidR="00CF6646">
        <w:rPr>
          <w:rFonts w:ascii="Times New Roman" w:hAnsi="Times New Roman" w:cs="Times New Roman"/>
        </w:rPr>
        <w:t xml:space="preserve"> in order to provide a more meaningful spread between the rate blocks</w:t>
      </w:r>
      <w:r w:rsidRPr="005540EB">
        <w:rPr>
          <w:rFonts w:ascii="Times New Roman" w:hAnsi="Times New Roman" w:cs="Times New Roman"/>
        </w:rPr>
        <w:t xml:space="preserve">, resulting in an overall revenue increase of </w:t>
      </w:r>
      <w:r w:rsidR="00265299">
        <w:rPr>
          <w:rFonts w:ascii="Times New Roman" w:hAnsi="Times New Roman" w:cs="Times New Roman"/>
        </w:rPr>
        <w:t>3.3</w:t>
      </w:r>
      <w:r w:rsidR="00B312FA">
        <w:rPr>
          <w:rFonts w:ascii="Times New Roman" w:hAnsi="Times New Roman" w:cs="Times New Roman"/>
        </w:rPr>
        <w:t>% for the s</w:t>
      </w:r>
      <w:r w:rsidRPr="005540EB">
        <w:rPr>
          <w:rFonts w:ascii="Times New Roman" w:hAnsi="Times New Roman" w:cs="Times New Roman"/>
        </w:rPr>
        <w:t xml:space="preserve">chedule.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Company proposing to spread the proposed increase of </w:t>
      </w:r>
      <w:r w:rsidRPr="00265299">
        <w:rPr>
          <w:rFonts w:ascii="Times New Roman" w:hAnsi="Times New Roman" w:cs="Times New Roman"/>
          <w:b/>
          <w:bCs/>
        </w:rPr>
        <w:t>$</w:t>
      </w:r>
      <w:r w:rsidR="00265299" w:rsidRPr="00265299">
        <w:rPr>
          <w:rFonts w:ascii="Times New Roman" w:hAnsi="Times New Roman" w:cs="Times New Roman"/>
          <w:b/>
          <w:bCs/>
        </w:rPr>
        <w:t>12</w:t>
      </w:r>
      <w:r w:rsidRPr="00265299">
        <w:rPr>
          <w:rFonts w:ascii="Times New Roman" w:hAnsi="Times New Roman" w:cs="Times New Roman"/>
          <w:b/>
          <w:bCs/>
        </w:rPr>
        <w:t xml:space="preserve">,000 </w:t>
      </w:r>
      <w:r w:rsidRPr="005540EB">
        <w:rPr>
          <w:rFonts w:ascii="Times New Roman" w:hAnsi="Times New Roman" w:cs="Times New Roman"/>
          <w:b/>
          <w:bCs/>
        </w:rPr>
        <w:t>to the rates under Interruptible Schedule 131?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increase the present four block rates under the schedule by a uniform percentage increase of </w:t>
      </w:r>
      <w:r w:rsidR="00265299">
        <w:rPr>
          <w:rFonts w:ascii="Times New Roman" w:hAnsi="Times New Roman" w:cs="Times New Roman"/>
        </w:rPr>
        <w:t>2.8</w:t>
      </w:r>
      <w:r w:rsidRPr="005540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The Company is proposing to adjust the basic charge and the per therm rates by 11.</w:t>
      </w:r>
      <w:r w:rsidR="007928C1">
        <w:rPr>
          <w:rFonts w:ascii="Times New Roman" w:hAnsi="Times New Roman" w:cs="Times New Roman"/>
        </w:rPr>
        <w:t>5</w:t>
      </w:r>
      <w:r w:rsidR="00CF1C5E">
        <w:rPr>
          <w:rFonts w:ascii="Times New Roman" w:hAnsi="Times New Roman" w:cs="Times New Roman"/>
        </w:rPr>
        <w:t xml:space="preserve">%.  For the basic charge, that would cause an </w:t>
      </w:r>
      <w:r w:rsidR="00A11C96">
        <w:rPr>
          <w:rFonts w:ascii="Times New Roman" w:hAnsi="Times New Roman" w:cs="Times New Roman"/>
        </w:rPr>
        <w:t>increase from $201.30 to $225 per month</w:t>
      </w:r>
      <w:r w:rsidR="00CF1C5E">
        <w:rPr>
          <w:rFonts w:ascii="Times New Roman" w:hAnsi="Times New Roman" w:cs="Times New Roman"/>
        </w:rPr>
        <w:t xml:space="preserve"> (which was rounded to the nearest $5 increment)</w:t>
      </w:r>
      <w:r w:rsidR="00A11C96">
        <w:rPr>
          <w:rFonts w:ascii="Times New Roman" w:hAnsi="Times New Roman" w:cs="Times New Roman"/>
        </w:rPr>
        <w:t>.  For the remaining revenue requirement,  t</w:t>
      </w:r>
      <w:r w:rsidRPr="005540EB">
        <w:rPr>
          <w:rFonts w:ascii="Times New Roman" w:hAnsi="Times New Roman" w:cs="Times New Roman"/>
        </w:rPr>
        <w:t xml:space="preserve">he Company is proposing to spread the increase on a </w:t>
      </w:r>
      <w:r w:rsidRPr="00A11C96">
        <w:rPr>
          <w:rFonts w:ascii="Times New Roman" w:hAnsi="Times New Roman" w:cs="Times New Roman"/>
        </w:rPr>
        <w:t>uniform percentage basis</w:t>
      </w:r>
      <w:r w:rsidRPr="005540EB">
        <w:rPr>
          <w:rFonts w:ascii="Times New Roman" w:hAnsi="Times New Roman" w:cs="Times New Roman"/>
        </w:rPr>
        <w:t xml:space="preserve"> to each of the present five block rates under the schedule.  Therefore, all customers served under the schedule will receive a similar increase, on a percentage basis.  The proposed increase to each of the block rates, as well as the present and proposed rates, are shown at the bottom of page 3 of Exhibit No.__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p>
    <w:p w:rsidR="005540EB" w:rsidRPr="00147D24" w:rsidRDefault="005540EB" w:rsidP="005540EB">
      <w:pPr>
        <w:pStyle w:val="P242"/>
        <w:jc w:val="both"/>
        <w:rPr>
          <w:rFonts w:ascii="Times New Roman" w:hAnsi="Times New Roman" w:cs="Times New Roman"/>
        </w:rPr>
      </w:pPr>
      <w:r w:rsidRPr="00147D24">
        <w:rPr>
          <w:rFonts w:ascii="Times New Roman" w:hAnsi="Times New Roman" w:cs="Times New Roman"/>
        </w:rPr>
        <w:t>Q.</w:t>
      </w:r>
      <w:r w:rsidRPr="00147D24">
        <w:rPr>
          <w:rFonts w:ascii="Times New Roman" w:hAnsi="Times New Roman" w:cs="Times New Roman"/>
        </w:rPr>
        <w:tab/>
        <w:t>Is the Company proposing any other changes to its natural gas service schedules?</w:t>
      </w:r>
    </w:p>
    <w:p w:rsidR="005540EB" w:rsidRPr="00147D24" w:rsidRDefault="005540EB" w:rsidP="005540EB">
      <w:pPr>
        <w:pStyle w:val="P105"/>
        <w:jc w:val="both"/>
        <w:rPr>
          <w:rFonts w:ascii="Times New Roman" w:hAnsi="Times New Roman" w:cs="Times New Roman"/>
        </w:rPr>
      </w:pPr>
      <w:r w:rsidRPr="00147D24">
        <w:rPr>
          <w:rFonts w:ascii="Times New Roman" w:hAnsi="Times New Roman" w:cs="Times New Roman"/>
        </w:rPr>
        <w:t xml:space="preserve">A.  </w:t>
      </w:r>
      <w:r w:rsidR="00147D24" w:rsidRPr="00147D24">
        <w:rPr>
          <w:rFonts w:ascii="Times New Roman" w:hAnsi="Times New Roman" w:cs="Times New Roman"/>
        </w:rPr>
        <w:t>Yes</w:t>
      </w:r>
      <w:r w:rsidR="00147D24">
        <w:rPr>
          <w:rFonts w:ascii="Times New Roman" w:hAnsi="Times New Roman" w:cs="Times New Roman"/>
        </w:rPr>
        <w:t>.</w:t>
      </w:r>
      <w:r w:rsidR="00147D24" w:rsidRPr="00147D24">
        <w:rPr>
          <w:rFonts w:ascii="Times New Roman" w:hAnsi="Times New Roman" w:cs="Times New Roman"/>
        </w:rPr>
        <w:t xml:space="preserve">  The rates contained in Purchase Gas Cost Adjustment Schedule 15</w:t>
      </w:r>
      <w:r w:rsidR="00147D24">
        <w:rPr>
          <w:rFonts w:ascii="Times New Roman" w:hAnsi="Times New Roman" w:cs="Times New Roman"/>
        </w:rPr>
        <w:t>6</w:t>
      </w:r>
      <w:r w:rsidR="00147D24" w:rsidRPr="00147D24">
        <w:rPr>
          <w:rFonts w:ascii="Times New Roman" w:hAnsi="Times New Roman" w:cs="Times New Roman"/>
        </w:rPr>
        <w:t xml:space="preserve"> have been incorporated into the present and </w:t>
      </w:r>
      <w:r w:rsidR="00147D24" w:rsidRPr="002041A4">
        <w:rPr>
          <w:rFonts w:ascii="Times New Roman" w:hAnsi="Times New Roman" w:cs="Times New Roman"/>
        </w:rPr>
        <w:t xml:space="preserve">proposed rates shown on Page </w:t>
      </w:r>
      <w:r w:rsidR="002041A4" w:rsidRPr="002041A4">
        <w:rPr>
          <w:rFonts w:ascii="Times New Roman" w:hAnsi="Times New Roman" w:cs="Times New Roman"/>
        </w:rPr>
        <w:t>3 of Exhibit</w:t>
      </w:r>
      <w:r w:rsidR="002041A4" w:rsidRPr="005540EB">
        <w:rPr>
          <w:rFonts w:ascii="Times New Roman" w:hAnsi="Times New Roman" w:cs="Times New Roman"/>
        </w:rPr>
        <w:t xml:space="preserve"> No._</w:t>
      </w:r>
      <w:r w:rsidR="002041A4">
        <w:rPr>
          <w:rFonts w:ascii="Times New Roman" w:hAnsi="Times New Roman" w:cs="Times New Roman"/>
        </w:rPr>
        <w:t>__</w:t>
      </w:r>
      <w:r w:rsidR="002041A4" w:rsidRPr="005540EB">
        <w:rPr>
          <w:rFonts w:ascii="Times New Roman" w:hAnsi="Times New Roman" w:cs="Times New Roman"/>
        </w:rPr>
        <w:t>(</w:t>
      </w:r>
      <w:r w:rsidR="002041A4">
        <w:rPr>
          <w:rFonts w:ascii="Times New Roman" w:hAnsi="Times New Roman" w:cs="Times New Roman"/>
        </w:rPr>
        <w:t>PDE</w:t>
      </w:r>
      <w:r w:rsidR="002041A4" w:rsidRPr="005540EB">
        <w:rPr>
          <w:rFonts w:ascii="Times New Roman" w:hAnsi="Times New Roman" w:cs="Times New Roman"/>
        </w:rPr>
        <w:t>-</w:t>
      </w:r>
      <w:r w:rsidR="001279B7">
        <w:rPr>
          <w:rFonts w:ascii="Times New Roman" w:hAnsi="Times New Roman" w:cs="Times New Roman"/>
        </w:rPr>
        <w:t>7</w:t>
      </w:r>
      <w:r w:rsidR="002041A4" w:rsidRPr="005540EB">
        <w:rPr>
          <w:rFonts w:ascii="Times New Roman" w:hAnsi="Times New Roman" w:cs="Times New Roman"/>
        </w:rPr>
        <w:t>)</w:t>
      </w:r>
      <w:r w:rsidR="00147D24" w:rsidRPr="00147D24">
        <w:rPr>
          <w:rFonts w:ascii="Times New Roman" w:hAnsi="Times New Roman" w:cs="Times New Roman"/>
        </w:rPr>
        <w:t>.  Further, a revised Schedule 15</w:t>
      </w:r>
      <w:r w:rsidR="00147D24">
        <w:rPr>
          <w:rFonts w:ascii="Times New Roman" w:hAnsi="Times New Roman" w:cs="Times New Roman"/>
        </w:rPr>
        <w:t>6</w:t>
      </w:r>
      <w:r w:rsidR="00147D24" w:rsidRPr="00147D24">
        <w:rPr>
          <w:rFonts w:ascii="Times New Roman" w:hAnsi="Times New Roman" w:cs="Times New Roman"/>
        </w:rPr>
        <w:t xml:space="preserve"> is filed as part of </w:t>
      </w:r>
      <w:r w:rsidR="00147D24" w:rsidRPr="005540EB">
        <w:rPr>
          <w:rFonts w:ascii="Times New Roman" w:hAnsi="Times New Roman" w:cs="Times New Roman"/>
        </w:rPr>
        <w:t>Exhibit No._</w:t>
      </w:r>
      <w:r w:rsidR="00147D24">
        <w:rPr>
          <w:rFonts w:ascii="Times New Roman" w:hAnsi="Times New Roman" w:cs="Times New Roman"/>
        </w:rPr>
        <w:t>__</w:t>
      </w:r>
      <w:r w:rsidR="00147D24" w:rsidRPr="005540EB">
        <w:rPr>
          <w:rFonts w:ascii="Times New Roman" w:hAnsi="Times New Roman" w:cs="Times New Roman"/>
        </w:rPr>
        <w:t>(</w:t>
      </w:r>
      <w:r w:rsidR="00147D24">
        <w:rPr>
          <w:rFonts w:ascii="Times New Roman" w:hAnsi="Times New Roman" w:cs="Times New Roman"/>
        </w:rPr>
        <w:t>PDE</w:t>
      </w:r>
      <w:r w:rsidR="00147D24" w:rsidRPr="005540EB">
        <w:rPr>
          <w:rFonts w:ascii="Times New Roman" w:hAnsi="Times New Roman" w:cs="Times New Roman"/>
        </w:rPr>
        <w:t>-6)</w:t>
      </w:r>
      <w:r w:rsidR="00147D24" w:rsidRPr="00147D24">
        <w:rPr>
          <w:rFonts w:ascii="Times New Roman" w:hAnsi="Times New Roman" w:cs="Times New Roman"/>
        </w:rPr>
        <w:t>, where</w:t>
      </w:r>
      <w:r w:rsidR="00B312FA">
        <w:rPr>
          <w:rFonts w:ascii="Times New Roman" w:hAnsi="Times New Roman" w:cs="Times New Roman"/>
        </w:rPr>
        <w:t>by the present rates under the s</w:t>
      </w:r>
      <w:r w:rsidR="00147D24" w:rsidRPr="00147D24">
        <w:rPr>
          <w:rFonts w:ascii="Times New Roman" w:hAnsi="Times New Roman" w:cs="Times New Roman"/>
        </w:rPr>
        <w:t xml:space="preserve">chedule have been zeroed-out and included in the </w:t>
      </w:r>
      <w:r w:rsidR="00147D24" w:rsidRPr="00147D24">
        <w:rPr>
          <w:rFonts w:ascii="Times New Roman" w:hAnsi="Times New Roman" w:cs="Times New Roman"/>
        </w:rPr>
        <w:lastRenderedPageBreak/>
        <w:t>Company’s proposed general service tariffs.</w:t>
      </w:r>
    </w:p>
    <w:p w:rsidR="00B632D5" w:rsidRDefault="00B632D5" w:rsidP="00A359BB">
      <w:pPr>
        <w:pStyle w:val="P267"/>
        <w:tabs>
          <w:tab w:val="clear" w:pos="360"/>
          <w:tab w:val="left" w:pos="0"/>
        </w:tabs>
        <w:ind w:left="0"/>
        <w:jc w:val="center"/>
        <w:rPr>
          <w:rFonts w:ascii="Times New Roman" w:hAnsi="Times New Roman" w:cs="Times New Roman"/>
        </w:rPr>
      </w:pPr>
    </w:p>
    <w:p w:rsidR="00A359BB" w:rsidRPr="005540EB" w:rsidRDefault="00A359BB" w:rsidP="00A359BB">
      <w:pPr>
        <w:pStyle w:val="P267"/>
        <w:tabs>
          <w:tab w:val="clear" w:pos="360"/>
          <w:tab w:val="left" w:pos="0"/>
        </w:tabs>
        <w:ind w:left="0"/>
        <w:jc w:val="center"/>
        <w:rPr>
          <w:rFonts w:ascii="Times New Roman" w:hAnsi="Times New Roman" w:cs="Times New Roman"/>
        </w:rPr>
      </w:pPr>
      <w:r>
        <w:rPr>
          <w:rFonts w:ascii="Times New Roman" w:hAnsi="Times New Roman" w:cs="Times New Roman"/>
        </w:rPr>
        <w:t>V</w:t>
      </w:r>
      <w:r w:rsidRPr="005540EB">
        <w:rPr>
          <w:rFonts w:ascii="Times New Roman" w:hAnsi="Times New Roman" w:cs="Times New Roman"/>
        </w:rPr>
        <w:t xml:space="preserve">.  </w:t>
      </w:r>
      <w:r>
        <w:rPr>
          <w:rFonts w:ascii="Times New Roman" w:hAnsi="Times New Roman" w:cs="Times New Roman"/>
        </w:rPr>
        <w:t>BASIC CHARGE</w:t>
      </w:r>
    </w:p>
    <w:p w:rsidR="004D1B1A" w:rsidRDefault="004D1B1A" w:rsidP="004D1B1A">
      <w:pPr>
        <w:pStyle w:val="BodyText2"/>
        <w:tabs>
          <w:tab w:val="left" w:pos="720"/>
          <w:tab w:val="left" w:pos="1440"/>
        </w:tabs>
        <w:rPr>
          <w:b/>
          <w:bCs/>
        </w:rPr>
      </w:pPr>
      <w:r>
        <w:rPr>
          <w:b/>
          <w:bCs/>
        </w:rPr>
        <w:tab/>
        <w:t>Q.</w:t>
      </w:r>
      <w:r>
        <w:rPr>
          <w:b/>
          <w:bCs/>
        </w:rPr>
        <w:tab/>
        <w:t>Why is the Company proposing to increase the electric</w:t>
      </w:r>
      <w:r w:rsidR="00577848">
        <w:rPr>
          <w:b/>
          <w:bCs/>
        </w:rPr>
        <w:t xml:space="preserve"> </w:t>
      </w:r>
      <w:r>
        <w:rPr>
          <w:b/>
          <w:bCs/>
        </w:rPr>
        <w:t>monthly customer charge from $6.00 to $10.00 per month?</w:t>
      </w:r>
    </w:p>
    <w:p w:rsidR="004D1B1A" w:rsidRDefault="004D1B1A" w:rsidP="004D1B1A">
      <w:pPr>
        <w:pStyle w:val="BodyText2"/>
        <w:tabs>
          <w:tab w:val="left" w:pos="810"/>
          <w:tab w:val="left" w:pos="1440"/>
        </w:tabs>
        <w:ind w:firstLine="720"/>
      </w:pPr>
      <w:r>
        <w:t>A.</w:t>
      </w:r>
      <w:r>
        <w:tab/>
        <w:t xml:space="preserve">A significant portion of the Company’s costs are fixed and do not vary with customer usage.  These costs include distribution plant and operating costs to provide reliable service to customers.  Upon evaluation of the </w:t>
      </w:r>
      <w:r w:rsidRPr="00337B9B">
        <w:rPr>
          <w:u w:val="single"/>
        </w:rPr>
        <w:t>total customer allocated costs</w:t>
      </w:r>
      <w:r>
        <w:t>, as shown in Exhibit No</w:t>
      </w:r>
      <w:r w:rsidRPr="000A204F">
        <w:t>. __(TLK-</w:t>
      </w:r>
      <w:r w:rsidR="000A204F" w:rsidRPr="000A204F">
        <w:t>4</w:t>
      </w:r>
      <w:r w:rsidRPr="000A204F">
        <w:t xml:space="preserve">), page 3, line </w:t>
      </w:r>
      <w:r w:rsidR="000A204F" w:rsidRPr="000A204F">
        <w:t>29</w:t>
      </w:r>
      <w:r>
        <w:t xml:space="preserve">, those </w:t>
      </w:r>
      <w:r w:rsidRPr="000A204F">
        <w:t xml:space="preserve">costs are </w:t>
      </w:r>
      <w:r w:rsidRPr="001279B7">
        <w:rPr>
          <w:u w:val="single"/>
        </w:rPr>
        <w:t>$</w:t>
      </w:r>
      <w:r w:rsidR="000A204F" w:rsidRPr="001279B7">
        <w:rPr>
          <w:u w:val="single"/>
        </w:rPr>
        <w:t>10.46</w:t>
      </w:r>
      <w:r w:rsidRPr="000A204F">
        <w:t xml:space="preserve"> per</w:t>
      </w:r>
      <w:r w:rsidR="000A204F">
        <w:t xml:space="preserve"> customer per month.  Factoring in </w:t>
      </w:r>
      <w:r w:rsidR="000A204F" w:rsidRPr="001279B7">
        <w:rPr>
          <w:u w:val="single"/>
        </w:rPr>
        <w:t>distribution demand cost</w:t>
      </w:r>
      <w:r w:rsidR="000A204F">
        <w:t xml:space="preserve"> per customer per month of </w:t>
      </w:r>
      <w:r w:rsidR="000A204F" w:rsidRPr="001279B7">
        <w:rPr>
          <w:u w:val="single"/>
        </w:rPr>
        <w:t>$18.27</w:t>
      </w:r>
      <w:r w:rsidR="000A2244">
        <w:t>, as shown in Exhibit No. __(TLK-4), page 4</w:t>
      </w:r>
      <w:r w:rsidR="000A204F">
        <w:t xml:space="preserve">, the </w:t>
      </w:r>
      <w:r w:rsidR="001279B7">
        <w:t>t</w:t>
      </w:r>
      <w:r w:rsidR="000A204F">
        <w:t xml:space="preserve">otal </w:t>
      </w:r>
      <w:r w:rsidR="001279B7">
        <w:t>c</w:t>
      </w:r>
      <w:r w:rsidR="000A204F">
        <w:t xml:space="preserve">ustomer and </w:t>
      </w:r>
      <w:r w:rsidR="001279B7">
        <w:t>d</w:t>
      </w:r>
      <w:r w:rsidR="000A204F">
        <w:t xml:space="preserve">istributed </w:t>
      </w:r>
      <w:r w:rsidR="001279B7">
        <w:t>d</w:t>
      </w:r>
      <w:r w:rsidR="000A204F">
        <w:t xml:space="preserve">emand monthly cost is </w:t>
      </w:r>
      <w:r w:rsidR="000A204F" w:rsidRPr="001279B7">
        <w:rPr>
          <w:u w:val="single"/>
        </w:rPr>
        <w:t>$28.72</w:t>
      </w:r>
      <w:r w:rsidR="000A204F">
        <w:t xml:space="preserve">.  </w:t>
      </w:r>
      <w:r>
        <w:t xml:space="preserve">These are essentially fixed costs that are allocated based on the number of customers served.  Given the large disparity between the level of customer </w:t>
      </w:r>
      <w:r w:rsidR="000A2244">
        <w:t xml:space="preserve">and demand </w:t>
      </w:r>
      <w:r>
        <w:t xml:space="preserve">costs and the present level of the basic charge, the Company believes that it is appropriate to recover a more reasonable level of these fixed customer costs through the basic charge.  </w:t>
      </w:r>
    </w:p>
    <w:p w:rsidR="004D1B1A" w:rsidRDefault="004D1B1A" w:rsidP="004D1B1A">
      <w:pPr>
        <w:pStyle w:val="BodyText2"/>
        <w:tabs>
          <w:tab w:val="left" w:pos="720"/>
          <w:tab w:val="left" w:pos="1440"/>
        </w:tabs>
        <w:rPr>
          <w:b/>
          <w:bCs/>
        </w:rPr>
      </w:pPr>
      <w:r>
        <w:rPr>
          <w:b/>
          <w:bCs/>
        </w:rPr>
        <w:tab/>
        <w:t>Q.</w:t>
      </w:r>
      <w:r>
        <w:rPr>
          <w:b/>
          <w:bCs/>
        </w:rPr>
        <w:tab/>
        <w:t>In the Company’s last two general rate filings, the Company has proposed relatively small increases in the residential electric basic charge (50 cents and 25 cents, respectively).  Why is the Company now proposing an increase of $4.00 per month in this filing?</w:t>
      </w:r>
    </w:p>
    <w:p w:rsidR="00F05529" w:rsidRDefault="004D1B1A" w:rsidP="004D1B1A">
      <w:pPr>
        <w:pStyle w:val="BodyText2"/>
        <w:tabs>
          <w:tab w:val="left" w:pos="720"/>
          <w:tab w:val="left" w:pos="1440"/>
        </w:tabs>
        <w:rPr>
          <w:bCs/>
        </w:rPr>
      </w:pPr>
      <w:r>
        <w:rPr>
          <w:b/>
          <w:bCs/>
        </w:rPr>
        <w:tab/>
      </w:r>
      <w:r w:rsidRPr="00C65617">
        <w:rPr>
          <w:bCs/>
        </w:rPr>
        <w:t>A.</w:t>
      </w:r>
      <w:r w:rsidRPr="00C65617">
        <w:rPr>
          <w:bCs/>
        </w:rPr>
        <w:tab/>
        <w:t xml:space="preserve">One of the arguments against higher residential basic charges in the past was one of customer understandability and acceptance.  </w:t>
      </w:r>
      <w:r w:rsidR="00F05529">
        <w:rPr>
          <w:bCs/>
        </w:rPr>
        <w:t xml:space="preserve">Absent compelling arguments to the contrary, as costs to serve customers continue to increase, we believe it is increasingly important that our charges to customers more accurately reflect the actual costs to serve </w:t>
      </w:r>
      <w:r w:rsidR="00F05529">
        <w:rPr>
          <w:bCs/>
        </w:rPr>
        <w:lastRenderedPageBreak/>
        <w:t>customers. With regard to fixed charges, many oth</w:t>
      </w:r>
      <w:r w:rsidRPr="00C65617">
        <w:rPr>
          <w:bCs/>
        </w:rPr>
        <w:t xml:space="preserve">er utility assessments (phone, television, internet) are generally a flat monthly fee.  Typically, there is little correlation between the level of use and the monthly amount paid for service related to these other utilities/services.  </w:t>
      </w:r>
      <w:r w:rsidR="00F05529">
        <w:rPr>
          <w:bCs/>
        </w:rPr>
        <w:t>Consumers</w:t>
      </w:r>
      <w:r w:rsidRPr="00C65617">
        <w:rPr>
          <w:bCs/>
        </w:rPr>
        <w:t xml:space="preserve"> understand that most of the costs associated with these other utilities/services are fixed, and have become accustomed to paying a relatively constant monthly fee for service</w:t>
      </w:r>
      <w:r>
        <w:rPr>
          <w:bCs/>
        </w:rPr>
        <w:t xml:space="preserve"> or system access</w:t>
      </w:r>
      <w:r w:rsidRPr="00C65617">
        <w:rPr>
          <w:bCs/>
        </w:rPr>
        <w:t xml:space="preserve">.  </w:t>
      </w:r>
    </w:p>
    <w:p w:rsidR="004D1B1A" w:rsidRPr="00C65617" w:rsidRDefault="00F05529" w:rsidP="00B632D5">
      <w:pPr>
        <w:pStyle w:val="BodyText2"/>
        <w:tabs>
          <w:tab w:val="left" w:pos="720"/>
          <w:tab w:val="left" w:pos="1440"/>
        </w:tabs>
        <w:rPr>
          <w:bCs/>
        </w:rPr>
      </w:pPr>
      <w:r>
        <w:rPr>
          <w:bCs/>
        </w:rPr>
        <w:tab/>
      </w:r>
      <w:r w:rsidR="004D1B1A">
        <w:rPr>
          <w:bCs/>
        </w:rPr>
        <w:t>Publicly-owned</w:t>
      </w:r>
      <w:r w:rsidR="004D1B1A" w:rsidRPr="00C65617">
        <w:rPr>
          <w:bCs/>
        </w:rPr>
        <w:t xml:space="preserve"> electric utilities have been charging higher monthly customer charges for years in order to more accurately reflect (and recover) the fixed costs of providing service.  For example, </w:t>
      </w:r>
      <w:r w:rsidR="004D1B1A">
        <w:rPr>
          <w:rStyle w:val="apple-style-span"/>
          <w:rFonts w:ascii="ITC Zapf Dingbats" w:hAnsi="ITC Zapf Dingbats"/>
          <w:color w:val="000000"/>
        </w:rPr>
        <w:t>Avista’s</w:t>
      </w:r>
      <w:r w:rsidR="004D1B1A">
        <w:rPr>
          <w:rStyle w:val="apple-style-span"/>
          <w:rFonts w:ascii="ITC Zapf Dingbats" w:hAnsi="ITC Zapf Dingbats" w:hint="eastAsia"/>
          <w:color w:val="000000"/>
        </w:rPr>
        <w:t xml:space="preserve"> </w:t>
      </w:r>
      <w:r w:rsidR="004D1B1A">
        <w:rPr>
          <w:rStyle w:val="apple-style-span"/>
          <w:rFonts w:ascii="ITC Zapf Dingbats" w:hAnsi="ITC Zapf Dingbats"/>
          <w:color w:val="000000"/>
        </w:rPr>
        <w:t xml:space="preserve">nearest neighbors in Eastern Washington and North Idaho, Inland Power and Light and Kootenai Electric Cooperative, have a basic charge of $16.80 and </w:t>
      </w:r>
      <w:r w:rsidR="00F765C1">
        <w:rPr>
          <w:rStyle w:val="apple-style-span"/>
          <w:rFonts w:ascii="ITC Zapf Dingbats" w:hAnsi="ITC Zapf Dingbats"/>
          <w:color w:val="000000"/>
        </w:rPr>
        <w:t>$</w:t>
      </w:r>
      <w:r w:rsidR="004D1B1A">
        <w:rPr>
          <w:rStyle w:val="apple-style-span"/>
          <w:rFonts w:ascii="ITC Zapf Dingbats" w:hAnsi="ITC Zapf Dingbats"/>
          <w:color w:val="000000"/>
        </w:rPr>
        <w:t xml:space="preserve">16.50 respectively.  </w:t>
      </w:r>
      <w:r w:rsidR="00DA1FA5">
        <w:rPr>
          <w:rStyle w:val="apple-style-span"/>
          <w:rFonts w:ascii="ITC Zapf Dingbats" w:hAnsi="ITC Zapf Dingbats"/>
          <w:color w:val="000000"/>
        </w:rPr>
        <w:t xml:space="preserve"> Moreover, Puget Sound </w:t>
      </w:r>
      <w:r w:rsidR="00B36F8C">
        <w:rPr>
          <w:rStyle w:val="apple-style-span"/>
          <w:rFonts w:ascii="ITC Zapf Dingbats" w:hAnsi="ITC Zapf Dingbats"/>
          <w:color w:val="000000"/>
        </w:rPr>
        <w:t>Energy</w:t>
      </w:r>
      <w:r w:rsidR="00DA1FA5">
        <w:rPr>
          <w:rStyle w:val="apple-style-span"/>
          <w:rFonts w:ascii="ITC Zapf Dingbats" w:hAnsi="ITC Zapf Dingbats"/>
          <w:color w:val="000000"/>
        </w:rPr>
        <w:t xml:space="preserve"> has had a basic charge of $</w:t>
      </w:r>
      <w:r w:rsidR="00E252B9">
        <w:rPr>
          <w:rStyle w:val="apple-style-span"/>
          <w:rFonts w:ascii="ITC Zapf Dingbats" w:hAnsi="ITC Zapf Dingbats"/>
          <w:color w:val="000000"/>
        </w:rPr>
        <w:t>10</w:t>
      </w:r>
      <w:r w:rsidR="00DA1FA5">
        <w:rPr>
          <w:rStyle w:val="apple-style-span"/>
          <w:rFonts w:ascii="ITC Zapf Dingbats" w:hAnsi="ITC Zapf Dingbats"/>
          <w:color w:val="000000"/>
        </w:rPr>
        <w:t>.</w:t>
      </w:r>
      <w:r w:rsidR="00B36F8C">
        <w:rPr>
          <w:rStyle w:val="apple-style-span"/>
          <w:rFonts w:ascii="ITC Zapf Dingbats" w:hAnsi="ITC Zapf Dingbats"/>
          <w:color w:val="000000"/>
        </w:rPr>
        <w:t>00</w:t>
      </w:r>
      <w:r w:rsidR="00DA1FA5">
        <w:rPr>
          <w:rStyle w:val="apple-style-span"/>
          <w:rFonts w:ascii="ITC Zapf Dingbats" w:hAnsi="ITC Zapf Dingbats"/>
          <w:color w:val="000000"/>
        </w:rPr>
        <w:t xml:space="preserve"> for </w:t>
      </w:r>
      <w:r w:rsidR="00E252B9">
        <w:rPr>
          <w:rStyle w:val="apple-style-span"/>
          <w:rFonts w:ascii="ITC Zapf Dingbats" w:hAnsi="ITC Zapf Dingbats"/>
          <w:color w:val="000000"/>
        </w:rPr>
        <w:t>natural gas since 2008</w:t>
      </w:r>
      <w:r w:rsidR="005C3EE2">
        <w:rPr>
          <w:rStyle w:val="apple-style-span"/>
          <w:rFonts w:ascii="ITC Zapf Dingbats" w:hAnsi="ITC Zapf Dingbats"/>
          <w:color w:val="000000"/>
        </w:rPr>
        <w:t>.</w:t>
      </w:r>
    </w:p>
    <w:p w:rsidR="004D1B1A" w:rsidRDefault="004D1B1A" w:rsidP="004D1B1A">
      <w:pPr>
        <w:pStyle w:val="BodyText2"/>
        <w:tabs>
          <w:tab w:val="left" w:pos="720"/>
          <w:tab w:val="left" w:pos="1440"/>
        </w:tabs>
        <w:rPr>
          <w:b/>
          <w:bCs/>
        </w:rPr>
      </w:pPr>
      <w:r>
        <w:rPr>
          <w:b/>
          <w:bCs/>
        </w:rPr>
        <w:tab/>
        <w:t>Q.</w:t>
      </w:r>
      <w:r>
        <w:rPr>
          <w:b/>
          <w:bCs/>
        </w:rPr>
        <w:tab/>
        <w:t xml:space="preserve">Turning now to </w:t>
      </w:r>
      <w:r w:rsidRPr="00337B9B">
        <w:rPr>
          <w:b/>
          <w:bCs/>
          <w:u w:val="single"/>
        </w:rPr>
        <w:t>natural gas</w:t>
      </w:r>
      <w:r>
        <w:rPr>
          <w:b/>
          <w:bCs/>
        </w:rPr>
        <w:t>, why is the Company proposing to increase that monthly customer charge from $6.00 to $10.00 per month?</w:t>
      </w:r>
    </w:p>
    <w:p w:rsidR="004D1B1A" w:rsidRDefault="004D1B1A" w:rsidP="004D1B1A">
      <w:pPr>
        <w:pStyle w:val="BodyText2"/>
        <w:tabs>
          <w:tab w:val="left" w:pos="810"/>
          <w:tab w:val="left" w:pos="1440"/>
        </w:tabs>
        <w:ind w:firstLine="720"/>
      </w:pPr>
      <w:r>
        <w:t>A.</w:t>
      </w:r>
      <w:r>
        <w:tab/>
        <w:t xml:space="preserve">Upon evaluation of the </w:t>
      </w:r>
      <w:r w:rsidRPr="00337B9B">
        <w:rPr>
          <w:u w:val="single"/>
        </w:rPr>
        <w:t>total customer allocated costs</w:t>
      </w:r>
      <w:r>
        <w:t xml:space="preserve">, as shown in Exhibit </w:t>
      </w:r>
      <w:r w:rsidRPr="001E427B">
        <w:t>No. __(TLK-</w:t>
      </w:r>
      <w:r w:rsidR="001E427B" w:rsidRPr="001E427B">
        <w:t>7</w:t>
      </w:r>
      <w:r w:rsidRPr="001E427B">
        <w:t xml:space="preserve">), page 3, line </w:t>
      </w:r>
      <w:r w:rsidR="00042739">
        <w:t>24</w:t>
      </w:r>
      <w:r>
        <w:t xml:space="preserve">, those costs are </w:t>
      </w:r>
      <w:r w:rsidRPr="00E252B9">
        <w:rPr>
          <w:u w:val="single"/>
        </w:rPr>
        <w:t>$</w:t>
      </w:r>
      <w:r w:rsidR="001E427B" w:rsidRPr="00E252B9">
        <w:rPr>
          <w:u w:val="single"/>
        </w:rPr>
        <w:t>16.04</w:t>
      </w:r>
      <w:r>
        <w:t xml:space="preserve"> per customer per month.  </w:t>
      </w:r>
      <w:r w:rsidR="00042739">
        <w:t>T</w:t>
      </w:r>
      <w:r>
        <w:t xml:space="preserve">he fixed costs </w:t>
      </w:r>
      <w:r w:rsidR="00E252B9">
        <w:t>that otherwise</w:t>
      </w:r>
      <w:r>
        <w:t xml:space="preserve"> include the cost of the meter and service, and the costs associated with billing and providing customer service are</w:t>
      </w:r>
      <w:r w:rsidRPr="005F6458">
        <w:rPr>
          <w:b/>
        </w:rPr>
        <w:t xml:space="preserve"> </w:t>
      </w:r>
      <w:r w:rsidRPr="00E252B9">
        <w:rPr>
          <w:u w:val="single"/>
        </w:rPr>
        <w:t>$</w:t>
      </w:r>
      <w:r w:rsidR="003F11AC" w:rsidRPr="00E252B9">
        <w:rPr>
          <w:u w:val="single"/>
        </w:rPr>
        <w:t>11.43</w:t>
      </w:r>
      <w:r>
        <w:t xml:space="preserve"> per customer per month, as shown in </w:t>
      </w:r>
      <w:r w:rsidRPr="003F11AC">
        <w:t>Exhibit No. __(TLK-</w:t>
      </w:r>
      <w:r w:rsidR="003F11AC" w:rsidRPr="003F11AC">
        <w:t>7</w:t>
      </w:r>
      <w:r w:rsidRPr="003F11AC">
        <w:t xml:space="preserve">), page </w:t>
      </w:r>
      <w:r w:rsidR="003F11AC" w:rsidRPr="003F11AC">
        <w:t>4</w:t>
      </w:r>
      <w:r w:rsidRPr="003F11AC">
        <w:t xml:space="preserve"> line </w:t>
      </w:r>
      <w:r w:rsidR="00042739">
        <w:t>22</w:t>
      </w:r>
      <w:r w:rsidRPr="003F11AC">
        <w:t>.</w:t>
      </w:r>
      <w:r>
        <w:t xml:space="preserve">  </w:t>
      </w:r>
    </w:p>
    <w:p w:rsidR="004D1B1A" w:rsidRPr="00A14239" w:rsidRDefault="004D1B1A" w:rsidP="004D1B1A">
      <w:pPr>
        <w:pStyle w:val="BodyText2"/>
        <w:tabs>
          <w:tab w:val="left" w:pos="720"/>
          <w:tab w:val="left" w:pos="1440"/>
        </w:tabs>
        <w:rPr>
          <w:b/>
        </w:rPr>
      </w:pPr>
      <w:r>
        <w:rPr>
          <w:b/>
          <w:bCs/>
        </w:rPr>
        <w:tab/>
      </w:r>
      <w:r w:rsidRPr="00A14239">
        <w:rPr>
          <w:b/>
        </w:rPr>
        <w:t>Q.</w:t>
      </w:r>
      <w:r w:rsidRPr="00A14239">
        <w:rPr>
          <w:b/>
        </w:rPr>
        <w:tab/>
        <w:t>What is the consequence to a customer of a Basic Charge that is priced below the cost of providing customer services to that customer?</w:t>
      </w:r>
    </w:p>
    <w:p w:rsidR="004D1B1A" w:rsidRDefault="004D1B1A" w:rsidP="004D1B1A">
      <w:pPr>
        <w:pStyle w:val="BodyText2"/>
        <w:tabs>
          <w:tab w:val="left" w:pos="720"/>
          <w:tab w:val="left" w:pos="810"/>
          <w:tab w:val="left" w:pos="1440"/>
        </w:tabs>
      </w:pPr>
      <w:r>
        <w:tab/>
        <w:t>A.</w:t>
      </w:r>
      <w:r>
        <w:tab/>
        <w:t>Because rate design is a “zero sum game”, if customer charges are set below the cost of providing customer service, then other charges are</w:t>
      </w:r>
      <w:r w:rsidR="00E252B9">
        <w:t>, by definition,</w:t>
      </w:r>
      <w:r>
        <w:t xml:space="preserve"> set above their </w:t>
      </w:r>
      <w:r>
        <w:lastRenderedPageBreak/>
        <w:t>cost of service.  For residential gas and electric customers, the only other charge is the volumetric charge.  When volumetric rates are increased above their cost of service to include customer costs that are not in the Basic Charge, several consequences</w:t>
      </w:r>
      <w:r w:rsidR="00E252B9">
        <w:t xml:space="preserve"> ensue</w:t>
      </w:r>
      <w:r>
        <w:t>:</w:t>
      </w:r>
    </w:p>
    <w:p w:rsidR="004D1B1A" w:rsidRDefault="004D1B1A" w:rsidP="004D1B1A">
      <w:pPr>
        <w:pStyle w:val="BodyText2"/>
        <w:numPr>
          <w:ilvl w:val="0"/>
          <w:numId w:val="38"/>
        </w:numPr>
        <w:tabs>
          <w:tab w:val="left" w:pos="810"/>
          <w:tab w:val="left" w:pos="1440"/>
        </w:tabs>
      </w:pPr>
      <w:r>
        <w:t xml:space="preserve">It results in almost all customers paying more </w:t>
      </w:r>
      <w:r w:rsidR="00F05529">
        <w:t>per</w:t>
      </w:r>
      <w:r w:rsidR="00E252B9">
        <w:t>-</w:t>
      </w:r>
      <w:r>
        <w:t xml:space="preserve">customer </w:t>
      </w:r>
      <w:r w:rsidR="00F05529">
        <w:t xml:space="preserve">related </w:t>
      </w:r>
      <w:r>
        <w:t>costs in the winter, even though their customer costs are not higher in the winter, and vice versa in the summer;</w:t>
      </w:r>
    </w:p>
    <w:p w:rsidR="004D1B1A" w:rsidRDefault="004D1B1A" w:rsidP="004D1B1A">
      <w:pPr>
        <w:pStyle w:val="BodyText2"/>
        <w:numPr>
          <w:ilvl w:val="0"/>
          <w:numId w:val="38"/>
        </w:numPr>
        <w:tabs>
          <w:tab w:val="left" w:pos="810"/>
          <w:tab w:val="left" w:pos="1440"/>
        </w:tabs>
      </w:pPr>
      <w:r>
        <w:t>It results in customers paying more customer costs when it is cold, even though customer costs do not vary with temperature.</w:t>
      </w:r>
    </w:p>
    <w:p w:rsidR="004D1B1A" w:rsidRDefault="004D1B1A" w:rsidP="004D1B1A">
      <w:pPr>
        <w:pStyle w:val="BodyText2"/>
        <w:numPr>
          <w:ilvl w:val="0"/>
          <w:numId w:val="38"/>
        </w:numPr>
        <w:tabs>
          <w:tab w:val="left" w:pos="810"/>
          <w:tab w:val="left" w:pos="1440"/>
        </w:tabs>
      </w:pPr>
      <w:r>
        <w:t>It results in the amount of customer costs a customer pays being unpredictable, even though customer costs are actually very predictable.</w:t>
      </w:r>
    </w:p>
    <w:p w:rsidR="004D1B1A" w:rsidRDefault="00F05529" w:rsidP="004D1B1A">
      <w:pPr>
        <w:pStyle w:val="BodyText2"/>
        <w:numPr>
          <w:ilvl w:val="0"/>
          <w:numId w:val="38"/>
        </w:numPr>
        <w:tabs>
          <w:tab w:val="left" w:pos="810"/>
          <w:tab w:val="left" w:pos="1440"/>
        </w:tabs>
      </w:pPr>
      <w:r>
        <w:t>A portion of fixed</w:t>
      </w:r>
      <w:r w:rsidR="004D1B1A">
        <w:t xml:space="preserve"> costs of providing service to low usage customers is actually recovered from other higher usage customers served under the same schedule.</w:t>
      </w:r>
    </w:p>
    <w:p w:rsidR="00E252B9" w:rsidRDefault="004D1B1A" w:rsidP="00E252B9">
      <w:pPr>
        <w:pStyle w:val="answer"/>
        <w:widowControl w:val="0"/>
        <w:ind w:left="0" w:firstLine="0"/>
        <w:jc w:val="both"/>
      </w:pPr>
      <w:r>
        <w:t xml:space="preserve">In summary, setting the basic charge at a rate </w:t>
      </w:r>
      <w:r w:rsidR="00E252B9">
        <w:t xml:space="preserve">substantially </w:t>
      </w:r>
      <w:r>
        <w:t>less than an amount that covers annual customer costs results in rates that are not equitable and are unnecessarily variable.</w:t>
      </w:r>
    </w:p>
    <w:p w:rsidR="004D1B1A" w:rsidRPr="005E203A" w:rsidRDefault="004D1B1A" w:rsidP="00E252B9">
      <w:pPr>
        <w:pStyle w:val="answer"/>
        <w:widowControl w:val="0"/>
        <w:ind w:left="0" w:firstLine="0"/>
        <w:jc w:val="both"/>
        <w:rPr>
          <w:b/>
          <w:bCs/>
        </w:rPr>
      </w:pPr>
      <w:r>
        <w:t xml:space="preserve">  </w:t>
      </w:r>
      <w:r>
        <w:rPr>
          <w:b/>
          <w:bCs/>
        </w:rPr>
        <w:tab/>
      </w:r>
      <w:r w:rsidRPr="005E203A">
        <w:rPr>
          <w:b/>
          <w:bCs/>
        </w:rPr>
        <w:t>Q.</w:t>
      </w:r>
      <w:r w:rsidRPr="005E203A">
        <w:rPr>
          <w:b/>
          <w:bCs/>
        </w:rPr>
        <w:tab/>
      </w:r>
      <w:r>
        <w:rPr>
          <w:b/>
          <w:bCs/>
        </w:rPr>
        <w:t>If the concern of the Company is recovery of fixed costs, why doesn’t it request an electric decoupling mechanism similar to the mechanism this Commission approved on the natural gas side of the business</w:t>
      </w:r>
      <w:r w:rsidRPr="005E203A">
        <w:rPr>
          <w:b/>
          <w:bCs/>
        </w:rPr>
        <w:t>?</w:t>
      </w:r>
    </w:p>
    <w:p w:rsidR="004D1B1A" w:rsidRDefault="004D1B1A" w:rsidP="004D1B1A">
      <w:pPr>
        <w:pStyle w:val="BodyText2"/>
        <w:tabs>
          <w:tab w:val="left" w:pos="720"/>
          <w:tab w:val="left" w:pos="1440"/>
        </w:tabs>
        <w:rPr>
          <w:bCs/>
        </w:rPr>
      </w:pPr>
      <w:r>
        <w:rPr>
          <w:bCs/>
        </w:rPr>
        <w:tab/>
      </w:r>
      <w:r w:rsidRPr="005E203A">
        <w:rPr>
          <w:bCs/>
        </w:rPr>
        <w:t xml:space="preserve">A.  </w:t>
      </w:r>
      <w:r w:rsidRPr="005E203A">
        <w:rPr>
          <w:bCs/>
        </w:rPr>
        <w:tab/>
      </w:r>
      <w:r>
        <w:rPr>
          <w:bCs/>
        </w:rPr>
        <w:t xml:space="preserve">The request for an increase in the basic charge and requests for mechanisms such as decoupling are not mutually exclusive.  As noted in the question, the Company does have a natural gas decoupling mechanism.  This mechanism, as approved by the Commission in its last general rate case proceeding, allows for the recovery of up to 45% of its lost margins due to energy conservation (both programmatic and non-programmatic).  While this mechanism is an important step towards ensuring fixed cost recovery, there is </w:t>
      </w:r>
      <w:r>
        <w:rPr>
          <w:bCs/>
        </w:rPr>
        <w:lastRenderedPageBreak/>
        <w:t>still a substantial amount of fixed costs that are subject to recovery in the volumetric charge.  Even if the Company were to request a similar</w:t>
      </w:r>
      <w:r w:rsidR="00042739">
        <w:rPr>
          <w:bCs/>
        </w:rPr>
        <w:t xml:space="preserve"> electric decoupling mechanism</w:t>
      </w:r>
      <w:r>
        <w:rPr>
          <w:bCs/>
        </w:rPr>
        <w:t xml:space="preserve">, that mechanism would not remedy the issue.  The Company’s requested increase in basic charges is a simple way to </w:t>
      </w:r>
      <w:r w:rsidRPr="00194AC6">
        <w:rPr>
          <w:bCs/>
          <w:u w:val="single"/>
        </w:rPr>
        <w:t>partially</w:t>
      </w:r>
      <w:r>
        <w:rPr>
          <w:bCs/>
        </w:rPr>
        <w:t xml:space="preserve"> bridge the fixed cost recovery gap.</w:t>
      </w:r>
    </w:p>
    <w:p w:rsidR="00E252B9" w:rsidRDefault="00042739" w:rsidP="00E252B9">
      <w:pPr>
        <w:pStyle w:val="BodyText2"/>
        <w:tabs>
          <w:tab w:val="left" w:pos="720"/>
          <w:tab w:val="left" w:pos="1440"/>
        </w:tabs>
        <w:rPr>
          <w:sz w:val="23"/>
          <w:szCs w:val="23"/>
        </w:rPr>
      </w:pPr>
      <w:r>
        <w:rPr>
          <w:bCs/>
        </w:rPr>
        <w:tab/>
      </w:r>
      <w:r w:rsidR="0028794F">
        <w:rPr>
          <w:bCs/>
        </w:rPr>
        <w:t xml:space="preserve">It should be noted that this is not a new position for the Company.  </w:t>
      </w:r>
      <w:r>
        <w:rPr>
          <w:bCs/>
        </w:rPr>
        <w:t xml:space="preserve">In the Company’s </w:t>
      </w:r>
      <w:r w:rsidR="0028794F">
        <w:rPr>
          <w:bCs/>
        </w:rPr>
        <w:t xml:space="preserve">last general rate case, Commission Staff proposed an $8 natural gas basic charge, which would increase to $10 over a two year period.  The Company’s response to that proposal was </w:t>
      </w:r>
      <w:r w:rsidR="00E252B9">
        <w:rPr>
          <w:bCs/>
        </w:rPr>
        <w:t>that “(a)</w:t>
      </w:r>
      <w:proofErr w:type="spellStart"/>
      <w:r>
        <w:rPr>
          <w:sz w:val="23"/>
          <w:szCs w:val="23"/>
        </w:rPr>
        <w:t>lthough</w:t>
      </w:r>
      <w:proofErr w:type="spellEnd"/>
      <w:r>
        <w:rPr>
          <w:sz w:val="23"/>
          <w:szCs w:val="23"/>
        </w:rPr>
        <w:t xml:space="preserve"> the Company believes a higher basic charge of $8 to $10 per month is a move in the right direction and would be appropriate, it would not be a substitute for decoupling.</w:t>
      </w:r>
      <w:r w:rsidR="00E252B9">
        <w:rPr>
          <w:sz w:val="23"/>
          <w:szCs w:val="23"/>
        </w:rPr>
        <w:t>”</w:t>
      </w:r>
      <w:r w:rsidR="00E252B9" w:rsidRPr="00E252B9">
        <w:rPr>
          <w:rStyle w:val="FootnoteReference"/>
          <w:bCs/>
        </w:rPr>
        <w:t xml:space="preserve"> </w:t>
      </w:r>
      <w:r w:rsidR="00E252B9">
        <w:rPr>
          <w:rStyle w:val="FootnoteReference"/>
          <w:bCs/>
        </w:rPr>
        <w:footnoteReference w:id="5"/>
      </w:r>
    </w:p>
    <w:p w:rsidR="004D1B1A" w:rsidRPr="005E203A" w:rsidRDefault="004D1B1A" w:rsidP="0028794F">
      <w:pPr>
        <w:pStyle w:val="BodyText2"/>
        <w:tabs>
          <w:tab w:val="left" w:pos="720"/>
          <w:tab w:val="left" w:pos="810"/>
          <w:tab w:val="left" w:pos="1440"/>
        </w:tabs>
        <w:rPr>
          <w:b/>
          <w:bCs/>
        </w:rPr>
      </w:pPr>
      <w:r>
        <w:rPr>
          <w:b/>
          <w:bCs/>
        </w:rPr>
        <w:tab/>
      </w:r>
      <w:r w:rsidRPr="005E203A">
        <w:rPr>
          <w:b/>
          <w:bCs/>
        </w:rPr>
        <w:t>Q.</w:t>
      </w:r>
      <w:r w:rsidRPr="005E203A">
        <w:rPr>
          <w:b/>
          <w:bCs/>
        </w:rPr>
        <w:tab/>
      </w:r>
      <w:r w:rsidR="00E252B9">
        <w:rPr>
          <w:b/>
          <w:bCs/>
        </w:rPr>
        <w:t>But won’t increasing the Basic Charge send the wrong price signal through the energy rates</w:t>
      </w:r>
      <w:r w:rsidRPr="005E203A">
        <w:rPr>
          <w:b/>
          <w:bCs/>
        </w:rPr>
        <w:t>?</w:t>
      </w:r>
    </w:p>
    <w:p w:rsidR="004D1B1A" w:rsidRDefault="004D1B1A" w:rsidP="00075515">
      <w:pPr>
        <w:pStyle w:val="BodyText2"/>
        <w:tabs>
          <w:tab w:val="left" w:pos="720"/>
          <w:tab w:val="left" w:pos="810"/>
          <w:tab w:val="left" w:pos="1440"/>
        </w:tabs>
      </w:pPr>
      <w:r>
        <w:rPr>
          <w:bCs/>
        </w:rPr>
        <w:tab/>
      </w:r>
      <w:r w:rsidRPr="005E203A">
        <w:rPr>
          <w:bCs/>
        </w:rPr>
        <w:t xml:space="preserve">A.  </w:t>
      </w:r>
      <w:r w:rsidRPr="005E203A">
        <w:rPr>
          <w:bCs/>
        </w:rPr>
        <w:tab/>
      </w:r>
      <w:r>
        <w:rPr>
          <w:bCs/>
        </w:rPr>
        <w:t>Conservation of electricity and natural gas is important for customers and for the Company, and one might argue that a lower basic charge results in higher commodity prices and a stronger price signal</w:t>
      </w:r>
      <w:r w:rsidR="001121FA">
        <w:rPr>
          <w:bCs/>
        </w:rPr>
        <w:t xml:space="preserve"> related to volume usage</w:t>
      </w:r>
      <w:r>
        <w:rPr>
          <w:bCs/>
        </w:rPr>
        <w:t>.  However, sending a price signal to customers through a residential rate design that contains a three tier increa</w:t>
      </w:r>
      <w:r w:rsidR="007055A8">
        <w:rPr>
          <w:bCs/>
        </w:rPr>
        <w:t>sing block rate for electric</w:t>
      </w:r>
      <w:r>
        <w:rPr>
          <w:bCs/>
        </w:rPr>
        <w:t xml:space="preserve"> </w:t>
      </w:r>
      <w:r w:rsidR="007055A8">
        <w:rPr>
          <w:bCs/>
        </w:rPr>
        <w:t>(</w:t>
      </w:r>
      <w:r>
        <w:rPr>
          <w:bCs/>
        </w:rPr>
        <w:t xml:space="preserve">natural gas has just one volumetric rate) was developed for just such a reason.  The more electricity that is used, the higher the rate, and therefore the higher the overall customer bill.  </w:t>
      </w:r>
      <w:r>
        <w:t xml:space="preserve">The important distinction in this filing is that the Company is </w:t>
      </w:r>
      <w:r w:rsidRPr="00144320">
        <w:rPr>
          <w:u w:val="single"/>
        </w:rPr>
        <w:t>not</w:t>
      </w:r>
      <w:r>
        <w:t xml:space="preserve"> requesting to </w:t>
      </w:r>
      <w:r>
        <w:rPr>
          <w:u w:val="single"/>
        </w:rPr>
        <w:t>decrease the energy rates, nor is it proposing to reduce the degree of inversion between the rates</w:t>
      </w:r>
      <w:r>
        <w:t>.  As such, the volumetric pricing components will still send a very clear price signal to conserve.  It is just not necessary to continue to use an inequitable basic charge to send price signals.</w:t>
      </w:r>
    </w:p>
    <w:p w:rsidR="004D1B1A" w:rsidRPr="00F45137" w:rsidRDefault="004D1B1A" w:rsidP="00075515">
      <w:pPr>
        <w:pStyle w:val="BodyText2"/>
        <w:tabs>
          <w:tab w:val="left" w:pos="720"/>
          <w:tab w:val="left" w:pos="1440"/>
        </w:tabs>
        <w:rPr>
          <w:b/>
          <w:bCs/>
        </w:rPr>
      </w:pPr>
      <w:r>
        <w:lastRenderedPageBreak/>
        <w:tab/>
      </w:r>
      <w:r w:rsidRPr="00F45137">
        <w:rPr>
          <w:b/>
          <w:bCs/>
        </w:rPr>
        <w:t>Q.</w:t>
      </w:r>
      <w:r w:rsidRPr="00F45137">
        <w:rPr>
          <w:b/>
          <w:bCs/>
        </w:rPr>
        <w:tab/>
        <w:t>Do you have any additional comments related to “price signals”?</w:t>
      </w:r>
    </w:p>
    <w:p w:rsidR="004D1B1A" w:rsidRPr="00F45137" w:rsidRDefault="004D1B1A" w:rsidP="00075515">
      <w:pPr>
        <w:tabs>
          <w:tab w:val="left" w:pos="720"/>
        </w:tabs>
        <w:spacing w:line="480" w:lineRule="auto"/>
        <w:ind w:firstLine="720"/>
        <w:jc w:val="both"/>
      </w:pPr>
      <w:r w:rsidRPr="00F45137">
        <w:rPr>
          <w:bCs/>
        </w:rPr>
        <w:t xml:space="preserve">A.  </w:t>
      </w:r>
      <w:r w:rsidRPr="00F45137">
        <w:rPr>
          <w:bCs/>
        </w:rPr>
        <w:tab/>
        <w:t xml:space="preserve">Yes.  Sending a proper price signal is important as I noted above, and I believe that the proper price signal is being maintained.  One measure of this it to look to the Company’s </w:t>
      </w:r>
      <w:proofErr w:type="spellStart"/>
      <w:r w:rsidRPr="00F45137">
        <w:rPr>
          <w:bCs/>
        </w:rPr>
        <w:t>IRP’s</w:t>
      </w:r>
      <w:proofErr w:type="spellEnd"/>
      <w:r w:rsidRPr="00F45137">
        <w:rPr>
          <w:bCs/>
        </w:rPr>
        <w:t xml:space="preserve"> to see what the incremental cost of electricity and natural gas is on a forward looking basis, as compared to retail rates.  For electricity, the proposed tail-block rate of $0.</w:t>
      </w:r>
      <w:r w:rsidR="00177CFC">
        <w:rPr>
          <w:bCs/>
        </w:rPr>
        <w:t>09170</w:t>
      </w:r>
      <w:r w:rsidRPr="00F45137">
        <w:rPr>
          <w:bCs/>
        </w:rPr>
        <w:t xml:space="preserve"> (usage over 1,300 kWh’s) is well above the Company’s levelized 20 year forecast of $0.07956 per kWh.</w:t>
      </w:r>
      <w:r w:rsidRPr="00F45137">
        <w:rPr>
          <w:rStyle w:val="FootnoteReference"/>
          <w:bCs/>
        </w:rPr>
        <w:footnoteReference w:id="6"/>
      </w:r>
      <w:r w:rsidRPr="00F45137">
        <w:rPr>
          <w:bCs/>
        </w:rPr>
        <w:t xml:space="preserve">  For natural gas, the Company included several forecasts in</w:t>
      </w:r>
      <w:r w:rsidR="00EB082C">
        <w:rPr>
          <w:bCs/>
        </w:rPr>
        <w:t xml:space="preserve"> </w:t>
      </w:r>
      <w:r w:rsidRPr="00F45137">
        <w:rPr>
          <w:bCs/>
        </w:rPr>
        <w:t>its 2009 Integrated Resource Plan which, for the most part, all show</w:t>
      </w:r>
      <w:r>
        <w:rPr>
          <w:bCs/>
        </w:rPr>
        <w:t xml:space="preserve"> </w:t>
      </w:r>
      <w:r w:rsidRPr="00F45137">
        <w:rPr>
          <w:bCs/>
        </w:rPr>
        <w:t>forecasted natural gas prices at Henry Hub over the next ten years being lower than Avista’s retail rate</w:t>
      </w:r>
      <w:r w:rsidRPr="00F45137">
        <w:rPr>
          <w:rStyle w:val="FootnoteReference"/>
          <w:bCs/>
        </w:rPr>
        <w:footnoteReference w:id="7"/>
      </w:r>
      <w:r w:rsidRPr="00F45137">
        <w:rPr>
          <w:bCs/>
        </w:rPr>
        <w:t xml:space="preserve">.   </w:t>
      </w:r>
    </w:p>
    <w:p w:rsidR="004D1B1A" w:rsidRPr="005E203A" w:rsidRDefault="004D1B1A" w:rsidP="004D1B1A">
      <w:pPr>
        <w:pStyle w:val="BodyText2"/>
        <w:tabs>
          <w:tab w:val="left" w:pos="720"/>
          <w:tab w:val="left" w:pos="810"/>
          <w:tab w:val="left" w:pos="1440"/>
        </w:tabs>
        <w:rPr>
          <w:b/>
          <w:bCs/>
        </w:rPr>
      </w:pPr>
      <w:r>
        <w:rPr>
          <w:b/>
          <w:bCs/>
        </w:rPr>
        <w:tab/>
      </w:r>
      <w:r w:rsidRPr="005E203A">
        <w:rPr>
          <w:b/>
          <w:bCs/>
        </w:rPr>
        <w:t>Q.</w:t>
      </w:r>
      <w:r w:rsidRPr="005E203A">
        <w:rPr>
          <w:b/>
          <w:bCs/>
        </w:rPr>
        <w:tab/>
      </w:r>
      <w:r>
        <w:rPr>
          <w:b/>
          <w:bCs/>
        </w:rPr>
        <w:t>Have you prepared an analysis to show what impact the proposed rate design changes would have on customers</w:t>
      </w:r>
      <w:r w:rsidRPr="005E203A">
        <w:rPr>
          <w:b/>
          <w:bCs/>
        </w:rPr>
        <w:t>?</w:t>
      </w:r>
    </w:p>
    <w:p w:rsidR="00B632D5" w:rsidRPr="00B632D5" w:rsidRDefault="004D1B1A" w:rsidP="00B632D5">
      <w:pPr>
        <w:pStyle w:val="BodyText2"/>
        <w:tabs>
          <w:tab w:val="left" w:pos="720"/>
          <w:tab w:val="left" w:pos="810"/>
          <w:tab w:val="left" w:pos="1440"/>
        </w:tabs>
        <w:rPr>
          <w:bCs/>
        </w:rPr>
      </w:pPr>
      <w:r>
        <w:rPr>
          <w:bCs/>
        </w:rPr>
        <w:tab/>
      </w:r>
      <w:r w:rsidRPr="005E203A">
        <w:rPr>
          <w:bCs/>
        </w:rPr>
        <w:t xml:space="preserve">A.  </w:t>
      </w:r>
      <w:r w:rsidRPr="005E203A">
        <w:rPr>
          <w:bCs/>
        </w:rPr>
        <w:tab/>
      </w:r>
      <w:r>
        <w:rPr>
          <w:bCs/>
        </w:rPr>
        <w:t xml:space="preserve">Yes.  The Company completed an analysis showing the impact on low, average, and high use electric and natural gas customers.  The comparison shows the difference in a customer’s bill based on the Basic Charge </w:t>
      </w:r>
      <w:r w:rsidR="00075515">
        <w:rPr>
          <w:bCs/>
        </w:rPr>
        <w:t xml:space="preserve">and volumetric rates </w:t>
      </w:r>
      <w:r>
        <w:rPr>
          <w:bCs/>
        </w:rPr>
        <w:t xml:space="preserve">being increased on a uniform percentage basis, versus the Company’s proposed changes.  Table </w:t>
      </w:r>
      <w:r w:rsidR="00177CFC">
        <w:rPr>
          <w:bCs/>
        </w:rPr>
        <w:t>9</w:t>
      </w:r>
      <w:r>
        <w:rPr>
          <w:bCs/>
        </w:rPr>
        <w:t xml:space="preserve"> below details results of that analysis for </w:t>
      </w:r>
      <w:r w:rsidRPr="00075515">
        <w:rPr>
          <w:bCs/>
          <w:u w:val="single"/>
        </w:rPr>
        <w:t>electric</w:t>
      </w:r>
      <w:r>
        <w:rPr>
          <w:bCs/>
        </w:rPr>
        <w:t xml:space="preserve"> customers:</w:t>
      </w:r>
      <w:r w:rsidR="00B632D5">
        <w:rPr>
          <w:b/>
          <w:bCs/>
          <w:u w:val="single"/>
        </w:rPr>
        <w:br w:type="page"/>
      </w:r>
    </w:p>
    <w:p w:rsidR="004D1B1A" w:rsidRDefault="004D1B1A" w:rsidP="00177CFC">
      <w:pPr>
        <w:pStyle w:val="BodyText2"/>
        <w:tabs>
          <w:tab w:val="left" w:pos="810"/>
          <w:tab w:val="left" w:pos="1440"/>
        </w:tabs>
        <w:outlineLvl w:val="0"/>
        <w:rPr>
          <w:b/>
          <w:bCs/>
          <w:u w:val="single"/>
        </w:rPr>
      </w:pPr>
      <w:r w:rsidRPr="006D00BD">
        <w:rPr>
          <w:b/>
          <w:bCs/>
          <w:u w:val="single"/>
        </w:rPr>
        <w:lastRenderedPageBreak/>
        <w:t xml:space="preserve">Table </w:t>
      </w:r>
      <w:r w:rsidR="00F17ED7">
        <w:rPr>
          <w:b/>
          <w:bCs/>
          <w:u w:val="single"/>
        </w:rPr>
        <w:t>9</w:t>
      </w:r>
    </w:p>
    <w:p w:rsidR="00C951DC" w:rsidRDefault="007055A8" w:rsidP="00177CFC">
      <w:pPr>
        <w:pStyle w:val="BodyText2"/>
        <w:tabs>
          <w:tab w:val="left" w:pos="810"/>
          <w:tab w:val="left" w:pos="1440"/>
        </w:tabs>
        <w:outlineLvl w:val="0"/>
        <w:rPr>
          <w:b/>
          <w:bCs/>
          <w:u w:val="single"/>
        </w:rPr>
      </w:pPr>
      <w:r w:rsidRPr="007055A8">
        <w:rPr>
          <w:noProof/>
        </w:rPr>
        <w:drawing>
          <wp:anchor distT="0" distB="0" distL="114300" distR="114300" simplePos="0" relativeHeight="251678208" behindDoc="1" locked="0" layoutInCell="1" allowOverlap="1">
            <wp:simplePos x="0" y="0"/>
            <wp:positionH relativeFrom="column">
              <wp:posOffset>22708</wp:posOffset>
            </wp:positionH>
            <wp:positionV relativeFrom="paragraph">
              <wp:posOffset>1829</wp:posOffset>
            </wp:positionV>
            <wp:extent cx="5481675" cy="1609344"/>
            <wp:effectExtent l="19050" t="0" r="47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481675" cy="1609344"/>
                    </a:xfrm>
                    <a:prstGeom prst="rect">
                      <a:avLst/>
                    </a:prstGeom>
                    <a:noFill/>
                    <a:ln w="9525">
                      <a:noFill/>
                      <a:miter lim="800000"/>
                      <a:headEnd/>
                      <a:tailEnd/>
                    </a:ln>
                  </pic:spPr>
                </pic:pic>
              </a:graphicData>
            </a:graphic>
          </wp:anchor>
        </w:drawing>
      </w:r>
    </w:p>
    <w:p w:rsidR="00C951DC" w:rsidRDefault="00C951DC" w:rsidP="00177CFC">
      <w:pPr>
        <w:pStyle w:val="BodyText2"/>
        <w:tabs>
          <w:tab w:val="left" w:pos="810"/>
          <w:tab w:val="left" w:pos="1440"/>
        </w:tabs>
        <w:outlineLvl w:val="0"/>
        <w:rPr>
          <w:b/>
          <w:bCs/>
          <w:u w:val="single"/>
        </w:rPr>
      </w:pPr>
    </w:p>
    <w:p w:rsidR="00C951DC" w:rsidRDefault="00C951DC" w:rsidP="00177CFC">
      <w:pPr>
        <w:pStyle w:val="BodyText2"/>
        <w:tabs>
          <w:tab w:val="left" w:pos="810"/>
          <w:tab w:val="left" w:pos="1440"/>
        </w:tabs>
        <w:outlineLvl w:val="0"/>
        <w:rPr>
          <w:b/>
          <w:bCs/>
          <w:u w:val="single"/>
        </w:rPr>
      </w:pPr>
    </w:p>
    <w:p w:rsidR="00C951DC" w:rsidRPr="006D00BD" w:rsidRDefault="00C951DC" w:rsidP="00177CFC">
      <w:pPr>
        <w:pStyle w:val="BodyText2"/>
        <w:tabs>
          <w:tab w:val="left" w:pos="810"/>
          <w:tab w:val="left" w:pos="1440"/>
        </w:tabs>
        <w:outlineLvl w:val="0"/>
        <w:rPr>
          <w:b/>
          <w:bCs/>
          <w:u w:val="single"/>
        </w:rPr>
      </w:pPr>
    </w:p>
    <w:p w:rsidR="004D1B1A" w:rsidRDefault="004D1B1A" w:rsidP="004D1B1A">
      <w:pPr>
        <w:pStyle w:val="BodyText2"/>
        <w:tabs>
          <w:tab w:val="left" w:pos="810"/>
          <w:tab w:val="left" w:pos="1440"/>
        </w:tabs>
        <w:rPr>
          <w:b/>
          <w:bCs/>
        </w:rPr>
      </w:pPr>
    </w:p>
    <w:p w:rsidR="004D1B1A" w:rsidRPr="00F22123" w:rsidRDefault="004D1B1A" w:rsidP="00C951DC">
      <w:pPr>
        <w:spacing w:line="480" w:lineRule="auto"/>
        <w:rPr>
          <w:bCs/>
        </w:rPr>
      </w:pPr>
      <w:r w:rsidRPr="00F22123">
        <w:rPr>
          <w:bCs/>
        </w:rPr>
        <w:t xml:space="preserve">Table </w:t>
      </w:r>
      <w:r w:rsidR="00177CFC">
        <w:rPr>
          <w:bCs/>
        </w:rPr>
        <w:t>10</w:t>
      </w:r>
      <w:r w:rsidRPr="00F22123">
        <w:rPr>
          <w:bCs/>
        </w:rPr>
        <w:t xml:space="preserve"> </w:t>
      </w:r>
      <w:r w:rsidR="00075515">
        <w:rPr>
          <w:bCs/>
        </w:rPr>
        <w:t>below details</w:t>
      </w:r>
      <w:r w:rsidRPr="00F22123">
        <w:rPr>
          <w:bCs/>
        </w:rPr>
        <w:t xml:space="preserve"> </w:t>
      </w:r>
      <w:r w:rsidR="00075515">
        <w:rPr>
          <w:bCs/>
        </w:rPr>
        <w:t xml:space="preserve">the analysis </w:t>
      </w:r>
      <w:r w:rsidRPr="00F22123">
        <w:rPr>
          <w:bCs/>
        </w:rPr>
        <w:t xml:space="preserve">for </w:t>
      </w:r>
      <w:r w:rsidRPr="00075515">
        <w:rPr>
          <w:bCs/>
          <w:u w:val="single"/>
        </w:rPr>
        <w:t>natural gas</w:t>
      </w:r>
      <w:r w:rsidRPr="00F22123">
        <w:rPr>
          <w:bCs/>
        </w:rPr>
        <w:t xml:space="preserve"> customers:</w:t>
      </w:r>
    </w:p>
    <w:p w:rsidR="004D1B1A" w:rsidRDefault="004D1B1A" w:rsidP="00C951DC">
      <w:pPr>
        <w:spacing w:line="480" w:lineRule="auto"/>
        <w:rPr>
          <w:b/>
          <w:bCs/>
          <w:highlight w:val="yellow"/>
          <w:u w:val="single"/>
        </w:rPr>
      </w:pPr>
      <w:r w:rsidRPr="009C344E">
        <w:rPr>
          <w:b/>
          <w:bCs/>
          <w:u w:val="single"/>
        </w:rPr>
        <w:t xml:space="preserve">Table </w:t>
      </w:r>
      <w:r w:rsidR="00F17ED7" w:rsidRPr="00177CFC">
        <w:rPr>
          <w:b/>
          <w:bCs/>
          <w:u w:val="single"/>
        </w:rPr>
        <w:t>10</w:t>
      </w:r>
    </w:p>
    <w:p w:rsidR="004D1B1A" w:rsidRPr="00403583" w:rsidRDefault="007055A8" w:rsidP="00C951DC">
      <w:pPr>
        <w:spacing w:line="480" w:lineRule="auto"/>
        <w:jc w:val="center"/>
        <w:rPr>
          <w:b/>
          <w:bCs/>
          <w:u w:val="single"/>
        </w:rPr>
      </w:pPr>
      <w:r w:rsidRPr="007055A8">
        <w:rPr>
          <w:noProof/>
        </w:rPr>
        <w:drawing>
          <wp:anchor distT="0" distB="0" distL="114300" distR="114300" simplePos="0" relativeHeight="251679232" behindDoc="1" locked="0" layoutInCell="1" allowOverlap="1">
            <wp:simplePos x="0" y="0"/>
            <wp:positionH relativeFrom="column">
              <wp:posOffset>22708</wp:posOffset>
            </wp:positionH>
            <wp:positionV relativeFrom="paragraph">
              <wp:posOffset>-1219</wp:posOffset>
            </wp:positionV>
            <wp:extent cx="5576773" cy="1587398"/>
            <wp:effectExtent l="19050" t="0" r="4877"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576773" cy="1587398"/>
                    </a:xfrm>
                    <a:prstGeom prst="rect">
                      <a:avLst/>
                    </a:prstGeom>
                    <a:noFill/>
                    <a:ln w="9525">
                      <a:noFill/>
                      <a:miter lim="800000"/>
                      <a:headEnd/>
                      <a:tailEnd/>
                    </a:ln>
                  </pic:spPr>
                </pic:pic>
              </a:graphicData>
            </a:graphic>
          </wp:anchor>
        </w:drawing>
      </w:r>
    </w:p>
    <w:p w:rsidR="004D1B1A" w:rsidRDefault="004D1B1A" w:rsidP="00C951DC">
      <w:pPr>
        <w:pStyle w:val="BodyText2"/>
        <w:tabs>
          <w:tab w:val="left" w:pos="810"/>
          <w:tab w:val="left" w:pos="1440"/>
        </w:tabs>
        <w:rPr>
          <w:b/>
          <w:bCs/>
        </w:rPr>
      </w:pPr>
    </w:p>
    <w:p w:rsidR="004D1B1A" w:rsidRDefault="004D1B1A" w:rsidP="00C951DC">
      <w:pPr>
        <w:pStyle w:val="BodyText2"/>
        <w:tabs>
          <w:tab w:val="left" w:pos="810"/>
          <w:tab w:val="left" w:pos="1440"/>
        </w:tabs>
        <w:rPr>
          <w:b/>
          <w:bCs/>
        </w:rPr>
      </w:pPr>
    </w:p>
    <w:p w:rsidR="004D1B1A" w:rsidRDefault="004D1B1A" w:rsidP="00C951DC">
      <w:pPr>
        <w:pStyle w:val="BodyText2"/>
        <w:tabs>
          <w:tab w:val="left" w:pos="810"/>
          <w:tab w:val="left" w:pos="1440"/>
        </w:tabs>
        <w:rPr>
          <w:b/>
          <w:bCs/>
        </w:rPr>
      </w:pPr>
      <w:r>
        <w:rPr>
          <w:b/>
          <w:bCs/>
        </w:rPr>
        <w:tab/>
      </w: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Cs/>
        </w:rPr>
      </w:pPr>
      <w:r>
        <w:rPr>
          <w:bCs/>
        </w:rPr>
        <w:t xml:space="preserve">As you can see, the impact of </w:t>
      </w:r>
      <w:r w:rsidR="00075515">
        <w:rPr>
          <w:bCs/>
        </w:rPr>
        <w:t>the Company’s</w:t>
      </w:r>
      <w:r>
        <w:rPr>
          <w:bCs/>
        </w:rPr>
        <w:t xml:space="preserve"> proposed change to the basic charge varies based on monthly consumption.  For an electric customer who uses </w:t>
      </w:r>
      <w:r w:rsidRPr="006A466C">
        <w:rPr>
          <w:bCs/>
          <w:u w:val="single"/>
        </w:rPr>
        <w:t>less</w:t>
      </w:r>
      <w:r>
        <w:rPr>
          <w:bCs/>
        </w:rPr>
        <w:t xml:space="preserve"> than the average 994 kWh’s and/or 69 therms per month, the </w:t>
      </w:r>
      <w:r w:rsidR="00075515">
        <w:rPr>
          <w:bCs/>
        </w:rPr>
        <w:t xml:space="preserve">percentage </w:t>
      </w:r>
      <w:r>
        <w:rPr>
          <w:bCs/>
        </w:rPr>
        <w:t xml:space="preserve">impact will be slightly higher than </w:t>
      </w:r>
      <w:r w:rsidR="00075515">
        <w:rPr>
          <w:bCs/>
        </w:rPr>
        <w:t xml:space="preserve">for </w:t>
      </w:r>
      <w:r>
        <w:rPr>
          <w:bCs/>
        </w:rPr>
        <w:t xml:space="preserve">those customers who use </w:t>
      </w:r>
      <w:r w:rsidRPr="006A466C">
        <w:rPr>
          <w:bCs/>
          <w:u w:val="single"/>
        </w:rPr>
        <w:t>more</w:t>
      </w:r>
      <w:r>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B632D5" w:rsidRPr="00B632D5" w:rsidRDefault="004D1B1A" w:rsidP="00B632D5">
      <w:pPr>
        <w:pStyle w:val="BodyText2"/>
        <w:tabs>
          <w:tab w:val="left" w:pos="810"/>
          <w:tab w:val="left" w:pos="1440"/>
        </w:tabs>
        <w:outlineLvl w:val="0"/>
        <w:rPr>
          <w:bCs/>
        </w:rPr>
      </w:pPr>
      <w:r>
        <w:rPr>
          <w:bCs/>
        </w:rPr>
        <w:tab/>
        <w:t>The table below shows a comparison of monthly bills for an electric customer with average usage for a 12-month period.  It shows the difference in the monthly bills with a uniform percentage increase to the basic charge and volumetric rate</w:t>
      </w:r>
      <w:r w:rsidR="00AF0FEB">
        <w:rPr>
          <w:bCs/>
        </w:rPr>
        <w:t>s</w:t>
      </w:r>
      <w:r w:rsidR="001121FA">
        <w:rPr>
          <w:bCs/>
        </w:rPr>
        <w:t>,</w:t>
      </w:r>
      <w:r w:rsidR="00AF0FEB">
        <w:rPr>
          <w:bCs/>
        </w:rPr>
        <w:t xml:space="preserve"> versus the </w:t>
      </w:r>
      <w:r w:rsidR="00AF0FEB">
        <w:rPr>
          <w:bCs/>
        </w:rPr>
        <w:lastRenderedPageBreak/>
        <w:t>Company’s proposal</w:t>
      </w:r>
      <w:r>
        <w:rPr>
          <w:bCs/>
        </w:rPr>
        <w:t>.  The table illustrates the reduction in payment of fixed costs in the winter months, and increased payment in the summer, with the net result being improved alignment of payment of fixed costs by customers with the</w:t>
      </w:r>
      <w:r w:rsidR="00AF0FEB">
        <w:rPr>
          <w:bCs/>
        </w:rPr>
        <w:t xml:space="preserve"> fixed costs to serve customers, with no net annual difference</w:t>
      </w:r>
      <w:r w:rsidR="00131E05">
        <w:rPr>
          <w:rStyle w:val="FootnoteReference"/>
          <w:bCs/>
        </w:rPr>
        <w:footnoteReference w:id="8"/>
      </w:r>
      <w:r w:rsidR="00AF0FEB">
        <w:rPr>
          <w:bCs/>
        </w:rPr>
        <w:t xml:space="preserve"> in overall payment.</w:t>
      </w:r>
    </w:p>
    <w:p w:rsidR="004D1B1A" w:rsidRPr="006D00BD" w:rsidRDefault="004D1B1A" w:rsidP="00177CFC">
      <w:pPr>
        <w:pStyle w:val="BodyText2"/>
        <w:tabs>
          <w:tab w:val="left" w:pos="810"/>
          <w:tab w:val="left" w:pos="1440"/>
        </w:tabs>
        <w:outlineLvl w:val="0"/>
        <w:rPr>
          <w:b/>
          <w:bCs/>
          <w:u w:val="single"/>
        </w:rPr>
      </w:pPr>
      <w:r w:rsidRPr="00C951DC">
        <w:rPr>
          <w:b/>
          <w:bCs/>
          <w:u w:val="single"/>
        </w:rPr>
        <w:t xml:space="preserve">Table </w:t>
      </w:r>
      <w:r w:rsidR="00F17ED7" w:rsidRPr="00C951DC">
        <w:rPr>
          <w:b/>
          <w:bCs/>
          <w:u w:val="single"/>
        </w:rPr>
        <w:t>11</w:t>
      </w:r>
    </w:p>
    <w:p w:rsidR="004D1B1A" w:rsidRDefault="00925CE2" w:rsidP="004D1B1A">
      <w:pPr>
        <w:pStyle w:val="BodyText2"/>
        <w:tabs>
          <w:tab w:val="left" w:pos="810"/>
          <w:tab w:val="left" w:pos="1440"/>
        </w:tabs>
        <w:rPr>
          <w:b/>
          <w:bCs/>
        </w:rPr>
      </w:pPr>
      <w:r>
        <w:rPr>
          <w:b/>
          <w:bCs/>
          <w:noProof/>
        </w:rPr>
        <w:drawing>
          <wp:anchor distT="0" distB="0" distL="114300" distR="114300" simplePos="0" relativeHeight="251672064" behindDoc="1" locked="0" layoutInCell="1" allowOverlap="1">
            <wp:simplePos x="0" y="0"/>
            <wp:positionH relativeFrom="column">
              <wp:posOffset>419100</wp:posOffset>
            </wp:positionH>
            <wp:positionV relativeFrom="paragraph">
              <wp:posOffset>0</wp:posOffset>
            </wp:positionV>
            <wp:extent cx="4772025" cy="3209925"/>
            <wp:effectExtent l="19050" t="0" r="9525"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4772025" cy="3209925"/>
                    </a:xfrm>
                    <a:prstGeom prst="rect">
                      <a:avLst/>
                    </a:prstGeom>
                    <a:noFill/>
                    <a:ln w="9525">
                      <a:noFill/>
                      <a:miter lim="800000"/>
                      <a:headEnd/>
                      <a:tailEnd/>
                    </a:ln>
                  </pic:spPr>
                </pic:pic>
              </a:graphicData>
            </a:graphic>
          </wp:anchor>
        </w:drawing>
      </w: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925CE2">
      <w:pPr>
        <w:pStyle w:val="BodyText2"/>
        <w:tabs>
          <w:tab w:val="left" w:pos="810"/>
          <w:tab w:val="left" w:pos="1440"/>
        </w:tabs>
        <w:rPr>
          <w:b/>
          <w:bCs/>
        </w:rPr>
      </w:pPr>
    </w:p>
    <w:p w:rsidR="00B632D5" w:rsidRDefault="00B632D5">
      <w:pPr>
        <w:autoSpaceDE/>
        <w:autoSpaceDN/>
        <w:rPr>
          <w:bCs/>
        </w:rPr>
      </w:pPr>
    </w:p>
    <w:p w:rsidR="0028794F" w:rsidRDefault="0028794F">
      <w:pPr>
        <w:autoSpaceDE/>
        <w:autoSpaceDN/>
        <w:rPr>
          <w:bCs/>
        </w:rPr>
      </w:pPr>
    </w:p>
    <w:p w:rsidR="00B632D5" w:rsidRPr="003279B2" w:rsidRDefault="004D1B1A" w:rsidP="003279B2">
      <w:pPr>
        <w:spacing w:line="480" w:lineRule="auto"/>
        <w:jc w:val="both"/>
        <w:rPr>
          <w:bCs/>
        </w:rPr>
      </w:pPr>
      <w:r w:rsidRPr="00C951DC">
        <w:rPr>
          <w:bCs/>
        </w:rPr>
        <w:t>The table below provides a similar comparison for a 12-month period for a natural gas customer with average usage.  The net result</w:t>
      </w:r>
      <w:r w:rsidR="00131E05">
        <w:rPr>
          <w:rStyle w:val="FootnoteReference"/>
          <w:bCs/>
        </w:rPr>
        <w:footnoteReference w:id="9"/>
      </w:r>
      <w:r w:rsidRPr="00C951DC">
        <w:rPr>
          <w:bCs/>
        </w:rPr>
        <w:t xml:space="preserve"> is similar to the electric results above, namely a better alignment of payment of fixed costs by customers with the fixed costs to serve customers.</w:t>
      </w:r>
      <w:r w:rsidR="00B632D5">
        <w:rPr>
          <w:b/>
          <w:bCs/>
          <w:u w:val="single"/>
        </w:rPr>
        <w:br w:type="page"/>
      </w:r>
    </w:p>
    <w:p w:rsidR="004D1B1A" w:rsidRDefault="0028794F" w:rsidP="00925CE2">
      <w:pPr>
        <w:spacing w:line="480" w:lineRule="auto"/>
        <w:outlineLvl w:val="0"/>
        <w:rPr>
          <w:b/>
          <w:bCs/>
          <w:u w:val="single"/>
        </w:rPr>
      </w:pPr>
      <w:r>
        <w:rPr>
          <w:b/>
          <w:bCs/>
          <w:noProof/>
          <w:u w:val="single"/>
        </w:rPr>
        <w:lastRenderedPageBreak/>
        <w:drawing>
          <wp:anchor distT="0" distB="0" distL="114300" distR="114300" simplePos="0" relativeHeight="251671040" behindDoc="1" locked="0" layoutInCell="1" allowOverlap="1">
            <wp:simplePos x="0" y="0"/>
            <wp:positionH relativeFrom="column">
              <wp:posOffset>396240</wp:posOffset>
            </wp:positionH>
            <wp:positionV relativeFrom="paragraph">
              <wp:posOffset>324485</wp:posOffset>
            </wp:positionV>
            <wp:extent cx="4703445" cy="3211830"/>
            <wp:effectExtent l="19050" t="0" r="190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4703445" cy="3211830"/>
                    </a:xfrm>
                    <a:prstGeom prst="rect">
                      <a:avLst/>
                    </a:prstGeom>
                    <a:noFill/>
                    <a:ln w="9525">
                      <a:noFill/>
                      <a:miter lim="800000"/>
                      <a:headEnd/>
                      <a:tailEnd/>
                    </a:ln>
                  </pic:spPr>
                </pic:pic>
              </a:graphicData>
            </a:graphic>
          </wp:anchor>
        </w:drawing>
      </w:r>
      <w:r w:rsidR="004D1B1A" w:rsidRPr="00AB59BB">
        <w:rPr>
          <w:b/>
          <w:bCs/>
          <w:u w:val="single"/>
        </w:rPr>
        <w:t xml:space="preserve">Table </w:t>
      </w:r>
      <w:r w:rsidR="00F17ED7" w:rsidRPr="00AB59BB">
        <w:rPr>
          <w:b/>
          <w:bCs/>
          <w:u w:val="single"/>
        </w:rPr>
        <w:t>12</w:t>
      </w:r>
    </w:p>
    <w:p w:rsidR="004D1B1A" w:rsidRDefault="004D1B1A" w:rsidP="00925CE2">
      <w:pPr>
        <w:spacing w:line="480" w:lineRule="auto"/>
        <w:jc w:val="center"/>
        <w:outlineLvl w:val="0"/>
        <w:rPr>
          <w:b/>
          <w:bCs/>
          <w:u w:val="single"/>
        </w:rPr>
      </w:pPr>
    </w:p>
    <w:p w:rsidR="004D1B1A" w:rsidRPr="006D00BD" w:rsidRDefault="004D1B1A" w:rsidP="00925CE2">
      <w:pPr>
        <w:spacing w:line="480" w:lineRule="auto"/>
        <w:jc w:val="center"/>
        <w:outlineLvl w:val="0"/>
        <w:rPr>
          <w:b/>
          <w:bCs/>
          <w:u w:val="single"/>
        </w:rPr>
      </w:pPr>
    </w:p>
    <w:p w:rsidR="004D1B1A" w:rsidRDefault="004D1B1A" w:rsidP="00925CE2">
      <w:pPr>
        <w:pStyle w:val="BodyText2"/>
        <w:tabs>
          <w:tab w:val="left" w:pos="810"/>
          <w:tab w:val="left" w:pos="1440"/>
        </w:tabs>
        <w:jc w:val="center"/>
        <w:rPr>
          <w:b/>
          <w:bCs/>
        </w:rPr>
      </w:pPr>
    </w:p>
    <w:p w:rsidR="004D1B1A" w:rsidRDefault="004D1B1A" w:rsidP="00925CE2">
      <w:pPr>
        <w:pStyle w:val="BodyText2"/>
        <w:tabs>
          <w:tab w:val="left" w:pos="810"/>
          <w:tab w:val="left" w:pos="1440"/>
        </w:tabs>
        <w:rPr>
          <w:b/>
          <w:bCs/>
        </w:rPr>
      </w:pPr>
    </w:p>
    <w:p w:rsidR="004D1B1A" w:rsidRDefault="004D1B1A" w:rsidP="00925CE2">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r>
        <w:rPr>
          <w:b/>
          <w:bCs/>
        </w:rPr>
        <w:tab/>
      </w:r>
    </w:p>
    <w:p w:rsidR="0028794F" w:rsidRDefault="0028794F" w:rsidP="004D1B1A">
      <w:pPr>
        <w:pStyle w:val="BodyText2"/>
        <w:tabs>
          <w:tab w:val="left" w:pos="720"/>
          <w:tab w:val="left" w:pos="1440"/>
        </w:tabs>
        <w:rPr>
          <w:b/>
          <w:bCs/>
        </w:rPr>
      </w:pPr>
    </w:p>
    <w:p w:rsidR="004D1B1A" w:rsidRPr="005E203A" w:rsidRDefault="004D1B1A" w:rsidP="004D1B1A">
      <w:pPr>
        <w:pStyle w:val="BodyText2"/>
        <w:tabs>
          <w:tab w:val="left" w:pos="720"/>
          <w:tab w:val="left" w:pos="1440"/>
        </w:tabs>
        <w:rPr>
          <w:b/>
          <w:bCs/>
        </w:rPr>
      </w:pPr>
      <w:r>
        <w:rPr>
          <w:b/>
          <w:bCs/>
        </w:rPr>
        <w:tab/>
      </w:r>
      <w:r w:rsidRPr="005E203A">
        <w:rPr>
          <w:b/>
          <w:bCs/>
        </w:rPr>
        <w:t>Q.</w:t>
      </w:r>
      <w:r w:rsidRPr="005E203A">
        <w:rPr>
          <w:b/>
          <w:bCs/>
        </w:rPr>
        <w:tab/>
      </w:r>
      <w:r>
        <w:rPr>
          <w:b/>
          <w:bCs/>
        </w:rPr>
        <w:t xml:space="preserve">Has the Commission recently commented on what they </w:t>
      </w:r>
      <w:r w:rsidR="00EB082C">
        <w:rPr>
          <w:b/>
          <w:bCs/>
        </w:rPr>
        <w:t>believe an</w:t>
      </w:r>
      <w:r>
        <w:rPr>
          <w:b/>
          <w:bCs/>
        </w:rPr>
        <w:t xml:space="preserve"> appropriate basic charge should be</w:t>
      </w:r>
      <w:r w:rsidRPr="005E203A">
        <w:rPr>
          <w:b/>
          <w:bCs/>
        </w:rPr>
        <w:t>?</w:t>
      </w:r>
    </w:p>
    <w:p w:rsidR="004D1B1A" w:rsidRDefault="004D1B1A" w:rsidP="004D1B1A">
      <w:pPr>
        <w:pStyle w:val="BodyText2"/>
        <w:tabs>
          <w:tab w:val="left" w:pos="720"/>
          <w:tab w:val="left" w:pos="1440"/>
        </w:tabs>
        <w:rPr>
          <w:bCs/>
        </w:rPr>
      </w:pPr>
      <w:r>
        <w:rPr>
          <w:bCs/>
        </w:rPr>
        <w:tab/>
      </w:r>
      <w:r w:rsidRPr="005E203A">
        <w:rPr>
          <w:bCs/>
        </w:rPr>
        <w:t xml:space="preserve">A.  </w:t>
      </w:r>
      <w:r w:rsidRPr="005E203A">
        <w:rPr>
          <w:bCs/>
        </w:rPr>
        <w:tab/>
      </w:r>
      <w:r>
        <w:rPr>
          <w:bCs/>
        </w:rPr>
        <w:t xml:space="preserve">Yes.  </w:t>
      </w:r>
      <w:r w:rsidR="007055A8">
        <w:rPr>
          <w:bCs/>
        </w:rPr>
        <w:t>In 2007, i</w:t>
      </w:r>
      <w:r>
        <w:rPr>
          <w:bCs/>
        </w:rPr>
        <w:t xml:space="preserve">n Puget Sound Energy Dockets UE-060266 and UG-060267 (consolidated), the Commission </w:t>
      </w:r>
      <w:r w:rsidR="007055A8">
        <w:rPr>
          <w:bCs/>
        </w:rPr>
        <w:t xml:space="preserve">approved a </w:t>
      </w:r>
      <w:r w:rsidR="002543B2">
        <w:rPr>
          <w:bCs/>
        </w:rPr>
        <w:t>$8.25</w:t>
      </w:r>
      <w:r w:rsidR="007055A8">
        <w:rPr>
          <w:bCs/>
        </w:rPr>
        <w:t xml:space="preserve"> natural gas basic charge </w:t>
      </w:r>
      <w:r w:rsidR="00EB082C">
        <w:rPr>
          <w:bCs/>
        </w:rPr>
        <w:t xml:space="preserve">(subsequently increased to $10) </w:t>
      </w:r>
      <w:r w:rsidR="007055A8">
        <w:rPr>
          <w:bCs/>
        </w:rPr>
        <w:t xml:space="preserve">and </w:t>
      </w:r>
      <w:r>
        <w:rPr>
          <w:bCs/>
        </w:rPr>
        <w:t>stated:</w:t>
      </w:r>
    </w:p>
    <w:p w:rsidR="004D1B1A" w:rsidRDefault="004D1B1A" w:rsidP="004D1B1A">
      <w:pPr>
        <w:pStyle w:val="BodyText2"/>
        <w:tabs>
          <w:tab w:val="left" w:pos="810"/>
          <w:tab w:val="left" w:pos="1440"/>
        </w:tabs>
        <w:spacing w:line="240" w:lineRule="auto"/>
        <w:ind w:left="810"/>
        <w:rPr>
          <w:bCs/>
        </w:rPr>
      </w:pPr>
      <w:r w:rsidRPr="00646439">
        <w:rPr>
          <w:bCs/>
        </w:rPr>
        <w:t xml:space="preserve">This will result in the Company recovering about one-fourth of its fixed costs allocated to residential customers via a fixed charge on each customer’s bill.  This is about </w:t>
      </w:r>
      <w:r w:rsidRPr="00EB082C">
        <w:rPr>
          <w:bCs/>
        </w:rPr>
        <w:t>eight to ten percent</w:t>
      </w:r>
      <w:r w:rsidRPr="00646439">
        <w:rPr>
          <w:bCs/>
        </w:rPr>
        <w:t xml:space="preserve"> of an average customer’s total bill, considering both fixed and variable costs.  This seems to us the right balance point for the recovery of fixed costs via the customer charge.</w:t>
      </w:r>
      <w:r>
        <w:rPr>
          <w:rStyle w:val="FootnoteReference"/>
          <w:bCs/>
        </w:rPr>
        <w:footnoteReference w:id="10"/>
      </w:r>
      <w:r w:rsidRPr="00646439">
        <w:rPr>
          <w:bCs/>
        </w:rPr>
        <w:t xml:space="preserve">  </w:t>
      </w:r>
    </w:p>
    <w:p w:rsidR="004D1B1A" w:rsidRDefault="004D1B1A" w:rsidP="004D1B1A">
      <w:pPr>
        <w:pStyle w:val="BodyText2"/>
        <w:tabs>
          <w:tab w:val="left" w:pos="810"/>
          <w:tab w:val="left" w:pos="1440"/>
        </w:tabs>
        <w:spacing w:line="240" w:lineRule="auto"/>
        <w:rPr>
          <w:bCs/>
        </w:rPr>
      </w:pPr>
    </w:p>
    <w:p w:rsidR="004D1B1A" w:rsidRDefault="004D1B1A" w:rsidP="004D1B1A">
      <w:pPr>
        <w:pStyle w:val="BodyText2"/>
        <w:tabs>
          <w:tab w:val="left" w:pos="810"/>
          <w:tab w:val="left" w:pos="1440"/>
        </w:tabs>
        <w:rPr>
          <w:bCs/>
        </w:rPr>
      </w:pPr>
      <w:r w:rsidRPr="0020188A">
        <w:rPr>
          <w:bCs/>
        </w:rPr>
        <w:t>Avista’s propo</w:t>
      </w:r>
      <w:r>
        <w:rPr>
          <w:bCs/>
        </w:rPr>
        <w:t xml:space="preserve">sed $10 basic charge is approximately </w:t>
      </w:r>
      <w:r w:rsidRPr="005C1AB9">
        <w:rPr>
          <w:bCs/>
        </w:rPr>
        <w:t>15</w:t>
      </w:r>
      <w:r w:rsidR="005C1AB9" w:rsidRPr="005C1AB9">
        <w:rPr>
          <w:bCs/>
        </w:rPr>
        <w:t>.9</w:t>
      </w:r>
      <w:r w:rsidRPr="005C1AB9">
        <w:rPr>
          <w:bCs/>
        </w:rPr>
        <w:t>% of</w:t>
      </w:r>
      <w:r>
        <w:rPr>
          <w:bCs/>
        </w:rPr>
        <w:t xml:space="preserve"> the </w:t>
      </w:r>
      <w:r w:rsidR="00EB082C">
        <w:rPr>
          <w:bCs/>
        </w:rPr>
        <w:t>proposed</w:t>
      </w:r>
      <w:r>
        <w:rPr>
          <w:bCs/>
        </w:rPr>
        <w:t xml:space="preserve"> average bill for natural gas customers (1</w:t>
      </w:r>
      <w:r w:rsidR="0028794F">
        <w:rPr>
          <w:bCs/>
        </w:rPr>
        <w:t>3</w:t>
      </w:r>
      <w:r>
        <w:rPr>
          <w:bCs/>
        </w:rPr>
        <w:t xml:space="preserve">% excluding the temporary gas cost refund) and </w:t>
      </w:r>
      <w:r w:rsidRPr="005C1AB9">
        <w:rPr>
          <w:bCs/>
        </w:rPr>
        <w:t>1</w:t>
      </w:r>
      <w:r w:rsidR="00AB59BB" w:rsidRPr="005C1AB9">
        <w:rPr>
          <w:bCs/>
        </w:rPr>
        <w:t>2</w:t>
      </w:r>
      <w:r w:rsidR="005C1AB9">
        <w:rPr>
          <w:bCs/>
        </w:rPr>
        <w:t>.2</w:t>
      </w:r>
      <w:r w:rsidRPr="005C1AB9">
        <w:rPr>
          <w:bCs/>
        </w:rPr>
        <w:t>% for</w:t>
      </w:r>
      <w:r>
        <w:rPr>
          <w:bCs/>
        </w:rPr>
        <w:t xml:space="preserve"> electric customers.  This is well within the range of reasonableness, especially when viewed as a percentage of base rates.  </w:t>
      </w:r>
    </w:p>
    <w:p w:rsidR="004D1B1A" w:rsidRPr="00386952" w:rsidRDefault="004D1B1A" w:rsidP="004D1B1A">
      <w:pPr>
        <w:pStyle w:val="BodyText2"/>
        <w:tabs>
          <w:tab w:val="left" w:pos="720"/>
          <w:tab w:val="left" w:pos="1440"/>
        </w:tabs>
        <w:rPr>
          <w:b/>
          <w:bCs/>
        </w:rPr>
      </w:pPr>
      <w:r>
        <w:rPr>
          <w:bCs/>
        </w:rPr>
        <w:lastRenderedPageBreak/>
        <w:tab/>
      </w:r>
      <w:r w:rsidRPr="00386952">
        <w:rPr>
          <w:b/>
          <w:bCs/>
        </w:rPr>
        <w:t>Q.</w:t>
      </w:r>
      <w:r w:rsidRPr="00386952">
        <w:rPr>
          <w:b/>
          <w:bCs/>
        </w:rPr>
        <w:tab/>
      </w:r>
      <w:r>
        <w:rPr>
          <w:b/>
          <w:bCs/>
        </w:rPr>
        <w:t>Would you characterize the Company’s proposal as fair?</w:t>
      </w:r>
    </w:p>
    <w:p w:rsidR="004D1B1A" w:rsidRDefault="004D1B1A" w:rsidP="004D1B1A">
      <w:pPr>
        <w:pStyle w:val="BodyText2"/>
        <w:tabs>
          <w:tab w:val="left" w:pos="720"/>
          <w:tab w:val="left" w:pos="1440"/>
        </w:tabs>
        <w:rPr>
          <w:bCs/>
        </w:rPr>
      </w:pPr>
      <w:r>
        <w:rPr>
          <w:bCs/>
        </w:rPr>
        <w:tab/>
        <w:t xml:space="preserve">A.  </w:t>
      </w:r>
      <w:r>
        <w:rPr>
          <w:bCs/>
        </w:rPr>
        <w:tab/>
      </w:r>
      <w:r w:rsidR="002543B2">
        <w:rPr>
          <w:bCs/>
        </w:rPr>
        <w:t>Yes</w:t>
      </w:r>
      <w:r>
        <w:rPr>
          <w:bCs/>
        </w:rPr>
        <w:t>.  High use customers clearly subsidize low use customers as it relates to covering the fixed costs of service.  One clear example to demonstrate this is to think of customers who have a second home or vacation home in the Company’s service territory.  The fixed costs to serve these customers are not necessarily different than a “traditional” customer who lives in their home year-round.  However, if a customer’s electric usage only occurs in a few months of the year, they are clearly being subsidized by traditional customers who have higher usage (and higher fixed cost charges recovered through the volumetric rate).</w:t>
      </w:r>
    </w:p>
    <w:p w:rsidR="004D1B1A" w:rsidRPr="00386952" w:rsidRDefault="004D1B1A" w:rsidP="004D1B1A">
      <w:pPr>
        <w:pStyle w:val="BodyText2"/>
        <w:tabs>
          <w:tab w:val="left" w:pos="720"/>
          <w:tab w:val="left" w:pos="1440"/>
        </w:tabs>
        <w:rPr>
          <w:b/>
          <w:bCs/>
        </w:rPr>
      </w:pPr>
      <w:r>
        <w:rPr>
          <w:bCs/>
        </w:rPr>
        <w:tab/>
      </w:r>
      <w:r w:rsidRPr="00386952">
        <w:rPr>
          <w:b/>
          <w:bCs/>
        </w:rPr>
        <w:t>Q.</w:t>
      </w:r>
      <w:r w:rsidRPr="00386952">
        <w:rPr>
          <w:b/>
          <w:bCs/>
        </w:rPr>
        <w:tab/>
        <w:t>Please discuss your view of the impacts of this request on your limited income customers.</w:t>
      </w:r>
    </w:p>
    <w:p w:rsidR="004D1B1A" w:rsidRDefault="004D1B1A" w:rsidP="004D1B1A">
      <w:pPr>
        <w:pStyle w:val="BodyText2"/>
        <w:tabs>
          <w:tab w:val="left" w:pos="720"/>
          <w:tab w:val="left" w:pos="1440"/>
        </w:tabs>
        <w:rPr>
          <w:bCs/>
        </w:rPr>
      </w:pPr>
      <w:r>
        <w:rPr>
          <w:bCs/>
        </w:rPr>
        <w:tab/>
        <w:t xml:space="preserve">A.  There are two different implications of the Company’s proposal.  The first implication is for </w:t>
      </w:r>
      <w:r w:rsidRPr="00B20F7D">
        <w:rPr>
          <w:bCs/>
          <w:u w:val="single"/>
        </w:rPr>
        <w:t>limited income electric customers</w:t>
      </w:r>
      <w:r>
        <w:rPr>
          <w:bCs/>
        </w:rPr>
        <w:t xml:space="preserve">, many whom would </w:t>
      </w:r>
      <w:r w:rsidRPr="00ED2F2B">
        <w:rPr>
          <w:bCs/>
          <w:u w:val="single"/>
        </w:rPr>
        <w:t>benefit</w:t>
      </w:r>
      <w:r>
        <w:rPr>
          <w:bCs/>
        </w:rPr>
        <w:t xml:space="preserve"> from the Company’s proposal.  Traditional thinking might lead one to believe that a low income electric customer would tend to be a low user of electricity.  Although the Company has not conducted a demographic survey of its customers in recent years, the limited data that we do have would suggest that just the opposite is true.  </w:t>
      </w:r>
    </w:p>
    <w:p w:rsidR="004D1B1A" w:rsidRDefault="004D1B1A" w:rsidP="004D1B1A">
      <w:pPr>
        <w:pStyle w:val="BodyText2"/>
        <w:tabs>
          <w:tab w:val="left" w:pos="720"/>
          <w:tab w:val="left" w:pos="1440"/>
        </w:tabs>
        <w:rPr>
          <w:bCs/>
        </w:rPr>
      </w:pPr>
      <w:r>
        <w:rPr>
          <w:bCs/>
        </w:rPr>
        <w:tab/>
        <w:t xml:space="preserve">A majority of our customers have natural gas for space and water heating, and therefore </w:t>
      </w:r>
      <w:r w:rsidR="005A10A8">
        <w:rPr>
          <w:bCs/>
        </w:rPr>
        <w:t xml:space="preserve">may </w:t>
      </w:r>
      <w:r>
        <w:rPr>
          <w:bCs/>
        </w:rPr>
        <w:t>have low average electric usage</w:t>
      </w:r>
      <w:r w:rsidR="00DB780C">
        <w:rPr>
          <w:bCs/>
        </w:rPr>
        <w:t xml:space="preserve"> during the winter</w:t>
      </w:r>
      <w:r>
        <w:rPr>
          <w:bCs/>
        </w:rPr>
        <w:t xml:space="preserve">.  However, </w:t>
      </w:r>
      <w:r w:rsidR="00EB082C">
        <w:rPr>
          <w:bCs/>
        </w:rPr>
        <w:t xml:space="preserve">many </w:t>
      </w:r>
      <w:r w:rsidRPr="005A10A8">
        <w:rPr>
          <w:bCs/>
          <w:u w:val="single"/>
        </w:rPr>
        <w:t>low income</w:t>
      </w:r>
      <w:r>
        <w:rPr>
          <w:bCs/>
        </w:rPr>
        <w:t xml:space="preserve"> customers, I believe, tend to still </w:t>
      </w:r>
      <w:r w:rsidRPr="00B20F7D">
        <w:rPr>
          <w:bCs/>
          <w:u w:val="single"/>
        </w:rPr>
        <w:t>use electricity for space and water heating</w:t>
      </w:r>
      <w:r>
        <w:rPr>
          <w:bCs/>
        </w:rPr>
        <w:t xml:space="preserve">.  These customers, in my view, tend to live in apartments (which in Avista’s service territory predominantly have electric space and water heat), live in areas where natural gas is not available, or live in areas with natural gas, but cannot afford to convert.  These </w:t>
      </w:r>
      <w:r w:rsidR="005A10A8">
        <w:rPr>
          <w:bCs/>
        </w:rPr>
        <w:t xml:space="preserve">low income </w:t>
      </w:r>
      <w:r>
        <w:rPr>
          <w:bCs/>
        </w:rPr>
        <w:lastRenderedPageBreak/>
        <w:t xml:space="preserve">customers, with </w:t>
      </w:r>
      <w:r w:rsidR="005A10A8">
        <w:rPr>
          <w:bCs/>
        </w:rPr>
        <w:t>electric space and water heat, can</w:t>
      </w:r>
      <w:r>
        <w:rPr>
          <w:bCs/>
        </w:rPr>
        <w:t xml:space="preserve"> have </w:t>
      </w:r>
      <w:r w:rsidR="005A10A8">
        <w:rPr>
          <w:bCs/>
        </w:rPr>
        <w:t xml:space="preserve">electric </w:t>
      </w:r>
      <w:r>
        <w:rPr>
          <w:bCs/>
        </w:rPr>
        <w:t xml:space="preserve">usage in the tail-block (above 1,300 kWh’s) during the winter </w:t>
      </w:r>
      <w:r w:rsidR="005A10A8">
        <w:rPr>
          <w:bCs/>
        </w:rPr>
        <w:t xml:space="preserve">months.  </w:t>
      </w:r>
      <w:r>
        <w:rPr>
          <w:bCs/>
        </w:rPr>
        <w:t>Having a lower basic charge and higher tail-block rate penalizes these customers</w:t>
      </w:r>
      <w:r w:rsidR="005A10A8">
        <w:rPr>
          <w:bCs/>
        </w:rPr>
        <w:t>, as these customers are more susceptible to use in the tail-block</w:t>
      </w:r>
      <w:r>
        <w:rPr>
          <w:bCs/>
        </w:rPr>
        <w:t>.  A higher basic charge</w:t>
      </w:r>
      <w:r w:rsidR="005A10A8">
        <w:rPr>
          <w:bCs/>
        </w:rPr>
        <w:t>, on the other hand,</w:t>
      </w:r>
      <w:r>
        <w:rPr>
          <w:bCs/>
        </w:rPr>
        <w:t xml:space="preserve"> would result in lower volumetric rates</w:t>
      </w:r>
      <w:r w:rsidR="005A10A8">
        <w:rPr>
          <w:bCs/>
        </w:rPr>
        <w:t xml:space="preserve"> (than they otherwise would be</w:t>
      </w:r>
      <w:r w:rsidR="00EB082C">
        <w:rPr>
          <w:bCs/>
        </w:rPr>
        <w:t xml:space="preserve"> the case</w:t>
      </w:r>
      <w:r w:rsidR="005A10A8">
        <w:rPr>
          <w:bCs/>
        </w:rPr>
        <w:t>), providing some rel</w:t>
      </w:r>
      <w:r w:rsidR="00DB780C">
        <w:rPr>
          <w:bCs/>
        </w:rPr>
        <w:t>ief to these high use customers during the winter months.</w:t>
      </w:r>
    </w:p>
    <w:p w:rsidR="004D1B1A" w:rsidRPr="00B20F7D" w:rsidRDefault="004D1B1A" w:rsidP="004D1B1A">
      <w:pPr>
        <w:pStyle w:val="BodyText2"/>
        <w:tabs>
          <w:tab w:val="left" w:pos="720"/>
          <w:tab w:val="left" w:pos="1440"/>
        </w:tabs>
        <w:rPr>
          <w:bCs/>
        </w:rPr>
      </w:pPr>
      <w:r>
        <w:rPr>
          <w:b/>
          <w:bCs/>
        </w:rPr>
        <w:tab/>
      </w:r>
      <w:r w:rsidRPr="00386952">
        <w:rPr>
          <w:b/>
          <w:bCs/>
        </w:rPr>
        <w:t>Q.</w:t>
      </w:r>
      <w:r w:rsidRPr="00386952">
        <w:rPr>
          <w:b/>
          <w:bCs/>
        </w:rPr>
        <w:tab/>
      </w:r>
      <w:r>
        <w:rPr>
          <w:b/>
          <w:bCs/>
        </w:rPr>
        <w:t>What are the implications for limited income natural gas customers?</w:t>
      </w:r>
    </w:p>
    <w:p w:rsidR="0028794F" w:rsidRPr="0028794F" w:rsidRDefault="004D1B1A" w:rsidP="0028794F">
      <w:pPr>
        <w:pStyle w:val="BodyText2"/>
        <w:tabs>
          <w:tab w:val="left" w:pos="720"/>
          <w:tab w:val="left" w:pos="1440"/>
        </w:tabs>
        <w:rPr>
          <w:bCs/>
        </w:rPr>
      </w:pPr>
      <w:r>
        <w:rPr>
          <w:bCs/>
        </w:rPr>
        <w:tab/>
        <w:t xml:space="preserve">A.  </w:t>
      </w:r>
      <w:r>
        <w:rPr>
          <w:bCs/>
        </w:rPr>
        <w:tab/>
      </w:r>
      <w:r w:rsidR="001121FA">
        <w:rPr>
          <w:bCs/>
        </w:rPr>
        <w:t>Average use l</w:t>
      </w:r>
      <w:r>
        <w:rPr>
          <w:bCs/>
        </w:rPr>
        <w:t>imited income natural gas customers</w:t>
      </w:r>
      <w:r w:rsidR="001121FA">
        <w:rPr>
          <w:bCs/>
        </w:rPr>
        <w:t xml:space="preserve"> </w:t>
      </w:r>
      <w:r>
        <w:rPr>
          <w:bCs/>
        </w:rPr>
        <w:t>would tend to pay slightly higher natural gas bills than they would under the equal percentage methodology used by the Company as shown in the examples earlier in my testimony.  Data gathered as part of the review of the Company’s natural gas Decoupling Mechanism showed that limited income natural gas customers tend to use slightly less natural gas (58 therms per month</w:t>
      </w:r>
      <w:r>
        <w:rPr>
          <w:rStyle w:val="FootnoteReference"/>
          <w:bCs/>
        </w:rPr>
        <w:footnoteReference w:id="11"/>
      </w:r>
      <w:r>
        <w:rPr>
          <w:bCs/>
        </w:rPr>
        <w:t>) than the traditional residential customer (69 therms per month).  As shown in the table below, while there is an im</w:t>
      </w:r>
      <w:r w:rsidRPr="00181BA3">
        <w:rPr>
          <w:bCs/>
        </w:rPr>
        <w:t xml:space="preserve">pact, it is relatively </w:t>
      </w:r>
      <w:r w:rsidRPr="008A6B2D">
        <w:rPr>
          <w:bCs/>
          <w:u w:val="single"/>
        </w:rPr>
        <w:t>small</w:t>
      </w:r>
      <w:r w:rsidRPr="00181BA3">
        <w:rPr>
          <w:bCs/>
        </w:rPr>
        <w:t xml:space="preserve"> both on a dollar and percentage basis</w:t>
      </w:r>
      <w:r w:rsidR="002543B2">
        <w:rPr>
          <w:bCs/>
        </w:rPr>
        <w:t xml:space="preserve"> (between 0% and 1.1%)</w:t>
      </w:r>
      <w:r w:rsidRPr="00181BA3">
        <w:rPr>
          <w:bCs/>
        </w:rPr>
        <w:t>.</w:t>
      </w:r>
    </w:p>
    <w:p w:rsidR="004D1B1A" w:rsidRPr="006D00BD" w:rsidRDefault="002543B2" w:rsidP="00AB59BB">
      <w:pPr>
        <w:pStyle w:val="BodyText2"/>
        <w:tabs>
          <w:tab w:val="left" w:pos="810"/>
          <w:tab w:val="left" w:pos="1440"/>
        </w:tabs>
        <w:jc w:val="left"/>
        <w:outlineLvl w:val="0"/>
        <w:rPr>
          <w:b/>
          <w:bCs/>
          <w:u w:val="single"/>
        </w:rPr>
      </w:pPr>
      <w:r>
        <w:rPr>
          <w:b/>
          <w:bCs/>
          <w:noProof/>
          <w:u w:val="single"/>
        </w:rPr>
        <w:drawing>
          <wp:anchor distT="0" distB="0" distL="114300" distR="114300" simplePos="0" relativeHeight="251680256" behindDoc="1" locked="0" layoutInCell="1" allowOverlap="1">
            <wp:simplePos x="0" y="0"/>
            <wp:positionH relativeFrom="column">
              <wp:posOffset>22708</wp:posOffset>
            </wp:positionH>
            <wp:positionV relativeFrom="paragraph">
              <wp:posOffset>301777</wp:posOffset>
            </wp:positionV>
            <wp:extent cx="5582488" cy="2011680"/>
            <wp:effectExtent l="1905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582488" cy="2011680"/>
                    </a:xfrm>
                    <a:prstGeom prst="rect">
                      <a:avLst/>
                    </a:prstGeom>
                    <a:noFill/>
                    <a:ln w="9525">
                      <a:noFill/>
                      <a:miter lim="800000"/>
                      <a:headEnd/>
                      <a:tailEnd/>
                    </a:ln>
                  </pic:spPr>
                </pic:pic>
              </a:graphicData>
            </a:graphic>
          </wp:anchor>
        </w:drawing>
      </w:r>
      <w:r w:rsidR="004D1B1A" w:rsidRPr="00AB59BB">
        <w:rPr>
          <w:b/>
          <w:bCs/>
          <w:u w:val="single"/>
        </w:rPr>
        <w:t xml:space="preserve">Table </w:t>
      </w:r>
      <w:r w:rsidR="00F17ED7" w:rsidRPr="00AB59BB">
        <w:rPr>
          <w:b/>
          <w:bCs/>
          <w:u w:val="single"/>
        </w:rPr>
        <w:t>13</w:t>
      </w:r>
    </w:p>
    <w:p w:rsidR="004D1B1A" w:rsidRPr="00181BA3" w:rsidRDefault="004D1B1A" w:rsidP="00EB1E66">
      <w:pPr>
        <w:pStyle w:val="BodyText2"/>
        <w:tabs>
          <w:tab w:val="left" w:pos="810"/>
          <w:tab w:val="left" w:pos="1440"/>
        </w:tabs>
        <w:rPr>
          <w:bCs/>
        </w:rPr>
      </w:pPr>
    </w:p>
    <w:p w:rsidR="004D1B1A" w:rsidRPr="00181BA3" w:rsidRDefault="004D1B1A" w:rsidP="00EB1E66">
      <w:pPr>
        <w:pStyle w:val="BodyText2"/>
        <w:tabs>
          <w:tab w:val="left" w:pos="810"/>
          <w:tab w:val="left" w:pos="1440"/>
        </w:tabs>
        <w:rPr>
          <w:bCs/>
        </w:rPr>
      </w:pPr>
    </w:p>
    <w:p w:rsidR="004D1B1A" w:rsidRPr="00181BA3" w:rsidRDefault="004D1B1A" w:rsidP="00EB1E66">
      <w:pPr>
        <w:spacing w:line="480" w:lineRule="auto"/>
      </w:pPr>
    </w:p>
    <w:p w:rsidR="00EB1E66" w:rsidRDefault="004D1B1A" w:rsidP="00EB1E66">
      <w:pPr>
        <w:pStyle w:val="BodyText2"/>
        <w:tabs>
          <w:tab w:val="left" w:pos="720"/>
          <w:tab w:val="left" w:pos="1440"/>
        </w:tabs>
        <w:rPr>
          <w:b/>
          <w:bCs/>
        </w:rPr>
      </w:pPr>
      <w:r w:rsidRPr="00181BA3">
        <w:rPr>
          <w:b/>
          <w:bCs/>
        </w:rPr>
        <w:tab/>
      </w:r>
    </w:p>
    <w:p w:rsidR="00EB1E66" w:rsidRDefault="00EB1E66" w:rsidP="00EB1E66">
      <w:pPr>
        <w:pStyle w:val="BodyText2"/>
        <w:tabs>
          <w:tab w:val="left" w:pos="720"/>
          <w:tab w:val="left" w:pos="1440"/>
        </w:tabs>
        <w:rPr>
          <w:b/>
          <w:bCs/>
        </w:rPr>
      </w:pPr>
    </w:p>
    <w:p w:rsidR="002543B2" w:rsidRDefault="00EB1E66" w:rsidP="00EB1E66">
      <w:pPr>
        <w:pStyle w:val="BodyText2"/>
        <w:tabs>
          <w:tab w:val="left" w:pos="720"/>
          <w:tab w:val="left" w:pos="1440"/>
        </w:tabs>
        <w:rPr>
          <w:b/>
          <w:bCs/>
        </w:rPr>
      </w:pPr>
      <w:r>
        <w:rPr>
          <w:b/>
          <w:bCs/>
        </w:rPr>
        <w:tab/>
      </w:r>
    </w:p>
    <w:p w:rsidR="004D1B1A" w:rsidRDefault="002543B2" w:rsidP="00EB1E66">
      <w:pPr>
        <w:pStyle w:val="BodyText2"/>
        <w:tabs>
          <w:tab w:val="left" w:pos="720"/>
          <w:tab w:val="left" w:pos="1440"/>
        </w:tabs>
        <w:rPr>
          <w:bCs/>
        </w:rPr>
      </w:pPr>
      <w:r>
        <w:rPr>
          <w:b/>
          <w:bCs/>
        </w:rPr>
        <w:lastRenderedPageBreak/>
        <w:tab/>
      </w:r>
      <w:r w:rsidR="004D1B1A" w:rsidRPr="00181BA3">
        <w:rPr>
          <w:b/>
          <w:bCs/>
        </w:rPr>
        <w:t>Q.</w:t>
      </w:r>
      <w:r w:rsidR="004D1B1A" w:rsidRPr="00181BA3">
        <w:rPr>
          <w:b/>
          <w:bCs/>
        </w:rPr>
        <w:tab/>
      </w:r>
      <w:r w:rsidR="004D1B1A">
        <w:rPr>
          <w:b/>
          <w:bCs/>
        </w:rPr>
        <w:t>Has the Company done any recent research with regard to the limited income customers it serves?</w:t>
      </w:r>
      <w:r w:rsidR="004D1B1A" w:rsidRPr="00181BA3">
        <w:rPr>
          <w:bCs/>
        </w:rPr>
        <w:tab/>
      </w:r>
    </w:p>
    <w:p w:rsidR="004D1B1A" w:rsidRPr="00181BA3" w:rsidRDefault="004D1B1A" w:rsidP="00EB1E66">
      <w:pPr>
        <w:pStyle w:val="BodyText2"/>
        <w:tabs>
          <w:tab w:val="left" w:pos="720"/>
          <w:tab w:val="left" w:pos="1440"/>
        </w:tabs>
        <w:rPr>
          <w:bCs/>
        </w:rPr>
      </w:pPr>
      <w:r>
        <w:rPr>
          <w:bCs/>
        </w:rPr>
        <w:tab/>
      </w:r>
      <w:r w:rsidRPr="00181BA3">
        <w:rPr>
          <w:bCs/>
        </w:rPr>
        <w:t>A.</w:t>
      </w:r>
      <w:r w:rsidRPr="00181BA3">
        <w:rPr>
          <w:bCs/>
        </w:rPr>
        <w:tab/>
      </w:r>
      <w:r>
        <w:rPr>
          <w:bCs/>
        </w:rPr>
        <w:t xml:space="preserve">Yes.  </w:t>
      </w:r>
      <w:r w:rsidRPr="00181BA3">
        <w:rPr>
          <w:bCs/>
        </w:rPr>
        <w:t xml:space="preserve">In 2009, Avista commissioned a study by the Institute for Public Policy and Economic Analysis at </w:t>
      </w:r>
      <w:smartTag w:uri="urn:schemas-microsoft-com:office:smarttags" w:element="place">
        <w:smartTag w:uri="urn:schemas-microsoft-com:office:smarttags" w:element="PlaceName">
          <w:r w:rsidRPr="00181BA3">
            <w:rPr>
              <w:bCs/>
            </w:rPr>
            <w:t>Eastern</w:t>
          </w:r>
        </w:smartTag>
        <w:r w:rsidRPr="00181BA3">
          <w:rPr>
            <w:bCs/>
          </w:rPr>
          <w:t xml:space="preserve"> </w:t>
        </w:r>
        <w:smartTag w:uri="urn:schemas-microsoft-com:office:smarttags" w:element="PlaceName">
          <w:r w:rsidRPr="00181BA3">
            <w:rPr>
              <w:bCs/>
            </w:rPr>
            <w:t>Washington</w:t>
          </w:r>
        </w:smartTag>
        <w:r w:rsidRPr="00181BA3">
          <w:rPr>
            <w:bCs/>
          </w:rPr>
          <w:t xml:space="preserve"> </w:t>
        </w:r>
        <w:smartTag w:uri="urn:schemas-microsoft-com:office:smarttags" w:element="PlaceType">
          <w:r w:rsidRPr="00181BA3">
            <w:rPr>
              <w:bCs/>
            </w:rPr>
            <w:t>University</w:t>
          </w:r>
        </w:smartTag>
      </w:smartTag>
      <w:r w:rsidRPr="00181BA3">
        <w:rPr>
          <w:bCs/>
        </w:rPr>
        <w:t xml:space="preserve">.  The purpose of the study was “Assessing Heating Assistance Programs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w:t>
      </w:r>
      <w:r>
        <w:rPr>
          <w:rStyle w:val="FootnoteReference"/>
          <w:bCs/>
        </w:rPr>
        <w:footnoteReference w:id="12"/>
      </w:r>
      <w:r w:rsidRPr="00181BA3">
        <w:rPr>
          <w:bCs/>
        </w:rPr>
        <w:t xml:space="preserve"> </w:t>
      </w:r>
      <w:r w:rsidR="00DB02B8">
        <w:rPr>
          <w:bCs/>
        </w:rPr>
        <w:t xml:space="preserve"> A copy of this study appears as Exhibit No.___(</w:t>
      </w:r>
      <w:proofErr w:type="spellStart"/>
      <w:r w:rsidR="00DB02B8">
        <w:rPr>
          <w:bCs/>
        </w:rPr>
        <w:t>DFK</w:t>
      </w:r>
      <w:proofErr w:type="spellEnd"/>
      <w:r w:rsidR="00DB02B8">
        <w:rPr>
          <w:bCs/>
        </w:rPr>
        <w:t>-3) to Mr. Kopczynski</w:t>
      </w:r>
      <w:r w:rsidRPr="00181BA3">
        <w:rPr>
          <w:bCs/>
        </w:rPr>
        <w:t xml:space="preserve"> As noted in t</w:t>
      </w:r>
      <w:r>
        <w:rPr>
          <w:bCs/>
        </w:rPr>
        <w:t xml:space="preserve">hat report, the </w:t>
      </w:r>
      <w:r w:rsidRPr="00181BA3">
        <w:rPr>
          <w:bCs/>
        </w:rPr>
        <w:t>study examine</w:t>
      </w:r>
      <w:r>
        <w:rPr>
          <w:bCs/>
        </w:rPr>
        <w:t>d</w:t>
      </w:r>
      <w:r w:rsidRPr="00181BA3">
        <w:rPr>
          <w:bCs/>
        </w:rPr>
        <w:t xml:space="preserve"> </w:t>
      </w:r>
      <w:r>
        <w:rPr>
          <w:bCs/>
        </w:rPr>
        <w:t>“</w:t>
      </w:r>
      <w:r w:rsidRPr="00181BA3">
        <w:rPr>
          <w:bCs/>
        </w:rPr>
        <w:t xml:space="preserve">the recent experience of the two largest heating assistance programs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 the federal Low Income H</w:t>
      </w:r>
      <w:r w:rsidR="00EB082C">
        <w:rPr>
          <w:bCs/>
        </w:rPr>
        <w:t>ome</w:t>
      </w:r>
      <w:r w:rsidRPr="00181BA3">
        <w:rPr>
          <w:bCs/>
        </w:rPr>
        <w:t xml:space="preserve"> Energy Assistance Program (</w:t>
      </w:r>
      <w:proofErr w:type="spellStart"/>
      <w:r w:rsidRPr="00181BA3">
        <w:rPr>
          <w:bCs/>
        </w:rPr>
        <w:t>LIHEAP</w:t>
      </w:r>
      <w:proofErr w:type="spellEnd"/>
      <w:r>
        <w:rPr>
          <w:bCs/>
        </w:rPr>
        <w:t>)</w:t>
      </w:r>
      <w:r w:rsidRPr="00181BA3">
        <w:rPr>
          <w:bCs/>
        </w:rPr>
        <w:t xml:space="preserve"> and the Avista Utilities-funded Low Income Rate Assistance Program (</w:t>
      </w:r>
      <w:proofErr w:type="spellStart"/>
      <w:r w:rsidRPr="00181BA3">
        <w:rPr>
          <w:bCs/>
        </w:rPr>
        <w:t>LIRAP</w:t>
      </w:r>
      <w:proofErr w:type="spellEnd"/>
      <w:r w:rsidRPr="00181BA3">
        <w:rPr>
          <w:bCs/>
        </w:rPr>
        <w:t xml:space="preserve">).  The study’s central goal </w:t>
      </w:r>
      <w:r>
        <w:rPr>
          <w:bCs/>
        </w:rPr>
        <w:t>(was)</w:t>
      </w:r>
      <w:r w:rsidRPr="00181BA3">
        <w:rPr>
          <w:bCs/>
        </w:rPr>
        <w:t xml:space="preserve"> to assess the reach of these programs among the eligible population.”</w:t>
      </w:r>
      <w:r>
        <w:rPr>
          <w:rStyle w:val="FootnoteReference"/>
          <w:bCs/>
        </w:rPr>
        <w:footnoteReference w:id="13"/>
      </w:r>
      <w:r w:rsidRPr="00181BA3">
        <w:rPr>
          <w:bCs/>
        </w:rPr>
        <w:t xml:space="preserve">  The study had the following </w:t>
      </w:r>
      <w:r>
        <w:rPr>
          <w:bCs/>
        </w:rPr>
        <w:t xml:space="preserve">key </w:t>
      </w:r>
      <w:r w:rsidRPr="00181BA3">
        <w:rPr>
          <w:bCs/>
        </w:rPr>
        <w:t>findings:</w:t>
      </w:r>
    </w:p>
    <w:p w:rsidR="004D1B1A" w:rsidRDefault="004D1B1A" w:rsidP="004D1B1A">
      <w:pPr>
        <w:pStyle w:val="BodyText2"/>
        <w:numPr>
          <w:ilvl w:val="0"/>
          <w:numId w:val="39"/>
        </w:numPr>
        <w:tabs>
          <w:tab w:val="left" w:pos="810"/>
          <w:tab w:val="left" w:pos="1440"/>
        </w:tabs>
        <w:spacing w:line="240" w:lineRule="auto"/>
        <w:rPr>
          <w:bCs/>
        </w:rPr>
      </w:pPr>
      <w:r w:rsidRPr="00D71141">
        <w:rPr>
          <w:bCs/>
        </w:rPr>
        <w:t xml:space="preserve">The average heating burden (heating costs divided by total household income) for a household in the </w:t>
      </w:r>
      <w:smartTag w:uri="urn:schemas-microsoft-com:office:smarttags" w:element="country-region">
        <w:smartTag w:uri="urn:schemas-microsoft-com:office:smarttags" w:element="place">
          <w:r w:rsidRPr="00D71141">
            <w:rPr>
              <w:bCs/>
            </w:rPr>
            <w:t>US</w:t>
          </w:r>
        </w:smartTag>
      </w:smartTag>
      <w:r w:rsidRPr="00D71141">
        <w:rPr>
          <w:bCs/>
        </w:rPr>
        <w:t xml:space="preserve"> is 1.3%.</w:t>
      </w:r>
      <w:r>
        <w:rPr>
          <w:rStyle w:val="FootnoteReference"/>
          <w:bCs/>
        </w:rPr>
        <w:footnoteReference w:id="14"/>
      </w:r>
      <w:r w:rsidRPr="00D71141">
        <w:rPr>
          <w:bCs/>
        </w:rPr>
        <w:t xml:space="preserve"> </w:t>
      </w:r>
    </w:p>
    <w:p w:rsidR="004D1B1A" w:rsidRPr="00D71141" w:rsidRDefault="004D1B1A" w:rsidP="004D1B1A">
      <w:pPr>
        <w:pStyle w:val="BodyText2"/>
        <w:numPr>
          <w:ilvl w:val="0"/>
          <w:numId w:val="39"/>
        </w:numPr>
        <w:tabs>
          <w:tab w:val="left" w:pos="810"/>
          <w:tab w:val="left" w:pos="1440"/>
        </w:tabs>
        <w:spacing w:line="240" w:lineRule="auto"/>
        <w:rPr>
          <w:bCs/>
        </w:rPr>
      </w:pPr>
      <w:r w:rsidRPr="00D71141">
        <w:rPr>
          <w:bCs/>
        </w:rPr>
        <w:t xml:space="preserve">The average heating burden for households in </w:t>
      </w:r>
      <w:smartTag w:uri="urn:schemas-microsoft-com:office:smarttags" w:element="PlaceName">
        <w:r w:rsidRPr="00D71141">
          <w:rPr>
            <w:bCs/>
          </w:rPr>
          <w:t>Spokane</w:t>
        </w:r>
      </w:smartTag>
      <w:r w:rsidRPr="00D71141">
        <w:rPr>
          <w:bCs/>
        </w:rPr>
        <w:t xml:space="preserve"> </w:t>
      </w:r>
      <w:smartTag w:uri="urn:schemas-microsoft-com:office:smarttags" w:element="PlaceType">
        <w:r w:rsidRPr="00D71141">
          <w:rPr>
            <w:bCs/>
          </w:rPr>
          <w:t>County</w:t>
        </w:r>
      </w:smartTag>
      <w:r w:rsidRPr="00D71141">
        <w:rPr>
          <w:bCs/>
        </w:rPr>
        <w:t xml:space="preserve"> is 1.4%, very close to the </w:t>
      </w:r>
      <w:smartTag w:uri="urn:schemas-microsoft-com:office:smarttags" w:element="country-region">
        <w:smartTag w:uri="urn:schemas-microsoft-com:office:smarttags" w:element="place">
          <w:r w:rsidRPr="00D71141">
            <w:rPr>
              <w:bCs/>
            </w:rPr>
            <w:t>US</w:t>
          </w:r>
        </w:smartTag>
      </w:smartTag>
      <w:r w:rsidRPr="00D71141">
        <w:rPr>
          <w:bCs/>
        </w:rPr>
        <w:t xml:space="preserve"> average.</w:t>
      </w:r>
      <w:r>
        <w:rPr>
          <w:rStyle w:val="FootnoteReference"/>
          <w:bCs/>
        </w:rPr>
        <w:footnoteReference w:id="15"/>
      </w:r>
      <w:r>
        <w:rPr>
          <w:bCs/>
        </w:rPr>
        <w:t xml:space="preserve">  </w:t>
      </w:r>
    </w:p>
    <w:p w:rsidR="004D1B1A" w:rsidRPr="00181BA3" w:rsidRDefault="004D1B1A" w:rsidP="004D1B1A">
      <w:pPr>
        <w:pStyle w:val="BodyText2"/>
        <w:numPr>
          <w:ilvl w:val="0"/>
          <w:numId w:val="39"/>
        </w:numPr>
        <w:tabs>
          <w:tab w:val="left" w:pos="810"/>
          <w:tab w:val="left" w:pos="1440"/>
        </w:tabs>
        <w:spacing w:line="240" w:lineRule="auto"/>
        <w:rPr>
          <w:bCs/>
        </w:rPr>
      </w:pPr>
      <w:r w:rsidRPr="00181BA3">
        <w:rPr>
          <w:bCs/>
        </w:rPr>
        <w:t xml:space="preserve">The average </w:t>
      </w:r>
      <w:r w:rsidRPr="00181BA3">
        <w:rPr>
          <w:bCs/>
          <w:u w:val="single"/>
        </w:rPr>
        <w:t>gross</w:t>
      </w:r>
      <w:r w:rsidRPr="00181BA3">
        <w:rPr>
          <w:bCs/>
        </w:rPr>
        <w:t xml:space="preserve"> heating burden for low-income customers (defined as those customers assisted by Spokane Neighborhood Action Programs, or SNAP, which uses the 125% of the federal poverty guideline) is 6.1%.</w:t>
      </w:r>
      <w:r>
        <w:rPr>
          <w:rStyle w:val="FootnoteReference"/>
          <w:bCs/>
        </w:rPr>
        <w:footnoteReference w:id="16"/>
      </w:r>
      <w:r>
        <w:rPr>
          <w:bCs/>
        </w:rPr>
        <w:t xml:space="preserve">  </w:t>
      </w:r>
      <w:r w:rsidRPr="00181BA3">
        <w:rPr>
          <w:bCs/>
        </w:rPr>
        <w:t xml:space="preserve"> </w:t>
      </w:r>
    </w:p>
    <w:p w:rsidR="004D1B1A" w:rsidRDefault="004D1B1A" w:rsidP="004D1B1A">
      <w:pPr>
        <w:pStyle w:val="BodyText2"/>
        <w:numPr>
          <w:ilvl w:val="0"/>
          <w:numId w:val="39"/>
        </w:numPr>
        <w:tabs>
          <w:tab w:val="left" w:pos="810"/>
          <w:tab w:val="left" w:pos="1440"/>
        </w:tabs>
        <w:spacing w:line="240" w:lineRule="auto"/>
        <w:rPr>
          <w:bCs/>
        </w:rPr>
      </w:pPr>
      <w:r w:rsidRPr="00181BA3">
        <w:rPr>
          <w:bCs/>
        </w:rPr>
        <w:t xml:space="preserve">The average </w:t>
      </w:r>
      <w:r w:rsidRPr="00C964E8">
        <w:rPr>
          <w:bCs/>
          <w:u w:val="single"/>
        </w:rPr>
        <w:t>net</w:t>
      </w:r>
      <w:r w:rsidRPr="00181BA3">
        <w:rPr>
          <w:bCs/>
        </w:rPr>
        <w:t xml:space="preserve"> heating burden for low-income customers</w:t>
      </w:r>
      <w:r>
        <w:rPr>
          <w:bCs/>
        </w:rPr>
        <w:t>, assisted by SNAP,</w:t>
      </w:r>
      <w:r w:rsidRPr="00181BA3">
        <w:rPr>
          <w:bCs/>
        </w:rPr>
        <w:t xml:space="preserve"> is 1.4% (net being defined as heating costs less energy grants, divided by total income).</w:t>
      </w:r>
      <w:r>
        <w:rPr>
          <w:rStyle w:val="FootnoteReference"/>
          <w:bCs/>
        </w:rPr>
        <w:footnoteReference w:id="17"/>
      </w:r>
      <w:r>
        <w:rPr>
          <w:bCs/>
        </w:rPr>
        <w:t xml:space="preserve">  </w:t>
      </w:r>
    </w:p>
    <w:p w:rsidR="004D1B1A" w:rsidRPr="00181BA3" w:rsidRDefault="004D1B1A" w:rsidP="004D1B1A">
      <w:pPr>
        <w:pStyle w:val="BodyText2"/>
        <w:numPr>
          <w:ilvl w:val="0"/>
          <w:numId w:val="39"/>
        </w:numPr>
        <w:tabs>
          <w:tab w:val="left" w:pos="810"/>
          <w:tab w:val="left" w:pos="1440"/>
        </w:tabs>
        <w:spacing w:line="240" w:lineRule="auto"/>
        <w:rPr>
          <w:bCs/>
        </w:rPr>
      </w:pPr>
      <w:r w:rsidRPr="00181BA3">
        <w:rPr>
          <w:bCs/>
        </w:rPr>
        <w:t>In 2009, the report shows that 30% of eligible households were assisted by SNAP.  This is much higher than the national average of 16%.</w:t>
      </w:r>
      <w:r>
        <w:rPr>
          <w:rStyle w:val="FootnoteReference"/>
          <w:bCs/>
        </w:rPr>
        <w:footnoteReference w:id="18"/>
      </w:r>
      <w:r>
        <w:rPr>
          <w:bCs/>
        </w:rPr>
        <w:t xml:space="preserve"> </w:t>
      </w:r>
    </w:p>
    <w:p w:rsidR="004D1B1A" w:rsidRPr="00181BA3" w:rsidRDefault="004D1B1A" w:rsidP="004D1B1A">
      <w:pPr>
        <w:pStyle w:val="BodyText2"/>
        <w:tabs>
          <w:tab w:val="left" w:pos="810"/>
          <w:tab w:val="left" w:pos="1440"/>
        </w:tabs>
        <w:spacing w:line="240" w:lineRule="auto"/>
        <w:ind w:left="1080"/>
        <w:rPr>
          <w:bCs/>
        </w:rPr>
      </w:pPr>
    </w:p>
    <w:p w:rsidR="004D1B1A" w:rsidRPr="00181BA3" w:rsidRDefault="004D1B1A" w:rsidP="004D1B1A">
      <w:pPr>
        <w:pStyle w:val="BodyText2"/>
        <w:tabs>
          <w:tab w:val="left" w:pos="810"/>
          <w:tab w:val="left" w:pos="1440"/>
        </w:tabs>
        <w:rPr>
          <w:bCs/>
        </w:rPr>
      </w:pPr>
      <w:r w:rsidRPr="00181BA3">
        <w:rPr>
          <w:bCs/>
        </w:rPr>
        <w:t xml:space="preserve">In short, this report </w:t>
      </w:r>
      <w:r>
        <w:rPr>
          <w:bCs/>
        </w:rPr>
        <w:t>demonstrate</w:t>
      </w:r>
      <w:r w:rsidRPr="00181BA3">
        <w:rPr>
          <w:bCs/>
        </w:rPr>
        <w:t xml:space="preserve">s that limited income customers served by SNAP have a net energy </w:t>
      </w:r>
      <w:r>
        <w:rPr>
          <w:bCs/>
        </w:rPr>
        <w:t xml:space="preserve">(heating) </w:t>
      </w:r>
      <w:r w:rsidRPr="00181BA3">
        <w:rPr>
          <w:bCs/>
        </w:rPr>
        <w:t xml:space="preserve">burden that is </w:t>
      </w:r>
      <w:r>
        <w:rPr>
          <w:bCs/>
        </w:rPr>
        <w:t>similar to</w:t>
      </w:r>
      <w:r w:rsidRPr="00181BA3">
        <w:rPr>
          <w:bCs/>
        </w:rPr>
        <w:t xml:space="preserve"> the average household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 xml:space="preserve">.  </w:t>
      </w:r>
      <w:r w:rsidRPr="00181BA3">
        <w:rPr>
          <w:bCs/>
        </w:rPr>
        <w:lastRenderedPageBreak/>
        <w:t xml:space="preserve">While a slight increase in their monthly bill may occur because of a higher </w:t>
      </w:r>
      <w:r>
        <w:rPr>
          <w:bCs/>
        </w:rPr>
        <w:t xml:space="preserve">natural gas </w:t>
      </w:r>
      <w:r w:rsidRPr="00181BA3">
        <w:rPr>
          <w:bCs/>
        </w:rPr>
        <w:t xml:space="preserve">fixed charge, this data shows that </w:t>
      </w:r>
      <w:r>
        <w:rPr>
          <w:bCs/>
        </w:rPr>
        <w:t xml:space="preserve">many limited income customers are receiving assistance to </w:t>
      </w:r>
      <w:r w:rsidRPr="00181BA3">
        <w:rPr>
          <w:bCs/>
        </w:rPr>
        <w:t>help offset increasing utility bills.</w:t>
      </w:r>
      <w:r>
        <w:rPr>
          <w:bCs/>
        </w:rPr>
        <w:t xml:space="preserve">  Further, a</w:t>
      </w:r>
      <w:r w:rsidRPr="00181BA3">
        <w:rPr>
          <w:bCs/>
        </w:rPr>
        <w:t xml:space="preserve">s discussed in Company witness Kopczynski’s testimony, the Company offers </w:t>
      </w:r>
      <w:r w:rsidR="001121FA">
        <w:rPr>
          <w:bCs/>
        </w:rPr>
        <w:t xml:space="preserve">a number of </w:t>
      </w:r>
      <w:r w:rsidRPr="00181BA3">
        <w:rPr>
          <w:bCs/>
        </w:rPr>
        <w:t xml:space="preserve">programs to help mitigate increasing rate impacts on its limited income customers.  </w:t>
      </w:r>
      <w:r>
        <w:rPr>
          <w:bCs/>
        </w:rPr>
        <w:t xml:space="preserve">Those programs include </w:t>
      </w:r>
      <w:r w:rsidRPr="00181BA3">
        <w:rPr>
          <w:bCs/>
        </w:rPr>
        <w:t>the Company’s limited income DSM offerings</w:t>
      </w:r>
      <w:r>
        <w:rPr>
          <w:bCs/>
        </w:rPr>
        <w:t xml:space="preserve">, </w:t>
      </w:r>
      <w:r w:rsidRPr="00181BA3">
        <w:rPr>
          <w:bCs/>
        </w:rPr>
        <w:t xml:space="preserve">Low Income </w:t>
      </w:r>
      <w:r>
        <w:rPr>
          <w:bCs/>
        </w:rPr>
        <w:t>Rate Assistance Program (</w:t>
      </w:r>
      <w:proofErr w:type="spellStart"/>
      <w:r>
        <w:rPr>
          <w:bCs/>
        </w:rPr>
        <w:t>LIRAP</w:t>
      </w:r>
      <w:proofErr w:type="spellEnd"/>
      <w:r>
        <w:rPr>
          <w:bCs/>
        </w:rPr>
        <w:t>), Senior Energy Assistance, and Project Share.</w:t>
      </w:r>
    </w:p>
    <w:p w:rsidR="00B632D5" w:rsidRDefault="00B632D5" w:rsidP="005A10A8">
      <w:pPr>
        <w:pStyle w:val="P267"/>
        <w:tabs>
          <w:tab w:val="clear" w:pos="360"/>
          <w:tab w:val="left" w:pos="0"/>
        </w:tabs>
        <w:ind w:left="0"/>
        <w:jc w:val="center"/>
        <w:rPr>
          <w:rFonts w:ascii="Times New Roman" w:hAnsi="Times New Roman" w:cs="Times New Roman"/>
        </w:rPr>
      </w:pPr>
    </w:p>
    <w:p w:rsidR="004F713F" w:rsidRPr="00CB3A2C" w:rsidRDefault="004F713F" w:rsidP="005A10A8">
      <w:pPr>
        <w:pStyle w:val="P267"/>
        <w:tabs>
          <w:tab w:val="clear" w:pos="360"/>
          <w:tab w:val="left" w:pos="0"/>
        </w:tabs>
        <w:ind w:left="0"/>
        <w:jc w:val="center"/>
        <w:rPr>
          <w:rFonts w:ascii="Times New Roman" w:hAnsi="Times New Roman" w:cs="Times New Roman"/>
        </w:rPr>
      </w:pPr>
      <w:r w:rsidRPr="00CB3A2C">
        <w:rPr>
          <w:rFonts w:ascii="Times New Roman" w:hAnsi="Times New Roman" w:cs="Times New Roman"/>
        </w:rPr>
        <w:t>V</w:t>
      </w:r>
      <w:r>
        <w:rPr>
          <w:rFonts w:ascii="Times New Roman" w:hAnsi="Times New Roman" w:cs="Times New Roman"/>
        </w:rPr>
        <w:t>I</w:t>
      </w:r>
      <w:r w:rsidRPr="00CB3A2C">
        <w:rPr>
          <w:rFonts w:ascii="Times New Roman" w:hAnsi="Times New Roman" w:cs="Times New Roman"/>
        </w:rPr>
        <w:t>.  DECOUPLING - RATE SCHEDULE APPLICABILITY</w:t>
      </w:r>
    </w:p>
    <w:p w:rsidR="002543B2" w:rsidRPr="0020672A" w:rsidRDefault="004F713F" w:rsidP="002543B2">
      <w:pPr>
        <w:spacing w:line="480" w:lineRule="auto"/>
        <w:ind w:firstLine="720"/>
        <w:jc w:val="both"/>
        <w:rPr>
          <w:b/>
        </w:rPr>
      </w:pPr>
      <w:r w:rsidRPr="0020672A">
        <w:rPr>
          <w:b/>
        </w:rPr>
        <w:t xml:space="preserve">Q.  </w:t>
      </w:r>
      <w:r w:rsidRPr="0020672A">
        <w:rPr>
          <w:b/>
        </w:rPr>
        <w:tab/>
      </w:r>
      <w:r w:rsidR="002543B2" w:rsidRPr="0020672A">
        <w:rPr>
          <w:b/>
        </w:rPr>
        <w:t xml:space="preserve">What is the Company’s response to </w:t>
      </w:r>
      <w:r w:rsidR="002543B2">
        <w:rPr>
          <w:b/>
        </w:rPr>
        <w:t>th</w:t>
      </w:r>
      <w:r w:rsidR="00A6021E">
        <w:rPr>
          <w:b/>
        </w:rPr>
        <w:t>e</w:t>
      </w:r>
      <w:r w:rsidR="002543B2">
        <w:rPr>
          <w:b/>
        </w:rPr>
        <w:t xml:space="preserve"> directive from the Commission in its most recent rate case to address the recovery of DSM-related lost margin from all natural gas rate schedules</w:t>
      </w:r>
      <w:r w:rsidR="002543B2" w:rsidRPr="0020672A">
        <w:rPr>
          <w:b/>
        </w:rPr>
        <w:t>?</w:t>
      </w:r>
    </w:p>
    <w:p w:rsidR="002543B2" w:rsidRPr="002543B2" w:rsidRDefault="004F713F" w:rsidP="002543B2">
      <w:pPr>
        <w:spacing w:line="480" w:lineRule="auto"/>
        <w:ind w:firstLine="720"/>
        <w:jc w:val="both"/>
      </w:pPr>
      <w:r w:rsidRPr="0020672A">
        <w:t xml:space="preserve">A.  </w:t>
      </w:r>
      <w:r w:rsidRPr="0020672A">
        <w:tab/>
      </w:r>
      <w:r w:rsidR="002543B2" w:rsidRPr="002543B2">
        <w:t>At page 119, paragraph 303 of Order 10 in UE-090134, UG-090135 &amp; UG-060518 (consolidated), the Commission stated:</w:t>
      </w:r>
    </w:p>
    <w:p w:rsidR="002543B2" w:rsidRPr="00A6021E" w:rsidRDefault="002543B2" w:rsidP="002543B2">
      <w:pPr>
        <w:ind w:left="720"/>
        <w:jc w:val="both"/>
      </w:pPr>
      <w:r w:rsidRPr="00A6021E">
        <w:t xml:space="preserve">By reducing the Company’s natural gas load, including its peak requirements, Avista’s conservation program benefits all customers.  In fact, the decoupling program includes conservation from all rate schedules in setting its targets and determining its success.  Even so, as now put in place, the program’s lost margin is only collected from Schedule 101 customers.  Following the principle of costs following benefits discussed above, we expect the parties to address whether the program should recover DSM-related lost margin from all rate schedules in Avista’s next general rate case.  </w:t>
      </w:r>
    </w:p>
    <w:p w:rsidR="002543B2" w:rsidRDefault="002543B2" w:rsidP="002543B2">
      <w:pPr>
        <w:spacing w:line="480" w:lineRule="auto"/>
        <w:ind w:left="720"/>
        <w:jc w:val="both"/>
      </w:pPr>
    </w:p>
    <w:p w:rsidR="004F713F" w:rsidRDefault="004F713F" w:rsidP="002543B2">
      <w:pPr>
        <w:spacing w:line="480" w:lineRule="auto"/>
        <w:jc w:val="both"/>
      </w:pPr>
      <w:r>
        <w:t>With regard to the</w:t>
      </w:r>
      <w:r w:rsidRPr="00FD6DF0">
        <w:t xml:space="preserve"> principle of costs following benefits</w:t>
      </w:r>
      <w:r>
        <w:t xml:space="preserve"> for Schedule 101, </w:t>
      </w:r>
      <w:r w:rsidRPr="0020672A">
        <w:t xml:space="preserve">the costs associated with these programs, specifically </w:t>
      </w:r>
      <w:r>
        <w:t xml:space="preserve">DSM </w:t>
      </w:r>
      <w:r w:rsidRPr="0020672A">
        <w:t xml:space="preserve">lost margin, </w:t>
      </w:r>
      <w:r>
        <w:t>is recovered only from Schedule 101 customer, and therefore there is alignment of costs and benefits for Schedule 101.</w:t>
      </w:r>
      <w:r w:rsidRPr="0020672A" w:rsidDel="000249AB">
        <w:t xml:space="preserve"> </w:t>
      </w:r>
    </w:p>
    <w:p w:rsidR="004F713F" w:rsidRDefault="004F713F" w:rsidP="005A10A8">
      <w:pPr>
        <w:spacing w:line="480" w:lineRule="auto"/>
        <w:ind w:firstLine="720"/>
        <w:jc w:val="both"/>
        <w:rPr>
          <w:b/>
        </w:rPr>
      </w:pPr>
      <w:r>
        <w:rPr>
          <w:b/>
        </w:rPr>
        <w:lastRenderedPageBreak/>
        <w:t>Q.</w:t>
      </w:r>
      <w:r>
        <w:rPr>
          <w:b/>
        </w:rPr>
        <w:tab/>
        <w:t>Is the Company proposing a mechanism to recover DSM lost margin from large commercial and industrial customers?</w:t>
      </w:r>
    </w:p>
    <w:p w:rsidR="004F713F" w:rsidRDefault="004F713F" w:rsidP="005A10A8">
      <w:pPr>
        <w:spacing w:line="480" w:lineRule="auto"/>
        <w:ind w:firstLine="720"/>
        <w:jc w:val="both"/>
      </w:pPr>
      <w:r w:rsidRPr="00D75437">
        <w:t>A.</w:t>
      </w:r>
      <w:r w:rsidRPr="00D75437">
        <w:tab/>
        <w:t>Not at this time.  While the Company believes that it would be appropriate to recover programmatic</w:t>
      </w:r>
      <w:r>
        <w:t xml:space="preserve"> and non-programmatic</w:t>
      </w:r>
      <w:r w:rsidRPr="00D75437">
        <w:t xml:space="preserve"> lost margin from these customers, the amount of lost margin</w:t>
      </w:r>
      <w:r>
        <w:t>, at least for programmatic savings,</w:t>
      </w:r>
      <w:r w:rsidRPr="00D75437">
        <w:t xml:space="preserve"> is not material enough </w:t>
      </w:r>
      <w:r>
        <w:t xml:space="preserve">at this time </w:t>
      </w:r>
      <w:r w:rsidRPr="00D75437">
        <w:t xml:space="preserve">to warrant </w:t>
      </w:r>
      <w:r>
        <w:t xml:space="preserve">a change to the current decoupling </w:t>
      </w:r>
      <w:r w:rsidRPr="00D75437">
        <w:t>mechanism.  Based on the verified 2008 DSM savings for large commercial and industrial customers, the annual lost margin</w:t>
      </w:r>
      <w:r>
        <w:t xml:space="preserve"> (using present margins), as shown in Table </w:t>
      </w:r>
      <w:r w:rsidR="00F17ED7">
        <w:t>14</w:t>
      </w:r>
      <w:r>
        <w:t xml:space="preserve"> below, </w:t>
      </w:r>
      <w:r w:rsidRPr="00D75437">
        <w:t>would be approximately $</w:t>
      </w:r>
      <w:r>
        <w:t>34</w:t>
      </w:r>
      <w:r w:rsidRPr="00D75437">
        <w:t>,</w:t>
      </w:r>
      <w:r>
        <w:t>135</w:t>
      </w:r>
      <w:r w:rsidRPr="00D75437">
        <w:t>.</w:t>
      </w:r>
    </w:p>
    <w:p w:rsidR="004F713F" w:rsidRDefault="004F713F" w:rsidP="005A10A8">
      <w:pPr>
        <w:spacing w:line="480" w:lineRule="auto"/>
        <w:rPr>
          <w:b/>
          <w:u w:val="single"/>
        </w:rPr>
      </w:pPr>
      <w:r w:rsidRPr="006808DB">
        <w:rPr>
          <w:b/>
          <w:u w:val="single"/>
        </w:rPr>
        <w:t xml:space="preserve">Table </w:t>
      </w:r>
      <w:r w:rsidR="00F17ED7">
        <w:rPr>
          <w:b/>
          <w:u w:val="single"/>
        </w:rPr>
        <w:t>14</w:t>
      </w:r>
      <w:r w:rsidR="00AB59BB">
        <w:rPr>
          <w:b/>
          <w:u w:val="single"/>
        </w:rPr>
        <w:t xml:space="preserve"> – Lost Margin for L</w:t>
      </w:r>
      <w:r w:rsidR="002543B2">
        <w:rPr>
          <w:b/>
          <w:u w:val="single"/>
        </w:rPr>
        <w:t>arge</w:t>
      </w:r>
      <w:r w:rsidR="00AB59BB">
        <w:rPr>
          <w:b/>
          <w:u w:val="single"/>
        </w:rPr>
        <w:t xml:space="preserve"> Commercial &amp; Industrial Customers</w:t>
      </w:r>
    </w:p>
    <w:p w:rsidR="00B632D5" w:rsidRDefault="00B632D5" w:rsidP="005A10A8">
      <w:pPr>
        <w:spacing w:line="480" w:lineRule="auto"/>
      </w:pPr>
    </w:p>
    <w:p w:rsidR="004F713F" w:rsidRDefault="004F713F" w:rsidP="005A10A8">
      <w:pPr>
        <w:spacing w:line="480" w:lineRule="auto"/>
        <w:ind w:firstLine="720"/>
        <w:jc w:val="both"/>
      </w:pPr>
      <w:r>
        <w:object w:dxaOrig="8074" w:dyaOrig="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15pt;height:90.95pt" o:ole="">
            <v:imagedata r:id="rId26" o:title=""/>
          </v:shape>
          <o:OLEObject Type="Embed" ProgID="Excel.Sheet.12" ShapeID="_x0000_i1025" DrawAspect="Content" ObjectID="_1330340717" r:id="rId27"/>
        </w:object>
      </w:r>
    </w:p>
    <w:p w:rsidR="00B632D5" w:rsidRDefault="00B632D5" w:rsidP="005A10A8">
      <w:pPr>
        <w:spacing w:line="480" w:lineRule="auto"/>
        <w:ind w:firstLine="720"/>
        <w:jc w:val="both"/>
      </w:pPr>
    </w:p>
    <w:p w:rsidR="004F713F" w:rsidRPr="00D75437" w:rsidRDefault="004F713F" w:rsidP="005A10A8">
      <w:pPr>
        <w:spacing w:line="480" w:lineRule="auto"/>
        <w:ind w:firstLine="720"/>
        <w:jc w:val="both"/>
      </w:pPr>
      <w:r w:rsidRPr="00D75437">
        <w:t xml:space="preserve">If and when the lost margin becomes a more significant amount, the Company would </w:t>
      </w:r>
      <w:r>
        <w:t>plan to address the</w:t>
      </w:r>
      <w:r w:rsidRPr="00D75437">
        <w:t xml:space="preserve"> issue at that time.  </w:t>
      </w:r>
    </w:p>
    <w:p w:rsidR="004F713F" w:rsidRPr="0020672A" w:rsidRDefault="004F713F" w:rsidP="005A10A8">
      <w:pPr>
        <w:spacing w:line="480" w:lineRule="auto"/>
        <w:ind w:firstLine="720"/>
        <w:jc w:val="both"/>
        <w:rPr>
          <w:b/>
        </w:rPr>
      </w:pPr>
      <w:r w:rsidRPr="0020672A">
        <w:rPr>
          <w:b/>
        </w:rPr>
        <w:t xml:space="preserve">Q.  </w:t>
      </w:r>
      <w:r>
        <w:rPr>
          <w:b/>
        </w:rPr>
        <w:tab/>
      </w:r>
      <w:r w:rsidRPr="0020672A">
        <w:rPr>
          <w:b/>
        </w:rPr>
        <w:t xml:space="preserve">What is the status of the </w:t>
      </w:r>
      <w:r w:rsidR="00DB780C" w:rsidRPr="00DB780C">
        <w:rPr>
          <w:b/>
        </w:rPr>
        <w:t>Evaluation, Measurement and Verification</w:t>
      </w:r>
      <w:r w:rsidR="00DB780C" w:rsidRPr="0020672A">
        <w:rPr>
          <w:b/>
        </w:rPr>
        <w:t xml:space="preserve"> </w:t>
      </w:r>
      <w:r w:rsidR="00DB780C">
        <w:rPr>
          <w:b/>
        </w:rPr>
        <w:t>(</w:t>
      </w:r>
      <w:r w:rsidRPr="0020672A">
        <w:rPr>
          <w:b/>
        </w:rPr>
        <w:t>EM&amp;V</w:t>
      </w:r>
      <w:r w:rsidR="00DB780C">
        <w:rPr>
          <w:b/>
        </w:rPr>
        <w:t>)</w:t>
      </w:r>
      <w:r w:rsidRPr="0020672A">
        <w:rPr>
          <w:b/>
        </w:rPr>
        <w:t xml:space="preserve"> collaborative?</w:t>
      </w:r>
    </w:p>
    <w:p w:rsidR="004F713F" w:rsidRDefault="004F713F" w:rsidP="005A10A8">
      <w:pPr>
        <w:spacing w:line="480" w:lineRule="auto"/>
        <w:ind w:firstLine="720"/>
        <w:jc w:val="both"/>
        <w:rPr>
          <w:b/>
        </w:rPr>
      </w:pPr>
      <w:r w:rsidRPr="0020672A">
        <w:t>A.</w:t>
      </w:r>
      <w:r>
        <w:tab/>
      </w:r>
      <w:r w:rsidR="00794492">
        <w:t>In Order 10, referenced above, t</w:t>
      </w:r>
      <w:r w:rsidRPr="0020672A">
        <w:t>he Commi</w:t>
      </w:r>
      <w:r w:rsidR="00935CE0">
        <w:t>ssion ordered a collaborative for</w:t>
      </w:r>
      <w:r w:rsidRPr="0020672A">
        <w:t xml:space="preserve"> the parties</w:t>
      </w:r>
      <w:r>
        <w:t xml:space="preserve"> involved in that case to</w:t>
      </w:r>
      <w:r w:rsidRPr="0020672A">
        <w:t xml:space="preserve"> address these issues</w:t>
      </w:r>
      <w:r>
        <w:t>, and to file the final E</w:t>
      </w:r>
      <w:r w:rsidR="00794492">
        <w:t>valuation, Measurement and Verification</w:t>
      </w:r>
      <w:r>
        <w:t xml:space="preserve"> plan with the Commission by September 1, 2010</w:t>
      </w:r>
      <w:r w:rsidRPr="0020672A">
        <w:t>.</w:t>
      </w:r>
      <w:r>
        <w:t xml:space="preserve">  Company witness Mr. Folsom, in his pre</w:t>
      </w:r>
      <w:r w:rsidR="00DB780C">
        <w:t>-</w:t>
      </w:r>
      <w:r>
        <w:t xml:space="preserve">filed direct testimony, provides an update on that </w:t>
      </w:r>
      <w:r>
        <w:lastRenderedPageBreak/>
        <w:t>collaborative, as well as on the collaborative relating to DSM acquisition from the limited income sector.</w:t>
      </w:r>
    </w:p>
    <w:p w:rsidR="00BF6CAC" w:rsidRPr="0020672A" w:rsidRDefault="00BF6CAC" w:rsidP="005A10A8">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5A10A8">
      <w:pPr>
        <w:ind w:firstLine="720"/>
      </w:pPr>
      <w:r w:rsidRPr="0020672A">
        <w:t>A.</w:t>
      </w:r>
      <w:r w:rsidRPr="0020672A">
        <w:rPr>
          <w:b/>
        </w:rPr>
        <w:t xml:space="preserve">  </w:t>
      </w:r>
      <w:r>
        <w:rPr>
          <w:b/>
        </w:rPr>
        <w:tab/>
      </w:r>
      <w:r>
        <w:t xml:space="preserve">Yes it does. </w:t>
      </w:r>
    </w:p>
    <w:sectPr w:rsidR="00914F08" w:rsidRPr="00F72F9A" w:rsidSect="00936BE1">
      <w:pgSz w:w="12240" w:h="15840" w:code="1"/>
      <w:pgMar w:top="1440" w:right="1584"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1E" w:rsidRDefault="00A6021E">
      <w:r>
        <w:separator/>
      </w:r>
    </w:p>
  </w:endnote>
  <w:endnote w:type="continuationSeparator" w:id="0">
    <w:p w:rsidR="00A6021E" w:rsidRDefault="00A6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Pr="00C66B50" w:rsidRDefault="00A6021E">
    <w:pPr>
      <w:pStyle w:val="Footer"/>
      <w:tabs>
        <w:tab w:val="clear" w:pos="4320"/>
        <w:tab w:val="clear" w:pos="8640"/>
        <w:tab w:val="left" w:pos="180"/>
        <w:tab w:val="right" w:pos="9360"/>
      </w:tabs>
      <w:rPr>
        <w:sz w:val="22"/>
        <w:szCs w:val="22"/>
      </w:rPr>
    </w:pPr>
    <w:r w:rsidRPr="00C66B50">
      <w:rPr>
        <w:sz w:val="22"/>
        <w:szCs w:val="22"/>
      </w:rPr>
      <w:t xml:space="preserve">Direct Testimony of </w:t>
    </w:r>
    <w:r>
      <w:rPr>
        <w:sz w:val="22"/>
        <w:szCs w:val="22"/>
      </w:rPr>
      <w:t>Patrick D. Ehrbar</w:t>
    </w:r>
    <w:r w:rsidRPr="00C66B50">
      <w:rPr>
        <w:sz w:val="22"/>
        <w:szCs w:val="22"/>
      </w:rPr>
      <w:tab/>
    </w:r>
  </w:p>
  <w:p w:rsidR="00A6021E" w:rsidRPr="00C66B50" w:rsidRDefault="00A6021E">
    <w:pPr>
      <w:pStyle w:val="Footer"/>
      <w:tabs>
        <w:tab w:val="clear" w:pos="4320"/>
        <w:tab w:val="clear" w:pos="8640"/>
        <w:tab w:val="left" w:pos="180"/>
        <w:tab w:val="right" w:pos="9360"/>
      </w:tabs>
      <w:rPr>
        <w:sz w:val="22"/>
        <w:szCs w:val="22"/>
      </w:rPr>
    </w:pPr>
    <w:r w:rsidRPr="00C66B50">
      <w:rPr>
        <w:sz w:val="22"/>
        <w:szCs w:val="22"/>
      </w:rPr>
      <w:t>Avista Corporation</w:t>
    </w:r>
  </w:p>
  <w:p w:rsidR="00A6021E" w:rsidRDefault="00A6021E">
    <w:pPr>
      <w:pStyle w:val="Footer"/>
      <w:tabs>
        <w:tab w:val="clear" w:pos="4320"/>
        <w:tab w:val="clear" w:pos="8640"/>
        <w:tab w:val="left" w:pos="180"/>
        <w:tab w:val="right" w:pos="9360"/>
      </w:tabs>
      <w:rPr>
        <w:rStyle w:val="PageNumber"/>
        <w:sz w:val="22"/>
        <w:szCs w:val="22"/>
      </w:rPr>
    </w:pPr>
    <w:r w:rsidRPr="00C66B50">
      <w:rPr>
        <w:sz w:val="22"/>
        <w:szCs w:val="22"/>
      </w:rPr>
      <w:t>Docket Nos. UE-</w:t>
    </w:r>
    <w:r>
      <w:rPr>
        <w:sz w:val="22"/>
        <w:szCs w:val="22"/>
      </w:rPr>
      <w:t>10____</w:t>
    </w:r>
    <w:r w:rsidRPr="00C66B50">
      <w:rPr>
        <w:sz w:val="22"/>
        <w:szCs w:val="22"/>
      </w:rPr>
      <w:t xml:space="preserve"> and UG-</w:t>
    </w:r>
    <w:r>
      <w:rPr>
        <w:sz w:val="22"/>
        <w:szCs w:val="22"/>
      </w:rPr>
      <w:t>10____</w:t>
    </w:r>
    <w:r w:rsidRPr="00C66B50">
      <w:rPr>
        <w:sz w:val="22"/>
        <w:szCs w:val="22"/>
      </w:rPr>
      <w:tab/>
      <w:t xml:space="preserve">Page </w:t>
    </w:r>
    <w:r w:rsidR="001F0D77" w:rsidRPr="00C66B50">
      <w:rPr>
        <w:rStyle w:val="PageNumber"/>
        <w:sz w:val="22"/>
        <w:szCs w:val="22"/>
      </w:rPr>
      <w:fldChar w:fldCharType="begin"/>
    </w:r>
    <w:r w:rsidRPr="00C66B50">
      <w:rPr>
        <w:rStyle w:val="PageNumber"/>
        <w:sz w:val="22"/>
        <w:szCs w:val="22"/>
      </w:rPr>
      <w:instrText xml:space="preserve"> PAGE </w:instrText>
    </w:r>
    <w:r w:rsidR="001F0D77" w:rsidRPr="00C66B50">
      <w:rPr>
        <w:rStyle w:val="PageNumber"/>
        <w:sz w:val="22"/>
        <w:szCs w:val="22"/>
      </w:rPr>
      <w:fldChar w:fldCharType="separate"/>
    </w:r>
    <w:r w:rsidR="003279B2">
      <w:rPr>
        <w:rStyle w:val="PageNumber"/>
        <w:noProof/>
        <w:sz w:val="22"/>
        <w:szCs w:val="22"/>
      </w:rPr>
      <w:t>3</w:t>
    </w:r>
    <w:r w:rsidR="001F0D77" w:rsidRPr="00C66B50">
      <w:rPr>
        <w:rStyle w:val="PageNumber"/>
        <w:sz w:val="22"/>
        <w:szCs w:val="22"/>
      </w:rPr>
      <w:fldChar w:fldCharType="end"/>
    </w:r>
  </w:p>
  <w:p w:rsidR="00A6021E" w:rsidRPr="00C66B50" w:rsidRDefault="00A6021E">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1E" w:rsidRDefault="00A6021E">
      <w:r>
        <w:separator/>
      </w:r>
    </w:p>
  </w:footnote>
  <w:footnote w:type="continuationSeparator" w:id="0">
    <w:p w:rsidR="00A6021E" w:rsidRDefault="00A6021E">
      <w:r>
        <w:continuationSeparator/>
      </w:r>
    </w:p>
  </w:footnote>
  <w:footnote w:id="1">
    <w:p w:rsidR="00A6021E" w:rsidRDefault="00A6021E">
      <w:pPr>
        <w:pStyle w:val="FootnoteText"/>
      </w:pPr>
      <w:r>
        <w:rPr>
          <w:rStyle w:val="FootnoteReference"/>
        </w:rPr>
        <w:footnoteRef/>
      </w:r>
      <w:r>
        <w:t xml:space="preserve"> The increase in natural gas base revenue is </w:t>
      </w:r>
      <w:r w:rsidRPr="00DF1AB0">
        <w:t>5.4%</w:t>
      </w:r>
      <w:r>
        <w:t>,</w:t>
      </w:r>
      <w:r w:rsidRPr="00DF1AB0">
        <w:t xml:space="preserve"> the increase in billed revenue (including all rate adjustments) is 6.0%.</w:t>
      </w:r>
    </w:p>
  </w:footnote>
  <w:footnote w:id="2">
    <w:p w:rsidR="00A6021E" w:rsidRPr="004A5E9F" w:rsidRDefault="00A6021E" w:rsidP="00916D0F">
      <w:pPr>
        <w:pStyle w:val="TestBody"/>
        <w:widowControl w:val="0"/>
        <w:tabs>
          <w:tab w:val="left" w:pos="1440"/>
        </w:tabs>
        <w:spacing w:line="240" w:lineRule="auto"/>
        <w:ind w:left="0" w:right="-101" w:firstLine="0"/>
        <w:rPr>
          <w:rFonts w:ascii="Times New Roman" w:hAnsi="Times New Roman" w:cs="Times New Roman"/>
          <w:sz w:val="20"/>
        </w:rPr>
      </w:pPr>
      <w:r>
        <w:rPr>
          <w:rStyle w:val="FootnoteReference"/>
        </w:rPr>
        <w:footnoteRef/>
      </w:r>
      <w:r>
        <w:t xml:space="preserve"> </w:t>
      </w:r>
      <w:r w:rsidRPr="00B312FA">
        <w:rPr>
          <w:rFonts w:ascii="Times New Roman" w:hAnsi="Times New Roman" w:cs="Times New Roman"/>
          <w:sz w:val="20"/>
          <w:szCs w:val="20"/>
        </w:rPr>
        <w:t xml:space="preserve">For </w:t>
      </w:r>
      <w:r>
        <w:rPr>
          <w:rFonts w:ascii="Times New Roman" w:hAnsi="Times New Roman" w:cs="Times New Roman"/>
          <w:sz w:val="20"/>
          <w:szCs w:val="20"/>
        </w:rPr>
        <w:t>Schedule 146, i</w:t>
      </w:r>
      <w:r w:rsidRPr="00B312FA">
        <w:rPr>
          <w:rFonts w:ascii="Times New Roman" w:hAnsi="Times New Roman" w:cs="Times New Roman"/>
          <w:sz w:val="20"/>
          <w:szCs w:val="20"/>
        </w:rPr>
        <w:t>ncluding a conservative level of 40.0 cents per therm for the cost of gas and pipeline transportation, the proposed increase to Schedule 146 rates represents an average increase of 1.74% in those customers’ total gas bill.</w:t>
      </w:r>
    </w:p>
    <w:p w:rsidR="00A6021E" w:rsidRDefault="00A6021E" w:rsidP="00916D0F">
      <w:pPr>
        <w:pStyle w:val="FootnoteText"/>
      </w:pPr>
    </w:p>
  </w:footnote>
  <w:footnote w:id="3">
    <w:p w:rsidR="00A6021E" w:rsidRDefault="00A6021E">
      <w:pPr>
        <w:pStyle w:val="FootnoteText"/>
      </w:pPr>
      <w:r>
        <w:rPr>
          <w:rStyle w:val="FootnoteReference"/>
        </w:rPr>
        <w:footnoteRef/>
      </w:r>
      <w:r>
        <w:t xml:space="preserve"> Exhibit No. ___(TLK-4), page 3, line 28</w:t>
      </w:r>
    </w:p>
  </w:footnote>
  <w:footnote w:id="4">
    <w:p w:rsidR="00A6021E" w:rsidRDefault="00A6021E" w:rsidP="00075612">
      <w:pPr>
        <w:pStyle w:val="FootnoteText"/>
        <w:jc w:val="both"/>
      </w:pPr>
      <w:r w:rsidRPr="00075612">
        <w:rPr>
          <w:rStyle w:val="FootnoteReference"/>
        </w:rPr>
        <w:footnoteRef/>
      </w:r>
      <w:r w:rsidRPr="00075612">
        <w:t xml:space="preserve"> Using</w:t>
      </w:r>
      <w:r>
        <w:t xml:space="preserve"> 50 </w:t>
      </w:r>
      <w:proofErr w:type="spellStart"/>
      <w:r>
        <w:t>aMW</w:t>
      </w:r>
      <w:proofErr w:type="spellEnd"/>
      <w:r>
        <w:t xml:space="preserve"> at a 90% load factor equates to approximately 438,000,000 </w:t>
      </w:r>
      <w:proofErr w:type="spellStart"/>
      <w:r>
        <w:t>kWhs</w:t>
      </w:r>
      <w:proofErr w:type="spellEnd"/>
      <w:r>
        <w:t>.  Using the average Schedule 25 rate of $0.054 (including demand), versus an $0.08 market example, you get the following:</w:t>
      </w:r>
    </w:p>
    <w:p w:rsidR="00A6021E" w:rsidRDefault="00A6021E" w:rsidP="00075612">
      <w:pPr>
        <w:pStyle w:val="FootnoteText"/>
        <w:jc w:val="both"/>
      </w:pPr>
      <w:r>
        <w:t xml:space="preserve">[438,000,000*(0.08-0.054) = $11.4 </w:t>
      </w:r>
      <w:proofErr w:type="spellStart"/>
      <w:r>
        <w:t>millon</w:t>
      </w:r>
      <w:proofErr w:type="spellEnd"/>
      <w:r>
        <w:t>]</w:t>
      </w:r>
    </w:p>
    <w:p w:rsidR="00A6021E" w:rsidRDefault="00A6021E">
      <w:pPr>
        <w:pStyle w:val="FootnoteText"/>
      </w:pPr>
    </w:p>
  </w:footnote>
  <w:footnote w:id="5">
    <w:p w:rsidR="00A6021E" w:rsidRDefault="00A6021E" w:rsidP="00E252B9">
      <w:pPr>
        <w:pStyle w:val="FootnoteText"/>
      </w:pPr>
      <w:r>
        <w:rPr>
          <w:rStyle w:val="FootnoteReference"/>
        </w:rPr>
        <w:footnoteRef/>
      </w:r>
      <w:r>
        <w:t xml:space="preserve"> See page 45, </w:t>
      </w:r>
      <w:proofErr w:type="spellStart"/>
      <w:r>
        <w:t>KON-1T</w:t>
      </w:r>
      <w:proofErr w:type="spellEnd"/>
      <w:r>
        <w:t xml:space="preserve"> (Docket Nos. UE-090134, UG-090135 &amp; UG-060518)</w:t>
      </w:r>
    </w:p>
  </w:footnote>
  <w:footnote w:id="6">
    <w:p w:rsidR="00A6021E" w:rsidRPr="00EB082C" w:rsidRDefault="00A6021E" w:rsidP="004D1B1A">
      <w:pPr>
        <w:pStyle w:val="FootnoteText"/>
      </w:pPr>
      <w:r w:rsidRPr="00EB082C">
        <w:rPr>
          <w:rStyle w:val="FootnoteReference"/>
        </w:rPr>
        <w:footnoteRef/>
      </w:r>
      <w:r w:rsidRPr="00EB082C">
        <w:t xml:space="preserve"> 2009 Avista Electric Integrated Resource Plan, Page 7-1.  (see Exhibit No. ___(</w:t>
      </w:r>
      <w:proofErr w:type="spellStart"/>
      <w:r w:rsidRPr="00EB082C">
        <w:t>RLS</w:t>
      </w:r>
      <w:proofErr w:type="spellEnd"/>
      <w:r w:rsidRPr="00EB082C">
        <w:t xml:space="preserve">-2))  The forecast shows $79.56 per </w:t>
      </w:r>
      <w:proofErr w:type="spellStart"/>
      <w:r w:rsidRPr="00EB082C">
        <w:t>mWh</w:t>
      </w:r>
      <w:proofErr w:type="spellEnd"/>
      <w:r w:rsidRPr="00EB082C">
        <w:t>.</w:t>
      </w:r>
    </w:p>
  </w:footnote>
  <w:footnote w:id="7">
    <w:p w:rsidR="00A6021E" w:rsidRDefault="00A6021E" w:rsidP="004D1B1A">
      <w:pPr>
        <w:pStyle w:val="FootnoteText"/>
      </w:pPr>
      <w:r w:rsidRPr="00EB082C">
        <w:rPr>
          <w:rStyle w:val="FootnoteReference"/>
        </w:rPr>
        <w:footnoteRef/>
      </w:r>
      <w:r w:rsidRPr="00EB082C">
        <w:t xml:space="preserve"> 2009 Avista Natural Gas Integrated Resource Plan, Page 1.5  (See Exhibit No. ___(KJC-4))</w:t>
      </w:r>
    </w:p>
  </w:footnote>
  <w:footnote w:id="8">
    <w:p w:rsidR="00A6021E" w:rsidRDefault="00A6021E">
      <w:pPr>
        <w:pStyle w:val="FootnoteText"/>
      </w:pPr>
      <w:r>
        <w:rPr>
          <w:rStyle w:val="FootnoteReference"/>
        </w:rPr>
        <w:footnoteRef/>
      </w:r>
      <w:r>
        <w:t xml:space="preserve"> Annual electric billing difference of $0.05 is a result of rounding.</w:t>
      </w:r>
    </w:p>
  </w:footnote>
  <w:footnote w:id="9">
    <w:p w:rsidR="00A6021E" w:rsidRDefault="00A6021E">
      <w:pPr>
        <w:pStyle w:val="FootnoteText"/>
      </w:pPr>
      <w:r>
        <w:rPr>
          <w:rStyle w:val="FootnoteReference"/>
        </w:rPr>
        <w:footnoteRef/>
      </w:r>
      <w:r>
        <w:t xml:space="preserve"> Annual natural gas billing difference of $0.07 is a result of rounding.</w:t>
      </w:r>
    </w:p>
  </w:footnote>
  <w:footnote w:id="10">
    <w:p w:rsidR="00A6021E" w:rsidRDefault="00A6021E" w:rsidP="004D1B1A">
      <w:pPr>
        <w:pStyle w:val="FootnoteText"/>
      </w:pPr>
      <w:r>
        <w:rPr>
          <w:rStyle w:val="FootnoteReference"/>
        </w:rPr>
        <w:footnoteRef/>
      </w:r>
      <w:r>
        <w:t xml:space="preserve"> </w:t>
      </w:r>
      <w:r w:rsidRPr="00AE2FA5">
        <w:t>Order No. 08, Dockets UE-060266 and UG-060267</w:t>
      </w:r>
      <w:r>
        <w:t xml:space="preserve">, </w:t>
      </w:r>
      <w:smartTag w:uri="urn:schemas-microsoft-com:office:smarttags" w:element="place">
        <w:r>
          <w:t>Para</w:t>
        </w:r>
      </w:smartTag>
      <w:r>
        <w:t xml:space="preserve">. 139 </w:t>
      </w:r>
    </w:p>
  </w:footnote>
  <w:footnote w:id="11">
    <w:p w:rsidR="00A6021E" w:rsidRDefault="00A6021E" w:rsidP="004D1B1A">
      <w:pPr>
        <w:pStyle w:val="FootnoteText"/>
      </w:pPr>
      <w:r>
        <w:rPr>
          <w:rStyle w:val="FootnoteReference"/>
        </w:rPr>
        <w:footnoteRef/>
      </w:r>
      <w:r>
        <w:t xml:space="preserve"> Titus “Evaluation of Avista Gas Decoupling Mechanism Pilot”, Page 81, Table </w:t>
      </w:r>
      <w:proofErr w:type="spellStart"/>
      <w:r>
        <w:t>K10</w:t>
      </w:r>
      <w:proofErr w:type="spellEnd"/>
      <w:r>
        <w:t>. See Docket UG-060518.</w:t>
      </w:r>
    </w:p>
  </w:footnote>
  <w:footnote w:id="12">
    <w:p w:rsidR="00A6021E" w:rsidRDefault="00A6021E" w:rsidP="004D1B1A">
      <w:pPr>
        <w:pStyle w:val="FootnoteText"/>
      </w:pPr>
      <w:r>
        <w:rPr>
          <w:rStyle w:val="FootnoteReference"/>
        </w:rPr>
        <w:footnoteRef/>
      </w:r>
      <w:r>
        <w:t xml:space="preserve"> “Assessing Heating Assistance Programs in </w:t>
      </w: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r>
        <w:t>”, Institute for Public Policy &amp; Economic Analysis (Grant Forsyth, PhD, D. Patrick Jones, PhD, and Mark Wagner). January 2010.</w:t>
      </w:r>
    </w:p>
  </w:footnote>
  <w:footnote w:id="13">
    <w:p w:rsidR="00A6021E" w:rsidRDefault="00A6021E" w:rsidP="004D1B1A">
      <w:pPr>
        <w:pStyle w:val="FootnoteText"/>
      </w:pPr>
      <w:r>
        <w:rPr>
          <w:rStyle w:val="FootnoteReference"/>
        </w:rPr>
        <w:footnoteRef/>
      </w:r>
      <w:r>
        <w:t xml:space="preserve"> id., Page 1</w:t>
      </w:r>
    </w:p>
  </w:footnote>
  <w:footnote w:id="14">
    <w:p w:rsidR="00A6021E" w:rsidRDefault="00A6021E" w:rsidP="004D1B1A">
      <w:pPr>
        <w:pStyle w:val="FootnoteText"/>
      </w:pPr>
      <w:r>
        <w:rPr>
          <w:rStyle w:val="FootnoteReference"/>
        </w:rPr>
        <w:footnoteRef/>
      </w:r>
      <w:r>
        <w:t xml:space="preserve"> id., Page 2</w:t>
      </w:r>
    </w:p>
  </w:footnote>
  <w:footnote w:id="15">
    <w:p w:rsidR="00A6021E" w:rsidRDefault="00A6021E" w:rsidP="004D1B1A">
      <w:pPr>
        <w:pStyle w:val="FootnoteText"/>
      </w:pPr>
      <w:r>
        <w:rPr>
          <w:rStyle w:val="FootnoteReference"/>
        </w:rPr>
        <w:footnoteRef/>
      </w:r>
      <w:r>
        <w:t xml:space="preserve"> id., Page 2</w:t>
      </w:r>
    </w:p>
  </w:footnote>
  <w:footnote w:id="16">
    <w:p w:rsidR="00A6021E" w:rsidRDefault="00A6021E" w:rsidP="004D1B1A">
      <w:pPr>
        <w:pStyle w:val="FootnoteText"/>
      </w:pPr>
      <w:r>
        <w:rPr>
          <w:rStyle w:val="FootnoteReference"/>
        </w:rPr>
        <w:footnoteRef/>
      </w:r>
      <w:r>
        <w:t xml:space="preserve"> id., Page 3</w:t>
      </w:r>
    </w:p>
  </w:footnote>
  <w:footnote w:id="17">
    <w:p w:rsidR="00A6021E" w:rsidRDefault="00A6021E" w:rsidP="004D1B1A">
      <w:pPr>
        <w:pStyle w:val="FootnoteText"/>
      </w:pPr>
      <w:r>
        <w:rPr>
          <w:rStyle w:val="FootnoteReference"/>
        </w:rPr>
        <w:footnoteRef/>
      </w:r>
      <w:r>
        <w:t xml:space="preserve"> id., Page 3</w:t>
      </w:r>
    </w:p>
  </w:footnote>
  <w:footnote w:id="18">
    <w:p w:rsidR="00A6021E" w:rsidRDefault="00A6021E" w:rsidP="004D1B1A">
      <w:pPr>
        <w:pStyle w:val="FootnoteText"/>
      </w:pPr>
      <w:r>
        <w:rPr>
          <w:rStyle w:val="FootnoteReference"/>
        </w:rPr>
        <w:footnoteRef/>
      </w:r>
      <w:r>
        <w:t xml:space="preserve"> id., Page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pPr>
      <w:pStyle w:val="Header"/>
      <w:jc w:val="right"/>
    </w:pPr>
    <w:r>
      <w:t>Exhibit No. ___(PDE-</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rsidP="007B58C5">
    <w:pPr>
      <w:pStyle w:val="Header"/>
      <w:jc w:val="right"/>
    </w:pPr>
    <w:r>
      <w:t>Exhibit No. ___(PDE-</w:t>
    </w:r>
    <w:proofErr w:type="spellStart"/>
    <w:r>
      <w:t>1T</w:t>
    </w:r>
    <w:proofErr w:type="spellEnd"/>
    <w:r>
      <w:t>)</w:t>
    </w:r>
  </w:p>
  <w:p w:rsidR="00A6021E" w:rsidRDefault="00A6021E"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0E"/>
    <w:multiLevelType w:val="multilevel"/>
    <w:tmpl w:val="629C8054"/>
    <w:styleLink w:val="RTF5fNum2040"/>
    <w:lvl w:ilvl="0">
      <w:start w:val="17"/>
      <w:numFmt w:val="upperLetter"/>
      <w:lvlText w:val="%1."/>
      <w:lvlJc w:val="left"/>
      <w:pPr>
        <w:tabs>
          <w:tab w:val="num" w:pos="1320"/>
        </w:tabs>
        <w:ind w:left="1170" w:hanging="36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1">
    <w:nsid w:val="042C3595"/>
    <w:multiLevelType w:val="multilevel"/>
    <w:tmpl w:val="A6BADA72"/>
    <w:styleLink w:val="RTF5fNum203"/>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6">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7">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8">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1">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2">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3">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4">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5">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7">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8">
    <w:nsid w:val="2C7544EF"/>
    <w:multiLevelType w:val="hybridMultilevel"/>
    <w:tmpl w:val="33523906"/>
    <w:lvl w:ilvl="0" w:tplc="CFC8D462">
      <w:start w:val="1"/>
      <w:numFmt w:val="upp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1">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2">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3">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nsid w:val="45825E14"/>
    <w:multiLevelType w:val="hybridMultilevel"/>
    <w:tmpl w:val="5E068FDA"/>
    <w:lvl w:ilvl="0" w:tplc="36221CBE">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7E44437"/>
    <w:multiLevelType w:val="singleLevel"/>
    <w:tmpl w:val="54CEB68A"/>
    <w:lvl w:ilvl="0">
      <w:start w:val="1"/>
      <w:numFmt w:val="upperLetter"/>
      <w:lvlText w:val="%1."/>
      <w:lvlJc w:val="left"/>
      <w:pPr>
        <w:tabs>
          <w:tab w:val="num" w:pos="1440"/>
        </w:tabs>
        <w:ind w:left="1440" w:hanging="720"/>
      </w:pPr>
      <w:rPr>
        <w:rFonts w:cs="Times New Roman" w:hint="default"/>
      </w:rPr>
    </w:lvl>
  </w:abstractNum>
  <w:abstractNum w:abstractNumId="27">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8">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9">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2">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3">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4">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EC44692"/>
    <w:multiLevelType w:val="multilevel"/>
    <w:tmpl w:val="EAE02E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7">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155414A"/>
    <w:multiLevelType w:val="hybridMultilevel"/>
    <w:tmpl w:val="8D6A9056"/>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0">
    <w:nsid w:val="645C77DF"/>
    <w:multiLevelType w:val="hybridMultilevel"/>
    <w:tmpl w:val="3F3ADF92"/>
    <w:lvl w:ilvl="0" w:tplc="72DA6ED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2">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4">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5">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4"/>
  </w:num>
  <w:num w:numId="2">
    <w:abstractNumId w:val="28"/>
  </w:num>
  <w:num w:numId="3">
    <w:abstractNumId w:val="1"/>
  </w:num>
  <w:num w:numId="4">
    <w:abstractNumId w:val="20"/>
  </w:num>
  <w:num w:numId="5">
    <w:abstractNumId w:val="5"/>
  </w:num>
  <w:num w:numId="6">
    <w:abstractNumId w:val="19"/>
  </w:num>
  <w:num w:numId="7">
    <w:abstractNumId w:val="9"/>
  </w:num>
  <w:num w:numId="8">
    <w:abstractNumId w:val="13"/>
  </w:num>
  <w:num w:numId="9">
    <w:abstractNumId w:val="23"/>
  </w:num>
  <w:num w:numId="10">
    <w:abstractNumId w:val="16"/>
  </w:num>
  <w:num w:numId="11">
    <w:abstractNumId w:val="7"/>
  </w:num>
  <w:num w:numId="12">
    <w:abstractNumId w:val="43"/>
  </w:num>
  <w:num w:numId="13">
    <w:abstractNumId w:val="41"/>
  </w:num>
  <w:num w:numId="14">
    <w:abstractNumId w:val="45"/>
  </w:num>
  <w:num w:numId="15">
    <w:abstractNumId w:val="12"/>
  </w:num>
  <w:num w:numId="16">
    <w:abstractNumId w:val="15"/>
  </w:num>
  <w:num w:numId="17">
    <w:abstractNumId w:val="22"/>
  </w:num>
  <w:num w:numId="18">
    <w:abstractNumId w:val="42"/>
  </w:num>
  <w:num w:numId="19">
    <w:abstractNumId w:val="17"/>
  </w:num>
  <w:num w:numId="20">
    <w:abstractNumId w:val="6"/>
    <w:lvlOverride w:ilvl="0">
      <w:lvl w:ilvl="0">
        <w:start w:val="17"/>
        <w:numFmt w:val="upperLetter"/>
        <w:lvlText w:val="%1."/>
        <w:lvlJc w:val="left"/>
        <w:pPr>
          <w:tabs>
            <w:tab w:val="num" w:pos="690"/>
          </w:tabs>
          <w:ind w:left="540" w:hanging="360"/>
        </w:pPr>
        <w:rPr>
          <w:rFonts w:cs="Times New Roman"/>
        </w:rPr>
      </w:lvl>
    </w:lvlOverride>
  </w:num>
  <w:num w:numId="21">
    <w:abstractNumId w:val="33"/>
  </w:num>
  <w:num w:numId="22">
    <w:abstractNumId w:val="0"/>
  </w:num>
  <w:num w:numId="23">
    <w:abstractNumId w:val="32"/>
  </w:num>
  <w:num w:numId="24">
    <w:abstractNumId w:val="27"/>
  </w:num>
  <w:num w:numId="25">
    <w:abstractNumId w:val="21"/>
  </w:num>
  <w:num w:numId="26">
    <w:abstractNumId w:val="3"/>
  </w:num>
  <w:num w:numId="27">
    <w:abstractNumId w:val="2"/>
  </w:num>
  <w:num w:numId="28">
    <w:abstractNumId w:val="11"/>
  </w:num>
  <w:num w:numId="29">
    <w:abstractNumId w:val="39"/>
  </w:num>
  <w:num w:numId="30">
    <w:abstractNumId w:val="10"/>
  </w:num>
  <w:num w:numId="31">
    <w:abstractNumId w:val="29"/>
  </w:num>
  <w:num w:numId="32">
    <w:abstractNumId w:val="34"/>
  </w:num>
  <w:num w:numId="33">
    <w:abstractNumId w:val="18"/>
  </w:num>
  <w:num w:numId="34">
    <w:abstractNumId w:val="35"/>
  </w:num>
  <w:num w:numId="35">
    <w:abstractNumId w:val="30"/>
  </w:num>
  <w:num w:numId="36">
    <w:abstractNumId w:val="36"/>
  </w:num>
  <w:num w:numId="37">
    <w:abstractNumId w:val="6"/>
  </w:num>
  <w:num w:numId="38">
    <w:abstractNumId w:val="8"/>
  </w:num>
  <w:num w:numId="39">
    <w:abstractNumId w:val="37"/>
  </w:num>
  <w:num w:numId="40">
    <w:abstractNumId w:val="38"/>
  </w:num>
  <w:num w:numId="41">
    <w:abstractNumId w:val="26"/>
  </w:num>
  <w:num w:numId="42">
    <w:abstractNumId w:val="31"/>
  </w:num>
  <w:num w:numId="43">
    <w:abstractNumId w:val="44"/>
  </w:num>
  <w:num w:numId="44">
    <w:abstractNumId w:val="4"/>
  </w:num>
  <w:num w:numId="45">
    <w:abstractNumId w:val="25"/>
  </w:num>
  <w:num w:numId="46">
    <w:abstractNumId w:val="40"/>
  </w:num>
  <w:num w:numId="47">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10FB3"/>
    <w:rsid w:val="00013EB7"/>
    <w:rsid w:val="0001498B"/>
    <w:rsid w:val="00016F05"/>
    <w:rsid w:val="00024AC8"/>
    <w:rsid w:val="0003621B"/>
    <w:rsid w:val="00042739"/>
    <w:rsid w:val="00046323"/>
    <w:rsid w:val="000504EF"/>
    <w:rsid w:val="00054A99"/>
    <w:rsid w:val="00064145"/>
    <w:rsid w:val="0006733F"/>
    <w:rsid w:val="00067420"/>
    <w:rsid w:val="00070A2E"/>
    <w:rsid w:val="00075515"/>
    <w:rsid w:val="00075612"/>
    <w:rsid w:val="000925D0"/>
    <w:rsid w:val="000926CF"/>
    <w:rsid w:val="000A0894"/>
    <w:rsid w:val="000A204F"/>
    <w:rsid w:val="000A2244"/>
    <w:rsid w:val="000A3548"/>
    <w:rsid w:val="000A4C44"/>
    <w:rsid w:val="000A502C"/>
    <w:rsid w:val="000A6665"/>
    <w:rsid w:val="000A6BBC"/>
    <w:rsid w:val="000C64E4"/>
    <w:rsid w:val="000D5132"/>
    <w:rsid w:val="000D6ABC"/>
    <w:rsid w:val="000D7C83"/>
    <w:rsid w:val="000E6F31"/>
    <w:rsid w:val="000F0B81"/>
    <w:rsid w:val="000F2A4D"/>
    <w:rsid w:val="000F3263"/>
    <w:rsid w:val="000F6CFB"/>
    <w:rsid w:val="00100091"/>
    <w:rsid w:val="001020C1"/>
    <w:rsid w:val="00102DA5"/>
    <w:rsid w:val="00103E4A"/>
    <w:rsid w:val="00106FF3"/>
    <w:rsid w:val="001121FA"/>
    <w:rsid w:val="00112801"/>
    <w:rsid w:val="00122BB9"/>
    <w:rsid w:val="001279B7"/>
    <w:rsid w:val="00131A33"/>
    <w:rsid w:val="00131E05"/>
    <w:rsid w:val="00137989"/>
    <w:rsid w:val="00141F88"/>
    <w:rsid w:val="00147D24"/>
    <w:rsid w:val="00150518"/>
    <w:rsid w:val="00156D28"/>
    <w:rsid w:val="0015701E"/>
    <w:rsid w:val="00162D05"/>
    <w:rsid w:val="001634DE"/>
    <w:rsid w:val="00170A22"/>
    <w:rsid w:val="00171B4C"/>
    <w:rsid w:val="00177CFC"/>
    <w:rsid w:val="001A4278"/>
    <w:rsid w:val="001A60D6"/>
    <w:rsid w:val="001B23F5"/>
    <w:rsid w:val="001C5F10"/>
    <w:rsid w:val="001C6565"/>
    <w:rsid w:val="001E12F2"/>
    <w:rsid w:val="001E427B"/>
    <w:rsid w:val="001F0D77"/>
    <w:rsid w:val="001F4EC4"/>
    <w:rsid w:val="002041A4"/>
    <w:rsid w:val="00216493"/>
    <w:rsid w:val="00232747"/>
    <w:rsid w:val="002336F1"/>
    <w:rsid w:val="00233F30"/>
    <w:rsid w:val="002369E0"/>
    <w:rsid w:val="002543B2"/>
    <w:rsid w:val="00265299"/>
    <w:rsid w:val="00272E6B"/>
    <w:rsid w:val="002734F6"/>
    <w:rsid w:val="002746C1"/>
    <w:rsid w:val="0028794F"/>
    <w:rsid w:val="0029101F"/>
    <w:rsid w:val="002A1F24"/>
    <w:rsid w:val="002A2752"/>
    <w:rsid w:val="002B6EA3"/>
    <w:rsid w:val="002C1940"/>
    <w:rsid w:val="002E3552"/>
    <w:rsid w:val="002F0D16"/>
    <w:rsid w:val="00301EC5"/>
    <w:rsid w:val="003279B2"/>
    <w:rsid w:val="00346019"/>
    <w:rsid w:val="00352B85"/>
    <w:rsid w:val="003538D4"/>
    <w:rsid w:val="003B133A"/>
    <w:rsid w:val="003D2E9A"/>
    <w:rsid w:val="003F11AC"/>
    <w:rsid w:val="003F766B"/>
    <w:rsid w:val="0040013A"/>
    <w:rsid w:val="00411FE6"/>
    <w:rsid w:val="0043473F"/>
    <w:rsid w:val="00434EE0"/>
    <w:rsid w:val="00444CC5"/>
    <w:rsid w:val="0044635D"/>
    <w:rsid w:val="00451B1C"/>
    <w:rsid w:val="00460A8B"/>
    <w:rsid w:val="004713C9"/>
    <w:rsid w:val="00474CF8"/>
    <w:rsid w:val="00476E35"/>
    <w:rsid w:val="00497EDA"/>
    <w:rsid w:val="004A3FBB"/>
    <w:rsid w:val="004A43E9"/>
    <w:rsid w:val="004A5E9F"/>
    <w:rsid w:val="004B1B0F"/>
    <w:rsid w:val="004B1D0C"/>
    <w:rsid w:val="004B23F1"/>
    <w:rsid w:val="004C1B9A"/>
    <w:rsid w:val="004C5C79"/>
    <w:rsid w:val="004D081B"/>
    <w:rsid w:val="004D0E04"/>
    <w:rsid w:val="004D1B1A"/>
    <w:rsid w:val="004D207D"/>
    <w:rsid w:val="004D28F2"/>
    <w:rsid w:val="004F713F"/>
    <w:rsid w:val="005141FE"/>
    <w:rsid w:val="00517717"/>
    <w:rsid w:val="00524793"/>
    <w:rsid w:val="00531D60"/>
    <w:rsid w:val="00545B95"/>
    <w:rsid w:val="005540EB"/>
    <w:rsid w:val="0055620C"/>
    <w:rsid w:val="00562193"/>
    <w:rsid w:val="0056366E"/>
    <w:rsid w:val="00577848"/>
    <w:rsid w:val="0058469D"/>
    <w:rsid w:val="00586CB3"/>
    <w:rsid w:val="00593B68"/>
    <w:rsid w:val="00596611"/>
    <w:rsid w:val="005A10A8"/>
    <w:rsid w:val="005A200C"/>
    <w:rsid w:val="005A6FF9"/>
    <w:rsid w:val="005B4C72"/>
    <w:rsid w:val="005B5994"/>
    <w:rsid w:val="005C1AB9"/>
    <w:rsid w:val="005C3EE2"/>
    <w:rsid w:val="005C4E2C"/>
    <w:rsid w:val="005D45EC"/>
    <w:rsid w:val="005F0B42"/>
    <w:rsid w:val="005F1CE5"/>
    <w:rsid w:val="00601C28"/>
    <w:rsid w:val="0061080A"/>
    <w:rsid w:val="00614DB9"/>
    <w:rsid w:val="00625666"/>
    <w:rsid w:val="00633F02"/>
    <w:rsid w:val="00634835"/>
    <w:rsid w:val="006368E0"/>
    <w:rsid w:val="006435B7"/>
    <w:rsid w:val="00643CE5"/>
    <w:rsid w:val="006470C2"/>
    <w:rsid w:val="00667220"/>
    <w:rsid w:val="00680941"/>
    <w:rsid w:val="0068497F"/>
    <w:rsid w:val="00686872"/>
    <w:rsid w:val="00690866"/>
    <w:rsid w:val="006A2A4B"/>
    <w:rsid w:val="006B1DF5"/>
    <w:rsid w:val="006C681F"/>
    <w:rsid w:val="006F730C"/>
    <w:rsid w:val="00704982"/>
    <w:rsid w:val="007055A8"/>
    <w:rsid w:val="00743B59"/>
    <w:rsid w:val="007645E8"/>
    <w:rsid w:val="00775966"/>
    <w:rsid w:val="00777ABD"/>
    <w:rsid w:val="00786A12"/>
    <w:rsid w:val="007928C1"/>
    <w:rsid w:val="00794492"/>
    <w:rsid w:val="00796789"/>
    <w:rsid w:val="00797C30"/>
    <w:rsid w:val="007A5DCF"/>
    <w:rsid w:val="007B5402"/>
    <w:rsid w:val="007B58C5"/>
    <w:rsid w:val="007B7C07"/>
    <w:rsid w:val="007C32EE"/>
    <w:rsid w:val="007C57D8"/>
    <w:rsid w:val="007E208F"/>
    <w:rsid w:val="007F6B5E"/>
    <w:rsid w:val="00804381"/>
    <w:rsid w:val="00806C7F"/>
    <w:rsid w:val="00814123"/>
    <w:rsid w:val="008147B1"/>
    <w:rsid w:val="00815D50"/>
    <w:rsid w:val="008202A5"/>
    <w:rsid w:val="00822186"/>
    <w:rsid w:val="0082661B"/>
    <w:rsid w:val="008832F2"/>
    <w:rsid w:val="00886C9D"/>
    <w:rsid w:val="008918EA"/>
    <w:rsid w:val="00891D48"/>
    <w:rsid w:val="00892BAC"/>
    <w:rsid w:val="00894CE2"/>
    <w:rsid w:val="00897B8E"/>
    <w:rsid w:val="008B4398"/>
    <w:rsid w:val="008B536F"/>
    <w:rsid w:val="008B5C02"/>
    <w:rsid w:val="008D18B6"/>
    <w:rsid w:val="008D1B9E"/>
    <w:rsid w:val="008D5C91"/>
    <w:rsid w:val="008E48B0"/>
    <w:rsid w:val="008E7886"/>
    <w:rsid w:val="008F6E36"/>
    <w:rsid w:val="0090528A"/>
    <w:rsid w:val="00905F79"/>
    <w:rsid w:val="0091216A"/>
    <w:rsid w:val="00914F08"/>
    <w:rsid w:val="00916D0F"/>
    <w:rsid w:val="00925CE2"/>
    <w:rsid w:val="00931621"/>
    <w:rsid w:val="0093530C"/>
    <w:rsid w:val="00935CE0"/>
    <w:rsid w:val="00936BE1"/>
    <w:rsid w:val="00944313"/>
    <w:rsid w:val="009605C7"/>
    <w:rsid w:val="00961303"/>
    <w:rsid w:val="00966A3C"/>
    <w:rsid w:val="00975FB9"/>
    <w:rsid w:val="0098231D"/>
    <w:rsid w:val="00983877"/>
    <w:rsid w:val="00987E07"/>
    <w:rsid w:val="009A1846"/>
    <w:rsid w:val="009B388A"/>
    <w:rsid w:val="009B6AD6"/>
    <w:rsid w:val="009E1E4A"/>
    <w:rsid w:val="009E29E5"/>
    <w:rsid w:val="009E6376"/>
    <w:rsid w:val="009F3201"/>
    <w:rsid w:val="009F6A4B"/>
    <w:rsid w:val="00A05EB6"/>
    <w:rsid w:val="00A07AB7"/>
    <w:rsid w:val="00A11C96"/>
    <w:rsid w:val="00A152BC"/>
    <w:rsid w:val="00A309B9"/>
    <w:rsid w:val="00A33792"/>
    <w:rsid w:val="00A359BB"/>
    <w:rsid w:val="00A42F19"/>
    <w:rsid w:val="00A539B1"/>
    <w:rsid w:val="00A55DC6"/>
    <w:rsid w:val="00A6021E"/>
    <w:rsid w:val="00A67FB6"/>
    <w:rsid w:val="00A8627C"/>
    <w:rsid w:val="00A879CD"/>
    <w:rsid w:val="00AA0324"/>
    <w:rsid w:val="00AA41A9"/>
    <w:rsid w:val="00AB59BB"/>
    <w:rsid w:val="00AC1B51"/>
    <w:rsid w:val="00AC3ADC"/>
    <w:rsid w:val="00AD03EF"/>
    <w:rsid w:val="00AD1968"/>
    <w:rsid w:val="00AD2FA3"/>
    <w:rsid w:val="00AE4671"/>
    <w:rsid w:val="00AF0FEB"/>
    <w:rsid w:val="00AF12CC"/>
    <w:rsid w:val="00AF2573"/>
    <w:rsid w:val="00B10EE8"/>
    <w:rsid w:val="00B232F9"/>
    <w:rsid w:val="00B26158"/>
    <w:rsid w:val="00B312FA"/>
    <w:rsid w:val="00B313D9"/>
    <w:rsid w:val="00B34EAB"/>
    <w:rsid w:val="00B36F8C"/>
    <w:rsid w:val="00B44612"/>
    <w:rsid w:val="00B5246C"/>
    <w:rsid w:val="00B632D5"/>
    <w:rsid w:val="00B85AB9"/>
    <w:rsid w:val="00BB1AEE"/>
    <w:rsid w:val="00BB4B20"/>
    <w:rsid w:val="00BD4FCB"/>
    <w:rsid w:val="00BE592C"/>
    <w:rsid w:val="00BF220C"/>
    <w:rsid w:val="00BF36C1"/>
    <w:rsid w:val="00BF6CAC"/>
    <w:rsid w:val="00C01292"/>
    <w:rsid w:val="00C0218F"/>
    <w:rsid w:val="00C05050"/>
    <w:rsid w:val="00C057A2"/>
    <w:rsid w:val="00C14052"/>
    <w:rsid w:val="00C14E85"/>
    <w:rsid w:val="00C21346"/>
    <w:rsid w:val="00C22D33"/>
    <w:rsid w:val="00C42FEB"/>
    <w:rsid w:val="00C66B50"/>
    <w:rsid w:val="00C67525"/>
    <w:rsid w:val="00C73089"/>
    <w:rsid w:val="00C86EA5"/>
    <w:rsid w:val="00C92E0A"/>
    <w:rsid w:val="00C9379A"/>
    <w:rsid w:val="00C951DC"/>
    <w:rsid w:val="00CA394A"/>
    <w:rsid w:val="00CB3A2C"/>
    <w:rsid w:val="00CB6133"/>
    <w:rsid w:val="00CD3B0C"/>
    <w:rsid w:val="00CE6A59"/>
    <w:rsid w:val="00CF1C5E"/>
    <w:rsid w:val="00CF4396"/>
    <w:rsid w:val="00CF6646"/>
    <w:rsid w:val="00D05A0A"/>
    <w:rsid w:val="00D05FDA"/>
    <w:rsid w:val="00D07D43"/>
    <w:rsid w:val="00D114C4"/>
    <w:rsid w:val="00D13BAA"/>
    <w:rsid w:val="00D211CA"/>
    <w:rsid w:val="00D23716"/>
    <w:rsid w:val="00D33F64"/>
    <w:rsid w:val="00D408D9"/>
    <w:rsid w:val="00D469C0"/>
    <w:rsid w:val="00D503E1"/>
    <w:rsid w:val="00D64945"/>
    <w:rsid w:val="00D65F38"/>
    <w:rsid w:val="00D665C6"/>
    <w:rsid w:val="00D84FF1"/>
    <w:rsid w:val="00D8699E"/>
    <w:rsid w:val="00D8771A"/>
    <w:rsid w:val="00D951AB"/>
    <w:rsid w:val="00D9742D"/>
    <w:rsid w:val="00DA1FA5"/>
    <w:rsid w:val="00DA3323"/>
    <w:rsid w:val="00DB02B8"/>
    <w:rsid w:val="00DB780C"/>
    <w:rsid w:val="00DD318C"/>
    <w:rsid w:val="00DE62CA"/>
    <w:rsid w:val="00DF1AB0"/>
    <w:rsid w:val="00E0406D"/>
    <w:rsid w:val="00E10C3E"/>
    <w:rsid w:val="00E13701"/>
    <w:rsid w:val="00E14F63"/>
    <w:rsid w:val="00E15C86"/>
    <w:rsid w:val="00E16771"/>
    <w:rsid w:val="00E228B0"/>
    <w:rsid w:val="00E23F70"/>
    <w:rsid w:val="00E24E2A"/>
    <w:rsid w:val="00E252B9"/>
    <w:rsid w:val="00E35B37"/>
    <w:rsid w:val="00E5022E"/>
    <w:rsid w:val="00E64A57"/>
    <w:rsid w:val="00E657FC"/>
    <w:rsid w:val="00E759B3"/>
    <w:rsid w:val="00EA2588"/>
    <w:rsid w:val="00EB082C"/>
    <w:rsid w:val="00EB1E66"/>
    <w:rsid w:val="00EB4421"/>
    <w:rsid w:val="00EC11AD"/>
    <w:rsid w:val="00EF723C"/>
    <w:rsid w:val="00F02AD8"/>
    <w:rsid w:val="00F043CB"/>
    <w:rsid w:val="00F04603"/>
    <w:rsid w:val="00F05529"/>
    <w:rsid w:val="00F10E61"/>
    <w:rsid w:val="00F16DBE"/>
    <w:rsid w:val="00F17A6C"/>
    <w:rsid w:val="00F17ED7"/>
    <w:rsid w:val="00F22C45"/>
    <w:rsid w:val="00F31BEF"/>
    <w:rsid w:val="00F34EA0"/>
    <w:rsid w:val="00F4142D"/>
    <w:rsid w:val="00F46CE8"/>
    <w:rsid w:val="00F50FF3"/>
    <w:rsid w:val="00F51504"/>
    <w:rsid w:val="00F539AB"/>
    <w:rsid w:val="00F72F9A"/>
    <w:rsid w:val="00F765C1"/>
    <w:rsid w:val="00F76726"/>
    <w:rsid w:val="00F84743"/>
    <w:rsid w:val="00F85036"/>
    <w:rsid w:val="00FA7F94"/>
    <w:rsid w:val="00FB30C0"/>
    <w:rsid w:val="00FC3CEF"/>
    <w:rsid w:val="00FD0FCC"/>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basedOn w:val="Normal"/>
    <w:link w:val="FootnoteTextChar"/>
    <w:rsid w:val="008918EA"/>
    <w:rPr>
      <w:sz w:val="20"/>
      <w:szCs w:val="20"/>
    </w:rPr>
  </w:style>
  <w:style w:type="character" w:styleId="FootnoteReference">
    <w:name w:val="footnote reference"/>
    <w:basedOn w:val="DefaultParagraphFont"/>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2"/>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7"/>
      </w:numPr>
    </w:pPr>
  </w:style>
  <w:style w:type="numbering" w:customStyle="1" w:styleId="RTF5fNum2045">
    <w:name w:val="RTF_5f_Num_20_45"/>
    <w:rsid w:val="005540EB"/>
    <w:pPr>
      <w:numPr>
        <w:numId w:val="26"/>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7"/>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30"/>
      </w:numPr>
    </w:pPr>
  </w:style>
  <w:style w:type="numbering" w:customStyle="1" w:styleId="RTF5fNum2048">
    <w:name w:val="RTF_5f_Num_20_48"/>
    <w:rsid w:val="005540EB"/>
    <w:pPr>
      <w:numPr>
        <w:numId w:val="28"/>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5"/>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4"/>
      </w:numPr>
    </w:pPr>
  </w:style>
  <w:style w:type="numbering" w:customStyle="1" w:styleId="RTF5fNum2053">
    <w:name w:val="RTF_5f_Num_20_53"/>
    <w:rsid w:val="005540EB"/>
    <w:pPr>
      <w:numPr>
        <w:numId w:val="31"/>
      </w:numPr>
    </w:pPr>
  </w:style>
  <w:style w:type="numbering" w:customStyle="1" w:styleId="RTF5fNum2041">
    <w:name w:val="RTF_5f_Num_20_41"/>
    <w:rsid w:val="005540EB"/>
    <w:pPr>
      <w:numPr>
        <w:numId w:val="23"/>
      </w:numPr>
    </w:pPr>
  </w:style>
  <w:style w:type="numbering" w:customStyle="1" w:styleId="RTF5fNum2039">
    <w:name w:val="RTF_5f_Num_20_39"/>
    <w:rsid w:val="005540EB"/>
    <w:pPr>
      <w:numPr>
        <w:numId w:val="21"/>
      </w:numPr>
    </w:pPr>
  </w:style>
  <w:style w:type="numbering" w:customStyle="1" w:styleId="RTF5fNum2051">
    <w:name w:val="RTF_5f_Num_20_51"/>
    <w:rsid w:val="005540EB"/>
    <w:pPr>
      <w:numPr>
        <w:numId w:val="29"/>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s>
</file>

<file path=word/webSettings.xml><?xml version="1.0" encoding="utf-8"?>
<w:webSettings xmlns:r="http://schemas.openxmlformats.org/officeDocument/2006/relationships" xmlns:w="http://schemas.openxmlformats.org/wordprocessingml/2006/main">
  <w:divs>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package" Target="embeddings/Microsoft_Office_Excel_Worksheet1.xlsx"/><Relationship Id="rId30" Type="http://schemas.openxmlformats.org/officeDocument/2006/relationships/customXml" Target="../customXml/item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D23954-07A2-4CFE-AFDE-CEA662965C4F}"/>
</file>

<file path=customXml/itemProps2.xml><?xml version="1.0" encoding="utf-8"?>
<ds:datastoreItem xmlns:ds="http://schemas.openxmlformats.org/officeDocument/2006/customXml" ds:itemID="{405CCB11-EDA5-4461-953A-EF9921CAB5B8}"/>
</file>

<file path=customXml/itemProps3.xml><?xml version="1.0" encoding="utf-8"?>
<ds:datastoreItem xmlns:ds="http://schemas.openxmlformats.org/officeDocument/2006/customXml" ds:itemID="{23D9B3EA-596C-4C2B-AFBF-8C86B3A589B4}"/>
</file>

<file path=customXml/itemProps4.xml><?xml version="1.0" encoding="utf-8"?>
<ds:datastoreItem xmlns:ds="http://schemas.openxmlformats.org/officeDocument/2006/customXml" ds:itemID="{F1B6D112-B4DE-429F-B02F-ECEE25799768}"/>
</file>

<file path=customXml/itemProps5.xml><?xml version="1.0" encoding="utf-8"?>
<ds:datastoreItem xmlns:ds="http://schemas.openxmlformats.org/officeDocument/2006/customXml" ds:itemID="{F8307951-C3F4-4307-AFE1-87AAA85693E0}"/>
</file>

<file path=docProps/app.xml><?xml version="1.0" encoding="utf-8"?>
<Properties xmlns="http://schemas.openxmlformats.org/officeDocument/2006/extended-properties" xmlns:vt="http://schemas.openxmlformats.org/officeDocument/2006/docPropsVTypes">
  <Template>Normal.dotm</Template>
  <TotalTime>638</TotalTime>
  <Pages>41</Pages>
  <Words>9225</Words>
  <Characters>48108</Characters>
  <Application>Microsoft Office Word</Application>
  <DocSecurity>0</DocSecurity>
  <Lines>400</Lines>
  <Paragraphs>114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55</cp:revision>
  <cp:lastPrinted>2010-03-17T15:18:00Z</cp:lastPrinted>
  <dcterms:created xsi:type="dcterms:W3CDTF">2010-03-06T16:40:00Z</dcterms:created>
  <dcterms:modified xsi:type="dcterms:W3CDTF">2010-03-17T21:19:00Z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