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FD" w:rsidRPr="00DB7731" w:rsidRDefault="002B6FF4" w:rsidP="00EB40FD">
      <w:pPr>
        <w:jc w:val="center"/>
        <w:rPr>
          <w:rFonts w:ascii="Arial" w:hAnsi="Arial" w:cs="Arial"/>
          <w:sz w:val="24"/>
          <w:u w:val="single"/>
        </w:rPr>
      </w:pPr>
      <w:r w:rsidRPr="002B6FF4">
        <w:rPr>
          <w:rFonts w:ascii="Arial" w:hAnsi="Arial" w:cs="Arial"/>
          <w:noProof/>
          <w:sz w:val="24"/>
          <w:szCs w:val="22"/>
        </w:rPr>
        <w:pict>
          <v:shapetype id="_x0000_t202" coordsize="21600,21600" o:spt="202" path="m,l,21600r21600,l21600,xe">
            <v:stroke joinstyle="miter"/>
            <v:path gradientshapeok="t" o:connecttype="rect"/>
          </v:shapetype>
          <v:shape id="_x0000_s1050" type="#_x0000_t202" style="position:absolute;left:0;text-align:left;margin-left:-11.3pt;margin-top:-79.3pt;width:324pt;height:49.5pt;z-index:-251661312" filled="f" stroked="f">
            <v:textbox style="mso-next-textbox:#_x0000_s1050">
              <w:txbxContent>
                <w:p w:rsidR="00632379" w:rsidRPr="00362B8A" w:rsidRDefault="00632379" w:rsidP="00362B8A">
                  <w:pPr>
                    <w:rPr>
                      <w:rFonts w:ascii="Arial" w:hAnsi="Arial" w:cs="Arial"/>
                      <w:sz w:val="22"/>
                      <w:szCs w:val="22"/>
                    </w:rPr>
                  </w:pPr>
                </w:p>
                <w:p w:rsidR="00632379" w:rsidRPr="00362B8A" w:rsidRDefault="00632379" w:rsidP="00362B8A">
                  <w:pPr>
                    <w:rPr>
                      <w:rFonts w:ascii="Arial" w:hAnsi="Arial" w:cs="Arial"/>
                      <w:sz w:val="22"/>
                      <w:szCs w:val="22"/>
                    </w:rPr>
                  </w:pPr>
                </w:p>
                <w:p w:rsidR="00632379" w:rsidRPr="00362B8A" w:rsidRDefault="00632379" w:rsidP="00362B8A">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Original Sheet 99</w:t>
                  </w:r>
                </w:p>
              </w:txbxContent>
            </v:textbox>
          </v:shape>
        </w:pict>
      </w:r>
      <w:r w:rsidRPr="002B6FF4">
        <w:rPr>
          <w:rFonts w:ascii="Arial" w:hAnsi="Arial" w:cs="Arial"/>
          <w:noProof/>
          <w:sz w:val="24"/>
          <w:szCs w:val="22"/>
        </w:rPr>
        <w:pict>
          <v:shapetype id="_x0000_t32" coordsize="21600,21600" o:spt="32" o:oned="t" path="m,l21600,21600e" filled="f">
            <v:path arrowok="t" fillok="f" o:connecttype="none"/>
            <o:lock v:ext="edit" shapetype="t"/>
          </v:shapetype>
          <v:shape id="_x0000_s1044" type="#_x0000_t32" style="position:absolute;left:0;text-align:left;margin-left:471.75pt;margin-top:8.6pt;width:0;height:540.85pt;z-index:251654144" o:connectortype="straight"/>
        </w:pict>
      </w:r>
      <w:r w:rsidRPr="002B6FF4">
        <w:rPr>
          <w:rFonts w:ascii="Arial" w:hAnsi="Arial" w:cs="Arial"/>
          <w:noProof/>
          <w:sz w:val="24"/>
          <w:szCs w:val="22"/>
        </w:rPr>
        <w:pict>
          <v:shape id="_x0000_s1037" type="#_x0000_t202" style="position:absolute;left:0;text-align:left;margin-left:457.8pt;margin-top:-9.2pt;width:36pt;height:583.55pt;z-index:251653120" filled="f" strokecolor="white">
            <v:textbox style="mso-next-textbox:#_x0000_s1037">
              <w:txbxContent>
                <w:p w:rsidR="00632379" w:rsidRDefault="00632379" w:rsidP="004978F1">
                  <w:pPr>
                    <w:rPr>
                      <w:sz w:val="22"/>
                      <w:szCs w:val="22"/>
                    </w:rPr>
                  </w:pPr>
                  <w:r w:rsidRPr="00CF18BB">
                    <w:rPr>
                      <w:sz w:val="22"/>
                      <w:szCs w:val="22"/>
                    </w:rPr>
                    <w:t>(</w:t>
                  </w:r>
                  <w:r>
                    <w:rPr>
                      <w:sz w:val="22"/>
                      <w:szCs w:val="22"/>
                    </w:rPr>
                    <w:t>N</w:t>
                  </w:r>
                  <w:r w:rsidRPr="00CF18BB">
                    <w:rPr>
                      <w:sz w:val="22"/>
                      <w:szCs w:val="22"/>
                    </w:rPr>
                    <w:t>)</w:t>
                  </w: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r>
                    <w:rPr>
                      <w:sz w:val="22"/>
                      <w:szCs w:val="22"/>
                    </w:rPr>
                    <w:t>(N)</w:t>
                  </w: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p w:rsidR="00632379" w:rsidRDefault="00632379" w:rsidP="004978F1">
                  <w:pPr>
                    <w:rPr>
                      <w:sz w:val="22"/>
                      <w:szCs w:val="22"/>
                    </w:rPr>
                  </w:pPr>
                </w:p>
              </w:txbxContent>
            </v:textbox>
          </v:shape>
        </w:pict>
      </w:r>
      <w:r w:rsidR="000A2390" w:rsidRPr="005043B7">
        <w:rPr>
          <w:rFonts w:ascii="Arial" w:hAnsi="Arial" w:cs="Arial"/>
          <w:sz w:val="24"/>
        </w:rPr>
        <w:t xml:space="preserve"> </w:t>
      </w:r>
      <w:r w:rsidR="00163105" w:rsidRPr="00DB7731">
        <w:rPr>
          <w:rFonts w:ascii="Arial" w:hAnsi="Arial" w:cs="Arial"/>
          <w:sz w:val="24"/>
          <w:u w:val="single"/>
        </w:rPr>
        <w:t xml:space="preserve">SCHEDULE </w:t>
      </w:r>
      <w:r w:rsidR="00DF35B5" w:rsidRPr="00DB7731">
        <w:rPr>
          <w:rFonts w:ascii="Arial" w:hAnsi="Arial" w:cs="Arial"/>
          <w:sz w:val="24"/>
          <w:u w:val="single"/>
        </w:rPr>
        <w:t>99</w:t>
      </w:r>
    </w:p>
    <w:p w:rsidR="00EB40FD" w:rsidRPr="00DB7731" w:rsidRDefault="00EB40FD" w:rsidP="00EB40FD">
      <w:pPr>
        <w:jc w:val="center"/>
        <w:rPr>
          <w:rFonts w:ascii="Arial" w:hAnsi="Arial" w:cs="Arial"/>
          <w:sz w:val="24"/>
          <w:u w:val="single"/>
        </w:rPr>
      </w:pPr>
    </w:p>
    <w:p w:rsidR="00EB40FD" w:rsidRPr="00DB7731" w:rsidRDefault="00F43743" w:rsidP="00EB40FD">
      <w:pPr>
        <w:jc w:val="center"/>
        <w:rPr>
          <w:rFonts w:ascii="Arial" w:hAnsi="Arial" w:cs="Arial"/>
          <w:sz w:val="22"/>
          <w:u w:val="single"/>
        </w:rPr>
      </w:pPr>
      <w:r w:rsidRPr="00DB7731">
        <w:rPr>
          <w:rFonts w:ascii="Arial" w:hAnsi="Arial" w:cs="Arial"/>
          <w:sz w:val="24"/>
          <w:u w:val="single"/>
        </w:rPr>
        <w:t>DECOUPLING</w:t>
      </w:r>
      <w:r w:rsidR="004C27B8" w:rsidRPr="00DB7731">
        <w:rPr>
          <w:rFonts w:ascii="Arial" w:hAnsi="Arial" w:cs="Arial"/>
          <w:sz w:val="24"/>
          <w:u w:val="single"/>
        </w:rPr>
        <w:t xml:space="preserve"> MECHANISM – </w:t>
      </w:r>
      <w:r w:rsidR="00163105" w:rsidRPr="00DB7731">
        <w:rPr>
          <w:rFonts w:ascii="Arial" w:hAnsi="Arial" w:cs="Arial"/>
          <w:sz w:val="24"/>
          <w:u w:val="single"/>
        </w:rPr>
        <w:t>ELECTRIC</w:t>
      </w:r>
    </w:p>
    <w:p w:rsidR="00EB40FD" w:rsidRPr="00DB7731" w:rsidRDefault="00EB40FD" w:rsidP="00EB40FD">
      <w:pPr>
        <w:ind w:right="-36"/>
        <w:rPr>
          <w:rFonts w:ascii="Arial" w:hAnsi="Arial" w:cs="Arial"/>
          <w:position w:val="6"/>
          <w:sz w:val="24"/>
          <w:u w:val="single"/>
        </w:rPr>
      </w:pPr>
    </w:p>
    <w:p w:rsidR="00EB40FD" w:rsidRPr="00DB7731" w:rsidRDefault="00EB40FD" w:rsidP="00EB40FD">
      <w:pPr>
        <w:ind w:right="-36"/>
        <w:rPr>
          <w:rFonts w:ascii="Arial" w:hAnsi="Arial" w:cs="Arial"/>
          <w:b/>
          <w:position w:val="6"/>
          <w:sz w:val="24"/>
          <w:szCs w:val="22"/>
          <w:u w:val="single"/>
        </w:rPr>
      </w:pPr>
      <w:r w:rsidRPr="00DB7731">
        <w:rPr>
          <w:rFonts w:ascii="Arial" w:hAnsi="Arial" w:cs="Arial"/>
          <w:b/>
          <w:position w:val="6"/>
          <w:sz w:val="24"/>
          <w:szCs w:val="22"/>
          <w:u w:val="single"/>
        </w:rPr>
        <w:t>PURPOSE:</w:t>
      </w:r>
    </w:p>
    <w:p w:rsidR="005043B7" w:rsidRPr="00DB7731" w:rsidRDefault="00EB40FD" w:rsidP="008C51FB">
      <w:pPr>
        <w:pStyle w:val="BodyText"/>
        <w:jc w:val="both"/>
        <w:rPr>
          <w:sz w:val="24"/>
          <w:u w:val="single"/>
        </w:rPr>
      </w:pPr>
      <w:r w:rsidRPr="00DB7731">
        <w:rPr>
          <w:sz w:val="24"/>
          <w:u w:val="single"/>
        </w:rPr>
        <w:tab/>
      </w:r>
    </w:p>
    <w:p w:rsidR="00EB40FD" w:rsidRPr="00DB7731" w:rsidRDefault="00EB40FD" w:rsidP="001A0A41">
      <w:pPr>
        <w:pStyle w:val="BodyText"/>
        <w:ind w:firstLine="720"/>
        <w:jc w:val="both"/>
        <w:rPr>
          <w:i/>
          <w:sz w:val="24"/>
          <w:u w:val="single"/>
        </w:rPr>
      </w:pPr>
      <w:r w:rsidRPr="00DB7731">
        <w:rPr>
          <w:sz w:val="24"/>
          <w:u w:val="single"/>
        </w:rPr>
        <w:t xml:space="preserve">This Schedule </w:t>
      </w:r>
      <w:r w:rsidR="005F3003" w:rsidRPr="00DB7731">
        <w:rPr>
          <w:sz w:val="24"/>
          <w:u w:val="single"/>
        </w:rPr>
        <w:t xml:space="preserve">establishes balancing accounts and implements an annual rate adjustment mechanism that decouples or separates the recovery of the Company’s Commission authorized revenues from </w:t>
      </w:r>
      <w:r w:rsidR="00632379" w:rsidRPr="00DB7731">
        <w:rPr>
          <w:sz w:val="24"/>
          <w:u w:val="single"/>
        </w:rPr>
        <w:t xml:space="preserve">kilowatt-hour sales to </w:t>
      </w:r>
      <w:r w:rsidR="005F3003" w:rsidRPr="00DB7731">
        <w:rPr>
          <w:sz w:val="24"/>
          <w:u w:val="single"/>
        </w:rPr>
        <w:t>customers served under the applicable electric service schedules.</w:t>
      </w:r>
    </w:p>
    <w:p w:rsidR="00EB40FD" w:rsidRPr="00DB7731" w:rsidRDefault="00EB40FD">
      <w:pPr>
        <w:ind w:right="-36"/>
        <w:rPr>
          <w:rFonts w:ascii="Arial" w:hAnsi="Arial" w:cs="Arial"/>
          <w:sz w:val="24"/>
          <w:szCs w:val="22"/>
          <w:u w:val="single"/>
        </w:rPr>
      </w:pPr>
    </w:p>
    <w:p w:rsidR="005043B7" w:rsidRPr="00DB7731" w:rsidRDefault="005043B7">
      <w:pPr>
        <w:ind w:right="-36"/>
        <w:rPr>
          <w:rFonts w:ascii="Arial" w:hAnsi="Arial" w:cs="Arial"/>
          <w:b/>
          <w:sz w:val="24"/>
          <w:szCs w:val="22"/>
          <w:u w:val="single"/>
        </w:rPr>
      </w:pPr>
    </w:p>
    <w:p w:rsidR="0027750E" w:rsidRPr="00DB7731" w:rsidRDefault="0027750E">
      <w:pPr>
        <w:ind w:right="-36"/>
        <w:rPr>
          <w:rFonts w:ascii="Arial" w:hAnsi="Arial" w:cs="Arial"/>
          <w:b/>
          <w:sz w:val="24"/>
          <w:szCs w:val="22"/>
          <w:u w:val="single"/>
        </w:rPr>
      </w:pPr>
      <w:r w:rsidRPr="00DB7731">
        <w:rPr>
          <w:rFonts w:ascii="Arial" w:hAnsi="Arial" w:cs="Arial"/>
          <w:b/>
          <w:sz w:val="24"/>
          <w:szCs w:val="22"/>
          <w:u w:val="single"/>
        </w:rPr>
        <w:t>APPLICABLE:</w:t>
      </w:r>
    </w:p>
    <w:p w:rsidR="005043B7" w:rsidRPr="00DB7731" w:rsidRDefault="005043B7" w:rsidP="00DC1EB9">
      <w:pPr>
        <w:ind w:firstLine="720"/>
        <w:jc w:val="both"/>
        <w:rPr>
          <w:rFonts w:ascii="Arial" w:eastAsiaTheme="minorEastAsia" w:hAnsi="Arial" w:cs="Arial"/>
          <w:noProof/>
          <w:sz w:val="24"/>
          <w:u w:val="single"/>
        </w:rPr>
      </w:pPr>
    </w:p>
    <w:p w:rsidR="00F43743" w:rsidRPr="00DB7731" w:rsidRDefault="00F43743" w:rsidP="00DC1EB9">
      <w:pPr>
        <w:ind w:firstLine="720"/>
        <w:jc w:val="both"/>
        <w:rPr>
          <w:rFonts w:ascii="Arial" w:eastAsiaTheme="minorEastAsia" w:hAnsi="Arial" w:cs="Arial"/>
          <w:noProof/>
          <w:sz w:val="24"/>
          <w:u w:val="single"/>
        </w:rPr>
      </w:pPr>
      <w:r w:rsidRPr="00DB7731">
        <w:rPr>
          <w:rFonts w:ascii="Arial" w:eastAsiaTheme="minorEastAsia" w:hAnsi="Arial" w:cs="Arial"/>
          <w:noProof/>
          <w:sz w:val="24"/>
          <w:u w:val="single"/>
        </w:rPr>
        <w:t xml:space="preserve">To Customers in the State of Washington where the Company has </w:t>
      </w:r>
      <w:r w:rsidR="00DC1EB9" w:rsidRPr="00DB7731">
        <w:rPr>
          <w:rFonts w:ascii="Arial" w:eastAsiaTheme="minorEastAsia" w:hAnsi="Arial" w:cs="Arial"/>
          <w:noProof/>
          <w:sz w:val="24"/>
          <w:u w:val="single"/>
        </w:rPr>
        <w:t>electric</w:t>
      </w:r>
      <w:r w:rsidRPr="00DB7731">
        <w:rPr>
          <w:rFonts w:ascii="Arial" w:eastAsiaTheme="minorEastAsia" w:hAnsi="Arial" w:cs="Arial"/>
          <w:noProof/>
          <w:sz w:val="24"/>
          <w:u w:val="single"/>
        </w:rPr>
        <w:t xml:space="preserve"> service available.  This schedule shall be applicable to all retail customers taking service under Schedules 1, 11, 12, 21, 22, 25, 31, and 32.  </w:t>
      </w:r>
      <w:r w:rsidR="00DC1EB9" w:rsidRPr="00DB7731">
        <w:rPr>
          <w:rFonts w:ascii="Arial" w:eastAsiaTheme="minorEastAsia" w:hAnsi="Arial" w:cs="Arial"/>
          <w:noProof/>
          <w:sz w:val="24"/>
          <w:u w:val="single"/>
        </w:rPr>
        <w:t xml:space="preserve">This Schedule does not apply to </w:t>
      </w:r>
      <w:r w:rsidRPr="00DB7731">
        <w:rPr>
          <w:rFonts w:ascii="Arial" w:eastAsiaTheme="minorEastAsia" w:hAnsi="Arial" w:cs="Arial"/>
          <w:noProof/>
          <w:sz w:val="24"/>
          <w:u w:val="single"/>
        </w:rPr>
        <w:t>Street and Area Light schedules (41-48).  Applicable Customers will be segregated into three (3) distinct Rate Groups:</w:t>
      </w:r>
    </w:p>
    <w:p w:rsidR="003E09EF" w:rsidRPr="00DB7731" w:rsidRDefault="003E09EF" w:rsidP="00F43743">
      <w:pPr>
        <w:rPr>
          <w:rFonts w:ascii="Arial" w:eastAsiaTheme="minorEastAsia" w:hAnsi="Arial" w:cs="Arial"/>
          <w:noProof/>
          <w:sz w:val="24"/>
          <w:u w:val="single"/>
        </w:rPr>
      </w:pPr>
    </w:p>
    <w:p w:rsidR="00F43743" w:rsidRPr="00DB7731" w:rsidRDefault="00F43743" w:rsidP="008C51FB">
      <w:pPr>
        <w:ind w:left="720"/>
        <w:rPr>
          <w:rFonts w:ascii="Arial" w:eastAsiaTheme="minorEastAsia" w:hAnsi="Arial" w:cs="Arial"/>
          <w:noProof/>
          <w:sz w:val="24"/>
          <w:u w:val="single"/>
        </w:rPr>
      </w:pPr>
      <w:r w:rsidRPr="00DB7731">
        <w:rPr>
          <w:rFonts w:ascii="Arial" w:eastAsiaTheme="minorEastAsia" w:hAnsi="Arial" w:cs="Arial"/>
          <w:noProof/>
          <w:sz w:val="24"/>
          <w:u w:val="single"/>
        </w:rPr>
        <w:t>Group 1 – Schedule 1</w:t>
      </w:r>
    </w:p>
    <w:p w:rsidR="00F43743" w:rsidRPr="00DB7731" w:rsidRDefault="00F43743" w:rsidP="008C51FB">
      <w:pPr>
        <w:ind w:left="720"/>
        <w:rPr>
          <w:rFonts w:ascii="Arial" w:eastAsiaTheme="minorEastAsia" w:hAnsi="Arial" w:cs="Arial"/>
          <w:noProof/>
          <w:sz w:val="24"/>
          <w:u w:val="single"/>
        </w:rPr>
      </w:pPr>
      <w:r w:rsidRPr="00DB7731">
        <w:rPr>
          <w:rFonts w:ascii="Arial" w:eastAsiaTheme="minorEastAsia" w:hAnsi="Arial" w:cs="Arial"/>
          <w:noProof/>
          <w:sz w:val="24"/>
          <w:u w:val="single"/>
        </w:rPr>
        <w:t>Group 2 – Schedules 11, 12, 21, 22, 31, 32</w:t>
      </w:r>
    </w:p>
    <w:p w:rsidR="00F43743" w:rsidRPr="00DB7731" w:rsidRDefault="00F43743" w:rsidP="008C51FB">
      <w:pPr>
        <w:ind w:left="720"/>
        <w:rPr>
          <w:rFonts w:ascii="Arial" w:eastAsiaTheme="minorEastAsia" w:hAnsi="Arial" w:cs="Arial"/>
          <w:noProof/>
          <w:sz w:val="24"/>
          <w:u w:val="single"/>
        </w:rPr>
      </w:pPr>
      <w:r w:rsidRPr="00DB7731">
        <w:rPr>
          <w:rFonts w:ascii="Arial" w:eastAsiaTheme="minorEastAsia" w:hAnsi="Arial" w:cs="Arial"/>
          <w:noProof/>
          <w:sz w:val="24"/>
          <w:u w:val="single"/>
        </w:rPr>
        <w:t>Group 3 – Schedule 25</w:t>
      </w:r>
    </w:p>
    <w:p w:rsidR="00F43743" w:rsidRPr="00DB7731" w:rsidRDefault="00F43743" w:rsidP="00F43743">
      <w:pPr>
        <w:rPr>
          <w:rFonts w:ascii="Arial" w:eastAsiaTheme="minorEastAsia" w:hAnsi="Arial" w:cs="Arial"/>
          <w:noProof/>
          <w:sz w:val="24"/>
          <w:u w:val="single"/>
        </w:rPr>
      </w:pPr>
    </w:p>
    <w:p w:rsidR="005043B7" w:rsidRPr="00DB7731" w:rsidRDefault="005043B7" w:rsidP="000130A8">
      <w:pPr>
        <w:ind w:right="-36"/>
        <w:rPr>
          <w:rFonts w:ascii="Arial" w:hAnsi="Arial" w:cs="Arial"/>
          <w:b/>
          <w:sz w:val="24"/>
          <w:szCs w:val="22"/>
          <w:u w:val="single"/>
        </w:rPr>
      </w:pPr>
    </w:p>
    <w:p w:rsidR="005043B7" w:rsidRPr="00DB7731" w:rsidRDefault="005043B7" w:rsidP="000130A8">
      <w:pPr>
        <w:ind w:right="-36"/>
        <w:rPr>
          <w:rFonts w:ascii="Arial" w:hAnsi="Arial" w:cs="Arial"/>
          <w:b/>
          <w:sz w:val="24"/>
          <w:szCs w:val="22"/>
          <w:u w:val="single"/>
        </w:rPr>
      </w:pPr>
    </w:p>
    <w:p w:rsidR="00F43743" w:rsidRPr="00DB7731" w:rsidRDefault="002B6FF4" w:rsidP="000130A8">
      <w:pPr>
        <w:ind w:right="-36"/>
        <w:rPr>
          <w:rFonts w:ascii="Arial" w:hAnsi="Arial" w:cs="Arial"/>
          <w:b/>
          <w:sz w:val="24"/>
          <w:szCs w:val="22"/>
          <w:u w:val="single"/>
        </w:rPr>
      </w:pPr>
      <w:r w:rsidRPr="00DB7731">
        <w:rPr>
          <w:rFonts w:ascii="Arial" w:hAnsi="Arial" w:cs="Arial"/>
          <w:b/>
          <w:noProof/>
          <w:sz w:val="24"/>
          <w:szCs w:val="22"/>
          <w:u w:val="single"/>
        </w:rPr>
        <w:pict>
          <v:shape id="_x0000_s1036" type="#_x0000_t202" style="position:absolute;margin-left:457.8pt;margin-top:.2pt;width:36pt;height:172.45pt;z-index:251650048" filled="f" strokecolor="white">
            <v:textbox style="mso-next-textbox:#_x0000_s1036">
              <w:txbxContent>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0D352D">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p w:rsidR="00632379" w:rsidRDefault="00632379" w:rsidP="00BA593A">
                  <w:pPr>
                    <w:rPr>
                      <w:sz w:val="22"/>
                      <w:szCs w:val="22"/>
                    </w:rPr>
                  </w:pPr>
                </w:p>
              </w:txbxContent>
            </v:textbox>
          </v:shape>
        </w:pict>
      </w:r>
      <w:r w:rsidR="0027750E" w:rsidRPr="00DB7731">
        <w:rPr>
          <w:rFonts w:ascii="Arial" w:hAnsi="Arial" w:cs="Arial"/>
          <w:b/>
          <w:sz w:val="24"/>
          <w:szCs w:val="22"/>
          <w:u w:val="single"/>
        </w:rPr>
        <w:t xml:space="preserve">MONTHLY </w:t>
      </w:r>
      <w:smartTag w:uri="urn:schemas-microsoft-com:office:smarttags" w:element="stockticker">
        <w:r w:rsidR="0027750E" w:rsidRPr="00DB7731">
          <w:rPr>
            <w:rFonts w:ascii="Arial" w:hAnsi="Arial" w:cs="Arial"/>
            <w:b/>
            <w:sz w:val="24"/>
            <w:szCs w:val="22"/>
            <w:u w:val="single"/>
          </w:rPr>
          <w:t>RATE</w:t>
        </w:r>
      </w:smartTag>
      <w:r w:rsidR="0027750E" w:rsidRPr="00DB7731">
        <w:rPr>
          <w:rFonts w:ascii="Arial" w:hAnsi="Arial" w:cs="Arial"/>
          <w:b/>
          <w:sz w:val="24"/>
          <w:szCs w:val="22"/>
          <w:u w:val="single"/>
        </w:rPr>
        <w:t>:</w:t>
      </w:r>
      <w:r w:rsidR="000130A8" w:rsidRPr="00DB7731">
        <w:rPr>
          <w:rFonts w:ascii="Arial" w:hAnsi="Arial" w:cs="Arial"/>
          <w:b/>
          <w:sz w:val="24"/>
          <w:szCs w:val="22"/>
          <w:u w:val="single"/>
        </w:rPr>
        <w:t xml:space="preserve">   </w:t>
      </w:r>
      <w:r w:rsidR="0027750E" w:rsidRPr="00DB7731">
        <w:rPr>
          <w:rFonts w:ascii="Arial" w:hAnsi="Arial" w:cs="Arial"/>
          <w:b/>
          <w:sz w:val="24"/>
          <w:szCs w:val="22"/>
          <w:u w:val="single"/>
        </w:rPr>
        <w:tab/>
      </w:r>
    </w:p>
    <w:p w:rsidR="00F43743" w:rsidRPr="00DB7731" w:rsidRDefault="00F43743" w:rsidP="000130A8">
      <w:pPr>
        <w:ind w:right="-36"/>
        <w:rPr>
          <w:rFonts w:ascii="Arial" w:hAnsi="Arial" w:cs="Arial"/>
          <w:sz w:val="24"/>
          <w:szCs w:val="22"/>
          <w:u w:val="single"/>
        </w:rPr>
      </w:pPr>
    </w:p>
    <w:p w:rsidR="00F43743" w:rsidRPr="00DB7731" w:rsidRDefault="00F43743" w:rsidP="008C51FB">
      <w:pPr>
        <w:ind w:left="720"/>
        <w:rPr>
          <w:rFonts w:ascii="Arial" w:eastAsiaTheme="minorEastAsia" w:hAnsi="Arial" w:cs="Arial"/>
          <w:noProof/>
          <w:sz w:val="24"/>
          <w:szCs w:val="22"/>
          <w:u w:val="single"/>
        </w:rPr>
      </w:pPr>
      <w:r w:rsidRPr="00DB7731">
        <w:rPr>
          <w:rFonts w:ascii="Arial" w:eastAsiaTheme="minorEastAsia" w:hAnsi="Arial" w:cs="Arial"/>
          <w:noProof/>
          <w:sz w:val="24"/>
          <w:szCs w:val="22"/>
          <w:u w:val="single"/>
        </w:rPr>
        <w:t>Group 1 – $0.00000 per kWh</w:t>
      </w:r>
    </w:p>
    <w:p w:rsidR="00F43743" w:rsidRPr="00DB7731" w:rsidRDefault="00F43743" w:rsidP="008C51FB">
      <w:pPr>
        <w:ind w:left="720"/>
        <w:rPr>
          <w:rFonts w:ascii="Arial" w:eastAsiaTheme="minorEastAsia" w:hAnsi="Arial" w:cs="Arial"/>
          <w:noProof/>
          <w:sz w:val="24"/>
          <w:szCs w:val="22"/>
          <w:u w:val="single"/>
        </w:rPr>
      </w:pPr>
      <w:r w:rsidRPr="00DB7731">
        <w:rPr>
          <w:rFonts w:ascii="Arial" w:eastAsiaTheme="minorEastAsia" w:hAnsi="Arial" w:cs="Arial"/>
          <w:noProof/>
          <w:sz w:val="24"/>
          <w:szCs w:val="22"/>
          <w:u w:val="single"/>
        </w:rPr>
        <w:t>Group 2 – $0.00000 per kWh</w:t>
      </w:r>
    </w:p>
    <w:p w:rsidR="00F43743" w:rsidRPr="00DB7731" w:rsidRDefault="00F43743" w:rsidP="008C51FB">
      <w:pPr>
        <w:ind w:left="720"/>
        <w:rPr>
          <w:rFonts w:ascii="Arial" w:eastAsiaTheme="minorEastAsia" w:hAnsi="Arial" w:cs="Arial"/>
          <w:noProof/>
          <w:sz w:val="24"/>
          <w:szCs w:val="22"/>
          <w:u w:val="single"/>
        </w:rPr>
      </w:pPr>
      <w:r w:rsidRPr="00DB7731">
        <w:rPr>
          <w:rFonts w:ascii="Arial" w:eastAsiaTheme="minorEastAsia" w:hAnsi="Arial" w:cs="Arial"/>
          <w:noProof/>
          <w:sz w:val="24"/>
          <w:szCs w:val="22"/>
          <w:u w:val="single"/>
        </w:rPr>
        <w:t>Group 3 – $0.00000 per kWh</w:t>
      </w:r>
    </w:p>
    <w:p w:rsidR="00F43743" w:rsidRPr="00DB7731" w:rsidRDefault="00F43743" w:rsidP="000130A8">
      <w:pPr>
        <w:ind w:right="-36"/>
        <w:rPr>
          <w:rFonts w:ascii="Arial" w:hAnsi="Arial" w:cs="Arial"/>
          <w:b/>
          <w:sz w:val="24"/>
          <w:szCs w:val="22"/>
          <w:u w:val="single"/>
        </w:rPr>
      </w:pPr>
    </w:p>
    <w:p w:rsidR="003E09EF" w:rsidRPr="00DB7731" w:rsidRDefault="003E09EF" w:rsidP="003E09EF">
      <w:pPr>
        <w:ind w:left="720"/>
        <w:jc w:val="both"/>
        <w:rPr>
          <w:rFonts w:ascii="Arial" w:hAnsi="Arial" w:cs="Arial"/>
          <w:sz w:val="24"/>
          <w:szCs w:val="22"/>
          <w:u w:val="single"/>
        </w:rPr>
      </w:pPr>
    </w:p>
    <w:p w:rsidR="00CC703E" w:rsidRPr="00DB7731" w:rsidRDefault="00CC703E">
      <w:pPr>
        <w:autoSpaceDE/>
        <w:autoSpaceDN/>
        <w:spacing w:after="200" w:line="276" w:lineRule="auto"/>
        <w:rPr>
          <w:rFonts w:ascii="Arial" w:hAnsi="Arial" w:cs="Arial"/>
          <w:sz w:val="22"/>
          <w:szCs w:val="22"/>
          <w:u w:val="single"/>
        </w:rPr>
      </w:pPr>
      <w:r w:rsidRPr="00DB7731">
        <w:rPr>
          <w:rFonts w:ascii="Arial" w:hAnsi="Arial" w:cs="Arial"/>
          <w:sz w:val="22"/>
          <w:szCs w:val="22"/>
          <w:u w:val="single"/>
        </w:rPr>
        <w:br w:type="page"/>
      </w:r>
    </w:p>
    <w:p w:rsidR="00CC703E" w:rsidRPr="00DB7731" w:rsidRDefault="002B6FF4" w:rsidP="00756E65">
      <w:pPr>
        <w:jc w:val="center"/>
        <w:rPr>
          <w:rFonts w:ascii="Arial" w:hAnsi="Arial" w:cs="Arial"/>
          <w:snapToGrid w:val="0"/>
          <w:position w:val="6"/>
          <w:sz w:val="24"/>
          <w:u w:val="single"/>
        </w:rPr>
      </w:pPr>
      <w:r w:rsidRPr="00DB7731">
        <w:rPr>
          <w:rFonts w:ascii="Arial" w:hAnsi="Arial" w:cs="Arial"/>
          <w:noProof/>
          <w:position w:val="6"/>
          <w:sz w:val="24"/>
          <w:u w:val="single"/>
        </w:rPr>
        <w:lastRenderedPageBreak/>
        <w:pict>
          <v:shape id="_x0000_s1055" type="#_x0000_t202" style="position:absolute;left:0;text-align:left;margin-left:-11.55pt;margin-top:-78.05pt;width:324pt;height:49.5pt;z-index:-251658240" filled="f" stroked="f">
            <v:textbox style="mso-next-textbox:#_x0000_s1055">
              <w:txbxContent>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A</w:t>
                  </w:r>
                  <w:proofErr w:type="spellEnd"/>
                </w:p>
              </w:txbxContent>
            </v:textbox>
          </v:shape>
        </w:pict>
      </w:r>
      <w:r w:rsidRPr="00DB7731">
        <w:rPr>
          <w:rFonts w:ascii="Arial" w:hAnsi="Arial" w:cs="Arial"/>
          <w:noProof/>
          <w:position w:val="6"/>
          <w:sz w:val="24"/>
          <w:u w:val="single"/>
        </w:rPr>
        <w:pict>
          <v:shape id="_x0000_s1054" type="#_x0000_t32" style="position:absolute;left:0;text-align:left;margin-left:476.8pt;margin-top:12pt;width:0;height:540.85pt;z-index:251657216" o:connectortype="straight"/>
        </w:pict>
      </w:r>
      <w:r w:rsidRPr="00DB7731">
        <w:rPr>
          <w:rFonts w:ascii="Arial" w:hAnsi="Arial" w:cs="Arial"/>
          <w:noProof/>
          <w:position w:val="6"/>
          <w:sz w:val="24"/>
          <w:u w:val="single"/>
        </w:rPr>
        <w:pict>
          <v:shape id="_x0000_s1053" type="#_x0000_t202" style="position:absolute;left:0;text-align:left;margin-left:463.1pt;margin-top:-8.35pt;width:36pt;height:583.55pt;z-index:251656192" filled="f" strokecolor="white">
            <v:textbox style="mso-next-textbox:#_x0000_s1053">
              <w:txbxContent>
                <w:p w:rsidR="00632379" w:rsidRDefault="00632379" w:rsidP="00CC703E">
                  <w:pPr>
                    <w:rPr>
                      <w:sz w:val="22"/>
                      <w:szCs w:val="22"/>
                    </w:rPr>
                  </w:pPr>
                  <w:r w:rsidRPr="00CF18BB">
                    <w:rPr>
                      <w:sz w:val="22"/>
                      <w:szCs w:val="22"/>
                    </w:rPr>
                    <w:t>(</w:t>
                  </w:r>
                  <w:r>
                    <w:rPr>
                      <w:sz w:val="22"/>
                      <w:szCs w:val="22"/>
                    </w:rPr>
                    <w:t>N</w:t>
                  </w:r>
                  <w:r w:rsidRPr="00CF18BB">
                    <w:rPr>
                      <w:sz w:val="22"/>
                      <w:szCs w:val="22"/>
                    </w:rPr>
                    <w:t>)</w:t>
                  </w: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r>
                    <w:rPr>
                      <w:sz w:val="22"/>
                      <w:szCs w:val="22"/>
                    </w:rPr>
                    <w:t>(N)</w:t>
                  </w: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p w:rsidR="00632379" w:rsidRDefault="00632379" w:rsidP="00CC703E">
                  <w:pPr>
                    <w:rPr>
                      <w:sz w:val="22"/>
                      <w:szCs w:val="22"/>
                    </w:rPr>
                  </w:pPr>
                </w:p>
              </w:txbxContent>
            </v:textbox>
          </v:shape>
        </w:pict>
      </w:r>
      <w:r w:rsidR="00CC703E" w:rsidRPr="00DB7731">
        <w:rPr>
          <w:rFonts w:ascii="Arial" w:hAnsi="Arial" w:cs="Arial"/>
          <w:snapToGrid w:val="0"/>
          <w:position w:val="6"/>
          <w:sz w:val="24"/>
          <w:u w:val="single"/>
        </w:rPr>
        <w:t xml:space="preserve">SCHEDULE </w:t>
      </w:r>
      <w:proofErr w:type="spellStart"/>
      <w:r w:rsidR="00CC703E" w:rsidRPr="00DB7731">
        <w:rPr>
          <w:rFonts w:ascii="Arial" w:hAnsi="Arial" w:cs="Arial"/>
          <w:snapToGrid w:val="0"/>
          <w:position w:val="6"/>
          <w:sz w:val="24"/>
          <w:u w:val="single"/>
        </w:rPr>
        <w:t>99A</w:t>
      </w:r>
      <w:proofErr w:type="spellEnd"/>
    </w:p>
    <w:p w:rsidR="001A0F80" w:rsidRPr="00DB7731" w:rsidRDefault="001A0F80" w:rsidP="00CC703E">
      <w:pPr>
        <w:jc w:val="center"/>
        <w:rPr>
          <w:rFonts w:ascii="Arial" w:hAnsi="Arial" w:cs="Arial"/>
          <w:sz w:val="24"/>
          <w:u w:val="single"/>
        </w:rPr>
      </w:pPr>
    </w:p>
    <w:p w:rsidR="00CC703E" w:rsidRPr="00DB7731" w:rsidRDefault="00CC703E" w:rsidP="00CC703E">
      <w:pPr>
        <w:jc w:val="center"/>
        <w:rPr>
          <w:rFonts w:ascii="Arial" w:hAnsi="Arial" w:cs="Arial"/>
          <w:sz w:val="22"/>
          <w:u w:val="single"/>
        </w:rPr>
      </w:pPr>
      <w:r w:rsidRPr="00DB7731">
        <w:rPr>
          <w:rFonts w:ascii="Arial" w:hAnsi="Arial" w:cs="Arial"/>
          <w:sz w:val="24"/>
          <w:u w:val="single"/>
        </w:rPr>
        <w:t>DECOUPLING MECHANISM – ELECTRIC (continued)</w:t>
      </w:r>
    </w:p>
    <w:p w:rsidR="005043B7" w:rsidRPr="00DB7731" w:rsidRDefault="005043B7" w:rsidP="005043B7">
      <w:pPr>
        <w:tabs>
          <w:tab w:val="left" w:pos="7786"/>
        </w:tabs>
        <w:ind w:right="-36"/>
        <w:rPr>
          <w:rFonts w:ascii="Arial" w:hAnsi="Arial" w:cs="Arial"/>
          <w:b/>
          <w:sz w:val="24"/>
          <w:szCs w:val="22"/>
          <w:u w:val="single"/>
        </w:rPr>
      </w:pPr>
    </w:p>
    <w:p w:rsidR="005043B7" w:rsidRPr="00DB7731" w:rsidRDefault="005043B7" w:rsidP="005043B7">
      <w:pPr>
        <w:tabs>
          <w:tab w:val="left" w:pos="7786"/>
        </w:tabs>
        <w:ind w:right="-36"/>
        <w:rPr>
          <w:rFonts w:ascii="Arial" w:hAnsi="Arial" w:cs="Arial"/>
          <w:b/>
          <w:sz w:val="24"/>
          <w:szCs w:val="22"/>
          <w:u w:val="single"/>
        </w:rPr>
      </w:pPr>
      <w:r w:rsidRPr="00DB7731">
        <w:rPr>
          <w:rFonts w:ascii="Arial" w:hAnsi="Arial" w:cs="Arial"/>
          <w:b/>
          <w:sz w:val="24"/>
          <w:szCs w:val="22"/>
          <w:u w:val="single"/>
        </w:rPr>
        <w:t>DESCRIPTION OF THE ELECTRIC DECOUPLING MECHANISM:</w:t>
      </w:r>
      <w:r w:rsidRPr="00DB7731">
        <w:rPr>
          <w:rFonts w:ascii="Arial" w:hAnsi="Arial" w:cs="Arial"/>
          <w:b/>
          <w:sz w:val="24"/>
          <w:szCs w:val="22"/>
          <w:u w:val="single"/>
        </w:rPr>
        <w:tab/>
      </w:r>
    </w:p>
    <w:p w:rsidR="005043B7" w:rsidRPr="00DB7731" w:rsidRDefault="005043B7" w:rsidP="005043B7">
      <w:pPr>
        <w:ind w:firstLine="720"/>
        <w:jc w:val="both"/>
        <w:rPr>
          <w:rFonts w:ascii="Arial" w:hAnsi="Arial" w:cs="Arial"/>
          <w:sz w:val="24"/>
          <w:szCs w:val="22"/>
          <w:u w:val="single"/>
        </w:rPr>
      </w:pPr>
    </w:p>
    <w:p w:rsidR="005043B7" w:rsidRPr="00DB7731" w:rsidRDefault="005043B7" w:rsidP="005043B7">
      <w:pPr>
        <w:ind w:firstLine="720"/>
        <w:jc w:val="both"/>
        <w:rPr>
          <w:rFonts w:ascii="Arial" w:hAnsi="Arial" w:cs="Arial"/>
          <w:sz w:val="24"/>
          <w:szCs w:val="22"/>
          <w:u w:val="single"/>
        </w:rPr>
      </w:pPr>
      <w:r w:rsidRPr="00DB7731">
        <w:rPr>
          <w:rFonts w:ascii="Arial" w:hAnsi="Arial" w:cs="Arial"/>
          <w:sz w:val="24"/>
          <w:szCs w:val="22"/>
          <w:u w:val="single"/>
        </w:rPr>
        <w:t>Calculation of Monthly Allowed Delivery Revenue Per Customer:</w:t>
      </w:r>
    </w:p>
    <w:p w:rsidR="00C30644" w:rsidRPr="00DB7731" w:rsidRDefault="00C30644" w:rsidP="005043B7">
      <w:pPr>
        <w:ind w:left="720"/>
        <w:jc w:val="both"/>
        <w:rPr>
          <w:rFonts w:ascii="Arial" w:hAnsi="Arial" w:cs="Arial"/>
          <w:sz w:val="24"/>
          <w:szCs w:val="22"/>
          <w:u w:val="single"/>
        </w:rPr>
      </w:pPr>
    </w:p>
    <w:p w:rsidR="005043B7" w:rsidRPr="00DB7731" w:rsidRDefault="005043B7" w:rsidP="005043B7">
      <w:pPr>
        <w:ind w:left="720"/>
        <w:jc w:val="both"/>
        <w:rPr>
          <w:rFonts w:ascii="Arial" w:hAnsi="Arial" w:cs="Arial"/>
          <w:sz w:val="24"/>
          <w:szCs w:val="22"/>
          <w:u w:val="single"/>
        </w:rPr>
      </w:pPr>
      <w:r w:rsidRPr="00DB7731">
        <w:rPr>
          <w:rFonts w:ascii="Arial" w:hAnsi="Arial" w:cs="Arial"/>
          <w:sz w:val="24"/>
          <w:szCs w:val="22"/>
          <w:u w:val="single"/>
        </w:rPr>
        <w:t xml:space="preserve">Step 1 – Determine the Total </w:t>
      </w:r>
      <w:r w:rsidR="00632379" w:rsidRPr="00DB7731">
        <w:rPr>
          <w:rFonts w:ascii="Arial" w:hAnsi="Arial" w:cs="Arial"/>
          <w:sz w:val="24"/>
          <w:szCs w:val="22"/>
          <w:u w:val="single"/>
        </w:rPr>
        <w:t>Retail</w:t>
      </w:r>
      <w:r w:rsidRPr="00DB7731">
        <w:rPr>
          <w:rFonts w:ascii="Arial" w:hAnsi="Arial" w:cs="Arial"/>
          <w:sz w:val="24"/>
          <w:szCs w:val="22"/>
          <w:u w:val="single"/>
        </w:rPr>
        <w:t xml:space="preserve"> Revenue - The Total </w:t>
      </w:r>
      <w:r w:rsidR="00632379" w:rsidRPr="00DB7731">
        <w:rPr>
          <w:rFonts w:ascii="Arial" w:hAnsi="Arial" w:cs="Arial"/>
          <w:sz w:val="24"/>
          <w:szCs w:val="22"/>
          <w:u w:val="single"/>
        </w:rPr>
        <w:t>Retail</w:t>
      </w:r>
      <w:r w:rsidRPr="00DB7731">
        <w:rPr>
          <w:rFonts w:ascii="Arial" w:hAnsi="Arial" w:cs="Arial"/>
          <w:sz w:val="24"/>
          <w:szCs w:val="22"/>
          <w:u w:val="single"/>
        </w:rPr>
        <w:t xml:space="preserve"> Revenue is equal to the final approved base rate revenue approved in the Company’s last general rate case, individually for each Rate Schedule.  </w:t>
      </w:r>
    </w:p>
    <w:p w:rsidR="00C30644" w:rsidRPr="00DB7731" w:rsidRDefault="00C30644" w:rsidP="005043B7">
      <w:pPr>
        <w:ind w:left="720"/>
        <w:jc w:val="both"/>
        <w:rPr>
          <w:rFonts w:ascii="Arial" w:hAnsi="Arial" w:cs="Arial"/>
          <w:sz w:val="24"/>
          <w:szCs w:val="22"/>
          <w:u w:val="single"/>
        </w:rPr>
      </w:pPr>
    </w:p>
    <w:p w:rsidR="005043B7" w:rsidRPr="00DB7731" w:rsidRDefault="005043B7" w:rsidP="005043B7">
      <w:pPr>
        <w:ind w:left="720"/>
        <w:jc w:val="both"/>
        <w:rPr>
          <w:rFonts w:ascii="Arial" w:hAnsi="Arial" w:cs="Arial"/>
          <w:sz w:val="24"/>
          <w:szCs w:val="22"/>
          <w:u w:val="single"/>
        </w:rPr>
      </w:pPr>
      <w:r w:rsidRPr="00DB7731">
        <w:rPr>
          <w:rFonts w:ascii="Arial" w:hAnsi="Arial" w:cs="Arial"/>
          <w:sz w:val="24"/>
          <w:szCs w:val="22"/>
          <w:u w:val="single"/>
        </w:rPr>
        <w:t xml:space="preserve">Step 2 – Determine Amount of Revenue related to Power Supply - The Normalized kWhs by rate schedule from the last approved general rate case are multiplied by the approved Retail Revenue Credit to determine the total Power Supply Related Revenue.  </w:t>
      </w:r>
    </w:p>
    <w:p w:rsidR="00C30644" w:rsidRPr="00DB7731" w:rsidRDefault="00C30644" w:rsidP="005043B7">
      <w:pPr>
        <w:ind w:left="720"/>
        <w:jc w:val="both"/>
        <w:rPr>
          <w:rFonts w:ascii="Arial" w:hAnsi="Arial" w:cs="Arial"/>
          <w:sz w:val="24"/>
          <w:szCs w:val="22"/>
          <w:u w:val="single"/>
        </w:rPr>
      </w:pPr>
    </w:p>
    <w:p w:rsidR="00CC703E" w:rsidRPr="00DB7731" w:rsidRDefault="005043B7" w:rsidP="005043B7">
      <w:pPr>
        <w:ind w:left="720"/>
        <w:jc w:val="both"/>
        <w:rPr>
          <w:rFonts w:ascii="Arial" w:hAnsi="Arial" w:cs="Arial"/>
          <w:sz w:val="24"/>
          <w:szCs w:val="22"/>
          <w:u w:val="single"/>
        </w:rPr>
      </w:pPr>
      <w:r w:rsidRPr="00DB7731">
        <w:rPr>
          <w:rFonts w:ascii="Arial" w:hAnsi="Arial" w:cs="Arial"/>
          <w:sz w:val="24"/>
          <w:szCs w:val="22"/>
          <w:u w:val="single"/>
        </w:rPr>
        <w:t xml:space="preserve">Step 3 – Determine Non-Power Supply Related Revenue – To determine the Non-Power Supply Related Revenue, the mechanism subtracts the Power Supply Related Revenue from the Total </w:t>
      </w:r>
      <w:r w:rsidR="00536113" w:rsidRPr="00DB7731">
        <w:rPr>
          <w:rFonts w:ascii="Arial" w:hAnsi="Arial" w:cs="Arial"/>
          <w:sz w:val="24"/>
          <w:szCs w:val="22"/>
          <w:u w:val="single"/>
        </w:rPr>
        <w:t>Retail</w:t>
      </w:r>
      <w:r w:rsidRPr="00DB7731">
        <w:rPr>
          <w:rFonts w:ascii="Arial" w:hAnsi="Arial" w:cs="Arial"/>
          <w:sz w:val="24"/>
          <w:szCs w:val="22"/>
          <w:u w:val="single"/>
        </w:rPr>
        <w:t xml:space="preserve"> Revenue.</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4 – </w:t>
      </w:r>
      <w:r w:rsidR="00CC703E" w:rsidRPr="00DB7731">
        <w:rPr>
          <w:rFonts w:ascii="Arial" w:hAnsi="Arial" w:cs="Arial"/>
          <w:sz w:val="24"/>
          <w:szCs w:val="22"/>
          <w:u w:val="single"/>
        </w:rPr>
        <w:t>Remove Fixed Revenues – included in the Non-Power Supply Revenue are revenues that are recovered from customers in Basic</w:t>
      </w:r>
      <w:r w:rsidR="00632379" w:rsidRPr="00DB7731">
        <w:rPr>
          <w:rFonts w:ascii="Arial" w:hAnsi="Arial" w:cs="Arial"/>
          <w:sz w:val="24"/>
          <w:szCs w:val="22"/>
          <w:u w:val="single"/>
        </w:rPr>
        <w:t xml:space="preserve"> </w:t>
      </w:r>
      <w:r w:rsidR="00CC703E" w:rsidRPr="00DB7731">
        <w:rPr>
          <w:rFonts w:ascii="Arial" w:hAnsi="Arial" w:cs="Arial"/>
          <w:sz w:val="24"/>
          <w:szCs w:val="22"/>
          <w:u w:val="single"/>
        </w:rPr>
        <w:t xml:space="preserve">and Fixed Demand charges (“Fixed Charges”). Because the decoupling mechanism only track revenues that vary with customer </w:t>
      </w:r>
      <w:r w:rsidR="00536113" w:rsidRPr="00DB7731">
        <w:rPr>
          <w:rFonts w:ascii="Arial" w:hAnsi="Arial" w:cs="Arial"/>
          <w:sz w:val="24"/>
          <w:szCs w:val="22"/>
          <w:u w:val="single"/>
        </w:rPr>
        <w:t xml:space="preserve">energy </w:t>
      </w:r>
      <w:r w:rsidR="00CC703E" w:rsidRPr="00DB7731">
        <w:rPr>
          <w:rFonts w:ascii="Arial" w:hAnsi="Arial" w:cs="Arial"/>
          <w:sz w:val="24"/>
          <w:szCs w:val="22"/>
          <w:u w:val="single"/>
        </w:rPr>
        <w:t xml:space="preserve">usage, the revenue from Fixed Charges </w:t>
      </w:r>
      <w:r w:rsidR="00536113" w:rsidRPr="00DB7731">
        <w:rPr>
          <w:rFonts w:ascii="Arial" w:hAnsi="Arial" w:cs="Arial"/>
          <w:sz w:val="24"/>
          <w:szCs w:val="22"/>
          <w:u w:val="single"/>
        </w:rPr>
        <w:t xml:space="preserve">is </w:t>
      </w:r>
      <w:r w:rsidR="00CC703E" w:rsidRPr="00DB7731">
        <w:rPr>
          <w:rFonts w:ascii="Arial" w:hAnsi="Arial" w:cs="Arial"/>
          <w:sz w:val="24"/>
          <w:szCs w:val="22"/>
          <w:u w:val="single"/>
        </w:rPr>
        <w:t>removed.  The number of Customer Bills in the test period, multiplied by the applicable Fixed Charges determines the total Fixed Charge revenue by rate schedule.</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5 – </w:t>
      </w:r>
      <w:r w:rsidR="00DD2872" w:rsidRPr="00DB7731">
        <w:rPr>
          <w:rFonts w:ascii="Arial" w:hAnsi="Arial" w:cs="Arial"/>
          <w:sz w:val="24"/>
          <w:szCs w:val="22"/>
          <w:u w:val="single"/>
        </w:rPr>
        <w:t xml:space="preserve">Determine Allowed Non-Power Supply Revenue –Allowed Non-Power Supply Revenue is </w:t>
      </w:r>
      <w:r w:rsidR="00536113" w:rsidRPr="00DB7731">
        <w:rPr>
          <w:rFonts w:ascii="Arial" w:hAnsi="Arial" w:cs="Arial"/>
          <w:sz w:val="24"/>
          <w:szCs w:val="22"/>
          <w:u w:val="single"/>
        </w:rPr>
        <w:t xml:space="preserve">equal to the Non-Power Supply Revenue (Step 3) minus </w:t>
      </w:r>
      <w:r w:rsidR="00DD2872" w:rsidRPr="00DB7731">
        <w:rPr>
          <w:rFonts w:ascii="Arial" w:hAnsi="Arial" w:cs="Arial"/>
          <w:sz w:val="24"/>
          <w:szCs w:val="22"/>
          <w:u w:val="single"/>
        </w:rPr>
        <w:t>the Fixed Charge Revenue (Step 4).</w:t>
      </w:r>
    </w:p>
    <w:p w:rsidR="00C30644" w:rsidRPr="00DB7731" w:rsidRDefault="00C30644" w:rsidP="003E09EF">
      <w:pPr>
        <w:ind w:left="720"/>
        <w:jc w:val="both"/>
        <w:rPr>
          <w:rFonts w:ascii="Arial" w:hAnsi="Arial" w:cs="Arial"/>
          <w:sz w:val="24"/>
          <w:szCs w:val="22"/>
          <w:u w:val="single"/>
        </w:rPr>
      </w:pPr>
    </w:p>
    <w:p w:rsidR="00C30644" w:rsidRPr="00DB7731" w:rsidRDefault="00C30644" w:rsidP="00C30644">
      <w:pPr>
        <w:ind w:left="720"/>
        <w:jc w:val="both"/>
        <w:rPr>
          <w:rFonts w:ascii="Arial" w:hAnsi="Arial" w:cs="Arial"/>
          <w:sz w:val="24"/>
          <w:szCs w:val="22"/>
          <w:u w:val="single"/>
        </w:rPr>
      </w:pPr>
      <w:r w:rsidRPr="00DB7731">
        <w:rPr>
          <w:rFonts w:ascii="Arial" w:hAnsi="Arial" w:cs="Arial"/>
          <w:sz w:val="24"/>
          <w:szCs w:val="22"/>
          <w:u w:val="single"/>
        </w:rPr>
        <w:t>Step 6 – Determine the Allowed Non-Power Supply Revenue per Customer – To determine the annual per customer Allowed Non-Power Supply Revenue, divide the Allowed Non-Power Supply Revenue</w:t>
      </w:r>
      <w:r w:rsidR="00536113" w:rsidRPr="00DB7731">
        <w:rPr>
          <w:rFonts w:ascii="Arial" w:hAnsi="Arial" w:cs="Arial"/>
          <w:sz w:val="24"/>
          <w:szCs w:val="22"/>
          <w:u w:val="single"/>
        </w:rPr>
        <w:t xml:space="preserve"> (by Rate Group)</w:t>
      </w:r>
      <w:r w:rsidRPr="00DB7731">
        <w:rPr>
          <w:rFonts w:ascii="Arial" w:hAnsi="Arial" w:cs="Arial"/>
          <w:sz w:val="24"/>
          <w:szCs w:val="22"/>
          <w:u w:val="single"/>
        </w:rPr>
        <w:t xml:space="preserve"> by the Test Year number of Customers (by Rate Group) to determine the annual Allowed Non-Power Supply Revenue per Customer</w:t>
      </w:r>
      <w:r w:rsidR="00536113" w:rsidRPr="00DB7731">
        <w:rPr>
          <w:rFonts w:ascii="Arial" w:hAnsi="Arial" w:cs="Arial"/>
          <w:sz w:val="24"/>
          <w:szCs w:val="22"/>
          <w:u w:val="single"/>
        </w:rPr>
        <w:t xml:space="preserve"> (by Rate Group)</w:t>
      </w:r>
      <w:r w:rsidRPr="00DB7731">
        <w:rPr>
          <w:rFonts w:ascii="Arial" w:hAnsi="Arial" w:cs="Arial"/>
          <w:sz w:val="24"/>
          <w:szCs w:val="22"/>
          <w:u w:val="single"/>
        </w:rPr>
        <w:t>.</w:t>
      </w:r>
    </w:p>
    <w:p w:rsidR="00536113" w:rsidRPr="00DB7731" w:rsidRDefault="00536113">
      <w:pPr>
        <w:autoSpaceDE/>
        <w:autoSpaceDN/>
        <w:spacing w:after="200" w:line="276" w:lineRule="auto"/>
        <w:rPr>
          <w:rFonts w:ascii="Arial" w:hAnsi="Arial" w:cs="Arial"/>
          <w:sz w:val="24"/>
          <w:szCs w:val="22"/>
          <w:u w:val="single"/>
        </w:rPr>
      </w:pPr>
      <w:r w:rsidRPr="00DB7731">
        <w:rPr>
          <w:rFonts w:ascii="Arial" w:hAnsi="Arial" w:cs="Arial"/>
          <w:sz w:val="24"/>
          <w:szCs w:val="22"/>
          <w:u w:val="single"/>
        </w:rPr>
        <w:br w:type="page"/>
      </w:r>
    </w:p>
    <w:p w:rsidR="00C30644" w:rsidRPr="00DB7731" w:rsidRDefault="002B6FF4" w:rsidP="003E09EF">
      <w:pPr>
        <w:ind w:left="720"/>
        <w:jc w:val="both"/>
        <w:rPr>
          <w:rFonts w:ascii="Arial" w:hAnsi="Arial" w:cs="Arial"/>
          <w:sz w:val="24"/>
          <w:szCs w:val="22"/>
          <w:u w:val="single"/>
        </w:rPr>
      </w:pPr>
      <w:r w:rsidRPr="00DB7731">
        <w:rPr>
          <w:rFonts w:ascii="Arial" w:hAnsi="Arial" w:cs="Arial"/>
          <w:noProof/>
          <w:sz w:val="22"/>
          <w:szCs w:val="22"/>
          <w:u w:val="single"/>
        </w:rPr>
        <w:lastRenderedPageBreak/>
        <w:pict>
          <v:shape id="_x0000_s1056" type="#_x0000_t202" style="position:absolute;left:0;text-align:left;margin-left:-13.55pt;margin-top:-80.2pt;width:324pt;height:49.5pt;z-index:-251657216" filled="f" stroked="f">
            <v:textbox style="mso-next-textbox:#_x0000_s1056">
              <w:txbxContent>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p>
                <w:p w:rsidR="00632379" w:rsidRPr="00362B8A" w:rsidRDefault="00632379" w:rsidP="0062247C">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B</w:t>
                  </w:r>
                  <w:proofErr w:type="spellEnd"/>
                </w:p>
              </w:txbxContent>
            </v:textbox>
          </v:shape>
        </w:pict>
      </w:r>
    </w:p>
    <w:p w:rsidR="005043B7" w:rsidRPr="00DB7731" w:rsidRDefault="002B6FF4" w:rsidP="005043B7">
      <w:pPr>
        <w:pStyle w:val="BodyTextIndent"/>
        <w:ind w:left="0" w:right="-36"/>
        <w:jc w:val="center"/>
        <w:rPr>
          <w:rFonts w:ascii="Arial" w:hAnsi="Arial" w:cs="Arial"/>
          <w:snapToGrid w:val="0"/>
          <w:position w:val="6"/>
          <w:sz w:val="24"/>
          <w:u w:val="single"/>
        </w:rPr>
      </w:pPr>
      <w:r w:rsidRPr="00DB7731">
        <w:rPr>
          <w:rFonts w:ascii="Arial" w:hAnsi="Arial" w:cs="Arial"/>
          <w:noProof/>
          <w:position w:val="6"/>
          <w:sz w:val="24"/>
          <w:u w:val="single"/>
        </w:rPr>
        <w:pict>
          <v:shape id="_x0000_s1063" type="#_x0000_t32" style="position:absolute;left:0;text-align:left;margin-left:476.8pt;margin-top:12pt;width:0;height:540.85pt;z-index:251651072" o:connectortype="straight"/>
        </w:pict>
      </w:r>
      <w:r w:rsidRPr="00DB7731">
        <w:rPr>
          <w:rFonts w:ascii="Arial" w:hAnsi="Arial" w:cs="Arial"/>
          <w:noProof/>
          <w:position w:val="6"/>
          <w:sz w:val="24"/>
          <w:u w:val="single"/>
        </w:rPr>
        <w:pict>
          <v:shape id="_x0000_s1062" type="#_x0000_t202" style="position:absolute;left:0;text-align:left;margin-left:463.1pt;margin-top:-8.35pt;width:36pt;height:583.55pt;z-index:251652096" filled="f" strokecolor="white">
            <v:textbox style="mso-next-textbox:#_x0000_s1062">
              <w:txbxContent>
                <w:p w:rsidR="00632379" w:rsidRDefault="00632379" w:rsidP="005043B7">
                  <w:pPr>
                    <w:rPr>
                      <w:sz w:val="22"/>
                      <w:szCs w:val="22"/>
                    </w:rPr>
                  </w:pPr>
                  <w:r w:rsidRPr="00CF18BB">
                    <w:rPr>
                      <w:sz w:val="22"/>
                      <w:szCs w:val="22"/>
                    </w:rPr>
                    <w:t>(</w:t>
                  </w:r>
                  <w:r>
                    <w:rPr>
                      <w:sz w:val="22"/>
                      <w:szCs w:val="22"/>
                    </w:rPr>
                    <w:t>N</w:t>
                  </w:r>
                  <w:r w:rsidRPr="00CF18BB">
                    <w:rPr>
                      <w:sz w:val="22"/>
                      <w:szCs w:val="22"/>
                    </w:rPr>
                    <w:t>)</w:t>
                  </w: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r>
                    <w:rPr>
                      <w:sz w:val="22"/>
                      <w:szCs w:val="22"/>
                    </w:rPr>
                    <w:t>(N)</w:t>
                  </w: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p w:rsidR="00632379" w:rsidRDefault="00632379" w:rsidP="005043B7">
                  <w:pPr>
                    <w:rPr>
                      <w:sz w:val="22"/>
                      <w:szCs w:val="22"/>
                    </w:rPr>
                  </w:pPr>
                </w:p>
              </w:txbxContent>
            </v:textbox>
          </v:shape>
        </w:pict>
      </w:r>
      <w:r w:rsidR="005043B7" w:rsidRPr="00DB7731">
        <w:rPr>
          <w:rFonts w:ascii="Arial" w:hAnsi="Arial" w:cs="Arial"/>
          <w:snapToGrid w:val="0"/>
          <w:position w:val="6"/>
          <w:sz w:val="24"/>
          <w:u w:val="single"/>
        </w:rPr>
        <w:t xml:space="preserve">SCHEDULE </w:t>
      </w:r>
      <w:proofErr w:type="spellStart"/>
      <w:r w:rsidR="005043B7" w:rsidRPr="00DB7731">
        <w:rPr>
          <w:rFonts w:ascii="Arial" w:hAnsi="Arial" w:cs="Arial"/>
          <w:snapToGrid w:val="0"/>
          <w:position w:val="6"/>
          <w:sz w:val="24"/>
          <w:u w:val="single"/>
        </w:rPr>
        <w:t>99B</w:t>
      </w:r>
      <w:proofErr w:type="spellEnd"/>
    </w:p>
    <w:p w:rsidR="005043B7" w:rsidRPr="00DB7731" w:rsidRDefault="005043B7" w:rsidP="005043B7">
      <w:pPr>
        <w:jc w:val="center"/>
        <w:rPr>
          <w:rFonts w:ascii="Arial" w:hAnsi="Arial" w:cs="Arial"/>
          <w:sz w:val="22"/>
          <w:u w:val="single"/>
        </w:rPr>
      </w:pPr>
      <w:r w:rsidRPr="00DB7731">
        <w:rPr>
          <w:rFonts w:ascii="Arial" w:hAnsi="Arial" w:cs="Arial"/>
          <w:sz w:val="24"/>
          <w:u w:val="single"/>
        </w:rPr>
        <w:t>DECOUPLING MECHANISM – ELECTRIC (continued)</w:t>
      </w:r>
    </w:p>
    <w:p w:rsidR="005043B7" w:rsidRPr="00DB7731" w:rsidRDefault="005043B7" w:rsidP="003E09EF">
      <w:pPr>
        <w:ind w:firstLine="720"/>
        <w:jc w:val="both"/>
        <w:rPr>
          <w:rFonts w:ascii="Arial" w:hAnsi="Arial" w:cs="Arial"/>
          <w:sz w:val="24"/>
          <w:szCs w:val="22"/>
          <w:u w:val="single"/>
        </w:rPr>
      </w:pPr>
    </w:p>
    <w:p w:rsidR="00C30644" w:rsidRPr="00DB7731" w:rsidRDefault="00C30644" w:rsidP="00C30644">
      <w:pPr>
        <w:ind w:left="720"/>
        <w:jc w:val="both"/>
        <w:rPr>
          <w:rFonts w:ascii="Arial" w:hAnsi="Arial" w:cs="Arial"/>
          <w:sz w:val="24"/>
          <w:szCs w:val="22"/>
          <w:u w:val="single"/>
        </w:rPr>
      </w:pPr>
    </w:p>
    <w:p w:rsidR="00C30644" w:rsidRPr="00DB7731" w:rsidRDefault="00C30644" w:rsidP="00C30644">
      <w:pPr>
        <w:ind w:left="720"/>
        <w:jc w:val="both"/>
        <w:rPr>
          <w:rFonts w:ascii="Arial" w:hAnsi="Arial" w:cs="Arial"/>
          <w:sz w:val="24"/>
          <w:szCs w:val="22"/>
          <w:u w:val="single"/>
        </w:rPr>
      </w:pPr>
      <w:r w:rsidRPr="00DB7731">
        <w:rPr>
          <w:rFonts w:ascii="Arial" w:hAnsi="Arial" w:cs="Arial"/>
          <w:sz w:val="24"/>
          <w:szCs w:val="22"/>
          <w:u w:val="single"/>
        </w:rPr>
        <w:t>Step 7 – Determine the Monthly Allowed Non-Power Supply Revenue per Customer - to determine the monthly Allowed Non-Power Supply Revenue per customer, the annual Allowed Non-Power Supply Revenue per customer is shaped based on the monthly kWh usage from the test year.  The mechanism uses the resulting monthly percentage of usage by month and multiplied that by the annual Allowed Non-Power Supply Revenue per Customer to determine the 12 monthly values.</w:t>
      </w:r>
    </w:p>
    <w:p w:rsidR="00C30644" w:rsidRPr="00DB7731" w:rsidRDefault="00C30644" w:rsidP="003E09EF">
      <w:pPr>
        <w:ind w:firstLine="720"/>
        <w:jc w:val="both"/>
        <w:rPr>
          <w:rFonts w:ascii="Arial" w:hAnsi="Arial" w:cs="Arial"/>
          <w:sz w:val="24"/>
          <w:szCs w:val="22"/>
          <w:u w:val="single"/>
        </w:rPr>
      </w:pPr>
    </w:p>
    <w:p w:rsidR="003E09EF" w:rsidRPr="00DB7731" w:rsidRDefault="003E09EF" w:rsidP="003E09EF">
      <w:pPr>
        <w:ind w:firstLine="720"/>
        <w:jc w:val="both"/>
        <w:rPr>
          <w:rFonts w:ascii="Arial" w:hAnsi="Arial" w:cs="Arial"/>
          <w:sz w:val="24"/>
          <w:szCs w:val="22"/>
          <w:u w:val="single"/>
        </w:rPr>
      </w:pPr>
      <w:r w:rsidRPr="00DB7731">
        <w:rPr>
          <w:rFonts w:ascii="Arial" w:hAnsi="Arial" w:cs="Arial"/>
          <w:sz w:val="24"/>
          <w:szCs w:val="22"/>
          <w:u w:val="single"/>
        </w:rPr>
        <w:t>Calculation of Monthly Decoupling Deferral:</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Step 1 – Determine the actual number of customers each month.</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2 – Multiply the actual number of customers by the applicable </w:t>
      </w:r>
      <w:r w:rsidR="00925F3D" w:rsidRPr="00DB7731">
        <w:rPr>
          <w:rFonts w:ascii="Arial" w:hAnsi="Arial" w:cs="Arial"/>
          <w:sz w:val="24"/>
          <w:szCs w:val="22"/>
          <w:u w:val="single"/>
        </w:rPr>
        <w:t>monthly Allowed Non-Power Supply Revenue per Customer</w:t>
      </w:r>
      <w:r w:rsidRPr="00DB7731">
        <w:rPr>
          <w:rFonts w:ascii="Arial" w:hAnsi="Arial" w:cs="Arial"/>
          <w:sz w:val="24"/>
          <w:szCs w:val="22"/>
          <w:u w:val="single"/>
        </w:rPr>
        <w:t xml:space="preserve">.  The result of this calculation is the total </w:t>
      </w:r>
      <w:r w:rsidR="00925F3D" w:rsidRPr="00DB7731">
        <w:rPr>
          <w:rFonts w:ascii="Arial" w:hAnsi="Arial" w:cs="Arial"/>
          <w:sz w:val="24"/>
          <w:szCs w:val="22"/>
          <w:u w:val="single"/>
        </w:rPr>
        <w:t>A</w:t>
      </w:r>
      <w:r w:rsidRPr="00DB7731">
        <w:rPr>
          <w:rFonts w:ascii="Arial" w:hAnsi="Arial" w:cs="Arial"/>
          <w:sz w:val="24"/>
          <w:szCs w:val="22"/>
          <w:u w:val="single"/>
        </w:rPr>
        <w:t xml:space="preserve">llowed </w:t>
      </w:r>
      <w:r w:rsidR="00925F3D" w:rsidRPr="00DB7731">
        <w:rPr>
          <w:rFonts w:ascii="Arial" w:hAnsi="Arial" w:cs="Arial"/>
          <w:sz w:val="24"/>
          <w:szCs w:val="22"/>
          <w:u w:val="single"/>
        </w:rPr>
        <w:t xml:space="preserve">Non-Power Supply Revenue </w:t>
      </w:r>
      <w:r w:rsidRPr="00DB7731">
        <w:rPr>
          <w:rFonts w:ascii="Arial" w:hAnsi="Arial" w:cs="Arial"/>
          <w:sz w:val="24"/>
          <w:szCs w:val="22"/>
          <w:u w:val="single"/>
        </w:rPr>
        <w:t>for the applicable month.</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3 – Determine the actual revenue collected in the applicable month.  </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4 – Calculate the amount of fixed charge revenues included in total </w:t>
      </w:r>
      <w:r w:rsidR="00536113" w:rsidRPr="00DB7731">
        <w:rPr>
          <w:rFonts w:ascii="Arial" w:hAnsi="Arial" w:cs="Arial"/>
          <w:sz w:val="24"/>
          <w:szCs w:val="22"/>
          <w:u w:val="single"/>
        </w:rPr>
        <w:t xml:space="preserve">actual </w:t>
      </w:r>
      <w:r w:rsidRPr="00DB7731">
        <w:rPr>
          <w:rFonts w:ascii="Arial" w:hAnsi="Arial" w:cs="Arial"/>
          <w:sz w:val="24"/>
          <w:szCs w:val="22"/>
          <w:u w:val="single"/>
        </w:rPr>
        <w:t xml:space="preserve">monthly revenues.  </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5 – Multiply actual kWh sales by the </w:t>
      </w:r>
      <w:r w:rsidR="00925F3D" w:rsidRPr="00DB7731">
        <w:rPr>
          <w:rFonts w:ascii="Arial" w:hAnsi="Arial" w:cs="Arial"/>
          <w:sz w:val="24"/>
          <w:szCs w:val="22"/>
          <w:u w:val="single"/>
        </w:rPr>
        <w:t>approved Retail Revenue Credit</w:t>
      </w:r>
      <w:r w:rsidRPr="00DB7731">
        <w:rPr>
          <w:rFonts w:ascii="Arial" w:hAnsi="Arial" w:cs="Arial"/>
          <w:sz w:val="24"/>
          <w:szCs w:val="22"/>
          <w:u w:val="single"/>
        </w:rPr>
        <w:t>.  The results of this calculation is the tota</w:t>
      </w:r>
      <w:r w:rsidR="00925F3D" w:rsidRPr="00DB7731">
        <w:rPr>
          <w:rFonts w:ascii="Arial" w:hAnsi="Arial" w:cs="Arial"/>
          <w:sz w:val="24"/>
          <w:szCs w:val="22"/>
          <w:u w:val="single"/>
        </w:rPr>
        <w:t>l revenue collected related to</w:t>
      </w:r>
      <w:r w:rsidRPr="00DB7731">
        <w:rPr>
          <w:rFonts w:ascii="Arial" w:hAnsi="Arial" w:cs="Arial"/>
          <w:sz w:val="24"/>
          <w:szCs w:val="22"/>
          <w:u w:val="single"/>
        </w:rPr>
        <w:t xml:space="preserve"> power supply. </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6 – Subtract the fixed charge revenue and the </w:t>
      </w:r>
      <w:r w:rsidR="00925F3D" w:rsidRPr="00DB7731">
        <w:rPr>
          <w:rFonts w:ascii="Arial" w:hAnsi="Arial" w:cs="Arial"/>
          <w:sz w:val="24"/>
          <w:szCs w:val="22"/>
          <w:u w:val="single"/>
        </w:rPr>
        <w:t>p</w:t>
      </w:r>
      <w:r w:rsidRPr="00DB7731">
        <w:rPr>
          <w:rFonts w:ascii="Arial" w:hAnsi="Arial" w:cs="Arial"/>
          <w:sz w:val="24"/>
          <w:szCs w:val="22"/>
          <w:u w:val="single"/>
        </w:rPr>
        <w:t xml:space="preserve">ower supply revenue from the total </w:t>
      </w:r>
      <w:r w:rsidR="00536113" w:rsidRPr="00DB7731">
        <w:rPr>
          <w:rFonts w:ascii="Arial" w:hAnsi="Arial" w:cs="Arial"/>
          <w:sz w:val="24"/>
          <w:szCs w:val="22"/>
          <w:u w:val="single"/>
        </w:rPr>
        <w:t xml:space="preserve">actual </w:t>
      </w:r>
      <w:r w:rsidRPr="00DB7731">
        <w:rPr>
          <w:rFonts w:ascii="Arial" w:hAnsi="Arial" w:cs="Arial"/>
          <w:sz w:val="24"/>
          <w:szCs w:val="22"/>
          <w:u w:val="single"/>
        </w:rPr>
        <w:t xml:space="preserve">monthly revenue. The result is the Actual </w:t>
      </w:r>
      <w:r w:rsidR="00925F3D" w:rsidRPr="00DB7731">
        <w:rPr>
          <w:rFonts w:ascii="Arial" w:hAnsi="Arial" w:cs="Arial"/>
          <w:sz w:val="24"/>
          <w:szCs w:val="22"/>
          <w:u w:val="single"/>
        </w:rPr>
        <w:t>Non-Power Suppl</w:t>
      </w:r>
      <w:r w:rsidRPr="00DB7731">
        <w:rPr>
          <w:rFonts w:ascii="Arial" w:hAnsi="Arial" w:cs="Arial"/>
          <w:sz w:val="24"/>
          <w:szCs w:val="22"/>
          <w:u w:val="single"/>
        </w:rPr>
        <w:t xml:space="preserve">y Revenue. </w:t>
      </w:r>
    </w:p>
    <w:p w:rsidR="00C30644" w:rsidRPr="00DB7731" w:rsidRDefault="00C30644" w:rsidP="003E09EF">
      <w:pPr>
        <w:ind w:left="720"/>
        <w:jc w:val="both"/>
        <w:rPr>
          <w:rFonts w:ascii="Arial" w:hAnsi="Arial" w:cs="Arial"/>
          <w:sz w:val="24"/>
          <w:szCs w:val="22"/>
          <w:u w:val="single"/>
        </w:rPr>
      </w:pPr>
    </w:p>
    <w:p w:rsidR="003E09EF" w:rsidRPr="00DB7731" w:rsidRDefault="003E09EF" w:rsidP="003E09EF">
      <w:pPr>
        <w:ind w:left="720"/>
        <w:jc w:val="both"/>
        <w:rPr>
          <w:rFonts w:ascii="Arial" w:hAnsi="Arial" w:cs="Arial"/>
          <w:sz w:val="24"/>
          <w:szCs w:val="22"/>
          <w:u w:val="single"/>
        </w:rPr>
      </w:pPr>
      <w:r w:rsidRPr="00DB7731">
        <w:rPr>
          <w:rFonts w:ascii="Arial" w:hAnsi="Arial" w:cs="Arial"/>
          <w:sz w:val="24"/>
          <w:szCs w:val="22"/>
          <w:u w:val="single"/>
        </w:rPr>
        <w:t xml:space="preserve">Step 7 – The difference between the Actual </w:t>
      </w:r>
      <w:r w:rsidR="00925F3D" w:rsidRPr="00DB7731">
        <w:rPr>
          <w:rFonts w:ascii="Arial" w:hAnsi="Arial" w:cs="Arial"/>
          <w:sz w:val="24"/>
          <w:szCs w:val="22"/>
          <w:u w:val="single"/>
        </w:rPr>
        <w:t xml:space="preserve">Non-Power Supply Revenue (Step 6) </w:t>
      </w:r>
      <w:r w:rsidRPr="00DB7731">
        <w:rPr>
          <w:rFonts w:ascii="Arial" w:hAnsi="Arial" w:cs="Arial"/>
          <w:sz w:val="24"/>
          <w:szCs w:val="22"/>
          <w:u w:val="single"/>
        </w:rPr>
        <w:t xml:space="preserve">and the </w:t>
      </w:r>
      <w:r w:rsidR="00925F3D" w:rsidRPr="00DB7731">
        <w:rPr>
          <w:rFonts w:ascii="Arial" w:hAnsi="Arial" w:cs="Arial"/>
          <w:sz w:val="24"/>
          <w:szCs w:val="22"/>
          <w:u w:val="single"/>
        </w:rPr>
        <w:t>Allowed Non-Power Supply Revenue</w:t>
      </w:r>
      <w:r w:rsidRPr="00DB7731">
        <w:rPr>
          <w:rFonts w:ascii="Arial" w:hAnsi="Arial" w:cs="Arial"/>
          <w:sz w:val="24"/>
          <w:szCs w:val="22"/>
          <w:u w:val="single"/>
        </w:rPr>
        <w:t xml:space="preserve"> </w:t>
      </w:r>
      <w:r w:rsidR="00925F3D" w:rsidRPr="00DB7731">
        <w:rPr>
          <w:rFonts w:ascii="Arial" w:hAnsi="Arial" w:cs="Arial"/>
          <w:sz w:val="24"/>
          <w:szCs w:val="22"/>
          <w:u w:val="single"/>
        </w:rPr>
        <w:t xml:space="preserve">(Step 2) </w:t>
      </w:r>
      <w:r w:rsidRPr="00DB7731">
        <w:rPr>
          <w:rFonts w:ascii="Arial" w:hAnsi="Arial" w:cs="Arial"/>
          <w:sz w:val="24"/>
          <w:szCs w:val="22"/>
          <w:u w:val="single"/>
        </w:rPr>
        <w:t>is calculated, and the resulting balance is deferred by the Company.</w:t>
      </w:r>
    </w:p>
    <w:p w:rsidR="002D2AAB" w:rsidRPr="00DB7731" w:rsidRDefault="002D2AAB" w:rsidP="00EB40FD">
      <w:pPr>
        <w:pStyle w:val="Items1"/>
        <w:ind w:left="0" w:right="-396" w:firstLine="360"/>
        <w:jc w:val="left"/>
        <w:rPr>
          <w:snapToGrid w:val="0"/>
          <w:u w:val="single"/>
        </w:rPr>
      </w:pPr>
    </w:p>
    <w:p w:rsidR="005043B7" w:rsidRPr="00DB7731" w:rsidRDefault="005043B7" w:rsidP="00EB40FD">
      <w:pPr>
        <w:pStyle w:val="Items1"/>
        <w:ind w:left="0" w:right="-396" w:firstLine="360"/>
        <w:jc w:val="left"/>
        <w:rPr>
          <w:snapToGrid w:val="0"/>
          <w:u w:val="single"/>
        </w:rPr>
      </w:pPr>
    </w:p>
    <w:p w:rsidR="005043B7" w:rsidRPr="00DB7731" w:rsidRDefault="005043B7">
      <w:pPr>
        <w:autoSpaceDE/>
        <w:autoSpaceDN/>
        <w:spacing w:after="200" w:line="276" w:lineRule="auto"/>
        <w:rPr>
          <w:rFonts w:ascii="Helvetica" w:hAnsi="Helvetica"/>
          <w:b/>
          <w:snapToGrid w:val="0"/>
          <w:position w:val="6"/>
          <w:sz w:val="22"/>
          <w:u w:val="single"/>
        </w:rPr>
      </w:pPr>
      <w:r w:rsidRPr="00DB7731">
        <w:rPr>
          <w:rFonts w:ascii="Helvetica" w:hAnsi="Helvetica"/>
          <w:b/>
          <w:snapToGrid w:val="0"/>
          <w:position w:val="6"/>
          <w:sz w:val="22"/>
          <w:u w:val="single"/>
        </w:rPr>
        <w:br w:type="page"/>
      </w:r>
    </w:p>
    <w:p w:rsidR="001A0F80" w:rsidRPr="00DB7731" w:rsidRDefault="002B6FF4" w:rsidP="00C30644">
      <w:pPr>
        <w:pStyle w:val="BodyTextIndent"/>
        <w:ind w:left="0" w:right="-36"/>
        <w:jc w:val="center"/>
        <w:rPr>
          <w:rFonts w:ascii="Arial" w:hAnsi="Arial" w:cs="Arial"/>
          <w:snapToGrid w:val="0"/>
          <w:position w:val="6"/>
          <w:sz w:val="24"/>
          <w:szCs w:val="24"/>
          <w:u w:val="single"/>
        </w:rPr>
      </w:pPr>
      <w:r w:rsidRPr="00DB7731">
        <w:rPr>
          <w:rFonts w:ascii="Arial" w:hAnsi="Arial" w:cs="Arial"/>
          <w:noProof/>
          <w:sz w:val="24"/>
          <w:szCs w:val="24"/>
          <w:u w:val="single"/>
        </w:rPr>
        <w:lastRenderedPageBreak/>
        <w:pict>
          <v:shape id="_x0000_s1064" type="#_x0000_t202" style="position:absolute;left:0;text-align:left;margin-left:-13.55pt;margin-top:-77.15pt;width:324pt;height:49.5pt;z-index:-251654144" filled="f" stroked="f">
            <v:textbox style="mso-next-textbox:#_x0000_s1064">
              <w:txbxContent>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C</w:t>
                  </w:r>
                  <w:proofErr w:type="spellEnd"/>
                </w:p>
              </w:txbxContent>
            </v:textbox>
          </v:shape>
        </w:pict>
      </w:r>
    </w:p>
    <w:p w:rsidR="00C30644" w:rsidRPr="00DB7731" w:rsidRDefault="002B6FF4" w:rsidP="00C30644">
      <w:pPr>
        <w:pStyle w:val="BodyTextIndent"/>
        <w:ind w:left="0" w:right="-36"/>
        <w:jc w:val="center"/>
        <w:rPr>
          <w:rFonts w:ascii="Arial" w:hAnsi="Arial" w:cs="Arial"/>
          <w:snapToGrid w:val="0"/>
          <w:position w:val="6"/>
          <w:sz w:val="24"/>
          <w:szCs w:val="24"/>
          <w:u w:val="single"/>
        </w:rPr>
      </w:pPr>
      <w:r w:rsidRPr="00DB7731">
        <w:rPr>
          <w:rFonts w:ascii="Arial" w:hAnsi="Arial" w:cs="Arial"/>
          <w:noProof/>
          <w:position w:val="6"/>
          <w:sz w:val="24"/>
          <w:szCs w:val="24"/>
          <w:u w:val="single"/>
        </w:rPr>
        <w:pict>
          <v:shape id="_x0000_s1066" type="#_x0000_t32" style="position:absolute;left:0;text-align:left;margin-left:476.8pt;margin-top:12pt;width:0;height:540.85pt;z-index:251660288" o:connectortype="straight"/>
        </w:pict>
      </w:r>
      <w:r w:rsidRPr="00DB7731">
        <w:rPr>
          <w:rFonts w:ascii="Arial" w:hAnsi="Arial" w:cs="Arial"/>
          <w:noProof/>
          <w:position w:val="6"/>
          <w:sz w:val="24"/>
          <w:szCs w:val="24"/>
          <w:u w:val="single"/>
        </w:rPr>
        <w:pict>
          <v:shape id="_x0000_s1065" type="#_x0000_t202" style="position:absolute;left:0;text-align:left;margin-left:463.1pt;margin-top:-8.35pt;width:36pt;height:583.55pt;z-index:251661312" filled="f" strokecolor="white">
            <v:textbox style="mso-next-textbox:#_x0000_s1065">
              <w:txbxContent>
                <w:p w:rsidR="00632379" w:rsidRDefault="00632379" w:rsidP="00C30644">
                  <w:pPr>
                    <w:rPr>
                      <w:sz w:val="22"/>
                      <w:szCs w:val="22"/>
                    </w:rPr>
                  </w:pPr>
                  <w:r w:rsidRPr="00CF18BB">
                    <w:rPr>
                      <w:sz w:val="22"/>
                      <w:szCs w:val="22"/>
                    </w:rPr>
                    <w:t>(</w:t>
                  </w:r>
                  <w:r>
                    <w:rPr>
                      <w:sz w:val="22"/>
                      <w:szCs w:val="22"/>
                    </w:rPr>
                    <w:t>N</w:t>
                  </w:r>
                  <w:r w:rsidRPr="00CF18BB">
                    <w:rPr>
                      <w:sz w:val="22"/>
                      <w:szCs w:val="22"/>
                    </w:rPr>
                    <w:t>)</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r>
                    <w:rPr>
                      <w:sz w:val="22"/>
                      <w:szCs w:val="22"/>
                    </w:rPr>
                    <w:t>(N)</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txbxContent>
            </v:textbox>
          </v:shape>
        </w:pict>
      </w:r>
      <w:r w:rsidR="00C30644" w:rsidRPr="00DB7731">
        <w:rPr>
          <w:rFonts w:ascii="Arial" w:hAnsi="Arial" w:cs="Arial"/>
          <w:snapToGrid w:val="0"/>
          <w:position w:val="6"/>
          <w:sz w:val="24"/>
          <w:szCs w:val="24"/>
          <w:u w:val="single"/>
        </w:rPr>
        <w:t xml:space="preserve">SCHEDULE </w:t>
      </w:r>
      <w:proofErr w:type="spellStart"/>
      <w:r w:rsidR="00C30644" w:rsidRPr="00DB7731">
        <w:rPr>
          <w:rFonts w:ascii="Arial" w:hAnsi="Arial" w:cs="Arial"/>
          <w:snapToGrid w:val="0"/>
          <w:position w:val="6"/>
          <w:sz w:val="24"/>
          <w:szCs w:val="24"/>
          <w:u w:val="single"/>
        </w:rPr>
        <w:t>99C</w:t>
      </w:r>
      <w:proofErr w:type="spellEnd"/>
    </w:p>
    <w:p w:rsidR="00C30644" w:rsidRPr="00DB7731" w:rsidRDefault="00C30644" w:rsidP="00C30644">
      <w:pPr>
        <w:jc w:val="center"/>
        <w:rPr>
          <w:rFonts w:ascii="Arial" w:hAnsi="Arial" w:cs="Arial"/>
          <w:sz w:val="24"/>
          <w:szCs w:val="24"/>
          <w:u w:val="single"/>
        </w:rPr>
      </w:pPr>
      <w:r w:rsidRPr="00DB7731">
        <w:rPr>
          <w:rFonts w:ascii="Arial" w:hAnsi="Arial" w:cs="Arial"/>
          <w:sz w:val="24"/>
          <w:szCs w:val="24"/>
          <w:u w:val="single"/>
        </w:rPr>
        <w:t>DECOUPLING MECHANISM – ELECTRIC (continued)</w:t>
      </w:r>
    </w:p>
    <w:p w:rsidR="005043B7" w:rsidRPr="00DB7731" w:rsidRDefault="005043B7" w:rsidP="003E09EF">
      <w:pPr>
        <w:pStyle w:val="BodyTextIndent"/>
        <w:ind w:left="0" w:right="-36"/>
        <w:rPr>
          <w:rFonts w:ascii="Arial" w:hAnsi="Arial" w:cs="Arial"/>
          <w:b/>
          <w:snapToGrid w:val="0"/>
          <w:position w:val="6"/>
          <w:sz w:val="24"/>
          <w:szCs w:val="24"/>
          <w:u w:val="single"/>
        </w:rPr>
      </w:pPr>
    </w:p>
    <w:p w:rsidR="00F73EB4" w:rsidRPr="00DB7731" w:rsidRDefault="003E09EF" w:rsidP="003E09EF">
      <w:pPr>
        <w:pStyle w:val="BodyTextIndent"/>
        <w:ind w:left="0" w:right="-36"/>
        <w:rPr>
          <w:rFonts w:ascii="Arial" w:hAnsi="Arial" w:cs="Arial"/>
          <w:b/>
          <w:snapToGrid w:val="0"/>
          <w:position w:val="6"/>
          <w:sz w:val="24"/>
          <w:szCs w:val="24"/>
          <w:u w:val="single"/>
        </w:rPr>
      </w:pPr>
      <w:r w:rsidRPr="00DB7731">
        <w:rPr>
          <w:rFonts w:ascii="Arial" w:hAnsi="Arial" w:cs="Arial"/>
          <w:b/>
          <w:snapToGrid w:val="0"/>
          <w:position w:val="6"/>
          <w:sz w:val="24"/>
          <w:szCs w:val="24"/>
          <w:u w:val="single"/>
        </w:rPr>
        <w:t>ANNUAL ELECTRIC DECOUPLING RATE ADJUSTMENT:</w:t>
      </w:r>
    </w:p>
    <w:p w:rsidR="003E09EF" w:rsidRPr="00DB7731" w:rsidRDefault="00F73EB4" w:rsidP="003E09EF">
      <w:pPr>
        <w:pStyle w:val="BodyTextIndent"/>
        <w:ind w:left="0" w:right="-36" w:firstLine="720"/>
        <w:jc w:val="both"/>
        <w:rPr>
          <w:rFonts w:ascii="Arial" w:hAnsi="Arial" w:cs="Arial"/>
          <w:snapToGrid w:val="0"/>
          <w:position w:val="6"/>
          <w:sz w:val="24"/>
          <w:szCs w:val="24"/>
          <w:u w:val="single"/>
        </w:rPr>
      </w:pPr>
      <w:r w:rsidRPr="00DB7731">
        <w:rPr>
          <w:rFonts w:ascii="Arial" w:hAnsi="Arial" w:cs="Arial"/>
          <w:snapToGrid w:val="0"/>
          <w:position w:val="6"/>
          <w:sz w:val="24"/>
          <w:szCs w:val="24"/>
          <w:u w:val="single"/>
        </w:rPr>
        <w:t>On or before September 1st each year, the Company will file a request with the Commission to surcharge or rebate</w:t>
      </w:r>
      <w:r w:rsidR="003E09EF" w:rsidRPr="00DB7731">
        <w:rPr>
          <w:rFonts w:ascii="Arial" w:hAnsi="Arial" w:cs="Arial"/>
          <w:snapToGrid w:val="0"/>
          <w:position w:val="6"/>
          <w:sz w:val="24"/>
          <w:szCs w:val="24"/>
          <w:u w:val="single"/>
        </w:rPr>
        <w:t>, by Rate Group,</w:t>
      </w:r>
      <w:r w:rsidRPr="00DB7731">
        <w:rPr>
          <w:rFonts w:ascii="Arial" w:hAnsi="Arial" w:cs="Arial"/>
          <w:snapToGrid w:val="0"/>
          <w:position w:val="6"/>
          <w:sz w:val="24"/>
          <w:szCs w:val="24"/>
          <w:u w:val="single"/>
        </w:rPr>
        <w:t xml:space="preserve"> the amount accumulated in the deferred revenue account</w:t>
      </w:r>
      <w:r w:rsidR="003E09EF" w:rsidRPr="00DB7731">
        <w:rPr>
          <w:rFonts w:ascii="Arial" w:hAnsi="Arial" w:cs="Arial"/>
          <w:snapToGrid w:val="0"/>
          <w:position w:val="6"/>
          <w:sz w:val="24"/>
          <w:szCs w:val="24"/>
          <w:u w:val="single"/>
        </w:rPr>
        <w:t>s</w:t>
      </w:r>
      <w:r w:rsidRPr="00DB7731">
        <w:rPr>
          <w:rFonts w:ascii="Arial" w:hAnsi="Arial" w:cs="Arial"/>
          <w:snapToGrid w:val="0"/>
          <w:position w:val="6"/>
          <w:sz w:val="24"/>
          <w:szCs w:val="24"/>
          <w:u w:val="single"/>
        </w:rPr>
        <w:t xml:space="preserve"> for the prior July through June period.</w:t>
      </w:r>
      <w:r w:rsidR="002408C3" w:rsidRPr="00DB7731">
        <w:rPr>
          <w:rFonts w:ascii="Arial" w:hAnsi="Arial" w:cs="Arial"/>
          <w:snapToGrid w:val="0"/>
          <w:position w:val="6"/>
          <w:sz w:val="24"/>
          <w:szCs w:val="24"/>
          <w:u w:val="single"/>
        </w:rPr>
        <w:t xml:space="preserve">  </w:t>
      </w:r>
      <w:r w:rsidRPr="00DB7731">
        <w:rPr>
          <w:rFonts w:ascii="Arial" w:hAnsi="Arial" w:cs="Arial"/>
          <w:snapToGrid w:val="0"/>
          <w:position w:val="6"/>
          <w:sz w:val="24"/>
          <w:szCs w:val="24"/>
          <w:u w:val="single"/>
        </w:rPr>
        <w:t xml:space="preserve">The amount of deferred revenue that the Company can request to surcharge is subject to limitation based on the </w:t>
      </w:r>
      <w:r w:rsidR="003E09EF" w:rsidRPr="00DB7731">
        <w:rPr>
          <w:rFonts w:ascii="Arial" w:hAnsi="Arial" w:cs="Arial"/>
          <w:snapToGrid w:val="0"/>
          <w:position w:val="6"/>
          <w:sz w:val="24"/>
          <w:szCs w:val="24"/>
          <w:u w:val="single"/>
        </w:rPr>
        <w:t>Earnings Test</w:t>
      </w:r>
      <w:r w:rsidR="00756E65" w:rsidRPr="00DB7731">
        <w:rPr>
          <w:rFonts w:ascii="Arial" w:hAnsi="Arial" w:cs="Arial"/>
          <w:snapToGrid w:val="0"/>
          <w:position w:val="6"/>
          <w:sz w:val="24"/>
          <w:szCs w:val="24"/>
          <w:u w:val="single"/>
        </w:rPr>
        <w:t>.  The first deferral period would be the six-month time period of January 1, 2015 through June 30, 2015, and would then be based on a July – June deferral period thereafter.</w:t>
      </w:r>
      <w:r w:rsidRPr="00DB7731">
        <w:rPr>
          <w:rFonts w:ascii="Arial" w:hAnsi="Arial" w:cs="Arial"/>
          <w:snapToGrid w:val="0"/>
          <w:position w:val="6"/>
          <w:sz w:val="24"/>
          <w:szCs w:val="24"/>
          <w:u w:val="single"/>
        </w:rPr>
        <w:t xml:space="preserve">  </w:t>
      </w:r>
    </w:p>
    <w:p w:rsidR="00C30644" w:rsidRPr="00DB7731" w:rsidRDefault="00C30644" w:rsidP="003E09EF">
      <w:pPr>
        <w:pStyle w:val="BodyTextIndent"/>
        <w:ind w:left="0" w:right="-36" w:firstLine="720"/>
        <w:jc w:val="both"/>
        <w:rPr>
          <w:rFonts w:ascii="Arial" w:hAnsi="Arial" w:cs="Arial"/>
          <w:snapToGrid w:val="0"/>
          <w:position w:val="6"/>
          <w:sz w:val="24"/>
          <w:szCs w:val="24"/>
          <w:u w:val="single"/>
        </w:rPr>
      </w:pPr>
      <w:r w:rsidRPr="00DB7731">
        <w:rPr>
          <w:rFonts w:ascii="Arial" w:hAnsi="Arial" w:cs="Arial"/>
          <w:snapToGrid w:val="0"/>
          <w:position w:val="6"/>
          <w:sz w:val="24"/>
          <w:szCs w:val="24"/>
          <w:u w:val="single"/>
        </w:rPr>
        <w:t xml:space="preserve">The proposed tariff revisions included with that filing would include a rate adjustment that recovers/rebates the appropriate deferred revenue amount over a twelve-month period effective on November 1st.  The deferred revenue amount approved for recovery or rebate would be transferred to a balancing account and the revenue surcharged or rebated during the period would reduce the deferred revenue in the balancing account.  Any deferred revenue remaining in the balancing account at the end of the July - June year would be added to the new revenue deferrals to determine the amount of the proposed surcharge/rebate for the following year.  </w:t>
      </w:r>
    </w:p>
    <w:p w:rsidR="00C30644" w:rsidRPr="00DB7731" w:rsidRDefault="00C30644" w:rsidP="00C30644">
      <w:pPr>
        <w:pStyle w:val="BodyTextIndent"/>
        <w:ind w:left="0" w:right="-36" w:firstLine="720"/>
        <w:jc w:val="both"/>
        <w:rPr>
          <w:rFonts w:ascii="Arial" w:hAnsi="Arial" w:cs="Arial"/>
          <w:snapToGrid w:val="0"/>
          <w:position w:val="6"/>
          <w:sz w:val="24"/>
          <w:szCs w:val="24"/>
          <w:u w:val="single"/>
        </w:rPr>
      </w:pPr>
      <w:r w:rsidRPr="00DB7731">
        <w:rPr>
          <w:rFonts w:ascii="Arial" w:hAnsi="Arial" w:cs="Arial"/>
          <w:snapToGrid w:val="0"/>
          <w:position w:val="6"/>
          <w:sz w:val="24"/>
          <w:szCs w:val="24"/>
          <w:u w:val="single"/>
        </w:rPr>
        <w:t>After determining the amount of deferred revenue that can be recovered through a surcharge (or refunded through a rebate) by Rate Group, the proposed rates under this Schedule will be determined by dividing the deferred revenue to be recovered by Rate Group by the estimated kWh sales for each Rate Group during the twelve month recovery period.  The deferred revenue amount to be recovered will be transferred to a Decoupling Balancing Account and the actual revenue received under this Schedule will be applied to the Account to reduce (amortize) the balance.  Interest will be accrued on the unamortized balance in the Decoupling Balancing Account at the quarterly rate published by the FERC.</w:t>
      </w:r>
    </w:p>
    <w:p w:rsidR="00C30644" w:rsidRPr="00DB7731" w:rsidRDefault="00C30644">
      <w:pPr>
        <w:autoSpaceDE/>
        <w:autoSpaceDN/>
        <w:spacing w:after="200" w:line="276" w:lineRule="auto"/>
        <w:rPr>
          <w:rFonts w:ascii="Helvetica" w:hAnsi="Helvetica"/>
          <w:snapToGrid w:val="0"/>
          <w:position w:val="6"/>
          <w:sz w:val="22"/>
          <w:u w:val="single"/>
        </w:rPr>
      </w:pPr>
      <w:r w:rsidRPr="00DB7731">
        <w:rPr>
          <w:rFonts w:ascii="Helvetica" w:hAnsi="Helvetica"/>
          <w:snapToGrid w:val="0"/>
          <w:position w:val="6"/>
          <w:sz w:val="22"/>
          <w:u w:val="single"/>
        </w:rPr>
        <w:br w:type="page"/>
      </w:r>
    </w:p>
    <w:p w:rsidR="00C30644" w:rsidRPr="00DB7731" w:rsidRDefault="002B6FF4" w:rsidP="00C30644">
      <w:pPr>
        <w:pStyle w:val="BodyTextIndent"/>
        <w:ind w:left="0" w:right="-36"/>
        <w:jc w:val="center"/>
        <w:rPr>
          <w:rFonts w:ascii="Arial" w:hAnsi="Arial" w:cs="Arial"/>
          <w:snapToGrid w:val="0"/>
          <w:position w:val="6"/>
          <w:sz w:val="24"/>
          <w:szCs w:val="24"/>
          <w:u w:val="single"/>
        </w:rPr>
      </w:pPr>
      <w:r w:rsidRPr="00DB7731">
        <w:rPr>
          <w:rFonts w:ascii="Arial" w:hAnsi="Arial" w:cs="Arial"/>
          <w:noProof/>
          <w:sz w:val="24"/>
          <w:szCs w:val="24"/>
          <w:u w:val="single"/>
        </w:rPr>
        <w:lastRenderedPageBreak/>
        <w:pict>
          <v:shape id="_x0000_s1067" type="#_x0000_t202" style="position:absolute;left:0;text-align:left;margin-left:-13.55pt;margin-top:-78.1pt;width:324pt;height:49.5pt;z-index:-251651072" filled="f" stroked="f">
            <v:textbox style="mso-next-textbox:#_x0000_s1067">
              <w:txbxContent>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p>
                <w:p w:rsidR="00632379" w:rsidRPr="00362B8A" w:rsidRDefault="00632379" w:rsidP="00C30644">
                  <w:pPr>
                    <w:rPr>
                      <w:rFonts w:ascii="Arial" w:hAnsi="Arial" w:cs="Arial"/>
                      <w:sz w:val="22"/>
                      <w:szCs w:val="22"/>
                    </w:rPr>
                  </w:pPr>
                  <w:r w:rsidRPr="00362B8A">
                    <w:rPr>
                      <w:rFonts w:ascii="Arial" w:hAnsi="Arial" w:cs="Arial"/>
                      <w:sz w:val="22"/>
                      <w:szCs w:val="22"/>
                    </w:rPr>
                    <w:t>WN U-28</w:t>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r>
                  <w:r w:rsidRPr="00362B8A">
                    <w:rPr>
                      <w:rFonts w:ascii="Arial" w:hAnsi="Arial" w:cs="Arial"/>
                      <w:sz w:val="22"/>
                      <w:szCs w:val="22"/>
                    </w:rPr>
                    <w:tab/>
                    <w:t xml:space="preserve">Original Sheet </w:t>
                  </w:r>
                  <w:proofErr w:type="spellStart"/>
                  <w:r w:rsidRPr="00362B8A">
                    <w:rPr>
                      <w:rFonts w:ascii="Arial" w:hAnsi="Arial" w:cs="Arial"/>
                      <w:sz w:val="22"/>
                      <w:szCs w:val="22"/>
                    </w:rPr>
                    <w:t>99</w:t>
                  </w:r>
                  <w:r>
                    <w:rPr>
                      <w:rFonts w:ascii="Arial" w:hAnsi="Arial" w:cs="Arial"/>
                      <w:sz w:val="22"/>
                      <w:szCs w:val="22"/>
                    </w:rPr>
                    <w:t>D</w:t>
                  </w:r>
                  <w:proofErr w:type="spellEnd"/>
                </w:p>
              </w:txbxContent>
            </v:textbox>
          </v:shape>
        </w:pict>
      </w:r>
      <w:r w:rsidRPr="00DB7731">
        <w:rPr>
          <w:rFonts w:ascii="Arial" w:hAnsi="Arial" w:cs="Arial"/>
          <w:noProof/>
          <w:position w:val="6"/>
          <w:sz w:val="24"/>
          <w:szCs w:val="24"/>
          <w:u w:val="single"/>
        </w:rPr>
        <w:pict>
          <v:shape id="_x0000_s1069" type="#_x0000_t32" style="position:absolute;left:0;text-align:left;margin-left:476.8pt;margin-top:12pt;width:0;height:540.85pt;z-index:251663360" o:connectortype="straight"/>
        </w:pict>
      </w:r>
      <w:r w:rsidRPr="00DB7731">
        <w:rPr>
          <w:rFonts w:ascii="Arial" w:hAnsi="Arial" w:cs="Arial"/>
          <w:noProof/>
          <w:position w:val="6"/>
          <w:sz w:val="24"/>
          <w:szCs w:val="24"/>
          <w:u w:val="single"/>
        </w:rPr>
        <w:pict>
          <v:shape id="_x0000_s1068" type="#_x0000_t202" style="position:absolute;left:0;text-align:left;margin-left:463.1pt;margin-top:-8.35pt;width:36pt;height:583.55pt;z-index:251664384" filled="f" strokecolor="white">
            <v:textbox style="mso-next-textbox:#_x0000_s1068">
              <w:txbxContent>
                <w:p w:rsidR="00632379" w:rsidRDefault="00632379" w:rsidP="00C30644">
                  <w:pPr>
                    <w:rPr>
                      <w:sz w:val="22"/>
                      <w:szCs w:val="22"/>
                    </w:rPr>
                  </w:pPr>
                  <w:r w:rsidRPr="00CF18BB">
                    <w:rPr>
                      <w:sz w:val="22"/>
                      <w:szCs w:val="22"/>
                    </w:rPr>
                    <w:t>(</w:t>
                  </w:r>
                  <w:r>
                    <w:rPr>
                      <w:sz w:val="22"/>
                      <w:szCs w:val="22"/>
                    </w:rPr>
                    <w:t>N</w:t>
                  </w:r>
                  <w:r w:rsidRPr="00CF18BB">
                    <w:rPr>
                      <w:sz w:val="22"/>
                      <w:szCs w:val="22"/>
                    </w:rPr>
                    <w:t>)</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r>
                    <w:rPr>
                      <w:sz w:val="22"/>
                      <w:szCs w:val="22"/>
                    </w:rPr>
                    <w:t>(N)</w:t>
                  </w: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p w:rsidR="00632379" w:rsidRDefault="00632379" w:rsidP="00C30644">
                  <w:pPr>
                    <w:rPr>
                      <w:sz w:val="22"/>
                      <w:szCs w:val="22"/>
                    </w:rPr>
                  </w:pPr>
                </w:p>
              </w:txbxContent>
            </v:textbox>
          </v:shape>
        </w:pict>
      </w:r>
      <w:r w:rsidR="00C30644" w:rsidRPr="00DB7731">
        <w:rPr>
          <w:rFonts w:ascii="Arial" w:hAnsi="Arial" w:cs="Arial"/>
          <w:snapToGrid w:val="0"/>
          <w:position w:val="6"/>
          <w:sz w:val="24"/>
          <w:szCs w:val="24"/>
          <w:u w:val="single"/>
        </w:rPr>
        <w:t xml:space="preserve">SCHEDULE </w:t>
      </w:r>
      <w:proofErr w:type="spellStart"/>
      <w:r w:rsidR="00C30644" w:rsidRPr="00DB7731">
        <w:rPr>
          <w:rFonts w:ascii="Arial" w:hAnsi="Arial" w:cs="Arial"/>
          <w:snapToGrid w:val="0"/>
          <w:position w:val="6"/>
          <w:sz w:val="24"/>
          <w:szCs w:val="24"/>
          <w:u w:val="single"/>
        </w:rPr>
        <w:t>99D</w:t>
      </w:r>
      <w:proofErr w:type="spellEnd"/>
    </w:p>
    <w:p w:rsidR="00C30644" w:rsidRPr="00DB7731" w:rsidRDefault="00C30644" w:rsidP="00C30644">
      <w:pPr>
        <w:jc w:val="center"/>
        <w:rPr>
          <w:rFonts w:ascii="Arial" w:hAnsi="Arial" w:cs="Arial"/>
          <w:sz w:val="24"/>
          <w:szCs w:val="24"/>
          <w:u w:val="single"/>
        </w:rPr>
      </w:pPr>
      <w:r w:rsidRPr="00DB7731">
        <w:rPr>
          <w:rFonts w:ascii="Arial" w:hAnsi="Arial" w:cs="Arial"/>
          <w:sz w:val="24"/>
          <w:szCs w:val="24"/>
          <w:u w:val="single"/>
        </w:rPr>
        <w:t>DECOUPLING MECHANISM – ELECTRIC (continued)</w:t>
      </w:r>
    </w:p>
    <w:p w:rsidR="00C30644" w:rsidRPr="00DB7731" w:rsidRDefault="00C30644" w:rsidP="003E09EF">
      <w:pPr>
        <w:pStyle w:val="BodyTextIndent"/>
        <w:ind w:left="0" w:right="-36" w:firstLine="720"/>
        <w:jc w:val="both"/>
        <w:rPr>
          <w:rFonts w:ascii="Arial" w:hAnsi="Arial" w:cs="Arial"/>
          <w:snapToGrid w:val="0"/>
          <w:position w:val="6"/>
          <w:sz w:val="24"/>
          <w:szCs w:val="24"/>
          <w:u w:val="single"/>
        </w:rPr>
      </w:pPr>
    </w:p>
    <w:p w:rsidR="00756E65" w:rsidRPr="00DB7731" w:rsidRDefault="00756E65" w:rsidP="00756E65">
      <w:pPr>
        <w:pStyle w:val="BodyTextIndent"/>
        <w:ind w:left="0" w:right="-36"/>
        <w:rPr>
          <w:rFonts w:ascii="Arial" w:hAnsi="Arial" w:cs="Arial"/>
          <w:b/>
          <w:snapToGrid w:val="0"/>
          <w:position w:val="6"/>
          <w:sz w:val="24"/>
          <w:szCs w:val="24"/>
          <w:u w:val="single"/>
        </w:rPr>
      </w:pPr>
      <w:r w:rsidRPr="00DB7731">
        <w:rPr>
          <w:rFonts w:ascii="Arial" w:hAnsi="Arial" w:cs="Arial"/>
          <w:b/>
          <w:snapToGrid w:val="0"/>
          <w:position w:val="6"/>
          <w:sz w:val="24"/>
          <w:szCs w:val="24"/>
          <w:u w:val="single"/>
        </w:rPr>
        <w:t>EARNINGS TEST:</w:t>
      </w:r>
    </w:p>
    <w:p w:rsidR="00F73EB4" w:rsidRPr="00DB7731" w:rsidRDefault="00756E65" w:rsidP="003E09EF">
      <w:pPr>
        <w:pStyle w:val="BodyTextIndent"/>
        <w:ind w:left="0" w:right="-36" w:firstLine="720"/>
        <w:jc w:val="both"/>
        <w:rPr>
          <w:rFonts w:ascii="Arial" w:hAnsi="Arial" w:cs="Arial"/>
          <w:snapToGrid w:val="0"/>
          <w:position w:val="6"/>
          <w:sz w:val="24"/>
          <w:szCs w:val="24"/>
          <w:u w:val="single"/>
        </w:rPr>
      </w:pPr>
      <w:r w:rsidRPr="00DB7731">
        <w:rPr>
          <w:rFonts w:ascii="Arial" w:hAnsi="Arial" w:cs="Arial"/>
          <w:snapToGrid w:val="0"/>
          <w:position w:val="6"/>
          <w:sz w:val="24"/>
          <w:szCs w:val="24"/>
          <w:u w:val="single"/>
        </w:rPr>
        <w:t xml:space="preserve">The Mechanism is subject to an </w:t>
      </w:r>
      <w:r w:rsidR="003E09EF" w:rsidRPr="00DB7731">
        <w:rPr>
          <w:rFonts w:ascii="Arial" w:hAnsi="Arial" w:cs="Arial"/>
          <w:snapToGrid w:val="0"/>
          <w:position w:val="6"/>
          <w:sz w:val="24"/>
          <w:szCs w:val="24"/>
          <w:u w:val="single"/>
        </w:rPr>
        <w:t>Earnings Test</w:t>
      </w:r>
      <w:r w:rsidRPr="00DB7731">
        <w:rPr>
          <w:rFonts w:ascii="Arial" w:hAnsi="Arial" w:cs="Arial"/>
          <w:snapToGrid w:val="0"/>
          <w:position w:val="6"/>
          <w:sz w:val="24"/>
          <w:szCs w:val="24"/>
          <w:u w:val="single"/>
        </w:rPr>
        <w:t xml:space="preserve">. The Earnings Test is based on the Company’s annual “Commission-basis” operating results, which are filed with the Commission by April 30 for the previous calendar year results.  If the Commission-basis rate of return for the Company’s Washington electric operations exceeds the most recently authorized rate of return, the amount of the proposed surcharge (amount transferred to the balancing account) is reduced or eliminated to move the rate of return down to, or toward, the Commission-authorized level. </w:t>
      </w:r>
    </w:p>
    <w:p w:rsidR="00C30644" w:rsidRPr="00DB7731" w:rsidRDefault="00C30644" w:rsidP="008C51FB">
      <w:pPr>
        <w:pStyle w:val="BodyTextIndent"/>
        <w:ind w:left="0" w:right="-36"/>
        <w:rPr>
          <w:rFonts w:ascii="Arial" w:hAnsi="Arial" w:cs="Arial"/>
          <w:b/>
          <w:snapToGrid w:val="0"/>
          <w:position w:val="6"/>
          <w:sz w:val="24"/>
          <w:szCs w:val="24"/>
          <w:u w:val="single"/>
        </w:rPr>
      </w:pPr>
    </w:p>
    <w:p w:rsidR="00003F23" w:rsidRPr="00DB7731" w:rsidRDefault="003E09EF" w:rsidP="008C51FB">
      <w:pPr>
        <w:pStyle w:val="BodyTextIndent"/>
        <w:ind w:left="0" w:right="-36"/>
        <w:rPr>
          <w:rFonts w:ascii="Arial" w:hAnsi="Arial" w:cs="Arial"/>
          <w:b/>
          <w:snapToGrid w:val="0"/>
          <w:position w:val="6"/>
          <w:sz w:val="24"/>
          <w:szCs w:val="24"/>
          <w:u w:val="single"/>
        </w:rPr>
      </w:pPr>
      <w:r w:rsidRPr="00DB7731">
        <w:rPr>
          <w:rFonts w:ascii="Arial" w:hAnsi="Arial" w:cs="Arial"/>
          <w:b/>
          <w:snapToGrid w:val="0"/>
          <w:position w:val="6"/>
          <w:sz w:val="24"/>
          <w:szCs w:val="24"/>
          <w:u w:val="single"/>
        </w:rPr>
        <w:t>3</w:t>
      </w:r>
      <w:r w:rsidR="00003F23" w:rsidRPr="00DB7731">
        <w:rPr>
          <w:rFonts w:ascii="Arial" w:hAnsi="Arial" w:cs="Arial"/>
          <w:b/>
          <w:snapToGrid w:val="0"/>
          <w:position w:val="6"/>
          <w:sz w:val="24"/>
          <w:szCs w:val="24"/>
          <w:u w:val="single"/>
        </w:rPr>
        <w:t xml:space="preserve">% </w:t>
      </w:r>
      <w:r w:rsidR="008C51FB" w:rsidRPr="00DB7731">
        <w:rPr>
          <w:rFonts w:ascii="Arial" w:hAnsi="Arial" w:cs="Arial"/>
          <w:b/>
          <w:snapToGrid w:val="0"/>
          <w:position w:val="6"/>
          <w:sz w:val="24"/>
          <w:szCs w:val="24"/>
          <w:u w:val="single"/>
        </w:rPr>
        <w:t>ANNUAL RATE INCREASE LIMITATION:</w:t>
      </w:r>
    </w:p>
    <w:p w:rsidR="00F73EB4" w:rsidRPr="00DB7731" w:rsidRDefault="00F73EB4" w:rsidP="003E09EF">
      <w:pPr>
        <w:pStyle w:val="BodyTextIndent"/>
        <w:ind w:left="0" w:right="-36" w:firstLine="720"/>
        <w:jc w:val="both"/>
        <w:rPr>
          <w:rFonts w:ascii="Arial" w:hAnsi="Arial" w:cs="Arial"/>
          <w:snapToGrid w:val="0"/>
          <w:position w:val="6"/>
          <w:sz w:val="24"/>
          <w:szCs w:val="24"/>
          <w:u w:val="single"/>
        </w:rPr>
      </w:pPr>
      <w:r w:rsidRPr="00DB7731">
        <w:rPr>
          <w:rFonts w:ascii="Arial" w:hAnsi="Arial" w:cs="Arial"/>
          <w:snapToGrid w:val="0"/>
          <w:position w:val="6"/>
          <w:sz w:val="24"/>
          <w:szCs w:val="24"/>
          <w:u w:val="single"/>
        </w:rPr>
        <w:t xml:space="preserve">Following the application of the Earnings </w:t>
      </w:r>
      <w:r w:rsidR="003E09EF" w:rsidRPr="00DB7731">
        <w:rPr>
          <w:rFonts w:ascii="Arial" w:hAnsi="Arial" w:cs="Arial"/>
          <w:snapToGrid w:val="0"/>
          <w:position w:val="6"/>
          <w:sz w:val="24"/>
          <w:szCs w:val="24"/>
          <w:u w:val="single"/>
        </w:rPr>
        <w:t>Test</w:t>
      </w:r>
      <w:r w:rsidRPr="00DB7731">
        <w:rPr>
          <w:rFonts w:ascii="Arial" w:hAnsi="Arial" w:cs="Arial"/>
          <w:snapToGrid w:val="0"/>
          <w:position w:val="6"/>
          <w:sz w:val="24"/>
          <w:szCs w:val="24"/>
          <w:u w:val="single"/>
        </w:rPr>
        <w:t xml:space="preserve"> described above, the amount of the incremental proposed rate adjustment under this Schedule cannot </w:t>
      </w:r>
      <w:r w:rsidR="00003F23" w:rsidRPr="00DB7731">
        <w:rPr>
          <w:rFonts w:ascii="Arial" w:hAnsi="Arial" w:cs="Arial"/>
          <w:snapToGrid w:val="0"/>
          <w:position w:val="6"/>
          <w:sz w:val="24"/>
          <w:szCs w:val="24"/>
          <w:u w:val="single"/>
        </w:rPr>
        <w:t>reflect</w:t>
      </w:r>
      <w:r w:rsidR="003E09EF" w:rsidRPr="00DB7731">
        <w:rPr>
          <w:rFonts w:ascii="Arial" w:hAnsi="Arial" w:cs="Arial"/>
          <w:snapToGrid w:val="0"/>
          <w:position w:val="6"/>
          <w:sz w:val="24"/>
          <w:szCs w:val="24"/>
          <w:u w:val="single"/>
        </w:rPr>
        <w:t xml:space="preserve"> more than a 3</w:t>
      </w:r>
      <w:r w:rsidRPr="00DB7731">
        <w:rPr>
          <w:rFonts w:ascii="Arial" w:hAnsi="Arial" w:cs="Arial"/>
          <w:snapToGrid w:val="0"/>
          <w:position w:val="6"/>
          <w:sz w:val="24"/>
          <w:szCs w:val="24"/>
          <w:u w:val="single"/>
        </w:rPr>
        <w:t>% rate increase.  This will be determined by dividing the incremental annual revenue to be collected (proposed surcharge revenue less present surcharge revenue) under this Schedule by the total “n</w:t>
      </w:r>
      <w:r w:rsidR="00297EA2" w:rsidRPr="00DB7731">
        <w:rPr>
          <w:rFonts w:ascii="Arial" w:hAnsi="Arial" w:cs="Arial"/>
          <w:snapToGrid w:val="0"/>
          <w:position w:val="6"/>
          <w:sz w:val="24"/>
          <w:szCs w:val="24"/>
          <w:u w:val="single"/>
        </w:rPr>
        <w:t xml:space="preserve">ormalized” revenue for </w:t>
      </w:r>
      <w:r w:rsidR="003E09EF" w:rsidRPr="00DB7731">
        <w:rPr>
          <w:rFonts w:ascii="Arial" w:hAnsi="Arial" w:cs="Arial"/>
          <w:snapToGrid w:val="0"/>
          <w:position w:val="6"/>
          <w:sz w:val="24"/>
          <w:szCs w:val="24"/>
          <w:u w:val="single"/>
        </w:rPr>
        <w:t>the three Rate Groups</w:t>
      </w:r>
      <w:r w:rsidRPr="00DB7731">
        <w:rPr>
          <w:rFonts w:ascii="Arial" w:hAnsi="Arial" w:cs="Arial"/>
          <w:snapToGrid w:val="0"/>
          <w:position w:val="6"/>
          <w:sz w:val="24"/>
          <w:szCs w:val="24"/>
          <w:u w:val="single"/>
        </w:rPr>
        <w:t xml:space="preserve"> for the most recent July – June period.  Normalized revenue is determined by multiplying the weather-corrected usage for the period by the present rates in effect.  If the incremental amount of the proposed surcharge exceeds </w:t>
      </w:r>
      <w:r w:rsidR="003E09EF" w:rsidRPr="00DB7731">
        <w:rPr>
          <w:rFonts w:ascii="Arial" w:hAnsi="Arial" w:cs="Arial"/>
          <w:snapToGrid w:val="0"/>
          <w:position w:val="6"/>
          <w:sz w:val="24"/>
          <w:szCs w:val="24"/>
          <w:u w:val="single"/>
        </w:rPr>
        <w:t>3</w:t>
      </w:r>
      <w:r w:rsidRPr="00DB7731">
        <w:rPr>
          <w:rFonts w:ascii="Arial" w:hAnsi="Arial" w:cs="Arial"/>
          <w:snapToGrid w:val="0"/>
          <w:position w:val="6"/>
          <w:sz w:val="24"/>
          <w:szCs w:val="24"/>
          <w:u w:val="single"/>
        </w:rPr>
        <w:t xml:space="preserve">%, only a </w:t>
      </w:r>
      <w:r w:rsidR="003E09EF" w:rsidRPr="00DB7731">
        <w:rPr>
          <w:rFonts w:ascii="Arial" w:hAnsi="Arial" w:cs="Arial"/>
          <w:snapToGrid w:val="0"/>
          <w:position w:val="6"/>
          <w:sz w:val="24"/>
          <w:szCs w:val="24"/>
          <w:u w:val="single"/>
        </w:rPr>
        <w:t>3</w:t>
      </w:r>
      <w:r w:rsidRPr="00DB7731">
        <w:rPr>
          <w:rFonts w:ascii="Arial" w:hAnsi="Arial" w:cs="Arial"/>
          <w:snapToGrid w:val="0"/>
          <w:position w:val="6"/>
          <w:sz w:val="24"/>
          <w:szCs w:val="24"/>
          <w:u w:val="single"/>
        </w:rPr>
        <w:t xml:space="preserve">% incremental rate increase will be proposed and any remaining deferred revenue will be carried over </w:t>
      </w:r>
      <w:r w:rsidR="00003F23" w:rsidRPr="00DB7731">
        <w:rPr>
          <w:rFonts w:ascii="Arial" w:hAnsi="Arial" w:cs="Arial"/>
          <w:snapToGrid w:val="0"/>
          <w:position w:val="6"/>
          <w:sz w:val="24"/>
          <w:szCs w:val="24"/>
          <w:u w:val="single"/>
        </w:rPr>
        <w:t>to</w:t>
      </w:r>
      <w:r w:rsidRPr="00DB7731">
        <w:rPr>
          <w:rFonts w:ascii="Arial" w:hAnsi="Arial" w:cs="Arial"/>
          <w:snapToGrid w:val="0"/>
          <w:position w:val="6"/>
          <w:sz w:val="24"/>
          <w:szCs w:val="24"/>
          <w:u w:val="single"/>
        </w:rPr>
        <w:t xml:space="preserve"> the following year.</w:t>
      </w:r>
      <w:r w:rsidR="008C51FB" w:rsidRPr="00DB7731">
        <w:rPr>
          <w:rFonts w:ascii="Arial" w:hAnsi="Arial" w:cs="Arial"/>
          <w:snapToGrid w:val="0"/>
          <w:position w:val="6"/>
          <w:sz w:val="24"/>
          <w:szCs w:val="24"/>
          <w:u w:val="single"/>
        </w:rPr>
        <w:t xml:space="preserve">  There is no limitation for rate decreases.</w:t>
      </w:r>
    </w:p>
    <w:p w:rsidR="001E0132" w:rsidRPr="00DB7731" w:rsidRDefault="001E0132" w:rsidP="001E0132">
      <w:pPr>
        <w:rPr>
          <w:rFonts w:ascii="Arial" w:hAnsi="Arial" w:cs="Arial"/>
          <w:sz w:val="24"/>
          <w:szCs w:val="24"/>
          <w:u w:val="single"/>
        </w:rPr>
      </w:pPr>
    </w:p>
    <w:p w:rsidR="00C93225" w:rsidRPr="00DB7731" w:rsidRDefault="00C93225" w:rsidP="004720C7">
      <w:pPr>
        <w:spacing w:after="120"/>
        <w:ind w:left="360"/>
        <w:rPr>
          <w:rFonts w:ascii="Arial" w:hAnsi="Arial" w:cs="Arial"/>
          <w:sz w:val="24"/>
          <w:szCs w:val="24"/>
          <w:u w:val="single"/>
        </w:rPr>
      </w:pPr>
    </w:p>
    <w:sectPr w:rsidR="00C93225" w:rsidRPr="00DB7731" w:rsidSect="008F426F">
      <w:headerReference w:type="default" r:id="rId7"/>
      <w:footerReference w:type="default" r:id="rId8"/>
      <w:type w:val="continuous"/>
      <w:pgSz w:w="12240" w:h="15840" w:code="1"/>
      <w:pgMar w:top="2160" w:right="1800" w:bottom="2160"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379" w:rsidRDefault="00632379">
      <w:r>
        <w:separator/>
      </w:r>
    </w:p>
  </w:endnote>
  <w:endnote w:type="continuationSeparator" w:id="0">
    <w:p w:rsidR="00632379" w:rsidRDefault="00632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79" w:rsidRDefault="002B6FF4">
    <w:pPr>
      <w:pStyle w:val="Footer"/>
    </w:pPr>
    <w:r>
      <w:rPr>
        <w:noProof/>
      </w:rPr>
      <w:pict>
        <v:shapetype id="_x0000_t202" coordsize="21600,21600" o:spt="202" path="m,l,21600r21600,l21600,xe">
          <v:stroke joinstyle="miter"/>
          <v:path gradientshapeok="t" o:connecttype="rect"/>
        </v:shapetype>
        <v:shape id="_x0000_s2077" type="#_x0000_t202" style="position:absolute;margin-left:-10.8pt;margin-top:-67.7pt;width:460.8pt;height:36pt;z-index:251671552" o:allowincell="f" filled="f" stroked="f">
          <v:textbox style="mso-next-textbox:#_x0000_s2077" inset="0,0,0,0">
            <w:txbxContent>
              <w:p w:rsidR="00632379" w:rsidRDefault="00632379" w:rsidP="004C27B8">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February 4, 2014</w:t>
                </w:r>
                <w:r>
                  <w:rPr>
                    <w:rFonts w:ascii="Arial" w:hAnsi="Arial" w:cs="Arial"/>
                  </w:rPr>
                  <w:tab/>
                  <w:t>Effective</w:t>
                </w:r>
                <w:r>
                  <w:rPr>
                    <w:rFonts w:ascii="Arial" w:hAnsi="Arial" w:cs="Arial"/>
                  </w:rPr>
                  <w:tab/>
                  <w:t>March 7, 2014</w:t>
                </w:r>
              </w:p>
              <w:p w:rsidR="00632379" w:rsidRDefault="00632379">
                <w:pPr>
                  <w:tabs>
                    <w:tab w:val="left" w:pos="5220"/>
                  </w:tabs>
                </w:pPr>
                <w:r>
                  <w:rPr>
                    <w:rFonts w:ascii="Arial" w:hAnsi="Arial" w:cs="Arial"/>
                  </w:rPr>
                  <w:tab/>
                </w:r>
              </w:p>
            </w:txbxContent>
          </v:textbox>
        </v:shape>
      </w:pict>
    </w:r>
    <w:r>
      <w:rPr>
        <w:noProof/>
      </w:rPr>
      <w:pict>
        <v:shape id="_x0000_s2078" type="#_x0000_t202" style="position:absolute;margin-left:-10.8pt;margin-top:-31.7pt;width:460.8pt;height:28.8pt;z-index:251672576" o:allowincell="f" filled="f" stroked="f">
          <v:textbox style="mso-next-textbox:#_x0000_s2078" inset="0,0,0,0">
            <w:txbxContent>
              <w:p w:rsidR="00632379" w:rsidRDefault="00632379" w:rsidP="004C27B8">
                <w:pPr>
                  <w:tabs>
                    <w:tab w:val="left" w:pos="180"/>
                    <w:tab w:val="left" w:pos="1530"/>
                  </w:tabs>
                  <w:rPr>
                    <w:rFonts w:ascii="Arial" w:hAnsi="Arial" w:cs="Arial"/>
                  </w:rPr>
                </w:pPr>
                <w:r>
                  <w:rPr>
                    <w:rFonts w:ascii="Arial" w:hAnsi="Arial" w:cs="Arial"/>
                  </w:rPr>
                  <w:t xml:space="preserve">Issued by Avista Corporation </w:t>
                </w:r>
              </w:p>
              <w:p w:rsidR="00632379" w:rsidRDefault="00632379" w:rsidP="004C27B8">
                <w:pPr>
                  <w:tabs>
                    <w:tab w:val="left" w:pos="900"/>
                    <w:tab w:val="left" w:pos="3330"/>
                    <w:tab w:val="left" w:pos="3420"/>
                    <w:tab w:val="left" w:pos="5400"/>
                  </w:tabs>
                </w:pPr>
                <w:r>
                  <w:rPr>
                    <w:rFonts w:ascii="Arial" w:hAnsi="Arial" w:cs="Arial"/>
                  </w:rPr>
                  <w:t xml:space="preserve">By   </w:t>
                </w:r>
                <w:r>
                  <w:rPr>
                    <w:rFonts w:ascii="Arial" w:hAnsi="Arial" w:cs="Arial"/>
                  </w:rPr>
                  <w:tab/>
                </w:r>
                <w:r>
                  <w:rPr>
                    <w:rFonts w:ascii="Arial" w:hAnsi="Arial" w:cs="Arial"/>
                  </w:rPr>
                  <w:tab/>
                </w:r>
                <w:smartTag w:uri="urn:schemas:contacts" w:element="middlename">
                  <w:r>
                    <w:rPr>
                      <w:rFonts w:ascii="Arial" w:hAnsi="Arial" w:cs="Arial"/>
                    </w:rPr>
                    <w:t>Kelly</w:t>
                  </w:r>
                </w:smartTag>
                <w:r>
                  <w:rPr>
                    <w:rFonts w:ascii="Arial" w:hAnsi="Arial" w:cs="Arial"/>
                  </w:rPr>
                  <w:t xml:space="preserve"> Norwood, Vice President, State &amp; Federal Regulation</w:t>
                </w:r>
              </w:p>
              <w:p w:rsidR="00632379" w:rsidRPr="004C27B8" w:rsidRDefault="00632379" w:rsidP="004C27B8"/>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379" w:rsidRDefault="00632379">
      <w:r>
        <w:separator/>
      </w:r>
    </w:p>
  </w:footnote>
  <w:footnote w:type="continuationSeparator" w:id="0">
    <w:p w:rsidR="00632379" w:rsidRDefault="00632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79" w:rsidRDefault="002B6FF4">
    <w:pPr>
      <w:pStyle w:val="Header"/>
    </w:pPr>
    <w:r>
      <w:rPr>
        <w:noProof/>
      </w:rPr>
      <w:pict>
        <v:rect id="_x0000_s2070" style="position:absolute;margin-left:-10.8pt;margin-top:9in;width:460.8pt;height:36pt;z-index:251670528" o:allowincell="f" filled="f"/>
      </w:pict>
    </w:r>
    <w:r>
      <w:rPr>
        <w:noProof/>
      </w:rPr>
      <w:pict>
        <v:line id="_x0000_s2071" style="position:absolute;flip:y;z-index:251669504" from="313.2pt,0" to="313.2pt,64.8pt" o:allowincell="f"/>
      </w:pict>
    </w:r>
    <w:r>
      <w:rPr>
        <w:noProof/>
      </w:rPr>
      <w:pict>
        <v:line id="_x0000_s2072" style="position:absolute;z-index:251668480" from="-10.8pt,36pt" to="-10.8pt,64.8pt" o:allowincell="f"/>
      </w:pict>
    </w:r>
    <w:r>
      <w:rPr>
        <w:noProof/>
      </w:rPr>
      <w:pict>
        <v:line id="_x0000_s2073" style="position:absolute;z-index:251667456" from="-10.8pt,36pt" to="313.2pt,36pt" o:allowincell="f"/>
      </w:pict>
    </w:r>
    <w:r>
      <w:rPr>
        <w:noProof/>
      </w:rPr>
      <w:pict>
        <v:shapetype id="_x0000_t202" coordsize="21600,21600" o:spt="202" path="m,l,21600r21600,l21600,xe">
          <v:stroke joinstyle="miter"/>
          <v:path gradientshapeok="t" o:connecttype="rect"/>
        </v:shapetype>
        <v:shape id="_x0000_s2074" type="#_x0000_t202" style="position:absolute;margin-left:-10.8pt;margin-top:36pt;width:324pt;height:28.8pt;z-index:251666432" o:allowincell="f" filled="f" stroked="f">
          <v:textbox style="mso-next-textbox:#_x0000_s2074">
            <w:txbxContent>
              <w:p w:rsidR="00632379" w:rsidRDefault="00632379">
                <w:pPr>
                  <w:pStyle w:val="Header"/>
                  <w:jc w:val="center"/>
                  <w:rPr>
                    <w:rFonts w:ascii="Arial" w:hAnsi="Arial" w:cs="Arial"/>
                  </w:rPr>
                </w:pPr>
                <w:r>
                  <w:rPr>
                    <w:rFonts w:ascii="Arial" w:hAnsi="Arial" w:cs="Arial"/>
                  </w:rPr>
                  <w:t>AVISTA  CORPORATION</w:t>
                </w:r>
              </w:p>
              <w:p w:rsidR="00632379" w:rsidRDefault="00632379">
                <w:pPr>
                  <w:jc w:val="center"/>
                </w:pPr>
                <w:proofErr w:type="spellStart"/>
                <w:r>
                  <w:rPr>
                    <w:rFonts w:ascii="Arial" w:hAnsi="Arial" w:cs="Arial"/>
                  </w:rPr>
                  <w:t>dba</w:t>
                </w:r>
                <w:proofErr w:type="spellEnd"/>
                <w:r>
                  <w:rPr>
                    <w:rFonts w:ascii="Arial" w:hAnsi="Arial" w:cs="Arial"/>
                  </w:rPr>
                  <w:t xml:space="preserve">  Avista Utilities</w:t>
                </w:r>
              </w:p>
            </w:txbxContent>
          </v:textbox>
        </v:shape>
      </w:pict>
    </w:r>
    <w:r>
      <w:rPr>
        <w:noProof/>
      </w:rPr>
      <w:pict>
        <v:shape id="_x0000_s2075" type="#_x0000_t202" style="position:absolute;margin-left:313.2pt;margin-top:0;width:136.8pt;height:64.8pt;z-index:251665408" o:allowincell="f" filled="f" stroked="f">
          <v:textbox style="mso-next-textbox:#_x0000_s2075" inset="0,.72pt,0,0">
            <w:txbxContent>
              <w:p w:rsidR="00632379" w:rsidRDefault="00632379">
                <w:pPr>
                  <w:jc w:val="right"/>
                  <w:rPr>
                    <w:rFonts w:ascii="Arial" w:hAnsi="Arial" w:cs="Arial"/>
                  </w:rPr>
                </w:pPr>
              </w:p>
              <w:p w:rsidR="00632379" w:rsidRDefault="00632379">
                <w:pPr>
                  <w:tabs>
                    <w:tab w:val="right" w:pos="2430"/>
                  </w:tabs>
                  <w:rPr>
                    <w:rFonts w:ascii="Arial" w:hAnsi="Arial" w:cs="Arial"/>
                  </w:rPr>
                </w:pPr>
                <w:r>
                  <w:rPr>
                    <w:rFonts w:ascii="Arial" w:hAnsi="Arial" w:cs="Arial"/>
                  </w:rPr>
                  <w:tab/>
                </w:r>
              </w:p>
              <w:p w:rsidR="00632379" w:rsidRDefault="00632379">
                <w:pPr>
                  <w:tabs>
                    <w:tab w:val="right" w:pos="2610"/>
                  </w:tabs>
                  <w:rPr>
                    <w:rFonts w:ascii="Arial" w:hAnsi="Arial" w:cs="Arial"/>
                  </w:rPr>
                </w:pPr>
                <w:r>
                  <w:rPr>
                    <w:rFonts w:ascii="Arial" w:hAnsi="Arial" w:cs="Arial"/>
                  </w:rPr>
                  <w:tab/>
                </w:r>
              </w:p>
            </w:txbxContent>
          </v:textbox>
        </v:shape>
      </w:pict>
    </w:r>
    <w:r>
      <w:rPr>
        <w:noProof/>
      </w:rPr>
      <w:pict>
        <v:rect id="_x0000_s2076" style="position:absolute;margin-left:-10.8pt;margin-top:64.8pt;width:460.8pt;height:583.2pt;z-index:251663360" o:allowincell="f" fill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039A"/>
    <w:multiLevelType w:val="hybridMultilevel"/>
    <w:tmpl w:val="A51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00051"/>
    <w:multiLevelType w:val="hybridMultilevel"/>
    <w:tmpl w:val="9562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9C3051"/>
    <w:multiLevelType w:val="hybridMultilevel"/>
    <w:tmpl w:val="9474A1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76905538"/>
    <w:multiLevelType w:val="hybridMultilevel"/>
    <w:tmpl w:val="1AE4F5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81">
      <o:colormenu v:ext="edit" strokecolor="none"/>
    </o:shapedefaults>
    <o:shapelayout v:ext="edit">
      <o:idmap v:ext="edit" data="2"/>
    </o:shapelayout>
  </w:hdrShapeDefaults>
  <w:footnotePr>
    <w:footnote w:id="-1"/>
    <w:footnote w:id="0"/>
  </w:footnotePr>
  <w:endnotePr>
    <w:endnote w:id="-1"/>
    <w:endnote w:id="0"/>
  </w:endnotePr>
  <w:compat/>
  <w:rsids>
    <w:rsidRoot w:val="0027750E"/>
    <w:rsid w:val="00003F23"/>
    <w:rsid w:val="000130A8"/>
    <w:rsid w:val="00054722"/>
    <w:rsid w:val="000A2390"/>
    <w:rsid w:val="000C1790"/>
    <w:rsid w:val="000D1742"/>
    <w:rsid w:val="000D18DF"/>
    <w:rsid w:val="000D352D"/>
    <w:rsid w:val="000D4FE9"/>
    <w:rsid w:val="000F08E3"/>
    <w:rsid w:val="00100CCC"/>
    <w:rsid w:val="00125324"/>
    <w:rsid w:val="00161D09"/>
    <w:rsid w:val="00163105"/>
    <w:rsid w:val="001A0A41"/>
    <w:rsid w:val="001A0F80"/>
    <w:rsid w:val="001C551D"/>
    <w:rsid w:val="001D3BAD"/>
    <w:rsid w:val="001E0132"/>
    <w:rsid w:val="001E0920"/>
    <w:rsid w:val="001E7449"/>
    <w:rsid w:val="00206070"/>
    <w:rsid w:val="00214522"/>
    <w:rsid w:val="00230F5C"/>
    <w:rsid w:val="002408C3"/>
    <w:rsid w:val="00241436"/>
    <w:rsid w:val="00265C77"/>
    <w:rsid w:val="00276475"/>
    <w:rsid w:val="0027750E"/>
    <w:rsid w:val="00297EA2"/>
    <w:rsid w:val="002B6FF4"/>
    <w:rsid w:val="002D2AAB"/>
    <w:rsid w:val="002D6F9A"/>
    <w:rsid w:val="003435A4"/>
    <w:rsid w:val="00362B8A"/>
    <w:rsid w:val="0039359C"/>
    <w:rsid w:val="003A0949"/>
    <w:rsid w:val="003B7EE8"/>
    <w:rsid w:val="003D11F4"/>
    <w:rsid w:val="003D64A2"/>
    <w:rsid w:val="003E09EF"/>
    <w:rsid w:val="003E2868"/>
    <w:rsid w:val="003F01E9"/>
    <w:rsid w:val="003F3E5C"/>
    <w:rsid w:val="004130F9"/>
    <w:rsid w:val="0042655B"/>
    <w:rsid w:val="00436308"/>
    <w:rsid w:val="00441960"/>
    <w:rsid w:val="004720C7"/>
    <w:rsid w:val="004879D8"/>
    <w:rsid w:val="004978F1"/>
    <w:rsid w:val="004C2307"/>
    <w:rsid w:val="004C27B8"/>
    <w:rsid w:val="004C3332"/>
    <w:rsid w:val="004D1A02"/>
    <w:rsid w:val="005043B7"/>
    <w:rsid w:val="00511974"/>
    <w:rsid w:val="00532533"/>
    <w:rsid w:val="00536113"/>
    <w:rsid w:val="00542CC1"/>
    <w:rsid w:val="00564F61"/>
    <w:rsid w:val="00570C6F"/>
    <w:rsid w:val="005976F6"/>
    <w:rsid w:val="005A3CF0"/>
    <w:rsid w:val="005B5F52"/>
    <w:rsid w:val="005D0BF6"/>
    <w:rsid w:val="005F3003"/>
    <w:rsid w:val="00612857"/>
    <w:rsid w:val="0062247C"/>
    <w:rsid w:val="00627F99"/>
    <w:rsid w:val="00632379"/>
    <w:rsid w:val="00636FB9"/>
    <w:rsid w:val="00644908"/>
    <w:rsid w:val="006A6EE6"/>
    <w:rsid w:val="006B77ED"/>
    <w:rsid w:val="006C3724"/>
    <w:rsid w:val="006D07DD"/>
    <w:rsid w:val="006D202A"/>
    <w:rsid w:val="006D5DB7"/>
    <w:rsid w:val="006E00B9"/>
    <w:rsid w:val="007174B0"/>
    <w:rsid w:val="0072379D"/>
    <w:rsid w:val="0074444D"/>
    <w:rsid w:val="007548B6"/>
    <w:rsid w:val="00754AFA"/>
    <w:rsid w:val="00756E65"/>
    <w:rsid w:val="00760A69"/>
    <w:rsid w:val="0077290E"/>
    <w:rsid w:val="00773C5F"/>
    <w:rsid w:val="007940A9"/>
    <w:rsid w:val="007962EA"/>
    <w:rsid w:val="007B61CC"/>
    <w:rsid w:val="007E42AA"/>
    <w:rsid w:val="007F4DF3"/>
    <w:rsid w:val="008343B9"/>
    <w:rsid w:val="00852926"/>
    <w:rsid w:val="0086149B"/>
    <w:rsid w:val="0086653D"/>
    <w:rsid w:val="00872036"/>
    <w:rsid w:val="008C51FB"/>
    <w:rsid w:val="008F426F"/>
    <w:rsid w:val="00911B6B"/>
    <w:rsid w:val="00925F3D"/>
    <w:rsid w:val="00964862"/>
    <w:rsid w:val="00976BE3"/>
    <w:rsid w:val="009815FF"/>
    <w:rsid w:val="00983508"/>
    <w:rsid w:val="00983F11"/>
    <w:rsid w:val="0099569D"/>
    <w:rsid w:val="00995A52"/>
    <w:rsid w:val="009D36F8"/>
    <w:rsid w:val="00A20C8F"/>
    <w:rsid w:val="00A278F1"/>
    <w:rsid w:val="00A3126D"/>
    <w:rsid w:val="00A45441"/>
    <w:rsid w:val="00A47EB3"/>
    <w:rsid w:val="00A5386A"/>
    <w:rsid w:val="00A81892"/>
    <w:rsid w:val="00A95132"/>
    <w:rsid w:val="00AB54D8"/>
    <w:rsid w:val="00AC5C20"/>
    <w:rsid w:val="00AE297B"/>
    <w:rsid w:val="00AF15C4"/>
    <w:rsid w:val="00B00918"/>
    <w:rsid w:val="00B2587B"/>
    <w:rsid w:val="00B36E5D"/>
    <w:rsid w:val="00B45168"/>
    <w:rsid w:val="00B558B6"/>
    <w:rsid w:val="00B63B6E"/>
    <w:rsid w:val="00B80731"/>
    <w:rsid w:val="00BA593A"/>
    <w:rsid w:val="00C12AFC"/>
    <w:rsid w:val="00C1703F"/>
    <w:rsid w:val="00C30644"/>
    <w:rsid w:val="00C93225"/>
    <w:rsid w:val="00CC703E"/>
    <w:rsid w:val="00CD3A32"/>
    <w:rsid w:val="00CF18BB"/>
    <w:rsid w:val="00D13273"/>
    <w:rsid w:val="00D3668B"/>
    <w:rsid w:val="00D82454"/>
    <w:rsid w:val="00D851E2"/>
    <w:rsid w:val="00DA3939"/>
    <w:rsid w:val="00DB7731"/>
    <w:rsid w:val="00DC1EB9"/>
    <w:rsid w:val="00DC4157"/>
    <w:rsid w:val="00DD2872"/>
    <w:rsid w:val="00DF35B5"/>
    <w:rsid w:val="00DF5306"/>
    <w:rsid w:val="00E05880"/>
    <w:rsid w:val="00E148FF"/>
    <w:rsid w:val="00E158D9"/>
    <w:rsid w:val="00E402C4"/>
    <w:rsid w:val="00E71E10"/>
    <w:rsid w:val="00EA3EA0"/>
    <w:rsid w:val="00EA6EF7"/>
    <w:rsid w:val="00EB40FD"/>
    <w:rsid w:val="00ED5036"/>
    <w:rsid w:val="00EE6F78"/>
    <w:rsid w:val="00EF4849"/>
    <w:rsid w:val="00EF7F6B"/>
    <w:rsid w:val="00F11079"/>
    <w:rsid w:val="00F13AE5"/>
    <w:rsid w:val="00F22E18"/>
    <w:rsid w:val="00F25BAD"/>
    <w:rsid w:val="00F26543"/>
    <w:rsid w:val="00F43190"/>
    <w:rsid w:val="00F43743"/>
    <w:rsid w:val="00F44AE8"/>
    <w:rsid w:val="00F63925"/>
    <w:rsid w:val="00F73EB4"/>
    <w:rsid w:val="00FC6A1F"/>
    <w:rsid w:val="00FD202E"/>
    <w:rsid w:val="00FE0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microsoft-com:office:smarttags" w:name="stockticker"/>
  <w:shapeDefaults>
    <o:shapedefaults v:ext="edit" spidmax="2081">
      <o:colormenu v:ext="edit" strokecolor="none"/>
    </o:shapedefaults>
    <o:shapelayout v:ext="edit">
      <o:idmap v:ext="edit" data="1"/>
      <o:rules v:ext="edit">
        <o:r id="V:Rule6" type="connector" idref="#_x0000_s1044"/>
        <o:r id="V:Rule7" type="connector" idref="#_x0000_s1054"/>
        <o:r id="V:Rule8" type="connector" idref="#_x0000_s1069"/>
        <o:r id="V:Rule9" type="connector" idref="#_x0000_s1063"/>
        <o:r id="V:Rule10"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02"/>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1A02"/>
    <w:pPr>
      <w:tabs>
        <w:tab w:val="center" w:pos="4320"/>
        <w:tab w:val="right" w:pos="8640"/>
      </w:tabs>
    </w:pPr>
  </w:style>
  <w:style w:type="character" w:customStyle="1" w:styleId="HeaderChar">
    <w:name w:val="Header Char"/>
    <w:basedOn w:val="DefaultParagraphFont"/>
    <w:link w:val="Header"/>
    <w:uiPriority w:val="99"/>
    <w:semiHidden/>
    <w:locked/>
    <w:rsid w:val="004D1A02"/>
    <w:rPr>
      <w:rFonts w:cs="Times New Roman"/>
      <w:sz w:val="20"/>
      <w:szCs w:val="20"/>
    </w:rPr>
  </w:style>
  <w:style w:type="paragraph" w:styleId="Footer">
    <w:name w:val="footer"/>
    <w:basedOn w:val="Normal"/>
    <w:link w:val="FooterChar"/>
    <w:uiPriority w:val="99"/>
    <w:rsid w:val="004D1A02"/>
    <w:pPr>
      <w:tabs>
        <w:tab w:val="center" w:pos="4320"/>
        <w:tab w:val="right" w:pos="8640"/>
      </w:tabs>
    </w:pPr>
  </w:style>
  <w:style w:type="character" w:customStyle="1" w:styleId="FooterChar">
    <w:name w:val="Footer Char"/>
    <w:basedOn w:val="DefaultParagraphFont"/>
    <w:link w:val="Footer"/>
    <w:uiPriority w:val="99"/>
    <w:semiHidden/>
    <w:locked/>
    <w:rsid w:val="004D1A02"/>
    <w:rPr>
      <w:rFonts w:cs="Times New Roman"/>
      <w:sz w:val="20"/>
      <w:szCs w:val="20"/>
    </w:rPr>
  </w:style>
  <w:style w:type="paragraph" w:styleId="BodyText">
    <w:name w:val="Body Text"/>
    <w:basedOn w:val="Normal"/>
    <w:link w:val="BodyTextChar"/>
    <w:uiPriority w:val="99"/>
    <w:rsid w:val="004D1A02"/>
    <w:pPr>
      <w:ind w:right="-36"/>
    </w:pPr>
    <w:rPr>
      <w:rFonts w:ascii="Arial" w:hAnsi="Arial" w:cs="Arial"/>
      <w:sz w:val="22"/>
      <w:szCs w:val="22"/>
    </w:rPr>
  </w:style>
  <w:style w:type="character" w:customStyle="1" w:styleId="BodyTextChar">
    <w:name w:val="Body Text Char"/>
    <w:basedOn w:val="DefaultParagraphFont"/>
    <w:link w:val="BodyText"/>
    <w:uiPriority w:val="99"/>
    <w:semiHidden/>
    <w:locked/>
    <w:rsid w:val="004D1A02"/>
    <w:rPr>
      <w:rFonts w:cs="Times New Roman"/>
      <w:sz w:val="20"/>
      <w:szCs w:val="20"/>
    </w:rPr>
  </w:style>
  <w:style w:type="paragraph" w:customStyle="1" w:styleId="Items1">
    <w:name w:val="Items 1"/>
    <w:basedOn w:val="Normal"/>
    <w:uiPriority w:val="99"/>
    <w:rsid w:val="004D1A02"/>
    <w:pPr>
      <w:ind w:left="720" w:hanging="360"/>
      <w:jc w:val="both"/>
    </w:pPr>
    <w:rPr>
      <w:rFonts w:ascii="Helvetica" w:hAnsi="Helvetica" w:cs="Helvetica"/>
      <w:noProof/>
      <w:sz w:val="24"/>
      <w:szCs w:val="24"/>
    </w:rPr>
  </w:style>
  <w:style w:type="paragraph" w:styleId="BodyText2">
    <w:name w:val="Body Text 2"/>
    <w:basedOn w:val="Normal"/>
    <w:link w:val="BodyText2Char"/>
    <w:uiPriority w:val="99"/>
    <w:rsid w:val="004D1A02"/>
    <w:pPr>
      <w:tabs>
        <w:tab w:val="left" w:pos="540"/>
        <w:tab w:val="left" w:pos="1080"/>
      </w:tabs>
      <w:ind w:right="-1080"/>
    </w:pPr>
    <w:rPr>
      <w:rFonts w:ascii="Arial" w:hAnsi="Arial" w:cs="Arial"/>
      <w:sz w:val="21"/>
      <w:szCs w:val="21"/>
    </w:rPr>
  </w:style>
  <w:style w:type="character" w:customStyle="1" w:styleId="BodyText2Char">
    <w:name w:val="Body Text 2 Char"/>
    <w:basedOn w:val="DefaultParagraphFont"/>
    <w:link w:val="BodyText2"/>
    <w:uiPriority w:val="99"/>
    <w:semiHidden/>
    <w:locked/>
    <w:rsid w:val="004D1A02"/>
    <w:rPr>
      <w:rFonts w:cs="Times New Roman"/>
      <w:sz w:val="20"/>
      <w:szCs w:val="20"/>
    </w:rPr>
  </w:style>
  <w:style w:type="paragraph" w:styleId="BodyText3">
    <w:name w:val="Body Text 3"/>
    <w:basedOn w:val="Normal"/>
    <w:link w:val="BodyText3Char"/>
    <w:uiPriority w:val="99"/>
    <w:rsid w:val="004D1A02"/>
    <w:pPr>
      <w:ind w:right="-180"/>
    </w:pPr>
    <w:rPr>
      <w:rFonts w:ascii="Arial" w:hAnsi="Arial" w:cs="Arial"/>
      <w:sz w:val="22"/>
      <w:szCs w:val="22"/>
    </w:rPr>
  </w:style>
  <w:style w:type="character" w:customStyle="1" w:styleId="BodyText3Char">
    <w:name w:val="Body Text 3 Char"/>
    <w:basedOn w:val="DefaultParagraphFont"/>
    <w:link w:val="BodyText3"/>
    <w:uiPriority w:val="99"/>
    <w:semiHidden/>
    <w:locked/>
    <w:rsid w:val="004D1A02"/>
    <w:rPr>
      <w:rFonts w:cs="Times New Roman"/>
      <w:sz w:val="16"/>
      <w:szCs w:val="16"/>
    </w:rPr>
  </w:style>
  <w:style w:type="paragraph" w:styleId="BlockText">
    <w:name w:val="Block Text"/>
    <w:basedOn w:val="Normal"/>
    <w:uiPriority w:val="99"/>
    <w:rsid w:val="004D1A02"/>
    <w:pPr>
      <w:tabs>
        <w:tab w:val="left" w:pos="720"/>
        <w:tab w:val="left" w:pos="1350"/>
      </w:tabs>
      <w:ind w:left="1350" w:right="-36" w:hanging="1350"/>
    </w:pPr>
    <w:rPr>
      <w:rFonts w:ascii="Arial" w:hAnsi="Arial" w:cs="Arial"/>
      <w:sz w:val="22"/>
      <w:szCs w:val="22"/>
    </w:rPr>
  </w:style>
  <w:style w:type="paragraph" w:styleId="BodyTextIndent">
    <w:name w:val="Body Text Indent"/>
    <w:basedOn w:val="Normal"/>
    <w:link w:val="BodyTextIndentChar"/>
    <w:uiPriority w:val="99"/>
    <w:rsid w:val="00EB40FD"/>
    <w:pPr>
      <w:spacing w:after="120"/>
      <w:ind w:left="360"/>
    </w:pPr>
  </w:style>
  <w:style w:type="character" w:customStyle="1" w:styleId="BodyTextIndentChar">
    <w:name w:val="Body Text Indent Char"/>
    <w:basedOn w:val="DefaultParagraphFont"/>
    <w:link w:val="BodyTextIndent"/>
    <w:uiPriority w:val="99"/>
    <w:semiHidden/>
    <w:locked/>
    <w:rsid w:val="004D1A02"/>
    <w:rPr>
      <w:rFonts w:cs="Times New Roman"/>
      <w:sz w:val="20"/>
      <w:szCs w:val="20"/>
    </w:rPr>
  </w:style>
  <w:style w:type="paragraph" w:styleId="BalloonText">
    <w:name w:val="Balloon Text"/>
    <w:basedOn w:val="Normal"/>
    <w:link w:val="BalloonTextChar"/>
    <w:uiPriority w:val="99"/>
    <w:semiHidden/>
    <w:rsid w:val="004C3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A02"/>
    <w:rPr>
      <w:rFonts w:ascii="Tahoma" w:hAnsi="Tahoma" w:cs="Tahoma"/>
      <w:sz w:val="16"/>
      <w:szCs w:val="16"/>
    </w:rPr>
  </w:style>
  <w:style w:type="paragraph" w:styleId="Revision">
    <w:name w:val="Revision"/>
    <w:hidden/>
    <w:uiPriority w:val="99"/>
    <w:semiHidden/>
    <w:rsid w:val="004720C7"/>
    <w:pPr>
      <w:spacing w:after="0" w:line="240" w:lineRule="auto"/>
    </w:pPr>
    <w:rPr>
      <w:sz w:val="20"/>
      <w:szCs w:val="20"/>
    </w:rPr>
  </w:style>
  <w:style w:type="paragraph" w:styleId="ListParagraph">
    <w:name w:val="List Paragraph"/>
    <w:basedOn w:val="Normal"/>
    <w:uiPriority w:val="34"/>
    <w:qFormat/>
    <w:rsid w:val="00F43743"/>
    <w:pPr>
      <w:ind w:left="720"/>
      <w:contextualSpacing/>
    </w:pPr>
  </w:style>
</w:styles>
</file>

<file path=word/webSettings.xml><?xml version="1.0" encoding="utf-8"?>
<w:webSettings xmlns:r="http://schemas.openxmlformats.org/officeDocument/2006/relationships" xmlns:w="http://schemas.openxmlformats.org/wordprocessingml/2006/main">
  <w:divs>
    <w:div w:id="599458215">
      <w:bodyDiv w:val="1"/>
      <w:marLeft w:val="0"/>
      <w:marRight w:val="0"/>
      <w:marTop w:val="0"/>
      <w:marBottom w:val="0"/>
      <w:divBdr>
        <w:top w:val="none" w:sz="0" w:space="0" w:color="auto"/>
        <w:left w:val="none" w:sz="0" w:space="0" w:color="auto"/>
        <w:bottom w:val="none" w:sz="0" w:space="0" w:color="auto"/>
        <w:right w:val="none" w:sz="0" w:space="0" w:color="auto"/>
      </w:divBdr>
    </w:div>
    <w:div w:id="845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2014-02-04T08:00:00+00:00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91C6A517-B57D-4AD1-AFE9-E313B589922D}"/>
</file>

<file path=customXml/itemProps2.xml><?xml version="1.0" encoding="utf-8"?>
<ds:datastoreItem xmlns:ds="http://schemas.openxmlformats.org/officeDocument/2006/customXml" ds:itemID="{AEF517BD-C8D8-414D-8691-4C712467861C}"/>
</file>

<file path=customXml/itemProps3.xml><?xml version="1.0" encoding="utf-8"?>
<ds:datastoreItem xmlns:ds="http://schemas.openxmlformats.org/officeDocument/2006/customXml" ds:itemID="{8E276EAC-8D5C-4A13-B4EB-CF362726E9A8}"/>
</file>

<file path=customXml/itemProps4.xml><?xml version="1.0" encoding="utf-8"?>
<ds:datastoreItem xmlns:ds="http://schemas.openxmlformats.org/officeDocument/2006/customXml" ds:itemID="{6A35E845-101F-4D19-9E8F-3DA8B0EA0C28}"/>
</file>

<file path=docProps/app.xml><?xml version="1.0" encoding="utf-8"?>
<Properties xmlns="http://schemas.openxmlformats.org/officeDocument/2006/extended-properties" xmlns:vt="http://schemas.openxmlformats.org/officeDocument/2006/docPropsVTypes">
  <Template>Normal.dotm</Template>
  <TotalTime>109</TotalTime>
  <Pages>5</Pages>
  <Words>1178</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SCHEDULE 58</vt:lpstr>
    </vt:vector>
  </TitlesOfParts>
  <Company>Avista Corp</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58</dc:title>
  <dc:creator>Jason Fletcher</dc:creator>
  <cp:lastModifiedBy>Patrick Ehrbar</cp:lastModifiedBy>
  <cp:revision>19</cp:revision>
  <cp:lastPrinted>2013-08-20T19:17:00Z</cp:lastPrinted>
  <dcterms:created xsi:type="dcterms:W3CDTF">2013-12-27T21:19:00Z</dcterms:created>
  <dcterms:modified xsi:type="dcterms:W3CDTF">2014-01-29T19:26:00Z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