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DA" w:rsidRDefault="00FC0DDA"/>
    <w:p w:rsidR="00FC0DDA" w:rsidRDefault="00FC0DDA"/>
    <w:p w:rsidR="001D10C6" w:rsidRPr="00FC0DDA" w:rsidRDefault="001D10C6" w:rsidP="00FC0DDA"/>
    <w:p w:rsidR="001D10C6" w:rsidRDefault="00FC0DDA" w:rsidP="001D10C6">
      <w:pPr>
        <w:pStyle w:val="Title"/>
      </w:pPr>
      <w:r w:rsidRPr="00FC0DDA">
        <w:t>Inquiry on Regulatory Treatment for Renewable Energy Resources</w:t>
      </w:r>
      <w:r w:rsidR="001D10C6" w:rsidRPr="001D10C6">
        <w:t xml:space="preserve"> </w:t>
      </w:r>
    </w:p>
    <w:p w:rsidR="00FC0DDA" w:rsidRPr="00FC0DDA" w:rsidRDefault="001D10C6" w:rsidP="00FC0DDA">
      <w:pPr>
        <w:pStyle w:val="Title"/>
      </w:pPr>
      <w:r>
        <w:t>Docket UE-100849</w:t>
      </w:r>
    </w:p>
    <w:p w:rsidR="00FC0DDA" w:rsidRDefault="00FC0DDA"/>
    <w:p w:rsidR="005A1925" w:rsidRDefault="005A1925"/>
    <w:p w:rsidR="005A1925" w:rsidRDefault="005A1925"/>
    <w:p w:rsidR="005A1925" w:rsidRDefault="005A1925"/>
    <w:p w:rsidR="005A1925" w:rsidRPr="001D10C6" w:rsidRDefault="005A1925" w:rsidP="005A1925">
      <w:pPr>
        <w:rPr>
          <w:rFonts w:ascii="Cambria" w:hAnsi="Cambria"/>
          <w:color w:val="17365D" w:themeColor="text2" w:themeShade="BF"/>
          <w:sz w:val="44"/>
        </w:rPr>
      </w:pPr>
      <w:r w:rsidRPr="001D10C6">
        <w:rPr>
          <w:rFonts w:ascii="Cambria" w:hAnsi="Cambria"/>
          <w:color w:val="17365D" w:themeColor="text2" w:themeShade="BF"/>
          <w:sz w:val="44"/>
        </w:rPr>
        <w:t>COMMENTS SUMMARY</w:t>
      </w:r>
    </w:p>
    <w:p w:rsidR="005A1925" w:rsidRPr="001D10C6" w:rsidRDefault="005A1925" w:rsidP="005A1925">
      <w:pPr>
        <w:spacing w:after="0"/>
        <w:rPr>
          <w:rFonts w:ascii="Cambria" w:hAnsi="Cambria"/>
          <w:color w:val="17365D" w:themeColor="text2" w:themeShade="BF"/>
          <w:sz w:val="40"/>
        </w:rPr>
      </w:pPr>
      <w:r w:rsidRPr="001D10C6">
        <w:rPr>
          <w:rFonts w:ascii="Cambria" w:hAnsi="Cambria"/>
          <w:color w:val="17365D" w:themeColor="text2" w:themeShade="BF"/>
          <w:sz w:val="40"/>
        </w:rPr>
        <w:t>Second Work Session</w:t>
      </w:r>
    </w:p>
    <w:p w:rsidR="005A1925" w:rsidRPr="001D10C6" w:rsidRDefault="005A1925" w:rsidP="005A1925">
      <w:pPr>
        <w:spacing w:after="240"/>
        <w:rPr>
          <w:rFonts w:ascii="Cambria" w:hAnsi="Cambria"/>
          <w:color w:val="17365D" w:themeColor="text2" w:themeShade="BF"/>
          <w:sz w:val="40"/>
        </w:rPr>
      </w:pPr>
      <w:r w:rsidRPr="001D10C6">
        <w:rPr>
          <w:rFonts w:ascii="Cambria" w:hAnsi="Cambria"/>
          <w:color w:val="17365D" w:themeColor="text2" w:themeShade="BF"/>
          <w:sz w:val="40"/>
        </w:rPr>
        <w:t>August 18, 2010</w:t>
      </w:r>
    </w:p>
    <w:p w:rsidR="005A1925" w:rsidRDefault="005A1925"/>
    <w:p w:rsidR="00FA139B" w:rsidRDefault="00FA139B"/>
    <w:p w:rsidR="00FA139B" w:rsidRDefault="00FA139B"/>
    <w:p w:rsidR="00FA139B" w:rsidRDefault="00FA139B"/>
    <w:p w:rsidR="00FA139B" w:rsidRDefault="00FA139B"/>
    <w:p w:rsidR="00FA139B" w:rsidRDefault="00FA139B"/>
    <w:p w:rsidR="00FA139B" w:rsidRDefault="00FA139B" w:rsidP="00FA139B">
      <w:pPr>
        <w:jc w:val="center"/>
      </w:pPr>
      <w:r w:rsidRPr="00FA139B">
        <w:rPr>
          <w:noProof/>
        </w:rPr>
        <w:drawing>
          <wp:inline distT="0" distB="0" distL="0" distR="0">
            <wp:extent cx="1752600" cy="785813"/>
            <wp:effectExtent l="19050" t="0" r="0" b="0"/>
            <wp:docPr id="1" name="Picture 1" descr="NewUTC2"/>
            <wp:cNvGraphicFramePr/>
            <a:graphic xmlns:a="http://schemas.openxmlformats.org/drawingml/2006/main">
              <a:graphicData uri="http://schemas.openxmlformats.org/drawingml/2006/picture">
                <pic:pic xmlns:pic="http://schemas.openxmlformats.org/drawingml/2006/picture">
                  <pic:nvPicPr>
                    <pic:cNvPr id="3075" name="Picture 3" descr="NewUTC2"/>
                    <pic:cNvPicPr>
                      <a:picLocks noChangeAspect="1" noChangeArrowheads="1"/>
                    </pic:cNvPicPr>
                  </pic:nvPicPr>
                  <pic:blipFill>
                    <a:blip r:embed="rId7" cstate="print"/>
                    <a:srcRect/>
                    <a:stretch>
                      <a:fillRect/>
                    </a:stretch>
                  </pic:blipFill>
                  <pic:spPr bwMode="auto">
                    <a:xfrm>
                      <a:off x="0" y="0"/>
                      <a:ext cx="1752600" cy="785813"/>
                    </a:xfrm>
                    <a:prstGeom prst="rect">
                      <a:avLst/>
                    </a:prstGeom>
                    <a:noFill/>
                  </pic:spPr>
                </pic:pic>
              </a:graphicData>
            </a:graphic>
          </wp:inline>
        </w:drawing>
      </w:r>
    </w:p>
    <w:p w:rsidR="00FC0DDA" w:rsidRDefault="00FC0DDA"/>
    <w:p w:rsidR="00FC0DDA" w:rsidRDefault="00FC0DDA">
      <w:pPr>
        <w:sectPr w:rsidR="00FC0DDA" w:rsidSect="00550856">
          <w:headerReference w:type="default" r:id="rId8"/>
          <w:footerReference w:type="default" r:id="rId9"/>
          <w:headerReference w:type="first" r:id="rId10"/>
          <w:footerReference w:type="first" r:id="rId11"/>
          <w:pgSz w:w="12240" w:h="15840"/>
          <w:pgMar w:top="1440" w:right="1440" w:bottom="1440" w:left="1440" w:header="720" w:footer="288" w:gutter="0"/>
          <w:cols w:space="720"/>
          <w:titlePg/>
          <w:docGrid w:linePitch="360"/>
        </w:sectPr>
      </w:pPr>
    </w:p>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550856" w:rsidTr="00550856">
        <w:trPr>
          <w:trHeight w:val="215"/>
          <w:tblHeader/>
        </w:trPr>
        <w:tc>
          <w:tcPr>
            <w:tcW w:w="9870" w:type="dxa"/>
            <w:tcBorders>
              <w:bottom w:val="single" w:sz="4" w:space="0" w:color="auto"/>
            </w:tcBorders>
            <w:shd w:val="clear" w:color="auto" w:fill="C6D9F1" w:themeFill="text2" w:themeFillTint="33"/>
            <w:vAlign w:val="center"/>
          </w:tcPr>
          <w:p w:rsidR="00550856" w:rsidRPr="00B56A66" w:rsidRDefault="00550856" w:rsidP="009535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ISSUES and </w:t>
            </w:r>
            <w:r w:rsidRPr="00B56A66">
              <w:rPr>
                <w:rFonts w:ascii="Times New Roman" w:hAnsi="Times New Roman" w:cs="Times New Roman"/>
                <w:b/>
                <w:sz w:val="24"/>
                <w:szCs w:val="24"/>
              </w:rPr>
              <w:t>COMMENTS</w:t>
            </w:r>
          </w:p>
        </w:tc>
      </w:tr>
      <w:tr w:rsidR="00550856" w:rsidTr="00271A24">
        <w:trPr>
          <w:trHeight w:val="288"/>
        </w:trPr>
        <w:tc>
          <w:tcPr>
            <w:tcW w:w="9870" w:type="dxa"/>
            <w:tcBorders>
              <w:top w:val="nil"/>
              <w:left w:val="single" w:sz="4" w:space="0" w:color="auto"/>
              <w:bottom w:val="nil"/>
              <w:right w:val="single" w:sz="4" w:space="0" w:color="auto"/>
            </w:tcBorders>
            <w:shd w:val="clear" w:color="auto" w:fill="C6D9F1" w:themeFill="text2" w:themeFillTint="33"/>
          </w:tcPr>
          <w:p w:rsidR="00550856" w:rsidRPr="00AD6661" w:rsidRDefault="00550856" w:rsidP="00271A24">
            <w:pPr>
              <w:spacing w:after="0"/>
              <w:rPr>
                <w:rFonts w:ascii="Times New Roman" w:hAnsi="Times New Roman" w:cs="Times New Roman"/>
                <w:b/>
                <w:sz w:val="24"/>
                <w:szCs w:val="24"/>
              </w:rPr>
            </w:pPr>
            <w:r w:rsidRPr="00D7447E">
              <w:rPr>
                <w:rFonts w:ascii="Times New Roman" w:hAnsi="Times New Roman" w:cs="Times New Roman"/>
                <w:i/>
                <w:sz w:val="24"/>
                <w:szCs w:val="24"/>
              </w:rPr>
              <w:t>1)  Definitions.</w:t>
            </w:r>
          </w:p>
        </w:tc>
      </w:tr>
      <w:tr w:rsidR="00550856" w:rsidTr="00271A24">
        <w:trPr>
          <w:trHeight w:val="539"/>
        </w:trPr>
        <w:tc>
          <w:tcPr>
            <w:tcW w:w="9870" w:type="dxa"/>
            <w:tcBorders>
              <w:top w:val="nil"/>
            </w:tcBorders>
            <w:shd w:val="clear" w:color="auto" w:fill="C6D9F1" w:themeFill="text2" w:themeFillTint="33"/>
          </w:tcPr>
          <w:p w:rsidR="00550856" w:rsidRPr="00AD6661" w:rsidRDefault="00616526" w:rsidP="00271A24">
            <w:pPr>
              <w:pStyle w:val="ListParagraph"/>
              <w:tabs>
                <w:tab w:val="left" w:pos="312"/>
              </w:tabs>
              <w:ind w:left="312"/>
              <w:rPr>
                <w:rFonts w:ascii="Times New Roman" w:hAnsi="Times New Roman" w:cs="Times New Roman"/>
                <w:b/>
                <w:sz w:val="24"/>
                <w:szCs w:val="24"/>
              </w:rPr>
            </w:pPr>
            <w:r>
              <w:rPr>
                <w:rFonts w:ascii="Times New Roman" w:hAnsi="Times New Roman" w:cs="Times New Roman"/>
                <w:sz w:val="24"/>
                <w:szCs w:val="24"/>
              </w:rPr>
              <w:tab/>
            </w:r>
            <w:r w:rsidR="0086296F">
              <w:rPr>
                <w:rFonts w:ascii="Times New Roman" w:hAnsi="Times New Roman" w:cs="Times New Roman"/>
                <w:sz w:val="24"/>
                <w:szCs w:val="24"/>
              </w:rPr>
              <w:t xml:space="preserve">(a) </w:t>
            </w:r>
            <w:r w:rsidR="00550856" w:rsidRPr="00154F5F">
              <w:rPr>
                <w:rFonts w:ascii="Times New Roman" w:hAnsi="Times New Roman" w:cs="Times New Roman"/>
                <w:sz w:val="24"/>
                <w:szCs w:val="24"/>
              </w:rPr>
              <w:t>What is “distributed generation” as applied to solar PV projects?</w:t>
            </w:r>
          </w:p>
        </w:tc>
      </w:tr>
      <w:tr w:rsidR="00550856" w:rsidTr="00C162AD">
        <w:trPr>
          <w:trHeight w:val="6497"/>
        </w:trPr>
        <w:tc>
          <w:tcPr>
            <w:tcW w:w="9870" w:type="dxa"/>
            <w:tcBorders>
              <w:top w:val="single" w:sz="4" w:space="0" w:color="auto"/>
            </w:tcBorders>
            <w:shd w:val="clear" w:color="auto" w:fill="auto"/>
          </w:tcPr>
          <w:p w:rsidR="0086296F" w:rsidRDefault="0086296F" w:rsidP="0086296F">
            <w:pPr>
              <w:spacing w:after="0"/>
              <w:rPr>
                <w:rFonts w:ascii="Times New Roman" w:hAnsi="Times New Roman" w:cs="Times New Roman"/>
                <w:b/>
                <w:sz w:val="24"/>
                <w:szCs w:val="24"/>
              </w:rPr>
            </w:pPr>
          </w:p>
          <w:p w:rsidR="00550856" w:rsidRDefault="00550856" w:rsidP="0086296F">
            <w:pPr>
              <w:spacing w:after="120"/>
              <w:rPr>
                <w:rFonts w:ascii="Times New Roman" w:hAnsi="Times New Roman" w:cs="Times New Roman"/>
                <w:sz w:val="24"/>
                <w:szCs w:val="24"/>
              </w:rPr>
            </w:pPr>
            <w:r w:rsidRPr="00AD6661">
              <w:rPr>
                <w:rFonts w:ascii="Times New Roman" w:hAnsi="Times New Roman" w:cs="Times New Roman"/>
                <w:b/>
                <w:sz w:val="24"/>
                <w:szCs w:val="24"/>
              </w:rPr>
              <w:t>Avista</w:t>
            </w:r>
            <w:r>
              <w:rPr>
                <w:rFonts w:ascii="Times New Roman" w:hAnsi="Times New Roman" w:cs="Times New Roman"/>
                <w:sz w:val="24"/>
                <w:szCs w:val="24"/>
              </w:rPr>
              <w:t xml:space="preserve"> supports the position that a solar PV system’s generating capacity should be measured based on its alternating current (AC) inverter output rather than its direct current (DC) output level.</w:t>
            </w:r>
          </w:p>
          <w:p w:rsidR="00550856" w:rsidRDefault="00550856" w:rsidP="0086296F">
            <w:pPr>
              <w:spacing w:after="120"/>
              <w:rPr>
                <w:rFonts w:ascii="Times New Roman" w:hAnsi="Times New Roman" w:cs="Times New Roman"/>
                <w:sz w:val="24"/>
                <w:szCs w:val="24"/>
              </w:rPr>
            </w:pPr>
            <w:r>
              <w:rPr>
                <w:rFonts w:ascii="Times New Roman" w:hAnsi="Times New Roman" w:cs="Times New Roman"/>
                <w:sz w:val="24"/>
                <w:szCs w:val="24"/>
              </w:rPr>
              <w:t xml:space="preserve">On the other hand, in their joint comments, the </w:t>
            </w:r>
            <w:r w:rsidRPr="008B4196">
              <w:rPr>
                <w:rFonts w:ascii="Times New Roman" w:hAnsi="Times New Roman" w:cs="Times New Roman"/>
                <w:sz w:val="24"/>
                <w:szCs w:val="24"/>
              </w:rPr>
              <w:t xml:space="preserve">Renewable Northwest Project, NW Energy </w:t>
            </w:r>
            <w:r w:rsidR="004464F4">
              <w:rPr>
                <w:rFonts w:ascii="Times New Roman" w:hAnsi="Times New Roman" w:cs="Times New Roman"/>
                <w:sz w:val="24"/>
                <w:szCs w:val="24"/>
              </w:rPr>
              <w:t>C</w:t>
            </w:r>
            <w:r w:rsidRPr="008B4196">
              <w:rPr>
                <w:rFonts w:ascii="Times New Roman" w:hAnsi="Times New Roman" w:cs="Times New Roman"/>
                <w:sz w:val="24"/>
                <w:szCs w:val="24"/>
              </w:rPr>
              <w:t>oalition, Climate Solutions, Cascade Chapter of the Sierra Club, and the Washington Environmental Council</w:t>
            </w:r>
            <w:r>
              <w:rPr>
                <w:rFonts w:ascii="Times New Roman" w:hAnsi="Times New Roman" w:cs="Times New Roman"/>
                <w:sz w:val="24"/>
                <w:szCs w:val="24"/>
              </w:rPr>
              <w:t>, henceforth referred to as the “</w:t>
            </w:r>
            <w:r w:rsidRPr="00AD6661">
              <w:rPr>
                <w:rFonts w:ascii="Times New Roman" w:hAnsi="Times New Roman" w:cs="Times New Roman"/>
                <w:b/>
                <w:sz w:val="24"/>
                <w:szCs w:val="24"/>
              </w:rPr>
              <w:t>Joint Coalition</w:t>
            </w:r>
            <w:r>
              <w:rPr>
                <w:rFonts w:ascii="Times New Roman" w:hAnsi="Times New Roman" w:cs="Times New Roman"/>
                <w:sz w:val="24"/>
                <w:szCs w:val="24"/>
              </w:rPr>
              <w:t>,” stated that they have</w:t>
            </w:r>
            <w:r w:rsidRPr="00142697">
              <w:rPr>
                <w:rFonts w:ascii="Times New Roman" w:hAnsi="Times New Roman" w:cs="Times New Roman"/>
                <w:sz w:val="24"/>
                <w:szCs w:val="24"/>
              </w:rPr>
              <w:t xml:space="preserve"> no position as to whether the threshold for distributed generation should be measured in DC or AC but </w:t>
            </w:r>
            <w:r>
              <w:rPr>
                <w:rFonts w:ascii="Times New Roman" w:hAnsi="Times New Roman" w:cs="Times New Roman"/>
                <w:sz w:val="24"/>
                <w:szCs w:val="24"/>
              </w:rPr>
              <w:t>commented that AC would “perhaps” be a more accurate measure of the true generating capacity of PV resources.  However, they feel</w:t>
            </w:r>
            <w:r w:rsidRPr="00142697">
              <w:rPr>
                <w:rFonts w:ascii="Times New Roman" w:hAnsi="Times New Roman" w:cs="Times New Roman"/>
                <w:sz w:val="24"/>
                <w:szCs w:val="24"/>
              </w:rPr>
              <w:t xml:space="preserve"> that the issue should be clarified</w:t>
            </w:r>
            <w:r>
              <w:rPr>
                <w:rFonts w:ascii="Times New Roman" w:hAnsi="Times New Roman" w:cs="Times New Roman"/>
                <w:sz w:val="24"/>
                <w:szCs w:val="24"/>
                <w:vertAlign w:val="superscript"/>
              </w:rPr>
              <w:t xml:space="preserve"> </w:t>
            </w:r>
            <w:r>
              <w:rPr>
                <w:rFonts w:ascii="Times New Roman" w:hAnsi="Times New Roman" w:cs="Times New Roman"/>
                <w:sz w:val="24"/>
                <w:szCs w:val="24"/>
              </w:rPr>
              <w:t>in the Commission’s rules.</w:t>
            </w:r>
          </w:p>
          <w:p w:rsidR="00550856" w:rsidRDefault="00550856" w:rsidP="0086296F">
            <w:pPr>
              <w:spacing w:after="120"/>
              <w:rPr>
                <w:rFonts w:ascii="Times New Roman" w:hAnsi="Times New Roman" w:cs="Times New Roman"/>
                <w:sz w:val="24"/>
                <w:szCs w:val="24"/>
              </w:rPr>
            </w:pPr>
            <w:r>
              <w:rPr>
                <w:rFonts w:ascii="Times New Roman" w:hAnsi="Times New Roman" w:cs="Times New Roman"/>
                <w:sz w:val="24"/>
                <w:szCs w:val="24"/>
              </w:rPr>
              <w:t xml:space="preserve">In its </w:t>
            </w:r>
            <w:r w:rsidRPr="007402F5">
              <w:rPr>
                <w:rFonts w:ascii="Times New Roman" w:hAnsi="Times New Roman" w:cs="Times New Roman"/>
                <w:i/>
                <w:sz w:val="24"/>
                <w:szCs w:val="24"/>
              </w:rPr>
              <w:t>Reply to Comments</w:t>
            </w:r>
            <w:r>
              <w:rPr>
                <w:rFonts w:ascii="Times New Roman" w:hAnsi="Times New Roman" w:cs="Times New Roman"/>
                <w:sz w:val="24"/>
                <w:szCs w:val="24"/>
              </w:rPr>
              <w:t xml:space="preserve"> Obsidian Finance Group, LLC. (</w:t>
            </w:r>
            <w:r w:rsidRPr="007402F5">
              <w:rPr>
                <w:rFonts w:ascii="Times New Roman" w:hAnsi="Times New Roman" w:cs="Times New Roman"/>
                <w:b/>
                <w:sz w:val="24"/>
                <w:szCs w:val="24"/>
              </w:rPr>
              <w:t>Obsidian</w:t>
            </w:r>
            <w:r>
              <w:rPr>
                <w:rFonts w:ascii="Times New Roman" w:hAnsi="Times New Roman" w:cs="Times New Roman"/>
                <w:sz w:val="24"/>
                <w:szCs w:val="24"/>
              </w:rPr>
              <w:t xml:space="preserve">) remarks that it agrees with </w:t>
            </w:r>
            <w:r w:rsidRPr="00AD6661">
              <w:rPr>
                <w:rFonts w:ascii="Times New Roman" w:hAnsi="Times New Roman" w:cs="Times New Roman"/>
                <w:b/>
                <w:sz w:val="24"/>
                <w:szCs w:val="24"/>
              </w:rPr>
              <w:t>Avista</w:t>
            </w:r>
            <w:r>
              <w:rPr>
                <w:rFonts w:ascii="Times New Roman" w:hAnsi="Times New Roman" w:cs="Times New Roman"/>
                <w:sz w:val="24"/>
                <w:szCs w:val="24"/>
              </w:rPr>
              <w:t xml:space="preserve"> regarding the use of the system’s inverter output</w:t>
            </w:r>
            <w:r w:rsidRPr="00A04337">
              <w:rPr>
                <w:rFonts w:ascii="Times New Roman" w:hAnsi="Times New Roman" w:cs="Times New Roman"/>
                <w:sz w:val="24"/>
                <w:szCs w:val="24"/>
              </w:rPr>
              <w:t xml:space="preserve"> </w:t>
            </w:r>
            <w:r>
              <w:rPr>
                <w:rFonts w:ascii="Times New Roman" w:hAnsi="Times New Roman" w:cs="Times New Roman"/>
                <w:sz w:val="24"/>
                <w:szCs w:val="24"/>
              </w:rPr>
              <w:t>as the</w:t>
            </w:r>
            <w:r w:rsidRPr="00A04337">
              <w:rPr>
                <w:rFonts w:ascii="Times New Roman" w:hAnsi="Times New Roman" w:cs="Times New Roman"/>
                <w:sz w:val="24"/>
                <w:szCs w:val="24"/>
              </w:rPr>
              <w:t xml:space="preserve"> measurement of the PV system’s generating capacity</w:t>
            </w:r>
            <w:r>
              <w:rPr>
                <w:rFonts w:ascii="Times New Roman" w:hAnsi="Times New Roman" w:cs="Times New Roman"/>
                <w:sz w:val="24"/>
                <w:szCs w:val="24"/>
              </w:rPr>
              <w:t xml:space="preserve">.  However, </w:t>
            </w:r>
            <w:r w:rsidRPr="007402F5">
              <w:rPr>
                <w:rFonts w:ascii="Times New Roman" w:hAnsi="Times New Roman" w:cs="Times New Roman"/>
                <w:b/>
                <w:sz w:val="24"/>
                <w:szCs w:val="24"/>
              </w:rPr>
              <w:t>Obsidian</w:t>
            </w:r>
            <w:r>
              <w:rPr>
                <w:rFonts w:ascii="Times New Roman" w:hAnsi="Times New Roman" w:cs="Times New Roman"/>
                <w:sz w:val="24"/>
                <w:szCs w:val="24"/>
              </w:rPr>
              <w:t xml:space="preserve"> did not agree regarding the comment made by the </w:t>
            </w:r>
            <w:r w:rsidRPr="00AD6661">
              <w:rPr>
                <w:rFonts w:ascii="Times New Roman" w:hAnsi="Times New Roman" w:cs="Times New Roman"/>
                <w:b/>
                <w:sz w:val="24"/>
                <w:szCs w:val="24"/>
              </w:rPr>
              <w:t>Joint Coalition</w:t>
            </w:r>
            <w:r>
              <w:rPr>
                <w:rFonts w:ascii="Times New Roman" w:hAnsi="Times New Roman" w:cs="Times New Roman"/>
                <w:sz w:val="24"/>
                <w:szCs w:val="24"/>
              </w:rPr>
              <w:t xml:space="preserve"> that using DC would be “administratively simpler,”  </w:t>
            </w:r>
            <w:r w:rsidRPr="007402F5">
              <w:rPr>
                <w:rFonts w:ascii="Times New Roman" w:hAnsi="Times New Roman" w:cs="Times New Roman"/>
                <w:b/>
                <w:sz w:val="24"/>
                <w:szCs w:val="24"/>
              </w:rPr>
              <w:t>Obsidian</w:t>
            </w:r>
            <w:r>
              <w:rPr>
                <w:rFonts w:ascii="Times New Roman" w:hAnsi="Times New Roman" w:cs="Times New Roman"/>
                <w:sz w:val="24"/>
                <w:szCs w:val="24"/>
              </w:rPr>
              <w:t xml:space="preserve"> supported the idea that the inverter would be limited to a maximum output of </w:t>
            </w:r>
            <w:r w:rsidRPr="00237B8B">
              <w:rPr>
                <w:rFonts w:ascii="Times New Roman" w:hAnsi="Times New Roman" w:cs="Times New Roman"/>
                <w:sz w:val="24"/>
                <w:szCs w:val="24"/>
              </w:rPr>
              <w:t xml:space="preserve">five megawatts </w:t>
            </w:r>
            <w:r>
              <w:rPr>
                <w:rFonts w:ascii="Times New Roman" w:hAnsi="Times New Roman" w:cs="Times New Roman"/>
                <w:sz w:val="24"/>
                <w:szCs w:val="24"/>
              </w:rPr>
              <w:t xml:space="preserve">(clipping) and therefore directly “satisfying the distributed generation requirements of “not more than five megawatts.” </w:t>
            </w:r>
          </w:p>
          <w:p w:rsidR="00550856" w:rsidRDefault="00550856" w:rsidP="00D27219">
            <w:pPr>
              <w:rPr>
                <w:rFonts w:ascii="Times New Roman" w:hAnsi="Times New Roman" w:cs="Times New Roman"/>
                <w:sz w:val="24"/>
                <w:szCs w:val="24"/>
              </w:rPr>
            </w:pPr>
            <w:r>
              <w:rPr>
                <w:rFonts w:ascii="Times New Roman" w:hAnsi="Times New Roman" w:cs="Times New Roman"/>
                <w:sz w:val="24"/>
                <w:szCs w:val="24"/>
              </w:rPr>
              <w:t xml:space="preserve">Because of certain comments in this enquiry, </w:t>
            </w:r>
            <w:r w:rsidRPr="00CD3696">
              <w:rPr>
                <w:rFonts w:ascii="Times New Roman" w:hAnsi="Times New Roman" w:cs="Times New Roman"/>
                <w:b/>
                <w:sz w:val="24"/>
                <w:szCs w:val="24"/>
              </w:rPr>
              <w:t>Energy Northwest</w:t>
            </w:r>
            <w:r>
              <w:rPr>
                <w:rFonts w:ascii="Times New Roman" w:hAnsi="Times New Roman" w:cs="Times New Roman"/>
                <w:sz w:val="24"/>
                <w:szCs w:val="24"/>
              </w:rPr>
              <w:t xml:space="preserve"> </w:t>
            </w:r>
            <w:r w:rsidRPr="00D27219">
              <w:rPr>
                <w:rFonts w:ascii="Times New Roman" w:hAnsi="Times New Roman" w:cs="Times New Roman"/>
                <w:sz w:val="24"/>
                <w:szCs w:val="24"/>
              </w:rPr>
              <w:t>clarif</w:t>
            </w:r>
            <w:r>
              <w:rPr>
                <w:rFonts w:ascii="Times New Roman" w:hAnsi="Times New Roman" w:cs="Times New Roman"/>
                <w:sz w:val="24"/>
                <w:szCs w:val="24"/>
              </w:rPr>
              <w:t>ied</w:t>
            </w:r>
            <w:r w:rsidRPr="00D27219">
              <w:rPr>
                <w:rFonts w:ascii="Times New Roman" w:hAnsi="Times New Roman" w:cs="Times New Roman"/>
                <w:sz w:val="24"/>
                <w:szCs w:val="24"/>
              </w:rPr>
              <w:t xml:space="preserve"> the intention of its proposed language</w:t>
            </w:r>
            <w:r>
              <w:rPr>
                <w:rFonts w:ascii="Times New Roman" w:hAnsi="Times New Roman" w:cs="Times New Roman"/>
                <w:sz w:val="24"/>
                <w:szCs w:val="24"/>
              </w:rPr>
              <w:t xml:space="preserve"> in its initial comments</w:t>
            </w:r>
            <w:r w:rsidRPr="00D27219">
              <w:rPr>
                <w:rFonts w:ascii="Times New Roman" w:hAnsi="Times New Roman" w:cs="Times New Roman"/>
                <w:sz w:val="24"/>
                <w:szCs w:val="24"/>
              </w:rPr>
              <w:t xml:space="preserve">. </w:t>
            </w:r>
            <w:r>
              <w:rPr>
                <w:rFonts w:ascii="Times New Roman" w:hAnsi="Times New Roman" w:cs="Times New Roman"/>
                <w:sz w:val="24"/>
                <w:szCs w:val="24"/>
              </w:rPr>
              <w:t xml:space="preserve"> Its language, </w:t>
            </w:r>
            <w:r w:rsidRPr="00CD3696">
              <w:rPr>
                <w:rFonts w:ascii="Times New Roman" w:hAnsi="Times New Roman" w:cs="Times New Roman"/>
                <w:b/>
                <w:sz w:val="24"/>
                <w:szCs w:val="24"/>
              </w:rPr>
              <w:t>Energy Northwest</w:t>
            </w:r>
            <w:r>
              <w:rPr>
                <w:rFonts w:ascii="Times New Roman" w:hAnsi="Times New Roman" w:cs="Times New Roman"/>
                <w:sz w:val="24"/>
                <w:szCs w:val="24"/>
              </w:rPr>
              <w:t xml:space="preserve"> states, which </w:t>
            </w:r>
            <w:r w:rsidRPr="00D27219">
              <w:rPr>
                <w:rFonts w:ascii="Times New Roman" w:hAnsi="Times New Roman" w:cs="Times New Roman"/>
                <w:sz w:val="24"/>
                <w:szCs w:val="24"/>
              </w:rPr>
              <w:t xml:space="preserve">would </w:t>
            </w:r>
            <w:r>
              <w:rPr>
                <w:rFonts w:ascii="Times New Roman" w:hAnsi="Times New Roman" w:cs="Times New Roman"/>
                <w:sz w:val="24"/>
                <w:szCs w:val="24"/>
              </w:rPr>
              <w:t>allow</w:t>
            </w:r>
            <w:r w:rsidRPr="00D27219">
              <w:rPr>
                <w:rFonts w:ascii="Times New Roman" w:hAnsi="Times New Roman" w:cs="Times New Roman"/>
                <w:sz w:val="24"/>
                <w:szCs w:val="24"/>
              </w:rPr>
              <w:t xml:space="preserve"> a PV project to qualify based on the project's AC output limit, as determined by reference</w:t>
            </w:r>
            <w:r>
              <w:rPr>
                <w:rFonts w:ascii="Times New Roman" w:hAnsi="Times New Roman" w:cs="Times New Roman"/>
                <w:sz w:val="24"/>
                <w:szCs w:val="24"/>
              </w:rPr>
              <w:t xml:space="preserve"> </w:t>
            </w:r>
            <w:r w:rsidRPr="00D27219">
              <w:rPr>
                <w:rFonts w:ascii="Times New Roman" w:hAnsi="Times New Roman" w:cs="Times New Roman"/>
                <w:sz w:val="24"/>
                <w:szCs w:val="24"/>
              </w:rPr>
              <w:t>to the operating characteristics of the inverter.</w:t>
            </w:r>
          </w:p>
          <w:p w:rsidR="00FA139B" w:rsidRDefault="00FA139B" w:rsidP="00D27219">
            <w:pPr>
              <w:rPr>
                <w:rFonts w:ascii="Times New Roman" w:hAnsi="Times New Roman" w:cs="Times New Roman"/>
                <w:sz w:val="24"/>
                <w:szCs w:val="24"/>
              </w:rPr>
            </w:pPr>
          </w:p>
          <w:p w:rsidR="00FA139B" w:rsidRDefault="00FA139B" w:rsidP="00D27219">
            <w:pPr>
              <w:rPr>
                <w:rFonts w:ascii="Times New Roman" w:hAnsi="Times New Roman" w:cs="Times New Roman"/>
                <w:sz w:val="24"/>
                <w:szCs w:val="24"/>
              </w:rPr>
            </w:pPr>
          </w:p>
          <w:p w:rsidR="00FA139B" w:rsidRDefault="00FA139B" w:rsidP="00D27219">
            <w:pPr>
              <w:rPr>
                <w:rFonts w:ascii="Times New Roman" w:hAnsi="Times New Roman" w:cs="Times New Roman"/>
                <w:sz w:val="24"/>
                <w:szCs w:val="24"/>
              </w:rPr>
            </w:pPr>
          </w:p>
        </w:tc>
      </w:tr>
      <w:tr w:rsidR="00B164EB" w:rsidTr="00271A24">
        <w:trPr>
          <w:trHeight w:val="720"/>
        </w:trPr>
        <w:tc>
          <w:tcPr>
            <w:tcW w:w="9870" w:type="dxa"/>
            <w:tcBorders>
              <w:top w:val="single" w:sz="4" w:space="0" w:color="auto"/>
            </w:tcBorders>
            <w:shd w:val="clear" w:color="auto" w:fill="C6D9F1" w:themeFill="text2" w:themeFillTint="33"/>
            <w:vAlign w:val="center"/>
          </w:tcPr>
          <w:p w:rsidR="0019668C" w:rsidRPr="0019668C" w:rsidRDefault="0019668C" w:rsidP="00B176AC">
            <w:pPr>
              <w:pStyle w:val="ListParagraph"/>
              <w:ind w:left="1302" w:hanging="990"/>
              <w:rPr>
                <w:rFonts w:ascii="Times New Roman" w:hAnsi="Times New Roman" w:cs="Times New Roman"/>
                <w:sz w:val="24"/>
                <w:szCs w:val="24"/>
              </w:rPr>
            </w:pPr>
          </w:p>
        </w:tc>
      </w:tr>
    </w:tbl>
    <w:p w:rsidR="00271A24" w:rsidRDefault="00271A24">
      <w:r>
        <w:br w:type="page"/>
      </w:r>
    </w:p>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550856" w:rsidTr="00271A24">
        <w:trPr>
          <w:trHeight w:val="720"/>
        </w:trPr>
        <w:tc>
          <w:tcPr>
            <w:tcW w:w="9870" w:type="dxa"/>
            <w:tcBorders>
              <w:top w:val="single" w:sz="4" w:space="0" w:color="auto"/>
            </w:tcBorders>
            <w:shd w:val="clear" w:color="auto" w:fill="C6D9F1" w:themeFill="text2" w:themeFillTint="33"/>
          </w:tcPr>
          <w:p w:rsidR="00271A24" w:rsidRDefault="00271A24" w:rsidP="00271A24">
            <w:pPr>
              <w:pStyle w:val="ListParagraph"/>
              <w:tabs>
                <w:tab w:val="left" w:pos="312"/>
              </w:tabs>
              <w:ind w:left="312"/>
              <w:rPr>
                <w:rFonts w:ascii="Times New Roman" w:hAnsi="Times New Roman" w:cs="Times New Roman"/>
                <w:i/>
                <w:sz w:val="24"/>
                <w:szCs w:val="24"/>
              </w:rPr>
            </w:pPr>
            <w:r w:rsidRPr="00D7447E">
              <w:rPr>
                <w:rFonts w:ascii="Times New Roman" w:hAnsi="Times New Roman" w:cs="Times New Roman"/>
                <w:i/>
                <w:sz w:val="24"/>
                <w:szCs w:val="24"/>
              </w:rPr>
              <w:lastRenderedPageBreak/>
              <w:t>1)  Definitions.</w:t>
            </w:r>
          </w:p>
          <w:p w:rsidR="00550856" w:rsidRPr="00AD6661" w:rsidRDefault="00616526" w:rsidP="00271A24">
            <w:pPr>
              <w:pStyle w:val="ListParagraph"/>
              <w:tabs>
                <w:tab w:val="left" w:pos="312"/>
              </w:tabs>
              <w:ind w:left="312"/>
              <w:rPr>
                <w:rFonts w:ascii="Times New Roman" w:hAnsi="Times New Roman" w:cs="Times New Roman"/>
                <w:b/>
                <w:sz w:val="24"/>
                <w:szCs w:val="24"/>
              </w:rPr>
            </w:pPr>
            <w:r>
              <w:rPr>
                <w:rFonts w:ascii="Times New Roman" w:hAnsi="Times New Roman" w:cs="Times New Roman"/>
                <w:i/>
                <w:sz w:val="24"/>
                <w:szCs w:val="24"/>
              </w:rPr>
              <w:tab/>
            </w:r>
            <w:r>
              <w:rPr>
                <w:rFonts w:ascii="Times New Roman" w:hAnsi="Times New Roman" w:cs="Times New Roman"/>
                <w:i/>
                <w:sz w:val="24"/>
                <w:szCs w:val="24"/>
              </w:rPr>
              <w:tab/>
              <w:t>(</w:t>
            </w:r>
            <w:r w:rsidR="0086296F">
              <w:rPr>
                <w:rFonts w:ascii="Times New Roman" w:hAnsi="Times New Roman" w:cs="Times New Roman"/>
                <w:i/>
                <w:sz w:val="24"/>
                <w:szCs w:val="24"/>
              </w:rPr>
              <w:t xml:space="preserve">b) </w:t>
            </w:r>
            <w:r w:rsidR="00550856" w:rsidRPr="0075620B">
              <w:rPr>
                <w:rFonts w:ascii="Times New Roman" w:hAnsi="Times New Roman" w:cs="Times New Roman"/>
                <w:sz w:val="24"/>
                <w:szCs w:val="24"/>
              </w:rPr>
              <w:t>What is an "integrated cluster of renewable resources"?</w:t>
            </w:r>
          </w:p>
        </w:tc>
      </w:tr>
      <w:tr w:rsidR="00550856" w:rsidTr="00550856">
        <w:trPr>
          <w:trHeight w:val="1440"/>
        </w:trPr>
        <w:tc>
          <w:tcPr>
            <w:tcW w:w="9870" w:type="dxa"/>
            <w:tcBorders>
              <w:top w:val="single" w:sz="4" w:space="0" w:color="auto"/>
            </w:tcBorders>
            <w:shd w:val="clear" w:color="auto" w:fill="auto"/>
          </w:tcPr>
          <w:p w:rsidR="0086296F" w:rsidRDefault="0086296F" w:rsidP="0086296F">
            <w:pPr>
              <w:spacing w:after="0"/>
              <w:rPr>
                <w:rFonts w:ascii="Times New Roman" w:hAnsi="Times New Roman" w:cs="Times New Roman"/>
                <w:b/>
                <w:sz w:val="24"/>
                <w:szCs w:val="24"/>
              </w:rPr>
            </w:pPr>
          </w:p>
          <w:p w:rsidR="00550856" w:rsidRDefault="00550856" w:rsidP="0086296F">
            <w:pPr>
              <w:spacing w:after="120"/>
              <w:rPr>
                <w:rFonts w:ascii="Times New Roman" w:hAnsi="Times New Roman" w:cs="Times New Roman"/>
                <w:sz w:val="24"/>
                <w:szCs w:val="24"/>
              </w:rPr>
            </w:pPr>
            <w:r w:rsidRPr="00AD6661">
              <w:rPr>
                <w:rFonts w:ascii="Times New Roman" w:hAnsi="Times New Roman" w:cs="Times New Roman"/>
                <w:b/>
                <w:sz w:val="24"/>
                <w:szCs w:val="24"/>
              </w:rPr>
              <w:t>Avista</w:t>
            </w:r>
            <w:r>
              <w:rPr>
                <w:rFonts w:ascii="Times New Roman" w:hAnsi="Times New Roman" w:cs="Times New Roman"/>
                <w:sz w:val="24"/>
                <w:szCs w:val="24"/>
              </w:rPr>
              <w:t xml:space="preserve"> believes that an integrated cluster, as it pertains to distributed generation, should be distinguished solely by the measurement of a cluster’s capacity to deliver to the grid at a total interconnection level. No renewable generation project(s) should be recognized for distributed generation benefits where shared interconnection facilities transmit more than 5 MW to the grid. </w:t>
            </w:r>
          </w:p>
          <w:p w:rsidR="00550856" w:rsidRDefault="00550856" w:rsidP="00CC264D">
            <w:pPr>
              <w:rPr>
                <w:rFonts w:ascii="Times New Roman" w:hAnsi="Times New Roman" w:cs="Times New Roman"/>
                <w:sz w:val="24"/>
                <w:szCs w:val="24"/>
              </w:rPr>
            </w:pPr>
            <w:r>
              <w:rPr>
                <w:rFonts w:ascii="Times New Roman" w:hAnsi="Times New Roman" w:cs="Times New Roman"/>
                <w:sz w:val="24"/>
                <w:szCs w:val="24"/>
              </w:rPr>
              <w:t xml:space="preserve">In contrast, the </w:t>
            </w:r>
            <w:r w:rsidRPr="00AD6661">
              <w:rPr>
                <w:rFonts w:ascii="Times New Roman" w:hAnsi="Times New Roman" w:cs="Times New Roman"/>
                <w:b/>
                <w:sz w:val="24"/>
                <w:szCs w:val="24"/>
              </w:rPr>
              <w:t>Joint Coalition</w:t>
            </w:r>
            <w:r>
              <w:rPr>
                <w:rFonts w:ascii="Times New Roman" w:hAnsi="Times New Roman" w:cs="Times New Roman"/>
                <w:sz w:val="24"/>
                <w:szCs w:val="24"/>
              </w:rPr>
              <w:t xml:space="preserve"> uses the Department of Commerce’s (DOC) rule WAC 194-37-040(12) to reflect its understanding of an integrated cluster.  In the rule the DOC discusses an …”integrated cluster [having] a generating capacity of not more than five megawatts.”  In a footnote, the comments highlight wording similar to WAC 194-37-040(16) which limits an integrated cluster to being owned or controlled by the same developer (“entity” in the rule) that feed into the same substation. </w:t>
            </w:r>
          </w:p>
          <w:p w:rsidR="00550856" w:rsidRDefault="00550856" w:rsidP="009E07A2">
            <w:pPr>
              <w:rPr>
                <w:rFonts w:ascii="Times New Roman" w:hAnsi="Times New Roman" w:cs="Times New Roman"/>
                <w:sz w:val="24"/>
                <w:szCs w:val="24"/>
              </w:rPr>
            </w:pPr>
            <w:r w:rsidRPr="00E5290E">
              <w:rPr>
                <w:rFonts w:ascii="Times New Roman" w:hAnsi="Times New Roman" w:cs="Times New Roman"/>
                <w:sz w:val="24"/>
                <w:szCs w:val="24"/>
              </w:rPr>
              <w:t xml:space="preserve">In its </w:t>
            </w:r>
            <w:r w:rsidRPr="00C136CB">
              <w:rPr>
                <w:rFonts w:ascii="Times New Roman" w:hAnsi="Times New Roman" w:cs="Times New Roman"/>
                <w:i/>
                <w:sz w:val="24"/>
                <w:szCs w:val="24"/>
              </w:rPr>
              <w:t xml:space="preserve">Reply </w:t>
            </w:r>
            <w:r w:rsidRPr="007402F5">
              <w:rPr>
                <w:rFonts w:ascii="Times New Roman" w:hAnsi="Times New Roman" w:cs="Times New Roman"/>
                <w:b/>
                <w:sz w:val="24"/>
                <w:szCs w:val="24"/>
              </w:rPr>
              <w:t>Obsidian</w:t>
            </w:r>
            <w:r>
              <w:rPr>
                <w:rFonts w:ascii="Times New Roman" w:hAnsi="Times New Roman" w:cs="Times New Roman"/>
                <w:sz w:val="24"/>
                <w:szCs w:val="24"/>
              </w:rPr>
              <w:t xml:space="preserve"> finds fault in the </w:t>
            </w:r>
            <w:r w:rsidRPr="00AD6661">
              <w:rPr>
                <w:rFonts w:ascii="Times New Roman" w:hAnsi="Times New Roman" w:cs="Times New Roman"/>
                <w:b/>
                <w:sz w:val="24"/>
                <w:szCs w:val="24"/>
              </w:rPr>
              <w:t>Joint Coalition</w:t>
            </w:r>
            <w:r>
              <w:rPr>
                <w:rFonts w:ascii="Times New Roman" w:hAnsi="Times New Roman" w:cs="Times New Roman"/>
                <w:sz w:val="24"/>
                <w:szCs w:val="24"/>
              </w:rPr>
              <w:t xml:space="preserve">’s suggestion that the Commission adopt a definition of integrated cluster similar to the DOC definition. </w:t>
            </w:r>
            <w:r w:rsidRPr="007402F5">
              <w:rPr>
                <w:rFonts w:ascii="Times New Roman" w:hAnsi="Times New Roman" w:cs="Times New Roman"/>
                <w:b/>
                <w:sz w:val="24"/>
                <w:szCs w:val="24"/>
              </w:rPr>
              <w:t>Obsidian</w:t>
            </w:r>
            <w:r>
              <w:rPr>
                <w:rFonts w:ascii="Times New Roman" w:hAnsi="Times New Roman" w:cs="Times New Roman"/>
                <w:sz w:val="24"/>
                <w:szCs w:val="24"/>
              </w:rPr>
              <w:t xml:space="preserve"> asserts that the use of the DOC definition fails to address an ambiguity inherent in the rule.</w:t>
            </w:r>
            <w:r w:rsidR="009E07A2">
              <w:rPr>
                <w:rFonts w:ascii="Times New Roman" w:hAnsi="Times New Roman" w:cs="Times New Roman"/>
                <w:sz w:val="24"/>
                <w:szCs w:val="24"/>
              </w:rPr>
              <w:t xml:space="preserve"> </w:t>
            </w:r>
            <w:r>
              <w:rPr>
                <w:rFonts w:ascii="Times New Roman" w:hAnsi="Times New Roman" w:cs="Times New Roman"/>
                <w:sz w:val="24"/>
                <w:szCs w:val="24"/>
              </w:rPr>
              <w:t xml:space="preserve"> In addition, </w:t>
            </w:r>
            <w:r w:rsidRPr="007402F5">
              <w:rPr>
                <w:rFonts w:ascii="Times New Roman" w:hAnsi="Times New Roman" w:cs="Times New Roman"/>
                <w:b/>
                <w:sz w:val="24"/>
                <w:szCs w:val="24"/>
              </w:rPr>
              <w:t>Obsidian</w:t>
            </w:r>
            <w:r>
              <w:rPr>
                <w:rFonts w:ascii="Times New Roman" w:hAnsi="Times New Roman" w:cs="Times New Roman"/>
                <w:sz w:val="24"/>
                <w:szCs w:val="24"/>
              </w:rPr>
              <w:t xml:space="preserve"> also does not agree with </w:t>
            </w:r>
            <w:r w:rsidRPr="007402F5">
              <w:rPr>
                <w:rFonts w:ascii="Times New Roman" w:hAnsi="Times New Roman" w:cs="Times New Roman"/>
                <w:b/>
                <w:sz w:val="24"/>
                <w:szCs w:val="24"/>
              </w:rPr>
              <w:t>Avista</w:t>
            </w:r>
            <w:r w:rsidRPr="007402F5">
              <w:rPr>
                <w:rFonts w:ascii="Times New Roman" w:hAnsi="Times New Roman" w:cs="Times New Roman"/>
                <w:sz w:val="24"/>
                <w:szCs w:val="24"/>
              </w:rPr>
              <w:t>’s</w:t>
            </w:r>
            <w:r>
              <w:rPr>
                <w:rFonts w:ascii="Times New Roman" w:hAnsi="Times New Roman" w:cs="Times New Roman"/>
                <w:sz w:val="24"/>
                <w:szCs w:val="24"/>
              </w:rPr>
              <w:t xml:space="preserve"> statement that “</w:t>
            </w:r>
            <w:r w:rsidRPr="008A1B3F">
              <w:rPr>
                <w:rFonts w:ascii="Times New Roman" w:hAnsi="Times New Roman" w:cs="Times New Roman"/>
                <w:sz w:val="24"/>
                <w:szCs w:val="24"/>
              </w:rPr>
              <w:t>No renewable generation project(s) should be recognized for distributed generation benefits where shared interconnection facilities transmit more than 5 MW to the grid</w:t>
            </w:r>
            <w:r>
              <w:rPr>
                <w:rFonts w:ascii="Times New Roman" w:hAnsi="Times New Roman" w:cs="Times New Roman"/>
                <w:sz w:val="24"/>
                <w:szCs w:val="24"/>
              </w:rPr>
              <w:t xml:space="preserve">.” </w:t>
            </w:r>
            <w:r w:rsidR="009E07A2">
              <w:rPr>
                <w:rFonts w:ascii="Times New Roman" w:hAnsi="Times New Roman" w:cs="Times New Roman"/>
                <w:sz w:val="24"/>
                <w:szCs w:val="24"/>
              </w:rPr>
              <w:t xml:space="preserve">It is </w:t>
            </w:r>
            <w:r w:rsidRPr="008A1B3F">
              <w:rPr>
                <w:rFonts w:ascii="Times New Roman" w:hAnsi="Times New Roman" w:cs="Times New Roman"/>
                <w:b/>
                <w:sz w:val="24"/>
                <w:szCs w:val="24"/>
              </w:rPr>
              <w:t>Obsidian</w:t>
            </w:r>
            <w:r w:rsidR="009E07A2">
              <w:rPr>
                <w:rFonts w:ascii="Times New Roman" w:hAnsi="Times New Roman" w:cs="Times New Roman"/>
                <w:b/>
                <w:sz w:val="24"/>
                <w:szCs w:val="24"/>
              </w:rPr>
              <w:t>’s</w:t>
            </w:r>
            <w:r>
              <w:rPr>
                <w:rFonts w:ascii="Times New Roman" w:hAnsi="Times New Roman" w:cs="Times New Roman"/>
                <w:sz w:val="24"/>
                <w:szCs w:val="24"/>
              </w:rPr>
              <w:t xml:space="preserve"> </w:t>
            </w:r>
            <w:r w:rsidR="009E07A2">
              <w:rPr>
                <w:rFonts w:ascii="Times New Roman" w:hAnsi="Times New Roman" w:cs="Times New Roman"/>
                <w:sz w:val="24"/>
                <w:szCs w:val="24"/>
              </w:rPr>
              <w:t>position</w:t>
            </w:r>
            <w:r>
              <w:rPr>
                <w:rFonts w:ascii="Times New Roman" w:hAnsi="Times New Roman" w:cs="Times New Roman"/>
                <w:sz w:val="24"/>
                <w:szCs w:val="24"/>
              </w:rPr>
              <w:t xml:space="preserve"> that this suggestion fails to address the reality of development in rural areas. </w:t>
            </w:r>
            <w:r w:rsidRPr="008A1B3F">
              <w:rPr>
                <w:rFonts w:ascii="Times New Roman" w:hAnsi="Times New Roman" w:cs="Times New Roman"/>
                <w:sz w:val="24"/>
                <w:szCs w:val="24"/>
              </w:rPr>
              <w:t>The particular substation into which a facility feeds is not an appropriate factor to consider when</w:t>
            </w:r>
            <w:r>
              <w:rPr>
                <w:rFonts w:ascii="Times New Roman" w:hAnsi="Times New Roman" w:cs="Times New Roman"/>
                <w:sz w:val="24"/>
                <w:szCs w:val="24"/>
              </w:rPr>
              <w:t xml:space="preserve"> </w:t>
            </w:r>
            <w:r w:rsidRPr="008A1B3F">
              <w:rPr>
                <w:rFonts w:ascii="Times New Roman" w:hAnsi="Times New Roman" w:cs="Times New Roman"/>
                <w:sz w:val="24"/>
                <w:szCs w:val="24"/>
              </w:rPr>
              <w:t>the substation is owned by the local utility.</w:t>
            </w:r>
            <w:r>
              <w:rPr>
                <w:rFonts w:ascii="Times New Roman" w:hAnsi="Times New Roman" w:cs="Times New Roman"/>
                <w:sz w:val="24"/>
                <w:szCs w:val="24"/>
              </w:rPr>
              <w:t xml:space="preserve"> </w:t>
            </w:r>
            <w:r w:rsidRPr="00C152DE">
              <w:rPr>
                <w:rFonts w:ascii="Times New Roman" w:hAnsi="Times New Roman" w:cs="Times New Roman"/>
                <w:b/>
                <w:sz w:val="24"/>
                <w:szCs w:val="24"/>
              </w:rPr>
              <w:t>Obsidian</w:t>
            </w:r>
            <w:r>
              <w:rPr>
                <w:rFonts w:ascii="Times New Roman" w:hAnsi="Times New Roman" w:cs="Times New Roman"/>
                <w:sz w:val="24"/>
                <w:szCs w:val="24"/>
              </w:rPr>
              <w:t xml:space="preserve"> suggests that the Commission </w:t>
            </w:r>
            <w:r w:rsidRPr="008A1B3F">
              <w:rPr>
                <w:rFonts w:ascii="Times New Roman" w:hAnsi="Times New Roman" w:cs="Times New Roman"/>
                <w:sz w:val="24"/>
                <w:szCs w:val="24"/>
              </w:rPr>
              <w:t>adopt a rule that def</w:t>
            </w:r>
            <w:r>
              <w:rPr>
                <w:rFonts w:ascii="Times New Roman" w:hAnsi="Times New Roman" w:cs="Times New Roman"/>
                <w:sz w:val="24"/>
                <w:szCs w:val="24"/>
              </w:rPr>
              <w:t>in</w:t>
            </w:r>
            <w:r w:rsidRPr="008A1B3F">
              <w:rPr>
                <w:rFonts w:ascii="Times New Roman" w:hAnsi="Times New Roman" w:cs="Times New Roman"/>
                <w:sz w:val="24"/>
                <w:szCs w:val="24"/>
              </w:rPr>
              <w:t>es an "integrated cluster of</w:t>
            </w:r>
            <w:r>
              <w:rPr>
                <w:rFonts w:ascii="Times New Roman" w:hAnsi="Times New Roman" w:cs="Times New Roman"/>
                <w:sz w:val="24"/>
                <w:szCs w:val="24"/>
              </w:rPr>
              <w:t xml:space="preserve"> </w:t>
            </w:r>
            <w:r w:rsidRPr="008A1B3F">
              <w:rPr>
                <w:rFonts w:ascii="Times New Roman" w:hAnsi="Times New Roman" w:cs="Times New Roman"/>
                <w:sz w:val="24"/>
                <w:szCs w:val="24"/>
              </w:rPr>
              <w:t>renewable resources"</w:t>
            </w:r>
            <w:r>
              <w:rPr>
                <w:rFonts w:ascii="Times New Roman" w:hAnsi="Times New Roman" w:cs="Times New Roman"/>
                <w:sz w:val="24"/>
                <w:szCs w:val="24"/>
              </w:rPr>
              <w:t xml:space="preserve"> </w:t>
            </w:r>
            <w:r w:rsidRPr="008A1B3F">
              <w:rPr>
                <w:rFonts w:ascii="Times New Roman" w:hAnsi="Times New Roman" w:cs="Times New Roman"/>
                <w:sz w:val="24"/>
                <w:szCs w:val="24"/>
              </w:rPr>
              <w:t>as "two or more projects that are (a) developed on the same or adjacent parcels that</w:t>
            </w:r>
            <w:r>
              <w:rPr>
                <w:rFonts w:ascii="Times New Roman" w:hAnsi="Times New Roman" w:cs="Times New Roman"/>
                <w:sz w:val="24"/>
                <w:szCs w:val="24"/>
              </w:rPr>
              <w:t xml:space="preserve"> s</w:t>
            </w:r>
            <w:r w:rsidRPr="008A1B3F">
              <w:rPr>
                <w:rFonts w:ascii="Times New Roman" w:hAnsi="Times New Roman" w:cs="Times New Roman"/>
                <w:sz w:val="24"/>
                <w:szCs w:val="24"/>
              </w:rPr>
              <w:t>hare a</w:t>
            </w:r>
            <w:r>
              <w:rPr>
                <w:rFonts w:ascii="Times New Roman" w:hAnsi="Times New Roman" w:cs="Times New Roman"/>
                <w:sz w:val="24"/>
                <w:szCs w:val="24"/>
              </w:rPr>
              <w:t xml:space="preserve"> </w:t>
            </w:r>
            <w:r w:rsidRPr="008A1B3F">
              <w:rPr>
                <w:rFonts w:ascii="Times New Roman" w:hAnsi="Times New Roman" w:cs="Times New Roman"/>
                <w:sz w:val="24"/>
                <w:szCs w:val="24"/>
              </w:rPr>
              <w:t>common property line, and (b) are owned or controlled by the same entity."</w:t>
            </w:r>
          </w:p>
        </w:tc>
      </w:tr>
      <w:tr w:rsidR="00271A24" w:rsidTr="001747D8">
        <w:trPr>
          <w:trHeight w:val="720"/>
        </w:trPr>
        <w:tc>
          <w:tcPr>
            <w:tcW w:w="9870" w:type="dxa"/>
            <w:tcBorders>
              <w:top w:val="single" w:sz="4" w:space="0" w:color="auto"/>
            </w:tcBorders>
            <w:shd w:val="clear" w:color="auto" w:fill="C6D9F1" w:themeFill="text2" w:themeFillTint="33"/>
            <w:vAlign w:val="center"/>
          </w:tcPr>
          <w:p w:rsidR="00B176AC" w:rsidRPr="00B164EB" w:rsidRDefault="00B176AC" w:rsidP="00B176AC">
            <w:pPr>
              <w:pStyle w:val="ListParagraph"/>
              <w:ind w:left="1302" w:hanging="990"/>
              <w:rPr>
                <w:rFonts w:ascii="Times New Roman" w:hAnsi="Times New Roman" w:cs="Times New Roman"/>
                <w:sz w:val="24"/>
                <w:szCs w:val="24"/>
              </w:rPr>
            </w:pPr>
          </w:p>
        </w:tc>
      </w:tr>
    </w:tbl>
    <w:p w:rsidR="00271A24" w:rsidRDefault="00271A24">
      <w:r>
        <w:br w:type="page"/>
      </w:r>
    </w:p>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550856" w:rsidTr="00550856">
        <w:trPr>
          <w:trHeight w:val="1160"/>
        </w:trPr>
        <w:tc>
          <w:tcPr>
            <w:tcW w:w="9870" w:type="dxa"/>
            <w:shd w:val="clear" w:color="auto" w:fill="C6D9F1" w:themeFill="text2" w:themeFillTint="33"/>
            <w:vAlign w:val="center"/>
          </w:tcPr>
          <w:p w:rsidR="00550856" w:rsidRPr="00AD6661" w:rsidRDefault="00550856" w:rsidP="00616526">
            <w:pPr>
              <w:spacing w:after="120"/>
              <w:ind w:left="327" w:hanging="270"/>
              <w:rPr>
                <w:rFonts w:ascii="Times New Roman" w:hAnsi="Times New Roman" w:cs="Times New Roman"/>
                <w:b/>
                <w:sz w:val="24"/>
                <w:szCs w:val="24"/>
              </w:rPr>
            </w:pPr>
            <w:r w:rsidRPr="00C162AD">
              <w:rPr>
                <w:rFonts w:ascii="Times New Roman" w:hAnsi="Times New Roman" w:cs="Times New Roman"/>
                <w:b/>
                <w:i/>
                <w:sz w:val="24"/>
                <w:szCs w:val="24"/>
              </w:rPr>
              <w:lastRenderedPageBreak/>
              <w:t>2) Determination of Prudence.</w:t>
            </w:r>
            <w:r w:rsidRPr="00953558">
              <w:rPr>
                <w:rFonts w:ascii="Times New Roman" w:hAnsi="Times New Roman" w:cs="Times New Roman"/>
                <w:sz w:val="24"/>
                <w:szCs w:val="24"/>
              </w:rPr>
              <w:t xml:space="preserve">  </w:t>
            </w:r>
            <w:r w:rsidRPr="00F77017">
              <w:rPr>
                <w:rFonts w:ascii="Times New Roman" w:hAnsi="Times New Roman" w:cs="Times New Roman"/>
                <w:szCs w:val="24"/>
              </w:rPr>
              <w:t>Does the Renewable Portfolio Standard (RPS) in I-937 supersede the “need requirement” used by the Commission for its determination of prudence?</w:t>
            </w:r>
            <w:r>
              <w:rPr>
                <w:rFonts w:ascii="Times New Roman" w:hAnsi="Times New Roman" w:cs="Times New Roman"/>
                <w:szCs w:val="24"/>
              </w:rPr>
              <w:t xml:space="preserve">  </w:t>
            </w:r>
            <w:r w:rsidRPr="00F77017">
              <w:rPr>
                <w:rFonts w:ascii="Times New Roman" w:hAnsi="Times New Roman" w:cs="Times New Roman"/>
                <w:szCs w:val="24"/>
              </w:rPr>
              <w:t xml:space="preserve">Why should the Commission treat the acquisition of a renewable </w:t>
            </w:r>
            <w:r w:rsidR="004464F4">
              <w:rPr>
                <w:rFonts w:ascii="Times New Roman" w:hAnsi="Times New Roman" w:cs="Times New Roman"/>
                <w:szCs w:val="24"/>
              </w:rPr>
              <w:t xml:space="preserve">resource </w:t>
            </w:r>
            <w:r w:rsidRPr="00F77017">
              <w:rPr>
                <w:rFonts w:ascii="Times New Roman" w:hAnsi="Times New Roman" w:cs="Times New Roman"/>
                <w:szCs w:val="24"/>
              </w:rPr>
              <w:t>different from the acquisition of a gas-fired plant when considering “need”?</w:t>
            </w:r>
          </w:p>
        </w:tc>
      </w:tr>
      <w:tr w:rsidR="00550856" w:rsidTr="00550856">
        <w:trPr>
          <w:trHeight w:val="1160"/>
        </w:trPr>
        <w:tc>
          <w:tcPr>
            <w:tcW w:w="9870" w:type="dxa"/>
            <w:shd w:val="clear" w:color="auto" w:fill="auto"/>
          </w:tcPr>
          <w:p w:rsidR="00550856" w:rsidRDefault="00550856" w:rsidP="0086296F">
            <w:pPr>
              <w:spacing w:after="0"/>
              <w:rPr>
                <w:rFonts w:ascii="Times New Roman" w:hAnsi="Times New Roman" w:cs="Times New Roman"/>
                <w:b/>
                <w:sz w:val="24"/>
                <w:szCs w:val="24"/>
              </w:rPr>
            </w:pPr>
          </w:p>
          <w:p w:rsidR="00550856" w:rsidRDefault="00550856" w:rsidP="00D22D71">
            <w:pPr>
              <w:spacing w:after="240"/>
              <w:rPr>
                <w:rFonts w:ascii="Times New Roman" w:hAnsi="Times New Roman" w:cs="Times New Roman"/>
                <w:sz w:val="24"/>
                <w:szCs w:val="24"/>
              </w:rPr>
            </w:pPr>
            <w:r w:rsidRPr="00AD6661">
              <w:rPr>
                <w:rFonts w:ascii="Times New Roman" w:hAnsi="Times New Roman" w:cs="Times New Roman"/>
                <w:b/>
                <w:sz w:val="24"/>
                <w:szCs w:val="24"/>
              </w:rPr>
              <w:t>Avista</w:t>
            </w:r>
            <w:r>
              <w:rPr>
                <w:rFonts w:ascii="Times New Roman" w:hAnsi="Times New Roman" w:cs="Times New Roman"/>
                <w:sz w:val="24"/>
                <w:szCs w:val="24"/>
              </w:rPr>
              <w:t xml:space="preserve"> states that I-937 adds a new component of </w:t>
            </w:r>
            <w:r w:rsidRPr="000A2748">
              <w:rPr>
                <w:rFonts w:ascii="Times New Roman" w:hAnsi="Times New Roman" w:cs="Times New Roman"/>
                <w:i/>
                <w:sz w:val="24"/>
                <w:szCs w:val="24"/>
              </w:rPr>
              <w:t>need</w:t>
            </w:r>
            <w:r>
              <w:rPr>
                <w:rFonts w:ascii="Times New Roman" w:hAnsi="Times New Roman" w:cs="Times New Roman"/>
                <w:sz w:val="24"/>
                <w:szCs w:val="24"/>
              </w:rPr>
              <w:t xml:space="preserve"> as applied under Title 80 </w:t>
            </w:r>
            <w:r w:rsidR="004464F4">
              <w:rPr>
                <w:rFonts w:ascii="Times New Roman" w:hAnsi="Times New Roman" w:cs="Times New Roman"/>
                <w:sz w:val="24"/>
                <w:szCs w:val="24"/>
              </w:rPr>
              <w:t xml:space="preserve">RCW </w:t>
            </w:r>
            <w:r>
              <w:rPr>
                <w:rFonts w:ascii="Times New Roman" w:hAnsi="Times New Roman" w:cs="Times New Roman"/>
                <w:sz w:val="24"/>
                <w:szCs w:val="24"/>
              </w:rPr>
              <w:t xml:space="preserve">stating that I-397 created a third need category for use in the prudence determination of renewable resources.  Since I-937 does not apply to other non-renewable generation assets, therefore </w:t>
            </w:r>
            <w:r w:rsidRPr="00AD6661">
              <w:rPr>
                <w:rFonts w:ascii="Times New Roman" w:hAnsi="Times New Roman" w:cs="Times New Roman"/>
                <w:b/>
                <w:sz w:val="24"/>
                <w:szCs w:val="24"/>
              </w:rPr>
              <w:t>Avista</w:t>
            </w:r>
            <w:r>
              <w:rPr>
                <w:rFonts w:ascii="Times New Roman" w:hAnsi="Times New Roman" w:cs="Times New Roman"/>
                <w:sz w:val="24"/>
                <w:szCs w:val="24"/>
              </w:rPr>
              <w:t xml:space="preserve"> believes the “</w:t>
            </w:r>
            <w:r w:rsidRPr="000A2748">
              <w:rPr>
                <w:rFonts w:ascii="Times New Roman" w:hAnsi="Times New Roman" w:cs="Times New Roman"/>
                <w:i/>
                <w:sz w:val="24"/>
                <w:szCs w:val="24"/>
              </w:rPr>
              <w:t>I-937 need concept</w:t>
            </w:r>
            <w:r>
              <w:rPr>
                <w:rFonts w:ascii="Times New Roman" w:hAnsi="Times New Roman" w:cs="Times New Roman"/>
                <w:sz w:val="24"/>
                <w:szCs w:val="24"/>
              </w:rPr>
              <w:t xml:space="preserve">” also does not apply to </w:t>
            </w:r>
            <w:r w:rsidRPr="000A2748">
              <w:rPr>
                <w:rFonts w:ascii="Times New Roman" w:hAnsi="Times New Roman" w:cs="Times New Roman"/>
                <w:sz w:val="24"/>
                <w:szCs w:val="24"/>
              </w:rPr>
              <w:t>other non-renewable generation assets</w:t>
            </w:r>
            <w:r>
              <w:rPr>
                <w:rFonts w:ascii="Times New Roman" w:hAnsi="Times New Roman" w:cs="Times New Roman"/>
                <w:sz w:val="24"/>
                <w:szCs w:val="24"/>
              </w:rPr>
              <w:t xml:space="preserve"> and should not affect how the commission reviews the acquisition of those resources on a stand-alone basis.</w:t>
            </w:r>
          </w:p>
          <w:p w:rsidR="00550856" w:rsidRDefault="00550856" w:rsidP="00D22D71">
            <w:pPr>
              <w:spacing w:after="240"/>
              <w:rPr>
                <w:rFonts w:ascii="Times New Roman" w:hAnsi="Times New Roman" w:cs="Times New Roman"/>
                <w:sz w:val="24"/>
                <w:szCs w:val="24"/>
              </w:rPr>
            </w:pPr>
            <w:r>
              <w:rPr>
                <w:rFonts w:ascii="Times New Roman" w:hAnsi="Times New Roman" w:cs="Times New Roman"/>
                <w:sz w:val="24"/>
                <w:szCs w:val="24"/>
              </w:rPr>
              <w:t xml:space="preserve">In contrast, </w:t>
            </w:r>
            <w:r w:rsidRPr="00AD6661">
              <w:rPr>
                <w:rFonts w:ascii="Times New Roman" w:hAnsi="Times New Roman" w:cs="Times New Roman"/>
                <w:b/>
                <w:sz w:val="24"/>
                <w:szCs w:val="24"/>
              </w:rPr>
              <w:t>PacifiCorp</w:t>
            </w:r>
            <w:r>
              <w:rPr>
                <w:rFonts w:ascii="Times New Roman" w:hAnsi="Times New Roman" w:cs="Times New Roman"/>
                <w:sz w:val="24"/>
                <w:szCs w:val="24"/>
              </w:rPr>
              <w:t xml:space="preserve"> reasons that I-937 does not supersede the need requirement but rather supports the Commission’s “strong consideration” of the “need requirement” used to determine prudence.  The company believes it is appropriate to consider the needs arising out of the renewable portfolio standard (RPS) when considering the prudence of a resource but that when doing so, the Commission should provided flexibility in its prudence test to adapt to acquisitions of renewables in compliance with the RPS.</w:t>
            </w:r>
          </w:p>
          <w:p w:rsidR="00550856" w:rsidRDefault="00550856" w:rsidP="00D22D71">
            <w:pPr>
              <w:spacing w:after="240"/>
              <w:rPr>
                <w:rFonts w:ascii="Times New Roman" w:hAnsi="Times New Roman" w:cs="Times New Roman"/>
                <w:sz w:val="24"/>
                <w:szCs w:val="24"/>
              </w:rPr>
            </w:pPr>
            <w:r>
              <w:rPr>
                <w:rFonts w:ascii="Times New Roman" w:hAnsi="Times New Roman" w:cs="Times New Roman"/>
                <w:sz w:val="24"/>
                <w:szCs w:val="24"/>
              </w:rPr>
              <w:t xml:space="preserve">On the other hand </w:t>
            </w:r>
            <w:r w:rsidRPr="00AD6661">
              <w:rPr>
                <w:rFonts w:ascii="Times New Roman" w:hAnsi="Times New Roman" w:cs="Times New Roman"/>
                <w:b/>
                <w:sz w:val="24"/>
                <w:szCs w:val="24"/>
              </w:rPr>
              <w:t>PSE</w:t>
            </w:r>
            <w:r>
              <w:rPr>
                <w:rFonts w:ascii="Times New Roman" w:hAnsi="Times New Roman" w:cs="Times New Roman"/>
                <w:sz w:val="24"/>
                <w:szCs w:val="24"/>
              </w:rPr>
              <w:t xml:space="preserve"> believes that RCW 19.285 expanded the definition of need to include an additional need. This “renewable resource need” adds two additional resource dimensions: </w:t>
            </w:r>
            <w:r>
              <w:rPr>
                <w:rFonts w:ascii="Times New Roman" w:hAnsi="Times New Roman" w:cs="Times New Roman"/>
                <w:sz w:val="24"/>
                <w:szCs w:val="24"/>
              </w:rPr>
              <w:br/>
              <w:t xml:space="preserve">(a) renewable resources to meet the RPS as well as the those resources that meet the State’s policy favoring renewable and low carbon sources of energy to meet green house gas reduction targets. (b) Resources necessary to cost-effectively and reliably integrate renewables. </w:t>
            </w:r>
          </w:p>
          <w:p w:rsidR="0013107A" w:rsidRDefault="00550856" w:rsidP="00D22D71">
            <w:pPr>
              <w:spacing w:after="240"/>
              <w:rPr>
                <w:rFonts w:ascii="Times New Roman" w:hAnsi="Times New Roman" w:cs="Times New Roman"/>
                <w:sz w:val="24"/>
                <w:szCs w:val="24"/>
              </w:rPr>
            </w:pPr>
            <w:r>
              <w:rPr>
                <w:rFonts w:ascii="Times New Roman" w:hAnsi="Times New Roman" w:cs="Times New Roman"/>
                <w:sz w:val="24"/>
                <w:szCs w:val="24"/>
              </w:rPr>
              <w:t>Comments by the Industrial Customers of Northwest Utilities (</w:t>
            </w:r>
            <w:r w:rsidRPr="00AD6661">
              <w:rPr>
                <w:rFonts w:ascii="Times New Roman" w:hAnsi="Times New Roman" w:cs="Times New Roman"/>
                <w:b/>
                <w:sz w:val="24"/>
                <w:szCs w:val="24"/>
              </w:rPr>
              <w:t>ICNU</w:t>
            </w:r>
            <w:r>
              <w:rPr>
                <w:rFonts w:ascii="Times New Roman" w:hAnsi="Times New Roman" w:cs="Times New Roman"/>
                <w:sz w:val="24"/>
                <w:szCs w:val="24"/>
              </w:rPr>
              <w:t xml:space="preserve">) argue that the </w:t>
            </w:r>
            <w:r w:rsidRPr="000A2748">
              <w:rPr>
                <w:rFonts w:ascii="Times New Roman" w:hAnsi="Times New Roman" w:cs="Times New Roman"/>
                <w:i/>
                <w:sz w:val="24"/>
                <w:szCs w:val="24"/>
              </w:rPr>
              <w:t>need requirement</w:t>
            </w:r>
            <w:r>
              <w:rPr>
                <w:rFonts w:ascii="Times New Roman" w:hAnsi="Times New Roman" w:cs="Times New Roman"/>
                <w:sz w:val="24"/>
                <w:szCs w:val="24"/>
              </w:rPr>
              <w:t xml:space="preserve"> is modified, but not superseded.  T</w:t>
            </w:r>
            <w:r w:rsidRPr="000A2748">
              <w:rPr>
                <w:rFonts w:ascii="Times New Roman" w:hAnsi="Times New Roman" w:cs="Times New Roman"/>
                <w:sz w:val="24"/>
                <w:szCs w:val="24"/>
              </w:rPr>
              <w:t>he strict statutory requirements in the RPS</w:t>
            </w:r>
            <w:r>
              <w:rPr>
                <w:rFonts w:ascii="Times New Roman" w:hAnsi="Times New Roman" w:cs="Times New Roman"/>
                <w:sz w:val="24"/>
                <w:szCs w:val="24"/>
              </w:rPr>
              <w:t>,</w:t>
            </w:r>
            <w:r w:rsidRPr="000A2748">
              <w:rPr>
                <w:rFonts w:ascii="Times New Roman" w:hAnsi="Times New Roman" w:cs="Times New Roman"/>
                <w:sz w:val="24"/>
                <w:szCs w:val="24"/>
              </w:rPr>
              <w:t xml:space="preserve"> </w:t>
            </w:r>
            <w:r w:rsidRPr="00AD6661">
              <w:rPr>
                <w:rFonts w:ascii="Times New Roman" w:hAnsi="Times New Roman" w:cs="Times New Roman"/>
                <w:b/>
                <w:sz w:val="24"/>
                <w:szCs w:val="24"/>
              </w:rPr>
              <w:t>ICNU</w:t>
            </w:r>
            <w:r>
              <w:rPr>
                <w:rFonts w:ascii="Times New Roman" w:hAnsi="Times New Roman" w:cs="Times New Roman"/>
                <w:sz w:val="24"/>
                <w:szCs w:val="24"/>
              </w:rPr>
              <w:t xml:space="preserve"> contends, simplify the evaluation of prudence by the Commission of certain types of renewable resources by imposing specific requirements e.g., a specific amount of renewable resources be used to serve load. In contrast, </w:t>
            </w:r>
            <w:r w:rsidRPr="00AD6661">
              <w:rPr>
                <w:rFonts w:ascii="Times New Roman" w:hAnsi="Times New Roman" w:cs="Times New Roman"/>
                <w:b/>
                <w:sz w:val="24"/>
                <w:szCs w:val="24"/>
              </w:rPr>
              <w:t>ICNU</w:t>
            </w:r>
            <w:r>
              <w:rPr>
                <w:rFonts w:ascii="Times New Roman" w:hAnsi="Times New Roman" w:cs="Times New Roman"/>
                <w:sz w:val="24"/>
                <w:szCs w:val="24"/>
              </w:rPr>
              <w:t xml:space="preserve"> states that there are other “resource need” issues that are not superseded [or modified] by the RPS including the determination by the utility of how much renewable resources are needed to meet the statutory obligation.  That is, the matching of estimated loads to resource acquisitions and integration services or resources.  </w:t>
            </w:r>
          </w:p>
          <w:p w:rsidR="00550856" w:rsidRDefault="00550856" w:rsidP="00D22D71">
            <w:pPr>
              <w:spacing w:after="240"/>
              <w:rPr>
                <w:rFonts w:ascii="Times New Roman" w:hAnsi="Times New Roman" w:cs="Times New Roman"/>
                <w:sz w:val="24"/>
                <w:szCs w:val="24"/>
              </w:rPr>
            </w:pPr>
            <w:r>
              <w:rPr>
                <w:rFonts w:ascii="Times New Roman" w:hAnsi="Times New Roman" w:cs="Times New Roman"/>
                <w:sz w:val="24"/>
                <w:szCs w:val="24"/>
              </w:rPr>
              <w:t xml:space="preserve">Finally, </w:t>
            </w:r>
            <w:r w:rsidRPr="00AD6661">
              <w:rPr>
                <w:rFonts w:ascii="Times New Roman" w:hAnsi="Times New Roman" w:cs="Times New Roman"/>
                <w:b/>
                <w:sz w:val="24"/>
                <w:szCs w:val="24"/>
              </w:rPr>
              <w:t>ICNU</w:t>
            </w:r>
            <w:r>
              <w:rPr>
                <w:rFonts w:ascii="Times New Roman" w:hAnsi="Times New Roman" w:cs="Times New Roman"/>
                <w:sz w:val="24"/>
                <w:szCs w:val="24"/>
              </w:rPr>
              <w:t xml:space="preserve"> emphasized that utilities must ensure acquired RPS resources meet actual resource needs, be used and useful, and provide service that is fair, just and reasonable. Finally, </w:t>
            </w:r>
            <w:r w:rsidRPr="00401FEF">
              <w:rPr>
                <w:rFonts w:ascii="Times New Roman" w:hAnsi="Times New Roman" w:cs="Times New Roman"/>
                <w:b/>
                <w:sz w:val="24"/>
                <w:szCs w:val="24"/>
              </w:rPr>
              <w:t>ICNU</w:t>
            </w:r>
            <w:r>
              <w:rPr>
                <w:rFonts w:ascii="Times New Roman" w:hAnsi="Times New Roman" w:cs="Times New Roman"/>
                <w:sz w:val="24"/>
                <w:szCs w:val="24"/>
              </w:rPr>
              <w:t xml:space="preserve"> cites an Oregon Commission decision that states “The [prudence] standard to be applied has not been ‘lowered’ to foster the acquisition of renewable resources.”</w:t>
            </w:r>
          </w:p>
          <w:p w:rsidR="00D22D71" w:rsidRDefault="00D22D71" w:rsidP="00D22D71">
            <w:pPr>
              <w:spacing w:after="0"/>
              <w:rPr>
                <w:rFonts w:ascii="Times New Roman" w:hAnsi="Times New Roman" w:cs="Times New Roman"/>
                <w:sz w:val="24"/>
                <w:szCs w:val="24"/>
              </w:rPr>
            </w:pPr>
          </w:p>
          <w:p w:rsidR="00550856" w:rsidRDefault="00550856" w:rsidP="00E53548">
            <w:pPr>
              <w:spacing w:before="120"/>
              <w:rPr>
                <w:rFonts w:ascii="Times New Roman" w:hAnsi="Times New Roman" w:cs="Times New Roman"/>
                <w:sz w:val="24"/>
                <w:szCs w:val="24"/>
              </w:rPr>
            </w:pPr>
            <w:r>
              <w:rPr>
                <w:rFonts w:ascii="Times New Roman" w:hAnsi="Times New Roman" w:cs="Times New Roman"/>
                <w:sz w:val="24"/>
                <w:szCs w:val="24"/>
              </w:rPr>
              <w:lastRenderedPageBreak/>
              <w:t xml:space="preserve">In its comments, the </w:t>
            </w:r>
            <w:r w:rsidRPr="00AD6661">
              <w:rPr>
                <w:rFonts w:ascii="Times New Roman" w:hAnsi="Times New Roman" w:cs="Times New Roman"/>
                <w:b/>
                <w:sz w:val="24"/>
                <w:szCs w:val="24"/>
              </w:rPr>
              <w:t>Joint Coalition</w:t>
            </w:r>
            <w:r>
              <w:rPr>
                <w:rFonts w:ascii="Times New Roman" w:hAnsi="Times New Roman" w:cs="Times New Roman"/>
                <w:sz w:val="24"/>
                <w:szCs w:val="24"/>
              </w:rPr>
              <w:t xml:space="preserve"> argues that “[u]tilities now have a new regulatory source of ‘need,’ in addition to a load-based ‘need,’....”  They suggest that the Commission may acknowledge that compliance with RPS requirements is an appropriate factor in resource acquisitions while highlighting that traditional prudence analysis remains “an appropriate framework.”  Acknowledging that the need to acquire generating resources or power contracts is dependent on a broad standard of reasonableness, they believe the Commission should explicitly recognize that meeting RPS targets is a need in the context of a prudence review.   </w:t>
            </w:r>
          </w:p>
        </w:tc>
      </w:tr>
      <w:tr w:rsidR="00D22D71" w:rsidTr="00550856">
        <w:trPr>
          <w:trHeight w:val="1160"/>
        </w:trPr>
        <w:tc>
          <w:tcPr>
            <w:tcW w:w="9870" w:type="dxa"/>
            <w:shd w:val="clear" w:color="auto" w:fill="C6D9F1" w:themeFill="text2" w:themeFillTint="33"/>
            <w:vAlign w:val="center"/>
          </w:tcPr>
          <w:p w:rsidR="00D22D71" w:rsidRPr="00B164EB" w:rsidRDefault="00D22D71" w:rsidP="00D22D71">
            <w:pPr>
              <w:pStyle w:val="ListParagraph"/>
              <w:ind w:left="1302" w:hanging="990"/>
              <w:rPr>
                <w:rFonts w:ascii="Times New Roman" w:hAnsi="Times New Roman" w:cs="Times New Roman"/>
                <w:sz w:val="24"/>
                <w:szCs w:val="24"/>
              </w:rPr>
            </w:pPr>
          </w:p>
        </w:tc>
      </w:tr>
    </w:tbl>
    <w:p w:rsidR="00D22D71" w:rsidRDefault="00D22D71">
      <w:r>
        <w:br w:type="page"/>
      </w:r>
    </w:p>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550856" w:rsidTr="00550856">
        <w:trPr>
          <w:trHeight w:val="1160"/>
        </w:trPr>
        <w:tc>
          <w:tcPr>
            <w:tcW w:w="9870" w:type="dxa"/>
            <w:shd w:val="clear" w:color="auto" w:fill="C6D9F1" w:themeFill="text2" w:themeFillTint="33"/>
            <w:vAlign w:val="center"/>
          </w:tcPr>
          <w:p w:rsidR="00550856" w:rsidRPr="007E0759" w:rsidRDefault="00550856" w:rsidP="00EE5A12">
            <w:pPr>
              <w:ind w:left="312" w:hanging="312"/>
              <w:rPr>
                <w:rFonts w:ascii="Times New Roman" w:hAnsi="Times New Roman" w:cs="Times New Roman"/>
                <w:b/>
                <w:sz w:val="24"/>
                <w:szCs w:val="24"/>
              </w:rPr>
            </w:pPr>
            <w:r w:rsidRPr="00C162AD">
              <w:rPr>
                <w:rFonts w:ascii="Times New Roman" w:hAnsi="Times New Roman" w:cs="Times New Roman"/>
                <w:b/>
                <w:i/>
                <w:sz w:val="24"/>
                <w:szCs w:val="24"/>
              </w:rPr>
              <w:lastRenderedPageBreak/>
              <w:t>3)  Integration of Renewables</w:t>
            </w:r>
            <w:r w:rsidRPr="00C162AD">
              <w:rPr>
                <w:rFonts w:ascii="Times New Roman" w:hAnsi="Times New Roman" w:cs="Times New Roman"/>
                <w:b/>
                <w:sz w:val="24"/>
                <w:szCs w:val="24"/>
              </w:rPr>
              <w:t>.</w:t>
            </w:r>
            <w:r w:rsidRPr="00FB3EA0">
              <w:rPr>
                <w:rFonts w:ascii="Times New Roman" w:hAnsi="Times New Roman" w:cs="Times New Roman"/>
                <w:sz w:val="24"/>
                <w:szCs w:val="24"/>
              </w:rPr>
              <w:t xml:space="preserve">  </w:t>
            </w:r>
            <w:r w:rsidRPr="00F77017">
              <w:rPr>
                <w:rFonts w:ascii="Times New Roman" w:hAnsi="Times New Roman" w:cs="Times New Roman"/>
                <w:szCs w:val="24"/>
              </w:rPr>
              <w:t>Will future acquisition of non-renewable resources that support the integration of renewable resources encounter the same demonstration of need issue? Discuss what new “litmus” tests may be necessary to evaluate the prudence of renewable integration generating resources and why the current tests may not be applicable.</w:t>
            </w:r>
          </w:p>
        </w:tc>
      </w:tr>
      <w:tr w:rsidR="00550856" w:rsidTr="00C162AD">
        <w:trPr>
          <w:trHeight w:val="800"/>
        </w:trPr>
        <w:tc>
          <w:tcPr>
            <w:tcW w:w="9870" w:type="dxa"/>
            <w:shd w:val="clear" w:color="auto" w:fill="auto"/>
          </w:tcPr>
          <w:p w:rsidR="00550856" w:rsidRDefault="00550856" w:rsidP="002B680E">
            <w:pPr>
              <w:spacing w:after="0"/>
              <w:rPr>
                <w:rFonts w:ascii="Times New Roman" w:hAnsi="Times New Roman" w:cs="Times New Roman"/>
                <w:b/>
                <w:sz w:val="24"/>
                <w:szCs w:val="24"/>
              </w:rPr>
            </w:pPr>
          </w:p>
          <w:p w:rsidR="00550856" w:rsidRDefault="00550856" w:rsidP="001C2568">
            <w:pPr>
              <w:rPr>
                <w:rFonts w:ascii="Times New Roman" w:hAnsi="Times New Roman" w:cs="Times New Roman"/>
                <w:sz w:val="24"/>
                <w:szCs w:val="24"/>
              </w:rPr>
            </w:pPr>
            <w:r w:rsidRPr="007E0759">
              <w:rPr>
                <w:rFonts w:ascii="Times New Roman" w:hAnsi="Times New Roman" w:cs="Times New Roman"/>
                <w:b/>
                <w:sz w:val="24"/>
                <w:szCs w:val="24"/>
              </w:rPr>
              <w:t>Avista</w:t>
            </w:r>
            <w:r>
              <w:rPr>
                <w:rFonts w:ascii="Times New Roman" w:hAnsi="Times New Roman" w:cs="Times New Roman"/>
                <w:sz w:val="24"/>
                <w:szCs w:val="24"/>
              </w:rPr>
              <w:t xml:space="preserve"> believes that the use of non-renewable assets for the integration of renewables </w:t>
            </w:r>
            <w:r w:rsidR="00C521F7">
              <w:rPr>
                <w:rFonts w:ascii="Times New Roman" w:hAnsi="Times New Roman" w:cs="Times New Roman"/>
                <w:sz w:val="24"/>
                <w:szCs w:val="24"/>
              </w:rPr>
              <w:t xml:space="preserve">will </w:t>
            </w:r>
            <w:r>
              <w:rPr>
                <w:rFonts w:ascii="Times New Roman" w:hAnsi="Times New Roman" w:cs="Times New Roman"/>
                <w:sz w:val="24"/>
                <w:szCs w:val="24"/>
              </w:rPr>
              <w:t xml:space="preserve">increase as renewable generation in a balancing authority increases. The company feels that utilities should demonstrate that the non-renewable asset is integral to (1) maintaining system reliability or (2) optimizing the operational value of the intermittent renewable resource.  Consist with this comment; </w:t>
            </w:r>
            <w:r w:rsidRPr="001C2568">
              <w:rPr>
                <w:rFonts w:ascii="Times New Roman" w:hAnsi="Times New Roman" w:cs="Times New Roman"/>
                <w:b/>
                <w:sz w:val="24"/>
                <w:szCs w:val="24"/>
              </w:rPr>
              <w:t>PSE</w:t>
            </w:r>
            <w:r>
              <w:rPr>
                <w:rFonts w:ascii="Times New Roman" w:hAnsi="Times New Roman" w:cs="Times New Roman"/>
                <w:sz w:val="24"/>
                <w:szCs w:val="24"/>
              </w:rPr>
              <w:t xml:space="preserve"> states that resources necessary to cost-effectively </w:t>
            </w:r>
            <w:r w:rsidR="00C521F7">
              <w:rPr>
                <w:rFonts w:ascii="Times New Roman" w:hAnsi="Times New Roman" w:cs="Times New Roman"/>
                <w:sz w:val="24"/>
                <w:szCs w:val="24"/>
              </w:rPr>
              <w:t>and reliably</w:t>
            </w:r>
            <w:r>
              <w:rPr>
                <w:rFonts w:ascii="Times New Roman" w:hAnsi="Times New Roman" w:cs="Times New Roman"/>
                <w:sz w:val="24"/>
                <w:szCs w:val="24"/>
              </w:rPr>
              <w:t xml:space="preserve"> integrate renewable resources into the power system is an additional resource need that is prudent in complying with the new renewable energy target requirements. </w:t>
            </w:r>
          </w:p>
          <w:p w:rsidR="00550856" w:rsidRDefault="00550856" w:rsidP="00AD5859">
            <w:pPr>
              <w:rPr>
                <w:rFonts w:ascii="Times New Roman" w:hAnsi="Times New Roman" w:cs="Times New Roman"/>
                <w:sz w:val="24"/>
                <w:szCs w:val="24"/>
              </w:rPr>
            </w:pPr>
            <w:r>
              <w:rPr>
                <w:rFonts w:ascii="Times New Roman" w:hAnsi="Times New Roman" w:cs="Times New Roman"/>
                <w:sz w:val="24"/>
                <w:szCs w:val="24"/>
              </w:rPr>
              <w:t xml:space="preserve">Echoing the consensus of the </w:t>
            </w:r>
            <w:r w:rsidR="00C521F7">
              <w:rPr>
                <w:rFonts w:ascii="Times New Roman" w:hAnsi="Times New Roman" w:cs="Times New Roman"/>
                <w:sz w:val="24"/>
                <w:szCs w:val="24"/>
              </w:rPr>
              <w:t xml:space="preserve">above </w:t>
            </w:r>
            <w:r>
              <w:rPr>
                <w:rFonts w:ascii="Times New Roman" w:hAnsi="Times New Roman" w:cs="Times New Roman"/>
                <w:sz w:val="24"/>
                <w:szCs w:val="24"/>
              </w:rPr>
              <w:t xml:space="preserve">comments, </w:t>
            </w:r>
            <w:r w:rsidRPr="00DC7F9D">
              <w:rPr>
                <w:rFonts w:ascii="Times New Roman" w:hAnsi="Times New Roman" w:cs="Times New Roman"/>
                <w:b/>
                <w:sz w:val="24"/>
                <w:szCs w:val="24"/>
              </w:rPr>
              <w:t>ICNU</w:t>
            </w:r>
            <w:r>
              <w:rPr>
                <w:rFonts w:ascii="Times New Roman" w:hAnsi="Times New Roman" w:cs="Times New Roman"/>
                <w:b/>
                <w:sz w:val="24"/>
                <w:szCs w:val="24"/>
              </w:rPr>
              <w:t xml:space="preserve"> </w:t>
            </w:r>
            <w:r>
              <w:rPr>
                <w:rFonts w:ascii="Times New Roman" w:hAnsi="Times New Roman" w:cs="Times New Roman"/>
                <w:sz w:val="24"/>
                <w:szCs w:val="24"/>
              </w:rPr>
              <w:t xml:space="preserve">agrees that </w:t>
            </w:r>
            <w:r w:rsidR="00C521F7">
              <w:rPr>
                <w:rFonts w:ascii="Times New Roman" w:hAnsi="Times New Roman" w:cs="Times New Roman"/>
                <w:sz w:val="24"/>
                <w:szCs w:val="24"/>
              </w:rPr>
              <w:t xml:space="preserve">utilities </w:t>
            </w:r>
            <w:r>
              <w:rPr>
                <w:rFonts w:ascii="Times New Roman" w:hAnsi="Times New Roman" w:cs="Times New Roman"/>
                <w:sz w:val="24"/>
                <w:szCs w:val="24"/>
              </w:rPr>
              <w:t>will be required to acquire new resources and/or change the utilization of current resources to integrate intermittent renewable resources.  It sees no reason to assume that any aspect of the Commission’s prudence analysis would not apply to integration.</w:t>
            </w:r>
          </w:p>
          <w:p w:rsidR="00550856" w:rsidRDefault="00550856" w:rsidP="00C162AD">
            <w:pPr>
              <w:spacing w:after="120"/>
              <w:rPr>
                <w:rFonts w:ascii="Times New Roman" w:hAnsi="Times New Roman" w:cs="Times New Roman"/>
                <w:sz w:val="24"/>
                <w:szCs w:val="24"/>
              </w:rPr>
            </w:pPr>
            <w:r>
              <w:rPr>
                <w:rFonts w:ascii="Times New Roman" w:hAnsi="Times New Roman" w:cs="Times New Roman"/>
                <w:sz w:val="24"/>
                <w:szCs w:val="24"/>
              </w:rPr>
              <w:t xml:space="preserve">In contrast, the </w:t>
            </w:r>
            <w:r w:rsidRPr="00175D57">
              <w:rPr>
                <w:rFonts w:ascii="Times New Roman" w:hAnsi="Times New Roman" w:cs="Times New Roman"/>
                <w:b/>
                <w:sz w:val="24"/>
                <w:szCs w:val="24"/>
              </w:rPr>
              <w:t>Joint Coalition</w:t>
            </w:r>
            <w:r w:rsidRPr="00C02942">
              <w:rPr>
                <w:rFonts w:ascii="Times New Roman" w:hAnsi="Times New Roman" w:cs="Times New Roman"/>
                <w:sz w:val="24"/>
                <w:szCs w:val="24"/>
              </w:rPr>
              <w:t xml:space="preserve"> </w:t>
            </w:r>
            <w:r>
              <w:rPr>
                <w:rFonts w:ascii="Times New Roman" w:hAnsi="Times New Roman" w:cs="Times New Roman"/>
                <w:sz w:val="24"/>
                <w:szCs w:val="24"/>
              </w:rPr>
              <w:t xml:space="preserve">cautions that a one-size-fits-all litmus test is inappropriate for the review of integrating resources. They recommend that the Commission signal that prudence will depend upon appropriately analyzed integration needs, exhaustion of reasonably available integration alternatives and the active participation in the development of lower-cost, market-based integration methods.  In addition, the </w:t>
            </w:r>
            <w:r w:rsidR="005969BD">
              <w:rPr>
                <w:rFonts w:ascii="Times New Roman" w:hAnsi="Times New Roman" w:cs="Times New Roman"/>
                <w:sz w:val="24"/>
                <w:szCs w:val="24"/>
              </w:rPr>
              <w:t>C</w:t>
            </w:r>
            <w:r>
              <w:rPr>
                <w:rFonts w:ascii="Times New Roman" w:hAnsi="Times New Roman" w:cs="Times New Roman"/>
                <w:sz w:val="24"/>
                <w:szCs w:val="24"/>
              </w:rPr>
              <w:t xml:space="preserve">oalition warns that before any integration resource be considered prudent, utilities should be required to demonstrate that they have fully engaged with less costly integration strategies which it develops more completely within its comments. </w:t>
            </w:r>
          </w:p>
          <w:p w:rsidR="00DA0792" w:rsidRPr="00175D57" w:rsidRDefault="00DA0792" w:rsidP="00C162AD">
            <w:pPr>
              <w:spacing w:after="120"/>
              <w:rPr>
                <w:rFonts w:ascii="Times New Roman" w:hAnsi="Times New Roman" w:cs="Times New Roman"/>
                <w:sz w:val="24"/>
                <w:szCs w:val="24"/>
              </w:rPr>
            </w:pPr>
          </w:p>
        </w:tc>
      </w:tr>
      <w:tr w:rsidR="00DA0792" w:rsidTr="001747D8">
        <w:trPr>
          <w:trHeight w:val="1160"/>
        </w:trPr>
        <w:tc>
          <w:tcPr>
            <w:tcW w:w="9870" w:type="dxa"/>
            <w:shd w:val="clear" w:color="auto" w:fill="C6D9F1" w:themeFill="text2" w:themeFillTint="33"/>
            <w:vAlign w:val="center"/>
          </w:tcPr>
          <w:p w:rsidR="00DA0792" w:rsidRPr="00B164EB" w:rsidRDefault="00DA0792" w:rsidP="001747D8">
            <w:pPr>
              <w:pStyle w:val="ListParagraph"/>
              <w:ind w:left="1302" w:hanging="990"/>
              <w:rPr>
                <w:rFonts w:ascii="Times New Roman" w:hAnsi="Times New Roman" w:cs="Times New Roman"/>
                <w:sz w:val="24"/>
                <w:szCs w:val="24"/>
              </w:rPr>
            </w:pPr>
          </w:p>
        </w:tc>
      </w:tr>
    </w:tbl>
    <w:p w:rsidR="00DA0792" w:rsidRDefault="00DA0792">
      <w:r>
        <w:br w:type="page"/>
      </w:r>
    </w:p>
    <w:p w:rsidR="00CC6E58" w:rsidRDefault="00925444">
      <w:r>
        <w:rPr>
          <w:noProof/>
        </w:rPr>
        <w:lastRenderedPageBreak/>
        <w:pict>
          <v:shapetype id="_x0000_t202" coordsize="21600,21600" o:spt="202" path="m,l,21600r21600,l21600,xe">
            <v:stroke joinstyle="miter"/>
            <v:path gradientshapeok="t" o:connecttype="rect"/>
          </v:shapetype>
          <v:shape id="_x0000_s1027" type="#_x0000_t202" style="position:absolute;margin-left:106.65pt;margin-top:163.2pt;width:186.35pt;height:110.6pt;z-index:251661312;mso-width-percent:400;mso-height-percent:200;mso-width-percent:400;mso-height-percent:200;mso-width-relative:margin;mso-height-relative:margin">
            <v:textbox style="mso-fit-shape-to-text:t">
              <w:txbxContent>
                <w:p w:rsidR="007879A8" w:rsidRPr="00783327" w:rsidRDefault="007879A8" w:rsidP="00783327">
                  <w:pPr>
                    <w:jc w:val="center"/>
                    <w:rPr>
                      <w:sz w:val="52"/>
                    </w:rPr>
                  </w:pPr>
                  <w:r w:rsidRPr="00783327">
                    <w:rPr>
                      <w:sz w:val="52"/>
                    </w:rPr>
                    <w:t>Page Intentionally Left Blank</w:t>
                  </w:r>
                </w:p>
              </w:txbxContent>
            </v:textbox>
          </v:shape>
        </w:pict>
      </w:r>
      <w:r w:rsidR="00CC6E58">
        <w:br w:type="page"/>
      </w:r>
    </w:p>
    <w:p w:rsidR="00CC6E58" w:rsidRDefault="00CC6E58"/>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550856" w:rsidTr="00550856">
        <w:trPr>
          <w:trHeight w:val="1160"/>
        </w:trPr>
        <w:tc>
          <w:tcPr>
            <w:tcW w:w="9870" w:type="dxa"/>
            <w:shd w:val="clear" w:color="auto" w:fill="C6D9F1" w:themeFill="text2" w:themeFillTint="33"/>
            <w:vAlign w:val="center"/>
          </w:tcPr>
          <w:p w:rsidR="00550856" w:rsidRDefault="00550856" w:rsidP="00EE5A12">
            <w:pPr>
              <w:ind w:left="222" w:hanging="222"/>
              <w:rPr>
                <w:rFonts w:ascii="Times New Roman" w:hAnsi="Times New Roman" w:cs="Times New Roman"/>
                <w:b/>
                <w:sz w:val="24"/>
                <w:szCs w:val="24"/>
              </w:rPr>
            </w:pPr>
            <w:r w:rsidRPr="00C162AD">
              <w:rPr>
                <w:rFonts w:ascii="Times New Roman" w:hAnsi="Times New Roman" w:cs="Times New Roman"/>
                <w:b/>
                <w:i/>
                <w:sz w:val="24"/>
                <w:szCs w:val="24"/>
              </w:rPr>
              <w:t>4) Increased Certainty of Recovery of Costs of Renewables.</w:t>
            </w:r>
            <w:r w:rsidRPr="00FB3EA0">
              <w:rPr>
                <w:rFonts w:ascii="Times New Roman" w:hAnsi="Times New Roman" w:cs="Times New Roman"/>
                <w:i/>
                <w:sz w:val="24"/>
                <w:szCs w:val="24"/>
              </w:rPr>
              <w:t xml:space="preserve">  </w:t>
            </w:r>
            <w:r w:rsidRPr="00FB3EA0">
              <w:rPr>
                <w:rFonts w:ascii="Times New Roman" w:hAnsi="Times New Roman" w:cs="Times New Roman"/>
                <w:sz w:val="24"/>
                <w:szCs w:val="24"/>
              </w:rPr>
              <w:t>Should the Commission take action to provide utilities with increased certainty for recovery of costs associated with renewable resources before they are constructed or acquired?  What administrative actions should the Commission take to provide such increased certainty?</w:t>
            </w:r>
          </w:p>
        </w:tc>
      </w:tr>
      <w:tr w:rsidR="00550856" w:rsidTr="00550856">
        <w:trPr>
          <w:trHeight w:val="1160"/>
        </w:trPr>
        <w:tc>
          <w:tcPr>
            <w:tcW w:w="9870" w:type="dxa"/>
            <w:shd w:val="clear" w:color="auto" w:fill="auto"/>
          </w:tcPr>
          <w:p w:rsidR="00550856" w:rsidRDefault="00550856" w:rsidP="00F47FCE">
            <w:pPr>
              <w:spacing w:after="0"/>
              <w:rPr>
                <w:rFonts w:ascii="Times New Roman" w:hAnsi="Times New Roman" w:cs="Times New Roman"/>
                <w:b/>
                <w:sz w:val="24"/>
                <w:szCs w:val="24"/>
              </w:rPr>
            </w:pPr>
          </w:p>
          <w:p w:rsidR="00550856" w:rsidRDefault="00550856" w:rsidP="00506049">
            <w:pPr>
              <w:rPr>
                <w:rFonts w:ascii="Times New Roman" w:hAnsi="Times New Roman" w:cs="Times New Roman"/>
                <w:sz w:val="24"/>
                <w:szCs w:val="24"/>
              </w:rPr>
            </w:pPr>
            <w:r>
              <w:rPr>
                <w:rFonts w:ascii="Times New Roman" w:hAnsi="Times New Roman" w:cs="Times New Roman"/>
                <w:b/>
                <w:sz w:val="24"/>
                <w:szCs w:val="24"/>
              </w:rPr>
              <w:t>Avista</w:t>
            </w:r>
            <w:r>
              <w:rPr>
                <w:rFonts w:ascii="Times New Roman" w:hAnsi="Times New Roman" w:cs="Times New Roman"/>
                <w:sz w:val="24"/>
                <w:szCs w:val="24"/>
              </w:rPr>
              <w:t xml:space="preserve"> responded that in order to provide increased certainty for the recovery of costs the Commission should provide guidance through rules. The rules would explain under what conditions a utility may acquire qualifying renewable resource sites or resources ahead of I-937 threshold dates. The company believes that flexibility in resource acquisition is essential since requiring the necessary steps to acquire renewable resources into a short timeframe may provide suppliers with negotiating leverage, transmission interconnection queue congestion, and scarcity of construction resources.  </w:t>
            </w:r>
            <w:r w:rsidRPr="00626EA6">
              <w:rPr>
                <w:rFonts w:ascii="Times New Roman" w:hAnsi="Times New Roman" w:cs="Times New Roman"/>
                <w:b/>
                <w:sz w:val="24"/>
                <w:szCs w:val="24"/>
              </w:rPr>
              <w:t>Avista</w:t>
            </w:r>
            <w:r w:rsidRPr="00626EA6">
              <w:rPr>
                <w:rFonts w:ascii="Times New Roman" w:hAnsi="Times New Roman" w:cs="Times New Roman"/>
                <w:sz w:val="24"/>
                <w:szCs w:val="24"/>
              </w:rPr>
              <w:t xml:space="preserve"> believes </w:t>
            </w:r>
            <w:r>
              <w:rPr>
                <w:rFonts w:ascii="Times New Roman" w:hAnsi="Times New Roman" w:cs="Times New Roman"/>
                <w:sz w:val="24"/>
                <w:szCs w:val="24"/>
              </w:rPr>
              <w:t>the lack of flexibility would result would be delays and increased costs</w:t>
            </w:r>
            <w:r w:rsidR="005969BD">
              <w:rPr>
                <w:rFonts w:ascii="Times New Roman" w:hAnsi="Times New Roman" w:cs="Times New Roman"/>
                <w:sz w:val="24"/>
                <w:szCs w:val="24"/>
              </w:rPr>
              <w:t>.</w:t>
            </w:r>
            <w:r>
              <w:rPr>
                <w:rFonts w:ascii="Times New Roman" w:hAnsi="Times New Roman" w:cs="Times New Roman"/>
                <w:sz w:val="24"/>
                <w:szCs w:val="24"/>
              </w:rPr>
              <w:t xml:space="preserve">  At the minimum, it states, the Commission should interpret the language of RCW 19.285.060(4) [provision of incentives] to </w:t>
            </w:r>
            <w:r w:rsidRPr="00626EA6">
              <w:rPr>
                <w:rFonts w:ascii="Times New Roman" w:hAnsi="Times New Roman" w:cs="Times New Roman"/>
                <w:sz w:val="24"/>
                <w:szCs w:val="24"/>
              </w:rPr>
              <w:t>affirm that utilities may meet their RPS goals earlier than the minimums</w:t>
            </w:r>
            <w:r>
              <w:rPr>
                <w:rFonts w:ascii="Times New Roman" w:hAnsi="Times New Roman" w:cs="Times New Roman"/>
                <w:sz w:val="24"/>
                <w:szCs w:val="24"/>
              </w:rPr>
              <w:t xml:space="preserve"> </w:t>
            </w:r>
            <w:r w:rsidRPr="00626EA6">
              <w:rPr>
                <w:rFonts w:ascii="Times New Roman" w:hAnsi="Times New Roman" w:cs="Times New Roman"/>
                <w:sz w:val="24"/>
                <w:szCs w:val="24"/>
              </w:rPr>
              <w:t xml:space="preserve">dictated by the law. </w:t>
            </w:r>
            <w:r>
              <w:rPr>
                <w:rFonts w:ascii="Times New Roman" w:hAnsi="Times New Roman" w:cs="Times New Roman"/>
                <w:sz w:val="24"/>
                <w:szCs w:val="24"/>
              </w:rPr>
              <w:t xml:space="preserve">The company supports the drafting of </w:t>
            </w:r>
            <w:r w:rsidRPr="00626EA6">
              <w:rPr>
                <w:rFonts w:ascii="Times New Roman" w:hAnsi="Times New Roman" w:cs="Times New Roman"/>
                <w:sz w:val="24"/>
                <w:szCs w:val="24"/>
              </w:rPr>
              <w:t xml:space="preserve">rules </w:t>
            </w:r>
            <w:r>
              <w:rPr>
                <w:rFonts w:ascii="Times New Roman" w:hAnsi="Times New Roman" w:cs="Times New Roman"/>
                <w:sz w:val="24"/>
                <w:szCs w:val="24"/>
              </w:rPr>
              <w:t>in that</w:t>
            </w:r>
            <w:r w:rsidRPr="00626EA6">
              <w:rPr>
                <w:rFonts w:ascii="Times New Roman" w:hAnsi="Times New Roman" w:cs="Times New Roman"/>
                <w:sz w:val="24"/>
                <w:szCs w:val="24"/>
              </w:rPr>
              <w:t xml:space="preserve"> regard.</w:t>
            </w:r>
          </w:p>
          <w:p w:rsidR="00550856" w:rsidRDefault="00550856" w:rsidP="002A7BD9">
            <w:pPr>
              <w:rPr>
                <w:rFonts w:ascii="Times New Roman" w:hAnsi="Times New Roman" w:cs="Times New Roman"/>
                <w:sz w:val="24"/>
                <w:szCs w:val="24"/>
              </w:rPr>
            </w:pPr>
            <w:r w:rsidRPr="00014214">
              <w:rPr>
                <w:rFonts w:ascii="Times New Roman" w:hAnsi="Times New Roman" w:cs="Times New Roman"/>
                <w:b/>
                <w:sz w:val="24"/>
                <w:szCs w:val="24"/>
              </w:rPr>
              <w:t>PacifiCorp</w:t>
            </w:r>
            <w:r>
              <w:rPr>
                <w:rFonts w:ascii="Times New Roman" w:hAnsi="Times New Roman" w:cs="Times New Roman"/>
                <w:sz w:val="24"/>
                <w:szCs w:val="24"/>
              </w:rPr>
              <w:t xml:space="preserve"> believes it would be beneficial to provide utilities with increased certainty of recovery of costs before they are constructed and acquired.  The company proposes that, at the time a company files for the deferral of costs associated with long-term financial commitments under RCW 80.80.060(6), the Commission should allow for a prudence determination which it believes would provide increased certainty of cost recovery.  Or in an alternative to a prudence determination, </w:t>
            </w:r>
            <w:r w:rsidRPr="00390F29">
              <w:rPr>
                <w:rFonts w:ascii="Times New Roman" w:hAnsi="Times New Roman" w:cs="Times New Roman"/>
                <w:b/>
                <w:sz w:val="24"/>
                <w:szCs w:val="24"/>
              </w:rPr>
              <w:t>PacifiCorp</w:t>
            </w:r>
            <w:r>
              <w:rPr>
                <w:rFonts w:ascii="Times New Roman" w:hAnsi="Times New Roman" w:cs="Times New Roman"/>
                <w:sz w:val="24"/>
                <w:szCs w:val="24"/>
              </w:rPr>
              <w:t xml:space="preserve"> suggests an approval of the acquisition of a long-term financial commitment would provide an increased certainty of the recovery of costs. In addition the Commission could provide an indication of prudence associated with the costs that may be deferred for later recovery.</w:t>
            </w:r>
          </w:p>
          <w:p w:rsidR="00550856" w:rsidRDefault="00550856" w:rsidP="00C6275D">
            <w:pPr>
              <w:rPr>
                <w:rFonts w:ascii="Times New Roman" w:hAnsi="Times New Roman" w:cs="Times New Roman"/>
                <w:sz w:val="24"/>
                <w:szCs w:val="24"/>
              </w:rPr>
            </w:pPr>
            <w:r>
              <w:rPr>
                <w:rFonts w:ascii="Times New Roman" w:hAnsi="Times New Roman" w:cs="Times New Roman"/>
                <w:sz w:val="24"/>
                <w:szCs w:val="24"/>
              </w:rPr>
              <w:t xml:space="preserve">In a similar light, </w:t>
            </w:r>
            <w:r w:rsidRPr="00217E8C">
              <w:rPr>
                <w:rFonts w:ascii="Times New Roman" w:hAnsi="Times New Roman" w:cs="Times New Roman"/>
                <w:b/>
                <w:sz w:val="24"/>
                <w:szCs w:val="24"/>
              </w:rPr>
              <w:t>PSE</w:t>
            </w:r>
            <w:r>
              <w:rPr>
                <w:rFonts w:ascii="Times New Roman" w:hAnsi="Times New Roman" w:cs="Times New Roman"/>
                <w:sz w:val="24"/>
                <w:szCs w:val="24"/>
              </w:rPr>
              <w:t xml:space="preserve"> suggests the use of an</w:t>
            </w:r>
            <w:r w:rsidRPr="00217E8C">
              <w:rPr>
                <w:rFonts w:ascii="Times New Roman" w:hAnsi="Times New Roman" w:cs="Times New Roman"/>
                <w:i/>
                <w:sz w:val="24"/>
                <w:szCs w:val="24"/>
              </w:rPr>
              <w:t xml:space="preserve"> ex ante</w:t>
            </w:r>
            <w:r w:rsidRPr="00217E8C">
              <w:rPr>
                <w:rFonts w:ascii="Times New Roman" w:hAnsi="Times New Roman" w:cs="Times New Roman"/>
                <w:sz w:val="24"/>
                <w:szCs w:val="24"/>
              </w:rPr>
              <w:t xml:space="preserve"> prudence review</w:t>
            </w:r>
            <w:r>
              <w:rPr>
                <w:rFonts w:ascii="Times New Roman" w:hAnsi="Times New Roman" w:cs="Times New Roman"/>
                <w:sz w:val="24"/>
                <w:szCs w:val="24"/>
              </w:rPr>
              <w:t xml:space="preserve">. The </w:t>
            </w:r>
            <w:r w:rsidRPr="00217E8C">
              <w:rPr>
                <w:rFonts w:ascii="Times New Roman" w:hAnsi="Times New Roman" w:cs="Times New Roman"/>
                <w:i/>
                <w:sz w:val="24"/>
                <w:szCs w:val="24"/>
              </w:rPr>
              <w:t>ex ante</w:t>
            </w:r>
            <w:r w:rsidRPr="00217E8C">
              <w:rPr>
                <w:rFonts w:ascii="Times New Roman" w:hAnsi="Times New Roman" w:cs="Times New Roman"/>
                <w:sz w:val="24"/>
                <w:szCs w:val="24"/>
              </w:rPr>
              <w:t xml:space="preserve"> prudence review</w:t>
            </w:r>
            <w:r>
              <w:rPr>
                <w:rFonts w:ascii="Times New Roman" w:hAnsi="Times New Roman" w:cs="Times New Roman"/>
                <w:sz w:val="24"/>
                <w:szCs w:val="24"/>
              </w:rPr>
              <w:t xml:space="preserve"> would pre-approve a decision to acquire a renewable resource ahead of target dates or that exceeds the renewable requirements.  For multi-year/multi-phase projects </w:t>
            </w:r>
            <w:r w:rsidRPr="001543E4">
              <w:rPr>
                <w:rFonts w:ascii="Times New Roman" w:hAnsi="Times New Roman" w:cs="Times New Roman"/>
                <w:b/>
                <w:sz w:val="24"/>
                <w:szCs w:val="24"/>
              </w:rPr>
              <w:t>PSE</w:t>
            </w:r>
            <w:r>
              <w:rPr>
                <w:rFonts w:ascii="Times New Roman" w:hAnsi="Times New Roman" w:cs="Times New Roman"/>
                <w:sz w:val="24"/>
                <w:szCs w:val="24"/>
              </w:rPr>
              <w:t xml:space="preserve"> proposes the utility return to the Commission for </w:t>
            </w:r>
            <w:r w:rsidRPr="001543E4">
              <w:rPr>
                <w:rFonts w:ascii="Times New Roman" w:hAnsi="Times New Roman" w:cs="Times New Roman"/>
                <w:i/>
                <w:sz w:val="24"/>
                <w:szCs w:val="24"/>
              </w:rPr>
              <w:t>ex</w:t>
            </w:r>
            <w:r>
              <w:rPr>
                <w:rFonts w:ascii="Times New Roman" w:hAnsi="Times New Roman" w:cs="Times New Roman"/>
                <w:i/>
                <w:sz w:val="24"/>
                <w:szCs w:val="24"/>
              </w:rPr>
              <w:t xml:space="preserve"> </w:t>
            </w:r>
            <w:r w:rsidRPr="001543E4">
              <w:rPr>
                <w:rFonts w:ascii="Times New Roman" w:hAnsi="Times New Roman" w:cs="Times New Roman"/>
                <w:i/>
                <w:sz w:val="24"/>
                <w:szCs w:val="24"/>
              </w:rPr>
              <w:t xml:space="preserve">ante </w:t>
            </w:r>
            <w:r>
              <w:rPr>
                <w:rFonts w:ascii="Times New Roman" w:hAnsi="Times New Roman" w:cs="Times New Roman"/>
                <w:sz w:val="24"/>
                <w:szCs w:val="24"/>
              </w:rPr>
              <w:t xml:space="preserve">prudence determinations as it moves forward to the next phases of the projects. </w:t>
            </w:r>
          </w:p>
          <w:p w:rsidR="00550856" w:rsidRDefault="00550856" w:rsidP="0055389A">
            <w:pPr>
              <w:spacing w:before="120"/>
              <w:rPr>
                <w:rFonts w:ascii="Times New Roman" w:hAnsi="Times New Roman" w:cs="Times New Roman"/>
                <w:sz w:val="24"/>
                <w:szCs w:val="24"/>
              </w:rPr>
            </w:pPr>
            <w:r>
              <w:rPr>
                <w:rFonts w:ascii="Times New Roman" w:hAnsi="Times New Roman" w:cs="Times New Roman"/>
                <w:sz w:val="24"/>
                <w:szCs w:val="24"/>
              </w:rPr>
              <w:t xml:space="preserve">In contrast, </w:t>
            </w:r>
            <w:r w:rsidRPr="00C6275D">
              <w:rPr>
                <w:rFonts w:ascii="Times New Roman" w:hAnsi="Times New Roman" w:cs="Times New Roman"/>
                <w:b/>
                <w:sz w:val="24"/>
                <w:szCs w:val="24"/>
              </w:rPr>
              <w:t>ICNU</w:t>
            </w:r>
            <w:r>
              <w:rPr>
                <w:rFonts w:ascii="Times New Roman" w:hAnsi="Times New Roman" w:cs="Times New Roman"/>
                <w:sz w:val="24"/>
                <w:szCs w:val="24"/>
              </w:rPr>
              <w:t xml:space="preserve"> concludes that the Commission should not provide utilities with any increased certainty for the recovery of the costs associated with renewable resources before they are constructed or acquired. </w:t>
            </w:r>
            <w:r w:rsidRPr="00C6275D">
              <w:rPr>
                <w:rFonts w:ascii="Times New Roman" w:hAnsi="Times New Roman" w:cs="Times New Roman"/>
                <w:b/>
                <w:sz w:val="24"/>
                <w:szCs w:val="24"/>
              </w:rPr>
              <w:t>ICNU</w:t>
            </w:r>
            <w:r>
              <w:rPr>
                <w:rFonts w:ascii="Times New Roman" w:hAnsi="Times New Roman" w:cs="Times New Roman"/>
                <w:sz w:val="24"/>
                <w:szCs w:val="24"/>
              </w:rPr>
              <w:t xml:space="preserve"> asserts that the RPS provides no rate certainty in the acquisition of renewable resources.  It believes that renewable resources are no different than the utilities’ need to acquire resources to meet non-renewable demands such as energy, capacity or changing loads.  </w:t>
            </w:r>
            <w:r w:rsidRPr="00B80C51">
              <w:rPr>
                <w:rFonts w:ascii="Times New Roman" w:hAnsi="Times New Roman" w:cs="Times New Roman"/>
                <w:b/>
                <w:sz w:val="24"/>
                <w:szCs w:val="24"/>
              </w:rPr>
              <w:lastRenderedPageBreak/>
              <w:t>ICNU</w:t>
            </w:r>
            <w:r>
              <w:rPr>
                <w:rFonts w:ascii="Times New Roman" w:hAnsi="Times New Roman" w:cs="Times New Roman"/>
                <w:sz w:val="24"/>
                <w:szCs w:val="24"/>
              </w:rPr>
              <w:t xml:space="preserve"> asserts increased certainty will only service to protect utilities from imprudent actions, increase costs or reduce quality of renewable acquisitions.</w:t>
            </w:r>
          </w:p>
          <w:p w:rsidR="00550856" w:rsidRDefault="00550856" w:rsidP="000A6DA8">
            <w:pPr>
              <w:rPr>
                <w:rFonts w:ascii="Times New Roman" w:hAnsi="Times New Roman" w:cs="Times New Roman"/>
                <w:sz w:val="24"/>
                <w:szCs w:val="24"/>
              </w:rPr>
            </w:pPr>
            <w:r>
              <w:rPr>
                <w:rFonts w:ascii="Times New Roman" w:hAnsi="Times New Roman" w:cs="Times New Roman"/>
                <w:sz w:val="24"/>
                <w:szCs w:val="24"/>
              </w:rPr>
              <w:t xml:space="preserve">Similarly, </w:t>
            </w:r>
            <w:r w:rsidRPr="00596C27">
              <w:rPr>
                <w:rFonts w:ascii="Times New Roman" w:hAnsi="Times New Roman" w:cs="Times New Roman"/>
                <w:sz w:val="24"/>
                <w:szCs w:val="24"/>
              </w:rPr>
              <w:t xml:space="preserve">the </w:t>
            </w:r>
            <w:r w:rsidRPr="00596C27">
              <w:rPr>
                <w:rFonts w:ascii="Times New Roman" w:hAnsi="Times New Roman" w:cs="Times New Roman"/>
                <w:b/>
                <w:sz w:val="24"/>
                <w:szCs w:val="24"/>
              </w:rPr>
              <w:t>Joint Coalition</w:t>
            </w:r>
            <w:r>
              <w:rPr>
                <w:rFonts w:ascii="Times New Roman" w:hAnsi="Times New Roman" w:cs="Times New Roman"/>
                <w:b/>
                <w:sz w:val="24"/>
                <w:szCs w:val="24"/>
              </w:rPr>
              <w:t xml:space="preserve"> </w:t>
            </w:r>
            <w:r>
              <w:rPr>
                <w:rFonts w:ascii="Times New Roman" w:hAnsi="Times New Roman" w:cs="Times New Roman"/>
                <w:sz w:val="24"/>
                <w:szCs w:val="24"/>
              </w:rPr>
              <w:t xml:space="preserve">does not support a project-specific pre-approval mechanism. However they recommend two options instead of pre-approval. The first, the IRP action plan acknowledgment approach where the utility identifies resource activities the utility intends to undertake over the next two to four years.  Although the </w:t>
            </w:r>
            <w:r w:rsidRPr="00596C27">
              <w:rPr>
                <w:rFonts w:ascii="Times New Roman" w:hAnsi="Times New Roman" w:cs="Times New Roman"/>
                <w:b/>
                <w:sz w:val="24"/>
                <w:szCs w:val="24"/>
              </w:rPr>
              <w:t>Joint Coalition</w:t>
            </w:r>
            <w:r>
              <w:rPr>
                <w:rFonts w:ascii="Times New Roman" w:hAnsi="Times New Roman" w:cs="Times New Roman"/>
                <w:b/>
                <w:sz w:val="24"/>
                <w:szCs w:val="24"/>
              </w:rPr>
              <w:t xml:space="preserve"> </w:t>
            </w:r>
            <w:r>
              <w:rPr>
                <w:rFonts w:ascii="Times New Roman" w:hAnsi="Times New Roman" w:cs="Times New Roman"/>
                <w:sz w:val="24"/>
                <w:szCs w:val="24"/>
              </w:rPr>
              <w:t xml:space="preserve">concedes that the option does not address cost-recovery for any specific resource, but does provide utilities with increased certainty that the regulatory body approves of its general resource acquisition approach.  In connection to this option the </w:t>
            </w:r>
            <w:r w:rsidRPr="005F4C17">
              <w:rPr>
                <w:rFonts w:ascii="Times New Roman" w:hAnsi="Times New Roman" w:cs="Times New Roman"/>
                <w:b/>
                <w:sz w:val="24"/>
                <w:szCs w:val="24"/>
              </w:rPr>
              <w:t>Joint Coalition</w:t>
            </w:r>
            <w:r>
              <w:rPr>
                <w:rFonts w:ascii="Times New Roman" w:hAnsi="Times New Roman" w:cs="Times New Roman"/>
                <w:b/>
                <w:sz w:val="24"/>
                <w:szCs w:val="24"/>
              </w:rPr>
              <w:t xml:space="preserve"> </w:t>
            </w:r>
            <w:r>
              <w:rPr>
                <w:rFonts w:ascii="Times New Roman" w:hAnsi="Times New Roman" w:cs="Times New Roman"/>
                <w:sz w:val="24"/>
                <w:szCs w:val="24"/>
              </w:rPr>
              <w:t xml:space="preserve">suggests a more public and independent review of the RFP process for major resource acquisitions.  </w:t>
            </w:r>
          </w:p>
          <w:p w:rsidR="00550856" w:rsidRPr="001543E4" w:rsidRDefault="00550856" w:rsidP="000A6DA8">
            <w:pPr>
              <w:rPr>
                <w:rFonts w:ascii="Times New Roman" w:hAnsi="Times New Roman" w:cs="Times New Roman"/>
                <w:sz w:val="24"/>
                <w:szCs w:val="24"/>
              </w:rPr>
            </w:pPr>
            <w:r>
              <w:rPr>
                <w:rFonts w:ascii="Times New Roman" w:hAnsi="Times New Roman" w:cs="Times New Roman"/>
                <w:sz w:val="24"/>
                <w:szCs w:val="24"/>
              </w:rPr>
              <w:t xml:space="preserve">A second option would be what the </w:t>
            </w:r>
            <w:r w:rsidRPr="005F4C17">
              <w:rPr>
                <w:rFonts w:ascii="Times New Roman" w:hAnsi="Times New Roman" w:cs="Times New Roman"/>
                <w:b/>
                <w:sz w:val="24"/>
                <w:szCs w:val="24"/>
              </w:rPr>
              <w:t>Joint Coalition</w:t>
            </w:r>
            <w:r>
              <w:rPr>
                <w:rFonts w:ascii="Times New Roman" w:hAnsi="Times New Roman" w:cs="Times New Roman"/>
                <w:sz w:val="24"/>
                <w:szCs w:val="24"/>
              </w:rPr>
              <w:t xml:space="preserve"> calls an I-937 Implementation Plan.  They suggest a plan that is similar to the Oregon RPS model.</w:t>
            </w:r>
            <w:r w:rsidR="00C162AD">
              <w:rPr>
                <w:rFonts w:ascii="Times New Roman" w:hAnsi="Times New Roman" w:cs="Times New Roman"/>
                <w:sz w:val="24"/>
                <w:szCs w:val="24"/>
              </w:rPr>
              <w:t xml:space="preserve"> </w:t>
            </w:r>
            <w:r>
              <w:rPr>
                <w:rFonts w:ascii="Times New Roman" w:hAnsi="Times New Roman" w:cs="Times New Roman"/>
                <w:sz w:val="24"/>
                <w:szCs w:val="24"/>
              </w:rPr>
              <w:t xml:space="preserve"> The utility would file plans periodically for Commission review and acknowledgement which, the coalition believes, would provide greater certainty about their general approach.</w:t>
            </w:r>
          </w:p>
        </w:tc>
      </w:tr>
      <w:tr w:rsidR="001747D8" w:rsidTr="001747D8">
        <w:trPr>
          <w:trHeight w:val="1160"/>
        </w:trPr>
        <w:tc>
          <w:tcPr>
            <w:tcW w:w="9870" w:type="dxa"/>
            <w:shd w:val="clear" w:color="auto" w:fill="C6D9F1" w:themeFill="text2" w:themeFillTint="33"/>
            <w:vAlign w:val="center"/>
          </w:tcPr>
          <w:p w:rsidR="001747D8" w:rsidRPr="00B164EB" w:rsidRDefault="001747D8" w:rsidP="00C14AF1">
            <w:pPr>
              <w:pStyle w:val="ListParagraph"/>
              <w:ind w:left="1302" w:hanging="990"/>
              <w:rPr>
                <w:rFonts w:ascii="Times New Roman" w:hAnsi="Times New Roman" w:cs="Times New Roman"/>
                <w:sz w:val="24"/>
                <w:szCs w:val="24"/>
              </w:rPr>
            </w:pPr>
          </w:p>
        </w:tc>
      </w:tr>
    </w:tbl>
    <w:p w:rsidR="001747D8" w:rsidRDefault="001747D8">
      <w:r>
        <w:br w:type="page"/>
      </w:r>
    </w:p>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550856" w:rsidTr="00550856">
        <w:trPr>
          <w:trHeight w:val="1160"/>
        </w:trPr>
        <w:tc>
          <w:tcPr>
            <w:tcW w:w="9870" w:type="dxa"/>
            <w:shd w:val="clear" w:color="auto" w:fill="C6D9F1" w:themeFill="text2" w:themeFillTint="33"/>
            <w:vAlign w:val="center"/>
          </w:tcPr>
          <w:p w:rsidR="00550856" w:rsidRPr="0096384E" w:rsidRDefault="00550856" w:rsidP="00EE5A12">
            <w:pPr>
              <w:ind w:left="312" w:hanging="312"/>
              <w:rPr>
                <w:rFonts w:ascii="Times New Roman" w:hAnsi="Times New Roman" w:cs="Times New Roman"/>
                <w:b/>
                <w:sz w:val="24"/>
                <w:szCs w:val="24"/>
              </w:rPr>
            </w:pPr>
            <w:r w:rsidRPr="00C162AD">
              <w:rPr>
                <w:rFonts w:ascii="Times New Roman" w:hAnsi="Times New Roman" w:cs="Times New Roman"/>
                <w:b/>
                <w:i/>
                <w:sz w:val="24"/>
                <w:szCs w:val="24"/>
              </w:rPr>
              <w:lastRenderedPageBreak/>
              <w:t>5) Consideration of Costs for Pre-approved Facilities.</w:t>
            </w:r>
            <w:r w:rsidRPr="00FB3EA0">
              <w:rPr>
                <w:rFonts w:ascii="Times New Roman" w:hAnsi="Times New Roman" w:cs="Times New Roman"/>
                <w:i/>
                <w:sz w:val="24"/>
                <w:szCs w:val="24"/>
              </w:rPr>
              <w:t xml:space="preserve">  </w:t>
            </w:r>
            <w:r w:rsidRPr="00FB3EA0">
              <w:rPr>
                <w:rFonts w:ascii="Times New Roman" w:hAnsi="Times New Roman" w:cs="Times New Roman"/>
                <w:sz w:val="24"/>
                <w:szCs w:val="24"/>
              </w:rPr>
              <w:t>Assuming the Commission pre-approves an acquisition of a site for a renewable resource like a wind site, to what extent would the Commission be limited in its review of the costs at a later time?</w:t>
            </w:r>
          </w:p>
        </w:tc>
      </w:tr>
      <w:tr w:rsidR="00550856" w:rsidTr="0075620B">
        <w:trPr>
          <w:trHeight w:val="440"/>
        </w:trPr>
        <w:tc>
          <w:tcPr>
            <w:tcW w:w="9870" w:type="dxa"/>
            <w:shd w:val="clear" w:color="auto" w:fill="auto"/>
          </w:tcPr>
          <w:p w:rsidR="00550856" w:rsidRDefault="00550856" w:rsidP="0055389A">
            <w:pPr>
              <w:spacing w:before="240"/>
              <w:rPr>
                <w:rFonts w:ascii="Times New Roman" w:hAnsi="Times New Roman" w:cs="Times New Roman"/>
                <w:sz w:val="24"/>
                <w:szCs w:val="24"/>
              </w:rPr>
            </w:pPr>
            <w:r w:rsidRPr="0096384E">
              <w:rPr>
                <w:rFonts w:ascii="Times New Roman" w:hAnsi="Times New Roman" w:cs="Times New Roman"/>
                <w:b/>
                <w:sz w:val="24"/>
                <w:szCs w:val="24"/>
              </w:rPr>
              <w:t>Avista</w:t>
            </w:r>
            <w:r>
              <w:rPr>
                <w:rFonts w:ascii="Times New Roman" w:hAnsi="Times New Roman" w:cs="Times New Roman"/>
                <w:sz w:val="24"/>
                <w:szCs w:val="24"/>
              </w:rPr>
              <w:t xml:space="preserve"> feels that costs and performance generally should comply with the initial filing that resulted in the assumed pre-approval.  To the extent that conditions substantially change from the pre-approval filing the utility should be responsible to support the reasonableness of the changes or other modifications.  </w:t>
            </w:r>
            <w:r w:rsidRPr="0096384E">
              <w:rPr>
                <w:rFonts w:ascii="Times New Roman" w:hAnsi="Times New Roman" w:cs="Times New Roman"/>
                <w:b/>
                <w:sz w:val="24"/>
                <w:szCs w:val="24"/>
              </w:rPr>
              <w:t>Avista</w:t>
            </w:r>
            <w:r>
              <w:rPr>
                <w:rFonts w:ascii="Times New Roman" w:hAnsi="Times New Roman" w:cs="Times New Roman"/>
                <w:b/>
                <w:sz w:val="24"/>
                <w:szCs w:val="24"/>
              </w:rPr>
              <w:t xml:space="preserve"> </w:t>
            </w:r>
            <w:r>
              <w:rPr>
                <w:rFonts w:ascii="Times New Roman" w:hAnsi="Times New Roman" w:cs="Times New Roman"/>
                <w:sz w:val="24"/>
                <w:szCs w:val="24"/>
              </w:rPr>
              <w:t xml:space="preserve">believes the differences should be subject to prudence review.  </w:t>
            </w:r>
          </w:p>
          <w:p w:rsidR="00550856" w:rsidRDefault="00550856" w:rsidP="001B609D">
            <w:pPr>
              <w:rPr>
                <w:rFonts w:ascii="Times New Roman" w:hAnsi="Times New Roman" w:cs="Times New Roman"/>
                <w:sz w:val="24"/>
                <w:szCs w:val="24"/>
              </w:rPr>
            </w:pPr>
            <w:r>
              <w:rPr>
                <w:rFonts w:ascii="Times New Roman" w:hAnsi="Times New Roman" w:cs="Times New Roman"/>
                <w:sz w:val="24"/>
                <w:szCs w:val="24"/>
              </w:rPr>
              <w:t>I</w:t>
            </w:r>
            <w:r w:rsidRPr="008879DB">
              <w:rPr>
                <w:rFonts w:ascii="Times New Roman" w:hAnsi="Times New Roman" w:cs="Times New Roman"/>
                <w:sz w:val="24"/>
                <w:szCs w:val="24"/>
              </w:rPr>
              <w:t>n the same way</w:t>
            </w:r>
            <w:r>
              <w:rPr>
                <w:rFonts w:ascii="Times New Roman" w:hAnsi="Times New Roman" w:cs="Times New Roman"/>
                <w:sz w:val="24"/>
                <w:szCs w:val="24"/>
              </w:rPr>
              <w:t>,</w:t>
            </w:r>
            <w:r>
              <w:rPr>
                <w:rFonts w:ascii="Times New Roman" w:hAnsi="Times New Roman" w:cs="Times New Roman"/>
                <w:b/>
                <w:sz w:val="24"/>
                <w:szCs w:val="24"/>
              </w:rPr>
              <w:t xml:space="preserve"> </w:t>
            </w:r>
            <w:r w:rsidRPr="008879DB">
              <w:rPr>
                <w:rFonts w:ascii="Times New Roman" w:hAnsi="Times New Roman" w:cs="Times New Roman"/>
                <w:b/>
                <w:sz w:val="24"/>
                <w:szCs w:val="24"/>
              </w:rPr>
              <w:t>PacifiCorp</w:t>
            </w:r>
            <w:r>
              <w:rPr>
                <w:rFonts w:ascii="Times New Roman" w:hAnsi="Times New Roman" w:cs="Times New Roman"/>
                <w:sz w:val="24"/>
                <w:szCs w:val="24"/>
              </w:rPr>
              <w:t xml:space="preserve"> believes the pre-approval of a project does not equate to preapproval to all costs associated with the project. The Commission would still have authority to review costs of the completed project since, as </w:t>
            </w:r>
            <w:r w:rsidRPr="001B609D">
              <w:rPr>
                <w:rFonts w:ascii="Times New Roman" w:hAnsi="Times New Roman" w:cs="Times New Roman"/>
                <w:b/>
                <w:sz w:val="24"/>
                <w:szCs w:val="24"/>
              </w:rPr>
              <w:t>PacifiCorp</w:t>
            </w:r>
            <w:r>
              <w:rPr>
                <w:rFonts w:ascii="Times New Roman" w:hAnsi="Times New Roman" w:cs="Times New Roman"/>
                <w:b/>
                <w:sz w:val="24"/>
                <w:szCs w:val="24"/>
              </w:rPr>
              <w:t xml:space="preserve"> </w:t>
            </w:r>
            <w:r w:rsidRPr="001B609D">
              <w:rPr>
                <w:rFonts w:ascii="Times New Roman" w:hAnsi="Times New Roman" w:cs="Times New Roman"/>
                <w:sz w:val="24"/>
                <w:szCs w:val="24"/>
              </w:rPr>
              <w:t>states</w:t>
            </w:r>
            <w:r>
              <w:rPr>
                <w:rFonts w:ascii="Times New Roman" w:hAnsi="Times New Roman" w:cs="Times New Roman"/>
                <w:sz w:val="24"/>
                <w:szCs w:val="24"/>
              </w:rPr>
              <w:t xml:space="preserve">, a company still has an obligation to manage a project and ensure all costs incurred are prudent and responsible. </w:t>
            </w:r>
          </w:p>
          <w:p w:rsidR="00550856" w:rsidRDefault="00550856" w:rsidP="003710B7">
            <w:pPr>
              <w:spacing w:after="120"/>
              <w:rPr>
                <w:rFonts w:ascii="Times New Roman" w:hAnsi="Times New Roman" w:cs="Times New Roman"/>
                <w:b/>
                <w:sz w:val="24"/>
                <w:szCs w:val="24"/>
              </w:rPr>
            </w:pPr>
            <w:r>
              <w:rPr>
                <w:rFonts w:ascii="Times New Roman" w:hAnsi="Times New Roman" w:cs="Times New Roman"/>
                <w:b/>
                <w:sz w:val="24"/>
                <w:szCs w:val="24"/>
              </w:rPr>
              <w:t>PSE</w:t>
            </w:r>
            <w:r>
              <w:rPr>
                <w:rFonts w:ascii="Times New Roman" w:hAnsi="Times New Roman" w:cs="Times New Roman"/>
                <w:sz w:val="24"/>
                <w:szCs w:val="24"/>
              </w:rPr>
              <w:t xml:space="preserve"> was consistent with the other utilities stating that any review by the Commission after pre-approval would be limited to changes to the resource acquisition from the original filing. </w:t>
            </w:r>
            <w:r w:rsidRPr="00C91130">
              <w:rPr>
                <w:rFonts w:ascii="Times New Roman" w:hAnsi="Times New Roman" w:cs="Times New Roman"/>
                <w:b/>
                <w:sz w:val="24"/>
                <w:szCs w:val="24"/>
              </w:rPr>
              <w:t xml:space="preserve"> </w:t>
            </w:r>
          </w:p>
          <w:p w:rsidR="00550856" w:rsidRDefault="00550856" w:rsidP="0075620B">
            <w:pPr>
              <w:spacing w:after="0"/>
              <w:rPr>
                <w:rFonts w:ascii="Times New Roman" w:hAnsi="Times New Roman" w:cs="Times New Roman"/>
                <w:b/>
                <w:sz w:val="24"/>
                <w:szCs w:val="24"/>
              </w:rPr>
            </w:pPr>
            <w:r>
              <w:rPr>
                <w:rFonts w:ascii="Times New Roman" w:hAnsi="Times New Roman" w:cs="Times New Roman"/>
                <w:sz w:val="24"/>
                <w:szCs w:val="24"/>
              </w:rPr>
              <w:t xml:space="preserve">Notwithstanding </w:t>
            </w:r>
            <w:r w:rsidRPr="00372C99">
              <w:rPr>
                <w:rFonts w:ascii="Times New Roman" w:hAnsi="Times New Roman" w:cs="Times New Roman"/>
                <w:b/>
                <w:sz w:val="24"/>
                <w:szCs w:val="24"/>
              </w:rPr>
              <w:t>ICNU</w:t>
            </w:r>
            <w:r>
              <w:rPr>
                <w:rFonts w:ascii="Times New Roman" w:hAnsi="Times New Roman" w:cs="Times New Roman"/>
                <w:b/>
                <w:sz w:val="24"/>
                <w:szCs w:val="24"/>
              </w:rPr>
              <w:t>’s</w:t>
            </w:r>
            <w:r>
              <w:rPr>
                <w:rFonts w:ascii="Times New Roman" w:hAnsi="Times New Roman" w:cs="Times New Roman"/>
                <w:sz w:val="24"/>
                <w:szCs w:val="24"/>
              </w:rPr>
              <w:t xml:space="preserve"> reasserted opposition to pre-approval, </w:t>
            </w:r>
            <w:r w:rsidRPr="00372C99">
              <w:rPr>
                <w:rFonts w:ascii="Times New Roman" w:hAnsi="Times New Roman" w:cs="Times New Roman"/>
                <w:b/>
                <w:sz w:val="24"/>
                <w:szCs w:val="24"/>
              </w:rPr>
              <w:t>ICNU</w:t>
            </w:r>
            <w:r>
              <w:rPr>
                <w:rFonts w:ascii="Times New Roman" w:hAnsi="Times New Roman" w:cs="Times New Roman"/>
                <w:sz w:val="24"/>
                <w:szCs w:val="24"/>
              </w:rPr>
              <w:t xml:space="preserve"> believes that any pre-approval should be very limited in scope and should not include any price, need, or other prudence related issues.  </w:t>
            </w:r>
            <w:r w:rsidRPr="00372C99">
              <w:rPr>
                <w:rFonts w:ascii="Times New Roman" w:hAnsi="Times New Roman" w:cs="Times New Roman"/>
                <w:b/>
                <w:sz w:val="24"/>
                <w:szCs w:val="24"/>
              </w:rPr>
              <w:t>ICNU</w:t>
            </w:r>
            <w:r>
              <w:rPr>
                <w:rFonts w:ascii="Times New Roman" w:hAnsi="Times New Roman" w:cs="Times New Roman"/>
                <w:sz w:val="24"/>
                <w:szCs w:val="24"/>
              </w:rPr>
              <w:t xml:space="preserve"> argues that pre-approval should only provide a rebuttable assumption [of prudence] that parties can dispute in a subsequent proceeding. As with </w:t>
            </w:r>
            <w:r w:rsidRPr="001F03E1">
              <w:rPr>
                <w:rFonts w:ascii="Times New Roman" w:hAnsi="Times New Roman" w:cs="Times New Roman"/>
                <w:b/>
                <w:sz w:val="24"/>
                <w:szCs w:val="24"/>
              </w:rPr>
              <w:t>ICNU</w:t>
            </w:r>
            <w:r>
              <w:rPr>
                <w:rFonts w:ascii="Times New Roman" w:hAnsi="Times New Roman" w:cs="Times New Roman"/>
                <w:b/>
                <w:sz w:val="24"/>
                <w:szCs w:val="24"/>
              </w:rPr>
              <w:t xml:space="preserve">, </w:t>
            </w:r>
            <w:r w:rsidRPr="001F03E1">
              <w:rPr>
                <w:rFonts w:ascii="Times New Roman" w:hAnsi="Times New Roman" w:cs="Times New Roman"/>
                <w:sz w:val="24"/>
                <w:szCs w:val="24"/>
              </w:rPr>
              <w:t>the</w:t>
            </w:r>
            <w:r>
              <w:rPr>
                <w:rFonts w:ascii="Times New Roman" w:hAnsi="Times New Roman" w:cs="Times New Roman"/>
                <w:sz w:val="24"/>
                <w:szCs w:val="24"/>
              </w:rPr>
              <w:t xml:space="preserve"> </w:t>
            </w:r>
            <w:r w:rsidRPr="001F03E1">
              <w:rPr>
                <w:rFonts w:ascii="Times New Roman" w:hAnsi="Times New Roman" w:cs="Times New Roman"/>
                <w:b/>
                <w:sz w:val="24"/>
                <w:szCs w:val="24"/>
              </w:rPr>
              <w:t>Joint Coalition</w:t>
            </w:r>
            <w:r>
              <w:rPr>
                <w:rFonts w:ascii="Times New Roman" w:hAnsi="Times New Roman" w:cs="Times New Roman"/>
                <w:b/>
                <w:sz w:val="24"/>
                <w:szCs w:val="24"/>
              </w:rPr>
              <w:t>,</w:t>
            </w:r>
            <w:r>
              <w:rPr>
                <w:rFonts w:ascii="Times New Roman" w:hAnsi="Times New Roman" w:cs="Times New Roman"/>
                <w:sz w:val="24"/>
                <w:szCs w:val="24"/>
              </w:rPr>
              <w:t xml:space="preserve"> in its comments to this question, reasserts its opposition to pre-approval.</w:t>
            </w:r>
            <w:r w:rsidRPr="00C91130">
              <w:rPr>
                <w:rFonts w:ascii="Times New Roman" w:hAnsi="Times New Roman" w:cs="Times New Roman"/>
                <w:b/>
                <w:sz w:val="24"/>
                <w:szCs w:val="24"/>
              </w:rPr>
              <w:t xml:space="preserve">   </w:t>
            </w:r>
          </w:p>
          <w:p w:rsidR="00CC6E58" w:rsidRDefault="00CC6E58" w:rsidP="0075620B">
            <w:pPr>
              <w:spacing w:after="0"/>
              <w:rPr>
                <w:rFonts w:ascii="Times New Roman" w:hAnsi="Times New Roman" w:cs="Times New Roman"/>
                <w:b/>
                <w:sz w:val="24"/>
                <w:szCs w:val="24"/>
              </w:rPr>
            </w:pPr>
          </w:p>
          <w:p w:rsidR="00CC6E58" w:rsidRDefault="00CC6E58" w:rsidP="0075620B">
            <w:pPr>
              <w:spacing w:after="0"/>
              <w:rPr>
                <w:rFonts w:ascii="Times New Roman" w:hAnsi="Times New Roman" w:cs="Times New Roman"/>
                <w:b/>
                <w:sz w:val="24"/>
                <w:szCs w:val="24"/>
              </w:rPr>
            </w:pPr>
          </w:p>
          <w:p w:rsidR="00CC6E58" w:rsidRDefault="00CC6E58" w:rsidP="0075620B">
            <w:pPr>
              <w:spacing w:after="0"/>
              <w:rPr>
                <w:rFonts w:ascii="Times New Roman" w:hAnsi="Times New Roman" w:cs="Times New Roman"/>
                <w:b/>
                <w:sz w:val="24"/>
                <w:szCs w:val="24"/>
              </w:rPr>
            </w:pPr>
          </w:p>
          <w:p w:rsidR="00CC6E58" w:rsidRDefault="00CC6E58" w:rsidP="0075620B">
            <w:pPr>
              <w:spacing w:after="0"/>
              <w:rPr>
                <w:rFonts w:ascii="Times New Roman" w:hAnsi="Times New Roman" w:cs="Times New Roman"/>
                <w:b/>
                <w:sz w:val="24"/>
                <w:szCs w:val="24"/>
              </w:rPr>
            </w:pPr>
          </w:p>
          <w:p w:rsidR="00CC6E58" w:rsidRDefault="00CC6E58" w:rsidP="0075620B">
            <w:pPr>
              <w:spacing w:after="0"/>
              <w:rPr>
                <w:rFonts w:ascii="Times New Roman" w:hAnsi="Times New Roman" w:cs="Times New Roman"/>
                <w:b/>
                <w:sz w:val="24"/>
                <w:szCs w:val="24"/>
              </w:rPr>
            </w:pPr>
          </w:p>
          <w:p w:rsidR="00CC6E58" w:rsidRDefault="00CC6E58" w:rsidP="0075620B">
            <w:pPr>
              <w:spacing w:after="0"/>
              <w:rPr>
                <w:rFonts w:ascii="Times New Roman" w:hAnsi="Times New Roman" w:cs="Times New Roman"/>
                <w:b/>
                <w:sz w:val="24"/>
                <w:szCs w:val="24"/>
              </w:rPr>
            </w:pPr>
          </w:p>
          <w:p w:rsidR="00CC6E58" w:rsidRDefault="00CC6E58" w:rsidP="0075620B">
            <w:pPr>
              <w:spacing w:after="0"/>
              <w:rPr>
                <w:rFonts w:ascii="Times New Roman" w:hAnsi="Times New Roman" w:cs="Times New Roman"/>
                <w:b/>
                <w:sz w:val="24"/>
                <w:szCs w:val="24"/>
              </w:rPr>
            </w:pPr>
          </w:p>
          <w:p w:rsidR="00CC6E58" w:rsidRDefault="00CC6E58" w:rsidP="0075620B">
            <w:pPr>
              <w:spacing w:after="0"/>
              <w:rPr>
                <w:rFonts w:ascii="Times New Roman" w:hAnsi="Times New Roman" w:cs="Times New Roman"/>
                <w:b/>
                <w:sz w:val="24"/>
                <w:szCs w:val="24"/>
              </w:rPr>
            </w:pPr>
          </w:p>
          <w:p w:rsidR="00CC6E58" w:rsidRDefault="00CC6E58" w:rsidP="0075620B">
            <w:pPr>
              <w:spacing w:after="0"/>
              <w:rPr>
                <w:rFonts w:ascii="Times New Roman" w:hAnsi="Times New Roman" w:cs="Times New Roman"/>
                <w:b/>
                <w:sz w:val="24"/>
                <w:szCs w:val="24"/>
              </w:rPr>
            </w:pPr>
          </w:p>
          <w:p w:rsidR="00C14AF1" w:rsidRPr="00C91130" w:rsidRDefault="00C14AF1" w:rsidP="0075620B">
            <w:pPr>
              <w:spacing w:after="0"/>
              <w:rPr>
                <w:rFonts w:ascii="Times New Roman" w:hAnsi="Times New Roman" w:cs="Times New Roman"/>
                <w:b/>
                <w:sz w:val="24"/>
                <w:szCs w:val="24"/>
              </w:rPr>
            </w:pPr>
          </w:p>
        </w:tc>
      </w:tr>
      <w:tr w:rsidR="0055389A" w:rsidTr="000157DF">
        <w:trPr>
          <w:trHeight w:val="1160"/>
        </w:trPr>
        <w:tc>
          <w:tcPr>
            <w:tcW w:w="9870" w:type="dxa"/>
            <w:shd w:val="clear" w:color="auto" w:fill="C6D9F1" w:themeFill="text2" w:themeFillTint="33"/>
            <w:vAlign w:val="center"/>
          </w:tcPr>
          <w:p w:rsidR="0055389A" w:rsidRPr="00B164EB" w:rsidRDefault="0055389A" w:rsidP="000157DF">
            <w:pPr>
              <w:pStyle w:val="ListParagraph"/>
              <w:ind w:left="1302" w:hanging="990"/>
              <w:rPr>
                <w:rFonts w:ascii="Times New Roman" w:hAnsi="Times New Roman" w:cs="Times New Roman"/>
                <w:sz w:val="24"/>
                <w:szCs w:val="24"/>
              </w:rPr>
            </w:pPr>
          </w:p>
        </w:tc>
      </w:tr>
    </w:tbl>
    <w:p w:rsidR="0055389A" w:rsidRDefault="0055389A">
      <w:r>
        <w:br w:type="page"/>
      </w:r>
    </w:p>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550856" w:rsidTr="00550856">
        <w:trPr>
          <w:trHeight w:val="1160"/>
        </w:trPr>
        <w:tc>
          <w:tcPr>
            <w:tcW w:w="9870" w:type="dxa"/>
            <w:shd w:val="clear" w:color="auto" w:fill="C6D9F1" w:themeFill="text2" w:themeFillTint="33"/>
            <w:vAlign w:val="center"/>
          </w:tcPr>
          <w:p w:rsidR="00550856" w:rsidRPr="00F236A8" w:rsidRDefault="00550856" w:rsidP="00B96287">
            <w:pPr>
              <w:spacing w:after="120"/>
              <w:ind w:left="222" w:hanging="222"/>
              <w:rPr>
                <w:rFonts w:ascii="Times New Roman" w:hAnsi="Times New Roman" w:cs="Times New Roman"/>
                <w:b/>
                <w:sz w:val="24"/>
                <w:szCs w:val="24"/>
              </w:rPr>
            </w:pPr>
            <w:r w:rsidRPr="00C162AD">
              <w:rPr>
                <w:rFonts w:ascii="Times New Roman" w:hAnsi="Times New Roman" w:cs="Times New Roman"/>
                <w:b/>
                <w:i/>
                <w:sz w:val="24"/>
                <w:szCs w:val="24"/>
              </w:rPr>
              <w:lastRenderedPageBreak/>
              <w:t>6) Statutory Barrier.</w:t>
            </w:r>
            <w:r w:rsidRPr="00FB3EA0">
              <w:rPr>
                <w:rFonts w:ascii="Times New Roman" w:hAnsi="Times New Roman" w:cs="Times New Roman"/>
                <w:i/>
                <w:sz w:val="24"/>
                <w:szCs w:val="24"/>
              </w:rPr>
              <w:t xml:space="preserve">  </w:t>
            </w:r>
            <w:r w:rsidRPr="00CF2898">
              <w:rPr>
                <w:rFonts w:ascii="Times New Roman" w:hAnsi="Times New Roman" w:cs="Times New Roman"/>
                <w:sz w:val="24"/>
                <w:szCs w:val="24"/>
              </w:rPr>
              <w:t>Is the early acquisition of RPS resources limited by the Washington statutory provision (RCW 80.04.250) requiring an asset be used and useful to earn a return?</w:t>
            </w:r>
          </w:p>
        </w:tc>
      </w:tr>
      <w:tr w:rsidR="00550856" w:rsidTr="00550856">
        <w:trPr>
          <w:trHeight w:val="1160"/>
        </w:trPr>
        <w:tc>
          <w:tcPr>
            <w:tcW w:w="9870" w:type="dxa"/>
            <w:shd w:val="clear" w:color="auto" w:fill="auto"/>
          </w:tcPr>
          <w:p w:rsidR="00550856" w:rsidRDefault="00550856" w:rsidP="000F653C">
            <w:pPr>
              <w:spacing w:after="0"/>
              <w:rPr>
                <w:rFonts w:ascii="Times New Roman" w:hAnsi="Times New Roman" w:cs="Times New Roman"/>
                <w:b/>
                <w:sz w:val="24"/>
                <w:szCs w:val="24"/>
              </w:rPr>
            </w:pPr>
          </w:p>
          <w:p w:rsidR="00550856" w:rsidRDefault="00550856" w:rsidP="003710B7">
            <w:pPr>
              <w:spacing w:after="120"/>
              <w:rPr>
                <w:rFonts w:ascii="Times New Roman" w:hAnsi="Times New Roman" w:cs="Times New Roman"/>
                <w:sz w:val="24"/>
                <w:szCs w:val="24"/>
              </w:rPr>
            </w:pPr>
            <w:r w:rsidRPr="00F236A8">
              <w:rPr>
                <w:rFonts w:ascii="Times New Roman" w:hAnsi="Times New Roman" w:cs="Times New Roman"/>
                <w:b/>
                <w:sz w:val="24"/>
                <w:szCs w:val="24"/>
              </w:rPr>
              <w:t>Avista</w:t>
            </w:r>
            <w:r>
              <w:rPr>
                <w:rFonts w:ascii="Times New Roman" w:hAnsi="Times New Roman" w:cs="Times New Roman"/>
                <w:sz w:val="24"/>
                <w:szCs w:val="24"/>
              </w:rPr>
              <w:t xml:space="preserve"> </w:t>
            </w:r>
            <w:r w:rsidR="00C87ED7">
              <w:rPr>
                <w:rFonts w:ascii="Times New Roman" w:hAnsi="Times New Roman" w:cs="Times New Roman"/>
                <w:sz w:val="24"/>
                <w:szCs w:val="24"/>
              </w:rPr>
              <w:t xml:space="preserve">holds </w:t>
            </w:r>
            <w:r>
              <w:rPr>
                <w:rFonts w:ascii="Times New Roman" w:hAnsi="Times New Roman" w:cs="Times New Roman"/>
                <w:sz w:val="24"/>
                <w:szCs w:val="24"/>
              </w:rPr>
              <w:t xml:space="preserve">the view that early acquisition is not limited by statute. It believes the Commission has the ability to flexibly apply the concept of used and useful in the context of I-937.  </w:t>
            </w:r>
            <w:r>
              <w:rPr>
                <w:rFonts w:ascii="Times New Roman" w:hAnsi="Times New Roman" w:cs="Times New Roman"/>
                <w:b/>
                <w:sz w:val="24"/>
                <w:szCs w:val="24"/>
              </w:rPr>
              <w:t>Avista</w:t>
            </w:r>
            <w:r>
              <w:rPr>
                <w:rFonts w:ascii="Times New Roman" w:hAnsi="Times New Roman" w:cs="Times New Roman"/>
                <w:sz w:val="24"/>
                <w:szCs w:val="24"/>
              </w:rPr>
              <w:t xml:space="preserve"> asserts that the application of the used and useful principle is flexible enough allowing acquisition of resources in advance of need due to difficulties in “precisely timing” resource acquisitions to coincide with need.</w:t>
            </w:r>
          </w:p>
          <w:p w:rsidR="00550856" w:rsidRDefault="00550856" w:rsidP="003710B7">
            <w:pPr>
              <w:rPr>
                <w:rFonts w:ascii="Times New Roman" w:hAnsi="Times New Roman" w:cs="Times New Roman"/>
                <w:sz w:val="24"/>
                <w:szCs w:val="24"/>
              </w:rPr>
            </w:pPr>
            <w:r w:rsidRPr="003710B7">
              <w:rPr>
                <w:rFonts w:ascii="Times New Roman" w:hAnsi="Times New Roman" w:cs="Times New Roman"/>
                <w:b/>
                <w:sz w:val="24"/>
                <w:szCs w:val="24"/>
              </w:rPr>
              <w:t>PacifiCorp</w:t>
            </w:r>
            <w:r>
              <w:rPr>
                <w:rFonts w:ascii="Times New Roman" w:hAnsi="Times New Roman" w:cs="Times New Roman"/>
                <w:sz w:val="24"/>
                <w:szCs w:val="24"/>
              </w:rPr>
              <w:t xml:space="preserve">’s comments reflect the view that advance compliance of the RPS obligation date should not be considered early because the obligation date represents a “snapshot in time” whereas the utility’s compliance obligation changes over time as load changes. </w:t>
            </w:r>
          </w:p>
          <w:p w:rsidR="00550856" w:rsidRDefault="00550856" w:rsidP="009867E6">
            <w:pPr>
              <w:rPr>
                <w:rFonts w:ascii="Times New Roman" w:hAnsi="Times New Roman" w:cs="Times New Roman"/>
                <w:sz w:val="24"/>
                <w:szCs w:val="24"/>
              </w:rPr>
            </w:pPr>
            <w:r>
              <w:rPr>
                <w:rFonts w:ascii="Times New Roman" w:hAnsi="Times New Roman" w:cs="Times New Roman"/>
                <w:sz w:val="24"/>
                <w:szCs w:val="24"/>
              </w:rPr>
              <w:t>Although</w:t>
            </w:r>
            <w:r>
              <w:rPr>
                <w:rFonts w:ascii="Times New Roman" w:hAnsi="Times New Roman" w:cs="Times New Roman"/>
                <w:b/>
                <w:sz w:val="24"/>
                <w:szCs w:val="24"/>
              </w:rPr>
              <w:t xml:space="preserve"> </w:t>
            </w:r>
            <w:r w:rsidRPr="003710B7">
              <w:rPr>
                <w:rFonts w:ascii="Times New Roman" w:hAnsi="Times New Roman" w:cs="Times New Roman"/>
                <w:b/>
                <w:sz w:val="24"/>
                <w:szCs w:val="24"/>
              </w:rPr>
              <w:t>PSE</w:t>
            </w:r>
            <w:r>
              <w:rPr>
                <w:rFonts w:ascii="Times New Roman" w:hAnsi="Times New Roman" w:cs="Times New Roman"/>
                <w:sz w:val="24"/>
                <w:szCs w:val="24"/>
              </w:rPr>
              <w:t xml:space="preserve"> agrees with the other utilities, it believes that the used and useful principle does not create a statutory barrier</w:t>
            </w:r>
            <w:r w:rsidR="00B96287">
              <w:rPr>
                <w:rFonts w:ascii="Times New Roman" w:hAnsi="Times New Roman" w:cs="Times New Roman"/>
                <w:sz w:val="24"/>
                <w:szCs w:val="24"/>
              </w:rPr>
              <w:t xml:space="preserve">. </w:t>
            </w:r>
            <w:r>
              <w:rPr>
                <w:rFonts w:ascii="Times New Roman" w:hAnsi="Times New Roman" w:cs="Times New Roman"/>
                <w:sz w:val="24"/>
                <w:szCs w:val="24"/>
              </w:rPr>
              <w:t xml:space="preserve"> </w:t>
            </w:r>
            <w:r w:rsidR="00B96287">
              <w:rPr>
                <w:rFonts w:ascii="Times New Roman" w:hAnsi="Times New Roman" w:cs="Times New Roman"/>
                <w:sz w:val="24"/>
                <w:szCs w:val="24"/>
              </w:rPr>
              <w:t>H</w:t>
            </w:r>
            <w:r>
              <w:rPr>
                <w:rFonts w:ascii="Times New Roman" w:hAnsi="Times New Roman" w:cs="Times New Roman"/>
                <w:sz w:val="24"/>
                <w:szCs w:val="24"/>
              </w:rPr>
              <w:t>owever t</w:t>
            </w:r>
            <w:r w:rsidRPr="009867E6">
              <w:rPr>
                <w:rFonts w:ascii="Times New Roman" w:hAnsi="Times New Roman" w:cs="Times New Roman"/>
                <w:sz w:val="24"/>
                <w:szCs w:val="24"/>
              </w:rPr>
              <w:t>aking a different approach</w:t>
            </w:r>
            <w:r>
              <w:rPr>
                <w:rFonts w:ascii="Times New Roman" w:hAnsi="Times New Roman" w:cs="Times New Roman"/>
                <w:sz w:val="24"/>
                <w:szCs w:val="24"/>
              </w:rPr>
              <w:t>,</w:t>
            </w:r>
            <w:r w:rsidRPr="009867E6">
              <w:rPr>
                <w:rFonts w:ascii="Times New Roman" w:hAnsi="Times New Roman" w:cs="Times New Roman"/>
                <w:sz w:val="24"/>
                <w:szCs w:val="24"/>
              </w:rPr>
              <w:t xml:space="preserve"> </w:t>
            </w:r>
            <w:r w:rsidR="00B96287">
              <w:rPr>
                <w:rFonts w:ascii="Times New Roman" w:hAnsi="Times New Roman" w:cs="Times New Roman"/>
                <w:sz w:val="24"/>
                <w:szCs w:val="24"/>
              </w:rPr>
              <w:t>PSE</w:t>
            </w:r>
            <w:r>
              <w:rPr>
                <w:rFonts w:ascii="Times New Roman" w:hAnsi="Times New Roman" w:cs="Times New Roman"/>
                <w:sz w:val="24"/>
                <w:szCs w:val="24"/>
              </w:rPr>
              <w:t xml:space="preserve"> cites a prior Commission order setting a used and useful “standard” of </w:t>
            </w:r>
            <w:r w:rsidRPr="001632B2">
              <w:rPr>
                <w:rFonts w:ascii="Times New Roman" w:hAnsi="Times New Roman" w:cs="Times New Roman"/>
                <w:i/>
                <w:sz w:val="24"/>
                <w:szCs w:val="24"/>
              </w:rPr>
              <w:t>production of power to meet load within the State of Washington</w:t>
            </w:r>
            <w:r>
              <w:rPr>
                <w:rFonts w:ascii="Times New Roman" w:hAnsi="Times New Roman" w:cs="Times New Roman"/>
                <w:sz w:val="24"/>
                <w:szCs w:val="24"/>
              </w:rPr>
              <w:t xml:space="preserve">.  </w:t>
            </w:r>
            <w:r w:rsidRPr="001632B2">
              <w:rPr>
                <w:rFonts w:ascii="Times New Roman" w:hAnsi="Times New Roman" w:cs="Times New Roman"/>
                <w:b/>
                <w:sz w:val="24"/>
                <w:szCs w:val="24"/>
              </w:rPr>
              <w:t>PSE</w:t>
            </w:r>
            <w:r>
              <w:rPr>
                <w:rFonts w:ascii="Times New Roman" w:hAnsi="Times New Roman" w:cs="Times New Roman"/>
                <w:sz w:val="24"/>
                <w:szCs w:val="24"/>
              </w:rPr>
              <w:t xml:space="preserve"> believes RPS resources fit this standard, however if the Commission concludes that it does not, it suggests that the company with other stakeholders and the Commission work to provide clarity in the form of statutory or rule change. </w:t>
            </w:r>
          </w:p>
          <w:p w:rsidR="0075620B" w:rsidRPr="00AB2A68" w:rsidRDefault="00550856" w:rsidP="00EA4E6A">
            <w:pPr>
              <w:rPr>
                <w:rFonts w:ascii="Times New Roman" w:hAnsi="Times New Roman" w:cs="Times New Roman"/>
                <w:sz w:val="24"/>
                <w:szCs w:val="24"/>
              </w:rPr>
            </w:pPr>
            <w:r w:rsidRPr="00AB2A68">
              <w:rPr>
                <w:rFonts w:ascii="Times New Roman" w:hAnsi="Times New Roman" w:cs="Times New Roman"/>
                <w:sz w:val="24"/>
                <w:szCs w:val="24"/>
              </w:rPr>
              <w:t>The</w:t>
            </w:r>
            <w:r w:rsidRPr="00AB2A68">
              <w:rPr>
                <w:rFonts w:ascii="Times New Roman" w:hAnsi="Times New Roman" w:cs="Times New Roman"/>
                <w:b/>
                <w:sz w:val="24"/>
                <w:szCs w:val="24"/>
              </w:rPr>
              <w:t xml:space="preserve"> Joint Coalition</w:t>
            </w:r>
            <w:r>
              <w:rPr>
                <w:rFonts w:ascii="Times New Roman" w:hAnsi="Times New Roman" w:cs="Times New Roman"/>
                <w:sz w:val="24"/>
                <w:szCs w:val="24"/>
              </w:rPr>
              <w:t xml:space="preserve"> believes that the used and useful standard does not prevent recovery of costs for renewable generation resources acquired in advance of RPS target dates. As with </w:t>
            </w:r>
            <w:r w:rsidRPr="00AB2A68">
              <w:rPr>
                <w:rFonts w:ascii="Times New Roman" w:hAnsi="Times New Roman" w:cs="Times New Roman"/>
                <w:b/>
                <w:sz w:val="24"/>
                <w:szCs w:val="24"/>
              </w:rPr>
              <w:t>PSE</w:t>
            </w:r>
            <w:r w:rsidR="00681247">
              <w:rPr>
                <w:rFonts w:ascii="Times New Roman" w:hAnsi="Times New Roman" w:cs="Times New Roman"/>
                <w:b/>
                <w:sz w:val="24"/>
                <w:szCs w:val="24"/>
              </w:rPr>
              <w:t>,</w:t>
            </w:r>
            <w:r>
              <w:rPr>
                <w:rFonts w:ascii="Times New Roman" w:hAnsi="Times New Roman" w:cs="Times New Roman"/>
                <w:b/>
                <w:sz w:val="24"/>
                <w:szCs w:val="24"/>
              </w:rPr>
              <w:t xml:space="preserve"> </w:t>
            </w:r>
            <w:r w:rsidRPr="00AB2A68">
              <w:rPr>
                <w:rFonts w:ascii="Times New Roman" w:hAnsi="Times New Roman" w:cs="Times New Roman"/>
                <w:sz w:val="24"/>
                <w:szCs w:val="24"/>
              </w:rPr>
              <w:t>the</w:t>
            </w:r>
            <w:r w:rsidRPr="00AB2A68">
              <w:rPr>
                <w:rFonts w:ascii="Times New Roman" w:hAnsi="Times New Roman" w:cs="Times New Roman"/>
                <w:b/>
                <w:sz w:val="24"/>
                <w:szCs w:val="24"/>
              </w:rPr>
              <w:t xml:space="preserve"> Joint Coalition</w:t>
            </w:r>
            <w:r>
              <w:rPr>
                <w:rFonts w:ascii="Times New Roman" w:hAnsi="Times New Roman" w:cs="Times New Roman"/>
                <w:sz w:val="24"/>
                <w:szCs w:val="24"/>
              </w:rPr>
              <w:t xml:space="preserve"> offers a test for including a resource in rates.  Also </w:t>
            </w:r>
            <w:r w:rsidRPr="00AB2A68">
              <w:rPr>
                <w:rFonts w:ascii="Times New Roman" w:hAnsi="Times New Roman" w:cs="Times New Roman"/>
                <w:sz w:val="24"/>
                <w:szCs w:val="24"/>
              </w:rPr>
              <w:t>cit</w:t>
            </w:r>
            <w:r>
              <w:rPr>
                <w:rFonts w:ascii="Times New Roman" w:hAnsi="Times New Roman" w:cs="Times New Roman"/>
                <w:sz w:val="24"/>
                <w:szCs w:val="24"/>
              </w:rPr>
              <w:t>ing</w:t>
            </w:r>
            <w:r w:rsidRPr="00AB2A68">
              <w:rPr>
                <w:rFonts w:ascii="Times New Roman" w:hAnsi="Times New Roman" w:cs="Times New Roman"/>
                <w:sz w:val="24"/>
                <w:szCs w:val="24"/>
              </w:rPr>
              <w:t xml:space="preserve"> a prior Commission order</w:t>
            </w:r>
            <w:r>
              <w:rPr>
                <w:rFonts w:ascii="Times New Roman" w:hAnsi="Times New Roman" w:cs="Times New Roman"/>
                <w:sz w:val="24"/>
                <w:szCs w:val="24"/>
              </w:rPr>
              <w:t xml:space="preserve">, the </w:t>
            </w:r>
            <w:r w:rsidRPr="00AB2A68">
              <w:rPr>
                <w:rFonts w:ascii="Times New Roman" w:hAnsi="Times New Roman" w:cs="Times New Roman"/>
                <w:b/>
                <w:sz w:val="24"/>
                <w:szCs w:val="24"/>
              </w:rPr>
              <w:t>Joint Coalition</w:t>
            </w:r>
            <w:r>
              <w:rPr>
                <w:rFonts w:ascii="Times New Roman" w:hAnsi="Times New Roman" w:cs="Times New Roman"/>
                <w:sz w:val="24"/>
                <w:szCs w:val="24"/>
              </w:rPr>
              <w:t xml:space="preserve"> states “the test is not whether the resource is ‘needed, deliverable, and least-cost, but rather whether it provided quantifiable direct or indirect benefits to Washington commensurate with its proportional cost.’”   The coalition asserts that there is no question that a renewable generating facility that is actually used to provide service to ratepayers is used and useful, regardless of if it is needed for RPS compliance. They further argue that even if the resource is not needed to meet load in the immediate term, its power can be sold with the proceeds used to lower rates therefore providing a benefit to Washington ratepayers.  The </w:t>
            </w:r>
            <w:r w:rsidRPr="00435581">
              <w:rPr>
                <w:rFonts w:ascii="Times New Roman" w:hAnsi="Times New Roman" w:cs="Times New Roman"/>
                <w:b/>
                <w:sz w:val="24"/>
                <w:szCs w:val="24"/>
              </w:rPr>
              <w:t>Joint Coalition</w:t>
            </w:r>
            <w:r>
              <w:rPr>
                <w:rFonts w:ascii="Times New Roman" w:hAnsi="Times New Roman" w:cs="Times New Roman"/>
                <w:sz w:val="24"/>
                <w:szCs w:val="24"/>
              </w:rPr>
              <w:t xml:space="preserve"> stresses that any facility that qualifies for the Washington RPS is used and useful when its bundled power and/or </w:t>
            </w:r>
            <w:r w:rsidR="0012158E">
              <w:rPr>
                <w:rFonts w:ascii="Times New Roman" w:hAnsi="Times New Roman" w:cs="Times New Roman"/>
                <w:sz w:val="24"/>
                <w:szCs w:val="24"/>
              </w:rPr>
              <w:t>Renewable Energy Credits (</w:t>
            </w:r>
            <w:r>
              <w:rPr>
                <w:rFonts w:ascii="Times New Roman" w:hAnsi="Times New Roman" w:cs="Times New Roman"/>
                <w:sz w:val="24"/>
                <w:szCs w:val="24"/>
              </w:rPr>
              <w:t>RECs</w:t>
            </w:r>
            <w:r w:rsidR="0012158E">
              <w:rPr>
                <w:rFonts w:ascii="Times New Roman" w:hAnsi="Times New Roman" w:cs="Times New Roman"/>
                <w:sz w:val="24"/>
                <w:szCs w:val="24"/>
              </w:rPr>
              <w:t>)</w:t>
            </w:r>
            <w:r>
              <w:rPr>
                <w:rFonts w:ascii="Times New Roman" w:hAnsi="Times New Roman" w:cs="Times New Roman"/>
                <w:sz w:val="24"/>
                <w:szCs w:val="24"/>
              </w:rPr>
              <w:t xml:space="preserve"> are needed for the utility to comply with state law and avoid penalties.  Finally, its comments </w:t>
            </w:r>
            <w:r w:rsidRPr="00450B00">
              <w:rPr>
                <w:rFonts w:ascii="Times New Roman" w:hAnsi="Times New Roman" w:cs="Times New Roman"/>
                <w:sz w:val="24"/>
                <w:szCs w:val="24"/>
              </w:rPr>
              <w:t>emphasize</w:t>
            </w:r>
            <w:r>
              <w:rPr>
                <w:rFonts w:ascii="Times New Roman" w:hAnsi="Times New Roman" w:cs="Times New Roman"/>
                <w:sz w:val="24"/>
                <w:szCs w:val="24"/>
              </w:rPr>
              <w:t xml:space="preserve"> that prudence and used and useful are separate regulatory tests.  </w:t>
            </w:r>
          </w:p>
        </w:tc>
      </w:tr>
      <w:tr w:rsidR="00EA4E6A" w:rsidTr="00550856">
        <w:trPr>
          <w:trHeight w:val="1160"/>
        </w:trPr>
        <w:tc>
          <w:tcPr>
            <w:tcW w:w="9870" w:type="dxa"/>
            <w:shd w:val="clear" w:color="auto" w:fill="C6D9F1" w:themeFill="text2" w:themeFillTint="33"/>
            <w:vAlign w:val="center"/>
          </w:tcPr>
          <w:p w:rsidR="00EA4E6A" w:rsidRPr="00B164EB" w:rsidRDefault="00EA4E6A" w:rsidP="000157DF">
            <w:pPr>
              <w:pStyle w:val="ListParagraph"/>
              <w:ind w:left="1302" w:hanging="990"/>
              <w:rPr>
                <w:rFonts w:ascii="Times New Roman" w:hAnsi="Times New Roman" w:cs="Times New Roman"/>
                <w:sz w:val="24"/>
                <w:szCs w:val="24"/>
              </w:rPr>
            </w:pPr>
          </w:p>
        </w:tc>
      </w:tr>
      <w:tr w:rsidR="00550856" w:rsidTr="00550856">
        <w:trPr>
          <w:trHeight w:val="1160"/>
        </w:trPr>
        <w:tc>
          <w:tcPr>
            <w:tcW w:w="9870" w:type="dxa"/>
            <w:shd w:val="clear" w:color="auto" w:fill="C6D9F1" w:themeFill="text2" w:themeFillTint="33"/>
            <w:vAlign w:val="center"/>
          </w:tcPr>
          <w:p w:rsidR="00550856" w:rsidRPr="00B37032" w:rsidRDefault="00550856" w:rsidP="00EE5A12">
            <w:pPr>
              <w:ind w:left="312" w:hanging="312"/>
              <w:rPr>
                <w:rFonts w:ascii="Times New Roman" w:hAnsi="Times New Roman" w:cs="Times New Roman"/>
                <w:sz w:val="24"/>
                <w:szCs w:val="24"/>
              </w:rPr>
            </w:pPr>
            <w:r w:rsidRPr="00C162AD">
              <w:rPr>
                <w:rFonts w:ascii="Times New Roman" w:hAnsi="Times New Roman" w:cs="Times New Roman"/>
                <w:b/>
                <w:i/>
                <w:sz w:val="24"/>
                <w:szCs w:val="24"/>
              </w:rPr>
              <w:lastRenderedPageBreak/>
              <w:t>7) Changing Technology.</w:t>
            </w:r>
            <w:r w:rsidRPr="00C162AD">
              <w:rPr>
                <w:rFonts w:ascii="Times New Roman" w:hAnsi="Times New Roman" w:cs="Times New Roman"/>
                <w:b/>
                <w:sz w:val="24"/>
                <w:szCs w:val="24"/>
              </w:rPr>
              <w:t xml:space="preserve"> </w:t>
            </w:r>
            <w:r w:rsidRPr="00CF2898">
              <w:rPr>
                <w:rFonts w:ascii="Times New Roman" w:hAnsi="Times New Roman" w:cs="Times New Roman"/>
                <w:sz w:val="24"/>
                <w:szCs w:val="24"/>
              </w:rPr>
              <w:t xml:space="preserve"> Does a company that acquires renewable resources early, run the risk of missing future technological changes that may have the potential to reduce the costs of the new resources if acquired at a later time?</w:t>
            </w:r>
          </w:p>
        </w:tc>
      </w:tr>
      <w:tr w:rsidR="00550856" w:rsidTr="00550856">
        <w:trPr>
          <w:trHeight w:val="1160"/>
        </w:trPr>
        <w:tc>
          <w:tcPr>
            <w:tcW w:w="9870" w:type="dxa"/>
            <w:shd w:val="clear" w:color="auto" w:fill="auto"/>
          </w:tcPr>
          <w:p w:rsidR="00550856" w:rsidRDefault="00550856" w:rsidP="000F653C">
            <w:pPr>
              <w:spacing w:after="0"/>
              <w:rPr>
                <w:rFonts w:ascii="Times New Roman" w:hAnsi="Times New Roman" w:cs="Times New Roman"/>
                <w:sz w:val="24"/>
                <w:szCs w:val="24"/>
              </w:rPr>
            </w:pPr>
          </w:p>
          <w:p w:rsidR="00550856" w:rsidRDefault="00550856" w:rsidP="001A5159">
            <w:pPr>
              <w:rPr>
                <w:rFonts w:ascii="Times New Roman" w:hAnsi="Times New Roman" w:cs="Times New Roman"/>
                <w:sz w:val="24"/>
                <w:szCs w:val="24"/>
              </w:rPr>
            </w:pPr>
            <w:r w:rsidRPr="00B37032">
              <w:rPr>
                <w:rFonts w:ascii="Times New Roman" w:hAnsi="Times New Roman" w:cs="Times New Roman"/>
                <w:sz w:val="24"/>
                <w:szCs w:val="24"/>
              </w:rPr>
              <w:t>Although</w:t>
            </w:r>
            <w:r>
              <w:rPr>
                <w:rFonts w:ascii="Times New Roman" w:hAnsi="Times New Roman" w:cs="Times New Roman"/>
                <w:b/>
                <w:sz w:val="24"/>
                <w:szCs w:val="24"/>
              </w:rPr>
              <w:t xml:space="preserve"> Avista </w:t>
            </w:r>
            <w:r w:rsidRPr="00B37032">
              <w:rPr>
                <w:rFonts w:ascii="Times New Roman" w:hAnsi="Times New Roman" w:cs="Times New Roman"/>
                <w:sz w:val="24"/>
                <w:szCs w:val="24"/>
              </w:rPr>
              <w:t>agrees</w:t>
            </w:r>
            <w:r>
              <w:rPr>
                <w:rFonts w:ascii="Times New Roman" w:hAnsi="Times New Roman" w:cs="Times New Roman"/>
                <w:b/>
                <w:sz w:val="24"/>
                <w:szCs w:val="24"/>
              </w:rPr>
              <w:t xml:space="preserve"> </w:t>
            </w:r>
            <w:r w:rsidRPr="00B37032">
              <w:rPr>
                <w:rFonts w:ascii="Times New Roman" w:hAnsi="Times New Roman" w:cs="Times New Roman"/>
                <w:sz w:val="24"/>
                <w:szCs w:val="24"/>
              </w:rPr>
              <w:t>that</w:t>
            </w:r>
            <w:r>
              <w:rPr>
                <w:rFonts w:ascii="Times New Roman" w:hAnsi="Times New Roman" w:cs="Times New Roman"/>
                <w:sz w:val="24"/>
                <w:szCs w:val="24"/>
              </w:rPr>
              <w:t xml:space="preserve"> there is a potential to reduce the costs of ne</w:t>
            </w:r>
            <w:r w:rsidR="00840E4A">
              <w:rPr>
                <w:rFonts w:ascii="Times New Roman" w:hAnsi="Times New Roman" w:cs="Times New Roman"/>
                <w:sz w:val="24"/>
                <w:szCs w:val="24"/>
              </w:rPr>
              <w:t>w</w:t>
            </w:r>
            <w:r>
              <w:rPr>
                <w:rFonts w:ascii="Times New Roman" w:hAnsi="Times New Roman" w:cs="Times New Roman"/>
                <w:sz w:val="24"/>
                <w:szCs w:val="24"/>
              </w:rPr>
              <w:t xml:space="preserve"> resources if acquired at a later time, </w:t>
            </w:r>
            <w:r w:rsidRPr="001A5159">
              <w:rPr>
                <w:rFonts w:ascii="Times New Roman" w:hAnsi="Times New Roman" w:cs="Times New Roman"/>
                <w:b/>
                <w:sz w:val="24"/>
                <w:szCs w:val="24"/>
              </w:rPr>
              <w:t>Avista</w:t>
            </w:r>
            <w:r>
              <w:rPr>
                <w:rFonts w:ascii="Times New Roman" w:hAnsi="Times New Roman" w:cs="Times New Roman"/>
                <w:sz w:val="24"/>
                <w:szCs w:val="24"/>
              </w:rPr>
              <w:t xml:space="preserve"> cautions the Commission that it should not limit a utility’s acquisition plan based on the mere possibility of future technological changes that are not known at the time. </w:t>
            </w:r>
          </w:p>
          <w:p w:rsidR="00550856" w:rsidRPr="00B37032" w:rsidRDefault="00550856" w:rsidP="001A5159">
            <w:pPr>
              <w:rPr>
                <w:rFonts w:ascii="Times New Roman" w:hAnsi="Times New Roman" w:cs="Times New Roman"/>
                <w:sz w:val="24"/>
                <w:szCs w:val="24"/>
              </w:rPr>
            </w:pPr>
            <w:r w:rsidRPr="001A5159">
              <w:rPr>
                <w:rFonts w:ascii="Times New Roman" w:hAnsi="Times New Roman" w:cs="Times New Roman"/>
                <w:b/>
                <w:sz w:val="24"/>
                <w:szCs w:val="24"/>
              </w:rPr>
              <w:t>PacifiCorp</w:t>
            </w:r>
            <w:r w:rsidR="00B96287">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however</w:t>
            </w:r>
            <w:r w:rsidR="00B96287">
              <w:rPr>
                <w:rFonts w:ascii="Times New Roman" w:hAnsi="Times New Roman" w:cs="Times New Roman"/>
                <w:sz w:val="24"/>
                <w:szCs w:val="24"/>
              </w:rPr>
              <w:t>,</w:t>
            </w:r>
            <w:r>
              <w:rPr>
                <w:rFonts w:ascii="Times New Roman" w:hAnsi="Times New Roman" w:cs="Times New Roman"/>
                <w:sz w:val="24"/>
                <w:szCs w:val="24"/>
              </w:rPr>
              <w:t xml:space="preserve"> does not agree</w:t>
            </w:r>
            <w:r w:rsidR="00840E4A">
              <w:rPr>
                <w:rFonts w:ascii="Times New Roman" w:hAnsi="Times New Roman" w:cs="Times New Roman"/>
                <w:sz w:val="24"/>
                <w:szCs w:val="24"/>
              </w:rPr>
              <w:t>,</w:t>
            </w:r>
            <w:r>
              <w:rPr>
                <w:rFonts w:ascii="Times New Roman" w:hAnsi="Times New Roman" w:cs="Times New Roman"/>
                <w:sz w:val="24"/>
                <w:szCs w:val="24"/>
              </w:rPr>
              <w:t xml:space="preserve"> stating that the laws of macro economics make no guarantee that the benefits </w:t>
            </w:r>
            <w:r w:rsidR="00FC1052">
              <w:rPr>
                <w:rFonts w:ascii="Times New Roman" w:hAnsi="Times New Roman" w:cs="Times New Roman"/>
                <w:sz w:val="24"/>
                <w:szCs w:val="24"/>
              </w:rPr>
              <w:t>of speculative</w:t>
            </w:r>
            <w:r>
              <w:rPr>
                <w:rFonts w:ascii="Times New Roman" w:hAnsi="Times New Roman" w:cs="Times New Roman"/>
                <w:sz w:val="24"/>
                <w:szCs w:val="24"/>
              </w:rPr>
              <w:t xml:space="preserve"> future technological changes will not offset potential future higher demand. </w:t>
            </w:r>
            <w:r w:rsidRPr="00B37032">
              <w:rPr>
                <w:rFonts w:ascii="Times New Roman" w:hAnsi="Times New Roman" w:cs="Times New Roman"/>
                <w:b/>
                <w:sz w:val="24"/>
                <w:szCs w:val="24"/>
              </w:rPr>
              <w:t>PacifiCorp</w:t>
            </w:r>
            <w:r>
              <w:rPr>
                <w:rFonts w:ascii="Times New Roman" w:hAnsi="Times New Roman" w:cs="Times New Roman"/>
                <w:sz w:val="24"/>
                <w:szCs w:val="24"/>
              </w:rPr>
              <w:t xml:space="preserve"> holds that it is in the best interest of customers to have a utility procure renewable resources in advance of compliance dates.  </w:t>
            </w:r>
          </w:p>
          <w:p w:rsidR="00550856" w:rsidRDefault="00550856" w:rsidP="00FC1052">
            <w:pPr>
              <w:rPr>
                <w:rFonts w:ascii="Times New Roman" w:hAnsi="Times New Roman" w:cs="Times New Roman"/>
                <w:sz w:val="24"/>
                <w:szCs w:val="24"/>
              </w:rPr>
            </w:pPr>
            <w:r>
              <w:rPr>
                <w:rFonts w:ascii="Times New Roman" w:hAnsi="Times New Roman" w:cs="Times New Roman"/>
                <w:sz w:val="24"/>
                <w:szCs w:val="24"/>
              </w:rPr>
              <w:t xml:space="preserve">In </w:t>
            </w:r>
            <w:r w:rsidR="00FC1052">
              <w:rPr>
                <w:rFonts w:ascii="Times New Roman" w:hAnsi="Times New Roman" w:cs="Times New Roman"/>
                <w:sz w:val="24"/>
                <w:szCs w:val="24"/>
              </w:rPr>
              <w:t xml:space="preserve">their </w:t>
            </w:r>
            <w:r>
              <w:rPr>
                <w:rFonts w:ascii="Times New Roman" w:hAnsi="Times New Roman" w:cs="Times New Roman"/>
                <w:sz w:val="24"/>
                <w:szCs w:val="24"/>
              </w:rPr>
              <w:t>comments, t</w:t>
            </w:r>
            <w:r w:rsidRPr="000F1AA6">
              <w:rPr>
                <w:rFonts w:ascii="Times New Roman" w:hAnsi="Times New Roman" w:cs="Times New Roman"/>
                <w:sz w:val="24"/>
                <w:szCs w:val="24"/>
              </w:rPr>
              <w:t xml:space="preserve">he </w:t>
            </w:r>
            <w:r w:rsidRPr="000F1AA6">
              <w:rPr>
                <w:rFonts w:ascii="Times New Roman" w:hAnsi="Times New Roman" w:cs="Times New Roman"/>
                <w:b/>
                <w:sz w:val="24"/>
                <w:szCs w:val="24"/>
              </w:rPr>
              <w:t>Joint Coalition</w:t>
            </w:r>
            <w:r>
              <w:rPr>
                <w:rFonts w:ascii="Times New Roman" w:hAnsi="Times New Roman" w:cs="Times New Roman"/>
                <w:sz w:val="24"/>
                <w:szCs w:val="24"/>
              </w:rPr>
              <w:t xml:space="preserve"> discusses that no one can accurately predict how the interplay between technological improvements, demands, and other price factors will affect future resource options. They believe that the only thing that a company can do at a given moment is make a reasonable decision based on available information.  However, keeping in mind its advice regarding predictions, t</w:t>
            </w:r>
            <w:r w:rsidRPr="0068177A">
              <w:rPr>
                <w:rFonts w:ascii="Times New Roman" w:hAnsi="Times New Roman" w:cs="Times New Roman"/>
                <w:sz w:val="24"/>
                <w:szCs w:val="24"/>
              </w:rPr>
              <w:t xml:space="preserve">he </w:t>
            </w:r>
            <w:r w:rsidRPr="0068177A">
              <w:rPr>
                <w:rFonts w:ascii="Times New Roman" w:hAnsi="Times New Roman" w:cs="Times New Roman"/>
                <w:b/>
                <w:sz w:val="24"/>
                <w:szCs w:val="24"/>
              </w:rPr>
              <w:t>Joint Coalition</w:t>
            </w:r>
            <w:r>
              <w:rPr>
                <w:rFonts w:ascii="Times New Roman" w:hAnsi="Times New Roman" w:cs="Times New Roman"/>
                <w:sz w:val="24"/>
                <w:szCs w:val="24"/>
              </w:rPr>
              <w:t xml:space="preserve"> offers its own prediction of costs. The </w:t>
            </w:r>
            <w:r w:rsidR="00B96287">
              <w:rPr>
                <w:rFonts w:ascii="Times New Roman" w:hAnsi="Times New Roman" w:cs="Times New Roman"/>
                <w:sz w:val="24"/>
                <w:szCs w:val="24"/>
              </w:rPr>
              <w:t>C</w:t>
            </w:r>
            <w:r>
              <w:rPr>
                <w:rFonts w:ascii="Times New Roman" w:hAnsi="Times New Roman" w:cs="Times New Roman"/>
                <w:sz w:val="24"/>
                <w:szCs w:val="24"/>
              </w:rPr>
              <w:t xml:space="preserve">oalition believes that as </w:t>
            </w:r>
            <w:r w:rsidRPr="0068177A">
              <w:rPr>
                <w:rFonts w:ascii="Times New Roman" w:hAnsi="Times New Roman" w:cs="Times New Roman"/>
                <w:sz w:val="24"/>
                <w:szCs w:val="24"/>
              </w:rPr>
              <w:t>RPS dates in various states come closer, demand for renewable resources</w:t>
            </w:r>
            <w:r>
              <w:rPr>
                <w:rFonts w:ascii="Times New Roman" w:hAnsi="Times New Roman" w:cs="Times New Roman"/>
                <w:sz w:val="24"/>
                <w:szCs w:val="24"/>
              </w:rPr>
              <w:t xml:space="preserve"> </w:t>
            </w:r>
            <w:r w:rsidRPr="0068177A">
              <w:rPr>
                <w:rFonts w:ascii="Times New Roman" w:hAnsi="Times New Roman" w:cs="Times New Roman"/>
                <w:sz w:val="24"/>
                <w:szCs w:val="24"/>
              </w:rPr>
              <w:t>and sites will increase, countering any downward cost trend created by technological</w:t>
            </w:r>
            <w:r>
              <w:rPr>
                <w:rFonts w:ascii="Times New Roman" w:hAnsi="Times New Roman" w:cs="Times New Roman"/>
                <w:sz w:val="24"/>
                <w:szCs w:val="24"/>
              </w:rPr>
              <w:t xml:space="preserve"> </w:t>
            </w:r>
            <w:r w:rsidRPr="0068177A">
              <w:rPr>
                <w:rFonts w:ascii="Times New Roman" w:hAnsi="Times New Roman" w:cs="Times New Roman"/>
                <w:sz w:val="24"/>
                <w:szCs w:val="24"/>
              </w:rPr>
              <w:t>improvements.</w:t>
            </w:r>
            <w:r>
              <w:rPr>
                <w:rFonts w:ascii="Times New Roman" w:hAnsi="Times New Roman" w:cs="Times New Roman"/>
                <w:sz w:val="24"/>
                <w:szCs w:val="24"/>
              </w:rPr>
              <w:t xml:space="preserve"> </w:t>
            </w:r>
            <w:r w:rsidRPr="0068177A">
              <w:rPr>
                <w:rFonts w:ascii="Times New Roman" w:hAnsi="Times New Roman" w:cs="Times New Roman"/>
                <w:sz w:val="24"/>
                <w:szCs w:val="24"/>
              </w:rPr>
              <w:t xml:space="preserve"> </w:t>
            </w:r>
            <w:r w:rsidRPr="007F1439">
              <w:rPr>
                <w:rFonts w:ascii="Times New Roman" w:hAnsi="Times New Roman" w:cs="Times New Roman"/>
                <w:sz w:val="24"/>
                <w:szCs w:val="24"/>
              </w:rPr>
              <w:t>Early acquisition</w:t>
            </w:r>
            <w:r>
              <w:rPr>
                <w:rFonts w:ascii="Times New Roman" w:hAnsi="Times New Roman" w:cs="Times New Roman"/>
                <w:sz w:val="24"/>
                <w:szCs w:val="24"/>
              </w:rPr>
              <w:t xml:space="preserve"> </w:t>
            </w:r>
            <w:r w:rsidRPr="007F1439">
              <w:rPr>
                <w:rFonts w:ascii="Times New Roman" w:hAnsi="Times New Roman" w:cs="Times New Roman"/>
                <w:sz w:val="24"/>
                <w:szCs w:val="24"/>
              </w:rPr>
              <w:t xml:space="preserve">can be prudent, because </w:t>
            </w:r>
            <w:r w:rsidR="00B96287">
              <w:rPr>
                <w:rFonts w:ascii="Times New Roman" w:hAnsi="Times New Roman" w:cs="Times New Roman"/>
                <w:sz w:val="24"/>
                <w:szCs w:val="24"/>
              </w:rPr>
              <w:t>doing so</w:t>
            </w:r>
            <w:r w:rsidRPr="007F1439">
              <w:rPr>
                <w:rFonts w:ascii="Times New Roman" w:hAnsi="Times New Roman" w:cs="Times New Roman"/>
                <w:sz w:val="24"/>
                <w:szCs w:val="24"/>
              </w:rPr>
              <w:t xml:space="preserve"> recognizes</w:t>
            </w:r>
            <w:r>
              <w:rPr>
                <w:rFonts w:ascii="Times New Roman" w:hAnsi="Times New Roman" w:cs="Times New Roman"/>
                <w:sz w:val="24"/>
                <w:szCs w:val="24"/>
              </w:rPr>
              <w:t xml:space="preserve"> </w:t>
            </w:r>
            <w:r w:rsidRPr="007F1439">
              <w:rPr>
                <w:rFonts w:ascii="Times New Roman" w:hAnsi="Times New Roman" w:cs="Times New Roman"/>
                <w:sz w:val="24"/>
                <w:szCs w:val="24"/>
              </w:rPr>
              <w:t>current economic conditions that appear to be favorable</w:t>
            </w:r>
            <w:r>
              <w:rPr>
                <w:rFonts w:ascii="Times New Roman" w:hAnsi="Times New Roman" w:cs="Times New Roman"/>
                <w:sz w:val="24"/>
                <w:szCs w:val="24"/>
              </w:rPr>
              <w:t>.</w:t>
            </w:r>
          </w:p>
          <w:p w:rsidR="00CC6E58" w:rsidRDefault="00CC6E58" w:rsidP="00FC1052">
            <w:pPr>
              <w:rPr>
                <w:rFonts w:ascii="Times New Roman" w:hAnsi="Times New Roman" w:cs="Times New Roman"/>
                <w:sz w:val="24"/>
                <w:szCs w:val="24"/>
              </w:rPr>
            </w:pPr>
          </w:p>
          <w:p w:rsidR="00CC6E58" w:rsidRDefault="00CC6E58" w:rsidP="00FC1052">
            <w:pPr>
              <w:rPr>
                <w:rFonts w:ascii="Times New Roman" w:hAnsi="Times New Roman" w:cs="Times New Roman"/>
                <w:sz w:val="24"/>
                <w:szCs w:val="24"/>
              </w:rPr>
            </w:pPr>
          </w:p>
          <w:p w:rsidR="00CC6E58" w:rsidRDefault="00CC6E58" w:rsidP="00FC1052">
            <w:pPr>
              <w:rPr>
                <w:rFonts w:ascii="Times New Roman" w:hAnsi="Times New Roman" w:cs="Times New Roman"/>
                <w:sz w:val="24"/>
                <w:szCs w:val="24"/>
              </w:rPr>
            </w:pPr>
          </w:p>
          <w:p w:rsidR="00CC6E58" w:rsidRDefault="00CC6E58" w:rsidP="00FC1052">
            <w:pPr>
              <w:rPr>
                <w:rFonts w:ascii="Times New Roman" w:hAnsi="Times New Roman" w:cs="Times New Roman"/>
                <w:sz w:val="24"/>
                <w:szCs w:val="24"/>
              </w:rPr>
            </w:pPr>
          </w:p>
          <w:p w:rsidR="00CC6E58" w:rsidRPr="0068177A" w:rsidRDefault="00CC6E58" w:rsidP="00FC1052">
            <w:pPr>
              <w:rPr>
                <w:rFonts w:ascii="Times New Roman" w:hAnsi="Times New Roman" w:cs="Times New Roman"/>
                <w:sz w:val="24"/>
                <w:szCs w:val="24"/>
              </w:rPr>
            </w:pPr>
          </w:p>
        </w:tc>
      </w:tr>
      <w:tr w:rsidR="00EE5AF2" w:rsidTr="000157DF">
        <w:trPr>
          <w:trHeight w:val="1160"/>
        </w:trPr>
        <w:tc>
          <w:tcPr>
            <w:tcW w:w="9870" w:type="dxa"/>
            <w:shd w:val="clear" w:color="auto" w:fill="C6D9F1" w:themeFill="text2" w:themeFillTint="33"/>
            <w:vAlign w:val="center"/>
          </w:tcPr>
          <w:p w:rsidR="00EE5AF2" w:rsidRPr="00B164EB" w:rsidRDefault="00EE5AF2" w:rsidP="00FC1052">
            <w:pPr>
              <w:pStyle w:val="ListParagraph"/>
              <w:ind w:left="1302" w:hanging="990"/>
              <w:rPr>
                <w:rFonts w:ascii="Times New Roman" w:hAnsi="Times New Roman" w:cs="Times New Roman"/>
                <w:sz w:val="24"/>
                <w:szCs w:val="24"/>
              </w:rPr>
            </w:pPr>
          </w:p>
        </w:tc>
      </w:tr>
    </w:tbl>
    <w:p w:rsidR="00EE5AF2" w:rsidRDefault="00EE5AF2">
      <w:r>
        <w:br w:type="page"/>
      </w:r>
    </w:p>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550856" w:rsidTr="00550856">
        <w:trPr>
          <w:trHeight w:val="1160"/>
        </w:trPr>
        <w:tc>
          <w:tcPr>
            <w:tcW w:w="9870" w:type="dxa"/>
            <w:shd w:val="clear" w:color="auto" w:fill="C6D9F1" w:themeFill="text2" w:themeFillTint="33"/>
            <w:vAlign w:val="center"/>
          </w:tcPr>
          <w:p w:rsidR="00550856" w:rsidRPr="00C84759" w:rsidRDefault="00550856" w:rsidP="00EE5A12">
            <w:pPr>
              <w:spacing w:after="120"/>
              <w:ind w:left="222" w:hanging="222"/>
              <w:rPr>
                <w:rFonts w:ascii="Times New Roman" w:hAnsi="Times New Roman" w:cs="Times New Roman"/>
                <w:b/>
                <w:sz w:val="24"/>
                <w:szCs w:val="24"/>
              </w:rPr>
            </w:pPr>
            <w:r w:rsidRPr="00C162AD">
              <w:rPr>
                <w:rFonts w:ascii="Times New Roman" w:hAnsi="Times New Roman" w:cs="Times New Roman"/>
                <w:b/>
                <w:i/>
                <w:sz w:val="24"/>
                <w:szCs w:val="24"/>
              </w:rPr>
              <w:lastRenderedPageBreak/>
              <w:t xml:space="preserve">8) External Incentives. </w:t>
            </w:r>
            <w:r w:rsidRPr="00CF2898">
              <w:rPr>
                <w:rFonts w:ascii="Times New Roman" w:hAnsi="Times New Roman" w:cs="Times New Roman"/>
                <w:i/>
                <w:sz w:val="24"/>
                <w:szCs w:val="24"/>
              </w:rPr>
              <w:t xml:space="preserve"> </w:t>
            </w:r>
            <w:r w:rsidRPr="00CF2898">
              <w:rPr>
                <w:rFonts w:ascii="Times New Roman" w:hAnsi="Times New Roman" w:cs="Times New Roman"/>
                <w:sz w:val="24"/>
                <w:szCs w:val="24"/>
              </w:rPr>
              <w:t>To what extent should external incentives that are short-term in nature be a factor in Commission approval of acquisition of renewable resources in advance of RPS requirements (e.g., Production Tax Credits, Investment Tax Credits and Treasury Grants)?  Will the subsidized costs attributed to external incentives compensate ratepayers for early recovery in rates?</w:t>
            </w:r>
          </w:p>
        </w:tc>
      </w:tr>
      <w:tr w:rsidR="00550856" w:rsidTr="00550856">
        <w:trPr>
          <w:trHeight w:val="1160"/>
        </w:trPr>
        <w:tc>
          <w:tcPr>
            <w:tcW w:w="9870" w:type="dxa"/>
            <w:shd w:val="clear" w:color="auto" w:fill="auto"/>
          </w:tcPr>
          <w:p w:rsidR="00550856" w:rsidRDefault="00550856" w:rsidP="0027710D">
            <w:pPr>
              <w:spacing w:after="0"/>
              <w:rPr>
                <w:rFonts w:ascii="Times New Roman" w:hAnsi="Times New Roman" w:cs="Times New Roman"/>
                <w:b/>
                <w:sz w:val="24"/>
                <w:szCs w:val="24"/>
              </w:rPr>
            </w:pPr>
          </w:p>
          <w:p w:rsidR="00550856" w:rsidRDefault="00550856" w:rsidP="00CA2534">
            <w:pPr>
              <w:spacing w:after="120"/>
              <w:rPr>
                <w:rFonts w:ascii="Times New Roman" w:hAnsi="Times New Roman" w:cs="Times New Roman"/>
                <w:sz w:val="24"/>
                <w:szCs w:val="24"/>
              </w:rPr>
            </w:pPr>
            <w:r w:rsidRPr="00C84759">
              <w:rPr>
                <w:rFonts w:ascii="Times New Roman" w:hAnsi="Times New Roman" w:cs="Times New Roman"/>
                <w:b/>
                <w:sz w:val="24"/>
                <w:szCs w:val="24"/>
              </w:rPr>
              <w:t>Avista</w:t>
            </w:r>
            <w:r>
              <w:rPr>
                <w:rFonts w:ascii="Times New Roman" w:hAnsi="Times New Roman" w:cs="Times New Roman"/>
                <w:sz w:val="24"/>
                <w:szCs w:val="24"/>
              </w:rPr>
              <w:t xml:space="preserve"> believes that incentives in general reflect society’s desires to promote a specific policy. It believes that the Commission should provide rules that allow utilities to acquire renewable generation ahead of need, including the benefits of incentives that might be available. </w:t>
            </w:r>
            <w:r>
              <w:rPr>
                <w:rFonts w:ascii="Times New Roman" w:hAnsi="Times New Roman" w:cs="Times New Roman"/>
                <w:b/>
                <w:sz w:val="24"/>
                <w:szCs w:val="24"/>
              </w:rPr>
              <w:t xml:space="preserve">Avista </w:t>
            </w:r>
            <w:r>
              <w:rPr>
                <w:rFonts w:ascii="Times New Roman" w:hAnsi="Times New Roman" w:cs="Times New Roman"/>
                <w:sz w:val="24"/>
                <w:szCs w:val="24"/>
              </w:rPr>
              <w:t>suggests that u</w:t>
            </w:r>
            <w:r w:rsidRPr="00C84759">
              <w:rPr>
                <w:rFonts w:ascii="Times New Roman" w:hAnsi="Times New Roman" w:cs="Times New Roman"/>
                <w:sz w:val="24"/>
                <w:szCs w:val="24"/>
              </w:rPr>
              <w:t>tilities proposing advance acquisition should</w:t>
            </w:r>
            <w:r>
              <w:rPr>
                <w:rFonts w:ascii="Times New Roman" w:hAnsi="Times New Roman" w:cs="Times New Roman"/>
                <w:sz w:val="24"/>
                <w:szCs w:val="24"/>
              </w:rPr>
              <w:t xml:space="preserve"> </w:t>
            </w:r>
            <w:r w:rsidRPr="00C84759">
              <w:rPr>
                <w:rFonts w:ascii="Times New Roman" w:hAnsi="Times New Roman" w:cs="Times New Roman"/>
                <w:sz w:val="24"/>
                <w:szCs w:val="24"/>
              </w:rPr>
              <w:t>demonstrate the financial impact of the incentive, and how early acquisition is expected</w:t>
            </w:r>
            <w:r>
              <w:rPr>
                <w:rFonts w:ascii="Times New Roman" w:hAnsi="Times New Roman" w:cs="Times New Roman"/>
                <w:sz w:val="24"/>
                <w:szCs w:val="24"/>
              </w:rPr>
              <w:t xml:space="preserve"> </w:t>
            </w:r>
            <w:r w:rsidRPr="00C84759">
              <w:rPr>
                <w:rFonts w:ascii="Times New Roman" w:hAnsi="Times New Roman" w:cs="Times New Roman"/>
                <w:sz w:val="24"/>
                <w:szCs w:val="24"/>
              </w:rPr>
              <w:t>to benefit customers over the life of the asset based upon what the utility knows about the</w:t>
            </w:r>
            <w:r>
              <w:rPr>
                <w:rFonts w:ascii="Times New Roman" w:hAnsi="Times New Roman" w:cs="Times New Roman"/>
                <w:sz w:val="24"/>
                <w:szCs w:val="24"/>
              </w:rPr>
              <w:t xml:space="preserve"> </w:t>
            </w:r>
            <w:r w:rsidRPr="00C84759">
              <w:rPr>
                <w:rFonts w:ascii="Times New Roman" w:hAnsi="Times New Roman" w:cs="Times New Roman"/>
                <w:sz w:val="24"/>
                <w:szCs w:val="24"/>
              </w:rPr>
              <w:t>availability of incentives at the time it decides to acquire the resource.</w:t>
            </w:r>
          </w:p>
          <w:p w:rsidR="003E76AB" w:rsidRDefault="00550856" w:rsidP="00CA2534">
            <w:pPr>
              <w:spacing w:after="120"/>
              <w:rPr>
                <w:rFonts w:ascii="Times New Roman" w:hAnsi="Times New Roman" w:cs="Times New Roman"/>
                <w:sz w:val="24"/>
                <w:szCs w:val="24"/>
              </w:rPr>
            </w:pPr>
            <w:r>
              <w:rPr>
                <w:rFonts w:ascii="Times New Roman" w:hAnsi="Times New Roman" w:cs="Times New Roman"/>
                <w:b/>
                <w:sz w:val="24"/>
                <w:szCs w:val="24"/>
              </w:rPr>
              <w:t>PacifiCorp</w:t>
            </w:r>
            <w:r>
              <w:rPr>
                <w:rFonts w:ascii="Times New Roman" w:hAnsi="Times New Roman" w:cs="Times New Roman"/>
                <w:sz w:val="24"/>
                <w:szCs w:val="24"/>
              </w:rPr>
              <w:t xml:space="preserve"> discusses that short-term incentives can be uncertain in nature and that they should be given due consideration in the Commission’s prudence review.  Reiterating that it is in the customers’ best interest that a utility acquire renewable resources opportunistically because such incentives cannot be guaranteed to continue. Such action by a utility, </w:t>
            </w:r>
            <w:r>
              <w:rPr>
                <w:rFonts w:ascii="Times New Roman" w:hAnsi="Times New Roman" w:cs="Times New Roman"/>
                <w:b/>
                <w:sz w:val="24"/>
                <w:szCs w:val="24"/>
              </w:rPr>
              <w:t>PacifiCorp</w:t>
            </w:r>
            <w:r>
              <w:rPr>
                <w:rFonts w:ascii="Times New Roman" w:hAnsi="Times New Roman" w:cs="Times New Roman"/>
                <w:sz w:val="24"/>
                <w:szCs w:val="24"/>
              </w:rPr>
              <w:t xml:space="preserve"> believes, limits risk to customers. </w:t>
            </w:r>
          </w:p>
          <w:p w:rsidR="00550856" w:rsidRDefault="00550856" w:rsidP="00CA2534">
            <w:pPr>
              <w:spacing w:after="120"/>
              <w:rPr>
                <w:rFonts w:ascii="Times New Roman" w:hAnsi="Times New Roman" w:cs="Times New Roman"/>
                <w:sz w:val="24"/>
                <w:szCs w:val="24"/>
              </w:rPr>
            </w:pPr>
            <w:r w:rsidRPr="00015DE5">
              <w:rPr>
                <w:rFonts w:ascii="Times New Roman" w:hAnsi="Times New Roman" w:cs="Times New Roman"/>
                <w:b/>
                <w:sz w:val="24"/>
                <w:szCs w:val="24"/>
              </w:rPr>
              <w:t>PSE</w:t>
            </w:r>
            <w:r>
              <w:rPr>
                <w:rFonts w:ascii="Times New Roman" w:hAnsi="Times New Roman" w:cs="Times New Roman"/>
                <w:sz w:val="24"/>
                <w:szCs w:val="24"/>
              </w:rPr>
              <w:t xml:space="preserve"> points out </w:t>
            </w:r>
            <w:r w:rsidR="003E76AB">
              <w:rPr>
                <w:rFonts w:ascii="Times New Roman" w:hAnsi="Times New Roman" w:cs="Times New Roman"/>
                <w:sz w:val="24"/>
                <w:szCs w:val="24"/>
              </w:rPr>
              <w:t xml:space="preserve">in its comments </w:t>
            </w:r>
            <w:r>
              <w:rPr>
                <w:rFonts w:ascii="Times New Roman" w:hAnsi="Times New Roman" w:cs="Times New Roman"/>
                <w:sz w:val="24"/>
                <w:szCs w:val="24"/>
              </w:rPr>
              <w:t xml:space="preserve">that short-term external incentives provide strong economic impetus to acquire renewables earlier rather than later. Future ratepayers, they say, will benefit from early acquisition.  </w:t>
            </w:r>
          </w:p>
          <w:p w:rsidR="00550856" w:rsidRPr="00CA2534" w:rsidRDefault="00550856" w:rsidP="00CA2534">
            <w:pPr>
              <w:rPr>
                <w:rFonts w:ascii="Times New Roman" w:hAnsi="Times New Roman" w:cs="Times New Roman"/>
                <w:sz w:val="24"/>
                <w:szCs w:val="24"/>
              </w:rPr>
            </w:pPr>
            <w:r>
              <w:rPr>
                <w:rFonts w:ascii="Times New Roman" w:hAnsi="Times New Roman" w:cs="Times New Roman"/>
                <w:sz w:val="24"/>
                <w:szCs w:val="24"/>
              </w:rPr>
              <w:t xml:space="preserve">In their comments, the </w:t>
            </w:r>
            <w:r w:rsidRPr="009544BA">
              <w:rPr>
                <w:rFonts w:ascii="Times New Roman" w:hAnsi="Times New Roman" w:cs="Times New Roman"/>
                <w:b/>
                <w:sz w:val="24"/>
                <w:szCs w:val="24"/>
              </w:rPr>
              <w:t>Joint Coalition</w:t>
            </w:r>
            <w:r>
              <w:rPr>
                <w:rFonts w:ascii="Times New Roman" w:hAnsi="Times New Roman" w:cs="Times New Roman"/>
                <w:sz w:val="24"/>
                <w:szCs w:val="24"/>
              </w:rPr>
              <w:t xml:space="preserve"> questions whither external incentives will completely offset earlier recovery of the renewable in rates.  Though the coalition acknowledges that taking advantage of significant state and federal incentives will lower costs to ratepayers in the range of 15% to 20%.  The </w:t>
            </w:r>
            <w:r w:rsidRPr="00CA2534">
              <w:rPr>
                <w:rFonts w:ascii="Times New Roman" w:hAnsi="Times New Roman" w:cs="Times New Roman"/>
                <w:b/>
                <w:sz w:val="24"/>
                <w:szCs w:val="24"/>
              </w:rPr>
              <w:t>Joint Coalition</w:t>
            </w:r>
            <w:r>
              <w:rPr>
                <w:rFonts w:ascii="Times New Roman" w:hAnsi="Times New Roman" w:cs="Times New Roman"/>
                <w:sz w:val="24"/>
                <w:szCs w:val="24"/>
              </w:rPr>
              <w:t xml:space="preserve"> cautions the Commission from addressing financial incentives in rules because of their short-term nature and because they change frequently.  However they say the Commission should signal that incentives can be an appropriate factor in a decision to acquire a renewable resource. </w:t>
            </w:r>
          </w:p>
        </w:tc>
      </w:tr>
      <w:tr w:rsidR="00966712" w:rsidTr="000157DF">
        <w:trPr>
          <w:trHeight w:val="1160"/>
        </w:trPr>
        <w:tc>
          <w:tcPr>
            <w:tcW w:w="9870" w:type="dxa"/>
            <w:shd w:val="clear" w:color="auto" w:fill="C6D9F1" w:themeFill="text2" w:themeFillTint="33"/>
            <w:vAlign w:val="center"/>
          </w:tcPr>
          <w:p w:rsidR="00966712" w:rsidRPr="00B164EB" w:rsidRDefault="00966712" w:rsidP="000157DF">
            <w:pPr>
              <w:pStyle w:val="ListParagraph"/>
              <w:ind w:left="1302" w:hanging="990"/>
              <w:rPr>
                <w:rFonts w:ascii="Times New Roman" w:hAnsi="Times New Roman" w:cs="Times New Roman"/>
                <w:sz w:val="24"/>
                <w:szCs w:val="24"/>
              </w:rPr>
            </w:pPr>
          </w:p>
        </w:tc>
      </w:tr>
    </w:tbl>
    <w:p w:rsidR="004907D0" w:rsidRDefault="004907D0"/>
    <w:p w:rsidR="004907D0" w:rsidRDefault="004907D0">
      <w:r>
        <w:br w:type="page"/>
      </w:r>
    </w:p>
    <w:p w:rsidR="00966712" w:rsidRDefault="00925444">
      <w:r>
        <w:rPr>
          <w:noProof/>
        </w:rPr>
        <w:lastRenderedPageBreak/>
        <w:pict>
          <v:shape id="_x0000_s1028" type="#_x0000_t202" style="position:absolute;margin-left:107.1pt;margin-top:163.6pt;width:186.35pt;height:110.6pt;z-index:251662336;mso-width-percent:400;mso-height-percent:200;mso-width-percent:400;mso-height-percent:200;mso-width-relative:margin;mso-height-relative:margin">
            <v:textbox style="mso-fit-shape-to-text:t">
              <w:txbxContent>
                <w:p w:rsidR="004907D0" w:rsidRPr="00783327" w:rsidRDefault="004907D0" w:rsidP="004907D0">
                  <w:pPr>
                    <w:jc w:val="center"/>
                    <w:rPr>
                      <w:sz w:val="52"/>
                    </w:rPr>
                  </w:pPr>
                  <w:r w:rsidRPr="00783327">
                    <w:rPr>
                      <w:sz w:val="52"/>
                    </w:rPr>
                    <w:t>Page Intentionally Left Blank</w:t>
                  </w:r>
                </w:p>
              </w:txbxContent>
            </v:textbox>
          </v:shape>
        </w:pict>
      </w:r>
      <w:r w:rsidR="00966712">
        <w:br w:type="page"/>
      </w:r>
    </w:p>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550856" w:rsidTr="00550856">
        <w:trPr>
          <w:trHeight w:val="1160"/>
        </w:trPr>
        <w:tc>
          <w:tcPr>
            <w:tcW w:w="9870" w:type="dxa"/>
            <w:shd w:val="clear" w:color="auto" w:fill="C6D9F1" w:themeFill="text2" w:themeFillTint="33"/>
            <w:vAlign w:val="center"/>
          </w:tcPr>
          <w:p w:rsidR="00550856" w:rsidRPr="0049581D" w:rsidRDefault="00550856" w:rsidP="00EE5A12">
            <w:pPr>
              <w:ind w:left="222" w:hanging="222"/>
              <w:rPr>
                <w:rFonts w:ascii="Times New Roman" w:hAnsi="Times New Roman" w:cs="Times New Roman"/>
                <w:sz w:val="24"/>
                <w:szCs w:val="24"/>
              </w:rPr>
            </w:pPr>
            <w:r w:rsidRPr="00C162AD">
              <w:rPr>
                <w:rFonts w:ascii="Times New Roman" w:hAnsi="Times New Roman" w:cs="Times New Roman"/>
                <w:b/>
                <w:i/>
                <w:sz w:val="24"/>
                <w:szCs w:val="24"/>
              </w:rPr>
              <w:lastRenderedPageBreak/>
              <w:t>9) Additional Flexibility.</w:t>
            </w:r>
            <w:r w:rsidRPr="00CF2898">
              <w:rPr>
                <w:rFonts w:ascii="Times New Roman" w:hAnsi="Times New Roman" w:cs="Times New Roman"/>
                <w:i/>
                <w:sz w:val="24"/>
                <w:szCs w:val="24"/>
              </w:rPr>
              <w:t xml:space="preserve"> </w:t>
            </w:r>
            <w:r w:rsidRPr="00CF2898">
              <w:rPr>
                <w:rFonts w:ascii="Times New Roman" w:hAnsi="Times New Roman" w:cs="Times New Roman"/>
                <w:sz w:val="24"/>
                <w:szCs w:val="24"/>
              </w:rPr>
              <w:t>Does the Commission presently have authority to consider a more “flexible” or “systematic approach” for assessing renewable resources? Is so, what specific mechanism is needed?</w:t>
            </w:r>
          </w:p>
        </w:tc>
      </w:tr>
      <w:tr w:rsidR="00550856" w:rsidTr="00550856">
        <w:trPr>
          <w:trHeight w:val="1160"/>
        </w:trPr>
        <w:tc>
          <w:tcPr>
            <w:tcW w:w="9870" w:type="dxa"/>
            <w:shd w:val="clear" w:color="auto" w:fill="auto"/>
          </w:tcPr>
          <w:p w:rsidR="00550856" w:rsidRDefault="00550856" w:rsidP="00E23ED1">
            <w:pPr>
              <w:spacing w:after="0"/>
              <w:rPr>
                <w:rFonts w:ascii="Times New Roman" w:hAnsi="Times New Roman" w:cs="Times New Roman"/>
                <w:sz w:val="24"/>
                <w:szCs w:val="24"/>
              </w:rPr>
            </w:pPr>
          </w:p>
          <w:p w:rsidR="00550856" w:rsidRDefault="00550856" w:rsidP="0049581D">
            <w:pPr>
              <w:rPr>
                <w:rFonts w:ascii="Times New Roman" w:hAnsi="Times New Roman" w:cs="Times New Roman"/>
                <w:sz w:val="24"/>
                <w:szCs w:val="24"/>
              </w:rPr>
            </w:pPr>
          </w:p>
          <w:p w:rsidR="00550856" w:rsidRDefault="00550856" w:rsidP="0049581D">
            <w:pPr>
              <w:rPr>
                <w:rFonts w:ascii="Times New Roman" w:hAnsi="Times New Roman" w:cs="Times New Roman"/>
                <w:sz w:val="24"/>
                <w:szCs w:val="24"/>
              </w:rPr>
            </w:pPr>
            <w:r w:rsidRPr="00CA2534">
              <w:rPr>
                <w:rFonts w:ascii="Times New Roman" w:hAnsi="Times New Roman" w:cs="Times New Roman"/>
                <w:b/>
                <w:sz w:val="24"/>
                <w:szCs w:val="24"/>
              </w:rPr>
              <w:t>Avista</w:t>
            </w:r>
            <w:r>
              <w:rPr>
                <w:rFonts w:ascii="Times New Roman" w:hAnsi="Times New Roman" w:cs="Times New Roman"/>
                <w:sz w:val="24"/>
                <w:szCs w:val="24"/>
              </w:rPr>
              <w:t xml:space="preserve"> believes that the Commission does have authority to consider a more flexible or systematic approach for assessing renewable resources due to the Commission’s broad enabling authority that allows it to establish and revise policy through the adoption of rules.  Its recommendation</w:t>
            </w:r>
            <w:r w:rsidR="00F0416B">
              <w:rPr>
                <w:rFonts w:ascii="Times New Roman" w:hAnsi="Times New Roman" w:cs="Times New Roman"/>
                <w:sz w:val="24"/>
                <w:szCs w:val="24"/>
              </w:rPr>
              <w:t>s</w:t>
            </w:r>
            <w:r>
              <w:rPr>
                <w:rFonts w:ascii="Times New Roman" w:hAnsi="Times New Roman" w:cs="Times New Roman"/>
                <w:sz w:val="24"/>
                <w:szCs w:val="24"/>
              </w:rPr>
              <w:t xml:space="preserve"> are detailed in its other responses. </w:t>
            </w:r>
          </w:p>
          <w:p w:rsidR="00550856" w:rsidRDefault="00550856" w:rsidP="0049581D">
            <w:pPr>
              <w:rPr>
                <w:rFonts w:ascii="Times New Roman" w:hAnsi="Times New Roman" w:cs="Times New Roman"/>
                <w:sz w:val="24"/>
                <w:szCs w:val="24"/>
              </w:rPr>
            </w:pPr>
            <w:r w:rsidRPr="00CA2534">
              <w:rPr>
                <w:rFonts w:ascii="Times New Roman" w:hAnsi="Times New Roman" w:cs="Times New Roman"/>
                <w:b/>
                <w:sz w:val="24"/>
                <w:szCs w:val="24"/>
              </w:rPr>
              <w:t>PacifiCorp</w:t>
            </w:r>
            <w:r>
              <w:rPr>
                <w:rFonts w:ascii="Times New Roman" w:hAnsi="Times New Roman" w:cs="Times New Roman"/>
                <w:sz w:val="24"/>
                <w:szCs w:val="24"/>
              </w:rPr>
              <w:t xml:space="preserve"> cites its response to the Commission’s question regarding the determination of Prudence </w:t>
            </w:r>
            <w:r w:rsidR="0012158E">
              <w:rPr>
                <w:rFonts w:ascii="Times New Roman" w:hAnsi="Times New Roman" w:cs="Times New Roman"/>
                <w:sz w:val="24"/>
                <w:szCs w:val="24"/>
              </w:rPr>
              <w:t xml:space="preserve">in Question (2) above. </w:t>
            </w:r>
          </w:p>
          <w:p w:rsidR="00550856" w:rsidRDefault="00550856" w:rsidP="0049581D">
            <w:pPr>
              <w:rPr>
                <w:rFonts w:ascii="Times New Roman" w:hAnsi="Times New Roman" w:cs="Times New Roman"/>
                <w:sz w:val="24"/>
                <w:szCs w:val="24"/>
              </w:rPr>
            </w:pPr>
            <w:r w:rsidRPr="0049581D">
              <w:rPr>
                <w:rFonts w:ascii="Times New Roman" w:hAnsi="Times New Roman" w:cs="Times New Roman"/>
                <w:b/>
                <w:sz w:val="24"/>
                <w:szCs w:val="24"/>
              </w:rPr>
              <w:t>PSE</w:t>
            </w:r>
            <w:r>
              <w:rPr>
                <w:rFonts w:ascii="Times New Roman" w:hAnsi="Times New Roman" w:cs="Times New Roman"/>
                <w:sz w:val="24"/>
                <w:szCs w:val="24"/>
              </w:rPr>
              <w:t xml:space="preserve"> believes the</w:t>
            </w:r>
            <w:r w:rsidRPr="0049581D">
              <w:rPr>
                <w:rFonts w:ascii="Times New Roman" w:hAnsi="Times New Roman" w:cs="Times New Roman"/>
                <w:sz w:val="24"/>
                <w:szCs w:val="24"/>
              </w:rPr>
              <w:t xml:space="preserve"> Commission does have authority to consider a more flexible or systematic approach</w:t>
            </w:r>
            <w:r>
              <w:rPr>
                <w:rFonts w:ascii="Times New Roman" w:hAnsi="Times New Roman" w:cs="Times New Roman"/>
                <w:sz w:val="24"/>
                <w:szCs w:val="24"/>
              </w:rPr>
              <w:t xml:space="preserve"> but cites RCW 19.285 as its support.  </w:t>
            </w:r>
            <w:r w:rsidRPr="0049581D">
              <w:rPr>
                <w:rFonts w:ascii="Times New Roman" w:hAnsi="Times New Roman" w:cs="Times New Roman"/>
                <w:b/>
                <w:sz w:val="24"/>
                <w:szCs w:val="24"/>
              </w:rPr>
              <w:t>PSE</w:t>
            </w:r>
            <w:r>
              <w:rPr>
                <w:rFonts w:ascii="Times New Roman" w:hAnsi="Times New Roman" w:cs="Times New Roman"/>
                <w:sz w:val="24"/>
                <w:szCs w:val="24"/>
              </w:rPr>
              <w:t xml:space="preserve"> believes that RCW 19.285 created a need and an obligation that did not exist prior.  RCW 19.285 creates two additional resource dimensions (a) renewable resources and (b) resources necessary to integrate renewable resources. </w:t>
            </w:r>
          </w:p>
          <w:p w:rsidR="00550856" w:rsidRDefault="00550856" w:rsidP="001127BD">
            <w:pPr>
              <w:rPr>
                <w:rFonts w:ascii="Times New Roman" w:hAnsi="Times New Roman" w:cs="Times New Roman"/>
                <w:sz w:val="24"/>
                <w:szCs w:val="24"/>
              </w:rPr>
            </w:pPr>
            <w:r w:rsidRPr="0049581D">
              <w:rPr>
                <w:rFonts w:ascii="Times New Roman" w:hAnsi="Times New Roman" w:cs="Times New Roman"/>
                <w:b/>
                <w:sz w:val="24"/>
                <w:szCs w:val="24"/>
              </w:rPr>
              <w:t>ICNU</w:t>
            </w:r>
            <w:r>
              <w:rPr>
                <w:rFonts w:ascii="Times New Roman" w:hAnsi="Times New Roman" w:cs="Times New Roman"/>
                <w:sz w:val="24"/>
                <w:szCs w:val="24"/>
              </w:rPr>
              <w:t xml:space="preserve"> on the other hand agrees that the Commission has significant flexibility and says that flexibility allows the Commission to use its existing framework to manage new innovations. That is why </w:t>
            </w:r>
            <w:r w:rsidRPr="0049581D">
              <w:rPr>
                <w:rFonts w:ascii="Times New Roman" w:hAnsi="Times New Roman" w:cs="Times New Roman"/>
                <w:b/>
                <w:sz w:val="24"/>
                <w:szCs w:val="24"/>
              </w:rPr>
              <w:t>ICNU</w:t>
            </w:r>
            <w:r>
              <w:rPr>
                <w:rFonts w:ascii="Times New Roman" w:hAnsi="Times New Roman" w:cs="Times New Roman"/>
                <w:b/>
                <w:sz w:val="24"/>
                <w:szCs w:val="24"/>
              </w:rPr>
              <w:t xml:space="preserve"> </w:t>
            </w:r>
            <w:r w:rsidRPr="0049581D">
              <w:rPr>
                <w:rFonts w:ascii="Times New Roman" w:hAnsi="Times New Roman" w:cs="Times New Roman"/>
                <w:sz w:val="24"/>
                <w:szCs w:val="24"/>
              </w:rPr>
              <w:t>con</w:t>
            </w:r>
            <w:r>
              <w:rPr>
                <w:rFonts w:ascii="Times New Roman" w:hAnsi="Times New Roman" w:cs="Times New Roman"/>
                <w:sz w:val="24"/>
                <w:szCs w:val="24"/>
              </w:rPr>
              <w:t xml:space="preserve">tinues in this comment to advocate retention of the traditional prudence analysis.  However, </w:t>
            </w:r>
            <w:r w:rsidRPr="001127BD">
              <w:rPr>
                <w:rFonts w:ascii="Times New Roman" w:hAnsi="Times New Roman" w:cs="Times New Roman"/>
                <w:b/>
                <w:sz w:val="24"/>
                <w:szCs w:val="24"/>
              </w:rPr>
              <w:t>ICNU</w:t>
            </w:r>
            <w:r>
              <w:rPr>
                <w:rFonts w:ascii="Times New Roman" w:hAnsi="Times New Roman" w:cs="Times New Roman"/>
                <w:sz w:val="24"/>
                <w:szCs w:val="24"/>
              </w:rPr>
              <w:t xml:space="preserve"> concedes that more interaction between</w:t>
            </w:r>
            <w:r w:rsidRPr="001127BD">
              <w:rPr>
                <w:rFonts w:ascii="Times New Roman" w:hAnsi="Times New Roman" w:cs="Times New Roman"/>
                <w:sz w:val="24"/>
                <w:szCs w:val="24"/>
              </w:rPr>
              <w:t xml:space="preserve"> utilities, stakeholders, and the</w:t>
            </w:r>
            <w:r>
              <w:rPr>
                <w:rFonts w:ascii="Times New Roman" w:hAnsi="Times New Roman" w:cs="Times New Roman"/>
                <w:sz w:val="24"/>
                <w:szCs w:val="24"/>
              </w:rPr>
              <w:t xml:space="preserve"> </w:t>
            </w:r>
            <w:r w:rsidRPr="001127BD">
              <w:rPr>
                <w:rFonts w:ascii="Times New Roman" w:hAnsi="Times New Roman" w:cs="Times New Roman"/>
                <w:sz w:val="24"/>
                <w:szCs w:val="24"/>
              </w:rPr>
              <w:t>Commission could improve planning and cost-recovery for new renewables, including an RPS</w:t>
            </w:r>
            <w:r>
              <w:rPr>
                <w:rFonts w:ascii="Times New Roman" w:hAnsi="Times New Roman" w:cs="Times New Roman"/>
                <w:sz w:val="24"/>
                <w:szCs w:val="24"/>
              </w:rPr>
              <w:t xml:space="preserve"> </w:t>
            </w:r>
            <w:r w:rsidRPr="001127BD">
              <w:rPr>
                <w:rFonts w:ascii="Times New Roman" w:hAnsi="Times New Roman" w:cs="Times New Roman"/>
                <w:sz w:val="24"/>
                <w:szCs w:val="24"/>
              </w:rPr>
              <w:t>implementation plan</w:t>
            </w:r>
            <w:r>
              <w:rPr>
                <w:rFonts w:ascii="Times New Roman" w:hAnsi="Times New Roman" w:cs="Times New Roman"/>
                <w:sz w:val="24"/>
                <w:szCs w:val="24"/>
              </w:rPr>
              <w:t>.</w:t>
            </w:r>
          </w:p>
          <w:p w:rsidR="00CC6E58" w:rsidRDefault="00CC6E58" w:rsidP="001127BD">
            <w:pPr>
              <w:rPr>
                <w:rFonts w:ascii="Times New Roman" w:hAnsi="Times New Roman" w:cs="Times New Roman"/>
                <w:sz w:val="24"/>
                <w:szCs w:val="24"/>
              </w:rPr>
            </w:pPr>
          </w:p>
          <w:p w:rsidR="00CC6E58" w:rsidRDefault="00CC6E58" w:rsidP="001127BD">
            <w:pPr>
              <w:rPr>
                <w:rFonts w:ascii="Times New Roman" w:hAnsi="Times New Roman" w:cs="Times New Roman"/>
                <w:sz w:val="24"/>
                <w:szCs w:val="24"/>
              </w:rPr>
            </w:pPr>
          </w:p>
          <w:p w:rsidR="00CC6E58" w:rsidRDefault="00CC6E58" w:rsidP="001127BD">
            <w:pPr>
              <w:rPr>
                <w:rFonts w:ascii="Times New Roman" w:hAnsi="Times New Roman" w:cs="Times New Roman"/>
                <w:sz w:val="24"/>
                <w:szCs w:val="24"/>
              </w:rPr>
            </w:pPr>
          </w:p>
          <w:p w:rsidR="00CC6E58" w:rsidRDefault="00CC6E58" w:rsidP="001127BD">
            <w:pPr>
              <w:rPr>
                <w:rFonts w:ascii="Times New Roman" w:hAnsi="Times New Roman" w:cs="Times New Roman"/>
                <w:sz w:val="24"/>
                <w:szCs w:val="24"/>
              </w:rPr>
            </w:pPr>
          </w:p>
          <w:p w:rsidR="00CC6E58" w:rsidRPr="001127BD" w:rsidRDefault="00CC6E58" w:rsidP="001127BD">
            <w:pPr>
              <w:rPr>
                <w:rFonts w:ascii="Times New Roman" w:hAnsi="Times New Roman" w:cs="Times New Roman"/>
                <w:sz w:val="24"/>
                <w:szCs w:val="24"/>
              </w:rPr>
            </w:pPr>
          </w:p>
        </w:tc>
      </w:tr>
      <w:tr w:rsidR="00CA7AFB" w:rsidTr="000157DF">
        <w:trPr>
          <w:trHeight w:val="1160"/>
        </w:trPr>
        <w:tc>
          <w:tcPr>
            <w:tcW w:w="9870" w:type="dxa"/>
            <w:shd w:val="clear" w:color="auto" w:fill="C6D9F1" w:themeFill="text2" w:themeFillTint="33"/>
            <w:vAlign w:val="center"/>
          </w:tcPr>
          <w:p w:rsidR="00CA7AFB" w:rsidRPr="00B164EB" w:rsidRDefault="00CA7AFB" w:rsidP="000157DF">
            <w:pPr>
              <w:pStyle w:val="ListParagraph"/>
              <w:ind w:left="1302" w:hanging="990"/>
              <w:rPr>
                <w:rFonts w:ascii="Times New Roman" w:hAnsi="Times New Roman" w:cs="Times New Roman"/>
                <w:sz w:val="24"/>
                <w:szCs w:val="24"/>
              </w:rPr>
            </w:pPr>
          </w:p>
        </w:tc>
      </w:tr>
    </w:tbl>
    <w:p w:rsidR="00CA7AFB" w:rsidRDefault="00925444">
      <w:r>
        <w:rPr>
          <w:noProof/>
          <w:lang w:eastAsia="zh-TW"/>
        </w:rPr>
        <w:pict>
          <v:shape id="_x0000_s1026" type="#_x0000_t202" style="position:absolute;margin-left:106.25pt;margin-top:162.8pt;width:186.35pt;height:110.6pt;z-index:251660288;mso-width-percent:400;mso-height-percent:200;mso-position-horizontal-relative:text;mso-position-vertical-relative:text;mso-width-percent:400;mso-height-percent:200;mso-width-relative:margin;mso-height-relative:margin">
            <v:textbox style="mso-fit-shape-to-text:t">
              <w:txbxContent>
                <w:p w:rsidR="007879A8" w:rsidRPr="00783327" w:rsidRDefault="007879A8" w:rsidP="00783327">
                  <w:pPr>
                    <w:jc w:val="center"/>
                    <w:rPr>
                      <w:sz w:val="52"/>
                    </w:rPr>
                  </w:pPr>
                  <w:r w:rsidRPr="00783327">
                    <w:rPr>
                      <w:sz w:val="52"/>
                    </w:rPr>
                    <w:t>Page Intentionally Left Blank</w:t>
                  </w:r>
                </w:p>
              </w:txbxContent>
            </v:textbox>
          </v:shape>
        </w:pict>
      </w:r>
      <w:r w:rsidR="00CA7AFB">
        <w:br w:type="page"/>
      </w:r>
    </w:p>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550856" w:rsidTr="00550856">
        <w:trPr>
          <w:trHeight w:val="1160"/>
        </w:trPr>
        <w:tc>
          <w:tcPr>
            <w:tcW w:w="9870" w:type="dxa"/>
            <w:shd w:val="clear" w:color="auto" w:fill="C6D9F1" w:themeFill="text2" w:themeFillTint="33"/>
            <w:vAlign w:val="center"/>
          </w:tcPr>
          <w:p w:rsidR="00550856" w:rsidRDefault="00550856" w:rsidP="00EE5A12">
            <w:pPr>
              <w:ind w:left="402" w:hanging="402"/>
              <w:rPr>
                <w:rFonts w:ascii="Times New Roman" w:hAnsi="Times New Roman" w:cs="Times New Roman"/>
                <w:sz w:val="24"/>
                <w:szCs w:val="24"/>
              </w:rPr>
            </w:pPr>
            <w:r w:rsidRPr="00C162AD">
              <w:rPr>
                <w:rFonts w:ascii="Times New Roman" w:hAnsi="Times New Roman" w:cs="Times New Roman"/>
                <w:b/>
                <w:sz w:val="24"/>
                <w:szCs w:val="24"/>
              </w:rPr>
              <w:lastRenderedPageBreak/>
              <w:t xml:space="preserve">10) </w:t>
            </w:r>
            <w:r w:rsidRPr="00C162AD">
              <w:rPr>
                <w:rFonts w:ascii="Times New Roman" w:hAnsi="Times New Roman" w:cs="Times New Roman"/>
                <w:b/>
                <w:i/>
                <w:sz w:val="24"/>
                <w:szCs w:val="24"/>
              </w:rPr>
              <w:t>Do Rules Conflict with Statute</w:t>
            </w:r>
            <w:r w:rsidRPr="00C162AD">
              <w:rPr>
                <w:rFonts w:ascii="Times New Roman" w:hAnsi="Times New Roman" w:cs="Times New Roman"/>
                <w:b/>
                <w:sz w:val="24"/>
                <w:szCs w:val="24"/>
              </w:rPr>
              <w:t>?</w:t>
            </w:r>
            <w:r w:rsidRPr="00012431">
              <w:rPr>
                <w:rFonts w:ascii="Times New Roman" w:hAnsi="Times New Roman" w:cs="Times New Roman"/>
                <w:sz w:val="24"/>
                <w:szCs w:val="24"/>
              </w:rPr>
              <w:t xml:space="preserve">  Does WAC 480-109-020 (1) </w:t>
            </w:r>
            <w:r w:rsidR="00F0416B">
              <w:rPr>
                <w:rFonts w:ascii="Times New Roman" w:hAnsi="Times New Roman" w:cs="Times New Roman"/>
                <w:sz w:val="24"/>
                <w:szCs w:val="24"/>
              </w:rPr>
              <w:t xml:space="preserve">or </w:t>
            </w:r>
            <w:r w:rsidRPr="00012431">
              <w:rPr>
                <w:rFonts w:ascii="Times New Roman" w:hAnsi="Times New Roman" w:cs="Times New Roman"/>
                <w:sz w:val="24"/>
                <w:szCs w:val="24"/>
              </w:rPr>
              <w:t>(2) conflict with provisions in RCW 19.285.040(2)(e)?  Discuss barriers to a company’s use of RECs caused by the statutory timing of their creation?</w:t>
            </w:r>
          </w:p>
        </w:tc>
      </w:tr>
      <w:tr w:rsidR="00550856" w:rsidTr="00550856">
        <w:trPr>
          <w:trHeight w:val="1160"/>
        </w:trPr>
        <w:tc>
          <w:tcPr>
            <w:tcW w:w="9870" w:type="dxa"/>
            <w:shd w:val="clear" w:color="auto" w:fill="auto"/>
          </w:tcPr>
          <w:p w:rsidR="00550856" w:rsidRDefault="00550856" w:rsidP="00E24F21">
            <w:pPr>
              <w:spacing w:after="0"/>
              <w:rPr>
                <w:rFonts w:ascii="Times New Roman" w:hAnsi="Times New Roman" w:cs="Times New Roman"/>
                <w:sz w:val="24"/>
                <w:szCs w:val="24"/>
              </w:rPr>
            </w:pPr>
          </w:p>
          <w:p w:rsidR="00550856" w:rsidRDefault="00550856" w:rsidP="003B1395">
            <w:pPr>
              <w:rPr>
                <w:rFonts w:ascii="Times New Roman" w:hAnsi="Times New Roman" w:cs="Times New Roman"/>
                <w:sz w:val="24"/>
                <w:szCs w:val="24"/>
              </w:rPr>
            </w:pPr>
            <w:r w:rsidRPr="00E706FE">
              <w:rPr>
                <w:rFonts w:ascii="Times New Roman" w:hAnsi="Times New Roman" w:cs="Times New Roman"/>
                <w:b/>
                <w:sz w:val="24"/>
                <w:szCs w:val="24"/>
              </w:rPr>
              <w:t>Avista</w:t>
            </w:r>
            <w:r>
              <w:rPr>
                <w:rFonts w:ascii="Times New Roman" w:hAnsi="Times New Roman" w:cs="Times New Roman"/>
                <w:sz w:val="24"/>
                <w:szCs w:val="24"/>
              </w:rPr>
              <w:t xml:space="preserve"> states that it believes that the rules do not conflict with statute.  </w:t>
            </w:r>
            <w:r w:rsidRPr="00E706FE">
              <w:rPr>
                <w:rFonts w:ascii="Times New Roman" w:hAnsi="Times New Roman" w:cs="Times New Roman"/>
                <w:b/>
                <w:sz w:val="24"/>
                <w:szCs w:val="24"/>
              </w:rPr>
              <w:t>Avista</w:t>
            </w:r>
            <w:r>
              <w:rPr>
                <w:rFonts w:ascii="Times New Roman" w:hAnsi="Times New Roman" w:cs="Times New Roman"/>
                <w:sz w:val="24"/>
                <w:szCs w:val="24"/>
              </w:rPr>
              <w:t xml:space="preserve"> believes the statue and the rules both provide for the targets for meeting load with Renewable resources.  However</w:t>
            </w:r>
            <w:r w:rsidRPr="003B1395">
              <w:rPr>
                <w:rFonts w:ascii="Times New Roman" w:hAnsi="Times New Roman" w:cs="Times New Roman"/>
                <w:b/>
                <w:sz w:val="24"/>
                <w:szCs w:val="24"/>
              </w:rPr>
              <w:t xml:space="preserve"> Avista</w:t>
            </w:r>
            <w:r>
              <w:rPr>
                <w:rFonts w:ascii="Times New Roman" w:hAnsi="Times New Roman" w:cs="Times New Roman"/>
                <w:sz w:val="24"/>
                <w:szCs w:val="24"/>
              </w:rPr>
              <w:t xml:space="preserve"> clarifies that it believes utilities should have the flexibility to bring resources or REC purchases online at any point in time as long as the annual requirement is met.</w:t>
            </w:r>
          </w:p>
          <w:p w:rsidR="00550856" w:rsidRDefault="00550856" w:rsidP="003B1395">
            <w:pPr>
              <w:rPr>
                <w:rFonts w:ascii="Times New Roman" w:hAnsi="Times New Roman" w:cs="Times New Roman"/>
                <w:sz w:val="24"/>
                <w:szCs w:val="24"/>
              </w:rPr>
            </w:pPr>
            <w:r>
              <w:rPr>
                <w:rFonts w:ascii="Times New Roman" w:hAnsi="Times New Roman" w:cs="Times New Roman"/>
                <w:sz w:val="24"/>
                <w:szCs w:val="24"/>
              </w:rPr>
              <w:t xml:space="preserve">In contrast, </w:t>
            </w:r>
            <w:r w:rsidRPr="003B1395">
              <w:rPr>
                <w:rFonts w:ascii="Times New Roman" w:hAnsi="Times New Roman" w:cs="Times New Roman"/>
                <w:b/>
                <w:sz w:val="24"/>
                <w:szCs w:val="24"/>
              </w:rPr>
              <w:t>PacifiCorp</w:t>
            </w:r>
            <w:r>
              <w:rPr>
                <w:rFonts w:ascii="Times New Roman" w:hAnsi="Times New Roman" w:cs="Times New Roman"/>
                <w:sz w:val="24"/>
                <w:szCs w:val="24"/>
              </w:rPr>
              <w:t xml:space="preserve"> believes the Commission’s rule does conflict with the provisions in RCW 19.285.040.  </w:t>
            </w:r>
            <w:r>
              <w:rPr>
                <w:rFonts w:ascii="Times New Roman" w:hAnsi="Times New Roman" w:cs="Times New Roman"/>
                <w:b/>
                <w:sz w:val="24"/>
                <w:szCs w:val="24"/>
              </w:rPr>
              <w:t>PacifiCorp</w:t>
            </w:r>
            <w:r>
              <w:rPr>
                <w:rFonts w:ascii="Times New Roman" w:hAnsi="Times New Roman" w:cs="Times New Roman"/>
                <w:sz w:val="24"/>
                <w:szCs w:val="24"/>
              </w:rPr>
              <w:t xml:space="preserve"> highlights the provision of the WAC that states “…provided that [RECs] were acquired by January 1 of the target year.”  The company argues that this requirement in the rule essentially eliminates the use of generation during the target year and subsequent year for RPS compliance whereas RCW 19.285.040 allows utilities a full three-year generation period to meet the RPS requirements.  </w:t>
            </w:r>
            <w:r w:rsidRPr="003B1395">
              <w:rPr>
                <w:rFonts w:ascii="Times New Roman" w:hAnsi="Times New Roman" w:cs="Times New Roman"/>
                <w:b/>
                <w:sz w:val="24"/>
                <w:szCs w:val="24"/>
              </w:rPr>
              <w:t>PacifiCorp</w:t>
            </w:r>
            <w:r>
              <w:rPr>
                <w:rFonts w:ascii="Times New Roman" w:hAnsi="Times New Roman" w:cs="Times New Roman"/>
                <w:sz w:val="24"/>
                <w:szCs w:val="24"/>
              </w:rPr>
              <w:t xml:space="preserve"> urges the Commission to amend WAC 480-109-020 (2) by removing the restriction of acquiring RECs by January 1 of the target year. </w:t>
            </w:r>
          </w:p>
          <w:p w:rsidR="00550856" w:rsidRDefault="00550856" w:rsidP="008A4119">
            <w:pPr>
              <w:spacing w:before="240"/>
              <w:rPr>
                <w:rFonts w:ascii="Times New Roman" w:hAnsi="Times New Roman" w:cs="Times New Roman"/>
                <w:sz w:val="24"/>
                <w:szCs w:val="24"/>
              </w:rPr>
            </w:pPr>
            <w:r>
              <w:rPr>
                <w:rFonts w:ascii="Times New Roman" w:hAnsi="Times New Roman" w:cs="Times New Roman"/>
                <w:sz w:val="24"/>
                <w:szCs w:val="24"/>
              </w:rPr>
              <w:t xml:space="preserve">Agreeing with </w:t>
            </w:r>
            <w:r w:rsidRPr="008E6542">
              <w:rPr>
                <w:rFonts w:ascii="Times New Roman" w:hAnsi="Times New Roman" w:cs="Times New Roman"/>
                <w:b/>
                <w:sz w:val="24"/>
                <w:szCs w:val="24"/>
              </w:rPr>
              <w:t>PacifiCorp</w:t>
            </w:r>
            <w:r>
              <w:rPr>
                <w:rFonts w:ascii="Times New Roman" w:hAnsi="Times New Roman" w:cs="Times New Roman"/>
                <w:b/>
                <w:sz w:val="24"/>
                <w:szCs w:val="24"/>
              </w:rPr>
              <w:t>, PSE</w:t>
            </w:r>
            <w:r>
              <w:rPr>
                <w:rFonts w:ascii="Times New Roman" w:hAnsi="Times New Roman" w:cs="Times New Roman"/>
                <w:sz w:val="24"/>
                <w:szCs w:val="24"/>
              </w:rPr>
              <w:t xml:space="preserve"> argues the same provision of the rule (WAC 480-109-020) restricts a company’s ability to use RECs.  </w:t>
            </w:r>
            <w:r w:rsidRPr="008A4119">
              <w:rPr>
                <w:rFonts w:ascii="Times New Roman" w:hAnsi="Times New Roman" w:cs="Times New Roman"/>
                <w:b/>
                <w:sz w:val="24"/>
                <w:szCs w:val="24"/>
              </w:rPr>
              <w:t>PSE</w:t>
            </w:r>
            <w:r>
              <w:rPr>
                <w:rFonts w:ascii="Times New Roman" w:hAnsi="Times New Roman" w:cs="Times New Roman"/>
                <w:sz w:val="24"/>
                <w:szCs w:val="24"/>
              </w:rPr>
              <w:t xml:space="preserve"> believes that nothing in RCW 19.285.040(2)(e) would prohibit a utility from using RECs acquired after the first day (January 1) of the target year to meet a goal during the target year. </w:t>
            </w:r>
          </w:p>
          <w:p w:rsidR="00550856" w:rsidRDefault="00550856" w:rsidP="00FD5EB2">
            <w:pPr>
              <w:spacing w:before="240"/>
              <w:rPr>
                <w:rFonts w:ascii="Times New Roman" w:hAnsi="Times New Roman" w:cs="Times New Roman"/>
                <w:sz w:val="24"/>
                <w:szCs w:val="24"/>
              </w:rPr>
            </w:pPr>
            <w:r w:rsidRPr="00FD5EB2">
              <w:rPr>
                <w:rFonts w:ascii="Times New Roman" w:hAnsi="Times New Roman" w:cs="Times New Roman"/>
                <w:b/>
                <w:sz w:val="24"/>
                <w:szCs w:val="24"/>
              </w:rPr>
              <w:t>ICNU</w:t>
            </w:r>
            <w:r>
              <w:rPr>
                <w:rFonts w:ascii="Times New Roman" w:hAnsi="Times New Roman" w:cs="Times New Roman"/>
                <w:b/>
                <w:sz w:val="24"/>
                <w:szCs w:val="24"/>
              </w:rPr>
              <w:t xml:space="preserve"> </w:t>
            </w:r>
            <w:r>
              <w:rPr>
                <w:rFonts w:ascii="Times New Roman" w:hAnsi="Times New Roman" w:cs="Times New Roman"/>
                <w:sz w:val="24"/>
                <w:szCs w:val="24"/>
              </w:rPr>
              <w:t xml:space="preserve">also believes that the Commission’s rules regarding RECs appear to be inconsistent with, and more limited than, the RPS’s directions regarding the use of the RECs.  </w:t>
            </w:r>
            <w:r w:rsidRPr="00FD5EB2">
              <w:rPr>
                <w:rFonts w:ascii="Times New Roman" w:hAnsi="Times New Roman" w:cs="Times New Roman"/>
                <w:b/>
                <w:sz w:val="24"/>
                <w:szCs w:val="24"/>
              </w:rPr>
              <w:t>ICNU</w:t>
            </w:r>
            <w:r>
              <w:rPr>
                <w:rFonts w:ascii="Times New Roman" w:hAnsi="Times New Roman" w:cs="Times New Roman"/>
                <w:sz w:val="24"/>
                <w:szCs w:val="24"/>
              </w:rPr>
              <w:t xml:space="preserve"> uses the same line of reasoning used by PSE and PacifiCorp in that the statute does not require the RECs need to be acquired by any specific date. </w:t>
            </w:r>
            <w:r w:rsidRPr="00FD5EB2">
              <w:rPr>
                <w:rFonts w:ascii="Times New Roman" w:hAnsi="Times New Roman" w:cs="Times New Roman"/>
                <w:b/>
                <w:sz w:val="24"/>
                <w:szCs w:val="24"/>
              </w:rPr>
              <w:t>ICNU</w:t>
            </w:r>
            <w:r>
              <w:rPr>
                <w:rFonts w:ascii="Times New Roman" w:hAnsi="Times New Roman" w:cs="Times New Roman"/>
                <w:sz w:val="24"/>
                <w:szCs w:val="24"/>
              </w:rPr>
              <w:t xml:space="preserve"> urges the Commission not to use administrative rules to impose any unnecessary limitations,</w:t>
            </w:r>
            <w:r w:rsidRPr="00FD5EB2">
              <w:rPr>
                <w:rFonts w:ascii="TimesNewRomanPSMT" w:hAnsi="TimesNewRomanPSMT" w:cs="TimesNewRomanPSMT"/>
                <w:sz w:val="24"/>
                <w:szCs w:val="24"/>
              </w:rPr>
              <w:t xml:space="preserve"> </w:t>
            </w:r>
            <w:r w:rsidRPr="00FD5EB2">
              <w:rPr>
                <w:rFonts w:ascii="Times New Roman" w:hAnsi="Times New Roman" w:cs="Times New Roman"/>
                <w:sz w:val="24"/>
                <w:szCs w:val="24"/>
              </w:rPr>
              <w:t>because the statute does not prevent utilities from acquiring or planning</w:t>
            </w:r>
            <w:r>
              <w:rPr>
                <w:rFonts w:ascii="Times New Roman" w:hAnsi="Times New Roman" w:cs="Times New Roman"/>
                <w:sz w:val="24"/>
                <w:szCs w:val="24"/>
              </w:rPr>
              <w:t xml:space="preserve"> </w:t>
            </w:r>
            <w:r w:rsidRPr="00FD5EB2">
              <w:rPr>
                <w:rFonts w:ascii="Times New Roman" w:hAnsi="Times New Roman" w:cs="Times New Roman"/>
                <w:sz w:val="24"/>
                <w:szCs w:val="24"/>
              </w:rPr>
              <w:t>to acquire RECs in the year following a target year.</w:t>
            </w:r>
            <w:r>
              <w:rPr>
                <w:rFonts w:ascii="Times New Roman" w:hAnsi="Times New Roman" w:cs="Times New Roman"/>
                <w:sz w:val="24"/>
                <w:szCs w:val="24"/>
              </w:rPr>
              <w:t xml:space="preserve"> Utilities, they state, should be provided with the flexibility provided under the statute. </w:t>
            </w:r>
            <w:r w:rsidRPr="00FD5EB2">
              <w:rPr>
                <w:rFonts w:ascii="Times New Roman" w:hAnsi="Times New Roman" w:cs="Times New Roman"/>
                <w:b/>
                <w:sz w:val="24"/>
                <w:szCs w:val="24"/>
              </w:rPr>
              <w:t>ICNU</w:t>
            </w:r>
            <w:r w:rsidRPr="00FD5EB2">
              <w:rPr>
                <w:rFonts w:ascii="Times New Roman" w:hAnsi="Times New Roman" w:cs="Times New Roman"/>
                <w:sz w:val="24"/>
                <w:szCs w:val="24"/>
              </w:rPr>
              <w:t xml:space="preserve"> </w:t>
            </w:r>
            <w:r>
              <w:rPr>
                <w:rFonts w:ascii="Times New Roman" w:hAnsi="Times New Roman" w:cs="Times New Roman"/>
                <w:sz w:val="24"/>
                <w:szCs w:val="24"/>
              </w:rPr>
              <w:t xml:space="preserve">makes the observation that </w:t>
            </w:r>
            <w:r w:rsidRPr="00FD5EB2">
              <w:rPr>
                <w:rFonts w:ascii="Times New Roman" w:hAnsi="Times New Roman" w:cs="Times New Roman"/>
                <w:sz w:val="24"/>
                <w:szCs w:val="24"/>
              </w:rPr>
              <w:t>flexibility may be important to allow utilities to meet their RPS needs which may be</w:t>
            </w:r>
            <w:r>
              <w:rPr>
                <w:rFonts w:ascii="Times New Roman" w:hAnsi="Times New Roman" w:cs="Times New Roman"/>
                <w:sz w:val="24"/>
                <w:szCs w:val="24"/>
              </w:rPr>
              <w:t xml:space="preserve"> </w:t>
            </w:r>
            <w:r w:rsidRPr="00FD5EB2">
              <w:rPr>
                <w:rFonts w:ascii="Times New Roman" w:hAnsi="Times New Roman" w:cs="Times New Roman"/>
                <w:sz w:val="24"/>
                <w:szCs w:val="24"/>
              </w:rPr>
              <w:t>difficult to predict with exact precision for each reporting period because utilities’ loads shift and</w:t>
            </w:r>
            <w:r>
              <w:rPr>
                <w:rFonts w:ascii="Times New Roman" w:hAnsi="Times New Roman" w:cs="Times New Roman"/>
                <w:sz w:val="24"/>
                <w:szCs w:val="24"/>
              </w:rPr>
              <w:t xml:space="preserve"> </w:t>
            </w:r>
            <w:r w:rsidRPr="00FD5EB2">
              <w:rPr>
                <w:rFonts w:ascii="Times New Roman" w:hAnsi="Times New Roman" w:cs="Times New Roman"/>
                <w:sz w:val="24"/>
                <w:szCs w:val="24"/>
              </w:rPr>
              <w:t xml:space="preserve">renewable resources have </w:t>
            </w:r>
            <w:r>
              <w:rPr>
                <w:rFonts w:ascii="Times New Roman" w:hAnsi="Times New Roman" w:cs="Times New Roman"/>
                <w:sz w:val="24"/>
                <w:szCs w:val="24"/>
              </w:rPr>
              <w:t>v</w:t>
            </w:r>
            <w:r w:rsidRPr="00FD5EB2">
              <w:rPr>
                <w:rFonts w:ascii="Times New Roman" w:hAnsi="Times New Roman" w:cs="Times New Roman"/>
                <w:sz w:val="24"/>
                <w:szCs w:val="24"/>
              </w:rPr>
              <w:t>ariable output.</w:t>
            </w:r>
          </w:p>
          <w:p w:rsidR="00550856" w:rsidRDefault="00550856" w:rsidP="0075620B">
            <w:pPr>
              <w:spacing w:before="240" w:after="120"/>
              <w:rPr>
                <w:rFonts w:ascii="Times New Roman" w:hAnsi="Times New Roman" w:cs="Times New Roman"/>
                <w:sz w:val="24"/>
                <w:szCs w:val="24"/>
              </w:rPr>
            </w:pPr>
            <w:r>
              <w:rPr>
                <w:rFonts w:ascii="Times New Roman" w:hAnsi="Times New Roman" w:cs="Times New Roman"/>
                <w:sz w:val="24"/>
                <w:szCs w:val="24"/>
              </w:rPr>
              <w:t xml:space="preserve">In </w:t>
            </w:r>
            <w:r w:rsidR="000157DF">
              <w:rPr>
                <w:rFonts w:ascii="Times New Roman" w:hAnsi="Times New Roman" w:cs="Times New Roman"/>
                <w:sz w:val="24"/>
                <w:szCs w:val="24"/>
              </w:rPr>
              <w:t xml:space="preserve">their </w:t>
            </w:r>
            <w:r>
              <w:rPr>
                <w:rFonts w:ascii="Times New Roman" w:hAnsi="Times New Roman" w:cs="Times New Roman"/>
                <w:sz w:val="24"/>
                <w:szCs w:val="24"/>
              </w:rPr>
              <w:t>comment</w:t>
            </w:r>
            <w:r w:rsidR="00F0416B">
              <w:rPr>
                <w:rFonts w:ascii="Times New Roman" w:hAnsi="Times New Roman" w:cs="Times New Roman"/>
                <w:sz w:val="24"/>
                <w:szCs w:val="24"/>
              </w:rPr>
              <w:t>,</w:t>
            </w:r>
            <w:r>
              <w:rPr>
                <w:rFonts w:ascii="Times New Roman" w:hAnsi="Times New Roman" w:cs="Times New Roman"/>
                <w:sz w:val="24"/>
                <w:szCs w:val="24"/>
              </w:rPr>
              <w:t xml:space="preserve"> the </w:t>
            </w:r>
            <w:r w:rsidRPr="0015367C">
              <w:rPr>
                <w:rFonts w:ascii="Times New Roman" w:hAnsi="Times New Roman" w:cs="Times New Roman"/>
                <w:b/>
                <w:sz w:val="24"/>
                <w:szCs w:val="24"/>
              </w:rPr>
              <w:t>Joint Coalition</w:t>
            </w:r>
            <w:r>
              <w:rPr>
                <w:rFonts w:ascii="Times New Roman" w:hAnsi="Times New Roman" w:cs="Times New Roman"/>
                <w:sz w:val="24"/>
                <w:szCs w:val="24"/>
              </w:rPr>
              <w:t xml:space="preserve"> takes the contrary position stating that the rules are faithful to the statute.  Citing from the I-937 rulemaking, the coalition states that a detailed legal analysis of this issue took place at that time. The analysis, they say, was robust and sound.  They believe the plain meaning of the words in the statute of “use” or “acquire” eligible renewable resources and/or RECs by January 1 cannot be modified by rule. While the utility is permitted to rely on </w:t>
            </w:r>
            <w:r w:rsidRPr="0015367C">
              <w:rPr>
                <w:rFonts w:ascii="Times New Roman" w:hAnsi="Times New Roman" w:cs="Times New Roman"/>
                <w:sz w:val="24"/>
                <w:szCs w:val="24"/>
              </w:rPr>
              <w:t>subsequent year RECs pursuant to the statute,</w:t>
            </w:r>
            <w:r>
              <w:rPr>
                <w:rFonts w:ascii="Times New Roman" w:hAnsi="Times New Roman" w:cs="Times New Roman"/>
                <w:sz w:val="24"/>
                <w:szCs w:val="24"/>
              </w:rPr>
              <w:t xml:space="preserve"> the </w:t>
            </w:r>
            <w:r w:rsidRPr="00D30899">
              <w:rPr>
                <w:rFonts w:ascii="Times New Roman" w:hAnsi="Times New Roman" w:cs="Times New Roman"/>
                <w:b/>
                <w:sz w:val="24"/>
                <w:szCs w:val="24"/>
              </w:rPr>
              <w:t>Joint Coalition</w:t>
            </w:r>
            <w:r>
              <w:rPr>
                <w:rFonts w:ascii="Times New Roman" w:hAnsi="Times New Roman" w:cs="Times New Roman"/>
                <w:b/>
                <w:sz w:val="24"/>
                <w:szCs w:val="24"/>
              </w:rPr>
              <w:t xml:space="preserve"> </w:t>
            </w:r>
            <w:r>
              <w:rPr>
                <w:rFonts w:ascii="Times New Roman" w:hAnsi="Times New Roman" w:cs="Times New Roman"/>
                <w:sz w:val="24"/>
                <w:szCs w:val="24"/>
              </w:rPr>
              <w:t xml:space="preserve">believes </w:t>
            </w:r>
            <w:r w:rsidRPr="0015367C">
              <w:rPr>
                <w:rFonts w:ascii="Times New Roman" w:hAnsi="Times New Roman" w:cs="Times New Roman"/>
                <w:sz w:val="24"/>
                <w:szCs w:val="24"/>
              </w:rPr>
              <w:t xml:space="preserve">the only way to give meaning to that </w:t>
            </w:r>
            <w:r w:rsidRPr="0015367C">
              <w:rPr>
                <w:rFonts w:ascii="Times New Roman" w:hAnsi="Times New Roman" w:cs="Times New Roman"/>
                <w:sz w:val="24"/>
                <w:szCs w:val="24"/>
              </w:rPr>
              <w:lastRenderedPageBreak/>
              <w:t>provision and</w:t>
            </w:r>
            <w:r>
              <w:rPr>
                <w:rFonts w:ascii="Times New Roman" w:hAnsi="Times New Roman" w:cs="Times New Roman"/>
                <w:sz w:val="24"/>
                <w:szCs w:val="24"/>
              </w:rPr>
              <w:t xml:space="preserve"> </w:t>
            </w:r>
            <w:r w:rsidRPr="0015367C">
              <w:rPr>
                <w:rFonts w:ascii="Times New Roman" w:hAnsi="Times New Roman" w:cs="Times New Roman"/>
                <w:sz w:val="24"/>
                <w:szCs w:val="24"/>
              </w:rPr>
              <w:t>all of the other provisions of the statute is to permit the utility to rely on future RECs that are</w:t>
            </w:r>
            <w:r>
              <w:rPr>
                <w:rFonts w:ascii="Times New Roman" w:hAnsi="Times New Roman" w:cs="Times New Roman"/>
                <w:sz w:val="24"/>
                <w:szCs w:val="24"/>
              </w:rPr>
              <w:t xml:space="preserve"> </w:t>
            </w:r>
            <w:r w:rsidRPr="0015367C">
              <w:rPr>
                <w:rFonts w:ascii="Times New Roman" w:hAnsi="Times New Roman" w:cs="Times New Roman"/>
                <w:sz w:val="24"/>
                <w:szCs w:val="24"/>
              </w:rPr>
              <w:t>acquired by January 1 of the target year.</w:t>
            </w:r>
            <w:r>
              <w:rPr>
                <w:rFonts w:ascii="Times New Roman" w:hAnsi="Times New Roman" w:cs="Times New Roman"/>
                <w:sz w:val="24"/>
                <w:szCs w:val="24"/>
              </w:rPr>
              <w:t xml:space="preserve"> </w:t>
            </w:r>
          </w:p>
          <w:p w:rsidR="00CC6E58" w:rsidRDefault="00550856" w:rsidP="00210D2D">
            <w:pPr>
              <w:spacing w:before="240"/>
              <w:rPr>
                <w:rFonts w:ascii="Times New Roman" w:hAnsi="Times New Roman" w:cs="Times New Roman"/>
                <w:sz w:val="24"/>
                <w:szCs w:val="24"/>
              </w:rPr>
            </w:pPr>
            <w:r>
              <w:rPr>
                <w:rFonts w:ascii="Times New Roman" w:hAnsi="Times New Roman" w:cs="Times New Roman"/>
                <w:sz w:val="24"/>
                <w:szCs w:val="24"/>
              </w:rPr>
              <w:t xml:space="preserve">In its reply, Avista respectfully disagrees with the </w:t>
            </w:r>
            <w:r w:rsidRPr="00210D2D">
              <w:rPr>
                <w:rFonts w:ascii="Times New Roman" w:hAnsi="Times New Roman" w:cs="Times New Roman"/>
                <w:b/>
                <w:sz w:val="24"/>
                <w:szCs w:val="24"/>
              </w:rPr>
              <w:t>Joint Coalition</w:t>
            </w:r>
            <w:r>
              <w:rPr>
                <w:rFonts w:ascii="Times New Roman" w:hAnsi="Times New Roman" w:cs="Times New Roman"/>
                <w:sz w:val="24"/>
                <w:szCs w:val="24"/>
              </w:rPr>
              <w:t>’s reading of the law and proposes a revised WAC 480-109-020(2)</w:t>
            </w:r>
          </w:p>
          <w:p w:rsidR="00CC6E58" w:rsidRDefault="00CC6E58" w:rsidP="00210D2D">
            <w:pPr>
              <w:spacing w:before="240"/>
              <w:rPr>
                <w:rFonts w:ascii="Times New Roman" w:hAnsi="Times New Roman" w:cs="Times New Roman"/>
                <w:sz w:val="24"/>
                <w:szCs w:val="24"/>
              </w:rPr>
            </w:pPr>
          </w:p>
          <w:p w:rsidR="00CC6E58" w:rsidRDefault="00CC6E58" w:rsidP="00210D2D">
            <w:pPr>
              <w:spacing w:before="240"/>
              <w:rPr>
                <w:rFonts w:ascii="Times New Roman" w:hAnsi="Times New Roman" w:cs="Times New Roman"/>
                <w:sz w:val="24"/>
                <w:szCs w:val="24"/>
              </w:rPr>
            </w:pPr>
          </w:p>
          <w:p w:rsidR="00CC6E58" w:rsidRDefault="00CC6E58" w:rsidP="00210D2D">
            <w:pPr>
              <w:spacing w:before="240"/>
              <w:rPr>
                <w:rFonts w:ascii="Times New Roman" w:hAnsi="Times New Roman" w:cs="Times New Roman"/>
                <w:sz w:val="24"/>
                <w:szCs w:val="24"/>
              </w:rPr>
            </w:pPr>
          </w:p>
          <w:p w:rsidR="00550856" w:rsidRPr="008E6542" w:rsidRDefault="00550856" w:rsidP="00210D2D">
            <w:pPr>
              <w:spacing w:before="240"/>
              <w:rPr>
                <w:rFonts w:ascii="Times New Roman" w:hAnsi="Times New Roman" w:cs="Times New Roman"/>
                <w:sz w:val="24"/>
                <w:szCs w:val="24"/>
              </w:rPr>
            </w:pPr>
            <w:r>
              <w:rPr>
                <w:rFonts w:ascii="Times New Roman" w:hAnsi="Times New Roman" w:cs="Times New Roman"/>
                <w:sz w:val="24"/>
                <w:szCs w:val="24"/>
              </w:rPr>
              <w:t xml:space="preserve">. </w:t>
            </w:r>
          </w:p>
        </w:tc>
      </w:tr>
      <w:tr w:rsidR="00EE5A12" w:rsidTr="000157DF">
        <w:trPr>
          <w:trHeight w:val="1160"/>
        </w:trPr>
        <w:tc>
          <w:tcPr>
            <w:tcW w:w="9870" w:type="dxa"/>
            <w:shd w:val="clear" w:color="auto" w:fill="C6D9F1" w:themeFill="text2" w:themeFillTint="33"/>
            <w:vAlign w:val="center"/>
          </w:tcPr>
          <w:p w:rsidR="00EE5A12" w:rsidRPr="00B164EB" w:rsidRDefault="00EE5A12" w:rsidP="00013537">
            <w:pPr>
              <w:pStyle w:val="ListParagraph"/>
              <w:ind w:left="1302" w:hanging="990"/>
              <w:rPr>
                <w:rFonts w:ascii="Times New Roman" w:hAnsi="Times New Roman" w:cs="Times New Roman"/>
                <w:sz w:val="24"/>
                <w:szCs w:val="24"/>
              </w:rPr>
            </w:pPr>
          </w:p>
        </w:tc>
      </w:tr>
    </w:tbl>
    <w:p w:rsidR="00EE5A12" w:rsidRDefault="00EE5A12">
      <w:r>
        <w:br w:type="page"/>
      </w:r>
    </w:p>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550856" w:rsidTr="00550856">
        <w:trPr>
          <w:trHeight w:val="1160"/>
        </w:trPr>
        <w:tc>
          <w:tcPr>
            <w:tcW w:w="9870" w:type="dxa"/>
            <w:shd w:val="clear" w:color="auto" w:fill="C6D9F1" w:themeFill="text2" w:themeFillTint="33"/>
            <w:vAlign w:val="center"/>
          </w:tcPr>
          <w:p w:rsidR="00550856" w:rsidRPr="004E5D6D" w:rsidRDefault="00550856" w:rsidP="00E529FC">
            <w:pPr>
              <w:ind w:left="402" w:hanging="402"/>
              <w:rPr>
                <w:rFonts w:ascii="Times New Roman" w:hAnsi="Times New Roman" w:cs="Times New Roman"/>
                <w:b/>
                <w:sz w:val="24"/>
                <w:szCs w:val="24"/>
              </w:rPr>
            </w:pPr>
            <w:r w:rsidRPr="00C162AD">
              <w:rPr>
                <w:rFonts w:ascii="Times New Roman" w:hAnsi="Times New Roman" w:cs="Times New Roman"/>
                <w:b/>
                <w:sz w:val="24"/>
                <w:szCs w:val="24"/>
              </w:rPr>
              <w:lastRenderedPageBreak/>
              <w:t xml:space="preserve">11) </w:t>
            </w:r>
            <w:r w:rsidRPr="00C162AD">
              <w:rPr>
                <w:rFonts w:ascii="Times New Roman" w:hAnsi="Times New Roman" w:cs="Times New Roman"/>
                <w:b/>
                <w:i/>
                <w:sz w:val="24"/>
                <w:szCs w:val="24"/>
              </w:rPr>
              <w:t>WREGIS Agent</w:t>
            </w:r>
            <w:r w:rsidRPr="00C162AD">
              <w:rPr>
                <w:rFonts w:ascii="Times New Roman" w:hAnsi="Times New Roman" w:cs="Times New Roman"/>
                <w:b/>
                <w:sz w:val="24"/>
                <w:szCs w:val="24"/>
              </w:rPr>
              <w:t>.</w:t>
            </w:r>
            <w:r w:rsidRPr="00012431">
              <w:rPr>
                <w:rFonts w:ascii="Times New Roman" w:hAnsi="Times New Roman" w:cs="Times New Roman"/>
                <w:sz w:val="24"/>
                <w:szCs w:val="24"/>
              </w:rPr>
              <w:t xml:space="preserve">  What agency should be responsible for oversight of registration of renewable resources and confirmation of eligibility in </w:t>
            </w:r>
            <w:r w:rsidR="00F0416B">
              <w:rPr>
                <w:rFonts w:ascii="Times New Roman" w:hAnsi="Times New Roman" w:cs="Times New Roman"/>
                <w:sz w:val="24"/>
                <w:szCs w:val="24"/>
              </w:rPr>
              <w:t xml:space="preserve">the </w:t>
            </w:r>
            <w:r w:rsidRPr="00012431">
              <w:rPr>
                <w:rFonts w:ascii="Times New Roman" w:hAnsi="Times New Roman" w:cs="Times New Roman"/>
                <w:sz w:val="24"/>
                <w:szCs w:val="24"/>
              </w:rPr>
              <w:t>Western Renewable Energy Generation Information System?  Discuss the duties and responsibilities of a WREGIS Agent.</w:t>
            </w:r>
          </w:p>
        </w:tc>
      </w:tr>
      <w:tr w:rsidR="00550856" w:rsidTr="00550856">
        <w:trPr>
          <w:trHeight w:val="1160"/>
        </w:trPr>
        <w:tc>
          <w:tcPr>
            <w:tcW w:w="9870" w:type="dxa"/>
            <w:shd w:val="clear" w:color="auto" w:fill="auto"/>
          </w:tcPr>
          <w:p w:rsidR="00550856" w:rsidRDefault="00550856" w:rsidP="00E24F21">
            <w:pPr>
              <w:spacing w:after="0"/>
              <w:rPr>
                <w:rFonts w:ascii="Times New Roman" w:hAnsi="Times New Roman" w:cs="Times New Roman"/>
                <w:b/>
                <w:sz w:val="24"/>
                <w:szCs w:val="24"/>
              </w:rPr>
            </w:pPr>
          </w:p>
          <w:p w:rsidR="00550856" w:rsidRDefault="00550856" w:rsidP="004E5D6D">
            <w:pPr>
              <w:rPr>
                <w:rFonts w:ascii="Times New Roman" w:hAnsi="Times New Roman" w:cs="Times New Roman"/>
                <w:sz w:val="24"/>
                <w:szCs w:val="24"/>
              </w:rPr>
            </w:pPr>
            <w:r w:rsidRPr="004E5D6D">
              <w:rPr>
                <w:rFonts w:ascii="Times New Roman" w:hAnsi="Times New Roman" w:cs="Times New Roman"/>
                <w:b/>
                <w:sz w:val="24"/>
                <w:szCs w:val="24"/>
              </w:rPr>
              <w:t>Avista</w:t>
            </w:r>
            <w:r>
              <w:rPr>
                <w:rFonts w:ascii="Times New Roman" w:hAnsi="Times New Roman" w:cs="Times New Roman"/>
                <w:sz w:val="24"/>
                <w:szCs w:val="24"/>
              </w:rPr>
              <w:t xml:space="preserve"> suggested that a</w:t>
            </w:r>
            <w:r w:rsidRPr="004E5D6D">
              <w:rPr>
                <w:rFonts w:ascii="Times New Roman" w:hAnsi="Times New Roman" w:cs="Times New Roman"/>
                <w:sz w:val="24"/>
                <w:szCs w:val="24"/>
              </w:rPr>
              <w:t xml:space="preserve"> member of the Commission Staff be assigned as the WREGIS</w:t>
            </w:r>
            <w:r>
              <w:rPr>
                <w:rFonts w:ascii="Times New Roman" w:hAnsi="Times New Roman" w:cs="Times New Roman"/>
                <w:sz w:val="24"/>
                <w:szCs w:val="24"/>
              </w:rPr>
              <w:t xml:space="preserve"> </w:t>
            </w:r>
            <w:r w:rsidRPr="004E5D6D">
              <w:rPr>
                <w:rFonts w:ascii="Times New Roman" w:hAnsi="Times New Roman" w:cs="Times New Roman"/>
                <w:sz w:val="24"/>
                <w:szCs w:val="24"/>
              </w:rPr>
              <w:t>Agent to ensure that RECs submitted as eligible for compliance with a renewable</w:t>
            </w:r>
            <w:r>
              <w:rPr>
                <w:rFonts w:ascii="Times New Roman" w:hAnsi="Times New Roman" w:cs="Times New Roman"/>
                <w:sz w:val="24"/>
                <w:szCs w:val="24"/>
              </w:rPr>
              <w:t xml:space="preserve"> </w:t>
            </w:r>
            <w:r w:rsidRPr="004E5D6D">
              <w:rPr>
                <w:rFonts w:ascii="Times New Roman" w:hAnsi="Times New Roman" w:cs="Times New Roman"/>
                <w:sz w:val="24"/>
                <w:szCs w:val="24"/>
              </w:rPr>
              <w:t>resource acquisition target actually meet the eligibility requirements.</w:t>
            </w:r>
          </w:p>
          <w:p w:rsidR="00550856" w:rsidRDefault="00550856" w:rsidP="004E5D6D">
            <w:pPr>
              <w:rPr>
                <w:rFonts w:ascii="Times New Roman" w:hAnsi="Times New Roman" w:cs="Times New Roman"/>
                <w:sz w:val="24"/>
                <w:szCs w:val="24"/>
              </w:rPr>
            </w:pPr>
            <w:r w:rsidRPr="004E5D6D">
              <w:rPr>
                <w:rFonts w:ascii="Times New Roman" w:hAnsi="Times New Roman" w:cs="Times New Roman"/>
                <w:b/>
                <w:sz w:val="24"/>
                <w:szCs w:val="24"/>
              </w:rPr>
              <w:t>PacifiCorp</w:t>
            </w:r>
            <w:r w:rsidR="00F0416B">
              <w:rPr>
                <w:rFonts w:ascii="Times New Roman" w:hAnsi="Times New Roman" w:cs="Times New Roman"/>
                <w:b/>
                <w:sz w:val="24"/>
                <w:szCs w:val="24"/>
              </w:rPr>
              <w:t xml:space="preserve"> </w:t>
            </w:r>
            <w:r w:rsidR="00F0416B" w:rsidRPr="0012158E">
              <w:rPr>
                <w:rFonts w:ascii="Times New Roman" w:hAnsi="Times New Roman" w:cs="Times New Roman"/>
                <w:sz w:val="24"/>
                <w:szCs w:val="24"/>
              </w:rPr>
              <w:t>also</w:t>
            </w:r>
            <w:r>
              <w:rPr>
                <w:rFonts w:ascii="Times New Roman" w:hAnsi="Times New Roman" w:cs="Times New Roman"/>
                <w:sz w:val="24"/>
                <w:szCs w:val="24"/>
              </w:rPr>
              <w:t xml:space="preserve"> </w:t>
            </w:r>
            <w:r w:rsidRPr="004E5D6D">
              <w:rPr>
                <w:rFonts w:ascii="Times New Roman" w:hAnsi="Times New Roman" w:cs="Times New Roman"/>
                <w:sz w:val="24"/>
                <w:szCs w:val="24"/>
              </w:rPr>
              <w:t>recommend</w:t>
            </w:r>
            <w:r w:rsidR="00F0416B">
              <w:rPr>
                <w:rFonts w:ascii="Times New Roman" w:hAnsi="Times New Roman" w:cs="Times New Roman"/>
                <w:sz w:val="24"/>
                <w:szCs w:val="24"/>
              </w:rPr>
              <w:t>s</w:t>
            </w:r>
            <w:r w:rsidRPr="004E5D6D">
              <w:rPr>
                <w:rFonts w:ascii="Times New Roman" w:hAnsi="Times New Roman" w:cs="Times New Roman"/>
                <w:sz w:val="24"/>
                <w:szCs w:val="24"/>
              </w:rPr>
              <w:t xml:space="preserve"> the Commission assign a member of the Commission staff as the</w:t>
            </w:r>
            <w:r>
              <w:rPr>
                <w:rFonts w:ascii="Times New Roman" w:hAnsi="Times New Roman" w:cs="Times New Roman"/>
                <w:sz w:val="24"/>
                <w:szCs w:val="24"/>
              </w:rPr>
              <w:t xml:space="preserve"> </w:t>
            </w:r>
            <w:r w:rsidRPr="004E5D6D">
              <w:rPr>
                <w:rFonts w:ascii="Times New Roman" w:hAnsi="Times New Roman" w:cs="Times New Roman"/>
                <w:sz w:val="24"/>
                <w:szCs w:val="24"/>
              </w:rPr>
              <w:t>"WREGIS Agent".</w:t>
            </w:r>
            <w:r>
              <w:rPr>
                <w:rFonts w:ascii="Times New Roman" w:hAnsi="Times New Roman" w:cs="Times New Roman"/>
                <w:sz w:val="24"/>
                <w:szCs w:val="24"/>
              </w:rPr>
              <w:t xml:space="preserve">  </w:t>
            </w:r>
            <w:r w:rsidR="00F0416B">
              <w:rPr>
                <w:rFonts w:ascii="Times New Roman" w:hAnsi="Times New Roman" w:cs="Times New Roman"/>
                <w:sz w:val="24"/>
                <w:szCs w:val="24"/>
              </w:rPr>
              <w:t xml:space="preserve">It </w:t>
            </w:r>
            <w:r>
              <w:rPr>
                <w:rFonts w:ascii="Times New Roman" w:hAnsi="Times New Roman" w:cs="Times New Roman"/>
                <w:sz w:val="24"/>
                <w:szCs w:val="24"/>
              </w:rPr>
              <w:t>believe</w:t>
            </w:r>
            <w:r w:rsidR="00F0416B">
              <w:rPr>
                <w:rFonts w:ascii="Times New Roman" w:hAnsi="Times New Roman" w:cs="Times New Roman"/>
                <w:sz w:val="24"/>
                <w:szCs w:val="24"/>
              </w:rPr>
              <w:t>s</w:t>
            </w:r>
            <w:r>
              <w:rPr>
                <w:rFonts w:ascii="Times New Roman" w:hAnsi="Times New Roman" w:cs="Times New Roman"/>
                <w:sz w:val="24"/>
                <w:szCs w:val="24"/>
              </w:rPr>
              <w:t xml:space="preserve"> that the</w:t>
            </w:r>
            <w:r w:rsidRPr="004E5D6D">
              <w:rPr>
                <w:rFonts w:ascii="Times New Roman" w:hAnsi="Times New Roman" w:cs="Times New Roman"/>
                <w:sz w:val="24"/>
                <w:szCs w:val="24"/>
              </w:rPr>
              <w:t xml:space="preserve"> duties of the Washington WREGIS Agent are not </w:t>
            </w:r>
            <w:r>
              <w:rPr>
                <w:rFonts w:ascii="Times New Roman" w:hAnsi="Times New Roman" w:cs="Times New Roman"/>
                <w:sz w:val="24"/>
                <w:szCs w:val="24"/>
              </w:rPr>
              <w:t>b</w:t>
            </w:r>
            <w:r w:rsidRPr="004E5D6D">
              <w:rPr>
                <w:rFonts w:ascii="Times New Roman" w:hAnsi="Times New Roman" w:cs="Times New Roman"/>
                <w:sz w:val="24"/>
                <w:szCs w:val="24"/>
              </w:rPr>
              <w:t>urdensome</w:t>
            </w:r>
            <w:r w:rsidR="00F0416B">
              <w:rPr>
                <w:rFonts w:ascii="Times New Roman" w:hAnsi="Times New Roman" w:cs="Times New Roman"/>
                <w:sz w:val="24"/>
                <w:szCs w:val="24"/>
              </w:rPr>
              <w:t xml:space="preserve"> and</w:t>
            </w:r>
            <w:r w:rsidRPr="004E5D6D">
              <w:rPr>
                <w:rFonts w:ascii="Times New Roman" w:hAnsi="Times New Roman" w:cs="Times New Roman"/>
                <w:sz w:val="24"/>
                <w:szCs w:val="24"/>
              </w:rPr>
              <w:t xml:space="preserve"> includ</w:t>
            </w:r>
            <w:r w:rsidR="00F0416B">
              <w:rPr>
                <w:rFonts w:ascii="Times New Roman" w:hAnsi="Times New Roman" w:cs="Times New Roman"/>
                <w:sz w:val="24"/>
                <w:szCs w:val="24"/>
              </w:rPr>
              <w:t>e</w:t>
            </w:r>
            <w:r>
              <w:rPr>
                <w:rFonts w:ascii="Times New Roman" w:hAnsi="Times New Roman" w:cs="Times New Roman"/>
                <w:sz w:val="24"/>
                <w:szCs w:val="24"/>
              </w:rPr>
              <w:t xml:space="preserve"> </w:t>
            </w:r>
            <w:r w:rsidR="0012158E">
              <w:rPr>
                <w:rFonts w:ascii="Times New Roman" w:hAnsi="Times New Roman" w:cs="Times New Roman"/>
                <w:sz w:val="24"/>
                <w:szCs w:val="24"/>
              </w:rPr>
              <w:t>r</w:t>
            </w:r>
            <w:r w:rsidR="0012158E" w:rsidRPr="004E5D6D">
              <w:rPr>
                <w:rFonts w:ascii="Times New Roman" w:hAnsi="Times New Roman" w:cs="Times New Roman"/>
                <w:sz w:val="24"/>
                <w:szCs w:val="24"/>
              </w:rPr>
              <w:t>egister</w:t>
            </w:r>
            <w:r w:rsidR="0012158E">
              <w:rPr>
                <w:rFonts w:ascii="Times New Roman" w:hAnsi="Times New Roman" w:cs="Times New Roman"/>
                <w:sz w:val="24"/>
                <w:szCs w:val="24"/>
              </w:rPr>
              <w:t>ing</w:t>
            </w:r>
            <w:r w:rsidRPr="004E5D6D">
              <w:rPr>
                <w:rFonts w:ascii="Times New Roman" w:hAnsi="Times New Roman" w:cs="Times New Roman"/>
                <w:sz w:val="24"/>
                <w:szCs w:val="24"/>
              </w:rPr>
              <w:t xml:space="preserve"> in WREGIS as a "State Program Administrator"</w:t>
            </w:r>
            <w:r w:rsidR="00F0416B">
              <w:rPr>
                <w:rFonts w:ascii="Times New Roman" w:hAnsi="Times New Roman" w:cs="Times New Roman"/>
                <w:sz w:val="24"/>
                <w:szCs w:val="24"/>
              </w:rPr>
              <w:t xml:space="preserve">, </w:t>
            </w:r>
            <w:r w:rsidRPr="004E5D6D">
              <w:rPr>
                <w:rFonts w:ascii="Times New Roman" w:hAnsi="Times New Roman" w:cs="Times New Roman"/>
                <w:sz w:val="24"/>
                <w:szCs w:val="24"/>
              </w:rPr>
              <w:t xml:space="preserve"> set</w:t>
            </w:r>
            <w:r w:rsidR="00F0416B">
              <w:rPr>
                <w:rFonts w:ascii="Times New Roman" w:hAnsi="Times New Roman" w:cs="Times New Roman"/>
                <w:sz w:val="24"/>
                <w:szCs w:val="24"/>
              </w:rPr>
              <w:t>ting</w:t>
            </w:r>
            <w:r w:rsidRPr="004E5D6D">
              <w:rPr>
                <w:rFonts w:ascii="Times New Roman" w:hAnsi="Times New Roman" w:cs="Times New Roman"/>
                <w:sz w:val="24"/>
                <w:szCs w:val="24"/>
              </w:rPr>
              <w:t xml:space="preserve"> up a state-specific</w:t>
            </w:r>
            <w:r>
              <w:rPr>
                <w:rFonts w:ascii="Times New Roman" w:hAnsi="Times New Roman" w:cs="Times New Roman"/>
                <w:sz w:val="24"/>
                <w:szCs w:val="24"/>
              </w:rPr>
              <w:t xml:space="preserve"> </w:t>
            </w:r>
            <w:r w:rsidRPr="004E5D6D">
              <w:rPr>
                <w:rFonts w:ascii="Times New Roman" w:hAnsi="Times New Roman" w:cs="Times New Roman"/>
                <w:sz w:val="24"/>
                <w:szCs w:val="24"/>
              </w:rPr>
              <w:t>Washington RPS program in WREGIS</w:t>
            </w:r>
            <w:r w:rsidR="00F0416B">
              <w:rPr>
                <w:rFonts w:ascii="Times New Roman" w:hAnsi="Times New Roman" w:cs="Times New Roman"/>
                <w:sz w:val="24"/>
                <w:szCs w:val="24"/>
              </w:rPr>
              <w:t xml:space="preserve">, and </w:t>
            </w:r>
            <w:r>
              <w:rPr>
                <w:rFonts w:ascii="Times New Roman" w:hAnsi="Times New Roman" w:cs="Times New Roman"/>
                <w:sz w:val="24"/>
                <w:szCs w:val="24"/>
              </w:rPr>
              <w:t>d</w:t>
            </w:r>
            <w:r w:rsidRPr="004E5D6D">
              <w:rPr>
                <w:rFonts w:ascii="Times New Roman" w:hAnsi="Times New Roman" w:cs="Times New Roman"/>
                <w:sz w:val="24"/>
                <w:szCs w:val="24"/>
              </w:rPr>
              <w:t>efin</w:t>
            </w:r>
            <w:r>
              <w:rPr>
                <w:rFonts w:ascii="Times New Roman" w:hAnsi="Times New Roman" w:cs="Times New Roman"/>
                <w:sz w:val="24"/>
                <w:szCs w:val="24"/>
              </w:rPr>
              <w:t>ing</w:t>
            </w:r>
            <w:r w:rsidRPr="004E5D6D">
              <w:rPr>
                <w:rFonts w:ascii="Times New Roman" w:hAnsi="Times New Roman" w:cs="Times New Roman"/>
                <w:sz w:val="24"/>
                <w:szCs w:val="24"/>
              </w:rPr>
              <w:t xml:space="preserve"> Washington eligibility requirements and communicate them to utilities or</w:t>
            </w:r>
            <w:r>
              <w:rPr>
                <w:rFonts w:ascii="Times New Roman" w:hAnsi="Times New Roman" w:cs="Times New Roman"/>
                <w:sz w:val="24"/>
                <w:szCs w:val="24"/>
              </w:rPr>
              <w:t xml:space="preserve"> </w:t>
            </w:r>
            <w:r w:rsidRPr="004E5D6D">
              <w:rPr>
                <w:rFonts w:ascii="Times New Roman" w:hAnsi="Times New Roman" w:cs="Times New Roman"/>
                <w:sz w:val="24"/>
                <w:szCs w:val="24"/>
              </w:rPr>
              <w:t>generators so facilities can be registered for the Washington RPS</w:t>
            </w:r>
            <w:r>
              <w:rPr>
                <w:rFonts w:ascii="Times New Roman" w:hAnsi="Times New Roman" w:cs="Times New Roman"/>
                <w:sz w:val="24"/>
                <w:szCs w:val="24"/>
              </w:rPr>
              <w:t xml:space="preserve"> </w:t>
            </w:r>
            <w:r w:rsidRPr="004E5D6D">
              <w:rPr>
                <w:rFonts w:ascii="Times New Roman" w:hAnsi="Times New Roman" w:cs="Times New Roman"/>
                <w:sz w:val="24"/>
                <w:szCs w:val="24"/>
              </w:rPr>
              <w:t>program.</w:t>
            </w:r>
            <w:r>
              <w:rPr>
                <w:rFonts w:ascii="Times New Roman" w:hAnsi="Times New Roman" w:cs="Times New Roman"/>
                <w:sz w:val="24"/>
                <w:szCs w:val="24"/>
              </w:rPr>
              <w:t xml:space="preserve">  The staff member would also r</w:t>
            </w:r>
            <w:r w:rsidRPr="004E5D6D">
              <w:rPr>
                <w:rFonts w:ascii="Times New Roman" w:hAnsi="Times New Roman" w:cs="Times New Roman"/>
                <w:sz w:val="24"/>
                <w:szCs w:val="24"/>
              </w:rPr>
              <w:t>eview, verify and approve facilities as eligible or not eligible with the Washington RPS</w:t>
            </w:r>
            <w:r>
              <w:rPr>
                <w:rFonts w:ascii="Times New Roman" w:hAnsi="Times New Roman" w:cs="Times New Roman"/>
                <w:sz w:val="24"/>
                <w:szCs w:val="24"/>
              </w:rPr>
              <w:t xml:space="preserve"> </w:t>
            </w:r>
            <w:r w:rsidRPr="004E5D6D">
              <w:rPr>
                <w:rFonts w:ascii="Times New Roman" w:hAnsi="Times New Roman" w:cs="Times New Roman"/>
                <w:sz w:val="24"/>
                <w:szCs w:val="24"/>
              </w:rPr>
              <w:t>program</w:t>
            </w:r>
            <w:r>
              <w:rPr>
                <w:rFonts w:ascii="Times New Roman" w:hAnsi="Times New Roman" w:cs="Times New Roman"/>
                <w:sz w:val="24"/>
                <w:szCs w:val="24"/>
              </w:rPr>
              <w:t xml:space="preserve">. </w:t>
            </w:r>
            <w:r w:rsidR="002678A5">
              <w:rPr>
                <w:rFonts w:ascii="Times New Roman" w:hAnsi="Times New Roman" w:cs="Times New Roman"/>
                <w:sz w:val="24"/>
                <w:szCs w:val="24"/>
              </w:rPr>
              <w:t xml:space="preserve"> </w:t>
            </w:r>
            <w:r>
              <w:rPr>
                <w:rFonts w:ascii="Times New Roman" w:hAnsi="Times New Roman" w:cs="Times New Roman"/>
                <w:sz w:val="24"/>
                <w:szCs w:val="24"/>
              </w:rPr>
              <w:t>Finally, a</w:t>
            </w:r>
            <w:r w:rsidRPr="004E5D6D">
              <w:rPr>
                <w:rFonts w:ascii="Times New Roman" w:hAnsi="Times New Roman" w:cs="Times New Roman"/>
                <w:sz w:val="24"/>
                <w:szCs w:val="24"/>
              </w:rPr>
              <w:t xml:space="preserve">s needed, </w:t>
            </w:r>
            <w:r w:rsidR="002678A5">
              <w:rPr>
                <w:rFonts w:ascii="Times New Roman" w:hAnsi="Times New Roman" w:cs="Times New Roman"/>
                <w:sz w:val="24"/>
                <w:szCs w:val="24"/>
              </w:rPr>
              <w:t xml:space="preserve">the agent </w:t>
            </w:r>
            <w:r>
              <w:rPr>
                <w:rFonts w:ascii="Times New Roman" w:hAnsi="Times New Roman" w:cs="Times New Roman"/>
                <w:sz w:val="24"/>
                <w:szCs w:val="24"/>
              </w:rPr>
              <w:t xml:space="preserve">would </w:t>
            </w:r>
            <w:r w:rsidRPr="004E5D6D">
              <w:rPr>
                <w:rFonts w:ascii="Times New Roman" w:hAnsi="Times New Roman" w:cs="Times New Roman"/>
                <w:sz w:val="24"/>
                <w:szCs w:val="24"/>
              </w:rPr>
              <w:t>monitor and utilize WREGIS to track compliance with the Washington RPS</w:t>
            </w:r>
            <w:r>
              <w:rPr>
                <w:rFonts w:ascii="Times New Roman" w:hAnsi="Times New Roman" w:cs="Times New Roman"/>
                <w:sz w:val="24"/>
                <w:szCs w:val="24"/>
              </w:rPr>
              <w:t xml:space="preserve"> </w:t>
            </w:r>
            <w:r w:rsidRPr="004E5D6D">
              <w:rPr>
                <w:rFonts w:ascii="Times New Roman" w:hAnsi="Times New Roman" w:cs="Times New Roman"/>
                <w:sz w:val="24"/>
                <w:szCs w:val="24"/>
              </w:rPr>
              <w:t>program requirements</w:t>
            </w:r>
            <w:r>
              <w:rPr>
                <w:rFonts w:ascii="Times New Roman" w:hAnsi="Times New Roman" w:cs="Times New Roman"/>
                <w:sz w:val="24"/>
                <w:szCs w:val="24"/>
              </w:rPr>
              <w:t xml:space="preserve"> and make recommendations</w:t>
            </w:r>
            <w:r w:rsidRPr="004E5D6D">
              <w:rPr>
                <w:rFonts w:ascii="Times New Roman" w:hAnsi="Times New Roman" w:cs="Times New Roman"/>
                <w:sz w:val="24"/>
                <w:szCs w:val="24"/>
              </w:rPr>
              <w:t>.</w:t>
            </w:r>
          </w:p>
          <w:p w:rsidR="00550856" w:rsidRDefault="00550856" w:rsidP="004E5D6D">
            <w:pPr>
              <w:rPr>
                <w:rFonts w:ascii="Times New Roman" w:hAnsi="Times New Roman" w:cs="Times New Roman"/>
                <w:sz w:val="24"/>
                <w:szCs w:val="24"/>
              </w:rPr>
            </w:pPr>
            <w:r w:rsidRPr="00C218C5">
              <w:rPr>
                <w:rFonts w:ascii="Times New Roman" w:hAnsi="Times New Roman" w:cs="Times New Roman"/>
                <w:b/>
                <w:sz w:val="24"/>
                <w:szCs w:val="24"/>
              </w:rPr>
              <w:t>PSE</w:t>
            </w:r>
            <w:r>
              <w:rPr>
                <w:rFonts w:ascii="Times New Roman" w:hAnsi="Times New Roman" w:cs="Times New Roman"/>
                <w:sz w:val="24"/>
                <w:szCs w:val="24"/>
              </w:rPr>
              <w:t xml:space="preserve"> highlighted that currently WREGIS is the selected entity to verify RECS in a Department of Commerce tracking system. </w:t>
            </w:r>
          </w:p>
          <w:p w:rsidR="00550856" w:rsidRPr="00C218C5" w:rsidRDefault="00550856" w:rsidP="00C218C5">
            <w:pPr>
              <w:rPr>
                <w:rFonts w:ascii="Times New Roman" w:hAnsi="Times New Roman" w:cs="Times New Roman"/>
                <w:sz w:val="24"/>
                <w:szCs w:val="24"/>
              </w:rPr>
            </w:pPr>
            <w:r>
              <w:rPr>
                <w:rFonts w:ascii="Times New Roman" w:hAnsi="Times New Roman" w:cs="Times New Roman"/>
                <w:sz w:val="24"/>
                <w:szCs w:val="24"/>
              </w:rPr>
              <w:t xml:space="preserve">The </w:t>
            </w:r>
            <w:r w:rsidRPr="00C218C5">
              <w:rPr>
                <w:rFonts w:ascii="Times New Roman" w:hAnsi="Times New Roman" w:cs="Times New Roman"/>
                <w:b/>
                <w:sz w:val="24"/>
                <w:szCs w:val="24"/>
              </w:rPr>
              <w:t>Joint Coalition</w:t>
            </w:r>
            <w:r>
              <w:rPr>
                <w:rFonts w:ascii="Times New Roman" w:hAnsi="Times New Roman" w:cs="Times New Roman"/>
                <w:sz w:val="24"/>
                <w:szCs w:val="24"/>
              </w:rPr>
              <w:t xml:space="preserve"> suggests that the Department of Commerce </w:t>
            </w:r>
            <w:r w:rsidR="002678A5">
              <w:rPr>
                <w:rFonts w:ascii="Times New Roman" w:hAnsi="Times New Roman" w:cs="Times New Roman"/>
                <w:sz w:val="24"/>
                <w:szCs w:val="24"/>
              </w:rPr>
              <w:t xml:space="preserve">is </w:t>
            </w:r>
            <w:r>
              <w:rPr>
                <w:rFonts w:ascii="Times New Roman" w:hAnsi="Times New Roman" w:cs="Times New Roman"/>
                <w:sz w:val="24"/>
                <w:szCs w:val="24"/>
              </w:rPr>
              <w:t xml:space="preserve">the appropriate state agency responsible for the oversight of registration of renewable resources and confirmation of eligibility. With the Department of Commerce’s responsibility for the selection of the tracking system and its charge of developing and disseminating energy information and analysis for Washington State, the coalition believes they are the logical choice. The </w:t>
            </w:r>
            <w:r w:rsidRPr="00C218C5">
              <w:rPr>
                <w:rFonts w:ascii="Times New Roman" w:hAnsi="Times New Roman" w:cs="Times New Roman"/>
                <w:b/>
                <w:sz w:val="24"/>
                <w:szCs w:val="24"/>
              </w:rPr>
              <w:t>Joint Coalition</w:t>
            </w:r>
            <w:r w:rsidRPr="00C218C5">
              <w:rPr>
                <w:rFonts w:ascii="Times New Roman" w:hAnsi="Times New Roman" w:cs="Times New Roman"/>
                <w:sz w:val="24"/>
                <w:szCs w:val="24"/>
              </w:rPr>
              <w:t xml:space="preserve"> </w:t>
            </w:r>
            <w:r>
              <w:rPr>
                <w:rFonts w:ascii="Times New Roman" w:hAnsi="Times New Roman" w:cs="Times New Roman"/>
                <w:sz w:val="24"/>
                <w:szCs w:val="24"/>
              </w:rPr>
              <w:t>emphasizes that t</w:t>
            </w:r>
            <w:r w:rsidRPr="00C218C5">
              <w:rPr>
                <w:rFonts w:ascii="Times New Roman" w:hAnsi="Times New Roman" w:cs="Times New Roman"/>
                <w:sz w:val="24"/>
                <w:szCs w:val="24"/>
              </w:rPr>
              <w:t>he role of the WREGIS Agent is intended to be policy neutral and not determine whether its renewable energy</w:t>
            </w:r>
            <w:r>
              <w:rPr>
                <w:rFonts w:ascii="Times New Roman" w:hAnsi="Times New Roman" w:cs="Times New Roman"/>
                <w:sz w:val="24"/>
                <w:szCs w:val="24"/>
              </w:rPr>
              <w:t xml:space="preserve"> </w:t>
            </w:r>
            <w:r w:rsidRPr="00C218C5">
              <w:rPr>
                <w:rFonts w:ascii="Times New Roman" w:hAnsi="Times New Roman" w:cs="Times New Roman"/>
                <w:sz w:val="24"/>
                <w:szCs w:val="24"/>
              </w:rPr>
              <w:t>certificates are eligible for particular regulatory programs such as I-937.</w:t>
            </w:r>
          </w:p>
          <w:p w:rsidR="00550856" w:rsidRDefault="00550856" w:rsidP="004E5D6D">
            <w:pPr>
              <w:rPr>
                <w:rFonts w:ascii="Times New Roman" w:hAnsi="Times New Roman" w:cs="Times New Roman"/>
                <w:sz w:val="24"/>
                <w:szCs w:val="24"/>
              </w:rPr>
            </w:pPr>
          </w:p>
          <w:p w:rsidR="00C162AD" w:rsidRPr="004E5D6D" w:rsidRDefault="00C162AD" w:rsidP="004E5D6D">
            <w:pPr>
              <w:rPr>
                <w:rFonts w:ascii="Times New Roman" w:hAnsi="Times New Roman" w:cs="Times New Roman"/>
                <w:sz w:val="24"/>
                <w:szCs w:val="24"/>
              </w:rPr>
            </w:pPr>
          </w:p>
        </w:tc>
      </w:tr>
      <w:tr w:rsidR="00E529FC" w:rsidTr="004464F4">
        <w:trPr>
          <w:trHeight w:val="1160"/>
        </w:trPr>
        <w:tc>
          <w:tcPr>
            <w:tcW w:w="9870" w:type="dxa"/>
            <w:shd w:val="clear" w:color="auto" w:fill="C6D9F1" w:themeFill="text2" w:themeFillTint="33"/>
            <w:vAlign w:val="center"/>
          </w:tcPr>
          <w:p w:rsidR="00E529FC" w:rsidRPr="00B164EB" w:rsidRDefault="00E529FC" w:rsidP="002E5746">
            <w:pPr>
              <w:pStyle w:val="ListParagraph"/>
              <w:ind w:left="1302" w:hanging="990"/>
              <w:rPr>
                <w:rFonts w:ascii="Times New Roman" w:hAnsi="Times New Roman" w:cs="Times New Roman"/>
                <w:sz w:val="24"/>
                <w:szCs w:val="24"/>
              </w:rPr>
            </w:pPr>
          </w:p>
        </w:tc>
      </w:tr>
    </w:tbl>
    <w:p w:rsidR="00A92481" w:rsidRDefault="00A92481">
      <w:r>
        <w:br w:type="page"/>
      </w:r>
    </w:p>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550856" w:rsidTr="00550856">
        <w:trPr>
          <w:trHeight w:val="1160"/>
        </w:trPr>
        <w:tc>
          <w:tcPr>
            <w:tcW w:w="9870" w:type="dxa"/>
            <w:shd w:val="clear" w:color="auto" w:fill="C6D9F1" w:themeFill="text2" w:themeFillTint="33"/>
            <w:vAlign w:val="center"/>
          </w:tcPr>
          <w:p w:rsidR="00550856" w:rsidRDefault="00550856" w:rsidP="003D5EAA">
            <w:pPr>
              <w:spacing w:after="120"/>
              <w:ind w:left="312" w:hanging="312"/>
              <w:rPr>
                <w:rFonts w:ascii="Times New Roman" w:hAnsi="Times New Roman" w:cs="Times New Roman"/>
                <w:b/>
                <w:sz w:val="24"/>
                <w:szCs w:val="24"/>
              </w:rPr>
            </w:pPr>
            <w:r w:rsidRPr="00C162AD">
              <w:rPr>
                <w:rFonts w:ascii="Times New Roman" w:hAnsi="Times New Roman" w:cs="Times New Roman"/>
                <w:b/>
                <w:sz w:val="24"/>
                <w:szCs w:val="24"/>
              </w:rPr>
              <w:lastRenderedPageBreak/>
              <w:t xml:space="preserve">12) </w:t>
            </w:r>
            <w:r w:rsidRPr="00C162AD">
              <w:rPr>
                <w:rFonts w:ascii="Times New Roman" w:hAnsi="Times New Roman" w:cs="Times New Roman"/>
                <w:b/>
                <w:i/>
                <w:sz w:val="24"/>
                <w:szCs w:val="24"/>
              </w:rPr>
              <w:t>REC Banking</w:t>
            </w:r>
            <w:r w:rsidRPr="00C162AD">
              <w:rPr>
                <w:rFonts w:ascii="Times New Roman" w:hAnsi="Times New Roman" w:cs="Times New Roman"/>
                <w:b/>
                <w:sz w:val="24"/>
                <w:szCs w:val="24"/>
              </w:rPr>
              <w:t>.</w:t>
            </w:r>
            <w:r w:rsidRPr="00012431">
              <w:rPr>
                <w:rFonts w:ascii="Times New Roman" w:hAnsi="Times New Roman" w:cs="Times New Roman"/>
                <w:sz w:val="24"/>
                <w:szCs w:val="24"/>
              </w:rPr>
              <w:t xml:space="preserve">  Does the current limited REC banking requirement impede renewable acquisition?  How would unlimited banking of RECs remove barriers to the acquisition of RPS resources?</w:t>
            </w:r>
          </w:p>
        </w:tc>
      </w:tr>
      <w:tr w:rsidR="00550856" w:rsidTr="00550856">
        <w:trPr>
          <w:trHeight w:val="1160"/>
        </w:trPr>
        <w:tc>
          <w:tcPr>
            <w:tcW w:w="9870" w:type="dxa"/>
            <w:shd w:val="clear" w:color="auto" w:fill="auto"/>
          </w:tcPr>
          <w:p w:rsidR="00550856" w:rsidRDefault="00550856" w:rsidP="00B05590">
            <w:pPr>
              <w:spacing w:after="0"/>
              <w:rPr>
                <w:rFonts w:ascii="Times New Roman" w:hAnsi="Times New Roman" w:cs="Times New Roman"/>
                <w:b/>
                <w:sz w:val="24"/>
                <w:szCs w:val="24"/>
              </w:rPr>
            </w:pPr>
          </w:p>
          <w:p w:rsidR="00550856" w:rsidRDefault="00550856" w:rsidP="00B15A35">
            <w:pPr>
              <w:spacing w:after="120"/>
              <w:rPr>
                <w:rFonts w:ascii="Times New Roman" w:hAnsi="Times New Roman" w:cs="Times New Roman"/>
                <w:sz w:val="24"/>
                <w:szCs w:val="24"/>
              </w:rPr>
            </w:pPr>
            <w:r>
              <w:rPr>
                <w:rFonts w:ascii="Times New Roman" w:hAnsi="Times New Roman" w:cs="Times New Roman"/>
                <w:b/>
                <w:sz w:val="24"/>
                <w:szCs w:val="24"/>
              </w:rPr>
              <w:t>Avista</w:t>
            </w:r>
            <w:r>
              <w:rPr>
                <w:rFonts w:ascii="Times New Roman" w:hAnsi="Times New Roman" w:cs="Times New Roman"/>
                <w:sz w:val="24"/>
                <w:szCs w:val="24"/>
              </w:rPr>
              <w:t xml:space="preserve"> does not feel that the </w:t>
            </w:r>
            <w:r w:rsidRPr="00616AA1">
              <w:rPr>
                <w:rFonts w:ascii="Times New Roman" w:hAnsi="Times New Roman" w:cs="Times New Roman"/>
                <w:sz w:val="24"/>
                <w:szCs w:val="24"/>
              </w:rPr>
              <w:t>present REC banking provisions impede</w:t>
            </w:r>
            <w:r>
              <w:rPr>
                <w:rFonts w:ascii="Times New Roman" w:hAnsi="Times New Roman" w:cs="Times New Roman"/>
                <w:sz w:val="24"/>
                <w:szCs w:val="24"/>
              </w:rPr>
              <w:t>s</w:t>
            </w:r>
            <w:r w:rsidRPr="00616AA1">
              <w:rPr>
                <w:rFonts w:ascii="Times New Roman" w:hAnsi="Times New Roman" w:cs="Times New Roman"/>
                <w:sz w:val="24"/>
                <w:szCs w:val="24"/>
              </w:rPr>
              <w:t xml:space="preserve"> the acquisition of</w:t>
            </w:r>
            <w:r>
              <w:rPr>
                <w:rFonts w:ascii="Times New Roman" w:hAnsi="Times New Roman" w:cs="Times New Roman"/>
                <w:sz w:val="24"/>
                <w:szCs w:val="24"/>
              </w:rPr>
              <w:t xml:space="preserve"> </w:t>
            </w:r>
            <w:r w:rsidRPr="00616AA1">
              <w:rPr>
                <w:rFonts w:ascii="Times New Roman" w:hAnsi="Times New Roman" w:cs="Times New Roman"/>
                <w:sz w:val="24"/>
                <w:szCs w:val="24"/>
              </w:rPr>
              <w:t xml:space="preserve">new renewable resources. </w:t>
            </w:r>
            <w:r>
              <w:rPr>
                <w:rFonts w:ascii="Times New Roman" w:hAnsi="Times New Roman" w:cs="Times New Roman"/>
                <w:sz w:val="24"/>
                <w:szCs w:val="24"/>
              </w:rPr>
              <w:t xml:space="preserve"> However, </w:t>
            </w:r>
            <w:r w:rsidRPr="00616AA1">
              <w:rPr>
                <w:rFonts w:ascii="Times New Roman" w:hAnsi="Times New Roman" w:cs="Times New Roman"/>
                <w:b/>
                <w:sz w:val="24"/>
                <w:szCs w:val="24"/>
              </w:rPr>
              <w:t>Avista</w:t>
            </w:r>
            <w:r>
              <w:rPr>
                <w:rFonts w:ascii="Times New Roman" w:hAnsi="Times New Roman" w:cs="Times New Roman"/>
                <w:sz w:val="24"/>
                <w:szCs w:val="24"/>
              </w:rPr>
              <w:t xml:space="preserve"> believes u</w:t>
            </w:r>
            <w:r w:rsidRPr="00616AA1">
              <w:rPr>
                <w:rFonts w:ascii="Times New Roman" w:hAnsi="Times New Roman" w:cs="Times New Roman"/>
                <w:sz w:val="24"/>
                <w:szCs w:val="24"/>
              </w:rPr>
              <w:t>nlimited banking might enable a utility to better optimize the</w:t>
            </w:r>
            <w:r>
              <w:rPr>
                <w:rFonts w:ascii="Times New Roman" w:hAnsi="Times New Roman" w:cs="Times New Roman"/>
                <w:sz w:val="24"/>
                <w:szCs w:val="24"/>
              </w:rPr>
              <w:t xml:space="preserve"> </w:t>
            </w:r>
            <w:r w:rsidRPr="00616AA1">
              <w:rPr>
                <w:rFonts w:ascii="Times New Roman" w:hAnsi="Times New Roman" w:cs="Times New Roman"/>
                <w:sz w:val="24"/>
                <w:szCs w:val="24"/>
              </w:rPr>
              <w:t>value of a renewable resource acquired in advance of need.</w:t>
            </w:r>
          </w:p>
          <w:p w:rsidR="00550856" w:rsidRDefault="00550856" w:rsidP="00B15A35">
            <w:pPr>
              <w:spacing w:after="120"/>
              <w:rPr>
                <w:rFonts w:ascii="Times New Roman" w:hAnsi="Times New Roman" w:cs="Times New Roman"/>
                <w:sz w:val="24"/>
                <w:szCs w:val="24"/>
              </w:rPr>
            </w:pPr>
            <w:r w:rsidRPr="00616AA1">
              <w:rPr>
                <w:rFonts w:ascii="Times New Roman" w:hAnsi="Times New Roman" w:cs="Times New Roman"/>
                <w:b/>
                <w:sz w:val="24"/>
                <w:szCs w:val="24"/>
              </w:rPr>
              <w:t>PacifiCorp</w:t>
            </w:r>
            <w:r w:rsidR="002678A5">
              <w:rPr>
                <w:rFonts w:ascii="Times New Roman" w:hAnsi="Times New Roman" w:cs="Times New Roman"/>
                <w:b/>
                <w:sz w:val="24"/>
                <w:szCs w:val="24"/>
              </w:rPr>
              <w:t>,</w:t>
            </w:r>
            <w:r>
              <w:rPr>
                <w:rFonts w:ascii="Times New Roman" w:hAnsi="Times New Roman" w:cs="Times New Roman"/>
                <w:sz w:val="24"/>
                <w:szCs w:val="24"/>
              </w:rPr>
              <w:t xml:space="preserve"> on the other hand</w:t>
            </w:r>
            <w:r w:rsidR="002678A5">
              <w:rPr>
                <w:rFonts w:ascii="Times New Roman" w:hAnsi="Times New Roman" w:cs="Times New Roman"/>
                <w:sz w:val="24"/>
                <w:szCs w:val="24"/>
              </w:rPr>
              <w:t>,</w:t>
            </w:r>
            <w:r>
              <w:rPr>
                <w:rFonts w:ascii="Times New Roman" w:hAnsi="Times New Roman" w:cs="Times New Roman"/>
                <w:sz w:val="24"/>
                <w:szCs w:val="24"/>
              </w:rPr>
              <w:t xml:space="preserve"> feels </w:t>
            </w:r>
            <w:r w:rsidRPr="00616AA1">
              <w:rPr>
                <w:rFonts w:ascii="Times New Roman" w:hAnsi="Times New Roman" w:cs="Times New Roman"/>
                <w:sz w:val="24"/>
                <w:szCs w:val="24"/>
              </w:rPr>
              <w:t xml:space="preserve">the current requirement </w:t>
            </w:r>
            <w:r>
              <w:rPr>
                <w:rFonts w:ascii="Times New Roman" w:hAnsi="Times New Roman" w:cs="Times New Roman"/>
                <w:sz w:val="24"/>
                <w:szCs w:val="24"/>
              </w:rPr>
              <w:t xml:space="preserve">does </w:t>
            </w:r>
            <w:r w:rsidRPr="00616AA1">
              <w:rPr>
                <w:rFonts w:ascii="Times New Roman" w:hAnsi="Times New Roman" w:cs="Times New Roman"/>
                <w:sz w:val="24"/>
                <w:szCs w:val="24"/>
              </w:rPr>
              <w:t>impede renewable acquisition by creating an artificial</w:t>
            </w:r>
            <w:r>
              <w:rPr>
                <w:rFonts w:ascii="Times New Roman" w:hAnsi="Times New Roman" w:cs="Times New Roman"/>
                <w:sz w:val="24"/>
                <w:szCs w:val="24"/>
              </w:rPr>
              <w:t xml:space="preserve"> </w:t>
            </w:r>
            <w:r w:rsidRPr="00616AA1">
              <w:rPr>
                <w:rFonts w:ascii="Times New Roman" w:hAnsi="Times New Roman" w:cs="Times New Roman"/>
                <w:sz w:val="24"/>
                <w:szCs w:val="24"/>
              </w:rPr>
              <w:t>"expiration date</w:t>
            </w:r>
            <w:r>
              <w:rPr>
                <w:rFonts w:ascii="Times New Roman" w:hAnsi="Times New Roman" w:cs="Times New Roman"/>
                <w:sz w:val="24"/>
                <w:szCs w:val="24"/>
              </w:rPr>
              <w:t>.</w:t>
            </w:r>
            <w:r w:rsidRPr="00616AA1">
              <w:rPr>
                <w:rFonts w:ascii="Times New Roman" w:hAnsi="Times New Roman" w:cs="Times New Roman"/>
                <w:sz w:val="24"/>
                <w:szCs w:val="24"/>
              </w:rPr>
              <w:t>"</w:t>
            </w:r>
            <w:r>
              <w:rPr>
                <w:rFonts w:ascii="Times New Roman" w:hAnsi="Times New Roman" w:cs="Times New Roman"/>
                <w:sz w:val="24"/>
                <w:szCs w:val="24"/>
              </w:rPr>
              <w:t xml:space="preserve"> </w:t>
            </w:r>
            <w:r w:rsidRPr="00616AA1">
              <w:rPr>
                <w:rFonts w:ascii="Times New Roman" w:hAnsi="Times New Roman" w:cs="Times New Roman"/>
                <w:sz w:val="24"/>
                <w:szCs w:val="24"/>
              </w:rPr>
              <w:t xml:space="preserve"> Utilities may only utilize RECs for the Washington RPS program where they</w:t>
            </w:r>
            <w:r>
              <w:rPr>
                <w:rFonts w:ascii="Times New Roman" w:hAnsi="Times New Roman" w:cs="Times New Roman"/>
                <w:sz w:val="24"/>
                <w:szCs w:val="24"/>
              </w:rPr>
              <w:t xml:space="preserve"> </w:t>
            </w:r>
            <w:r w:rsidRPr="00616AA1">
              <w:rPr>
                <w:rFonts w:ascii="Times New Roman" w:hAnsi="Times New Roman" w:cs="Times New Roman"/>
                <w:sz w:val="24"/>
                <w:szCs w:val="24"/>
              </w:rPr>
              <w:t>are associated with renewable energy generation from the prior year, target year or subsequent</w:t>
            </w:r>
            <w:r>
              <w:rPr>
                <w:rFonts w:ascii="Times New Roman" w:hAnsi="Times New Roman" w:cs="Times New Roman"/>
                <w:sz w:val="24"/>
                <w:szCs w:val="24"/>
              </w:rPr>
              <w:t xml:space="preserve"> </w:t>
            </w:r>
            <w:r w:rsidRPr="00616AA1">
              <w:rPr>
                <w:rFonts w:ascii="Times New Roman" w:hAnsi="Times New Roman" w:cs="Times New Roman"/>
                <w:sz w:val="24"/>
                <w:szCs w:val="24"/>
              </w:rPr>
              <w:t>year. This requirement</w:t>
            </w:r>
            <w:r>
              <w:rPr>
                <w:rFonts w:ascii="Times New Roman" w:hAnsi="Times New Roman" w:cs="Times New Roman"/>
                <w:sz w:val="24"/>
                <w:szCs w:val="24"/>
              </w:rPr>
              <w:t>,</w:t>
            </w:r>
            <w:r w:rsidRPr="00616AA1">
              <w:rPr>
                <w:rFonts w:ascii="Times New Roman" w:hAnsi="Times New Roman" w:cs="Times New Roman"/>
                <w:sz w:val="24"/>
                <w:szCs w:val="24"/>
              </w:rPr>
              <w:t xml:space="preserve"> </w:t>
            </w:r>
            <w:r w:rsidRPr="00616AA1">
              <w:rPr>
                <w:rFonts w:ascii="Times New Roman" w:hAnsi="Times New Roman" w:cs="Times New Roman"/>
                <w:b/>
                <w:sz w:val="24"/>
                <w:szCs w:val="24"/>
              </w:rPr>
              <w:t>PacifiCorp</w:t>
            </w:r>
            <w:r>
              <w:rPr>
                <w:rFonts w:ascii="Times New Roman" w:hAnsi="Times New Roman" w:cs="Times New Roman"/>
                <w:sz w:val="24"/>
                <w:szCs w:val="24"/>
              </w:rPr>
              <w:t xml:space="preserve"> feels, </w:t>
            </w:r>
            <w:r w:rsidRPr="00616AA1">
              <w:rPr>
                <w:rFonts w:ascii="Times New Roman" w:hAnsi="Times New Roman" w:cs="Times New Roman"/>
                <w:sz w:val="24"/>
                <w:szCs w:val="24"/>
              </w:rPr>
              <w:t>limits renewable acquisition by arbitrarily slowing the pace of utility</w:t>
            </w:r>
            <w:r>
              <w:rPr>
                <w:rFonts w:ascii="Times New Roman" w:hAnsi="Times New Roman" w:cs="Times New Roman"/>
                <w:sz w:val="24"/>
                <w:szCs w:val="24"/>
              </w:rPr>
              <w:t xml:space="preserve"> </w:t>
            </w:r>
            <w:r w:rsidRPr="00616AA1">
              <w:rPr>
                <w:rFonts w:ascii="Times New Roman" w:hAnsi="Times New Roman" w:cs="Times New Roman"/>
                <w:sz w:val="24"/>
                <w:szCs w:val="24"/>
              </w:rPr>
              <w:t>investment in renewable energy to align with annual RPS mandates, rather than allowing utilities</w:t>
            </w:r>
            <w:r>
              <w:rPr>
                <w:rFonts w:ascii="Times New Roman" w:hAnsi="Times New Roman" w:cs="Times New Roman"/>
                <w:sz w:val="24"/>
                <w:szCs w:val="24"/>
              </w:rPr>
              <w:t xml:space="preserve"> </w:t>
            </w:r>
            <w:r w:rsidRPr="00616AA1">
              <w:rPr>
                <w:rFonts w:ascii="Times New Roman" w:hAnsi="Times New Roman" w:cs="Times New Roman"/>
                <w:sz w:val="24"/>
                <w:szCs w:val="24"/>
              </w:rPr>
              <w:t>to invest early and maximize benefit for customers.</w:t>
            </w:r>
          </w:p>
          <w:p w:rsidR="00550856" w:rsidRPr="00E52334" w:rsidRDefault="00550856" w:rsidP="00E52334">
            <w:pPr>
              <w:rPr>
                <w:rFonts w:ascii="Times New Roman" w:hAnsi="Times New Roman" w:cs="Times New Roman"/>
                <w:sz w:val="24"/>
                <w:szCs w:val="24"/>
              </w:rPr>
            </w:pPr>
            <w:r w:rsidRPr="00E52334">
              <w:rPr>
                <w:rFonts w:ascii="Times New Roman" w:hAnsi="Times New Roman" w:cs="Times New Roman"/>
                <w:b/>
                <w:sz w:val="24"/>
                <w:szCs w:val="24"/>
              </w:rPr>
              <w:t>ICNU</w:t>
            </w:r>
            <w:r>
              <w:rPr>
                <w:rFonts w:ascii="Times New Roman" w:hAnsi="Times New Roman" w:cs="Times New Roman"/>
                <w:sz w:val="24"/>
                <w:szCs w:val="24"/>
              </w:rPr>
              <w:t xml:space="preserve"> recommends that the Commission request the legislature to amend the limited three year statutory banking provision. According to </w:t>
            </w:r>
            <w:r w:rsidRPr="00E52334">
              <w:rPr>
                <w:rFonts w:ascii="Times New Roman" w:hAnsi="Times New Roman" w:cs="Times New Roman"/>
                <w:b/>
                <w:sz w:val="24"/>
                <w:szCs w:val="24"/>
              </w:rPr>
              <w:t>ICNU</w:t>
            </w:r>
            <w:r>
              <w:rPr>
                <w:rFonts w:ascii="Times New Roman" w:hAnsi="Times New Roman" w:cs="Times New Roman"/>
                <w:b/>
                <w:sz w:val="24"/>
                <w:szCs w:val="24"/>
              </w:rPr>
              <w:t>,</w:t>
            </w:r>
            <w:r>
              <w:rPr>
                <w:rFonts w:ascii="Times New Roman" w:hAnsi="Times New Roman" w:cs="Times New Roman"/>
                <w:sz w:val="24"/>
                <w:szCs w:val="24"/>
              </w:rPr>
              <w:t xml:space="preserve"> unlimited banking will allow </w:t>
            </w:r>
            <w:r w:rsidRPr="00E52334">
              <w:rPr>
                <w:rFonts w:ascii="Times New Roman" w:hAnsi="Times New Roman" w:cs="Times New Roman"/>
                <w:sz w:val="24"/>
                <w:szCs w:val="24"/>
              </w:rPr>
              <w:t>utilities to use extra RECs</w:t>
            </w:r>
            <w:r>
              <w:rPr>
                <w:rFonts w:ascii="Times New Roman" w:hAnsi="Times New Roman" w:cs="Times New Roman"/>
                <w:sz w:val="24"/>
                <w:szCs w:val="24"/>
              </w:rPr>
              <w:t xml:space="preserve"> </w:t>
            </w:r>
            <w:r w:rsidRPr="00E52334">
              <w:rPr>
                <w:rFonts w:ascii="Times New Roman" w:hAnsi="Times New Roman" w:cs="Times New Roman"/>
                <w:sz w:val="24"/>
                <w:szCs w:val="24"/>
              </w:rPr>
              <w:t>generated to meet future compliance needs, a</w:t>
            </w:r>
            <w:r>
              <w:rPr>
                <w:rFonts w:ascii="Times New Roman" w:hAnsi="Times New Roman" w:cs="Times New Roman"/>
                <w:sz w:val="24"/>
                <w:szCs w:val="24"/>
              </w:rPr>
              <w:t>nd could potentially reduce the “</w:t>
            </w:r>
            <w:r w:rsidRPr="00E52334">
              <w:rPr>
                <w:rFonts w:ascii="Times New Roman" w:hAnsi="Times New Roman" w:cs="Times New Roman"/>
                <w:sz w:val="24"/>
                <w:szCs w:val="24"/>
              </w:rPr>
              <w:t>alleged</w:t>
            </w:r>
            <w:r>
              <w:rPr>
                <w:rFonts w:ascii="Times New Roman" w:hAnsi="Times New Roman" w:cs="Times New Roman"/>
                <w:sz w:val="24"/>
                <w:szCs w:val="24"/>
              </w:rPr>
              <w:t>”</w:t>
            </w:r>
            <w:r w:rsidRPr="00E52334">
              <w:rPr>
                <w:rFonts w:ascii="Times New Roman" w:hAnsi="Times New Roman" w:cs="Times New Roman"/>
                <w:sz w:val="24"/>
                <w:szCs w:val="24"/>
              </w:rPr>
              <w:t xml:space="preserve"> problem</w:t>
            </w:r>
            <w:r>
              <w:rPr>
                <w:rFonts w:ascii="Times New Roman" w:hAnsi="Times New Roman" w:cs="Times New Roman"/>
                <w:sz w:val="24"/>
                <w:szCs w:val="24"/>
              </w:rPr>
              <w:t xml:space="preserve"> </w:t>
            </w:r>
            <w:r w:rsidRPr="00E52334">
              <w:rPr>
                <w:rFonts w:ascii="Times New Roman" w:hAnsi="Times New Roman" w:cs="Times New Roman"/>
                <w:sz w:val="24"/>
                <w:szCs w:val="24"/>
              </w:rPr>
              <w:t>associated with the stepped “lumpiness” of the RPS requirements</w:t>
            </w:r>
            <w:r>
              <w:rPr>
                <w:rFonts w:ascii="Times New Roman" w:hAnsi="Times New Roman" w:cs="Times New Roman"/>
                <w:sz w:val="24"/>
                <w:szCs w:val="24"/>
              </w:rPr>
              <w:t xml:space="preserve"> and reduce costs.</w:t>
            </w:r>
          </w:p>
          <w:p w:rsidR="00550856" w:rsidRDefault="00550856" w:rsidP="00F02AE1">
            <w:pPr>
              <w:rPr>
                <w:rFonts w:ascii="Times New Roman" w:hAnsi="Times New Roman" w:cs="Times New Roman"/>
                <w:sz w:val="24"/>
                <w:szCs w:val="24"/>
              </w:rPr>
            </w:pPr>
            <w:r>
              <w:rPr>
                <w:rFonts w:ascii="Times New Roman" w:hAnsi="Times New Roman" w:cs="Times New Roman"/>
                <w:sz w:val="24"/>
                <w:szCs w:val="24"/>
              </w:rPr>
              <w:t xml:space="preserve">The </w:t>
            </w:r>
            <w:r w:rsidRPr="00F02AE1">
              <w:rPr>
                <w:rFonts w:ascii="Times New Roman" w:hAnsi="Times New Roman" w:cs="Times New Roman"/>
                <w:b/>
                <w:sz w:val="24"/>
                <w:szCs w:val="24"/>
              </w:rPr>
              <w:t>Joint Coalition</w:t>
            </w:r>
            <w:r>
              <w:rPr>
                <w:rFonts w:ascii="Times New Roman" w:hAnsi="Times New Roman" w:cs="Times New Roman"/>
                <w:sz w:val="24"/>
                <w:szCs w:val="24"/>
              </w:rPr>
              <w:t xml:space="preserve"> feels that </w:t>
            </w:r>
            <w:r w:rsidRPr="00F02AE1">
              <w:rPr>
                <w:rFonts w:ascii="Times New Roman" w:hAnsi="Times New Roman" w:cs="Times New Roman"/>
                <w:sz w:val="24"/>
                <w:szCs w:val="24"/>
              </w:rPr>
              <w:t xml:space="preserve">the current REC banking provision does not impede renewable acquisition. </w:t>
            </w:r>
            <w:r>
              <w:rPr>
                <w:rFonts w:ascii="Times New Roman" w:hAnsi="Times New Roman" w:cs="Times New Roman"/>
                <w:sz w:val="24"/>
                <w:szCs w:val="24"/>
              </w:rPr>
              <w:t xml:space="preserve"> The coalition believes that</w:t>
            </w:r>
            <w:r w:rsidRPr="00F02AE1">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F02AE1">
              <w:rPr>
                <w:rFonts w:ascii="Times New Roman" w:hAnsi="Times New Roman" w:cs="Times New Roman"/>
                <w:sz w:val="24"/>
                <w:szCs w:val="24"/>
              </w:rPr>
              <w:t xml:space="preserve">REC provision allows utilities significant flexibility in meeting the renewable standards. </w:t>
            </w:r>
            <w:r>
              <w:rPr>
                <w:rFonts w:ascii="Times New Roman" w:hAnsi="Times New Roman" w:cs="Times New Roman"/>
                <w:sz w:val="24"/>
                <w:szCs w:val="24"/>
              </w:rPr>
              <w:t xml:space="preserve">The </w:t>
            </w:r>
            <w:r w:rsidRPr="00F02AE1">
              <w:rPr>
                <w:rFonts w:ascii="Times New Roman" w:hAnsi="Times New Roman" w:cs="Times New Roman"/>
                <w:b/>
                <w:sz w:val="24"/>
                <w:szCs w:val="24"/>
              </w:rPr>
              <w:t>Joint Coalition</w:t>
            </w:r>
            <w:r>
              <w:rPr>
                <w:rFonts w:ascii="Times New Roman" w:hAnsi="Times New Roman" w:cs="Times New Roman"/>
                <w:sz w:val="24"/>
                <w:szCs w:val="24"/>
              </w:rPr>
              <w:t xml:space="preserve"> suggests</w:t>
            </w:r>
            <w:r w:rsidR="00F236C9">
              <w:rPr>
                <w:rFonts w:ascii="Times New Roman" w:hAnsi="Times New Roman" w:cs="Times New Roman"/>
                <w:sz w:val="24"/>
                <w:szCs w:val="24"/>
              </w:rPr>
              <w:t>,</w:t>
            </w:r>
            <w:r>
              <w:rPr>
                <w:rFonts w:ascii="Times New Roman" w:hAnsi="Times New Roman" w:cs="Times New Roman"/>
                <w:sz w:val="24"/>
                <w:szCs w:val="24"/>
              </w:rPr>
              <w:t xml:space="preserve"> in support of </w:t>
            </w:r>
            <w:r w:rsidR="00BA345B">
              <w:rPr>
                <w:rFonts w:ascii="Times New Roman" w:hAnsi="Times New Roman" w:cs="Times New Roman"/>
                <w:sz w:val="24"/>
                <w:szCs w:val="24"/>
              </w:rPr>
              <w:t>their</w:t>
            </w:r>
            <w:r>
              <w:rPr>
                <w:rFonts w:ascii="Times New Roman" w:hAnsi="Times New Roman" w:cs="Times New Roman"/>
                <w:sz w:val="24"/>
                <w:szCs w:val="24"/>
              </w:rPr>
              <w:t xml:space="preserve"> position</w:t>
            </w:r>
            <w:r w:rsidR="00F236C9">
              <w:rPr>
                <w:rFonts w:ascii="Times New Roman" w:hAnsi="Times New Roman" w:cs="Times New Roman"/>
                <w:sz w:val="24"/>
                <w:szCs w:val="24"/>
              </w:rPr>
              <w:t>,</w:t>
            </w:r>
            <w:r>
              <w:rPr>
                <w:rFonts w:ascii="Times New Roman" w:hAnsi="Times New Roman" w:cs="Times New Roman"/>
                <w:sz w:val="24"/>
                <w:szCs w:val="24"/>
              </w:rPr>
              <w:t xml:space="preserve"> that a</w:t>
            </w:r>
            <w:r w:rsidRPr="00F02AE1">
              <w:rPr>
                <w:rFonts w:ascii="Times New Roman" w:hAnsi="Times New Roman" w:cs="Times New Roman"/>
                <w:sz w:val="24"/>
                <w:szCs w:val="24"/>
              </w:rPr>
              <w:t xml:space="preserve"> utility</w:t>
            </w:r>
            <w:r>
              <w:rPr>
                <w:rFonts w:ascii="Times New Roman" w:hAnsi="Times New Roman" w:cs="Times New Roman"/>
                <w:sz w:val="24"/>
                <w:szCs w:val="24"/>
              </w:rPr>
              <w:t xml:space="preserve"> </w:t>
            </w:r>
            <w:r w:rsidRPr="00F02AE1">
              <w:rPr>
                <w:rFonts w:ascii="Times New Roman" w:hAnsi="Times New Roman" w:cs="Times New Roman"/>
                <w:sz w:val="24"/>
                <w:szCs w:val="24"/>
              </w:rPr>
              <w:t>can choose whether or not to acquire RECs – there is no requirement to do so. And if a utility</w:t>
            </w:r>
            <w:r>
              <w:rPr>
                <w:rFonts w:ascii="Times New Roman" w:hAnsi="Times New Roman" w:cs="Times New Roman"/>
                <w:sz w:val="24"/>
                <w:szCs w:val="24"/>
              </w:rPr>
              <w:t xml:space="preserve"> </w:t>
            </w:r>
            <w:r w:rsidRPr="00F02AE1">
              <w:rPr>
                <w:rFonts w:ascii="Times New Roman" w:hAnsi="Times New Roman" w:cs="Times New Roman"/>
                <w:sz w:val="24"/>
                <w:szCs w:val="24"/>
              </w:rPr>
              <w:t xml:space="preserve">opts to pursue RECs, it has a three-year </w:t>
            </w:r>
            <w:r>
              <w:rPr>
                <w:rFonts w:ascii="Times New Roman" w:hAnsi="Times New Roman" w:cs="Times New Roman"/>
                <w:sz w:val="24"/>
                <w:szCs w:val="24"/>
              </w:rPr>
              <w:t>t</w:t>
            </w:r>
            <w:r w:rsidRPr="00F02AE1">
              <w:rPr>
                <w:rFonts w:ascii="Times New Roman" w:hAnsi="Times New Roman" w:cs="Times New Roman"/>
                <w:sz w:val="24"/>
                <w:szCs w:val="24"/>
              </w:rPr>
              <w:t>imeframe in which to do so.</w:t>
            </w:r>
            <w:r>
              <w:rPr>
                <w:rFonts w:ascii="Times New Roman" w:hAnsi="Times New Roman" w:cs="Times New Roman"/>
                <w:sz w:val="24"/>
                <w:szCs w:val="24"/>
              </w:rPr>
              <w:t xml:space="preserve"> </w:t>
            </w:r>
          </w:p>
          <w:p w:rsidR="00ED0F10" w:rsidRDefault="00ED0F10" w:rsidP="00F02AE1">
            <w:pPr>
              <w:rPr>
                <w:rFonts w:ascii="Times New Roman" w:hAnsi="Times New Roman" w:cs="Times New Roman"/>
                <w:sz w:val="24"/>
                <w:szCs w:val="24"/>
              </w:rPr>
            </w:pPr>
          </w:p>
          <w:p w:rsidR="00ED0F10" w:rsidRDefault="00ED0F10" w:rsidP="00F02AE1">
            <w:pPr>
              <w:rPr>
                <w:rFonts w:ascii="Times New Roman" w:hAnsi="Times New Roman" w:cs="Times New Roman"/>
                <w:sz w:val="24"/>
                <w:szCs w:val="24"/>
              </w:rPr>
            </w:pPr>
          </w:p>
          <w:p w:rsidR="00ED0F10" w:rsidRDefault="00ED0F10" w:rsidP="00F02AE1">
            <w:pPr>
              <w:rPr>
                <w:rFonts w:ascii="Times New Roman" w:hAnsi="Times New Roman" w:cs="Times New Roman"/>
                <w:sz w:val="24"/>
                <w:szCs w:val="24"/>
              </w:rPr>
            </w:pPr>
          </w:p>
          <w:p w:rsidR="00ED0F10" w:rsidRPr="00616AA1" w:rsidRDefault="00ED0F10" w:rsidP="00F02AE1">
            <w:pPr>
              <w:rPr>
                <w:rFonts w:ascii="Times New Roman" w:hAnsi="Times New Roman" w:cs="Times New Roman"/>
                <w:sz w:val="24"/>
                <w:szCs w:val="24"/>
              </w:rPr>
            </w:pPr>
          </w:p>
        </w:tc>
      </w:tr>
      <w:tr w:rsidR="003D5EAA" w:rsidTr="004464F4">
        <w:trPr>
          <w:trHeight w:val="1160"/>
        </w:trPr>
        <w:tc>
          <w:tcPr>
            <w:tcW w:w="9870" w:type="dxa"/>
            <w:shd w:val="clear" w:color="auto" w:fill="C6D9F1" w:themeFill="text2" w:themeFillTint="33"/>
            <w:vAlign w:val="center"/>
          </w:tcPr>
          <w:p w:rsidR="003D5EAA" w:rsidRPr="00B164EB" w:rsidRDefault="003D5EAA" w:rsidP="005253F6">
            <w:pPr>
              <w:pStyle w:val="ListParagraph"/>
              <w:ind w:left="1302" w:hanging="990"/>
              <w:rPr>
                <w:rFonts w:ascii="Times New Roman" w:hAnsi="Times New Roman" w:cs="Times New Roman"/>
                <w:sz w:val="24"/>
                <w:szCs w:val="24"/>
              </w:rPr>
            </w:pPr>
          </w:p>
        </w:tc>
      </w:tr>
    </w:tbl>
    <w:p w:rsidR="00ED0F10" w:rsidRDefault="00ED0F10">
      <w:r>
        <w:br w:type="page"/>
      </w:r>
    </w:p>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550856" w:rsidTr="00550856">
        <w:trPr>
          <w:trHeight w:val="1160"/>
        </w:trPr>
        <w:tc>
          <w:tcPr>
            <w:tcW w:w="9870" w:type="dxa"/>
            <w:shd w:val="clear" w:color="auto" w:fill="C6D9F1" w:themeFill="text2" w:themeFillTint="33"/>
            <w:vAlign w:val="center"/>
          </w:tcPr>
          <w:p w:rsidR="00550856" w:rsidRPr="006A56F8" w:rsidRDefault="00550856" w:rsidP="00D961C5">
            <w:pPr>
              <w:ind w:left="402" w:hanging="402"/>
              <w:rPr>
                <w:rFonts w:ascii="Times New Roman" w:hAnsi="Times New Roman" w:cs="Times New Roman"/>
                <w:b/>
                <w:sz w:val="24"/>
                <w:szCs w:val="24"/>
              </w:rPr>
            </w:pPr>
            <w:r w:rsidRPr="00C162AD">
              <w:rPr>
                <w:rFonts w:ascii="Times New Roman" w:hAnsi="Times New Roman" w:cs="Times New Roman"/>
                <w:b/>
                <w:i/>
                <w:sz w:val="24"/>
                <w:szCs w:val="24"/>
              </w:rPr>
              <w:lastRenderedPageBreak/>
              <w:t>13) Incentives.</w:t>
            </w:r>
            <w:r w:rsidRPr="00772C42">
              <w:rPr>
                <w:rFonts w:ascii="Times New Roman" w:hAnsi="Times New Roman" w:cs="Times New Roman"/>
                <w:i/>
                <w:sz w:val="24"/>
                <w:szCs w:val="24"/>
              </w:rPr>
              <w:t xml:space="preserve">  </w:t>
            </w:r>
            <w:r w:rsidRPr="00772C42">
              <w:rPr>
                <w:rFonts w:ascii="Times New Roman" w:hAnsi="Times New Roman" w:cs="Times New Roman"/>
                <w:sz w:val="24"/>
                <w:szCs w:val="24"/>
              </w:rPr>
              <w:t>Should the Commission provide incentives, financial or otherwise, for utilities that exceed their RPS targets or meet them early?  If financial incentives were provided, what incentive design would be appropriate and would the incentives be subject to any constraints?  What would be examples of non-financial incentives?</w:t>
            </w:r>
          </w:p>
        </w:tc>
      </w:tr>
      <w:tr w:rsidR="00550856" w:rsidTr="00550856">
        <w:trPr>
          <w:trHeight w:val="1160"/>
        </w:trPr>
        <w:tc>
          <w:tcPr>
            <w:tcW w:w="9870" w:type="dxa"/>
            <w:shd w:val="clear" w:color="auto" w:fill="auto"/>
          </w:tcPr>
          <w:p w:rsidR="00550856" w:rsidRDefault="00550856" w:rsidP="00B05590">
            <w:pPr>
              <w:spacing w:after="0"/>
              <w:rPr>
                <w:rFonts w:ascii="Times New Roman" w:hAnsi="Times New Roman" w:cs="Times New Roman"/>
                <w:b/>
                <w:sz w:val="24"/>
                <w:szCs w:val="24"/>
              </w:rPr>
            </w:pPr>
          </w:p>
          <w:p w:rsidR="00550856" w:rsidRDefault="00550856" w:rsidP="006A56F8">
            <w:pPr>
              <w:rPr>
                <w:rFonts w:ascii="Times New Roman" w:hAnsi="Times New Roman" w:cs="Times New Roman"/>
                <w:sz w:val="24"/>
                <w:szCs w:val="24"/>
              </w:rPr>
            </w:pPr>
            <w:r w:rsidRPr="006A56F8">
              <w:rPr>
                <w:rFonts w:ascii="Times New Roman" w:hAnsi="Times New Roman" w:cs="Times New Roman"/>
                <w:b/>
                <w:sz w:val="24"/>
                <w:szCs w:val="24"/>
              </w:rPr>
              <w:t>Avista</w:t>
            </w:r>
            <w:r>
              <w:rPr>
                <w:rFonts w:ascii="Times New Roman" w:hAnsi="Times New Roman" w:cs="Times New Roman"/>
                <w:sz w:val="24"/>
                <w:szCs w:val="24"/>
              </w:rPr>
              <w:t xml:space="preserve"> </w:t>
            </w:r>
            <w:r w:rsidRPr="006A56F8">
              <w:rPr>
                <w:rFonts w:ascii="Times New Roman" w:hAnsi="Times New Roman" w:cs="Times New Roman"/>
                <w:sz w:val="24"/>
                <w:szCs w:val="24"/>
              </w:rPr>
              <w:t>believe</w:t>
            </w:r>
            <w:r>
              <w:rPr>
                <w:rFonts w:ascii="Times New Roman" w:hAnsi="Times New Roman" w:cs="Times New Roman"/>
                <w:sz w:val="24"/>
                <w:szCs w:val="24"/>
              </w:rPr>
              <w:t>s</w:t>
            </w:r>
            <w:r w:rsidRPr="006A56F8">
              <w:rPr>
                <w:rFonts w:ascii="Times New Roman" w:hAnsi="Times New Roman" w:cs="Times New Roman"/>
                <w:sz w:val="24"/>
                <w:szCs w:val="24"/>
              </w:rPr>
              <w:t xml:space="preserve"> additional financial incentives are not necessary at this</w:t>
            </w:r>
            <w:r>
              <w:rPr>
                <w:rFonts w:ascii="Times New Roman" w:hAnsi="Times New Roman" w:cs="Times New Roman"/>
                <w:sz w:val="24"/>
                <w:szCs w:val="24"/>
              </w:rPr>
              <w:t xml:space="preserve"> </w:t>
            </w:r>
            <w:r w:rsidRPr="006A56F8">
              <w:rPr>
                <w:rFonts w:ascii="Times New Roman" w:hAnsi="Times New Roman" w:cs="Times New Roman"/>
                <w:sz w:val="24"/>
                <w:szCs w:val="24"/>
              </w:rPr>
              <w:t xml:space="preserve">time. </w:t>
            </w:r>
            <w:r w:rsidR="009C7377">
              <w:rPr>
                <w:rFonts w:ascii="Times New Roman" w:hAnsi="Times New Roman" w:cs="Times New Roman"/>
                <w:sz w:val="24"/>
                <w:szCs w:val="24"/>
              </w:rPr>
              <w:t xml:space="preserve"> </w:t>
            </w:r>
            <w:r w:rsidRPr="006A56F8">
              <w:rPr>
                <w:rFonts w:ascii="Times New Roman" w:hAnsi="Times New Roman" w:cs="Times New Roman"/>
                <w:sz w:val="24"/>
                <w:szCs w:val="24"/>
              </w:rPr>
              <w:t xml:space="preserve">However </w:t>
            </w:r>
            <w:r w:rsidRPr="006A56F8">
              <w:rPr>
                <w:rFonts w:ascii="Times New Roman" w:hAnsi="Times New Roman" w:cs="Times New Roman"/>
                <w:b/>
                <w:sz w:val="24"/>
                <w:szCs w:val="24"/>
              </w:rPr>
              <w:t>Avista</w:t>
            </w:r>
            <w:r>
              <w:rPr>
                <w:rFonts w:ascii="Times New Roman" w:hAnsi="Times New Roman" w:cs="Times New Roman"/>
                <w:sz w:val="24"/>
                <w:szCs w:val="24"/>
              </w:rPr>
              <w:t xml:space="preserve"> believes that </w:t>
            </w:r>
            <w:r w:rsidRPr="006A56F8">
              <w:rPr>
                <w:rFonts w:ascii="Times New Roman" w:hAnsi="Times New Roman" w:cs="Times New Roman"/>
                <w:sz w:val="24"/>
                <w:szCs w:val="24"/>
              </w:rPr>
              <w:t>it is essential that the Commission address early acquisition with new</w:t>
            </w:r>
            <w:r>
              <w:rPr>
                <w:rFonts w:ascii="Times New Roman" w:hAnsi="Times New Roman" w:cs="Times New Roman"/>
                <w:sz w:val="24"/>
                <w:szCs w:val="24"/>
              </w:rPr>
              <w:t xml:space="preserve"> </w:t>
            </w:r>
            <w:r w:rsidRPr="006A56F8">
              <w:rPr>
                <w:rFonts w:ascii="Times New Roman" w:hAnsi="Times New Roman" w:cs="Times New Roman"/>
                <w:sz w:val="24"/>
                <w:szCs w:val="24"/>
              </w:rPr>
              <w:t xml:space="preserve">rules. </w:t>
            </w:r>
            <w:r>
              <w:rPr>
                <w:rFonts w:ascii="Times New Roman" w:hAnsi="Times New Roman" w:cs="Times New Roman"/>
                <w:sz w:val="24"/>
                <w:szCs w:val="24"/>
              </w:rPr>
              <w:t xml:space="preserve"> </w:t>
            </w:r>
          </w:p>
          <w:p w:rsidR="00550856" w:rsidRDefault="00550856" w:rsidP="006A56F8">
            <w:pPr>
              <w:rPr>
                <w:rFonts w:ascii="Times New Roman" w:hAnsi="Times New Roman" w:cs="Times New Roman"/>
                <w:sz w:val="24"/>
                <w:szCs w:val="24"/>
              </w:rPr>
            </w:pPr>
            <w:r w:rsidRPr="006A56F8">
              <w:rPr>
                <w:rFonts w:ascii="Times New Roman" w:hAnsi="Times New Roman" w:cs="Times New Roman"/>
                <w:b/>
                <w:sz w:val="24"/>
                <w:szCs w:val="24"/>
              </w:rPr>
              <w:t>PacifiCorp</w:t>
            </w:r>
            <w:r>
              <w:rPr>
                <w:rFonts w:ascii="Times New Roman" w:hAnsi="Times New Roman" w:cs="Times New Roman"/>
                <w:sz w:val="24"/>
                <w:szCs w:val="24"/>
              </w:rPr>
              <w:t xml:space="preserve"> also feels i</w:t>
            </w:r>
            <w:r w:rsidRPr="006A56F8">
              <w:rPr>
                <w:rFonts w:ascii="Times New Roman" w:hAnsi="Times New Roman" w:cs="Times New Roman"/>
                <w:sz w:val="24"/>
                <w:szCs w:val="24"/>
              </w:rPr>
              <w:t>t is not necessary for the Commission to provide incentives, financial or otherwise, for</w:t>
            </w:r>
            <w:r>
              <w:rPr>
                <w:rFonts w:ascii="Times New Roman" w:hAnsi="Times New Roman" w:cs="Times New Roman"/>
                <w:sz w:val="24"/>
                <w:szCs w:val="24"/>
              </w:rPr>
              <w:t xml:space="preserve"> </w:t>
            </w:r>
            <w:r w:rsidRPr="006A56F8">
              <w:rPr>
                <w:rFonts w:ascii="Times New Roman" w:hAnsi="Times New Roman" w:cs="Times New Roman"/>
                <w:sz w:val="24"/>
                <w:szCs w:val="24"/>
              </w:rPr>
              <w:t>utilities to exceed their RPS targets or meet them early unless there is a stated policy objective.</w:t>
            </w:r>
            <w:r>
              <w:rPr>
                <w:rFonts w:ascii="Times New Roman" w:hAnsi="Times New Roman" w:cs="Times New Roman"/>
                <w:sz w:val="24"/>
                <w:szCs w:val="24"/>
              </w:rPr>
              <w:t xml:space="preserve"> However if there is a policy objective</w:t>
            </w:r>
            <w:r w:rsidRPr="006A56F8">
              <w:rPr>
                <w:rFonts w:ascii="Times New Roman" w:hAnsi="Times New Roman" w:cs="Times New Roman"/>
                <w:sz w:val="24"/>
                <w:szCs w:val="24"/>
              </w:rPr>
              <w:t xml:space="preserve"> </w:t>
            </w:r>
            <w:r>
              <w:rPr>
                <w:rFonts w:ascii="Times New Roman" w:hAnsi="Times New Roman" w:cs="Times New Roman"/>
                <w:sz w:val="24"/>
                <w:szCs w:val="24"/>
              </w:rPr>
              <w:t xml:space="preserve">such as </w:t>
            </w:r>
            <w:r w:rsidRPr="006A56F8">
              <w:rPr>
                <w:rFonts w:ascii="Times New Roman" w:hAnsi="Times New Roman" w:cs="Times New Roman"/>
                <w:sz w:val="24"/>
                <w:szCs w:val="24"/>
              </w:rPr>
              <w:t>a percentage of renewable resources in a utility's portfolio be from a certain resource type</w:t>
            </w:r>
            <w:r>
              <w:rPr>
                <w:rFonts w:ascii="Times New Roman" w:hAnsi="Times New Roman" w:cs="Times New Roman"/>
                <w:sz w:val="24"/>
                <w:szCs w:val="24"/>
              </w:rPr>
              <w:t xml:space="preserve">, </w:t>
            </w:r>
            <w:r w:rsidR="002A249F" w:rsidRPr="002A249F">
              <w:rPr>
                <w:rFonts w:ascii="Times New Roman" w:hAnsi="Times New Roman" w:cs="Times New Roman"/>
                <w:b/>
                <w:sz w:val="24"/>
                <w:szCs w:val="24"/>
              </w:rPr>
              <w:t>PacifiCorp</w:t>
            </w:r>
            <w:r>
              <w:rPr>
                <w:rFonts w:ascii="Times New Roman" w:hAnsi="Times New Roman" w:cs="Times New Roman"/>
                <w:sz w:val="24"/>
                <w:szCs w:val="24"/>
              </w:rPr>
              <w:t xml:space="preserve"> advocates that </w:t>
            </w:r>
            <w:r w:rsidRPr="006A56F8">
              <w:rPr>
                <w:rFonts w:ascii="Times New Roman" w:hAnsi="Times New Roman" w:cs="Times New Roman"/>
                <w:sz w:val="24"/>
                <w:szCs w:val="24"/>
              </w:rPr>
              <w:t>the</w:t>
            </w:r>
            <w:r>
              <w:rPr>
                <w:rFonts w:ascii="Times New Roman" w:hAnsi="Times New Roman" w:cs="Times New Roman"/>
                <w:sz w:val="24"/>
                <w:szCs w:val="24"/>
              </w:rPr>
              <w:t xml:space="preserve"> </w:t>
            </w:r>
            <w:r w:rsidRPr="006A56F8">
              <w:rPr>
                <w:rFonts w:ascii="Times New Roman" w:hAnsi="Times New Roman" w:cs="Times New Roman"/>
                <w:sz w:val="24"/>
                <w:szCs w:val="24"/>
              </w:rPr>
              <w:t>Commission consider higher return</w:t>
            </w:r>
            <w:r>
              <w:rPr>
                <w:rFonts w:ascii="Times New Roman" w:hAnsi="Times New Roman" w:cs="Times New Roman"/>
                <w:sz w:val="24"/>
                <w:szCs w:val="24"/>
              </w:rPr>
              <w:t>s</w:t>
            </w:r>
            <w:r w:rsidRPr="006A56F8">
              <w:rPr>
                <w:rFonts w:ascii="Times New Roman" w:hAnsi="Times New Roman" w:cs="Times New Roman"/>
                <w:sz w:val="24"/>
                <w:szCs w:val="24"/>
              </w:rPr>
              <w:t xml:space="preserve"> on equity where such resource types are owned by a</w:t>
            </w:r>
            <w:r>
              <w:rPr>
                <w:rFonts w:ascii="Times New Roman" w:hAnsi="Times New Roman" w:cs="Times New Roman"/>
                <w:sz w:val="24"/>
                <w:szCs w:val="24"/>
              </w:rPr>
              <w:t xml:space="preserve"> </w:t>
            </w:r>
            <w:r w:rsidRPr="006A56F8">
              <w:rPr>
                <w:rFonts w:ascii="Times New Roman" w:hAnsi="Times New Roman" w:cs="Times New Roman"/>
                <w:sz w:val="24"/>
                <w:szCs w:val="24"/>
              </w:rPr>
              <w:t>utility or an added cost recovery factor where such resource types are owned by third parties</w:t>
            </w:r>
            <w:r>
              <w:rPr>
                <w:rFonts w:ascii="Times New Roman" w:hAnsi="Times New Roman" w:cs="Times New Roman"/>
                <w:sz w:val="24"/>
                <w:szCs w:val="24"/>
              </w:rPr>
              <w:t>.</w:t>
            </w:r>
          </w:p>
          <w:p w:rsidR="00550856" w:rsidRDefault="00550856" w:rsidP="008B70A5">
            <w:pPr>
              <w:rPr>
                <w:rFonts w:ascii="Times New Roman" w:hAnsi="Times New Roman" w:cs="Times New Roman"/>
                <w:sz w:val="24"/>
                <w:szCs w:val="24"/>
              </w:rPr>
            </w:pPr>
            <w:r>
              <w:rPr>
                <w:rFonts w:ascii="Times New Roman" w:hAnsi="Times New Roman" w:cs="Times New Roman"/>
                <w:sz w:val="24"/>
                <w:szCs w:val="24"/>
              </w:rPr>
              <w:t xml:space="preserve">Describing a non-financial incentive </w:t>
            </w:r>
            <w:r w:rsidR="002678A5">
              <w:rPr>
                <w:rFonts w:ascii="Times New Roman" w:hAnsi="Times New Roman" w:cs="Times New Roman"/>
                <w:sz w:val="24"/>
                <w:szCs w:val="24"/>
              </w:rPr>
              <w:t>,</w:t>
            </w:r>
            <w:r w:rsidRPr="008B70A5">
              <w:rPr>
                <w:rFonts w:ascii="Times New Roman" w:hAnsi="Times New Roman" w:cs="Times New Roman"/>
                <w:b/>
                <w:sz w:val="24"/>
                <w:szCs w:val="24"/>
              </w:rPr>
              <w:t>PSE</w:t>
            </w:r>
            <w:r>
              <w:rPr>
                <w:rFonts w:ascii="Times New Roman" w:hAnsi="Times New Roman" w:cs="Times New Roman"/>
                <w:sz w:val="24"/>
                <w:szCs w:val="24"/>
              </w:rPr>
              <w:t xml:space="preserve"> believes </w:t>
            </w:r>
            <w:r w:rsidRPr="008B70A5">
              <w:rPr>
                <w:rFonts w:ascii="Times New Roman" w:hAnsi="Times New Roman" w:cs="Times New Roman"/>
                <w:sz w:val="24"/>
                <w:szCs w:val="24"/>
              </w:rPr>
              <w:t xml:space="preserve">the Commission should provide incentives to meeting </w:t>
            </w:r>
            <w:r>
              <w:rPr>
                <w:rFonts w:ascii="Times New Roman" w:hAnsi="Times New Roman" w:cs="Times New Roman"/>
                <w:sz w:val="24"/>
                <w:szCs w:val="24"/>
              </w:rPr>
              <w:t>renewable</w:t>
            </w:r>
            <w:r w:rsidRPr="008B70A5">
              <w:rPr>
                <w:rFonts w:ascii="Times New Roman" w:hAnsi="Times New Roman" w:cs="Times New Roman"/>
                <w:sz w:val="24"/>
                <w:szCs w:val="24"/>
              </w:rPr>
              <w:t xml:space="preserve"> target</w:t>
            </w:r>
            <w:r>
              <w:rPr>
                <w:rFonts w:ascii="Times New Roman" w:hAnsi="Times New Roman" w:cs="Times New Roman"/>
                <w:sz w:val="24"/>
                <w:szCs w:val="24"/>
              </w:rPr>
              <w:t>s</w:t>
            </w:r>
            <w:r w:rsidRPr="008B70A5">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8B70A5">
              <w:rPr>
                <w:rFonts w:ascii="Times New Roman" w:hAnsi="Times New Roman" w:cs="Times New Roman"/>
                <w:sz w:val="24"/>
                <w:szCs w:val="24"/>
              </w:rPr>
              <w:t xml:space="preserve">non-financial incentive example </w:t>
            </w:r>
            <w:r>
              <w:rPr>
                <w:rFonts w:ascii="Times New Roman" w:hAnsi="Times New Roman" w:cs="Times New Roman"/>
                <w:sz w:val="24"/>
                <w:szCs w:val="24"/>
              </w:rPr>
              <w:t xml:space="preserve">provided by </w:t>
            </w:r>
            <w:r w:rsidRPr="00595BF1">
              <w:rPr>
                <w:rFonts w:ascii="Times New Roman" w:hAnsi="Times New Roman" w:cs="Times New Roman"/>
                <w:b/>
                <w:sz w:val="24"/>
                <w:szCs w:val="24"/>
              </w:rPr>
              <w:t>PSE</w:t>
            </w:r>
            <w:r>
              <w:rPr>
                <w:rFonts w:ascii="Times New Roman" w:hAnsi="Times New Roman" w:cs="Times New Roman"/>
                <w:sz w:val="24"/>
                <w:szCs w:val="24"/>
              </w:rPr>
              <w:t xml:space="preserve"> </w:t>
            </w:r>
            <w:r w:rsidRPr="008B70A5">
              <w:rPr>
                <w:rFonts w:ascii="Times New Roman" w:hAnsi="Times New Roman" w:cs="Times New Roman"/>
                <w:sz w:val="24"/>
                <w:szCs w:val="24"/>
              </w:rPr>
              <w:t xml:space="preserve">is an </w:t>
            </w:r>
            <w:r w:rsidRPr="008B70A5">
              <w:rPr>
                <w:rFonts w:ascii="Times New Roman" w:hAnsi="Times New Roman" w:cs="Times New Roman"/>
                <w:i/>
                <w:iCs/>
                <w:sz w:val="24"/>
                <w:szCs w:val="24"/>
              </w:rPr>
              <w:t xml:space="preserve">ex ante </w:t>
            </w:r>
            <w:r w:rsidRPr="008B70A5">
              <w:rPr>
                <w:rFonts w:ascii="Times New Roman" w:hAnsi="Times New Roman" w:cs="Times New Roman"/>
                <w:sz w:val="24"/>
                <w:szCs w:val="24"/>
              </w:rPr>
              <w:t>prudence determination</w:t>
            </w:r>
            <w:r>
              <w:rPr>
                <w:rFonts w:ascii="Times New Roman" w:hAnsi="Times New Roman" w:cs="Times New Roman"/>
                <w:sz w:val="24"/>
                <w:szCs w:val="24"/>
              </w:rPr>
              <w:t xml:space="preserve"> (described in </w:t>
            </w:r>
            <w:r w:rsidR="002678A5">
              <w:rPr>
                <w:rFonts w:ascii="Times New Roman" w:hAnsi="Times New Roman" w:cs="Times New Roman"/>
                <w:sz w:val="24"/>
                <w:szCs w:val="24"/>
              </w:rPr>
              <w:t xml:space="preserve">response to Question </w:t>
            </w:r>
            <w:r>
              <w:rPr>
                <w:rFonts w:ascii="Times New Roman" w:hAnsi="Times New Roman" w:cs="Times New Roman"/>
                <w:sz w:val="24"/>
                <w:szCs w:val="24"/>
              </w:rPr>
              <w:t>4 above).</w:t>
            </w:r>
          </w:p>
          <w:p w:rsidR="00550856" w:rsidRDefault="00550856" w:rsidP="000517C2">
            <w:pPr>
              <w:rPr>
                <w:rFonts w:ascii="Times New Roman" w:hAnsi="Times New Roman" w:cs="Times New Roman"/>
                <w:sz w:val="24"/>
                <w:szCs w:val="24"/>
              </w:rPr>
            </w:pPr>
            <w:r w:rsidRPr="000517C2">
              <w:rPr>
                <w:rFonts w:ascii="Times New Roman" w:hAnsi="Times New Roman" w:cs="Times New Roman"/>
                <w:b/>
                <w:sz w:val="24"/>
                <w:szCs w:val="24"/>
              </w:rPr>
              <w:t>ICNU</w:t>
            </w:r>
            <w:r>
              <w:rPr>
                <w:rFonts w:ascii="Times New Roman" w:hAnsi="Times New Roman" w:cs="Times New Roman"/>
                <w:sz w:val="24"/>
                <w:szCs w:val="24"/>
              </w:rPr>
              <w:t xml:space="preserve"> </w:t>
            </w:r>
            <w:r w:rsidRPr="000517C2">
              <w:rPr>
                <w:rFonts w:ascii="Times New Roman" w:hAnsi="Times New Roman" w:cs="Times New Roman"/>
                <w:sz w:val="24"/>
                <w:szCs w:val="24"/>
              </w:rPr>
              <w:t>strongly opposes providing the utilities with financial or other incentives to</w:t>
            </w:r>
            <w:r>
              <w:rPr>
                <w:rFonts w:ascii="Times New Roman" w:hAnsi="Times New Roman" w:cs="Times New Roman"/>
                <w:sz w:val="24"/>
                <w:szCs w:val="24"/>
              </w:rPr>
              <w:t xml:space="preserve"> </w:t>
            </w:r>
            <w:r w:rsidRPr="000517C2">
              <w:rPr>
                <w:rFonts w:ascii="Times New Roman" w:hAnsi="Times New Roman" w:cs="Times New Roman"/>
                <w:sz w:val="24"/>
                <w:szCs w:val="24"/>
              </w:rPr>
              <w:t xml:space="preserve">exceed their RPS targets or meet them early. </w:t>
            </w:r>
            <w:r>
              <w:rPr>
                <w:rFonts w:ascii="Times New Roman" w:hAnsi="Times New Roman" w:cs="Times New Roman"/>
                <w:sz w:val="24"/>
                <w:szCs w:val="24"/>
              </w:rPr>
              <w:t>The</w:t>
            </w:r>
            <w:r w:rsidR="00F236C9">
              <w:rPr>
                <w:rFonts w:ascii="Times New Roman" w:hAnsi="Times New Roman" w:cs="Times New Roman"/>
                <w:sz w:val="24"/>
                <w:szCs w:val="24"/>
              </w:rPr>
              <w:t>y</w:t>
            </w:r>
            <w:r>
              <w:rPr>
                <w:rFonts w:ascii="Times New Roman" w:hAnsi="Times New Roman" w:cs="Times New Roman"/>
                <w:sz w:val="24"/>
                <w:szCs w:val="24"/>
              </w:rPr>
              <w:t xml:space="preserve"> state that t</w:t>
            </w:r>
            <w:r w:rsidRPr="000517C2">
              <w:rPr>
                <w:rFonts w:ascii="Times New Roman" w:hAnsi="Times New Roman" w:cs="Times New Roman"/>
                <w:sz w:val="24"/>
                <w:szCs w:val="24"/>
              </w:rPr>
              <w:t>here is no reason to assume that the utilities will</w:t>
            </w:r>
            <w:r>
              <w:rPr>
                <w:rFonts w:ascii="Times New Roman" w:hAnsi="Times New Roman" w:cs="Times New Roman"/>
                <w:sz w:val="24"/>
                <w:szCs w:val="24"/>
              </w:rPr>
              <w:t xml:space="preserve"> </w:t>
            </w:r>
            <w:r w:rsidRPr="000517C2">
              <w:rPr>
                <w:rFonts w:ascii="Times New Roman" w:hAnsi="Times New Roman" w:cs="Times New Roman"/>
                <w:sz w:val="24"/>
                <w:szCs w:val="24"/>
              </w:rPr>
              <w:t>be unable to meet their RPS requirements without incentives.</w:t>
            </w:r>
            <w:r>
              <w:rPr>
                <w:rFonts w:ascii="Times New Roman" w:hAnsi="Times New Roman" w:cs="Times New Roman"/>
                <w:sz w:val="24"/>
                <w:szCs w:val="24"/>
              </w:rPr>
              <w:t xml:space="preserve"> Also, </w:t>
            </w:r>
            <w:r w:rsidRPr="000517C2">
              <w:rPr>
                <w:rFonts w:ascii="Times New Roman" w:hAnsi="Times New Roman" w:cs="Times New Roman"/>
                <w:b/>
                <w:sz w:val="24"/>
                <w:szCs w:val="24"/>
              </w:rPr>
              <w:t>ICNU</w:t>
            </w:r>
            <w:r w:rsidRPr="000517C2">
              <w:rPr>
                <w:rFonts w:ascii="Times New Roman" w:hAnsi="Times New Roman" w:cs="Times New Roman"/>
                <w:sz w:val="24"/>
                <w:szCs w:val="24"/>
              </w:rPr>
              <w:t xml:space="preserve"> </w:t>
            </w:r>
            <w:r>
              <w:rPr>
                <w:rFonts w:ascii="Times New Roman" w:hAnsi="Times New Roman" w:cs="Times New Roman"/>
                <w:sz w:val="24"/>
                <w:szCs w:val="24"/>
              </w:rPr>
              <w:t xml:space="preserve">believes that </w:t>
            </w:r>
            <w:r w:rsidRPr="000517C2">
              <w:rPr>
                <w:rFonts w:ascii="Times New Roman" w:hAnsi="Times New Roman" w:cs="Times New Roman"/>
                <w:sz w:val="24"/>
                <w:szCs w:val="24"/>
              </w:rPr>
              <w:t xml:space="preserve">additional or early </w:t>
            </w:r>
            <w:r>
              <w:rPr>
                <w:rFonts w:ascii="Times New Roman" w:hAnsi="Times New Roman" w:cs="Times New Roman"/>
                <w:sz w:val="24"/>
                <w:szCs w:val="24"/>
              </w:rPr>
              <w:t>r</w:t>
            </w:r>
            <w:r w:rsidRPr="000517C2">
              <w:rPr>
                <w:rFonts w:ascii="Times New Roman" w:hAnsi="Times New Roman" w:cs="Times New Roman"/>
                <w:sz w:val="24"/>
                <w:szCs w:val="24"/>
              </w:rPr>
              <w:t>enewable acquisition should be discouraged because it will</w:t>
            </w:r>
            <w:r>
              <w:rPr>
                <w:rFonts w:ascii="Times New Roman" w:hAnsi="Times New Roman" w:cs="Times New Roman"/>
                <w:sz w:val="24"/>
                <w:szCs w:val="24"/>
              </w:rPr>
              <w:t xml:space="preserve"> </w:t>
            </w:r>
            <w:r w:rsidRPr="000517C2">
              <w:rPr>
                <w:rFonts w:ascii="Times New Roman" w:hAnsi="Times New Roman" w:cs="Times New Roman"/>
                <w:sz w:val="24"/>
                <w:szCs w:val="24"/>
              </w:rPr>
              <w:t>unnecessarily increase rates.</w:t>
            </w:r>
            <w:r>
              <w:rPr>
                <w:rFonts w:ascii="Times New Roman" w:hAnsi="Times New Roman" w:cs="Times New Roman"/>
                <w:sz w:val="24"/>
                <w:szCs w:val="24"/>
              </w:rPr>
              <w:t xml:space="preserve"> </w:t>
            </w:r>
          </w:p>
          <w:p w:rsidR="00550856" w:rsidRPr="000517C2" w:rsidRDefault="00550856" w:rsidP="001C6D4A">
            <w:pPr>
              <w:rPr>
                <w:rFonts w:ascii="Times New Roman" w:hAnsi="Times New Roman" w:cs="Times New Roman"/>
                <w:sz w:val="24"/>
                <w:szCs w:val="24"/>
              </w:rPr>
            </w:pPr>
            <w:r>
              <w:rPr>
                <w:rFonts w:ascii="Times New Roman" w:hAnsi="Times New Roman" w:cs="Times New Roman"/>
                <w:sz w:val="24"/>
                <w:szCs w:val="24"/>
              </w:rPr>
              <w:t xml:space="preserve">The </w:t>
            </w:r>
            <w:r w:rsidRPr="0027654C">
              <w:rPr>
                <w:rFonts w:ascii="Times New Roman" w:hAnsi="Times New Roman" w:cs="Times New Roman"/>
                <w:b/>
                <w:sz w:val="24"/>
                <w:szCs w:val="24"/>
              </w:rPr>
              <w:t>Joint Coalition</w:t>
            </w:r>
            <w:r>
              <w:rPr>
                <w:rFonts w:ascii="Times New Roman" w:hAnsi="Times New Roman" w:cs="Times New Roman"/>
                <w:sz w:val="24"/>
                <w:szCs w:val="24"/>
              </w:rPr>
              <w:t xml:space="preserve"> suggests both a non-financial and a financial incentive mechanism. The non-financial mirrors its response </w:t>
            </w:r>
            <w:r w:rsidR="002678A5">
              <w:rPr>
                <w:rFonts w:ascii="Times New Roman" w:hAnsi="Times New Roman" w:cs="Times New Roman"/>
                <w:sz w:val="24"/>
                <w:szCs w:val="24"/>
              </w:rPr>
              <w:t>to</w:t>
            </w:r>
            <w:r>
              <w:rPr>
                <w:rFonts w:ascii="Times New Roman" w:hAnsi="Times New Roman" w:cs="Times New Roman"/>
                <w:sz w:val="24"/>
                <w:szCs w:val="24"/>
              </w:rPr>
              <w:t xml:space="preserve"> </w:t>
            </w:r>
            <w:r w:rsidR="002678A5">
              <w:rPr>
                <w:rFonts w:ascii="Times New Roman" w:hAnsi="Times New Roman" w:cs="Times New Roman"/>
                <w:sz w:val="24"/>
                <w:szCs w:val="24"/>
              </w:rPr>
              <w:t>Q</w:t>
            </w:r>
            <w:r>
              <w:rPr>
                <w:rFonts w:ascii="Times New Roman" w:hAnsi="Times New Roman" w:cs="Times New Roman"/>
                <w:sz w:val="24"/>
                <w:szCs w:val="24"/>
              </w:rPr>
              <w:t xml:space="preserve">uestion 4 regarding providing more certainty regarding cost recovery. Financially, the Coalition recommends the Commission consider a rate of return adder.  The adder, according to the </w:t>
            </w:r>
            <w:r w:rsidRPr="0027654C">
              <w:rPr>
                <w:rFonts w:ascii="Times New Roman" w:hAnsi="Times New Roman" w:cs="Times New Roman"/>
                <w:b/>
                <w:sz w:val="24"/>
                <w:szCs w:val="24"/>
              </w:rPr>
              <w:t>Joint Coalition</w:t>
            </w:r>
            <w:r>
              <w:rPr>
                <w:rFonts w:ascii="Times New Roman" w:hAnsi="Times New Roman" w:cs="Times New Roman"/>
                <w:b/>
                <w:sz w:val="24"/>
                <w:szCs w:val="24"/>
              </w:rPr>
              <w:t>,</w:t>
            </w:r>
            <w:r>
              <w:rPr>
                <w:rFonts w:ascii="Times New Roman" w:hAnsi="Times New Roman" w:cs="Times New Roman"/>
                <w:sz w:val="24"/>
                <w:szCs w:val="24"/>
              </w:rPr>
              <w:t xml:space="preserve"> would encourage meeting energy demand with new renewable resources in a mechanism similar to that in RCW 80.28.025. </w:t>
            </w:r>
          </w:p>
        </w:tc>
      </w:tr>
      <w:tr w:rsidR="00D961C5" w:rsidTr="004464F4">
        <w:trPr>
          <w:trHeight w:val="1160"/>
        </w:trPr>
        <w:tc>
          <w:tcPr>
            <w:tcW w:w="9870" w:type="dxa"/>
            <w:shd w:val="clear" w:color="auto" w:fill="C6D9F1" w:themeFill="text2" w:themeFillTint="33"/>
            <w:vAlign w:val="center"/>
          </w:tcPr>
          <w:p w:rsidR="00D961C5" w:rsidRPr="00B164EB" w:rsidRDefault="00D961C5" w:rsidP="00F236C9">
            <w:pPr>
              <w:pStyle w:val="ListParagraph"/>
              <w:ind w:left="1302" w:hanging="990"/>
              <w:rPr>
                <w:rFonts w:ascii="Times New Roman" w:hAnsi="Times New Roman" w:cs="Times New Roman"/>
                <w:sz w:val="24"/>
                <w:szCs w:val="24"/>
              </w:rPr>
            </w:pPr>
          </w:p>
        </w:tc>
      </w:tr>
    </w:tbl>
    <w:p w:rsidR="00D961C5" w:rsidRDefault="00D961C5">
      <w:r>
        <w:br w:type="page"/>
      </w:r>
    </w:p>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550856" w:rsidTr="00550856">
        <w:trPr>
          <w:trHeight w:val="512"/>
        </w:trPr>
        <w:tc>
          <w:tcPr>
            <w:tcW w:w="9870" w:type="dxa"/>
            <w:shd w:val="clear" w:color="auto" w:fill="C6D9F1" w:themeFill="text2" w:themeFillTint="33"/>
            <w:vAlign w:val="center"/>
          </w:tcPr>
          <w:p w:rsidR="00550856" w:rsidRDefault="00550856" w:rsidP="00C03B44">
            <w:pPr>
              <w:ind w:left="402" w:hanging="402"/>
              <w:rPr>
                <w:rFonts w:ascii="Times New Roman" w:hAnsi="Times New Roman" w:cs="Times New Roman"/>
                <w:sz w:val="24"/>
                <w:szCs w:val="24"/>
              </w:rPr>
            </w:pPr>
            <w:r w:rsidRPr="00C162AD">
              <w:rPr>
                <w:rFonts w:ascii="Times New Roman" w:hAnsi="Times New Roman" w:cs="Times New Roman"/>
                <w:b/>
                <w:i/>
                <w:sz w:val="24"/>
                <w:szCs w:val="24"/>
              </w:rPr>
              <w:lastRenderedPageBreak/>
              <w:t>14) Impact on Ratepayers.</w:t>
            </w:r>
            <w:r w:rsidRPr="00772C42">
              <w:rPr>
                <w:rFonts w:ascii="Times New Roman" w:hAnsi="Times New Roman" w:cs="Times New Roman"/>
                <w:i/>
                <w:sz w:val="24"/>
                <w:szCs w:val="24"/>
              </w:rPr>
              <w:t xml:space="preserve">  </w:t>
            </w:r>
            <w:r w:rsidRPr="00F51B48">
              <w:rPr>
                <w:rFonts w:ascii="Times New Roman" w:hAnsi="Times New Roman" w:cs="Times New Roman"/>
                <w:sz w:val="24"/>
                <w:szCs w:val="24"/>
              </w:rPr>
              <w:t>What would be the impact on ratepayers of providing incentives to utilities to exceed their RPS targets or meet them early?</w:t>
            </w:r>
          </w:p>
        </w:tc>
      </w:tr>
      <w:tr w:rsidR="00550856" w:rsidTr="00550856">
        <w:trPr>
          <w:trHeight w:val="512"/>
        </w:trPr>
        <w:tc>
          <w:tcPr>
            <w:tcW w:w="9870" w:type="dxa"/>
            <w:shd w:val="clear" w:color="auto" w:fill="auto"/>
          </w:tcPr>
          <w:p w:rsidR="00550856" w:rsidRDefault="00550856" w:rsidP="00C03B44">
            <w:pPr>
              <w:spacing w:before="240"/>
              <w:rPr>
                <w:rFonts w:ascii="Times New Roman" w:hAnsi="Times New Roman" w:cs="Times New Roman"/>
                <w:sz w:val="24"/>
                <w:szCs w:val="24"/>
              </w:rPr>
            </w:pPr>
            <w:r>
              <w:rPr>
                <w:rFonts w:ascii="Times New Roman" w:hAnsi="Times New Roman" w:cs="Times New Roman"/>
                <w:sz w:val="24"/>
                <w:szCs w:val="24"/>
              </w:rPr>
              <w:t>With t</w:t>
            </w:r>
            <w:r w:rsidRPr="001C6D4A">
              <w:rPr>
                <w:rFonts w:ascii="Times New Roman" w:hAnsi="Times New Roman" w:cs="Times New Roman"/>
                <w:sz w:val="24"/>
                <w:szCs w:val="24"/>
              </w:rPr>
              <w:t>he costs of currently-available renewable resources</w:t>
            </w:r>
            <w:r>
              <w:rPr>
                <w:rFonts w:ascii="Times New Roman" w:hAnsi="Times New Roman" w:cs="Times New Roman"/>
                <w:sz w:val="24"/>
                <w:szCs w:val="24"/>
              </w:rPr>
              <w:t xml:space="preserve"> which</w:t>
            </w:r>
            <w:r w:rsidR="00BA345B">
              <w:rPr>
                <w:rFonts w:ascii="Times New Roman" w:hAnsi="Times New Roman" w:cs="Times New Roman"/>
                <w:sz w:val="24"/>
                <w:szCs w:val="24"/>
              </w:rPr>
              <w:t>,</w:t>
            </w:r>
            <w:r>
              <w:rPr>
                <w:rFonts w:ascii="Times New Roman" w:hAnsi="Times New Roman" w:cs="Times New Roman"/>
                <w:sz w:val="24"/>
                <w:szCs w:val="24"/>
              </w:rPr>
              <w:t xml:space="preserve"> </w:t>
            </w:r>
            <w:r w:rsidRPr="001C6D4A">
              <w:rPr>
                <w:rFonts w:ascii="Times New Roman" w:hAnsi="Times New Roman" w:cs="Times New Roman"/>
                <w:b/>
                <w:sz w:val="24"/>
                <w:szCs w:val="24"/>
              </w:rPr>
              <w:t>Avista</w:t>
            </w:r>
            <w:r>
              <w:rPr>
                <w:rFonts w:ascii="Times New Roman" w:hAnsi="Times New Roman" w:cs="Times New Roman"/>
                <w:sz w:val="24"/>
                <w:szCs w:val="24"/>
              </w:rPr>
              <w:t xml:space="preserve"> says</w:t>
            </w:r>
            <w:r w:rsidRPr="001C6D4A">
              <w:rPr>
                <w:rFonts w:ascii="Times New Roman" w:hAnsi="Times New Roman" w:cs="Times New Roman"/>
                <w:sz w:val="24"/>
                <w:szCs w:val="24"/>
              </w:rPr>
              <w:t xml:space="preserve"> significantly</w:t>
            </w:r>
            <w:r>
              <w:rPr>
                <w:rFonts w:ascii="Times New Roman" w:hAnsi="Times New Roman" w:cs="Times New Roman"/>
                <w:sz w:val="24"/>
                <w:szCs w:val="24"/>
              </w:rPr>
              <w:t xml:space="preserve"> </w:t>
            </w:r>
            <w:r w:rsidRPr="001C6D4A">
              <w:rPr>
                <w:rFonts w:ascii="Times New Roman" w:hAnsi="Times New Roman" w:cs="Times New Roman"/>
                <w:sz w:val="24"/>
                <w:szCs w:val="24"/>
              </w:rPr>
              <w:t>exceed</w:t>
            </w:r>
            <w:r>
              <w:rPr>
                <w:rFonts w:ascii="Times New Roman" w:hAnsi="Times New Roman" w:cs="Times New Roman"/>
                <w:sz w:val="24"/>
                <w:szCs w:val="24"/>
              </w:rPr>
              <w:t>s</w:t>
            </w:r>
            <w:r w:rsidRPr="001C6D4A">
              <w:rPr>
                <w:rFonts w:ascii="Times New Roman" w:hAnsi="Times New Roman" w:cs="Times New Roman"/>
                <w:sz w:val="24"/>
                <w:szCs w:val="24"/>
              </w:rPr>
              <w:t xml:space="preserve"> </w:t>
            </w:r>
            <w:r>
              <w:rPr>
                <w:rFonts w:ascii="Times New Roman" w:hAnsi="Times New Roman" w:cs="Times New Roman"/>
                <w:sz w:val="24"/>
                <w:szCs w:val="24"/>
              </w:rPr>
              <w:t>its</w:t>
            </w:r>
            <w:r w:rsidRPr="001C6D4A">
              <w:rPr>
                <w:rFonts w:ascii="Times New Roman" w:hAnsi="Times New Roman" w:cs="Times New Roman"/>
                <w:sz w:val="24"/>
                <w:szCs w:val="24"/>
              </w:rPr>
              <w:t xml:space="preserve"> embedded resource cost, </w:t>
            </w:r>
            <w:r w:rsidR="00BA345B">
              <w:rPr>
                <w:rFonts w:ascii="Times New Roman" w:hAnsi="Times New Roman" w:cs="Times New Roman"/>
                <w:sz w:val="24"/>
                <w:szCs w:val="24"/>
              </w:rPr>
              <w:t xml:space="preserve">and </w:t>
            </w:r>
            <w:r>
              <w:rPr>
                <w:rFonts w:ascii="Times New Roman" w:hAnsi="Times New Roman" w:cs="Times New Roman"/>
                <w:sz w:val="24"/>
                <w:szCs w:val="24"/>
              </w:rPr>
              <w:t>along with lower</w:t>
            </w:r>
            <w:r w:rsidRPr="001C6D4A">
              <w:rPr>
                <w:rFonts w:ascii="Times New Roman" w:hAnsi="Times New Roman" w:cs="Times New Roman"/>
                <w:sz w:val="24"/>
                <w:szCs w:val="24"/>
              </w:rPr>
              <w:t xml:space="preserve"> short-term wholesale cost of power</w:t>
            </w:r>
            <w:r>
              <w:rPr>
                <w:rFonts w:ascii="Times New Roman" w:hAnsi="Times New Roman" w:cs="Times New Roman"/>
                <w:sz w:val="24"/>
                <w:szCs w:val="24"/>
              </w:rPr>
              <w:t xml:space="preserve">, </w:t>
            </w:r>
            <w:r w:rsidRPr="001C6D4A">
              <w:rPr>
                <w:rFonts w:ascii="Times New Roman" w:hAnsi="Times New Roman" w:cs="Times New Roman"/>
                <w:b/>
                <w:sz w:val="24"/>
                <w:szCs w:val="24"/>
              </w:rPr>
              <w:t>Avista</w:t>
            </w:r>
            <w:r>
              <w:rPr>
                <w:rFonts w:ascii="Times New Roman" w:hAnsi="Times New Roman" w:cs="Times New Roman"/>
                <w:sz w:val="24"/>
                <w:szCs w:val="24"/>
              </w:rPr>
              <w:t xml:space="preserve"> believes the early acquisition and/or installation of new renewable resources would increase customer rates</w:t>
            </w:r>
            <w:r w:rsidRPr="001C6D4A">
              <w:rPr>
                <w:rFonts w:ascii="Times New Roman" w:hAnsi="Times New Roman" w:cs="Times New Roman"/>
                <w:sz w:val="24"/>
                <w:szCs w:val="24"/>
              </w:rPr>
              <w:t>.</w:t>
            </w:r>
          </w:p>
          <w:p w:rsidR="00550856" w:rsidRDefault="00550856" w:rsidP="00637D73">
            <w:pPr>
              <w:rPr>
                <w:rFonts w:ascii="Times New Roman" w:hAnsi="Times New Roman" w:cs="Times New Roman"/>
                <w:sz w:val="24"/>
                <w:szCs w:val="24"/>
              </w:rPr>
            </w:pPr>
            <w:r w:rsidRPr="003300A2">
              <w:rPr>
                <w:rFonts w:ascii="Times New Roman" w:hAnsi="Times New Roman" w:cs="Times New Roman"/>
                <w:b/>
                <w:sz w:val="24"/>
                <w:szCs w:val="24"/>
              </w:rPr>
              <w:t>PacifiCorp</w:t>
            </w:r>
            <w:r w:rsidR="002678A5">
              <w:rPr>
                <w:rFonts w:ascii="Times New Roman" w:hAnsi="Times New Roman" w:cs="Times New Roman"/>
                <w:b/>
                <w:sz w:val="24"/>
                <w:szCs w:val="24"/>
              </w:rPr>
              <w:t>,</w:t>
            </w:r>
            <w:r>
              <w:rPr>
                <w:rFonts w:ascii="Times New Roman" w:hAnsi="Times New Roman" w:cs="Times New Roman"/>
                <w:sz w:val="24"/>
                <w:szCs w:val="24"/>
              </w:rPr>
              <w:t xml:space="preserve"> however</w:t>
            </w:r>
            <w:r w:rsidR="002678A5">
              <w:rPr>
                <w:rFonts w:ascii="Times New Roman" w:hAnsi="Times New Roman" w:cs="Times New Roman"/>
                <w:sz w:val="24"/>
                <w:szCs w:val="24"/>
              </w:rPr>
              <w:t>,</w:t>
            </w:r>
            <w:r>
              <w:rPr>
                <w:rFonts w:ascii="Times New Roman" w:hAnsi="Times New Roman" w:cs="Times New Roman"/>
                <w:sz w:val="24"/>
                <w:szCs w:val="24"/>
              </w:rPr>
              <w:t xml:space="preserve"> feels that i</w:t>
            </w:r>
            <w:r w:rsidRPr="003300A2">
              <w:rPr>
                <w:rFonts w:ascii="Times New Roman" w:hAnsi="Times New Roman" w:cs="Times New Roman"/>
                <w:sz w:val="24"/>
                <w:szCs w:val="24"/>
              </w:rPr>
              <w:t>t is in the best interest of customers to have a utility procure renewable resources</w:t>
            </w:r>
            <w:r>
              <w:rPr>
                <w:rFonts w:ascii="Times New Roman" w:hAnsi="Times New Roman" w:cs="Times New Roman"/>
                <w:sz w:val="24"/>
                <w:szCs w:val="24"/>
              </w:rPr>
              <w:t xml:space="preserve"> </w:t>
            </w:r>
            <w:r w:rsidRPr="003300A2">
              <w:rPr>
                <w:rFonts w:ascii="Times New Roman" w:hAnsi="Times New Roman" w:cs="Times New Roman"/>
                <w:sz w:val="24"/>
                <w:szCs w:val="24"/>
              </w:rPr>
              <w:t xml:space="preserve">opportunistically and in advance of compliance dates. </w:t>
            </w:r>
            <w:r>
              <w:rPr>
                <w:rFonts w:ascii="Times New Roman" w:hAnsi="Times New Roman" w:cs="Times New Roman"/>
                <w:sz w:val="24"/>
                <w:szCs w:val="24"/>
              </w:rPr>
              <w:t xml:space="preserve"> </w:t>
            </w:r>
            <w:r w:rsidRPr="003300A2">
              <w:rPr>
                <w:rFonts w:ascii="Times New Roman" w:hAnsi="Times New Roman" w:cs="Times New Roman"/>
                <w:b/>
                <w:sz w:val="24"/>
                <w:szCs w:val="24"/>
              </w:rPr>
              <w:t>PacifiCorp</w:t>
            </w:r>
            <w:r>
              <w:rPr>
                <w:rFonts w:ascii="Times New Roman" w:hAnsi="Times New Roman" w:cs="Times New Roman"/>
                <w:sz w:val="24"/>
                <w:szCs w:val="24"/>
              </w:rPr>
              <w:t xml:space="preserve"> states that t</w:t>
            </w:r>
            <w:r w:rsidRPr="003300A2">
              <w:rPr>
                <w:rFonts w:ascii="Times New Roman" w:hAnsi="Times New Roman" w:cs="Times New Roman"/>
                <w:sz w:val="24"/>
                <w:szCs w:val="24"/>
              </w:rPr>
              <w:t>he impact to</w:t>
            </w:r>
            <w:r>
              <w:rPr>
                <w:rFonts w:ascii="Times New Roman" w:hAnsi="Times New Roman" w:cs="Times New Roman"/>
                <w:sz w:val="24"/>
                <w:szCs w:val="24"/>
              </w:rPr>
              <w:t xml:space="preserve"> </w:t>
            </w:r>
            <w:r w:rsidRPr="003300A2">
              <w:rPr>
                <w:rFonts w:ascii="Times New Roman" w:hAnsi="Times New Roman" w:cs="Times New Roman"/>
                <w:sz w:val="24"/>
                <w:szCs w:val="24"/>
              </w:rPr>
              <w:t>customers is a reduction in risk and the crediting of</w:t>
            </w:r>
            <w:r>
              <w:rPr>
                <w:rFonts w:ascii="Times New Roman" w:hAnsi="Times New Roman" w:cs="Times New Roman"/>
                <w:sz w:val="24"/>
                <w:szCs w:val="24"/>
              </w:rPr>
              <w:t xml:space="preserve"> </w:t>
            </w:r>
            <w:r w:rsidRPr="003300A2">
              <w:rPr>
                <w:rFonts w:ascii="Times New Roman" w:hAnsi="Times New Roman" w:cs="Times New Roman"/>
                <w:sz w:val="24"/>
                <w:szCs w:val="24"/>
              </w:rPr>
              <w:t>revenues associated with any off-system</w:t>
            </w:r>
            <w:r>
              <w:rPr>
                <w:rFonts w:ascii="Times New Roman" w:hAnsi="Times New Roman" w:cs="Times New Roman"/>
                <w:sz w:val="24"/>
                <w:szCs w:val="24"/>
              </w:rPr>
              <w:t xml:space="preserve"> </w:t>
            </w:r>
            <w:r w:rsidRPr="003300A2">
              <w:rPr>
                <w:rFonts w:ascii="Times New Roman" w:hAnsi="Times New Roman" w:cs="Times New Roman"/>
                <w:sz w:val="24"/>
                <w:szCs w:val="24"/>
              </w:rPr>
              <w:t>power sales and/or renewable energy credit sales when not needed for compliance purposes.</w:t>
            </w:r>
          </w:p>
          <w:p w:rsidR="00550856" w:rsidRDefault="00550856" w:rsidP="004669A0">
            <w:pPr>
              <w:rPr>
                <w:rFonts w:ascii="Times New Roman" w:hAnsi="Times New Roman" w:cs="Times New Roman"/>
                <w:sz w:val="24"/>
                <w:szCs w:val="24"/>
              </w:rPr>
            </w:pPr>
            <w:r>
              <w:rPr>
                <w:rFonts w:ascii="Times New Roman" w:hAnsi="Times New Roman" w:cs="Times New Roman"/>
                <w:sz w:val="24"/>
                <w:szCs w:val="24"/>
              </w:rPr>
              <w:t xml:space="preserve">Also citing a ratepayer benefit, </w:t>
            </w:r>
            <w:r w:rsidRPr="00637D73">
              <w:rPr>
                <w:rFonts w:ascii="Times New Roman" w:hAnsi="Times New Roman" w:cs="Times New Roman"/>
                <w:b/>
                <w:sz w:val="24"/>
                <w:szCs w:val="24"/>
              </w:rPr>
              <w:t>PSE</w:t>
            </w:r>
            <w:r>
              <w:rPr>
                <w:rFonts w:ascii="Times New Roman" w:hAnsi="Times New Roman" w:cs="Times New Roman"/>
                <w:sz w:val="24"/>
                <w:szCs w:val="24"/>
              </w:rPr>
              <w:t xml:space="preserve"> states that r</w:t>
            </w:r>
            <w:r w:rsidRPr="00637D73">
              <w:rPr>
                <w:rFonts w:ascii="Times New Roman" w:hAnsi="Times New Roman" w:cs="Times New Roman"/>
                <w:sz w:val="24"/>
                <w:szCs w:val="24"/>
              </w:rPr>
              <w:t>atepayers may receive the benefits of</w:t>
            </w:r>
            <w:r>
              <w:rPr>
                <w:rFonts w:ascii="Times New Roman" w:hAnsi="Times New Roman" w:cs="Times New Roman"/>
                <w:sz w:val="24"/>
                <w:szCs w:val="24"/>
              </w:rPr>
              <w:t>: (1)</w:t>
            </w:r>
            <w:r w:rsidRPr="00637D73">
              <w:rPr>
                <w:rFonts w:ascii="Times New Roman" w:hAnsi="Times New Roman" w:cs="Times New Roman"/>
                <w:sz w:val="24"/>
                <w:szCs w:val="24"/>
              </w:rPr>
              <w:t xml:space="preserve"> greater cost stability to</w:t>
            </w:r>
            <w:r>
              <w:rPr>
                <w:rFonts w:ascii="Times New Roman" w:hAnsi="Times New Roman" w:cs="Times New Roman"/>
                <w:sz w:val="24"/>
                <w:szCs w:val="24"/>
              </w:rPr>
              <w:t xml:space="preserve"> </w:t>
            </w:r>
            <w:r w:rsidRPr="00637D73">
              <w:rPr>
                <w:rFonts w:ascii="Times New Roman" w:hAnsi="Times New Roman" w:cs="Times New Roman"/>
                <w:sz w:val="24"/>
                <w:szCs w:val="24"/>
              </w:rPr>
              <w:t>energy portfolios</w:t>
            </w:r>
            <w:r>
              <w:rPr>
                <w:rFonts w:ascii="Times New Roman" w:hAnsi="Times New Roman" w:cs="Times New Roman"/>
                <w:sz w:val="24"/>
                <w:szCs w:val="24"/>
              </w:rPr>
              <w:t xml:space="preserve"> (2)</w:t>
            </w:r>
            <w:r w:rsidRPr="00637D73">
              <w:rPr>
                <w:rFonts w:ascii="Times New Roman" w:hAnsi="Times New Roman" w:cs="Times New Roman"/>
                <w:sz w:val="24"/>
                <w:szCs w:val="24"/>
              </w:rPr>
              <w:t xml:space="preserve"> portfolio diversity and </w:t>
            </w:r>
            <w:r>
              <w:rPr>
                <w:rFonts w:ascii="Times New Roman" w:hAnsi="Times New Roman" w:cs="Times New Roman"/>
                <w:sz w:val="24"/>
                <w:szCs w:val="24"/>
              </w:rPr>
              <w:t xml:space="preserve">(3) </w:t>
            </w:r>
            <w:r w:rsidRPr="00637D73">
              <w:rPr>
                <w:rFonts w:ascii="Times New Roman" w:hAnsi="Times New Roman" w:cs="Times New Roman"/>
                <w:sz w:val="24"/>
                <w:szCs w:val="24"/>
              </w:rPr>
              <w:t>potential protection against future greenhouse</w:t>
            </w:r>
            <w:r>
              <w:rPr>
                <w:rFonts w:ascii="Times New Roman" w:hAnsi="Times New Roman" w:cs="Times New Roman"/>
                <w:sz w:val="24"/>
                <w:szCs w:val="24"/>
              </w:rPr>
              <w:t xml:space="preserve"> </w:t>
            </w:r>
            <w:r w:rsidRPr="00637D73">
              <w:rPr>
                <w:rFonts w:ascii="Times New Roman" w:hAnsi="Times New Roman" w:cs="Times New Roman"/>
                <w:sz w:val="24"/>
                <w:szCs w:val="24"/>
              </w:rPr>
              <w:t>gas cost risks</w:t>
            </w:r>
            <w:r>
              <w:rPr>
                <w:rFonts w:ascii="Times New Roman" w:hAnsi="Times New Roman" w:cs="Times New Roman"/>
                <w:sz w:val="24"/>
                <w:szCs w:val="24"/>
              </w:rPr>
              <w:t>.</w:t>
            </w:r>
          </w:p>
          <w:p w:rsidR="00C03B44" w:rsidRDefault="00C03B44" w:rsidP="004669A0">
            <w:pPr>
              <w:rPr>
                <w:rFonts w:ascii="Times New Roman" w:hAnsi="Times New Roman" w:cs="Times New Roman"/>
                <w:sz w:val="24"/>
                <w:szCs w:val="24"/>
              </w:rPr>
            </w:pPr>
          </w:p>
          <w:p w:rsidR="00C03B44" w:rsidRDefault="00C03B44" w:rsidP="004669A0">
            <w:pPr>
              <w:rPr>
                <w:rFonts w:ascii="Times New Roman" w:hAnsi="Times New Roman" w:cs="Times New Roman"/>
                <w:sz w:val="24"/>
                <w:szCs w:val="24"/>
              </w:rPr>
            </w:pPr>
          </w:p>
          <w:p w:rsidR="00C03B44" w:rsidRDefault="00C03B44" w:rsidP="004669A0">
            <w:pPr>
              <w:rPr>
                <w:rFonts w:ascii="Times New Roman" w:hAnsi="Times New Roman" w:cs="Times New Roman"/>
                <w:sz w:val="24"/>
                <w:szCs w:val="24"/>
              </w:rPr>
            </w:pPr>
          </w:p>
          <w:p w:rsidR="00C03B44" w:rsidRDefault="00C03B44" w:rsidP="004669A0">
            <w:pPr>
              <w:rPr>
                <w:rFonts w:ascii="Times New Roman" w:hAnsi="Times New Roman" w:cs="Times New Roman"/>
                <w:sz w:val="24"/>
                <w:szCs w:val="24"/>
              </w:rPr>
            </w:pPr>
          </w:p>
          <w:p w:rsidR="00C03B44" w:rsidRDefault="00C03B44" w:rsidP="004669A0">
            <w:pPr>
              <w:rPr>
                <w:rFonts w:ascii="Times New Roman" w:hAnsi="Times New Roman" w:cs="Times New Roman"/>
                <w:sz w:val="24"/>
                <w:szCs w:val="24"/>
              </w:rPr>
            </w:pPr>
          </w:p>
          <w:p w:rsidR="00C03B44" w:rsidRDefault="00C03B44" w:rsidP="004669A0">
            <w:pPr>
              <w:rPr>
                <w:rFonts w:ascii="Times New Roman" w:hAnsi="Times New Roman" w:cs="Times New Roman"/>
                <w:sz w:val="24"/>
                <w:szCs w:val="24"/>
              </w:rPr>
            </w:pPr>
          </w:p>
          <w:p w:rsidR="00C03B44" w:rsidRDefault="00C03B44" w:rsidP="004669A0">
            <w:pPr>
              <w:rPr>
                <w:rFonts w:ascii="Times New Roman" w:hAnsi="Times New Roman" w:cs="Times New Roman"/>
                <w:sz w:val="24"/>
                <w:szCs w:val="24"/>
              </w:rPr>
            </w:pPr>
          </w:p>
          <w:p w:rsidR="00C03B44" w:rsidRPr="00637D73" w:rsidRDefault="00C03B44" w:rsidP="004669A0">
            <w:pPr>
              <w:rPr>
                <w:rFonts w:ascii="Times New Roman" w:hAnsi="Times New Roman" w:cs="Times New Roman"/>
                <w:sz w:val="24"/>
                <w:szCs w:val="24"/>
              </w:rPr>
            </w:pPr>
          </w:p>
        </w:tc>
      </w:tr>
      <w:tr w:rsidR="00C03B44" w:rsidTr="004464F4">
        <w:trPr>
          <w:trHeight w:val="1160"/>
        </w:trPr>
        <w:tc>
          <w:tcPr>
            <w:tcW w:w="9870" w:type="dxa"/>
            <w:shd w:val="clear" w:color="auto" w:fill="C6D9F1" w:themeFill="text2" w:themeFillTint="33"/>
            <w:vAlign w:val="center"/>
          </w:tcPr>
          <w:p w:rsidR="00C03B44" w:rsidRPr="00B164EB" w:rsidRDefault="00C03B44" w:rsidP="003E519A">
            <w:pPr>
              <w:pStyle w:val="ListParagraph"/>
              <w:ind w:left="1302" w:hanging="990"/>
              <w:rPr>
                <w:rFonts w:ascii="Times New Roman" w:hAnsi="Times New Roman" w:cs="Times New Roman"/>
                <w:sz w:val="24"/>
                <w:szCs w:val="24"/>
              </w:rPr>
            </w:pPr>
          </w:p>
        </w:tc>
      </w:tr>
    </w:tbl>
    <w:p w:rsidR="00C03B44" w:rsidRDefault="00C03B44">
      <w:r>
        <w:br w:type="page"/>
      </w:r>
    </w:p>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550856" w:rsidTr="00550856">
        <w:trPr>
          <w:trHeight w:val="512"/>
        </w:trPr>
        <w:tc>
          <w:tcPr>
            <w:tcW w:w="9870" w:type="dxa"/>
            <w:shd w:val="clear" w:color="auto" w:fill="C6D9F1" w:themeFill="text2" w:themeFillTint="33"/>
            <w:vAlign w:val="center"/>
          </w:tcPr>
          <w:p w:rsidR="00550856" w:rsidRPr="000F5470" w:rsidRDefault="00550856" w:rsidP="000259F9">
            <w:pPr>
              <w:ind w:left="402" w:hanging="402"/>
              <w:rPr>
                <w:rFonts w:ascii="Times New Roman" w:hAnsi="Times New Roman" w:cs="Times New Roman"/>
                <w:b/>
                <w:sz w:val="24"/>
                <w:szCs w:val="24"/>
              </w:rPr>
            </w:pPr>
            <w:r w:rsidRPr="00C162AD">
              <w:rPr>
                <w:rFonts w:ascii="Times New Roman" w:hAnsi="Times New Roman" w:cs="Times New Roman"/>
                <w:b/>
                <w:i/>
                <w:sz w:val="24"/>
                <w:szCs w:val="24"/>
              </w:rPr>
              <w:lastRenderedPageBreak/>
              <w:t>15) Consideration of Externalities.</w:t>
            </w:r>
            <w:r w:rsidRPr="00F51B48">
              <w:rPr>
                <w:rFonts w:ascii="Times New Roman" w:hAnsi="Times New Roman" w:cs="Times New Roman"/>
                <w:i/>
                <w:sz w:val="24"/>
                <w:szCs w:val="24"/>
              </w:rPr>
              <w:t xml:space="preserve"> </w:t>
            </w:r>
            <w:r w:rsidR="00C162AD">
              <w:rPr>
                <w:rFonts w:ascii="Times New Roman" w:hAnsi="Times New Roman" w:cs="Times New Roman"/>
                <w:i/>
                <w:sz w:val="24"/>
                <w:szCs w:val="24"/>
              </w:rPr>
              <w:t xml:space="preserve"> </w:t>
            </w:r>
            <w:r w:rsidRPr="00F51B48">
              <w:rPr>
                <w:rFonts w:ascii="Times New Roman" w:hAnsi="Times New Roman" w:cs="Times New Roman"/>
                <w:sz w:val="24"/>
                <w:szCs w:val="24"/>
              </w:rPr>
              <w:t>To what extent may, or should, the Commission require a utility to consider “positive externalities” in resource acquisition, such as impact on local economy?</w:t>
            </w:r>
          </w:p>
        </w:tc>
      </w:tr>
      <w:tr w:rsidR="00550856" w:rsidTr="00550856">
        <w:trPr>
          <w:trHeight w:val="512"/>
        </w:trPr>
        <w:tc>
          <w:tcPr>
            <w:tcW w:w="9870" w:type="dxa"/>
            <w:shd w:val="clear" w:color="auto" w:fill="auto"/>
          </w:tcPr>
          <w:p w:rsidR="00550856" w:rsidRDefault="00550856" w:rsidP="00E8453B">
            <w:pPr>
              <w:spacing w:before="240"/>
              <w:rPr>
                <w:rFonts w:ascii="Times New Roman" w:hAnsi="Times New Roman" w:cs="Times New Roman"/>
                <w:sz w:val="24"/>
                <w:szCs w:val="24"/>
              </w:rPr>
            </w:pPr>
            <w:r w:rsidRPr="000F5470">
              <w:rPr>
                <w:rFonts w:ascii="Times New Roman" w:hAnsi="Times New Roman" w:cs="Times New Roman"/>
                <w:b/>
                <w:sz w:val="24"/>
                <w:szCs w:val="24"/>
              </w:rPr>
              <w:t>Avista</w:t>
            </w:r>
            <w:r>
              <w:rPr>
                <w:rFonts w:ascii="Times New Roman" w:hAnsi="Times New Roman" w:cs="Times New Roman"/>
                <w:sz w:val="24"/>
                <w:szCs w:val="24"/>
              </w:rPr>
              <w:t xml:space="preserve"> believes that t</w:t>
            </w:r>
            <w:r w:rsidRPr="000F5470">
              <w:rPr>
                <w:rFonts w:ascii="Times New Roman" w:hAnsi="Times New Roman" w:cs="Times New Roman"/>
                <w:sz w:val="24"/>
                <w:szCs w:val="24"/>
              </w:rPr>
              <w:t>he Commission should not require any specific consideration of</w:t>
            </w:r>
            <w:r>
              <w:rPr>
                <w:rFonts w:ascii="Times New Roman" w:hAnsi="Times New Roman" w:cs="Times New Roman"/>
                <w:sz w:val="24"/>
                <w:szCs w:val="24"/>
              </w:rPr>
              <w:t xml:space="preserve"> </w:t>
            </w:r>
            <w:r w:rsidRPr="000F5470">
              <w:rPr>
                <w:rFonts w:ascii="Times New Roman" w:hAnsi="Times New Roman" w:cs="Times New Roman"/>
                <w:sz w:val="24"/>
                <w:szCs w:val="24"/>
              </w:rPr>
              <w:t>societal values beyond those accruing directly to the ratepayer. To the extent</w:t>
            </w:r>
            <w:r>
              <w:rPr>
                <w:rFonts w:ascii="Times New Roman" w:hAnsi="Times New Roman" w:cs="Times New Roman"/>
                <w:sz w:val="24"/>
                <w:szCs w:val="24"/>
              </w:rPr>
              <w:t xml:space="preserve"> </w:t>
            </w:r>
            <w:r w:rsidRPr="000F5470">
              <w:rPr>
                <w:rFonts w:ascii="Times New Roman" w:hAnsi="Times New Roman" w:cs="Times New Roman"/>
                <w:sz w:val="24"/>
                <w:szCs w:val="24"/>
              </w:rPr>
              <w:t>externalities are reflec</w:t>
            </w:r>
            <w:r w:rsidR="002678A5">
              <w:rPr>
                <w:rFonts w:ascii="Times New Roman" w:hAnsi="Times New Roman" w:cs="Times New Roman"/>
                <w:sz w:val="24"/>
                <w:szCs w:val="24"/>
              </w:rPr>
              <w:t>t</w:t>
            </w:r>
            <w:r w:rsidRPr="000F5470">
              <w:rPr>
                <w:rFonts w:ascii="Times New Roman" w:hAnsi="Times New Roman" w:cs="Times New Roman"/>
                <w:sz w:val="24"/>
                <w:szCs w:val="24"/>
              </w:rPr>
              <w:t>ed in the form of tax credits and/or other measures to encourage</w:t>
            </w:r>
            <w:r>
              <w:rPr>
                <w:rFonts w:ascii="Times New Roman" w:hAnsi="Times New Roman" w:cs="Times New Roman"/>
                <w:sz w:val="24"/>
                <w:szCs w:val="24"/>
              </w:rPr>
              <w:t xml:space="preserve"> </w:t>
            </w:r>
            <w:r w:rsidRPr="000F5470">
              <w:rPr>
                <w:rFonts w:ascii="Times New Roman" w:hAnsi="Times New Roman" w:cs="Times New Roman"/>
                <w:sz w:val="24"/>
                <w:szCs w:val="24"/>
              </w:rPr>
              <w:t>certain actions, they should be considered in the decision-making process.</w:t>
            </w:r>
          </w:p>
          <w:p w:rsidR="00550856" w:rsidRPr="000F5470" w:rsidRDefault="00550856" w:rsidP="000F5470">
            <w:pPr>
              <w:rPr>
                <w:rFonts w:ascii="Times New Roman" w:hAnsi="Times New Roman" w:cs="Times New Roman"/>
                <w:sz w:val="24"/>
                <w:szCs w:val="24"/>
              </w:rPr>
            </w:pPr>
            <w:r>
              <w:rPr>
                <w:rFonts w:ascii="Times New Roman" w:hAnsi="Times New Roman" w:cs="Times New Roman"/>
                <w:b/>
                <w:sz w:val="24"/>
                <w:szCs w:val="24"/>
              </w:rPr>
              <w:t>PacifiCorp</w:t>
            </w:r>
            <w:r>
              <w:rPr>
                <w:rFonts w:ascii="Times New Roman" w:hAnsi="Times New Roman" w:cs="Times New Roman"/>
                <w:sz w:val="24"/>
                <w:szCs w:val="24"/>
              </w:rPr>
              <w:t xml:space="preserve"> holds that consideration of externalities should not be a factor in the consideration of resource acquisitions saying it bases its acquisitions on the integrated resource planning process which results in the best resource </w:t>
            </w:r>
            <w:r w:rsidRPr="000F5470">
              <w:rPr>
                <w:rFonts w:ascii="Times New Roman" w:hAnsi="Times New Roman" w:cs="Times New Roman"/>
                <w:sz w:val="24"/>
                <w:szCs w:val="24"/>
              </w:rPr>
              <w:t xml:space="preserve">acquisitions for the system and </w:t>
            </w:r>
            <w:r w:rsidRPr="000F5470">
              <w:rPr>
                <w:rFonts w:ascii="Times New Roman" w:hAnsi="Times New Roman" w:cs="Times New Roman"/>
                <w:b/>
                <w:sz w:val="24"/>
                <w:szCs w:val="24"/>
              </w:rPr>
              <w:t>PacifiCorp</w:t>
            </w:r>
            <w:r w:rsidRPr="000F5470">
              <w:rPr>
                <w:rFonts w:ascii="Times New Roman" w:hAnsi="Times New Roman" w:cs="Times New Roman"/>
                <w:sz w:val="24"/>
                <w:szCs w:val="24"/>
              </w:rPr>
              <w:t>'s customers</w:t>
            </w:r>
            <w:r>
              <w:rPr>
                <w:rFonts w:ascii="Times New Roman" w:hAnsi="Times New Roman" w:cs="Times New Roman"/>
                <w:sz w:val="24"/>
                <w:szCs w:val="24"/>
              </w:rPr>
              <w:t>.</w:t>
            </w:r>
          </w:p>
          <w:p w:rsidR="00550856" w:rsidRDefault="00550856" w:rsidP="003519A1">
            <w:pPr>
              <w:rPr>
                <w:rFonts w:ascii="Times New Roman" w:hAnsi="Times New Roman" w:cs="Times New Roman"/>
                <w:sz w:val="24"/>
                <w:szCs w:val="24"/>
              </w:rPr>
            </w:pPr>
            <w:r>
              <w:rPr>
                <w:rFonts w:ascii="Times New Roman" w:hAnsi="Times New Roman" w:cs="Times New Roman"/>
                <w:sz w:val="24"/>
                <w:szCs w:val="24"/>
              </w:rPr>
              <w:t xml:space="preserve">Echoing reliance on the integrated resource planning process, </w:t>
            </w:r>
            <w:r w:rsidRPr="000F5470">
              <w:rPr>
                <w:rFonts w:ascii="Times New Roman" w:hAnsi="Times New Roman" w:cs="Times New Roman"/>
                <w:b/>
                <w:sz w:val="24"/>
                <w:szCs w:val="24"/>
              </w:rPr>
              <w:t>PSE</w:t>
            </w:r>
            <w:r>
              <w:rPr>
                <w:rFonts w:ascii="Times New Roman" w:hAnsi="Times New Roman" w:cs="Times New Roman"/>
                <w:sz w:val="24"/>
                <w:szCs w:val="24"/>
              </w:rPr>
              <w:t xml:space="preserve"> states that it </w:t>
            </w:r>
            <w:r w:rsidRPr="000F5470">
              <w:rPr>
                <w:rFonts w:ascii="Times New Roman" w:hAnsi="Times New Roman" w:cs="Times New Roman"/>
                <w:sz w:val="24"/>
                <w:szCs w:val="24"/>
              </w:rPr>
              <w:t>consider</w:t>
            </w:r>
            <w:r>
              <w:rPr>
                <w:rFonts w:ascii="Times New Roman" w:hAnsi="Times New Roman" w:cs="Times New Roman"/>
                <w:sz w:val="24"/>
                <w:szCs w:val="24"/>
              </w:rPr>
              <w:t xml:space="preserve">s </w:t>
            </w:r>
            <w:r w:rsidRPr="000F5470">
              <w:rPr>
                <w:rFonts w:ascii="Times New Roman" w:hAnsi="Times New Roman" w:cs="Times New Roman"/>
                <w:sz w:val="24"/>
                <w:szCs w:val="24"/>
              </w:rPr>
              <w:t>potential carbon</w:t>
            </w:r>
            <w:r>
              <w:rPr>
                <w:rFonts w:ascii="Times New Roman" w:hAnsi="Times New Roman" w:cs="Times New Roman"/>
                <w:sz w:val="24"/>
                <w:szCs w:val="24"/>
              </w:rPr>
              <w:t xml:space="preserve"> </w:t>
            </w:r>
            <w:r w:rsidRPr="000F5470">
              <w:rPr>
                <w:rFonts w:ascii="Times New Roman" w:hAnsi="Times New Roman" w:cs="Times New Roman"/>
                <w:sz w:val="24"/>
                <w:szCs w:val="24"/>
              </w:rPr>
              <w:t>emissions and a variety of other externalities in its Integrated Resource Planning and</w:t>
            </w:r>
            <w:r>
              <w:rPr>
                <w:rFonts w:ascii="Times New Roman" w:hAnsi="Times New Roman" w:cs="Times New Roman"/>
                <w:sz w:val="24"/>
                <w:szCs w:val="24"/>
              </w:rPr>
              <w:t xml:space="preserve"> </w:t>
            </w:r>
            <w:r w:rsidRPr="000F5470">
              <w:rPr>
                <w:rFonts w:ascii="Times New Roman" w:hAnsi="Times New Roman" w:cs="Times New Roman"/>
                <w:sz w:val="24"/>
                <w:szCs w:val="24"/>
              </w:rPr>
              <w:t>Resource Acquisition.</w:t>
            </w:r>
            <w:r>
              <w:rPr>
                <w:rFonts w:ascii="Times New Roman" w:hAnsi="Times New Roman" w:cs="Times New Roman"/>
                <w:sz w:val="24"/>
                <w:szCs w:val="24"/>
              </w:rPr>
              <w:t xml:space="preserve"> </w:t>
            </w:r>
            <w:r w:rsidRPr="000F5470">
              <w:rPr>
                <w:rFonts w:ascii="Times New Roman" w:hAnsi="Times New Roman" w:cs="Times New Roman"/>
                <w:b/>
                <w:sz w:val="24"/>
                <w:szCs w:val="24"/>
              </w:rPr>
              <w:t>PSE</w:t>
            </w:r>
            <w:r>
              <w:rPr>
                <w:rFonts w:ascii="Times New Roman" w:hAnsi="Times New Roman" w:cs="Times New Roman"/>
                <w:sz w:val="24"/>
                <w:szCs w:val="24"/>
              </w:rPr>
              <w:t xml:space="preserve"> further emphasizes RCW 19.285 </w:t>
            </w:r>
            <w:r w:rsidRPr="000F5470">
              <w:rPr>
                <w:rFonts w:ascii="Times New Roman" w:hAnsi="Times New Roman" w:cs="Times New Roman"/>
                <w:sz w:val="24"/>
                <w:szCs w:val="24"/>
              </w:rPr>
              <w:t>already contains a list of externalities that should be</w:t>
            </w:r>
            <w:r>
              <w:rPr>
                <w:rFonts w:ascii="Times New Roman" w:hAnsi="Times New Roman" w:cs="Times New Roman"/>
                <w:sz w:val="24"/>
                <w:szCs w:val="24"/>
              </w:rPr>
              <w:t xml:space="preserve"> </w:t>
            </w:r>
            <w:r w:rsidRPr="000F5470">
              <w:rPr>
                <w:rFonts w:ascii="Times New Roman" w:hAnsi="Times New Roman" w:cs="Times New Roman"/>
                <w:sz w:val="24"/>
                <w:szCs w:val="24"/>
              </w:rPr>
              <w:t>considered</w:t>
            </w:r>
            <w:r w:rsidR="002678A5">
              <w:rPr>
                <w:rFonts w:ascii="Times New Roman" w:hAnsi="Times New Roman" w:cs="Times New Roman"/>
                <w:sz w:val="24"/>
                <w:szCs w:val="24"/>
              </w:rPr>
              <w:t>,</w:t>
            </w:r>
            <w:r>
              <w:rPr>
                <w:rFonts w:ascii="Times New Roman" w:hAnsi="Times New Roman" w:cs="Times New Roman"/>
                <w:sz w:val="24"/>
                <w:szCs w:val="24"/>
              </w:rPr>
              <w:t xml:space="preserve"> which it includes in its comments. </w:t>
            </w:r>
          </w:p>
          <w:p w:rsidR="00550856" w:rsidRDefault="00550856" w:rsidP="00F87A6A">
            <w:pPr>
              <w:rPr>
                <w:rFonts w:ascii="Times New Roman" w:hAnsi="Times New Roman" w:cs="Times New Roman"/>
                <w:sz w:val="24"/>
                <w:szCs w:val="24"/>
              </w:rPr>
            </w:pPr>
            <w:r w:rsidRPr="004669A0">
              <w:rPr>
                <w:rFonts w:ascii="Times New Roman" w:hAnsi="Times New Roman" w:cs="Times New Roman"/>
                <w:b/>
                <w:sz w:val="24"/>
                <w:szCs w:val="24"/>
              </w:rPr>
              <w:t>ADAGE</w:t>
            </w:r>
            <w:r>
              <w:rPr>
                <w:rFonts w:ascii="Times New Roman" w:hAnsi="Times New Roman" w:cs="Times New Roman"/>
                <w:b/>
                <w:sz w:val="24"/>
                <w:szCs w:val="24"/>
              </w:rPr>
              <w:t>,</w:t>
            </w:r>
            <w:r>
              <w:rPr>
                <w:rFonts w:ascii="Times New Roman" w:hAnsi="Times New Roman" w:cs="Times New Roman"/>
                <w:sz w:val="24"/>
                <w:szCs w:val="24"/>
              </w:rPr>
              <w:t xml:space="preserve"> in its only commented, felt strongly the Commission should require utilities to consider “positive externalities” in resource acquisition.  As with </w:t>
            </w:r>
            <w:r w:rsidRPr="004669A0">
              <w:rPr>
                <w:rFonts w:ascii="Times New Roman" w:hAnsi="Times New Roman" w:cs="Times New Roman"/>
                <w:b/>
                <w:sz w:val="24"/>
                <w:szCs w:val="24"/>
              </w:rPr>
              <w:t>PSE</w:t>
            </w:r>
            <w:r>
              <w:rPr>
                <w:rFonts w:ascii="Times New Roman" w:hAnsi="Times New Roman" w:cs="Times New Roman"/>
                <w:sz w:val="24"/>
                <w:szCs w:val="24"/>
              </w:rPr>
              <w:t xml:space="preserve">, </w:t>
            </w:r>
            <w:r w:rsidRPr="004669A0">
              <w:rPr>
                <w:rFonts w:ascii="Times New Roman" w:hAnsi="Times New Roman" w:cs="Times New Roman"/>
                <w:b/>
                <w:sz w:val="24"/>
                <w:szCs w:val="24"/>
              </w:rPr>
              <w:t>ADAGE</w:t>
            </w:r>
            <w:r>
              <w:rPr>
                <w:rFonts w:ascii="Times New Roman" w:hAnsi="Times New Roman" w:cs="Times New Roman"/>
                <w:b/>
                <w:sz w:val="24"/>
                <w:szCs w:val="24"/>
              </w:rPr>
              <w:t xml:space="preserve"> </w:t>
            </w:r>
            <w:r>
              <w:rPr>
                <w:rFonts w:ascii="Times New Roman" w:hAnsi="Times New Roman" w:cs="Times New Roman"/>
                <w:sz w:val="24"/>
                <w:szCs w:val="24"/>
              </w:rPr>
              <w:t xml:space="preserve">lists the </w:t>
            </w:r>
            <w:r w:rsidRPr="004669A0">
              <w:rPr>
                <w:rFonts w:ascii="Times New Roman" w:hAnsi="Times New Roman" w:cs="Times New Roman"/>
                <w:sz w:val="24"/>
                <w:szCs w:val="24"/>
              </w:rPr>
              <w:t>“positive externalities” specifi</w:t>
            </w:r>
            <w:r>
              <w:rPr>
                <w:rFonts w:ascii="Times New Roman" w:hAnsi="Times New Roman" w:cs="Times New Roman"/>
                <w:sz w:val="24"/>
                <w:szCs w:val="24"/>
              </w:rPr>
              <w:t>ed</w:t>
            </w:r>
            <w:r w:rsidRPr="004669A0">
              <w:rPr>
                <w:rFonts w:ascii="Times New Roman" w:hAnsi="Times New Roman" w:cs="Times New Roman"/>
                <w:sz w:val="24"/>
                <w:szCs w:val="24"/>
              </w:rPr>
              <w:t xml:space="preserve"> </w:t>
            </w:r>
            <w:r>
              <w:rPr>
                <w:rFonts w:ascii="Times New Roman" w:hAnsi="Times New Roman" w:cs="Times New Roman"/>
                <w:sz w:val="24"/>
                <w:szCs w:val="24"/>
              </w:rPr>
              <w:t xml:space="preserve">in RCW 19.285 such as stable electricity prices, clean air and water and creation of jobs. Therefore, </w:t>
            </w:r>
            <w:r w:rsidRPr="00F87A6A">
              <w:rPr>
                <w:rFonts w:ascii="Times New Roman" w:hAnsi="Times New Roman" w:cs="Times New Roman"/>
                <w:b/>
                <w:sz w:val="24"/>
                <w:szCs w:val="24"/>
              </w:rPr>
              <w:t>ADAGE</w:t>
            </w:r>
            <w:r>
              <w:rPr>
                <w:rFonts w:ascii="Times New Roman" w:hAnsi="Times New Roman" w:cs="Times New Roman"/>
                <w:sz w:val="24"/>
                <w:szCs w:val="24"/>
              </w:rPr>
              <w:t xml:space="preserve"> argues, the Commission already has </w:t>
            </w:r>
            <w:r w:rsidRPr="00F87A6A">
              <w:rPr>
                <w:rFonts w:ascii="Times New Roman" w:hAnsi="Times New Roman" w:cs="Times New Roman"/>
                <w:sz w:val="24"/>
                <w:szCs w:val="24"/>
              </w:rPr>
              <w:t>the authority to consider the impact to the local and</w:t>
            </w:r>
            <w:r>
              <w:rPr>
                <w:rFonts w:ascii="Times New Roman" w:hAnsi="Times New Roman" w:cs="Times New Roman"/>
                <w:sz w:val="24"/>
                <w:szCs w:val="24"/>
              </w:rPr>
              <w:t xml:space="preserve"> </w:t>
            </w:r>
            <w:r w:rsidRPr="00F87A6A">
              <w:rPr>
                <w:rFonts w:ascii="Times New Roman" w:hAnsi="Times New Roman" w:cs="Times New Roman"/>
                <w:sz w:val="24"/>
                <w:szCs w:val="24"/>
              </w:rPr>
              <w:t>state economy when evaluating resource acquisitions</w:t>
            </w:r>
            <w:r>
              <w:rPr>
                <w:rFonts w:ascii="Times New Roman" w:hAnsi="Times New Roman" w:cs="Times New Roman"/>
                <w:sz w:val="24"/>
                <w:szCs w:val="24"/>
              </w:rPr>
              <w:t xml:space="preserve">. The Commission should make it clear that such impacts should be considered in a utility’s resource acquisition decisions. </w:t>
            </w:r>
          </w:p>
          <w:p w:rsidR="000259F9" w:rsidRPr="004669A0" w:rsidRDefault="00550856" w:rsidP="000624B8">
            <w:pPr>
              <w:rPr>
                <w:rFonts w:ascii="Times New Roman" w:hAnsi="Times New Roman" w:cs="Times New Roman"/>
                <w:sz w:val="24"/>
                <w:szCs w:val="24"/>
              </w:rPr>
            </w:pPr>
            <w:r>
              <w:rPr>
                <w:rFonts w:ascii="Times New Roman" w:hAnsi="Times New Roman" w:cs="Times New Roman"/>
                <w:sz w:val="24"/>
                <w:szCs w:val="24"/>
              </w:rPr>
              <w:t xml:space="preserve">The </w:t>
            </w:r>
            <w:r w:rsidRPr="00F87A6A">
              <w:rPr>
                <w:rFonts w:ascii="Times New Roman" w:hAnsi="Times New Roman" w:cs="Times New Roman"/>
                <w:b/>
                <w:sz w:val="24"/>
                <w:szCs w:val="24"/>
              </w:rPr>
              <w:t>Joint Coalition</w:t>
            </w:r>
            <w:r>
              <w:rPr>
                <w:rFonts w:ascii="Times New Roman" w:hAnsi="Times New Roman" w:cs="Times New Roman"/>
                <w:sz w:val="24"/>
                <w:szCs w:val="24"/>
              </w:rPr>
              <w:t xml:space="preserve"> </w:t>
            </w:r>
            <w:r w:rsidRPr="001C7DE2">
              <w:rPr>
                <w:rFonts w:ascii="Times New Roman" w:hAnsi="Times New Roman" w:cs="Times New Roman"/>
                <w:sz w:val="24"/>
                <w:szCs w:val="24"/>
              </w:rPr>
              <w:t>recommend</w:t>
            </w:r>
            <w:r>
              <w:rPr>
                <w:rFonts w:ascii="Times New Roman" w:hAnsi="Times New Roman" w:cs="Times New Roman"/>
                <w:sz w:val="24"/>
                <w:szCs w:val="24"/>
              </w:rPr>
              <w:t>s</w:t>
            </w:r>
            <w:r w:rsidRPr="001C7DE2">
              <w:rPr>
                <w:rFonts w:ascii="Times New Roman" w:hAnsi="Times New Roman" w:cs="Times New Roman"/>
                <w:sz w:val="24"/>
                <w:szCs w:val="24"/>
              </w:rPr>
              <w:t xml:space="preserve"> that the Commission</w:t>
            </w:r>
            <w:r>
              <w:rPr>
                <w:rFonts w:ascii="Times New Roman" w:hAnsi="Times New Roman" w:cs="Times New Roman"/>
                <w:sz w:val="24"/>
                <w:szCs w:val="24"/>
              </w:rPr>
              <w:t xml:space="preserve"> </w:t>
            </w:r>
            <w:r w:rsidRPr="001C7DE2">
              <w:rPr>
                <w:rFonts w:ascii="Times New Roman" w:hAnsi="Times New Roman" w:cs="Times New Roman"/>
                <w:sz w:val="24"/>
                <w:szCs w:val="24"/>
              </w:rPr>
              <w:t xml:space="preserve">consider adopting a climate change and carbon planning requirement. The </w:t>
            </w:r>
            <w:r w:rsidRPr="001C7DE2">
              <w:rPr>
                <w:rFonts w:ascii="Times New Roman" w:hAnsi="Times New Roman" w:cs="Times New Roman"/>
                <w:b/>
                <w:sz w:val="24"/>
                <w:szCs w:val="24"/>
              </w:rPr>
              <w:t>Joint Coalition</w:t>
            </w:r>
            <w:r w:rsidRPr="001C7DE2">
              <w:rPr>
                <w:rFonts w:ascii="Times New Roman" w:hAnsi="Times New Roman" w:cs="Times New Roman"/>
                <w:sz w:val="24"/>
                <w:szCs w:val="24"/>
              </w:rPr>
              <w:t xml:space="preserve"> </w:t>
            </w:r>
            <w:r>
              <w:rPr>
                <w:rFonts w:ascii="Times New Roman" w:hAnsi="Times New Roman" w:cs="Times New Roman"/>
                <w:sz w:val="24"/>
                <w:szCs w:val="24"/>
              </w:rPr>
              <w:t xml:space="preserve">urges the </w:t>
            </w:r>
            <w:r w:rsidRPr="001C7DE2">
              <w:rPr>
                <w:rFonts w:ascii="Times New Roman" w:hAnsi="Times New Roman" w:cs="Times New Roman"/>
                <w:sz w:val="24"/>
                <w:szCs w:val="24"/>
              </w:rPr>
              <w:t xml:space="preserve">Commission </w:t>
            </w:r>
            <w:r>
              <w:rPr>
                <w:rFonts w:ascii="Times New Roman" w:hAnsi="Times New Roman" w:cs="Times New Roman"/>
                <w:sz w:val="24"/>
                <w:szCs w:val="24"/>
              </w:rPr>
              <w:t xml:space="preserve">to </w:t>
            </w:r>
            <w:r w:rsidRPr="001C7DE2">
              <w:rPr>
                <w:rFonts w:ascii="Times New Roman" w:hAnsi="Times New Roman" w:cs="Times New Roman"/>
                <w:sz w:val="24"/>
                <w:szCs w:val="24"/>
              </w:rPr>
              <w:t>require utilities to develop integrated resource plans that meet adopted state and federal carbon</w:t>
            </w:r>
            <w:r>
              <w:rPr>
                <w:rFonts w:ascii="Times New Roman" w:hAnsi="Times New Roman" w:cs="Times New Roman"/>
                <w:sz w:val="24"/>
                <w:szCs w:val="24"/>
              </w:rPr>
              <w:t xml:space="preserve"> </w:t>
            </w:r>
            <w:r w:rsidRPr="001C7DE2">
              <w:rPr>
                <w:rFonts w:ascii="Times New Roman" w:hAnsi="Times New Roman" w:cs="Times New Roman"/>
                <w:sz w:val="24"/>
                <w:szCs w:val="24"/>
              </w:rPr>
              <w:t xml:space="preserve">reduction targets. </w:t>
            </w:r>
            <w:r>
              <w:rPr>
                <w:rFonts w:ascii="Times New Roman" w:hAnsi="Times New Roman" w:cs="Times New Roman"/>
                <w:sz w:val="24"/>
                <w:szCs w:val="24"/>
              </w:rPr>
              <w:t>In the a</w:t>
            </w:r>
            <w:r w:rsidRPr="001C7DE2">
              <w:rPr>
                <w:rFonts w:ascii="Times New Roman" w:hAnsi="Times New Roman" w:cs="Times New Roman"/>
                <w:sz w:val="24"/>
                <w:szCs w:val="24"/>
              </w:rPr>
              <w:t xml:space="preserve">lternative, </w:t>
            </w:r>
            <w:r>
              <w:rPr>
                <w:rFonts w:ascii="Times New Roman" w:hAnsi="Times New Roman" w:cs="Times New Roman"/>
                <w:sz w:val="24"/>
                <w:szCs w:val="24"/>
              </w:rPr>
              <w:t xml:space="preserve">the </w:t>
            </w:r>
            <w:r w:rsidRPr="001C7DE2">
              <w:rPr>
                <w:rFonts w:ascii="Times New Roman" w:hAnsi="Times New Roman" w:cs="Times New Roman"/>
                <w:b/>
                <w:sz w:val="24"/>
                <w:szCs w:val="24"/>
              </w:rPr>
              <w:t>Joint Coalition</w:t>
            </w:r>
            <w:r w:rsidRPr="001C7DE2">
              <w:rPr>
                <w:rFonts w:ascii="Times New Roman" w:hAnsi="Times New Roman" w:cs="Times New Roman"/>
                <w:sz w:val="24"/>
                <w:szCs w:val="24"/>
              </w:rPr>
              <w:t xml:space="preserve"> </w:t>
            </w:r>
            <w:r>
              <w:rPr>
                <w:rFonts w:ascii="Times New Roman" w:hAnsi="Times New Roman" w:cs="Times New Roman"/>
                <w:sz w:val="24"/>
                <w:szCs w:val="24"/>
              </w:rPr>
              <w:t xml:space="preserve">asks </w:t>
            </w:r>
            <w:r w:rsidRPr="001C7DE2">
              <w:rPr>
                <w:rFonts w:ascii="Times New Roman" w:hAnsi="Times New Roman" w:cs="Times New Roman"/>
                <w:sz w:val="24"/>
                <w:szCs w:val="24"/>
              </w:rPr>
              <w:t xml:space="preserve">the Commission </w:t>
            </w:r>
            <w:r>
              <w:rPr>
                <w:rFonts w:ascii="Times New Roman" w:hAnsi="Times New Roman" w:cs="Times New Roman"/>
                <w:sz w:val="24"/>
                <w:szCs w:val="24"/>
              </w:rPr>
              <w:t>to</w:t>
            </w:r>
            <w:r w:rsidRPr="001C7DE2">
              <w:rPr>
                <w:rFonts w:ascii="Times New Roman" w:hAnsi="Times New Roman" w:cs="Times New Roman"/>
                <w:sz w:val="24"/>
                <w:szCs w:val="24"/>
              </w:rPr>
              <w:t xml:space="preserve"> require utilities to develop (1) a plan on meeting state and federal carbon reduction targets and (2) scenarios for</w:t>
            </w:r>
            <w:r>
              <w:rPr>
                <w:rFonts w:ascii="Times New Roman" w:hAnsi="Times New Roman" w:cs="Times New Roman"/>
                <w:sz w:val="24"/>
                <w:szCs w:val="24"/>
              </w:rPr>
              <w:t xml:space="preserve"> </w:t>
            </w:r>
            <w:r w:rsidRPr="001C7DE2">
              <w:rPr>
                <w:rFonts w:ascii="Times New Roman" w:hAnsi="Times New Roman" w:cs="Times New Roman"/>
                <w:sz w:val="24"/>
                <w:szCs w:val="24"/>
              </w:rPr>
              <w:t>complying with the likely future regulation of greenhouse gas emissions</w:t>
            </w:r>
            <w:r>
              <w:rPr>
                <w:rFonts w:ascii="Times New Roman" w:hAnsi="Times New Roman" w:cs="Times New Roman"/>
                <w:sz w:val="24"/>
                <w:szCs w:val="24"/>
              </w:rPr>
              <w:t xml:space="preserve"> within the integrated resource plan.</w:t>
            </w:r>
            <w:r w:rsidRPr="001C7DE2">
              <w:rPr>
                <w:rFonts w:ascii="Times New Roman" w:hAnsi="Times New Roman" w:cs="Times New Roman"/>
                <w:sz w:val="24"/>
                <w:szCs w:val="24"/>
              </w:rPr>
              <w:t xml:space="preserve"> </w:t>
            </w:r>
          </w:p>
        </w:tc>
      </w:tr>
      <w:tr w:rsidR="006036BB" w:rsidTr="004464F4">
        <w:trPr>
          <w:trHeight w:val="1160"/>
        </w:trPr>
        <w:tc>
          <w:tcPr>
            <w:tcW w:w="9870" w:type="dxa"/>
            <w:shd w:val="clear" w:color="auto" w:fill="C6D9F1" w:themeFill="text2" w:themeFillTint="33"/>
            <w:vAlign w:val="center"/>
          </w:tcPr>
          <w:p w:rsidR="006036BB" w:rsidRPr="00B164EB" w:rsidRDefault="006036BB" w:rsidP="00053945">
            <w:pPr>
              <w:pStyle w:val="ListParagraph"/>
              <w:ind w:left="4722" w:hanging="4410"/>
              <w:rPr>
                <w:rFonts w:ascii="Times New Roman" w:hAnsi="Times New Roman" w:cs="Times New Roman"/>
                <w:sz w:val="24"/>
                <w:szCs w:val="24"/>
              </w:rPr>
            </w:pPr>
          </w:p>
        </w:tc>
      </w:tr>
    </w:tbl>
    <w:p w:rsidR="003E367F" w:rsidRDefault="003E367F">
      <w:r>
        <w:br w:type="page"/>
      </w:r>
    </w:p>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550856" w:rsidTr="00550856">
        <w:trPr>
          <w:trHeight w:val="512"/>
        </w:trPr>
        <w:tc>
          <w:tcPr>
            <w:tcW w:w="9870" w:type="dxa"/>
            <w:shd w:val="clear" w:color="auto" w:fill="C6D9F1" w:themeFill="text2" w:themeFillTint="33"/>
            <w:vAlign w:val="center"/>
          </w:tcPr>
          <w:p w:rsidR="00550856" w:rsidRPr="00983E57" w:rsidRDefault="00550856" w:rsidP="00D65802">
            <w:pPr>
              <w:ind w:left="402" w:hanging="402"/>
              <w:rPr>
                <w:rFonts w:ascii="Times New Roman" w:hAnsi="Times New Roman" w:cs="Times New Roman"/>
                <w:b/>
                <w:sz w:val="24"/>
                <w:szCs w:val="24"/>
              </w:rPr>
            </w:pPr>
            <w:r w:rsidRPr="00C162AD">
              <w:rPr>
                <w:rFonts w:ascii="Times New Roman" w:hAnsi="Times New Roman" w:cs="Times New Roman"/>
                <w:b/>
                <w:i/>
                <w:sz w:val="24"/>
                <w:szCs w:val="24"/>
              </w:rPr>
              <w:lastRenderedPageBreak/>
              <w:t>16) Hydroelectric Generation.</w:t>
            </w:r>
            <w:r w:rsidRPr="005512EE">
              <w:rPr>
                <w:rFonts w:ascii="Times New Roman" w:hAnsi="Times New Roman" w:cs="Times New Roman"/>
                <w:i/>
                <w:sz w:val="24"/>
                <w:szCs w:val="24"/>
              </w:rPr>
              <w:t xml:space="preserve">  </w:t>
            </w:r>
            <w:r w:rsidRPr="005512EE">
              <w:rPr>
                <w:rFonts w:ascii="Times New Roman" w:hAnsi="Times New Roman" w:cs="Times New Roman"/>
                <w:sz w:val="24"/>
                <w:szCs w:val="24"/>
              </w:rPr>
              <w:t>How does the restrictive treatment of hydroelectric generation limit clean and low-cost renewable energy options to ratepayers?  Does the restriction give companies a sufficient incentive to finance efficiency improvements in older hydroelectric projects?</w:t>
            </w:r>
          </w:p>
        </w:tc>
      </w:tr>
      <w:tr w:rsidR="00550856" w:rsidTr="00550856">
        <w:trPr>
          <w:trHeight w:val="512"/>
        </w:trPr>
        <w:tc>
          <w:tcPr>
            <w:tcW w:w="9870" w:type="dxa"/>
            <w:shd w:val="clear" w:color="auto" w:fill="auto"/>
          </w:tcPr>
          <w:p w:rsidR="00550856" w:rsidRDefault="00550856" w:rsidP="00EA7562">
            <w:pPr>
              <w:spacing w:after="0"/>
              <w:rPr>
                <w:rFonts w:ascii="Times New Roman" w:hAnsi="Times New Roman" w:cs="Times New Roman"/>
                <w:b/>
                <w:sz w:val="24"/>
                <w:szCs w:val="24"/>
              </w:rPr>
            </w:pPr>
          </w:p>
          <w:p w:rsidR="00550856" w:rsidRDefault="00550856" w:rsidP="00983E57">
            <w:pPr>
              <w:rPr>
                <w:rFonts w:ascii="Times New Roman" w:hAnsi="Times New Roman" w:cs="Times New Roman"/>
                <w:sz w:val="24"/>
                <w:szCs w:val="24"/>
              </w:rPr>
            </w:pPr>
            <w:r w:rsidRPr="00983E57">
              <w:rPr>
                <w:rFonts w:ascii="Times New Roman" w:hAnsi="Times New Roman" w:cs="Times New Roman"/>
                <w:b/>
                <w:sz w:val="24"/>
                <w:szCs w:val="24"/>
              </w:rPr>
              <w:t>Avista</w:t>
            </w:r>
            <w:r>
              <w:rPr>
                <w:rFonts w:ascii="Times New Roman" w:hAnsi="Times New Roman" w:cs="Times New Roman"/>
                <w:sz w:val="24"/>
                <w:szCs w:val="24"/>
              </w:rPr>
              <w:t xml:space="preserve"> remarks that the present limit on </w:t>
            </w:r>
            <w:r w:rsidRPr="00983E57">
              <w:rPr>
                <w:rFonts w:ascii="Times New Roman" w:hAnsi="Times New Roman" w:cs="Times New Roman"/>
                <w:sz w:val="24"/>
                <w:szCs w:val="24"/>
              </w:rPr>
              <w:t>remarketing RECs from hydroelectric generation</w:t>
            </w:r>
            <w:r>
              <w:rPr>
                <w:rFonts w:ascii="Times New Roman" w:hAnsi="Times New Roman" w:cs="Times New Roman"/>
                <w:sz w:val="24"/>
                <w:szCs w:val="24"/>
              </w:rPr>
              <w:t xml:space="preserve"> </w:t>
            </w:r>
            <w:r w:rsidRPr="00983E57">
              <w:rPr>
                <w:rFonts w:ascii="Times New Roman" w:hAnsi="Times New Roman" w:cs="Times New Roman"/>
                <w:sz w:val="24"/>
                <w:szCs w:val="24"/>
              </w:rPr>
              <w:t>facilities potential</w:t>
            </w:r>
            <w:r>
              <w:rPr>
                <w:rFonts w:ascii="Times New Roman" w:hAnsi="Times New Roman" w:cs="Times New Roman"/>
                <w:sz w:val="24"/>
                <w:szCs w:val="24"/>
              </w:rPr>
              <w:t>ly</w:t>
            </w:r>
            <w:r w:rsidRPr="00983E57">
              <w:rPr>
                <w:rFonts w:ascii="Times New Roman" w:hAnsi="Times New Roman" w:cs="Times New Roman"/>
                <w:sz w:val="24"/>
                <w:szCs w:val="24"/>
              </w:rPr>
              <w:t xml:space="preserve"> limit</w:t>
            </w:r>
            <w:r>
              <w:rPr>
                <w:rFonts w:ascii="Times New Roman" w:hAnsi="Times New Roman" w:cs="Times New Roman"/>
                <w:sz w:val="24"/>
                <w:szCs w:val="24"/>
              </w:rPr>
              <w:t>s</w:t>
            </w:r>
            <w:r w:rsidRPr="00983E57">
              <w:rPr>
                <w:rFonts w:ascii="Times New Roman" w:hAnsi="Times New Roman" w:cs="Times New Roman"/>
                <w:sz w:val="24"/>
                <w:szCs w:val="24"/>
              </w:rPr>
              <w:t xml:space="preserve"> efficient upgrade</w:t>
            </w:r>
            <w:r>
              <w:rPr>
                <w:rFonts w:ascii="Times New Roman" w:hAnsi="Times New Roman" w:cs="Times New Roman"/>
                <w:sz w:val="24"/>
                <w:szCs w:val="24"/>
              </w:rPr>
              <w:t>s to</w:t>
            </w:r>
            <w:r w:rsidRPr="00983E57">
              <w:rPr>
                <w:rFonts w:ascii="Times New Roman" w:hAnsi="Times New Roman" w:cs="Times New Roman"/>
                <w:sz w:val="24"/>
                <w:szCs w:val="24"/>
              </w:rPr>
              <w:t xml:space="preserve"> hydroelectric</w:t>
            </w:r>
            <w:r>
              <w:rPr>
                <w:rFonts w:ascii="Times New Roman" w:hAnsi="Times New Roman" w:cs="Times New Roman"/>
                <w:sz w:val="24"/>
                <w:szCs w:val="24"/>
              </w:rPr>
              <w:t xml:space="preserve"> </w:t>
            </w:r>
            <w:r w:rsidRPr="00983E57">
              <w:rPr>
                <w:rFonts w:ascii="Times New Roman" w:hAnsi="Times New Roman" w:cs="Times New Roman"/>
                <w:sz w:val="24"/>
                <w:szCs w:val="24"/>
              </w:rPr>
              <w:t xml:space="preserve">generation assets. </w:t>
            </w:r>
            <w:r>
              <w:rPr>
                <w:rFonts w:ascii="Times New Roman" w:hAnsi="Times New Roman" w:cs="Times New Roman"/>
                <w:sz w:val="24"/>
                <w:szCs w:val="24"/>
              </w:rPr>
              <w:t xml:space="preserve">The company provided two </w:t>
            </w:r>
            <w:r w:rsidRPr="00983E57">
              <w:rPr>
                <w:rFonts w:ascii="Times New Roman" w:hAnsi="Times New Roman" w:cs="Times New Roman"/>
                <w:sz w:val="24"/>
                <w:szCs w:val="24"/>
              </w:rPr>
              <w:t xml:space="preserve">instances where </w:t>
            </w:r>
            <w:r>
              <w:rPr>
                <w:rFonts w:ascii="Times New Roman" w:hAnsi="Times New Roman" w:cs="Times New Roman"/>
                <w:sz w:val="24"/>
                <w:szCs w:val="24"/>
              </w:rPr>
              <w:t xml:space="preserve">limited upgrades </w:t>
            </w:r>
            <w:r w:rsidRPr="00983E57">
              <w:rPr>
                <w:rFonts w:ascii="Times New Roman" w:hAnsi="Times New Roman" w:cs="Times New Roman"/>
                <w:sz w:val="24"/>
                <w:szCs w:val="24"/>
              </w:rPr>
              <w:t>could occur</w:t>
            </w:r>
            <w:r>
              <w:rPr>
                <w:rFonts w:ascii="Times New Roman" w:hAnsi="Times New Roman" w:cs="Times New Roman"/>
                <w:sz w:val="24"/>
                <w:szCs w:val="24"/>
              </w:rPr>
              <w:t xml:space="preserve"> because of the inability to remarket surplus RECs; (1)</w:t>
            </w:r>
            <w:r w:rsidRPr="00983E57">
              <w:rPr>
                <w:rFonts w:ascii="Times New Roman" w:hAnsi="Times New Roman" w:cs="Times New Roman"/>
                <w:sz w:val="24"/>
                <w:szCs w:val="24"/>
              </w:rPr>
              <w:t xml:space="preserve"> projects owned by a</w:t>
            </w:r>
            <w:r>
              <w:rPr>
                <w:rFonts w:ascii="Times New Roman" w:hAnsi="Times New Roman" w:cs="Times New Roman"/>
                <w:sz w:val="24"/>
                <w:szCs w:val="24"/>
              </w:rPr>
              <w:t xml:space="preserve"> </w:t>
            </w:r>
            <w:r w:rsidRPr="00983E57">
              <w:rPr>
                <w:rFonts w:ascii="Times New Roman" w:hAnsi="Times New Roman" w:cs="Times New Roman"/>
                <w:sz w:val="24"/>
                <w:szCs w:val="24"/>
              </w:rPr>
              <w:t>federal agency since there would be no marketable RECs generated by the project</w:t>
            </w:r>
            <w:r>
              <w:rPr>
                <w:rFonts w:ascii="Times New Roman" w:hAnsi="Times New Roman" w:cs="Times New Roman"/>
                <w:sz w:val="24"/>
                <w:szCs w:val="24"/>
              </w:rPr>
              <w:t xml:space="preserve"> and (2) </w:t>
            </w:r>
            <w:r w:rsidRPr="00983E57">
              <w:rPr>
                <w:rFonts w:ascii="Times New Roman" w:hAnsi="Times New Roman" w:cs="Times New Roman"/>
                <w:sz w:val="24"/>
                <w:szCs w:val="24"/>
              </w:rPr>
              <w:t>smaller utilit</w:t>
            </w:r>
            <w:r>
              <w:rPr>
                <w:rFonts w:ascii="Times New Roman" w:hAnsi="Times New Roman" w:cs="Times New Roman"/>
                <w:sz w:val="24"/>
                <w:szCs w:val="24"/>
              </w:rPr>
              <w:t>ies</w:t>
            </w:r>
            <w:r w:rsidRPr="00983E57">
              <w:rPr>
                <w:rFonts w:ascii="Times New Roman" w:hAnsi="Times New Roman" w:cs="Times New Roman"/>
                <w:sz w:val="24"/>
                <w:szCs w:val="24"/>
              </w:rPr>
              <w:t xml:space="preserve"> with a large hydroelectric generation facility</w:t>
            </w:r>
            <w:r>
              <w:rPr>
                <w:rFonts w:ascii="Times New Roman" w:hAnsi="Times New Roman" w:cs="Times New Roman"/>
                <w:sz w:val="24"/>
                <w:szCs w:val="24"/>
              </w:rPr>
              <w:t xml:space="preserve"> </w:t>
            </w:r>
            <w:r w:rsidRPr="00983E57">
              <w:rPr>
                <w:rFonts w:ascii="Times New Roman" w:hAnsi="Times New Roman" w:cs="Times New Roman"/>
                <w:sz w:val="24"/>
                <w:szCs w:val="24"/>
              </w:rPr>
              <w:t>where it could not remarket surplus RECs for the benefit of its</w:t>
            </w:r>
            <w:r>
              <w:rPr>
                <w:rFonts w:ascii="Times New Roman" w:hAnsi="Times New Roman" w:cs="Times New Roman"/>
                <w:sz w:val="24"/>
                <w:szCs w:val="24"/>
              </w:rPr>
              <w:t xml:space="preserve"> </w:t>
            </w:r>
            <w:r w:rsidRPr="00983E57">
              <w:rPr>
                <w:rFonts w:ascii="Times New Roman" w:hAnsi="Times New Roman" w:cs="Times New Roman"/>
                <w:sz w:val="24"/>
                <w:szCs w:val="24"/>
              </w:rPr>
              <w:t>ratepayers.</w:t>
            </w:r>
          </w:p>
          <w:p w:rsidR="00550856" w:rsidRDefault="00550856" w:rsidP="00EF1939">
            <w:pPr>
              <w:rPr>
                <w:rFonts w:ascii="Times New Roman" w:hAnsi="Times New Roman" w:cs="Times New Roman"/>
                <w:sz w:val="25"/>
                <w:szCs w:val="25"/>
              </w:rPr>
            </w:pPr>
            <w:r>
              <w:rPr>
                <w:rFonts w:ascii="Times New Roman" w:hAnsi="Times New Roman" w:cs="Times New Roman"/>
                <w:sz w:val="24"/>
                <w:szCs w:val="24"/>
              </w:rPr>
              <w:t xml:space="preserve">Similarly, </w:t>
            </w:r>
            <w:r w:rsidRPr="00A67201">
              <w:rPr>
                <w:rFonts w:ascii="Times New Roman" w:hAnsi="Times New Roman" w:cs="Times New Roman"/>
                <w:b/>
                <w:sz w:val="24"/>
                <w:szCs w:val="24"/>
              </w:rPr>
              <w:t>PacifiCorp</w:t>
            </w:r>
            <w:r w:rsidRPr="0019460A">
              <w:rPr>
                <w:rFonts w:ascii="Times New Roman" w:hAnsi="Times New Roman" w:cs="Times New Roman"/>
                <w:sz w:val="24"/>
                <w:szCs w:val="24"/>
              </w:rPr>
              <w:t xml:space="preserve"> </w:t>
            </w:r>
            <w:r>
              <w:rPr>
                <w:rFonts w:ascii="Times New Roman" w:hAnsi="Times New Roman" w:cs="Times New Roman"/>
                <w:sz w:val="24"/>
                <w:szCs w:val="24"/>
              </w:rPr>
              <w:t>argues</w:t>
            </w:r>
            <w:r w:rsidRPr="004C427D">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4C427D">
              <w:rPr>
                <w:rFonts w:ascii="Times New Roman" w:hAnsi="Times New Roman" w:cs="Times New Roman"/>
                <w:sz w:val="24"/>
                <w:szCs w:val="24"/>
              </w:rPr>
              <w:t>t</w:t>
            </w:r>
            <w:r w:rsidRPr="0019460A">
              <w:rPr>
                <w:rFonts w:ascii="Times New Roman" w:hAnsi="Times New Roman" w:cs="Times New Roman"/>
                <w:sz w:val="24"/>
                <w:szCs w:val="24"/>
              </w:rPr>
              <w:t xml:space="preserve">he current restriction limiting the eligibility of incremental hydroelectric generation </w:t>
            </w:r>
            <w:r w:rsidRPr="004C427D">
              <w:rPr>
                <w:rFonts w:ascii="Times New Roman" w:hAnsi="Times New Roman" w:cs="Times New Roman"/>
                <w:sz w:val="24"/>
                <w:szCs w:val="24"/>
              </w:rPr>
              <w:t>upgrades for older hydroelectric generation facilities</w:t>
            </w:r>
            <w:r w:rsidRPr="0019460A">
              <w:rPr>
                <w:rFonts w:ascii="Times New Roman" w:hAnsi="Times New Roman" w:cs="Times New Roman"/>
                <w:sz w:val="24"/>
                <w:szCs w:val="24"/>
              </w:rPr>
              <w:t xml:space="preserve"> is a disincentive</w:t>
            </w:r>
            <w:r w:rsidRPr="004C427D">
              <w:rPr>
                <w:rFonts w:ascii="Times New Roman" w:hAnsi="Times New Roman" w:cs="Times New Roman"/>
                <w:sz w:val="24"/>
                <w:szCs w:val="24"/>
              </w:rPr>
              <w:t xml:space="preserve"> to invest in facility</w:t>
            </w:r>
            <w:r w:rsidRPr="0019460A">
              <w:rPr>
                <w:rFonts w:ascii="Times New Roman" w:hAnsi="Times New Roman" w:cs="Times New Roman"/>
                <w:sz w:val="24"/>
                <w:szCs w:val="24"/>
              </w:rPr>
              <w:t xml:space="preserve"> upgrades.  </w:t>
            </w:r>
            <w:r w:rsidRPr="00A67201">
              <w:rPr>
                <w:rFonts w:ascii="Times New Roman" w:hAnsi="Times New Roman" w:cs="Times New Roman"/>
                <w:b/>
                <w:sz w:val="24"/>
                <w:szCs w:val="24"/>
              </w:rPr>
              <w:t>PacifiCorp</w:t>
            </w:r>
            <w:r w:rsidRPr="0019460A">
              <w:rPr>
                <w:rFonts w:ascii="Times New Roman" w:hAnsi="Times New Roman" w:cs="Times New Roman"/>
                <w:sz w:val="24"/>
                <w:szCs w:val="24"/>
              </w:rPr>
              <w:t xml:space="preserve"> observes that Oregon and California accept as an eligible renewable resource hydroelectric generation.</w:t>
            </w:r>
            <w:r w:rsidRPr="00EF1939">
              <w:rPr>
                <w:rFonts w:ascii="Times New Roman" w:hAnsi="Times New Roman" w:cs="Times New Roman"/>
                <w:sz w:val="25"/>
                <w:szCs w:val="25"/>
              </w:rPr>
              <w:t xml:space="preserve"> </w:t>
            </w:r>
          </w:p>
          <w:p w:rsidR="00550856" w:rsidRDefault="00550856" w:rsidP="00C162AD">
            <w:pPr>
              <w:spacing w:after="120"/>
              <w:rPr>
                <w:rFonts w:ascii="Times New Roman" w:hAnsi="Times New Roman" w:cs="Times New Roman"/>
                <w:sz w:val="24"/>
                <w:szCs w:val="24"/>
              </w:rPr>
            </w:pPr>
            <w:r>
              <w:rPr>
                <w:rFonts w:ascii="Times New Roman" w:hAnsi="Times New Roman" w:cs="Times New Roman"/>
                <w:b/>
                <w:sz w:val="25"/>
                <w:szCs w:val="25"/>
              </w:rPr>
              <w:t xml:space="preserve">PSE </w:t>
            </w:r>
            <w:r>
              <w:rPr>
                <w:rFonts w:ascii="Times New Roman" w:hAnsi="Times New Roman" w:cs="Times New Roman"/>
                <w:sz w:val="25"/>
                <w:szCs w:val="25"/>
              </w:rPr>
              <w:t xml:space="preserve">believes that </w:t>
            </w:r>
            <w:r w:rsidRPr="00EF1939">
              <w:rPr>
                <w:rFonts w:ascii="Times New Roman" w:hAnsi="Times New Roman" w:cs="Times New Roman"/>
                <w:sz w:val="24"/>
                <w:szCs w:val="24"/>
              </w:rPr>
              <w:t>hydroelectric generation continues to be an attractive</w:t>
            </w:r>
            <w:r>
              <w:rPr>
                <w:rFonts w:ascii="Times New Roman" w:hAnsi="Times New Roman" w:cs="Times New Roman"/>
                <w:sz w:val="24"/>
                <w:szCs w:val="24"/>
              </w:rPr>
              <w:t xml:space="preserve"> </w:t>
            </w:r>
            <w:r w:rsidRPr="00EF1939">
              <w:rPr>
                <w:rFonts w:ascii="Times New Roman" w:hAnsi="Times New Roman" w:cs="Times New Roman"/>
                <w:sz w:val="24"/>
                <w:szCs w:val="24"/>
              </w:rPr>
              <w:t>resource alternative in part because it is carbon free. To the extent that hydroelectric</w:t>
            </w:r>
            <w:r>
              <w:rPr>
                <w:rFonts w:ascii="Times New Roman" w:hAnsi="Times New Roman" w:cs="Times New Roman"/>
                <w:sz w:val="24"/>
                <w:szCs w:val="24"/>
              </w:rPr>
              <w:t xml:space="preserve"> </w:t>
            </w:r>
            <w:r w:rsidRPr="00EF1939">
              <w:rPr>
                <w:rFonts w:ascii="Times New Roman" w:hAnsi="Times New Roman" w:cs="Times New Roman"/>
                <w:sz w:val="24"/>
                <w:szCs w:val="24"/>
              </w:rPr>
              <w:t>efficiency improvements qualify as renewables, the economics of such improvements</w:t>
            </w:r>
            <w:r>
              <w:rPr>
                <w:rFonts w:ascii="Times New Roman" w:hAnsi="Times New Roman" w:cs="Times New Roman"/>
                <w:sz w:val="24"/>
                <w:szCs w:val="24"/>
              </w:rPr>
              <w:t xml:space="preserve"> </w:t>
            </w:r>
            <w:r w:rsidRPr="00EF1939">
              <w:rPr>
                <w:rFonts w:ascii="Times New Roman" w:hAnsi="Times New Roman" w:cs="Times New Roman"/>
                <w:sz w:val="24"/>
                <w:szCs w:val="24"/>
              </w:rPr>
              <w:t>become even more attractive.</w:t>
            </w:r>
          </w:p>
          <w:p w:rsidR="00550856" w:rsidRDefault="00550856" w:rsidP="00C162AD">
            <w:pPr>
              <w:spacing w:after="120"/>
              <w:rPr>
                <w:rFonts w:ascii="Times New Roman" w:hAnsi="Times New Roman" w:cs="Times New Roman"/>
                <w:sz w:val="24"/>
                <w:szCs w:val="24"/>
              </w:rPr>
            </w:pPr>
            <w:r>
              <w:rPr>
                <w:rFonts w:ascii="Times New Roman" w:hAnsi="Times New Roman" w:cs="Times New Roman"/>
                <w:sz w:val="24"/>
                <w:szCs w:val="24"/>
              </w:rPr>
              <w:t xml:space="preserve">Supporting upgrades to hydroelectric generation, </w:t>
            </w:r>
            <w:r w:rsidRPr="00B6522B">
              <w:rPr>
                <w:rFonts w:ascii="Times New Roman" w:hAnsi="Times New Roman" w:cs="Times New Roman"/>
                <w:b/>
                <w:sz w:val="24"/>
                <w:szCs w:val="24"/>
              </w:rPr>
              <w:t>ICNU</w:t>
            </w:r>
            <w:r>
              <w:rPr>
                <w:rFonts w:ascii="Times New Roman" w:hAnsi="Times New Roman" w:cs="Times New Roman"/>
                <w:sz w:val="24"/>
                <w:szCs w:val="24"/>
              </w:rPr>
              <w:t xml:space="preserve"> believes a</w:t>
            </w:r>
            <w:r w:rsidRPr="00B6522B">
              <w:rPr>
                <w:rFonts w:ascii="Times New Roman" w:hAnsi="Times New Roman" w:cs="Times New Roman"/>
                <w:sz w:val="24"/>
                <w:szCs w:val="24"/>
              </w:rPr>
              <w:t>t a minimum, the Commission</w:t>
            </w:r>
            <w:r>
              <w:rPr>
                <w:rFonts w:ascii="Times New Roman" w:hAnsi="Times New Roman" w:cs="Times New Roman"/>
                <w:sz w:val="24"/>
                <w:szCs w:val="24"/>
              </w:rPr>
              <w:t xml:space="preserve"> </w:t>
            </w:r>
            <w:r w:rsidRPr="00B6522B">
              <w:rPr>
                <w:rFonts w:ascii="Times New Roman" w:hAnsi="Times New Roman" w:cs="Times New Roman"/>
                <w:sz w:val="24"/>
                <w:szCs w:val="24"/>
              </w:rPr>
              <w:t>should recommend to the legislature that efficiency upgrades at all hydro facilities should be</w:t>
            </w:r>
            <w:r>
              <w:rPr>
                <w:rFonts w:ascii="Times New Roman" w:hAnsi="Times New Roman" w:cs="Times New Roman"/>
                <w:sz w:val="24"/>
                <w:szCs w:val="24"/>
              </w:rPr>
              <w:t xml:space="preserve"> </w:t>
            </w:r>
            <w:r w:rsidRPr="00B6522B">
              <w:rPr>
                <w:rFonts w:ascii="Times New Roman" w:hAnsi="Times New Roman" w:cs="Times New Roman"/>
                <w:sz w:val="24"/>
                <w:szCs w:val="24"/>
              </w:rPr>
              <w:t>counted for meeting the Washington RPS requirements.</w:t>
            </w:r>
          </w:p>
          <w:p w:rsidR="006F40FB" w:rsidRDefault="00550856" w:rsidP="00947A29">
            <w:pPr>
              <w:rPr>
                <w:rFonts w:ascii="Times New Roman" w:hAnsi="Times New Roman" w:cs="Times New Roman"/>
                <w:sz w:val="24"/>
                <w:szCs w:val="24"/>
              </w:rPr>
            </w:pPr>
            <w:r w:rsidRPr="00947A29">
              <w:rPr>
                <w:rFonts w:ascii="Times New Roman" w:hAnsi="Times New Roman" w:cs="Times New Roman"/>
                <w:sz w:val="24"/>
                <w:szCs w:val="24"/>
              </w:rPr>
              <w:t>The</w:t>
            </w:r>
            <w:r>
              <w:rPr>
                <w:rFonts w:ascii="Times New Roman" w:hAnsi="Times New Roman" w:cs="Times New Roman"/>
                <w:b/>
                <w:sz w:val="24"/>
                <w:szCs w:val="24"/>
              </w:rPr>
              <w:t xml:space="preserve"> </w:t>
            </w:r>
            <w:r w:rsidRPr="000F3FA4">
              <w:rPr>
                <w:rFonts w:ascii="Times New Roman" w:hAnsi="Times New Roman" w:cs="Times New Roman"/>
                <w:b/>
                <w:sz w:val="24"/>
                <w:szCs w:val="24"/>
              </w:rPr>
              <w:t>Joint Coalition</w:t>
            </w:r>
            <w:r>
              <w:rPr>
                <w:rFonts w:ascii="Times New Roman" w:hAnsi="Times New Roman" w:cs="Times New Roman"/>
                <w:sz w:val="24"/>
                <w:szCs w:val="24"/>
              </w:rPr>
              <w:t xml:space="preserve"> believes that i</w:t>
            </w:r>
            <w:r w:rsidRPr="00947A29">
              <w:rPr>
                <w:rFonts w:ascii="Times New Roman" w:hAnsi="Times New Roman" w:cs="Times New Roman"/>
                <w:sz w:val="24"/>
                <w:szCs w:val="24"/>
              </w:rPr>
              <w:t>n</w:t>
            </w:r>
            <w:r>
              <w:rPr>
                <w:rFonts w:ascii="Times New Roman" w:hAnsi="Times New Roman" w:cs="Times New Roman"/>
                <w:sz w:val="24"/>
                <w:szCs w:val="24"/>
              </w:rPr>
              <w:t xml:space="preserve"> </w:t>
            </w:r>
            <w:r w:rsidRPr="00947A29">
              <w:rPr>
                <w:rFonts w:ascii="Times New Roman" w:hAnsi="Times New Roman" w:cs="Times New Roman"/>
                <w:sz w:val="24"/>
                <w:szCs w:val="24"/>
              </w:rPr>
              <w:t>order for Washington’s renewable energy standard to be meaningful, it needed to be focused on</w:t>
            </w:r>
            <w:r>
              <w:rPr>
                <w:rFonts w:ascii="Times New Roman" w:hAnsi="Times New Roman" w:cs="Times New Roman"/>
                <w:sz w:val="24"/>
                <w:szCs w:val="24"/>
              </w:rPr>
              <w:t xml:space="preserve"> </w:t>
            </w:r>
            <w:r w:rsidRPr="00947A29">
              <w:rPr>
                <w:rFonts w:ascii="Times New Roman" w:hAnsi="Times New Roman" w:cs="Times New Roman"/>
                <w:sz w:val="24"/>
                <w:szCs w:val="24"/>
              </w:rPr>
              <w:t>diversifying our renewable base</w:t>
            </w:r>
            <w:r w:rsidR="00385F19">
              <w:rPr>
                <w:rFonts w:ascii="Times New Roman" w:hAnsi="Times New Roman" w:cs="Times New Roman"/>
                <w:sz w:val="24"/>
                <w:szCs w:val="24"/>
              </w:rPr>
              <w:t xml:space="preserve">. They believe that </w:t>
            </w:r>
            <w:r>
              <w:rPr>
                <w:rFonts w:ascii="Times New Roman" w:hAnsi="Times New Roman" w:cs="Times New Roman"/>
                <w:sz w:val="24"/>
                <w:szCs w:val="24"/>
              </w:rPr>
              <w:t xml:space="preserve">the </w:t>
            </w:r>
            <w:r w:rsidRPr="00947A29">
              <w:rPr>
                <w:rFonts w:ascii="Times New Roman" w:hAnsi="Times New Roman" w:cs="Times New Roman"/>
                <w:sz w:val="24"/>
                <w:szCs w:val="24"/>
              </w:rPr>
              <w:t>definition of eligible renewable resources</w:t>
            </w:r>
            <w:r w:rsidR="00385F19">
              <w:rPr>
                <w:rFonts w:ascii="Times New Roman" w:hAnsi="Times New Roman" w:cs="Times New Roman"/>
                <w:sz w:val="24"/>
                <w:szCs w:val="24"/>
              </w:rPr>
              <w:t xml:space="preserve"> in I-937 provides sufficient incentive for utilities to finance efficiency improvements in existing hydropower facilities</w:t>
            </w:r>
            <w:r>
              <w:rPr>
                <w:rFonts w:ascii="Times New Roman" w:hAnsi="Times New Roman" w:cs="Times New Roman"/>
                <w:sz w:val="24"/>
                <w:szCs w:val="24"/>
              </w:rPr>
              <w:t xml:space="preserve"> </w:t>
            </w:r>
            <w:r w:rsidRPr="00947A29">
              <w:rPr>
                <w:rFonts w:ascii="Times New Roman" w:hAnsi="Times New Roman" w:cs="Times New Roman"/>
                <w:sz w:val="24"/>
                <w:szCs w:val="24"/>
              </w:rPr>
              <w:t xml:space="preserve"> The</w:t>
            </w:r>
            <w:r w:rsidRPr="00947A29">
              <w:rPr>
                <w:rFonts w:ascii="Times New Roman" w:hAnsi="Times New Roman" w:cs="Times New Roman"/>
                <w:b/>
                <w:sz w:val="24"/>
                <w:szCs w:val="24"/>
              </w:rPr>
              <w:t xml:space="preserve"> Joint Coalition</w:t>
            </w:r>
            <w:r w:rsidRPr="00947A29">
              <w:rPr>
                <w:rFonts w:ascii="Times New Roman" w:hAnsi="Times New Roman" w:cs="Times New Roman"/>
                <w:sz w:val="24"/>
                <w:szCs w:val="24"/>
              </w:rPr>
              <w:t xml:space="preserve"> </w:t>
            </w:r>
            <w:r>
              <w:rPr>
                <w:rFonts w:ascii="Times New Roman" w:hAnsi="Times New Roman" w:cs="Times New Roman"/>
                <w:sz w:val="24"/>
                <w:szCs w:val="24"/>
              </w:rPr>
              <w:t xml:space="preserve">points out that </w:t>
            </w:r>
            <w:r w:rsidRPr="00947A29">
              <w:rPr>
                <w:rFonts w:ascii="Times New Roman" w:hAnsi="Times New Roman" w:cs="Times New Roman"/>
                <w:sz w:val="24"/>
                <w:szCs w:val="24"/>
              </w:rPr>
              <w:t>in I-937</w:t>
            </w:r>
            <w:r>
              <w:rPr>
                <w:rFonts w:ascii="Times New Roman" w:hAnsi="Times New Roman" w:cs="Times New Roman"/>
                <w:sz w:val="24"/>
                <w:szCs w:val="24"/>
              </w:rPr>
              <w:t>,</w:t>
            </w:r>
            <w:r w:rsidRPr="00947A29">
              <w:rPr>
                <w:rFonts w:ascii="Times New Roman" w:hAnsi="Times New Roman" w:cs="Times New Roman"/>
                <w:sz w:val="24"/>
                <w:szCs w:val="24"/>
              </w:rPr>
              <w:t xml:space="preserve"> hydro efficiency upgrades </w:t>
            </w:r>
            <w:r>
              <w:rPr>
                <w:rFonts w:ascii="Times New Roman" w:hAnsi="Times New Roman" w:cs="Times New Roman"/>
                <w:sz w:val="24"/>
                <w:szCs w:val="24"/>
              </w:rPr>
              <w:t xml:space="preserve">are included </w:t>
            </w:r>
            <w:r w:rsidRPr="00947A29">
              <w:rPr>
                <w:rFonts w:ascii="Times New Roman" w:hAnsi="Times New Roman" w:cs="Times New Roman"/>
                <w:sz w:val="24"/>
                <w:szCs w:val="24"/>
              </w:rPr>
              <w:t>at</w:t>
            </w:r>
            <w:r>
              <w:rPr>
                <w:rFonts w:ascii="Times New Roman" w:hAnsi="Times New Roman" w:cs="Times New Roman"/>
                <w:sz w:val="24"/>
                <w:szCs w:val="24"/>
              </w:rPr>
              <w:t xml:space="preserve"> </w:t>
            </w:r>
            <w:r w:rsidRPr="00947A29">
              <w:rPr>
                <w:rFonts w:ascii="Times New Roman" w:hAnsi="Times New Roman" w:cs="Times New Roman"/>
                <w:sz w:val="24"/>
                <w:szCs w:val="24"/>
              </w:rPr>
              <w:t>existing facilities</w:t>
            </w:r>
            <w:r>
              <w:rPr>
                <w:rFonts w:ascii="Times New Roman" w:hAnsi="Times New Roman" w:cs="Times New Roman"/>
                <w:sz w:val="24"/>
                <w:szCs w:val="24"/>
              </w:rPr>
              <w:t xml:space="preserve"> and those upgrades count towards compliance of the renewable energy standards. The law, they believe, provides sufficient additional incentive to finance efficiency improvements to existing hydropower facilities.</w:t>
            </w:r>
          </w:p>
          <w:p w:rsidR="00550856" w:rsidRPr="00947A29" w:rsidRDefault="00550856" w:rsidP="00947A29">
            <w:pPr>
              <w:rPr>
                <w:rFonts w:ascii="Times New Roman" w:hAnsi="Times New Roman" w:cs="Times New Roman"/>
                <w:sz w:val="24"/>
                <w:szCs w:val="24"/>
              </w:rPr>
            </w:pPr>
            <w:r>
              <w:rPr>
                <w:rFonts w:ascii="Times New Roman" w:hAnsi="Times New Roman" w:cs="Times New Roman"/>
                <w:sz w:val="24"/>
                <w:szCs w:val="24"/>
              </w:rPr>
              <w:t xml:space="preserve">  </w:t>
            </w:r>
          </w:p>
        </w:tc>
      </w:tr>
      <w:tr w:rsidR="00190F38" w:rsidTr="004464F4">
        <w:trPr>
          <w:trHeight w:val="1160"/>
        </w:trPr>
        <w:tc>
          <w:tcPr>
            <w:tcW w:w="9870" w:type="dxa"/>
            <w:shd w:val="clear" w:color="auto" w:fill="C6D9F1" w:themeFill="text2" w:themeFillTint="33"/>
            <w:vAlign w:val="center"/>
          </w:tcPr>
          <w:p w:rsidR="00190F38" w:rsidRPr="00B164EB" w:rsidRDefault="00190F38" w:rsidP="004464F4">
            <w:pPr>
              <w:pStyle w:val="ListParagraph"/>
              <w:ind w:left="1302" w:hanging="990"/>
              <w:rPr>
                <w:rFonts w:ascii="Times New Roman" w:hAnsi="Times New Roman" w:cs="Times New Roman"/>
                <w:sz w:val="24"/>
                <w:szCs w:val="24"/>
              </w:rPr>
            </w:pPr>
          </w:p>
        </w:tc>
      </w:tr>
      <w:tr w:rsidR="00550856" w:rsidTr="00C162AD">
        <w:trPr>
          <w:trHeight w:val="1358"/>
        </w:trPr>
        <w:tc>
          <w:tcPr>
            <w:tcW w:w="9870" w:type="dxa"/>
            <w:shd w:val="clear" w:color="auto" w:fill="C6D9F1" w:themeFill="text2" w:themeFillTint="33"/>
            <w:vAlign w:val="center"/>
          </w:tcPr>
          <w:p w:rsidR="00550856" w:rsidRDefault="00550856" w:rsidP="00D65802">
            <w:pPr>
              <w:ind w:left="402" w:hanging="402"/>
              <w:rPr>
                <w:rFonts w:ascii="Times New Roman" w:hAnsi="Times New Roman" w:cs="Times New Roman"/>
                <w:sz w:val="24"/>
                <w:szCs w:val="24"/>
              </w:rPr>
            </w:pPr>
            <w:r w:rsidRPr="00C162AD">
              <w:rPr>
                <w:rFonts w:ascii="Times New Roman" w:hAnsi="Times New Roman" w:cs="Times New Roman"/>
                <w:b/>
                <w:i/>
                <w:sz w:val="24"/>
                <w:szCs w:val="24"/>
              </w:rPr>
              <w:lastRenderedPageBreak/>
              <w:t>17) Allowing Expanded Area</w:t>
            </w:r>
            <w:r w:rsidRPr="00C162AD">
              <w:rPr>
                <w:rFonts w:ascii="Times New Roman" w:hAnsi="Times New Roman" w:cs="Times New Roman"/>
                <w:b/>
                <w:sz w:val="24"/>
                <w:szCs w:val="24"/>
              </w:rPr>
              <w:t>.</w:t>
            </w:r>
            <w:r w:rsidRPr="005B0FE1">
              <w:rPr>
                <w:rFonts w:ascii="Times New Roman" w:hAnsi="Times New Roman" w:cs="Times New Roman"/>
                <w:sz w:val="24"/>
                <w:szCs w:val="24"/>
              </w:rPr>
              <w:t xml:space="preserve">  If the geographical area for qualifying energy was expanded to areas outside the Pacific Northwest, how would the increase in eligible resources available for RPS compliance benefit ratepayers?  To what extent would the expansion of the geographical “footprint” allow for additional delivery flexibility?</w:t>
            </w:r>
          </w:p>
        </w:tc>
      </w:tr>
      <w:tr w:rsidR="00550856" w:rsidTr="00550856">
        <w:trPr>
          <w:trHeight w:val="512"/>
        </w:trPr>
        <w:tc>
          <w:tcPr>
            <w:tcW w:w="9870" w:type="dxa"/>
            <w:shd w:val="clear" w:color="auto" w:fill="auto"/>
          </w:tcPr>
          <w:p w:rsidR="00550856" w:rsidRDefault="00550856" w:rsidP="00EA7562">
            <w:pPr>
              <w:spacing w:after="0"/>
              <w:rPr>
                <w:rFonts w:ascii="Times New Roman" w:hAnsi="Times New Roman" w:cs="Times New Roman"/>
                <w:sz w:val="24"/>
                <w:szCs w:val="24"/>
              </w:rPr>
            </w:pPr>
          </w:p>
          <w:p w:rsidR="00550856" w:rsidRDefault="00550856" w:rsidP="00C162AD">
            <w:pPr>
              <w:spacing w:after="120"/>
              <w:rPr>
                <w:rFonts w:ascii="Times New Roman" w:hAnsi="Times New Roman" w:cs="Times New Roman"/>
                <w:sz w:val="24"/>
                <w:szCs w:val="24"/>
              </w:rPr>
            </w:pPr>
            <w:r w:rsidRPr="00591B7D">
              <w:rPr>
                <w:rFonts w:ascii="Times New Roman" w:hAnsi="Times New Roman" w:cs="Times New Roman"/>
                <w:b/>
                <w:sz w:val="24"/>
                <w:szCs w:val="24"/>
              </w:rPr>
              <w:t>Avista</w:t>
            </w:r>
            <w:r>
              <w:rPr>
                <w:rFonts w:ascii="Times New Roman" w:hAnsi="Times New Roman" w:cs="Times New Roman"/>
                <w:sz w:val="24"/>
                <w:szCs w:val="24"/>
              </w:rPr>
              <w:t xml:space="preserve"> supports the expansion </w:t>
            </w:r>
            <w:r w:rsidRPr="00591B7D">
              <w:rPr>
                <w:rFonts w:ascii="Times New Roman" w:hAnsi="Times New Roman" w:cs="Times New Roman"/>
                <w:sz w:val="24"/>
                <w:szCs w:val="24"/>
              </w:rPr>
              <w:t>of the geographical footprint for eligible renewable</w:t>
            </w:r>
            <w:r>
              <w:rPr>
                <w:rFonts w:ascii="Times New Roman" w:hAnsi="Times New Roman" w:cs="Times New Roman"/>
                <w:sz w:val="24"/>
                <w:szCs w:val="24"/>
              </w:rPr>
              <w:t xml:space="preserve"> </w:t>
            </w:r>
            <w:r w:rsidRPr="00591B7D">
              <w:rPr>
                <w:rFonts w:ascii="Times New Roman" w:hAnsi="Times New Roman" w:cs="Times New Roman"/>
                <w:sz w:val="24"/>
                <w:szCs w:val="24"/>
              </w:rPr>
              <w:t>resources</w:t>
            </w:r>
            <w:r>
              <w:rPr>
                <w:rFonts w:ascii="Times New Roman" w:hAnsi="Times New Roman" w:cs="Times New Roman"/>
                <w:sz w:val="24"/>
                <w:szCs w:val="24"/>
              </w:rPr>
              <w:t xml:space="preserve">. </w:t>
            </w:r>
            <w:r w:rsidRPr="00591B7D">
              <w:rPr>
                <w:rFonts w:ascii="Times New Roman" w:hAnsi="Times New Roman" w:cs="Times New Roman"/>
                <w:b/>
                <w:sz w:val="24"/>
                <w:szCs w:val="24"/>
              </w:rPr>
              <w:t xml:space="preserve">Avista </w:t>
            </w:r>
            <w:r w:rsidRPr="00591B7D">
              <w:rPr>
                <w:rFonts w:ascii="Times New Roman" w:hAnsi="Times New Roman" w:cs="Times New Roman"/>
                <w:sz w:val="24"/>
                <w:szCs w:val="24"/>
              </w:rPr>
              <w:t>believes</w:t>
            </w:r>
            <w:r>
              <w:rPr>
                <w:rFonts w:ascii="Times New Roman" w:hAnsi="Times New Roman" w:cs="Times New Roman"/>
                <w:sz w:val="24"/>
                <w:szCs w:val="24"/>
              </w:rPr>
              <w:t xml:space="preserve"> it </w:t>
            </w:r>
            <w:r w:rsidRPr="00591B7D">
              <w:rPr>
                <w:rFonts w:ascii="Times New Roman" w:hAnsi="Times New Roman" w:cs="Times New Roman"/>
                <w:sz w:val="24"/>
                <w:szCs w:val="24"/>
              </w:rPr>
              <w:t>would benefit ratepayers, especially in situations where ownership of the</w:t>
            </w:r>
            <w:r>
              <w:rPr>
                <w:rFonts w:ascii="Times New Roman" w:hAnsi="Times New Roman" w:cs="Times New Roman"/>
                <w:sz w:val="24"/>
                <w:szCs w:val="24"/>
              </w:rPr>
              <w:t xml:space="preserve"> </w:t>
            </w:r>
            <w:r w:rsidRPr="00591B7D">
              <w:rPr>
                <w:rFonts w:ascii="Times New Roman" w:hAnsi="Times New Roman" w:cs="Times New Roman"/>
                <w:sz w:val="24"/>
                <w:szCs w:val="24"/>
              </w:rPr>
              <w:t xml:space="preserve">facility was not required. </w:t>
            </w:r>
            <w:r>
              <w:rPr>
                <w:rFonts w:ascii="Times New Roman" w:hAnsi="Times New Roman" w:cs="Times New Roman"/>
                <w:sz w:val="24"/>
                <w:szCs w:val="24"/>
              </w:rPr>
              <w:t xml:space="preserve"> </w:t>
            </w:r>
            <w:r w:rsidRPr="00591B7D">
              <w:rPr>
                <w:rFonts w:ascii="Times New Roman" w:hAnsi="Times New Roman" w:cs="Times New Roman"/>
                <w:sz w:val="24"/>
                <w:szCs w:val="24"/>
              </w:rPr>
              <w:t>Expansion</w:t>
            </w:r>
            <w:r>
              <w:rPr>
                <w:rFonts w:ascii="Times New Roman" w:hAnsi="Times New Roman" w:cs="Times New Roman"/>
                <w:sz w:val="24"/>
                <w:szCs w:val="24"/>
              </w:rPr>
              <w:t>,</w:t>
            </w:r>
            <w:r w:rsidRPr="00591B7D">
              <w:rPr>
                <w:rFonts w:ascii="Times New Roman" w:hAnsi="Times New Roman" w:cs="Times New Roman"/>
                <w:sz w:val="24"/>
                <w:szCs w:val="24"/>
              </w:rPr>
              <w:t xml:space="preserve"> </w:t>
            </w:r>
            <w:r>
              <w:rPr>
                <w:rFonts w:ascii="Times New Roman" w:hAnsi="Times New Roman" w:cs="Times New Roman"/>
                <w:sz w:val="24"/>
                <w:szCs w:val="24"/>
              </w:rPr>
              <w:t xml:space="preserve">the company says, </w:t>
            </w:r>
            <w:r w:rsidRPr="00591B7D">
              <w:rPr>
                <w:rFonts w:ascii="Times New Roman" w:hAnsi="Times New Roman" w:cs="Times New Roman"/>
                <w:sz w:val="24"/>
                <w:szCs w:val="24"/>
              </w:rPr>
              <w:t>would allow the trading of RECs from various</w:t>
            </w:r>
            <w:r>
              <w:rPr>
                <w:rFonts w:ascii="Times New Roman" w:hAnsi="Times New Roman" w:cs="Times New Roman"/>
                <w:sz w:val="24"/>
                <w:szCs w:val="24"/>
              </w:rPr>
              <w:t xml:space="preserve"> </w:t>
            </w:r>
            <w:r w:rsidRPr="00591B7D">
              <w:rPr>
                <w:rFonts w:ascii="Times New Roman" w:hAnsi="Times New Roman" w:cs="Times New Roman"/>
                <w:sz w:val="24"/>
                <w:szCs w:val="24"/>
              </w:rPr>
              <w:t>locations and increase market liquidity.</w:t>
            </w:r>
            <w:r>
              <w:rPr>
                <w:rFonts w:ascii="Times New Roman" w:hAnsi="Times New Roman" w:cs="Times New Roman"/>
                <w:sz w:val="24"/>
                <w:szCs w:val="24"/>
              </w:rPr>
              <w:t xml:space="preserve"> </w:t>
            </w:r>
            <w:r w:rsidR="006F40FB">
              <w:rPr>
                <w:rFonts w:ascii="Times New Roman" w:hAnsi="Times New Roman" w:cs="Times New Roman"/>
                <w:sz w:val="24"/>
                <w:szCs w:val="24"/>
              </w:rPr>
              <w:t xml:space="preserve"> </w:t>
            </w:r>
            <w:r w:rsidRPr="00591B7D">
              <w:rPr>
                <w:rFonts w:ascii="Times New Roman" w:hAnsi="Times New Roman" w:cs="Times New Roman"/>
                <w:b/>
                <w:sz w:val="24"/>
                <w:szCs w:val="24"/>
              </w:rPr>
              <w:t>Avista</w:t>
            </w:r>
            <w:r>
              <w:rPr>
                <w:rFonts w:ascii="Times New Roman" w:hAnsi="Times New Roman" w:cs="Times New Roman"/>
                <w:sz w:val="24"/>
                <w:szCs w:val="24"/>
              </w:rPr>
              <w:t xml:space="preserve"> cites resulting lower prices and more efficient use of capital and scarce resources.  </w:t>
            </w:r>
            <w:r w:rsidRPr="00591B7D">
              <w:rPr>
                <w:rFonts w:ascii="Times New Roman" w:hAnsi="Times New Roman" w:cs="Times New Roman"/>
                <w:b/>
                <w:sz w:val="24"/>
                <w:szCs w:val="24"/>
              </w:rPr>
              <w:t>Avista</w:t>
            </w:r>
            <w:r>
              <w:rPr>
                <w:rFonts w:ascii="Times New Roman" w:hAnsi="Times New Roman" w:cs="Times New Roman"/>
                <w:sz w:val="24"/>
                <w:szCs w:val="24"/>
              </w:rPr>
              <w:t xml:space="preserve"> believes a legislative change to expand </w:t>
            </w:r>
            <w:r w:rsidRPr="00591B7D">
              <w:rPr>
                <w:rFonts w:ascii="Times New Roman" w:hAnsi="Times New Roman" w:cs="Times New Roman"/>
                <w:sz w:val="24"/>
                <w:szCs w:val="24"/>
              </w:rPr>
              <w:t>the eligible resources and geographic</w:t>
            </w:r>
            <w:r>
              <w:rPr>
                <w:rFonts w:ascii="Times New Roman" w:hAnsi="Times New Roman" w:cs="Times New Roman"/>
                <w:sz w:val="24"/>
                <w:szCs w:val="24"/>
              </w:rPr>
              <w:t xml:space="preserve"> </w:t>
            </w:r>
            <w:r w:rsidRPr="00591B7D">
              <w:rPr>
                <w:rFonts w:ascii="Times New Roman" w:hAnsi="Times New Roman" w:cs="Times New Roman"/>
                <w:sz w:val="24"/>
                <w:szCs w:val="24"/>
              </w:rPr>
              <w:t xml:space="preserve">footprint </w:t>
            </w:r>
            <w:r>
              <w:rPr>
                <w:rFonts w:ascii="Times New Roman" w:hAnsi="Times New Roman" w:cs="Times New Roman"/>
                <w:sz w:val="24"/>
                <w:szCs w:val="24"/>
              </w:rPr>
              <w:t>area would lower costs for Washington ratepayers.</w:t>
            </w:r>
          </w:p>
          <w:p w:rsidR="00550856" w:rsidRDefault="00550856" w:rsidP="00C162AD">
            <w:pPr>
              <w:spacing w:after="0"/>
              <w:rPr>
                <w:rFonts w:ascii="Times New Roman" w:hAnsi="Times New Roman" w:cs="Times New Roman"/>
                <w:sz w:val="24"/>
                <w:szCs w:val="24"/>
              </w:rPr>
            </w:pPr>
            <w:r w:rsidRPr="00085B49">
              <w:rPr>
                <w:rFonts w:ascii="Times New Roman" w:hAnsi="Times New Roman" w:cs="Times New Roman"/>
                <w:b/>
                <w:sz w:val="24"/>
                <w:szCs w:val="24"/>
              </w:rPr>
              <w:t>PacifiCorp</w:t>
            </w:r>
            <w:r>
              <w:rPr>
                <w:rFonts w:ascii="Times New Roman" w:hAnsi="Times New Roman" w:cs="Times New Roman"/>
                <w:sz w:val="24"/>
                <w:szCs w:val="24"/>
              </w:rPr>
              <w:t xml:space="preserve"> also believes </w:t>
            </w:r>
            <w:r w:rsidRPr="00085B49">
              <w:rPr>
                <w:rFonts w:ascii="Times New Roman" w:hAnsi="Times New Roman" w:cs="Times New Roman"/>
                <w:sz w:val="24"/>
                <w:szCs w:val="24"/>
              </w:rPr>
              <w:t>expanding the geographical area for qualifying</w:t>
            </w:r>
            <w:r>
              <w:rPr>
                <w:rFonts w:ascii="Times New Roman" w:hAnsi="Times New Roman" w:cs="Times New Roman"/>
                <w:sz w:val="24"/>
                <w:szCs w:val="24"/>
              </w:rPr>
              <w:t xml:space="preserve"> </w:t>
            </w:r>
            <w:r w:rsidRPr="00085B49">
              <w:rPr>
                <w:rFonts w:ascii="Times New Roman" w:hAnsi="Times New Roman" w:cs="Times New Roman"/>
                <w:sz w:val="24"/>
                <w:szCs w:val="24"/>
              </w:rPr>
              <w:t>energy outside the Pacific Northwest</w:t>
            </w:r>
            <w:r>
              <w:rPr>
                <w:rFonts w:ascii="Times New Roman" w:hAnsi="Times New Roman" w:cs="Times New Roman"/>
                <w:sz w:val="24"/>
                <w:szCs w:val="24"/>
              </w:rPr>
              <w:t xml:space="preserve"> would benefit customers</w:t>
            </w:r>
            <w:r w:rsidRPr="00085B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5B49">
              <w:rPr>
                <w:rFonts w:ascii="Times New Roman" w:hAnsi="Times New Roman" w:cs="Times New Roman"/>
                <w:sz w:val="24"/>
                <w:szCs w:val="24"/>
              </w:rPr>
              <w:t xml:space="preserve">Not only would </w:t>
            </w:r>
            <w:r>
              <w:rPr>
                <w:rFonts w:ascii="Times New Roman" w:hAnsi="Times New Roman" w:cs="Times New Roman"/>
                <w:sz w:val="24"/>
                <w:szCs w:val="24"/>
              </w:rPr>
              <w:t>an expanded area</w:t>
            </w:r>
            <w:r w:rsidRPr="00085B49">
              <w:rPr>
                <w:rFonts w:ascii="Times New Roman" w:hAnsi="Times New Roman" w:cs="Times New Roman"/>
                <w:sz w:val="24"/>
                <w:szCs w:val="24"/>
              </w:rPr>
              <w:t xml:space="preserve"> increase the number of eligible</w:t>
            </w:r>
            <w:r>
              <w:rPr>
                <w:rFonts w:ascii="Times New Roman" w:hAnsi="Times New Roman" w:cs="Times New Roman"/>
                <w:sz w:val="24"/>
                <w:szCs w:val="24"/>
              </w:rPr>
              <w:t xml:space="preserve"> </w:t>
            </w:r>
            <w:r w:rsidRPr="00085B49">
              <w:rPr>
                <w:rFonts w:ascii="Times New Roman" w:hAnsi="Times New Roman" w:cs="Times New Roman"/>
                <w:sz w:val="24"/>
                <w:szCs w:val="24"/>
              </w:rPr>
              <w:t>resources available for RPS compliance but it would help assure a broad source of</w:t>
            </w:r>
            <w:r>
              <w:rPr>
                <w:rFonts w:ascii="Times New Roman" w:hAnsi="Times New Roman" w:cs="Times New Roman"/>
                <w:sz w:val="24"/>
                <w:szCs w:val="24"/>
              </w:rPr>
              <w:t xml:space="preserve"> </w:t>
            </w:r>
            <w:r w:rsidRPr="00085B49">
              <w:rPr>
                <w:rFonts w:ascii="Times New Roman" w:hAnsi="Times New Roman" w:cs="Times New Roman"/>
                <w:sz w:val="24"/>
                <w:szCs w:val="24"/>
              </w:rPr>
              <w:t>reasonable least-cost alternatives</w:t>
            </w:r>
            <w:r>
              <w:rPr>
                <w:rFonts w:ascii="Times New Roman" w:hAnsi="Times New Roman" w:cs="Times New Roman"/>
                <w:sz w:val="24"/>
                <w:szCs w:val="24"/>
              </w:rPr>
              <w:t xml:space="preserve">. </w:t>
            </w:r>
            <w:r w:rsidRPr="00085B49">
              <w:rPr>
                <w:rFonts w:ascii="Times New Roman" w:hAnsi="Times New Roman" w:cs="Times New Roman"/>
                <w:sz w:val="24"/>
                <w:szCs w:val="24"/>
              </w:rPr>
              <w:t xml:space="preserve"> </w:t>
            </w:r>
            <w:r w:rsidRPr="00085B49">
              <w:rPr>
                <w:rFonts w:ascii="Times New Roman" w:hAnsi="Times New Roman" w:cs="Times New Roman"/>
                <w:b/>
                <w:sz w:val="24"/>
                <w:szCs w:val="24"/>
              </w:rPr>
              <w:t>PacifiCorp</w:t>
            </w:r>
            <w:r>
              <w:rPr>
                <w:rFonts w:ascii="Times New Roman" w:hAnsi="Times New Roman" w:cs="Times New Roman"/>
                <w:sz w:val="24"/>
                <w:szCs w:val="24"/>
              </w:rPr>
              <w:t xml:space="preserve"> thinks it is </w:t>
            </w:r>
            <w:r w:rsidRPr="00085B49">
              <w:rPr>
                <w:rFonts w:ascii="Times New Roman" w:hAnsi="Times New Roman" w:cs="Times New Roman"/>
                <w:sz w:val="24"/>
                <w:szCs w:val="24"/>
              </w:rPr>
              <w:t>important to consider the impact renewable portfolio standards in other states may have on</w:t>
            </w:r>
            <w:r>
              <w:rPr>
                <w:rFonts w:ascii="Times New Roman" w:hAnsi="Times New Roman" w:cs="Times New Roman"/>
                <w:sz w:val="24"/>
                <w:szCs w:val="24"/>
              </w:rPr>
              <w:t xml:space="preserve"> </w:t>
            </w:r>
            <w:r w:rsidRPr="00085B49">
              <w:rPr>
                <w:rFonts w:ascii="Times New Roman" w:hAnsi="Times New Roman" w:cs="Times New Roman"/>
                <w:sz w:val="24"/>
                <w:szCs w:val="24"/>
              </w:rPr>
              <w:t>Washington customers.</w:t>
            </w:r>
          </w:p>
          <w:p w:rsidR="006F40FB" w:rsidRDefault="006F40FB" w:rsidP="00C162AD">
            <w:pPr>
              <w:spacing w:after="0"/>
              <w:rPr>
                <w:rFonts w:ascii="Times New Roman" w:hAnsi="Times New Roman" w:cs="Times New Roman"/>
                <w:sz w:val="24"/>
                <w:szCs w:val="24"/>
              </w:rPr>
            </w:pPr>
          </w:p>
          <w:p w:rsidR="00550856" w:rsidRDefault="00550856" w:rsidP="006801AD">
            <w:pPr>
              <w:rPr>
                <w:rFonts w:ascii="Times New Roman" w:hAnsi="Times New Roman" w:cs="Times New Roman"/>
                <w:sz w:val="24"/>
                <w:szCs w:val="24"/>
              </w:rPr>
            </w:pPr>
            <w:r>
              <w:rPr>
                <w:rFonts w:ascii="Times New Roman" w:hAnsi="Times New Roman" w:cs="Times New Roman"/>
                <w:b/>
                <w:sz w:val="24"/>
                <w:szCs w:val="24"/>
              </w:rPr>
              <w:t>PSE</w:t>
            </w:r>
            <w:r>
              <w:rPr>
                <w:rFonts w:ascii="Times New Roman" w:hAnsi="Times New Roman" w:cs="Times New Roman"/>
                <w:sz w:val="24"/>
                <w:szCs w:val="24"/>
              </w:rPr>
              <w:t xml:space="preserve"> suggests a W</w:t>
            </w:r>
            <w:r w:rsidRPr="006801AD">
              <w:rPr>
                <w:rFonts w:ascii="Times New Roman" w:hAnsi="Times New Roman" w:cs="Times New Roman"/>
                <w:sz w:val="24"/>
                <w:szCs w:val="24"/>
              </w:rPr>
              <w:t>ECC-wide geographical area, consistent with the requirements</w:t>
            </w:r>
            <w:r>
              <w:rPr>
                <w:rFonts w:ascii="Times New Roman" w:hAnsi="Times New Roman" w:cs="Times New Roman"/>
                <w:sz w:val="24"/>
                <w:szCs w:val="24"/>
              </w:rPr>
              <w:t xml:space="preserve"> </w:t>
            </w:r>
            <w:r w:rsidRPr="006801AD">
              <w:rPr>
                <w:rFonts w:ascii="Times New Roman" w:hAnsi="Times New Roman" w:cs="Times New Roman"/>
                <w:sz w:val="24"/>
                <w:szCs w:val="24"/>
              </w:rPr>
              <w:t>in other western states</w:t>
            </w:r>
            <w:r>
              <w:rPr>
                <w:rFonts w:ascii="Times New Roman" w:hAnsi="Times New Roman" w:cs="Times New Roman"/>
                <w:sz w:val="24"/>
                <w:szCs w:val="24"/>
              </w:rPr>
              <w:t>. It believes it</w:t>
            </w:r>
            <w:r w:rsidRPr="006801AD">
              <w:rPr>
                <w:rFonts w:ascii="Times New Roman" w:hAnsi="Times New Roman" w:cs="Times New Roman"/>
                <w:sz w:val="24"/>
                <w:szCs w:val="24"/>
              </w:rPr>
              <w:t xml:space="preserve"> would create more efficient markets, which would benefit</w:t>
            </w:r>
            <w:r>
              <w:rPr>
                <w:rFonts w:ascii="Times New Roman" w:hAnsi="Times New Roman" w:cs="Times New Roman"/>
                <w:sz w:val="24"/>
                <w:szCs w:val="24"/>
              </w:rPr>
              <w:t xml:space="preserve"> </w:t>
            </w:r>
            <w:r w:rsidRPr="006801AD">
              <w:rPr>
                <w:rFonts w:ascii="Times New Roman" w:hAnsi="Times New Roman" w:cs="Times New Roman"/>
                <w:sz w:val="24"/>
                <w:szCs w:val="24"/>
              </w:rPr>
              <w:t>ratepayers.</w:t>
            </w:r>
          </w:p>
          <w:p w:rsidR="00550856" w:rsidRDefault="00550856" w:rsidP="00E10148">
            <w:pPr>
              <w:rPr>
                <w:rFonts w:ascii="Times New Roman" w:hAnsi="Times New Roman" w:cs="Times New Roman"/>
                <w:sz w:val="24"/>
                <w:szCs w:val="24"/>
              </w:rPr>
            </w:pPr>
            <w:r w:rsidRPr="006801AD">
              <w:rPr>
                <w:rFonts w:ascii="Times New Roman" w:hAnsi="Times New Roman" w:cs="Times New Roman"/>
                <w:sz w:val="24"/>
                <w:szCs w:val="24"/>
              </w:rPr>
              <w:t>Th</w:t>
            </w:r>
            <w:r>
              <w:rPr>
                <w:rFonts w:ascii="Times New Roman" w:hAnsi="Times New Roman" w:cs="Times New Roman"/>
                <w:sz w:val="24"/>
                <w:szCs w:val="24"/>
              </w:rPr>
              <w:t xml:space="preserve">e comments of </w:t>
            </w:r>
            <w:r w:rsidRPr="006801AD">
              <w:rPr>
                <w:rFonts w:ascii="Times New Roman" w:hAnsi="Times New Roman" w:cs="Times New Roman"/>
                <w:b/>
                <w:sz w:val="24"/>
                <w:szCs w:val="24"/>
              </w:rPr>
              <w:t>ICNU</w:t>
            </w:r>
            <w:r>
              <w:rPr>
                <w:rFonts w:ascii="Times New Roman" w:hAnsi="Times New Roman" w:cs="Times New Roman"/>
                <w:sz w:val="24"/>
                <w:szCs w:val="24"/>
              </w:rPr>
              <w:t xml:space="preserve"> are consistent with the above comments stating that t</w:t>
            </w:r>
            <w:r w:rsidRPr="006801AD">
              <w:rPr>
                <w:rFonts w:ascii="Times New Roman" w:hAnsi="Times New Roman" w:cs="Times New Roman"/>
                <w:sz w:val="24"/>
                <w:szCs w:val="24"/>
              </w:rPr>
              <w:t>he geographic area for qualifying renewable resources should be expanded</w:t>
            </w:r>
            <w:r>
              <w:rPr>
                <w:rFonts w:ascii="Times New Roman" w:hAnsi="Times New Roman" w:cs="Times New Roman"/>
                <w:sz w:val="24"/>
                <w:szCs w:val="24"/>
              </w:rPr>
              <w:t xml:space="preserve"> </w:t>
            </w:r>
            <w:r w:rsidRPr="006801AD">
              <w:rPr>
                <w:rFonts w:ascii="Times New Roman" w:hAnsi="Times New Roman" w:cs="Times New Roman"/>
                <w:sz w:val="24"/>
                <w:szCs w:val="24"/>
              </w:rPr>
              <w:t>beyond the Pacific Northwest to benefit ratepayers and reduce the costs associated with RPS</w:t>
            </w:r>
            <w:r>
              <w:rPr>
                <w:rFonts w:ascii="Times New Roman" w:hAnsi="Times New Roman" w:cs="Times New Roman"/>
                <w:sz w:val="24"/>
                <w:szCs w:val="24"/>
              </w:rPr>
              <w:t xml:space="preserve"> </w:t>
            </w:r>
            <w:r w:rsidRPr="006801AD">
              <w:rPr>
                <w:rFonts w:ascii="Times New Roman" w:hAnsi="Times New Roman" w:cs="Times New Roman"/>
                <w:sz w:val="24"/>
                <w:szCs w:val="24"/>
              </w:rPr>
              <w:t>compliance</w:t>
            </w:r>
            <w:r>
              <w:rPr>
                <w:rFonts w:ascii="Times New Roman" w:hAnsi="Times New Roman" w:cs="Times New Roman"/>
                <w:sz w:val="24"/>
                <w:szCs w:val="24"/>
              </w:rPr>
              <w:t xml:space="preserve">.  </w:t>
            </w:r>
            <w:r w:rsidRPr="00E10148">
              <w:rPr>
                <w:rFonts w:ascii="Times New Roman" w:hAnsi="Times New Roman" w:cs="Times New Roman"/>
                <w:b/>
                <w:sz w:val="24"/>
                <w:szCs w:val="24"/>
              </w:rPr>
              <w:t>ICNU</w:t>
            </w:r>
            <w:r>
              <w:rPr>
                <w:rFonts w:ascii="Times New Roman" w:hAnsi="Times New Roman" w:cs="Times New Roman"/>
                <w:sz w:val="24"/>
                <w:szCs w:val="24"/>
              </w:rPr>
              <w:t xml:space="preserve"> believes that e</w:t>
            </w:r>
            <w:r w:rsidRPr="006801AD">
              <w:rPr>
                <w:rFonts w:ascii="Times New Roman" w:hAnsi="Times New Roman" w:cs="Times New Roman"/>
                <w:sz w:val="24"/>
                <w:szCs w:val="24"/>
              </w:rPr>
              <w:t>xpansion of the geographic area will allow a wider array of renewable potential</w:t>
            </w:r>
            <w:r>
              <w:rPr>
                <w:rFonts w:ascii="Times New Roman" w:hAnsi="Times New Roman" w:cs="Times New Roman"/>
                <w:sz w:val="24"/>
                <w:szCs w:val="24"/>
              </w:rPr>
              <w:t xml:space="preserve"> </w:t>
            </w:r>
            <w:r w:rsidRPr="006801AD">
              <w:rPr>
                <w:rFonts w:ascii="Times New Roman" w:hAnsi="Times New Roman" w:cs="Times New Roman"/>
                <w:sz w:val="24"/>
                <w:szCs w:val="24"/>
              </w:rPr>
              <w:t>resources to be used to meet the RPS requirements, many</w:t>
            </w:r>
            <w:r>
              <w:rPr>
                <w:rFonts w:ascii="Times New Roman" w:hAnsi="Times New Roman" w:cs="Times New Roman"/>
                <w:sz w:val="24"/>
                <w:szCs w:val="24"/>
              </w:rPr>
              <w:t>,</w:t>
            </w:r>
            <w:r w:rsidRPr="006801AD">
              <w:rPr>
                <w:rFonts w:ascii="Times New Roman" w:hAnsi="Times New Roman" w:cs="Times New Roman"/>
                <w:sz w:val="24"/>
                <w:szCs w:val="24"/>
              </w:rPr>
              <w:t xml:space="preserve"> </w:t>
            </w:r>
            <w:r>
              <w:rPr>
                <w:rFonts w:ascii="Times New Roman" w:hAnsi="Times New Roman" w:cs="Times New Roman"/>
                <w:sz w:val="24"/>
                <w:szCs w:val="24"/>
              </w:rPr>
              <w:t>it asserts,</w:t>
            </w:r>
            <w:r w:rsidRPr="006801AD">
              <w:rPr>
                <w:rFonts w:ascii="Times New Roman" w:hAnsi="Times New Roman" w:cs="Times New Roman"/>
                <w:sz w:val="24"/>
                <w:szCs w:val="24"/>
              </w:rPr>
              <w:t xml:space="preserve"> may be at significantly lower</w:t>
            </w:r>
            <w:r>
              <w:rPr>
                <w:rFonts w:ascii="Times New Roman" w:hAnsi="Times New Roman" w:cs="Times New Roman"/>
                <w:sz w:val="24"/>
                <w:szCs w:val="24"/>
              </w:rPr>
              <w:t xml:space="preserve"> </w:t>
            </w:r>
            <w:r w:rsidRPr="006801AD">
              <w:rPr>
                <w:rFonts w:ascii="Times New Roman" w:hAnsi="Times New Roman" w:cs="Times New Roman"/>
                <w:sz w:val="24"/>
                <w:szCs w:val="24"/>
              </w:rPr>
              <w:t>costs than those located in Washington or the Pacific Northwest.</w:t>
            </w:r>
          </w:p>
          <w:p w:rsidR="00550856" w:rsidRPr="00D92106" w:rsidRDefault="00550856" w:rsidP="00AD758F">
            <w:pPr>
              <w:rPr>
                <w:rFonts w:ascii="Times New Roman" w:hAnsi="Times New Roman" w:cs="Times New Roman"/>
                <w:sz w:val="24"/>
                <w:szCs w:val="24"/>
              </w:rPr>
            </w:pPr>
            <w:r>
              <w:rPr>
                <w:rFonts w:ascii="Times New Roman" w:hAnsi="Times New Roman" w:cs="Times New Roman"/>
                <w:sz w:val="24"/>
                <w:szCs w:val="24"/>
              </w:rPr>
              <w:t>In contrast, t</w:t>
            </w:r>
            <w:r w:rsidRPr="00D92106">
              <w:rPr>
                <w:rFonts w:ascii="Times New Roman" w:hAnsi="Times New Roman" w:cs="Times New Roman"/>
                <w:sz w:val="24"/>
                <w:szCs w:val="24"/>
              </w:rPr>
              <w:t>he</w:t>
            </w:r>
            <w:r w:rsidRPr="00D92106">
              <w:rPr>
                <w:rFonts w:ascii="Times New Roman" w:hAnsi="Times New Roman" w:cs="Times New Roman"/>
                <w:b/>
                <w:sz w:val="24"/>
                <w:szCs w:val="24"/>
              </w:rPr>
              <w:t xml:space="preserve"> Joint Coalition</w:t>
            </w:r>
            <w:r>
              <w:rPr>
                <w:rFonts w:ascii="Times New Roman" w:hAnsi="Times New Roman" w:cs="Times New Roman"/>
                <w:sz w:val="24"/>
                <w:szCs w:val="24"/>
              </w:rPr>
              <w:t xml:space="preserve"> believes that t</w:t>
            </w:r>
            <w:r w:rsidRPr="00D92106">
              <w:rPr>
                <w:rFonts w:ascii="Times New Roman" w:hAnsi="Times New Roman" w:cs="Times New Roman"/>
                <w:sz w:val="24"/>
                <w:szCs w:val="24"/>
              </w:rPr>
              <w:t>he geographical restriction</w:t>
            </w:r>
            <w:r w:rsidR="00C162AD">
              <w:rPr>
                <w:rFonts w:ascii="Times New Roman" w:hAnsi="Times New Roman" w:cs="Times New Roman"/>
                <w:sz w:val="24"/>
                <w:szCs w:val="24"/>
              </w:rPr>
              <w:t xml:space="preserve"> that was</w:t>
            </w:r>
            <w:r w:rsidRPr="00D92106">
              <w:rPr>
                <w:rFonts w:ascii="Times New Roman" w:hAnsi="Times New Roman" w:cs="Times New Roman"/>
                <w:sz w:val="24"/>
                <w:szCs w:val="24"/>
              </w:rPr>
              <w:t xml:space="preserve"> established in</w:t>
            </w:r>
            <w:r w:rsidR="00C162AD">
              <w:rPr>
                <w:rFonts w:ascii="Times New Roman" w:hAnsi="Times New Roman" w:cs="Times New Roman"/>
                <w:sz w:val="24"/>
                <w:szCs w:val="24"/>
              </w:rPr>
              <w:t xml:space="preserve">    </w:t>
            </w:r>
            <w:r w:rsidRPr="00D92106">
              <w:rPr>
                <w:rFonts w:ascii="Times New Roman" w:hAnsi="Times New Roman" w:cs="Times New Roman"/>
                <w:sz w:val="24"/>
                <w:szCs w:val="24"/>
              </w:rPr>
              <w:t xml:space="preserve"> I-937 benefits Washington and</w:t>
            </w:r>
            <w:r>
              <w:rPr>
                <w:rFonts w:ascii="Times New Roman" w:hAnsi="Times New Roman" w:cs="Times New Roman"/>
                <w:sz w:val="24"/>
                <w:szCs w:val="24"/>
              </w:rPr>
              <w:t xml:space="preserve"> </w:t>
            </w:r>
            <w:r w:rsidRPr="00D92106">
              <w:rPr>
                <w:rFonts w:ascii="Times New Roman" w:hAnsi="Times New Roman" w:cs="Times New Roman"/>
                <w:sz w:val="24"/>
                <w:szCs w:val="24"/>
              </w:rPr>
              <w:t>the region by promoting local economic development.</w:t>
            </w:r>
            <w:r>
              <w:rPr>
                <w:rFonts w:ascii="Times New Roman" w:hAnsi="Times New Roman" w:cs="Times New Roman"/>
                <w:sz w:val="24"/>
                <w:szCs w:val="24"/>
              </w:rPr>
              <w:t xml:space="preserve"> In addition, the </w:t>
            </w:r>
            <w:r w:rsidRPr="00280078">
              <w:rPr>
                <w:rFonts w:ascii="Times New Roman" w:hAnsi="Times New Roman" w:cs="Times New Roman"/>
                <w:b/>
                <w:sz w:val="24"/>
                <w:szCs w:val="24"/>
              </w:rPr>
              <w:t>Coalition</w:t>
            </w:r>
            <w:r>
              <w:rPr>
                <w:rFonts w:ascii="Times New Roman" w:hAnsi="Times New Roman" w:cs="Times New Roman"/>
                <w:sz w:val="24"/>
                <w:szCs w:val="24"/>
              </w:rPr>
              <w:t xml:space="preserve"> reminds that t</w:t>
            </w:r>
            <w:r w:rsidRPr="00B5707D">
              <w:rPr>
                <w:rFonts w:ascii="Times New Roman" w:hAnsi="Times New Roman" w:cs="Times New Roman"/>
                <w:sz w:val="24"/>
                <w:szCs w:val="24"/>
              </w:rPr>
              <w:t>he Legislature would need to amend I-937 in order for the geographic region to be expanded</w:t>
            </w:r>
            <w:r>
              <w:rPr>
                <w:rFonts w:ascii="Times New Roman" w:hAnsi="Times New Roman" w:cs="Times New Roman"/>
                <w:sz w:val="24"/>
                <w:szCs w:val="24"/>
              </w:rPr>
              <w:t xml:space="preserve">. </w:t>
            </w:r>
          </w:p>
        </w:tc>
      </w:tr>
      <w:tr w:rsidR="0058034A" w:rsidTr="004464F4">
        <w:trPr>
          <w:trHeight w:val="1160"/>
        </w:trPr>
        <w:tc>
          <w:tcPr>
            <w:tcW w:w="9870" w:type="dxa"/>
            <w:shd w:val="clear" w:color="auto" w:fill="C6D9F1" w:themeFill="text2" w:themeFillTint="33"/>
            <w:vAlign w:val="center"/>
          </w:tcPr>
          <w:p w:rsidR="0058034A" w:rsidRPr="00B164EB" w:rsidRDefault="0058034A" w:rsidP="004464F4">
            <w:pPr>
              <w:pStyle w:val="ListParagraph"/>
              <w:ind w:left="1302" w:hanging="990"/>
              <w:rPr>
                <w:rFonts w:ascii="Times New Roman" w:hAnsi="Times New Roman" w:cs="Times New Roman"/>
                <w:sz w:val="24"/>
                <w:szCs w:val="24"/>
              </w:rPr>
            </w:pPr>
          </w:p>
        </w:tc>
      </w:tr>
    </w:tbl>
    <w:p w:rsidR="003E367F" w:rsidRDefault="003E367F">
      <w:r>
        <w:br w:type="page"/>
      </w:r>
    </w:p>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550856" w:rsidTr="00550856">
        <w:trPr>
          <w:trHeight w:val="512"/>
        </w:trPr>
        <w:tc>
          <w:tcPr>
            <w:tcW w:w="9870" w:type="dxa"/>
            <w:shd w:val="clear" w:color="auto" w:fill="C6D9F1" w:themeFill="text2" w:themeFillTint="33"/>
            <w:vAlign w:val="center"/>
          </w:tcPr>
          <w:p w:rsidR="00550856" w:rsidRPr="00C6378A" w:rsidRDefault="00550856" w:rsidP="00D65802">
            <w:pPr>
              <w:ind w:left="402" w:hanging="402"/>
              <w:rPr>
                <w:rFonts w:ascii="Times New Roman" w:hAnsi="Times New Roman" w:cs="Times New Roman"/>
                <w:b/>
                <w:sz w:val="24"/>
                <w:szCs w:val="24"/>
              </w:rPr>
            </w:pPr>
            <w:r w:rsidRPr="00C162AD">
              <w:rPr>
                <w:rFonts w:ascii="Times New Roman" w:hAnsi="Times New Roman" w:cs="Times New Roman"/>
                <w:b/>
                <w:i/>
                <w:sz w:val="24"/>
                <w:szCs w:val="24"/>
              </w:rPr>
              <w:lastRenderedPageBreak/>
              <w:t>18) Decommissioning Requirements.</w:t>
            </w:r>
            <w:r w:rsidRPr="007377BF">
              <w:rPr>
                <w:rFonts w:ascii="Times New Roman" w:hAnsi="Times New Roman" w:cs="Times New Roman"/>
                <w:sz w:val="24"/>
                <w:szCs w:val="24"/>
              </w:rPr>
              <w:t xml:space="preserve">  Discuss the statutory provisions that recognize the Commission’s primacy over the decommissioning of renewable resources held by a regulated utility.  To what extent are counties providing for facility decommissioning requirements for regulated utilities and can the companies quantify the excess duplicative costs?</w:t>
            </w:r>
          </w:p>
        </w:tc>
      </w:tr>
      <w:tr w:rsidR="00550856" w:rsidTr="00550856">
        <w:trPr>
          <w:trHeight w:val="512"/>
        </w:trPr>
        <w:tc>
          <w:tcPr>
            <w:tcW w:w="9870" w:type="dxa"/>
            <w:shd w:val="clear" w:color="auto" w:fill="auto"/>
          </w:tcPr>
          <w:p w:rsidR="00550856" w:rsidRDefault="00550856" w:rsidP="00EA7562">
            <w:pPr>
              <w:spacing w:after="0"/>
              <w:rPr>
                <w:rFonts w:ascii="Times New Roman" w:hAnsi="Times New Roman" w:cs="Times New Roman"/>
                <w:b/>
                <w:sz w:val="24"/>
                <w:szCs w:val="24"/>
              </w:rPr>
            </w:pPr>
          </w:p>
          <w:p w:rsidR="00550856" w:rsidRDefault="00550856" w:rsidP="00C6378A">
            <w:pPr>
              <w:rPr>
                <w:rFonts w:ascii="Times New Roman" w:hAnsi="Times New Roman" w:cs="Times New Roman"/>
                <w:sz w:val="24"/>
                <w:szCs w:val="24"/>
              </w:rPr>
            </w:pPr>
            <w:r w:rsidRPr="00C6378A">
              <w:rPr>
                <w:rFonts w:ascii="Times New Roman" w:hAnsi="Times New Roman" w:cs="Times New Roman"/>
                <w:b/>
                <w:sz w:val="24"/>
                <w:szCs w:val="24"/>
              </w:rPr>
              <w:t>PacifiCorp</w:t>
            </w:r>
            <w:r>
              <w:rPr>
                <w:rFonts w:ascii="Times New Roman" w:hAnsi="Times New Roman" w:cs="Times New Roman"/>
                <w:sz w:val="24"/>
                <w:szCs w:val="24"/>
              </w:rPr>
              <w:t xml:space="preserve"> comments that e</w:t>
            </w:r>
            <w:r w:rsidRPr="00C6378A">
              <w:rPr>
                <w:rFonts w:ascii="Times New Roman" w:hAnsi="Times New Roman" w:cs="Times New Roman"/>
                <w:sz w:val="24"/>
                <w:szCs w:val="24"/>
              </w:rPr>
              <w:t>ach county in Washington appears to address decommissioning requirements on a county</w:t>
            </w:r>
            <w:r>
              <w:rPr>
                <w:rFonts w:ascii="Times New Roman" w:hAnsi="Times New Roman" w:cs="Times New Roman"/>
                <w:sz w:val="24"/>
                <w:szCs w:val="24"/>
              </w:rPr>
              <w:t xml:space="preserve"> </w:t>
            </w:r>
            <w:r w:rsidRPr="00C6378A">
              <w:rPr>
                <w:rFonts w:ascii="Times New Roman" w:hAnsi="Times New Roman" w:cs="Times New Roman"/>
                <w:sz w:val="24"/>
                <w:szCs w:val="24"/>
              </w:rPr>
              <w:t>specific</w:t>
            </w:r>
            <w:r>
              <w:rPr>
                <w:rFonts w:ascii="Times New Roman" w:hAnsi="Times New Roman" w:cs="Times New Roman"/>
                <w:sz w:val="24"/>
                <w:szCs w:val="24"/>
              </w:rPr>
              <w:t xml:space="preserve"> </w:t>
            </w:r>
            <w:r w:rsidRPr="00C6378A">
              <w:rPr>
                <w:rFonts w:ascii="Times New Roman" w:hAnsi="Times New Roman" w:cs="Times New Roman"/>
                <w:sz w:val="24"/>
                <w:szCs w:val="24"/>
              </w:rPr>
              <w:t>basis</w:t>
            </w:r>
            <w:r>
              <w:rPr>
                <w:rFonts w:ascii="Times New Roman" w:hAnsi="Times New Roman" w:cs="Times New Roman"/>
                <w:sz w:val="24"/>
                <w:szCs w:val="24"/>
              </w:rPr>
              <w:t xml:space="preserve"> and it is, in its opinion, </w:t>
            </w:r>
            <w:r w:rsidRPr="00C6378A">
              <w:rPr>
                <w:rFonts w:ascii="Times New Roman" w:hAnsi="Times New Roman" w:cs="Times New Roman"/>
                <w:sz w:val="24"/>
                <w:szCs w:val="24"/>
              </w:rPr>
              <w:t>uncertain how any given county will treat</w:t>
            </w:r>
            <w:r>
              <w:rPr>
                <w:rFonts w:ascii="Times New Roman" w:hAnsi="Times New Roman" w:cs="Times New Roman"/>
                <w:sz w:val="24"/>
                <w:szCs w:val="24"/>
              </w:rPr>
              <w:t xml:space="preserve"> </w:t>
            </w:r>
            <w:r w:rsidRPr="00C6378A">
              <w:rPr>
                <w:rFonts w:ascii="Times New Roman" w:hAnsi="Times New Roman" w:cs="Times New Roman"/>
                <w:sz w:val="24"/>
                <w:szCs w:val="24"/>
              </w:rPr>
              <w:t>decommissioning requirements for each renewable resource they permit.</w:t>
            </w:r>
          </w:p>
          <w:p w:rsidR="00550856" w:rsidRDefault="00550856" w:rsidP="008F69EE">
            <w:pPr>
              <w:rPr>
                <w:rFonts w:ascii="Times New Roman" w:hAnsi="Times New Roman" w:cs="Times New Roman"/>
                <w:sz w:val="24"/>
                <w:szCs w:val="24"/>
              </w:rPr>
            </w:pPr>
            <w:r w:rsidRPr="008F69EE">
              <w:rPr>
                <w:rFonts w:ascii="Times New Roman" w:hAnsi="Times New Roman" w:cs="Times New Roman"/>
                <w:b/>
                <w:sz w:val="24"/>
                <w:szCs w:val="24"/>
              </w:rPr>
              <w:t>PSE</w:t>
            </w:r>
            <w:r w:rsidRPr="008F69EE">
              <w:rPr>
                <w:rFonts w:ascii="Times New Roman" w:hAnsi="Times New Roman" w:cs="Times New Roman"/>
                <w:sz w:val="24"/>
                <w:szCs w:val="24"/>
              </w:rPr>
              <w:t xml:space="preserve"> does not believe this issue is a problem. </w:t>
            </w:r>
            <w:r>
              <w:rPr>
                <w:rFonts w:ascii="Times New Roman" w:hAnsi="Times New Roman" w:cs="Times New Roman"/>
                <w:sz w:val="24"/>
                <w:szCs w:val="24"/>
              </w:rPr>
              <w:t xml:space="preserve">It </w:t>
            </w:r>
            <w:r w:rsidRPr="008F69EE">
              <w:rPr>
                <w:rFonts w:ascii="Times New Roman" w:hAnsi="Times New Roman" w:cs="Times New Roman"/>
                <w:sz w:val="24"/>
                <w:szCs w:val="24"/>
              </w:rPr>
              <w:t>understand</w:t>
            </w:r>
            <w:r>
              <w:rPr>
                <w:rFonts w:ascii="Times New Roman" w:hAnsi="Times New Roman" w:cs="Times New Roman"/>
                <w:sz w:val="24"/>
                <w:szCs w:val="24"/>
              </w:rPr>
              <w:t>s</w:t>
            </w:r>
            <w:r w:rsidRPr="008F69EE">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AD758F">
              <w:rPr>
                <w:rFonts w:ascii="Times New Roman" w:hAnsi="Times New Roman" w:cs="Times New Roman"/>
                <w:sz w:val="24"/>
                <w:szCs w:val="24"/>
              </w:rPr>
              <w:t>c</w:t>
            </w:r>
            <w:r w:rsidRPr="008F69EE">
              <w:rPr>
                <w:rFonts w:ascii="Times New Roman" w:hAnsi="Times New Roman" w:cs="Times New Roman"/>
                <w:sz w:val="24"/>
                <w:szCs w:val="24"/>
              </w:rPr>
              <w:t>ounties and landowners have legitimate concerns regarding decommissioning and have</w:t>
            </w:r>
            <w:r>
              <w:rPr>
                <w:rFonts w:ascii="Times New Roman" w:hAnsi="Times New Roman" w:cs="Times New Roman"/>
                <w:sz w:val="24"/>
                <w:szCs w:val="24"/>
              </w:rPr>
              <w:t xml:space="preserve"> </w:t>
            </w:r>
            <w:r w:rsidRPr="008F69EE">
              <w:rPr>
                <w:rFonts w:ascii="Times New Roman" w:hAnsi="Times New Roman" w:cs="Times New Roman"/>
                <w:sz w:val="24"/>
                <w:szCs w:val="24"/>
              </w:rPr>
              <w:t xml:space="preserve">found </w:t>
            </w:r>
            <w:r w:rsidR="00AD758F">
              <w:rPr>
                <w:rFonts w:ascii="Times New Roman" w:hAnsi="Times New Roman" w:cs="Times New Roman"/>
                <w:sz w:val="24"/>
                <w:szCs w:val="24"/>
              </w:rPr>
              <w:t>c</w:t>
            </w:r>
            <w:r w:rsidRPr="008F69EE">
              <w:rPr>
                <w:rFonts w:ascii="Times New Roman" w:hAnsi="Times New Roman" w:cs="Times New Roman"/>
                <w:sz w:val="24"/>
                <w:szCs w:val="24"/>
              </w:rPr>
              <w:t>ounties to be reasonable in their decommissioning requirements.</w:t>
            </w:r>
          </w:p>
          <w:p w:rsidR="00C109DD" w:rsidRDefault="00C109DD" w:rsidP="008F69EE">
            <w:pPr>
              <w:rPr>
                <w:rFonts w:ascii="Times New Roman" w:hAnsi="Times New Roman" w:cs="Times New Roman"/>
                <w:sz w:val="24"/>
                <w:szCs w:val="24"/>
              </w:rPr>
            </w:pPr>
          </w:p>
          <w:p w:rsidR="00C109DD" w:rsidRDefault="00C109DD" w:rsidP="008F69EE">
            <w:pPr>
              <w:rPr>
                <w:rFonts w:ascii="Times New Roman" w:hAnsi="Times New Roman" w:cs="Times New Roman"/>
                <w:sz w:val="24"/>
                <w:szCs w:val="24"/>
              </w:rPr>
            </w:pPr>
          </w:p>
          <w:p w:rsidR="00C109DD" w:rsidRDefault="00C109DD" w:rsidP="008F69EE">
            <w:pPr>
              <w:rPr>
                <w:rFonts w:ascii="Times New Roman" w:hAnsi="Times New Roman" w:cs="Times New Roman"/>
                <w:sz w:val="24"/>
                <w:szCs w:val="24"/>
              </w:rPr>
            </w:pPr>
          </w:p>
          <w:p w:rsidR="00C109DD" w:rsidRDefault="00C109DD" w:rsidP="008F69EE">
            <w:pPr>
              <w:rPr>
                <w:rFonts w:ascii="Times New Roman" w:hAnsi="Times New Roman" w:cs="Times New Roman"/>
                <w:sz w:val="24"/>
                <w:szCs w:val="24"/>
              </w:rPr>
            </w:pPr>
          </w:p>
          <w:p w:rsidR="00C109DD" w:rsidRDefault="00C109DD" w:rsidP="008F69EE">
            <w:pPr>
              <w:rPr>
                <w:rFonts w:ascii="Times New Roman" w:hAnsi="Times New Roman" w:cs="Times New Roman"/>
                <w:sz w:val="24"/>
                <w:szCs w:val="24"/>
              </w:rPr>
            </w:pPr>
          </w:p>
          <w:p w:rsidR="00CC6E58" w:rsidRDefault="00CC6E58" w:rsidP="008F69EE">
            <w:pPr>
              <w:rPr>
                <w:rFonts w:ascii="Times New Roman" w:hAnsi="Times New Roman" w:cs="Times New Roman"/>
                <w:sz w:val="24"/>
                <w:szCs w:val="24"/>
              </w:rPr>
            </w:pPr>
          </w:p>
          <w:p w:rsidR="00CC6E58" w:rsidRDefault="00CC6E58" w:rsidP="008F69EE">
            <w:pPr>
              <w:rPr>
                <w:rFonts w:ascii="Times New Roman" w:hAnsi="Times New Roman" w:cs="Times New Roman"/>
                <w:sz w:val="24"/>
                <w:szCs w:val="24"/>
              </w:rPr>
            </w:pPr>
          </w:p>
          <w:p w:rsidR="00C109DD" w:rsidRDefault="00C109DD" w:rsidP="008F69EE">
            <w:pPr>
              <w:rPr>
                <w:rFonts w:ascii="Times New Roman" w:hAnsi="Times New Roman" w:cs="Times New Roman"/>
                <w:sz w:val="24"/>
                <w:szCs w:val="24"/>
              </w:rPr>
            </w:pPr>
          </w:p>
          <w:p w:rsidR="00C109DD" w:rsidRDefault="00C109DD" w:rsidP="008F69EE">
            <w:pPr>
              <w:rPr>
                <w:rFonts w:ascii="Times New Roman" w:hAnsi="Times New Roman" w:cs="Times New Roman"/>
                <w:sz w:val="24"/>
                <w:szCs w:val="24"/>
              </w:rPr>
            </w:pPr>
          </w:p>
          <w:p w:rsidR="00C109DD" w:rsidRDefault="00C109DD" w:rsidP="008F69EE">
            <w:pPr>
              <w:rPr>
                <w:rFonts w:ascii="Times New Roman" w:hAnsi="Times New Roman" w:cs="Times New Roman"/>
                <w:sz w:val="24"/>
                <w:szCs w:val="24"/>
              </w:rPr>
            </w:pPr>
          </w:p>
        </w:tc>
      </w:tr>
      <w:tr w:rsidR="00C109DD" w:rsidTr="004464F4">
        <w:trPr>
          <w:trHeight w:val="1160"/>
        </w:trPr>
        <w:tc>
          <w:tcPr>
            <w:tcW w:w="9870" w:type="dxa"/>
            <w:shd w:val="clear" w:color="auto" w:fill="C6D9F1" w:themeFill="text2" w:themeFillTint="33"/>
            <w:vAlign w:val="center"/>
          </w:tcPr>
          <w:p w:rsidR="00C109DD" w:rsidRPr="00B164EB" w:rsidRDefault="00C109DD" w:rsidP="00C109DD">
            <w:pPr>
              <w:pStyle w:val="ListParagraph"/>
              <w:ind w:left="1302" w:hanging="990"/>
              <w:rPr>
                <w:rFonts w:ascii="Times New Roman" w:hAnsi="Times New Roman" w:cs="Times New Roman"/>
                <w:sz w:val="24"/>
                <w:szCs w:val="24"/>
              </w:rPr>
            </w:pPr>
          </w:p>
        </w:tc>
      </w:tr>
    </w:tbl>
    <w:p w:rsidR="00C109DD" w:rsidRDefault="00C109DD">
      <w:r>
        <w:br w:type="page"/>
      </w:r>
    </w:p>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550856" w:rsidTr="00550856">
        <w:trPr>
          <w:trHeight w:val="512"/>
        </w:trPr>
        <w:tc>
          <w:tcPr>
            <w:tcW w:w="9870" w:type="dxa"/>
            <w:shd w:val="clear" w:color="auto" w:fill="C6D9F1" w:themeFill="text2" w:themeFillTint="33"/>
            <w:vAlign w:val="center"/>
          </w:tcPr>
          <w:p w:rsidR="00550856" w:rsidRDefault="00550856" w:rsidP="00D65802">
            <w:pPr>
              <w:ind w:left="402" w:hanging="402"/>
              <w:rPr>
                <w:rFonts w:ascii="Times New Roman" w:hAnsi="Times New Roman" w:cs="Times New Roman"/>
                <w:b/>
                <w:sz w:val="24"/>
                <w:szCs w:val="24"/>
              </w:rPr>
            </w:pPr>
            <w:r w:rsidRPr="00C162AD">
              <w:rPr>
                <w:rFonts w:ascii="Times New Roman" w:hAnsi="Times New Roman" w:cs="Times New Roman"/>
                <w:b/>
                <w:i/>
                <w:sz w:val="24"/>
                <w:szCs w:val="24"/>
              </w:rPr>
              <w:lastRenderedPageBreak/>
              <w:t>19) Cost Cap for Renewables.</w:t>
            </w:r>
            <w:r w:rsidRPr="007377BF">
              <w:rPr>
                <w:rFonts w:ascii="Times New Roman" w:hAnsi="Times New Roman" w:cs="Times New Roman"/>
                <w:i/>
                <w:sz w:val="24"/>
                <w:szCs w:val="24"/>
              </w:rPr>
              <w:t xml:space="preserve">  </w:t>
            </w:r>
            <w:r w:rsidRPr="007377BF">
              <w:rPr>
                <w:rFonts w:ascii="Times New Roman" w:hAnsi="Times New Roman" w:cs="Times New Roman"/>
                <w:sz w:val="24"/>
                <w:szCs w:val="24"/>
              </w:rPr>
              <w:t xml:space="preserve">Does the current cost cap provided in RCW 19.285.050 Resource Costs, provide effective protection for ratepayers?  How specifically should the Commission implement this </w:t>
            </w:r>
            <w:r w:rsidR="00AD758F">
              <w:rPr>
                <w:rFonts w:ascii="Times New Roman" w:hAnsi="Times New Roman" w:cs="Times New Roman"/>
                <w:sz w:val="24"/>
                <w:szCs w:val="24"/>
              </w:rPr>
              <w:t>c</w:t>
            </w:r>
            <w:r w:rsidRPr="007377BF">
              <w:rPr>
                <w:rFonts w:ascii="Times New Roman" w:hAnsi="Times New Roman" w:cs="Times New Roman"/>
                <w:sz w:val="24"/>
                <w:szCs w:val="24"/>
              </w:rPr>
              <w:t xml:space="preserve">ost </w:t>
            </w:r>
            <w:r w:rsidR="00AD758F">
              <w:rPr>
                <w:rFonts w:ascii="Times New Roman" w:hAnsi="Times New Roman" w:cs="Times New Roman"/>
                <w:sz w:val="24"/>
                <w:szCs w:val="24"/>
              </w:rPr>
              <w:t>c</w:t>
            </w:r>
            <w:r w:rsidRPr="007377BF">
              <w:rPr>
                <w:rFonts w:ascii="Times New Roman" w:hAnsi="Times New Roman" w:cs="Times New Roman"/>
                <w:sz w:val="24"/>
                <w:szCs w:val="24"/>
              </w:rPr>
              <w:t>ap?</w:t>
            </w:r>
          </w:p>
        </w:tc>
      </w:tr>
      <w:tr w:rsidR="00550856" w:rsidTr="00550856">
        <w:trPr>
          <w:trHeight w:val="512"/>
        </w:trPr>
        <w:tc>
          <w:tcPr>
            <w:tcW w:w="9870" w:type="dxa"/>
            <w:shd w:val="clear" w:color="auto" w:fill="auto"/>
          </w:tcPr>
          <w:p w:rsidR="00550856" w:rsidRDefault="00550856" w:rsidP="006E469D">
            <w:pPr>
              <w:spacing w:after="0"/>
              <w:rPr>
                <w:rFonts w:ascii="Times New Roman" w:hAnsi="Times New Roman" w:cs="Times New Roman"/>
                <w:b/>
                <w:sz w:val="24"/>
                <w:szCs w:val="24"/>
              </w:rPr>
            </w:pPr>
          </w:p>
          <w:p w:rsidR="00550856" w:rsidRDefault="00550856" w:rsidP="009444D2">
            <w:pPr>
              <w:rPr>
                <w:rFonts w:ascii="Times New Roman" w:hAnsi="Times New Roman" w:cs="Times New Roman"/>
                <w:sz w:val="24"/>
                <w:szCs w:val="24"/>
              </w:rPr>
            </w:pPr>
            <w:r>
              <w:rPr>
                <w:rFonts w:ascii="Times New Roman" w:hAnsi="Times New Roman" w:cs="Times New Roman"/>
                <w:b/>
                <w:sz w:val="24"/>
                <w:szCs w:val="24"/>
              </w:rPr>
              <w:t>Avista</w:t>
            </w:r>
            <w:r w:rsidRPr="002B7633">
              <w:rPr>
                <w:rFonts w:ascii="Times New Roman" w:hAnsi="Times New Roman" w:cs="Times New Roman"/>
                <w:b/>
                <w:sz w:val="24"/>
                <w:szCs w:val="24"/>
              </w:rPr>
              <w:t xml:space="preserve"> </w:t>
            </w:r>
            <w:r>
              <w:rPr>
                <w:rFonts w:ascii="Times New Roman" w:hAnsi="Times New Roman" w:cs="Times New Roman"/>
                <w:sz w:val="24"/>
                <w:szCs w:val="24"/>
              </w:rPr>
              <w:t>believes since i</w:t>
            </w:r>
            <w:r w:rsidRPr="009444D2">
              <w:rPr>
                <w:rFonts w:ascii="Times New Roman" w:hAnsi="Times New Roman" w:cs="Times New Roman"/>
                <w:sz w:val="24"/>
                <w:szCs w:val="24"/>
              </w:rPr>
              <w:t>t is difficult to anticipate how future market conditions might impact</w:t>
            </w:r>
            <w:r>
              <w:rPr>
                <w:rFonts w:ascii="Times New Roman" w:hAnsi="Times New Roman" w:cs="Times New Roman"/>
                <w:sz w:val="24"/>
                <w:szCs w:val="24"/>
              </w:rPr>
              <w:t xml:space="preserve"> </w:t>
            </w:r>
            <w:r w:rsidRPr="009444D2">
              <w:rPr>
                <w:rFonts w:ascii="Times New Roman" w:hAnsi="Times New Roman" w:cs="Times New Roman"/>
                <w:sz w:val="24"/>
                <w:szCs w:val="24"/>
              </w:rPr>
              <w:t>the costs of renewable resources and RECs</w:t>
            </w:r>
            <w:r w:rsidR="00AD758F">
              <w:rPr>
                <w:rFonts w:ascii="Times New Roman" w:hAnsi="Times New Roman" w:cs="Times New Roman"/>
                <w:sz w:val="24"/>
                <w:szCs w:val="24"/>
              </w:rPr>
              <w:t>.  T</w:t>
            </w:r>
            <w:r>
              <w:rPr>
                <w:rFonts w:ascii="Times New Roman" w:hAnsi="Times New Roman" w:cs="Times New Roman"/>
                <w:sz w:val="24"/>
                <w:szCs w:val="24"/>
              </w:rPr>
              <w:t xml:space="preserve">here may be </w:t>
            </w:r>
            <w:r w:rsidRPr="009444D2">
              <w:rPr>
                <w:rFonts w:ascii="Times New Roman" w:hAnsi="Times New Roman" w:cs="Times New Roman"/>
                <w:sz w:val="24"/>
                <w:szCs w:val="24"/>
              </w:rPr>
              <w:t xml:space="preserve">a scenario </w:t>
            </w:r>
            <w:r>
              <w:rPr>
                <w:rFonts w:ascii="Times New Roman" w:hAnsi="Times New Roman" w:cs="Times New Roman"/>
                <w:sz w:val="24"/>
                <w:szCs w:val="24"/>
              </w:rPr>
              <w:t xml:space="preserve">where the </w:t>
            </w:r>
            <w:r w:rsidRPr="009444D2">
              <w:rPr>
                <w:rFonts w:ascii="Times New Roman" w:hAnsi="Times New Roman" w:cs="Times New Roman"/>
                <w:sz w:val="24"/>
                <w:szCs w:val="24"/>
              </w:rPr>
              <w:t>cost cap is deficient</w:t>
            </w:r>
            <w:r>
              <w:rPr>
                <w:rFonts w:ascii="Times New Roman" w:hAnsi="Times New Roman" w:cs="Times New Roman"/>
                <w:sz w:val="24"/>
                <w:szCs w:val="24"/>
              </w:rPr>
              <w:t>.</w:t>
            </w:r>
            <w:r w:rsidRPr="009444D2">
              <w:rPr>
                <w:rFonts w:ascii="Times New Roman" w:hAnsi="Times New Roman" w:cs="Times New Roman"/>
                <w:sz w:val="24"/>
                <w:szCs w:val="24"/>
              </w:rPr>
              <w:t xml:space="preserve"> </w:t>
            </w:r>
            <w:r>
              <w:rPr>
                <w:rFonts w:ascii="Times New Roman" w:hAnsi="Times New Roman" w:cs="Times New Roman"/>
                <w:sz w:val="24"/>
                <w:szCs w:val="24"/>
              </w:rPr>
              <w:t>However</w:t>
            </w:r>
            <w:r w:rsidR="00AD758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Avista</w:t>
            </w:r>
            <w:r>
              <w:rPr>
                <w:rFonts w:ascii="Times New Roman" w:hAnsi="Times New Roman" w:cs="Times New Roman"/>
                <w:sz w:val="24"/>
                <w:szCs w:val="24"/>
              </w:rPr>
              <w:t xml:space="preserve"> feels it would like to </w:t>
            </w:r>
            <w:r w:rsidRPr="009444D2">
              <w:rPr>
                <w:rFonts w:ascii="Times New Roman" w:hAnsi="Times New Roman" w:cs="Times New Roman"/>
                <w:sz w:val="24"/>
                <w:szCs w:val="24"/>
              </w:rPr>
              <w:t>reserve the option to comment</w:t>
            </w:r>
            <w:r>
              <w:rPr>
                <w:rFonts w:ascii="Times New Roman" w:hAnsi="Times New Roman" w:cs="Times New Roman"/>
                <w:sz w:val="24"/>
                <w:szCs w:val="24"/>
              </w:rPr>
              <w:t xml:space="preserve"> </w:t>
            </w:r>
            <w:r w:rsidRPr="009444D2">
              <w:rPr>
                <w:rFonts w:ascii="Times New Roman" w:hAnsi="Times New Roman" w:cs="Times New Roman"/>
                <w:sz w:val="24"/>
                <w:szCs w:val="24"/>
              </w:rPr>
              <w:t>on this matter at a later date, as may be necessary.</w:t>
            </w:r>
          </w:p>
          <w:p w:rsidR="00550856" w:rsidRDefault="00550856" w:rsidP="002B7633">
            <w:pPr>
              <w:rPr>
                <w:rFonts w:ascii="Times New Roman" w:hAnsi="Times New Roman" w:cs="Times New Roman"/>
                <w:sz w:val="24"/>
                <w:szCs w:val="24"/>
              </w:rPr>
            </w:pPr>
            <w:r w:rsidRPr="002B7633">
              <w:rPr>
                <w:rFonts w:ascii="Times New Roman" w:hAnsi="Times New Roman" w:cs="Times New Roman"/>
                <w:b/>
                <w:sz w:val="24"/>
                <w:szCs w:val="24"/>
              </w:rPr>
              <w:t>PacifiCorp</w:t>
            </w:r>
            <w:r>
              <w:rPr>
                <w:rFonts w:ascii="Times New Roman" w:hAnsi="Times New Roman" w:cs="Times New Roman"/>
                <w:sz w:val="24"/>
                <w:szCs w:val="24"/>
              </w:rPr>
              <w:t xml:space="preserve"> suggests that the </w:t>
            </w:r>
            <w:r w:rsidRPr="002B7633">
              <w:rPr>
                <w:rFonts w:ascii="Times New Roman" w:hAnsi="Times New Roman" w:cs="Times New Roman"/>
                <w:sz w:val="24"/>
                <w:szCs w:val="24"/>
              </w:rPr>
              <w:t>Commission rely on a consistent</w:t>
            </w:r>
            <w:r>
              <w:rPr>
                <w:rFonts w:ascii="Times New Roman" w:hAnsi="Times New Roman" w:cs="Times New Roman"/>
                <w:sz w:val="24"/>
                <w:szCs w:val="24"/>
              </w:rPr>
              <w:t xml:space="preserve"> </w:t>
            </w:r>
            <w:r w:rsidRPr="002B7633">
              <w:rPr>
                <w:rFonts w:ascii="Times New Roman" w:hAnsi="Times New Roman" w:cs="Times New Roman"/>
                <w:sz w:val="24"/>
                <w:szCs w:val="24"/>
              </w:rPr>
              <w:t xml:space="preserve">methodology for the calculation </w:t>
            </w:r>
            <w:r>
              <w:rPr>
                <w:rFonts w:ascii="Times New Roman" w:hAnsi="Times New Roman" w:cs="Times New Roman"/>
                <w:sz w:val="24"/>
                <w:szCs w:val="24"/>
              </w:rPr>
              <w:t xml:space="preserve">of the cost cap such as calculation </w:t>
            </w:r>
            <w:r w:rsidRPr="002B7633">
              <w:rPr>
                <w:rFonts w:ascii="Times New Roman" w:hAnsi="Times New Roman" w:cs="Times New Roman"/>
                <w:sz w:val="24"/>
                <w:szCs w:val="24"/>
              </w:rPr>
              <w:t>of incremental costs as well as the applicable annual revenue</w:t>
            </w:r>
            <w:r>
              <w:rPr>
                <w:rFonts w:ascii="Times New Roman" w:hAnsi="Times New Roman" w:cs="Times New Roman"/>
                <w:sz w:val="24"/>
                <w:szCs w:val="24"/>
              </w:rPr>
              <w:t xml:space="preserve"> </w:t>
            </w:r>
            <w:r w:rsidRPr="002B7633">
              <w:rPr>
                <w:rFonts w:ascii="Times New Roman" w:hAnsi="Times New Roman" w:cs="Times New Roman"/>
                <w:sz w:val="24"/>
                <w:szCs w:val="24"/>
              </w:rPr>
              <w:t>requirement.</w:t>
            </w:r>
            <w:r>
              <w:rPr>
                <w:rFonts w:ascii="Times New Roman" w:hAnsi="Times New Roman" w:cs="Times New Roman"/>
                <w:sz w:val="24"/>
                <w:szCs w:val="24"/>
              </w:rPr>
              <w:t xml:space="preserve">  The company points out that </w:t>
            </w:r>
            <w:r w:rsidRPr="002B7633">
              <w:rPr>
                <w:rFonts w:ascii="Times New Roman" w:hAnsi="Times New Roman" w:cs="Times New Roman"/>
                <w:sz w:val="24"/>
                <w:szCs w:val="24"/>
              </w:rPr>
              <w:t>Oregon's RPS includes a similar customer protection provision and the Oregon</w:t>
            </w:r>
            <w:r>
              <w:rPr>
                <w:rFonts w:ascii="Times New Roman" w:hAnsi="Times New Roman" w:cs="Times New Roman"/>
                <w:sz w:val="24"/>
                <w:szCs w:val="24"/>
              </w:rPr>
              <w:t xml:space="preserve"> </w:t>
            </w:r>
            <w:r w:rsidRPr="002B7633">
              <w:rPr>
                <w:rFonts w:ascii="Times New Roman" w:hAnsi="Times New Roman" w:cs="Times New Roman"/>
                <w:sz w:val="24"/>
                <w:szCs w:val="24"/>
              </w:rPr>
              <w:t>Commission has developed extensive rules to establish the calculation of incremental costs and</w:t>
            </w:r>
            <w:r>
              <w:rPr>
                <w:rFonts w:ascii="Times New Roman" w:hAnsi="Times New Roman" w:cs="Times New Roman"/>
                <w:sz w:val="24"/>
                <w:szCs w:val="24"/>
              </w:rPr>
              <w:t xml:space="preserve"> </w:t>
            </w:r>
            <w:r w:rsidRPr="002B7633">
              <w:rPr>
                <w:rFonts w:ascii="Times New Roman" w:hAnsi="Times New Roman" w:cs="Times New Roman"/>
                <w:sz w:val="24"/>
                <w:szCs w:val="24"/>
              </w:rPr>
              <w:t>the applicable revenue requirement.</w:t>
            </w:r>
            <w:r>
              <w:rPr>
                <w:rFonts w:ascii="Times New Roman" w:hAnsi="Times New Roman" w:cs="Times New Roman"/>
                <w:sz w:val="24"/>
                <w:szCs w:val="24"/>
              </w:rPr>
              <w:t xml:space="preserve"> </w:t>
            </w:r>
            <w:r w:rsidRPr="002B7633">
              <w:rPr>
                <w:rFonts w:ascii="Times New Roman" w:hAnsi="Times New Roman" w:cs="Times New Roman"/>
                <w:sz w:val="24"/>
                <w:szCs w:val="24"/>
              </w:rPr>
              <w:t xml:space="preserve">To promote regional conformity and reporting parity, </w:t>
            </w:r>
            <w:r w:rsidRPr="002B7633">
              <w:rPr>
                <w:rFonts w:ascii="Times New Roman" w:hAnsi="Times New Roman" w:cs="Times New Roman"/>
                <w:b/>
                <w:sz w:val="24"/>
                <w:szCs w:val="24"/>
              </w:rPr>
              <w:t>PacifiCorp</w:t>
            </w:r>
            <w:r>
              <w:rPr>
                <w:rFonts w:ascii="Times New Roman" w:hAnsi="Times New Roman" w:cs="Times New Roman"/>
                <w:sz w:val="24"/>
                <w:szCs w:val="24"/>
              </w:rPr>
              <w:t xml:space="preserve"> </w:t>
            </w:r>
            <w:r w:rsidRPr="002B7633">
              <w:rPr>
                <w:rFonts w:ascii="Times New Roman" w:hAnsi="Times New Roman" w:cs="Times New Roman"/>
                <w:sz w:val="24"/>
                <w:szCs w:val="24"/>
              </w:rPr>
              <w:t xml:space="preserve">suggests that the </w:t>
            </w:r>
            <w:r w:rsidR="00AD758F">
              <w:rPr>
                <w:rFonts w:ascii="Times New Roman" w:hAnsi="Times New Roman" w:cs="Times New Roman"/>
                <w:sz w:val="24"/>
                <w:szCs w:val="24"/>
              </w:rPr>
              <w:t>Commission</w:t>
            </w:r>
            <w:r w:rsidRPr="002B7633">
              <w:rPr>
                <w:rFonts w:ascii="Times New Roman" w:hAnsi="Times New Roman" w:cs="Times New Roman"/>
                <w:sz w:val="24"/>
                <w:szCs w:val="24"/>
              </w:rPr>
              <w:t xml:space="preserve"> consider </w:t>
            </w:r>
            <w:r>
              <w:rPr>
                <w:rFonts w:ascii="Times New Roman" w:hAnsi="Times New Roman" w:cs="Times New Roman"/>
                <w:sz w:val="24"/>
                <w:szCs w:val="24"/>
              </w:rPr>
              <w:t xml:space="preserve">the Oregon approach by </w:t>
            </w:r>
            <w:r w:rsidRPr="002B7633">
              <w:rPr>
                <w:rFonts w:ascii="Times New Roman" w:hAnsi="Times New Roman" w:cs="Times New Roman"/>
                <w:sz w:val="24"/>
                <w:szCs w:val="24"/>
              </w:rPr>
              <w:t xml:space="preserve">adopting similar </w:t>
            </w:r>
            <w:r>
              <w:rPr>
                <w:rFonts w:ascii="Times New Roman" w:hAnsi="Times New Roman" w:cs="Times New Roman"/>
                <w:sz w:val="24"/>
                <w:szCs w:val="24"/>
              </w:rPr>
              <w:t>m</w:t>
            </w:r>
            <w:r w:rsidRPr="002B7633">
              <w:rPr>
                <w:rFonts w:ascii="Times New Roman" w:hAnsi="Times New Roman" w:cs="Times New Roman"/>
                <w:sz w:val="24"/>
                <w:szCs w:val="24"/>
              </w:rPr>
              <w:t>ethodologies and reporting formats.</w:t>
            </w:r>
          </w:p>
          <w:p w:rsidR="00550856" w:rsidRDefault="00550856" w:rsidP="00A950C1">
            <w:pPr>
              <w:rPr>
                <w:rFonts w:ascii="Times New Roman" w:hAnsi="Times New Roman" w:cs="Times New Roman"/>
                <w:sz w:val="24"/>
                <w:szCs w:val="24"/>
              </w:rPr>
            </w:pPr>
            <w:r w:rsidRPr="008727EA">
              <w:rPr>
                <w:rFonts w:ascii="Times New Roman" w:hAnsi="Times New Roman" w:cs="Times New Roman"/>
                <w:b/>
                <w:sz w:val="24"/>
                <w:szCs w:val="24"/>
              </w:rPr>
              <w:t>ICNU</w:t>
            </w:r>
            <w:r>
              <w:rPr>
                <w:rFonts w:ascii="Times New Roman" w:hAnsi="Times New Roman" w:cs="Times New Roman"/>
                <w:sz w:val="24"/>
                <w:szCs w:val="24"/>
              </w:rPr>
              <w:t xml:space="preserve"> finds that t</w:t>
            </w:r>
            <w:r w:rsidRPr="008727EA">
              <w:rPr>
                <w:rFonts w:ascii="Times New Roman" w:hAnsi="Times New Roman" w:cs="Times New Roman"/>
                <w:sz w:val="24"/>
                <w:szCs w:val="24"/>
              </w:rPr>
              <w:t>he RPS “cost cap” is essentially an illusory protection because it does not</w:t>
            </w:r>
            <w:r>
              <w:rPr>
                <w:rFonts w:ascii="Times New Roman" w:hAnsi="Times New Roman" w:cs="Times New Roman"/>
                <w:sz w:val="24"/>
                <w:szCs w:val="24"/>
              </w:rPr>
              <w:t xml:space="preserve"> </w:t>
            </w:r>
            <w:r w:rsidRPr="008727EA">
              <w:rPr>
                <w:rFonts w:ascii="Times New Roman" w:hAnsi="Times New Roman" w:cs="Times New Roman"/>
                <w:sz w:val="24"/>
                <w:szCs w:val="24"/>
              </w:rPr>
              <w:t>provide any effective protection for ratepayers.</w:t>
            </w:r>
            <w:r>
              <w:rPr>
                <w:rFonts w:ascii="Times New Roman" w:hAnsi="Times New Roman" w:cs="Times New Roman"/>
                <w:sz w:val="24"/>
                <w:szCs w:val="24"/>
              </w:rPr>
              <w:t xml:space="preserve">  </w:t>
            </w:r>
            <w:r w:rsidRPr="00BE0D5B">
              <w:rPr>
                <w:rFonts w:ascii="Times New Roman" w:hAnsi="Times New Roman" w:cs="Times New Roman"/>
                <w:b/>
                <w:sz w:val="24"/>
                <w:szCs w:val="24"/>
              </w:rPr>
              <w:t>ICNU</w:t>
            </w:r>
            <w:r>
              <w:rPr>
                <w:rFonts w:ascii="Times New Roman" w:hAnsi="Times New Roman" w:cs="Times New Roman"/>
                <w:sz w:val="24"/>
                <w:szCs w:val="24"/>
              </w:rPr>
              <w:t xml:space="preserve"> suggests that t</w:t>
            </w:r>
            <w:r w:rsidRPr="008727EA">
              <w:rPr>
                <w:rFonts w:ascii="Times New Roman" w:hAnsi="Times New Roman" w:cs="Times New Roman"/>
                <w:sz w:val="24"/>
                <w:szCs w:val="24"/>
              </w:rPr>
              <w:t xml:space="preserve">he Commission recommend that the </w:t>
            </w:r>
            <w:r>
              <w:rPr>
                <w:rFonts w:ascii="Times New Roman" w:hAnsi="Times New Roman" w:cs="Times New Roman"/>
                <w:sz w:val="24"/>
                <w:szCs w:val="24"/>
              </w:rPr>
              <w:t>L</w:t>
            </w:r>
            <w:r w:rsidRPr="008727EA">
              <w:rPr>
                <w:rFonts w:ascii="Times New Roman" w:hAnsi="Times New Roman" w:cs="Times New Roman"/>
                <w:sz w:val="24"/>
                <w:szCs w:val="24"/>
              </w:rPr>
              <w:t>egislature revise the cost cap to</w:t>
            </w:r>
            <w:r>
              <w:rPr>
                <w:rFonts w:ascii="Times New Roman" w:hAnsi="Times New Roman" w:cs="Times New Roman"/>
                <w:sz w:val="24"/>
                <w:szCs w:val="24"/>
              </w:rPr>
              <w:t xml:space="preserve"> </w:t>
            </w:r>
            <w:r w:rsidRPr="008727EA">
              <w:rPr>
                <w:rFonts w:ascii="Times New Roman" w:hAnsi="Times New Roman" w:cs="Times New Roman"/>
                <w:sz w:val="24"/>
                <w:szCs w:val="24"/>
              </w:rPr>
              <w:t>provide meaningful protection for ratepayers</w:t>
            </w:r>
            <w:r>
              <w:rPr>
                <w:rFonts w:ascii="Times New Roman" w:hAnsi="Times New Roman" w:cs="Times New Roman"/>
                <w:sz w:val="24"/>
                <w:szCs w:val="24"/>
              </w:rPr>
              <w:t xml:space="preserve">. In its comments </w:t>
            </w:r>
            <w:r w:rsidRPr="00A950C1">
              <w:rPr>
                <w:rFonts w:ascii="Times New Roman" w:hAnsi="Times New Roman" w:cs="Times New Roman"/>
                <w:b/>
                <w:sz w:val="24"/>
                <w:szCs w:val="24"/>
              </w:rPr>
              <w:t>ICNU</w:t>
            </w:r>
            <w:r>
              <w:rPr>
                <w:rFonts w:ascii="Times New Roman" w:hAnsi="Times New Roman" w:cs="Times New Roman"/>
                <w:sz w:val="24"/>
                <w:szCs w:val="24"/>
              </w:rPr>
              <w:t xml:space="preserve"> provides a detailed listing of the attributes </w:t>
            </w:r>
            <w:r w:rsidRPr="00BE0D5B">
              <w:rPr>
                <w:rFonts w:ascii="Times New Roman" w:hAnsi="Times New Roman" w:cs="Times New Roman"/>
                <w:b/>
                <w:sz w:val="24"/>
                <w:szCs w:val="24"/>
              </w:rPr>
              <w:t>ICNU</w:t>
            </w:r>
            <w:r>
              <w:rPr>
                <w:rFonts w:ascii="Times New Roman" w:hAnsi="Times New Roman" w:cs="Times New Roman"/>
                <w:sz w:val="24"/>
                <w:szCs w:val="24"/>
              </w:rPr>
              <w:t xml:space="preserve"> believes are necessary for the protection of ratepayers. </w:t>
            </w:r>
          </w:p>
          <w:p w:rsidR="00550856" w:rsidRDefault="00550856" w:rsidP="0021703C">
            <w:pPr>
              <w:rPr>
                <w:rFonts w:ascii="Times New Roman" w:hAnsi="Times New Roman" w:cs="Times New Roman"/>
                <w:sz w:val="24"/>
                <w:szCs w:val="24"/>
              </w:rPr>
            </w:pPr>
            <w:r>
              <w:rPr>
                <w:rFonts w:ascii="Times New Roman" w:hAnsi="Times New Roman" w:cs="Times New Roman"/>
                <w:sz w:val="24"/>
                <w:szCs w:val="24"/>
              </w:rPr>
              <w:t xml:space="preserve">The </w:t>
            </w:r>
            <w:r w:rsidRPr="0021703C">
              <w:rPr>
                <w:rFonts w:ascii="Times New Roman" w:hAnsi="Times New Roman" w:cs="Times New Roman"/>
                <w:b/>
                <w:sz w:val="24"/>
                <w:szCs w:val="24"/>
              </w:rPr>
              <w:t>Joint Coalition</w:t>
            </w:r>
            <w:r>
              <w:rPr>
                <w:rFonts w:ascii="Times New Roman" w:hAnsi="Times New Roman" w:cs="Times New Roman"/>
                <w:sz w:val="24"/>
                <w:szCs w:val="24"/>
              </w:rPr>
              <w:t xml:space="preserve"> believes </w:t>
            </w:r>
            <w:r w:rsidR="00AD759B">
              <w:rPr>
                <w:rFonts w:ascii="Times New Roman" w:hAnsi="Times New Roman" w:cs="Times New Roman"/>
                <w:sz w:val="24"/>
                <w:szCs w:val="24"/>
              </w:rPr>
              <w:t xml:space="preserve">however </w:t>
            </w:r>
            <w:r>
              <w:rPr>
                <w:rFonts w:ascii="Times New Roman" w:hAnsi="Times New Roman" w:cs="Times New Roman"/>
                <w:sz w:val="24"/>
                <w:szCs w:val="24"/>
              </w:rPr>
              <w:t>that th</w:t>
            </w:r>
            <w:r w:rsidRPr="0021703C">
              <w:rPr>
                <w:rFonts w:ascii="Times New Roman" w:hAnsi="Times New Roman" w:cs="Times New Roman"/>
                <w:sz w:val="24"/>
                <w:szCs w:val="24"/>
              </w:rPr>
              <w:t xml:space="preserve">e cost cap </w:t>
            </w:r>
            <w:r>
              <w:rPr>
                <w:rFonts w:ascii="Times New Roman" w:hAnsi="Times New Roman" w:cs="Times New Roman"/>
                <w:sz w:val="24"/>
                <w:szCs w:val="24"/>
              </w:rPr>
              <w:t xml:space="preserve">does </w:t>
            </w:r>
            <w:r w:rsidRPr="0021703C">
              <w:rPr>
                <w:rFonts w:ascii="Times New Roman" w:hAnsi="Times New Roman" w:cs="Times New Roman"/>
                <w:sz w:val="24"/>
                <w:szCs w:val="24"/>
              </w:rPr>
              <w:t>provide effective protection for ratepayers</w:t>
            </w:r>
            <w:r>
              <w:rPr>
                <w:rFonts w:ascii="Times New Roman" w:hAnsi="Times New Roman" w:cs="Times New Roman"/>
                <w:sz w:val="24"/>
                <w:szCs w:val="24"/>
              </w:rPr>
              <w:t xml:space="preserve">. The </w:t>
            </w:r>
            <w:r w:rsidRPr="0021703C">
              <w:rPr>
                <w:rFonts w:ascii="Times New Roman" w:hAnsi="Times New Roman" w:cs="Times New Roman"/>
                <w:b/>
                <w:sz w:val="24"/>
                <w:szCs w:val="24"/>
              </w:rPr>
              <w:t>Coalition</w:t>
            </w:r>
            <w:r>
              <w:rPr>
                <w:rFonts w:ascii="Times New Roman" w:hAnsi="Times New Roman" w:cs="Times New Roman"/>
                <w:sz w:val="24"/>
                <w:szCs w:val="24"/>
              </w:rPr>
              <w:t xml:space="preserve"> highlight</w:t>
            </w:r>
            <w:r w:rsidR="00AD759B">
              <w:rPr>
                <w:rFonts w:ascii="Times New Roman" w:hAnsi="Times New Roman" w:cs="Times New Roman"/>
                <w:sz w:val="24"/>
                <w:szCs w:val="24"/>
              </w:rPr>
              <w:t>s</w:t>
            </w:r>
            <w:r>
              <w:rPr>
                <w:rFonts w:ascii="Times New Roman" w:hAnsi="Times New Roman" w:cs="Times New Roman"/>
                <w:sz w:val="24"/>
                <w:szCs w:val="24"/>
              </w:rPr>
              <w:t xml:space="preserve"> that the cost cap provides </w:t>
            </w:r>
            <w:r w:rsidRPr="0021703C">
              <w:rPr>
                <w:rFonts w:ascii="Times New Roman" w:hAnsi="Times New Roman" w:cs="Times New Roman"/>
                <w:sz w:val="24"/>
                <w:szCs w:val="24"/>
              </w:rPr>
              <w:t>utilities with the</w:t>
            </w:r>
            <w:r>
              <w:rPr>
                <w:rFonts w:ascii="Times New Roman" w:hAnsi="Times New Roman" w:cs="Times New Roman"/>
                <w:sz w:val="24"/>
                <w:szCs w:val="24"/>
              </w:rPr>
              <w:t xml:space="preserve"> </w:t>
            </w:r>
            <w:r w:rsidRPr="0021703C">
              <w:rPr>
                <w:rFonts w:ascii="Times New Roman" w:hAnsi="Times New Roman" w:cs="Times New Roman"/>
                <w:sz w:val="24"/>
                <w:szCs w:val="24"/>
              </w:rPr>
              <w:t>option of meeting a lesser renewable energy standard if their expenditures reach the cost cap. But</w:t>
            </w:r>
            <w:r>
              <w:rPr>
                <w:rFonts w:ascii="Times New Roman" w:hAnsi="Times New Roman" w:cs="Times New Roman"/>
                <w:sz w:val="24"/>
                <w:szCs w:val="24"/>
              </w:rPr>
              <w:t xml:space="preserve"> </w:t>
            </w:r>
            <w:r w:rsidRPr="0021703C">
              <w:rPr>
                <w:rFonts w:ascii="Times New Roman" w:hAnsi="Times New Roman" w:cs="Times New Roman"/>
                <w:sz w:val="24"/>
                <w:szCs w:val="24"/>
              </w:rPr>
              <w:t xml:space="preserve">the statute </w:t>
            </w:r>
            <w:r w:rsidR="00AD759B">
              <w:rPr>
                <w:rFonts w:ascii="Times New Roman" w:hAnsi="Times New Roman" w:cs="Times New Roman"/>
                <w:sz w:val="24"/>
                <w:szCs w:val="24"/>
              </w:rPr>
              <w:t xml:space="preserve">they say, </w:t>
            </w:r>
            <w:r w:rsidRPr="0021703C">
              <w:rPr>
                <w:rFonts w:ascii="Times New Roman" w:hAnsi="Times New Roman" w:cs="Times New Roman"/>
                <w:sz w:val="24"/>
                <w:szCs w:val="24"/>
              </w:rPr>
              <w:t>is clear that “a utility may elect to invest more than this amount.”</w:t>
            </w:r>
          </w:p>
          <w:p w:rsidR="007C34A1" w:rsidRDefault="007C34A1" w:rsidP="0021703C">
            <w:pPr>
              <w:rPr>
                <w:rFonts w:ascii="Times New Roman" w:hAnsi="Times New Roman" w:cs="Times New Roman"/>
                <w:sz w:val="24"/>
                <w:szCs w:val="24"/>
              </w:rPr>
            </w:pPr>
          </w:p>
          <w:p w:rsidR="007C34A1" w:rsidRPr="008727EA" w:rsidRDefault="007C34A1" w:rsidP="0021703C">
            <w:pPr>
              <w:rPr>
                <w:rFonts w:ascii="Times New Roman" w:hAnsi="Times New Roman" w:cs="Times New Roman"/>
                <w:sz w:val="24"/>
                <w:szCs w:val="24"/>
              </w:rPr>
            </w:pPr>
          </w:p>
        </w:tc>
      </w:tr>
      <w:tr w:rsidR="007C34A1" w:rsidTr="004464F4">
        <w:trPr>
          <w:trHeight w:val="1160"/>
        </w:trPr>
        <w:tc>
          <w:tcPr>
            <w:tcW w:w="9870" w:type="dxa"/>
            <w:shd w:val="clear" w:color="auto" w:fill="C6D9F1" w:themeFill="text2" w:themeFillTint="33"/>
            <w:vAlign w:val="center"/>
          </w:tcPr>
          <w:p w:rsidR="007C34A1" w:rsidRPr="00B164EB" w:rsidRDefault="007C34A1" w:rsidP="00CD2390">
            <w:pPr>
              <w:pStyle w:val="ListParagraph"/>
              <w:ind w:left="1302" w:hanging="990"/>
              <w:rPr>
                <w:rFonts w:ascii="Times New Roman" w:hAnsi="Times New Roman" w:cs="Times New Roman"/>
                <w:sz w:val="24"/>
                <w:szCs w:val="24"/>
              </w:rPr>
            </w:pPr>
          </w:p>
        </w:tc>
      </w:tr>
    </w:tbl>
    <w:p w:rsidR="007C34A1" w:rsidRDefault="007C34A1">
      <w:r>
        <w:br w:type="page"/>
      </w:r>
    </w:p>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550856" w:rsidTr="00550856">
        <w:trPr>
          <w:trHeight w:val="512"/>
        </w:trPr>
        <w:tc>
          <w:tcPr>
            <w:tcW w:w="9870" w:type="dxa"/>
            <w:shd w:val="clear" w:color="auto" w:fill="C6D9F1" w:themeFill="text2" w:themeFillTint="33"/>
            <w:vAlign w:val="center"/>
          </w:tcPr>
          <w:p w:rsidR="00550856" w:rsidRPr="00540375" w:rsidRDefault="00550856" w:rsidP="00DE23F4">
            <w:pPr>
              <w:ind w:left="402" w:hanging="402"/>
              <w:rPr>
                <w:rFonts w:ascii="Times New Roman" w:hAnsi="Times New Roman" w:cs="Times New Roman"/>
                <w:b/>
                <w:sz w:val="24"/>
                <w:szCs w:val="24"/>
              </w:rPr>
            </w:pPr>
            <w:r w:rsidRPr="00C162AD">
              <w:rPr>
                <w:rFonts w:ascii="Times New Roman" w:hAnsi="Times New Roman" w:cs="Times New Roman"/>
                <w:b/>
                <w:i/>
                <w:sz w:val="24"/>
                <w:szCs w:val="24"/>
              </w:rPr>
              <w:lastRenderedPageBreak/>
              <w:t>20) Costs and Benefits of Voluntary Green Power Programs.</w:t>
            </w:r>
            <w:r w:rsidRPr="007377BF">
              <w:rPr>
                <w:rFonts w:ascii="Times New Roman" w:hAnsi="Times New Roman" w:cs="Times New Roman"/>
                <w:i/>
                <w:sz w:val="24"/>
                <w:szCs w:val="24"/>
              </w:rPr>
              <w:t xml:space="preserve">  </w:t>
            </w:r>
            <w:r w:rsidRPr="007377BF">
              <w:rPr>
                <w:rFonts w:ascii="Times New Roman" w:hAnsi="Times New Roman" w:cs="Times New Roman"/>
                <w:sz w:val="24"/>
                <w:szCs w:val="24"/>
              </w:rPr>
              <w:t>How can ratepayers that participate in the voluntary green power program participate in the benefits of the program?</w:t>
            </w:r>
          </w:p>
        </w:tc>
      </w:tr>
      <w:tr w:rsidR="00550856" w:rsidTr="00550856">
        <w:trPr>
          <w:trHeight w:val="512"/>
        </w:trPr>
        <w:tc>
          <w:tcPr>
            <w:tcW w:w="9870" w:type="dxa"/>
            <w:shd w:val="clear" w:color="auto" w:fill="auto"/>
          </w:tcPr>
          <w:p w:rsidR="00550856" w:rsidRDefault="00550856" w:rsidP="006E469D">
            <w:pPr>
              <w:spacing w:after="0"/>
              <w:rPr>
                <w:rFonts w:ascii="Times New Roman" w:hAnsi="Times New Roman" w:cs="Times New Roman"/>
                <w:b/>
                <w:sz w:val="24"/>
                <w:szCs w:val="24"/>
              </w:rPr>
            </w:pPr>
          </w:p>
          <w:p w:rsidR="00550856" w:rsidRDefault="00550856" w:rsidP="00540375">
            <w:pPr>
              <w:rPr>
                <w:rFonts w:ascii="Times New Roman" w:hAnsi="Times New Roman" w:cs="Times New Roman"/>
                <w:sz w:val="24"/>
                <w:szCs w:val="24"/>
              </w:rPr>
            </w:pPr>
            <w:r w:rsidRPr="00540375">
              <w:rPr>
                <w:rFonts w:ascii="Times New Roman" w:hAnsi="Times New Roman" w:cs="Times New Roman"/>
                <w:b/>
                <w:sz w:val="24"/>
                <w:szCs w:val="24"/>
              </w:rPr>
              <w:t>Avista</w:t>
            </w:r>
            <w:r>
              <w:rPr>
                <w:rFonts w:ascii="Times New Roman" w:hAnsi="Times New Roman" w:cs="Times New Roman"/>
                <w:sz w:val="24"/>
                <w:szCs w:val="24"/>
              </w:rPr>
              <w:t xml:space="preserve"> discusses that its i</w:t>
            </w:r>
            <w:r w:rsidRPr="00540375">
              <w:rPr>
                <w:rFonts w:ascii="Times New Roman" w:hAnsi="Times New Roman" w:cs="Times New Roman"/>
                <w:sz w:val="24"/>
                <w:szCs w:val="24"/>
              </w:rPr>
              <w:t>nteractions with those who participate in the voluntary green power</w:t>
            </w:r>
            <w:r>
              <w:rPr>
                <w:rFonts w:ascii="Times New Roman" w:hAnsi="Times New Roman" w:cs="Times New Roman"/>
                <w:sz w:val="24"/>
                <w:szCs w:val="24"/>
              </w:rPr>
              <w:t xml:space="preserve"> </w:t>
            </w:r>
            <w:r w:rsidRPr="00540375">
              <w:rPr>
                <w:rFonts w:ascii="Times New Roman" w:hAnsi="Times New Roman" w:cs="Times New Roman"/>
                <w:sz w:val="24"/>
                <w:szCs w:val="24"/>
              </w:rPr>
              <w:t>program indicate that they already derive intrinsic personal benefits from doing so; they</w:t>
            </w:r>
            <w:r>
              <w:rPr>
                <w:rFonts w:ascii="Times New Roman" w:hAnsi="Times New Roman" w:cs="Times New Roman"/>
                <w:sz w:val="24"/>
                <w:szCs w:val="24"/>
              </w:rPr>
              <w:t xml:space="preserve"> </w:t>
            </w:r>
            <w:r w:rsidRPr="00540375">
              <w:rPr>
                <w:rFonts w:ascii="Times New Roman" w:hAnsi="Times New Roman" w:cs="Times New Roman"/>
                <w:sz w:val="24"/>
                <w:szCs w:val="24"/>
              </w:rPr>
              <w:t>believe they are making a contribution to improving environmental and societal</w:t>
            </w:r>
            <w:r>
              <w:rPr>
                <w:rFonts w:ascii="Times New Roman" w:hAnsi="Times New Roman" w:cs="Times New Roman"/>
                <w:sz w:val="24"/>
                <w:szCs w:val="24"/>
              </w:rPr>
              <w:t xml:space="preserve"> </w:t>
            </w:r>
            <w:r w:rsidRPr="00540375">
              <w:rPr>
                <w:rFonts w:ascii="Times New Roman" w:hAnsi="Times New Roman" w:cs="Times New Roman"/>
                <w:sz w:val="24"/>
                <w:szCs w:val="24"/>
              </w:rPr>
              <w:t>conditions. Therefore</w:t>
            </w:r>
            <w:r w:rsidR="00AD758F">
              <w:rPr>
                <w:rFonts w:ascii="Times New Roman" w:hAnsi="Times New Roman" w:cs="Times New Roman"/>
                <w:sz w:val="24"/>
                <w:szCs w:val="24"/>
              </w:rPr>
              <w:t>,</w:t>
            </w:r>
            <w:r w:rsidRPr="00540375">
              <w:rPr>
                <w:rFonts w:ascii="Times New Roman" w:hAnsi="Times New Roman" w:cs="Times New Roman"/>
                <w:sz w:val="24"/>
                <w:szCs w:val="24"/>
              </w:rPr>
              <w:t xml:space="preserve"> </w:t>
            </w:r>
            <w:r w:rsidRPr="00540375">
              <w:rPr>
                <w:rFonts w:ascii="Times New Roman" w:hAnsi="Times New Roman" w:cs="Times New Roman"/>
                <w:b/>
                <w:sz w:val="24"/>
                <w:szCs w:val="24"/>
              </w:rPr>
              <w:t>Avista</w:t>
            </w:r>
            <w:r w:rsidRPr="00540375">
              <w:rPr>
                <w:rFonts w:ascii="Times New Roman" w:hAnsi="Times New Roman" w:cs="Times New Roman"/>
                <w:sz w:val="24"/>
                <w:szCs w:val="24"/>
              </w:rPr>
              <w:t xml:space="preserve"> does not believe any additional efforts are warranted here.</w:t>
            </w:r>
          </w:p>
          <w:p w:rsidR="00DE23F4" w:rsidRDefault="00550856" w:rsidP="0052429A">
            <w:pPr>
              <w:rPr>
                <w:rFonts w:ascii="Times New Roman" w:hAnsi="Times New Roman" w:cs="Times New Roman"/>
                <w:sz w:val="24"/>
                <w:szCs w:val="24"/>
              </w:rPr>
            </w:pPr>
            <w:r>
              <w:rPr>
                <w:rFonts w:ascii="Times New Roman" w:hAnsi="Times New Roman" w:cs="Times New Roman"/>
                <w:sz w:val="24"/>
                <w:szCs w:val="24"/>
              </w:rPr>
              <w:t xml:space="preserve">The </w:t>
            </w:r>
            <w:r w:rsidRPr="00540375">
              <w:rPr>
                <w:rFonts w:ascii="Times New Roman" w:hAnsi="Times New Roman" w:cs="Times New Roman"/>
                <w:b/>
                <w:sz w:val="24"/>
                <w:szCs w:val="24"/>
              </w:rPr>
              <w:t>Joint Coalition</w:t>
            </w:r>
            <w:r>
              <w:rPr>
                <w:rFonts w:ascii="Times New Roman" w:hAnsi="Times New Roman" w:cs="Times New Roman"/>
                <w:sz w:val="24"/>
                <w:szCs w:val="24"/>
              </w:rPr>
              <w:t xml:space="preserve"> remark that the removal of price volatility is a </w:t>
            </w:r>
            <w:r w:rsidRPr="0052429A">
              <w:rPr>
                <w:rFonts w:ascii="Times New Roman" w:hAnsi="Times New Roman" w:cs="Times New Roman"/>
                <w:sz w:val="24"/>
                <w:szCs w:val="24"/>
              </w:rPr>
              <w:t>significant benefit of investing in renewable energy resources</w:t>
            </w:r>
            <w:r>
              <w:rPr>
                <w:rFonts w:ascii="Times New Roman" w:hAnsi="Times New Roman" w:cs="Times New Roman"/>
                <w:sz w:val="24"/>
                <w:szCs w:val="24"/>
              </w:rPr>
              <w:t xml:space="preserve">. They believe the lack of price volatility is a benefit that </w:t>
            </w:r>
            <w:r w:rsidRPr="0052429A">
              <w:rPr>
                <w:rFonts w:ascii="Times New Roman" w:hAnsi="Times New Roman" w:cs="Times New Roman"/>
                <w:sz w:val="24"/>
                <w:szCs w:val="24"/>
              </w:rPr>
              <w:t>could be allocated to green power program participants in accordance with the level of their</w:t>
            </w:r>
            <w:r>
              <w:rPr>
                <w:rFonts w:ascii="Times New Roman" w:hAnsi="Times New Roman" w:cs="Times New Roman"/>
                <w:sz w:val="24"/>
                <w:szCs w:val="24"/>
              </w:rPr>
              <w:t xml:space="preserve"> </w:t>
            </w:r>
            <w:r w:rsidRPr="0052429A">
              <w:rPr>
                <w:rFonts w:ascii="Times New Roman" w:hAnsi="Times New Roman" w:cs="Times New Roman"/>
                <w:sz w:val="24"/>
                <w:szCs w:val="24"/>
              </w:rPr>
              <w:t>participation</w:t>
            </w:r>
            <w:r>
              <w:rPr>
                <w:rFonts w:ascii="Times New Roman" w:hAnsi="Times New Roman" w:cs="Times New Roman"/>
                <w:sz w:val="24"/>
                <w:szCs w:val="24"/>
              </w:rPr>
              <w:t>.</w:t>
            </w:r>
            <w:r w:rsidRPr="0052429A">
              <w:rPr>
                <w:rFonts w:ascii="TimesNewRomanPSMT" w:hAnsi="TimesNewRomanPSMT" w:cs="TimesNewRomanPSMT"/>
                <w:sz w:val="24"/>
                <w:szCs w:val="24"/>
              </w:rPr>
              <w:t xml:space="preserve"> </w:t>
            </w:r>
            <w:r>
              <w:rPr>
                <w:rFonts w:ascii="Times New Roman" w:hAnsi="Times New Roman" w:cs="Times New Roman"/>
                <w:sz w:val="24"/>
                <w:szCs w:val="24"/>
              </w:rPr>
              <w:t xml:space="preserve"> The </w:t>
            </w:r>
            <w:r w:rsidRPr="0052429A">
              <w:rPr>
                <w:rFonts w:ascii="Times New Roman" w:hAnsi="Times New Roman" w:cs="Times New Roman"/>
                <w:b/>
                <w:sz w:val="24"/>
                <w:szCs w:val="24"/>
              </w:rPr>
              <w:t>Joint Coalition</w:t>
            </w:r>
            <w:r w:rsidRPr="0052429A">
              <w:rPr>
                <w:rFonts w:ascii="Times New Roman" w:hAnsi="Times New Roman" w:cs="Times New Roman"/>
                <w:sz w:val="24"/>
                <w:szCs w:val="24"/>
              </w:rPr>
              <w:t xml:space="preserve"> also support utilities developing voluntary programs involving the long term contractual</w:t>
            </w:r>
            <w:r>
              <w:rPr>
                <w:rFonts w:ascii="Times New Roman" w:hAnsi="Times New Roman" w:cs="Times New Roman"/>
                <w:sz w:val="24"/>
                <w:szCs w:val="24"/>
              </w:rPr>
              <w:t xml:space="preserve"> </w:t>
            </w:r>
            <w:r w:rsidRPr="0052429A">
              <w:rPr>
                <w:rFonts w:ascii="Times New Roman" w:hAnsi="Times New Roman" w:cs="Times New Roman"/>
                <w:sz w:val="24"/>
                <w:szCs w:val="24"/>
              </w:rPr>
              <w:t>purchase or ownership of renewable energy generation that result in a return on investment for</w:t>
            </w:r>
            <w:r>
              <w:rPr>
                <w:rFonts w:ascii="Times New Roman" w:hAnsi="Times New Roman" w:cs="Times New Roman"/>
                <w:sz w:val="24"/>
                <w:szCs w:val="24"/>
              </w:rPr>
              <w:t xml:space="preserve"> </w:t>
            </w:r>
            <w:r w:rsidRPr="0052429A">
              <w:rPr>
                <w:rFonts w:ascii="Times New Roman" w:hAnsi="Times New Roman" w:cs="Times New Roman"/>
                <w:sz w:val="24"/>
                <w:szCs w:val="24"/>
              </w:rPr>
              <w:t>the participants</w:t>
            </w:r>
            <w:r w:rsidR="00DE23F4">
              <w:rPr>
                <w:rFonts w:ascii="Times New Roman" w:hAnsi="Times New Roman" w:cs="Times New Roman"/>
                <w:sz w:val="24"/>
                <w:szCs w:val="24"/>
              </w:rPr>
              <w:t>.</w:t>
            </w:r>
          </w:p>
          <w:p w:rsidR="00DE23F4" w:rsidRDefault="00DE23F4" w:rsidP="0052429A">
            <w:pPr>
              <w:rPr>
                <w:rFonts w:ascii="Times New Roman" w:hAnsi="Times New Roman" w:cs="Times New Roman"/>
                <w:sz w:val="24"/>
                <w:szCs w:val="24"/>
              </w:rPr>
            </w:pPr>
          </w:p>
          <w:p w:rsidR="00DE23F4" w:rsidRDefault="00DE23F4" w:rsidP="0052429A">
            <w:pPr>
              <w:rPr>
                <w:rFonts w:ascii="Times New Roman" w:hAnsi="Times New Roman" w:cs="Times New Roman"/>
                <w:sz w:val="24"/>
                <w:szCs w:val="24"/>
              </w:rPr>
            </w:pPr>
          </w:p>
          <w:p w:rsidR="00DE23F4" w:rsidRDefault="00DE23F4" w:rsidP="0052429A">
            <w:pPr>
              <w:rPr>
                <w:rFonts w:ascii="Times New Roman" w:hAnsi="Times New Roman" w:cs="Times New Roman"/>
                <w:sz w:val="24"/>
                <w:szCs w:val="24"/>
              </w:rPr>
            </w:pPr>
          </w:p>
          <w:p w:rsidR="00DE23F4" w:rsidRDefault="00DE23F4" w:rsidP="0052429A">
            <w:pPr>
              <w:rPr>
                <w:rFonts w:ascii="Times New Roman" w:hAnsi="Times New Roman" w:cs="Times New Roman"/>
                <w:sz w:val="24"/>
                <w:szCs w:val="24"/>
              </w:rPr>
            </w:pPr>
          </w:p>
          <w:p w:rsidR="00DE23F4" w:rsidRDefault="00DE23F4" w:rsidP="0052429A">
            <w:pPr>
              <w:rPr>
                <w:rFonts w:ascii="Times New Roman" w:hAnsi="Times New Roman" w:cs="Times New Roman"/>
                <w:sz w:val="24"/>
                <w:szCs w:val="24"/>
              </w:rPr>
            </w:pPr>
          </w:p>
          <w:p w:rsidR="00550856" w:rsidRDefault="00550856" w:rsidP="0052429A">
            <w:pPr>
              <w:rPr>
                <w:rFonts w:ascii="Times New Roman" w:hAnsi="Times New Roman" w:cs="Times New Roman"/>
                <w:sz w:val="24"/>
                <w:szCs w:val="24"/>
              </w:rPr>
            </w:pPr>
          </w:p>
          <w:p w:rsidR="00DE23F4" w:rsidRDefault="00DE23F4" w:rsidP="0052429A">
            <w:pPr>
              <w:rPr>
                <w:rFonts w:ascii="Times New Roman" w:hAnsi="Times New Roman" w:cs="Times New Roman"/>
                <w:sz w:val="24"/>
                <w:szCs w:val="24"/>
              </w:rPr>
            </w:pPr>
          </w:p>
          <w:p w:rsidR="00DE23F4" w:rsidRDefault="00DE23F4" w:rsidP="0052429A">
            <w:pPr>
              <w:rPr>
                <w:rFonts w:ascii="Times New Roman" w:hAnsi="Times New Roman" w:cs="Times New Roman"/>
                <w:sz w:val="24"/>
                <w:szCs w:val="24"/>
              </w:rPr>
            </w:pPr>
          </w:p>
          <w:p w:rsidR="00DE23F4" w:rsidRDefault="00DE23F4" w:rsidP="0052429A">
            <w:pPr>
              <w:rPr>
                <w:rFonts w:ascii="Times New Roman" w:hAnsi="Times New Roman" w:cs="Times New Roman"/>
                <w:sz w:val="24"/>
                <w:szCs w:val="24"/>
              </w:rPr>
            </w:pPr>
          </w:p>
        </w:tc>
      </w:tr>
      <w:tr w:rsidR="00DE23F4" w:rsidTr="004464F4">
        <w:trPr>
          <w:trHeight w:val="1160"/>
        </w:trPr>
        <w:tc>
          <w:tcPr>
            <w:tcW w:w="9870" w:type="dxa"/>
            <w:shd w:val="clear" w:color="auto" w:fill="C6D9F1" w:themeFill="text2" w:themeFillTint="33"/>
            <w:vAlign w:val="center"/>
          </w:tcPr>
          <w:p w:rsidR="00DE23F4" w:rsidRPr="00B164EB" w:rsidRDefault="00DE23F4" w:rsidP="00DE23F4">
            <w:pPr>
              <w:pStyle w:val="ListParagraph"/>
              <w:ind w:left="1302" w:hanging="990"/>
              <w:rPr>
                <w:rFonts w:ascii="Times New Roman" w:hAnsi="Times New Roman" w:cs="Times New Roman"/>
                <w:sz w:val="24"/>
                <w:szCs w:val="24"/>
              </w:rPr>
            </w:pPr>
          </w:p>
        </w:tc>
      </w:tr>
    </w:tbl>
    <w:p w:rsidR="00DE23F4" w:rsidRDefault="00DE23F4">
      <w:r>
        <w:br w:type="page"/>
      </w:r>
    </w:p>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550856" w:rsidTr="00550856">
        <w:trPr>
          <w:trHeight w:val="512"/>
        </w:trPr>
        <w:tc>
          <w:tcPr>
            <w:tcW w:w="9870" w:type="dxa"/>
            <w:shd w:val="clear" w:color="auto" w:fill="C6D9F1" w:themeFill="text2" w:themeFillTint="33"/>
            <w:vAlign w:val="center"/>
          </w:tcPr>
          <w:p w:rsidR="00550856" w:rsidRPr="00DB7BF1" w:rsidRDefault="00550856" w:rsidP="006E469D">
            <w:pPr>
              <w:spacing w:after="0"/>
              <w:jc w:val="center"/>
              <w:rPr>
                <w:rFonts w:ascii="Times New Roman" w:hAnsi="Times New Roman" w:cs="Times New Roman"/>
                <w:sz w:val="24"/>
                <w:szCs w:val="24"/>
              </w:rPr>
            </w:pPr>
            <w:r w:rsidRPr="00C162AD">
              <w:rPr>
                <w:rFonts w:ascii="Times New Roman" w:hAnsi="Times New Roman" w:cs="Times New Roman"/>
                <w:b/>
                <w:i/>
                <w:sz w:val="24"/>
                <w:szCs w:val="24"/>
              </w:rPr>
              <w:lastRenderedPageBreak/>
              <w:t>21) Other Issues.</w:t>
            </w:r>
            <w:r w:rsidRPr="007377BF">
              <w:rPr>
                <w:rFonts w:ascii="Times New Roman" w:hAnsi="Times New Roman" w:cs="Times New Roman"/>
                <w:i/>
                <w:sz w:val="24"/>
                <w:szCs w:val="24"/>
              </w:rPr>
              <w:t xml:space="preserve">  </w:t>
            </w:r>
            <w:r w:rsidRPr="007377BF">
              <w:rPr>
                <w:rFonts w:ascii="Times New Roman" w:hAnsi="Times New Roman" w:cs="Times New Roman"/>
                <w:sz w:val="24"/>
                <w:szCs w:val="24"/>
              </w:rPr>
              <w:t>Comment on any other issue relevant to this inquiry that is not covered above.</w:t>
            </w:r>
          </w:p>
        </w:tc>
      </w:tr>
      <w:tr w:rsidR="00550856" w:rsidTr="00550856">
        <w:trPr>
          <w:trHeight w:val="512"/>
        </w:trPr>
        <w:tc>
          <w:tcPr>
            <w:tcW w:w="9870" w:type="dxa"/>
            <w:shd w:val="clear" w:color="auto" w:fill="auto"/>
          </w:tcPr>
          <w:p w:rsidR="00550856" w:rsidRPr="00DB7BF1" w:rsidRDefault="00550856" w:rsidP="00C162AD">
            <w:pPr>
              <w:spacing w:after="0"/>
              <w:ind w:left="402"/>
              <w:rPr>
                <w:rFonts w:ascii="Times New Roman" w:hAnsi="Times New Roman" w:cs="Times New Roman"/>
                <w:sz w:val="24"/>
                <w:szCs w:val="24"/>
              </w:rPr>
            </w:pPr>
            <w:r w:rsidRPr="00DB7BF1">
              <w:rPr>
                <w:rFonts w:ascii="Times New Roman" w:hAnsi="Times New Roman" w:cs="Times New Roman"/>
                <w:sz w:val="24"/>
                <w:szCs w:val="24"/>
              </w:rPr>
              <w:t>a) Dry Hole Risk</w:t>
            </w:r>
          </w:p>
          <w:p w:rsidR="00550856" w:rsidRPr="00DB7BF1" w:rsidRDefault="00550856" w:rsidP="00C162AD">
            <w:pPr>
              <w:spacing w:after="0"/>
              <w:ind w:left="402"/>
              <w:rPr>
                <w:rFonts w:ascii="Times New Roman" w:hAnsi="Times New Roman" w:cs="Times New Roman"/>
                <w:iCs/>
                <w:sz w:val="24"/>
                <w:szCs w:val="24"/>
              </w:rPr>
            </w:pPr>
            <w:r w:rsidRPr="00DB7BF1">
              <w:rPr>
                <w:rFonts w:ascii="Times New Roman" w:hAnsi="Times New Roman" w:cs="Times New Roman"/>
                <w:iCs/>
                <w:sz w:val="24"/>
                <w:szCs w:val="24"/>
              </w:rPr>
              <w:t>b)</w:t>
            </w:r>
            <w:r>
              <w:rPr>
                <w:rFonts w:ascii="Times New Roman" w:hAnsi="Times New Roman" w:cs="Times New Roman"/>
                <w:iCs/>
                <w:sz w:val="24"/>
                <w:szCs w:val="24"/>
              </w:rPr>
              <w:t xml:space="preserve"> </w:t>
            </w:r>
            <w:r w:rsidRPr="00DB7BF1">
              <w:rPr>
                <w:rFonts w:ascii="Times New Roman" w:hAnsi="Times New Roman" w:cs="Times New Roman"/>
                <w:iCs/>
                <w:sz w:val="24"/>
                <w:szCs w:val="24"/>
              </w:rPr>
              <w:t>Environmental Attributes Associated with PURPA Resources</w:t>
            </w:r>
          </w:p>
          <w:p w:rsidR="00550856" w:rsidRDefault="00550856" w:rsidP="00C162AD">
            <w:pPr>
              <w:spacing w:after="0"/>
              <w:ind w:left="402"/>
              <w:rPr>
                <w:rFonts w:ascii="Times New Roman" w:hAnsi="Times New Roman" w:cs="Times New Roman"/>
                <w:iCs/>
                <w:sz w:val="24"/>
                <w:szCs w:val="24"/>
              </w:rPr>
            </w:pPr>
            <w:r w:rsidRPr="00DB7BF1">
              <w:rPr>
                <w:rFonts w:ascii="Times New Roman" w:hAnsi="Times New Roman" w:cs="Times New Roman"/>
                <w:iCs/>
                <w:sz w:val="24"/>
                <w:szCs w:val="24"/>
              </w:rPr>
              <w:t>c) Biomass Renewables</w:t>
            </w:r>
          </w:p>
          <w:p w:rsidR="00550856" w:rsidRDefault="00550856" w:rsidP="00C162AD">
            <w:pPr>
              <w:spacing w:after="0"/>
              <w:ind w:left="402"/>
              <w:rPr>
                <w:rFonts w:ascii="Times New Roman" w:hAnsi="Times New Roman" w:cs="Times New Roman"/>
                <w:sz w:val="24"/>
                <w:szCs w:val="24"/>
              </w:rPr>
            </w:pPr>
            <w:r>
              <w:rPr>
                <w:rFonts w:ascii="Times New Roman" w:hAnsi="Times New Roman" w:cs="Times New Roman"/>
                <w:iCs/>
                <w:sz w:val="24"/>
                <w:szCs w:val="24"/>
              </w:rPr>
              <w:t xml:space="preserve">d) RFP process for </w:t>
            </w:r>
            <w:r w:rsidRPr="00B30F8D">
              <w:rPr>
                <w:rFonts w:ascii="Times New Roman" w:hAnsi="Times New Roman" w:cs="Times New Roman"/>
                <w:iCs/>
                <w:sz w:val="24"/>
                <w:szCs w:val="24"/>
              </w:rPr>
              <w:t xml:space="preserve">renewable generation </w:t>
            </w:r>
            <w:r>
              <w:rPr>
                <w:rFonts w:ascii="Times New Roman" w:hAnsi="Times New Roman" w:cs="Times New Roman"/>
                <w:iCs/>
                <w:sz w:val="24"/>
                <w:szCs w:val="24"/>
              </w:rPr>
              <w:t xml:space="preserve">from IPP </w:t>
            </w:r>
          </w:p>
        </w:tc>
      </w:tr>
      <w:tr w:rsidR="00550856" w:rsidTr="00550856">
        <w:trPr>
          <w:trHeight w:val="512"/>
        </w:trPr>
        <w:tc>
          <w:tcPr>
            <w:tcW w:w="9870" w:type="dxa"/>
            <w:shd w:val="clear" w:color="auto" w:fill="auto"/>
          </w:tcPr>
          <w:p w:rsidR="00550856" w:rsidRDefault="00550856" w:rsidP="006E469D">
            <w:pPr>
              <w:spacing w:after="0"/>
              <w:rPr>
                <w:rFonts w:ascii="Times New Roman" w:hAnsi="Times New Roman" w:cs="Times New Roman"/>
                <w:i/>
                <w:sz w:val="24"/>
                <w:szCs w:val="24"/>
              </w:rPr>
            </w:pPr>
          </w:p>
          <w:p w:rsidR="00550856" w:rsidRPr="00C162AD" w:rsidRDefault="00550856" w:rsidP="00254485">
            <w:pPr>
              <w:rPr>
                <w:rFonts w:ascii="Times New Roman" w:hAnsi="Times New Roman" w:cs="Times New Roman"/>
                <w:b/>
                <w:sz w:val="24"/>
                <w:szCs w:val="24"/>
              </w:rPr>
            </w:pPr>
            <w:r w:rsidRPr="00C162AD">
              <w:rPr>
                <w:rFonts w:ascii="Times New Roman" w:hAnsi="Times New Roman" w:cs="Times New Roman"/>
                <w:b/>
                <w:i/>
                <w:sz w:val="24"/>
                <w:szCs w:val="24"/>
              </w:rPr>
              <w:t>21a) Dry Hole Risk</w:t>
            </w:r>
          </w:p>
          <w:p w:rsidR="00550856" w:rsidRDefault="00550856" w:rsidP="00F96B95">
            <w:pPr>
              <w:rPr>
                <w:rFonts w:ascii="Times New Roman" w:hAnsi="Times New Roman" w:cs="Times New Roman"/>
                <w:sz w:val="24"/>
                <w:szCs w:val="24"/>
              </w:rPr>
            </w:pPr>
            <w:r w:rsidRPr="00571A40">
              <w:rPr>
                <w:rFonts w:ascii="Times New Roman" w:hAnsi="Times New Roman" w:cs="Times New Roman"/>
                <w:b/>
                <w:sz w:val="24"/>
                <w:szCs w:val="24"/>
              </w:rPr>
              <w:t>Avista</w:t>
            </w:r>
            <w:r>
              <w:rPr>
                <w:rFonts w:ascii="Times New Roman" w:hAnsi="Times New Roman" w:cs="Times New Roman"/>
                <w:sz w:val="24"/>
                <w:szCs w:val="24"/>
              </w:rPr>
              <w:t xml:space="preserve"> believes that </w:t>
            </w:r>
            <w:r w:rsidR="00AD758F">
              <w:rPr>
                <w:rFonts w:ascii="Times New Roman" w:hAnsi="Times New Roman" w:cs="Times New Roman"/>
                <w:sz w:val="24"/>
                <w:szCs w:val="24"/>
              </w:rPr>
              <w:t>r</w:t>
            </w:r>
            <w:r w:rsidRPr="00392E9B">
              <w:rPr>
                <w:rFonts w:ascii="Times New Roman" w:hAnsi="Times New Roman" w:cs="Times New Roman"/>
                <w:sz w:val="24"/>
                <w:szCs w:val="24"/>
              </w:rPr>
              <w:t>enewable project development presents a number of</w:t>
            </w:r>
            <w:r>
              <w:rPr>
                <w:rFonts w:ascii="Times New Roman" w:hAnsi="Times New Roman" w:cs="Times New Roman"/>
                <w:sz w:val="24"/>
                <w:szCs w:val="24"/>
              </w:rPr>
              <w:t xml:space="preserve"> </w:t>
            </w:r>
            <w:r w:rsidRPr="00392E9B">
              <w:rPr>
                <w:rFonts w:ascii="Times New Roman" w:hAnsi="Times New Roman" w:cs="Times New Roman"/>
                <w:sz w:val="24"/>
                <w:szCs w:val="24"/>
              </w:rPr>
              <w:t>challenges that differ from non-renewable project development.</w:t>
            </w:r>
            <w:r>
              <w:rPr>
                <w:rFonts w:ascii="Times New Roman" w:hAnsi="Times New Roman" w:cs="Times New Roman"/>
                <w:sz w:val="24"/>
                <w:szCs w:val="24"/>
              </w:rPr>
              <w:t xml:space="preserve"> </w:t>
            </w:r>
            <w:r w:rsidRPr="00571A40">
              <w:rPr>
                <w:rFonts w:ascii="Times New Roman" w:hAnsi="Times New Roman" w:cs="Times New Roman"/>
                <w:b/>
                <w:sz w:val="24"/>
                <w:szCs w:val="24"/>
              </w:rPr>
              <w:t>Avista</w:t>
            </w:r>
            <w:r>
              <w:rPr>
                <w:rFonts w:ascii="Times New Roman" w:hAnsi="Times New Roman" w:cs="Times New Roman"/>
                <w:sz w:val="24"/>
                <w:szCs w:val="24"/>
              </w:rPr>
              <w:t xml:space="preserve"> discusses the likelihood that a utility will work on a few “dry holes.” That is, projects (specifically wind projects) that do not </w:t>
            </w:r>
            <w:r w:rsidR="00AD758F">
              <w:rPr>
                <w:rFonts w:ascii="Times New Roman" w:hAnsi="Times New Roman" w:cs="Times New Roman"/>
                <w:sz w:val="24"/>
                <w:szCs w:val="24"/>
              </w:rPr>
              <w:t xml:space="preserve">reach </w:t>
            </w:r>
            <w:r>
              <w:rPr>
                <w:rFonts w:ascii="Times New Roman" w:hAnsi="Times New Roman" w:cs="Times New Roman"/>
                <w:sz w:val="24"/>
                <w:szCs w:val="24"/>
              </w:rPr>
              <w:t xml:space="preserve">fruition.  </w:t>
            </w:r>
            <w:r w:rsidRPr="00254485">
              <w:rPr>
                <w:rFonts w:ascii="Times New Roman" w:hAnsi="Times New Roman" w:cs="Times New Roman"/>
                <w:sz w:val="24"/>
                <w:szCs w:val="24"/>
              </w:rPr>
              <w:t>The</w:t>
            </w:r>
            <w:r>
              <w:rPr>
                <w:rFonts w:ascii="Times New Roman" w:hAnsi="Times New Roman" w:cs="Times New Roman"/>
                <w:sz w:val="24"/>
                <w:szCs w:val="24"/>
              </w:rPr>
              <w:t xml:space="preserve"> company urges the </w:t>
            </w:r>
            <w:r w:rsidRPr="00254485">
              <w:rPr>
                <w:rFonts w:ascii="Times New Roman" w:hAnsi="Times New Roman" w:cs="Times New Roman"/>
                <w:sz w:val="24"/>
                <w:szCs w:val="24"/>
              </w:rPr>
              <w:t xml:space="preserve">Commission </w:t>
            </w:r>
            <w:r>
              <w:rPr>
                <w:rFonts w:ascii="Times New Roman" w:hAnsi="Times New Roman" w:cs="Times New Roman"/>
                <w:sz w:val="24"/>
                <w:szCs w:val="24"/>
              </w:rPr>
              <w:t>to</w:t>
            </w:r>
            <w:r w:rsidRPr="00254485">
              <w:rPr>
                <w:rFonts w:ascii="Times New Roman" w:hAnsi="Times New Roman" w:cs="Times New Roman"/>
                <w:sz w:val="24"/>
                <w:szCs w:val="24"/>
              </w:rPr>
              <w:t xml:space="preserve"> clarify that cost recovery is allowed for prudently incurred costs</w:t>
            </w:r>
            <w:r>
              <w:rPr>
                <w:rFonts w:ascii="Times New Roman" w:hAnsi="Times New Roman" w:cs="Times New Roman"/>
                <w:sz w:val="24"/>
                <w:szCs w:val="24"/>
              </w:rPr>
              <w:t xml:space="preserve"> </w:t>
            </w:r>
            <w:r w:rsidRPr="00254485">
              <w:rPr>
                <w:rFonts w:ascii="Times New Roman" w:hAnsi="Times New Roman" w:cs="Times New Roman"/>
                <w:sz w:val="24"/>
                <w:szCs w:val="24"/>
              </w:rPr>
              <w:t>associated with "dry hole" sites. The Commission should define renewable energy</w:t>
            </w:r>
            <w:r>
              <w:rPr>
                <w:rFonts w:ascii="Times New Roman" w:hAnsi="Times New Roman" w:cs="Times New Roman"/>
                <w:sz w:val="24"/>
                <w:szCs w:val="24"/>
              </w:rPr>
              <w:t xml:space="preserve"> </w:t>
            </w:r>
            <w:r w:rsidRPr="00254485">
              <w:rPr>
                <w:rFonts w:ascii="Times New Roman" w:hAnsi="Times New Roman" w:cs="Times New Roman"/>
                <w:sz w:val="24"/>
                <w:szCs w:val="24"/>
              </w:rPr>
              <w:t>project development costs that are eligible for recovery.</w:t>
            </w:r>
            <w:r w:rsidR="00F96B95">
              <w:rPr>
                <w:rFonts w:ascii="Times New Roman" w:hAnsi="Times New Roman" w:cs="Times New Roman"/>
                <w:sz w:val="24"/>
                <w:szCs w:val="24"/>
              </w:rPr>
              <w:t>.</w:t>
            </w:r>
            <w:r w:rsidRPr="00254485">
              <w:rPr>
                <w:rFonts w:ascii="Times New Roman" w:hAnsi="Times New Roman" w:cs="Times New Roman"/>
                <w:sz w:val="24"/>
                <w:szCs w:val="24"/>
              </w:rPr>
              <w:t xml:space="preserve"> </w:t>
            </w:r>
          </w:p>
        </w:tc>
      </w:tr>
      <w:tr w:rsidR="00F96B95" w:rsidTr="004464F4">
        <w:trPr>
          <w:trHeight w:val="1160"/>
        </w:trPr>
        <w:tc>
          <w:tcPr>
            <w:tcW w:w="9870" w:type="dxa"/>
            <w:shd w:val="clear" w:color="auto" w:fill="C6D9F1" w:themeFill="text2" w:themeFillTint="33"/>
            <w:vAlign w:val="center"/>
          </w:tcPr>
          <w:p w:rsidR="00F96B95" w:rsidRPr="00B164EB" w:rsidRDefault="00F96B95" w:rsidP="00F96B95">
            <w:pPr>
              <w:pStyle w:val="ListParagraph"/>
              <w:ind w:left="1302" w:hanging="990"/>
              <w:rPr>
                <w:rFonts w:ascii="Times New Roman" w:hAnsi="Times New Roman" w:cs="Times New Roman"/>
                <w:sz w:val="24"/>
                <w:szCs w:val="24"/>
              </w:rPr>
            </w:pPr>
          </w:p>
        </w:tc>
      </w:tr>
      <w:tr w:rsidR="00550856" w:rsidTr="00550856">
        <w:trPr>
          <w:trHeight w:val="512"/>
        </w:trPr>
        <w:tc>
          <w:tcPr>
            <w:tcW w:w="9870" w:type="dxa"/>
            <w:shd w:val="clear" w:color="auto" w:fill="auto"/>
          </w:tcPr>
          <w:p w:rsidR="00C162AD" w:rsidRDefault="00C162AD" w:rsidP="00C162AD">
            <w:pPr>
              <w:spacing w:after="0"/>
              <w:rPr>
                <w:rFonts w:ascii="Times New Roman" w:hAnsi="Times New Roman" w:cs="Times New Roman"/>
                <w:b/>
                <w:i/>
                <w:iCs/>
                <w:sz w:val="24"/>
                <w:szCs w:val="24"/>
              </w:rPr>
            </w:pPr>
          </w:p>
          <w:p w:rsidR="00550856" w:rsidRPr="00C162AD" w:rsidRDefault="00550856" w:rsidP="00112144">
            <w:pPr>
              <w:rPr>
                <w:rFonts w:ascii="Times New Roman" w:hAnsi="Times New Roman" w:cs="Times New Roman"/>
                <w:b/>
                <w:sz w:val="24"/>
                <w:szCs w:val="24"/>
              </w:rPr>
            </w:pPr>
            <w:r w:rsidRPr="00C162AD">
              <w:rPr>
                <w:rFonts w:ascii="Times New Roman" w:hAnsi="Times New Roman" w:cs="Times New Roman"/>
                <w:b/>
                <w:i/>
                <w:iCs/>
                <w:sz w:val="24"/>
                <w:szCs w:val="24"/>
              </w:rPr>
              <w:t>21b) Environmental Attributes Associated with PURPA Resources</w:t>
            </w:r>
          </w:p>
          <w:p w:rsidR="00550856" w:rsidRPr="00112144" w:rsidRDefault="00550856" w:rsidP="00112144">
            <w:pPr>
              <w:rPr>
                <w:rFonts w:ascii="Times New Roman" w:hAnsi="Times New Roman" w:cs="Times New Roman"/>
                <w:sz w:val="24"/>
                <w:szCs w:val="24"/>
              </w:rPr>
            </w:pPr>
            <w:r>
              <w:rPr>
                <w:rFonts w:ascii="Times New Roman" w:hAnsi="Times New Roman" w:cs="Times New Roman"/>
                <w:b/>
                <w:sz w:val="24"/>
                <w:szCs w:val="24"/>
              </w:rPr>
              <w:t>Avista</w:t>
            </w:r>
            <w:r>
              <w:rPr>
                <w:rFonts w:ascii="Times New Roman" w:hAnsi="Times New Roman" w:cs="Times New Roman"/>
                <w:sz w:val="24"/>
                <w:szCs w:val="24"/>
              </w:rPr>
              <w:t xml:space="preserve"> identified an issue regarding PURPA required purchases from qualified facilities and the related </w:t>
            </w:r>
            <w:r w:rsidRPr="00112144">
              <w:rPr>
                <w:rFonts w:ascii="Times New Roman" w:hAnsi="Times New Roman" w:cs="Times New Roman"/>
                <w:sz w:val="24"/>
                <w:szCs w:val="24"/>
              </w:rPr>
              <w:t>environmental attributes from PURPA resources</w:t>
            </w:r>
            <w:r>
              <w:rPr>
                <w:rFonts w:ascii="Times New Roman" w:hAnsi="Times New Roman" w:cs="Times New Roman"/>
                <w:sz w:val="24"/>
                <w:szCs w:val="24"/>
              </w:rPr>
              <w:t xml:space="preserve">. </w:t>
            </w:r>
            <w:r w:rsidRPr="008E7F07">
              <w:rPr>
                <w:rFonts w:ascii="Times New Roman" w:hAnsi="Times New Roman" w:cs="Times New Roman"/>
                <w:b/>
                <w:sz w:val="24"/>
                <w:szCs w:val="24"/>
              </w:rPr>
              <w:t>Avista</w:t>
            </w:r>
            <w:r>
              <w:rPr>
                <w:rFonts w:ascii="Times New Roman" w:hAnsi="Times New Roman" w:cs="Times New Roman"/>
                <w:sz w:val="24"/>
                <w:szCs w:val="24"/>
              </w:rPr>
              <w:t xml:space="preserve"> asks t</w:t>
            </w:r>
            <w:r w:rsidRPr="00112144">
              <w:rPr>
                <w:rFonts w:ascii="Times New Roman" w:hAnsi="Times New Roman" w:cs="Times New Roman"/>
                <w:sz w:val="24"/>
                <w:szCs w:val="24"/>
              </w:rPr>
              <w:t xml:space="preserve">he Commission </w:t>
            </w:r>
            <w:r>
              <w:rPr>
                <w:rFonts w:ascii="Times New Roman" w:hAnsi="Times New Roman" w:cs="Times New Roman"/>
                <w:sz w:val="24"/>
                <w:szCs w:val="24"/>
              </w:rPr>
              <w:t>to</w:t>
            </w:r>
            <w:r w:rsidRPr="00112144">
              <w:rPr>
                <w:rFonts w:ascii="Times New Roman" w:hAnsi="Times New Roman" w:cs="Times New Roman"/>
                <w:sz w:val="24"/>
                <w:szCs w:val="24"/>
              </w:rPr>
              <w:t xml:space="preserve"> provide clarity on this issue, both</w:t>
            </w:r>
            <w:r>
              <w:rPr>
                <w:rFonts w:ascii="Times New Roman" w:hAnsi="Times New Roman" w:cs="Times New Roman"/>
                <w:sz w:val="24"/>
                <w:szCs w:val="24"/>
              </w:rPr>
              <w:t xml:space="preserve"> </w:t>
            </w:r>
            <w:r w:rsidRPr="00112144">
              <w:rPr>
                <w:rFonts w:ascii="Times New Roman" w:hAnsi="Times New Roman" w:cs="Times New Roman"/>
                <w:sz w:val="24"/>
                <w:szCs w:val="24"/>
              </w:rPr>
              <w:t>for existing and future contracts by ruling that the environmental attributes from PURPA</w:t>
            </w:r>
            <w:r>
              <w:rPr>
                <w:rFonts w:ascii="Times New Roman" w:hAnsi="Times New Roman" w:cs="Times New Roman"/>
                <w:sz w:val="24"/>
                <w:szCs w:val="24"/>
              </w:rPr>
              <w:t xml:space="preserve"> </w:t>
            </w:r>
            <w:r w:rsidRPr="00112144">
              <w:rPr>
                <w:rFonts w:ascii="Times New Roman" w:hAnsi="Times New Roman" w:cs="Times New Roman"/>
                <w:sz w:val="24"/>
                <w:szCs w:val="24"/>
              </w:rPr>
              <w:t>resources are for the benefit of the customers of the purchasing utility.</w:t>
            </w:r>
          </w:p>
        </w:tc>
      </w:tr>
      <w:tr w:rsidR="00F96B95" w:rsidTr="004464F4">
        <w:trPr>
          <w:trHeight w:val="1160"/>
        </w:trPr>
        <w:tc>
          <w:tcPr>
            <w:tcW w:w="9870" w:type="dxa"/>
            <w:shd w:val="clear" w:color="auto" w:fill="C6D9F1" w:themeFill="text2" w:themeFillTint="33"/>
            <w:vAlign w:val="center"/>
          </w:tcPr>
          <w:p w:rsidR="00F96B95" w:rsidRPr="00B164EB" w:rsidRDefault="00F96B95" w:rsidP="00F96B95">
            <w:pPr>
              <w:pStyle w:val="ListParagraph"/>
              <w:ind w:left="1302" w:hanging="990"/>
              <w:rPr>
                <w:rFonts w:ascii="Times New Roman" w:hAnsi="Times New Roman" w:cs="Times New Roman"/>
                <w:sz w:val="24"/>
                <w:szCs w:val="24"/>
              </w:rPr>
            </w:pPr>
          </w:p>
        </w:tc>
      </w:tr>
    </w:tbl>
    <w:p w:rsidR="003D3F0E" w:rsidRDefault="003D3F0E">
      <w:r>
        <w:br w:type="page"/>
      </w:r>
    </w:p>
    <w:tbl>
      <w:tblPr>
        <w:tblW w:w="98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70"/>
      </w:tblGrid>
      <w:tr w:rsidR="003E367F" w:rsidTr="003E367F">
        <w:trPr>
          <w:trHeight w:val="512"/>
        </w:trPr>
        <w:tc>
          <w:tcPr>
            <w:tcW w:w="9870" w:type="dxa"/>
            <w:shd w:val="clear" w:color="auto" w:fill="C6D9F1" w:themeFill="text2" w:themeFillTint="33"/>
          </w:tcPr>
          <w:p w:rsidR="003E367F" w:rsidRDefault="003E367F" w:rsidP="00C162AD">
            <w:pPr>
              <w:spacing w:after="0"/>
              <w:rPr>
                <w:rFonts w:ascii="Times New Roman" w:hAnsi="Times New Roman" w:cs="Times New Roman"/>
                <w:i/>
                <w:iCs/>
                <w:sz w:val="24"/>
                <w:szCs w:val="24"/>
              </w:rPr>
            </w:pPr>
          </w:p>
        </w:tc>
      </w:tr>
      <w:tr w:rsidR="00550856" w:rsidTr="00550856">
        <w:trPr>
          <w:trHeight w:val="512"/>
        </w:trPr>
        <w:tc>
          <w:tcPr>
            <w:tcW w:w="9870" w:type="dxa"/>
            <w:shd w:val="clear" w:color="auto" w:fill="auto"/>
          </w:tcPr>
          <w:p w:rsidR="00C162AD" w:rsidRDefault="00C162AD" w:rsidP="00C162AD">
            <w:pPr>
              <w:spacing w:after="0"/>
              <w:rPr>
                <w:rFonts w:ascii="Times New Roman" w:hAnsi="Times New Roman" w:cs="Times New Roman"/>
                <w:i/>
                <w:iCs/>
                <w:sz w:val="24"/>
                <w:szCs w:val="24"/>
              </w:rPr>
            </w:pPr>
          </w:p>
          <w:p w:rsidR="00550856" w:rsidRPr="00C162AD" w:rsidRDefault="00550856" w:rsidP="008B1686">
            <w:pPr>
              <w:rPr>
                <w:rFonts w:ascii="Times New Roman" w:hAnsi="Times New Roman" w:cs="Times New Roman"/>
                <w:b/>
                <w:sz w:val="24"/>
                <w:szCs w:val="24"/>
              </w:rPr>
            </w:pPr>
            <w:r w:rsidRPr="00C162AD">
              <w:rPr>
                <w:rFonts w:ascii="Times New Roman" w:hAnsi="Times New Roman" w:cs="Times New Roman"/>
                <w:b/>
                <w:i/>
                <w:iCs/>
                <w:sz w:val="24"/>
                <w:szCs w:val="24"/>
              </w:rPr>
              <w:t>21c) Biomass Renewables</w:t>
            </w:r>
          </w:p>
          <w:p w:rsidR="003D3F0E" w:rsidRDefault="00550856" w:rsidP="008B1686">
            <w:pPr>
              <w:rPr>
                <w:rFonts w:ascii="Times New Roman" w:hAnsi="Times New Roman" w:cs="Times New Roman"/>
                <w:sz w:val="24"/>
                <w:szCs w:val="24"/>
              </w:rPr>
            </w:pPr>
            <w:r>
              <w:rPr>
                <w:rFonts w:ascii="Times New Roman" w:hAnsi="Times New Roman" w:cs="Times New Roman"/>
                <w:b/>
                <w:sz w:val="24"/>
                <w:szCs w:val="24"/>
              </w:rPr>
              <w:t>ICNU</w:t>
            </w:r>
            <w:r>
              <w:rPr>
                <w:rFonts w:ascii="Times New Roman" w:hAnsi="Times New Roman" w:cs="Times New Roman"/>
                <w:sz w:val="24"/>
                <w:szCs w:val="24"/>
              </w:rPr>
              <w:t xml:space="preserve"> notes that t</w:t>
            </w:r>
            <w:r w:rsidRPr="00F343D2">
              <w:rPr>
                <w:rFonts w:ascii="Times New Roman" w:hAnsi="Times New Roman" w:cs="Times New Roman"/>
                <w:sz w:val="24"/>
                <w:szCs w:val="24"/>
              </w:rPr>
              <w:t>he RPS includes restrictive limitations on the types of biomass facilities that</w:t>
            </w:r>
            <w:r>
              <w:rPr>
                <w:rFonts w:ascii="Times New Roman" w:hAnsi="Times New Roman" w:cs="Times New Roman"/>
                <w:sz w:val="24"/>
                <w:szCs w:val="24"/>
              </w:rPr>
              <w:t xml:space="preserve"> </w:t>
            </w:r>
            <w:r w:rsidRPr="00F343D2">
              <w:rPr>
                <w:rFonts w:ascii="Times New Roman" w:hAnsi="Times New Roman" w:cs="Times New Roman"/>
                <w:sz w:val="24"/>
                <w:szCs w:val="24"/>
              </w:rPr>
              <w:t>qualify as renewable resources</w:t>
            </w:r>
            <w:r>
              <w:rPr>
                <w:rFonts w:ascii="Times New Roman" w:hAnsi="Times New Roman" w:cs="Times New Roman"/>
                <w:sz w:val="24"/>
                <w:szCs w:val="24"/>
              </w:rPr>
              <w:t xml:space="preserve"> such as t</w:t>
            </w:r>
            <w:r w:rsidRPr="00F343D2">
              <w:rPr>
                <w:rFonts w:ascii="Times New Roman" w:hAnsi="Times New Roman" w:cs="Times New Roman"/>
                <w:sz w:val="24"/>
                <w:szCs w:val="24"/>
              </w:rPr>
              <w:t xml:space="preserve">he vintage date for biomass facilities </w:t>
            </w:r>
            <w:r>
              <w:rPr>
                <w:rFonts w:ascii="Times New Roman" w:hAnsi="Times New Roman" w:cs="Times New Roman"/>
                <w:sz w:val="24"/>
                <w:szCs w:val="24"/>
              </w:rPr>
              <w:t xml:space="preserve">which it believes </w:t>
            </w:r>
            <w:r w:rsidRPr="00F343D2">
              <w:rPr>
                <w:rFonts w:ascii="Times New Roman" w:hAnsi="Times New Roman" w:cs="Times New Roman"/>
                <w:sz w:val="24"/>
                <w:szCs w:val="24"/>
              </w:rPr>
              <w:t>is unnecessarily</w:t>
            </w:r>
            <w:r>
              <w:rPr>
                <w:rFonts w:ascii="Times New Roman" w:hAnsi="Times New Roman" w:cs="Times New Roman"/>
                <w:sz w:val="24"/>
                <w:szCs w:val="24"/>
              </w:rPr>
              <w:t xml:space="preserve"> </w:t>
            </w:r>
            <w:r w:rsidRPr="00F343D2">
              <w:rPr>
                <w:rFonts w:ascii="Times New Roman" w:hAnsi="Times New Roman" w:cs="Times New Roman"/>
                <w:sz w:val="24"/>
                <w:szCs w:val="24"/>
              </w:rPr>
              <w:t>narrow</w:t>
            </w:r>
            <w:r>
              <w:rPr>
                <w:rFonts w:ascii="Times New Roman" w:hAnsi="Times New Roman" w:cs="Times New Roman"/>
                <w:sz w:val="24"/>
                <w:szCs w:val="24"/>
              </w:rPr>
              <w:t xml:space="preserve">. </w:t>
            </w:r>
            <w:r w:rsidRPr="003D3F0E">
              <w:rPr>
                <w:rFonts w:ascii="Times New Roman" w:hAnsi="Times New Roman" w:cs="Times New Roman"/>
                <w:b/>
                <w:sz w:val="24"/>
                <w:szCs w:val="24"/>
              </w:rPr>
              <w:t>ICNU</w:t>
            </w:r>
            <w:r>
              <w:rPr>
                <w:rFonts w:ascii="Times New Roman" w:hAnsi="Times New Roman" w:cs="Times New Roman"/>
                <w:sz w:val="24"/>
                <w:szCs w:val="24"/>
              </w:rPr>
              <w:t xml:space="preserve"> also supports the expansion of the RPS to include “black liquor” generation facilities.</w:t>
            </w:r>
          </w:p>
          <w:p w:rsidR="003D3F0E" w:rsidRDefault="003D3F0E" w:rsidP="003D3F0E">
            <w:pPr>
              <w:rPr>
                <w:rFonts w:ascii="Times New Roman" w:hAnsi="Times New Roman" w:cs="Times New Roman"/>
                <w:sz w:val="24"/>
                <w:szCs w:val="24"/>
              </w:rPr>
            </w:pPr>
            <w:r w:rsidRPr="003D3F0E">
              <w:rPr>
                <w:rFonts w:ascii="Times New Roman" w:hAnsi="Times New Roman" w:cs="Times New Roman"/>
                <w:sz w:val="24"/>
                <w:szCs w:val="24"/>
              </w:rPr>
              <w:t xml:space="preserve">Dan DeRuyter, </w:t>
            </w:r>
            <w:r>
              <w:rPr>
                <w:rFonts w:ascii="Times New Roman" w:hAnsi="Times New Roman" w:cs="Times New Roman"/>
                <w:sz w:val="24"/>
                <w:szCs w:val="24"/>
              </w:rPr>
              <w:t>of</w:t>
            </w:r>
            <w:r w:rsidRPr="003D3F0E">
              <w:rPr>
                <w:rFonts w:ascii="Times New Roman" w:hAnsi="Times New Roman" w:cs="Times New Roman"/>
                <w:sz w:val="24"/>
                <w:szCs w:val="24"/>
              </w:rPr>
              <w:t xml:space="preserve"> </w:t>
            </w:r>
            <w:r w:rsidRPr="005E04CC">
              <w:rPr>
                <w:rFonts w:ascii="Times New Roman" w:hAnsi="Times New Roman" w:cs="Times New Roman"/>
                <w:b/>
                <w:sz w:val="24"/>
                <w:szCs w:val="24"/>
              </w:rPr>
              <w:t>George DeRuyter and sons Dairy</w:t>
            </w:r>
            <w:r w:rsidR="00550856">
              <w:rPr>
                <w:rFonts w:ascii="Times New Roman" w:hAnsi="Times New Roman" w:cs="Times New Roman"/>
                <w:sz w:val="24"/>
                <w:szCs w:val="24"/>
              </w:rPr>
              <w:t xml:space="preserve"> </w:t>
            </w:r>
            <w:r>
              <w:rPr>
                <w:rFonts w:ascii="Times New Roman" w:hAnsi="Times New Roman" w:cs="Times New Roman"/>
                <w:sz w:val="24"/>
                <w:szCs w:val="24"/>
              </w:rPr>
              <w:t xml:space="preserve">comments that due to current pricing he is </w:t>
            </w:r>
            <w:r w:rsidRPr="003D3F0E">
              <w:rPr>
                <w:rFonts w:ascii="Times New Roman" w:hAnsi="Times New Roman" w:cs="Times New Roman"/>
                <w:sz w:val="24"/>
                <w:szCs w:val="24"/>
              </w:rPr>
              <w:t>getting paid about 6.3 cents per kilowatt hour</w:t>
            </w:r>
            <w:r w:rsidR="006A2B8E">
              <w:rPr>
                <w:rFonts w:ascii="Times New Roman" w:hAnsi="Times New Roman" w:cs="Times New Roman"/>
                <w:sz w:val="24"/>
                <w:szCs w:val="24"/>
              </w:rPr>
              <w:t>, and that</w:t>
            </w:r>
            <w:r>
              <w:rPr>
                <w:rFonts w:ascii="Times New Roman" w:hAnsi="Times New Roman" w:cs="Times New Roman"/>
                <w:sz w:val="24"/>
                <w:szCs w:val="24"/>
              </w:rPr>
              <w:t xml:space="preserve"> is enough to pay the bills </w:t>
            </w:r>
            <w:r w:rsidR="006A2B8E">
              <w:rPr>
                <w:rFonts w:ascii="Times New Roman" w:hAnsi="Times New Roman" w:cs="Times New Roman"/>
                <w:sz w:val="24"/>
                <w:szCs w:val="24"/>
              </w:rPr>
              <w:t>but not</w:t>
            </w:r>
            <w:r>
              <w:rPr>
                <w:rFonts w:ascii="Times New Roman" w:hAnsi="Times New Roman" w:cs="Times New Roman"/>
                <w:sz w:val="24"/>
                <w:szCs w:val="24"/>
              </w:rPr>
              <w:t xml:space="preserve"> for servicing debt.  Other areas offer more per kilowatt</w:t>
            </w:r>
            <w:r w:rsidR="006A2B8E">
              <w:rPr>
                <w:rFonts w:ascii="Times New Roman" w:hAnsi="Times New Roman" w:cs="Times New Roman"/>
                <w:sz w:val="24"/>
                <w:szCs w:val="24"/>
              </w:rPr>
              <w:t xml:space="preserve"> hour</w:t>
            </w:r>
            <w:r>
              <w:rPr>
                <w:rFonts w:ascii="Times New Roman" w:hAnsi="Times New Roman" w:cs="Times New Roman"/>
                <w:sz w:val="24"/>
                <w:szCs w:val="24"/>
              </w:rPr>
              <w:t xml:space="preserve"> but the </w:t>
            </w:r>
            <w:r w:rsidRPr="003D3F0E">
              <w:rPr>
                <w:rFonts w:ascii="Times New Roman" w:hAnsi="Times New Roman" w:cs="Times New Roman"/>
                <w:sz w:val="24"/>
                <w:szCs w:val="24"/>
              </w:rPr>
              <w:t xml:space="preserve">local power company’s </w:t>
            </w:r>
            <w:r>
              <w:rPr>
                <w:rFonts w:ascii="Times New Roman" w:hAnsi="Times New Roman" w:cs="Times New Roman"/>
                <w:sz w:val="24"/>
                <w:szCs w:val="24"/>
              </w:rPr>
              <w:t xml:space="preserve">wheeling charge would </w:t>
            </w:r>
            <w:r w:rsidRPr="003D3F0E">
              <w:rPr>
                <w:rFonts w:ascii="Times New Roman" w:hAnsi="Times New Roman" w:cs="Times New Roman"/>
                <w:sz w:val="24"/>
                <w:szCs w:val="24"/>
              </w:rPr>
              <w:t>negate the profit</w:t>
            </w:r>
            <w:r>
              <w:rPr>
                <w:rFonts w:ascii="Times New Roman" w:hAnsi="Times New Roman" w:cs="Times New Roman"/>
                <w:sz w:val="24"/>
                <w:szCs w:val="24"/>
              </w:rPr>
              <w:t xml:space="preserve"> and the economics for selling onto the grid. He see</w:t>
            </w:r>
            <w:r w:rsidR="006A2B8E">
              <w:rPr>
                <w:rFonts w:ascii="Times New Roman" w:hAnsi="Times New Roman" w:cs="Times New Roman"/>
                <w:sz w:val="24"/>
                <w:szCs w:val="24"/>
              </w:rPr>
              <w:t>s</w:t>
            </w:r>
            <w:r>
              <w:rPr>
                <w:rFonts w:ascii="Times New Roman" w:hAnsi="Times New Roman" w:cs="Times New Roman"/>
                <w:sz w:val="24"/>
                <w:szCs w:val="24"/>
              </w:rPr>
              <w:t xml:space="preserve"> no future under current pricing for the bio mass industry in Washington to survive. </w:t>
            </w:r>
          </w:p>
          <w:p w:rsidR="003D3F0E" w:rsidRPr="00F343D2" w:rsidRDefault="003D3F0E" w:rsidP="003D3F0E">
            <w:pPr>
              <w:rPr>
                <w:rFonts w:ascii="Times New Roman" w:hAnsi="Times New Roman" w:cs="Times New Roman"/>
                <w:sz w:val="24"/>
                <w:szCs w:val="24"/>
              </w:rPr>
            </w:pPr>
          </w:p>
        </w:tc>
      </w:tr>
      <w:tr w:rsidR="00417D4E" w:rsidTr="004464F4">
        <w:trPr>
          <w:trHeight w:val="1160"/>
        </w:trPr>
        <w:tc>
          <w:tcPr>
            <w:tcW w:w="9870" w:type="dxa"/>
            <w:shd w:val="clear" w:color="auto" w:fill="C6D9F1" w:themeFill="text2" w:themeFillTint="33"/>
            <w:vAlign w:val="center"/>
          </w:tcPr>
          <w:p w:rsidR="00417D4E" w:rsidRPr="00B164EB" w:rsidRDefault="00417D4E" w:rsidP="002E3D6D">
            <w:pPr>
              <w:pStyle w:val="ListParagraph"/>
              <w:ind w:left="1302" w:hanging="990"/>
              <w:rPr>
                <w:rFonts w:ascii="Times New Roman" w:hAnsi="Times New Roman" w:cs="Times New Roman"/>
                <w:sz w:val="24"/>
                <w:szCs w:val="24"/>
              </w:rPr>
            </w:pPr>
          </w:p>
        </w:tc>
      </w:tr>
      <w:tr w:rsidR="00550856" w:rsidTr="00550856">
        <w:trPr>
          <w:trHeight w:val="512"/>
        </w:trPr>
        <w:tc>
          <w:tcPr>
            <w:tcW w:w="9870" w:type="dxa"/>
            <w:shd w:val="clear" w:color="auto" w:fill="auto"/>
          </w:tcPr>
          <w:p w:rsidR="00C162AD" w:rsidRDefault="00C162AD" w:rsidP="00C162AD">
            <w:pPr>
              <w:spacing w:after="0"/>
              <w:rPr>
                <w:rFonts w:ascii="Times New Roman" w:hAnsi="Times New Roman" w:cs="Times New Roman"/>
                <w:i/>
                <w:iCs/>
                <w:sz w:val="24"/>
                <w:szCs w:val="24"/>
              </w:rPr>
            </w:pPr>
          </w:p>
          <w:p w:rsidR="00550856" w:rsidRPr="00C162AD" w:rsidRDefault="00550856" w:rsidP="00B30F8D">
            <w:pPr>
              <w:rPr>
                <w:rFonts w:ascii="Times New Roman" w:hAnsi="Times New Roman" w:cs="Times New Roman"/>
                <w:b/>
                <w:sz w:val="24"/>
                <w:szCs w:val="24"/>
              </w:rPr>
            </w:pPr>
            <w:r w:rsidRPr="00C162AD">
              <w:rPr>
                <w:rFonts w:ascii="Times New Roman" w:hAnsi="Times New Roman" w:cs="Times New Roman"/>
                <w:b/>
                <w:i/>
                <w:iCs/>
                <w:sz w:val="24"/>
                <w:szCs w:val="24"/>
              </w:rPr>
              <w:t>21d) RFP process for renewable generation from IPP</w:t>
            </w:r>
          </w:p>
          <w:p w:rsidR="00EC4412" w:rsidRDefault="00550856" w:rsidP="00B30F8D">
            <w:pPr>
              <w:rPr>
                <w:rFonts w:ascii="Times New Roman" w:hAnsi="Times New Roman" w:cs="Times New Roman"/>
                <w:sz w:val="24"/>
                <w:szCs w:val="24"/>
              </w:rPr>
            </w:pPr>
            <w:r w:rsidRPr="00B30F8D">
              <w:rPr>
                <w:rFonts w:ascii="Times New Roman" w:hAnsi="Times New Roman" w:cs="Times New Roman"/>
                <w:sz w:val="24"/>
                <w:szCs w:val="24"/>
              </w:rPr>
              <w:t xml:space="preserve">The </w:t>
            </w:r>
            <w:r w:rsidRPr="00B30F8D">
              <w:rPr>
                <w:rFonts w:ascii="Times New Roman" w:hAnsi="Times New Roman" w:cs="Times New Roman"/>
                <w:b/>
                <w:sz w:val="24"/>
                <w:szCs w:val="24"/>
              </w:rPr>
              <w:t>NIPPC</w:t>
            </w:r>
            <w:r w:rsidRPr="00B30F8D">
              <w:rPr>
                <w:rFonts w:ascii="Times New Roman" w:hAnsi="Times New Roman" w:cs="Times New Roman"/>
                <w:sz w:val="24"/>
                <w:szCs w:val="24"/>
              </w:rPr>
              <w:t xml:space="preserve"> would like to utilize this </w:t>
            </w:r>
            <w:r w:rsidR="00EC4412">
              <w:rPr>
                <w:rFonts w:ascii="Times New Roman" w:hAnsi="Times New Roman" w:cs="Times New Roman"/>
                <w:sz w:val="24"/>
                <w:szCs w:val="24"/>
              </w:rPr>
              <w:t>inquiry</w:t>
            </w:r>
            <w:r w:rsidRPr="00B30F8D">
              <w:rPr>
                <w:rFonts w:ascii="Times New Roman" w:hAnsi="Times New Roman" w:cs="Times New Roman"/>
                <w:sz w:val="24"/>
                <w:szCs w:val="24"/>
              </w:rPr>
              <w:t xml:space="preserve"> to promote a </w:t>
            </w:r>
            <w:r w:rsidR="00F3521F">
              <w:rPr>
                <w:rFonts w:ascii="Times New Roman" w:hAnsi="Times New Roman" w:cs="Times New Roman"/>
                <w:sz w:val="24"/>
                <w:szCs w:val="24"/>
              </w:rPr>
              <w:t xml:space="preserve">better </w:t>
            </w:r>
            <w:r w:rsidRPr="00B30F8D">
              <w:rPr>
                <w:rFonts w:ascii="Times New Roman" w:hAnsi="Times New Roman" w:cs="Times New Roman"/>
                <w:sz w:val="24"/>
                <w:szCs w:val="24"/>
              </w:rPr>
              <w:t xml:space="preserve">climate </w:t>
            </w:r>
            <w:r w:rsidR="00F3521F">
              <w:rPr>
                <w:rFonts w:ascii="Times New Roman" w:hAnsi="Times New Roman" w:cs="Times New Roman"/>
                <w:sz w:val="24"/>
                <w:szCs w:val="24"/>
              </w:rPr>
              <w:t>for</w:t>
            </w:r>
            <w:r w:rsidRPr="00B30F8D">
              <w:rPr>
                <w:rFonts w:ascii="Times New Roman" w:hAnsi="Times New Roman" w:cs="Times New Roman"/>
                <w:sz w:val="24"/>
                <w:szCs w:val="24"/>
              </w:rPr>
              <w:t xml:space="preserve"> IPP’s participat</w:t>
            </w:r>
            <w:r w:rsidR="00EC4412">
              <w:rPr>
                <w:rFonts w:ascii="Times New Roman" w:hAnsi="Times New Roman" w:cs="Times New Roman"/>
                <w:sz w:val="24"/>
                <w:szCs w:val="24"/>
              </w:rPr>
              <w:t xml:space="preserve">ion </w:t>
            </w:r>
            <w:r w:rsidRPr="00B30F8D">
              <w:rPr>
                <w:rFonts w:ascii="Times New Roman" w:hAnsi="Times New Roman" w:cs="Times New Roman"/>
                <w:sz w:val="24"/>
                <w:szCs w:val="24"/>
              </w:rPr>
              <w:t>in the bidding to supply generation to meet their renew</w:t>
            </w:r>
            <w:r w:rsidR="00F3521F">
              <w:rPr>
                <w:rFonts w:ascii="Times New Roman" w:hAnsi="Times New Roman" w:cs="Times New Roman"/>
                <w:sz w:val="24"/>
                <w:szCs w:val="24"/>
              </w:rPr>
              <w:t>able targets.  Specifically,</w:t>
            </w:r>
            <w:r w:rsidRPr="00B30F8D">
              <w:rPr>
                <w:rFonts w:ascii="Times New Roman" w:hAnsi="Times New Roman" w:cs="Times New Roman"/>
                <w:sz w:val="24"/>
                <w:szCs w:val="24"/>
              </w:rPr>
              <w:t xml:space="preserve"> </w:t>
            </w:r>
            <w:r w:rsidRPr="00B30F8D">
              <w:rPr>
                <w:rFonts w:ascii="Times New Roman" w:hAnsi="Times New Roman" w:cs="Times New Roman"/>
                <w:b/>
                <w:sz w:val="24"/>
                <w:szCs w:val="24"/>
              </w:rPr>
              <w:t>NIPPC</w:t>
            </w:r>
            <w:r w:rsidRPr="00B30F8D">
              <w:rPr>
                <w:rFonts w:ascii="Times New Roman" w:hAnsi="Times New Roman" w:cs="Times New Roman"/>
                <w:sz w:val="24"/>
                <w:szCs w:val="24"/>
              </w:rPr>
              <w:t xml:space="preserve"> </w:t>
            </w:r>
            <w:r w:rsidR="00EC4412">
              <w:rPr>
                <w:rFonts w:ascii="Times New Roman" w:hAnsi="Times New Roman" w:cs="Times New Roman"/>
                <w:sz w:val="24"/>
                <w:szCs w:val="24"/>
              </w:rPr>
              <w:t xml:space="preserve">states that it </w:t>
            </w:r>
            <w:r w:rsidRPr="00B30F8D">
              <w:rPr>
                <w:rFonts w:ascii="Times New Roman" w:hAnsi="Times New Roman" w:cs="Times New Roman"/>
                <w:sz w:val="24"/>
                <w:szCs w:val="24"/>
              </w:rPr>
              <w:t>would like to see an effort to make a more transparent and unbiased RFP process by utilities</w:t>
            </w:r>
            <w:r w:rsidR="00F3521F">
              <w:rPr>
                <w:rFonts w:ascii="Times New Roman" w:hAnsi="Times New Roman" w:cs="Times New Roman"/>
                <w:sz w:val="24"/>
                <w:szCs w:val="24"/>
              </w:rPr>
              <w:t>.</w:t>
            </w:r>
            <w:r w:rsidRPr="00B30F8D">
              <w:rPr>
                <w:rFonts w:ascii="Times New Roman" w:hAnsi="Times New Roman" w:cs="Times New Roman"/>
                <w:sz w:val="24"/>
                <w:szCs w:val="24"/>
              </w:rPr>
              <w:t xml:space="preserve"> </w:t>
            </w:r>
          </w:p>
          <w:p w:rsidR="00550856" w:rsidRDefault="00550856" w:rsidP="00F3521F">
            <w:pPr>
              <w:rPr>
                <w:rFonts w:ascii="Times New Roman" w:hAnsi="Times New Roman" w:cs="Times New Roman"/>
                <w:b/>
                <w:sz w:val="24"/>
                <w:szCs w:val="24"/>
              </w:rPr>
            </w:pPr>
            <w:r w:rsidRPr="00B30F8D">
              <w:rPr>
                <w:rFonts w:ascii="Times New Roman" w:hAnsi="Times New Roman" w:cs="Times New Roman"/>
                <w:sz w:val="24"/>
                <w:szCs w:val="24"/>
              </w:rPr>
              <w:t xml:space="preserve">Specific issues that the </w:t>
            </w:r>
            <w:r w:rsidRPr="00B30F8D">
              <w:rPr>
                <w:rFonts w:ascii="Times New Roman" w:hAnsi="Times New Roman" w:cs="Times New Roman"/>
                <w:b/>
                <w:sz w:val="24"/>
                <w:szCs w:val="24"/>
              </w:rPr>
              <w:t>NIPPC</w:t>
            </w:r>
            <w:r w:rsidRPr="00B30F8D">
              <w:rPr>
                <w:rFonts w:ascii="Times New Roman" w:hAnsi="Times New Roman" w:cs="Times New Roman"/>
                <w:sz w:val="24"/>
                <w:szCs w:val="24"/>
              </w:rPr>
              <w:t xml:space="preserve"> would like to see addressed include:</w:t>
            </w:r>
            <w:r w:rsidR="00163E96">
              <w:rPr>
                <w:rFonts w:ascii="Times New Roman" w:hAnsi="Times New Roman" w:cs="Times New Roman"/>
                <w:sz w:val="24"/>
                <w:szCs w:val="24"/>
              </w:rPr>
              <w:t xml:space="preserve"> (1) </w:t>
            </w:r>
            <w:r w:rsidRPr="00B30F8D">
              <w:rPr>
                <w:rFonts w:ascii="Times New Roman" w:hAnsi="Times New Roman" w:cs="Times New Roman"/>
                <w:sz w:val="24"/>
                <w:szCs w:val="24"/>
              </w:rPr>
              <w:t xml:space="preserve">When a non-utility generator(s) is chosen through a competitive procurement process, the utility’s rate recovery for the negotiated PPA should </w:t>
            </w:r>
            <w:r w:rsidR="00EC4412">
              <w:rPr>
                <w:rFonts w:ascii="Times New Roman" w:hAnsi="Times New Roman" w:cs="Times New Roman"/>
                <w:sz w:val="24"/>
                <w:szCs w:val="24"/>
              </w:rPr>
              <w:t>be treated as “per se prudent.”</w:t>
            </w:r>
            <w:r w:rsidR="00163E96">
              <w:rPr>
                <w:rFonts w:ascii="Times New Roman" w:hAnsi="Times New Roman" w:cs="Times New Roman"/>
                <w:sz w:val="24"/>
                <w:szCs w:val="24"/>
              </w:rPr>
              <w:t xml:space="preserve"> (2) </w:t>
            </w:r>
            <w:r w:rsidRPr="00B30F8D">
              <w:rPr>
                <w:rFonts w:ascii="Times New Roman" w:hAnsi="Times New Roman" w:cs="Times New Roman"/>
                <w:sz w:val="24"/>
                <w:szCs w:val="24"/>
              </w:rPr>
              <w:t>The Commission should remove the imputed debt issue as a “deal killer” in the competitive procurement process and require the utility to obtain an advisory opinion from a ratings agency to substantiate the utilities analysis of any bids.</w:t>
            </w:r>
            <w:r w:rsidR="00163E96">
              <w:rPr>
                <w:rFonts w:ascii="Times New Roman" w:hAnsi="Times New Roman" w:cs="Times New Roman"/>
                <w:sz w:val="24"/>
                <w:szCs w:val="24"/>
              </w:rPr>
              <w:t xml:space="preserve"> (3) </w:t>
            </w:r>
            <w:r w:rsidR="006A2B8E">
              <w:rPr>
                <w:rFonts w:ascii="Times New Roman" w:hAnsi="Times New Roman" w:cs="Times New Roman"/>
                <w:sz w:val="24"/>
                <w:szCs w:val="24"/>
              </w:rPr>
              <w:t>T</w:t>
            </w:r>
            <w:r w:rsidR="00F3521F">
              <w:rPr>
                <w:rFonts w:ascii="Times New Roman" w:hAnsi="Times New Roman" w:cs="Times New Roman"/>
                <w:sz w:val="24"/>
                <w:szCs w:val="24"/>
              </w:rPr>
              <w:t>he development of a</w:t>
            </w:r>
            <w:r w:rsidR="00EC4412">
              <w:rPr>
                <w:rFonts w:ascii="Times New Roman" w:hAnsi="Times New Roman" w:cs="Times New Roman"/>
                <w:sz w:val="24"/>
                <w:szCs w:val="24"/>
              </w:rPr>
              <w:t xml:space="preserve"> </w:t>
            </w:r>
            <w:r w:rsidRPr="00B30F8D">
              <w:rPr>
                <w:rFonts w:ascii="Times New Roman" w:hAnsi="Times New Roman" w:cs="Times New Roman"/>
                <w:sz w:val="24"/>
                <w:szCs w:val="24"/>
              </w:rPr>
              <w:t>set of metrics defin</w:t>
            </w:r>
            <w:r w:rsidR="00EC4412">
              <w:rPr>
                <w:rFonts w:ascii="Times New Roman" w:hAnsi="Times New Roman" w:cs="Times New Roman"/>
                <w:sz w:val="24"/>
                <w:szCs w:val="24"/>
              </w:rPr>
              <w:t>ing</w:t>
            </w:r>
            <w:r w:rsidRPr="00B30F8D">
              <w:rPr>
                <w:rFonts w:ascii="Times New Roman" w:hAnsi="Times New Roman" w:cs="Times New Roman"/>
                <w:sz w:val="24"/>
                <w:szCs w:val="24"/>
              </w:rPr>
              <w:t xml:space="preserve"> “successful” PPA’s</w:t>
            </w:r>
            <w:r w:rsidR="006A2B8E">
              <w:rPr>
                <w:rFonts w:ascii="Times New Roman" w:hAnsi="Times New Roman" w:cs="Times New Roman"/>
                <w:sz w:val="24"/>
                <w:szCs w:val="24"/>
              </w:rPr>
              <w:t xml:space="preserve"> (i.e.,</w:t>
            </w:r>
            <w:r w:rsidRPr="00B30F8D">
              <w:rPr>
                <w:rFonts w:ascii="Times New Roman" w:hAnsi="Times New Roman" w:cs="Times New Roman"/>
                <w:sz w:val="24"/>
                <w:szCs w:val="24"/>
              </w:rPr>
              <w:t xml:space="preserve"> </w:t>
            </w:r>
            <w:r w:rsidR="006A2B8E">
              <w:rPr>
                <w:rFonts w:ascii="Times New Roman" w:hAnsi="Times New Roman" w:cs="Times New Roman"/>
                <w:sz w:val="24"/>
                <w:szCs w:val="24"/>
              </w:rPr>
              <w:t>c</w:t>
            </w:r>
            <w:r w:rsidRPr="00B30F8D">
              <w:rPr>
                <w:rFonts w:ascii="Times New Roman" w:hAnsi="Times New Roman" w:cs="Times New Roman"/>
                <w:sz w:val="24"/>
                <w:szCs w:val="24"/>
              </w:rPr>
              <w:t>ontracts with “successful” PPA’s  may earn at a higher rate</w:t>
            </w:r>
            <w:r w:rsidR="00EC4412">
              <w:rPr>
                <w:rFonts w:ascii="Times New Roman" w:hAnsi="Times New Roman" w:cs="Times New Roman"/>
                <w:sz w:val="24"/>
                <w:szCs w:val="24"/>
              </w:rPr>
              <w:t xml:space="preserve"> of return</w:t>
            </w:r>
            <w:r w:rsidRPr="00B30F8D">
              <w:rPr>
                <w:rFonts w:ascii="Times New Roman" w:hAnsi="Times New Roman" w:cs="Times New Roman"/>
                <w:sz w:val="24"/>
                <w:szCs w:val="24"/>
              </w:rPr>
              <w:t xml:space="preserve"> within </w:t>
            </w:r>
            <w:r w:rsidR="00F3521F">
              <w:rPr>
                <w:rFonts w:ascii="Times New Roman" w:hAnsi="Times New Roman" w:cs="Times New Roman"/>
                <w:sz w:val="24"/>
                <w:szCs w:val="24"/>
              </w:rPr>
              <w:t xml:space="preserve">a utilities </w:t>
            </w:r>
            <w:r w:rsidRPr="00B30F8D">
              <w:rPr>
                <w:rFonts w:ascii="Times New Roman" w:hAnsi="Times New Roman" w:cs="Times New Roman"/>
                <w:sz w:val="24"/>
                <w:szCs w:val="24"/>
              </w:rPr>
              <w:t>authorized rate of return band</w:t>
            </w:r>
            <w:r w:rsidR="006A2B8E">
              <w:rPr>
                <w:rFonts w:ascii="Times New Roman" w:hAnsi="Times New Roman" w:cs="Times New Roman"/>
                <w:sz w:val="24"/>
                <w:szCs w:val="24"/>
              </w:rPr>
              <w:t>)</w:t>
            </w:r>
            <w:r w:rsidR="00163E96">
              <w:rPr>
                <w:rFonts w:ascii="Times New Roman" w:hAnsi="Times New Roman" w:cs="Times New Roman"/>
                <w:sz w:val="24"/>
                <w:szCs w:val="24"/>
              </w:rPr>
              <w:t xml:space="preserve"> and (4) </w:t>
            </w:r>
            <w:r w:rsidR="00F3521F">
              <w:rPr>
                <w:rFonts w:ascii="Times New Roman" w:hAnsi="Times New Roman" w:cs="Times New Roman"/>
                <w:sz w:val="24"/>
                <w:szCs w:val="24"/>
              </w:rPr>
              <w:t>a</w:t>
            </w:r>
            <w:r w:rsidRPr="00B30F8D">
              <w:rPr>
                <w:rFonts w:ascii="Times New Roman" w:hAnsi="Times New Roman" w:cs="Times New Roman"/>
                <w:sz w:val="24"/>
                <w:szCs w:val="24"/>
              </w:rPr>
              <w:t xml:space="preserve"> disincentive should be established for utilities to pursue</w:t>
            </w:r>
            <w:r w:rsidRPr="00B30F8D">
              <w:rPr>
                <w:rFonts w:ascii="Times New Roman" w:hAnsi="Times New Roman" w:cs="Times New Roman"/>
                <w:b/>
                <w:sz w:val="24"/>
                <w:szCs w:val="24"/>
              </w:rPr>
              <w:t xml:space="preserve"> </w:t>
            </w:r>
            <w:r w:rsidRPr="00B30F8D">
              <w:rPr>
                <w:rFonts w:ascii="Times New Roman" w:hAnsi="Times New Roman" w:cs="Times New Roman"/>
                <w:sz w:val="24"/>
                <w:szCs w:val="24"/>
              </w:rPr>
              <w:t>greenfield self-builds outside the competitive procurement process involving IPPs.</w:t>
            </w:r>
          </w:p>
        </w:tc>
      </w:tr>
      <w:tr w:rsidR="00F3521F" w:rsidTr="007879A8">
        <w:trPr>
          <w:trHeight w:val="512"/>
        </w:trPr>
        <w:tc>
          <w:tcPr>
            <w:tcW w:w="9870" w:type="dxa"/>
            <w:shd w:val="clear" w:color="auto" w:fill="C6D9F1" w:themeFill="text2" w:themeFillTint="33"/>
            <w:vAlign w:val="center"/>
          </w:tcPr>
          <w:p w:rsidR="00F3521F" w:rsidRPr="00B164EB" w:rsidRDefault="00F3521F" w:rsidP="00385F19">
            <w:pPr>
              <w:pStyle w:val="ListParagraph"/>
              <w:ind w:left="1302" w:hanging="990"/>
              <w:rPr>
                <w:rFonts w:ascii="Times New Roman" w:hAnsi="Times New Roman" w:cs="Times New Roman"/>
                <w:sz w:val="24"/>
                <w:szCs w:val="24"/>
              </w:rPr>
            </w:pPr>
          </w:p>
        </w:tc>
      </w:tr>
      <w:tr w:rsidR="00F3521F" w:rsidTr="004464F4">
        <w:trPr>
          <w:trHeight w:val="1160"/>
        </w:trPr>
        <w:tc>
          <w:tcPr>
            <w:tcW w:w="9870" w:type="dxa"/>
            <w:shd w:val="clear" w:color="auto" w:fill="C6D9F1" w:themeFill="text2" w:themeFillTint="33"/>
            <w:vAlign w:val="center"/>
          </w:tcPr>
          <w:p w:rsidR="00F3521F" w:rsidRPr="002F1A06" w:rsidRDefault="00F3521F" w:rsidP="004464F4">
            <w:pPr>
              <w:pStyle w:val="ListParagraph"/>
              <w:ind w:left="1302" w:hanging="990"/>
              <w:rPr>
                <w:rFonts w:ascii="Times New Roman" w:hAnsi="Times New Roman" w:cs="Times New Roman"/>
                <w:b/>
                <w:sz w:val="24"/>
                <w:szCs w:val="24"/>
              </w:rPr>
            </w:pPr>
            <w:r>
              <w:rPr>
                <w:rFonts w:ascii="Times New Roman" w:hAnsi="Times New Roman" w:cs="Times New Roman"/>
                <w:b/>
                <w:sz w:val="24"/>
                <w:szCs w:val="24"/>
              </w:rPr>
              <w:lastRenderedPageBreak/>
              <w:t>NOTES:</w:t>
            </w:r>
          </w:p>
        </w:tc>
      </w:tr>
      <w:tr w:rsidR="003B3672" w:rsidTr="003B3672">
        <w:trPr>
          <w:trHeight w:val="10322"/>
        </w:trPr>
        <w:tc>
          <w:tcPr>
            <w:tcW w:w="9870" w:type="dxa"/>
            <w:shd w:val="clear" w:color="auto" w:fill="auto"/>
            <w:vAlign w:val="center"/>
          </w:tcPr>
          <w:p w:rsidR="003B3672" w:rsidRDefault="003B3672" w:rsidP="004464F4">
            <w:pPr>
              <w:pStyle w:val="ListParagraph"/>
              <w:ind w:left="1302" w:hanging="990"/>
              <w:rPr>
                <w:rFonts w:ascii="Times New Roman" w:hAnsi="Times New Roman" w:cs="Times New Roman"/>
                <w:b/>
                <w:sz w:val="24"/>
                <w:szCs w:val="24"/>
              </w:rPr>
            </w:pPr>
          </w:p>
        </w:tc>
      </w:tr>
    </w:tbl>
    <w:p w:rsidR="002C039A" w:rsidRPr="00AD3312" w:rsidRDefault="002C039A" w:rsidP="00F3521F">
      <w:pPr>
        <w:rPr>
          <w:rFonts w:ascii="Times New Roman" w:hAnsi="Times New Roman" w:cs="Times New Roman"/>
          <w:sz w:val="24"/>
          <w:szCs w:val="24"/>
        </w:rPr>
      </w:pPr>
    </w:p>
    <w:sectPr w:rsidR="002C039A" w:rsidRPr="00AD3312" w:rsidSect="00550856">
      <w:headerReference w:type="first" r:id="rId12"/>
      <w:footerReference w:type="first" r:id="rId13"/>
      <w:pgSz w:w="12240" w:h="15840"/>
      <w:pgMar w:top="1440" w:right="1440" w:bottom="1440" w:left="1440"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AB7" w:rsidRDefault="00DF0AB7" w:rsidP="004A59E3">
      <w:pPr>
        <w:spacing w:after="0" w:line="240" w:lineRule="auto"/>
      </w:pPr>
      <w:r>
        <w:separator/>
      </w:r>
    </w:p>
  </w:endnote>
  <w:endnote w:type="continuationSeparator" w:id="0">
    <w:p w:rsidR="00DF0AB7" w:rsidRDefault="00DF0AB7" w:rsidP="004A5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78028"/>
      <w:docPartObj>
        <w:docPartGallery w:val="Page Numbers (Bottom of Page)"/>
        <w:docPartUnique/>
      </w:docPartObj>
    </w:sdtPr>
    <w:sdtContent>
      <w:sdt>
        <w:sdtPr>
          <w:id w:val="107678027"/>
          <w:docPartObj>
            <w:docPartGallery w:val="Page Numbers (Top of Page)"/>
            <w:docPartUnique/>
          </w:docPartObj>
        </w:sdtPr>
        <w:sdtContent>
          <w:p w:rsidR="007879A8" w:rsidRDefault="007879A8">
            <w:pPr>
              <w:pStyle w:val="Footer"/>
              <w:jc w:val="right"/>
            </w:pPr>
            <w:r>
              <w:t xml:space="preserve">Page </w:t>
            </w:r>
            <w:r w:rsidR="00925444">
              <w:rPr>
                <w:b/>
                <w:sz w:val="24"/>
                <w:szCs w:val="24"/>
              </w:rPr>
              <w:fldChar w:fldCharType="begin"/>
            </w:r>
            <w:r>
              <w:rPr>
                <w:b/>
              </w:rPr>
              <w:instrText xml:space="preserve"> PAGE </w:instrText>
            </w:r>
            <w:r w:rsidR="00925444">
              <w:rPr>
                <w:b/>
                <w:sz w:val="24"/>
                <w:szCs w:val="24"/>
              </w:rPr>
              <w:fldChar w:fldCharType="separate"/>
            </w:r>
            <w:r w:rsidR="0039153F">
              <w:rPr>
                <w:b/>
                <w:noProof/>
              </w:rPr>
              <w:t>30</w:t>
            </w:r>
            <w:r w:rsidR="00925444">
              <w:rPr>
                <w:b/>
                <w:sz w:val="24"/>
                <w:szCs w:val="24"/>
              </w:rPr>
              <w:fldChar w:fldCharType="end"/>
            </w:r>
            <w:r>
              <w:t xml:space="preserve"> of </w:t>
            </w:r>
            <w:r w:rsidR="00925444">
              <w:rPr>
                <w:b/>
                <w:sz w:val="24"/>
                <w:szCs w:val="24"/>
              </w:rPr>
              <w:fldChar w:fldCharType="begin"/>
            </w:r>
            <w:r>
              <w:rPr>
                <w:b/>
              </w:rPr>
              <w:instrText xml:space="preserve"> NUMPAGES  </w:instrText>
            </w:r>
            <w:r w:rsidR="00925444">
              <w:rPr>
                <w:b/>
                <w:sz w:val="24"/>
                <w:szCs w:val="24"/>
              </w:rPr>
              <w:fldChar w:fldCharType="separate"/>
            </w:r>
            <w:r w:rsidR="0039153F">
              <w:rPr>
                <w:b/>
                <w:noProof/>
              </w:rPr>
              <w:t>30</w:t>
            </w:r>
            <w:r w:rsidR="00925444">
              <w:rPr>
                <w:b/>
                <w:sz w:val="24"/>
                <w:szCs w:val="24"/>
              </w:rPr>
              <w:fldChar w:fldCharType="end"/>
            </w:r>
          </w:p>
        </w:sdtContent>
      </w:sdt>
    </w:sdtContent>
  </w:sdt>
  <w:p w:rsidR="007879A8" w:rsidRDefault="007879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78026"/>
      <w:docPartObj>
        <w:docPartGallery w:val="Page Numbers (Bottom of Page)"/>
        <w:docPartUnique/>
      </w:docPartObj>
    </w:sdtPr>
    <w:sdtContent>
      <w:sdt>
        <w:sdtPr>
          <w:id w:val="565050523"/>
          <w:docPartObj>
            <w:docPartGallery w:val="Page Numbers (Top of Page)"/>
            <w:docPartUnique/>
          </w:docPartObj>
        </w:sdtPr>
        <w:sdtContent>
          <w:p w:rsidR="007879A8" w:rsidRDefault="007879A8">
            <w:pPr>
              <w:pStyle w:val="Footer"/>
              <w:jc w:val="right"/>
              <w:rPr>
                <w:b/>
                <w:sz w:val="24"/>
                <w:szCs w:val="24"/>
              </w:rPr>
            </w:pPr>
          </w:p>
          <w:p w:rsidR="007879A8" w:rsidRDefault="00925444" w:rsidP="00001E3C">
            <w:pPr>
              <w:pStyle w:val="Footer"/>
              <w:jc w:val="center"/>
            </w:pPr>
          </w:p>
        </w:sdtContent>
      </w:sdt>
    </w:sdtContent>
  </w:sdt>
  <w:p w:rsidR="007879A8" w:rsidRDefault="007879A8">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545824"/>
      <w:docPartObj>
        <w:docPartGallery w:val="Page Numbers (Bottom of Page)"/>
        <w:docPartUnique/>
      </w:docPartObj>
    </w:sdtPr>
    <w:sdtContent>
      <w:sdt>
        <w:sdtPr>
          <w:id w:val="160545825"/>
          <w:docPartObj>
            <w:docPartGallery w:val="Page Numbers (Top of Page)"/>
            <w:docPartUnique/>
          </w:docPartObj>
        </w:sdtPr>
        <w:sdtContent>
          <w:p w:rsidR="007879A8" w:rsidRDefault="007879A8">
            <w:pPr>
              <w:pStyle w:val="Footer"/>
              <w:jc w:val="right"/>
              <w:rPr>
                <w:b/>
                <w:sz w:val="24"/>
                <w:szCs w:val="24"/>
              </w:rPr>
            </w:pPr>
            <w:r>
              <w:t xml:space="preserve">Page </w:t>
            </w:r>
            <w:r w:rsidR="00925444">
              <w:rPr>
                <w:b/>
                <w:sz w:val="24"/>
                <w:szCs w:val="24"/>
              </w:rPr>
              <w:fldChar w:fldCharType="begin"/>
            </w:r>
            <w:r>
              <w:rPr>
                <w:b/>
              </w:rPr>
              <w:instrText xml:space="preserve"> PAGE </w:instrText>
            </w:r>
            <w:r w:rsidR="00925444">
              <w:rPr>
                <w:b/>
                <w:sz w:val="24"/>
                <w:szCs w:val="24"/>
              </w:rPr>
              <w:fldChar w:fldCharType="separate"/>
            </w:r>
            <w:r w:rsidR="0039153F">
              <w:rPr>
                <w:b/>
                <w:noProof/>
              </w:rPr>
              <w:t>2</w:t>
            </w:r>
            <w:r w:rsidR="00925444">
              <w:rPr>
                <w:b/>
                <w:sz w:val="24"/>
                <w:szCs w:val="24"/>
              </w:rPr>
              <w:fldChar w:fldCharType="end"/>
            </w:r>
            <w:r>
              <w:t xml:space="preserve"> of </w:t>
            </w:r>
            <w:r w:rsidR="00925444">
              <w:rPr>
                <w:b/>
                <w:sz w:val="24"/>
                <w:szCs w:val="24"/>
              </w:rPr>
              <w:fldChar w:fldCharType="begin"/>
            </w:r>
            <w:r>
              <w:rPr>
                <w:b/>
              </w:rPr>
              <w:instrText xml:space="preserve"> NUMPAGES  </w:instrText>
            </w:r>
            <w:r w:rsidR="00925444">
              <w:rPr>
                <w:b/>
                <w:sz w:val="24"/>
                <w:szCs w:val="24"/>
              </w:rPr>
              <w:fldChar w:fldCharType="separate"/>
            </w:r>
            <w:r w:rsidR="0039153F">
              <w:rPr>
                <w:b/>
                <w:noProof/>
              </w:rPr>
              <w:t>30</w:t>
            </w:r>
            <w:r w:rsidR="00925444">
              <w:rPr>
                <w:b/>
                <w:sz w:val="24"/>
                <w:szCs w:val="24"/>
              </w:rPr>
              <w:fldChar w:fldCharType="end"/>
            </w:r>
          </w:p>
          <w:p w:rsidR="007879A8" w:rsidRDefault="007879A8" w:rsidP="00001E3C">
            <w:pPr>
              <w:pStyle w:val="Footer"/>
              <w:jc w:val="center"/>
            </w:pPr>
            <w:r>
              <w:t xml:space="preserve">Second Work Session </w:t>
            </w:r>
          </w:p>
          <w:p w:rsidR="007879A8" w:rsidRDefault="007879A8" w:rsidP="00001E3C">
            <w:pPr>
              <w:pStyle w:val="Footer"/>
              <w:jc w:val="center"/>
            </w:pPr>
            <w:r>
              <w:t>August 18, 2010</w:t>
            </w:r>
          </w:p>
        </w:sdtContent>
      </w:sdt>
    </w:sdtContent>
  </w:sdt>
  <w:p w:rsidR="007879A8" w:rsidRDefault="007879A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AB7" w:rsidRDefault="00DF0AB7" w:rsidP="004A59E3">
      <w:pPr>
        <w:spacing w:after="0" w:line="240" w:lineRule="auto"/>
      </w:pPr>
      <w:r>
        <w:separator/>
      </w:r>
    </w:p>
  </w:footnote>
  <w:footnote w:type="continuationSeparator" w:id="0">
    <w:p w:rsidR="00DF0AB7" w:rsidRDefault="00DF0AB7" w:rsidP="004A59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A8" w:rsidRDefault="007879A8" w:rsidP="004A59E3">
    <w:pPr>
      <w:spacing w:after="0"/>
      <w:jc w:val="center"/>
      <w:rPr>
        <w:rFonts w:ascii="Times New Roman" w:hAnsi="Times New Roman"/>
        <w:b/>
        <w:sz w:val="32"/>
        <w:szCs w:val="32"/>
      </w:rPr>
    </w:pPr>
    <w:r w:rsidRPr="004C2024">
      <w:rPr>
        <w:rFonts w:ascii="Times New Roman" w:hAnsi="Times New Roman"/>
        <w:b/>
        <w:sz w:val="32"/>
        <w:szCs w:val="32"/>
      </w:rPr>
      <w:t>Comments Summary</w:t>
    </w:r>
  </w:p>
  <w:p w:rsidR="007879A8" w:rsidRDefault="007879A8" w:rsidP="004A59E3">
    <w:pPr>
      <w:spacing w:after="0"/>
      <w:jc w:val="center"/>
      <w:rPr>
        <w:rFonts w:ascii="Times New Roman" w:hAnsi="Times New Roman"/>
        <w:b/>
      </w:rPr>
    </w:pPr>
    <w:r>
      <w:rPr>
        <w:rFonts w:ascii="Times New Roman" w:hAnsi="Times New Roman"/>
        <w:b/>
      </w:rPr>
      <w:t xml:space="preserve">Inquiry on Regulatory Treatment for Renewable Energy Resources </w:t>
    </w:r>
    <w:r w:rsidRPr="004C2024">
      <w:rPr>
        <w:rFonts w:ascii="Times New Roman" w:hAnsi="Times New Roman"/>
        <w:b/>
      </w:rPr>
      <w:t>Docket U</w:t>
    </w:r>
    <w:r>
      <w:rPr>
        <w:rFonts w:ascii="Times New Roman" w:hAnsi="Times New Roman"/>
        <w:b/>
      </w:rPr>
      <w:t>E-100849</w:t>
    </w:r>
  </w:p>
  <w:p w:rsidR="007879A8" w:rsidRPr="004C2024" w:rsidRDefault="007879A8" w:rsidP="004A59E3">
    <w:pPr>
      <w:spacing w:after="0"/>
      <w:jc w:val="center"/>
      <w:rPr>
        <w:rFonts w:ascii="Times New Roman" w:hAnsi="Times New Roman"/>
        <w:b/>
      </w:rPr>
    </w:pPr>
  </w:p>
  <w:p w:rsidR="007879A8" w:rsidRDefault="007879A8" w:rsidP="004A59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A8" w:rsidRPr="004A59E3" w:rsidRDefault="007879A8" w:rsidP="004A59E3">
    <w:pPr>
      <w:spacing w:after="0"/>
      <w:jc w:val="center"/>
      <w:rPr>
        <w:rFonts w:ascii="Times New Roman" w:hAnsi="Times New Roman"/>
        <w:b/>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A8" w:rsidRPr="004A59E3" w:rsidRDefault="007879A8" w:rsidP="004A59E3">
    <w:pPr>
      <w:spacing w:after="0"/>
      <w:jc w:val="center"/>
      <w:rPr>
        <w:rFonts w:ascii="Times New Roman" w:hAnsi="Times New Roman"/>
        <w:b/>
        <w:sz w:val="32"/>
        <w:szCs w:val="32"/>
      </w:rPr>
    </w:pPr>
    <w:r w:rsidRPr="004A59E3">
      <w:rPr>
        <w:rFonts w:ascii="Times New Roman" w:hAnsi="Times New Roman"/>
        <w:b/>
        <w:sz w:val="32"/>
        <w:szCs w:val="32"/>
      </w:rPr>
      <w:t>COMMENTS SUMMARY</w:t>
    </w:r>
  </w:p>
  <w:p w:rsidR="007879A8" w:rsidRPr="004A59E3" w:rsidRDefault="007879A8" w:rsidP="004A59E3">
    <w:pPr>
      <w:spacing w:after="0"/>
      <w:jc w:val="center"/>
      <w:rPr>
        <w:rFonts w:ascii="Times New Roman" w:hAnsi="Times New Roman"/>
        <w:b/>
        <w:szCs w:val="32"/>
      </w:rPr>
    </w:pPr>
    <w:r w:rsidRPr="004A59E3">
      <w:rPr>
        <w:rFonts w:ascii="Times New Roman" w:hAnsi="Times New Roman"/>
        <w:b/>
        <w:szCs w:val="32"/>
      </w:rPr>
      <w:t>Inquiry on Regulatory Treatment for Renewable Energy Resources</w:t>
    </w:r>
  </w:p>
  <w:p w:rsidR="007879A8" w:rsidRPr="004A59E3" w:rsidRDefault="007879A8" w:rsidP="004A59E3">
    <w:pPr>
      <w:spacing w:after="0"/>
      <w:jc w:val="center"/>
      <w:rPr>
        <w:rFonts w:ascii="Times New Roman" w:hAnsi="Times New Roman"/>
        <w:b/>
        <w:szCs w:val="32"/>
      </w:rPr>
    </w:pPr>
    <w:r w:rsidRPr="004A59E3">
      <w:rPr>
        <w:rFonts w:ascii="Times New Roman" w:hAnsi="Times New Roman"/>
        <w:b/>
        <w:szCs w:val="32"/>
      </w:rPr>
      <w:t>Docket UE-100849</w:t>
    </w:r>
  </w:p>
  <w:p w:rsidR="007879A8" w:rsidRPr="004A59E3" w:rsidRDefault="007879A8" w:rsidP="004A59E3">
    <w:pPr>
      <w:spacing w:after="0"/>
      <w:jc w:val="center"/>
      <w:rPr>
        <w:rFonts w:ascii="Times New Roman" w:hAnsi="Times New Roman"/>
        <w:b/>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868A6"/>
    <w:multiLevelType w:val="hybridMultilevel"/>
    <w:tmpl w:val="CCE85D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4EC77A20"/>
    <w:multiLevelType w:val="hybridMultilevel"/>
    <w:tmpl w:val="4CF0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FE24B6"/>
    <w:multiLevelType w:val="hybridMultilevel"/>
    <w:tmpl w:val="B6206066"/>
    <w:lvl w:ilvl="0" w:tplc="6D68C0FA">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F54B95"/>
    <w:multiLevelType w:val="hybridMultilevel"/>
    <w:tmpl w:val="C6E4B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rsids>
    <w:rsidRoot w:val="00364BA9"/>
    <w:rsid w:val="00001E3C"/>
    <w:rsid w:val="00012431"/>
    <w:rsid w:val="00013537"/>
    <w:rsid w:val="00014214"/>
    <w:rsid w:val="000157DF"/>
    <w:rsid w:val="00015DE5"/>
    <w:rsid w:val="000259F9"/>
    <w:rsid w:val="0003639A"/>
    <w:rsid w:val="000517C2"/>
    <w:rsid w:val="00053945"/>
    <w:rsid w:val="000570C2"/>
    <w:rsid w:val="000624B8"/>
    <w:rsid w:val="000738A2"/>
    <w:rsid w:val="00085B49"/>
    <w:rsid w:val="000861E7"/>
    <w:rsid w:val="000A2748"/>
    <w:rsid w:val="000A6DA8"/>
    <w:rsid w:val="000B0F1D"/>
    <w:rsid w:val="000B3374"/>
    <w:rsid w:val="000D20D5"/>
    <w:rsid w:val="000D5035"/>
    <w:rsid w:val="000E640C"/>
    <w:rsid w:val="000F0859"/>
    <w:rsid w:val="000F1AA6"/>
    <w:rsid w:val="000F3FA4"/>
    <w:rsid w:val="000F5470"/>
    <w:rsid w:val="000F653C"/>
    <w:rsid w:val="0010335A"/>
    <w:rsid w:val="00112144"/>
    <w:rsid w:val="001127BD"/>
    <w:rsid w:val="0012158E"/>
    <w:rsid w:val="0013107A"/>
    <w:rsid w:val="001334DE"/>
    <w:rsid w:val="00135012"/>
    <w:rsid w:val="00142697"/>
    <w:rsid w:val="0014362A"/>
    <w:rsid w:val="00144902"/>
    <w:rsid w:val="0015367C"/>
    <w:rsid w:val="001543E4"/>
    <w:rsid w:val="00154F5F"/>
    <w:rsid w:val="001632B2"/>
    <w:rsid w:val="00163E96"/>
    <w:rsid w:val="001643E7"/>
    <w:rsid w:val="001747D8"/>
    <w:rsid w:val="00175D57"/>
    <w:rsid w:val="001863EE"/>
    <w:rsid w:val="00190F38"/>
    <w:rsid w:val="0019460A"/>
    <w:rsid w:val="0019668C"/>
    <w:rsid w:val="001A5159"/>
    <w:rsid w:val="001B609D"/>
    <w:rsid w:val="001C2568"/>
    <w:rsid w:val="001C5AB1"/>
    <w:rsid w:val="001C6D4A"/>
    <w:rsid w:val="001C7DE2"/>
    <w:rsid w:val="001D10C6"/>
    <w:rsid w:val="001E1D7A"/>
    <w:rsid w:val="001E2E92"/>
    <w:rsid w:val="001E5850"/>
    <w:rsid w:val="001F03E1"/>
    <w:rsid w:val="001F5C24"/>
    <w:rsid w:val="00210D2D"/>
    <w:rsid w:val="0021703C"/>
    <w:rsid w:val="00217E8C"/>
    <w:rsid w:val="00237B8B"/>
    <w:rsid w:val="00237F0F"/>
    <w:rsid w:val="00243560"/>
    <w:rsid w:val="00247F36"/>
    <w:rsid w:val="00254485"/>
    <w:rsid w:val="0026272B"/>
    <w:rsid w:val="002678A5"/>
    <w:rsid w:val="00271A24"/>
    <w:rsid w:val="0027654C"/>
    <w:rsid w:val="0027710D"/>
    <w:rsid w:val="00280078"/>
    <w:rsid w:val="00280B05"/>
    <w:rsid w:val="002A243D"/>
    <w:rsid w:val="002A249F"/>
    <w:rsid w:val="002A2AD3"/>
    <w:rsid w:val="002A7BD9"/>
    <w:rsid w:val="002B680E"/>
    <w:rsid w:val="002B7633"/>
    <w:rsid w:val="002C039A"/>
    <w:rsid w:val="002D6FB1"/>
    <w:rsid w:val="002E3D6D"/>
    <w:rsid w:val="002E5746"/>
    <w:rsid w:val="002F1A06"/>
    <w:rsid w:val="0030278D"/>
    <w:rsid w:val="003106C1"/>
    <w:rsid w:val="003300A2"/>
    <w:rsid w:val="00335130"/>
    <w:rsid w:val="00346941"/>
    <w:rsid w:val="003519A1"/>
    <w:rsid w:val="0036189D"/>
    <w:rsid w:val="00364BA9"/>
    <w:rsid w:val="003710B7"/>
    <w:rsid w:val="00372C99"/>
    <w:rsid w:val="00385F19"/>
    <w:rsid w:val="00390F29"/>
    <w:rsid w:val="0039153F"/>
    <w:rsid w:val="00392E9B"/>
    <w:rsid w:val="003955EA"/>
    <w:rsid w:val="003B1395"/>
    <w:rsid w:val="003B3672"/>
    <w:rsid w:val="003C4994"/>
    <w:rsid w:val="003D3F0E"/>
    <w:rsid w:val="003D5EAA"/>
    <w:rsid w:val="003E367F"/>
    <w:rsid w:val="003E3AE5"/>
    <w:rsid w:val="003E519A"/>
    <w:rsid w:val="003E76AB"/>
    <w:rsid w:val="00401FEF"/>
    <w:rsid w:val="00405494"/>
    <w:rsid w:val="00417D4E"/>
    <w:rsid w:val="00435581"/>
    <w:rsid w:val="004464F4"/>
    <w:rsid w:val="00450B00"/>
    <w:rsid w:val="004669A0"/>
    <w:rsid w:val="004907D0"/>
    <w:rsid w:val="0049581D"/>
    <w:rsid w:val="004A59E3"/>
    <w:rsid w:val="004B3A53"/>
    <w:rsid w:val="004C427D"/>
    <w:rsid w:val="004D2244"/>
    <w:rsid w:val="004E3A2D"/>
    <w:rsid w:val="004E5D6D"/>
    <w:rsid w:val="005025A4"/>
    <w:rsid w:val="00506049"/>
    <w:rsid w:val="00520AAB"/>
    <w:rsid w:val="0052429A"/>
    <w:rsid w:val="005253F6"/>
    <w:rsid w:val="00540375"/>
    <w:rsid w:val="00550856"/>
    <w:rsid w:val="005512EE"/>
    <w:rsid w:val="00552600"/>
    <w:rsid w:val="0055389A"/>
    <w:rsid w:val="00571A40"/>
    <w:rsid w:val="0058034A"/>
    <w:rsid w:val="00591B7D"/>
    <w:rsid w:val="00594668"/>
    <w:rsid w:val="00595BF1"/>
    <w:rsid w:val="005969BD"/>
    <w:rsid w:val="00596C27"/>
    <w:rsid w:val="005A1925"/>
    <w:rsid w:val="005A6C74"/>
    <w:rsid w:val="005A7ED7"/>
    <w:rsid w:val="005B080D"/>
    <w:rsid w:val="005B0FE1"/>
    <w:rsid w:val="005C3CC1"/>
    <w:rsid w:val="005D393C"/>
    <w:rsid w:val="005E04CC"/>
    <w:rsid w:val="005F4C17"/>
    <w:rsid w:val="006036BB"/>
    <w:rsid w:val="00616526"/>
    <w:rsid w:val="00616AA1"/>
    <w:rsid w:val="00624322"/>
    <w:rsid w:val="00626EA6"/>
    <w:rsid w:val="0063059D"/>
    <w:rsid w:val="00634DBD"/>
    <w:rsid w:val="00637D73"/>
    <w:rsid w:val="00653EE0"/>
    <w:rsid w:val="00665D89"/>
    <w:rsid w:val="00672F7B"/>
    <w:rsid w:val="006801AD"/>
    <w:rsid w:val="00681247"/>
    <w:rsid w:val="0068177A"/>
    <w:rsid w:val="00690FD8"/>
    <w:rsid w:val="00691FDB"/>
    <w:rsid w:val="006A2AA9"/>
    <w:rsid w:val="006A2B8E"/>
    <w:rsid w:val="006A41EE"/>
    <w:rsid w:val="006A56F8"/>
    <w:rsid w:val="006E469D"/>
    <w:rsid w:val="006F40FB"/>
    <w:rsid w:val="0073163E"/>
    <w:rsid w:val="007377BF"/>
    <w:rsid w:val="007402F5"/>
    <w:rsid w:val="00753219"/>
    <w:rsid w:val="0075620B"/>
    <w:rsid w:val="00772C42"/>
    <w:rsid w:val="00783327"/>
    <w:rsid w:val="007879A8"/>
    <w:rsid w:val="007A7FE0"/>
    <w:rsid w:val="007C0ED9"/>
    <w:rsid w:val="007C34A1"/>
    <w:rsid w:val="007C57C2"/>
    <w:rsid w:val="007D5708"/>
    <w:rsid w:val="007E0759"/>
    <w:rsid w:val="007F1439"/>
    <w:rsid w:val="008116F9"/>
    <w:rsid w:val="00824326"/>
    <w:rsid w:val="00840E4A"/>
    <w:rsid w:val="00850610"/>
    <w:rsid w:val="0086296F"/>
    <w:rsid w:val="008727EA"/>
    <w:rsid w:val="008879DB"/>
    <w:rsid w:val="008A1B3F"/>
    <w:rsid w:val="008A4119"/>
    <w:rsid w:val="008A731C"/>
    <w:rsid w:val="008B1686"/>
    <w:rsid w:val="008B4196"/>
    <w:rsid w:val="008B70A5"/>
    <w:rsid w:val="008D07E2"/>
    <w:rsid w:val="008E2622"/>
    <w:rsid w:val="008E6542"/>
    <w:rsid w:val="008E67E5"/>
    <w:rsid w:val="008E7F07"/>
    <w:rsid w:val="008F69EE"/>
    <w:rsid w:val="009056BF"/>
    <w:rsid w:val="00921570"/>
    <w:rsid w:val="0092446B"/>
    <w:rsid w:val="00925444"/>
    <w:rsid w:val="00932E36"/>
    <w:rsid w:val="009405CB"/>
    <w:rsid w:val="009428D2"/>
    <w:rsid w:val="009444D2"/>
    <w:rsid w:val="00947A29"/>
    <w:rsid w:val="00951BBB"/>
    <w:rsid w:val="0095238A"/>
    <w:rsid w:val="00953558"/>
    <w:rsid w:val="009544BA"/>
    <w:rsid w:val="0096384E"/>
    <w:rsid w:val="00966712"/>
    <w:rsid w:val="00980A2F"/>
    <w:rsid w:val="00983E57"/>
    <w:rsid w:val="009867E6"/>
    <w:rsid w:val="0099350F"/>
    <w:rsid w:val="009A0E07"/>
    <w:rsid w:val="009B3A73"/>
    <w:rsid w:val="009C09D4"/>
    <w:rsid w:val="009C7377"/>
    <w:rsid w:val="009D113C"/>
    <w:rsid w:val="009E07A2"/>
    <w:rsid w:val="009E6FED"/>
    <w:rsid w:val="00A04337"/>
    <w:rsid w:val="00A31670"/>
    <w:rsid w:val="00A31990"/>
    <w:rsid w:val="00A546F9"/>
    <w:rsid w:val="00A5792B"/>
    <w:rsid w:val="00A67201"/>
    <w:rsid w:val="00A71F46"/>
    <w:rsid w:val="00A8185E"/>
    <w:rsid w:val="00A84C2A"/>
    <w:rsid w:val="00A92481"/>
    <w:rsid w:val="00A950C1"/>
    <w:rsid w:val="00AA46CB"/>
    <w:rsid w:val="00AA5300"/>
    <w:rsid w:val="00AB1B35"/>
    <w:rsid w:val="00AB2A68"/>
    <w:rsid w:val="00AC1BA8"/>
    <w:rsid w:val="00AC7FC7"/>
    <w:rsid w:val="00AD3312"/>
    <w:rsid w:val="00AD5524"/>
    <w:rsid w:val="00AD5859"/>
    <w:rsid w:val="00AD6661"/>
    <w:rsid w:val="00AD758F"/>
    <w:rsid w:val="00AD759B"/>
    <w:rsid w:val="00AE273E"/>
    <w:rsid w:val="00AF541D"/>
    <w:rsid w:val="00B05590"/>
    <w:rsid w:val="00B13041"/>
    <w:rsid w:val="00B15A35"/>
    <w:rsid w:val="00B164EB"/>
    <w:rsid w:val="00B176AC"/>
    <w:rsid w:val="00B30F8D"/>
    <w:rsid w:val="00B37032"/>
    <w:rsid w:val="00B45C27"/>
    <w:rsid w:val="00B56A66"/>
    <w:rsid w:val="00B5707D"/>
    <w:rsid w:val="00B6522B"/>
    <w:rsid w:val="00B72FE8"/>
    <w:rsid w:val="00B80C51"/>
    <w:rsid w:val="00B96287"/>
    <w:rsid w:val="00BA345B"/>
    <w:rsid w:val="00BB7478"/>
    <w:rsid w:val="00BC12EF"/>
    <w:rsid w:val="00BC4040"/>
    <w:rsid w:val="00BD22D2"/>
    <w:rsid w:val="00BE0D5B"/>
    <w:rsid w:val="00C00CDD"/>
    <w:rsid w:val="00C02942"/>
    <w:rsid w:val="00C03B44"/>
    <w:rsid w:val="00C109DD"/>
    <w:rsid w:val="00C136CB"/>
    <w:rsid w:val="00C14AF1"/>
    <w:rsid w:val="00C152DE"/>
    <w:rsid w:val="00C162AD"/>
    <w:rsid w:val="00C218C5"/>
    <w:rsid w:val="00C2204A"/>
    <w:rsid w:val="00C4503D"/>
    <w:rsid w:val="00C47C73"/>
    <w:rsid w:val="00C521F7"/>
    <w:rsid w:val="00C6275D"/>
    <w:rsid w:val="00C6378A"/>
    <w:rsid w:val="00C665EA"/>
    <w:rsid w:val="00C7359F"/>
    <w:rsid w:val="00C73D81"/>
    <w:rsid w:val="00C84759"/>
    <w:rsid w:val="00C87ED7"/>
    <w:rsid w:val="00C90821"/>
    <w:rsid w:val="00C91130"/>
    <w:rsid w:val="00CA1426"/>
    <w:rsid w:val="00CA2534"/>
    <w:rsid w:val="00CA7AFB"/>
    <w:rsid w:val="00CC264D"/>
    <w:rsid w:val="00CC6E58"/>
    <w:rsid w:val="00CD1718"/>
    <w:rsid w:val="00CD2390"/>
    <w:rsid w:val="00CD3696"/>
    <w:rsid w:val="00CD4159"/>
    <w:rsid w:val="00CF17CF"/>
    <w:rsid w:val="00CF2898"/>
    <w:rsid w:val="00D027AD"/>
    <w:rsid w:val="00D22D71"/>
    <w:rsid w:val="00D24450"/>
    <w:rsid w:val="00D27219"/>
    <w:rsid w:val="00D30899"/>
    <w:rsid w:val="00D44797"/>
    <w:rsid w:val="00D65802"/>
    <w:rsid w:val="00D67EE2"/>
    <w:rsid w:val="00D7447E"/>
    <w:rsid w:val="00D75733"/>
    <w:rsid w:val="00D90987"/>
    <w:rsid w:val="00D92106"/>
    <w:rsid w:val="00D961C5"/>
    <w:rsid w:val="00DA0792"/>
    <w:rsid w:val="00DA1B86"/>
    <w:rsid w:val="00DA517D"/>
    <w:rsid w:val="00DA5BAB"/>
    <w:rsid w:val="00DA7CAB"/>
    <w:rsid w:val="00DB3311"/>
    <w:rsid w:val="00DB7BF1"/>
    <w:rsid w:val="00DC7F9D"/>
    <w:rsid w:val="00DD2A47"/>
    <w:rsid w:val="00DE23F4"/>
    <w:rsid w:val="00DE6804"/>
    <w:rsid w:val="00DF0AB7"/>
    <w:rsid w:val="00E10148"/>
    <w:rsid w:val="00E20F38"/>
    <w:rsid w:val="00E23ED1"/>
    <w:rsid w:val="00E246FC"/>
    <w:rsid w:val="00E24F21"/>
    <w:rsid w:val="00E52334"/>
    <w:rsid w:val="00E5290E"/>
    <w:rsid w:val="00E529FC"/>
    <w:rsid w:val="00E53548"/>
    <w:rsid w:val="00E53E82"/>
    <w:rsid w:val="00E65C3C"/>
    <w:rsid w:val="00E706FE"/>
    <w:rsid w:val="00E815D4"/>
    <w:rsid w:val="00E8276B"/>
    <w:rsid w:val="00E8453B"/>
    <w:rsid w:val="00EA4E6A"/>
    <w:rsid w:val="00EA7562"/>
    <w:rsid w:val="00EC4412"/>
    <w:rsid w:val="00ED0F10"/>
    <w:rsid w:val="00EE5A12"/>
    <w:rsid w:val="00EE5AF2"/>
    <w:rsid w:val="00EE6F33"/>
    <w:rsid w:val="00EF1939"/>
    <w:rsid w:val="00EF2F44"/>
    <w:rsid w:val="00F01348"/>
    <w:rsid w:val="00F02AE1"/>
    <w:rsid w:val="00F0416B"/>
    <w:rsid w:val="00F063AD"/>
    <w:rsid w:val="00F10DC5"/>
    <w:rsid w:val="00F144F2"/>
    <w:rsid w:val="00F21B68"/>
    <w:rsid w:val="00F236A8"/>
    <w:rsid w:val="00F236C9"/>
    <w:rsid w:val="00F343D2"/>
    <w:rsid w:val="00F3521F"/>
    <w:rsid w:val="00F47FCE"/>
    <w:rsid w:val="00F51B48"/>
    <w:rsid w:val="00F77017"/>
    <w:rsid w:val="00F77F9C"/>
    <w:rsid w:val="00F87A6A"/>
    <w:rsid w:val="00F96B95"/>
    <w:rsid w:val="00FA139B"/>
    <w:rsid w:val="00FB3EA0"/>
    <w:rsid w:val="00FB662A"/>
    <w:rsid w:val="00FC0DDA"/>
    <w:rsid w:val="00FC1052"/>
    <w:rsid w:val="00FD5EB2"/>
    <w:rsid w:val="00FE210E"/>
    <w:rsid w:val="00FE3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customStyle="1" w:styleId="DecimalAligned">
    <w:name w:val="Decimal Aligned"/>
    <w:basedOn w:val="Normal"/>
    <w:uiPriority w:val="40"/>
    <w:qFormat/>
    <w:rsid w:val="00364BA9"/>
    <w:pPr>
      <w:tabs>
        <w:tab w:val="decimal" w:pos="360"/>
      </w:tabs>
    </w:pPr>
    <w:rPr>
      <w:rFonts w:eastAsiaTheme="minorEastAsia"/>
    </w:rPr>
  </w:style>
  <w:style w:type="paragraph" w:styleId="FootnoteText">
    <w:name w:val="footnote text"/>
    <w:basedOn w:val="Normal"/>
    <w:link w:val="FootnoteTextChar"/>
    <w:uiPriority w:val="99"/>
    <w:unhideWhenUsed/>
    <w:rsid w:val="00364BA9"/>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364BA9"/>
    <w:rPr>
      <w:rFonts w:eastAsiaTheme="minorEastAsia"/>
      <w:sz w:val="20"/>
      <w:szCs w:val="20"/>
    </w:rPr>
  </w:style>
  <w:style w:type="character" w:styleId="SubtleEmphasis">
    <w:name w:val="Subtle Emphasis"/>
    <w:basedOn w:val="DefaultParagraphFont"/>
    <w:uiPriority w:val="19"/>
    <w:qFormat/>
    <w:rsid w:val="00364BA9"/>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364BA9"/>
    <w:pPr>
      <w:spacing w:after="0" w:line="240" w:lineRule="auto"/>
    </w:pPr>
    <w:rPr>
      <w:rFonts w:eastAsiaTheme="minorEastAsia"/>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364B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364BA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56A66"/>
    <w:pPr>
      <w:ind w:left="720"/>
      <w:contextualSpacing/>
    </w:pPr>
  </w:style>
  <w:style w:type="paragraph" w:styleId="Header">
    <w:name w:val="header"/>
    <w:basedOn w:val="Normal"/>
    <w:link w:val="HeaderChar"/>
    <w:uiPriority w:val="99"/>
    <w:semiHidden/>
    <w:unhideWhenUsed/>
    <w:rsid w:val="004A59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59E3"/>
  </w:style>
  <w:style w:type="paragraph" w:styleId="Footer">
    <w:name w:val="footer"/>
    <w:basedOn w:val="Normal"/>
    <w:link w:val="FooterChar"/>
    <w:uiPriority w:val="99"/>
    <w:unhideWhenUsed/>
    <w:rsid w:val="004A5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9E3"/>
  </w:style>
  <w:style w:type="paragraph" w:styleId="BodyText2">
    <w:name w:val="Body Text 2"/>
    <w:basedOn w:val="Normal"/>
    <w:link w:val="BodyText2Char"/>
    <w:rsid w:val="00012431"/>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12431"/>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FC0D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0DDA"/>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4464F4"/>
    <w:rPr>
      <w:sz w:val="16"/>
      <w:szCs w:val="16"/>
    </w:rPr>
  </w:style>
  <w:style w:type="paragraph" w:styleId="CommentText">
    <w:name w:val="annotation text"/>
    <w:basedOn w:val="Normal"/>
    <w:link w:val="CommentTextChar"/>
    <w:uiPriority w:val="99"/>
    <w:semiHidden/>
    <w:unhideWhenUsed/>
    <w:rsid w:val="004464F4"/>
    <w:pPr>
      <w:spacing w:line="240" w:lineRule="auto"/>
    </w:pPr>
    <w:rPr>
      <w:sz w:val="20"/>
      <w:szCs w:val="20"/>
    </w:rPr>
  </w:style>
  <w:style w:type="character" w:customStyle="1" w:styleId="CommentTextChar">
    <w:name w:val="Comment Text Char"/>
    <w:basedOn w:val="DefaultParagraphFont"/>
    <w:link w:val="CommentText"/>
    <w:uiPriority w:val="99"/>
    <w:semiHidden/>
    <w:rsid w:val="004464F4"/>
    <w:rPr>
      <w:sz w:val="20"/>
      <w:szCs w:val="20"/>
    </w:rPr>
  </w:style>
  <w:style w:type="paragraph" w:styleId="CommentSubject">
    <w:name w:val="annotation subject"/>
    <w:basedOn w:val="CommentText"/>
    <w:next w:val="CommentText"/>
    <w:link w:val="CommentSubjectChar"/>
    <w:uiPriority w:val="99"/>
    <w:semiHidden/>
    <w:unhideWhenUsed/>
    <w:rsid w:val="004464F4"/>
    <w:rPr>
      <w:b/>
      <w:bCs/>
    </w:rPr>
  </w:style>
  <w:style w:type="character" w:customStyle="1" w:styleId="CommentSubjectChar">
    <w:name w:val="Comment Subject Char"/>
    <w:basedOn w:val="CommentTextChar"/>
    <w:link w:val="CommentSubject"/>
    <w:uiPriority w:val="99"/>
    <w:semiHidden/>
    <w:rsid w:val="004464F4"/>
    <w:rPr>
      <w:b/>
      <w:bCs/>
    </w:rPr>
  </w:style>
  <w:style w:type="paragraph" w:styleId="Revision">
    <w:name w:val="Revision"/>
    <w:hidden/>
    <w:uiPriority w:val="99"/>
    <w:semiHidden/>
    <w:rsid w:val="004464F4"/>
    <w:pPr>
      <w:spacing w:after="0" w:line="240" w:lineRule="auto"/>
    </w:pPr>
  </w:style>
  <w:style w:type="paragraph" w:styleId="BalloonText">
    <w:name w:val="Balloon Text"/>
    <w:basedOn w:val="Normal"/>
    <w:link w:val="BalloonTextChar"/>
    <w:uiPriority w:val="99"/>
    <w:semiHidden/>
    <w:unhideWhenUsed/>
    <w:rsid w:val="00446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4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2010-05-17T07:00:00+00:00</OpenedDate>
    <Date1 xmlns="dc463f71-b30c-4ab2-9473-d307f9d35888">2010-08-17T07:00:00+00:00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100849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DA8B204A4978E48A6221B81634FEF3E" ma:contentTypeVersion="131" ma:contentTypeDescription="" ma:contentTypeScope="" ma:versionID="9d965dedab402fe8f8eeb0a7dedccbb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FDDD0CB-F1FE-43FF-9DED-0364E521812F}"/>
</file>

<file path=customXml/itemProps2.xml><?xml version="1.0" encoding="utf-8"?>
<ds:datastoreItem xmlns:ds="http://schemas.openxmlformats.org/officeDocument/2006/customXml" ds:itemID="{20E0EB79-E775-4AF8-9C83-7F7B75D1C67A}"/>
</file>

<file path=customXml/itemProps3.xml><?xml version="1.0" encoding="utf-8"?>
<ds:datastoreItem xmlns:ds="http://schemas.openxmlformats.org/officeDocument/2006/customXml" ds:itemID="{6CD14406-708C-4323-AA35-127D932737C3}"/>
</file>

<file path=customXml/itemProps4.xml><?xml version="1.0" encoding="utf-8"?>
<ds:datastoreItem xmlns:ds="http://schemas.openxmlformats.org/officeDocument/2006/customXml" ds:itemID="{ACE5BE16-4669-483C-A0C2-DF28247EF8FA}"/>
</file>

<file path=docProps/app.xml><?xml version="1.0" encoding="utf-8"?>
<Properties xmlns="http://schemas.openxmlformats.org/officeDocument/2006/extended-properties" xmlns:vt="http://schemas.openxmlformats.org/officeDocument/2006/docPropsVTypes">
  <Template>Normal.dotm</Template>
  <TotalTime>1</TotalTime>
  <Pages>30</Pages>
  <Words>7190</Words>
  <Characters>40989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Kermode</dc:creator>
  <cp:keywords>Renewables</cp:keywords>
  <cp:lastModifiedBy>Kippi Walker</cp:lastModifiedBy>
  <cp:revision>2</cp:revision>
  <cp:lastPrinted>2010-08-17T20:36:00Z</cp:lastPrinted>
  <dcterms:created xsi:type="dcterms:W3CDTF">2010-08-17T20:37:00Z</dcterms:created>
  <dcterms:modified xsi:type="dcterms:W3CDTF">2010-08-17T20:37:00Z</dcterms:modified>
  <cp:category>Rulemaking</cp:category>
  <cp:contentStatus>Final 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0x0101006E56B4D1795A2E4DB2F0B01679ED314A00ADA8B204A4978E48A6221B81634FEF3E</vt:lpwstr>
  </property>
  <property fmtid="{D5CDD505-2E9C-101B-9397-08002B2CF9AE}" pid="3" name="_docset_NoMedatataSyncRequired">
    <vt:lpwstr>False</vt:lpwstr>
  </property>
</Properties>
</file>