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4572DA" w:rsidRDefault="00CD60DE">
      <w:pPr>
        <w:jc w:val="both"/>
        <w:rPr>
          <w:b/>
          <w:i/>
          <w:sz w:val="24"/>
        </w:rPr>
      </w:pPr>
      <w:r w:rsidRPr="004572DA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CD60DE" w:rsidRDefault="00CD60DE">
      <w:pPr>
        <w:jc w:val="both"/>
        <w:rPr>
          <w:sz w:val="24"/>
        </w:rPr>
      </w:pPr>
    </w:p>
    <w:p w:rsidR="00040621" w:rsidRDefault="00F95772">
      <w:pPr>
        <w:jc w:val="both"/>
        <w:rPr>
          <w:sz w:val="24"/>
        </w:rPr>
      </w:pPr>
      <w:r>
        <w:rPr>
          <w:sz w:val="24"/>
        </w:rPr>
        <w:t>November 1</w:t>
      </w:r>
      <w:r w:rsidR="00625F42">
        <w:rPr>
          <w:sz w:val="24"/>
        </w:rPr>
        <w:t>, 2010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040621" w:rsidRDefault="00040621">
      <w:pPr>
        <w:jc w:val="both"/>
        <w:rPr>
          <w:sz w:val="24"/>
        </w:rPr>
      </w:pPr>
    </w:p>
    <w:p w:rsidR="002E4C90" w:rsidRDefault="008A7314" w:rsidP="008A7314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25F42">
        <w:rPr>
          <w:sz w:val="24"/>
          <w:szCs w:val="24"/>
        </w:rPr>
        <w:t xml:space="preserve">Re: </w:t>
      </w:r>
      <w:r>
        <w:rPr>
          <w:sz w:val="24"/>
          <w:szCs w:val="24"/>
        </w:rPr>
        <w:t xml:space="preserve">Docket No. </w:t>
      </w:r>
      <w:r w:rsidR="00F95772">
        <w:rPr>
          <w:sz w:val="24"/>
          <w:szCs w:val="24"/>
        </w:rPr>
        <w:t>UE-100176</w:t>
      </w:r>
    </w:p>
    <w:p w:rsidR="008A7314" w:rsidRDefault="008A7314">
      <w:pPr>
        <w:jc w:val="both"/>
        <w:rPr>
          <w:sz w:val="24"/>
          <w:szCs w:val="24"/>
        </w:rPr>
      </w:pPr>
    </w:p>
    <w:p w:rsidR="008A7314" w:rsidRDefault="008A7314" w:rsidP="008A7314">
      <w:pPr>
        <w:jc w:val="both"/>
        <w:rPr>
          <w:sz w:val="24"/>
        </w:rPr>
      </w:pPr>
      <w:r>
        <w:rPr>
          <w:sz w:val="24"/>
        </w:rPr>
        <w:t>Dear Mr. Danner:</w:t>
      </w:r>
    </w:p>
    <w:p w:rsidR="00625F42" w:rsidRDefault="00625F42">
      <w:pPr>
        <w:jc w:val="both"/>
        <w:rPr>
          <w:sz w:val="24"/>
          <w:szCs w:val="24"/>
        </w:rPr>
      </w:pPr>
    </w:p>
    <w:p w:rsidR="00625F42" w:rsidRDefault="00764F84" w:rsidP="00F95772">
      <w:pPr>
        <w:pStyle w:val="BodyText2"/>
      </w:pPr>
      <w:r>
        <w:t xml:space="preserve">In compliance with </w:t>
      </w:r>
      <w:r>
        <w:rPr>
          <w:szCs w:val="24"/>
        </w:rPr>
        <w:t xml:space="preserve">Commission Order </w:t>
      </w:r>
      <w:r w:rsidR="008A7314">
        <w:rPr>
          <w:szCs w:val="24"/>
        </w:rPr>
        <w:t>No. 01 in the above referenced d</w:t>
      </w:r>
      <w:r>
        <w:rPr>
          <w:szCs w:val="24"/>
        </w:rPr>
        <w:t xml:space="preserve">ocket, Avista Utilities respectfully submits for electronic filing </w:t>
      </w:r>
      <w:proofErr w:type="gramStart"/>
      <w:r>
        <w:rPr>
          <w:szCs w:val="24"/>
        </w:rPr>
        <w:t>its</w:t>
      </w:r>
      <w:proofErr w:type="gramEnd"/>
      <w:r w:rsidR="00625F42">
        <w:t xml:space="preserve"> </w:t>
      </w:r>
      <w:r>
        <w:t>“</w:t>
      </w:r>
      <w:r w:rsidR="00F95772">
        <w:t xml:space="preserve">2011 Demand Side Management (DSM) Annual Business Plan and the 2011 Evaluation, Measurement &amp; Verification </w:t>
      </w:r>
      <w:r w:rsidR="004572DA">
        <w:t xml:space="preserve">(EM&amp;V) </w:t>
      </w:r>
      <w:r>
        <w:t>Annual Plan.”</w:t>
      </w:r>
    </w:p>
    <w:p w:rsidR="00625F42" w:rsidRDefault="00625F42" w:rsidP="00625F42">
      <w:pPr>
        <w:jc w:val="both"/>
      </w:pPr>
    </w:p>
    <w:p w:rsidR="00625F42" w:rsidRDefault="00F95772" w:rsidP="00F95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Order requires Avista to file the Company’s </w:t>
      </w:r>
      <w:r w:rsidRPr="00F95772">
        <w:rPr>
          <w:sz w:val="24"/>
          <w:szCs w:val="24"/>
        </w:rPr>
        <w:t>2011 DSM Business Plan, and an annual budget by November 1, 2010.</w:t>
      </w:r>
      <w:r w:rsidR="00764F84">
        <w:rPr>
          <w:sz w:val="24"/>
          <w:szCs w:val="24"/>
        </w:rPr>
        <w:t xml:space="preserve"> Per the reporting requirement, t</w:t>
      </w:r>
      <w:r>
        <w:rPr>
          <w:sz w:val="24"/>
          <w:szCs w:val="24"/>
        </w:rPr>
        <w:t>his plan</w:t>
      </w:r>
      <w:r w:rsidRPr="00F95772">
        <w:rPr>
          <w:sz w:val="24"/>
          <w:szCs w:val="24"/>
        </w:rPr>
        <w:t xml:space="preserve"> include</w:t>
      </w:r>
      <w:r w:rsidR="004572DA">
        <w:rPr>
          <w:sz w:val="24"/>
          <w:szCs w:val="24"/>
        </w:rPr>
        <w:t>s</w:t>
      </w:r>
      <w:r w:rsidRPr="00F95772">
        <w:rPr>
          <w:sz w:val="24"/>
          <w:szCs w:val="24"/>
        </w:rPr>
        <w:t xml:space="preserve"> </w:t>
      </w:r>
      <w:r w:rsidR="004572DA">
        <w:rPr>
          <w:sz w:val="24"/>
          <w:szCs w:val="24"/>
        </w:rPr>
        <w:t>program detail</w:t>
      </w:r>
      <w:r w:rsidR="00764F84">
        <w:rPr>
          <w:sz w:val="24"/>
          <w:szCs w:val="24"/>
        </w:rPr>
        <w:t>s</w:t>
      </w:r>
      <w:r w:rsidR="004572DA">
        <w:rPr>
          <w:sz w:val="24"/>
          <w:szCs w:val="24"/>
        </w:rPr>
        <w:t xml:space="preserve"> that show</w:t>
      </w:r>
      <w:r w:rsidRPr="00F95772">
        <w:rPr>
          <w:sz w:val="24"/>
          <w:szCs w:val="24"/>
        </w:rPr>
        <w:t xml:space="preserve"> planned expenses and the resulting projected energy savings.  </w:t>
      </w:r>
    </w:p>
    <w:p w:rsidR="00F95772" w:rsidRDefault="00F95772" w:rsidP="00F95772">
      <w:pPr>
        <w:jc w:val="both"/>
        <w:rPr>
          <w:sz w:val="24"/>
          <w:szCs w:val="24"/>
        </w:rPr>
      </w:pPr>
    </w:p>
    <w:p w:rsidR="00F95772" w:rsidRPr="004572DA" w:rsidRDefault="00F95772" w:rsidP="00F95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Annual DSM Business Plan is meant to be a “working document” and </w:t>
      </w:r>
      <w:r w:rsidR="004572DA">
        <w:rPr>
          <w:sz w:val="24"/>
          <w:szCs w:val="24"/>
        </w:rPr>
        <w:t>any changes or modifications regarding p</w:t>
      </w:r>
      <w:r w:rsidR="004572DA" w:rsidRPr="004572DA">
        <w:rPr>
          <w:sz w:val="24"/>
          <w:szCs w:val="24"/>
        </w:rPr>
        <w:t xml:space="preserve">rogram details about specific measures, incentives, and eligibility requirements </w:t>
      </w:r>
      <w:r w:rsidR="004572DA">
        <w:rPr>
          <w:sz w:val="24"/>
          <w:szCs w:val="24"/>
        </w:rPr>
        <w:t xml:space="preserve">will be filed </w:t>
      </w:r>
      <w:r w:rsidR="008A7314">
        <w:rPr>
          <w:sz w:val="24"/>
          <w:szCs w:val="24"/>
        </w:rPr>
        <w:t xml:space="preserve">with the Commission </w:t>
      </w:r>
      <w:r w:rsidR="004572DA">
        <w:rPr>
          <w:sz w:val="24"/>
          <w:szCs w:val="24"/>
        </w:rPr>
        <w:t>as</w:t>
      </w:r>
      <w:r w:rsidR="004572DA" w:rsidRPr="004572DA">
        <w:rPr>
          <w:sz w:val="24"/>
          <w:szCs w:val="24"/>
        </w:rPr>
        <w:t xml:space="preserve"> revisions to the Company’s DSM Business </w:t>
      </w:r>
      <w:r w:rsidR="008A7314">
        <w:rPr>
          <w:sz w:val="24"/>
          <w:szCs w:val="24"/>
        </w:rPr>
        <w:t>Plan</w:t>
      </w:r>
      <w:r w:rsidR="004572DA" w:rsidRPr="004572DA">
        <w:rPr>
          <w:sz w:val="24"/>
          <w:szCs w:val="24"/>
        </w:rPr>
        <w:t xml:space="preserve">.  </w:t>
      </w:r>
    </w:p>
    <w:p w:rsidR="00625F42" w:rsidRPr="002E4C90" w:rsidRDefault="00625F42">
      <w:pPr>
        <w:jc w:val="both"/>
        <w:rPr>
          <w:sz w:val="24"/>
          <w:szCs w:val="24"/>
        </w:rPr>
      </w:pPr>
    </w:p>
    <w:p w:rsidR="004572DA" w:rsidRPr="004F69EA" w:rsidRDefault="004572DA">
      <w:pPr>
        <w:jc w:val="both"/>
        <w:rPr>
          <w:sz w:val="24"/>
          <w:szCs w:val="24"/>
        </w:rPr>
      </w:pPr>
      <w:r>
        <w:rPr>
          <w:sz w:val="24"/>
          <w:szCs w:val="24"/>
        </w:rPr>
        <w:t>The EM&amp;V Annual Plan is</w:t>
      </w:r>
      <w:r w:rsidR="00764F84">
        <w:rPr>
          <w:sz w:val="24"/>
          <w:szCs w:val="24"/>
        </w:rPr>
        <w:t xml:space="preserve"> responsive to the Commission’s directive in the above referenced Docket</w:t>
      </w:r>
      <w:r w:rsidR="00764F84" w:rsidRPr="004F69EA">
        <w:rPr>
          <w:sz w:val="24"/>
          <w:szCs w:val="24"/>
        </w:rPr>
        <w:t xml:space="preserve">. </w:t>
      </w:r>
      <w:r w:rsidR="004F69EA">
        <w:rPr>
          <w:rFonts w:eastAsiaTheme="minorHAnsi"/>
          <w:sz w:val="24"/>
          <w:szCs w:val="24"/>
        </w:rPr>
        <w:t>The</w:t>
      </w:r>
      <w:r w:rsidR="004F69EA" w:rsidRPr="004F69EA">
        <w:rPr>
          <w:rFonts w:eastAsiaTheme="minorHAnsi"/>
          <w:sz w:val="24"/>
          <w:szCs w:val="24"/>
        </w:rPr>
        <w:t xml:space="preserve"> </w:t>
      </w:r>
      <w:r w:rsidR="004F69EA">
        <w:rPr>
          <w:rFonts w:eastAsiaTheme="minorHAnsi"/>
          <w:sz w:val="24"/>
          <w:szCs w:val="24"/>
        </w:rPr>
        <w:t>EM&amp;V</w:t>
      </w:r>
      <w:r w:rsidR="004F69EA" w:rsidRPr="004F69EA">
        <w:rPr>
          <w:rFonts w:eastAsiaTheme="minorHAnsi"/>
          <w:sz w:val="24"/>
          <w:szCs w:val="24"/>
        </w:rPr>
        <w:t xml:space="preserve"> Annual Plan, in combination with the Avista EM&amp;V Framework, </w:t>
      </w:r>
      <w:r w:rsidR="004F69EA">
        <w:rPr>
          <w:rFonts w:eastAsiaTheme="minorHAnsi"/>
          <w:sz w:val="24"/>
          <w:szCs w:val="24"/>
        </w:rPr>
        <w:t xml:space="preserve">that was filed with the </w:t>
      </w:r>
      <w:r w:rsidR="004F69EA" w:rsidRPr="004F69EA">
        <w:rPr>
          <w:rFonts w:eastAsiaTheme="minorHAnsi"/>
          <w:sz w:val="24"/>
          <w:szCs w:val="24"/>
        </w:rPr>
        <w:t xml:space="preserve">Commission on September 1, 2010 in </w:t>
      </w:r>
      <w:r w:rsidR="004F69EA" w:rsidRPr="004F69EA">
        <w:rPr>
          <w:sz w:val="24"/>
          <w:szCs w:val="24"/>
        </w:rPr>
        <w:t>Docket Nos. UE-090134, UG-090135 and UG-</w:t>
      </w:r>
      <w:r w:rsidR="004F69EA">
        <w:rPr>
          <w:sz w:val="24"/>
          <w:szCs w:val="24"/>
        </w:rPr>
        <w:t xml:space="preserve">060518 (consolidated), </w:t>
      </w:r>
      <w:r w:rsidR="008A7314">
        <w:rPr>
          <w:sz w:val="24"/>
          <w:szCs w:val="24"/>
        </w:rPr>
        <w:t xml:space="preserve">and </w:t>
      </w:r>
      <w:r w:rsidR="004F69EA" w:rsidRPr="004F69EA">
        <w:rPr>
          <w:rFonts w:eastAsiaTheme="minorHAnsi"/>
          <w:sz w:val="24"/>
          <w:szCs w:val="24"/>
        </w:rPr>
        <w:t xml:space="preserve">is intended to make transparent and easily accessible the evaluation, measurement and verification that </w:t>
      </w:r>
      <w:r w:rsidR="004F69EA">
        <w:rPr>
          <w:rFonts w:eastAsiaTheme="minorHAnsi"/>
          <w:sz w:val="24"/>
          <w:szCs w:val="24"/>
        </w:rPr>
        <w:t xml:space="preserve">Avista plans </w:t>
      </w:r>
      <w:r w:rsidR="004F69EA" w:rsidRPr="004F69EA">
        <w:rPr>
          <w:rFonts w:eastAsiaTheme="minorHAnsi"/>
          <w:sz w:val="24"/>
          <w:szCs w:val="24"/>
        </w:rPr>
        <w:t xml:space="preserve">to be performed in 2011 in order to adequately inform and operate energy efficiency programs.  This document summarizes which programs are due for review and how the budget for EM&amp;V will be split by fuel, sector, program, </w:t>
      </w:r>
      <w:proofErr w:type="gramStart"/>
      <w:r w:rsidR="004F69EA" w:rsidRPr="004F69EA">
        <w:rPr>
          <w:rFonts w:eastAsiaTheme="minorHAnsi"/>
          <w:sz w:val="24"/>
          <w:szCs w:val="24"/>
        </w:rPr>
        <w:t>jurisdiction</w:t>
      </w:r>
      <w:proofErr w:type="gramEnd"/>
      <w:r w:rsidR="004F69EA" w:rsidRPr="004F69EA">
        <w:rPr>
          <w:rFonts w:eastAsiaTheme="minorHAnsi"/>
          <w:sz w:val="24"/>
          <w:szCs w:val="24"/>
        </w:rPr>
        <w:t xml:space="preserve"> and reviewer type.  </w:t>
      </w:r>
      <w:r w:rsidR="004F69EA">
        <w:rPr>
          <w:rFonts w:eastAsiaTheme="minorHAnsi"/>
          <w:sz w:val="24"/>
          <w:szCs w:val="24"/>
        </w:rPr>
        <w:t xml:space="preserve">This Plan </w:t>
      </w:r>
      <w:proofErr w:type="gramStart"/>
      <w:r w:rsidR="004F69EA">
        <w:rPr>
          <w:rFonts w:eastAsiaTheme="minorHAnsi"/>
          <w:sz w:val="24"/>
          <w:szCs w:val="24"/>
        </w:rPr>
        <w:t>wa</w:t>
      </w:r>
      <w:r w:rsidR="004F69EA" w:rsidRPr="004F69EA">
        <w:rPr>
          <w:rFonts w:eastAsiaTheme="minorHAnsi"/>
          <w:sz w:val="24"/>
          <w:szCs w:val="24"/>
        </w:rPr>
        <w:t xml:space="preserve">s  </w:t>
      </w:r>
      <w:r w:rsidR="004F69EA">
        <w:rPr>
          <w:rFonts w:eastAsiaTheme="minorHAnsi"/>
          <w:sz w:val="24"/>
          <w:szCs w:val="24"/>
        </w:rPr>
        <w:t>shaped</w:t>
      </w:r>
      <w:proofErr w:type="gramEnd"/>
      <w:r w:rsidR="004F69EA">
        <w:rPr>
          <w:rFonts w:eastAsiaTheme="minorHAnsi"/>
          <w:sz w:val="24"/>
          <w:szCs w:val="24"/>
        </w:rPr>
        <w:t xml:space="preserve"> and </w:t>
      </w:r>
      <w:r w:rsidR="004F69EA" w:rsidRPr="004F69EA">
        <w:rPr>
          <w:rFonts w:eastAsiaTheme="minorHAnsi"/>
          <w:sz w:val="24"/>
          <w:szCs w:val="24"/>
        </w:rPr>
        <w:t xml:space="preserve">reviewed by Avista’s </w:t>
      </w:r>
      <w:r w:rsidR="008A7314">
        <w:rPr>
          <w:rFonts w:eastAsiaTheme="minorHAnsi"/>
          <w:sz w:val="24"/>
          <w:szCs w:val="24"/>
        </w:rPr>
        <w:t xml:space="preserve">advisory group, the </w:t>
      </w:r>
      <w:r w:rsidR="004F69EA" w:rsidRPr="004F69EA">
        <w:rPr>
          <w:rFonts w:eastAsiaTheme="minorHAnsi"/>
          <w:sz w:val="24"/>
          <w:szCs w:val="24"/>
        </w:rPr>
        <w:t xml:space="preserve">External Energy Efficiency (Triple E) </w:t>
      </w:r>
      <w:r w:rsidR="008A7314">
        <w:rPr>
          <w:rFonts w:eastAsiaTheme="minorHAnsi"/>
          <w:sz w:val="24"/>
          <w:szCs w:val="24"/>
        </w:rPr>
        <w:t>Board</w:t>
      </w:r>
      <w:r w:rsidR="00295C6D">
        <w:rPr>
          <w:rFonts w:eastAsiaTheme="minorHAnsi"/>
          <w:sz w:val="24"/>
          <w:szCs w:val="24"/>
        </w:rPr>
        <w:t>.</w:t>
      </w:r>
      <w:r w:rsidR="00764F84" w:rsidRPr="004F69EA">
        <w:rPr>
          <w:sz w:val="24"/>
          <w:szCs w:val="24"/>
        </w:rPr>
        <w:t xml:space="preserve"> </w:t>
      </w:r>
    </w:p>
    <w:p w:rsidR="004572DA" w:rsidRPr="004F69EA" w:rsidRDefault="004572DA">
      <w:pPr>
        <w:jc w:val="both"/>
        <w:rPr>
          <w:sz w:val="24"/>
          <w:szCs w:val="24"/>
        </w:rPr>
      </w:pPr>
    </w:p>
    <w:p w:rsidR="00295C6D" w:rsidRDefault="00295C6D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lastRenderedPageBreak/>
        <w:t xml:space="preserve">Please direct any questions on this matter to </w:t>
      </w:r>
      <w:r w:rsidR="0088729D">
        <w:rPr>
          <w:sz w:val="24"/>
          <w:szCs w:val="24"/>
        </w:rPr>
        <w:t>Bruce Folsom</w:t>
      </w:r>
      <w:r w:rsidR="00884A50">
        <w:rPr>
          <w:sz w:val="24"/>
          <w:szCs w:val="24"/>
        </w:rPr>
        <w:t xml:space="preserve">, </w:t>
      </w:r>
      <w:r w:rsidR="003846FB">
        <w:rPr>
          <w:sz w:val="24"/>
          <w:szCs w:val="24"/>
        </w:rPr>
        <w:t>Director</w:t>
      </w:r>
      <w:r w:rsidR="00884A50">
        <w:rPr>
          <w:sz w:val="24"/>
          <w:szCs w:val="24"/>
        </w:rPr>
        <w:t xml:space="preserve">, </w:t>
      </w:r>
      <w:proofErr w:type="gramStart"/>
      <w:r w:rsidR="003846FB">
        <w:rPr>
          <w:sz w:val="24"/>
          <w:szCs w:val="24"/>
        </w:rPr>
        <w:t>Energy</w:t>
      </w:r>
      <w:proofErr w:type="gramEnd"/>
      <w:r w:rsidR="003846FB">
        <w:rPr>
          <w:sz w:val="24"/>
          <w:szCs w:val="24"/>
        </w:rPr>
        <w:t xml:space="preserve"> Efficiency</w:t>
      </w:r>
      <w:r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 xml:space="preserve">8706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625F42" w:rsidRDefault="0088729D">
      <w:pPr>
        <w:jc w:val="both"/>
        <w:rPr>
          <w:rFonts w:ascii="Lucida Handwriting" w:hAnsi="Lucida Handwriting"/>
          <w:sz w:val="24"/>
          <w:szCs w:val="24"/>
        </w:rPr>
      </w:pPr>
      <w:r w:rsidRPr="00625F42">
        <w:rPr>
          <w:rFonts w:ascii="Lucida Handwriting" w:hAnsi="Lucida Handwriting"/>
          <w:sz w:val="24"/>
          <w:szCs w:val="24"/>
        </w:rPr>
        <w:t>Linda Gervais</w:t>
      </w:r>
    </w:p>
    <w:p w:rsidR="00040621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68783A" w:rsidRPr="002E4C90" w:rsidRDefault="0068783A">
      <w:pPr>
        <w:jc w:val="both"/>
        <w:rPr>
          <w:sz w:val="24"/>
          <w:szCs w:val="24"/>
        </w:rPr>
      </w:pPr>
      <w:r>
        <w:rPr>
          <w:sz w:val="24"/>
          <w:szCs w:val="24"/>
        </w:rPr>
        <w:t>State and Federal Regulation</w:t>
      </w:r>
    </w:p>
    <w:p w:rsidR="0088729D" w:rsidRPr="00625F42" w:rsidRDefault="002C67B6">
      <w:pPr>
        <w:jc w:val="both"/>
        <w:rPr>
          <w:sz w:val="24"/>
          <w:szCs w:val="24"/>
        </w:rPr>
      </w:pPr>
      <w:r w:rsidRPr="00625F42">
        <w:rPr>
          <w:sz w:val="24"/>
          <w:szCs w:val="24"/>
        </w:rPr>
        <w:t>Avista Utilities</w:t>
      </w:r>
    </w:p>
    <w:p w:rsidR="0088729D" w:rsidRPr="009F3585" w:rsidRDefault="0088729D">
      <w:pPr>
        <w:jc w:val="both"/>
        <w:rPr>
          <w:sz w:val="24"/>
          <w:szCs w:val="24"/>
          <w:lang w:val="fr-FR"/>
        </w:rPr>
      </w:pPr>
      <w:r w:rsidRPr="009F3585">
        <w:rPr>
          <w:sz w:val="24"/>
          <w:szCs w:val="24"/>
          <w:lang w:val="fr-FR"/>
        </w:rPr>
        <w:t>linda.gervais@avistacorp.com</w:t>
      </w:r>
    </w:p>
    <w:p w:rsidR="00B14584" w:rsidRDefault="0068783A" w:rsidP="00625F4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509-495-4975</w:t>
      </w:r>
    </w:p>
    <w:p w:rsidR="00DE2143" w:rsidRDefault="00DE2143" w:rsidP="00625F42">
      <w:pPr>
        <w:jc w:val="both"/>
        <w:rPr>
          <w:sz w:val="24"/>
          <w:szCs w:val="24"/>
          <w:lang w:val="fr-FR"/>
        </w:rPr>
      </w:pPr>
    </w:p>
    <w:p w:rsidR="00DE2143" w:rsidRPr="00625F42" w:rsidRDefault="00DE2143" w:rsidP="00625F4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Attachments</w:t>
      </w:r>
    </w:p>
    <w:sectPr w:rsidR="00DE2143" w:rsidRPr="00625F42" w:rsidSect="00BB23E3">
      <w:headerReference w:type="default" r:id="rId9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9EA" w:rsidRDefault="004F69EA">
      <w:r>
        <w:separator/>
      </w:r>
    </w:p>
  </w:endnote>
  <w:endnote w:type="continuationSeparator" w:id="0">
    <w:p w:rsidR="004F69EA" w:rsidRDefault="004F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9EA" w:rsidRDefault="004F69EA">
      <w:r>
        <w:separator/>
      </w:r>
    </w:p>
  </w:footnote>
  <w:footnote w:type="continuationSeparator" w:id="0">
    <w:p w:rsidR="004F69EA" w:rsidRDefault="004F6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EA" w:rsidRDefault="00295C6D">
    <w:pPr>
      <w:pStyle w:val="Header"/>
      <w:rPr>
        <w:sz w:val="24"/>
      </w:rPr>
    </w:pPr>
    <w:r>
      <w:rPr>
        <w:sz w:val="24"/>
      </w:rPr>
      <w:t>November 1, 2010</w:t>
    </w:r>
  </w:p>
  <w:p w:rsidR="004F69EA" w:rsidRDefault="004F69EA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9B256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9B2568">
      <w:rPr>
        <w:rStyle w:val="PageNumber"/>
        <w:sz w:val="24"/>
      </w:rPr>
      <w:fldChar w:fldCharType="separate"/>
    </w:r>
    <w:r w:rsidR="008A7314">
      <w:rPr>
        <w:rStyle w:val="PageNumber"/>
        <w:noProof/>
        <w:sz w:val="24"/>
      </w:rPr>
      <w:t>2</w:t>
    </w:r>
    <w:r w:rsidR="009B2568">
      <w:rPr>
        <w:rStyle w:val="PageNumber"/>
        <w:sz w:val="24"/>
      </w:rPr>
      <w:fldChar w:fldCharType="end"/>
    </w:r>
  </w:p>
  <w:p w:rsidR="004F69EA" w:rsidRDefault="004F69EA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401B8"/>
    <w:rsid w:val="00040621"/>
    <w:rsid w:val="0005174E"/>
    <w:rsid w:val="00052E25"/>
    <w:rsid w:val="0011729D"/>
    <w:rsid w:val="001241B9"/>
    <w:rsid w:val="00134021"/>
    <w:rsid w:val="00134550"/>
    <w:rsid w:val="00190B82"/>
    <w:rsid w:val="00196E09"/>
    <w:rsid w:val="001C6991"/>
    <w:rsid w:val="00230EF0"/>
    <w:rsid w:val="002862F8"/>
    <w:rsid w:val="002908DF"/>
    <w:rsid w:val="00295620"/>
    <w:rsid w:val="00295C6D"/>
    <w:rsid w:val="002B39ED"/>
    <w:rsid w:val="002B7CDB"/>
    <w:rsid w:val="002C67B6"/>
    <w:rsid w:val="002E141A"/>
    <w:rsid w:val="002E4C90"/>
    <w:rsid w:val="00316FDE"/>
    <w:rsid w:val="00323DF0"/>
    <w:rsid w:val="003458F3"/>
    <w:rsid w:val="00351550"/>
    <w:rsid w:val="0036547E"/>
    <w:rsid w:val="003709CC"/>
    <w:rsid w:val="00377742"/>
    <w:rsid w:val="00377FD1"/>
    <w:rsid w:val="003846FB"/>
    <w:rsid w:val="003A3A22"/>
    <w:rsid w:val="003A42E1"/>
    <w:rsid w:val="003B0826"/>
    <w:rsid w:val="003B424A"/>
    <w:rsid w:val="003E58EA"/>
    <w:rsid w:val="003E5D5C"/>
    <w:rsid w:val="00414ED3"/>
    <w:rsid w:val="00435BF4"/>
    <w:rsid w:val="00450756"/>
    <w:rsid w:val="004572DA"/>
    <w:rsid w:val="004A0D38"/>
    <w:rsid w:val="004A4359"/>
    <w:rsid w:val="004B014C"/>
    <w:rsid w:val="004B4CE7"/>
    <w:rsid w:val="004C3C45"/>
    <w:rsid w:val="004D7755"/>
    <w:rsid w:val="004E5F73"/>
    <w:rsid w:val="004F058C"/>
    <w:rsid w:val="004F69EA"/>
    <w:rsid w:val="00590008"/>
    <w:rsid w:val="0059415F"/>
    <w:rsid w:val="005A47D6"/>
    <w:rsid w:val="005E0A4B"/>
    <w:rsid w:val="005F40FB"/>
    <w:rsid w:val="005F4179"/>
    <w:rsid w:val="005F47A6"/>
    <w:rsid w:val="005F754A"/>
    <w:rsid w:val="006100B1"/>
    <w:rsid w:val="0061578F"/>
    <w:rsid w:val="00625F42"/>
    <w:rsid w:val="00676FA4"/>
    <w:rsid w:val="0068783A"/>
    <w:rsid w:val="006918B9"/>
    <w:rsid w:val="006F2A24"/>
    <w:rsid w:val="00714294"/>
    <w:rsid w:val="007200DD"/>
    <w:rsid w:val="007356C1"/>
    <w:rsid w:val="007437E9"/>
    <w:rsid w:val="007479E3"/>
    <w:rsid w:val="00755E3F"/>
    <w:rsid w:val="00764416"/>
    <w:rsid w:val="00764F84"/>
    <w:rsid w:val="00775CB1"/>
    <w:rsid w:val="007801F3"/>
    <w:rsid w:val="00791070"/>
    <w:rsid w:val="007A17FF"/>
    <w:rsid w:val="007A6656"/>
    <w:rsid w:val="007C4DFB"/>
    <w:rsid w:val="007E00A2"/>
    <w:rsid w:val="00802090"/>
    <w:rsid w:val="00827194"/>
    <w:rsid w:val="0083065F"/>
    <w:rsid w:val="008614DF"/>
    <w:rsid w:val="00884A50"/>
    <w:rsid w:val="0088729D"/>
    <w:rsid w:val="0089647E"/>
    <w:rsid w:val="008A7314"/>
    <w:rsid w:val="008C1672"/>
    <w:rsid w:val="008D7D48"/>
    <w:rsid w:val="008E0338"/>
    <w:rsid w:val="0092371B"/>
    <w:rsid w:val="00931669"/>
    <w:rsid w:val="00946679"/>
    <w:rsid w:val="00982C4F"/>
    <w:rsid w:val="00996800"/>
    <w:rsid w:val="009B2568"/>
    <w:rsid w:val="009C1D50"/>
    <w:rsid w:val="009F3585"/>
    <w:rsid w:val="00A010CF"/>
    <w:rsid w:val="00A42EC5"/>
    <w:rsid w:val="00A4498A"/>
    <w:rsid w:val="00A46111"/>
    <w:rsid w:val="00A8189A"/>
    <w:rsid w:val="00AC187E"/>
    <w:rsid w:val="00AF20EE"/>
    <w:rsid w:val="00B012CB"/>
    <w:rsid w:val="00B07028"/>
    <w:rsid w:val="00B14584"/>
    <w:rsid w:val="00B15816"/>
    <w:rsid w:val="00B232C8"/>
    <w:rsid w:val="00B24035"/>
    <w:rsid w:val="00B30BD7"/>
    <w:rsid w:val="00B5756B"/>
    <w:rsid w:val="00B6299C"/>
    <w:rsid w:val="00B65BF5"/>
    <w:rsid w:val="00B67EDE"/>
    <w:rsid w:val="00B92B26"/>
    <w:rsid w:val="00BA5429"/>
    <w:rsid w:val="00BB23E3"/>
    <w:rsid w:val="00BB5649"/>
    <w:rsid w:val="00BD64FB"/>
    <w:rsid w:val="00BE65D5"/>
    <w:rsid w:val="00C129F8"/>
    <w:rsid w:val="00C2174A"/>
    <w:rsid w:val="00C34953"/>
    <w:rsid w:val="00C41B9A"/>
    <w:rsid w:val="00C83322"/>
    <w:rsid w:val="00C87E5A"/>
    <w:rsid w:val="00CA0D34"/>
    <w:rsid w:val="00CB374C"/>
    <w:rsid w:val="00CD346B"/>
    <w:rsid w:val="00CD60DE"/>
    <w:rsid w:val="00CF657D"/>
    <w:rsid w:val="00D2493D"/>
    <w:rsid w:val="00D26572"/>
    <w:rsid w:val="00D37B30"/>
    <w:rsid w:val="00D44DF6"/>
    <w:rsid w:val="00D50B07"/>
    <w:rsid w:val="00D55F36"/>
    <w:rsid w:val="00DC380B"/>
    <w:rsid w:val="00DC420A"/>
    <w:rsid w:val="00DE2143"/>
    <w:rsid w:val="00DE4DE1"/>
    <w:rsid w:val="00DE77A0"/>
    <w:rsid w:val="00E04D16"/>
    <w:rsid w:val="00E06BAC"/>
    <w:rsid w:val="00E1037B"/>
    <w:rsid w:val="00E13273"/>
    <w:rsid w:val="00E25458"/>
    <w:rsid w:val="00E51832"/>
    <w:rsid w:val="00E65250"/>
    <w:rsid w:val="00E745FD"/>
    <w:rsid w:val="00E97DC2"/>
    <w:rsid w:val="00EE6695"/>
    <w:rsid w:val="00F33CF2"/>
    <w:rsid w:val="00F33E5E"/>
    <w:rsid w:val="00F40A80"/>
    <w:rsid w:val="00F423F3"/>
    <w:rsid w:val="00F46E04"/>
    <w:rsid w:val="00F52D82"/>
    <w:rsid w:val="00F66FE5"/>
    <w:rsid w:val="00F67B3A"/>
    <w:rsid w:val="00F830C7"/>
    <w:rsid w:val="00F95772"/>
    <w:rsid w:val="00FD7B2A"/>
    <w:rsid w:val="00FE220A"/>
    <w:rsid w:val="00FE393C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625F4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9C8D5-6609-451A-96C2-E7A00A5E7838}"/>
</file>

<file path=customXml/itemProps2.xml><?xml version="1.0" encoding="utf-8"?>
<ds:datastoreItem xmlns:ds="http://schemas.openxmlformats.org/officeDocument/2006/customXml" ds:itemID="{865792F7-016B-41AF-B372-3CCB10D2C569}"/>
</file>

<file path=customXml/itemProps3.xml><?xml version="1.0" encoding="utf-8"?>
<ds:datastoreItem xmlns:ds="http://schemas.openxmlformats.org/officeDocument/2006/customXml" ds:itemID="{9187F51F-7D24-42F0-B3BF-71824543FEDB}"/>
</file>

<file path=customXml/itemProps4.xml><?xml version="1.0" encoding="utf-8"?>
<ds:datastoreItem xmlns:ds="http://schemas.openxmlformats.org/officeDocument/2006/customXml" ds:itemID="{8E4C7F4D-6F91-4373-A3EE-388A3D164FAC}"/>
</file>

<file path=customXml/itemProps5.xml><?xml version="1.0" encoding="utf-8"?>
<ds:datastoreItem xmlns:ds="http://schemas.openxmlformats.org/officeDocument/2006/customXml" ds:itemID="{474CFDE0-0C72-4F02-95B8-256D5E210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325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Linda Gervais</cp:lastModifiedBy>
  <cp:revision>3</cp:revision>
  <cp:lastPrinted>2009-01-23T17:28:00Z</cp:lastPrinted>
  <dcterms:created xsi:type="dcterms:W3CDTF">2010-10-26T18:26:00Z</dcterms:created>
  <dcterms:modified xsi:type="dcterms:W3CDTF">2010-10-28T17:42:00Z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