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A5" w:rsidRDefault="00917CA5" w:rsidP="00917CA5">
      <w:pPr>
        <w:tabs>
          <w:tab w:val="center" w:pos="4680"/>
          <w:tab w:val="right" w:pos="9360"/>
        </w:tabs>
        <w:ind w:left="4680" w:hanging="4680"/>
        <w:jc w:val="center"/>
        <w:rPr>
          <w:b/>
          <w:sz w:val="24"/>
          <w:szCs w:val="24"/>
        </w:rPr>
      </w:pPr>
      <w:r w:rsidRPr="0086633A">
        <w:rPr>
          <w:b/>
          <w:sz w:val="24"/>
          <w:szCs w:val="24"/>
        </w:rPr>
        <w:t xml:space="preserve">BEFORE THE </w:t>
      </w:r>
    </w:p>
    <w:p w:rsidR="00917CA5" w:rsidRDefault="00917CA5" w:rsidP="00917CA5">
      <w:pPr>
        <w:tabs>
          <w:tab w:val="center" w:pos="4680"/>
          <w:tab w:val="right" w:pos="9360"/>
        </w:tabs>
        <w:ind w:left="4680" w:hanging="4680"/>
        <w:jc w:val="center"/>
        <w:rPr>
          <w:b/>
          <w:sz w:val="24"/>
          <w:szCs w:val="24"/>
        </w:rPr>
      </w:pPr>
    </w:p>
    <w:p w:rsidR="00917CA5" w:rsidRPr="0086633A" w:rsidRDefault="00917CA5" w:rsidP="00917CA5">
      <w:pPr>
        <w:tabs>
          <w:tab w:val="center" w:pos="4680"/>
          <w:tab w:val="right" w:pos="9360"/>
        </w:tabs>
        <w:ind w:left="4680" w:hanging="4680"/>
        <w:jc w:val="center"/>
        <w:rPr>
          <w:b/>
          <w:sz w:val="24"/>
          <w:szCs w:val="24"/>
        </w:rPr>
      </w:pPr>
      <w:r>
        <w:rPr>
          <w:b/>
          <w:sz w:val="24"/>
          <w:szCs w:val="24"/>
        </w:rPr>
        <w:t>WASHINGTON UTILITIES AND TRANSPORTATION COMMISSION</w:t>
      </w:r>
    </w:p>
    <w:p w:rsidR="00917CA5" w:rsidRDefault="00917CA5"/>
    <w:p w:rsidR="00917CA5" w:rsidRDefault="00917CA5"/>
    <w:tbl>
      <w:tblPr>
        <w:tblW w:w="9624" w:type="dxa"/>
        <w:tblLayout w:type="fixed"/>
        <w:tblCellMar>
          <w:left w:w="0" w:type="dxa"/>
          <w:right w:w="0" w:type="dxa"/>
        </w:tblCellMar>
        <w:tblLook w:val="0000" w:firstRow="0" w:lastRow="0" w:firstColumn="0" w:lastColumn="0" w:noHBand="0" w:noVBand="0"/>
      </w:tblPr>
      <w:tblGrid>
        <w:gridCol w:w="4630"/>
        <w:gridCol w:w="454"/>
        <w:gridCol w:w="4540"/>
      </w:tblGrid>
      <w:tr w:rsidR="00917CA5" w:rsidTr="0026563F">
        <w:trPr>
          <w:trHeight w:val="1215"/>
        </w:trPr>
        <w:tc>
          <w:tcPr>
            <w:tcW w:w="4630" w:type="dxa"/>
            <w:tcBorders>
              <w:bottom w:val="single" w:sz="4" w:space="0" w:color="auto"/>
            </w:tcBorders>
          </w:tcPr>
          <w:p w:rsidR="00917CA5" w:rsidRPr="002B2D17" w:rsidRDefault="00917CA5" w:rsidP="0026563F">
            <w:pPr>
              <w:tabs>
                <w:tab w:val="left" w:pos="2160"/>
              </w:tabs>
              <w:rPr>
                <w:sz w:val="24"/>
                <w:szCs w:val="24"/>
              </w:rPr>
            </w:pPr>
            <w:r w:rsidRPr="002B2D17">
              <w:rPr>
                <w:sz w:val="24"/>
                <w:szCs w:val="24"/>
              </w:rPr>
              <w:t>WASHINGTON UTILITIES AND TRANSPORTATION COMMISSION,</w:t>
            </w:r>
          </w:p>
          <w:p w:rsidR="00917CA5" w:rsidRPr="002B2D17" w:rsidRDefault="00917CA5" w:rsidP="0026563F">
            <w:pPr>
              <w:tabs>
                <w:tab w:val="left" w:pos="2160"/>
              </w:tabs>
              <w:rPr>
                <w:sz w:val="24"/>
                <w:szCs w:val="24"/>
              </w:rPr>
            </w:pPr>
          </w:p>
          <w:p w:rsidR="00917CA5" w:rsidRPr="002B2D17" w:rsidRDefault="00917CA5" w:rsidP="0026563F">
            <w:pPr>
              <w:tabs>
                <w:tab w:val="left" w:pos="2160"/>
              </w:tabs>
              <w:rPr>
                <w:sz w:val="24"/>
                <w:szCs w:val="24"/>
              </w:rPr>
            </w:pPr>
            <w:r w:rsidRPr="002B2D17">
              <w:rPr>
                <w:sz w:val="24"/>
                <w:szCs w:val="24"/>
              </w:rPr>
              <w:tab/>
              <w:t>Complainant,</w:t>
            </w:r>
          </w:p>
          <w:p w:rsidR="00917CA5" w:rsidRPr="002B2D17" w:rsidRDefault="00917CA5" w:rsidP="0026563F">
            <w:pPr>
              <w:tabs>
                <w:tab w:val="left" w:pos="2160"/>
              </w:tabs>
              <w:rPr>
                <w:sz w:val="24"/>
                <w:szCs w:val="24"/>
              </w:rPr>
            </w:pPr>
          </w:p>
          <w:p w:rsidR="00917CA5" w:rsidRPr="002B2D17" w:rsidRDefault="00917CA5" w:rsidP="0026563F">
            <w:pPr>
              <w:tabs>
                <w:tab w:val="left" w:pos="2168"/>
              </w:tabs>
              <w:rPr>
                <w:sz w:val="24"/>
                <w:szCs w:val="24"/>
              </w:rPr>
            </w:pPr>
            <w:proofErr w:type="gramStart"/>
            <w:r w:rsidRPr="002B2D17">
              <w:rPr>
                <w:sz w:val="24"/>
                <w:szCs w:val="24"/>
              </w:rPr>
              <w:t>v</w:t>
            </w:r>
            <w:proofErr w:type="gramEnd"/>
            <w:r w:rsidRPr="002B2D17">
              <w:rPr>
                <w:sz w:val="24"/>
                <w:szCs w:val="24"/>
              </w:rPr>
              <w:t>.</w:t>
            </w:r>
          </w:p>
          <w:p w:rsidR="00917CA5" w:rsidRPr="002B2D17" w:rsidRDefault="00917CA5" w:rsidP="0026563F">
            <w:pPr>
              <w:tabs>
                <w:tab w:val="left" w:pos="2168"/>
              </w:tabs>
              <w:rPr>
                <w:sz w:val="24"/>
                <w:szCs w:val="24"/>
              </w:rPr>
            </w:pPr>
          </w:p>
          <w:p w:rsidR="00917CA5" w:rsidRPr="002B2D17" w:rsidRDefault="00917CA5" w:rsidP="0026563F">
            <w:pPr>
              <w:tabs>
                <w:tab w:val="left" w:pos="2160"/>
              </w:tabs>
              <w:rPr>
                <w:sz w:val="24"/>
                <w:szCs w:val="24"/>
              </w:rPr>
            </w:pPr>
            <w:r w:rsidRPr="002B2D17">
              <w:rPr>
                <w:sz w:val="24"/>
                <w:szCs w:val="24"/>
              </w:rPr>
              <w:t xml:space="preserve">PACIFICORP D/B/A PACIFIC POWER &amp; LIGHT COMPANY, </w:t>
            </w:r>
          </w:p>
          <w:p w:rsidR="00917CA5" w:rsidRPr="002B2D17" w:rsidRDefault="00917CA5" w:rsidP="0026563F">
            <w:pPr>
              <w:tabs>
                <w:tab w:val="left" w:pos="2160"/>
              </w:tabs>
              <w:rPr>
                <w:sz w:val="24"/>
                <w:szCs w:val="24"/>
              </w:rPr>
            </w:pPr>
          </w:p>
          <w:p w:rsidR="00917CA5" w:rsidRPr="002B2D17" w:rsidRDefault="00917CA5" w:rsidP="0026563F">
            <w:pPr>
              <w:rPr>
                <w:sz w:val="24"/>
                <w:szCs w:val="24"/>
              </w:rPr>
            </w:pPr>
            <w:r w:rsidRPr="002B2D17">
              <w:rPr>
                <w:sz w:val="24"/>
                <w:szCs w:val="24"/>
              </w:rPr>
              <w:tab/>
            </w:r>
            <w:r>
              <w:rPr>
                <w:sz w:val="24"/>
                <w:szCs w:val="24"/>
              </w:rPr>
              <w:t xml:space="preserve">                        </w:t>
            </w:r>
            <w:r w:rsidRPr="002B2D17">
              <w:rPr>
                <w:sz w:val="24"/>
                <w:szCs w:val="24"/>
              </w:rPr>
              <w:t>Respondent.</w:t>
            </w:r>
          </w:p>
          <w:p w:rsidR="00917CA5" w:rsidRPr="002B2D17" w:rsidRDefault="00917CA5" w:rsidP="0026563F">
            <w:pPr>
              <w:rPr>
                <w:sz w:val="24"/>
                <w:szCs w:val="24"/>
              </w:rPr>
            </w:pPr>
            <w:r w:rsidRPr="002B2D17">
              <w:rPr>
                <w:sz w:val="24"/>
                <w:szCs w:val="24"/>
              </w:rPr>
              <w:t>___________________________________</w:t>
            </w:r>
            <w:r>
              <w:rPr>
                <w:sz w:val="24"/>
                <w:szCs w:val="24"/>
              </w:rPr>
              <w:t>___</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In the Matter of the Petition of</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PACIFIC POWER &amp; LIGHT</w:t>
            </w:r>
          </w:p>
          <w:p w:rsidR="00917CA5" w:rsidRPr="002B2D17" w:rsidRDefault="00917CA5" w:rsidP="0026563F">
            <w:pPr>
              <w:rPr>
                <w:sz w:val="24"/>
                <w:szCs w:val="24"/>
              </w:rPr>
            </w:pPr>
            <w:r w:rsidRPr="002B2D17">
              <w:rPr>
                <w:sz w:val="24"/>
                <w:szCs w:val="24"/>
              </w:rPr>
              <w:t>COMPANY,</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For an Order Approving Deferral of</w:t>
            </w:r>
          </w:p>
          <w:p w:rsidR="00917CA5" w:rsidRPr="002B2D17" w:rsidRDefault="00917CA5" w:rsidP="0026563F">
            <w:pPr>
              <w:rPr>
                <w:sz w:val="24"/>
                <w:szCs w:val="24"/>
              </w:rPr>
            </w:pPr>
            <w:r w:rsidRPr="002B2D17">
              <w:rPr>
                <w:sz w:val="24"/>
                <w:szCs w:val="24"/>
              </w:rPr>
              <w:t>Costs Related to Colstrip Outage</w:t>
            </w:r>
          </w:p>
          <w:p w:rsidR="00917CA5" w:rsidRPr="002B2D17" w:rsidRDefault="00917CA5" w:rsidP="0026563F">
            <w:pPr>
              <w:rPr>
                <w:sz w:val="24"/>
                <w:szCs w:val="24"/>
              </w:rPr>
            </w:pPr>
            <w:r w:rsidRPr="002B2D17">
              <w:rPr>
                <w:sz w:val="24"/>
                <w:szCs w:val="24"/>
              </w:rPr>
              <w:t>___________________________________</w:t>
            </w:r>
            <w:r>
              <w:rPr>
                <w:sz w:val="24"/>
                <w:szCs w:val="24"/>
              </w:rPr>
              <w:t>___</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In the Matter of the Petition of</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PACIFIC POWER &amp; LIGHT</w:t>
            </w:r>
          </w:p>
          <w:p w:rsidR="00917CA5" w:rsidRPr="002B2D17" w:rsidRDefault="00917CA5" w:rsidP="0026563F">
            <w:pPr>
              <w:rPr>
                <w:sz w:val="24"/>
                <w:szCs w:val="24"/>
              </w:rPr>
            </w:pPr>
            <w:r w:rsidRPr="002B2D17">
              <w:rPr>
                <w:sz w:val="24"/>
                <w:szCs w:val="24"/>
              </w:rPr>
              <w:t>COMPANY,</w:t>
            </w:r>
          </w:p>
          <w:p w:rsidR="00917CA5" w:rsidRPr="002B2D17" w:rsidRDefault="00917CA5" w:rsidP="0026563F">
            <w:pPr>
              <w:rPr>
                <w:sz w:val="24"/>
                <w:szCs w:val="24"/>
              </w:rPr>
            </w:pPr>
          </w:p>
          <w:p w:rsidR="00917CA5" w:rsidRPr="002B2D17" w:rsidRDefault="00917CA5" w:rsidP="0026563F">
            <w:pPr>
              <w:rPr>
                <w:sz w:val="24"/>
                <w:szCs w:val="24"/>
              </w:rPr>
            </w:pPr>
            <w:r w:rsidRPr="002B2D17">
              <w:rPr>
                <w:sz w:val="24"/>
                <w:szCs w:val="24"/>
              </w:rPr>
              <w:t>For an Order Approving Deferral of</w:t>
            </w:r>
          </w:p>
          <w:p w:rsidR="00917CA5" w:rsidRPr="002B2D17" w:rsidRDefault="00917CA5" w:rsidP="0026563F">
            <w:pPr>
              <w:rPr>
                <w:sz w:val="24"/>
                <w:szCs w:val="24"/>
              </w:rPr>
            </w:pPr>
            <w:r w:rsidRPr="002B2D17">
              <w:rPr>
                <w:sz w:val="24"/>
                <w:szCs w:val="24"/>
              </w:rPr>
              <w:t>Costs Related to Declining Hydro</w:t>
            </w:r>
          </w:p>
          <w:p w:rsidR="00917CA5" w:rsidRPr="002B2D17" w:rsidRDefault="00917CA5" w:rsidP="0026563F">
            <w:pPr>
              <w:rPr>
                <w:sz w:val="24"/>
                <w:szCs w:val="24"/>
              </w:rPr>
            </w:pPr>
            <w:r w:rsidRPr="002B2D17">
              <w:rPr>
                <w:sz w:val="24"/>
                <w:szCs w:val="24"/>
              </w:rPr>
              <w:t>Generation</w:t>
            </w:r>
          </w:p>
        </w:tc>
        <w:tc>
          <w:tcPr>
            <w:tcW w:w="454" w:type="dxa"/>
          </w:tcPr>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p w:rsidR="00917CA5" w:rsidRPr="002B2D17" w:rsidRDefault="00917CA5" w:rsidP="0026563F">
            <w:pPr>
              <w:ind w:left="72"/>
              <w:rPr>
                <w:sz w:val="24"/>
              </w:rPr>
            </w:pPr>
            <w:r w:rsidRPr="002B2D17">
              <w:rPr>
                <w:sz w:val="24"/>
              </w:rPr>
              <w:t>)</w:t>
            </w:r>
          </w:p>
        </w:tc>
        <w:tc>
          <w:tcPr>
            <w:tcW w:w="4540" w:type="dxa"/>
          </w:tcPr>
          <w:p w:rsidR="00917CA5" w:rsidRDefault="00917CA5" w:rsidP="0026563F">
            <w:pPr>
              <w:rPr>
                <w:sz w:val="24"/>
              </w:rPr>
            </w:pPr>
          </w:p>
          <w:p w:rsidR="00917CA5" w:rsidRDefault="00917CA5" w:rsidP="0026563F">
            <w:pPr>
              <w:rPr>
                <w:sz w:val="24"/>
              </w:rPr>
            </w:pPr>
          </w:p>
          <w:p w:rsidR="00917CA5" w:rsidRDefault="00917CA5" w:rsidP="0026563F">
            <w:pPr>
              <w:rPr>
                <w:sz w:val="24"/>
              </w:rPr>
            </w:pPr>
          </w:p>
          <w:p w:rsidR="00917CA5" w:rsidRDefault="00917CA5" w:rsidP="0026563F">
            <w:pPr>
              <w:rPr>
                <w:sz w:val="24"/>
              </w:rPr>
            </w:pPr>
          </w:p>
          <w:p w:rsidR="00B857BD" w:rsidRDefault="00B857BD" w:rsidP="0026563F">
            <w:pPr>
              <w:rPr>
                <w:sz w:val="24"/>
              </w:rPr>
            </w:pPr>
          </w:p>
          <w:p w:rsidR="00917CA5" w:rsidRPr="002B2D17" w:rsidRDefault="00917CA5" w:rsidP="0026563F">
            <w:pPr>
              <w:rPr>
                <w:sz w:val="24"/>
              </w:rPr>
            </w:pPr>
            <w:r w:rsidRPr="002B2D17">
              <w:rPr>
                <w:sz w:val="24"/>
              </w:rPr>
              <w:t xml:space="preserve">DOCKET NOS. UE-140762 and </w:t>
            </w:r>
          </w:p>
          <w:p w:rsidR="00917CA5" w:rsidRPr="002B2D17" w:rsidRDefault="00917CA5" w:rsidP="0026563F">
            <w:pPr>
              <w:rPr>
                <w:sz w:val="24"/>
              </w:rPr>
            </w:pPr>
            <w:r w:rsidRPr="002B2D17">
              <w:rPr>
                <w:sz w:val="24"/>
              </w:rPr>
              <w:t xml:space="preserve">UE-140617 </w:t>
            </w:r>
            <w:r w:rsidRPr="002B2D17">
              <w:rPr>
                <w:i/>
                <w:sz w:val="24"/>
              </w:rPr>
              <w:t>(consolidated)</w:t>
            </w: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917CA5" w:rsidRDefault="00917CA5" w:rsidP="0026563F">
            <w:pPr>
              <w:rPr>
                <w:sz w:val="24"/>
              </w:rPr>
            </w:pPr>
          </w:p>
          <w:p w:rsidR="00917CA5" w:rsidRDefault="00917CA5" w:rsidP="0026563F">
            <w:pPr>
              <w:rPr>
                <w:sz w:val="24"/>
              </w:rPr>
            </w:pPr>
          </w:p>
          <w:p w:rsidR="00917CA5" w:rsidRPr="002B2D17" w:rsidRDefault="00917CA5" w:rsidP="0026563F">
            <w:pPr>
              <w:rPr>
                <w:sz w:val="24"/>
              </w:rPr>
            </w:pPr>
          </w:p>
          <w:p w:rsidR="00917CA5" w:rsidRDefault="00917CA5" w:rsidP="0026563F">
            <w:pPr>
              <w:rPr>
                <w:sz w:val="24"/>
              </w:rPr>
            </w:pPr>
          </w:p>
          <w:p w:rsidR="00917CA5" w:rsidRDefault="00732BAF" w:rsidP="0026563F">
            <w:pPr>
              <w:rPr>
                <w:sz w:val="24"/>
              </w:rPr>
            </w:pPr>
            <w:r>
              <w:rPr>
                <w:sz w:val="24"/>
              </w:rPr>
              <w:t>DOCKET NO</w:t>
            </w:r>
            <w:r w:rsidR="00917CA5" w:rsidRPr="002B2D17">
              <w:rPr>
                <w:sz w:val="24"/>
              </w:rPr>
              <w:t xml:space="preserve">. UE-131384 </w:t>
            </w:r>
          </w:p>
          <w:p w:rsidR="00917CA5" w:rsidRPr="002B2D17" w:rsidRDefault="00917CA5" w:rsidP="0026563F">
            <w:pPr>
              <w:rPr>
                <w:sz w:val="24"/>
              </w:rPr>
            </w:pPr>
            <w:r w:rsidRPr="002B2D17">
              <w:rPr>
                <w:i/>
                <w:sz w:val="24"/>
              </w:rPr>
              <w:t>(consolidated)</w:t>
            </w: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917CA5" w:rsidRPr="002B2D17" w:rsidRDefault="00917CA5" w:rsidP="0026563F">
            <w:pPr>
              <w:rPr>
                <w:sz w:val="24"/>
              </w:rPr>
            </w:pPr>
          </w:p>
          <w:p w:rsidR="00B857BD" w:rsidRDefault="00B857BD" w:rsidP="0026563F">
            <w:pPr>
              <w:rPr>
                <w:sz w:val="24"/>
              </w:rPr>
            </w:pPr>
          </w:p>
          <w:p w:rsidR="00917CA5" w:rsidRDefault="00732BAF" w:rsidP="0026563F">
            <w:pPr>
              <w:rPr>
                <w:sz w:val="24"/>
              </w:rPr>
            </w:pPr>
            <w:r>
              <w:rPr>
                <w:sz w:val="24"/>
              </w:rPr>
              <w:t>DOCKET NO</w:t>
            </w:r>
            <w:bookmarkStart w:id="0" w:name="_GoBack"/>
            <w:bookmarkEnd w:id="0"/>
            <w:r w:rsidR="00917CA5" w:rsidRPr="002B2D17">
              <w:rPr>
                <w:sz w:val="24"/>
              </w:rPr>
              <w:t xml:space="preserve">. UE-140094 </w:t>
            </w:r>
          </w:p>
          <w:p w:rsidR="00917CA5" w:rsidRPr="002B2D17" w:rsidRDefault="00917CA5" w:rsidP="0026563F">
            <w:pPr>
              <w:rPr>
                <w:sz w:val="24"/>
              </w:rPr>
            </w:pPr>
            <w:r w:rsidRPr="002B2D17">
              <w:rPr>
                <w:i/>
                <w:sz w:val="24"/>
              </w:rPr>
              <w:t>(consolidated)</w:t>
            </w:r>
          </w:p>
          <w:p w:rsidR="00917CA5" w:rsidRPr="002B2D17" w:rsidRDefault="00917CA5" w:rsidP="0026563F">
            <w:pPr>
              <w:ind w:left="410"/>
              <w:rPr>
                <w:sz w:val="24"/>
              </w:rPr>
            </w:pPr>
          </w:p>
          <w:p w:rsidR="00917CA5" w:rsidRPr="002B2D17" w:rsidRDefault="00917CA5" w:rsidP="0026563F">
            <w:pPr>
              <w:ind w:left="410"/>
              <w:rPr>
                <w:sz w:val="24"/>
              </w:rPr>
            </w:pPr>
          </w:p>
        </w:tc>
      </w:tr>
    </w:tbl>
    <w:p w:rsidR="002B3BD0" w:rsidRDefault="002B3BD0"/>
    <w:p w:rsidR="00917CA5" w:rsidRDefault="00917CA5"/>
    <w:p w:rsidR="00917CA5" w:rsidRDefault="00917CA5" w:rsidP="00917CA5">
      <w:pPr>
        <w:jc w:val="center"/>
        <w:rPr>
          <w:b/>
          <w:sz w:val="24"/>
          <w:szCs w:val="24"/>
        </w:rPr>
      </w:pPr>
    </w:p>
    <w:p w:rsidR="00917CA5" w:rsidRDefault="00853834" w:rsidP="00917CA5">
      <w:pPr>
        <w:jc w:val="center"/>
        <w:rPr>
          <w:b/>
          <w:sz w:val="24"/>
          <w:szCs w:val="24"/>
        </w:rPr>
      </w:pPr>
      <w:r>
        <w:rPr>
          <w:b/>
          <w:sz w:val="24"/>
          <w:szCs w:val="24"/>
        </w:rPr>
        <w:t>EXHIBIT NO.__</w:t>
      </w:r>
      <w:proofErr w:type="gramStart"/>
      <w:r>
        <w:rPr>
          <w:b/>
          <w:sz w:val="24"/>
          <w:szCs w:val="24"/>
        </w:rPr>
        <w:t>_(</w:t>
      </w:r>
      <w:proofErr w:type="gramEnd"/>
      <w:r>
        <w:rPr>
          <w:b/>
          <w:sz w:val="24"/>
          <w:szCs w:val="24"/>
        </w:rPr>
        <w:t>MPG-</w:t>
      </w:r>
      <w:r w:rsidR="00874E57">
        <w:rPr>
          <w:b/>
          <w:sz w:val="24"/>
          <w:szCs w:val="24"/>
        </w:rPr>
        <w:t>2</w:t>
      </w:r>
      <w:r>
        <w:rPr>
          <w:b/>
          <w:sz w:val="24"/>
          <w:szCs w:val="24"/>
        </w:rPr>
        <w:t>)</w:t>
      </w:r>
    </w:p>
    <w:p w:rsidR="00853834" w:rsidRDefault="00853834" w:rsidP="00917CA5">
      <w:pPr>
        <w:jc w:val="center"/>
        <w:rPr>
          <w:b/>
          <w:sz w:val="24"/>
          <w:szCs w:val="24"/>
        </w:rPr>
      </w:pPr>
    </w:p>
    <w:p w:rsidR="00853834" w:rsidRPr="00917CA5" w:rsidRDefault="00874E57" w:rsidP="00917CA5">
      <w:pPr>
        <w:jc w:val="center"/>
        <w:rPr>
          <w:b/>
          <w:sz w:val="24"/>
          <w:szCs w:val="24"/>
        </w:rPr>
      </w:pPr>
      <w:r>
        <w:rPr>
          <w:b/>
          <w:sz w:val="24"/>
          <w:szCs w:val="24"/>
        </w:rPr>
        <w:t>QUALIFICATIONS OF MICHAEL P. GORMAN</w:t>
      </w:r>
    </w:p>
    <w:p w:rsidR="00917CA5" w:rsidRPr="00917CA5" w:rsidRDefault="00917CA5" w:rsidP="00917CA5">
      <w:pPr>
        <w:jc w:val="center"/>
        <w:rPr>
          <w:b/>
          <w:sz w:val="24"/>
          <w:szCs w:val="24"/>
        </w:rPr>
      </w:pPr>
    </w:p>
    <w:p w:rsidR="00917CA5" w:rsidRPr="00917CA5" w:rsidRDefault="00917CA5" w:rsidP="00917CA5">
      <w:pPr>
        <w:jc w:val="center"/>
        <w:rPr>
          <w:b/>
          <w:sz w:val="24"/>
          <w:szCs w:val="24"/>
        </w:rPr>
      </w:pPr>
    </w:p>
    <w:p w:rsidR="00917CA5" w:rsidRDefault="00917CA5" w:rsidP="00917CA5">
      <w:pPr>
        <w:jc w:val="center"/>
        <w:rPr>
          <w:b/>
          <w:sz w:val="24"/>
          <w:szCs w:val="24"/>
        </w:rPr>
      </w:pPr>
      <w:r w:rsidRPr="00917CA5">
        <w:rPr>
          <w:b/>
          <w:sz w:val="24"/>
          <w:szCs w:val="24"/>
        </w:rPr>
        <w:t>October 10, 2014</w:t>
      </w:r>
    </w:p>
    <w:p w:rsidR="00874E57" w:rsidRDefault="00874E57" w:rsidP="00917CA5">
      <w:pPr>
        <w:jc w:val="center"/>
        <w:rPr>
          <w:b/>
          <w:sz w:val="24"/>
          <w:szCs w:val="24"/>
        </w:rPr>
        <w:sectPr w:rsidR="00874E57" w:rsidSect="0003388B">
          <w:headerReference w:type="default" r:id="rId8"/>
          <w:pgSz w:w="12240" w:h="15840"/>
          <w:pgMar w:top="1440" w:right="1440" w:bottom="1440" w:left="1440" w:header="720" w:footer="720" w:gutter="0"/>
          <w:cols w:space="720"/>
          <w:docGrid w:linePitch="360"/>
        </w:sectPr>
      </w:pPr>
    </w:p>
    <w:p w:rsidR="00874E57" w:rsidRPr="00874E57" w:rsidRDefault="00874E57" w:rsidP="00874E57">
      <w:pPr>
        <w:spacing w:after="240"/>
        <w:ind w:left="720" w:hanging="720"/>
        <w:jc w:val="both"/>
        <w:rPr>
          <w:rFonts w:cs="Arial"/>
          <w:b/>
          <w:sz w:val="24"/>
          <w:szCs w:val="22"/>
        </w:rPr>
      </w:pPr>
      <w:r w:rsidRPr="00874E57">
        <w:rPr>
          <w:rFonts w:cs="Arial"/>
          <w:b/>
          <w:sz w:val="24"/>
          <w:szCs w:val="22"/>
        </w:rPr>
        <w:lastRenderedPageBreak/>
        <w:t>Q.</w:t>
      </w:r>
      <w:r w:rsidRPr="00874E57">
        <w:rPr>
          <w:rFonts w:cs="Arial"/>
          <w:b/>
          <w:sz w:val="24"/>
          <w:szCs w:val="22"/>
        </w:rPr>
        <w:tab/>
        <w:t xml:space="preserve">PLEASE STATE YOUR NAME AND BUSINESS ADDRESS.   </w:t>
      </w:r>
    </w:p>
    <w:p w:rsidR="00874E57" w:rsidRPr="00874E57" w:rsidRDefault="00874E57" w:rsidP="00874E57">
      <w:pPr>
        <w:tabs>
          <w:tab w:val="left" w:pos="-1440"/>
        </w:tabs>
        <w:spacing w:line="480" w:lineRule="auto"/>
        <w:ind w:left="720" w:hanging="720"/>
        <w:jc w:val="both"/>
        <w:rPr>
          <w:rFonts w:cs="Arial"/>
          <w:bCs/>
          <w:sz w:val="24"/>
          <w:szCs w:val="22"/>
        </w:rPr>
      </w:pPr>
      <w:r w:rsidRPr="00732BAF">
        <w:rPr>
          <w:bCs/>
          <w:sz w:val="24"/>
        </w:rPr>
        <w:t>A.</w:t>
      </w:r>
      <w:r w:rsidRPr="00874E57">
        <w:rPr>
          <w:rFonts w:cs="Arial"/>
          <w:bCs/>
          <w:sz w:val="24"/>
          <w:szCs w:val="22"/>
        </w:rPr>
        <w:tab/>
        <w:t xml:space="preserve">Michael P. Gorman.  My business address is </w:t>
      </w:r>
      <w:r w:rsidRPr="00874E57">
        <w:rPr>
          <w:bCs/>
          <w:sz w:val="24"/>
          <w:szCs w:val="22"/>
        </w:rPr>
        <w:t>16690 Swingley Ridge Road, Suite 140, Chesterfield, MO 63017</w:t>
      </w:r>
      <w:r w:rsidRPr="00874E57">
        <w:rPr>
          <w:rFonts w:cs="Arial"/>
          <w:bCs/>
          <w:sz w:val="24"/>
          <w:szCs w:val="22"/>
        </w:rPr>
        <w:t>.</w:t>
      </w:r>
    </w:p>
    <w:p w:rsidR="00874E57" w:rsidRPr="00874E57" w:rsidRDefault="00874E57" w:rsidP="00874E57">
      <w:pPr>
        <w:spacing w:after="240"/>
        <w:ind w:left="720" w:hanging="720"/>
        <w:jc w:val="both"/>
        <w:rPr>
          <w:rFonts w:cs="Arial"/>
          <w:b/>
          <w:sz w:val="24"/>
          <w:szCs w:val="22"/>
        </w:rPr>
      </w:pPr>
      <w:r w:rsidRPr="00874E57">
        <w:rPr>
          <w:rFonts w:cs="Arial"/>
          <w:b/>
          <w:sz w:val="24"/>
          <w:szCs w:val="22"/>
        </w:rPr>
        <w:t>Q.</w:t>
      </w:r>
      <w:r w:rsidRPr="00874E57">
        <w:rPr>
          <w:rFonts w:cs="Arial"/>
          <w:b/>
          <w:sz w:val="24"/>
          <w:szCs w:val="22"/>
        </w:rPr>
        <w:tab/>
        <w:t>PLEASE STATE YOUR OCCUPATION.</w:t>
      </w:r>
    </w:p>
    <w:p w:rsidR="00874E57" w:rsidRPr="00874E57" w:rsidRDefault="00874E57" w:rsidP="00874E57">
      <w:pPr>
        <w:tabs>
          <w:tab w:val="left" w:pos="720"/>
        </w:tabs>
        <w:spacing w:line="480" w:lineRule="auto"/>
        <w:ind w:left="720" w:hanging="720"/>
        <w:jc w:val="both"/>
        <w:rPr>
          <w:sz w:val="24"/>
          <w:szCs w:val="22"/>
        </w:rPr>
      </w:pPr>
      <w:r w:rsidRPr="00732BAF">
        <w:rPr>
          <w:bCs/>
          <w:sz w:val="24"/>
        </w:rPr>
        <w:t>A.</w:t>
      </w:r>
      <w:r w:rsidRPr="00874E57">
        <w:rPr>
          <w:sz w:val="24"/>
          <w:szCs w:val="22"/>
        </w:rPr>
        <w:tab/>
        <w:t>I am a consultant in the field of public utility regulation and a Managing Principal with Brubaker &amp; Associates, Inc. (“BAI”), energy, economic and regulatory consultants.</w:t>
      </w:r>
    </w:p>
    <w:p w:rsidR="00874E57" w:rsidRPr="00874E57" w:rsidRDefault="00874E57" w:rsidP="00874E57">
      <w:pPr>
        <w:spacing w:after="240"/>
        <w:ind w:left="720" w:hanging="720"/>
        <w:jc w:val="both"/>
        <w:rPr>
          <w:b/>
          <w:bCs/>
          <w:sz w:val="24"/>
          <w:szCs w:val="22"/>
        </w:rPr>
      </w:pPr>
      <w:r w:rsidRPr="00874E57">
        <w:rPr>
          <w:b/>
          <w:bCs/>
          <w:sz w:val="24"/>
          <w:szCs w:val="22"/>
        </w:rPr>
        <w:t>Q.</w:t>
      </w:r>
      <w:r w:rsidRPr="00874E57">
        <w:rPr>
          <w:b/>
          <w:bCs/>
          <w:sz w:val="24"/>
          <w:szCs w:val="22"/>
        </w:rPr>
        <w:tab/>
        <w:t>PLEASE SUMMARIZE YOUR EDUCATIONAL BACKGROUND AND WORK EXPERIENCE.</w:t>
      </w:r>
    </w:p>
    <w:p w:rsidR="00874E57" w:rsidRPr="00874E57" w:rsidRDefault="00874E57" w:rsidP="00874E57">
      <w:pPr>
        <w:tabs>
          <w:tab w:val="left" w:pos="720"/>
        </w:tabs>
        <w:spacing w:line="480" w:lineRule="auto"/>
        <w:ind w:left="720" w:hanging="720"/>
        <w:jc w:val="both"/>
        <w:rPr>
          <w:sz w:val="24"/>
          <w:szCs w:val="22"/>
        </w:rPr>
      </w:pPr>
      <w:r w:rsidRPr="00732BAF">
        <w:rPr>
          <w:bCs/>
          <w:sz w:val="24"/>
        </w:rPr>
        <w:t>A.</w:t>
      </w:r>
      <w:r w:rsidRPr="00874E57">
        <w:rPr>
          <w:sz w:val="24"/>
          <w:szCs w:val="22"/>
        </w:rPr>
        <w:tab/>
        <w:t>In 1983 I received a Bachelors of Science Degree in Electrical Engi</w:t>
      </w:r>
      <w:r w:rsidRPr="00874E57">
        <w:rPr>
          <w:sz w:val="24"/>
          <w:szCs w:val="22"/>
        </w:rPr>
        <w:softHyphen/>
        <w:t>neering from Southern Illinois Univer</w:t>
      </w:r>
      <w:r w:rsidRPr="00874E57">
        <w:rPr>
          <w:sz w:val="24"/>
          <w:szCs w:val="22"/>
        </w:rPr>
        <w:softHyphen/>
        <w:t>sity, and in 1986, I received a Masters Degree in Business Administration with a concentration in Finance from the University of Illinois at Springfield.  I have also completed sever</w:t>
      </w:r>
      <w:r w:rsidRPr="00874E57">
        <w:rPr>
          <w:sz w:val="24"/>
          <w:szCs w:val="22"/>
        </w:rPr>
        <w:softHyphen/>
        <w:t>al graduate level eco</w:t>
      </w:r>
      <w:r w:rsidRPr="00874E57">
        <w:rPr>
          <w:sz w:val="24"/>
          <w:szCs w:val="22"/>
        </w:rPr>
        <w:softHyphen/>
        <w:t>nomics courses.</w:t>
      </w:r>
    </w:p>
    <w:p w:rsidR="00874E57" w:rsidRPr="00874E57" w:rsidRDefault="00874E57" w:rsidP="00874E57">
      <w:pPr>
        <w:spacing w:line="480" w:lineRule="auto"/>
        <w:ind w:left="720" w:hanging="720"/>
        <w:jc w:val="both"/>
        <w:rPr>
          <w:sz w:val="24"/>
          <w:szCs w:val="22"/>
        </w:rPr>
      </w:pPr>
      <w:r w:rsidRPr="00874E57">
        <w:rPr>
          <w:sz w:val="24"/>
          <w:szCs w:val="22"/>
        </w:rPr>
        <w:tab/>
      </w:r>
      <w:r w:rsidRPr="00874E57">
        <w:rPr>
          <w:sz w:val="24"/>
          <w:szCs w:val="22"/>
        </w:rPr>
        <w:tab/>
        <w:t>In August of 1983, I accepted an analyst position with the Illinois Commerce Commission (“ICC”).  In this position, I per</w:t>
      </w:r>
      <w:r w:rsidRPr="00874E57">
        <w:rPr>
          <w:sz w:val="24"/>
          <w:szCs w:val="22"/>
        </w:rPr>
        <w:softHyphen/>
        <w:t>formed a variety of anal</w:t>
      </w:r>
      <w:r w:rsidRPr="00874E57">
        <w:rPr>
          <w:sz w:val="24"/>
          <w:szCs w:val="22"/>
        </w:rPr>
        <w:softHyphen/>
        <w:t>yses for both formal and informal investigations before the ICC, including:  marginal cost of energy, cen</w:t>
      </w:r>
      <w:r w:rsidRPr="00874E57">
        <w:rPr>
          <w:sz w:val="24"/>
          <w:szCs w:val="22"/>
        </w:rPr>
        <w:softHyphen/>
        <w:t>tral dispatch, avoided cost of energy, annual system produc</w:t>
      </w:r>
      <w:r w:rsidRPr="00874E57">
        <w:rPr>
          <w:sz w:val="24"/>
          <w:szCs w:val="22"/>
        </w:rPr>
        <w:softHyphen/>
        <w:t>tion costs, and working capital.  In October of 1986, I was promoted to the position of Senior Analyst.  In this position, I assumed the additional respon</w:t>
      </w:r>
      <w:r w:rsidRPr="00874E57">
        <w:rPr>
          <w:sz w:val="24"/>
          <w:szCs w:val="22"/>
        </w:rPr>
        <w:softHyphen/>
        <w:t>sibilities of technical leader on projects, and my areas of responsibil</w:t>
      </w:r>
      <w:r w:rsidRPr="00874E57">
        <w:rPr>
          <w:sz w:val="24"/>
          <w:szCs w:val="22"/>
        </w:rPr>
        <w:softHyphen/>
        <w:t xml:space="preserve">ity were expanded to include utility financial modeling and financial analyses. </w:t>
      </w:r>
    </w:p>
    <w:p w:rsidR="00874E57" w:rsidRPr="00874E57" w:rsidRDefault="00874E57" w:rsidP="00874E57">
      <w:pPr>
        <w:tabs>
          <w:tab w:val="left" w:pos="-1440"/>
        </w:tabs>
        <w:spacing w:line="480" w:lineRule="auto"/>
        <w:ind w:left="720" w:hanging="720"/>
        <w:jc w:val="both"/>
        <w:rPr>
          <w:bCs/>
          <w:sz w:val="24"/>
        </w:rPr>
      </w:pPr>
      <w:r w:rsidRPr="00874E57">
        <w:rPr>
          <w:b/>
          <w:bCs/>
          <w:sz w:val="24"/>
        </w:rPr>
        <w:tab/>
      </w:r>
      <w:r w:rsidRPr="00874E57">
        <w:rPr>
          <w:b/>
          <w:bCs/>
          <w:sz w:val="24"/>
        </w:rPr>
        <w:tab/>
      </w:r>
      <w:r w:rsidRPr="00874E57">
        <w:rPr>
          <w:bCs/>
          <w:sz w:val="24"/>
        </w:rPr>
        <w:t>In 1987, I was pro</w:t>
      </w:r>
      <w:r w:rsidRPr="00874E57">
        <w:rPr>
          <w:bCs/>
          <w:sz w:val="24"/>
        </w:rPr>
        <w:softHyphen/>
        <w:t>moted to Director of the Finan</w:t>
      </w:r>
      <w:r w:rsidRPr="00874E57">
        <w:rPr>
          <w:bCs/>
          <w:sz w:val="24"/>
        </w:rPr>
        <w:softHyphen/>
        <w:t>cial Analy</w:t>
      </w:r>
      <w:r w:rsidRPr="00874E57">
        <w:rPr>
          <w:bCs/>
          <w:sz w:val="24"/>
        </w:rPr>
        <w:softHyphen/>
        <w:t>sis Department.  In this posi</w:t>
      </w:r>
      <w:r w:rsidRPr="00874E57">
        <w:rPr>
          <w:bCs/>
          <w:sz w:val="24"/>
        </w:rPr>
        <w:softHyphen/>
        <w:t xml:space="preserve">tion, I was responsible for all financial analyses conducted by the Staff.  Among other things, I conducted analyses and sponsored testimony before the ICC on rate of return, financial integrity, financial modeling and related issues.  I also </w:t>
      </w:r>
      <w:r w:rsidRPr="00874E57">
        <w:rPr>
          <w:bCs/>
          <w:sz w:val="24"/>
        </w:rPr>
        <w:lastRenderedPageBreak/>
        <w:t>supervised the development of all Staff analyses and testimony on these same issues.  In addition, I supervised the Staff's review and recommendations to the Commission concerning utility plans to issue debt and equity securities.</w:t>
      </w:r>
    </w:p>
    <w:p w:rsidR="00874E57" w:rsidRPr="00874E57" w:rsidRDefault="00874E57" w:rsidP="00874E57">
      <w:pPr>
        <w:spacing w:line="480" w:lineRule="auto"/>
        <w:ind w:left="720" w:hanging="720"/>
        <w:jc w:val="both"/>
        <w:rPr>
          <w:sz w:val="24"/>
          <w:szCs w:val="22"/>
        </w:rPr>
      </w:pPr>
      <w:r w:rsidRPr="00874E57">
        <w:rPr>
          <w:sz w:val="24"/>
          <w:szCs w:val="22"/>
        </w:rPr>
        <w:tab/>
      </w:r>
      <w:r w:rsidRPr="00874E57">
        <w:rPr>
          <w:sz w:val="24"/>
          <w:szCs w:val="22"/>
        </w:rPr>
        <w:tab/>
        <w:t>In August of 1989, I accepted a position with Merrill-Lynch as a finan</w:t>
      </w:r>
      <w:r w:rsidRPr="00874E57">
        <w:rPr>
          <w:sz w:val="24"/>
          <w:szCs w:val="22"/>
        </w:rPr>
        <w:softHyphen/>
        <w:t>cial consultant.  After receiving all required securities licenses, I worked with indi</w:t>
      </w:r>
      <w:r w:rsidRPr="00874E57">
        <w:rPr>
          <w:sz w:val="24"/>
          <w:szCs w:val="22"/>
        </w:rPr>
        <w:softHyphen/>
        <w:t>vidual investors and small businesses in evaluating and selecting invest</w:t>
      </w:r>
      <w:r w:rsidRPr="00874E57">
        <w:rPr>
          <w:sz w:val="24"/>
          <w:szCs w:val="22"/>
        </w:rPr>
        <w:softHyphen/>
        <w:t>ments suitable to their requirements.</w:t>
      </w:r>
    </w:p>
    <w:p w:rsidR="00874E57" w:rsidRPr="00874E57" w:rsidRDefault="00874E57" w:rsidP="00874E57">
      <w:pPr>
        <w:spacing w:line="480" w:lineRule="auto"/>
        <w:ind w:left="720" w:hanging="720"/>
        <w:jc w:val="both"/>
        <w:rPr>
          <w:sz w:val="24"/>
          <w:szCs w:val="22"/>
        </w:rPr>
      </w:pPr>
      <w:r w:rsidRPr="00874E57">
        <w:rPr>
          <w:sz w:val="24"/>
          <w:szCs w:val="22"/>
        </w:rPr>
        <w:tab/>
      </w:r>
      <w:r w:rsidRPr="00874E57">
        <w:rPr>
          <w:sz w:val="24"/>
          <w:szCs w:val="22"/>
        </w:rPr>
        <w:tab/>
        <w:t>In September of 1990, I accepted a position with Drazen-Brubaker &amp; Associates, Inc. (“DBA”).  In April 1995, the firm of Brubaker &amp; Associates, Inc. was formed.  It includes most of the former DBA principals and Staff.  Since 1990, I have performed various analyses and sponsored testimony on cost of capital, cost/benefits of utility mergers and acquisitions, utility reorganizations, level of oper</w:t>
      </w:r>
      <w:r w:rsidRPr="00874E57">
        <w:rPr>
          <w:sz w:val="24"/>
          <w:szCs w:val="22"/>
        </w:rPr>
        <w:softHyphen/>
        <w:t>ating expenses and rate base, cost of service studies, and analyses relating to industrial jobs and economic develop</w:t>
      </w:r>
      <w:r w:rsidRPr="00874E57">
        <w:rPr>
          <w:sz w:val="24"/>
          <w:szCs w:val="22"/>
        </w:rPr>
        <w:softHyphen/>
        <w:t>ment.  I also participated in a study used to revise the financial policy for the municipal utility in Kansas City, Kansas.</w:t>
      </w:r>
    </w:p>
    <w:p w:rsidR="00874E57" w:rsidRPr="00874E57" w:rsidRDefault="00874E57" w:rsidP="00874E57">
      <w:pPr>
        <w:tabs>
          <w:tab w:val="left" w:pos="-1440"/>
        </w:tabs>
        <w:spacing w:line="480" w:lineRule="auto"/>
        <w:ind w:left="720" w:hanging="720"/>
        <w:jc w:val="both"/>
        <w:rPr>
          <w:bCs/>
          <w:sz w:val="24"/>
        </w:rPr>
      </w:pPr>
      <w:r w:rsidRPr="00874E57">
        <w:rPr>
          <w:b/>
          <w:bCs/>
          <w:sz w:val="24"/>
        </w:rPr>
        <w:tab/>
      </w:r>
      <w:r w:rsidRPr="00874E57">
        <w:rPr>
          <w:b/>
          <w:bCs/>
          <w:sz w:val="24"/>
        </w:rPr>
        <w:tab/>
      </w:r>
      <w:r w:rsidRPr="00874E57">
        <w:rPr>
          <w:bCs/>
          <w:sz w:val="24"/>
        </w:rPr>
        <w:t xml:space="preserve">At BAI, I also have extensive experience working with large energy users to distribute and critically evaluate responses to requests for proposals (“RFPs”) for electric, steam, and gas energy supply from competitive energy suppliers.  These analyses include the evaluation of gas supply and delivery charges, cogeneration and/or combined cycle unit feasibility studies, and the evaluation of third-party asset/supply management agreements.  I have participated in rate cases on rate design and class cost of service for electric, natural gas, water and wastewater utilities.  I have </w:t>
      </w:r>
      <w:r w:rsidRPr="00874E57">
        <w:rPr>
          <w:bCs/>
          <w:sz w:val="24"/>
        </w:rPr>
        <w:lastRenderedPageBreak/>
        <w:t>also analyzed commodity pricing indices and forward pricing methods for third party supply agreements, and have also conducted regional electric market price forecasts.</w:t>
      </w:r>
    </w:p>
    <w:p w:rsidR="00874E57" w:rsidRPr="00874E57" w:rsidRDefault="00874E57" w:rsidP="00874E57">
      <w:pPr>
        <w:spacing w:line="480" w:lineRule="auto"/>
        <w:ind w:left="720" w:hanging="720"/>
        <w:jc w:val="both"/>
        <w:rPr>
          <w:sz w:val="24"/>
          <w:szCs w:val="22"/>
        </w:rPr>
      </w:pPr>
      <w:r w:rsidRPr="00874E57">
        <w:rPr>
          <w:sz w:val="24"/>
          <w:szCs w:val="22"/>
        </w:rPr>
        <w:tab/>
      </w:r>
      <w:r w:rsidRPr="00874E57">
        <w:rPr>
          <w:sz w:val="24"/>
          <w:szCs w:val="22"/>
        </w:rPr>
        <w:tab/>
        <w:t>In addition to our main office in St. Louis, the firm also has branch offices in Phoenix, Arizona and Corpus Christi, Texas.</w:t>
      </w:r>
    </w:p>
    <w:p w:rsidR="00874E57" w:rsidRPr="00874E57" w:rsidRDefault="00874E57" w:rsidP="00874E57">
      <w:pPr>
        <w:spacing w:after="240"/>
        <w:ind w:left="720" w:hanging="720"/>
        <w:jc w:val="both"/>
        <w:rPr>
          <w:b/>
          <w:bCs/>
          <w:sz w:val="24"/>
          <w:szCs w:val="22"/>
        </w:rPr>
      </w:pPr>
      <w:r w:rsidRPr="00874E57">
        <w:rPr>
          <w:b/>
          <w:bCs/>
          <w:sz w:val="24"/>
          <w:szCs w:val="22"/>
        </w:rPr>
        <w:t>Q.</w:t>
      </w:r>
      <w:r w:rsidRPr="00874E57">
        <w:rPr>
          <w:b/>
          <w:bCs/>
          <w:sz w:val="24"/>
          <w:szCs w:val="22"/>
        </w:rPr>
        <w:tab/>
        <w:t>HAVE YOU EVER TESTIFIED BEFORE A REGULATORY BODY?</w:t>
      </w:r>
    </w:p>
    <w:p w:rsidR="00874E57" w:rsidRPr="00874E57" w:rsidRDefault="00874E57" w:rsidP="00874E57">
      <w:pPr>
        <w:tabs>
          <w:tab w:val="left" w:pos="720"/>
        </w:tabs>
        <w:spacing w:line="480" w:lineRule="auto"/>
        <w:ind w:left="720" w:hanging="720"/>
        <w:jc w:val="both"/>
        <w:rPr>
          <w:sz w:val="24"/>
          <w:szCs w:val="22"/>
        </w:rPr>
      </w:pPr>
      <w:r w:rsidRPr="00732BAF">
        <w:rPr>
          <w:bCs/>
          <w:sz w:val="24"/>
        </w:rPr>
        <w:t>A.</w:t>
      </w:r>
      <w:r w:rsidRPr="00874E57">
        <w:rPr>
          <w:sz w:val="24"/>
          <w:szCs w:val="22"/>
        </w:rPr>
        <w:tab/>
        <w:t xml:space="preserve">Yes.  I have sponsored testimony on cost of capital, revenue requirements, cost of service and other issues before the </w:t>
      </w:r>
      <w:r w:rsidRPr="00874E57">
        <w:rPr>
          <w:sz w:val="24"/>
        </w:rPr>
        <w:t>Federal Energy Regulatory Commission and numerous state</w:t>
      </w:r>
      <w:r w:rsidRPr="00874E57">
        <w:rPr>
          <w:sz w:val="24"/>
          <w:szCs w:val="22"/>
        </w:rPr>
        <w:t xml:space="preserve"> regulatory commissions including:  Arkansas, Arizona, California, Colorado, Delaware, Florida, Georgia, Idaho, Illinois, Indiana, Iowa, Kansas, Louisiana, Michigan, Missouri, Montana, New Jersey, New Mexico, New York, North Carolina, Ohio, Oklahoma, Oregon, South Carolina, Tennessee, Texas, Utah, Vermont, Virginia, Washington, West Virginia, Wisconsin, Wyoming, and before the provincial regulatory boards in Alberta and Nova Scotia, Canada.  I have also spon</w:t>
      </w:r>
      <w:r w:rsidRPr="00874E57">
        <w:rPr>
          <w:sz w:val="24"/>
          <w:szCs w:val="22"/>
        </w:rPr>
        <w:softHyphen/>
        <w:t>sored testimony before the Board of Public Utilities in Kansas City, Kansas; presented rate setting position reports to the regulatory board of the municipal utility in Austin, Texas, and Salt River Project, Arizona, on behalf of industrial customers; and negotiated rate disputes for industrial customers of the Municipal Electric Authority of Georgia in the LaGrange, Georgia district.</w:t>
      </w:r>
    </w:p>
    <w:p w:rsidR="00874E57" w:rsidRPr="00874E57" w:rsidRDefault="00874E57" w:rsidP="00874E57">
      <w:pPr>
        <w:spacing w:after="240"/>
        <w:ind w:left="720" w:hanging="720"/>
        <w:jc w:val="both"/>
        <w:rPr>
          <w:b/>
          <w:bCs/>
          <w:sz w:val="24"/>
          <w:szCs w:val="22"/>
        </w:rPr>
      </w:pPr>
      <w:r w:rsidRPr="00874E57">
        <w:rPr>
          <w:b/>
          <w:bCs/>
          <w:sz w:val="24"/>
          <w:szCs w:val="22"/>
        </w:rPr>
        <w:t>Q.</w:t>
      </w:r>
      <w:r w:rsidRPr="00874E57">
        <w:rPr>
          <w:b/>
          <w:bCs/>
          <w:sz w:val="24"/>
          <w:szCs w:val="22"/>
        </w:rPr>
        <w:tab/>
        <w:t>PLEASE DESCRIBE ANY PROFESSIONAL REGISTRATIONS OR ORGANIZATIONS TO WHICH YOU BELONG.</w:t>
      </w:r>
    </w:p>
    <w:p w:rsidR="00874E57" w:rsidRDefault="00874E57" w:rsidP="00874E57">
      <w:pPr>
        <w:tabs>
          <w:tab w:val="left" w:pos="-1440"/>
        </w:tabs>
        <w:spacing w:line="480" w:lineRule="auto"/>
        <w:ind w:left="720" w:hanging="720"/>
        <w:jc w:val="both"/>
        <w:rPr>
          <w:bCs/>
          <w:sz w:val="24"/>
        </w:rPr>
      </w:pPr>
      <w:r w:rsidRPr="00732BAF">
        <w:rPr>
          <w:bCs/>
          <w:sz w:val="24"/>
        </w:rPr>
        <w:t>A.</w:t>
      </w:r>
      <w:r w:rsidRPr="00874E57">
        <w:rPr>
          <w:bCs/>
          <w:sz w:val="24"/>
        </w:rPr>
        <w:tab/>
        <w:t>I earned the designation of Chartered Financial Analyst (“CFA”) from the CFA Institute.  The CFA charter was awarded after successfully completing three examinations which covered the subject areas of financial account</w:t>
      </w:r>
      <w:r w:rsidRPr="00874E57">
        <w:rPr>
          <w:bCs/>
          <w:sz w:val="24"/>
        </w:rPr>
        <w:softHyphen/>
        <w:t xml:space="preserve">ing, economics, </w:t>
      </w:r>
      <w:r w:rsidRPr="00874E57">
        <w:rPr>
          <w:bCs/>
          <w:sz w:val="24"/>
        </w:rPr>
        <w:lastRenderedPageBreak/>
        <w:t>fixed income and equity valuation and profes</w:t>
      </w:r>
      <w:r w:rsidRPr="00874E57">
        <w:rPr>
          <w:bCs/>
          <w:sz w:val="24"/>
        </w:rPr>
        <w:softHyphen/>
        <w:t>sional and ethical conduct.  I am a member of the CFA Institute’s Financial Analyst Society.</w:t>
      </w:r>
    </w:p>
    <w:p w:rsidR="00874E57" w:rsidRPr="00874E57" w:rsidRDefault="00874E57" w:rsidP="00874E57">
      <w:pPr>
        <w:suppressLineNumbers/>
        <w:tabs>
          <w:tab w:val="left" w:pos="-1440"/>
        </w:tabs>
        <w:spacing w:line="480" w:lineRule="auto"/>
        <w:ind w:left="720" w:hanging="720"/>
        <w:jc w:val="both"/>
        <w:rPr>
          <w:bCs/>
          <w:sz w:val="12"/>
          <w:szCs w:val="12"/>
        </w:rPr>
      </w:pPr>
      <w:r w:rsidRPr="00874E57">
        <w:rPr>
          <w:bCs/>
          <w:sz w:val="12"/>
          <w:szCs w:val="12"/>
        </w:rPr>
        <w:t>9930/266707</w:t>
      </w:r>
    </w:p>
    <w:sectPr w:rsidR="00874E57" w:rsidRPr="00874E57" w:rsidSect="00EC55F2">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25" w:rsidRDefault="00DB1B25" w:rsidP="00E13A48">
      <w:r>
        <w:separator/>
      </w:r>
    </w:p>
  </w:endnote>
  <w:endnote w:type="continuationSeparator" w:id="0">
    <w:p w:rsidR="00DB1B25" w:rsidRDefault="00DB1B25" w:rsidP="00E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3D" w:rsidRPr="00ED1E4B" w:rsidRDefault="00732BAF" w:rsidP="00C16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25" w:rsidRDefault="00DB1B25" w:rsidP="00E13A48">
      <w:r>
        <w:separator/>
      </w:r>
    </w:p>
  </w:footnote>
  <w:footnote w:type="continuationSeparator" w:id="0">
    <w:p w:rsidR="00DB1B25" w:rsidRDefault="00DB1B25" w:rsidP="00E1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8" w:rsidRPr="00E13A48" w:rsidRDefault="00E13A48" w:rsidP="00E13A48">
    <w:pPr>
      <w:autoSpaceDE w:val="0"/>
      <w:autoSpaceDN w:val="0"/>
      <w:adjustRightInd w:val="0"/>
      <w:jc w:val="right"/>
      <w:rPr>
        <w:bCs/>
        <w:sz w:val="24"/>
        <w:szCs w:val="24"/>
      </w:rPr>
    </w:pPr>
    <w:r>
      <w:rPr>
        <w:bCs/>
        <w:sz w:val="24"/>
        <w:szCs w:val="24"/>
      </w:rPr>
      <w:t>Exhibit No.__</w:t>
    </w:r>
    <w:proofErr w:type="gramStart"/>
    <w:r>
      <w:rPr>
        <w:bCs/>
        <w:sz w:val="24"/>
        <w:szCs w:val="24"/>
      </w:rPr>
      <w:t>_(</w:t>
    </w:r>
    <w:proofErr w:type="gramEnd"/>
    <w:r>
      <w:rPr>
        <w:bCs/>
        <w:sz w:val="24"/>
        <w:szCs w:val="24"/>
      </w:rPr>
      <w:t>MPG-</w:t>
    </w:r>
    <w:r w:rsidR="00874E57">
      <w:rPr>
        <w:bCs/>
        <w:sz w:val="24"/>
        <w:szCs w:val="24"/>
      </w:rPr>
      <w:t>2</w:t>
    </w:r>
    <w:r w:rsidRPr="00E13A48">
      <w:rPr>
        <w:bCs/>
        <w:sz w:val="24"/>
        <w:szCs w:val="24"/>
      </w:rPr>
      <w:t>)</w:t>
    </w:r>
  </w:p>
  <w:p w:rsidR="00E13A48" w:rsidRPr="00E13A48" w:rsidRDefault="00E13A48" w:rsidP="00E13A48">
    <w:pPr>
      <w:jc w:val="right"/>
      <w:rPr>
        <w:sz w:val="24"/>
        <w:szCs w:val="24"/>
      </w:rPr>
    </w:pPr>
    <w:r w:rsidRPr="00E13A48">
      <w:rPr>
        <w:sz w:val="24"/>
        <w:szCs w:val="24"/>
      </w:rPr>
      <w:t xml:space="preserve">Docket No. </w:t>
    </w:r>
    <w:r w:rsidRPr="00E13A48">
      <w:rPr>
        <w:smallCaps/>
        <w:sz w:val="24"/>
        <w:szCs w:val="24"/>
      </w:rPr>
      <w:t>UE-140762</w:t>
    </w:r>
    <w:r w:rsidR="00D079C2">
      <w:rPr>
        <w:smallCaps/>
        <w:sz w:val="24"/>
        <w:szCs w:val="24"/>
      </w:rPr>
      <w:t xml:space="preserve"> </w:t>
    </w:r>
    <w:r w:rsidR="00D079C2">
      <w:rPr>
        <w:i/>
        <w:sz w:val="24"/>
        <w:szCs w:val="24"/>
      </w:rPr>
      <w:t>et al.</w:t>
    </w:r>
  </w:p>
  <w:p w:rsidR="00E13A48" w:rsidRPr="00E13A48" w:rsidRDefault="00E13A48" w:rsidP="00E13A48">
    <w:pPr>
      <w:pStyle w:val="Header"/>
      <w:jc w:val="right"/>
      <w:rPr>
        <w:sz w:val="24"/>
        <w:szCs w:val="24"/>
      </w:rPr>
    </w:pPr>
    <w:r w:rsidRPr="00E13A48">
      <w:rPr>
        <w:bCs/>
        <w:sz w:val="24"/>
        <w:szCs w:val="24"/>
      </w:rPr>
      <w:t>Witness:  Michael P. Gorman</w:t>
    </w:r>
  </w:p>
  <w:p w:rsidR="00E13A48" w:rsidRDefault="00E13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15" w:rsidRPr="002265B4" w:rsidRDefault="00732BAF" w:rsidP="002A5815">
    <w:pPr>
      <w:autoSpaceDE w:val="0"/>
      <w:autoSpaceDN w:val="0"/>
      <w:adjustRightInd w:val="0"/>
      <w:jc w:val="right"/>
      <w:rPr>
        <w:bCs/>
        <w:szCs w:val="24"/>
      </w:rPr>
    </w:pPr>
    <w:r w:rsidRPr="002265B4">
      <w:rPr>
        <w:bCs/>
        <w:szCs w:val="24"/>
      </w:rPr>
      <w:t>Exhibit No.__</w:t>
    </w:r>
    <w:proofErr w:type="gramStart"/>
    <w:r w:rsidRPr="002265B4">
      <w:rPr>
        <w:bCs/>
        <w:szCs w:val="24"/>
      </w:rPr>
      <w:t>_(</w:t>
    </w:r>
    <w:proofErr w:type="gramEnd"/>
    <w:r w:rsidRPr="002265B4">
      <w:rPr>
        <w:bCs/>
        <w:szCs w:val="24"/>
      </w:rPr>
      <w:t>MPG-</w:t>
    </w:r>
    <w:r>
      <w:rPr>
        <w:bCs/>
        <w:szCs w:val="24"/>
      </w:rPr>
      <w:t>2</w:t>
    </w:r>
    <w:r w:rsidRPr="002265B4">
      <w:rPr>
        <w:bCs/>
        <w:szCs w:val="24"/>
      </w:rPr>
      <w:t>)</w:t>
    </w:r>
  </w:p>
  <w:p w:rsidR="002A5815" w:rsidRDefault="00732BAF" w:rsidP="002A5815">
    <w:pPr>
      <w:pStyle w:val="Footer"/>
      <w:tabs>
        <w:tab w:val="right" w:pos="9090"/>
      </w:tabs>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4</w:t>
    </w:r>
  </w:p>
  <w:p w:rsidR="00E90F77" w:rsidRPr="004951D1" w:rsidRDefault="00732BAF" w:rsidP="002A5815">
    <w:pPr>
      <w:pStyle w:val="Footer"/>
      <w:tabs>
        <w:tab w:val="right" w:pos="9090"/>
      </w:tabs>
      <w:jc w:val="right"/>
      <w:rPr>
        <w:szCs w:val="24"/>
      </w:rPr>
    </w:pPr>
  </w:p>
  <w:p w:rsidR="00C16CF5" w:rsidRPr="00D2206D" w:rsidRDefault="00732BAF" w:rsidP="00D22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7CA5"/>
    <w:rsid w:val="0003388B"/>
    <w:rsid w:val="00172B08"/>
    <w:rsid w:val="002B3BD0"/>
    <w:rsid w:val="00357B30"/>
    <w:rsid w:val="00732BAF"/>
    <w:rsid w:val="00853834"/>
    <w:rsid w:val="00874E57"/>
    <w:rsid w:val="00917CA5"/>
    <w:rsid w:val="00B857BD"/>
    <w:rsid w:val="00D079C2"/>
    <w:rsid w:val="00DB1B25"/>
    <w:rsid w:val="00E1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A48"/>
    <w:pPr>
      <w:tabs>
        <w:tab w:val="center" w:pos="4680"/>
        <w:tab w:val="right" w:pos="9360"/>
      </w:tabs>
    </w:pPr>
  </w:style>
  <w:style w:type="character" w:customStyle="1" w:styleId="HeaderChar">
    <w:name w:val="Header Char"/>
    <w:basedOn w:val="DefaultParagraphFont"/>
    <w:link w:val="Header"/>
    <w:rsid w:val="00E13A48"/>
    <w:rPr>
      <w:rFonts w:ascii="Times New Roman" w:eastAsia="Times New Roman" w:hAnsi="Times New Roman" w:cs="Times New Roman"/>
      <w:sz w:val="20"/>
      <w:szCs w:val="20"/>
    </w:rPr>
  </w:style>
  <w:style w:type="paragraph" w:styleId="Footer">
    <w:name w:val="footer"/>
    <w:basedOn w:val="Normal"/>
    <w:link w:val="FooterChar"/>
    <w:unhideWhenUsed/>
    <w:rsid w:val="00E13A48"/>
    <w:pPr>
      <w:tabs>
        <w:tab w:val="center" w:pos="4680"/>
        <w:tab w:val="right" w:pos="9360"/>
      </w:tabs>
    </w:pPr>
  </w:style>
  <w:style w:type="character" w:customStyle="1" w:styleId="FooterChar">
    <w:name w:val="Footer Char"/>
    <w:basedOn w:val="DefaultParagraphFont"/>
    <w:link w:val="Footer"/>
    <w:rsid w:val="00E13A48"/>
    <w:rPr>
      <w:rFonts w:ascii="Times New Roman" w:eastAsia="Times New Roman" w:hAnsi="Times New Roman" w:cs="Times New Roman"/>
      <w:sz w:val="20"/>
      <w:szCs w:val="20"/>
    </w:rPr>
  </w:style>
  <w:style w:type="character" w:styleId="PageNumber">
    <w:name w:val="page number"/>
    <w:basedOn w:val="DefaultParagraphFont"/>
    <w:semiHidden/>
    <w:rsid w:val="00874E57"/>
  </w:style>
  <w:style w:type="character" w:styleId="LineNumber">
    <w:name w:val="line number"/>
    <w:basedOn w:val="DefaultParagraphFont"/>
    <w:uiPriority w:val="99"/>
    <w:semiHidden/>
    <w:unhideWhenUsed/>
    <w:rsid w:val="00874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A48"/>
    <w:pPr>
      <w:tabs>
        <w:tab w:val="center" w:pos="4680"/>
        <w:tab w:val="right" w:pos="9360"/>
      </w:tabs>
    </w:pPr>
  </w:style>
  <w:style w:type="character" w:customStyle="1" w:styleId="HeaderChar">
    <w:name w:val="Header Char"/>
    <w:basedOn w:val="DefaultParagraphFont"/>
    <w:link w:val="Header"/>
    <w:uiPriority w:val="99"/>
    <w:rsid w:val="00E13A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13A48"/>
    <w:pPr>
      <w:tabs>
        <w:tab w:val="center" w:pos="4680"/>
        <w:tab w:val="right" w:pos="9360"/>
      </w:tabs>
    </w:pPr>
  </w:style>
  <w:style w:type="character" w:customStyle="1" w:styleId="FooterChar">
    <w:name w:val="Footer Char"/>
    <w:basedOn w:val="DefaultParagraphFont"/>
    <w:link w:val="Footer"/>
    <w:uiPriority w:val="99"/>
    <w:rsid w:val="00E13A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7E56CF-3EF0-45C1-99C6-09BF1457E95D}"/>
</file>

<file path=customXml/itemProps2.xml><?xml version="1.0" encoding="utf-8"?>
<ds:datastoreItem xmlns:ds="http://schemas.openxmlformats.org/officeDocument/2006/customXml" ds:itemID="{EE3335B1-000C-4093-A31D-087C78156C4A}"/>
</file>

<file path=customXml/itemProps3.xml><?xml version="1.0" encoding="utf-8"?>
<ds:datastoreItem xmlns:ds="http://schemas.openxmlformats.org/officeDocument/2006/customXml" ds:itemID="{B2416ECC-2453-4112-8F6C-9C8B1F2DFF13}"/>
</file>

<file path=customXml/itemProps4.xml><?xml version="1.0" encoding="utf-8"?>
<ds:datastoreItem xmlns:ds="http://schemas.openxmlformats.org/officeDocument/2006/customXml" ds:itemID="{715ECF38-7C3C-431A-9871-6428F04C98B8}"/>
</file>

<file path=customXml/itemProps5.xml><?xml version="1.0" encoding="utf-8"?>
<ds:datastoreItem xmlns:ds="http://schemas.openxmlformats.org/officeDocument/2006/customXml" ds:itemID="{D1E67258-8A15-4BC7-B8DA-76EB5174A28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3</cp:revision>
  <dcterms:created xsi:type="dcterms:W3CDTF">2014-10-02T23:05:00Z</dcterms:created>
  <dcterms:modified xsi:type="dcterms:W3CDTF">2014-10-08T15:32:00Z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