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F1" w:rsidRPr="004A2910" w:rsidRDefault="000754F1" w:rsidP="000754F1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0754F1" w:rsidRPr="005532F3" w:rsidRDefault="000754F1" w:rsidP="000754F1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0754F1" w:rsidRPr="005532F3" w:rsidTr="000B07D4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 xml:space="preserve">WASHINGTON UTILITIES AND TRANSPORTATION COMMISSION, </w:t>
            </w:r>
          </w:p>
          <w:p w:rsidR="000754F1" w:rsidRPr="005532F3" w:rsidRDefault="000754F1" w:rsidP="000B07D4">
            <w:pPr>
              <w:rPr>
                <w:sz w:val="24"/>
              </w:rPr>
            </w:pPr>
          </w:p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ab/>
            </w:r>
            <w:r w:rsidRPr="005532F3">
              <w:rPr>
                <w:sz w:val="24"/>
              </w:rPr>
              <w:tab/>
              <w:t>Complainant,</w:t>
            </w:r>
          </w:p>
          <w:p w:rsidR="000754F1" w:rsidRPr="005532F3" w:rsidRDefault="000754F1" w:rsidP="000B07D4">
            <w:pPr>
              <w:rPr>
                <w:sz w:val="24"/>
              </w:rPr>
            </w:pPr>
          </w:p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>v.</w:t>
            </w:r>
          </w:p>
          <w:p w:rsidR="000754F1" w:rsidRPr="005532F3" w:rsidRDefault="000754F1" w:rsidP="000B07D4">
            <w:pPr>
              <w:rPr>
                <w:sz w:val="24"/>
              </w:rPr>
            </w:pPr>
          </w:p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 xml:space="preserve">PUGET SOUND ENERGY, INC., </w:t>
            </w:r>
          </w:p>
          <w:p w:rsidR="000754F1" w:rsidRPr="005532F3" w:rsidRDefault="000754F1" w:rsidP="000B07D4">
            <w:pPr>
              <w:rPr>
                <w:sz w:val="24"/>
              </w:rPr>
            </w:pPr>
          </w:p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ab/>
            </w:r>
            <w:r w:rsidRPr="005532F3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ab/>
              <w:t xml:space="preserve">DOCKETS UE-090704 </w:t>
            </w:r>
          </w:p>
          <w:p w:rsidR="000754F1" w:rsidRPr="005532F3" w:rsidRDefault="000754F1" w:rsidP="000B07D4">
            <w:pPr>
              <w:rPr>
                <w:sz w:val="24"/>
              </w:rPr>
            </w:pPr>
            <w:r w:rsidRPr="005532F3">
              <w:rPr>
                <w:sz w:val="24"/>
              </w:rPr>
              <w:tab/>
              <w:t xml:space="preserve">and UG-090705 (consolidated) </w:t>
            </w:r>
          </w:p>
          <w:p w:rsidR="000754F1" w:rsidRPr="005532F3" w:rsidRDefault="000754F1" w:rsidP="000B07D4">
            <w:pPr>
              <w:rPr>
                <w:sz w:val="24"/>
              </w:rPr>
            </w:pPr>
          </w:p>
          <w:p w:rsidR="000754F1" w:rsidRPr="005532F3" w:rsidRDefault="000754F1" w:rsidP="000754F1">
            <w:pPr>
              <w:ind w:left="720"/>
              <w:rPr>
                <w:sz w:val="24"/>
              </w:rPr>
            </w:pPr>
            <w:r>
              <w:rPr>
                <w:sz w:val="24"/>
              </w:rPr>
              <w:t>COMMISSION STAFF RESPONSE TO PSE MOTION FOR LEAVE TO FILE SUPPLEMENTAL TESTIMONY AND EXHIBITS</w:t>
            </w:r>
          </w:p>
        </w:tc>
      </w:tr>
    </w:tbl>
    <w:p w:rsidR="000754F1" w:rsidRPr="005532F3" w:rsidRDefault="000754F1" w:rsidP="000754F1">
      <w:pPr>
        <w:jc w:val="both"/>
        <w:rPr>
          <w:sz w:val="24"/>
        </w:rPr>
      </w:pPr>
    </w:p>
    <w:p w:rsidR="00E63D85" w:rsidRDefault="000754F1" w:rsidP="000754F1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  <w:t>By motion dated September 28</w:t>
      </w:r>
      <w:r w:rsidRPr="00EF374F">
        <w:rPr>
          <w:sz w:val="24"/>
        </w:rPr>
        <w:t xml:space="preserve">, 2009, Puget Sound Energy, Inc. </w:t>
      </w:r>
      <w:r>
        <w:rPr>
          <w:sz w:val="24"/>
        </w:rPr>
        <w:t xml:space="preserve">(PSE) </w:t>
      </w:r>
      <w:r w:rsidRPr="00EF374F">
        <w:rPr>
          <w:sz w:val="24"/>
        </w:rPr>
        <w:t>seeks permission to fi</w:t>
      </w:r>
      <w:r>
        <w:rPr>
          <w:sz w:val="24"/>
        </w:rPr>
        <w:t xml:space="preserve">le the supplemental </w:t>
      </w:r>
      <w:r w:rsidRPr="00EF374F">
        <w:rPr>
          <w:sz w:val="24"/>
        </w:rPr>
        <w:t xml:space="preserve">direct testimony and exhibits of </w:t>
      </w:r>
      <w:r>
        <w:rPr>
          <w:sz w:val="24"/>
        </w:rPr>
        <w:t xml:space="preserve">John H. Story, David E. Mills, Donald E. Gaines, David W. Hoff, Louis E. Odom, and R. Clay Riding.  PSE states that the </w:t>
      </w:r>
      <w:r w:rsidRPr="000754F1">
        <w:rPr>
          <w:sz w:val="24"/>
        </w:rPr>
        <w:t>supplemental testimony</w:t>
      </w:r>
      <w:r w:rsidR="00E63D85">
        <w:rPr>
          <w:sz w:val="24"/>
        </w:rPr>
        <w:t xml:space="preserve">:  </w:t>
      </w:r>
    </w:p>
    <w:p w:rsidR="00E63D85" w:rsidRDefault="000B07D4" w:rsidP="00E63D8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 xml:space="preserve">updates its </w:t>
      </w:r>
      <w:r w:rsidR="000754F1" w:rsidRPr="00E63D85">
        <w:rPr>
          <w:sz w:val="24"/>
        </w:rPr>
        <w:t>power cost projections for the rate year</w:t>
      </w:r>
      <w:r w:rsidR="00E63D85">
        <w:rPr>
          <w:sz w:val="24"/>
        </w:rPr>
        <w:t>;</w:t>
      </w:r>
    </w:p>
    <w:p w:rsidR="00E63D85" w:rsidRDefault="000754F1" w:rsidP="00E63D8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E63D85">
        <w:rPr>
          <w:sz w:val="24"/>
        </w:rPr>
        <w:t xml:space="preserve">updates its load forecast to reflect changes in economic data since PSE </w:t>
      </w:r>
      <w:r w:rsidR="000B07D4">
        <w:rPr>
          <w:sz w:val="24"/>
        </w:rPr>
        <w:t xml:space="preserve">last prepared a </w:t>
      </w:r>
      <w:r w:rsidRPr="00E63D85">
        <w:rPr>
          <w:sz w:val="24"/>
        </w:rPr>
        <w:t>load f</w:t>
      </w:r>
      <w:r w:rsidR="00E63D85" w:rsidRPr="00E63D85">
        <w:rPr>
          <w:sz w:val="24"/>
        </w:rPr>
        <w:t xml:space="preserve">orecast in </w:t>
      </w:r>
      <w:r w:rsidRPr="00E63D85">
        <w:rPr>
          <w:sz w:val="24"/>
        </w:rPr>
        <w:t>the fall of 2008</w:t>
      </w:r>
      <w:r w:rsidR="00E63D85">
        <w:rPr>
          <w:sz w:val="24"/>
        </w:rPr>
        <w:t>;</w:t>
      </w:r>
    </w:p>
    <w:p w:rsidR="00E63D85" w:rsidRDefault="000754F1" w:rsidP="00E63D8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E63D85">
        <w:rPr>
          <w:sz w:val="24"/>
        </w:rPr>
        <w:t>revises the cost of long-term debt and rate of return to reflect a recently completed bond issuance</w:t>
      </w:r>
      <w:r w:rsidR="00E63D85">
        <w:rPr>
          <w:sz w:val="24"/>
        </w:rPr>
        <w:t>;</w:t>
      </w:r>
    </w:p>
    <w:p w:rsidR="00E63D85" w:rsidRDefault="000754F1" w:rsidP="00E63D8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E63D85">
        <w:rPr>
          <w:sz w:val="24"/>
        </w:rPr>
        <w:t xml:space="preserve">corrects certain pro forma and restating adjustments; and </w:t>
      </w:r>
    </w:p>
    <w:p w:rsidR="000754F1" w:rsidRPr="00E63D85" w:rsidRDefault="000754F1" w:rsidP="00E63D85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E63D85">
        <w:rPr>
          <w:sz w:val="24"/>
        </w:rPr>
        <w:t>updates various adjustments based on more recent data than was available when PSE prepared its original filing.</w:t>
      </w:r>
      <w:r w:rsidR="00E63D85">
        <w:rPr>
          <w:rStyle w:val="FootnoteReference"/>
          <w:sz w:val="24"/>
        </w:rPr>
        <w:footnoteReference w:id="1"/>
      </w:r>
    </w:p>
    <w:p w:rsidR="00E63D85" w:rsidRDefault="000754F1" w:rsidP="00E63D85">
      <w:pPr>
        <w:numPr>
          <w:ilvl w:val="0"/>
          <w:numId w:val="1"/>
        </w:numPr>
        <w:spacing w:line="480" w:lineRule="auto"/>
        <w:rPr>
          <w:sz w:val="24"/>
        </w:rPr>
      </w:pPr>
      <w:r w:rsidRPr="00E63D85">
        <w:rPr>
          <w:sz w:val="24"/>
        </w:rPr>
        <w:tab/>
        <w:t xml:space="preserve">Commission Staff does not oppose the motion, with </w:t>
      </w:r>
      <w:r w:rsidR="001B1B30">
        <w:rPr>
          <w:sz w:val="24"/>
        </w:rPr>
        <w:t xml:space="preserve">the same </w:t>
      </w:r>
      <w:r w:rsidRPr="00E63D85">
        <w:rPr>
          <w:sz w:val="24"/>
        </w:rPr>
        <w:t>two caveats</w:t>
      </w:r>
      <w:r w:rsidR="001B1B30">
        <w:rPr>
          <w:sz w:val="24"/>
        </w:rPr>
        <w:t xml:space="preserve"> the Commission accepted when it allowed PSE to file an earlier round of supplemental testimony and exhibits</w:t>
      </w:r>
      <w:r w:rsidRPr="00E63D85">
        <w:rPr>
          <w:sz w:val="24"/>
        </w:rPr>
        <w:t>.</w:t>
      </w:r>
      <w:r w:rsidR="001B1B30">
        <w:rPr>
          <w:rStyle w:val="FootnoteReference"/>
          <w:sz w:val="24"/>
        </w:rPr>
        <w:footnoteReference w:id="2"/>
      </w:r>
      <w:r w:rsidRPr="00E63D85">
        <w:rPr>
          <w:sz w:val="24"/>
        </w:rPr>
        <w:t xml:space="preserve">  First, the issue now presented is only whether the Commission </w:t>
      </w:r>
      <w:r w:rsidR="001B1B30">
        <w:rPr>
          <w:sz w:val="24"/>
        </w:rPr>
        <w:lastRenderedPageBreak/>
        <w:t xml:space="preserve">should grant </w:t>
      </w:r>
      <w:r w:rsidRPr="00E63D85">
        <w:rPr>
          <w:sz w:val="24"/>
        </w:rPr>
        <w:t xml:space="preserve">PSE </w:t>
      </w:r>
      <w:r w:rsidR="001B1B30">
        <w:rPr>
          <w:sz w:val="24"/>
        </w:rPr>
        <w:t xml:space="preserve">leave </w:t>
      </w:r>
      <w:r w:rsidRPr="00E63D85">
        <w:rPr>
          <w:sz w:val="24"/>
        </w:rPr>
        <w:t>to file supplemental testimony</w:t>
      </w:r>
      <w:r w:rsidR="00507547">
        <w:rPr>
          <w:sz w:val="24"/>
        </w:rPr>
        <w:t xml:space="preserve"> and exhibits.  </w:t>
      </w:r>
      <w:r w:rsidR="001B1B30">
        <w:rPr>
          <w:sz w:val="24"/>
        </w:rPr>
        <w:t>Therefore, granting PSE’s motion does not waive any party’s right</w:t>
      </w:r>
      <w:r w:rsidR="00E63D85" w:rsidRPr="00AD27F6">
        <w:rPr>
          <w:sz w:val="24"/>
        </w:rPr>
        <w:t xml:space="preserve"> to contest the merits of the supplemental testimony and</w:t>
      </w:r>
      <w:r w:rsidR="00EA2485">
        <w:rPr>
          <w:sz w:val="24"/>
        </w:rPr>
        <w:t xml:space="preserve"> exhibits through their</w:t>
      </w:r>
      <w:r w:rsidR="00E63D85">
        <w:rPr>
          <w:sz w:val="24"/>
        </w:rPr>
        <w:t xml:space="preserve"> response</w:t>
      </w:r>
      <w:r w:rsidR="00E63D85" w:rsidRPr="00AD27F6">
        <w:rPr>
          <w:sz w:val="24"/>
        </w:rPr>
        <w:t xml:space="preserve"> case.</w:t>
      </w:r>
      <w:r w:rsidR="00E63D85">
        <w:rPr>
          <w:sz w:val="24"/>
        </w:rPr>
        <w:t xml:space="preserve">  </w:t>
      </w:r>
      <w:r w:rsidR="001B1B30">
        <w:rPr>
          <w:sz w:val="24"/>
        </w:rPr>
        <w:t>Nor does it waive any party’s right</w:t>
      </w:r>
      <w:r w:rsidRPr="00E63D85">
        <w:rPr>
          <w:sz w:val="24"/>
        </w:rPr>
        <w:t xml:space="preserve"> to contest the admissibility of the supplemental </w:t>
      </w:r>
      <w:r w:rsidR="00507547">
        <w:rPr>
          <w:sz w:val="24"/>
        </w:rPr>
        <w:t xml:space="preserve">materials when they are </w:t>
      </w:r>
      <w:r w:rsidRPr="00E63D85">
        <w:rPr>
          <w:sz w:val="24"/>
        </w:rPr>
        <w:t xml:space="preserve">offered at hearing.  </w:t>
      </w:r>
    </w:p>
    <w:p w:rsidR="007341C7" w:rsidRDefault="00E63D85" w:rsidP="00227C6C">
      <w:pPr>
        <w:numPr>
          <w:ilvl w:val="0"/>
          <w:numId w:val="1"/>
        </w:numPr>
        <w:spacing w:line="480" w:lineRule="auto"/>
        <w:ind w:right="-162"/>
        <w:rPr>
          <w:sz w:val="24"/>
        </w:rPr>
      </w:pPr>
      <w:r>
        <w:rPr>
          <w:sz w:val="24"/>
        </w:rPr>
        <w:tab/>
      </w:r>
      <w:r w:rsidR="000754F1" w:rsidRPr="00E63D85">
        <w:rPr>
          <w:sz w:val="24"/>
        </w:rPr>
        <w:t>Second, the supplemental</w:t>
      </w:r>
      <w:r w:rsidR="00EA2485">
        <w:rPr>
          <w:sz w:val="24"/>
        </w:rPr>
        <w:t xml:space="preserve"> testimony and exhibits reflect higher</w:t>
      </w:r>
      <w:r w:rsidR="000754F1" w:rsidRPr="00E63D85">
        <w:rPr>
          <w:sz w:val="24"/>
        </w:rPr>
        <w:t xml:space="preserve"> </w:t>
      </w:r>
      <w:r>
        <w:rPr>
          <w:sz w:val="24"/>
        </w:rPr>
        <w:t>electricity</w:t>
      </w:r>
      <w:r w:rsidR="000754F1" w:rsidRPr="00E63D85">
        <w:rPr>
          <w:sz w:val="24"/>
        </w:rPr>
        <w:t xml:space="preserve"> </w:t>
      </w:r>
      <w:r w:rsidR="00442F41">
        <w:rPr>
          <w:sz w:val="24"/>
        </w:rPr>
        <w:t xml:space="preserve">and natural gas </w:t>
      </w:r>
      <w:r w:rsidR="000754F1" w:rsidRPr="00E63D85">
        <w:rPr>
          <w:sz w:val="24"/>
        </w:rPr>
        <w:t>revenue requirement</w:t>
      </w:r>
      <w:r w:rsidR="00EA2485">
        <w:rPr>
          <w:sz w:val="24"/>
        </w:rPr>
        <w:t xml:space="preserve">s than </w:t>
      </w:r>
      <w:r w:rsidR="00442F41">
        <w:rPr>
          <w:sz w:val="24"/>
        </w:rPr>
        <w:t>the amounts produced by the tariffs under suspension.</w:t>
      </w:r>
      <w:r w:rsidR="00442F41">
        <w:rPr>
          <w:rStyle w:val="FootnoteReference"/>
          <w:sz w:val="24"/>
        </w:rPr>
        <w:footnoteReference w:id="3"/>
      </w:r>
      <w:r w:rsidR="00442F41">
        <w:rPr>
          <w:sz w:val="24"/>
        </w:rPr>
        <w:t xml:space="preserve">  </w:t>
      </w:r>
      <w:r w:rsidR="000754F1" w:rsidRPr="00E63D85">
        <w:rPr>
          <w:sz w:val="24"/>
        </w:rPr>
        <w:t xml:space="preserve"> </w:t>
      </w:r>
    </w:p>
    <w:p w:rsidR="000754F1" w:rsidRDefault="000754F1" w:rsidP="00442F41">
      <w:pPr>
        <w:spacing w:line="480" w:lineRule="auto"/>
        <w:rPr>
          <w:sz w:val="24"/>
        </w:rPr>
      </w:pPr>
      <w:r w:rsidRPr="00E63D85">
        <w:rPr>
          <w:sz w:val="24"/>
        </w:rPr>
        <w:t xml:space="preserve">Therefore, the Commission’s legal authority to allow a rate increase above the </w:t>
      </w:r>
      <w:r w:rsidR="00D2006A">
        <w:rPr>
          <w:sz w:val="24"/>
        </w:rPr>
        <w:t xml:space="preserve">suspended </w:t>
      </w:r>
      <w:r w:rsidRPr="00E63D85">
        <w:rPr>
          <w:sz w:val="24"/>
        </w:rPr>
        <w:t xml:space="preserve">tariffs may be implicated.  </w:t>
      </w:r>
      <w:r w:rsidR="00507547">
        <w:rPr>
          <w:sz w:val="24"/>
        </w:rPr>
        <w:t>Allowing PSE to file its supplemental testimony and exhibits does not waive any party’s right</w:t>
      </w:r>
      <w:r w:rsidRPr="00E63D85">
        <w:rPr>
          <w:sz w:val="24"/>
        </w:rPr>
        <w:t xml:space="preserve"> to address that issue </w:t>
      </w:r>
      <w:r w:rsidR="00EA2485" w:rsidRPr="00E63D85">
        <w:rPr>
          <w:sz w:val="24"/>
        </w:rPr>
        <w:t>in post-hearing briefs after a</w:t>
      </w:r>
      <w:r w:rsidR="00EA2485">
        <w:rPr>
          <w:sz w:val="24"/>
        </w:rPr>
        <w:t>ll evidence is admitted</w:t>
      </w:r>
      <w:r w:rsidRPr="00E63D85">
        <w:rPr>
          <w:sz w:val="24"/>
        </w:rPr>
        <w:t>.</w:t>
      </w:r>
    </w:p>
    <w:p w:rsidR="00507547" w:rsidRDefault="00507547" w:rsidP="00E63D85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  <w:t>Staff asks the Commission to echo the</w:t>
      </w:r>
      <w:r w:rsidR="00EA2485">
        <w:rPr>
          <w:sz w:val="24"/>
        </w:rPr>
        <w:t xml:space="preserve">se caveats in any order </w:t>
      </w:r>
      <w:r>
        <w:rPr>
          <w:sz w:val="24"/>
        </w:rPr>
        <w:t xml:space="preserve">granting PSE’s </w:t>
      </w:r>
      <w:r w:rsidR="00EA2485">
        <w:rPr>
          <w:sz w:val="24"/>
        </w:rPr>
        <w:t xml:space="preserve">current </w:t>
      </w:r>
      <w:r>
        <w:rPr>
          <w:sz w:val="24"/>
        </w:rPr>
        <w:t>motion to file supplemental testimony and exhibits.</w:t>
      </w:r>
    </w:p>
    <w:p w:rsidR="000754F1" w:rsidRPr="00507547" w:rsidRDefault="000754F1" w:rsidP="00507547">
      <w:pPr>
        <w:spacing w:line="480" w:lineRule="auto"/>
        <w:ind w:left="720"/>
        <w:rPr>
          <w:sz w:val="24"/>
        </w:rPr>
      </w:pPr>
      <w:r w:rsidRPr="00507547">
        <w:rPr>
          <w:sz w:val="24"/>
        </w:rPr>
        <w:t xml:space="preserve">DATED this </w:t>
      </w:r>
      <w:r w:rsidR="00AE4AF0" w:rsidRPr="00507547">
        <w:rPr>
          <w:sz w:val="24"/>
        </w:rPr>
        <w:t>5</w:t>
      </w:r>
      <w:r w:rsidR="00AE4AF0" w:rsidRPr="00507547">
        <w:rPr>
          <w:sz w:val="24"/>
          <w:vertAlign w:val="superscript"/>
        </w:rPr>
        <w:t>th</w:t>
      </w:r>
      <w:r w:rsidR="00AE4AF0" w:rsidRPr="00507547">
        <w:rPr>
          <w:sz w:val="24"/>
        </w:rPr>
        <w:t xml:space="preserve"> </w:t>
      </w:r>
      <w:r w:rsidRPr="00507547">
        <w:rPr>
          <w:sz w:val="24"/>
        </w:rPr>
        <w:t xml:space="preserve">day of </w:t>
      </w:r>
      <w:r w:rsidR="00C54F7F" w:rsidRPr="00507547">
        <w:rPr>
          <w:sz w:val="24"/>
        </w:rPr>
        <w:t>October</w:t>
      </w:r>
      <w:r w:rsidRPr="00507547">
        <w:rPr>
          <w:sz w:val="24"/>
        </w:rPr>
        <w:t>, 2009.</w:t>
      </w:r>
    </w:p>
    <w:p w:rsidR="000754F1" w:rsidRDefault="000754F1" w:rsidP="000754F1">
      <w:pPr>
        <w:ind w:left="720"/>
        <w:rPr>
          <w:sz w:val="24"/>
        </w:rPr>
      </w:pPr>
    </w:p>
    <w:p w:rsidR="000754F1" w:rsidRPr="004A2910" w:rsidRDefault="000754F1" w:rsidP="000754F1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0754F1" w:rsidRPr="004A2910" w:rsidRDefault="000754F1" w:rsidP="000754F1">
      <w:pPr>
        <w:pStyle w:val="BodyTextIndent2"/>
        <w:rPr>
          <w:rFonts w:ascii="Times New Roman" w:hAnsi="Times New Roman"/>
        </w:rPr>
      </w:pPr>
    </w:p>
    <w:p w:rsidR="000754F1" w:rsidRPr="004A2910" w:rsidRDefault="000754F1" w:rsidP="000754F1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>
        <w:rPr>
          <w:sz w:val="24"/>
        </w:rPr>
        <w:t>ERT M.</w:t>
      </w:r>
      <w:r w:rsidRPr="004A2910">
        <w:rPr>
          <w:sz w:val="24"/>
        </w:rPr>
        <w:t xml:space="preserve"> MCKENNA </w:t>
      </w:r>
    </w:p>
    <w:p w:rsidR="000754F1" w:rsidRPr="004A2910" w:rsidRDefault="000754F1" w:rsidP="000754F1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0754F1" w:rsidRPr="004A2910" w:rsidRDefault="000754F1" w:rsidP="000754F1">
      <w:pPr>
        <w:jc w:val="both"/>
        <w:rPr>
          <w:sz w:val="24"/>
        </w:rPr>
      </w:pPr>
    </w:p>
    <w:p w:rsidR="000754F1" w:rsidRDefault="000754F1" w:rsidP="000754F1">
      <w:pPr>
        <w:jc w:val="both"/>
        <w:rPr>
          <w:sz w:val="24"/>
        </w:rPr>
      </w:pPr>
    </w:p>
    <w:p w:rsidR="000754F1" w:rsidRDefault="000754F1" w:rsidP="000754F1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:rsidR="000754F1" w:rsidRPr="004A2910" w:rsidRDefault="000754F1" w:rsidP="000754F1">
      <w:pPr>
        <w:ind w:left="1440" w:firstLine="3600"/>
        <w:jc w:val="both"/>
        <w:rPr>
          <w:sz w:val="24"/>
        </w:rPr>
      </w:pPr>
      <w:r>
        <w:rPr>
          <w:sz w:val="24"/>
        </w:rPr>
        <w:t>ROBERT D. CEDARBAUM</w:t>
      </w:r>
    </w:p>
    <w:p w:rsidR="000754F1" w:rsidRPr="004A2910" w:rsidRDefault="000754F1" w:rsidP="000754F1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:rsidR="000754F1" w:rsidRPr="004A2910" w:rsidRDefault="000754F1" w:rsidP="000754F1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17547C" w:rsidRPr="00227C6C" w:rsidRDefault="000754F1" w:rsidP="00227C6C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 Staff</w:t>
      </w:r>
    </w:p>
    <w:sectPr w:rsidR="0017547C" w:rsidRPr="00227C6C" w:rsidSect="000B07D4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41" w:rsidRDefault="00442F41" w:rsidP="00E63D85">
      <w:r>
        <w:separator/>
      </w:r>
    </w:p>
  </w:endnote>
  <w:endnote w:type="continuationSeparator" w:id="0">
    <w:p w:rsidR="00442F41" w:rsidRDefault="00442F41" w:rsidP="00E6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41" w:rsidRDefault="00442F41">
    <w:pPr>
      <w:pStyle w:val="Footer"/>
    </w:pPr>
  </w:p>
  <w:p w:rsidR="00442F41" w:rsidRDefault="00442F41">
    <w:pPr>
      <w:pStyle w:val="Footer"/>
    </w:pPr>
    <w:r>
      <w:t xml:space="preserve">STAFF RESPONSE TO PSE MOTION FOR LEAVE TO </w:t>
    </w:r>
  </w:p>
  <w:p w:rsidR="00442F41" w:rsidRPr="00737B08" w:rsidRDefault="00442F41">
    <w:pPr>
      <w:pStyle w:val="Footer"/>
    </w:pPr>
    <w:r>
      <w:t>FILE SUPPLEMENTAL TESTIMONY</w:t>
    </w:r>
    <w:r w:rsidRPr="00737B08">
      <w:t xml:space="preserve">- </w:t>
    </w:r>
    <w:r w:rsidR="00370BD3"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="00370BD3" w:rsidRPr="00737B08">
      <w:rPr>
        <w:rStyle w:val="PageNumber"/>
      </w:rPr>
      <w:fldChar w:fldCharType="separate"/>
    </w:r>
    <w:r w:rsidR="00965D25">
      <w:rPr>
        <w:rStyle w:val="PageNumber"/>
        <w:noProof/>
      </w:rPr>
      <w:t>1</w:t>
    </w:r>
    <w:r w:rsidR="00370BD3" w:rsidRPr="00737B0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41" w:rsidRDefault="00442F41" w:rsidP="00E63D85">
      <w:r>
        <w:separator/>
      </w:r>
    </w:p>
  </w:footnote>
  <w:footnote w:type="continuationSeparator" w:id="0">
    <w:p w:rsidR="00442F41" w:rsidRDefault="00442F41" w:rsidP="00E63D85">
      <w:r>
        <w:continuationSeparator/>
      </w:r>
    </w:p>
  </w:footnote>
  <w:footnote w:id="1">
    <w:p w:rsidR="00442F41" w:rsidRPr="00965D25" w:rsidRDefault="00442F41">
      <w:pPr>
        <w:pStyle w:val="FootnoteText"/>
      </w:pPr>
      <w:r w:rsidRPr="00965D25">
        <w:rPr>
          <w:rStyle w:val="FootnoteReference"/>
        </w:rPr>
        <w:footnoteRef/>
      </w:r>
      <w:r w:rsidRPr="00965D25">
        <w:t xml:space="preserve"> PSE Motion at ¶ 1.</w:t>
      </w:r>
    </w:p>
  </w:footnote>
  <w:footnote w:id="2">
    <w:p w:rsidR="00442F41" w:rsidRPr="00965D25" w:rsidRDefault="00442F41">
      <w:pPr>
        <w:pStyle w:val="FootnoteText"/>
      </w:pPr>
      <w:r w:rsidRPr="00965D25">
        <w:rPr>
          <w:rStyle w:val="FootnoteReference"/>
        </w:rPr>
        <w:footnoteRef/>
      </w:r>
      <w:r w:rsidRPr="00965D25">
        <w:t xml:space="preserve"> </w:t>
      </w:r>
      <w:r w:rsidRPr="00965D25">
        <w:rPr>
          <w:i/>
        </w:rPr>
        <w:t>WUTC v. Puget Sound Energy, Inc.</w:t>
      </w:r>
      <w:r w:rsidRPr="00965D25">
        <w:t>, Docket Nos. UE-090704 and UG-090705, Order 06 at ¶¶ 8-9 (August 12, 2009).</w:t>
      </w:r>
    </w:p>
  </w:footnote>
  <w:footnote w:id="3">
    <w:p w:rsidR="00442F41" w:rsidRPr="00965D25" w:rsidRDefault="00442F41">
      <w:pPr>
        <w:pStyle w:val="FootnoteText"/>
      </w:pPr>
      <w:r w:rsidRPr="00965D25">
        <w:rPr>
          <w:rStyle w:val="FootnoteReference"/>
        </w:rPr>
        <w:footnoteRef/>
      </w:r>
      <w:r w:rsidRPr="00965D25">
        <w:t xml:space="preserve"> The supplemental testimony and exhibits increase the electricity revenue requirement from $148.4 million to $153.9 million.  Exhibit (JHS-9T) at 4:11.  The supplemental testimony and exhibits increase PSE’s natural gas revenue requirement from $27.2 million to $29.5 million.  Exhibit (JHS-9T) at 5:10-12.  (This is actually a $.9 million decrease from supplemental testimony filed August 3, 2009, but is still above the amount the suspended tariffs produce.)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60CFD"/>
    <w:multiLevelType w:val="hybridMultilevel"/>
    <w:tmpl w:val="14345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4F1"/>
    <w:rsid w:val="000754F1"/>
    <w:rsid w:val="000B07D4"/>
    <w:rsid w:val="00102E6A"/>
    <w:rsid w:val="0017547C"/>
    <w:rsid w:val="001B1B30"/>
    <w:rsid w:val="00227C6C"/>
    <w:rsid w:val="00252505"/>
    <w:rsid w:val="002E6D09"/>
    <w:rsid w:val="00370BD3"/>
    <w:rsid w:val="00442F41"/>
    <w:rsid w:val="00452473"/>
    <w:rsid w:val="00463E76"/>
    <w:rsid w:val="00507547"/>
    <w:rsid w:val="005241A1"/>
    <w:rsid w:val="005E40A1"/>
    <w:rsid w:val="007341C7"/>
    <w:rsid w:val="00740F54"/>
    <w:rsid w:val="00875649"/>
    <w:rsid w:val="00877559"/>
    <w:rsid w:val="00941F2A"/>
    <w:rsid w:val="0096248B"/>
    <w:rsid w:val="00965D25"/>
    <w:rsid w:val="0097134E"/>
    <w:rsid w:val="009919E1"/>
    <w:rsid w:val="00A631DC"/>
    <w:rsid w:val="00AE4AF0"/>
    <w:rsid w:val="00C54F7F"/>
    <w:rsid w:val="00D2006A"/>
    <w:rsid w:val="00D63E16"/>
    <w:rsid w:val="00DD5825"/>
    <w:rsid w:val="00E63D85"/>
    <w:rsid w:val="00EA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754F1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754F1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075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4F1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754F1"/>
  </w:style>
  <w:style w:type="paragraph" w:styleId="ListParagraph">
    <w:name w:val="List Paragraph"/>
    <w:basedOn w:val="Normal"/>
    <w:uiPriority w:val="34"/>
    <w:qFormat/>
    <w:rsid w:val="00E63D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3D8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D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D8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27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C6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C40B12-F068-448F-940B-5B4A7B5ED5E0}"/>
</file>

<file path=customXml/itemProps2.xml><?xml version="1.0" encoding="utf-8"?>
<ds:datastoreItem xmlns:ds="http://schemas.openxmlformats.org/officeDocument/2006/customXml" ds:itemID="{A3E0157C-6286-44A8-AC32-67DC6FD75EF3}"/>
</file>

<file path=customXml/itemProps3.xml><?xml version="1.0" encoding="utf-8"?>
<ds:datastoreItem xmlns:ds="http://schemas.openxmlformats.org/officeDocument/2006/customXml" ds:itemID="{D3372D58-A3E3-49AC-B85A-8FED117E9397}"/>
</file>

<file path=customXml/itemProps4.xml><?xml version="1.0" encoding="utf-8"?>
<ds:datastoreItem xmlns:ds="http://schemas.openxmlformats.org/officeDocument/2006/customXml" ds:itemID="{8BFD817F-158D-47B3-9F77-313451267337}"/>
</file>

<file path=customXml/itemProps5.xml><?xml version="1.0" encoding="utf-8"?>
<ds:datastoreItem xmlns:ds="http://schemas.openxmlformats.org/officeDocument/2006/customXml" ds:itemID="{25A19C21-64CB-483C-88D0-A438DE70C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Cedarbaum</dc:creator>
  <cp:keywords/>
  <dc:description/>
  <cp:lastModifiedBy>Krista Gross</cp:lastModifiedBy>
  <cp:revision>2</cp:revision>
  <cp:lastPrinted>2009-10-05T15:48:00Z</cp:lastPrinted>
  <dcterms:created xsi:type="dcterms:W3CDTF">2009-10-05T15:49:00Z</dcterms:created>
  <dcterms:modified xsi:type="dcterms:W3CDTF">2009-10-05T15:49:00Z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