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54" w:rsidRPr="009D57C2" w:rsidRDefault="00DB2248" w:rsidP="00F73D54">
      <w:pPr>
        <w:pStyle w:val="Header"/>
        <w:tabs>
          <w:tab w:val="clear" w:pos="4320"/>
          <w:tab w:val="clear" w:pos="8640"/>
        </w:tabs>
        <w:jc w:val="center"/>
        <w:rPr>
          <w:rFonts w:ascii="Times New Roman" w:hAnsi="Times New Roman" w:cs="Times New Roman"/>
        </w:rPr>
      </w:pPr>
      <w:bookmarkStart w:id="0" w:name="_GoBack"/>
      <w:bookmarkEnd w:id="0"/>
      <w:r w:rsidRPr="009D57C2">
        <w:rPr>
          <w:rFonts w:ascii="Times New Roman" w:hAnsi="Times New Roman" w:cs="Times New Roman"/>
        </w:rPr>
        <w:t>BEFORE THE WASHINGTON UTILITIES AND TRANSPORTATION COMMISSION</w:t>
      </w:r>
    </w:p>
    <w:p w:rsidR="00F73D54" w:rsidRPr="009D57C2" w:rsidRDefault="00F73D54" w:rsidP="00F73D54">
      <w:pPr>
        <w:pStyle w:val="Header"/>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RPr="009D57C2" w:rsidTr="00F73D54">
        <w:tc>
          <w:tcPr>
            <w:tcW w:w="4410" w:type="dxa"/>
            <w:tcBorders>
              <w:top w:val="single" w:sz="6" w:space="0" w:color="FFFFFF"/>
              <w:left w:val="single" w:sz="6" w:space="0" w:color="FFFFFF"/>
              <w:bottom w:val="single" w:sz="7" w:space="0" w:color="000000"/>
              <w:right w:val="single" w:sz="6" w:space="0" w:color="FFFFFF"/>
            </w:tcBorders>
          </w:tcPr>
          <w:p w:rsidR="00AE76C1" w:rsidRPr="009D57C2" w:rsidRDefault="00AE76C1" w:rsidP="00AE76C1">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rsidR="00AE76C1" w:rsidRPr="009D57C2" w:rsidRDefault="00AE76C1" w:rsidP="00AE76C1">
            <w:pPr>
              <w:spacing w:line="240" w:lineRule="atLeast"/>
              <w:rPr>
                <w:rFonts w:ascii="Times New Roman" w:hAnsi="Times New Roman" w:cs="Times New Roman"/>
                <w:sz w:val="23"/>
                <w:szCs w:val="23"/>
              </w:rPr>
            </w:pPr>
          </w:p>
          <w:p w:rsidR="00AE76C1" w:rsidRPr="009D57C2" w:rsidRDefault="00AE76C1" w:rsidP="00AE76C1">
            <w:pPr>
              <w:spacing w:line="240" w:lineRule="atLeast"/>
              <w:ind w:left="1496"/>
              <w:rPr>
                <w:rFonts w:ascii="Times New Roman" w:hAnsi="Times New Roman" w:cs="Times New Roman"/>
                <w:szCs w:val="24"/>
              </w:rPr>
            </w:pPr>
            <w:r w:rsidRPr="009D57C2">
              <w:rPr>
                <w:rFonts w:ascii="Times New Roman" w:hAnsi="Times New Roman" w:cs="Times New Roman"/>
                <w:sz w:val="23"/>
                <w:szCs w:val="23"/>
              </w:rPr>
              <w:t>Petitioner and Complainant</w:t>
            </w:r>
            <w:r w:rsidRPr="009D57C2">
              <w:rPr>
                <w:rFonts w:ascii="Times New Roman" w:hAnsi="Times New Roman" w:cs="Times New Roman"/>
                <w:szCs w:val="24"/>
              </w:rPr>
              <w:t>,</w:t>
            </w:r>
          </w:p>
          <w:p w:rsidR="00AE76C1" w:rsidRPr="009D57C2" w:rsidRDefault="00AE76C1" w:rsidP="00AE76C1">
            <w:pPr>
              <w:spacing w:line="240" w:lineRule="atLeast"/>
              <w:ind w:left="1496"/>
              <w:rPr>
                <w:rFonts w:ascii="Times New Roman" w:hAnsi="Times New Roman" w:cs="Times New Roman"/>
                <w:sz w:val="18"/>
                <w:szCs w:val="24"/>
              </w:rPr>
            </w:pPr>
          </w:p>
          <w:p w:rsidR="00AE76C1" w:rsidRPr="009D57C2" w:rsidRDefault="00AE76C1" w:rsidP="00A975B6">
            <w:pPr>
              <w:spacing w:line="240" w:lineRule="atLeast"/>
              <w:ind w:left="56"/>
              <w:rPr>
                <w:rFonts w:ascii="Times New Roman" w:hAnsi="Times New Roman" w:cs="Times New Roman"/>
                <w:szCs w:val="24"/>
              </w:rPr>
            </w:pPr>
            <w:proofErr w:type="gramStart"/>
            <w:r w:rsidRPr="009D57C2">
              <w:rPr>
                <w:rFonts w:ascii="Times New Roman" w:hAnsi="Times New Roman" w:cs="Times New Roman"/>
                <w:szCs w:val="24"/>
              </w:rPr>
              <w:t>v</w:t>
            </w:r>
            <w:proofErr w:type="gramEnd"/>
            <w:r w:rsidRPr="009D57C2">
              <w:rPr>
                <w:rFonts w:ascii="Times New Roman" w:hAnsi="Times New Roman" w:cs="Times New Roman"/>
                <w:szCs w:val="24"/>
              </w:rPr>
              <w:t>.</w:t>
            </w:r>
          </w:p>
          <w:p w:rsidR="00AE76C1" w:rsidRPr="009D57C2" w:rsidRDefault="00AE76C1" w:rsidP="00AE76C1">
            <w:pPr>
              <w:spacing w:line="240" w:lineRule="atLeast"/>
              <w:ind w:left="686"/>
              <w:rPr>
                <w:rFonts w:ascii="Times New Roman" w:hAnsi="Times New Roman" w:cs="Times New Roman"/>
                <w:sz w:val="18"/>
                <w:szCs w:val="24"/>
              </w:rPr>
            </w:pPr>
          </w:p>
          <w:p w:rsidR="00AE76C1" w:rsidRPr="009D57C2" w:rsidRDefault="00AE76C1" w:rsidP="00AE76C1">
            <w:pPr>
              <w:spacing w:line="240" w:lineRule="atLeast"/>
              <w:ind w:left="56"/>
              <w:rPr>
                <w:rFonts w:ascii="Times New Roman" w:hAnsi="Times New Roman" w:cs="Times New Roman"/>
                <w:sz w:val="23"/>
                <w:szCs w:val="23"/>
              </w:rPr>
            </w:pPr>
            <w:r w:rsidRPr="009D57C2">
              <w:rPr>
                <w:rFonts w:ascii="Times New Roman" w:hAnsi="Times New Roman" w:cs="Times New Roman"/>
                <w:sz w:val="23"/>
                <w:szCs w:val="23"/>
              </w:rPr>
              <w:t>SPEEDISHUTTLE WASHINGTON, LLC,</w:t>
            </w:r>
          </w:p>
          <w:p w:rsidR="00AE76C1" w:rsidRPr="009D57C2" w:rsidRDefault="00AE76C1" w:rsidP="00AE76C1">
            <w:pPr>
              <w:spacing w:line="240" w:lineRule="atLeast"/>
              <w:ind w:left="56"/>
              <w:rPr>
                <w:rFonts w:ascii="Times New Roman" w:hAnsi="Times New Roman" w:cs="Times New Roman"/>
                <w:sz w:val="20"/>
                <w:szCs w:val="24"/>
              </w:rPr>
            </w:pPr>
          </w:p>
          <w:p w:rsidR="00F73D54" w:rsidRPr="009D57C2" w:rsidRDefault="0054117A" w:rsidP="00AE76C1">
            <w:pPr>
              <w:spacing w:line="240" w:lineRule="atLeast"/>
              <w:rPr>
                <w:rFonts w:ascii="Times New Roman" w:hAnsi="Times New Roman" w:cs="Times New Roman"/>
                <w:sz w:val="24"/>
                <w:szCs w:val="24"/>
              </w:rPr>
            </w:pPr>
            <w:r w:rsidRPr="009D57C2">
              <w:rPr>
                <w:rFonts w:ascii="Times New Roman" w:hAnsi="Times New Roman" w:cs="Times New Roman"/>
                <w:sz w:val="23"/>
                <w:szCs w:val="23"/>
              </w:rPr>
              <w:tab/>
            </w:r>
            <w:r w:rsidRPr="009D57C2">
              <w:rPr>
                <w:rFonts w:ascii="Times New Roman" w:hAnsi="Times New Roman" w:cs="Times New Roman"/>
                <w:sz w:val="23"/>
                <w:szCs w:val="23"/>
              </w:rPr>
              <w:tab/>
            </w:r>
            <w:r w:rsidR="00AE76C1" w:rsidRPr="009D57C2">
              <w:rPr>
                <w:rFonts w:ascii="Times New Roman" w:hAnsi="Times New Roman" w:cs="Times New Roman"/>
                <w:sz w:val="23"/>
                <w:szCs w:val="23"/>
              </w:rPr>
              <w:t>Respondent</w:t>
            </w:r>
            <w:r w:rsidR="00AE76C1" w:rsidRPr="009D57C2">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rsidR="00DA001C"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 xml:space="preserve">DOCKET </w:t>
            </w:r>
            <w:r w:rsidR="00DA001C" w:rsidRPr="009D57C2">
              <w:rPr>
                <w:rFonts w:ascii="Times New Roman" w:hAnsi="Times New Roman" w:cs="Times New Roman"/>
                <w:sz w:val="24"/>
                <w:szCs w:val="24"/>
              </w:rPr>
              <w:t>NOS</w:t>
            </w:r>
            <w:r w:rsidR="00B65F85" w:rsidRPr="009D57C2">
              <w:rPr>
                <w:rFonts w:ascii="Times New Roman" w:hAnsi="Times New Roman" w:cs="Times New Roman"/>
                <w:sz w:val="24"/>
                <w:szCs w:val="24"/>
              </w:rPr>
              <w:t>.</w:t>
            </w:r>
          </w:p>
          <w:p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TC-</w:t>
            </w:r>
            <w:r w:rsidR="00B60D73" w:rsidRPr="009D57C2">
              <w:rPr>
                <w:rFonts w:ascii="Times New Roman" w:hAnsi="Times New Roman" w:cs="Times New Roman"/>
                <w:sz w:val="24"/>
                <w:szCs w:val="24"/>
              </w:rPr>
              <w:t>143691</w:t>
            </w:r>
            <w:r w:rsidR="00374EAF">
              <w:rPr>
                <w:rFonts w:ascii="Times New Roman" w:hAnsi="Times New Roman" w:cs="Times New Roman"/>
                <w:sz w:val="24"/>
                <w:szCs w:val="24"/>
              </w:rPr>
              <w:t>,</w:t>
            </w:r>
            <w:r w:rsidR="00292FB1" w:rsidRPr="009D57C2">
              <w:rPr>
                <w:rFonts w:ascii="Times New Roman" w:hAnsi="Times New Roman" w:cs="Times New Roman"/>
                <w:sz w:val="24"/>
                <w:szCs w:val="24"/>
              </w:rPr>
              <w:t xml:space="preserve"> TC-16</w:t>
            </w:r>
            <w:r w:rsidR="00DA001C" w:rsidRPr="009D57C2">
              <w:rPr>
                <w:rFonts w:ascii="Times New Roman" w:hAnsi="Times New Roman" w:cs="Times New Roman"/>
                <w:sz w:val="24"/>
                <w:szCs w:val="24"/>
              </w:rPr>
              <w:t>0516</w:t>
            </w:r>
            <w:r w:rsidR="00374EAF">
              <w:rPr>
                <w:rFonts w:ascii="Times New Roman" w:hAnsi="Times New Roman" w:cs="Times New Roman"/>
                <w:sz w:val="24"/>
                <w:szCs w:val="24"/>
              </w:rPr>
              <w:t xml:space="preserve"> &amp; TC-161257</w:t>
            </w:r>
          </w:p>
          <w:p w:rsidR="00F73D54" w:rsidRPr="009D57C2" w:rsidRDefault="00F73D54" w:rsidP="00F73D54">
            <w:pPr>
              <w:rPr>
                <w:rFonts w:ascii="Times New Roman" w:hAnsi="Times New Roman" w:cs="Times New Roman"/>
                <w:sz w:val="24"/>
                <w:szCs w:val="24"/>
              </w:rPr>
            </w:pPr>
          </w:p>
          <w:p w:rsidR="00F73D54" w:rsidRPr="009D57C2" w:rsidRDefault="00F84DD8" w:rsidP="005B232D">
            <w:pPr>
              <w:pStyle w:val="Title"/>
            </w:pPr>
            <w:r w:rsidRPr="009D57C2">
              <w:t>SPEEDISHUTTLE</w:t>
            </w:r>
            <w:r w:rsidR="000D0522" w:rsidRPr="009D57C2">
              <w:t xml:space="preserve"> WASHINGTON, LLC</w:t>
            </w:r>
            <w:r w:rsidRPr="009D57C2">
              <w:t xml:space="preserve">’S </w:t>
            </w:r>
            <w:r w:rsidR="00527E60">
              <w:t xml:space="preserve">OBJECTIONS TO, AND MOTION IN LIMINE </w:t>
            </w:r>
            <w:r w:rsidR="00960934">
              <w:t>AS</w:t>
            </w:r>
            <w:r w:rsidR="005B232D">
              <w:t xml:space="preserve"> TO</w:t>
            </w:r>
            <w:r w:rsidR="00960934">
              <w:t xml:space="preserve"> </w:t>
            </w:r>
            <w:r w:rsidR="005B232D">
              <w:t xml:space="preserve">PORTIONS OF </w:t>
            </w:r>
            <w:r w:rsidR="00527E60">
              <w:t>PRE-</w:t>
            </w:r>
            <w:r w:rsidR="00960934">
              <w:t xml:space="preserve">FILED </w:t>
            </w:r>
            <w:r w:rsidR="00C16F9D">
              <w:t xml:space="preserve">REBUTTAL </w:t>
            </w:r>
            <w:r w:rsidR="00527E60">
              <w:t>TESTIMONY SUBMITTED BY SHUTTLE EXPRESS, INC.</w:t>
            </w:r>
          </w:p>
        </w:tc>
      </w:tr>
      <w:tr w:rsidR="00A975B6" w:rsidRPr="009D57C2" w:rsidTr="00A975B6">
        <w:tc>
          <w:tcPr>
            <w:tcW w:w="4410" w:type="dxa"/>
            <w:tcBorders>
              <w:top w:val="single" w:sz="6" w:space="0" w:color="FFFFFF"/>
              <w:left w:val="single" w:sz="6" w:space="0" w:color="FFFFFF"/>
              <w:bottom w:val="single" w:sz="7" w:space="0" w:color="000000"/>
              <w:right w:val="single" w:sz="6" w:space="0" w:color="FFFFFF"/>
            </w:tcBorders>
          </w:tcPr>
          <w:p w:rsidR="00263C51" w:rsidRDefault="00263C51" w:rsidP="003C474E">
            <w:pPr>
              <w:spacing w:line="240" w:lineRule="atLeast"/>
              <w:rPr>
                <w:rFonts w:ascii="Times New Roman" w:hAnsi="Times New Roman" w:cs="Times New Roman"/>
                <w:sz w:val="23"/>
                <w:szCs w:val="23"/>
              </w:rPr>
            </w:pPr>
          </w:p>
          <w:p w:rsidR="00A975B6" w:rsidRPr="009D57C2" w:rsidRDefault="00A975B6" w:rsidP="003C474E">
            <w:pPr>
              <w:spacing w:line="240" w:lineRule="atLeast"/>
              <w:rPr>
                <w:rFonts w:ascii="Times New Roman" w:hAnsi="Times New Roman" w:cs="Times New Roman"/>
                <w:sz w:val="23"/>
                <w:szCs w:val="23"/>
              </w:rPr>
            </w:pPr>
            <w:r>
              <w:rPr>
                <w:rFonts w:ascii="Times New Roman" w:hAnsi="Times New Roman" w:cs="Times New Roman"/>
                <w:sz w:val="23"/>
                <w:szCs w:val="23"/>
              </w:rPr>
              <w:t>SPEEDISHUTTLE WASHINGTON LLC d/b/a SPEEDISHUTTLE SEATTLE</w:t>
            </w:r>
            <w:r w:rsidRPr="009D57C2">
              <w:rPr>
                <w:rFonts w:ascii="Times New Roman" w:hAnsi="Times New Roman" w:cs="Times New Roman"/>
                <w:sz w:val="23"/>
                <w:szCs w:val="23"/>
              </w:rPr>
              <w:t>,</w:t>
            </w:r>
          </w:p>
          <w:p w:rsidR="00A975B6" w:rsidRPr="009D57C2" w:rsidRDefault="00A975B6" w:rsidP="003C474E">
            <w:pPr>
              <w:spacing w:line="240" w:lineRule="atLeast"/>
              <w:rPr>
                <w:rFonts w:ascii="Times New Roman" w:hAnsi="Times New Roman" w:cs="Times New Roman"/>
                <w:sz w:val="23"/>
                <w:szCs w:val="23"/>
              </w:rPr>
            </w:pPr>
          </w:p>
          <w:p w:rsidR="00A975B6" w:rsidRPr="00A975B6" w:rsidRDefault="00A975B6" w:rsidP="00A975B6">
            <w:pPr>
              <w:spacing w:line="240" w:lineRule="atLeas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9D57C2">
              <w:rPr>
                <w:rFonts w:ascii="Times New Roman" w:hAnsi="Times New Roman" w:cs="Times New Roman"/>
                <w:sz w:val="23"/>
                <w:szCs w:val="23"/>
              </w:rPr>
              <w:t>Complainant</w:t>
            </w:r>
            <w:r w:rsidRPr="00A975B6">
              <w:rPr>
                <w:rFonts w:ascii="Times New Roman" w:hAnsi="Times New Roman" w:cs="Times New Roman"/>
                <w:sz w:val="23"/>
                <w:szCs w:val="23"/>
              </w:rPr>
              <w:t>,</w:t>
            </w:r>
          </w:p>
          <w:p w:rsidR="00A975B6" w:rsidRPr="00A975B6" w:rsidRDefault="00A975B6" w:rsidP="00A975B6">
            <w:pPr>
              <w:spacing w:line="240" w:lineRule="atLeast"/>
              <w:rPr>
                <w:rFonts w:ascii="Times New Roman" w:hAnsi="Times New Roman" w:cs="Times New Roman"/>
                <w:sz w:val="23"/>
                <w:szCs w:val="23"/>
              </w:rPr>
            </w:pPr>
          </w:p>
          <w:p w:rsidR="00A975B6" w:rsidRPr="00A975B6" w:rsidRDefault="00A975B6" w:rsidP="00A975B6">
            <w:pPr>
              <w:spacing w:line="240" w:lineRule="atLeast"/>
              <w:rPr>
                <w:rFonts w:ascii="Times New Roman" w:hAnsi="Times New Roman" w:cs="Times New Roman"/>
                <w:sz w:val="23"/>
                <w:szCs w:val="23"/>
              </w:rPr>
            </w:pPr>
            <w:proofErr w:type="gramStart"/>
            <w:r w:rsidRPr="00A975B6">
              <w:rPr>
                <w:rFonts w:ascii="Times New Roman" w:hAnsi="Times New Roman" w:cs="Times New Roman"/>
                <w:sz w:val="23"/>
                <w:szCs w:val="23"/>
              </w:rPr>
              <w:t>v</w:t>
            </w:r>
            <w:proofErr w:type="gramEnd"/>
            <w:r w:rsidRPr="00A975B6">
              <w:rPr>
                <w:rFonts w:ascii="Times New Roman" w:hAnsi="Times New Roman" w:cs="Times New Roman"/>
                <w:sz w:val="23"/>
                <w:szCs w:val="23"/>
              </w:rPr>
              <w:t>.</w:t>
            </w:r>
          </w:p>
          <w:p w:rsidR="00A975B6" w:rsidRPr="00A975B6" w:rsidRDefault="00A975B6" w:rsidP="00A975B6">
            <w:pPr>
              <w:spacing w:line="240" w:lineRule="atLeast"/>
              <w:rPr>
                <w:rFonts w:ascii="Times New Roman" w:hAnsi="Times New Roman" w:cs="Times New Roman"/>
                <w:sz w:val="23"/>
                <w:szCs w:val="23"/>
              </w:rPr>
            </w:pPr>
          </w:p>
          <w:p w:rsidR="00A975B6" w:rsidRPr="009D57C2" w:rsidRDefault="00A975B6" w:rsidP="00A975B6">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rsidR="00A975B6" w:rsidRPr="00A975B6" w:rsidRDefault="00A975B6" w:rsidP="00A975B6">
            <w:pPr>
              <w:spacing w:line="240" w:lineRule="atLeast"/>
              <w:rPr>
                <w:rFonts w:ascii="Times New Roman" w:hAnsi="Times New Roman" w:cs="Times New Roman"/>
                <w:sz w:val="23"/>
                <w:szCs w:val="23"/>
              </w:rPr>
            </w:pPr>
          </w:p>
          <w:p w:rsidR="00A975B6" w:rsidRPr="00A975B6" w:rsidRDefault="00A975B6" w:rsidP="003C474E">
            <w:pPr>
              <w:spacing w:line="240" w:lineRule="atLeast"/>
              <w:rPr>
                <w:rFonts w:ascii="Times New Roman" w:hAnsi="Times New Roman" w:cs="Times New Roman"/>
                <w:sz w:val="23"/>
                <w:szCs w:val="23"/>
              </w:rPr>
            </w:pPr>
            <w:r w:rsidRPr="009D57C2">
              <w:rPr>
                <w:rFonts w:ascii="Times New Roman" w:hAnsi="Times New Roman" w:cs="Times New Roman"/>
                <w:sz w:val="23"/>
                <w:szCs w:val="23"/>
              </w:rPr>
              <w:tab/>
            </w:r>
            <w:r w:rsidRPr="009D57C2">
              <w:rPr>
                <w:rFonts w:ascii="Times New Roman" w:hAnsi="Times New Roman" w:cs="Times New Roman"/>
                <w:sz w:val="23"/>
                <w:szCs w:val="23"/>
              </w:rPr>
              <w:tab/>
              <w:t>Respondent</w:t>
            </w:r>
            <w:r w:rsidRPr="00A975B6">
              <w:rPr>
                <w:rFonts w:ascii="Times New Roman" w:hAnsi="Times New Roman" w:cs="Times New Roman"/>
                <w:sz w:val="23"/>
                <w:szCs w:val="23"/>
              </w:rPr>
              <w:t>.</w:t>
            </w:r>
          </w:p>
        </w:tc>
        <w:tc>
          <w:tcPr>
            <w:tcW w:w="4770" w:type="dxa"/>
            <w:tcBorders>
              <w:top w:val="single" w:sz="6" w:space="0" w:color="FFFFFF"/>
              <w:left w:val="single" w:sz="7" w:space="0" w:color="000000"/>
              <w:bottom w:val="single" w:sz="6" w:space="0" w:color="FFFFFF"/>
              <w:right w:val="single" w:sz="6" w:space="0" w:color="FFFFFF"/>
            </w:tcBorders>
          </w:tcPr>
          <w:p w:rsidR="00A975B6" w:rsidRPr="00A975B6" w:rsidRDefault="00A975B6" w:rsidP="00A975B6">
            <w:pPr>
              <w:rPr>
                <w:rFonts w:ascii="Times New Roman" w:hAnsi="Times New Roman" w:cs="Times New Roman"/>
                <w:sz w:val="24"/>
                <w:szCs w:val="24"/>
              </w:rPr>
            </w:pPr>
          </w:p>
        </w:tc>
      </w:tr>
    </w:tbl>
    <w:p w:rsidR="00527E60" w:rsidRDefault="00527E60" w:rsidP="007D0B88">
      <w:pPr>
        <w:pStyle w:val="Heading3"/>
        <w:numPr>
          <w:ilvl w:val="0"/>
          <w:numId w:val="0"/>
        </w:numPr>
        <w:rPr>
          <w:szCs w:val="24"/>
        </w:rPr>
      </w:pPr>
    </w:p>
    <w:p w:rsidR="00527E60" w:rsidRDefault="00161FA5" w:rsidP="00E512C1">
      <w:pPr>
        <w:pStyle w:val="Heading3"/>
      </w:pPr>
      <w:r>
        <w:t>Pursuant to WAC 480-07-375 and 480-07-495(1), Speedishuttle hereby objects to the admission of and moves to exclude</w:t>
      </w:r>
      <w:r w:rsidR="00960934">
        <w:t xml:space="preserve"> portions of the</w:t>
      </w:r>
      <w:r>
        <w:t xml:space="preserve"> pre-filed</w:t>
      </w:r>
      <w:r w:rsidR="00C16F9D">
        <w:t xml:space="preserve"> rebuttal</w:t>
      </w:r>
      <w:r>
        <w:t xml:space="preserve"> testimony submitted by Shuttle Express which exceeds the scope of</w:t>
      </w:r>
      <w:r w:rsidR="00A33D1E">
        <w:t xml:space="preserve"> t</w:t>
      </w:r>
      <w:r w:rsidR="00152072">
        <w:t>hese consolidated proceedings and which was filed as response/rebuttal testimony but which in fact response or rebuts nothing.</w:t>
      </w:r>
    </w:p>
    <w:p w:rsidR="00161FA5" w:rsidRPr="00161FA5" w:rsidRDefault="003D26A7" w:rsidP="00161FA5">
      <w:pPr>
        <w:pStyle w:val="Heading1"/>
        <w:numPr>
          <w:ilvl w:val="0"/>
          <w:numId w:val="21"/>
        </w:numPr>
        <w:rPr>
          <w:b/>
        </w:rPr>
      </w:pPr>
      <w:r>
        <w:rPr>
          <w:b/>
        </w:rPr>
        <w:t>MOTION</w:t>
      </w:r>
    </w:p>
    <w:p w:rsidR="00161FA5" w:rsidRDefault="00161FA5" w:rsidP="009C3A3E">
      <w:pPr>
        <w:pStyle w:val="Heading3"/>
      </w:pPr>
      <w:r>
        <w:t>On February 3, 2017</w:t>
      </w:r>
      <w:r w:rsidR="00960934">
        <w:t>,</w:t>
      </w:r>
      <w:r>
        <w:t xml:space="preserve"> the Commission entered Order 16/09/06 in these proceedings, granting, in part, Speedishuttle’s Motion in Limine filed January 17, 2017.  In that Order the Commission ruled</w:t>
      </w:r>
      <w:r w:rsidR="00960934">
        <w:t>,</w:t>
      </w:r>
      <w:r>
        <w:t xml:space="preserve"> “[w]e grant Speedishuttle’s Motion to the limited extent that it seeks to exclude testimony that exceeds the scope of this proceeding,”</w:t>
      </w:r>
      <w:r>
        <w:rPr>
          <w:rStyle w:val="FootnoteReference"/>
        </w:rPr>
        <w:footnoteReference w:id="1"/>
      </w:r>
      <w:r>
        <w:t xml:space="preserve">  and struck portions of the testimony of Paul </w:t>
      </w:r>
      <w:r>
        <w:lastRenderedPageBreak/>
        <w:t>Kajanoff and Don Wood which related</w:t>
      </w:r>
      <w:r w:rsidR="00152072">
        <w:t xml:space="preserve"> to </w:t>
      </w:r>
      <w:r>
        <w:t xml:space="preserve">the subject of sustainability of multiple door-to-door auto transportation providers serving the same territory, which </w:t>
      </w:r>
      <w:r w:rsidR="00152072">
        <w:t xml:space="preserve">arguments </w:t>
      </w:r>
      <w:r>
        <w:t>had been</w:t>
      </w:r>
      <w:r w:rsidR="00152072">
        <w:t xml:space="preserve"> previously</w:t>
      </w:r>
      <w:r>
        <w:t xml:space="preserve"> rejected in Order 04.</w:t>
      </w:r>
      <w:r>
        <w:rPr>
          <w:rStyle w:val="FootnoteReference"/>
        </w:rPr>
        <w:footnoteReference w:id="2"/>
      </w:r>
    </w:p>
    <w:p w:rsidR="009C3A3E" w:rsidRDefault="00161FA5" w:rsidP="009C3A3E">
      <w:pPr>
        <w:pStyle w:val="Heading3"/>
      </w:pPr>
      <w:r>
        <w:t xml:space="preserve">Subsequent to the </w:t>
      </w:r>
      <w:r w:rsidR="00960934">
        <w:t>entrance</w:t>
      </w:r>
      <w:r>
        <w:t xml:space="preserve"> of that Order, Shuttle Express </w:t>
      </w:r>
      <w:r w:rsidR="00C16F9D">
        <w:t xml:space="preserve">has </w:t>
      </w:r>
      <w:r w:rsidR="00960934">
        <w:t xml:space="preserve">once again </w:t>
      </w:r>
      <w:r>
        <w:t xml:space="preserve">sought to alter </w:t>
      </w:r>
      <w:r w:rsidR="00362D16">
        <w:t xml:space="preserve">and/or reconsider </w:t>
      </w:r>
      <w:r>
        <w:t xml:space="preserve">the scope of this proceeding to allow </w:t>
      </w:r>
      <w:r w:rsidR="00726A33">
        <w:t xml:space="preserve">discovery and </w:t>
      </w:r>
      <w:r>
        <w:t>testimony on sustainability</w:t>
      </w:r>
      <w:r w:rsidR="00726A33">
        <w:t xml:space="preserve"> of multiple providers</w:t>
      </w:r>
      <w:r>
        <w:t xml:space="preserve"> in </w:t>
      </w:r>
      <w:r w:rsidR="00726A33">
        <w:t>Petitioner’s Response to the Commission’s Notice of Intent to Amend Order 08 Issued March 23, 2017</w:t>
      </w:r>
      <w:r w:rsidR="00A33D1E">
        <w:t xml:space="preserve"> (“Petitioner’s Response to Notice to Amend”)</w:t>
      </w:r>
      <w:r w:rsidR="00726A33">
        <w:t>.</w:t>
      </w:r>
      <w:r w:rsidR="00726A33">
        <w:rPr>
          <w:rStyle w:val="FootnoteReference"/>
        </w:rPr>
        <w:footnoteReference w:id="3"/>
      </w:r>
      <w:r w:rsidR="00726A33">
        <w:t xml:space="preserve">  Moreover, in that filing, Shuttle Express foreshadowed its intention to pre-file testimony which</w:t>
      </w:r>
      <w:r w:rsidR="00C16F9D">
        <w:t xml:space="preserve"> it understood</w:t>
      </w:r>
      <w:r w:rsidR="00726A33">
        <w:t xml:space="preserve"> exceeded the scope of this proceeding, </w:t>
      </w:r>
      <w:r w:rsidR="00C16F9D">
        <w:t xml:space="preserve">by </w:t>
      </w:r>
      <w:r w:rsidR="00726A33">
        <w:t>stating</w:t>
      </w:r>
      <w:r w:rsidR="009C3A3E">
        <w:t>:</w:t>
      </w:r>
    </w:p>
    <w:p w:rsidR="00161FA5" w:rsidRDefault="009C3A3E" w:rsidP="00BE2667">
      <w:pPr>
        <w:pStyle w:val="Heading3"/>
        <w:numPr>
          <w:ilvl w:val="0"/>
          <w:numId w:val="0"/>
        </w:numPr>
        <w:spacing w:after="0" w:line="240" w:lineRule="auto"/>
        <w:ind w:left="1440" w:right="1530"/>
      </w:pPr>
      <w:r>
        <w:t>I</w:t>
      </w:r>
      <w:r w:rsidR="00726A33">
        <w:t>f satisfaction is to be re-tried, then the Commission should also allow all of the upcoming Shuttle Express pre-filed rebuttal testimony that fairly addresses the responsive testimony of Speedishuttle and the Staff, notwithstanding Order 16 and prior rulings that have been somewhat restrict</w:t>
      </w:r>
      <w:r>
        <w:t>ive on the scope of evidence regarding the long term public interest implications of the case.  Further, the Commission should allow and enforce the pending Shuttle Express discovery of Speedishuttle—especially the financial and ridership data that is essential to showing that having two direct competitors in this market is plainly unsustainable in the long term.</w:t>
      </w:r>
      <w:r>
        <w:rPr>
          <w:rStyle w:val="FootnoteReference"/>
        </w:rPr>
        <w:footnoteReference w:id="4"/>
      </w:r>
    </w:p>
    <w:p w:rsidR="00161FA5" w:rsidRPr="00161FA5" w:rsidRDefault="00161FA5" w:rsidP="00161FA5">
      <w:pPr>
        <w:pStyle w:val="ListParagraph"/>
      </w:pPr>
    </w:p>
    <w:p w:rsidR="00D36C5F" w:rsidRDefault="00D36C5F" w:rsidP="00E512C1">
      <w:pPr>
        <w:pStyle w:val="Heading3"/>
      </w:pPr>
      <w:r>
        <w:t xml:space="preserve">The Commission </w:t>
      </w:r>
      <w:r w:rsidR="00362D16">
        <w:t xml:space="preserve">expressly </w:t>
      </w:r>
      <w:r>
        <w:t>rejected that overture in Order 17, ruling that Shuttle Express failed to establish any connection between satisfactory service and the market sustainability of two auto transportation providers serving the same territory.</w:t>
      </w:r>
      <w:r>
        <w:rPr>
          <w:rStyle w:val="FootnoteReference"/>
        </w:rPr>
        <w:footnoteReference w:id="5"/>
      </w:r>
      <w:r>
        <w:t xml:space="preserve">  The Commission similarly rejected</w:t>
      </w:r>
      <w:r w:rsidR="00960934">
        <w:t>,</w:t>
      </w:r>
      <w:r>
        <w:t xml:space="preserve"> in Order 17</w:t>
      </w:r>
      <w:r w:rsidR="00960934">
        <w:t>,</w:t>
      </w:r>
      <w:r>
        <w:t xml:space="preserve"> Shuttle Express’ procedurally inappropriate request </w:t>
      </w:r>
      <w:r w:rsidR="00A33D1E">
        <w:t>in Petitioner’s</w:t>
      </w:r>
      <w:r>
        <w:t xml:space="preserve"> Response to Notice </w:t>
      </w:r>
      <w:r>
        <w:lastRenderedPageBreak/>
        <w:t xml:space="preserve">of Intend to </w:t>
      </w:r>
      <w:r w:rsidR="00A33D1E">
        <w:t xml:space="preserve">Amend </w:t>
      </w:r>
      <w:r w:rsidR="00960934">
        <w:t>to then permit previously-</w:t>
      </w:r>
      <w:r w:rsidR="00C16F9D">
        <w:t>disallowed</w:t>
      </w:r>
      <w:r>
        <w:t xml:space="preserve"> discovery on financial and ridership information.</w:t>
      </w:r>
    </w:p>
    <w:p w:rsidR="00D36C5F" w:rsidRDefault="00352D90" w:rsidP="00E512C1">
      <w:pPr>
        <w:pStyle w:val="Heading3"/>
      </w:pPr>
      <w:r>
        <w:t xml:space="preserve">Despite that recent ruling, </w:t>
      </w:r>
      <w:r w:rsidR="00C16F9D">
        <w:t xml:space="preserve">and </w:t>
      </w:r>
      <w:r w:rsidR="00D36C5F">
        <w:t>apparently</w:t>
      </w:r>
      <w:r w:rsidR="00362D16">
        <w:t xml:space="preserve"> still </w:t>
      </w:r>
      <w:r w:rsidR="00D36C5F">
        <w:t xml:space="preserve"> </w:t>
      </w:r>
      <w:r w:rsidR="00960934">
        <w:t>unwilling or unable</w:t>
      </w:r>
      <w:r w:rsidR="00152072">
        <w:t xml:space="preserve"> to</w:t>
      </w:r>
      <w:r w:rsidR="00D36C5F">
        <w:t xml:space="preserve"> accept the Commission’s orders, </w:t>
      </w:r>
      <w:r w:rsidR="00152072">
        <w:t>Shuttle Express</w:t>
      </w:r>
      <w:r w:rsidR="00D36C5F">
        <w:t xml:space="preserve"> nonetheless proceeded </w:t>
      </w:r>
      <w:r w:rsidR="00C16F9D">
        <w:t xml:space="preserve">just </w:t>
      </w:r>
      <w:r w:rsidR="00362D16">
        <w:t xml:space="preserve">two days later, </w:t>
      </w:r>
      <w:r w:rsidR="00D36C5F">
        <w:t xml:space="preserve">to submit </w:t>
      </w:r>
      <w:r w:rsidR="00C16F9D">
        <w:t>pre-filed testimony which indeed</w:t>
      </w:r>
      <w:r w:rsidR="004C43DE">
        <w:t xml:space="preserve"> exceed</w:t>
      </w:r>
      <w:r w:rsidR="00C16F9D">
        <w:t>ed</w:t>
      </w:r>
      <w:r w:rsidR="004C43DE">
        <w:t xml:space="preserve"> scope of these proceedings</w:t>
      </w:r>
      <w:r w:rsidR="00C16F9D">
        <w:t>, consistent with Shuttle Express’ Response to Notice of Intent to Amend</w:t>
      </w:r>
      <w:r w:rsidR="00A33D1E">
        <w:t xml:space="preserve">. </w:t>
      </w:r>
      <w:r w:rsidR="00E731A4">
        <w:t xml:space="preserve"> </w:t>
      </w:r>
      <w:r w:rsidR="00C16F9D">
        <w:t>Worse</w:t>
      </w:r>
      <w:r w:rsidR="00E731A4">
        <w:t>, some of the testimony which was filed is simply the same testimony which the Commission ruled inadmissible in Order 16</w:t>
      </w:r>
      <w:r w:rsidR="00362D16">
        <w:t xml:space="preserve"> in granting in part Speedishuttle’s Motion in Limine</w:t>
      </w:r>
      <w:r w:rsidR="00E731A4">
        <w:t>, but resubmitted</w:t>
      </w:r>
      <w:r w:rsidR="00960934">
        <w:t xml:space="preserve"> now </w:t>
      </w:r>
      <w:r w:rsidR="00E731A4">
        <w:t xml:space="preserve">under the guise of a response to the pre-filed testimony of </w:t>
      </w:r>
      <w:r w:rsidR="00C02E96">
        <w:t xml:space="preserve">Speedishuttle witness </w:t>
      </w:r>
      <w:r w:rsidR="00E731A4">
        <w:t>Jack Roemer.</w:t>
      </w:r>
    </w:p>
    <w:p w:rsidR="00352D90" w:rsidRDefault="00352D90" w:rsidP="00E512C1">
      <w:pPr>
        <w:pStyle w:val="Heading3"/>
      </w:pPr>
      <w:r>
        <w:t>While the Commissions’ ruling</w:t>
      </w:r>
      <w:r w:rsidR="00152072">
        <w:t>s</w:t>
      </w:r>
      <w:r>
        <w:t xml:space="preserve"> on the scope of </w:t>
      </w:r>
      <w:r w:rsidR="00152072">
        <w:t>these</w:t>
      </w:r>
      <w:r>
        <w:t xml:space="preserve"> </w:t>
      </w:r>
      <w:r w:rsidR="00152072">
        <w:t xml:space="preserve">consolidated </w:t>
      </w:r>
      <w:r>
        <w:t>proceeding</w:t>
      </w:r>
      <w:r w:rsidR="00152072">
        <w:t>s</w:t>
      </w:r>
      <w:r>
        <w:t xml:space="preserve"> have been </w:t>
      </w:r>
      <w:r w:rsidR="00152072">
        <w:t xml:space="preserve">adequately </w:t>
      </w:r>
      <w:r>
        <w:t>clear and consistent,</w:t>
      </w:r>
      <w:r w:rsidR="00152072" w:rsidRPr="00152072">
        <w:rPr>
          <w:rStyle w:val="FootnoteReference"/>
        </w:rPr>
        <w:t xml:space="preserve"> </w:t>
      </w:r>
      <w:r w:rsidR="00152072">
        <w:rPr>
          <w:rStyle w:val="FootnoteReference"/>
        </w:rPr>
        <w:footnoteReference w:id="6"/>
      </w:r>
      <w:r>
        <w:t xml:space="preserve"> Shuttle Express’ theories and arguments about </w:t>
      </w:r>
      <w:r w:rsidR="00960934">
        <w:t xml:space="preserve">what </w:t>
      </w:r>
      <w:r>
        <w:t>Speedishuttle has</w:t>
      </w:r>
      <w:r w:rsidR="00960934">
        <w:t xml:space="preserve"> allegedly</w:t>
      </w:r>
      <w:r>
        <w:t xml:space="preserve"> done wrong and why Shuttle Express’ meandering testimony </w:t>
      </w:r>
      <w:r w:rsidR="003639D3">
        <w:t xml:space="preserve">on sustainability and its (analytically erroneous) predicate testimony regarding profitability, profitability projections, and market trends </w:t>
      </w:r>
      <w:r w:rsidR="00362D16">
        <w:t>are admissible</w:t>
      </w:r>
      <w:r>
        <w:t xml:space="preserve"> have been ever evolving.  Its</w:t>
      </w:r>
      <w:r w:rsidR="00C02E96">
        <w:t xml:space="preserve"> most</w:t>
      </w:r>
      <w:r>
        <w:t xml:space="preserve"> recent </w:t>
      </w:r>
      <w:r w:rsidR="00C02E96">
        <w:t>renditions</w:t>
      </w:r>
      <w:r>
        <w:t xml:space="preserve">, made through the testimony of its </w:t>
      </w:r>
      <w:r w:rsidR="00362D16">
        <w:t xml:space="preserve">rebuttal </w:t>
      </w:r>
      <w:r>
        <w:t>witnesses</w:t>
      </w:r>
      <w:r w:rsidR="00152072">
        <w:t>,</w:t>
      </w:r>
      <w:r>
        <w:t xml:space="preserve"> claim that testimony on sustainability should</w:t>
      </w:r>
      <w:r w:rsidR="003D26A7">
        <w:t xml:space="preserve"> be admitted</w:t>
      </w:r>
      <w:r w:rsidR="00CA5832">
        <w:t xml:space="preserve"> </w:t>
      </w:r>
      <w:r>
        <w:t xml:space="preserve">for a number of </w:t>
      </w:r>
      <w:r w:rsidR="00152072">
        <w:t xml:space="preserve">new </w:t>
      </w:r>
      <w:r>
        <w:t xml:space="preserve">reasons, including </w:t>
      </w:r>
      <w:r w:rsidR="00CA5832">
        <w:t xml:space="preserve">because that testimony </w:t>
      </w:r>
      <w:r w:rsidR="003D26A7">
        <w:t>also addresses its co</w:t>
      </w:r>
      <w:r w:rsidR="005F0E71">
        <w:t>mplaint against Speedishuttle</w:t>
      </w:r>
      <w:r>
        <w:t>,</w:t>
      </w:r>
      <w:r w:rsidR="005F0E71">
        <w:t xml:space="preserve"> and </w:t>
      </w:r>
      <w:r>
        <w:t>that</w:t>
      </w:r>
      <w:r w:rsidR="005F0E71">
        <w:t xml:space="preserve"> “changed circumstances” </w:t>
      </w:r>
      <w:r>
        <w:t>due to a change in Shuttle Express’ profitability somehow now requires it</w:t>
      </w:r>
      <w:r w:rsidR="005F0E71">
        <w:t>.</w:t>
      </w:r>
      <w:r w:rsidR="005F0E71">
        <w:rPr>
          <w:rStyle w:val="FootnoteReference"/>
        </w:rPr>
        <w:footnoteReference w:id="7"/>
      </w:r>
      <w:r w:rsidR="005F0E71">
        <w:t xml:space="preserve"> </w:t>
      </w:r>
      <w:r w:rsidR="003D26A7" w:rsidRPr="00352D90">
        <w:rPr>
          <w:i/>
        </w:rPr>
        <w:t xml:space="preserve"> </w:t>
      </w:r>
      <w:r>
        <w:t>In reality, Shuttle Express’</w:t>
      </w:r>
      <w:r w:rsidR="003D26A7">
        <w:t xml:space="preserve"> complaint was</w:t>
      </w:r>
      <w:r w:rsidR="00960934">
        <w:t xml:space="preserve"> originally</w:t>
      </w:r>
      <w:r w:rsidR="003D26A7">
        <w:t xml:space="preserve"> predicated upon alleged “</w:t>
      </w:r>
      <w:r w:rsidR="005F0E71">
        <w:t>fares below cost,</w:t>
      </w:r>
      <w:r w:rsidR="003D26A7">
        <w:t xml:space="preserve">” </w:t>
      </w:r>
      <w:r w:rsidR="005F0E71">
        <w:t>and d</w:t>
      </w:r>
      <w:r w:rsidR="003D26A7">
        <w:t xml:space="preserve">espite the nebulous </w:t>
      </w:r>
      <w:r w:rsidR="003D26A7">
        <w:lastRenderedPageBreak/>
        <w:t>allegation</w:t>
      </w:r>
      <w:r w:rsidR="00960934">
        <w:t>s</w:t>
      </w:r>
      <w:r w:rsidR="00CA5832">
        <w:t xml:space="preserve"> and attempts at subsequent revision to expand the scope of the complaint to include any unfair or oppressive </w:t>
      </w:r>
      <w:r w:rsidR="00152072">
        <w:t xml:space="preserve">pricing </w:t>
      </w:r>
      <w:r w:rsidR="00CA5832">
        <w:t>practices</w:t>
      </w:r>
      <w:r w:rsidR="00152072">
        <w:t xml:space="preserve"> Shuttle Express is capable of </w:t>
      </w:r>
      <w:r w:rsidR="00960934">
        <w:t>imagining</w:t>
      </w:r>
      <w:r w:rsidR="003D26A7">
        <w:t xml:space="preserve">, </w:t>
      </w:r>
      <w:r w:rsidR="00CA5832">
        <w:t xml:space="preserve">the Commission </w:t>
      </w:r>
      <w:r w:rsidR="00960934">
        <w:t xml:space="preserve">has </w:t>
      </w:r>
      <w:r w:rsidR="00CA5832">
        <w:t>limited the scope of this proceeding in Order 08</w:t>
      </w:r>
      <w:r w:rsidR="00152072">
        <w:t xml:space="preserve">.  Although it </w:t>
      </w:r>
      <w:r w:rsidR="00CA5832">
        <w:t>has clarified the scope on numerous occasions</w:t>
      </w:r>
      <w:r w:rsidR="00152072">
        <w:t xml:space="preserve"> </w:t>
      </w:r>
      <w:r w:rsidR="00960934">
        <w:t xml:space="preserve">including in discovery rulings by the Administrative Law Judge </w:t>
      </w:r>
      <w:r w:rsidR="00152072">
        <w:t>and has</w:t>
      </w:r>
      <w:r w:rsidR="00362D16">
        <w:t xml:space="preserve"> just</w:t>
      </w:r>
      <w:r w:rsidR="00152072">
        <w:t xml:space="preserve"> </w:t>
      </w:r>
      <w:r w:rsidR="00960934">
        <w:t>added the issue of</w:t>
      </w:r>
      <w:r w:rsidR="00152072">
        <w:t xml:space="preserve"> whether Shuttle Express has and will provide service to the satisfaction of the Commission</w:t>
      </w:r>
      <w:r w:rsidR="00CA5832">
        <w:t xml:space="preserve">, </w:t>
      </w:r>
      <w:r w:rsidR="00152072">
        <w:t>the Commission</w:t>
      </w:r>
      <w:r w:rsidR="00CA5832">
        <w:t xml:space="preserve"> has never expanded the scope of Shuttle Express’ </w:t>
      </w:r>
      <w:r w:rsidR="00960934">
        <w:t xml:space="preserve">rehearing petition and </w:t>
      </w:r>
      <w:r w:rsidR="00CA5832">
        <w:t>complaint beyond</w:t>
      </w:r>
      <w:r>
        <w:t xml:space="preserve"> whether Speedishuttle is providing the “same service” as Shuttle Express and whether its fares were below cost.</w:t>
      </w:r>
      <w:r w:rsidR="00CA5832">
        <w:t xml:space="preserve">  </w:t>
      </w:r>
      <w:r w:rsidR="00152072">
        <w:t>Thus, Shuttle Express</w:t>
      </w:r>
      <w:r w:rsidR="00724360">
        <w:t>’</w:t>
      </w:r>
      <w:r w:rsidR="00152072">
        <w:t xml:space="preserve"> </w:t>
      </w:r>
      <w:r w:rsidR="00362D16">
        <w:t>elastic</w:t>
      </w:r>
      <w:r w:rsidR="00152072">
        <w:t xml:space="preserve"> and evolving views of admissibility are tied not to the scope of these proceedings as determined by the Commission, but by its </w:t>
      </w:r>
      <w:r w:rsidR="00362D16">
        <w:t xml:space="preserve">own </w:t>
      </w:r>
      <w:r w:rsidR="00C02E96">
        <w:t>interpretive</w:t>
      </w:r>
      <w:r w:rsidR="00960934">
        <w:t xml:space="preserve"> construction of the </w:t>
      </w:r>
      <w:r w:rsidR="00152072">
        <w:t>facts</w:t>
      </w:r>
      <w:r w:rsidR="00960934">
        <w:t xml:space="preserve"> and theories</w:t>
      </w:r>
      <w:r w:rsidR="00152072">
        <w:t xml:space="preserve"> alleged in its complaint.</w:t>
      </w:r>
    </w:p>
    <w:p w:rsidR="00352D90" w:rsidRDefault="00352D90" w:rsidP="00E512C1">
      <w:pPr>
        <w:pStyle w:val="Heading3"/>
      </w:pPr>
      <w:r>
        <w:t xml:space="preserve"> </w:t>
      </w:r>
      <w:r w:rsidR="00960934">
        <w:t xml:space="preserve">Shuttle Express also illogically argues </w:t>
      </w:r>
      <w:r w:rsidR="003639D3">
        <w:t>that</w:t>
      </w:r>
      <w:r w:rsidR="005F0E71">
        <w:t xml:space="preserve"> testimony</w:t>
      </w:r>
      <w:r w:rsidR="003639D3">
        <w:t xml:space="preserve"> </w:t>
      </w:r>
      <w:r w:rsidR="00960934">
        <w:t xml:space="preserve">regarding sustainability (and predicate testimony relevant thereto) </w:t>
      </w:r>
      <w:r w:rsidR="005F0E71">
        <w:t xml:space="preserve">should be </w:t>
      </w:r>
      <w:r w:rsidR="00960934">
        <w:t>permitted t</w:t>
      </w:r>
      <w:r w:rsidR="005F0E71">
        <w:t xml:space="preserve">o address the “broad public interest” issues </w:t>
      </w:r>
      <w:r w:rsidR="00960934">
        <w:t>raised</w:t>
      </w:r>
      <w:r w:rsidR="005F0E71">
        <w:t xml:space="preserve"> in this proceeding.  </w:t>
      </w:r>
      <w:r w:rsidR="00152072">
        <w:t xml:space="preserve">Despite Shuttle Express’ </w:t>
      </w:r>
      <w:r w:rsidR="00960934">
        <w:t xml:space="preserve">consistently </w:t>
      </w:r>
      <w:r w:rsidR="00152072">
        <w:t>broad interpretation</w:t>
      </w:r>
      <w:r w:rsidR="00C02E96">
        <w:t xml:space="preserve"> and incantation</w:t>
      </w:r>
      <w:r w:rsidR="00152072">
        <w:t xml:space="preserve"> of </w:t>
      </w:r>
      <w:proofErr w:type="spellStart"/>
      <w:r w:rsidR="00152072">
        <w:t>RCW</w:t>
      </w:r>
      <w:proofErr w:type="spellEnd"/>
      <w:r w:rsidR="00152072">
        <w:t xml:space="preserve"> 81.04.120, t</w:t>
      </w:r>
      <w:r w:rsidR="003639D3">
        <w:t xml:space="preserve">he Commission has previously rejected </w:t>
      </w:r>
      <w:r w:rsidR="00F5798C">
        <w:t>Shuttle Express’</w:t>
      </w:r>
      <w:r w:rsidR="003639D3">
        <w:t xml:space="preserve"> </w:t>
      </w:r>
      <w:r w:rsidR="00552B4F">
        <w:t xml:space="preserve">argument </w:t>
      </w:r>
      <w:r w:rsidR="00F5798C">
        <w:t xml:space="preserve">that particular information “goes to” the public interest </w:t>
      </w:r>
      <w:r w:rsidR="00552B4F">
        <w:t xml:space="preserve">as a basis for </w:t>
      </w:r>
      <w:r w:rsidR="00152072">
        <w:t>discovery</w:t>
      </w:r>
      <w:r w:rsidR="003639D3">
        <w:t xml:space="preserve"> in this proceeding </w:t>
      </w:r>
      <w:r w:rsidR="00C02E96">
        <w:t xml:space="preserve">and </w:t>
      </w:r>
      <w:r w:rsidR="003639D3">
        <w:t>for good reason – b</w:t>
      </w:r>
      <w:r w:rsidR="005F0E71">
        <w:t>y that</w:t>
      </w:r>
      <w:r w:rsidR="00960934">
        <w:t xml:space="preserve"> amorphous</w:t>
      </w:r>
      <w:r w:rsidR="005F0E71">
        <w:t xml:space="preserve"> standard any evidence could be conceivably admissible, and the scope</w:t>
      </w:r>
      <w:r w:rsidR="003639D3">
        <w:t xml:space="preserve"> of evidence</w:t>
      </w:r>
      <w:r w:rsidR="005F0E71">
        <w:t xml:space="preserve"> </w:t>
      </w:r>
      <w:r w:rsidR="003639D3">
        <w:t xml:space="preserve">and time required to examine witnesses in </w:t>
      </w:r>
      <w:r w:rsidR="005F0E71">
        <w:t xml:space="preserve">this proceeding </w:t>
      </w:r>
      <w:r w:rsidR="00C02E96">
        <w:t>would</w:t>
      </w:r>
      <w:r w:rsidR="005F0E71">
        <w:t xml:space="preserve"> be endlessly expanded.</w:t>
      </w:r>
      <w:r w:rsidR="003639D3">
        <w:t xml:space="preserve"> </w:t>
      </w:r>
    </w:p>
    <w:p w:rsidR="006317B4" w:rsidRDefault="006317B4" w:rsidP="003D26A7">
      <w:pPr>
        <w:pStyle w:val="Heading3"/>
      </w:pPr>
      <w:r>
        <w:t>Finally, in a number of instances</w:t>
      </w:r>
      <w:r w:rsidR="009238DE">
        <w:t>, amounting to a</w:t>
      </w:r>
      <w:r w:rsidR="00552B4F">
        <w:t>n unfortunately</w:t>
      </w:r>
      <w:r w:rsidR="009238DE">
        <w:t xml:space="preserve"> large volume of testimony</w:t>
      </w:r>
      <w:r>
        <w:t>,</w:t>
      </w:r>
      <w:r w:rsidR="009238DE">
        <w:t xml:space="preserve"> Shuttle Express submitted pre-filed testimony </w:t>
      </w:r>
      <w:r w:rsidR="00960934">
        <w:t>as</w:t>
      </w:r>
      <w:r>
        <w:t xml:space="preserve"> purportedly </w:t>
      </w:r>
      <w:r w:rsidR="00F5798C">
        <w:t xml:space="preserve">“responsive” or </w:t>
      </w:r>
      <w:r>
        <w:t>“rebuttal”</w:t>
      </w:r>
      <w:r w:rsidR="009238DE">
        <w:t xml:space="preserve"> testimony, </w:t>
      </w:r>
      <w:r>
        <w:t xml:space="preserve">but in reality </w:t>
      </w:r>
      <w:r w:rsidR="00F5798C">
        <w:t>respon</w:t>
      </w:r>
      <w:r w:rsidR="00960934">
        <w:t>ds</w:t>
      </w:r>
      <w:r w:rsidR="00F5798C">
        <w:t xml:space="preserve"> to or </w:t>
      </w:r>
      <w:r>
        <w:t xml:space="preserve">rebuts nothing.  That is, in numerous places the witness </w:t>
      </w:r>
      <w:r>
        <w:lastRenderedPageBreak/>
        <w:t xml:space="preserve">first </w:t>
      </w:r>
      <w:r w:rsidR="00960934">
        <w:t>testifies and complains</w:t>
      </w:r>
      <w:r>
        <w:t xml:space="preserve"> that Speedishuttle’s witness Jack Roemer did not address the issue, only to</w:t>
      </w:r>
      <w:r w:rsidR="00362D16">
        <w:t xml:space="preserve"> then </w:t>
      </w:r>
      <w:r>
        <w:t xml:space="preserve">plunge into a long discussion </w:t>
      </w:r>
      <w:r w:rsidR="00960934">
        <w:t xml:space="preserve">and critique of the subject of that omission </w:t>
      </w:r>
      <w:r w:rsidR="00724360">
        <w:t>anyway</w:t>
      </w:r>
      <w:r>
        <w:t>.</w:t>
      </w:r>
      <w:r w:rsidR="009238DE">
        <w:t xml:space="preserve">  In other places, for example in much of the testimony of Don J. Wood, the witness states he is responding to other witnesses, but then provides testimony that is not</w:t>
      </w:r>
      <w:r w:rsidR="00F5798C">
        <w:t xml:space="preserve"> in subject or substance</w:t>
      </w:r>
      <w:r w:rsidR="009238DE">
        <w:t xml:space="preserve"> responsive to any other witness</w:t>
      </w:r>
      <w:r w:rsidR="004C43DE">
        <w:t xml:space="preserve">.  For example, </w:t>
      </w:r>
      <w:r w:rsidR="00362D16">
        <w:t>Mr. Wood</w:t>
      </w:r>
      <w:r w:rsidR="004C43DE">
        <w:t xml:space="preserve"> states he will respond to Jack Roemer and David Pratt, but</w:t>
      </w:r>
      <w:r w:rsidR="00960934">
        <w:t xml:space="preserve"> instead pontificates </w:t>
      </w:r>
      <w:r w:rsidR="004C43DE">
        <w:t xml:space="preserve">for numerous pages </w:t>
      </w:r>
      <w:r w:rsidR="00960934">
        <w:t>on regulatory policy</w:t>
      </w:r>
      <w:r w:rsidR="0012779C">
        <w:t xml:space="preserve">, a topic which was not addressed by </w:t>
      </w:r>
      <w:r w:rsidR="004C43DE">
        <w:t>any other</w:t>
      </w:r>
      <w:r w:rsidR="0012779C">
        <w:t xml:space="preserve"> witness so directly, in a blatant attempt to </w:t>
      </w:r>
      <w:r w:rsidR="00362D16">
        <w:t>revise</w:t>
      </w:r>
      <w:r w:rsidR="0012779C">
        <w:t xml:space="preserve">, </w:t>
      </w:r>
      <w:r w:rsidR="00362D16">
        <w:t>guide</w:t>
      </w:r>
      <w:r w:rsidR="0012779C">
        <w:t>, or critique the current regulatory policies of the Commission</w:t>
      </w:r>
      <w:r w:rsidR="009238DE">
        <w:t xml:space="preserve">. </w:t>
      </w:r>
      <w:r w:rsidR="003D26A7">
        <w:t xml:space="preserve"> </w:t>
      </w:r>
      <w:r w:rsidR="00552B4F">
        <w:t xml:space="preserve">Because the practice of filing testimony out of sequence </w:t>
      </w:r>
      <w:r w:rsidR="00FC1305">
        <w:t xml:space="preserve">in violation of the procedural schedule </w:t>
      </w:r>
      <w:r w:rsidR="00552B4F">
        <w:t xml:space="preserve">ultimately deprives the respondent of </w:t>
      </w:r>
      <w:r w:rsidR="001912BD">
        <w:t xml:space="preserve">due process or </w:t>
      </w:r>
      <w:r w:rsidR="00552B4F">
        <w:t xml:space="preserve">opportunity to respond, the Commission should refuse to sanction </w:t>
      </w:r>
      <w:r w:rsidR="00362D16">
        <w:t>this practice</w:t>
      </w:r>
      <w:r w:rsidR="00552B4F">
        <w:t xml:space="preserve"> and strike testimony filed out of sequence</w:t>
      </w:r>
      <w:r w:rsidR="0012779C">
        <w:t xml:space="preserve"> by Shuttle Express</w:t>
      </w:r>
      <w:r w:rsidR="00552B4F">
        <w:t xml:space="preserve"> absent leave </w:t>
      </w:r>
      <w:r w:rsidR="00F5798C">
        <w:t xml:space="preserve">for good cause </w:t>
      </w:r>
      <w:r w:rsidR="00552B4F">
        <w:t>from the Administrative Law Judge.</w:t>
      </w:r>
      <w:r w:rsidR="00FC1305">
        <w:rPr>
          <w:rStyle w:val="FootnoteReference"/>
        </w:rPr>
        <w:footnoteReference w:id="8"/>
      </w:r>
      <w:r w:rsidR="00FC1305">
        <w:t xml:space="preserve">  </w:t>
      </w:r>
    </w:p>
    <w:p w:rsidR="006317B4" w:rsidRDefault="008E5CFB" w:rsidP="006317B4">
      <w:pPr>
        <w:pStyle w:val="Heading3"/>
      </w:pPr>
      <w:r>
        <w:t xml:space="preserve">Once again, in order to limit this proceeding to the scope actually </w:t>
      </w:r>
      <w:r w:rsidR="0012779C">
        <w:t>authorized</w:t>
      </w:r>
      <w:r>
        <w:t xml:space="preserve"> by the Commission, </w:t>
      </w:r>
      <w:r w:rsidR="00FC1305">
        <w:t xml:space="preserve">and to enhance efficiency at the hearing, </w:t>
      </w:r>
      <w:r>
        <w:t>Speedishuttle</w:t>
      </w:r>
      <w:r w:rsidR="006317B4">
        <w:t xml:space="preserve"> files </w:t>
      </w:r>
      <w:r w:rsidR="003D26A7">
        <w:t>its objections to testimony and m</w:t>
      </w:r>
      <w:r w:rsidR="006317B4">
        <w:t xml:space="preserve">otion in </w:t>
      </w:r>
      <w:r w:rsidR="003D26A7">
        <w:t>l</w:t>
      </w:r>
      <w:r w:rsidR="006317B4">
        <w:t>imine.</w:t>
      </w:r>
    </w:p>
    <w:p w:rsidR="006317B4" w:rsidRDefault="003D26A7" w:rsidP="006317B4">
      <w:pPr>
        <w:pStyle w:val="Heading1"/>
        <w:rPr>
          <w:b/>
        </w:rPr>
      </w:pPr>
      <w:r>
        <w:rPr>
          <w:b/>
        </w:rPr>
        <w:t>TESTIMONY TO WHICH SPEEDISHUTTLE OBJECTS AND MOVES TO EXCLUDE FROM THE HEARING RECORD</w:t>
      </w:r>
    </w:p>
    <w:p w:rsidR="00A33D1E" w:rsidRDefault="00E731A4" w:rsidP="00960934">
      <w:pPr>
        <w:pStyle w:val="Heading2"/>
        <w:numPr>
          <w:ilvl w:val="1"/>
          <w:numId w:val="22"/>
        </w:numPr>
      </w:pPr>
      <w:r w:rsidRPr="00960934">
        <w:t>Response</w:t>
      </w:r>
      <w:r w:rsidR="00621C00" w:rsidRPr="00960934">
        <w:t>/Rebuttal</w:t>
      </w:r>
      <w:r w:rsidRPr="00960934">
        <w:t xml:space="preserve"> Testimony of </w:t>
      </w:r>
      <w:r w:rsidRPr="00960934">
        <w:rPr>
          <w:rStyle w:val="Heading1Char"/>
          <w:bCs/>
          <w:caps w:val="0"/>
          <w:szCs w:val="28"/>
        </w:rPr>
        <w:t xml:space="preserve">Petitioner/Complainant Shuttle Express, Inc. by </w:t>
      </w:r>
      <w:r w:rsidR="00621C00" w:rsidRPr="00960934">
        <w:rPr>
          <w:rStyle w:val="Heading1Char"/>
          <w:bCs/>
          <w:caps w:val="0"/>
          <w:szCs w:val="28"/>
        </w:rPr>
        <w:t>Paul</w:t>
      </w:r>
      <w:r w:rsidR="00621C00" w:rsidRPr="00960934">
        <w:t xml:space="preserve"> Kajanoff</w:t>
      </w:r>
      <w:r w:rsidRPr="00960934">
        <w:t xml:space="preserve"> filed April 5, 2017</w:t>
      </w:r>
    </w:p>
    <w:p w:rsidR="005B232D" w:rsidRPr="005B232D" w:rsidRDefault="005B232D" w:rsidP="005B232D">
      <w:pPr>
        <w:pStyle w:val="ListParagraph"/>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48"/>
        <w:gridCol w:w="8010"/>
      </w:tblGrid>
      <w:tr w:rsidR="00EB4AD5" w:rsidTr="008D0B30">
        <w:tc>
          <w:tcPr>
            <w:tcW w:w="1548" w:type="dxa"/>
            <w:tcBorders>
              <w:bottom w:val="single" w:sz="4" w:space="0" w:color="auto"/>
            </w:tcBorders>
          </w:tcPr>
          <w:p w:rsidR="00EB4AD5" w:rsidRPr="006317B4" w:rsidRDefault="00EB4AD5" w:rsidP="00E731A4">
            <w:pPr>
              <w:pStyle w:val="ListParagraph"/>
              <w:rPr>
                <w:b/>
              </w:rPr>
            </w:pPr>
            <w:r w:rsidRPr="006317B4">
              <w:rPr>
                <w:b/>
              </w:rPr>
              <w:t xml:space="preserve">Page: Lines </w:t>
            </w:r>
          </w:p>
        </w:tc>
        <w:tc>
          <w:tcPr>
            <w:tcW w:w="8010" w:type="dxa"/>
            <w:tcBorders>
              <w:bottom w:val="single" w:sz="4" w:space="0" w:color="auto"/>
            </w:tcBorders>
          </w:tcPr>
          <w:p w:rsidR="00EB4AD5" w:rsidRPr="006317B4" w:rsidRDefault="00EB4AD5" w:rsidP="00EB4AD5">
            <w:pPr>
              <w:pStyle w:val="ListParagraph"/>
              <w:ind w:left="72"/>
              <w:rPr>
                <w:b/>
              </w:rPr>
            </w:pPr>
            <w:r w:rsidRPr="006317B4">
              <w:rPr>
                <w:b/>
              </w:rPr>
              <w:t>Basis of Objection/Motion</w:t>
            </w:r>
          </w:p>
        </w:tc>
      </w:tr>
      <w:tr w:rsidR="00EB4AD5" w:rsidTr="008D0B30">
        <w:tc>
          <w:tcPr>
            <w:tcW w:w="1548" w:type="dxa"/>
            <w:tcBorders>
              <w:top w:val="single" w:sz="4" w:space="0" w:color="auto"/>
              <w:bottom w:val="nil"/>
            </w:tcBorders>
          </w:tcPr>
          <w:p w:rsidR="00EB4AD5" w:rsidRDefault="00EB4AD5" w:rsidP="00E731A4">
            <w:pPr>
              <w:pStyle w:val="ListParagraph"/>
            </w:pPr>
            <w:r>
              <w:t>2: 15-18</w:t>
            </w:r>
          </w:p>
        </w:tc>
        <w:tc>
          <w:tcPr>
            <w:tcW w:w="8010" w:type="dxa"/>
            <w:tcBorders>
              <w:top w:val="single" w:sz="4" w:space="0" w:color="auto"/>
              <w:bottom w:val="nil"/>
            </w:tcBorders>
          </w:tcPr>
          <w:p w:rsidR="00FC1305" w:rsidRPr="00FC1305" w:rsidRDefault="00FC1305" w:rsidP="003306C8">
            <w:pPr>
              <w:pStyle w:val="ListParagraph"/>
              <w:spacing w:after="120" w:line="480" w:lineRule="auto"/>
              <w:ind w:left="72"/>
              <w:rPr>
                <w:b/>
              </w:rPr>
            </w:pPr>
            <w:r>
              <w:rPr>
                <w:b/>
              </w:rPr>
              <w:t>Testimony regarding sustainability</w:t>
            </w:r>
          </w:p>
          <w:p w:rsidR="008D0B30" w:rsidRDefault="008D0B30" w:rsidP="003306C8">
            <w:pPr>
              <w:pStyle w:val="ListParagraph"/>
              <w:spacing w:after="120" w:line="480" w:lineRule="auto"/>
              <w:ind w:left="72"/>
            </w:pPr>
            <w:r>
              <w:lastRenderedPageBreak/>
              <w:t>This t</w:t>
            </w:r>
            <w:r w:rsidR="00EB4AD5">
              <w:t xml:space="preserve">estimony </w:t>
            </w:r>
            <w:r w:rsidR="000D01A9">
              <w:t>plainly address</w:t>
            </w:r>
            <w:r>
              <w:t>es</w:t>
            </w:r>
            <w:r w:rsidR="000D01A9">
              <w:t xml:space="preserve"> the excluded issue of market</w:t>
            </w:r>
            <w:r w:rsidR="003D26A7">
              <w:t xml:space="preserve"> sustainability, which has been and should continue to be excluded from this proceeding.</w:t>
            </w:r>
          </w:p>
        </w:tc>
      </w:tr>
      <w:tr w:rsidR="00EB4AD5" w:rsidTr="008D0B30">
        <w:tc>
          <w:tcPr>
            <w:tcW w:w="1548" w:type="dxa"/>
            <w:tcBorders>
              <w:top w:val="nil"/>
              <w:bottom w:val="nil"/>
            </w:tcBorders>
          </w:tcPr>
          <w:p w:rsidR="00EB4AD5" w:rsidRDefault="00EB4AD5" w:rsidP="00E731A4">
            <w:pPr>
              <w:pStyle w:val="ListParagraph"/>
            </w:pPr>
            <w:r>
              <w:lastRenderedPageBreak/>
              <w:t>3: 1-2</w:t>
            </w:r>
          </w:p>
        </w:tc>
        <w:tc>
          <w:tcPr>
            <w:tcW w:w="8010" w:type="dxa"/>
            <w:tcBorders>
              <w:top w:val="nil"/>
              <w:bottom w:val="nil"/>
            </w:tcBorders>
          </w:tcPr>
          <w:p w:rsidR="00FC1305" w:rsidRPr="00FC1305" w:rsidRDefault="00FC1305" w:rsidP="00FC1305">
            <w:pPr>
              <w:pStyle w:val="ListParagraph"/>
              <w:spacing w:after="120" w:line="480" w:lineRule="auto"/>
              <w:ind w:left="72"/>
              <w:rPr>
                <w:b/>
              </w:rPr>
            </w:pPr>
            <w:r>
              <w:rPr>
                <w:b/>
              </w:rPr>
              <w:t>Testimony regarding sustainability</w:t>
            </w:r>
          </w:p>
          <w:p w:rsidR="008D0B30" w:rsidRPr="008D0B30" w:rsidRDefault="003D26A7" w:rsidP="003306C8">
            <w:pPr>
              <w:pStyle w:val="ListParagraph"/>
              <w:spacing w:after="120" w:line="480" w:lineRule="auto"/>
              <w:ind w:left="72"/>
            </w:pPr>
            <w:r>
              <w:t>This testimony plainly addresses the excluded issue of market sustainability, which has been and should continue to be excluded from this proceeding.</w:t>
            </w:r>
          </w:p>
        </w:tc>
      </w:tr>
      <w:tr w:rsidR="00EB4AD5" w:rsidTr="008D0B30">
        <w:tc>
          <w:tcPr>
            <w:tcW w:w="1548" w:type="dxa"/>
            <w:tcBorders>
              <w:top w:val="nil"/>
              <w:bottom w:val="nil"/>
            </w:tcBorders>
          </w:tcPr>
          <w:p w:rsidR="00EB4AD5" w:rsidRDefault="00EB4AD5" w:rsidP="00E731A4">
            <w:pPr>
              <w:pStyle w:val="ListParagraph"/>
            </w:pPr>
            <w:r>
              <w:t>3: 3-7</w:t>
            </w:r>
          </w:p>
        </w:tc>
        <w:tc>
          <w:tcPr>
            <w:tcW w:w="8010" w:type="dxa"/>
            <w:tcBorders>
              <w:top w:val="nil"/>
              <w:bottom w:val="nil"/>
            </w:tcBorders>
          </w:tcPr>
          <w:p w:rsidR="00FC1305" w:rsidRPr="00FC1305" w:rsidRDefault="00FC1305" w:rsidP="00FC1305">
            <w:pPr>
              <w:pStyle w:val="ListParagraph"/>
              <w:spacing w:after="120" w:line="480" w:lineRule="auto"/>
              <w:ind w:left="72"/>
              <w:rPr>
                <w:b/>
              </w:rPr>
            </w:pPr>
            <w:r>
              <w:rPr>
                <w:b/>
              </w:rPr>
              <w:t>Testimony regarding sustainability</w:t>
            </w:r>
          </w:p>
          <w:p w:rsidR="008D0B30" w:rsidRPr="008D0B30" w:rsidRDefault="008D0B30" w:rsidP="003306C8">
            <w:pPr>
              <w:pStyle w:val="ListParagraph"/>
              <w:spacing w:after="120" w:line="480" w:lineRule="auto"/>
              <w:ind w:left="72"/>
            </w:pPr>
            <w:r>
              <w:t xml:space="preserve">This </w:t>
            </w:r>
            <w:r w:rsidR="003D26A7">
              <w:t>is additional testimony regarding market sustainability</w:t>
            </w:r>
            <w:r w:rsidR="00FC1305">
              <w:t>, which again should be struck in conformance with the Commission’s previous orders.</w:t>
            </w:r>
          </w:p>
        </w:tc>
      </w:tr>
      <w:tr w:rsidR="00EB4AD5" w:rsidTr="008D0B30">
        <w:tc>
          <w:tcPr>
            <w:tcW w:w="1548" w:type="dxa"/>
            <w:tcBorders>
              <w:top w:val="nil"/>
              <w:bottom w:val="nil"/>
            </w:tcBorders>
          </w:tcPr>
          <w:p w:rsidR="00EB4AD5" w:rsidRDefault="00EB4AD5" w:rsidP="00E731A4">
            <w:pPr>
              <w:pStyle w:val="ListParagraph"/>
            </w:pPr>
            <w:r>
              <w:t>3: 10 – 5: 8</w:t>
            </w:r>
          </w:p>
        </w:tc>
        <w:tc>
          <w:tcPr>
            <w:tcW w:w="8010" w:type="dxa"/>
            <w:tcBorders>
              <w:top w:val="nil"/>
              <w:bottom w:val="nil"/>
            </w:tcBorders>
          </w:tcPr>
          <w:p w:rsidR="00FC1305" w:rsidRPr="00FC1305" w:rsidRDefault="00FC1305" w:rsidP="00FC1305">
            <w:pPr>
              <w:pStyle w:val="ListParagraph"/>
              <w:spacing w:after="120" w:line="480" w:lineRule="auto"/>
              <w:ind w:left="72"/>
              <w:rPr>
                <w:b/>
              </w:rPr>
            </w:pPr>
            <w:r>
              <w:rPr>
                <w:b/>
              </w:rPr>
              <w:t>Testimony regarding sustainability</w:t>
            </w:r>
          </w:p>
          <w:p w:rsidR="008D0B30" w:rsidRPr="008D0B30" w:rsidRDefault="008D0B30" w:rsidP="003306C8">
            <w:pPr>
              <w:pStyle w:val="ListParagraph"/>
              <w:spacing w:after="120" w:line="480" w:lineRule="auto"/>
              <w:ind w:left="72"/>
            </w:pPr>
            <w:r>
              <w:t>This testimony plainly addresses the excluded issue of market sustainability</w:t>
            </w:r>
            <w:r w:rsidR="00FC1305">
              <w:t xml:space="preserve"> and should be struck</w:t>
            </w:r>
            <w:r>
              <w:t>.</w:t>
            </w:r>
          </w:p>
        </w:tc>
      </w:tr>
      <w:tr w:rsidR="00EB4AD5" w:rsidTr="008D0B30">
        <w:tc>
          <w:tcPr>
            <w:tcW w:w="1548" w:type="dxa"/>
            <w:tcBorders>
              <w:top w:val="nil"/>
              <w:bottom w:val="nil"/>
            </w:tcBorders>
          </w:tcPr>
          <w:p w:rsidR="00EB4AD5" w:rsidRDefault="00EB4AD5" w:rsidP="00E731A4">
            <w:pPr>
              <w:pStyle w:val="ListParagraph"/>
            </w:pPr>
            <w:r>
              <w:t>5: 15-16</w:t>
            </w:r>
          </w:p>
        </w:tc>
        <w:tc>
          <w:tcPr>
            <w:tcW w:w="8010" w:type="dxa"/>
            <w:tcBorders>
              <w:top w:val="nil"/>
              <w:bottom w:val="nil"/>
            </w:tcBorders>
          </w:tcPr>
          <w:p w:rsidR="00FC1305" w:rsidRPr="00FC1305" w:rsidRDefault="00FC1305" w:rsidP="00FC1305">
            <w:pPr>
              <w:pStyle w:val="ListParagraph"/>
              <w:spacing w:after="120" w:line="480" w:lineRule="auto"/>
              <w:ind w:left="72"/>
              <w:rPr>
                <w:b/>
              </w:rPr>
            </w:pPr>
            <w:r>
              <w:rPr>
                <w:b/>
              </w:rPr>
              <w:t>Testimony regarding sustainability</w:t>
            </w:r>
          </w:p>
          <w:p w:rsidR="008D0B30" w:rsidRPr="008D0B30" w:rsidRDefault="003D26A7" w:rsidP="003306C8">
            <w:pPr>
              <w:pStyle w:val="ListParagraph"/>
              <w:spacing w:after="120" w:line="480" w:lineRule="auto"/>
              <w:ind w:left="72"/>
            </w:pPr>
            <w:r>
              <w:t>The testimony identified addresses market sustainability of multiple providers</w:t>
            </w:r>
            <w:r w:rsidR="008D0B30">
              <w:t>.</w:t>
            </w:r>
          </w:p>
        </w:tc>
      </w:tr>
      <w:tr w:rsidR="00EB4AD5" w:rsidTr="008D0B30">
        <w:tc>
          <w:tcPr>
            <w:tcW w:w="1548" w:type="dxa"/>
            <w:tcBorders>
              <w:top w:val="nil"/>
              <w:bottom w:val="nil"/>
            </w:tcBorders>
          </w:tcPr>
          <w:p w:rsidR="00EB4AD5" w:rsidRDefault="00EB4AD5" w:rsidP="00E731A4">
            <w:pPr>
              <w:pStyle w:val="ListParagraph"/>
            </w:pPr>
            <w:r>
              <w:t>6: 13 – 7: 10</w:t>
            </w:r>
          </w:p>
        </w:tc>
        <w:tc>
          <w:tcPr>
            <w:tcW w:w="8010" w:type="dxa"/>
            <w:tcBorders>
              <w:top w:val="nil"/>
              <w:bottom w:val="nil"/>
            </w:tcBorders>
          </w:tcPr>
          <w:p w:rsidR="00FC1305" w:rsidRPr="00FC1305" w:rsidRDefault="00FC1305" w:rsidP="0012779C">
            <w:pPr>
              <w:spacing w:after="120" w:line="480" w:lineRule="auto"/>
              <w:ind w:left="72"/>
              <w:rPr>
                <w:rFonts w:ascii="Times New Roman" w:hAnsi="Times New Roman"/>
                <w:b/>
                <w:sz w:val="24"/>
                <w:szCs w:val="24"/>
              </w:rPr>
            </w:pPr>
            <w:r>
              <w:rPr>
                <w:rFonts w:ascii="Times New Roman" w:hAnsi="Times New Roman"/>
                <w:b/>
                <w:sz w:val="24"/>
                <w:szCs w:val="24"/>
              </w:rPr>
              <w:t>Testimony filed out of sequence in violation of the procedural schedule</w:t>
            </w:r>
          </w:p>
          <w:p w:rsidR="008D0B30" w:rsidRPr="0019628B" w:rsidRDefault="00EB4AD5" w:rsidP="0012779C">
            <w:pPr>
              <w:spacing w:after="120" w:line="480" w:lineRule="auto"/>
              <w:ind w:left="72"/>
              <w:rPr>
                <w:rFonts w:ascii="Times New Roman" w:hAnsi="Times New Roman"/>
                <w:sz w:val="24"/>
                <w:szCs w:val="24"/>
              </w:rPr>
            </w:pPr>
            <w:r>
              <w:rPr>
                <w:rFonts w:ascii="Times New Roman" w:hAnsi="Times New Roman"/>
                <w:sz w:val="24"/>
                <w:szCs w:val="24"/>
              </w:rPr>
              <w:t>This testimony is not rebuttal, as it clearly indicates that it is responding to something not addressed by Mr. Roemer.</w:t>
            </w:r>
            <w:r w:rsidR="008D0B30">
              <w:rPr>
                <w:rFonts w:ascii="Times New Roman" w:hAnsi="Times New Roman"/>
                <w:sz w:val="24"/>
                <w:szCs w:val="24"/>
              </w:rPr>
              <w:t xml:space="preserve">  The question to which this testimony responds actually asks “Is anything missing from Mr. Roemer’s testimony as well</w:t>
            </w:r>
            <w:r w:rsidR="0012779C">
              <w:rPr>
                <w:rFonts w:ascii="Times New Roman" w:hAnsi="Times New Roman"/>
                <w:sz w:val="24"/>
                <w:szCs w:val="24"/>
              </w:rPr>
              <w:t>?</w:t>
            </w:r>
            <w:r w:rsidR="008D0B30">
              <w:rPr>
                <w:rFonts w:ascii="Times New Roman" w:hAnsi="Times New Roman"/>
                <w:sz w:val="24"/>
                <w:szCs w:val="24"/>
              </w:rPr>
              <w:t xml:space="preserve">”  Thus, unless parties are now permitted to attack silence </w:t>
            </w:r>
            <w:r w:rsidR="0012779C">
              <w:rPr>
                <w:rFonts w:ascii="Times New Roman" w:hAnsi="Times New Roman"/>
                <w:sz w:val="24"/>
                <w:szCs w:val="24"/>
              </w:rPr>
              <w:t>in</w:t>
            </w:r>
            <w:r w:rsidR="008D0B30">
              <w:rPr>
                <w:rFonts w:ascii="Times New Roman" w:hAnsi="Times New Roman"/>
                <w:sz w:val="24"/>
                <w:szCs w:val="24"/>
              </w:rPr>
              <w:t xml:space="preserve"> rebuttal, this testimony is out of sequence</w:t>
            </w:r>
            <w:r w:rsidR="0012779C">
              <w:rPr>
                <w:rFonts w:ascii="Times New Roman" w:hAnsi="Times New Roman"/>
                <w:sz w:val="24"/>
                <w:szCs w:val="24"/>
              </w:rPr>
              <w:t xml:space="preserve"> at this stage of the proceeding</w:t>
            </w:r>
            <w:r w:rsidR="008D0B30">
              <w:rPr>
                <w:rFonts w:ascii="Times New Roman" w:hAnsi="Times New Roman"/>
                <w:sz w:val="24"/>
                <w:szCs w:val="24"/>
              </w:rPr>
              <w:t>.</w:t>
            </w:r>
          </w:p>
        </w:tc>
      </w:tr>
      <w:tr w:rsidR="00EB4AD5" w:rsidTr="008D0B30">
        <w:tc>
          <w:tcPr>
            <w:tcW w:w="1548" w:type="dxa"/>
            <w:tcBorders>
              <w:top w:val="nil"/>
              <w:bottom w:val="nil"/>
            </w:tcBorders>
          </w:tcPr>
          <w:p w:rsidR="00EB4AD5" w:rsidRDefault="00EB4AD5" w:rsidP="00E731A4">
            <w:pPr>
              <w:pStyle w:val="ListParagraph"/>
            </w:pPr>
            <w:r>
              <w:t>8: 11 – 9: 4</w:t>
            </w:r>
          </w:p>
        </w:tc>
        <w:tc>
          <w:tcPr>
            <w:tcW w:w="8010" w:type="dxa"/>
            <w:tcBorders>
              <w:top w:val="nil"/>
              <w:bottom w:val="nil"/>
            </w:tcBorders>
          </w:tcPr>
          <w:p w:rsidR="00FC1305" w:rsidRPr="00FC1305" w:rsidRDefault="00FC1305" w:rsidP="00FC1305">
            <w:pPr>
              <w:spacing w:after="120" w:line="480" w:lineRule="auto"/>
              <w:ind w:left="72"/>
              <w:rPr>
                <w:rFonts w:ascii="Times New Roman" w:hAnsi="Times New Roman"/>
                <w:b/>
                <w:sz w:val="24"/>
                <w:szCs w:val="24"/>
              </w:rPr>
            </w:pPr>
            <w:r>
              <w:rPr>
                <w:rFonts w:ascii="Times New Roman" w:hAnsi="Times New Roman"/>
                <w:b/>
                <w:sz w:val="24"/>
                <w:szCs w:val="24"/>
              </w:rPr>
              <w:t>Testimony filed out of sequence in violation of the procedural schedule</w:t>
            </w:r>
          </w:p>
          <w:p w:rsidR="008D0B30" w:rsidRPr="008D0B30" w:rsidRDefault="00EB4AD5" w:rsidP="0012779C">
            <w:pPr>
              <w:spacing w:after="120" w:line="480" w:lineRule="auto"/>
              <w:ind w:left="72" w:hanging="29"/>
              <w:rPr>
                <w:rFonts w:ascii="Times New Roman" w:hAnsi="Times New Roman"/>
                <w:sz w:val="24"/>
                <w:szCs w:val="24"/>
              </w:rPr>
            </w:pPr>
            <w:r>
              <w:rPr>
                <w:rFonts w:ascii="Times New Roman" w:hAnsi="Times New Roman"/>
                <w:sz w:val="24"/>
                <w:szCs w:val="24"/>
              </w:rPr>
              <w:lastRenderedPageBreak/>
              <w:t>This testimony is not rebuttal, as it clearly indicates that it is responding to something not addressed by Mr. Roemer.</w:t>
            </w:r>
            <w:r w:rsidR="008D0B30">
              <w:rPr>
                <w:rFonts w:ascii="Times New Roman" w:hAnsi="Times New Roman"/>
                <w:sz w:val="24"/>
                <w:szCs w:val="24"/>
              </w:rPr>
              <w:t xml:space="preserve">  In this testimony th</w:t>
            </w:r>
            <w:r w:rsidR="007A17F2">
              <w:rPr>
                <w:rFonts w:ascii="Times New Roman" w:hAnsi="Times New Roman"/>
                <w:sz w:val="24"/>
                <w:szCs w:val="24"/>
              </w:rPr>
              <w:t>e answer includes the following</w:t>
            </w:r>
            <w:r w:rsidR="008D0B30">
              <w:rPr>
                <w:rFonts w:ascii="Times New Roman" w:hAnsi="Times New Roman"/>
                <w:sz w:val="24"/>
                <w:szCs w:val="24"/>
              </w:rPr>
              <w:t>: “</w:t>
            </w:r>
            <w:r w:rsidR="008D0B30" w:rsidRPr="009B0B65">
              <w:rPr>
                <w:rFonts w:ascii="Times New Roman" w:hAnsi="Times New Roman"/>
                <w:sz w:val="24"/>
                <w:szCs w:val="24"/>
              </w:rPr>
              <w:t>Mr. Roemer said almost nothing in his response testimony about this failure to serve to the full extent of their authority.</w:t>
            </w:r>
            <w:r w:rsidR="008D0B30">
              <w:rPr>
                <w:rFonts w:ascii="Times New Roman" w:hAnsi="Times New Roman"/>
                <w:sz w:val="24"/>
                <w:szCs w:val="24"/>
              </w:rPr>
              <w:t xml:space="preserve">”  Thus, this testimony clearly </w:t>
            </w:r>
            <w:r w:rsidR="0012779C">
              <w:rPr>
                <w:rFonts w:ascii="Times New Roman" w:hAnsi="Times New Roman"/>
                <w:sz w:val="24"/>
                <w:szCs w:val="24"/>
              </w:rPr>
              <w:t>acknowledges</w:t>
            </w:r>
            <w:r w:rsidR="008D0B30">
              <w:rPr>
                <w:rFonts w:ascii="Times New Roman" w:hAnsi="Times New Roman"/>
                <w:sz w:val="24"/>
                <w:szCs w:val="24"/>
              </w:rPr>
              <w:t xml:space="preserve"> that it is not responsive or rebuttal in nature.</w:t>
            </w:r>
          </w:p>
        </w:tc>
      </w:tr>
      <w:tr w:rsidR="00EB4AD5" w:rsidTr="008D0B30">
        <w:tc>
          <w:tcPr>
            <w:tcW w:w="1548" w:type="dxa"/>
            <w:tcBorders>
              <w:top w:val="nil"/>
              <w:bottom w:val="nil"/>
            </w:tcBorders>
          </w:tcPr>
          <w:p w:rsidR="00EB4AD5" w:rsidRDefault="00EB4AD5" w:rsidP="00E731A4">
            <w:pPr>
              <w:pStyle w:val="ListParagraph"/>
            </w:pPr>
            <w:r>
              <w:lastRenderedPageBreak/>
              <w:t>9: 5-</w:t>
            </w:r>
            <w:r w:rsidR="009238DE">
              <w:t>15</w:t>
            </w:r>
          </w:p>
          <w:p w:rsidR="00EB4AD5" w:rsidRDefault="00EB4AD5" w:rsidP="00E731A4">
            <w:pPr>
              <w:pStyle w:val="ListParagraph"/>
            </w:pPr>
          </w:p>
          <w:p w:rsidR="00EB4AD5" w:rsidRDefault="00EB4AD5" w:rsidP="00E731A4">
            <w:pPr>
              <w:pStyle w:val="ListParagraph"/>
            </w:pPr>
          </w:p>
        </w:tc>
        <w:tc>
          <w:tcPr>
            <w:tcW w:w="8010" w:type="dxa"/>
            <w:tcBorders>
              <w:top w:val="nil"/>
              <w:bottom w:val="nil"/>
            </w:tcBorders>
          </w:tcPr>
          <w:p w:rsidR="00FC1305" w:rsidRPr="00FC1305" w:rsidRDefault="00FC1305" w:rsidP="003306C8">
            <w:pPr>
              <w:spacing w:after="120" w:line="480" w:lineRule="auto"/>
              <w:ind w:left="72" w:hanging="29"/>
              <w:rPr>
                <w:rFonts w:ascii="Times New Roman Bold" w:hAnsi="Times New Roman Bold" w:cs="Times New Roman"/>
                <w:sz w:val="24"/>
                <w:szCs w:val="24"/>
              </w:rPr>
            </w:pPr>
            <w:r w:rsidRPr="00FC1305">
              <w:rPr>
                <w:rFonts w:ascii="Times New Roman Bold" w:hAnsi="Times New Roman Bold"/>
                <w:b/>
                <w:sz w:val="24"/>
              </w:rPr>
              <w:t>Testimony regarding sustainability</w:t>
            </w:r>
          </w:p>
          <w:p w:rsidR="00EB4AD5" w:rsidRPr="004275EC" w:rsidRDefault="008D0B30" w:rsidP="003306C8">
            <w:pPr>
              <w:spacing w:after="120" w:line="480" w:lineRule="auto"/>
              <w:ind w:left="72" w:hanging="29"/>
              <w:rPr>
                <w:rFonts w:ascii="Times New Roman" w:hAnsi="Times New Roman" w:cs="Times New Roman"/>
                <w:sz w:val="24"/>
                <w:szCs w:val="24"/>
              </w:rPr>
            </w:pPr>
            <w:r>
              <w:rPr>
                <w:rFonts w:ascii="Times New Roman" w:hAnsi="Times New Roman" w:cs="Times New Roman"/>
                <w:sz w:val="24"/>
                <w:szCs w:val="24"/>
              </w:rPr>
              <w:t>This t</w:t>
            </w:r>
            <w:r w:rsidR="004275EC" w:rsidRPr="004275EC">
              <w:rPr>
                <w:rFonts w:ascii="Times New Roman" w:hAnsi="Times New Roman" w:cs="Times New Roman"/>
                <w:sz w:val="24"/>
                <w:szCs w:val="24"/>
              </w:rPr>
              <w:t>estimony address</w:t>
            </w:r>
            <w:r>
              <w:rPr>
                <w:rFonts w:ascii="Times New Roman" w:hAnsi="Times New Roman" w:cs="Times New Roman"/>
                <w:sz w:val="24"/>
                <w:szCs w:val="24"/>
              </w:rPr>
              <w:t>es</w:t>
            </w:r>
            <w:r w:rsidR="004275EC" w:rsidRPr="004275EC">
              <w:rPr>
                <w:rFonts w:ascii="Times New Roman" w:hAnsi="Times New Roman" w:cs="Times New Roman"/>
                <w:sz w:val="24"/>
                <w:szCs w:val="24"/>
              </w:rPr>
              <w:t xml:space="preserve"> the excluded issue of market sustainability</w:t>
            </w:r>
            <w:r>
              <w:rPr>
                <w:rFonts w:ascii="Times New Roman" w:hAnsi="Times New Roman" w:cs="Times New Roman"/>
                <w:sz w:val="24"/>
                <w:szCs w:val="24"/>
              </w:rPr>
              <w:t xml:space="preserve"> and should not be permitted.</w:t>
            </w:r>
          </w:p>
        </w:tc>
      </w:tr>
      <w:tr w:rsidR="00EB4AD5" w:rsidTr="008D0B30">
        <w:tc>
          <w:tcPr>
            <w:tcW w:w="1548" w:type="dxa"/>
            <w:tcBorders>
              <w:top w:val="nil"/>
              <w:bottom w:val="nil"/>
            </w:tcBorders>
          </w:tcPr>
          <w:p w:rsidR="00EB4AD5" w:rsidRDefault="00EB4AD5" w:rsidP="00E731A4">
            <w:pPr>
              <w:pStyle w:val="ListParagraph"/>
            </w:pPr>
            <w:r>
              <w:t>10: 8 - 13: 9</w:t>
            </w:r>
          </w:p>
        </w:tc>
        <w:tc>
          <w:tcPr>
            <w:tcW w:w="8010" w:type="dxa"/>
            <w:tcBorders>
              <w:top w:val="nil"/>
              <w:bottom w:val="nil"/>
            </w:tcBorders>
            <w:shd w:val="clear" w:color="auto" w:fill="auto"/>
          </w:tcPr>
          <w:p w:rsidR="00FC1305" w:rsidRPr="00FC1305" w:rsidRDefault="00FC1305" w:rsidP="007A17F2">
            <w:pPr>
              <w:spacing w:after="120" w:line="480" w:lineRule="auto"/>
              <w:ind w:left="72" w:hanging="29"/>
              <w:rPr>
                <w:rFonts w:ascii="Times New Roman Bold" w:hAnsi="Times New Roman Bold"/>
                <w:sz w:val="24"/>
                <w:szCs w:val="24"/>
              </w:rPr>
            </w:pPr>
            <w:r w:rsidRPr="00FC1305">
              <w:rPr>
                <w:rFonts w:ascii="Times New Roman Bold" w:hAnsi="Times New Roman Bold"/>
                <w:b/>
                <w:sz w:val="24"/>
              </w:rPr>
              <w:t>Testimony regarding sustainability</w:t>
            </w:r>
          </w:p>
          <w:p w:rsidR="000D01A9" w:rsidRDefault="00EB4AD5" w:rsidP="00A403D6">
            <w:pPr>
              <w:spacing w:after="120" w:line="480" w:lineRule="auto"/>
              <w:ind w:left="72" w:hanging="29"/>
              <w:rPr>
                <w:rFonts w:ascii="Times New Roman" w:hAnsi="Times New Roman"/>
                <w:sz w:val="24"/>
                <w:szCs w:val="24"/>
              </w:rPr>
            </w:pPr>
            <w:r>
              <w:rPr>
                <w:rFonts w:ascii="Times New Roman" w:hAnsi="Times New Roman"/>
                <w:sz w:val="24"/>
                <w:szCs w:val="24"/>
              </w:rPr>
              <w:t xml:space="preserve">This </w:t>
            </w:r>
            <w:r w:rsidR="004E35E4">
              <w:rPr>
                <w:rFonts w:ascii="Times New Roman" w:hAnsi="Times New Roman"/>
                <w:sz w:val="24"/>
                <w:szCs w:val="24"/>
              </w:rPr>
              <w:t xml:space="preserve">precise testimony </w:t>
            </w:r>
            <w:r>
              <w:rPr>
                <w:rFonts w:ascii="Times New Roman" w:hAnsi="Times New Roman"/>
                <w:sz w:val="24"/>
                <w:szCs w:val="24"/>
              </w:rPr>
              <w:t>was</w:t>
            </w:r>
            <w:r w:rsidR="004E35E4">
              <w:rPr>
                <w:rFonts w:ascii="Times New Roman" w:hAnsi="Times New Roman"/>
                <w:sz w:val="24"/>
                <w:szCs w:val="24"/>
              </w:rPr>
              <w:t xml:space="preserve"> the subject of Speedishuttle’s Motion in Limine and was</w:t>
            </w:r>
            <w:r>
              <w:rPr>
                <w:rFonts w:ascii="Times New Roman" w:hAnsi="Times New Roman"/>
                <w:sz w:val="24"/>
                <w:szCs w:val="24"/>
              </w:rPr>
              <w:t xml:space="preserve"> struck </w:t>
            </w:r>
            <w:r w:rsidR="004E35E4">
              <w:rPr>
                <w:rFonts w:ascii="Times New Roman" w:hAnsi="Times New Roman"/>
                <w:sz w:val="24"/>
                <w:szCs w:val="24"/>
              </w:rPr>
              <w:t xml:space="preserve">by the Commission </w:t>
            </w:r>
            <w:r w:rsidR="000D01A9">
              <w:rPr>
                <w:rFonts w:ascii="Times New Roman" w:hAnsi="Times New Roman"/>
                <w:sz w:val="24"/>
                <w:szCs w:val="24"/>
              </w:rPr>
              <w:t>in Order 16 as relating to sustainability</w:t>
            </w:r>
            <w:r w:rsidR="004E35E4">
              <w:rPr>
                <w:rFonts w:ascii="Times New Roman" w:hAnsi="Times New Roman"/>
                <w:sz w:val="24"/>
                <w:szCs w:val="24"/>
              </w:rPr>
              <w:t>, which the Commission previously ruled was outside the scope of this proceeding and previously rejected in Order 04</w:t>
            </w:r>
            <w:r w:rsidR="000D01A9">
              <w:rPr>
                <w:rFonts w:ascii="Times New Roman" w:hAnsi="Times New Roman"/>
                <w:sz w:val="24"/>
                <w:szCs w:val="24"/>
              </w:rPr>
              <w:t>.</w:t>
            </w:r>
            <w:r>
              <w:rPr>
                <w:rFonts w:ascii="Times New Roman" w:hAnsi="Times New Roman"/>
                <w:sz w:val="24"/>
                <w:szCs w:val="24"/>
              </w:rPr>
              <w:t xml:space="preserve">  </w:t>
            </w:r>
            <w:r w:rsidR="008D0B30">
              <w:rPr>
                <w:rFonts w:ascii="Times New Roman" w:hAnsi="Times New Roman"/>
                <w:i/>
                <w:sz w:val="24"/>
                <w:szCs w:val="24"/>
              </w:rPr>
              <w:t xml:space="preserve">See </w:t>
            </w:r>
            <w:r w:rsidR="008D0B30">
              <w:rPr>
                <w:rFonts w:ascii="Times New Roman" w:hAnsi="Times New Roman"/>
                <w:sz w:val="24"/>
                <w:szCs w:val="24"/>
              </w:rPr>
              <w:t xml:space="preserve">Order 16, ¶ 13.  </w:t>
            </w:r>
            <w:r w:rsidR="0012779C">
              <w:rPr>
                <w:rFonts w:ascii="Times New Roman" w:hAnsi="Times New Roman"/>
                <w:sz w:val="24"/>
                <w:szCs w:val="24"/>
              </w:rPr>
              <w:t>It now</w:t>
            </w:r>
            <w:r>
              <w:rPr>
                <w:rFonts w:ascii="Times New Roman" w:hAnsi="Times New Roman"/>
                <w:sz w:val="24"/>
                <w:szCs w:val="24"/>
              </w:rPr>
              <w:t xml:space="preserve"> </w:t>
            </w:r>
            <w:r w:rsidR="008D0B30">
              <w:rPr>
                <w:rFonts w:ascii="Times New Roman" w:hAnsi="Times New Roman"/>
                <w:sz w:val="24"/>
                <w:szCs w:val="24"/>
              </w:rPr>
              <w:t>purports to be re</w:t>
            </w:r>
            <w:r w:rsidR="004E35E4">
              <w:rPr>
                <w:rFonts w:ascii="Times New Roman" w:hAnsi="Times New Roman"/>
                <w:sz w:val="24"/>
                <w:szCs w:val="24"/>
              </w:rPr>
              <w:t>-</w:t>
            </w:r>
            <w:r w:rsidR="008D0B30">
              <w:rPr>
                <w:rFonts w:ascii="Times New Roman" w:hAnsi="Times New Roman"/>
                <w:sz w:val="24"/>
                <w:szCs w:val="24"/>
              </w:rPr>
              <w:t>offered, over the Commission’s prior ruling,</w:t>
            </w:r>
            <w:r w:rsidR="0012779C">
              <w:rPr>
                <w:rFonts w:ascii="Times New Roman" w:hAnsi="Times New Roman"/>
                <w:sz w:val="24"/>
                <w:szCs w:val="24"/>
              </w:rPr>
              <w:t xml:space="preserve"> here</w:t>
            </w:r>
            <w:r w:rsidR="008D0B30">
              <w:rPr>
                <w:rFonts w:ascii="Times New Roman" w:hAnsi="Times New Roman"/>
                <w:sz w:val="24"/>
                <w:szCs w:val="24"/>
              </w:rPr>
              <w:t xml:space="preserve"> as rebuttal to Mr. Roemer’s</w:t>
            </w:r>
            <w:r w:rsidR="004E35E4">
              <w:rPr>
                <w:rFonts w:ascii="Times New Roman" w:hAnsi="Times New Roman"/>
                <w:sz w:val="24"/>
                <w:szCs w:val="24"/>
              </w:rPr>
              <w:t xml:space="preserve"> complaint that there is no foundation to the conclusions offered by Shuttle Express witnesses that</w:t>
            </w:r>
            <w:r>
              <w:rPr>
                <w:rFonts w:ascii="Times New Roman" w:hAnsi="Times New Roman"/>
                <w:sz w:val="24"/>
                <w:szCs w:val="24"/>
              </w:rPr>
              <w:t xml:space="preserve"> </w:t>
            </w:r>
            <w:r w:rsidR="000D01A9">
              <w:rPr>
                <w:rFonts w:ascii="Times New Roman" w:hAnsi="Times New Roman"/>
                <w:sz w:val="24"/>
                <w:szCs w:val="24"/>
              </w:rPr>
              <w:t>that Speedishuttle was the cause of Shuttle Express’ passenger declines</w:t>
            </w:r>
            <w:r>
              <w:rPr>
                <w:rFonts w:ascii="Times New Roman" w:hAnsi="Times New Roman"/>
                <w:sz w:val="24"/>
                <w:szCs w:val="24"/>
              </w:rPr>
              <w:t>.</w:t>
            </w:r>
            <w:r w:rsidR="004E35E4">
              <w:rPr>
                <w:rFonts w:ascii="Times New Roman" w:hAnsi="Times New Roman"/>
                <w:sz w:val="24"/>
                <w:szCs w:val="24"/>
              </w:rPr>
              <w:t xml:space="preserve">  </w:t>
            </w:r>
            <w:r w:rsidR="007A17F2">
              <w:rPr>
                <w:rFonts w:ascii="Times New Roman" w:hAnsi="Times New Roman"/>
                <w:sz w:val="24"/>
                <w:szCs w:val="24"/>
              </w:rPr>
              <w:t xml:space="preserve">Shuttle Express appears to justify its disregard for Commission orders based upon an argument that Mr. Roemer “opened the door” by making a basic challenge to the foundation of conclusory statements made by Shuttle Express, which Speedishuttle sought to strike, but was not excluded by the Commission.   Shuttle Express’ premise then, is </w:t>
            </w:r>
            <w:r w:rsidR="00247290">
              <w:rPr>
                <w:rFonts w:ascii="Times New Roman" w:hAnsi="Times New Roman"/>
                <w:sz w:val="24"/>
                <w:szCs w:val="24"/>
              </w:rPr>
              <w:t xml:space="preserve">“damned if </w:t>
            </w:r>
            <w:r w:rsidR="00247290">
              <w:rPr>
                <w:rFonts w:ascii="Times New Roman" w:hAnsi="Times New Roman"/>
                <w:sz w:val="24"/>
                <w:szCs w:val="24"/>
              </w:rPr>
              <w:lastRenderedPageBreak/>
              <w:t xml:space="preserve">you don’t, </w:t>
            </w:r>
            <w:proofErr w:type="gramStart"/>
            <w:r w:rsidR="00247290">
              <w:rPr>
                <w:rFonts w:ascii="Times New Roman" w:hAnsi="Times New Roman"/>
                <w:sz w:val="24"/>
                <w:szCs w:val="24"/>
              </w:rPr>
              <w:t>damned</w:t>
            </w:r>
            <w:proofErr w:type="gramEnd"/>
            <w:r w:rsidR="00247290">
              <w:rPr>
                <w:rFonts w:ascii="Times New Roman" w:hAnsi="Times New Roman"/>
                <w:sz w:val="24"/>
                <w:szCs w:val="24"/>
              </w:rPr>
              <w:t xml:space="preserve"> if you do.”  Either it gets to make unfounded conclusory statements without response, or it gets to include all of its testimony despite the Commission’s prior order to the contrary.</w:t>
            </w:r>
          </w:p>
        </w:tc>
      </w:tr>
      <w:tr w:rsidR="004E35E4" w:rsidTr="008D0B30">
        <w:tc>
          <w:tcPr>
            <w:tcW w:w="1548" w:type="dxa"/>
            <w:tcBorders>
              <w:top w:val="nil"/>
              <w:bottom w:val="nil"/>
            </w:tcBorders>
          </w:tcPr>
          <w:p w:rsidR="004E35E4" w:rsidRDefault="004E35E4" w:rsidP="00B55F75">
            <w:pPr>
              <w:pStyle w:val="ListParagraph"/>
            </w:pPr>
            <w:r>
              <w:lastRenderedPageBreak/>
              <w:t>14: 8</w:t>
            </w:r>
            <w:r w:rsidR="009238DE">
              <w:t xml:space="preserve"> – 15: 7</w:t>
            </w:r>
          </w:p>
        </w:tc>
        <w:tc>
          <w:tcPr>
            <w:tcW w:w="8010" w:type="dxa"/>
            <w:tcBorders>
              <w:top w:val="nil"/>
              <w:bottom w:val="nil"/>
            </w:tcBorders>
          </w:tcPr>
          <w:p w:rsidR="00FC1305" w:rsidRPr="00FC1305" w:rsidRDefault="00FC1305" w:rsidP="003306C8">
            <w:pPr>
              <w:spacing w:after="120" w:line="480" w:lineRule="auto"/>
              <w:ind w:left="72" w:hanging="29"/>
              <w:rPr>
                <w:rFonts w:ascii="Times New Roman" w:hAnsi="Times New Roman"/>
                <w:b/>
                <w:sz w:val="24"/>
                <w:szCs w:val="24"/>
              </w:rPr>
            </w:pPr>
            <w:r>
              <w:rPr>
                <w:rFonts w:ascii="Times New Roman" w:hAnsi="Times New Roman"/>
                <w:b/>
                <w:sz w:val="24"/>
                <w:szCs w:val="24"/>
              </w:rPr>
              <w:t>Testimony regarding financial fitness and sustainability</w:t>
            </w:r>
          </w:p>
          <w:p w:rsidR="004E35E4" w:rsidRDefault="004E35E4" w:rsidP="003306C8">
            <w:pPr>
              <w:spacing w:after="120" w:line="480" w:lineRule="auto"/>
              <w:ind w:left="72" w:hanging="29"/>
              <w:rPr>
                <w:rFonts w:ascii="Times New Roman" w:hAnsi="Times New Roman"/>
                <w:sz w:val="24"/>
                <w:szCs w:val="24"/>
              </w:rPr>
            </w:pPr>
            <w:r>
              <w:rPr>
                <w:rFonts w:ascii="Times New Roman" w:hAnsi="Times New Roman"/>
                <w:sz w:val="24"/>
                <w:szCs w:val="24"/>
              </w:rPr>
              <w:t xml:space="preserve">This testimony appears to challenge the Commission’s ruling regarding financial fitness, which is not something a </w:t>
            </w:r>
            <w:proofErr w:type="gramStart"/>
            <w:r>
              <w:rPr>
                <w:rFonts w:ascii="Times New Roman" w:hAnsi="Times New Roman"/>
                <w:sz w:val="24"/>
                <w:szCs w:val="24"/>
              </w:rPr>
              <w:t>protestant</w:t>
            </w:r>
            <w:proofErr w:type="gramEnd"/>
            <w:r>
              <w:rPr>
                <w:rFonts w:ascii="Times New Roman" w:hAnsi="Times New Roman"/>
                <w:sz w:val="24"/>
                <w:szCs w:val="24"/>
              </w:rPr>
              <w:t xml:space="preserve"> is permitted to do in </w:t>
            </w:r>
            <w:r w:rsidR="00247290">
              <w:rPr>
                <w:rFonts w:ascii="Times New Roman" w:hAnsi="Times New Roman"/>
                <w:sz w:val="24"/>
                <w:szCs w:val="24"/>
              </w:rPr>
              <w:t xml:space="preserve">transportation </w:t>
            </w:r>
            <w:r>
              <w:rPr>
                <w:rFonts w:ascii="Times New Roman" w:hAnsi="Times New Roman"/>
                <w:sz w:val="24"/>
                <w:szCs w:val="24"/>
              </w:rPr>
              <w:t>application proceedings.  This testimony is also</w:t>
            </w:r>
            <w:r w:rsidR="00247290">
              <w:rPr>
                <w:rFonts w:ascii="Times New Roman" w:hAnsi="Times New Roman"/>
                <w:sz w:val="24"/>
                <w:szCs w:val="24"/>
              </w:rPr>
              <w:t xml:space="preserve"> again</w:t>
            </w:r>
            <w:r>
              <w:rPr>
                <w:rFonts w:ascii="Times New Roman" w:hAnsi="Times New Roman"/>
                <w:sz w:val="24"/>
                <w:szCs w:val="24"/>
              </w:rPr>
              <w:t xml:space="preserve"> directed to the issue of sustainability of a second provider, which the Commission has excluded from this proceeding.</w:t>
            </w:r>
          </w:p>
        </w:tc>
      </w:tr>
      <w:tr w:rsidR="009238DE" w:rsidTr="008D0B30">
        <w:tc>
          <w:tcPr>
            <w:tcW w:w="1548" w:type="dxa"/>
            <w:tcBorders>
              <w:top w:val="nil"/>
              <w:bottom w:val="nil"/>
            </w:tcBorders>
          </w:tcPr>
          <w:p w:rsidR="009238DE" w:rsidRDefault="009238DE" w:rsidP="00B55F75">
            <w:pPr>
              <w:pStyle w:val="ListParagraph"/>
            </w:pPr>
            <w:r>
              <w:t>15: 8 – 16: 2</w:t>
            </w:r>
          </w:p>
        </w:tc>
        <w:tc>
          <w:tcPr>
            <w:tcW w:w="8010" w:type="dxa"/>
            <w:tcBorders>
              <w:top w:val="nil"/>
              <w:bottom w:val="nil"/>
            </w:tcBorders>
          </w:tcPr>
          <w:p w:rsidR="00FC1305" w:rsidRPr="00FC1305" w:rsidRDefault="00FC1305" w:rsidP="00FC1305">
            <w:pPr>
              <w:spacing w:after="120" w:line="480" w:lineRule="auto"/>
              <w:ind w:left="72" w:hanging="29"/>
              <w:rPr>
                <w:rFonts w:ascii="Times New Roman Bold" w:hAnsi="Times New Roman Bold"/>
                <w:sz w:val="24"/>
                <w:szCs w:val="24"/>
              </w:rPr>
            </w:pPr>
            <w:r w:rsidRPr="00FC1305">
              <w:rPr>
                <w:rFonts w:ascii="Times New Roman Bold" w:hAnsi="Times New Roman Bold"/>
                <w:b/>
                <w:sz w:val="24"/>
              </w:rPr>
              <w:t>Testimony regarding sustainability</w:t>
            </w:r>
          </w:p>
          <w:p w:rsidR="009238DE" w:rsidRDefault="009238DE" w:rsidP="00247290">
            <w:pPr>
              <w:spacing w:after="120" w:line="480" w:lineRule="auto"/>
              <w:ind w:left="72" w:hanging="29"/>
              <w:rPr>
                <w:rFonts w:ascii="Times New Roman" w:hAnsi="Times New Roman"/>
                <w:sz w:val="24"/>
                <w:szCs w:val="24"/>
              </w:rPr>
            </w:pPr>
            <w:r>
              <w:rPr>
                <w:rFonts w:ascii="Times New Roman" w:hAnsi="Times New Roman"/>
                <w:sz w:val="24"/>
                <w:szCs w:val="24"/>
              </w:rPr>
              <w:t xml:space="preserve">This testimony addresses </w:t>
            </w:r>
            <w:r w:rsidR="00247290">
              <w:rPr>
                <w:rFonts w:ascii="Times New Roman" w:hAnsi="Times New Roman"/>
                <w:sz w:val="24"/>
                <w:szCs w:val="24"/>
              </w:rPr>
              <w:t>Speedis</w:t>
            </w:r>
            <w:r w:rsidR="003D26A7">
              <w:rPr>
                <w:rFonts w:ascii="Times New Roman" w:hAnsi="Times New Roman"/>
                <w:sz w:val="24"/>
                <w:szCs w:val="24"/>
              </w:rPr>
              <w:t>huttle’s</w:t>
            </w:r>
            <w:r>
              <w:rPr>
                <w:rFonts w:ascii="Times New Roman" w:hAnsi="Times New Roman"/>
                <w:sz w:val="24"/>
                <w:szCs w:val="24"/>
              </w:rPr>
              <w:t xml:space="preserve"> plan for profitability, which relates only to the issue of sustainability and should be excluded from this proceeding.</w:t>
            </w:r>
            <w:r w:rsidR="003D26A7">
              <w:rPr>
                <w:rFonts w:ascii="Times New Roman" w:hAnsi="Times New Roman"/>
                <w:sz w:val="24"/>
                <w:szCs w:val="24"/>
              </w:rPr>
              <w:t xml:space="preserve"> </w:t>
            </w:r>
          </w:p>
        </w:tc>
      </w:tr>
      <w:tr w:rsidR="00EB4AD5" w:rsidTr="008D0B30">
        <w:tc>
          <w:tcPr>
            <w:tcW w:w="1548" w:type="dxa"/>
            <w:tcBorders>
              <w:top w:val="nil"/>
              <w:bottom w:val="nil"/>
            </w:tcBorders>
          </w:tcPr>
          <w:p w:rsidR="00EB4AD5" w:rsidRDefault="00EB4AD5" w:rsidP="00B55F75">
            <w:pPr>
              <w:pStyle w:val="ListParagraph"/>
            </w:pPr>
            <w:r>
              <w:t>16: 15 – 18: 10</w:t>
            </w:r>
          </w:p>
        </w:tc>
        <w:tc>
          <w:tcPr>
            <w:tcW w:w="8010" w:type="dxa"/>
            <w:tcBorders>
              <w:top w:val="nil"/>
              <w:bottom w:val="nil"/>
            </w:tcBorders>
          </w:tcPr>
          <w:p w:rsidR="00FC1305" w:rsidRPr="00FC1305" w:rsidRDefault="00FC1305" w:rsidP="00FC1305">
            <w:pPr>
              <w:spacing w:after="120" w:line="480" w:lineRule="auto"/>
              <w:ind w:left="72"/>
              <w:rPr>
                <w:rFonts w:ascii="Times New Roman" w:hAnsi="Times New Roman"/>
                <w:b/>
                <w:sz w:val="24"/>
                <w:szCs w:val="24"/>
              </w:rPr>
            </w:pPr>
            <w:r>
              <w:rPr>
                <w:rFonts w:ascii="Times New Roman" w:hAnsi="Times New Roman"/>
                <w:b/>
                <w:sz w:val="24"/>
                <w:szCs w:val="24"/>
              </w:rPr>
              <w:t>Testimony filed out of sequence in violation of the procedural schedule</w:t>
            </w:r>
          </w:p>
          <w:p w:rsidR="00EB4AD5" w:rsidRDefault="00EB4AD5" w:rsidP="003306C8">
            <w:pPr>
              <w:spacing w:after="120" w:line="480" w:lineRule="auto"/>
              <w:ind w:left="72" w:hanging="29"/>
              <w:rPr>
                <w:rFonts w:ascii="Times New Roman" w:hAnsi="Times New Roman"/>
                <w:sz w:val="24"/>
                <w:szCs w:val="24"/>
              </w:rPr>
            </w:pPr>
            <w:r>
              <w:rPr>
                <w:rFonts w:ascii="Times New Roman" w:hAnsi="Times New Roman"/>
                <w:sz w:val="24"/>
                <w:szCs w:val="24"/>
              </w:rPr>
              <w:t>This testimony is not rebuttal in any way.  It does not address any testimony submitted on behalf of Jack Roemer.</w:t>
            </w:r>
            <w:r w:rsidR="009238DE">
              <w:rPr>
                <w:rFonts w:ascii="Times New Roman" w:hAnsi="Times New Roman"/>
                <w:sz w:val="24"/>
                <w:szCs w:val="24"/>
              </w:rPr>
              <w:t xml:space="preserve">  It is thus out of sequence and should not be permitted.</w:t>
            </w:r>
          </w:p>
        </w:tc>
      </w:tr>
      <w:tr w:rsidR="009238DE" w:rsidTr="008D0B30">
        <w:tc>
          <w:tcPr>
            <w:tcW w:w="1548" w:type="dxa"/>
            <w:tcBorders>
              <w:top w:val="nil"/>
              <w:bottom w:val="nil"/>
            </w:tcBorders>
          </w:tcPr>
          <w:p w:rsidR="009238DE" w:rsidRDefault="003639D3" w:rsidP="00B55F75">
            <w:pPr>
              <w:pStyle w:val="ListParagraph"/>
            </w:pPr>
            <w:r>
              <w:t xml:space="preserve">18: </w:t>
            </w:r>
            <w:r w:rsidR="00552B4F">
              <w:t>11-22</w:t>
            </w:r>
          </w:p>
        </w:tc>
        <w:tc>
          <w:tcPr>
            <w:tcW w:w="8010" w:type="dxa"/>
            <w:tcBorders>
              <w:top w:val="nil"/>
              <w:bottom w:val="nil"/>
            </w:tcBorders>
          </w:tcPr>
          <w:p w:rsidR="00FC1305" w:rsidRPr="00FC1305" w:rsidRDefault="00FC1305" w:rsidP="00FC1305">
            <w:pPr>
              <w:spacing w:after="120" w:line="480" w:lineRule="auto"/>
              <w:ind w:left="72" w:hanging="29"/>
              <w:rPr>
                <w:rFonts w:ascii="Times New Roman Bold" w:hAnsi="Times New Roman Bold"/>
                <w:sz w:val="24"/>
                <w:szCs w:val="24"/>
              </w:rPr>
            </w:pPr>
            <w:r w:rsidRPr="00FC1305">
              <w:rPr>
                <w:rFonts w:ascii="Times New Roman Bold" w:hAnsi="Times New Roman Bold"/>
                <w:b/>
                <w:sz w:val="24"/>
              </w:rPr>
              <w:t>Testimony regarding sustainability</w:t>
            </w:r>
          </w:p>
          <w:p w:rsidR="009238DE" w:rsidRDefault="00552B4F" w:rsidP="00247290">
            <w:pPr>
              <w:spacing w:after="120" w:line="480" w:lineRule="auto"/>
              <w:ind w:left="72" w:hanging="29"/>
              <w:rPr>
                <w:rFonts w:ascii="Times New Roman" w:hAnsi="Times New Roman"/>
                <w:sz w:val="24"/>
                <w:szCs w:val="24"/>
              </w:rPr>
            </w:pPr>
            <w:r>
              <w:rPr>
                <w:rFonts w:ascii="Times New Roman" w:hAnsi="Times New Roman"/>
                <w:sz w:val="24"/>
                <w:szCs w:val="24"/>
              </w:rPr>
              <w:t xml:space="preserve">Mr. Kajanoff’s testimony regarding Shuttle Express’ operating losses is </w:t>
            </w:r>
            <w:r w:rsidR="00FC1305">
              <w:rPr>
                <w:rFonts w:ascii="Times New Roman" w:hAnsi="Times New Roman"/>
                <w:sz w:val="24"/>
                <w:szCs w:val="24"/>
              </w:rPr>
              <w:t>proffered</w:t>
            </w:r>
            <w:r>
              <w:rPr>
                <w:rFonts w:ascii="Times New Roman" w:hAnsi="Times New Roman"/>
                <w:sz w:val="24"/>
                <w:szCs w:val="24"/>
              </w:rPr>
              <w:t xml:space="preserve"> for the purpose of establishing how multiple providers cannot be sustained in the market and thereby exceeds the scope of this proceeding. Thus, </w:t>
            </w:r>
            <w:r>
              <w:rPr>
                <w:rFonts w:ascii="Times New Roman" w:hAnsi="Times New Roman"/>
                <w:sz w:val="24"/>
                <w:szCs w:val="24"/>
              </w:rPr>
              <w:lastRenderedPageBreak/>
              <w:t>it should be struck.</w:t>
            </w:r>
          </w:p>
        </w:tc>
      </w:tr>
    </w:tbl>
    <w:p w:rsidR="00E731A4" w:rsidRDefault="00E731A4" w:rsidP="00E731A4">
      <w:pPr>
        <w:pStyle w:val="ListParagraph"/>
      </w:pPr>
    </w:p>
    <w:p w:rsidR="004275EC" w:rsidRDefault="004275EC" w:rsidP="004275EC">
      <w:pPr>
        <w:pStyle w:val="Heading2"/>
      </w:pPr>
      <w:r>
        <w:t xml:space="preserve">Responsive </w:t>
      </w:r>
      <w:proofErr w:type="gramStart"/>
      <w:r>
        <w:t>And</w:t>
      </w:r>
      <w:proofErr w:type="gramEnd"/>
      <w:r>
        <w:t xml:space="preserve"> Rebuttal Testimony Of Petitioner/Complainant Shuttle Express, Inc. By Don J. Wood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548"/>
        <w:gridCol w:w="8010"/>
        <w:gridCol w:w="18"/>
      </w:tblGrid>
      <w:tr w:rsidR="004275EC" w:rsidTr="00C87CAF">
        <w:trPr>
          <w:gridAfter w:val="1"/>
          <w:wAfter w:w="18" w:type="dxa"/>
        </w:trPr>
        <w:tc>
          <w:tcPr>
            <w:tcW w:w="1548" w:type="dxa"/>
            <w:tcBorders>
              <w:bottom w:val="single" w:sz="4" w:space="0" w:color="auto"/>
            </w:tcBorders>
          </w:tcPr>
          <w:p w:rsidR="004275EC" w:rsidRPr="006317B4" w:rsidRDefault="004275EC" w:rsidP="003639D3">
            <w:pPr>
              <w:pStyle w:val="ListParagraph"/>
              <w:rPr>
                <w:b/>
              </w:rPr>
            </w:pPr>
            <w:r w:rsidRPr="006317B4">
              <w:rPr>
                <w:b/>
              </w:rPr>
              <w:t xml:space="preserve">Page: Lines </w:t>
            </w:r>
          </w:p>
        </w:tc>
        <w:tc>
          <w:tcPr>
            <w:tcW w:w="8010" w:type="dxa"/>
            <w:tcBorders>
              <w:bottom w:val="single" w:sz="4" w:space="0" w:color="auto"/>
            </w:tcBorders>
          </w:tcPr>
          <w:p w:rsidR="004275EC" w:rsidRPr="006317B4" w:rsidRDefault="004275EC" w:rsidP="003639D3">
            <w:pPr>
              <w:pStyle w:val="ListParagraph"/>
              <w:ind w:left="72"/>
              <w:rPr>
                <w:b/>
              </w:rPr>
            </w:pPr>
            <w:r w:rsidRPr="006317B4">
              <w:rPr>
                <w:b/>
              </w:rPr>
              <w:t>Basis of Objection/Motion</w:t>
            </w:r>
          </w:p>
        </w:tc>
      </w:tr>
      <w:tr w:rsidR="004275EC" w:rsidTr="00C87CAF">
        <w:tc>
          <w:tcPr>
            <w:tcW w:w="1548" w:type="dxa"/>
          </w:tcPr>
          <w:p w:rsidR="004275EC" w:rsidRDefault="004275EC" w:rsidP="00E731A4">
            <w:pPr>
              <w:pStyle w:val="ListParagraph"/>
            </w:pPr>
            <w:r>
              <w:t xml:space="preserve">2: 17 – </w:t>
            </w:r>
            <w:r w:rsidR="00CB7C1F">
              <w:t>14</w:t>
            </w:r>
            <w:r>
              <w:t xml:space="preserve">: </w:t>
            </w:r>
            <w:r w:rsidR="00CB7C1F">
              <w:t>9</w:t>
            </w:r>
          </w:p>
        </w:tc>
        <w:tc>
          <w:tcPr>
            <w:tcW w:w="8028" w:type="dxa"/>
            <w:gridSpan w:val="2"/>
          </w:tcPr>
          <w:p w:rsidR="00FC1305" w:rsidRPr="00FC1305" w:rsidRDefault="00FC1305" w:rsidP="001912BD">
            <w:pPr>
              <w:spacing w:after="120"/>
              <w:ind w:left="72"/>
              <w:rPr>
                <w:rFonts w:ascii="Times New Roman" w:hAnsi="Times New Roman"/>
                <w:b/>
                <w:sz w:val="24"/>
                <w:szCs w:val="24"/>
              </w:rPr>
            </w:pPr>
            <w:r>
              <w:rPr>
                <w:rFonts w:ascii="Times New Roman" w:hAnsi="Times New Roman"/>
                <w:b/>
                <w:sz w:val="24"/>
                <w:szCs w:val="24"/>
              </w:rPr>
              <w:t>Testimony filed out of sequence in violation of the procedural schedule</w:t>
            </w:r>
            <w:r w:rsidR="001912BD">
              <w:rPr>
                <w:rFonts w:ascii="Times New Roman" w:hAnsi="Times New Roman"/>
                <w:b/>
                <w:sz w:val="24"/>
                <w:szCs w:val="24"/>
              </w:rPr>
              <w:t xml:space="preserve"> and outside the scope of this proceeding</w:t>
            </w:r>
          </w:p>
          <w:p w:rsidR="004275EC" w:rsidRDefault="00CB7C1F" w:rsidP="009779BA">
            <w:pPr>
              <w:pStyle w:val="ListParagraph"/>
              <w:spacing w:after="120" w:line="480" w:lineRule="auto"/>
            </w:pPr>
            <w:r>
              <w:t xml:space="preserve">While it is unfortunately </w:t>
            </w:r>
            <w:proofErr w:type="gramStart"/>
            <w:r w:rsidR="00EC6D9E">
              <w:t xml:space="preserve">a </w:t>
            </w:r>
            <w:r w:rsidR="009779BA">
              <w:t xml:space="preserve"> large</w:t>
            </w:r>
            <w:proofErr w:type="gramEnd"/>
            <w:r w:rsidR="009779BA">
              <w:t xml:space="preserve"> </w:t>
            </w:r>
            <w:r w:rsidR="001912BD">
              <w:t>portion</w:t>
            </w:r>
            <w:r>
              <w:t xml:space="preserve"> of Mr. Wood’s </w:t>
            </w:r>
            <w:r w:rsidR="00EC6D9E">
              <w:t xml:space="preserve">total </w:t>
            </w:r>
            <w:r>
              <w:t xml:space="preserve">testimony, the testimony at these pages and lines </w:t>
            </w:r>
            <w:r w:rsidR="004275EC">
              <w:t xml:space="preserve">is not rebuttal or responsive. It does not respond to any specific testimony of any witness, but appears instead to be a deliberate attempt to </w:t>
            </w:r>
            <w:r w:rsidR="00362D16">
              <w:t>offer</w:t>
            </w:r>
            <w:r w:rsidR="004275EC">
              <w:t xml:space="preserve"> Mr. Wood’s specific conclusions out of sequence so that no response would be possible.</w:t>
            </w:r>
            <w:r>
              <w:t xml:space="preserve">  </w:t>
            </w:r>
            <w:r w:rsidR="001912BD">
              <w:t>As discussed above</w:t>
            </w:r>
            <w:r w:rsidR="009779BA">
              <w:t>, this testimony addresses regulatory policy, which is a subject discussed by other witnesses and therefore does not respond to other witnesses.  Additionally, this testimony does not address the issues the Commission has allowed in the rehearing or complaint cases.  Thus, this testimony should be struck.</w:t>
            </w:r>
          </w:p>
        </w:tc>
      </w:tr>
      <w:tr w:rsidR="004275EC" w:rsidTr="00C87CAF">
        <w:tc>
          <w:tcPr>
            <w:tcW w:w="1548" w:type="dxa"/>
          </w:tcPr>
          <w:p w:rsidR="004275EC" w:rsidRDefault="00EC6D9E" w:rsidP="00EC6D9E">
            <w:pPr>
              <w:pStyle w:val="ListParagraph"/>
            </w:pPr>
            <w:r>
              <w:t>12: 18 – 13: 21.</w:t>
            </w:r>
          </w:p>
        </w:tc>
        <w:tc>
          <w:tcPr>
            <w:tcW w:w="8028" w:type="dxa"/>
            <w:gridSpan w:val="2"/>
          </w:tcPr>
          <w:p w:rsidR="00FC1305" w:rsidRPr="00FC1305" w:rsidRDefault="00FC1305" w:rsidP="00FC1305">
            <w:pPr>
              <w:spacing w:after="120" w:line="480" w:lineRule="auto"/>
              <w:ind w:left="72" w:hanging="29"/>
              <w:rPr>
                <w:rFonts w:ascii="Times New Roman Bold" w:hAnsi="Times New Roman Bold"/>
                <w:sz w:val="24"/>
                <w:szCs w:val="24"/>
              </w:rPr>
            </w:pPr>
            <w:r w:rsidRPr="00FC1305">
              <w:rPr>
                <w:rFonts w:ascii="Times New Roman Bold" w:hAnsi="Times New Roman Bold"/>
                <w:b/>
                <w:sz w:val="24"/>
              </w:rPr>
              <w:t>Testimony regarding sustainability</w:t>
            </w:r>
          </w:p>
          <w:p w:rsidR="00EC6D9E" w:rsidRDefault="003306C8" w:rsidP="00247290">
            <w:pPr>
              <w:pStyle w:val="ListParagraph"/>
              <w:spacing w:after="120" w:line="480" w:lineRule="auto"/>
            </w:pPr>
            <w:r>
              <w:t xml:space="preserve">This testimony appears to assert legal argument as to why sustainability should be considered by the Commission in the context of Shuttle Express’ pricing complaint.  As </w:t>
            </w:r>
            <w:r w:rsidR="00247290">
              <w:t>repeatedly noted</w:t>
            </w:r>
            <w:r>
              <w:t xml:space="preserve">, this </w:t>
            </w:r>
            <w:r w:rsidR="00247290">
              <w:t xml:space="preserve">type of </w:t>
            </w:r>
            <w:r>
              <w:t xml:space="preserve">testimony disregards the Commission’s ruling regarding the scope of Shuttle Express’ complaint case.  While perhaps not strict a basis of admissibility, Speedishuttle would also note that Shuttle Express here appears to adopt Speedishuttle’s arguments regarding </w:t>
            </w:r>
            <w:r>
              <w:lastRenderedPageBreak/>
              <w:t>federal predatory pricing standards</w:t>
            </w:r>
            <w:r w:rsidR="00247290">
              <w:t xml:space="preserve">.  Speedishuttle addressed those standards in order to demonstrate why as a matter of law Shuttle Express can never establish that Speedishuttle engaged in predatory pricing.  In response to Speedishuttle’s Motion for Summary Determination, </w:t>
            </w:r>
            <w:r>
              <w:t xml:space="preserve">Shuttle Express insisted </w:t>
            </w:r>
            <w:r w:rsidR="00247290">
              <w:t>those standards were</w:t>
            </w:r>
            <w:r>
              <w:t xml:space="preserve"> inapplicable in </w:t>
            </w:r>
            <w:r w:rsidR="00247290">
              <w:t>a UTC regulatory</w:t>
            </w:r>
            <w:r>
              <w:t xml:space="preserve"> proceeding. </w:t>
            </w:r>
            <w:r w:rsidR="00247290">
              <w:t xml:space="preserve"> The Commission apparently agreed in Order 14, ¶7.  Thus, it seems Shuttle Express would once </w:t>
            </w:r>
            <w:r w:rsidR="00724360">
              <w:t xml:space="preserve">again </w:t>
            </w:r>
            <w:r w:rsidR="00247290">
              <w:t xml:space="preserve">like to have it both ways.  </w:t>
            </w:r>
            <w:r>
              <w:t>However, rather than now establishing the applicability of those standards, Shuttle Express offers speculation about how Speedishuttle’s pricing could be harmful without</w:t>
            </w:r>
            <w:r w:rsidR="00247290">
              <w:t xml:space="preserve"> any testimonial</w:t>
            </w:r>
            <w:r>
              <w:t xml:space="preserve"> predicate or foundation.</w:t>
            </w:r>
          </w:p>
        </w:tc>
      </w:tr>
      <w:tr w:rsidR="004275EC" w:rsidTr="00C87CAF">
        <w:tc>
          <w:tcPr>
            <w:tcW w:w="1548" w:type="dxa"/>
          </w:tcPr>
          <w:p w:rsidR="004275EC" w:rsidRDefault="00EC6D9E" w:rsidP="00E731A4">
            <w:pPr>
              <w:pStyle w:val="ListParagraph"/>
            </w:pPr>
            <w:r>
              <w:lastRenderedPageBreak/>
              <w:t>17: 5 – 15</w:t>
            </w:r>
          </w:p>
        </w:tc>
        <w:tc>
          <w:tcPr>
            <w:tcW w:w="8028" w:type="dxa"/>
            <w:gridSpan w:val="2"/>
          </w:tcPr>
          <w:p w:rsidR="00362D16" w:rsidRPr="00FC1305" w:rsidRDefault="00362D16" w:rsidP="00362D16">
            <w:pPr>
              <w:spacing w:after="120" w:line="480" w:lineRule="auto"/>
              <w:ind w:left="72" w:hanging="29"/>
              <w:rPr>
                <w:rFonts w:ascii="Times New Roman Bold" w:hAnsi="Times New Roman Bold"/>
                <w:sz w:val="24"/>
                <w:szCs w:val="24"/>
              </w:rPr>
            </w:pPr>
            <w:r w:rsidRPr="00FC1305">
              <w:rPr>
                <w:rFonts w:ascii="Times New Roman Bold" w:hAnsi="Times New Roman Bold"/>
                <w:b/>
                <w:sz w:val="24"/>
              </w:rPr>
              <w:t>Testimony regarding sustainability</w:t>
            </w:r>
          </w:p>
          <w:p w:rsidR="00EC6D9E" w:rsidRDefault="003306C8" w:rsidP="003306C8">
            <w:pPr>
              <w:pStyle w:val="ListParagraph"/>
              <w:spacing w:after="120" w:line="480" w:lineRule="auto"/>
            </w:pPr>
            <w:r>
              <w:t>Once again, this (flawed) testimony regarding the overall market trends and whether either provider can recover its costs addresses the excluded issue of sustainability</w:t>
            </w:r>
            <w:r w:rsidR="00EC6D9E">
              <w:t>.</w:t>
            </w:r>
          </w:p>
        </w:tc>
      </w:tr>
      <w:tr w:rsidR="004275EC" w:rsidTr="00C87CAF">
        <w:tc>
          <w:tcPr>
            <w:tcW w:w="1548" w:type="dxa"/>
          </w:tcPr>
          <w:p w:rsidR="004275EC" w:rsidRDefault="00EC6D9E" w:rsidP="00E731A4">
            <w:pPr>
              <w:pStyle w:val="ListParagraph"/>
            </w:pPr>
            <w:r>
              <w:t>30: 11 – 32: 5.</w:t>
            </w:r>
          </w:p>
        </w:tc>
        <w:tc>
          <w:tcPr>
            <w:tcW w:w="8028" w:type="dxa"/>
            <w:gridSpan w:val="2"/>
          </w:tcPr>
          <w:p w:rsidR="00362D16" w:rsidRPr="00FC1305" w:rsidRDefault="00362D16" w:rsidP="00362D16">
            <w:pPr>
              <w:spacing w:after="120" w:line="480" w:lineRule="auto"/>
              <w:ind w:left="72" w:hanging="29"/>
              <w:rPr>
                <w:rFonts w:ascii="Times New Roman Bold" w:hAnsi="Times New Roman Bold"/>
                <w:sz w:val="24"/>
                <w:szCs w:val="24"/>
              </w:rPr>
            </w:pPr>
            <w:r w:rsidRPr="00FC1305">
              <w:rPr>
                <w:rFonts w:ascii="Times New Roman Bold" w:hAnsi="Times New Roman Bold"/>
                <w:b/>
                <w:sz w:val="24"/>
              </w:rPr>
              <w:t>Testimony regarding sustainability</w:t>
            </w:r>
          </w:p>
          <w:p w:rsidR="004275EC" w:rsidRDefault="003306C8" w:rsidP="00247290">
            <w:pPr>
              <w:pStyle w:val="ListParagraph"/>
              <w:spacing w:after="120" w:line="480" w:lineRule="auto"/>
            </w:pPr>
            <w:r>
              <w:t xml:space="preserve">This testimony </w:t>
            </w:r>
            <w:r w:rsidR="00247290">
              <w:t>yet</w:t>
            </w:r>
            <w:r>
              <w:t xml:space="preserve"> again attempts to insert issues of market sustainability which have been repeatedly excluded from this proceeding by the Commission and were previously addressed and rejected at the application phase of Docket TC-143691.</w:t>
            </w:r>
          </w:p>
        </w:tc>
      </w:tr>
    </w:tbl>
    <w:p w:rsidR="00E731A4" w:rsidRDefault="00E731A4" w:rsidP="00E731A4">
      <w:pPr>
        <w:pStyle w:val="ListParagraph"/>
      </w:pPr>
    </w:p>
    <w:p w:rsidR="003306C8" w:rsidRDefault="003306C8" w:rsidP="00E731A4">
      <w:pPr>
        <w:pStyle w:val="ListParagraph"/>
      </w:pPr>
    </w:p>
    <w:p w:rsidR="00257F32" w:rsidRDefault="00257F32" w:rsidP="00257F32">
      <w:pPr>
        <w:pStyle w:val="Heading2"/>
      </w:pPr>
      <w:r>
        <w:t>Responsive Testimony of Petitioner/Complainant Shuttle Express, Inc. by Wesley A. Marks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48"/>
        <w:gridCol w:w="8028"/>
      </w:tblGrid>
      <w:tr w:rsidR="00257F32" w:rsidTr="00257F32">
        <w:tc>
          <w:tcPr>
            <w:tcW w:w="1548" w:type="dxa"/>
          </w:tcPr>
          <w:p w:rsidR="00257F32" w:rsidRPr="006317B4" w:rsidRDefault="00257F32" w:rsidP="0089191F">
            <w:pPr>
              <w:pStyle w:val="ListParagraph"/>
              <w:rPr>
                <w:b/>
              </w:rPr>
            </w:pPr>
            <w:r w:rsidRPr="006317B4">
              <w:rPr>
                <w:b/>
              </w:rPr>
              <w:t xml:space="preserve">Page: Lines </w:t>
            </w:r>
          </w:p>
        </w:tc>
        <w:tc>
          <w:tcPr>
            <w:tcW w:w="8028" w:type="dxa"/>
          </w:tcPr>
          <w:p w:rsidR="00257F32" w:rsidRPr="006317B4" w:rsidRDefault="00257F32" w:rsidP="0089191F">
            <w:pPr>
              <w:pStyle w:val="ListParagraph"/>
              <w:ind w:left="72"/>
              <w:rPr>
                <w:b/>
              </w:rPr>
            </w:pPr>
            <w:r w:rsidRPr="006317B4">
              <w:rPr>
                <w:b/>
              </w:rPr>
              <w:t>Basis of Objection/Motion</w:t>
            </w:r>
          </w:p>
        </w:tc>
      </w:tr>
      <w:tr w:rsidR="00257F32" w:rsidTr="00257F32">
        <w:tc>
          <w:tcPr>
            <w:tcW w:w="1548" w:type="dxa"/>
            <w:tcBorders>
              <w:bottom w:val="nil"/>
            </w:tcBorders>
          </w:tcPr>
          <w:p w:rsidR="00257F32" w:rsidRDefault="00257F32" w:rsidP="00FC1305">
            <w:pPr>
              <w:pStyle w:val="ListParagraph"/>
            </w:pPr>
            <w:r>
              <w:lastRenderedPageBreak/>
              <w:t>24: 1</w:t>
            </w:r>
            <w:r w:rsidR="00FC1305">
              <w:t>—25: 19</w:t>
            </w:r>
          </w:p>
        </w:tc>
        <w:tc>
          <w:tcPr>
            <w:tcW w:w="8028" w:type="dxa"/>
            <w:tcBorders>
              <w:bottom w:val="nil"/>
            </w:tcBorders>
          </w:tcPr>
          <w:p w:rsidR="00362D16" w:rsidRPr="00FC1305" w:rsidRDefault="00362D16" w:rsidP="00362D16">
            <w:pPr>
              <w:spacing w:after="120" w:line="480" w:lineRule="auto"/>
              <w:ind w:left="72" w:hanging="29"/>
              <w:rPr>
                <w:rFonts w:ascii="Times New Roman Bold" w:hAnsi="Times New Roman Bold"/>
                <w:sz w:val="24"/>
                <w:szCs w:val="24"/>
              </w:rPr>
            </w:pPr>
            <w:r w:rsidRPr="00FC1305">
              <w:rPr>
                <w:rFonts w:ascii="Times New Roman Bold" w:hAnsi="Times New Roman Bold"/>
                <w:b/>
                <w:sz w:val="24"/>
              </w:rPr>
              <w:t>Testimony regarding sustainability</w:t>
            </w:r>
          </w:p>
          <w:p w:rsidR="00257F32" w:rsidRDefault="00257F32" w:rsidP="00FC1305">
            <w:pPr>
              <w:pStyle w:val="ListParagraph"/>
              <w:spacing w:line="480" w:lineRule="auto"/>
            </w:pPr>
            <w:r>
              <w:t xml:space="preserve">Mr. Marks explicitly states that his testimony is addressing sustainability when he states “Shared ride service requires some minimum level of passenger volume and density to remain </w:t>
            </w:r>
            <w:r w:rsidR="00FC1305">
              <w:t>sustainable…”  He offers this testimony despite the Commission’s previous rulings excluding sustainability. Thus, it too should be properly excluded from this proceeding.</w:t>
            </w:r>
          </w:p>
        </w:tc>
      </w:tr>
    </w:tbl>
    <w:p w:rsidR="00257F32" w:rsidRPr="00257F32" w:rsidRDefault="00257F32" w:rsidP="00257F32">
      <w:pPr>
        <w:pStyle w:val="ListParagraph"/>
      </w:pPr>
    </w:p>
    <w:p w:rsidR="00257F32" w:rsidRPr="00E731A4" w:rsidRDefault="00257F32" w:rsidP="00E731A4">
      <w:pPr>
        <w:pStyle w:val="ListParagraph"/>
      </w:pPr>
    </w:p>
    <w:p w:rsidR="00247290" w:rsidRDefault="00BE2667" w:rsidP="00247290">
      <w:pPr>
        <w:pStyle w:val="Heading3"/>
      </w:pPr>
      <w:r>
        <w:t xml:space="preserve">For </w:t>
      </w:r>
      <w:r w:rsidR="00247290">
        <w:t xml:space="preserve">all </w:t>
      </w:r>
      <w:r>
        <w:t>the reasons stated above, Speedishuttle respectfully requests the Commissio</w:t>
      </w:r>
      <w:r w:rsidR="00247290">
        <w:t>n grant this Motion and exclude the referenced testimony from further examination and consideration in this proceeding.</w:t>
      </w:r>
    </w:p>
    <w:p w:rsidR="008B7C5F" w:rsidRDefault="008B7C5F" w:rsidP="008B7C5F">
      <w:pPr>
        <w:pStyle w:val="Heading2"/>
        <w:numPr>
          <w:ilvl w:val="0"/>
          <w:numId w:val="0"/>
        </w:numPr>
        <w:ind w:left="1260"/>
      </w:pPr>
    </w:p>
    <w:p w:rsidR="008B7C5F" w:rsidRDefault="008B7C5F" w:rsidP="008B7C5F">
      <w:pPr>
        <w:pStyle w:val="ListParagraph"/>
      </w:pPr>
    </w:p>
    <w:p w:rsidR="008B7C5F" w:rsidRDefault="008B7C5F" w:rsidP="008B7C5F">
      <w:pPr>
        <w:pStyle w:val="ListParagraph"/>
      </w:pPr>
    </w:p>
    <w:p w:rsidR="008B7C5F" w:rsidRDefault="008B7C5F" w:rsidP="008B7C5F">
      <w:pPr>
        <w:pStyle w:val="ListParagraph"/>
      </w:pPr>
    </w:p>
    <w:p w:rsidR="008B7C5F" w:rsidRPr="008B7C5F" w:rsidRDefault="008B7C5F" w:rsidP="008B7C5F">
      <w:pPr>
        <w:pStyle w:val="ListParagraph"/>
      </w:pPr>
    </w:p>
    <w:p w:rsidR="00F73D54" w:rsidRPr="009D57C2" w:rsidRDefault="00856222" w:rsidP="007D0B88">
      <w:pPr>
        <w:pStyle w:val="Heading3"/>
        <w:numPr>
          <w:ilvl w:val="0"/>
          <w:numId w:val="0"/>
        </w:numPr>
      </w:pPr>
      <w:r w:rsidRPr="009D57C2">
        <w:rPr>
          <w:szCs w:val="24"/>
        </w:rPr>
        <w:tab/>
      </w:r>
      <w:proofErr w:type="gramStart"/>
      <w:r w:rsidR="00DB2248" w:rsidRPr="009D57C2">
        <w:rPr>
          <w:szCs w:val="24"/>
        </w:rPr>
        <w:t xml:space="preserve">DATED this </w:t>
      </w:r>
      <w:r w:rsidR="00DD048D">
        <w:rPr>
          <w:szCs w:val="24"/>
        </w:rPr>
        <w:t>2</w:t>
      </w:r>
      <w:r w:rsidR="009779BA">
        <w:rPr>
          <w:szCs w:val="24"/>
        </w:rPr>
        <w:t>6th</w:t>
      </w:r>
      <w:r w:rsidR="00797318">
        <w:rPr>
          <w:szCs w:val="24"/>
        </w:rPr>
        <w:t xml:space="preserve"> </w:t>
      </w:r>
      <w:r w:rsidR="00DB2248" w:rsidRPr="009D57C2">
        <w:t xml:space="preserve">day of </w:t>
      </w:r>
      <w:r w:rsidR="00006EA3">
        <w:t>April</w:t>
      </w:r>
      <w:r w:rsidR="00DD308B">
        <w:t>, 2017</w:t>
      </w:r>
      <w:r w:rsidR="00DB2248" w:rsidRPr="009D57C2">
        <w:t>.</w:t>
      </w:r>
      <w:proofErr w:type="gramEnd"/>
      <w:r w:rsidR="00DB2248" w:rsidRPr="009D57C2">
        <w:rPr>
          <w:rStyle w:val="FootnoteReference"/>
        </w:rPr>
        <w:t xml:space="preserve"> </w:t>
      </w:r>
    </w:p>
    <w:tbl>
      <w:tblPr>
        <w:tblW w:w="0" w:type="auto"/>
        <w:tblLayout w:type="fixed"/>
        <w:tblLook w:val="0000" w:firstRow="0" w:lastRow="0" w:firstColumn="0" w:lastColumn="0" w:noHBand="0" w:noVBand="0"/>
      </w:tblPr>
      <w:tblGrid>
        <w:gridCol w:w="4698"/>
        <w:gridCol w:w="4860"/>
      </w:tblGrid>
      <w:tr w:rsidR="009D57C2" w:rsidRPr="009D57C2" w:rsidTr="00F73D54">
        <w:trPr>
          <w:cantSplit/>
        </w:trPr>
        <w:tc>
          <w:tcPr>
            <w:tcW w:w="4698" w:type="dxa"/>
          </w:tcPr>
          <w:p w:rsidR="00F73D54" w:rsidRPr="009D57C2" w:rsidRDefault="00F73D54" w:rsidP="00F73D54">
            <w:pPr>
              <w:keepNext/>
              <w:tabs>
                <w:tab w:val="left" w:pos="432"/>
              </w:tabs>
              <w:spacing w:line="240" w:lineRule="exact"/>
              <w:rPr>
                <w:rFonts w:ascii="Times New Roman" w:hAnsi="Times New Roman" w:cs="Times New Roman"/>
                <w:sz w:val="20"/>
                <w:szCs w:val="20"/>
              </w:rPr>
            </w:pPr>
          </w:p>
        </w:tc>
        <w:tc>
          <w:tcPr>
            <w:tcW w:w="4860" w:type="dxa"/>
          </w:tcPr>
          <w:p w:rsidR="00F73D54" w:rsidRPr="009D57C2" w:rsidRDefault="00DB2248" w:rsidP="00F73D54">
            <w:pPr>
              <w:keepNext/>
              <w:spacing w:line="240" w:lineRule="exact"/>
              <w:rPr>
                <w:rFonts w:ascii="Times New Roman" w:hAnsi="Times New Roman" w:cs="Times New Roman"/>
                <w:caps/>
                <w:sz w:val="20"/>
                <w:szCs w:val="20"/>
              </w:rPr>
            </w:pPr>
            <w:r w:rsidRPr="009D57C2">
              <w:rPr>
                <w:rFonts w:ascii="Times New Roman" w:hAnsi="Times New Roman" w:cs="Times New Roman"/>
                <w:caps/>
              </w:rPr>
              <w:t>RESPECTFULLY sUBMITTED</w:t>
            </w:r>
            <w:r w:rsidRPr="009D57C2">
              <w:rPr>
                <w:rFonts w:ascii="Times New Roman" w:hAnsi="Times New Roman" w:cs="Times New Roman"/>
                <w:caps/>
                <w:sz w:val="20"/>
                <w:szCs w:val="20"/>
              </w:rPr>
              <w:t>,</w:t>
            </w:r>
          </w:p>
          <w:p w:rsidR="00F73D54" w:rsidRPr="009D57C2" w:rsidRDefault="00F73D54" w:rsidP="00F73D54">
            <w:pPr>
              <w:keepNext/>
              <w:spacing w:line="240" w:lineRule="exact"/>
              <w:rPr>
                <w:rFonts w:ascii="Times New Roman" w:hAnsi="Times New Roman" w:cs="Times New Roman"/>
                <w:caps/>
                <w:sz w:val="20"/>
                <w:szCs w:val="20"/>
              </w:rPr>
            </w:pPr>
          </w:p>
          <w:p w:rsidR="00F73D54" w:rsidRPr="009D57C2" w:rsidRDefault="00DB2248" w:rsidP="00F73D54">
            <w:pPr>
              <w:keepNext/>
              <w:tabs>
                <w:tab w:val="right" w:pos="4572"/>
              </w:tabs>
              <w:spacing w:line="240" w:lineRule="exact"/>
              <w:rPr>
                <w:rFonts w:ascii="Times New Roman" w:hAnsi="Times New Roman" w:cs="Times New Roman"/>
                <w:sz w:val="20"/>
                <w:szCs w:val="20"/>
                <w:u w:val="single"/>
              </w:rPr>
            </w:pPr>
            <w:r w:rsidRPr="009D57C2">
              <w:rPr>
                <w:rFonts w:ascii="Times New Roman" w:hAnsi="Times New Roman" w:cs="Times New Roman"/>
                <w:sz w:val="20"/>
                <w:szCs w:val="20"/>
              </w:rPr>
              <w:t xml:space="preserve">By </w:t>
            </w:r>
            <w:r w:rsidR="008B7C5F" w:rsidRPr="008B7C5F">
              <w:rPr>
                <w:rFonts w:ascii="Times New Roman" w:hAnsi="Times New Roman" w:cs="Times New Roman"/>
                <w:sz w:val="20"/>
                <w:szCs w:val="20"/>
                <w:u w:val="single"/>
              </w:rPr>
              <w:t>/</w:t>
            </w:r>
            <w:r w:rsidR="008B7C5F" w:rsidRPr="008B7C5F">
              <w:rPr>
                <w:rFonts w:ascii="Times New Roman" w:hAnsi="Times New Roman" w:cs="Times New Roman"/>
                <w:sz w:val="24"/>
                <w:szCs w:val="24"/>
                <w:u w:val="single"/>
              </w:rPr>
              <w:t>s/ Blair I. Fassburg</w:t>
            </w:r>
            <w:r w:rsidRPr="009D57C2">
              <w:rPr>
                <w:rFonts w:ascii="Times New Roman" w:hAnsi="Times New Roman" w:cs="Times New Roman"/>
                <w:sz w:val="20"/>
                <w:szCs w:val="20"/>
                <w:u w:val="single"/>
              </w:rPr>
              <w:tab/>
            </w:r>
          </w:p>
          <w:p w:rsidR="00527402" w:rsidRPr="009D57C2" w:rsidRDefault="00527402" w:rsidP="00527402">
            <w:pPr>
              <w:keepNext/>
              <w:tabs>
                <w:tab w:val="left" w:pos="34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r>
              <w:rPr>
                <w:rFonts w:ascii="Times New Roman" w:hAnsi="Times New Roman" w:cs="Times New Roman"/>
                <w:sz w:val="20"/>
                <w:szCs w:val="20"/>
              </w:rPr>
              <w:tab/>
            </w:r>
            <w:r w:rsidRPr="00026C78">
              <w:rPr>
                <w:rFonts w:ascii="Times New Roman" w:hAnsi="Times New Roman" w:cs="Times New Roman"/>
              </w:rPr>
              <w:t xml:space="preserve">Blair I. Fassburg, </w:t>
            </w:r>
            <w:proofErr w:type="spellStart"/>
            <w:r w:rsidRPr="00026C78">
              <w:rPr>
                <w:rFonts w:ascii="Times New Roman" w:hAnsi="Times New Roman" w:cs="Times New Roman"/>
              </w:rPr>
              <w:t>WSBA</w:t>
            </w:r>
            <w:proofErr w:type="spellEnd"/>
            <w:r w:rsidRPr="00026C78">
              <w:rPr>
                <w:rFonts w:ascii="Times New Roman" w:hAnsi="Times New Roman" w:cs="Times New Roman"/>
              </w:rPr>
              <w:t xml:space="preserve"> #41207</w:t>
            </w:r>
          </w:p>
          <w:p w:rsidR="00527402" w:rsidRDefault="00527402" w:rsidP="00F73D54">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9" w:history="1">
              <w:r w:rsidRPr="009D57C2">
                <w:rPr>
                  <w:rStyle w:val="Hyperlink"/>
                  <w:rFonts w:ascii="Times New Roman" w:hAnsi="Times New Roman" w:cs="Times New Roman"/>
                  <w:color w:val="auto"/>
                  <w:sz w:val="20"/>
                  <w:szCs w:val="20"/>
                </w:rPr>
                <w:t>bfassburg@williamskastner.com</w:t>
              </w:r>
            </w:hyperlink>
            <w:r w:rsidR="00DB2248" w:rsidRPr="009D57C2">
              <w:rPr>
                <w:rFonts w:ascii="Times New Roman" w:hAnsi="Times New Roman" w:cs="Times New Roman"/>
                <w:sz w:val="20"/>
                <w:szCs w:val="20"/>
              </w:rPr>
              <w:t xml:space="preserve"> </w:t>
            </w:r>
          </w:p>
          <w:p w:rsidR="00F73D54" w:rsidRPr="009D57C2" w:rsidRDefault="00DB2248" w:rsidP="00527402">
            <w:pPr>
              <w:keepNext/>
              <w:tabs>
                <w:tab w:val="left" w:pos="342"/>
                <w:tab w:val="right" w:pos="4932"/>
              </w:tabs>
              <w:spacing w:line="240" w:lineRule="exact"/>
              <w:rPr>
                <w:rFonts w:ascii="Times New Roman" w:hAnsi="Times New Roman" w:cs="Times New Roman"/>
              </w:rPr>
            </w:pPr>
            <w:r w:rsidRPr="009D57C2">
              <w:rPr>
                <w:rFonts w:ascii="Times New Roman" w:hAnsi="Times New Roman" w:cs="Times New Roman"/>
                <w:sz w:val="20"/>
                <w:szCs w:val="20"/>
              </w:rPr>
              <w:t xml:space="preserve"> </w:t>
            </w:r>
            <w:r w:rsidR="00527402">
              <w:rPr>
                <w:rFonts w:ascii="Times New Roman" w:hAnsi="Times New Roman" w:cs="Times New Roman"/>
                <w:sz w:val="20"/>
                <w:szCs w:val="20"/>
              </w:rPr>
              <w:tab/>
            </w:r>
            <w:r w:rsidRPr="009D57C2">
              <w:rPr>
                <w:rFonts w:ascii="Times New Roman" w:hAnsi="Times New Roman" w:cs="Times New Roman"/>
              </w:rPr>
              <w:t xml:space="preserve">David W. Wiley, </w:t>
            </w:r>
            <w:proofErr w:type="spellStart"/>
            <w:r w:rsidRPr="009D57C2">
              <w:rPr>
                <w:rFonts w:ascii="Times New Roman" w:hAnsi="Times New Roman" w:cs="Times New Roman"/>
              </w:rPr>
              <w:t>WSBA</w:t>
            </w:r>
            <w:proofErr w:type="spellEnd"/>
            <w:r w:rsidRPr="009D57C2">
              <w:rPr>
                <w:rFonts w:ascii="Times New Roman" w:hAnsi="Times New Roman" w:cs="Times New Roman"/>
              </w:rPr>
              <w:t xml:space="preserve"> #08614 </w:t>
            </w:r>
          </w:p>
          <w:p w:rsidR="00597823" w:rsidRDefault="00DB2248" w:rsidP="00597823">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10" w:history="1">
              <w:r w:rsidR="00226511" w:rsidRPr="009D57C2">
                <w:rPr>
                  <w:rStyle w:val="Hyperlink"/>
                  <w:rFonts w:ascii="Times New Roman" w:hAnsi="Times New Roman" w:cs="Times New Roman"/>
                  <w:color w:val="auto"/>
                  <w:sz w:val="20"/>
                  <w:szCs w:val="20"/>
                </w:rPr>
                <w:t>dwiley@williamskastner.com</w:t>
              </w:r>
            </w:hyperlink>
            <w:r w:rsidRPr="009D57C2">
              <w:rPr>
                <w:rFonts w:ascii="Times New Roman" w:hAnsi="Times New Roman" w:cs="Times New Roman"/>
                <w:sz w:val="20"/>
                <w:szCs w:val="20"/>
              </w:rPr>
              <w:t xml:space="preserve"> </w:t>
            </w:r>
          </w:p>
          <w:p w:rsidR="00E55E15" w:rsidRPr="00E55E15" w:rsidRDefault="00E55E15" w:rsidP="00597823">
            <w:pPr>
              <w:keepNext/>
              <w:tabs>
                <w:tab w:val="left" w:pos="432"/>
                <w:tab w:val="right" w:pos="4932"/>
              </w:tabs>
              <w:spacing w:line="240" w:lineRule="exact"/>
              <w:rPr>
                <w:rFonts w:ascii="Times New Roman" w:hAnsi="Times New Roman" w:cs="Times New Roman"/>
                <w:sz w:val="20"/>
                <w:szCs w:val="20"/>
              </w:rPr>
            </w:pPr>
          </w:p>
          <w:p w:rsidR="00F73D54" w:rsidRPr="009D57C2" w:rsidRDefault="00DB2248" w:rsidP="00F73D54">
            <w:pPr>
              <w:keepNext/>
              <w:spacing w:line="240" w:lineRule="exact"/>
              <w:rPr>
                <w:rFonts w:ascii="Times New Roman" w:hAnsi="Times New Roman" w:cs="Times New Roman"/>
              </w:rPr>
            </w:pPr>
            <w:r w:rsidRPr="009D57C2">
              <w:rPr>
                <w:rFonts w:ascii="Times New Roman" w:hAnsi="Times New Roman" w:cs="Times New Roman"/>
              </w:rPr>
              <w:t>Attorneys for Speedishuttle Washington, LLC</w:t>
            </w:r>
          </w:p>
        </w:tc>
      </w:tr>
    </w:tbl>
    <w:p w:rsidR="0066055D" w:rsidRDefault="0066055D">
      <w:pPr>
        <w:rPr>
          <w:rFonts w:ascii="Times New Roman" w:eastAsia="Times New Roman" w:hAnsi="Times New Roman" w:cs="Times New Roman"/>
          <w:b/>
          <w:sz w:val="24"/>
          <w:szCs w:val="24"/>
        </w:rPr>
      </w:pPr>
      <w:r>
        <w:rPr>
          <w:b/>
          <w:szCs w:val="24"/>
        </w:rPr>
        <w:br w:type="page"/>
      </w:r>
    </w:p>
    <w:p w:rsidR="008831D9" w:rsidRPr="008831D9" w:rsidRDefault="008831D9" w:rsidP="008831D9">
      <w:pPr>
        <w:keepNext/>
        <w:keepLines/>
        <w:jc w:val="center"/>
        <w:rPr>
          <w:rFonts w:ascii="Times New Roman" w:hAnsi="Times New Roman" w:cs="Times New Roman"/>
          <w:b/>
          <w:sz w:val="24"/>
          <w:szCs w:val="24"/>
        </w:rPr>
      </w:pPr>
      <w:r w:rsidRPr="008831D9">
        <w:rPr>
          <w:rFonts w:ascii="Times New Roman" w:hAnsi="Times New Roman" w:cs="Times New Roman"/>
          <w:b/>
          <w:sz w:val="24"/>
          <w:szCs w:val="24"/>
        </w:rPr>
        <w:lastRenderedPageBreak/>
        <w:t>CERTIFICATE OF SERVICE</w:t>
      </w:r>
    </w:p>
    <w:p w:rsidR="008831D9" w:rsidRPr="008831D9" w:rsidRDefault="008831D9" w:rsidP="008831D9">
      <w:pPr>
        <w:keepNext/>
        <w:keepLines/>
        <w:jc w:val="center"/>
        <w:rPr>
          <w:rFonts w:ascii="Times New Roman" w:hAnsi="Times New Roman" w:cs="Times New Roman"/>
          <w:b/>
          <w:sz w:val="24"/>
          <w:szCs w:val="24"/>
        </w:rPr>
      </w:pPr>
    </w:p>
    <w:p w:rsidR="008831D9" w:rsidRPr="008831D9" w:rsidRDefault="008831D9" w:rsidP="008831D9">
      <w:pPr>
        <w:keepNext/>
        <w:keepLines/>
        <w:rPr>
          <w:rFonts w:ascii="Times New Roman" w:hAnsi="Times New Roman" w:cs="Times New Roman"/>
          <w:sz w:val="24"/>
          <w:szCs w:val="24"/>
        </w:rPr>
      </w:pPr>
      <w:r w:rsidRPr="008831D9">
        <w:rPr>
          <w:rFonts w:ascii="Times New Roman" w:hAnsi="Times New Roman" w:cs="Times New Roman"/>
          <w:sz w:val="24"/>
          <w:szCs w:val="24"/>
        </w:rPr>
        <w:tab/>
        <w:t xml:space="preserve">I hereby certify that on </w:t>
      </w:r>
      <w:r>
        <w:rPr>
          <w:rFonts w:ascii="Times New Roman" w:hAnsi="Times New Roman" w:cs="Times New Roman"/>
          <w:sz w:val="24"/>
          <w:szCs w:val="24"/>
        </w:rPr>
        <w:t>April 26</w:t>
      </w:r>
      <w:r w:rsidRPr="008831D9">
        <w:rPr>
          <w:rFonts w:ascii="Times New Roman" w:hAnsi="Times New Roman" w:cs="Times New Roman"/>
          <w:sz w:val="24"/>
          <w:szCs w:val="24"/>
        </w:rPr>
        <w:t>, 2017, I provided to the Washington Utilities and Transportation Commission’s Secretary an official electronic file containing the foregoing document(s) via the web portal and provided an electronic copy to:</w:t>
      </w:r>
      <w:r w:rsidRPr="008831D9">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8831D9" w:rsidRPr="008831D9" w:rsidTr="00F81564">
        <w:tc>
          <w:tcPr>
            <w:tcW w:w="4338" w:type="dxa"/>
            <w:shd w:val="clear" w:color="auto" w:fill="auto"/>
          </w:tcPr>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Julian Beattie</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Office of the Attorney General</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Utilities and Transportation Division</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1400 S. Evergreen Park Dr. SW</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PO Box 40128</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Olympia, WA  98504-0128</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(360) 664-1192</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 xml:space="preserve">Email: </w:t>
            </w:r>
            <w:hyperlink r:id="rId11" w:history="1">
              <w:r w:rsidRPr="008831D9">
                <w:rPr>
                  <w:rStyle w:val="Hyperlink"/>
                  <w:rFonts w:ascii="Times New Roman" w:hAnsi="Times New Roman" w:cs="Times New Roman"/>
                  <w:sz w:val="24"/>
                  <w:szCs w:val="24"/>
                </w:rPr>
                <w:t>jbeattie@utc.wa.gov</w:t>
              </w:r>
            </w:hyperlink>
          </w:p>
          <w:p w:rsidR="008831D9" w:rsidRPr="008831D9" w:rsidRDefault="008831D9" w:rsidP="00F81564">
            <w:pPr>
              <w:keepNext/>
              <w:keepLines/>
              <w:rPr>
                <w:rFonts w:ascii="Times New Roman" w:hAnsi="Times New Roman" w:cs="Times New Roman"/>
                <w:sz w:val="24"/>
                <w:szCs w:val="24"/>
              </w:rPr>
            </w:pPr>
          </w:p>
        </w:tc>
        <w:tc>
          <w:tcPr>
            <w:tcW w:w="4860" w:type="dxa"/>
            <w:shd w:val="clear" w:color="auto" w:fill="auto"/>
          </w:tcPr>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Rayne Pearson</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Administrative Law Judge</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1300 S. Evergreen Park Drive S.W.</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P.O. Box 47250</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Olympia, WA 98504-7250</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color w:val="000000"/>
                <w:sz w:val="24"/>
                <w:szCs w:val="24"/>
              </w:rPr>
              <w:t>(360) 664-1160</w:t>
            </w:r>
          </w:p>
          <w:p w:rsidR="008831D9" w:rsidRPr="008831D9" w:rsidRDefault="000952CD" w:rsidP="00F81564">
            <w:pPr>
              <w:keepNext/>
              <w:keepLines/>
              <w:rPr>
                <w:rFonts w:ascii="Times New Roman" w:hAnsi="Times New Roman" w:cs="Times New Roman"/>
                <w:sz w:val="24"/>
                <w:szCs w:val="24"/>
              </w:rPr>
            </w:pPr>
            <w:hyperlink r:id="rId12" w:history="1">
              <w:r w:rsidR="008831D9" w:rsidRPr="008831D9">
                <w:rPr>
                  <w:rStyle w:val="Hyperlink"/>
                  <w:rFonts w:ascii="Times New Roman" w:hAnsi="Times New Roman" w:cs="Times New Roman"/>
                  <w:sz w:val="24"/>
                  <w:szCs w:val="24"/>
                </w:rPr>
                <w:t>rpearson@utc.wa.gov</w:t>
              </w:r>
            </w:hyperlink>
          </w:p>
          <w:p w:rsidR="008831D9" w:rsidRPr="008831D9" w:rsidRDefault="008831D9" w:rsidP="00F81564">
            <w:pPr>
              <w:keepNext/>
              <w:keepLines/>
              <w:rPr>
                <w:rFonts w:ascii="Times New Roman" w:hAnsi="Times New Roman" w:cs="Times New Roman"/>
                <w:sz w:val="24"/>
                <w:szCs w:val="24"/>
              </w:rPr>
            </w:pPr>
          </w:p>
        </w:tc>
      </w:tr>
      <w:tr w:rsidR="008831D9" w:rsidRPr="008831D9" w:rsidTr="00F81564">
        <w:tc>
          <w:tcPr>
            <w:tcW w:w="4338" w:type="dxa"/>
            <w:shd w:val="clear" w:color="auto" w:fill="auto"/>
          </w:tcPr>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Brooks Harlow</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 xml:space="preserve">Lukas, </w:t>
            </w:r>
            <w:proofErr w:type="spellStart"/>
            <w:r w:rsidRPr="008831D9">
              <w:rPr>
                <w:rFonts w:ascii="Times New Roman" w:hAnsi="Times New Roman" w:cs="Times New Roman"/>
                <w:sz w:val="24"/>
                <w:szCs w:val="24"/>
              </w:rPr>
              <w:t>Nace</w:t>
            </w:r>
            <w:proofErr w:type="spellEnd"/>
            <w:r w:rsidRPr="008831D9">
              <w:rPr>
                <w:rFonts w:ascii="Times New Roman" w:hAnsi="Times New Roman" w:cs="Times New Roman"/>
                <w:sz w:val="24"/>
                <w:szCs w:val="24"/>
              </w:rPr>
              <w:t>, Gutierrez &amp; Sachs, LLP</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8300 Greensboro Dr. Suite 1200</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McLean, VA 22102</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(703) 584-8680</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 xml:space="preserve">Email: </w:t>
            </w:r>
            <w:hyperlink r:id="rId13" w:history="1">
              <w:r w:rsidRPr="008831D9">
                <w:rPr>
                  <w:rStyle w:val="Hyperlink"/>
                  <w:rFonts w:ascii="Times New Roman" w:hAnsi="Times New Roman" w:cs="Times New Roman"/>
                  <w:sz w:val="24"/>
                  <w:szCs w:val="24"/>
                </w:rPr>
                <w:t>bharlow@fcclaw.com</w:t>
              </w:r>
            </w:hyperlink>
          </w:p>
          <w:p w:rsidR="008831D9" w:rsidRPr="008831D9" w:rsidRDefault="008831D9" w:rsidP="00F81564">
            <w:pPr>
              <w:keepNext/>
              <w:keepLines/>
              <w:rPr>
                <w:rFonts w:ascii="Times New Roman" w:hAnsi="Times New Roman" w:cs="Times New Roman"/>
                <w:sz w:val="24"/>
                <w:szCs w:val="24"/>
              </w:rPr>
            </w:pPr>
          </w:p>
        </w:tc>
        <w:tc>
          <w:tcPr>
            <w:tcW w:w="4860" w:type="dxa"/>
            <w:shd w:val="clear" w:color="auto" w:fill="auto"/>
          </w:tcPr>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Jennifer Cameron-</w:t>
            </w:r>
            <w:proofErr w:type="spellStart"/>
            <w:r w:rsidRPr="008831D9">
              <w:rPr>
                <w:rFonts w:ascii="Times New Roman" w:hAnsi="Times New Roman" w:cs="Times New Roman"/>
                <w:sz w:val="24"/>
                <w:szCs w:val="24"/>
              </w:rPr>
              <w:t>Rulkowski</w:t>
            </w:r>
            <w:proofErr w:type="spellEnd"/>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Office of the Attorney General</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Utilities and Transportation Division</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1400 S. Evergreen Park Dr. SW</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P.O. Box 40128</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Olympia, WA 98504-0128</w:t>
            </w:r>
          </w:p>
          <w:p w:rsidR="008831D9" w:rsidRPr="008831D9" w:rsidRDefault="008831D9" w:rsidP="00F81564">
            <w:pPr>
              <w:keepNext/>
              <w:keepLines/>
              <w:rPr>
                <w:rFonts w:ascii="Times New Roman" w:hAnsi="Times New Roman" w:cs="Times New Roman"/>
                <w:sz w:val="24"/>
                <w:szCs w:val="24"/>
              </w:rPr>
            </w:pPr>
            <w:r w:rsidRPr="008831D9">
              <w:rPr>
                <w:rFonts w:ascii="Times New Roman" w:hAnsi="Times New Roman" w:cs="Times New Roman"/>
                <w:sz w:val="24"/>
                <w:szCs w:val="24"/>
              </w:rPr>
              <w:t>(360) 664-1192</w:t>
            </w:r>
          </w:p>
          <w:p w:rsidR="008831D9" w:rsidRPr="008831D9" w:rsidRDefault="000952CD" w:rsidP="00F81564">
            <w:pPr>
              <w:keepNext/>
              <w:keepLines/>
              <w:rPr>
                <w:rFonts w:ascii="Times New Roman" w:hAnsi="Times New Roman" w:cs="Times New Roman"/>
                <w:sz w:val="24"/>
                <w:szCs w:val="24"/>
              </w:rPr>
            </w:pPr>
            <w:hyperlink r:id="rId14" w:history="1">
              <w:r w:rsidR="008831D9" w:rsidRPr="008831D9">
                <w:rPr>
                  <w:rStyle w:val="Hyperlink"/>
                  <w:rFonts w:ascii="Times New Roman" w:hAnsi="Times New Roman" w:cs="Times New Roman"/>
                  <w:sz w:val="24"/>
                  <w:szCs w:val="24"/>
                </w:rPr>
                <w:t>jcameron@wutc.wa.gov</w:t>
              </w:r>
            </w:hyperlink>
          </w:p>
          <w:p w:rsidR="008831D9" w:rsidRPr="008831D9" w:rsidRDefault="008831D9" w:rsidP="00F81564">
            <w:pPr>
              <w:keepNext/>
              <w:keepLines/>
              <w:rPr>
                <w:rFonts w:ascii="Times New Roman" w:hAnsi="Times New Roman" w:cs="Times New Roman"/>
                <w:sz w:val="24"/>
                <w:szCs w:val="24"/>
              </w:rPr>
            </w:pPr>
          </w:p>
        </w:tc>
      </w:tr>
    </w:tbl>
    <w:p w:rsidR="008831D9" w:rsidRPr="008831D9" w:rsidRDefault="008831D9" w:rsidP="008831D9">
      <w:pPr>
        <w:keepNext/>
        <w:keepLines/>
        <w:jc w:val="center"/>
        <w:rPr>
          <w:rFonts w:ascii="Times New Roman" w:hAnsi="Times New Roman" w:cs="Times New Roman"/>
          <w:sz w:val="24"/>
          <w:szCs w:val="24"/>
        </w:rPr>
      </w:pP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p>
    <w:p w:rsidR="008831D9" w:rsidRPr="008831D9" w:rsidRDefault="008831D9" w:rsidP="008831D9">
      <w:pPr>
        <w:keepNext/>
        <w:keepLines/>
        <w:rPr>
          <w:rFonts w:ascii="Times New Roman" w:hAnsi="Times New Roman" w:cs="Times New Roman"/>
          <w:sz w:val="24"/>
          <w:szCs w:val="24"/>
        </w:rPr>
      </w:pPr>
      <w:proofErr w:type="gramStart"/>
      <w:r w:rsidRPr="008831D9">
        <w:rPr>
          <w:rFonts w:ascii="Times New Roman" w:hAnsi="Times New Roman" w:cs="Times New Roman"/>
          <w:sz w:val="24"/>
          <w:szCs w:val="24"/>
        </w:rPr>
        <w:t>Signed at Seattle, Washington the 2</w:t>
      </w:r>
      <w:r>
        <w:rPr>
          <w:rFonts w:ascii="Times New Roman" w:hAnsi="Times New Roman" w:cs="Times New Roman"/>
          <w:sz w:val="24"/>
          <w:szCs w:val="24"/>
        </w:rPr>
        <w:t>6</w:t>
      </w:r>
      <w:r w:rsidRPr="008831D9">
        <w:rPr>
          <w:rFonts w:ascii="Times New Roman" w:hAnsi="Times New Roman" w:cs="Times New Roman"/>
          <w:sz w:val="24"/>
          <w:szCs w:val="24"/>
          <w:vertAlign w:val="superscript"/>
        </w:rPr>
        <w:t xml:space="preserve">th </w:t>
      </w:r>
      <w:r w:rsidRPr="008831D9">
        <w:rPr>
          <w:rFonts w:ascii="Times New Roman" w:hAnsi="Times New Roman" w:cs="Times New Roman"/>
          <w:sz w:val="24"/>
          <w:szCs w:val="24"/>
        </w:rPr>
        <w:t>day of April, 2017.</w:t>
      </w:r>
      <w:proofErr w:type="gramEnd"/>
    </w:p>
    <w:p w:rsidR="008831D9" w:rsidRPr="008831D9" w:rsidRDefault="008831D9" w:rsidP="008831D9">
      <w:pPr>
        <w:keepNext/>
        <w:keepLines/>
        <w:jc w:val="center"/>
        <w:rPr>
          <w:rFonts w:ascii="Times New Roman" w:hAnsi="Times New Roman" w:cs="Times New Roman"/>
          <w:sz w:val="24"/>
          <w:szCs w:val="24"/>
        </w:rPr>
      </w:pPr>
    </w:p>
    <w:p w:rsidR="008831D9" w:rsidRPr="008831D9" w:rsidRDefault="008831D9" w:rsidP="008831D9">
      <w:pPr>
        <w:keepNext/>
        <w:keepLines/>
        <w:jc w:val="center"/>
        <w:rPr>
          <w:rFonts w:ascii="Times New Roman" w:hAnsi="Times New Roman" w:cs="Times New Roman"/>
          <w:sz w:val="24"/>
          <w:szCs w:val="24"/>
        </w:rPr>
      </w:pPr>
    </w:p>
    <w:p w:rsidR="008831D9" w:rsidRPr="008831D9" w:rsidRDefault="008831D9" w:rsidP="008831D9">
      <w:pPr>
        <w:keepNext/>
        <w:keepLines/>
        <w:jc w:val="center"/>
        <w:rPr>
          <w:rFonts w:ascii="Times New Roman" w:hAnsi="Times New Roman" w:cs="Times New Roman"/>
          <w:sz w:val="24"/>
          <w:szCs w:val="24"/>
        </w:rPr>
      </w:pPr>
    </w:p>
    <w:p w:rsidR="008831D9" w:rsidRPr="008831D9" w:rsidRDefault="008831D9" w:rsidP="008831D9">
      <w:pPr>
        <w:rPr>
          <w:rFonts w:ascii="Times New Roman" w:hAnsi="Times New Roman" w:cs="Times New Roman"/>
          <w:sz w:val="24"/>
          <w:szCs w:val="24"/>
          <w:u w:val="single"/>
        </w:rPr>
      </w:pP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u w:val="single"/>
        </w:rPr>
        <w:tab/>
      </w:r>
      <w:r w:rsidRPr="008831D9">
        <w:rPr>
          <w:rFonts w:ascii="Times New Roman" w:hAnsi="Times New Roman" w:cs="Times New Roman"/>
          <w:sz w:val="24"/>
          <w:szCs w:val="24"/>
          <w:u w:val="single"/>
        </w:rPr>
        <w:tab/>
      </w:r>
      <w:r w:rsidRPr="008831D9">
        <w:rPr>
          <w:rFonts w:ascii="Times New Roman" w:hAnsi="Times New Roman" w:cs="Times New Roman"/>
          <w:sz w:val="24"/>
          <w:szCs w:val="24"/>
          <w:u w:val="single"/>
        </w:rPr>
        <w:tab/>
      </w:r>
      <w:r w:rsidRPr="008831D9">
        <w:rPr>
          <w:rFonts w:ascii="Times New Roman" w:hAnsi="Times New Roman" w:cs="Times New Roman"/>
          <w:sz w:val="24"/>
          <w:szCs w:val="24"/>
          <w:u w:val="single"/>
        </w:rPr>
        <w:tab/>
      </w:r>
      <w:r w:rsidRPr="008831D9">
        <w:rPr>
          <w:rFonts w:ascii="Times New Roman" w:hAnsi="Times New Roman" w:cs="Times New Roman"/>
          <w:sz w:val="24"/>
          <w:szCs w:val="24"/>
          <w:u w:val="single"/>
        </w:rPr>
        <w:tab/>
      </w:r>
    </w:p>
    <w:p w:rsidR="008831D9" w:rsidRPr="008831D9" w:rsidRDefault="008831D9" w:rsidP="008831D9">
      <w:pPr>
        <w:rPr>
          <w:rFonts w:ascii="Times New Roman" w:hAnsi="Times New Roman" w:cs="Times New Roman"/>
          <w:sz w:val="24"/>
          <w:szCs w:val="24"/>
        </w:rPr>
      </w:pP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t>Maggi Gruber</w:t>
      </w:r>
    </w:p>
    <w:p w:rsidR="008831D9" w:rsidRPr="008831D9" w:rsidRDefault="008831D9" w:rsidP="008831D9">
      <w:pPr>
        <w:rPr>
          <w:rFonts w:ascii="Times New Roman" w:hAnsi="Times New Roman" w:cs="Times New Roman"/>
          <w:sz w:val="24"/>
          <w:szCs w:val="24"/>
        </w:rPr>
      </w:pP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t>Legal Assistant</w:t>
      </w:r>
    </w:p>
    <w:p w:rsidR="008831D9" w:rsidRPr="008831D9" w:rsidRDefault="008831D9" w:rsidP="008831D9">
      <w:pPr>
        <w:rPr>
          <w:rFonts w:ascii="Times New Roman" w:hAnsi="Times New Roman" w:cs="Times New Roman"/>
          <w:sz w:val="24"/>
          <w:szCs w:val="24"/>
        </w:rPr>
      </w:pP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hyperlink r:id="rId15" w:history="1">
        <w:r w:rsidRPr="008831D9">
          <w:rPr>
            <w:rStyle w:val="Hyperlink"/>
            <w:rFonts w:ascii="Times New Roman" w:hAnsi="Times New Roman" w:cs="Times New Roman"/>
            <w:sz w:val="24"/>
            <w:szCs w:val="24"/>
          </w:rPr>
          <w:t>mgruber@williamskastner.com</w:t>
        </w:r>
      </w:hyperlink>
    </w:p>
    <w:p w:rsidR="008831D9" w:rsidRPr="00316687" w:rsidRDefault="008831D9" w:rsidP="008831D9">
      <w:pPr>
        <w:rPr>
          <w:szCs w:val="24"/>
        </w:rPr>
      </w:pPr>
    </w:p>
    <w:p w:rsidR="003E2B8D" w:rsidRPr="009D57C2" w:rsidRDefault="003E2B8D" w:rsidP="008831D9">
      <w:pPr>
        <w:pStyle w:val="StyleListParagraphTimesNewRoman12ptLinespacingDouble"/>
        <w:jc w:val="center"/>
      </w:pPr>
    </w:p>
    <w:sectPr w:rsidR="003E2B8D" w:rsidRPr="009D57C2" w:rsidSect="008B7C5F">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9D3" w:rsidRDefault="003639D3">
      <w:r>
        <w:separator/>
      </w:r>
    </w:p>
  </w:endnote>
  <w:endnote w:type="continuationSeparator" w:id="0">
    <w:p w:rsidR="003639D3" w:rsidRDefault="0036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D3" w:rsidRDefault="00363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3639D3" w:rsidRPr="003F532E" w:rsidTr="00F73D54">
      <w:tc>
        <w:tcPr>
          <w:tcW w:w="6019" w:type="dxa"/>
        </w:tcPr>
        <w:p w:rsidR="003639D3" w:rsidRPr="003F532E" w:rsidRDefault="003639D3" w:rsidP="00F73D54">
          <w:pPr>
            <w:spacing w:before="100" w:line="240" w:lineRule="atLeast"/>
            <w:rPr>
              <w:rFonts w:ascii="Times New Roman" w:eastAsia="Times New Roman" w:hAnsi="Times New Roman" w:cs="Times New Roman"/>
              <w:sz w:val="20"/>
              <w:szCs w:val="20"/>
            </w:rPr>
          </w:pP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STYLEREF  Title  \* MERGEFORMAT </w:instrText>
          </w:r>
          <w:r w:rsidRPr="003F532E">
            <w:rPr>
              <w:rFonts w:ascii="Times New Roman" w:eastAsia="Times New Roman" w:hAnsi="Times New Roman" w:cs="Times New Roman"/>
              <w:sz w:val="20"/>
              <w:szCs w:val="20"/>
            </w:rPr>
            <w:fldChar w:fldCharType="separate"/>
          </w:r>
          <w:r w:rsidR="000952CD" w:rsidRPr="000952CD">
            <w:rPr>
              <w:rFonts w:ascii="Times New Roman" w:eastAsia="Times New Roman" w:hAnsi="Times New Roman" w:cs="Times New Roman"/>
              <w:bCs/>
              <w:noProof/>
              <w:sz w:val="20"/>
              <w:szCs w:val="20"/>
            </w:rPr>
            <w:t>SPEEDISHUTTLE</w:t>
          </w:r>
          <w:r w:rsidR="000952CD">
            <w:rPr>
              <w:rFonts w:ascii="Times New Roman" w:eastAsia="Times New Roman" w:hAnsi="Times New Roman" w:cs="Times New Roman"/>
              <w:noProof/>
              <w:sz w:val="20"/>
              <w:szCs w:val="20"/>
            </w:rPr>
            <w:t xml:space="preserve"> WASHINGTON, LLC’S OBJECTIONS TO, AND MOTION IN LIMINE AS TO PORTIONS OF PRE-FILED REBUTTAL TESTIMONY SUBMITTED BY SHUTTLE EXPRESS, INC.</w:t>
          </w:r>
          <w:r w:rsidRPr="003F532E">
            <w:rPr>
              <w:rFonts w:ascii="Times New Roman" w:eastAsia="Times New Roman" w:hAnsi="Times New Roman" w:cs="Times New Roman"/>
              <w:sz w:val="20"/>
              <w:szCs w:val="20"/>
            </w:rPr>
            <w:fldChar w:fldCharType="end"/>
          </w:r>
          <w:r w:rsidRPr="003F532E">
            <w:rPr>
              <w:rFonts w:ascii="Times New Roman" w:eastAsia="Times New Roman" w:hAnsi="Times New Roman" w:cs="Times New Roman"/>
              <w:sz w:val="20"/>
              <w:szCs w:val="20"/>
            </w:rPr>
            <w:t xml:space="preserve"> - </w:t>
          </w: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PAGE </w:instrText>
          </w:r>
          <w:r w:rsidRPr="003F532E">
            <w:rPr>
              <w:rFonts w:ascii="Times New Roman" w:eastAsia="Times New Roman" w:hAnsi="Times New Roman" w:cs="Times New Roman"/>
              <w:sz w:val="20"/>
              <w:szCs w:val="20"/>
            </w:rPr>
            <w:fldChar w:fldCharType="separate"/>
          </w:r>
          <w:r w:rsidR="000952CD">
            <w:rPr>
              <w:rFonts w:ascii="Times New Roman" w:eastAsia="Times New Roman" w:hAnsi="Times New Roman" w:cs="Times New Roman"/>
              <w:noProof/>
              <w:sz w:val="20"/>
              <w:szCs w:val="20"/>
            </w:rPr>
            <w:t>12</w:t>
          </w:r>
          <w:r w:rsidRPr="003F532E">
            <w:rPr>
              <w:rFonts w:ascii="Times New Roman" w:eastAsia="Times New Roman" w:hAnsi="Times New Roman" w:cs="Times New Roman"/>
              <w:sz w:val="20"/>
              <w:szCs w:val="20"/>
            </w:rPr>
            <w:fldChar w:fldCharType="end"/>
          </w:r>
        </w:p>
        <w:p w:rsidR="003639D3" w:rsidRPr="003F532E" w:rsidRDefault="003639D3" w:rsidP="00F73D54">
          <w:pPr>
            <w:spacing w:line="240" w:lineRule="atLeast"/>
            <w:rPr>
              <w:rFonts w:ascii="Times New Roman" w:eastAsia="Times New Roman" w:hAnsi="Times New Roman" w:cs="Times New Roman"/>
              <w:sz w:val="20"/>
              <w:szCs w:val="20"/>
            </w:rPr>
          </w:pPr>
        </w:p>
      </w:tc>
      <w:tc>
        <w:tcPr>
          <w:tcW w:w="236" w:type="dxa"/>
        </w:tcPr>
        <w:p w:rsidR="003639D3" w:rsidRPr="003F532E" w:rsidRDefault="003639D3" w:rsidP="00F73D54">
          <w:pPr>
            <w:spacing w:line="240" w:lineRule="atLeast"/>
            <w:rPr>
              <w:rFonts w:ascii="Times New Roman" w:eastAsia="Times New Roman" w:hAnsi="Times New Roman" w:cs="Times New Roman"/>
              <w:sz w:val="20"/>
              <w:szCs w:val="20"/>
            </w:rPr>
          </w:pPr>
        </w:p>
      </w:tc>
      <w:tc>
        <w:tcPr>
          <w:tcW w:w="3411" w:type="dxa"/>
        </w:tcPr>
        <w:p w:rsidR="003639D3" w:rsidRPr="003F532E" w:rsidRDefault="003639D3"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 xml:space="preserve">Williams, Kastner &amp; Gibbs </w:t>
          </w:r>
          <w:proofErr w:type="spellStart"/>
          <w:r w:rsidRPr="003F532E">
            <w:rPr>
              <w:rFonts w:ascii="Times New Roman" w:eastAsia="Times New Roman" w:hAnsi="Times New Roman" w:cs="Times New Roman"/>
              <w:b/>
              <w:sz w:val="16"/>
              <w:szCs w:val="20"/>
            </w:rPr>
            <w:t>PLLC</w:t>
          </w:r>
          <w:proofErr w:type="spellEnd"/>
        </w:p>
        <w:p w:rsidR="003639D3" w:rsidRPr="003F532E" w:rsidRDefault="003639D3"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rsidR="003639D3" w:rsidRPr="003F532E" w:rsidRDefault="003639D3"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rsidR="003639D3" w:rsidRPr="003F532E" w:rsidRDefault="003639D3"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rsidR="003639D3" w:rsidRDefault="003639D3"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0952CD">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0952CD">
      <w:rPr>
        <w:sz w:val="16"/>
      </w:rPr>
      <w:instrText xml:space="preserve"> 6075322.1</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0952CD">
      <w:rPr>
        <w:noProof/>
        <w:sz w:val="16"/>
      </w:rPr>
      <w:t xml:space="preserve"> 6075322.1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D3" w:rsidRDefault="00363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9D3" w:rsidRDefault="003639D3">
      <w:r>
        <w:separator/>
      </w:r>
    </w:p>
  </w:footnote>
  <w:footnote w:type="continuationSeparator" w:id="0">
    <w:p w:rsidR="003639D3" w:rsidRDefault="003639D3">
      <w:r>
        <w:continuationSeparator/>
      </w:r>
    </w:p>
  </w:footnote>
  <w:footnote w:id="1">
    <w:p w:rsidR="003639D3" w:rsidRDefault="003639D3">
      <w:pPr>
        <w:pStyle w:val="FootnoteText"/>
      </w:pPr>
      <w:r>
        <w:rPr>
          <w:rStyle w:val="FootnoteReference"/>
        </w:rPr>
        <w:footnoteRef/>
      </w:r>
      <w:r>
        <w:t xml:space="preserve"> </w:t>
      </w:r>
      <w:proofErr w:type="gramStart"/>
      <w:r>
        <w:t>¶7.</w:t>
      </w:r>
      <w:proofErr w:type="gramEnd"/>
    </w:p>
  </w:footnote>
  <w:footnote w:id="2">
    <w:p w:rsidR="003639D3" w:rsidRDefault="003639D3">
      <w:pPr>
        <w:pStyle w:val="FootnoteText"/>
      </w:pPr>
      <w:r>
        <w:rPr>
          <w:rStyle w:val="FootnoteReference"/>
        </w:rPr>
        <w:footnoteRef/>
      </w:r>
      <w:r>
        <w:t xml:space="preserve"> ¶¶ 11-13.</w:t>
      </w:r>
    </w:p>
  </w:footnote>
  <w:footnote w:id="3">
    <w:p w:rsidR="003639D3" w:rsidRDefault="003639D3">
      <w:pPr>
        <w:pStyle w:val="FootnoteText"/>
      </w:pPr>
      <w:r>
        <w:rPr>
          <w:rStyle w:val="FootnoteReference"/>
        </w:rPr>
        <w:footnoteRef/>
      </w:r>
      <w:r>
        <w:t xml:space="preserve"> </w:t>
      </w:r>
      <w:proofErr w:type="gramStart"/>
      <w:r>
        <w:t>¶¶ 10, 12.</w:t>
      </w:r>
      <w:proofErr w:type="gramEnd"/>
    </w:p>
  </w:footnote>
  <w:footnote w:id="4">
    <w:p w:rsidR="003639D3" w:rsidRDefault="003639D3">
      <w:pPr>
        <w:pStyle w:val="FootnoteText"/>
      </w:pPr>
      <w:r>
        <w:rPr>
          <w:rStyle w:val="FootnoteReference"/>
        </w:rPr>
        <w:footnoteRef/>
      </w:r>
      <w:r>
        <w:t xml:space="preserve"> </w:t>
      </w:r>
      <w:proofErr w:type="gramStart"/>
      <w:r>
        <w:t>¶ 12.</w:t>
      </w:r>
      <w:proofErr w:type="gramEnd"/>
    </w:p>
  </w:footnote>
  <w:footnote w:id="5">
    <w:p w:rsidR="003639D3" w:rsidRDefault="003639D3">
      <w:pPr>
        <w:pStyle w:val="FootnoteText"/>
      </w:pPr>
      <w:r>
        <w:rPr>
          <w:rStyle w:val="FootnoteReference"/>
        </w:rPr>
        <w:footnoteRef/>
      </w:r>
      <w:r>
        <w:t xml:space="preserve"> Order 17, ¶18.</w:t>
      </w:r>
    </w:p>
  </w:footnote>
  <w:footnote w:id="6">
    <w:p w:rsidR="00152072" w:rsidRDefault="00152072" w:rsidP="00152072">
      <w:pPr>
        <w:pStyle w:val="FootnoteText"/>
      </w:pPr>
      <w:r>
        <w:rPr>
          <w:rStyle w:val="FootnoteReference"/>
        </w:rPr>
        <w:footnoteRef/>
      </w:r>
      <w:r>
        <w:t xml:space="preserve"> </w:t>
      </w:r>
      <w:r w:rsidR="00960934">
        <w:t>A</w:t>
      </w:r>
      <w:r>
        <w:t>dmittedly</w:t>
      </w:r>
      <w:r w:rsidR="00C02E96">
        <w:t>,</w:t>
      </w:r>
      <w:r>
        <w:t xml:space="preserve"> Speedishuttle has sought clarity regarding the scope of the proceeding at times in the past, </w:t>
      </w:r>
      <w:r w:rsidR="00960934">
        <w:t xml:space="preserve">and </w:t>
      </w:r>
      <w:r>
        <w:t>particularly so when attempting to determine which of the 87 data requests it received from Shuttle Express actually required a response and through its previous Motion in Limine.</w:t>
      </w:r>
    </w:p>
  </w:footnote>
  <w:footnote w:id="7">
    <w:p w:rsidR="003639D3" w:rsidRPr="005F0E71" w:rsidRDefault="003639D3">
      <w:pPr>
        <w:pStyle w:val="FootnoteText"/>
      </w:pPr>
      <w:r>
        <w:rPr>
          <w:rStyle w:val="FootnoteReference"/>
        </w:rPr>
        <w:footnoteRef/>
      </w:r>
      <w:r>
        <w:t xml:space="preserve"> </w:t>
      </w:r>
      <w:r>
        <w:rPr>
          <w:i/>
        </w:rPr>
        <w:t xml:space="preserve">See </w:t>
      </w:r>
      <w:r>
        <w:t>Response/Rebuttal Testimony of Paul Kajanoff, Exhibit ___ (</w:t>
      </w:r>
      <w:proofErr w:type="spellStart"/>
      <w:r>
        <w:t>PK-2T</w:t>
      </w:r>
      <w:proofErr w:type="spellEnd"/>
      <w:r>
        <w:t>), 3: 10 – 4: 13.</w:t>
      </w:r>
    </w:p>
  </w:footnote>
  <w:footnote w:id="8">
    <w:p w:rsidR="00FC1305" w:rsidRDefault="00FC1305">
      <w:pPr>
        <w:pStyle w:val="FootnoteText"/>
      </w:pPr>
      <w:r>
        <w:rPr>
          <w:rStyle w:val="FootnoteReference"/>
        </w:rPr>
        <w:footnoteRef/>
      </w:r>
      <w:r>
        <w:t xml:space="preserve"> </w:t>
      </w:r>
      <w:r>
        <w:rPr>
          <w:i/>
        </w:rPr>
        <w:t>See In the Matter of the Petition of Verizon Northwest, Inc</w:t>
      </w:r>
      <w:r>
        <w:t>., Ninth Supplemental Order, Docket No. UT-11439 (Nov. 1,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D3" w:rsidRDefault="00363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D3" w:rsidRDefault="00363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D3" w:rsidRDefault="00363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3">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8C2D33"/>
    <w:multiLevelType w:val="hybridMultilevel"/>
    <w:tmpl w:val="50321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07979"/>
    <w:multiLevelType w:val="hybridMultilevel"/>
    <w:tmpl w:val="55E23B4C"/>
    <w:lvl w:ilvl="0" w:tplc="1EB21E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F31F2"/>
    <w:multiLevelType w:val="multilevel"/>
    <w:tmpl w:val="DB62DE4E"/>
    <w:lvl w:ilvl="0">
      <w:start w:val="1"/>
      <w:numFmt w:val="upperRoman"/>
      <w:pStyle w:val="Heading1"/>
      <w:suff w:val="nothing"/>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ind w:left="1260" w:hanging="360"/>
      </w:pPr>
      <w:rPr>
        <w:rFonts w:ascii="9999999" w:hAnsi="9999999" w:hint="default"/>
        <w:b/>
        <w:i w:val="0"/>
        <w:caps w:val="0"/>
        <w:strike w:val="0"/>
        <w:dstrike w:val="0"/>
        <w:outline w:val="0"/>
        <w:shadow w:val="0"/>
        <w:emboss w:val="0"/>
        <w:imprint w:val="0"/>
        <w:vanish w:val="0"/>
        <w:color w:val="000000"/>
        <w:sz w:val="24"/>
        <w:u w:val="none"/>
        <w:effect w:val="none"/>
        <w:vertAlign w:val="baseline"/>
      </w:rPr>
    </w:lvl>
    <w:lvl w:ilvl="2">
      <w:start w:val="1"/>
      <w:numFmt w:val="decimal"/>
      <w:lvlRestart w:val="0"/>
      <w:pStyle w:val="Heading3"/>
      <w:lvlText w:val="%3"/>
      <w:lvlJc w:val="left"/>
      <w:pPr>
        <w:tabs>
          <w:tab w:val="num" w:pos="0"/>
        </w:tabs>
        <w:ind w:left="0" w:hanging="720"/>
      </w:pPr>
      <w:rPr>
        <w:rFonts w:ascii="Times New Roman" w:hAnsi="Times New Roman" w:cs="Times New Roman" w:hint="default"/>
        <w:b w:val="0"/>
        <w:i/>
        <w:caps w:val="0"/>
        <w:strike w:val="0"/>
        <w:dstrike w:val="0"/>
        <w:outline w:val="0"/>
        <w:shadow w:val="0"/>
        <w:emboss w:val="0"/>
        <w:imprint w:val="0"/>
        <w:vanish w:val="0"/>
        <w:color w:val="000000"/>
        <w:sz w:val="22"/>
        <w:u w:val="none"/>
        <w:effect w:val="none"/>
        <w:vertAlign w:val="baseline"/>
      </w:rPr>
    </w:lvl>
    <w:lvl w:ilvl="3">
      <w:start w:val="1"/>
      <w:numFmt w:val="none"/>
      <w:pStyle w:val="Heading4"/>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4">
      <w:start w:val="1"/>
      <w:numFmt w:val="none"/>
      <w:pStyle w:val="Heading5"/>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abstractNum>
  <w:abstractNum w:abstractNumId="18">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8"/>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9"/>
  </w:num>
  <w:num w:numId="19">
    <w:abstractNumId w:val="12"/>
  </w:num>
  <w:num w:numId="20">
    <w:abstractNumId w:val="1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004"/>
    <w:rsid w:val="000059FD"/>
    <w:rsid w:val="00005D0D"/>
    <w:rsid w:val="00006EA3"/>
    <w:rsid w:val="000074C9"/>
    <w:rsid w:val="00011D56"/>
    <w:rsid w:val="00012D93"/>
    <w:rsid w:val="0001734E"/>
    <w:rsid w:val="000204ED"/>
    <w:rsid w:val="0002403F"/>
    <w:rsid w:val="00026C78"/>
    <w:rsid w:val="00026FDA"/>
    <w:rsid w:val="000275B5"/>
    <w:rsid w:val="0003472D"/>
    <w:rsid w:val="00035649"/>
    <w:rsid w:val="00041C09"/>
    <w:rsid w:val="00042E5F"/>
    <w:rsid w:val="00044FE5"/>
    <w:rsid w:val="000522E7"/>
    <w:rsid w:val="00060788"/>
    <w:rsid w:val="00061CE9"/>
    <w:rsid w:val="00066196"/>
    <w:rsid w:val="00066E81"/>
    <w:rsid w:val="00070A9E"/>
    <w:rsid w:val="00071DA8"/>
    <w:rsid w:val="00075019"/>
    <w:rsid w:val="000769F6"/>
    <w:rsid w:val="000819AC"/>
    <w:rsid w:val="00084052"/>
    <w:rsid w:val="0008512B"/>
    <w:rsid w:val="0009119E"/>
    <w:rsid w:val="000921A9"/>
    <w:rsid w:val="000952CD"/>
    <w:rsid w:val="000957FD"/>
    <w:rsid w:val="000966E2"/>
    <w:rsid w:val="00096EE4"/>
    <w:rsid w:val="00097688"/>
    <w:rsid w:val="000A3B40"/>
    <w:rsid w:val="000A4214"/>
    <w:rsid w:val="000A4F6B"/>
    <w:rsid w:val="000A52A2"/>
    <w:rsid w:val="000A60F4"/>
    <w:rsid w:val="000B0995"/>
    <w:rsid w:val="000B1C93"/>
    <w:rsid w:val="000B1F23"/>
    <w:rsid w:val="000B213E"/>
    <w:rsid w:val="000B297F"/>
    <w:rsid w:val="000B361E"/>
    <w:rsid w:val="000C36E1"/>
    <w:rsid w:val="000C3EA4"/>
    <w:rsid w:val="000D01A9"/>
    <w:rsid w:val="000D0522"/>
    <w:rsid w:val="000D09FE"/>
    <w:rsid w:val="000D3FE8"/>
    <w:rsid w:val="000D5B61"/>
    <w:rsid w:val="000E07BD"/>
    <w:rsid w:val="000E3C66"/>
    <w:rsid w:val="000E5271"/>
    <w:rsid w:val="000E5712"/>
    <w:rsid w:val="000E715E"/>
    <w:rsid w:val="000F0135"/>
    <w:rsid w:val="000F0525"/>
    <w:rsid w:val="000F4B28"/>
    <w:rsid w:val="000F7374"/>
    <w:rsid w:val="000F7F48"/>
    <w:rsid w:val="0010069B"/>
    <w:rsid w:val="001017D4"/>
    <w:rsid w:val="00102B48"/>
    <w:rsid w:val="0011143E"/>
    <w:rsid w:val="0011229B"/>
    <w:rsid w:val="00112C3D"/>
    <w:rsid w:val="0012337D"/>
    <w:rsid w:val="00125627"/>
    <w:rsid w:val="00126BBB"/>
    <w:rsid w:val="0012779C"/>
    <w:rsid w:val="00137D68"/>
    <w:rsid w:val="0014223D"/>
    <w:rsid w:val="00147237"/>
    <w:rsid w:val="00147F58"/>
    <w:rsid w:val="00150C49"/>
    <w:rsid w:val="00150C95"/>
    <w:rsid w:val="00152072"/>
    <w:rsid w:val="00154655"/>
    <w:rsid w:val="001551C3"/>
    <w:rsid w:val="00156FB1"/>
    <w:rsid w:val="00157327"/>
    <w:rsid w:val="00157B85"/>
    <w:rsid w:val="00161FA5"/>
    <w:rsid w:val="00163D7D"/>
    <w:rsid w:val="001640F7"/>
    <w:rsid w:val="00166D66"/>
    <w:rsid w:val="0017196A"/>
    <w:rsid w:val="001721C7"/>
    <w:rsid w:val="00175AFB"/>
    <w:rsid w:val="0017796A"/>
    <w:rsid w:val="00183D39"/>
    <w:rsid w:val="001841C8"/>
    <w:rsid w:val="00187DA5"/>
    <w:rsid w:val="0019096D"/>
    <w:rsid w:val="001912BD"/>
    <w:rsid w:val="00191C0B"/>
    <w:rsid w:val="0019485B"/>
    <w:rsid w:val="0019576C"/>
    <w:rsid w:val="0019628B"/>
    <w:rsid w:val="001973A6"/>
    <w:rsid w:val="00197FF7"/>
    <w:rsid w:val="001A0816"/>
    <w:rsid w:val="001A4D44"/>
    <w:rsid w:val="001A6E42"/>
    <w:rsid w:val="001B0806"/>
    <w:rsid w:val="001B73E6"/>
    <w:rsid w:val="001C0AEF"/>
    <w:rsid w:val="001C20A4"/>
    <w:rsid w:val="001C6460"/>
    <w:rsid w:val="001D1BCC"/>
    <w:rsid w:val="001D23D1"/>
    <w:rsid w:val="001D44F1"/>
    <w:rsid w:val="001E07B2"/>
    <w:rsid w:val="001E5C3F"/>
    <w:rsid w:val="001F065D"/>
    <w:rsid w:val="001F2D59"/>
    <w:rsid w:val="001F4373"/>
    <w:rsid w:val="001F678C"/>
    <w:rsid w:val="001F6FD4"/>
    <w:rsid w:val="0020005B"/>
    <w:rsid w:val="00201BD6"/>
    <w:rsid w:val="00203C5E"/>
    <w:rsid w:val="00207BED"/>
    <w:rsid w:val="00207EF8"/>
    <w:rsid w:val="002109BA"/>
    <w:rsid w:val="00212B4E"/>
    <w:rsid w:val="00214845"/>
    <w:rsid w:val="00220FAC"/>
    <w:rsid w:val="00221594"/>
    <w:rsid w:val="00226511"/>
    <w:rsid w:val="002278E6"/>
    <w:rsid w:val="00231982"/>
    <w:rsid w:val="00231A9B"/>
    <w:rsid w:val="002329A5"/>
    <w:rsid w:val="00236C83"/>
    <w:rsid w:val="00240D62"/>
    <w:rsid w:val="002413FC"/>
    <w:rsid w:val="002428CD"/>
    <w:rsid w:val="002437EA"/>
    <w:rsid w:val="00243834"/>
    <w:rsid w:val="00246275"/>
    <w:rsid w:val="00247290"/>
    <w:rsid w:val="00247D71"/>
    <w:rsid w:val="0025267B"/>
    <w:rsid w:val="00252947"/>
    <w:rsid w:val="00257F32"/>
    <w:rsid w:val="002611FB"/>
    <w:rsid w:val="00261469"/>
    <w:rsid w:val="00263220"/>
    <w:rsid w:val="00263C51"/>
    <w:rsid w:val="00273CD4"/>
    <w:rsid w:val="00274A68"/>
    <w:rsid w:val="00281786"/>
    <w:rsid w:val="0028201D"/>
    <w:rsid w:val="00291FA1"/>
    <w:rsid w:val="00292FB1"/>
    <w:rsid w:val="0029337E"/>
    <w:rsid w:val="00294E73"/>
    <w:rsid w:val="002951D3"/>
    <w:rsid w:val="002970B9"/>
    <w:rsid w:val="0029750A"/>
    <w:rsid w:val="002978CE"/>
    <w:rsid w:val="002A192B"/>
    <w:rsid w:val="002A26D6"/>
    <w:rsid w:val="002A5B5D"/>
    <w:rsid w:val="002B0001"/>
    <w:rsid w:val="002B4082"/>
    <w:rsid w:val="002C423C"/>
    <w:rsid w:val="002C5442"/>
    <w:rsid w:val="002E1DF0"/>
    <w:rsid w:val="002E651E"/>
    <w:rsid w:val="002F459A"/>
    <w:rsid w:val="002F5C70"/>
    <w:rsid w:val="003005B5"/>
    <w:rsid w:val="00301DE8"/>
    <w:rsid w:val="00302FC9"/>
    <w:rsid w:val="00303B63"/>
    <w:rsid w:val="00304893"/>
    <w:rsid w:val="003066CE"/>
    <w:rsid w:val="00307639"/>
    <w:rsid w:val="00307B25"/>
    <w:rsid w:val="00307DF0"/>
    <w:rsid w:val="00307FD7"/>
    <w:rsid w:val="00311816"/>
    <w:rsid w:val="00312B4A"/>
    <w:rsid w:val="003153DE"/>
    <w:rsid w:val="0032015A"/>
    <w:rsid w:val="00320BBD"/>
    <w:rsid w:val="00321BFD"/>
    <w:rsid w:val="0032551A"/>
    <w:rsid w:val="003306A1"/>
    <w:rsid w:val="003306C8"/>
    <w:rsid w:val="003349DD"/>
    <w:rsid w:val="00336667"/>
    <w:rsid w:val="00340014"/>
    <w:rsid w:val="0034061C"/>
    <w:rsid w:val="003410BF"/>
    <w:rsid w:val="00343AF0"/>
    <w:rsid w:val="0034518F"/>
    <w:rsid w:val="00345258"/>
    <w:rsid w:val="003478A6"/>
    <w:rsid w:val="003479C6"/>
    <w:rsid w:val="0035001A"/>
    <w:rsid w:val="00352D90"/>
    <w:rsid w:val="00353BA8"/>
    <w:rsid w:val="00354071"/>
    <w:rsid w:val="0035776A"/>
    <w:rsid w:val="0035792A"/>
    <w:rsid w:val="003626AD"/>
    <w:rsid w:val="00362D16"/>
    <w:rsid w:val="00363621"/>
    <w:rsid w:val="00363751"/>
    <w:rsid w:val="003639D3"/>
    <w:rsid w:val="00365C0D"/>
    <w:rsid w:val="00366949"/>
    <w:rsid w:val="00366BAF"/>
    <w:rsid w:val="00367445"/>
    <w:rsid w:val="00374EAF"/>
    <w:rsid w:val="00375946"/>
    <w:rsid w:val="00382E5B"/>
    <w:rsid w:val="00384476"/>
    <w:rsid w:val="00385D80"/>
    <w:rsid w:val="00391424"/>
    <w:rsid w:val="00391C19"/>
    <w:rsid w:val="0039480B"/>
    <w:rsid w:val="003955DD"/>
    <w:rsid w:val="003A1DB8"/>
    <w:rsid w:val="003A403D"/>
    <w:rsid w:val="003A5B4B"/>
    <w:rsid w:val="003A7BED"/>
    <w:rsid w:val="003B698C"/>
    <w:rsid w:val="003B70BB"/>
    <w:rsid w:val="003C01CC"/>
    <w:rsid w:val="003C1451"/>
    <w:rsid w:val="003C474E"/>
    <w:rsid w:val="003C5341"/>
    <w:rsid w:val="003C5C29"/>
    <w:rsid w:val="003C7233"/>
    <w:rsid w:val="003C77FF"/>
    <w:rsid w:val="003D1231"/>
    <w:rsid w:val="003D26A7"/>
    <w:rsid w:val="003D59ED"/>
    <w:rsid w:val="003E236E"/>
    <w:rsid w:val="003E2B8D"/>
    <w:rsid w:val="003E5C13"/>
    <w:rsid w:val="003E5E2A"/>
    <w:rsid w:val="003E65C5"/>
    <w:rsid w:val="003E67BA"/>
    <w:rsid w:val="003E7BFC"/>
    <w:rsid w:val="003F6CE0"/>
    <w:rsid w:val="00401809"/>
    <w:rsid w:val="00404681"/>
    <w:rsid w:val="00404FBA"/>
    <w:rsid w:val="004077E1"/>
    <w:rsid w:val="00412AAA"/>
    <w:rsid w:val="00412E9C"/>
    <w:rsid w:val="00415848"/>
    <w:rsid w:val="004229DB"/>
    <w:rsid w:val="004266C8"/>
    <w:rsid w:val="004267AA"/>
    <w:rsid w:val="004275EC"/>
    <w:rsid w:val="00430F04"/>
    <w:rsid w:val="00432BB7"/>
    <w:rsid w:val="00434E21"/>
    <w:rsid w:val="00446FAF"/>
    <w:rsid w:val="00447368"/>
    <w:rsid w:val="00447A88"/>
    <w:rsid w:val="00447E1C"/>
    <w:rsid w:val="00451672"/>
    <w:rsid w:val="00455105"/>
    <w:rsid w:val="00455868"/>
    <w:rsid w:val="0046007A"/>
    <w:rsid w:val="00461BEA"/>
    <w:rsid w:val="00463542"/>
    <w:rsid w:val="00466FA6"/>
    <w:rsid w:val="00467DC8"/>
    <w:rsid w:val="00470B33"/>
    <w:rsid w:val="004765E7"/>
    <w:rsid w:val="00476BB3"/>
    <w:rsid w:val="004802AA"/>
    <w:rsid w:val="00480698"/>
    <w:rsid w:val="00483DA4"/>
    <w:rsid w:val="004855C8"/>
    <w:rsid w:val="004913D7"/>
    <w:rsid w:val="00493AE8"/>
    <w:rsid w:val="004944F5"/>
    <w:rsid w:val="004945C5"/>
    <w:rsid w:val="00495CB8"/>
    <w:rsid w:val="004A4E73"/>
    <w:rsid w:val="004A5140"/>
    <w:rsid w:val="004B4E95"/>
    <w:rsid w:val="004B7779"/>
    <w:rsid w:val="004C0982"/>
    <w:rsid w:val="004C0C64"/>
    <w:rsid w:val="004C12A7"/>
    <w:rsid w:val="004C1828"/>
    <w:rsid w:val="004C2E82"/>
    <w:rsid w:val="004C316E"/>
    <w:rsid w:val="004C43DE"/>
    <w:rsid w:val="004C55D7"/>
    <w:rsid w:val="004D097E"/>
    <w:rsid w:val="004D6752"/>
    <w:rsid w:val="004E00E0"/>
    <w:rsid w:val="004E1808"/>
    <w:rsid w:val="004E2BB8"/>
    <w:rsid w:val="004E35E4"/>
    <w:rsid w:val="004E37A1"/>
    <w:rsid w:val="004E3DAC"/>
    <w:rsid w:val="004E5696"/>
    <w:rsid w:val="004F6DAC"/>
    <w:rsid w:val="00500649"/>
    <w:rsid w:val="00503432"/>
    <w:rsid w:val="005047F1"/>
    <w:rsid w:val="0051078C"/>
    <w:rsid w:val="00510CCA"/>
    <w:rsid w:val="00512D24"/>
    <w:rsid w:val="00514B2F"/>
    <w:rsid w:val="00514ED6"/>
    <w:rsid w:val="00514FBC"/>
    <w:rsid w:val="0051595B"/>
    <w:rsid w:val="0051665C"/>
    <w:rsid w:val="00517624"/>
    <w:rsid w:val="00520809"/>
    <w:rsid w:val="005212FF"/>
    <w:rsid w:val="0052270B"/>
    <w:rsid w:val="005245A1"/>
    <w:rsid w:val="00524F79"/>
    <w:rsid w:val="00526350"/>
    <w:rsid w:val="00527402"/>
    <w:rsid w:val="00527E60"/>
    <w:rsid w:val="00532057"/>
    <w:rsid w:val="00533E5B"/>
    <w:rsid w:val="00533EA3"/>
    <w:rsid w:val="005345F9"/>
    <w:rsid w:val="00535986"/>
    <w:rsid w:val="005371E4"/>
    <w:rsid w:val="0054117A"/>
    <w:rsid w:val="00543C15"/>
    <w:rsid w:val="00543D3C"/>
    <w:rsid w:val="00545F25"/>
    <w:rsid w:val="005470BC"/>
    <w:rsid w:val="005475F0"/>
    <w:rsid w:val="005505D5"/>
    <w:rsid w:val="0055087A"/>
    <w:rsid w:val="00552B4F"/>
    <w:rsid w:val="00553489"/>
    <w:rsid w:val="005535E2"/>
    <w:rsid w:val="00554369"/>
    <w:rsid w:val="005549D5"/>
    <w:rsid w:val="0055612E"/>
    <w:rsid w:val="00561D1F"/>
    <w:rsid w:val="0056429F"/>
    <w:rsid w:val="00564931"/>
    <w:rsid w:val="00573A46"/>
    <w:rsid w:val="005824A8"/>
    <w:rsid w:val="005870B0"/>
    <w:rsid w:val="00590B12"/>
    <w:rsid w:val="00591FF0"/>
    <w:rsid w:val="0059483F"/>
    <w:rsid w:val="00597823"/>
    <w:rsid w:val="005A0948"/>
    <w:rsid w:val="005A15C9"/>
    <w:rsid w:val="005A1948"/>
    <w:rsid w:val="005A3B3A"/>
    <w:rsid w:val="005A68AF"/>
    <w:rsid w:val="005B232D"/>
    <w:rsid w:val="005B29E0"/>
    <w:rsid w:val="005B309E"/>
    <w:rsid w:val="005B441F"/>
    <w:rsid w:val="005C1EDA"/>
    <w:rsid w:val="005C29D8"/>
    <w:rsid w:val="005D19EF"/>
    <w:rsid w:val="005D36A1"/>
    <w:rsid w:val="005D3C17"/>
    <w:rsid w:val="005D464B"/>
    <w:rsid w:val="005D5D65"/>
    <w:rsid w:val="005E2AC5"/>
    <w:rsid w:val="005E30CA"/>
    <w:rsid w:val="005E69D4"/>
    <w:rsid w:val="005F0E71"/>
    <w:rsid w:val="005F0F4E"/>
    <w:rsid w:val="005F1C93"/>
    <w:rsid w:val="005F6D51"/>
    <w:rsid w:val="006006EB"/>
    <w:rsid w:val="006032C1"/>
    <w:rsid w:val="006041A3"/>
    <w:rsid w:val="00614689"/>
    <w:rsid w:val="00614DE0"/>
    <w:rsid w:val="006171A0"/>
    <w:rsid w:val="00617EC1"/>
    <w:rsid w:val="00621C00"/>
    <w:rsid w:val="006222D2"/>
    <w:rsid w:val="0062241B"/>
    <w:rsid w:val="006244C1"/>
    <w:rsid w:val="00630052"/>
    <w:rsid w:val="006317B4"/>
    <w:rsid w:val="00632AA0"/>
    <w:rsid w:val="006339AB"/>
    <w:rsid w:val="006372C1"/>
    <w:rsid w:val="006372C6"/>
    <w:rsid w:val="00637FF8"/>
    <w:rsid w:val="00644C60"/>
    <w:rsid w:val="00644C67"/>
    <w:rsid w:val="006526CD"/>
    <w:rsid w:val="00652D71"/>
    <w:rsid w:val="00654B9D"/>
    <w:rsid w:val="00654F7F"/>
    <w:rsid w:val="006565B0"/>
    <w:rsid w:val="006573BA"/>
    <w:rsid w:val="00657995"/>
    <w:rsid w:val="00657FAF"/>
    <w:rsid w:val="0066055D"/>
    <w:rsid w:val="006676D0"/>
    <w:rsid w:val="00667D85"/>
    <w:rsid w:val="0067027E"/>
    <w:rsid w:val="00670C9D"/>
    <w:rsid w:val="00671C05"/>
    <w:rsid w:val="00672B04"/>
    <w:rsid w:val="006741B9"/>
    <w:rsid w:val="00675218"/>
    <w:rsid w:val="00677C18"/>
    <w:rsid w:val="00677D28"/>
    <w:rsid w:val="00681210"/>
    <w:rsid w:val="006837F4"/>
    <w:rsid w:val="00684B38"/>
    <w:rsid w:val="006856B6"/>
    <w:rsid w:val="00686D7F"/>
    <w:rsid w:val="00690D53"/>
    <w:rsid w:val="00690EA7"/>
    <w:rsid w:val="006963CF"/>
    <w:rsid w:val="0069691E"/>
    <w:rsid w:val="006A2492"/>
    <w:rsid w:val="006A2ECA"/>
    <w:rsid w:val="006A4426"/>
    <w:rsid w:val="006A5EA8"/>
    <w:rsid w:val="006B342F"/>
    <w:rsid w:val="006B3E8E"/>
    <w:rsid w:val="006B6FD4"/>
    <w:rsid w:val="006B7A15"/>
    <w:rsid w:val="006C131C"/>
    <w:rsid w:val="006C3D5D"/>
    <w:rsid w:val="006C536F"/>
    <w:rsid w:val="006C79C6"/>
    <w:rsid w:val="006D1838"/>
    <w:rsid w:val="006D1EB8"/>
    <w:rsid w:val="006D4C51"/>
    <w:rsid w:val="006E0473"/>
    <w:rsid w:val="006E314C"/>
    <w:rsid w:val="006E56CB"/>
    <w:rsid w:val="006E5B2B"/>
    <w:rsid w:val="006F6775"/>
    <w:rsid w:val="006F6BA1"/>
    <w:rsid w:val="006F6F56"/>
    <w:rsid w:val="006F7395"/>
    <w:rsid w:val="006F7F55"/>
    <w:rsid w:val="0070196D"/>
    <w:rsid w:val="00701F61"/>
    <w:rsid w:val="0070206F"/>
    <w:rsid w:val="00702728"/>
    <w:rsid w:val="00703678"/>
    <w:rsid w:val="00703B29"/>
    <w:rsid w:val="00713F24"/>
    <w:rsid w:val="00714097"/>
    <w:rsid w:val="00714C0E"/>
    <w:rsid w:val="00720B52"/>
    <w:rsid w:val="00722FCA"/>
    <w:rsid w:val="00723D57"/>
    <w:rsid w:val="00724142"/>
    <w:rsid w:val="00724360"/>
    <w:rsid w:val="007254A3"/>
    <w:rsid w:val="007269C6"/>
    <w:rsid w:val="00726A33"/>
    <w:rsid w:val="007322E6"/>
    <w:rsid w:val="0073477C"/>
    <w:rsid w:val="0073560A"/>
    <w:rsid w:val="00735920"/>
    <w:rsid w:val="00735B54"/>
    <w:rsid w:val="00737E2F"/>
    <w:rsid w:val="00743251"/>
    <w:rsid w:val="00743393"/>
    <w:rsid w:val="00743D2E"/>
    <w:rsid w:val="00744445"/>
    <w:rsid w:val="00745610"/>
    <w:rsid w:val="007474EB"/>
    <w:rsid w:val="00754A07"/>
    <w:rsid w:val="00756194"/>
    <w:rsid w:val="007614CB"/>
    <w:rsid w:val="007639CE"/>
    <w:rsid w:val="007665A3"/>
    <w:rsid w:val="00767630"/>
    <w:rsid w:val="0077302C"/>
    <w:rsid w:val="00773977"/>
    <w:rsid w:val="0077530D"/>
    <w:rsid w:val="007766C3"/>
    <w:rsid w:val="00780364"/>
    <w:rsid w:val="00780773"/>
    <w:rsid w:val="00782131"/>
    <w:rsid w:val="00782E8E"/>
    <w:rsid w:val="007834AE"/>
    <w:rsid w:val="00783C38"/>
    <w:rsid w:val="00784A4D"/>
    <w:rsid w:val="0078767F"/>
    <w:rsid w:val="00791471"/>
    <w:rsid w:val="0079163B"/>
    <w:rsid w:val="007927D2"/>
    <w:rsid w:val="00793968"/>
    <w:rsid w:val="007945B8"/>
    <w:rsid w:val="00795016"/>
    <w:rsid w:val="00797318"/>
    <w:rsid w:val="007A17F2"/>
    <w:rsid w:val="007A2B4C"/>
    <w:rsid w:val="007A367A"/>
    <w:rsid w:val="007A6DFC"/>
    <w:rsid w:val="007A769B"/>
    <w:rsid w:val="007B1E92"/>
    <w:rsid w:val="007B2D93"/>
    <w:rsid w:val="007B30C2"/>
    <w:rsid w:val="007B3F69"/>
    <w:rsid w:val="007C1966"/>
    <w:rsid w:val="007C2730"/>
    <w:rsid w:val="007D022C"/>
    <w:rsid w:val="007D0B88"/>
    <w:rsid w:val="007D445B"/>
    <w:rsid w:val="007E1025"/>
    <w:rsid w:val="007E1A2F"/>
    <w:rsid w:val="007E1B67"/>
    <w:rsid w:val="007E5BF3"/>
    <w:rsid w:val="007F359B"/>
    <w:rsid w:val="007F3695"/>
    <w:rsid w:val="007F5970"/>
    <w:rsid w:val="00800168"/>
    <w:rsid w:val="008004C7"/>
    <w:rsid w:val="0080376A"/>
    <w:rsid w:val="00803E85"/>
    <w:rsid w:val="00804836"/>
    <w:rsid w:val="00805AFD"/>
    <w:rsid w:val="00805F0F"/>
    <w:rsid w:val="00810047"/>
    <w:rsid w:val="00816DD0"/>
    <w:rsid w:val="008221BD"/>
    <w:rsid w:val="00823FD0"/>
    <w:rsid w:val="00831688"/>
    <w:rsid w:val="0083266C"/>
    <w:rsid w:val="00833F0B"/>
    <w:rsid w:val="008372E4"/>
    <w:rsid w:val="00842E24"/>
    <w:rsid w:val="008446C6"/>
    <w:rsid w:val="00852479"/>
    <w:rsid w:val="00856222"/>
    <w:rsid w:val="00857ED5"/>
    <w:rsid w:val="00867256"/>
    <w:rsid w:val="0087089E"/>
    <w:rsid w:val="0087316D"/>
    <w:rsid w:val="00877800"/>
    <w:rsid w:val="00882BF0"/>
    <w:rsid w:val="00882DDC"/>
    <w:rsid w:val="008831D9"/>
    <w:rsid w:val="008845B2"/>
    <w:rsid w:val="00884FDE"/>
    <w:rsid w:val="00886A0E"/>
    <w:rsid w:val="008903B7"/>
    <w:rsid w:val="00890E03"/>
    <w:rsid w:val="00891636"/>
    <w:rsid w:val="0089508C"/>
    <w:rsid w:val="008955E5"/>
    <w:rsid w:val="0089649F"/>
    <w:rsid w:val="008A029A"/>
    <w:rsid w:val="008A07E4"/>
    <w:rsid w:val="008A4277"/>
    <w:rsid w:val="008A5607"/>
    <w:rsid w:val="008A6D30"/>
    <w:rsid w:val="008A7B48"/>
    <w:rsid w:val="008B5055"/>
    <w:rsid w:val="008B50F4"/>
    <w:rsid w:val="008B7C5F"/>
    <w:rsid w:val="008C43E7"/>
    <w:rsid w:val="008C7BB0"/>
    <w:rsid w:val="008D0B30"/>
    <w:rsid w:val="008D0B9B"/>
    <w:rsid w:val="008D12FE"/>
    <w:rsid w:val="008D33AB"/>
    <w:rsid w:val="008D5361"/>
    <w:rsid w:val="008D6E30"/>
    <w:rsid w:val="008E40D4"/>
    <w:rsid w:val="008E5CFB"/>
    <w:rsid w:val="008E751A"/>
    <w:rsid w:val="008F00E9"/>
    <w:rsid w:val="008F25D1"/>
    <w:rsid w:val="008F313C"/>
    <w:rsid w:val="008F4484"/>
    <w:rsid w:val="008F5865"/>
    <w:rsid w:val="00901C3E"/>
    <w:rsid w:val="00903975"/>
    <w:rsid w:val="00907BE0"/>
    <w:rsid w:val="00912F7E"/>
    <w:rsid w:val="00915BC2"/>
    <w:rsid w:val="00917D14"/>
    <w:rsid w:val="00920804"/>
    <w:rsid w:val="00921899"/>
    <w:rsid w:val="009238DE"/>
    <w:rsid w:val="009254AC"/>
    <w:rsid w:val="0093086F"/>
    <w:rsid w:val="00931F43"/>
    <w:rsid w:val="0093394B"/>
    <w:rsid w:val="00934A17"/>
    <w:rsid w:val="00934AF1"/>
    <w:rsid w:val="00940B4D"/>
    <w:rsid w:val="00940C80"/>
    <w:rsid w:val="0094578B"/>
    <w:rsid w:val="00953704"/>
    <w:rsid w:val="00954F83"/>
    <w:rsid w:val="00956FEE"/>
    <w:rsid w:val="009608F3"/>
    <w:rsid w:val="00960934"/>
    <w:rsid w:val="00960AA5"/>
    <w:rsid w:val="00960FEF"/>
    <w:rsid w:val="009656CF"/>
    <w:rsid w:val="00967EA9"/>
    <w:rsid w:val="00972DF5"/>
    <w:rsid w:val="00972E98"/>
    <w:rsid w:val="00976BDC"/>
    <w:rsid w:val="009779BA"/>
    <w:rsid w:val="00982434"/>
    <w:rsid w:val="0098426D"/>
    <w:rsid w:val="009849B6"/>
    <w:rsid w:val="00984D69"/>
    <w:rsid w:val="00985CFE"/>
    <w:rsid w:val="00985F7B"/>
    <w:rsid w:val="0099227B"/>
    <w:rsid w:val="009937E0"/>
    <w:rsid w:val="009946FB"/>
    <w:rsid w:val="009970E1"/>
    <w:rsid w:val="009A3D63"/>
    <w:rsid w:val="009B268D"/>
    <w:rsid w:val="009B47B1"/>
    <w:rsid w:val="009B6262"/>
    <w:rsid w:val="009B6860"/>
    <w:rsid w:val="009B6F8C"/>
    <w:rsid w:val="009C035F"/>
    <w:rsid w:val="009C0436"/>
    <w:rsid w:val="009C15EF"/>
    <w:rsid w:val="009C3A3E"/>
    <w:rsid w:val="009C6BCF"/>
    <w:rsid w:val="009C7647"/>
    <w:rsid w:val="009D19D2"/>
    <w:rsid w:val="009D1D50"/>
    <w:rsid w:val="009D2139"/>
    <w:rsid w:val="009D3D7B"/>
    <w:rsid w:val="009D411D"/>
    <w:rsid w:val="009D4A6D"/>
    <w:rsid w:val="009D57C2"/>
    <w:rsid w:val="009D7823"/>
    <w:rsid w:val="009D7B3C"/>
    <w:rsid w:val="009E06CF"/>
    <w:rsid w:val="009E0EEF"/>
    <w:rsid w:val="009E25B1"/>
    <w:rsid w:val="009E4952"/>
    <w:rsid w:val="009E6E6D"/>
    <w:rsid w:val="009E74AF"/>
    <w:rsid w:val="009F185E"/>
    <w:rsid w:val="009F19CA"/>
    <w:rsid w:val="009F1E12"/>
    <w:rsid w:val="009F498C"/>
    <w:rsid w:val="00A001DC"/>
    <w:rsid w:val="00A01CD1"/>
    <w:rsid w:val="00A04A46"/>
    <w:rsid w:val="00A04F4C"/>
    <w:rsid w:val="00A0684F"/>
    <w:rsid w:val="00A075C4"/>
    <w:rsid w:val="00A07673"/>
    <w:rsid w:val="00A111F0"/>
    <w:rsid w:val="00A11D26"/>
    <w:rsid w:val="00A11DF9"/>
    <w:rsid w:val="00A12CCB"/>
    <w:rsid w:val="00A16DB8"/>
    <w:rsid w:val="00A229C8"/>
    <w:rsid w:val="00A33115"/>
    <w:rsid w:val="00A33C50"/>
    <w:rsid w:val="00A33D1E"/>
    <w:rsid w:val="00A344A5"/>
    <w:rsid w:val="00A37B90"/>
    <w:rsid w:val="00A403D6"/>
    <w:rsid w:val="00A4057D"/>
    <w:rsid w:val="00A40ED8"/>
    <w:rsid w:val="00A512A3"/>
    <w:rsid w:val="00A53F7D"/>
    <w:rsid w:val="00A57558"/>
    <w:rsid w:val="00A63E5C"/>
    <w:rsid w:val="00A650B1"/>
    <w:rsid w:val="00A66A32"/>
    <w:rsid w:val="00A721B8"/>
    <w:rsid w:val="00A73649"/>
    <w:rsid w:val="00A74EAC"/>
    <w:rsid w:val="00A766C0"/>
    <w:rsid w:val="00A80973"/>
    <w:rsid w:val="00A83567"/>
    <w:rsid w:val="00A83AF3"/>
    <w:rsid w:val="00A85182"/>
    <w:rsid w:val="00A86A9F"/>
    <w:rsid w:val="00A872C4"/>
    <w:rsid w:val="00A9740D"/>
    <w:rsid w:val="00A975B6"/>
    <w:rsid w:val="00AA61D5"/>
    <w:rsid w:val="00AA639A"/>
    <w:rsid w:val="00AA7A80"/>
    <w:rsid w:val="00AB0840"/>
    <w:rsid w:val="00AB33F4"/>
    <w:rsid w:val="00AB4483"/>
    <w:rsid w:val="00AB6659"/>
    <w:rsid w:val="00AC2252"/>
    <w:rsid w:val="00AC6A76"/>
    <w:rsid w:val="00AC6EE7"/>
    <w:rsid w:val="00AD03CB"/>
    <w:rsid w:val="00AD4DC0"/>
    <w:rsid w:val="00AE047C"/>
    <w:rsid w:val="00AE1401"/>
    <w:rsid w:val="00AE3CDC"/>
    <w:rsid w:val="00AE67FC"/>
    <w:rsid w:val="00AE6DD1"/>
    <w:rsid w:val="00AE76C1"/>
    <w:rsid w:val="00AF1CAA"/>
    <w:rsid w:val="00AF3689"/>
    <w:rsid w:val="00AF51E5"/>
    <w:rsid w:val="00B01B3A"/>
    <w:rsid w:val="00B056E1"/>
    <w:rsid w:val="00B0771C"/>
    <w:rsid w:val="00B1158C"/>
    <w:rsid w:val="00B120B0"/>
    <w:rsid w:val="00B12113"/>
    <w:rsid w:val="00B12B89"/>
    <w:rsid w:val="00B12BA8"/>
    <w:rsid w:val="00B13440"/>
    <w:rsid w:val="00B14FB0"/>
    <w:rsid w:val="00B21CA9"/>
    <w:rsid w:val="00B25E6A"/>
    <w:rsid w:val="00B3008E"/>
    <w:rsid w:val="00B30B22"/>
    <w:rsid w:val="00B3117F"/>
    <w:rsid w:val="00B317F6"/>
    <w:rsid w:val="00B36E39"/>
    <w:rsid w:val="00B40F9C"/>
    <w:rsid w:val="00B42077"/>
    <w:rsid w:val="00B426AF"/>
    <w:rsid w:val="00B43192"/>
    <w:rsid w:val="00B44D55"/>
    <w:rsid w:val="00B50ACC"/>
    <w:rsid w:val="00B5123B"/>
    <w:rsid w:val="00B5207A"/>
    <w:rsid w:val="00B53DE4"/>
    <w:rsid w:val="00B55F75"/>
    <w:rsid w:val="00B5686A"/>
    <w:rsid w:val="00B6078A"/>
    <w:rsid w:val="00B60D73"/>
    <w:rsid w:val="00B623EF"/>
    <w:rsid w:val="00B65F85"/>
    <w:rsid w:val="00B7056E"/>
    <w:rsid w:val="00B74B09"/>
    <w:rsid w:val="00B750CA"/>
    <w:rsid w:val="00B7718D"/>
    <w:rsid w:val="00B94DD9"/>
    <w:rsid w:val="00B95CA9"/>
    <w:rsid w:val="00B96A4D"/>
    <w:rsid w:val="00B977BC"/>
    <w:rsid w:val="00B977D8"/>
    <w:rsid w:val="00BA0638"/>
    <w:rsid w:val="00BA1FFC"/>
    <w:rsid w:val="00BA444F"/>
    <w:rsid w:val="00BA573B"/>
    <w:rsid w:val="00BA7DFB"/>
    <w:rsid w:val="00BB1DD5"/>
    <w:rsid w:val="00BB2BF5"/>
    <w:rsid w:val="00BB647C"/>
    <w:rsid w:val="00BB6485"/>
    <w:rsid w:val="00BB66A6"/>
    <w:rsid w:val="00BB6AC4"/>
    <w:rsid w:val="00BB7E5D"/>
    <w:rsid w:val="00BC4725"/>
    <w:rsid w:val="00BC7E88"/>
    <w:rsid w:val="00BD04C3"/>
    <w:rsid w:val="00BD3C92"/>
    <w:rsid w:val="00BD49FB"/>
    <w:rsid w:val="00BE2667"/>
    <w:rsid w:val="00BE2A8A"/>
    <w:rsid w:val="00BE41C8"/>
    <w:rsid w:val="00BE6617"/>
    <w:rsid w:val="00BF048E"/>
    <w:rsid w:val="00BF5565"/>
    <w:rsid w:val="00BF5FB4"/>
    <w:rsid w:val="00C01D58"/>
    <w:rsid w:val="00C02E96"/>
    <w:rsid w:val="00C04032"/>
    <w:rsid w:val="00C06843"/>
    <w:rsid w:val="00C13A4F"/>
    <w:rsid w:val="00C14196"/>
    <w:rsid w:val="00C141D7"/>
    <w:rsid w:val="00C1538E"/>
    <w:rsid w:val="00C16F9D"/>
    <w:rsid w:val="00C21B25"/>
    <w:rsid w:val="00C22990"/>
    <w:rsid w:val="00C23898"/>
    <w:rsid w:val="00C24E76"/>
    <w:rsid w:val="00C2558F"/>
    <w:rsid w:val="00C255F9"/>
    <w:rsid w:val="00C2637D"/>
    <w:rsid w:val="00C30C83"/>
    <w:rsid w:val="00C36CCA"/>
    <w:rsid w:val="00C44741"/>
    <w:rsid w:val="00C44AE2"/>
    <w:rsid w:val="00C44C37"/>
    <w:rsid w:val="00C45A3E"/>
    <w:rsid w:val="00C4751B"/>
    <w:rsid w:val="00C60E7F"/>
    <w:rsid w:val="00C6230B"/>
    <w:rsid w:val="00C67E6E"/>
    <w:rsid w:val="00C711AA"/>
    <w:rsid w:val="00C76D0A"/>
    <w:rsid w:val="00C808B7"/>
    <w:rsid w:val="00C82770"/>
    <w:rsid w:val="00C84EBC"/>
    <w:rsid w:val="00C87195"/>
    <w:rsid w:val="00C87964"/>
    <w:rsid w:val="00C87CAF"/>
    <w:rsid w:val="00C90C22"/>
    <w:rsid w:val="00C9224B"/>
    <w:rsid w:val="00C93242"/>
    <w:rsid w:val="00C93C50"/>
    <w:rsid w:val="00C97620"/>
    <w:rsid w:val="00CA0855"/>
    <w:rsid w:val="00CA110F"/>
    <w:rsid w:val="00CA35BB"/>
    <w:rsid w:val="00CA4A0D"/>
    <w:rsid w:val="00CA5832"/>
    <w:rsid w:val="00CB10EE"/>
    <w:rsid w:val="00CB2797"/>
    <w:rsid w:val="00CB2C7C"/>
    <w:rsid w:val="00CB3150"/>
    <w:rsid w:val="00CB3449"/>
    <w:rsid w:val="00CB7C1F"/>
    <w:rsid w:val="00CC07E9"/>
    <w:rsid w:val="00CC0BA9"/>
    <w:rsid w:val="00CC1576"/>
    <w:rsid w:val="00CC4909"/>
    <w:rsid w:val="00CC4EAD"/>
    <w:rsid w:val="00CC5265"/>
    <w:rsid w:val="00CC63A9"/>
    <w:rsid w:val="00CD312A"/>
    <w:rsid w:val="00CD4AE9"/>
    <w:rsid w:val="00CD5B3B"/>
    <w:rsid w:val="00CD6CE5"/>
    <w:rsid w:val="00CE05BB"/>
    <w:rsid w:val="00CE43EF"/>
    <w:rsid w:val="00CE5ADE"/>
    <w:rsid w:val="00CE68CD"/>
    <w:rsid w:val="00CE7B21"/>
    <w:rsid w:val="00CF2567"/>
    <w:rsid w:val="00CF321F"/>
    <w:rsid w:val="00CF3A8A"/>
    <w:rsid w:val="00CF66B3"/>
    <w:rsid w:val="00CF73A6"/>
    <w:rsid w:val="00CF782A"/>
    <w:rsid w:val="00D0197C"/>
    <w:rsid w:val="00D021F5"/>
    <w:rsid w:val="00D10105"/>
    <w:rsid w:val="00D1172A"/>
    <w:rsid w:val="00D11FF5"/>
    <w:rsid w:val="00D133F1"/>
    <w:rsid w:val="00D14BE1"/>
    <w:rsid w:val="00D1772B"/>
    <w:rsid w:val="00D221F0"/>
    <w:rsid w:val="00D25E58"/>
    <w:rsid w:val="00D27D46"/>
    <w:rsid w:val="00D32036"/>
    <w:rsid w:val="00D332D3"/>
    <w:rsid w:val="00D33863"/>
    <w:rsid w:val="00D33C5A"/>
    <w:rsid w:val="00D36C5F"/>
    <w:rsid w:val="00D40680"/>
    <w:rsid w:val="00D41C33"/>
    <w:rsid w:val="00D459FC"/>
    <w:rsid w:val="00D45DB8"/>
    <w:rsid w:val="00D47732"/>
    <w:rsid w:val="00D5085F"/>
    <w:rsid w:val="00D57489"/>
    <w:rsid w:val="00D6079C"/>
    <w:rsid w:val="00D629E3"/>
    <w:rsid w:val="00D676C0"/>
    <w:rsid w:val="00D70DE9"/>
    <w:rsid w:val="00D73604"/>
    <w:rsid w:val="00D76F7A"/>
    <w:rsid w:val="00D819D3"/>
    <w:rsid w:val="00D8259D"/>
    <w:rsid w:val="00D82B5D"/>
    <w:rsid w:val="00D83D66"/>
    <w:rsid w:val="00D85A28"/>
    <w:rsid w:val="00D871BB"/>
    <w:rsid w:val="00D918EA"/>
    <w:rsid w:val="00D93704"/>
    <w:rsid w:val="00D94561"/>
    <w:rsid w:val="00D94DEA"/>
    <w:rsid w:val="00D97E9A"/>
    <w:rsid w:val="00DA001C"/>
    <w:rsid w:val="00DA0885"/>
    <w:rsid w:val="00DA4E5C"/>
    <w:rsid w:val="00DA6018"/>
    <w:rsid w:val="00DB2248"/>
    <w:rsid w:val="00DB26D2"/>
    <w:rsid w:val="00DB315A"/>
    <w:rsid w:val="00DB7FFC"/>
    <w:rsid w:val="00DC36B1"/>
    <w:rsid w:val="00DC6D51"/>
    <w:rsid w:val="00DD048D"/>
    <w:rsid w:val="00DD308B"/>
    <w:rsid w:val="00DD38F7"/>
    <w:rsid w:val="00DD3BC4"/>
    <w:rsid w:val="00DD4C13"/>
    <w:rsid w:val="00DD5742"/>
    <w:rsid w:val="00DE2130"/>
    <w:rsid w:val="00DE222F"/>
    <w:rsid w:val="00DE2D80"/>
    <w:rsid w:val="00DE5392"/>
    <w:rsid w:val="00DE55AD"/>
    <w:rsid w:val="00DE5C69"/>
    <w:rsid w:val="00DF08B3"/>
    <w:rsid w:val="00DF0D93"/>
    <w:rsid w:val="00DF26DF"/>
    <w:rsid w:val="00DF30AC"/>
    <w:rsid w:val="00DF41C2"/>
    <w:rsid w:val="00DF7DAD"/>
    <w:rsid w:val="00E005B4"/>
    <w:rsid w:val="00E01A7E"/>
    <w:rsid w:val="00E021FA"/>
    <w:rsid w:val="00E115E6"/>
    <w:rsid w:val="00E135C4"/>
    <w:rsid w:val="00E13D64"/>
    <w:rsid w:val="00E21299"/>
    <w:rsid w:val="00E227B2"/>
    <w:rsid w:val="00E22A75"/>
    <w:rsid w:val="00E25310"/>
    <w:rsid w:val="00E40AD1"/>
    <w:rsid w:val="00E43271"/>
    <w:rsid w:val="00E447A6"/>
    <w:rsid w:val="00E46955"/>
    <w:rsid w:val="00E46AE9"/>
    <w:rsid w:val="00E46FF0"/>
    <w:rsid w:val="00E473DC"/>
    <w:rsid w:val="00E512C1"/>
    <w:rsid w:val="00E5313F"/>
    <w:rsid w:val="00E541D6"/>
    <w:rsid w:val="00E55CC5"/>
    <w:rsid w:val="00E55E15"/>
    <w:rsid w:val="00E60538"/>
    <w:rsid w:val="00E64855"/>
    <w:rsid w:val="00E67A93"/>
    <w:rsid w:val="00E70D21"/>
    <w:rsid w:val="00E72E14"/>
    <w:rsid w:val="00E731A4"/>
    <w:rsid w:val="00E73722"/>
    <w:rsid w:val="00E73792"/>
    <w:rsid w:val="00E74186"/>
    <w:rsid w:val="00E821DE"/>
    <w:rsid w:val="00E84044"/>
    <w:rsid w:val="00E9001E"/>
    <w:rsid w:val="00E90245"/>
    <w:rsid w:val="00E919E2"/>
    <w:rsid w:val="00EA1F49"/>
    <w:rsid w:val="00EA22D6"/>
    <w:rsid w:val="00EA3F71"/>
    <w:rsid w:val="00EB1919"/>
    <w:rsid w:val="00EB39D3"/>
    <w:rsid w:val="00EB4AD5"/>
    <w:rsid w:val="00EB587E"/>
    <w:rsid w:val="00EC0BFD"/>
    <w:rsid w:val="00EC1ABF"/>
    <w:rsid w:val="00EC1C8D"/>
    <w:rsid w:val="00EC1DA6"/>
    <w:rsid w:val="00EC312A"/>
    <w:rsid w:val="00EC6D9E"/>
    <w:rsid w:val="00ED17A1"/>
    <w:rsid w:val="00ED1D92"/>
    <w:rsid w:val="00ED220F"/>
    <w:rsid w:val="00ED4F9A"/>
    <w:rsid w:val="00ED51FC"/>
    <w:rsid w:val="00ED6A19"/>
    <w:rsid w:val="00ED6A58"/>
    <w:rsid w:val="00EE5945"/>
    <w:rsid w:val="00EE698C"/>
    <w:rsid w:val="00EF4C9D"/>
    <w:rsid w:val="00EF6116"/>
    <w:rsid w:val="00EF659A"/>
    <w:rsid w:val="00F0161C"/>
    <w:rsid w:val="00F01820"/>
    <w:rsid w:val="00F063D5"/>
    <w:rsid w:val="00F11CEE"/>
    <w:rsid w:val="00F146DD"/>
    <w:rsid w:val="00F166EE"/>
    <w:rsid w:val="00F20217"/>
    <w:rsid w:val="00F25332"/>
    <w:rsid w:val="00F253C3"/>
    <w:rsid w:val="00F26114"/>
    <w:rsid w:val="00F30776"/>
    <w:rsid w:val="00F316B8"/>
    <w:rsid w:val="00F326C3"/>
    <w:rsid w:val="00F32D49"/>
    <w:rsid w:val="00F353E9"/>
    <w:rsid w:val="00F36F5F"/>
    <w:rsid w:val="00F45503"/>
    <w:rsid w:val="00F47425"/>
    <w:rsid w:val="00F474FA"/>
    <w:rsid w:val="00F54894"/>
    <w:rsid w:val="00F5798C"/>
    <w:rsid w:val="00F57A84"/>
    <w:rsid w:val="00F60A13"/>
    <w:rsid w:val="00F62FA1"/>
    <w:rsid w:val="00F6338F"/>
    <w:rsid w:val="00F7115F"/>
    <w:rsid w:val="00F73D54"/>
    <w:rsid w:val="00F8032E"/>
    <w:rsid w:val="00F824FE"/>
    <w:rsid w:val="00F8333B"/>
    <w:rsid w:val="00F835FA"/>
    <w:rsid w:val="00F84DD8"/>
    <w:rsid w:val="00F85F5F"/>
    <w:rsid w:val="00F911ED"/>
    <w:rsid w:val="00F938E2"/>
    <w:rsid w:val="00F95445"/>
    <w:rsid w:val="00FA2E29"/>
    <w:rsid w:val="00FA50E3"/>
    <w:rsid w:val="00FB0804"/>
    <w:rsid w:val="00FB1771"/>
    <w:rsid w:val="00FB46D7"/>
    <w:rsid w:val="00FB632D"/>
    <w:rsid w:val="00FB6499"/>
    <w:rsid w:val="00FC129F"/>
    <w:rsid w:val="00FC1305"/>
    <w:rsid w:val="00FC2600"/>
    <w:rsid w:val="00FC27EB"/>
    <w:rsid w:val="00FD2A8A"/>
    <w:rsid w:val="00FD2F87"/>
    <w:rsid w:val="00FD6CD8"/>
    <w:rsid w:val="00FE034A"/>
    <w:rsid w:val="00FE284E"/>
    <w:rsid w:val="00FE3239"/>
    <w:rsid w:val="00FE3C13"/>
    <w:rsid w:val="00FE5A63"/>
    <w:rsid w:val="00FE6966"/>
    <w:rsid w:val="00FE7594"/>
    <w:rsid w:val="00FF24B5"/>
    <w:rsid w:val="00FF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uiPriority w:val="99"/>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uiPriority w:val="99"/>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8024">
      <w:bodyDiv w:val="1"/>
      <w:marLeft w:val="0"/>
      <w:marRight w:val="0"/>
      <w:marTop w:val="0"/>
      <w:marBottom w:val="0"/>
      <w:divBdr>
        <w:top w:val="none" w:sz="0" w:space="0" w:color="auto"/>
        <w:left w:val="none" w:sz="0" w:space="0" w:color="auto"/>
        <w:bottom w:val="none" w:sz="0" w:space="0" w:color="auto"/>
        <w:right w:val="none" w:sz="0" w:space="0" w:color="auto"/>
      </w:divBdr>
    </w:div>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339742752">
      <w:bodyDiv w:val="1"/>
      <w:marLeft w:val="0"/>
      <w:marRight w:val="0"/>
      <w:marTop w:val="0"/>
      <w:marBottom w:val="0"/>
      <w:divBdr>
        <w:top w:val="none" w:sz="0" w:space="0" w:color="auto"/>
        <w:left w:val="none" w:sz="0" w:space="0" w:color="auto"/>
        <w:bottom w:val="none" w:sz="0" w:space="0" w:color="auto"/>
        <w:right w:val="none" w:sz="0" w:space="0" w:color="auto"/>
      </w:divBdr>
    </w:div>
    <w:div w:id="453837221">
      <w:bodyDiv w:val="1"/>
      <w:marLeft w:val="0"/>
      <w:marRight w:val="0"/>
      <w:marTop w:val="0"/>
      <w:marBottom w:val="0"/>
      <w:divBdr>
        <w:top w:val="none" w:sz="0" w:space="0" w:color="auto"/>
        <w:left w:val="none" w:sz="0" w:space="0" w:color="auto"/>
        <w:bottom w:val="none" w:sz="0" w:space="0" w:color="auto"/>
        <w:right w:val="none" w:sz="0" w:space="0" w:color="auto"/>
      </w:divBdr>
      <w:divsChild>
        <w:div w:id="1742213098">
          <w:marLeft w:val="0"/>
          <w:marRight w:val="0"/>
          <w:marTop w:val="0"/>
          <w:marBottom w:val="0"/>
          <w:divBdr>
            <w:top w:val="none" w:sz="0" w:space="0" w:color="auto"/>
            <w:left w:val="none" w:sz="0" w:space="0" w:color="auto"/>
            <w:bottom w:val="none" w:sz="0" w:space="0" w:color="auto"/>
            <w:right w:val="none" w:sz="0" w:space="0" w:color="auto"/>
          </w:divBdr>
        </w:div>
      </w:divsChild>
    </w:div>
    <w:div w:id="558901588">
      <w:bodyDiv w:val="1"/>
      <w:marLeft w:val="0"/>
      <w:marRight w:val="0"/>
      <w:marTop w:val="0"/>
      <w:marBottom w:val="0"/>
      <w:divBdr>
        <w:top w:val="none" w:sz="0" w:space="0" w:color="auto"/>
        <w:left w:val="none" w:sz="0" w:space="0" w:color="auto"/>
        <w:bottom w:val="none" w:sz="0" w:space="0" w:color="auto"/>
        <w:right w:val="none" w:sz="0" w:space="0" w:color="auto"/>
      </w:divBdr>
      <w:divsChild>
        <w:div w:id="989358692">
          <w:marLeft w:val="0"/>
          <w:marRight w:val="0"/>
          <w:marTop w:val="0"/>
          <w:marBottom w:val="0"/>
          <w:divBdr>
            <w:top w:val="none" w:sz="0" w:space="0" w:color="auto"/>
            <w:left w:val="none" w:sz="0" w:space="0" w:color="auto"/>
            <w:bottom w:val="none" w:sz="0" w:space="0" w:color="auto"/>
            <w:right w:val="none" w:sz="0" w:space="0" w:color="auto"/>
          </w:divBdr>
        </w:div>
      </w:divsChild>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 w:id="1501774511">
      <w:bodyDiv w:val="1"/>
      <w:marLeft w:val="0"/>
      <w:marRight w:val="0"/>
      <w:marTop w:val="0"/>
      <w:marBottom w:val="0"/>
      <w:divBdr>
        <w:top w:val="none" w:sz="0" w:space="0" w:color="auto"/>
        <w:left w:val="none" w:sz="0" w:space="0" w:color="auto"/>
        <w:bottom w:val="none" w:sz="0" w:space="0" w:color="auto"/>
        <w:right w:val="none" w:sz="0" w:space="0" w:color="auto"/>
      </w:divBdr>
      <w:divsChild>
        <w:div w:id="1443497453">
          <w:marLeft w:val="0"/>
          <w:marRight w:val="0"/>
          <w:marTop w:val="0"/>
          <w:marBottom w:val="0"/>
          <w:divBdr>
            <w:top w:val="none" w:sz="0" w:space="0" w:color="auto"/>
            <w:left w:val="none" w:sz="0" w:space="0" w:color="auto"/>
            <w:bottom w:val="none" w:sz="0" w:space="0" w:color="auto"/>
            <w:right w:val="none" w:sz="0" w:space="0" w:color="auto"/>
          </w:divBdr>
        </w:div>
      </w:divsChild>
    </w:div>
    <w:div w:id="1579097861">
      <w:bodyDiv w:val="1"/>
      <w:marLeft w:val="0"/>
      <w:marRight w:val="0"/>
      <w:marTop w:val="0"/>
      <w:marBottom w:val="0"/>
      <w:divBdr>
        <w:top w:val="none" w:sz="0" w:space="0" w:color="auto"/>
        <w:left w:val="none" w:sz="0" w:space="0" w:color="auto"/>
        <w:bottom w:val="none" w:sz="0" w:space="0" w:color="auto"/>
        <w:right w:val="none" w:sz="0" w:space="0" w:color="auto"/>
      </w:divBdr>
      <w:divsChild>
        <w:div w:id="1176573379">
          <w:marLeft w:val="0"/>
          <w:marRight w:val="0"/>
          <w:marTop w:val="0"/>
          <w:marBottom w:val="0"/>
          <w:divBdr>
            <w:top w:val="none" w:sz="0" w:space="0" w:color="auto"/>
            <w:left w:val="none" w:sz="0" w:space="0" w:color="auto"/>
            <w:bottom w:val="none" w:sz="0" w:space="0" w:color="auto"/>
            <w:right w:val="none" w:sz="0" w:space="0" w:color="auto"/>
          </w:divBdr>
        </w:div>
      </w:divsChild>
    </w:div>
    <w:div w:id="2139834043">
      <w:bodyDiv w:val="1"/>
      <w:marLeft w:val="0"/>
      <w:marRight w:val="0"/>
      <w:marTop w:val="0"/>
      <w:marBottom w:val="0"/>
      <w:divBdr>
        <w:top w:val="none" w:sz="0" w:space="0" w:color="auto"/>
        <w:left w:val="none" w:sz="0" w:space="0" w:color="auto"/>
        <w:bottom w:val="none" w:sz="0" w:space="0" w:color="auto"/>
        <w:right w:val="none" w:sz="0" w:space="0" w:color="auto"/>
      </w:divBdr>
      <w:divsChild>
        <w:div w:id="95610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harlow@fcclaw.com"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rpearson@utc.wa.gov"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eattie@utc.wa.gov"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mailto:mgruber@williamskastner.com" TargetMode="External"/><Relationship Id="rId23" Type="http://schemas.openxmlformats.org/officeDocument/2006/relationships/theme" Target="theme/theme1.xml"/><Relationship Id="rId10" Type="http://schemas.openxmlformats.org/officeDocument/2006/relationships/hyperlink" Target="mailto:dwiley@williamskastner.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bfassburg@williamskastner.com" TargetMode="External"/><Relationship Id="rId14" Type="http://schemas.openxmlformats.org/officeDocument/2006/relationships/hyperlink" Target="mailto:jcameron@wutc.wa.gov"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2017-04-26T07:00:00+00:00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3DDBF6-3F4E-4770-B3E6-56C9C25F392B}">
  <ds:schemaRefs>
    <ds:schemaRef ds:uri="http://schemas.openxmlformats.org/officeDocument/2006/bibliography"/>
  </ds:schemaRefs>
</ds:datastoreItem>
</file>

<file path=customXml/itemProps2.xml><?xml version="1.0" encoding="utf-8"?>
<ds:datastoreItem xmlns:ds="http://schemas.openxmlformats.org/officeDocument/2006/customXml" ds:itemID="{7CF54D0A-5EEF-49EC-BB5F-3D16B9475FCF}"/>
</file>

<file path=customXml/itemProps3.xml><?xml version="1.0" encoding="utf-8"?>
<ds:datastoreItem xmlns:ds="http://schemas.openxmlformats.org/officeDocument/2006/customXml" ds:itemID="{75F7AECE-7AB3-4EA0-9AB6-011EC03079DE}"/>
</file>

<file path=customXml/itemProps4.xml><?xml version="1.0" encoding="utf-8"?>
<ds:datastoreItem xmlns:ds="http://schemas.openxmlformats.org/officeDocument/2006/customXml" ds:itemID="{821A95E5-699E-4719-B81D-636C0090C153}"/>
</file>

<file path=customXml/itemProps5.xml><?xml version="1.0" encoding="utf-8"?>
<ds:datastoreItem xmlns:ds="http://schemas.openxmlformats.org/officeDocument/2006/customXml" ds:itemID="{A7446D3B-3A87-4225-8F71-50D6560D4DC8}"/>
</file>

<file path=docProps/app.xml><?xml version="1.0" encoding="utf-8"?>
<Properties xmlns="http://schemas.openxmlformats.org/officeDocument/2006/extended-properties" xmlns:vt="http://schemas.openxmlformats.org/officeDocument/2006/docPropsVTypes">
  <Template>Normal.dotm</Template>
  <TotalTime>2220</TotalTime>
  <Pages>12</Pages>
  <Words>2504</Words>
  <Characters>14499</Characters>
  <Application>Microsoft Office Word</Application>
  <DocSecurity>0</DocSecurity>
  <Lines>340</Lines>
  <Paragraphs>133</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17010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Fassburg, Blair</dc:creator>
  <cp:lastModifiedBy>Dave Wiley</cp:lastModifiedBy>
  <cp:revision>57</cp:revision>
  <cp:lastPrinted>2017-04-26T21:11:00Z</cp:lastPrinted>
  <dcterms:created xsi:type="dcterms:W3CDTF">2017-04-25T00:00:00Z</dcterms:created>
  <dcterms:modified xsi:type="dcterms:W3CDTF">2017-04-26T21:11:00Z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6075322.1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