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A705" w14:textId="0CF3423E" w:rsidR="004026AD" w:rsidRPr="0060336C" w:rsidRDefault="004026AD" w:rsidP="0060336C">
      <w:pPr>
        <w:ind w:left="5670"/>
        <w:rPr>
          <w:b/>
        </w:rPr>
      </w:pPr>
      <w:r w:rsidRPr="0060336C">
        <w:rPr>
          <w:b/>
        </w:rPr>
        <w:t xml:space="preserve">Exhibit No. </w:t>
      </w:r>
      <w:r w:rsidR="002752E0" w:rsidRPr="0060336C">
        <w:rPr>
          <w:b/>
        </w:rPr>
        <w:t>CSH</w:t>
      </w:r>
      <w:r w:rsidR="005F4293" w:rsidRPr="0060336C">
        <w:rPr>
          <w:b/>
        </w:rPr>
        <w:t>-1</w:t>
      </w:r>
      <w:r w:rsidR="00B13018" w:rsidRPr="0060336C">
        <w:rPr>
          <w:b/>
        </w:rPr>
        <w:t>T</w:t>
      </w:r>
      <w:r w:rsidRPr="0060336C">
        <w:rPr>
          <w:b/>
        </w:rPr>
        <w:t xml:space="preserve"> </w:t>
      </w:r>
    </w:p>
    <w:p w14:paraId="0B0AA706" w14:textId="755929B7" w:rsidR="004026AD" w:rsidRPr="00F720F8" w:rsidRDefault="004026AD" w:rsidP="0012658F">
      <w:pPr>
        <w:tabs>
          <w:tab w:val="center" w:pos="4680"/>
        </w:tabs>
        <w:ind w:left="5670" w:right="-252"/>
        <w:rPr>
          <w:rFonts w:eastAsia="Times New Roman"/>
          <w:b/>
          <w:bCs/>
        </w:rPr>
      </w:pPr>
      <w:r w:rsidRPr="00F720F8">
        <w:rPr>
          <w:rFonts w:eastAsia="Times New Roman"/>
          <w:b/>
          <w:bCs/>
        </w:rPr>
        <w:t>Docket</w:t>
      </w:r>
      <w:r w:rsidR="00BD533D" w:rsidRPr="00F720F8">
        <w:rPr>
          <w:rFonts w:eastAsia="Times New Roman"/>
          <w:b/>
          <w:bCs/>
        </w:rPr>
        <w:t>s</w:t>
      </w:r>
      <w:r w:rsidRPr="00F720F8">
        <w:rPr>
          <w:rFonts w:eastAsia="Times New Roman"/>
          <w:b/>
          <w:bCs/>
        </w:rPr>
        <w:t xml:space="preserve"> </w:t>
      </w:r>
      <w:r w:rsidR="00A20BE8">
        <w:rPr>
          <w:rFonts w:eastAsia="Times New Roman"/>
          <w:b/>
          <w:bCs/>
        </w:rPr>
        <w:t>UE-160228/UG-160229</w:t>
      </w:r>
    </w:p>
    <w:p w14:paraId="0B0AA707" w14:textId="08EF138C" w:rsidR="004026AD" w:rsidRPr="00F720F8" w:rsidRDefault="004026AD" w:rsidP="0012658F">
      <w:pPr>
        <w:tabs>
          <w:tab w:val="center" w:pos="4680"/>
        </w:tabs>
        <w:ind w:left="5670" w:right="-252"/>
        <w:rPr>
          <w:rFonts w:eastAsia="Times New Roman"/>
          <w:b/>
          <w:bCs/>
        </w:rPr>
      </w:pPr>
      <w:r w:rsidRPr="00F720F8">
        <w:rPr>
          <w:rFonts w:eastAsia="Times New Roman"/>
          <w:b/>
          <w:bCs/>
        </w:rPr>
        <w:t xml:space="preserve">Witness: </w:t>
      </w:r>
      <w:r w:rsidR="002752E0">
        <w:rPr>
          <w:rFonts w:eastAsia="Times New Roman"/>
          <w:b/>
          <w:bCs/>
        </w:rPr>
        <w:t>Christopher S. Hancock</w:t>
      </w:r>
    </w:p>
    <w:p w14:paraId="0B0AA708" w14:textId="78A5EB96" w:rsidR="004026AD" w:rsidRPr="00F720F8" w:rsidRDefault="004026AD" w:rsidP="0060336C">
      <w:pPr>
        <w:tabs>
          <w:tab w:val="center" w:pos="4680"/>
        </w:tabs>
        <w:ind w:left="5760" w:right="-252"/>
        <w:jc w:val="both"/>
        <w:rPr>
          <w:rFonts w:eastAsia="Times New Roman"/>
          <w:b/>
          <w:bCs/>
        </w:rPr>
      </w:pPr>
    </w:p>
    <w:p w14:paraId="0B0AA709" w14:textId="77777777" w:rsidR="004026AD" w:rsidRPr="00F720F8" w:rsidRDefault="004026AD" w:rsidP="004026AD">
      <w:pPr>
        <w:tabs>
          <w:tab w:val="center" w:pos="4680"/>
        </w:tabs>
        <w:ind w:right="-252" w:hanging="360"/>
        <w:jc w:val="both"/>
        <w:rPr>
          <w:rFonts w:eastAsia="Times New Roman"/>
          <w:b/>
          <w:bCs/>
        </w:rPr>
      </w:pPr>
    </w:p>
    <w:p w14:paraId="0B0AA70A" w14:textId="77777777" w:rsidR="004026AD" w:rsidRPr="00F720F8" w:rsidRDefault="004026AD" w:rsidP="004026AD">
      <w:pPr>
        <w:tabs>
          <w:tab w:val="center" w:pos="4680"/>
        </w:tabs>
        <w:ind w:right="-252" w:hanging="360"/>
        <w:jc w:val="both"/>
        <w:rPr>
          <w:rFonts w:eastAsia="Times New Roman"/>
          <w:b/>
          <w:bCs/>
        </w:rPr>
      </w:pPr>
    </w:p>
    <w:p w14:paraId="4B26C46E" w14:textId="77777777" w:rsidR="001A7B47" w:rsidRDefault="00FA0296" w:rsidP="006355F2">
      <w:pPr>
        <w:tabs>
          <w:tab w:val="center" w:pos="4680"/>
        </w:tabs>
        <w:ind w:right="-432" w:hanging="720"/>
        <w:jc w:val="center"/>
        <w:rPr>
          <w:b/>
        </w:rPr>
      </w:pPr>
      <w:r w:rsidRPr="00F720F8">
        <w:rPr>
          <w:b/>
        </w:rPr>
        <w:t xml:space="preserve">BEFORE THE WASHINGTON </w:t>
      </w:r>
    </w:p>
    <w:p w14:paraId="2C1AAA0F" w14:textId="335CF025" w:rsidR="00FA0296" w:rsidRPr="00F720F8" w:rsidRDefault="00FA0296" w:rsidP="006355F2">
      <w:pPr>
        <w:tabs>
          <w:tab w:val="center" w:pos="4680"/>
        </w:tabs>
        <w:ind w:right="-432" w:hanging="720"/>
        <w:jc w:val="center"/>
        <w:rPr>
          <w:b/>
        </w:rPr>
      </w:pPr>
      <w:r w:rsidRPr="00F720F8">
        <w:rPr>
          <w:b/>
        </w:rPr>
        <w:t>UTILITIES AND TRANSPORTATION COMMISSION</w:t>
      </w:r>
    </w:p>
    <w:p w14:paraId="21A7632A" w14:textId="77777777" w:rsidR="008E5E72" w:rsidRPr="00F720F8" w:rsidRDefault="008E5E72" w:rsidP="006355F2">
      <w:pPr>
        <w:tabs>
          <w:tab w:val="center" w:pos="4680"/>
        </w:tabs>
        <w:ind w:right="-432" w:hanging="720"/>
        <w:jc w:val="center"/>
        <w:rPr>
          <w:b/>
        </w:rPr>
      </w:pPr>
    </w:p>
    <w:p w14:paraId="15FABFDE" w14:textId="77777777" w:rsidR="00FA0296" w:rsidRPr="00F720F8" w:rsidRDefault="00FA0296" w:rsidP="00FA0296">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A0296" w:rsidRPr="00F720F8" w14:paraId="1145D9F2" w14:textId="77777777" w:rsidTr="009D4E52">
        <w:tc>
          <w:tcPr>
            <w:tcW w:w="4590" w:type="dxa"/>
            <w:tcBorders>
              <w:top w:val="single" w:sz="6" w:space="0" w:color="FFFFFF"/>
              <w:left w:val="single" w:sz="6" w:space="0" w:color="FFFFFF"/>
              <w:bottom w:val="single" w:sz="6" w:space="0" w:color="000000"/>
              <w:right w:val="single" w:sz="6" w:space="0" w:color="FFFFFF"/>
            </w:tcBorders>
          </w:tcPr>
          <w:p w14:paraId="7405A748" w14:textId="77777777" w:rsidR="006355F2" w:rsidRPr="006355F2" w:rsidRDefault="006355F2" w:rsidP="006355F2">
            <w:pPr>
              <w:pStyle w:val="Header"/>
              <w:tabs>
                <w:tab w:val="left" w:pos="681"/>
                <w:tab w:val="left" w:pos="1401"/>
              </w:tabs>
              <w:rPr>
                <w:b/>
              </w:rPr>
            </w:pPr>
            <w:r w:rsidRPr="006355F2">
              <w:rPr>
                <w:b/>
              </w:rPr>
              <w:t>WASHINGTON UTILITIES AND TRANSPORTATION COMMISSION,</w:t>
            </w:r>
          </w:p>
          <w:p w14:paraId="17EF7750" w14:textId="77777777" w:rsidR="006355F2" w:rsidRPr="006355F2" w:rsidRDefault="006355F2" w:rsidP="006355F2">
            <w:pPr>
              <w:pStyle w:val="Header"/>
              <w:tabs>
                <w:tab w:val="left" w:pos="681"/>
                <w:tab w:val="left" w:pos="1401"/>
              </w:tabs>
              <w:rPr>
                <w:b/>
              </w:rPr>
            </w:pPr>
          </w:p>
          <w:p w14:paraId="58C0EFBC" w14:textId="2534BDF3" w:rsidR="006355F2" w:rsidRPr="006355F2" w:rsidRDefault="006355F2" w:rsidP="006355F2">
            <w:pPr>
              <w:pStyle w:val="Header"/>
              <w:tabs>
                <w:tab w:val="left" w:pos="681"/>
                <w:tab w:val="left" w:pos="1401"/>
              </w:tabs>
              <w:rPr>
                <w:b/>
              </w:rPr>
            </w:pPr>
            <w:r w:rsidRPr="006355F2">
              <w:rPr>
                <w:b/>
              </w:rPr>
              <w:tab/>
            </w:r>
            <w:r w:rsidR="00AE04F7">
              <w:rPr>
                <w:b/>
              </w:rPr>
              <w:tab/>
            </w:r>
            <w:r w:rsidRPr="006355F2">
              <w:rPr>
                <w:b/>
              </w:rPr>
              <w:t>Complainant,</w:t>
            </w:r>
          </w:p>
          <w:p w14:paraId="7CB9D78F" w14:textId="77777777" w:rsidR="006355F2" w:rsidRPr="006355F2" w:rsidRDefault="006355F2" w:rsidP="006355F2">
            <w:pPr>
              <w:pStyle w:val="Header"/>
              <w:tabs>
                <w:tab w:val="left" w:pos="681"/>
                <w:tab w:val="left" w:pos="1401"/>
              </w:tabs>
              <w:rPr>
                <w:b/>
              </w:rPr>
            </w:pPr>
          </w:p>
          <w:p w14:paraId="008F881B" w14:textId="77777777" w:rsidR="006355F2" w:rsidRPr="006355F2" w:rsidRDefault="006355F2" w:rsidP="006355F2">
            <w:pPr>
              <w:pStyle w:val="Header"/>
              <w:tabs>
                <w:tab w:val="left" w:pos="681"/>
                <w:tab w:val="left" w:pos="1401"/>
              </w:tabs>
              <w:rPr>
                <w:b/>
              </w:rPr>
            </w:pPr>
            <w:r w:rsidRPr="006355F2">
              <w:rPr>
                <w:b/>
              </w:rPr>
              <w:t>v.</w:t>
            </w:r>
          </w:p>
          <w:p w14:paraId="1D6530BA" w14:textId="77777777" w:rsidR="006355F2" w:rsidRPr="006355F2" w:rsidRDefault="006355F2" w:rsidP="006355F2">
            <w:pPr>
              <w:pStyle w:val="Header"/>
              <w:tabs>
                <w:tab w:val="left" w:pos="681"/>
                <w:tab w:val="left" w:pos="1401"/>
              </w:tabs>
              <w:rPr>
                <w:b/>
              </w:rPr>
            </w:pPr>
          </w:p>
          <w:p w14:paraId="1B6073EB" w14:textId="6DB1B99D" w:rsidR="006355F2" w:rsidRPr="006355F2" w:rsidRDefault="00A20BE8" w:rsidP="006355F2">
            <w:pPr>
              <w:pStyle w:val="Header"/>
              <w:tabs>
                <w:tab w:val="left" w:pos="681"/>
                <w:tab w:val="left" w:pos="1401"/>
              </w:tabs>
              <w:rPr>
                <w:b/>
              </w:rPr>
            </w:pPr>
            <w:r w:rsidRPr="00A20BE8">
              <w:rPr>
                <w:b/>
              </w:rPr>
              <w:t>AVISTA CORPORATION d/b/a AVISTA UTILITIES</w:t>
            </w:r>
            <w:r w:rsidR="006355F2" w:rsidRPr="006355F2">
              <w:rPr>
                <w:b/>
              </w:rPr>
              <w:t>,</w:t>
            </w:r>
          </w:p>
          <w:p w14:paraId="5E4BBDC2" w14:textId="77777777" w:rsidR="006355F2" w:rsidRPr="006355F2" w:rsidRDefault="006355F2" w:rsidP="006355F2">
            <w:pPr>
              <w:pStyle w:val="Header"/>
              <w:tabs>
                <w:tab w:val="left" w:pos="681"/>
                <w:tab w:val="left" w:pos="1401"/>
              </w:tabs>
              <w:rPr>
                <w:b/>
              </w:rPr>
            </w:pPr>
          </w:p>
          <w:p w14:paraId="1ABBAEF2" w14:textId="34C67EEC" w:rsidR="006355F2" w:rsidRPr="006355F2" w:rsidRDefault="006355F2" w:rsidP="006355F2">
            <w:pPr>
              <w:pStyle w:val="Header"/>
              <w:tabs>
                <w:tab w:val="left" w:pos="681"/>
                <w:tab w:val="left" w:pos="1401"/>
              </w:tabs>
              <w:rPr>
                <w:b/>
              </w:rPr>
            </w:pPr>
            <w:r w:rsidRPr="006355F2">
              <w:rPr>
                <w:b/>
              </w:rPr>
              <w:tab/>
            </w:r>
            <w:r w:rsidR="00AE04F7">
              <w:rPr>
                <w:b/>
              </w:rPr>
              <w:tab/>
            </w:r>
            <w:r w:rsidRPr="006355F2">
              <w:rPr>
                <w:b/>
              </w:rPr>
              <w:t>Respondent.</w:t>
            </w:r>
          </w:p>
          <w:p w14:paraId="04A83310" w14:textId="39E68132" w:rsidR="00FA0296" w:rsidRPr="00F720F8" w:rsidRDefault="00FA0296" w:rsidP="001B5C88">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15632B46" w14:textId="77777777" w:rsidR="00554F30" w:rsidRDefault="00554F30" w:rsidP="00554F30">
            <w:pPr>
              <w:ind w:left="734" w:hanging="14"/>
              <w:rPr>
                <w:b/>
              </w:rPr>
            </w:pPr>
            <w:r w:rsidRPr="00F720F8">
              <w:rPr>
                <w:b/>
              </w:rPr>
              <w:t>DOCKET</w:t>
            </w:r>
            <w:r>
              <w:rPr>
                <w:b/>
              </w:rPr>
              <w:t>S</w:t>
            </w:r>
            <w:r w:rsidRPr="00F720F8">
              <w:rPr>
                <w:b/>
              </w:rPr>
              <w:t xml:space="preserve"> UE-1</w:t>
            </w:r>
            <w:r>
              <w:rPr>
                <w:b/>
              </w:rPr>
              <w:t>60228 and</w:t>
            </w:r>
          </w:p>
          <w:p w14:paraId="43BBA8C1" w14:textId="187FEBEE" w:rsidR="002752E0" w:rsidRPr="002752E0" w:rsidRDefault="00554F30" w:rsidP="006355F2">
            <w:pPr>
              <w:ind w:left="734" w:hanging="14"/>
              <w:rPr>
                <w:b/>
                <w:i/>
              </w:rPr>
            </w:pPr>
            <w:r>
              <w:rPr>
                <w:b/>
              </w:rPr>
              <w:t xml:space="preserve">UG-160229 </w:t>
            </w:r>
            <w:r w:rsidR="002752E0" w:rsidRPr="0012658F">
              <w:rPr>
                <w:b/>
              </w:rPr>
              <w:t>(</w:t>
            </w:r>
            <w:r w:rsidR="002752E0" w:rsidRPr="002752E0">
              <w:rPr>
                <w:b/>
                <w:i/>
              </w:rPr>
              <w:t>Consolidated</w:t>
            </w:r>
            <w:r w:rsidR="002752E0" w:rsidRPr="0012658F">
              <w:rPr>
                <w:b/>
              </w:rPr>
              <w:t>)</w:t>
            </w:r>
          </w:p>
        </w:tc>
      </w:tr>
    </w:tbl>
    <w:p w14:paraId="0B0AA722" w14:textId="77777777" w:rsidR="004026AD" w:rsidRDefault="004026AD" w:rsidP="004026AD">
      <w:pPr>
        <w:rPr>
          <w:rFonts w:eastAsia="Times New Roman"/>
          <w:b/>
          <w:bCs/>
        </w:rPr>
      </w:pPr>
    </w:p>
    <w:p w14:paraId="608401A0" w14:textId="77777777" w:rsidR="006355F2" w:rsidRPr="00F720F8" w:rsidRDefault="006355F2" w:rsidP="004026AD">
      <w:pPr>
        <w:rPr>
          <w:rFonts w:eastAsia="Times New Roman"/>
          <w:b/>
          <w:bCs/>
        </w:rPr>
      </w:pPr>
    </w:p>
    <w:p w14:paraId="0B0AA723" w14:textId="77777777" w:rsidR="00D50AB7" w:rsidRPr="00F720F8" w:rsidRDefault="00D50AB7" w:rsidP="004026AD">
      <w:pPr>
        <w:jc w:val="center"/>
        <w:rPr>
          <w:rFonts w:eastAsia="Times New Roman"/>
          <w:b/>
          <w:bCs/>
        </w:rPr>
      </w:pPr>
    </w:p>
    <w:p w14:paraId="0B0AA724" w14:textId="77777777" w:rsidR="004026AD" w:rsidRPr="00F720F8" w:rsidRDefault="004026AD" w:rsidP="004026AD">
      <w:pPr>
        <w:jc w:val="center"/>
        <w:rPr>
          <w:rFonts w:eastAsia="Times New Roman"/>
          <w:b/>
          <w:bCs/>
        </w:rPr>
      </w:pPr>
      <w:r w:rsidRPr="00F720F8">
        <w:rPr>
          <w:rFonts w:eastAsia="Times New Roman"/>
          <w:b/>
          <w:bCs/>
        </w:rPr>
        <w:t>TESTIMONY OF</w:t>
      </w:r>
    </w:p>
    <w:p w14:paraId="0B0AA725" w14:textId="77777777" w:rsidR="004026AD" w:rsidRPr="00F720F8" w:rsidRDefault="004026AD" w:rsidP="004026AD">
      <w:pPr>
        <w:jc w:val="center"/>
        <w:rPr>
          <w:rFonts w:eastAsia="Times New Roman"/>
          <w:b/>
          <w:bCs/>
        </w:rPr>
      </w:pPr>
    </w:p>
    <w:p w14:paraId="0B0AA726" w14:textId="5EA20F69" w:rsidR="004026AD" w:rsidRPr="00F720F8" w:rsidRDefault="00F76CC0" w:rsidP="004026AD">
      <w:pPr>
        <w:jc w:val="center"/>
        <w:rPr>
          <w:rFonts w:eastAsia="Times New Roman"/>
          <w:b/>
          <w:bCs/>
        </w:rPr>
      </w:pPr>
      <w:r>
        <w:rPr>
          <w:rFonts w:eastAsia="Times New Roman"/>
          <w:b/>
          <w:bCs/>
        </w:rPr>
        <w:t>CHRISTOPHER S. HANCOCK</w:t>
      </w:r>
    </w:p>
    <w:p w14:paraId="0B0AA727" w14:textId="77777777" w:rsidR="004026AD" w:rsidRPr="00F720F8" w:rsidRDefault="004026AD" w:rsidP="004026AD">
      <w:pPr>
        <w:jc w:val="center"/>
        <w:rPr>
          <w:rFonts w:eastAsia="Times New Roman"/>
          <w:b/>
          <w:bCs/>
        </w:rPr>
      </w:pPr>
    </w:p>
    <w:p w14:paraId="0B0AA728" w14:textId="77777777" w:rsidR="004026AD" w:rsidRPr="00F720F8" w:rsidRDefault="004026AD" w:rsidP="004026AD">
      <w:pPr>
        <w:jc w:val="center"/>
        <w:rPr>
          <w:rFonts w:eastAsia="Times New Roman"/>
          <w:b/>
          <w:bCs/>
        </w:rPr>
      </w:pPr>
      <w:r w:rsidRPr="00F720F8">
        <w:rPr>
          <w:rFonts w:eastAsia="Times New Roman"/>
          <w:b/>
          <w:bCs/>
        </w:rPr>
        <w:t>STAFF OF</w:t>
      </w:r>
    </w:p>
    <w:p w14:paraId="0B0AA729" w14:textId="77777777" w:rsidR="004026AD" w:rsidRPr="00F720F8" w:rsidRDefault="004026AD" w:rsidP="004026AD">
      <w:pPr>
        <w:jc w:val="center"/>
        <w:rPr>
          <w:rFonts w:eastAsia="Times New Roman"/>
          <w:b/>
          <w:bCs/>
        </w:rPr>
      </w:pPr>
      <w:r w:rsidRPr="00F720F8">
        <w:rPr>
          <w:rFonts w:eastAsia="Times New Roman"/>
          <w:b/>
          <w:bCs/>
        </w:rPr>
        <w:t>WASHINGTON UTILITIES AND</w:t>
      </w:r>
    </w:p>
    <w:p w14:paraId="0B0AA72A" w14:textId="77777777" w:rsidR="004026AD" w:rsidRPr="00F720F8" w:rsidRDefault="004026AD" w:rsidP="004026AD">
      <w:pPr>
        <w:jc w:val="center"/>
        <w:rPr>
          <w:rFonts w:eastAsia="Times New Roman"/>
          <w:b/>
          <w:bCs/>
        </w:rPr>
      </w:pPr>
      <w:r w:rsidRPr="00F720F8">
        <w:rPr>
          <w:rFonts w:eastAsia="Times New Roman"/>
          <w:b/>
          <w:bCs/>
        </w:rPr>
        <w:t>TRANSPORTATION COMMISSION</w:t>
      </w:r>
    </w:p>
    <w:p w14:paraId="0B0AA72B" w14:textId="77777777" w:rsidR="004026AD" w:rsidRDefault="004026AD" w:rsidP="004026AD">
      <w:pPr>
        <w:jc w:val="center"/>
        <w:rPr>
          <w:rFonts w:eastAsia="Times New Roman"/>
          <w:b/>
          <w:bCs/>
        </w:rPr>
      </w:pPr>
    </w:p>
    <w:p w14:paraId="0B0AA72C" w14:textId="77777777" w:rsidR="004026AD" w:rsidRPr="00F720F8" w:rsidRDefault="004026AD" w:rsidP="004026AD">
      <w:pPr>
        <w:jc w:val="center"/>
        <w:rPr>
          <w:rFonts w:eastAsia="Times New Roman"/>
          <w:b/>
          <w:bCs/>
        </w:rPr>
      </w:pPr>
    </w:p>
    <w:p w14:paraId="04BDC779" w14:textId="00EDC026" w:rsidR="002752E0" w:rsidRDefault="00B012D9" w:rsidP="00F27471">
      <w:pPr>
        <w:jc w:val="center"/>
        <w:rPr>
          <w:rFonts w:eastAsia="Times New Roman"/>
          <w:b/>
          <w:bCs/>
          <w:i/>
        </w:rPr>
      </w:pPr>
      <w:r>
        <w:rPr>
          <w:rFonts w:eastAsia="Times New Roman"/>
          <w:b/>
          <w:bCs/>
          <w:i/>
        </w:rPr>
        <w:t xml:space="preserve">Policy, </w:t>
      </w:r>
      <w:r w:rsidR="00A20BE8">
        <w:rPr>
          <w:rFonts w:eastAsia="Times New Roman"/>
          <w:b/>
          <w:bCs/>
          <w:i/>
        </w:rPr>
        <w:t>Electric and Natural Gas Attr</w:t>
      </w:r>
      <w:r w:rsidR="0089782F">
        <w:rPr>
          <w:rFonts w:eastAsia="Times New Roman"/>
          <w:b/>
          <w:bCs/>
          <w:i/>
        </w:rPr>
        <w:t>i</w:t>
      </w:r>
      <w:r w:rsidR="00A20BE8">
        <w:rPr>
          <w:rFonts w:eastAsia="Times New Roman"/>
          <w:b/>
          <w:bCs/>
          <w:i/>
        </w:rPr>
        <w:t>tion Studies</w:t>
      </w:r>
    </w:p>
    <w:p w14:paraId="55542595" w14:textId="77777777" w:rsidR="002752E0" w:rsidRDefault="002752E0" w:rsidP="004026AD">
      <w:pPr>
        <w:jc w:val="center"/>
        <w:rPr>
          <w:rFonts w:eastAsia="Times New Roman"/>
          <w:b/>
          <w:bCs/>
          <w:i/>
        </w:rPr>
      </w:pPr>
    </w:p>
    <w:p w14:paraId="0B0AA730" w14:textId="79DAAF5D" w:rsidR="004026AD" w:rsidRPr="00F720F8" w:rsidRDefault="004026AD" w:rsidP="004026AD">
      <w:pPr>
        <w:jc w:val="center"/>
        <w:rPr>
          <w:rFonts w:eastAsia="Times New Roman"/>
          <w:b/>
          <w:bCs/>
        </w:rPr>
      </w:pPr>
    </w:p>
    <w:p w14:paraId="0B0AA731" w14:textId="488D78EC" w:rsidR="004026AD" w:rsidRPr="00F720F8" w:rsidRDefault="00A20BE8" w:rsidP="004026AD">
      <w:pPr>
        <w:jc w:val="center"/>
        <w:rPr>
          <w:rFonts w:eastAsia="Times New Roman"/>
          <w:b/>
          <w:bCs/>
        </w:rPr>
      </w:pPr>
      <w:r>
        <w:rPr>
          <w:rFonts w:eastAsia="Times New Roman"/>
          <w:b/>
          <w:bCs/>
        </w:rPr>
        <w:t>August 17</w:t>
      </w:r>
      <w:r w:rsidR="001B5C88" w:rsidRPr="002752E0">
        <w:rPr>
          <w:rFonts w:eastAsia="Times New Roman"/>
          <w:b/>
          <w:bCs/>
        </w:rPr>
        <w:t>, 201</w:t>
      </w:r>
      <w:r w:rsidR="000419F6">
        <w:rPr>
          <w:rFonts w:eastAsia="Times New Roman"/>
          <w:b/>
          <w:bCs/>
        </w:rPr>
        <w:t>6</w:t>
      </w:r>
    </w:p>
    <w:p w14:paraId="0B0AA732" w14:textId="77777777" w:rsidR="004026AD" w:rsidRPr="00F720F8" w:rsidRDefault="004026AD" w:rsidP="004026AD">
      <w:pPr>
        <w:jc w:val="center"/>
        <w:rPr>
          <w:rFonts w:eastAsia="Times New Roman"/>
          <w:b/>
          <w:bCs/>
        </w:rPr>
      </w:pPr>
    </w:p>
    <w:p w14:paraId="0B0AA733" w14:textId="77777777" w:rsidR="004026AD" w:rsidRPr="00F720F8" w:rsidRDefault="004026AD" w:rsidP="004026AD">
      <w:pPr>
        <w:jc w:val="center"/>
        <w:rPr>
          <w:rFonts w:eastAsia="Times New Roman"/>
          <w:b/>
          <w:bCs/>
        </w:rPr>
      </w:pPr>
    </w:p>
    <w:p w14:paraId="0B0AA734" w14:textId="77777777" w:rsidR="004026AD" w:rsidRPr="00F720F8" w:rsidRDefault="004026AD" w:rsidP="004026AD">
      <w:pPr>
        <w:jc w:val="center"/>
        <w:rPr>
          <w:rFonts w:eastAsia="Times New Roman"/>
          <w:b/>
          <w:bCs/>
        </w:rPr>
      </w:pPr>
    </w:p>
    <w:p w14:paraId="0B0AA735" w14:textId="77777777" w:rsidR="004026AD" w:rsidRPr="00F720F8" w:rsidRDefault="004026AD" w:rsidP="004026AD">
      <w:pPr>
        <w:jc w:val="center"/>
        <w:rPr>
          <w:rFonts w:eastAsia="Times New Roman"/>
          <w:b/>
          <w:bCs/>
        </w:rPr>
      </w:pPr>
    </w:p>
    <w:p w14:paraId="0B0AA737" w14:textId="77777777" w:rsidR="004026AD" w:rsidRPr="00F720F8" w:rsidRDefault="004026AD" w:rsidP="004026AD">
      <w:pPr>
        <w:tabs>
          <w:tab w:val="center" w:pos="4680"/>
        </w:tabs>
        <w:rPr>
          <w:rFonts w:eastAsia="Times New Roman"/>
          <w:b/>
          <w:bCs/>
        </w:rPr>
      </w:pPr>
    </w:p>
    <w:p w14:paraId="0B0AA738" w14:textId="77777777" w:rsidR="004026AD" w:rsidRPr="00F720F8" w:rsidRDefault="004026AD" w:rsidP="004026AD">
      <w:pPr>
        <w:jc w:val="center"/>
        <w:rPr>
          <w:rFonts w:eastAsia="Times New Roman"/>
          <w:b/>
        </w:rPr>
        <w:sectPr w:rsidR="004026AD" w:rsidRPr="00F720F8" w:rsidSect="00BD533D">
          <w:footerReference w:type="default" r:id="rId11"/>
          <w:type w:val="continuous"/>
          <w:pgSz w:w="12240" w:h="15840" w:code="1"/>
          <w:pgMar w:top="1440" w:right="1440" w:bottom="1440" w:left="1872" w:header="720" w:footer="720" w:gutter="0"/>
          <w:pgNumType w:start="1"/>
          <w:cols w:space="720"/>
          <w:titlePg/>
          <w:docGrid w:linePitch="360"/>
        </w:sectPr>
      </w:pPr>
    </w:p>
    <w:p w14:paraId="3401842D" w14:textId="03890F59" w:rsidR="007F3100" w:rsidRPr="001A7B47" w:rsidRDefault="001A7B47" w:rsidP="001A7B47">
      <w:pPr>
        <w:spacing w:after="240"/>
        <w:jc w:val="center"/>
        <w:rPr>
          <w:rFonts w:eastAsia="Times New Roman"/>
          <w:b/>
        </w:rPr>
      </w:pPr>
      <w:r>
        <w:rPr>
          <w:rFonts w:eastAsia="Times New Roman"/>
          <w:b/>
        </w:rPr>
        <w:lastRenderedPageBreak/>
        <w:t>TABLE OF CONTENTS</w:t>
      </w:r>
    </w:p>
    <w:p w14:paraId="4619B878" w14:textId="77777777" w:rsidR="004D3EC3" w:rsidRDefault="00BA2B83">
      <w:pPr>
        <w:pStyle w:val="TOC1"/>
        <w:rPr>
          <w:rFonts w:asciiTheme="minorHAnsi" w:hAnsiTheme="minorHAnsi" w:cstheme="minorBidi"/>
          <w:b w:val="0"/>
          <w:caps w:val="0"/>
          <w:sz w:val="22"/>
          <w:szCs w:val="22"/>
          <w:lang w:eastAsia="en-US"/>
        </w:rPr>
      </w:pPr>
      <w:r w:rsidRPr="00BD70B5">
        <w:rPr>
          <w:rFonts w:ascii="Times New Roman" w:hAnsi="Times New Roman"/>
          <w:b w:val="0"/>
        </w:rPr>
        <w:fldChar w:fldCharType="begin"/>
      </w:r>
      <w:r w:rsidRPr="00BD70B5">
        <w:rPr>
          <w:rFonts w:ascii="Times New Roman" w:hAnsi="Times New Roman"/>
          <w:b w:val="0"/>
        </w:rPr>
        <w:instrText xml:space="preserve"> TOC \o "1-3" \u </w:instrText>
      </w:r>
      <w:r w:rsidRPr="00BD70B5">
        <w:rPr>
          <w:rFonts w:ascii="Times New Roman" w:hAnsi="Times New Roman"/>
          <w:b w:val="0"/>
        </w:rPr>
        <w:fldChar w:fldCharType="separate"/>
      </w:r>
      <w:r w:rsidR="004D3EC3" w:rsidRPr="00BC7A73">
        <w:t>I.</w:t>
      </w:r>
      <w:r w:rsidR="004D3EC3">
        <w:rPr>
          <w:rFonts w:asciiTheme="minorHAnsi" w:hAnsiTheme="minorHAnsi" w:cstheme="minorBidi"/>
          <w:b w:val="0"/>
          <w:caps w:val="0"/>
          <w:sz w:val="22"/>
          <w:szCs w:val="22"/>
          <w:lang w:eastAsia="en-US"/>
        </w:rPr>
        <w:tab/>
      </w:r>
      <w:r w:rsidR="004D3EC3" w:rsidRPr="00BC7A73">
        <w:t>Introduction</w:t>
      </w:r>
      <w:r w:rsidR="004D3EC3">
        <w:tab/>
      </w:r>
      <w:r w:rsidR="004D3EC3">
        <w:fldChar w:fldCharType="begin"/>
      </w:r>
      <w:r w:rsidR="004D3EC3">
        <w:instrText xml:space="preserve"> PAGEREF _Toc459042390 \h </w:instrText>
      </w:r>
      <w:r w:rsidR="004D3EC3">
        <w:fldChar w:fldCharType="separate"/>
      </w:r>
      <w:r w:rsidR="004D3EC3">
        <w:t>1</w:t>
      </w:r>
      <w:r w:rsidR="004D3EC3">
        <w:fldChar w:fldCharType="end"/>
      </w:r>
    </w:p>
    <w:p w14:paraId="63C6BBAB" w14:textId="77777777" w:rsidR="004D3EC3" w:rsidRDefault="004D3EC3">
      <w:pPr>
        <w:pStyle w:val="TOC1"/>
        <w:rPr>
          <w:rFonts w:asciiTheme="minorHAnsi" w:hAnsiTheme="minorHAnsi" w:cstheme="minorBidi"/>
          <w:b w:val="0"/>
          <w:caps w:val="0"/>
          <w:sz w:val="22"/>
          <w:szCs w:val="22"/>
          <w:lang w:eastAsia="en-US"/>
        </w:rPr>
      </w:pPr>
      <w:r w:rsidRPr="00BC7A73">
        <w:t>II.</w:t>
      </w:r>
      <w:r>
        <w:rPr>
          <w:rFonts w:asciiTheme="minorHAnsi" w:hAnsiTheme="minorHAnsi" w:cstheme="minorBidi"/>
          <w:b w:val="0"/>
          <w:caps w:val="0"/>
          <w:sz w:val="22"/>
          <w:szCs w:val="22"/>
          <w:lang w:eastAsia="en-US"/>
        </w:rPr>
        <w:tab/>
      </w:r>
      <w:r w:rsidRPr="00BC7A73">
        <w:t>Scope of Testimony</w:t>
      </w:r>
      <w:r>
        <w:tab/>
      </w:r>
      <w:r>
        <w:fldChar w:fldCharType="begin"/>
      </w:r>
      <w:r>
        <w:instrText xml:space="preserve"> PAGEREF _Toc459042391 \h </w:instrText>
      </w:r>
      <w:r>
        <w:fldChar w:fldCharType="separate"/>
      </w:r>
      <w:r>
        <w:t>2</w:t>
      </w:r>
      <w:r>
        <w:fldChar w:fldCharType="end"/>
      </w:r>
    </w:p>
    <w:p w14:paraId="5A1A746C" w14:textId="77777777" w:rsidR="004D3EC3" w:rsidRDefault="004D3EC3">
      <w:pPr>
        <w:pStyle w:val="TOC1"/>
        <w:rPr>
          <w:rFonts w:asciiTheme="minorHAnsi" w:hAnsiTheme="minorHAnsi" w:cstheme="minorBidi"/>
          <w:b w:val="0"/>
          <w:caps w:val="0"/>
          <w:sz w:val="22"/>
          <w:szCs w:val="22"/>
          <w:lang w:eastAsia="en-US"/>
        </w:rPr>
      </w:pPr>
      <w:r w:rsidRPr="00BC7A73">
        <w:t>III.</w:t>
      </w:r>
      <w:r>
        <w:rPr>
          <w:rFonts w:asciiTheme="minorHAnsi" w:hAnsiTheme="minorHAnsi" w:cstheme="minorBidi"/>
          <w:b w:val="0"/>
          <w:caps w:val="0"/>
          <w:sz w:val="22"/>
          <w:szCs w:val="22"/>
          <w:lang w:eastAsia="en-US"/>
        </w:rPr>
        <w:tab/>
      </w:r>
      <w:r w:rsidRPr="00BC7A73">
        <w:t>Policy Considerations</w:t>
      </w:r>
      <w:r>
        <w:tab/>
      </w:r>
      <w:r>
        <w:fldChar w:fldCharType="begin"/>
      </w:r>
      <w:r>
        <w:instrText xml:space="preserve"> PAGEREF _Toc459042392 \h </w:instrText>
      </w:r>
      <w:r>
        <w:fldChar w:fldCharType="separate"/>
      </w:r>
      <w:r>
        <w:t>4</w:t>
      </w:r>
      <w:r>
        <w:fldChar w:fldCharType="end"/>
      </w:r>
    </w:p>
    <w:p w14:paraId="43F14341" w14:textId="77777777" w:rsidR="004D3EC3" w:rsidRDefault="004D3EC3">
      <w:pPr>
        <w:pStyle w:val="TOC2"/>
        <w:rPr>
          <w:rFonts w:asciiTheme="minorHAnsi" w:hAnsiTheme="minorHAnsi" w:cstheme="minorBidi"/>
          <w:noProof/>
          <w:sz w:val="22"/>
          <w:szCs w:val="22"/>
          <w:lang w:eastAsia="en-US"/>
        </w:rPr>
      </w:pPr>
      <w:r>
        <w:rPr>
          <w:noProof/>
        </w:rPr>
        <w:t>A.</w:t>
      </w:r>
      <w:r>
        <w:rPr>
          <w:rFonts w:asciiTheme="minorHAnsi" w:hAnsiTheme="minorHAnsi" w:cstheme="minorBidi"/>
          <w:noProof/>
          <w:sz w:val="22"/>
          <w:szCs w:val="22"/>
          <w:lang w:eastAsia="en-US"/>
        </w:rPr>
        <w:tab/>
      </w:r>
      <w:r>
        <w:rPr>
          <w:noProof/>
        </w:rPr>
        <w:t>Use of the ERM balance to offset a rate increase</w:t>
      </w:r>
      <w:r>
        <w:rPr>
          <w:noProof/>
        </w:rPr>
        <w:tab/>
      </w:r>
      <w:r>
        <w:rPr>
          <w:noProof/>
        </w:rPr>
        <w:fldChar w:fldCharType="begin"/>
      </w:r>
      <w:r>
        <w:rPr>
          <w:noProof/>
        </w:rPr>
        <w:instrText xml:space="preserve"> PAGEREF _Toc459042393 \h </w:instrText>
      </w:r>
      <w:r>
        <w:rPr>
          <w:noProof/>
        </w:rPr>
      </w:r>
      <w:r>
        <w:rPr>
          <w:noProof/>
        </w:rPr>
        <w:fldChar w:fldCharType="separate"/>
      </w:r>
      <w:r>
        <w:rPr>
          <w:noProof/>
        </w:rPr>
        <w:t>5</w:t>
      </w:r>
      <w:r>
        <w:rPr>
          <w:noProof/>
        </w:rPr>
        <w:fldChar w:fldCharType="end"/>
      </w:r>
    </w:p>
    <w:p w14:paraId="19ADDD4C" w14:textId="77777777" w:rsidR="004D3EC3" w:rsidRDefault="004D3EC3">
      <w:pPr>
        <w:pStyle w:val="TOC2"/>
        <w:rPr>
          <w:rFonts w:asciiTheme="minorHAnsi" w:hAnsiTheme="minorHAnsi" w:cstheme="minorBidi"/>
          <w:noProof/>
          <w:sz w:val="22"/>
          <w:szCs w:val="22"/>
          <w:lang w:eastAsia="en-US"/>
        </w:rPr>
      </w:pPr>
      <w:r>
        <w:rPr>
          <w:noProof/>
        </w:rPr>
        <w:t>B.</w:t>
      </w:r>
      <w:r>
        <w:rPr>
          <w:rFonts w:asciiTheme="minorHAnsi" w:hAnsiTheme="minorHAnsi" w:cstheme="minorBidi"/>
          <w:noProof/>
          <w:sz w:val="22"/>
          <w:szCs w:val="22"/>
          <w:lang w:eastAsia="en-US"/>
        </w:rPr>
        <w:tab/>
      </w:r>
      <w:r>
        <w:rPr>
          <w:noProof/>
        </w:rPr>
        <w:t>Shifting the rate case cycle</w:t>
      </w:r>
      <w:r>
        <w:rPr>
          <w:noProof/>
        </w:rPr>
        <w:tab/>
      </w:r>
      <w:r>
        <w:rPr>
          <w:noProof/>
        </w:rPr>
        <w:fldChar w:fldCharType="begin"/>
      </w:r>
      <w:r>
        <w:rPr>
          <w:noProof/>
        </w:rPr>
        <w:instrText xml:space="preserve"> PAGEREF _Toc459042394 \h </w:instrText>
      </w:r>
      <w:r>
        <w:rPr>
          <w:noProof/>
        </w:rPr>
      </w:r>
      <w:r>
        <w:rPr>
          <w:noProof/>
        </w:rPr>
        <w:fldChar w:fldCharType="separate"/>
      </w:r>
      <w:r>
        <w:rPr>
          <w:noProof/>
        </w:rPr>
        <w:t>7</w:t>
      </w:r>
      <w:r>
        <w:rPr>
          <w:noProof/>
        </w:rPr>
        <w:fldChar w:fldCharType="end"/>
      </w:r>
    </w:p>
    <w:p w14:paraId="3E0F676E" w14:textId="77777777" w:rsidR="004D3EC3" w:rsidRDefault="004D3EC3">
      <w:pPr>
        <w:pStyle w:val="TOC2"/>
        <w:rPr>
          <w:rFonts w:asciiTheme="minorHAnsi" w:hAnsiTheme="minorHAnsi" w:cstheme="minorBidi"/>
          <w:noProof/>
          <w:sz w:val="22"/>
          <w:szCs w:val="22"/>
          <w:lang w:eastAsia="en-US"/>
        </w:rPr>
      </w:pPr>
      <w:r>
        <w:rPr>
          <w:noProof/>
        </w:rPr>
        <w:t>C.</w:t>
      </w:r>
      <w:r>
        <w:rPr>
          <w:rFonts w:asciiTheme="minorHAnsi" w:hAnsiTheme="minorHAnsi" w:cstheme="minorBidi"/>
          <w:noProof/>
          <w:sz w:val="22"/>
          <w:szCs w:val="22"/>
          <w:lang w:eastAsia="en-US"/>
        </w:rPr>
        <w:tab/>
      </w:r>
      <w:r>
        <w:rPr>
          <w:noProof/>
        </w:rPr>
        <w:t>One rate increase</w:t>
      </w:r>
      <w:r>
        <w:rPr>
          <w:noProof/>
        </w:rPr>
        <w:tab/>
      </w:r>
      <w:r>
        <w:rPr>
          <w:noProof/>
        </w:rPr>
        <w:fldChar w:fldCharType="begin"/>
      </w:r>
      <w:r>
        <w:rPr>
          <w:noProof/>
        </w:rPr>
        <w:instrText xml:space="preserve"> PAGEREF _Toc459042395 \h </w:instrText>
      </w:r>
      <w:r>
        <w:rPr>
          <w:noProof/>
        </w:rPr>
      </w:r>
      <w:r>
        <w:rPr>
          <w:noProof/>
        </w:rPr>
        <w:fldChar w:fldCharType="separate"/>
      </w:r>
      <w:r>
        <w:rPr>
          <w:noProof/>
        </w:rPr>
        <w:t>11</w:t>
      </w:r>
      <w:r>
        <w:rPr>
          <w:noProof/>
        </w:rPr>
        <w:fldChar w:fldCharType="end"/>
      </w:r>
    </w:p>
    <w:p w14:paraId="6FFFB0FD" w14:textId="77777777" w:rsidR="004D3EC3" w:rsidRDefault="004D3EC3">
      <w:pPr>
        <w:pStyle w:val="TOC1"/>
        <w:rPr>
          <w:rFonts w:asciiTheme="minorHAnsi" w:hAnsiTheme="minorHAnsi" w:cstheme="minorBidi"/>
          <w:b w:val="0"/>
          <w:caps w:val="0"/>
          <w:sz w:val="22"/>
          <w:szCs w:val="22"/>
          <w:lang w:eastAsia="en-US"/>
        </w:rPr>
      </w:pPr>
      <w:r w:rsidRPr="00BC7A73">
        <w:t>IV.</w:t>
      </w:r>
      <w:r>
        <w:rPr>
          <w:rFonts w:asciiTheme="minorHAnsi" w:hAnsiTheme="minorHAnsi" w:cstheme="minorBidi"/>
          <w:b w:val="0"/>
          <w:caps w:val="0"/>
          <w:sz w:val="22"/>
          <w:szCs w:val="22"/>
          <w:lang w:eastAsia="en-US"/>
        </w:rPr>
        <w:tab/>
      </w:r>
      <w:r w:rsidRPr="00BC7A73">
        <w:t>General Discussion of Attrition</w:t>
      </w:r>
      <w:r>
        <w:tab/>
      </w:r>
      <w:r>
        <w:fldChar w:fldCharType="begin"/>
      </w:r>
      <w:r>
        <w:instrText xml:space="preserve"> PAGEREF _Toc459042396 \h </w:instrText>
      </w:r>
      <w:r>
        <w:fldChar w:fldCharType="separate"/>
      </w:r>
      <w:r>
        <w:t>12</w:t>
      </w:r>
      <w:r>
        <w:fldChar w:fldCharType="end"/>
      </w:r>
    </w:p>
    <w:p w14:paraId="3F35C56F" w14:textId="77777777" w:rsidR="004D3EC3" w:rsidRDefault="004D3EC3">
      <w:pPr>
        <w:pStyle w:val="TOC2"/>
        <w:rPr>
          <w:rFonts w:asciiTheme="minorHAnsi" w:hAnsiTheme="minorHAnsi" w:cstheme="minorBidi"/>
          <w:noProof/>
          <w:sz w:val="22"/>
          <w:szCs w:val="22"/>
          <w:lang w:eastAsia="en-US"/>
        </w:rPr>
      </w:pPr>
      <w:r>
        <w:rPr>
          <w:noProof/>
        </w:rPr>
        <w:t>A.</w:t>
      </w:r>
      <w:r>
        <w:rPr>
          <w:rFonts w:asciiTheme="minorHAnsi" w:hAnsiTheme="minorHAnsi" w:cstheme="minorBidi"/>
          <w:noProof/>
          <w:sz w:val="22"/>
          <w:szCs w:val="22"/>
          <w:lang w:eastAsia="en-US"/>
        </w:rPr>
        <w:tab/>
      </w:r>
      <w:r>
        <w:rPr>
          <w:noProof/>
        </w:rPr>
        <w:t>Attrition: What it is and why it’s important.</w:t>
      </w:r>
      <w:r>
        <w:rPr>
          <w:noProof/>
        </w:rPr>
        <w:tab/>
      </w:r>
      <w:r>
        <w:rPr>
          <w:noProof/>
        </w:rPr>
        <w:fldChar w:fldCharType="begin"/>
      </w:r>
      <w:r>
        <w:rPr>
          <w:noProof/>
        </w:rPr>
        <w:instrText xml:space="preserve"> PAGEREF _Toc459042397 \h </w:instrText>
      </w:r>
      <w:r>
        <w:rPr>
          <w:noProof/>
        </w:rPr>
      </w:r>
      <w:r>
        <w:rPr>
          <w:noProof/>
        </w:rPr>
        <w:fldChar w:fldCharType="separate"/>
      </w:r>
      <w:r>
        <w:rPr>
          <w:noProof/>
        </w:rPr>
        <w:t>12</w:t>
      </w:r>
      <w:r>
        <w:rPr>
          <w:noProof/>
        </w:rPr>
        <w:fldChar w:fldCharType="end"/>
      </w:r>
    </w:p>
    <w:p w14:paraId="0CE3FFFB" w14:textId="77777777" w:rsidR="004D3EC3" w:rsidRDefault="004D3EC3">
      <w:pPr>
        <w:pStyle w:val="TOC2"/>
        <w:rPr>
          <w:rFonts w:asciiTheme="minorHAnsi" w:hAnsiTheme="minorHAnsi" w:cstheme="minorBidi"/>
          <w:noProof/>
          <w:sz w:val="22"/>
          <w:szCs w:val="22"/>
          <w:lang w:eastAsia="en-US"/>
        </w:rPr>
      </w:pPr>
      <w:r>
        <w:rPr>
          <w:noProof/>
        </w:rPr>
        <w:t>B.</w:t>
      </w:r>
      <w:r>
        <w:rPr>
          <w:rFonts w:asciiTheme="minorHAnsi" w:hAnsiTheme="minorHAnsi" w:cstheme="minorBidi"/>
          <w:noProof/>
          <w:sz w:val="22"/>
          <w:szCs w:val="22"/>
          <w:lang w:eastAsia="en-US"/>
        </w:rPr>
        <w:tab/>
      </w:r>
      <w:r>
        <w:rPr>
          <w:noProof/>
        </w:rPr>
        <w:t>Avista and Attrition</w:t>
      </w:r>
      <w:r>
        <w:rPr>
          <w:noProof/>
        </w:rPr>
        <w:tab/>
      </w:r>
      <w:r>
        <w:rPr>
          <w:noProof/>
        </w:rPr>
        <w:fldChar w:fldCharType="begin"/>
      </w:r>
      <w:r>
        <w:rPr>
          <w:noProof/>
        </w:rPr>
        <w:instrText xml:space="preserve"> PAGEREF _Toc459042398 \h </w:instrText>
      </w:r>
      <w:r>
        <w:rPr>
          <w:noProof/>
        </w:rPr>
      </w:r>
      <w:r>
        <w:rPr>
          <w:noProof/>
        </w:rPr>
        <w:fldChar w:fldCharType="separate"/>
      </w:r>
      <w:r>
        <w:rPr>
          <w:noProof/>
        </w:rPr>
        <w:t>20</w:t>
      </w:r>
      <w:r>
        <w:rPr>
          <w:noProof/>
        </w:rPr>
        <w:fldChar w:fldCharType="end"/>
      </w:r>
    </w:p>
    <w:p w14:paraId="21DFECB1" w14:textId="77777777" w:rsidR="004D3EC3" w:rsidRDefault="004D3EC3">
      <w:pPr>
        <w:pStyle w:val="TOC1"/>
        <w:rPr>
          <w:rFonts w:asciiTheme="minorHAnsi" w:hAnsiTheme="minorHAnsi" w:cstheme="minorBidi"/>
          <w:b w:val="0"/>
          <w:caps w:val="0"/>
          <w:sz w:val="22"/>
          <w:szCs w:val="22"/>
          <w:lang w:eastAsia="en-US"/>
        </w:rPr>
      </w:pPr>
      <w:r w:rsidRPr="00BC7A73">
        <w:t>V.</w:t>
      </w:r>
      <w:r>
        <w:rPr>
          <w:rFonts w:asciiTheme="minorHAnsi" w:hAnsiTheme="minorHAnsi" w:cstheme="minorBidi"/>
          <w:b w:val="0"/>
          <w:caps w:val="0"/>
          <w:sz w:val="22"/>
          <w:szCs w:val="22"/>
          <w:lang w:eastAsia="en-US"/>
        </w:rPr>
        <w:tab/>
      </w:r>
      <w:r w:rsidRPr="00BC7A73">
        <w:t>Attrition studies</w:t>
      </w:r>
      <w:r>
        <w:tab/>
      </w:r>
      <w:r>
        <w:fldChar w:fldCharType="begin"/>
      </w:r>
      <w:r>
        <w:instrText xml:space="preserve"> PAGEREF _Toc459042399 \h </w:instrText>
      </w:r>
      <w:r>
        <w:fldChar w:fldCharType="separate"/>
      </w:r>
      <w:r>
        <w:t>26</w:t>
      </w:r>
      <w:r>
        <w:fldChar w:fldCharType="end"/>
      </w:r>
    </w:p>
    <w:p w14:paraId="26881818" w14:textId="77777777" w:rsidR="004D3EC3" w:rsidRDefault="004D3EC3">
      <w:pPr>
        <w:pStyle w:val="TOC2"/>
        <w:rPr>
          <w:rFonts w:asciiTheme="minorHAnsi" w:hAnsiTheme="minorHAnsi" w:cstheme="minorBidi"/>
          <w:noProof/>
          <w:sz w:val="22"/>
          <w:szCs w:val="22"/>
          <w:lang w:eastAsia="en-US"/>
        </w:rPr>
      </w:pPr>
      <w:r>
        <w:rPr>
          <w:noProof/>
        </w:rPr>
        <w:t>A.</w:t>
      </w:r>
      <w:r>
        <w:rPr>
          <w:rFonts w:asciiTheme="minorHAnsi" w:hAnsiTheme="minorHAnsi" w:cstheme="minorBidi"/>
          <w:noProof/>
          <w:sz w:val="22"/>
          <w:szCs w:val="22"/>
          <w:lang w:eastAsia="en-US"/>
        </w:rPr>
        <w:tab/>
      </w:r>
      <w:r>
        <w:rPr>
          <w:noProof/>
        </w:rPr>
        <w:t>Methodology</w:t>
      </w:r>
      <w:r>
        <w:rPr>
          <w:noProof/>
        </w:rPr>
        <w:tab/>
      </w:r>
      <w:r>
        <w:rPr>
          <w:noProof/>
        </w:rPr>
        <w:fldChar w:fldCharType="begin"/>
      </w:r>
      <w:r>
        <w:rPr>
          <w:noProof/>
        </w:rPr>
        <w:instrText xml:space="preserve"> PAGEREF _Toc459042400 \h </w:instrText>
      </w:r>
      <w:r>
        <w:rPr>
          <w:noProof/>
        </w:rPr>
      </w:r>
      <w:r>
        <w:rPr>
          <w:noProof/>
        </w:rPr>
        <w:fldChar w:fldCharType="separate"/>
      </w:r>
      <w:r>
        <w:rPr>
          <w:noProof/>
        </w:rPr>
        <w:t>26</w:t>
      </w:r>
      <w:r>
        <w:rPr>
          <w:noProof/>
        </w:rPr>
        <w:fldChar w:fldCharType="end"/>
      </w:r>
    </w:p>
    <w:p w14:paraId="4E1129BC" w14:textId="77777777" w:rsidR="004D3EC3" w:rsidRDefault="004D3EC3">
      <w:pPr>
        <w:pStyle w:val="TOC2"/>
        <w:rPr>
          <w:rFonts w:asciiTheme="minorHAnsi" w:hAnsiTheme="minorHAnsi" w:cstheme="minorBidi"/>
          <w:noProof/>
          <w:sz w:val="22"/>
          <w:szCs w:val="22"/>
          <w:lang w:eastAsia="en-US"/>
        </w:rPr>
      </w:pPr>
      <w:r>
        <w:rPr>
          <w:noProof/>
        </w:rPr>
        <w:t>B.</w:t>
      </w:r>
      <w:r>
        <w:rPr>
          <w:rFonts w:asciiTheme="minorHAnsi" w:hAnsiTheme="minorHAnsi" w:cstheme="minorBidi"/>
          <w:noProof/>
          <w:sz w:val="22"/>
          <w:szCs w:val="22"/>
          <w:lang w:eastAsia="en-US"/>
        </w:rPr>
        <w:tab/>
      </w:r>
      <w:r>
        <w:rPr>
          <w:noProof/>
        </w:rPr>
        <w:t>Overview of the Results of Staff’s Attrition Study</w:t>
      </w:r>
      <w:r>
        <w:rPr>
          <w:noProof/>
        </w:rPr>
        <w:tab/>
      </w:r>
      <w:r>
        <w:rPr>
          <w:noProof/>
        </w:rPr>
        <w:fldChar w:fldCharType="begin"/>
      </w:r>
      <w:r>
        <w:rPr>
          <w:noProof/>
        </w:rPr>
        <w:instrText xml:space="preserve"> PAGEREF _Toc459042401 \h </w:instrText>
      </w:r>
      <w:r>
        <w:rPr>
          <w:noProof/>
        </w:rPr>
      </w:r>
      <w:r>
        <w:rPr>
          <w:noProof/>
        </w:rPr>
        <w:fldChar w:fldCharType="separate"/>
      </w:r>
      <w:r>
        <w:rPr>
          <w:noProof/>
        </w:rPr>
        <w:t>35</w:t>
      </w:r>
      <w:r>
        <w:rPr>
          <w:noProof/>
        </w:rPr>
        <w:fldChar w:fldCharType="end"/>
      </w:r>
    </w:p>
    <w:p w14:paraId="037AE30C" w14:textId="77777777" w:rsidR="004D3EC3" w:rsidRDefault="004D3EC3">
      <w:pPr>
        <w:pStyle w:val="TOC2"/>
        <w:rPr>
          <w:rFonts w:asciiTheme="minorHAnsi" w:hAnsiTheme="minorHAnsi" w:cstheme="minorBidi"/>
          <w:noProof/>
          <w:sz w:val="22"/>
          <w:szCs w:val="22"/>
          <w:lang w:eastAsia="en-US"/>
        </w:rPr>
      </w:pPr>
      <w:r>
        <w:rPr>
          <w:noProof/>
        </w:rPr>
        <w:t>C.</w:t>
      </w:r>
      <w:r>
        <w:rPr>
          <w:rFonts w:asciiTheme="minorHAnsi" w:hAnsiTheme="minorHAnsi" w:cstheme="minorBidi"/>
          <w:noProof/>
          <w:sz w:val="22"/>
          <w:szCs w:val="22"/>
          <w:lang w:eastAsia="en-US"/>
        </w:rPr>
        <w:tab/>
      </w:r>
      <w:r>
        <w:rPr>
          <w:noProof/>
        </w:rPr>
        <w:t>The Threat of Attrition</w:t>
      </w:r>
      <w:r>
        <w:rPr>
          <w:noProof/>
        </w:rPr>
        <w:tab/>
      </w:r>
      <w:r>
        <w:rPr>
          <w:noProof/>
        </w:rPr>
        <w:fldChar w:fldCharType="begin"/>
      </w:r>
      <w:r>
        <w:rPr>
          <w:noProof/>
        </w:rPr>
        <w:instrText xml:space="preserve"> PAGEREF _Toc459042402 \h </w:instrText>
      </w:r>
      <w:r>
        <w:rPr>
          <w:noProof/>
        </w:rPr>
      </w:r>
      <w:r>
        <w:rPr>
          <w:noProof/>
        </w:rPr>
        <w:fldChar w:fldCharType="separate"/>
      </w:r>
      <w:r>
        <w:rPr>
          <w:noProof/>
        </w:rPr>
        <w:t>38</w:t>
      </w:r>
      <w:r>
        <w:rPr>
          <w:noProof/>
        </w:rPr>
        <w:fldChar w:fldCharType="end"/>
      </w:r>
    </w:p>
    <w:p w14:paraId="1C64FD5B" w14:textId="77777777" w:rsidR="004D3EC3" w:rsidRDefault="004D3EC3">
      <w:pPr>
        <w:pStyle w:val="TOC3"/>
        <w:tabs>
          <w:tab w:val="left" w:pos="880"/>
          <w:tab w:val="right" w:leader="dot" w:pos="9350"/>
        </w:tabs>
        <w:rPr>
          <w:rFonts w:asciiTheme="minorHAnsi" w:hAnsiTheme="minorHAnsi" w:cstheme="minorBidi"/>
          <w:noProof/>
          <w:sz w:val="22"/>
          <w:szCs w:val="22"/>
          <w:lang w:eastAsia="en-US"/>
        </w:rPr>
      </w:pPr>
      <w:r>
        <w:rPr>
          <w:noProof/>
        </w:rPr>
        <w:t>1.</w:t>
      </w:r>
      <w:r>
        <w:rPr>
          <w:rFonts w:asciiTheme="minorHAnsi" w:hAnsiTheme="minorHAnsi" w:cstheme="minorBidi"/>
          <w:noProof/>
          <w:sz w:val="22"/>
          <w:szCs w:val="22"/>
          <w:lang w:eastAsia="en-US"/>
        </w:rPr>
        <w:tab/>
      </w:r>
      <w:r>
        <w:rPr>
          <w:noProof/>
        </w:rPr>
        <w:t>Attrition in Avista’s Electric Operations</w:t>
      </w:r>
      <w:r>
        <w:rPr>
          <w:noProof/>
        </w:rPr>
        <w:tab/>
      </w:r>
      <w:r>
        <w:rPr>
          <w:noProof/>
        </w:rPr>
        <w:fldChar w:fldCharType="begin"/>
      </w:r>
      <w:r>
        <w:rPr>
          <w:noProof/>
        </w:rPr>
        <w:instrText xml:space="preserve"> PAGEREF _Toc459042403 \h </w:instrText>
      </w:r>
      <w:r>
        <w:rPr>
          <w:noProof/>
        </w:rPr>
      </w:r>
      <w:r>
        <w:rPr>
          <w:noProof/>
        </w:rPr>
        <w:fldChar w:fldCharType="separate"/>
      </w:r>
      <w:r>
        <w:rPr>
          <w:noProof/>
        </w:rPr>
        <w:t>38</w:t>
      </w:r>
      <w:r>
        <w:rPr>
          <w:noProof/>
        </w:rPr>
        <w:fldChar w:fldCharType="end"/>
      </w:r>
    </w:p>
    <w:p w14:paraId="69585629" w14:textId="77777777" w:rsidR="004D3EC3" w:rsidRDefault="004D3EC3">
      <w:pPr>
        <w:pStyle w:val="TOC3"/>
        <w:tabs>
          <w:tab w:val="left" w:pos="1100"/>
          <w:tab w:val="right" w:leader="dot" w:pos="9350"/>
        </w:tabs>
        <w:rPr>
          <w:rFonts w:asciiTheme="minorHAnsi" w:hAnsiTheme="minorHAnsi" w:cstheme="minorBidi"/>
          <w:noProof/>
          <w:sz w:val="22"/>
          <w:szCs w:val="22"/>
          <w:lang w:eastAsia="en-US"/>
        </w:rPr>
      </w:pPr>
      <w:r>
        <w:rPr>
          <w:noProof/>
        </w:rPr>
        <w:t xml:space="preserve">2. </w:t>
      </w:r>
      <w:r>
        <w:rPr>
          <w:rFonts w:asciiTheme="minorHAnsi" w:hAnsiTheme="minorHAnsi" w:cstheme="minorBidi"/>
          <w:noProof/>
          <w:sz w:val="22"/>
          <w:szCs w:val="22"/>
          <w:lang w:eastAsia="en-US"/>
        </w:rPr>
        <w:tab/>
      </w:r>
      <w:r>
        <w:rPr>
          <w:noProof/>
        </w:rPr>
        <w:t>Attrition in Avista’s Natural Gas Operations</w:t>
      </w:r>
      <w:r>
        <w:rPr>
          <w:noProof/>
        </w:rPr>
        <w:tab/>
      </w:r>
      <w:r>
        <w:rPr>
          <w:noProof/>
        </w:rPr>
        <w:fldChar w:fldCharType="begin"/>
      </w:r>
      <w:r>
        <w:rPr>
          <w:noProof/>
        </w:rPr>
        <w:instrText xml:space="preserve"> PAGEREF _Toc459042404 \h </w:instrText>
      </w:r>
      <w:r>
        <w:rPr>
          <w:noProof/>
        </w:rPr>
      </w:r>
      <w:r>
        <w:rPr>
          <w:noProof/>
        </w:rPr>
        <w:fldChar w:fldCharType="separate"/>
      </w:r>
      <w:r>
        <w:rPr>
          <w:noProof/>
        </w:rPr>
        <w:t>47</w:t>
      </w:r>
      <w:r>
        <w:rPr>
          <w:noProof/>
        </w:rPr>
        <w:fldChar w:fldCharType="end"/>
      </w:r>
    </w:p>
    <w:p w14:paraId="7CEE5562" w14:textId="77777777" w:rsidR="004D3EC3" w:rsidRDefault="004D3EC3">
      <w:pPr>
        <w:pStyle w:val="TOC2"/>
        <w:rPr>
          <w:rFonts w:asciiTheme="minorHAnsi" w:hAnsiTheme="minorHAnsi" w:cstheme="minorBidi"/>
          <w:noProof/>
          <w:sz w:val="22"/>
          <w:szCs w:val="22"/>
          <w:lang w:eastAsia="en-US"/>
        </w:rPr>
      </w:pPr>
      <w:r>
        <w:rPr>
          <w:noProof/>
        </w:rPr>
        <w:t>D.</w:t>
      </w:r>
      <w:r>
        <w:rPr>
          <w:rFonts w:asciiTheme="minorHAnsi" w:hAnsiTheme="minorHAnsi" w:cstheme="minorBidi"/>
          <w:noProof/>
          <w:sz w:val="22"/>
          <w:szCs w:val="22"/>
          <w:lang w:eastAsia="en-US"/>
        </w:rPr>
        <w:tab/>
      </w:r>
      <w:r w:rsidRPr="00BC7A73">
        <w:rPr>
          <w:i/>
          <w:noProof/>
        </w:rPr>
        <w:t>Pro Forma</w:t>
      </w:r>
      <w:r>
        <w:rPr>
          <w:noProof/>
        </w:rPr>
        <w:t xml:space="preserve"> Adjustments to Attrition Models</w:t>
      </w:r>
      <w:r>
        <w:rPr>
          <w:noProof/>
        </w:rPr>
        <w:tab/>
      </w:r>
      <w:r>
        <w:rPr>
          <w:noProof/>
        </w:rPr>
        <w:fldChar w:fldCharType="begin"/>
      </w:r>
      <w:r>
        <w:rPr>
          <w:noProof/>
        </w:rPr>
        <w:instrText xml:space="preserve"> PAGEREF _Toc459042405 \h </w:instrText>
      </w:r>
      <w:r>
        <w:rPr>
          <w:noProof/>
        </w:rPr>
      </w:r>
      <w:r>
        <w:rPr>
          <w:noProof/>
        </w:rPr>
        <w:fldChar w:fldCharType="separate"/>
      </w:r>
      <w:r>
        <w:rPr>
          <w:noProof/>
        </w:rPr>
        <w:t>52</w:t>
      </w:r>
      <w:r>
        <w:rPr>
          <w:noProof/>
        </w:rPr>
        <w:fldChar w:fldCharType="end"/>
      </w:r>
    </w:p>
    <w:p w14:paraId="5E4E7F6B" w14:textId="77777777" w:rsidR="004D3EC3" w:rsidRDefault="004D3EC3">
      <w:pPr>
        <w:pStyle w:val="TOC2"/>
        <w:rPr>
          <w:rFonts w:asciiTheme="minorHAnsi" w:hAnsiTheme="minorHAnsi" w:cstheme="minorBidi"/>
          <w:noProof/>
          <w:sz w:val="22"/>
          <w:szCs w:val="22"/>
          <w:lang w:eastAsia="en-US"/>
        </w:rPr>
      </w:pPr>
      <w:r>
        <w:rPr>
          <w:noProof/>
        </w:rPr>
        <w:t>E.</w:t>
      </w:r>
      <w:r>
        <w:rPr>
          <w:rFonts w:asciiTheme="minorHAnsi" w:hAnsiTheme="minorHAnsi" w:cstheme="minorBidi"/>
          <w:noProof/>
          <w:sz w:val="22"/>
          <w:szCs w:val="22"/>
          <w:lang w:eastAsia="en-US"/>
        </w:rPr>
        <w:tab/>
      </w:r>
      <w:r>
        <w:rPr>
          <w:noProof/>
        </w:rPr>
        <w:t>Reasonableness of Results</w:t>
      </w:r>
      <w:r>
        <w:rPr>
          <w:noProof/>
        </w:rPr>
        <w:tab/>
      </w:r>
      <w:r>
        <w:rPr>
          <w:noProof/>
        </w:rPr>
        <w:fldChar w:fldCharType="begin"/>
      </w:r>
      <w:r>
        <w:rPr>
          <w:noProof/>
        </w:rPr>
        <w:instrText xml:space="preserve"> PAGEREF _Toc459042406 \h </w:instrText>
      </w:r>
      <w:r>
        <w:rPr>
          <w:noProof/>
        </w:rPr>
      </w:r>
      <w:r>
        <w:rPr>
          <w:noProof/>
        </w:rPr>
        <w:fldChar w:fldCharType="separate"/>
      </w:r>
      <w:r>
        <w:rPr>
          <w:noProof/>
        </w:rPr>
        <w:t>60</w:t>
      </w:r>
      <w:r>
        <w:rPr>
          <w:noProof/>
        </w:rPr>
        <w:fldChar w:fldCharType="end"/>
      </w:r>
    </w:p>
    <w:p w14:paraId="54874C1A" w14:textId="73208C5E" w:rsidR="00BD533D" w:rsidRPr="00F720F8" w:rsidRDefault="00BA2B83" w:rsidP="004011D5">
      <w:pPr>
        <w:pStyle w:val="TOC1"/>
      </w:pPr>
      <w:r w:rsidRPr="00BD70B5">
        <w:rPr>
          <w:rFonts w:ascii="Times New Roman" w:hAnsi="Times New Roman"/>
          <w:b w:val="0"/>
        </w:rPr>
        <w:fldChar w:fldCharType="end"/>
      </w:r>
    </w:p>
    <w:p w14:paraId="4AD4EE4C" w14:textId="5079C0F4" w:rsidR="003B1A28" w:rsidRPr="00F720F8" w:rsidRDefault="003B1A28" w:rsidP="003B1A28">
      <w:pPr>
        <w:spacing w:line="480" w:lineRule="auto"/>
        <w:jc w:val="center"/>
        <w:rPr>
          <w:b/>
          <w:bCs/>
          <w:noProof/>
        </w:rPr>
      </w:pPr>
      <w:r w:rsidRPr="00F720F8">
        <w:rPr>
          <w:b/>
          <w:bCs/>
          <w:noProof/>
        </w:rPr>
        <w:t>LIST OF EXHIBITS</w:t>
      </w:r>
    </w:p>
    <w:p w14:paraId="38C3BAD0" w14:textId="081D7D12" w:rsidR="003C502C" w:rsidRPr="00846996" w:rsidRDefault="003C502C" w:rsidP="00C1573E">
      <w:pPr>
        <w:ind w:left="720"/>
        <w:rPr>
          <w:bCs/>
          <w:noProof/>
        </w:rPr>
      </w:pPr>
      <w:r w:rsidRPr="00846996">
        <w:rPr>
          <w:bCs/>
          <w:noProof/>
        </w:rPr>
        <w:t xml:space="preserve">Exhibit No. </w:t>
      </w:r>
      <w:r w:rsidR="00B13EB9" w:rsidRPr="00846996">
        <w:rPr>
          <w:bCs/>
          <w:noProof/>
        </w:rPr>
        <w:t>CSH</w:t>
      </w:r>
      <w:r w:rsidRPr="00846996">
        <w:rPr>
          <w:bCs/>
          <w:noProof/>
        </w:rPr>
        <w:t>-</w:t>
      </w:r>
      <w:r w:rsidR="003F788B" w:rsidRPr="00846996">
        <w:rPr>
          <w:bCs/>
          <w:noProof/>
        </w:rPr>
        <w:t>2</w:t>
      </w:r>
      <w:r w:rsidR="00B13EB9" w:rsidRPr="00846996">
        <w:rPr>
          <w:bCs/>
          <w:noProof/>
        </w:rPr>
        <w:t>,</w:t>
      </w:r>
      <w:r w:rsidR="003F788B" w:rsidRPr="00846996">
        <w:rPr>
          <w:bCs/>
          <w:noProof/>
        </w:rPr>
        <w:t xml:space="preserve"> </w:t>
      </w:r>
      <w:r w:rsidR="00846996" w:rsidRPr="00846996">
        <w:rPr>
          <w:bCs/>
          <w:noProof/>
        </w:rPr>
        <w:t>Derivation of Electric Attrition Adjustment</w:t>
      </w:r>
    </w:p>
    <w:p w14:paraId="6E53BD67" w14:textId="1D961C85" w:rsidR="00846996" w:rsidRPr="00846996" w:rsidRDefault="00846996" w:rsidP="00C1573E">
      <w:pPr>
        <w:ind w:left="720"/>
        <w:rPr>
          <w:bCs/>
          <w:noProof/>
        </w:rPr>
      </w:pPr>
      <w:r w:rsidRPr="00846996">
        <w:rPr>
          <w:bCs/>
          <w:noProof/>
        </w:rPr>
        <w:t>Exhibit No. CSH-3, Derivation of Natural Gas Attrition Adjustment</w:t>
      </w:r>
    </w:p>
    <w:p w14:paraId="42692C25" w14:textId="469BEF1C" w:rsidR="000A2B6E" w:rsidRPr="00846996" w:rsidRDefault="003F788B" w:rsidP="00FA0296">
      <w:pPr>
        <w:ind w:left="720"/>
        <w:rPr>
          <w:bCs/>
          <w:noProof/>
        </w:rPr>
      </w:pPr>
      <w:r w:rsidRPr="00846996">
        <w:rPr>
          <w:bCs/>
          <w:noProof/>
        </w:rPr>
        <w:t xml:space="preserve">Exhibit No. </w:t>
      </w:r>
      <w:r w:rsidR="00B13EB9" w:rsidRPr="00846996">
        <w:rPr>
          <w:bCs/>
          <w:noProof/>
        </w:rPr>
        <w:t>CSH</w:t>
      </w:r>
      <w:r w:rsidRPr="00846996">
        <w:rPr>
          <w:bCs/>
          <w:noProof/>
        </w:rPr>
        <w:t>-</w:t>
      </w:r>
      <w:r w:rsidR="00846996" w:rsidRPr="00846996">
        <w:rPr>
          <w:bCs/>
          <w:noProof/>
        </w:rPr>
        <w:t>4</w:t>
      </w:r>
      <w:r w:rsidR="00B13EB9" w:rsidRPr="00846996">
        <w:rPr>
          <w:bCs/>
          <w:noProof/>
        </w:rPr>
        <w:t>,</w:t>
      </w:r>
      <w:r w:rsidRPr="00846996">
        <w:rPr>
          <w:bCs/>
          <w:noProof/>
        </w:rPr>
        <w:t xml:space="preserve"> </w:t>
      </w:r>
      <w:r w:rsidR="00846996" w:rsidRPr="00846996">
        <w:rPr>
          <w:bCs/>
          <w:noProof/>
        </w:rPr>
        <w:t>Electric Attrition Study, 12 Months Ending December 2017</w:t>
      </w:r>
    </w:p>
    <w:p w14:paraId="4CAC658B" w14:textId="6730E288" w:rsidR="0011555D" w:rsidRPr="00846996" w:rsidRDefault="00D03D35" w:rsidP="00FA0296">
      <w:pPr>
        <w:ind w:left="720"/>
        <w:rPr>
          <w:bCs/>
          <w:noProof/>
        </w:rPr>
      </w:pPr>
      <w:r w:rsidRPr="00846996">
        <w:rPr>
          <w:bCs/>
          <w:noProof/>
        </w:rPr>
        <w:t xml:space="preserve">Exhibit No. </w:t>
      </w:r>
      <w:r w:rsidR="00C4080F" w:rsidRPr="00846996">
        <w:rPr>
          <w:bCs/>
          <w:noProof/>
        </w:rPr>
        <w:t>CSH</w:t>
      </w:r>
      <w:r w:rsidRPr="00846996">
        <w:rPr>
          <w:bCs/>
          <w:noProof/>
        </w:rPr>
        <w:t>-</w:t>
      </w:r>
      <w:r w:rsidR="00846996" w:rsidRPr="00846996">
        <w:rPr>
          <w:bCs/>
          <w:noProof/>
        </w:rPr>
        <w:t>5</w:t>
      </w:r>
      <w:r w:rsidR="00C4080F" w:rsidRPr="00846996">
        <w:rPr>
          <w:bCs/>
          <w:noProof/>
        </w:rPr>
        <w:t>,</w:t>
      </w:r>
      <w:r w:rsidR="00645E15" w:rsidRPr="00846996">
        <w:rPr>
          <w:bCs/>
          <w:noProof/>
        </w:rPr>
        <w:t xml:space="preserve"> </w:t>
      </w:r>
      <w:r w:rsidR="00846996" w:rsidRPr="00846996">
        <w:rPr>
          <w:bCs/>
          <w:noProof/>
        </w:rPr>
        <w:t>Natural Gas Attrition Study, 12 Months Ending December 2017</w:t>
      </w:r>
    </w:p>
    <w:p w14:paraId="495E50BC" w14:textId="51DDF2B5" w:rsidR="00846996" w:rsidRPr="00846996" w:rsidRDefault="00846996" w:rsidP="00846996">
      <w:pPr>
        <w:ind w:left="720"/>
        <w:rPr>
          <w:bCs/>
          <w:noProof/>
        </w:rPr>
      </w:pPr>
      <w:r w:rsidRPr="00846996">
        <w:rPr>
          <w:bCs/>
          <w:noProof/>
        </w:rPr>
        <w:t>Exhibit No. CSH-6, Electric Attrition Study, 12 Months Ending June 2018</w:t>
      </w:r>
    </w:p>
    <w:p w14:paraId="424C1BFB" w14:textId="199D239B" w:rsidR="00846996" w:rsidRPr="00846996" w:rsidRDefault="00846996" w:rsidP="00846996">
      <w:pPr>
        <w:ind w:left="720"/>
        <w:rPr>
          <w:bCs/>
          <w:noProof/>
        </w:rPr>
      </w:pPr>
      <w:r w:rsidRPr="00846996">
        <w:rPr>
          <w:bCs/>
          <w:noProof/>
        </w:rPr>
        <w:t>Exhibit No. CSH-7, Natural Gas Attrition Study, 12 Months Ending June 2018</w:t>
      </w:r>
    </w:p>
    <w:p w14:paraId="1E433EBC" w14:textId="56760DCE" w:rsidR="00522602" w:rsidRDefault="00522602" w:rsidP="00522602">
      <w:pPr>
        <w:ind w:left="720"/>
        <w:rPr>
          <w:bCs/>
          <w:noProof/>
        </w:rPr>
      </w:pPr>
      <w:r w:rsidRPr="00846996">
        <w:rPr>
          <w:bCs/>
          <w:noProof/>
        </w:rPr>
        <w:t>Exhibit No. CSH-</w:t>
      </w:r>
      <w:r w:rsidR="00846996" w:rsidRPr="00846996">
        <w:rPr>
          <w:bCs/>
          <w:noProof/>
        </w:rPr>
        <w:t>8</w:t>
      </w:r>
      <w:r w:rsidRPr="00846996">
        <w:rPr>
          <w:bCs/>
          <w:noProof/>
        </w:rPr>
        <w:t xml:space="preserve">, </w:t>
      </w:r>
      <w:r w:rsidR="00846996" w:rsidRPr="00846996">
        <w:rPr>
          <w:bCs/>
          <w:noProof/>
        </w:rPr>
        <w:t>Growth in Plant, by FERC Account</w:t>
      </w:r>
      <w:r w:rsidR="00201B1A">
        <w:rPr>
          <w:bCs/>
          <w:noProof/>
        </w:rPr>
        <w:t>, for Electric Service</w:t>
      </w:r>
    </w:p>
    <w:p w14:paraId="67201FEF" w14:textId="4B240218" w:rsidR="00201B1A" w:rsidRPr="00846996" w:rsidRDefault="00201B1A" w:rsidP="00201B1A">
      <w:pPr>
        <w:ind w:left="720"/>
        <w:rPr>
          <w:bCs/>
          <w:noProof/>
        </w:rPr>
      </w:pPr>
      <w:r w:rsidRPr="00846996">
        <w:rPr>
          <w:bCs/>
          <w:noProof/>
        </w:rPr>
        <w:t>Exhibit No. CSH-</w:t>
      </w:r>
      <w:r>
        <w:rPr>
          <w:bCs/>
          <w:noProof/>
        </w:rPr>
        <w:t>9</w:t>
      </w:r>
      <w:r w:rsidRPr="00846996">
        <w:rPr>
          <w:bCs/>
          <w:noProof/>
        </w:rPr>
        <w:t>, Growth in Plant, by FERC Account</w:t>
      </w:r>
      <w:r>
        <w:rPr>
          <w:bCs/>
          <w:noProof/>
        </w:rPr>
        <w:t>, for Natural Gas Service</w:t>
      </w:r>
    </w:p>
    <w:p w14:paraId="35C933CA" w14:textId="3CEFDD3A" w:rsidR="003B1A28" w:rsidRPr="006355F2" w:rsidRDefault="006355F2" w:rsidP="006355F2">
      <w:pPr>
        <w:tabs>
          <w:tab w:val="left" w:pos="2174"/>
        </w:tabs>
        <w:sectPr w:rsidR="003B1A28" w:rsidRPr="006355F2" w:rsidSect="00BD533D">
          <w:pgSz w:w="12240" w:h="15840" w:code="1"/>
          <w:pgMar w:top="1440" w:right="1440" w:bottom="1440" w:left="1440" w:header="720" w:footer="720" w:gutter="0"/>
          <w:pgNumType w:fmt="lowerRoman" w:start="1"/>
          <w:cols w:space="720"/>
          <w:docGrid w:linePitch="360"/>
        </w:sectPr>
      </w:pPr>
      <w:r>
        <w:tab/>
      </w:r>
    </w:p>
    <w:p w14:paraId="0B0AA73E" w14:textId="2957B29B" w:rsidR="004026AD" w:rsidRPr="002752E0" w:rsidRDefault="00455AAB" w:rsidP="00D4648C">
      <w:pPr>
        <w:pStyle w:val="Heading1"/>
        <w:ind w:left="720" w:hanging="720"/>
        <w:rPr>
          <w:caps/>
        </w:rPr>
      </w:pPr>
      <w:bookmarkStart w:id="0" w:name="_Toc424808464"/>
      <w:bookmarkStart w:id="1" w:name="_Toc424808485"/>
      <w:bookmarkStart w:id="2" w:name="_Toc459042390"/>
      <w:r w:rsidRPr="002752E0">
        <w:rPr>
          <w:caps/>
        </w:rPr>
        <w:lastRenderedPageBreak/>
        <w:t>Introduction</w:t>
      </w:r>
      <w:bookmarkEnd w:id="0"/>
      <w:bookmarkEnd w:id="1"/>
      <w:bookmarkEnd w:id="2"/>
    </w:p>
    <w:p w14:paraId="0B79B8CF" w14:textId="77777777" w:rsidR="003E7CD6" w:rsidRDefault="003E7CD6" w:rsidP="003E7CD6">
      <w:pPr>
        <w:pStyle w:val="NoSpacing"/>
      </w:pPr>
      <w:bookmarkStart w:id="3" w:name="_Toc391989915"/>
      <w:bookmarkStart w:id="4" w:name="_Toc391990017"/>
      <w:bookmarkStart w:id="5" w:name="_Toc393023104"/>
      <w:bookmarkStart w:id="6" w:name="_Toc393023310"/>
    </w:p>
    <w:p w14:paraId="0B0AA73F" w14:textId="77777777" w:rsidR="004026AD" w:rsidRPr="00F720F8" w:rsidRDefault="004026AD" w:rsidP="008F38DE">
      <w:pPr>
        <w:pStyle w:val="Heading8"/>
      </w:pPr>
      <w:r w:rsidRPr="00F720F8">
        <w:t>Q.</w:t>
      </w:r>
      <w:r w:rsidRPr="00F720F8">
        <w:tab/>
        <w:t>Please state your name and business address.</w:t>
      </w:r>
      <w:bookmarkEnd w:id="3"/>
      <w:bookmarkEnd w:id="4"/>
      <w:bookmarkEnd w:id="5"/>
      <w:bookmarkEnd w:id="6"/>
      <w:r w:rsidRPr="00F720F8">
        <w:t xml:space="preserve">  </w:t>
      </w:r>
    </w:p>
    <w:p w14:paraId="0B0AA740" w14:textId="317D416D" w:rsidR="004026AD" w:rsidRPr="00F720F8" w:rsidRDefault="004026AD" w:rsidP="00713027">
      <w:pPr>
        <w:pStyle w:val="NoSpacing"/>
      </w:pPr>
      <w:r w:rsidRPr="00F720F8">
        <w:t>A.</w:t>
      </w:r>
      <w:r w:rsidRPr="00F720F8">
        <w:tab/>
      </w:r>
      <w:r w:rsidR="00AC132D" w:rsidRPr="00AC132D">
        <w:t xml:space="preserve">My name is Christopher Scott Hancock.  My business address is </w:t>
      </w:r>
      <w:r w:rsidR="000F6F0E">
        <w:t>the</w:t>
      </w:r>
      <w:r w:rsidR="00AC132D" w:rsidRPr="00AC132D">
        <w:t xml:space="preserve"> Richard Hemstad Building, 1300 </w:t>
      </w:r>
      <w:r w:rsidR="000F6F0E">
        <w:t>South</w:t>
      </w:r>
      <w:r w:rsidR="00AC132D" w:rsidRPr="00AC132D">
        <w:t xml:space="preserve"> Evergreen Park Drive </w:t>
      </w:r>
      <w:r w:rsidR="000F6F0E">
        <w:t>Southwest, P.O. Box 47250,</w:t>
      </w:r>
      <w:r w:rsidR="00AC132D" w:rsidRPr="00AC132D">
        <w:t xml:space="preserve"> Olympia, </w:t>
      </w:r>
      <w:r w:rsidR="000F6F0E">
        <w:t xml:space="preserve">Washington </w:t>
      </w:r>
      <w:r w:rsidR="00AC132D" w:rsidRPr="00AC132D">
        <w:t xml:space="preserve"> 98504</w:t>
      </w:r>
      <w:r w:rsidR="00AC132D">
        <w:t>.</w:t>
      </w:r>
      <w:r w:rsidRPr="00F720F8">
        <w:t xml:space="preserve"> </w:t>
      </w:r>
    </w:p>
    <w:p w14:paraId="791F60E7" w14:textId="77777777" w:rsidR="00CD0188" w:rsidRPr="00F720F8" w:rsidRDefault="00CD0188" w:rsidP="00713027">
      <w:pPr>
        <w:pStyle w:val="NoSpacing"/>
      </w:pPr>
    </w:p>
    <w:p w14:paraId="0B0AA741" w14:textId="77777777" w:rsidR="004026AD" w:rsidRPr="00F720F8" w:rsidRDefault="004026AD" w:rsidP="008F38DE">
      <w:pPr>
        <w:pStyle w:val="Heading8"/>
      </w:pPr>
      <w:bookmarkStart w:id="7" w:name="_Toc391989916"/>
      <w:bookmarkStart w:id="8" w:name="_Toc391990018"/>
      <w:bookmarkStart w:id="9" w:name="_Toc393023105"/>
      <w:bookmarkStart w:id="10" w:name="_Toc393023311"/>
      <w:r w:rsidRPr="00F720F8">
        <w:t>Q.</w:t>
      </w:r>
      <w:r w:rsidRPr="00F720F8">
        <w:tab/>
        <w:t>By whom are you employed and in what capacity?</w:t>
      </w:r>
      <w:bookmarkEnd w:id="7"/>
      <w:bookmarkEnd w:id="8"/>
      <w:bookmarkEnd w:id="9"/>
      <w:bookmarkEnd w:id="10"/>
      <w:r w:rsidRPr="00F720F8">
        <w:t xml:space="preserve">  </w:t>
      </w:r>
    </w:p>
    <w:p w14:paraId="0B0AA742" w14:textId="6BE291BE" w:rsidR="004026AD" w:rsidRPr="00F720F8" w:rsidRDefault="004026AD" w:rsidP="00713027">
      <w:pPr>
        <w:pStyle w:val="NoSpacing"/>
      </w:pPr>
      <w:r w:rsidRPr="00F720F8">
        <w:t>A.</w:t>
      </w:r>
      <w:r w:rsidRPr="00F720F8">
        <w:tab/>
      </w:r>
      <w:r w:rsidR="00AC132D" w:rsidRPr="00AC132D">
        <w:t xml:space="preserve">I am employed by the Washington Utilities and Transportation Commission (Commission) as a Regulatory Analyst in the Energy Regulation Section of the Regulatory Services Division.  </w:t>
      </w:r>
    </w:p>
    <w:p w14:paraId="52540BB8" w14:textId="77777777" w:rsidR="00CD0188" w:rsidRPr="00F720F8" w:rsidRDefault="00CD0188" w:rsidP="00713027">
      <w:pPr>
        <w:pStyle w:val="NoSpacing"/>
      </w:pPr>
    </w:p>
    <w:p w14:paraId="0B0AA743" w14:textId="77777777" w:rsidR="004026AD" w:rsidRPr="00F720F8" w:rsidRDefault="004026AD" w:rsidP="008F38DE">
      <w:pPr>
        <w:pStyle w:val="Heading8"/>
      </w:pPr>
      <w:r w:rsidRPr="00F720F8">
        <w:t>Q.</w:t>
      </w:r>
      <w:r w:rsidRPr="00F720F8">
        <w:tab/>
        <w:t>How long have you been employed by the Commission?</w:t>
      </w:r>
    </w:p>
    <w:p w14:paraId="0B0AA744" w14:textId="4AD478B9" w:rsidR="004026AD" w:rsidRPr="00F720F8" w:rsidRDefault="004026AD" w:rsidP="00713027">
      <w:pPr>
        <w:pStyle w:val="NoSpacing"/>
      </w:pPr>
      <w:r w:rsidRPr="00F720F8">
        <w:t>A.</w:t>
      </w:r>
      <w:r w:rsidRPr="00F720F8">
        <w:tab/>
      </w:r>
      <w:r w:rsidR="00AC132D" w:rsidRPr="00AC132D">
        <w:t>I have been employed by the Commission since January 2015.</w:t>
      </w:r>
    </w:p>
    <w:p w14:paraId="462CE0CF" w14:textId="77777777" w:rsidR="00CD0188" w:rsidRPr="00F720F8" w:rsidRDefault="00CD0188" w:rsidP="00713027">
      <w:pPr>
        <w:pStyle w:val="NoSpacing"/>
      </w:pPr>
    </w:p>
    <w:p w14:paraId="0B0AA745" w14:textId="77777777" w:rsidR="004026AD" w:rsidRPr="00F720F8" w:rsidRDefault="004026AD" w:rsidP="008F38DE">
      <w:pPr>
        <w:pStyle w:val="Heading8"/>
      </w:pPr>
      <w:bookmarkStart w:id="11" w:name="_Toc391989917"/>
      <w:bookmarkStart w:id="12" w:name="_Toc391990019"/>
      <w:bookmarkStart w:id="13" w:name="_Toc393023106"/>
      <w:bookmarkStart w:id="14" w:name="_Toc393023312"/>
      <w:r w:rsidRPr="00F720F8">
        <w:t>Q.</w:t>
      </w:r>
      <w:r w:rsidRPr="00F720F8">
        <w:tab/>
        <w:t>Would you please state your educational and professional background?</w:t>
      </w:r>
      <w:bookmarkEnd w:id="11"/>
      <w:bookmarkEnd w:id="12"/>
      <w:bookmarkEnd w:id="13"/>
      <w:bookmarkEnd w:id="14"/>
    </w:p>
    <w:p w14:paraId="0B0AA746" w14:textId="407EB066" w:rsidR="00E91591" w:rsidRDefault="004026AD" w:rsidP="00AC132D">
      <w:pPr>
        <w:pStyle w:val="NoSpacing"/>
      </w:pPr>
      <w:r w:rsidRPr="00F720F8">
        <w:t>A.</w:t>
      </w:r>
      <w:r w:rsidRPr="00F720F8">
        <w:tab/>
      </w:r>
      <w:r w:rsidR="00AC132D" w:rsidRPr="00AC132D">
        <w:t xml:space="preserve">I graduated from New Mexico State University in 2013 with a Bachelor of Business Administration </w:t>
      </w:r>
      <w:r w:rsidR="00594E2F">
        <w:t xml:space="preserve">degree </w:t>
      </w:r>
      <w:r w:rsidR="00AC132D" w:rsidRPr="00AC132D">
        <w:t>in Economics.  In 2014, I graduated from New Mexico State University with a Master of Arts degree in Economics, specializing in Public Utility Policy &amp; Regulation.  Prior to my employment with the Commission, I interned at Southern California Edison’s regulatory affairs department, and served six years in the United States Air Force before being honorably discharged.</w:t>
      </w:r>
    </w:p>
    <w:p w14:paraId="7903146D" w14:textId="77777777" w:rsidR="00C31468" w:rsidRDefault="00C31468" w:rsidP="00AC132D">
      <w:pPr>
        <w:pStyle w:val="NoSpacing"/>
      </w:pPr>
    </w:p>
    <w:p w14:paraId="1164267C" w14:textId="56E485C8" w:rsidR="00C31468" w:rsidRDefault="00C31468" w:rsidP="00163F79">
      <w:pPr>
        <w:pStyle w:val="Heading8"/>
        <w:keepNext/>
      </w:pPr>
      <w:r>
        <w:lastRenderedPageBreak/>
        <w:t>Q.</w:t>
      </w:r>
      <w:r>
        <w:tab/>
        <w:t>Have you previously testified before the Commission?</w:t>
      </w:r>
    </w:p>
    <w:p w14:paraId="0C9F509E" w14:textId="72EF859D" w:rsidR="00C31468" w:rsidRPr="00C31468" w:rsidRDefault="00C31468" w:rsidP="00C31468">
      <w:pPr>
        <w:pStyle w:val="NoSpacing"/>
      </w:pPr>
      <w:r w:rsidRPr="00C31468">
        <w:t>A.</w:t>
      </w:r>
      <w:r w:rsidRPr="00C31468">
        <w:tab/>
      </w:r>
      <w:r w:rsidR="004F4D1E">
        <w:t>Yes</w:t>
      </w:r>
      <w:r w:rsidRPr="00C31468">
        <w:t>.</w:t>
      </w:r>
      <w:r w:rsidR="004F4D1E">
        <w:t xml:space="preserve"> I testified on traditional modified historical test</w:t>
      </w:r>
      <w:r w:rsidR="00F1483F">
        <w:t xml:space="preserve"> </w:t>
      </w:r>
      <w:r w:rsidR="004F4D1E">
        <w:t xml:space="preserve">years and </w:t>
      </w:r>
      <w:r w:rsidR="004F4D1E" w:rsidRPr="006F5015">
        <w:rPr>
          <w:i/>
        </w:rPr>
        <w:t>pro forma</w:t>
      </w:r>
      <w:r w:rsidR="004F4D1E">
        <w:t xml:space="preserve"> capital addit</w:t>
      </w:r>
      <w:r w:rsidR="002434C4">
        <w:t>ions in Dockets UE-150204 and UG</w:t>
      </w:r>
      <w:r w:rsidR="004F4D1E">
        <w:t>-150205</w:t>
      </w:r>
      <w:r w:rsidR="00DF3006">
        <w:t>, Avista’s previous general rate case</w:t>
      </w:r>
      <w:r w:rsidR="004F4D1E">
        <w:t>.</w:t>
      </w:r>
      <w:r w:rsidR="002434C4">
        <w:t xml:space="preserve">  I also served as Staff’s witness on cost of service, rate spread, rate design, and decoupling in Docket UG-152286</w:t>
      </w:r>
      <w:r w:rsidR="005F4213">
        <w:t xml:space="preserve">, a recently </w:t>
      </w:r>
      <w:r w:rsidR="00DF3006">
        <w:t>settled general rate case for Cascade Natural Gas</w:t>
      </w:r>
      <w:r w:rsidR="002434C4">
        <w:t>.</w:t>
      </w:r>
    </w:p>
    <w:p w14:paraId="18131F65" w14:textId="77777777" w:rsidR="00434D77" w:rsidRPr="00F720F8" w:rsidRDefault="00434D77" w:rsidP="00713027">
      <w:pPr>
        <w:pStyle w:val="NoSpacing"/>
      </w:pPr>
    </w:p>
    <w:p w14:paraId="4A97001D" w14:textId="77777777" w:rsidR="00287889" w:rsidRPr="00F720F8" w:rsidRDefault="00287889" w:rsidP="00713027">
      <w:pPr>
        <w:pStyle w:val="NoSpacing"/>
      </w:pPr>
      <w:bookmarkStart w:id="15" w:name="_Toc424808465"/>
      <w:bookmarkStart w:id="16" w:name="_Toc424808486"/>
    </w:p>
    <w:p w14:paraId="05887D49" w14:textId="1CE06E24" w:rsidR="00A31693" w:rsidRPr="002752E0" w:rsidRDefault="008F0DD9" w:rsidP="007211BD">
      <w:pPr>
        <w:pStyle w:val="Heading1"/>
        <w:ind w:left="720" w:hanging="720"/>
        <w:rPr>
          <w:caps/>
        </w:rPr>
      </w:pPr>
      <w:r>
        <w:rPr>
          <w:caps/>
        </w:rPr>
        <w:t xml:space="preserve"> </w:t>
      </w:r>
      <w:bookmarkStart w:id="17" w:name="_Toc459042391"/>
      <w:r w:rsidR="00A31693" w:rsidRPr="002752E0">
        <w:rPr>
          <w:caps/>
        </w:rPr>
        <w:t>Scope of Testimony</w:t>
      </w:r>
      <w:bookmarkEnd w:id="15"/>
      <w:bookmarkEnd w:id="16"/>
      <w:bookmarkEnd w:id="17"/>
    </w:p>
    <w:p w14:paraId="5D9DC695" w14:textId="77777777" w:rsidR="003D686A" w:rsidRPr="00F720F8" w:rsidRDefault="003D686A" w:rsidP="00713027">
      <w:pPr>
        <w:pStyle w:val="NoSpacing"/>
      </w:pPr>
    </w:p>
    <w:p w14:paraId="66EE53B2" w14:textId="77777777" w:rsidR="00287889" w:rsidRPr="00F720F8" w:rsidRDefault="00287889" w:rsidP="00713027">
      <w:pPr>
        <w:pStyle w:val="NoSpacing"/>
      </w:pPr>
    </w:p>
    <w:p w14:paraId="5D88E85B" w14:textId="7528AFD1" w:rsidR="00D227E2" w:rsidRPr="00F720F8" w:rsidRDefault="00D227E2" w:rsidP="008F38DE">
      <w:pPr>
        <w:pStyle w:val="Heading8"/>
      </w:pPr>
      <w:r w:rsidRPr="00F720F8">
        <w:t>Q.</w:t>
      </w:r>
      <w:r w:rsidRPr="00F720F8">
        <w:tab/>
      </w:r>
      <w:r w:rsidR="005B12DA">
        <w:t>What is the purpose of your testimony?</w:t>
      </w:r>
    </w:p>
    <w:p w14:paraId="6FC81213" w14:textId="71FF13D4" w:rsidR="009B6032" w:rsidRPr="00670A21" w:rsidRDefault="00D227E2" w:rsidP="00CF079C">
      <w:pPr>
        <w:pStyle w:val="NoSpacing"/>
      </w:pPr>
      <w:r w:rsidRPr="00F720F8">
        <w:t>A.</w:t>
      </w:r>
      <w:r w:rsidRPr="00F720F8">
        <w:tab/>
      </w:r>
      <w:r w:rsidR="00CF079C">
        <w:t xml:space="preserve">I </w:t>
      </w:r>
      <w:r w:rsidR="00F92BFB">
        <w:t>present</w:t>
      </w:r>
      <w:r w:rsidR="00CF079C">
        <w:t xml:space="preserve"> Staff’s</w:t>
      </w:r>
      <w:r w:rsidR="00143FA1">
        <w:t xml:space="preserve"> policy commentary and Staff’s</w:t>
      </w:r>
      <w:r w:rsidR="00CF079C">
        <w:t xml:space="preserve"> analysis on attrition adjustments to </w:t>
      </w:r>
      <w:r w:rsidR="00CA17FE">
        <w:t>Staff’s modified historical test year revenue requirement models</w:t>
      </w:r>
      <w:r w:rsidR="00CF079C">
        <w:t xml:space="preserve">.  </w:t>
      </w:r>
    </w:p>
    <w:p w14:paraId="706148AA" w14:textId="77777777" w:rsidR="00F05BC6" w:rsidRDefault="00F05BC6" w:rsidP="00CF079C">
      <w:pPr>
        <w:pStyle w:val="NoSpacing"/>
      </w:pPr>
    </w:p>
    <w:p w14:paraId="699BA71D" w14:textId="623841B4" w:rsidR="00F05BC6" w:rsidRPr="00F05BC6" w:rsidRDefault="00F05BC6" w:rsidP="00CF079C">
      <w:pPr>
        <w:pStyle w:val="NoSpacing"/>
        <w:rPr>
          <w:b/>
        </w:rPr>
      </w:pPr>
      <w:r w:rsidRPr="00F05BC6">
        <w:rPr>
          <w:b/>
        </w:rPr>
        <w:t>Q.</w:t>
      </w:r>
      <w:r w:rsidRPr="00F05BC6">
        <w:rPr>
          <w:b/>
        </w:rPr>
        <w:tab/>
        <w:t xml:space="preserve">Please summarize Staff’s policy recommendations. </w:t>
      </w:r>
    </w:p>
    <w:p w14:paraId="7F790EC3" w14:textId="77CBD22B" w:rsidR="00F05BC6" w:rsidRDefault="00F05BC6" w:rsidP="00CF079C">
      <w:pPr>
        <w:pStyle w:val="NoSpacing"/>
      </w:pPr>
      <w:r>
        <w:t>A.</w:t>
      </w:r>
      <w:r>
        <w:tab/>
      </w:r>
      <w:r w:rsidR="00871757">
        <w:t>Staff recommends the Commission:</w:t>
      </w:r>
    </w:p>
    <w:p w14:paraId="319337AE" w14:textId="5E2B4FC6" w:rsidR="00871757" w:rsidRDefault="00EA1112" w:rsidP="00871757">
      <w:pPr>
        <w:pStyle w:val="NoSpacing"/>
        <w:numPr>
          <w:ilvl w:val="0"/>
          <w:numId w:val="15"/>
        </w:numPr>
      </w:pPr>
      <w:r>
        <w:t xml:space="preserve">Reject </w:t>
      </w:r>
      <w:r w:rsidR="00871757">
        <w:t>the u</w:t>
      </w:r>
      <w:r w:rsidR="002F79FC">
        <w:t xml:space="preserve">se of </w:t>
      </w:r>
      <w:r w:rsidR="00846996">
        <w:t xml:space="preserve">the </w:t>
      </w:r>
      <w:r w:rsidR="002F79FC">
        <w:t>Energy Recovery Mechanism</w:t>
      </w:r>
      <w:r w:rsidR="00BB390E">
        <w:t xml:space="preserve"> deferral balance as a tool to offset rate increases</w:t>
      </w:r>
      <w:r w:rsidR="002F79FC">
        <w:t>;</w:t>
      </w:r>
    </w:p>
    <w:p w14:paraId="4C1096CF" w14:textId="021D5C60" w:rsidR="005F649E" w:rsidRDefault="005F649E" w:rsidP="00871757">
      <w:pPr>
        <w:pStyle w:val="NoSpacing"/>
        <w:numPr>
          <w:ilvl w:val="0"/>
          <w:numId w:val="15"/>
        </w:numPr>
      </w:pPr>
      <w:r>
        <w:t>Disapprove of the Company’s request to implement two rate increases as the result of this rate case;</w:t>
      </w:r>
    </w:p>
    <w:p w14:paraId="0BE45F88" w14:textId="2A998F9B" w:rsidR="00871757" w:rsidRDefault="002F79FC" w:rsidP="00871757">
      <w:pPr>
        <w:pStyle w:val="NoSpacing"/>
        <w:numPr>
          <w:ilvl w:val="0"/>
          <w:numId w:val="15"/>
        </w:numPr>
      </w:pPr>
      <w:r>
        <w:lastRenderedPageBreak/>
        <w:t xml:space="preserve">Encourage the Company, in periods of large rate base additions, to adopt a test year in future rate case filings that allows for the </w:t>
      </w:r>
      <w:r w:rsidRPr="002F79FC">
        <w:rPr>
          <w:i/>
        </w:rPr>
        <w:t>pro forma</w:t>
      </w:r>
      <w:r>
        <w:t xml:space="preserve"> period to align with the construction season;</w:t>
      </w:r>
    </w:p>
    <w:p w14:paraId="779D47E6" w14:textId="3E11B73B" w:rsidR="00BB390E" w:rsidRDefault="00BB390E" w:rsidP="00871757">
      <w:pPr>
        <w:pStyle w:val="NoSpacing"/>
        <w:numPr>
          <w:ilvl w:val="0"/>
          <w:numId w:val="15"/>
        </w:numPr>
      </w:pPr>
      <w:r>
        <w:t>Approve the Company’s proposal for rate changes after this rate case to take effect outside of the heating season;</w:t>
      </w:r>
    </w:p>
    <w:p w14:paraId="2254195B" w14:textId="02329E07" w:rsidR="005F649E" w:rsidRDefault="002908BA" w:rsidP="00871757">
      <w:pPr>
        <w:pStyle w:val="NoSpacing"/>
        <w:numPr>
          <w:ilvl w:val="0"/>
          <w:numId w:val="15"/>
        </w:numPr>
      </w:pPr>
      <w:r>
        <w:t xml:space="preserve">Endorse strict standards on the use of </w:t>
      </w:r>
      <w:r>
        <w:rPr>
          <w:i/>
        </w:rPr>
        <w:t>pro forma</w:t>
      </w:r>
      <w:r>
        <w:t xml:space="preserve"> adjustments to attrition studies such as those used by Avista and Staff in this case.</w:t>
      </w:r>
    </w:p>
    <w:p w14:paraId="748C4915" w14:textId="77777777" w:rsidR="00F05BC6" w:rsidRPr="00670A21" w:rsidRDefault="00F05BC6" w:rsidP="00CF079C">
      <w:pPr>
        <w:pStyle w:val="NoSpacing"/>
      </w:pPr>
    </w:p>
    <w:p w14:paraId="3AF60E9B" w14:textId="77777777" w:rsidR="00F05BC6" w:rsidRDefault="00F05BC6" w:rsidP="00F05BC6">
      <w:pPr>
        <w:pStyle w:val="Heading8"/>
      </w:pPr>
      <w:r>
        <w:t xml:space="preserve">Q. </w:t>
      </w:r>
      <w:r>
        <w:tab/>
        <w:t>Please summarize Staff’s recommendations regarding attrition.</w:t>
      </w:r>
    </w:p>
    <w:p w14:paraId="0C9B15B2" w14:textId="23D86C0B" w:rsidR="00F05BC6" w:rsidRDefault="00F05BC6" w:rsidP="00F05BC6">
      <w:pPr>
        <w:pStyle w:val="NoSpacing"/>
      </w:pPr>
      <w:r w:rsidRPr="00535B97">
        <w:t>A.</w:t>
      </w:r>
      <w:r w:rsidRPr="00535B97">
        <w:tab/>
      </w:r>
      <w:r w:rsidR="003110FB" w:rsidRPr="00535B97">
        <w:t xml:space="preserve">Staff recommends the Commission </w:t>
      </w:r>
      <w:r w:rsidR="0086644D" w:rsidRPr="00535B97">
        <w:t xml:space="preserve">include an attrition adjustment </w:t>
      </w:r>
      <w:r w:rsidR="00CD10A7">
        <w:t>to the modified historical test year analysis</w:t>
      </w:r>
      <w:r w:rsidR="0086644D">
        <w:t xml:space="preserve"> based on the attrition studies I present</w:t>
      </w:r>
      <w:r w:rsidR="0086644D" w:rsidRPr="00D87ACA">
        <w:t>.</w:t>
      </w:r>
      <w:r w:rsidR="00F27471">
        <w:t xml:space="preserve">  </w:t>
      </w:r>
      <w:r w:rsidR="0086644D">
        <w:t xml:space="preserve">Staff witness Ms. Joanna Huang presents Staff’s calculation of the revenue requirements for Avista’s electric and natural gas services, which incorporates my attrition adjustment. </w:t>
      </w:r>
      <w:r w:rsidR="00535B97">
        <w:t xml:space="preserve"> </w:t>
      </w:r>
      <w:r w:rsidR="00F27471">
        <w:t xml:space="preserve">Staff’s analysis </w:t>
      </w:r>
      <w:r w:rsidR="0095660D">
        <w:t>indic</w:t>
      </w:r>
      <w:r w:rsidR="00F1483F">
        <w:t>a</w:t>
      </w:r>
      <w:r w:rsidR="0095660D">
        <w:t>t</w:t>
      </w:r>
      <w:r w:rsidR="00F1483F">
        <w:t>es</w:t>
      </w:r>
      <w:r w:rsidR="00F27471">
        <w:t xml:space="preserve"> that</w:t>
      </w:r>
      <w:r w:rsidR="00535B97">
        <w:t>, absent an attrition adjustment,</w:t>
      </w:r>
      <w:r w:rsidR="00F27471">
        <w:t xml:space="preserve"> Avista </w:t>
      </w:r>
      <w:r w:rsidR="00EA18F7">
        <w:t>will likely</w:t>
      </w:r>
      <w:r w:rsidR="00F27471">
        <w:t xml:space="preserve"> experienc</w:t>
      </w:r>
      <w:r w:rsidR="00EA18F7">
        <w:t>e</w:t>
      </w:r>
      <w:r w:rsidR="00F27471">
        <w:t xml:space="preserve"> attrition and that the forces driving attrition are more likely than not outside of the Company’s control.</w:t>
      </w:r>
    </w:p>
    <w:p w14:paraId="2FEA1248" w14:textId="1B017671" w:rsidR="00434D77" w:rsidRPr="00F720F8" w:rsidRDefault="00434D77" w:rsidP="00670A21">
      <w:pPr>
        <w:pStyle w:val="NoSpacing"/>
      </w:pPr>
    </w:p>
    <w:p w14:paraId="6F7D4501" w14:textId="202444F3" w:rsidR="00670A21" w:rsidRPr="00DF2B57" w:rsidRDefault="00EE534F" w:rsidP="00670A21">
      <w:pPr>
        <w:pStyle w:val="Heading8"/>
        <w:ind w:left="0" w:firstLine="0"/>
      </w:pPr>
      <w:r w:rsidRPr="00DF2B57">
        <w:t>Q.</w:t>
      </w:r>
      <w:r w:rsidR="00670A21" w:rsidRPr="00DF2B57">
        <w:tab/>
        <w:t>Have you prepared any exhibits in support of your testimony?</w:t>
      </w:r>
    </w:p>
    <w:p w14:paraId="07C0FA1A" w14:textId="089941A8" w:rsidR="00846996" w:rsidRPr="00DF2B57" w:rsidRDefault="00EE534F" w:rsidP="003102A4">
      <w:pPr>
        <w:pStyle w:val="NoSpacing"/>
      </w:pPr>
      <w:r w:rsidRPr="00DF2B57">
        <w:t>A.</w:t>
      </w:r>
      <w:r w:rsidRPr="00DF2B57">
        <w:tab/>
        <w:t xml:space="preserve"> </w:t>
      </w:r>
      <w:r w:rsidR="00670A21" w:rsidRPr="00DF2B57">
        <w:t>Yes</w:t>
      </w:r>
      <w:r w:rsidR="00846996" w:rsidRPr="00DF2B57">
        <w:t xml:space="preserve">, I have prepared </w:t>
      </w:r>
      <w:r w:rsidR="00D87ACA">
        <w:t>nine</w:t>
      </w:r>
      <w:r w:rsidR="00522AE2" w:rsidRPr="00DF2B57">
        <w:t xml:space="preserve"> </w:t>
      </w:r>
      <w:r w:rsidR="00846996" w:rsidRPr="00DF2B57">
        <w:t>exhibits.</w:t>
      </w:r>
    </w:p>
    <w:p w14:paraId="26FED437" w14:textId="53A1A037" w:rsidR="00CC48FA" w:rsidRPr="00DF2B57" w:rsidRDefault="00846996" w:rsidP="00846996">
      <w:pPr>
        <w:pStyle w:val="NoSpacing"/>
      </w:pPr>
      <w:r w:rsidRPr="00DF2B57">
        <w:tab/>
      </w:r>
      <w:r w:rsidRPr="00DF2B57">
        <w:tab/>
        <w:t>Exhibit No.</w:t>
      </w:r>
      <w:r w:rsidR="00F1483F">
        <w:t xml:space="preserve"> </w:t>
      </w:r>
      <w:r w:rsidRPr="00DF2B57">
        <w:t>CSH-1</w:t>
      </w:r>
      <w:r w:rsidR="00CC48FA" w:rsidRPr="00DF2B57">
        <w:t>T</w:t>
      </w:r>
      <w:r w:rsidRPr="00DF2B57">
        <w:t xml:space="preserve"> is this document</w:t>
      </w:r>
      <w:r w:rsidR="00CC48FA" w:rsidRPr="00DF2B57">
        <w:t xml:space="preserve">, </w:t>
      </w:r>
      <w:r w:rsidR="00EA1112">
        <w:t xml:space="preserve">which is </w:t>
      </w:r>
      <w:r w:rsidR="00CC48FA" w:rsidRPr="00DF2B57">
        <w:t>my written testimony</w:t>
      </w:r>
      <w:r w:rsidRPr="00DF2B57">
        <w:t xml:space="preserve">.  </w:t>
      </w:r>
    </w:p>
    <w:p w14:paraId="31B24BFE" w14:textId="3BD8A0DA" w:rsidR="00A71E0B" w:rsidRPr="00DF2B57" w:rsidRDefault="00CC48FA" w:rsidP="00CC48FA">
      <w:pPr>
        <w:pStyle w:val="NoSpacing"/>
        <w:ind w:firstLine="720"/>
      </w:pPr>
      <w:r w:rsidRPr="00DF2B57">
        <w:t xml:space="preserve">Second, </w:t>
      </w:r>
      <w:r w:rsidR="00670A21" w:rsidRPr="00DF2B57">
        <w:t>Exhibit No.</w:t>
      </w:r>
      <w:r w:rsidR="00F1483F">
        <w:t xml:space="preserve"> </w:t>
      </w:r>
      <w:r w:rsidR="00670A21" w:rsidRPr="00DF2B57">
        <w:t xml:space="preserve">CSH-2 </w:t>
      </w:r>
      <w:r w:rsidR="00846996" w:rsidRPr="00DF2B57">
        <w:t>presents my calculation of an</w:t>
      </w:r>
      <w:r w:rsidRPr="00DF2B57">
        <w:t xml:space="preserve"> attrition adjustment to Staff’s electric modified historical test year revenue requirement model.  Exhibit </w:t>
      </w:r>
      <w:r w:rsidRPr="00DF2B57">
        <w:lastRenderedPageBreak/>
        <w:t>No.</w:t>
      </w:r>
      <w:r w:rsidR="00F1483F">
        <w:t xml:space="preserve"> </w:t>
      </w:r>
      <w:r w:rsidRPr="00DF2B57">
        <w:t>CSH-3 presents my calculation of an attrition adjustment to Staff’s natural gas modified historical test year revenue requirement model.</w:t>
      </w:r>
    </w:p>
    <w:p w14:paraId="33FEED68" w14:textId="3B573826" w:rsidR="00A71E0B" w:rsidRPr="00DF2B57" w:rsidRDefault="00A71E0B" w:rsidP="003102A4">
      <w:pPr>
        <w:pStyle w:val="NoSpacing"/>
      </w:pPr>
      <w:r w:rsidRPr="00DF2B57">
        <w:tab/>
      </w:r>
      <w:r w:rsidRPr="00DF2B57">
        <w:tab/>
      </w:r>
      <w:r w:rsidR="00CC48FA" w:rsidRPr="00DF2B57">
        <w:t>Third</w:t>
      </w:r>
      <w:r w:rsidRPr="00DF2B57">
        <w:t xml:space="preserve">, I </w:t>
      </w:r>
      <w:r w:rsidR="00CC48FA" w:rsidRPr="00DF2B57">
        <w:t xml:space="preserve">present </w:t>
      </w:r>
      <w:r w:rsidRPr="00DF2B57">
        <w:t>Exhibit No.</w:t>
      </w:r>
      <w:r w:rsidR="00F1483F">
        <w:t xml:space="preserve"> </w:t>
      </w:r>
      <w:r w:rsidRPr="00DF2B57">
        <w:t>CSH-4 and Exhibit No.</w:t>
      </w:r>
      <w:r w:rsidR="00F1483F">
        <w:t xml:space="preserve"> </w:t>
      </w:r>
      <w:r w:rsidRPr="00DF2B57">
        <w:t>CSH-5</w:t>
      </w:r>
      <w:r w:rsidR="00DF2B57" w:rsidRPr="00DF2B57">
        <w:t>, the results of my attrition analysis for a twelve month period ending December 2017 for electric and natural gas service, respectively.</w:t>
      </w:r>
    </w:p>
    <w:p w14:paraId="25FDAD13" w14:textId="7D60BA43" w:rsidR="00A71E0B" w:rsidRDefault="00A71E0B" w:rsidP="003102A4">
      <w:pPr>
        <w:pStyle w:val="NoSpacing"/>
      </w:pPr>
      <w:r w:rsidRPr="00DF2B57">
        <w:tab/>
      </w:r>
      <w:r w:rsidRPr="00DF2B57">
        <w:tab/>
      </w:r>
      <w:r w:rsidR="00DF2B57" w:rsidRPr="00DF2B57">
        <w:t>Fourth</w:t>
      </w:r>
      <w:r w:rsidRPr="00DF2B57">
        <w:t xml:space="preserve">, I </w:t>
      </w:r>
      <w:r w:rsidR="00522AE2">
        <w:t>present</w:t>
      </w:r>
      <w:r w:rsidR="00522AE2" w:rsidRPr="00DF2B57">
        <w:t xml:space="preserve"> </w:t>
      </w:r>
      <w:r w:rsidRPr="00DF2B57">
        <w:t>Exhibit No.</w:t>
      </w:r>
      <w:r w:rsidR="00F1483F">
        <w:t xml:space="preserve"> </w:t>
      </w:r>
      <w:r w:rsidRPr="00DF2B57">
        <w:t>CSH-6 and Exhibit No.</w:t>
      </w:r>
      <w:r w:rsidR="00F1483F">
        <w:t xml:space="preserve"> </w:t>
      </w:r>
      <w:r w:rsidRPr="00DF2B57">
        <w:t xml:space="preserve">CSH-7.  These exhibits show </w:t>
      </w:r>
      <w:r w:rsidR="00DF2B57" w:rsidRPr="00DF2B57">
        <w:t>the results of my attrition analysis for a twelve month period ending June 2018 for electric and natural gas service, respectively.</w:t>
      </w:r>
    </w:p>
    <w:p w14:paraId="3AB11ABF" w14:textId="43426233" w:rsidR="00A71E0B" w:rsidRDefault="00522AE2" w:rsidP="00535B97">
      <w:pPr>
        <w:pStyle w:val="NoSpacing"/>
      </w:pPr>
      <w:r>
        <w:tab/>
      </w:r>
      <w:r>
        <w:tab/>
      </w:r>
      <w:r w:rsidR="00535B97">
        <w:t>Finally</w:t>
      </w:r>
      <w:r>
        <w:t xml:space="preserve">, I present </w:t>
      </w:r>
      <w:r w:rsidRPr="00DF2B57">
        <w:t>Exhibit No.</w:t>
      </w:r>
      <w:r w:rsidR="00F1483F">
        <w:t xml:space="preserve"> </w:t>
      </w:r>
      <w:r w:rsidRPr="00DF2B57">
        <w:t>CSH-8</w:t>
      </w:r>
      <w:r w:rsidR="00864BDF">
        <w:t xml:space="preserve"> and Exhibit No.</w:t>
      </w:r>
      <w:r w:rsidR="00F1483F">
        <w:t xml:space="preserve"> </w:t>
      </w:r>
      <w:r w:rsidR="00864BDF">
        <w:t>CSH-9.</w:t>
      </w:r>
      <w:r>
        <w:t xml:space="preserve">  Th</w:t>
      </w:r>
      <w:r w:rsidR="00864BDF">
        <w:t>e</w:t>
      </w:r>
      <w:r>
        <w:t>s</w:t>
      </w:r>
      <w:r w:rsidR="00864BDF">
        <w:t>e</w:t>
      </w:r>
      <w:r>
        <w:t xml:space="preserve"> exhibit</w:t>
      </w:r>
      <w:r w:rsidR="00864BDF">
        <w:t>s</w:t>
      </w:r>
      <w:r>
        <w:t xml:space="preserve"> provides the growth in types of </w:t>
      </w:r>
      <w:r w:rsidR="00864BDF">
        <w:t>p</w:t>
      </w:r>
      <w:r>
        <w:t>lant, by FERC account category</w:t>
      </w:r>
      <w:r w:rsidR="00864BDF">
        <w:t>, for electric and natural gas service</w:t>
      </w:r>
      <w:r w:rsidR="00FF4E6C">
        <w:t>,</w:t>
      </w:r>
      <w:r w:rsidR="00864BDF">
        <w:t xml:space="preserve"> respectively.</w:t>
      </w:r>
    </w:p>
    <w:p w14:paraId="0B9E0A25" w14:textId="77777777" w:rsidR="00F507DC" w:rsidRDefault="00F507DC" w:rsidP="003102A4">
      <w:pPr>
        <w:pStyle w:val="NoSpacing"/>
      </w:pPr>
    </w:p>
    <w:p w14:paraId="4E67E900" w14:textId="77777777" w:rsidR="00B53112" w:rsidRPr="00F720F8" w:rsidRDefault="00B53112" w:rsidP="008F38DE">
      <w:pPr>
        <w:pStyle w:val="Heading8"/>
      </w:pPr>
      <w:r w:rsidRPr="00F720F8">
        <w:t>Q.</w:t>
      </w:r>
      <w:r w:rsidRPr="00F720F8">
        <w:tab/>
        <w:t>How is the remainder of your testimony organized?</w:t>
      </w:r>
    </w:p>
    <w:p w14:paraId="4ED57415" w14:textId="5E9266EF" w:rsidR="001659CC" w:rsidRDefault="00B53112" w:rsidP="00B53112">
      <w:pPr>
        <w:pStyle w:val="NoSpacing"/>
      </w:pPr>
      <w:r w:rsidRPr="00152EAD">
        <w:t>A.</w:t>
      </w:r>
      <w:bookmarkStart w:id="18" w:name="_Toc404149983"/>
      <w:bookmarkEnd w:id="18"/>
      <w:r w:rsidR="00BE161D" w:rsidRPr="00152EAD">
        <w:tab/>
        <w:t xml:space="preserve">In </w:t>
      </w:r>
      <w:r w:rsidR="00657549" w:rsidRPr="00152EAD">
        <w:t>S</w:t>
      </w:r>
      <w:r w:rsidR="00BE161D" w:rsidRPr="00152EAD">
        <w:t xml:space="preserve">ection III, I </w:t>
      </w:r>
      <w:r w:rsidR="00152EAD" w:rsidRPr="00152EAD">
        <w:t xml:space="preserve">provide commentary on the relevant policy matters in this case.  </w:t>
      </w:r>
      <w:r w:rsidR="00BE161D" w:rsidRPr="00152EAD">
        <w:t xml:space="preserve">In </w:t>
      </w:r>
      <w:r w:rsidR="00657549" w:rsidRPr="00152EAD">
        <w:t>S</w:t>
      </w:r>
      <w:r w:rsidR="00BE161D" w:rsidRPr="00152EAD">
        <w:t xml:space="preserve">ection IV, I discuss </w:t>
      </w:r>
      <w:r w:rsidR="00152EAD" w:rsidRPr="00152EAD">
        <w:t xml:space="preserve">what attrition is, and generally how Avista is affected by it.  </w:t>
      </w:r>
      <w:r w:rsidR="00BE161D" w:rsidRPr="00152EAD">
        <w:t xml:space="preserve">In </w:t>
      </w:r>
      <w:r w:rsidR="00F5016D" w:rsidRPr="00152EAD">
        <w:t>S</w:t>
      </w:r>
      <w:r w:rsidR="00BE161D" w:rsidRPr="00152EAD">
        <w:t>ection V, I discuss</w:t>
      </w:r>
      <w:r w:rsidR="003D5AB4" w:rsidRPr="00152EAD">
        <w:t xml:space="preserve"> </w:t>
      </w:r>
      <w:r w:rsidR="00152EAD" w:rsidRPr="00152EAD">
        <w:t xml:space="preserve">the methodology and results of Staff’s attrition studies, including </w:t>
      </w:r>
      <w:r w:rsidR="00152EAD" w:rsidRPr="00152EAD">
        <w:rPr>
          <w:i/>
        </w:rPr>
        <w:t>pro forma</w:t>
      </w:r>
      <w:r w:rsidR="00152EAD" w:rsidRPr="00152EAD">
        <w:t xml:space="preserve"> adjustments to the attrition studies</w:t>
      </w:r>
    </w:p>
    <w:p w14:paraId="37D347CD" w14:textId="61194895" w:rsidR="00F1097A" w:rsidRDefault="00F1097A" w:rsidP="00B53112">
      <w:pPr>
        <w:pStyle w:val="NoSpacing"/>
      </w:pPr>
    </w:p>
    <w:p w14:paraId="0CFD00ED" w14:textId="5174D4E9" w:rsidR="00F1097A" w:rsidRDefault="00F1097A" w:rsidP="00724E87">
      <w:pPr>
        <w:pStyle w:val="Heading1"/>
        <w:ind w:left="720" w:hanging="720"/>
        <w:rPr>
          <w:caps/>
        </w:rPr>
      </w:pPr>
      <w:bookmarkStart w:id="19" w:name="_Toc459042392"/>
      <w:r w:rsidRPr="00724E87">
        <w:rPr>
          <w:caps/>
        </w:rPr>
        <w:t>Policy Considerations</w:t>
      </w:r>
      <w:bookmarkEnd w:id="19"/>
    </w:p>
    <w:p w14:paraId="411E3D3C" w14:textId="25FD3144" w:rsidR="005E6965" w:rsidRDefault="005E6965" w:rsidP="005E6965">
      <w:pPr>
        <w:pStyle w:val="NoSpacing"/>
      </w:pPr>
    </w:p>
    <w:p w14:paraId="3C3A5C8C" w14:textId="52EC8175" w:rsidR="005E6965" w:rsidRDefault="005E6965" w:rsidP="005E6965">
      <w:pPr>
        <w:pStyle w:val="Heading8"/>
      </w:pPr>
      <w:r>
        <w:t>Q.</w:t>
      </w:r>
      <w:r>
        <w:tab/>
        <w:t>What policy topics will you discuss in this testimony?</w:t>
      </w:r>
    </w:p>
    <w:p w14:paraId="157209BE" w14:textId="092AE096" w:rsidR="005E6965" w:rsidRDefault="005E6965" w:rsidP="005E6965">
      <w:pPr>
        <w:pStyle w:val="NoSpacing"/>
      </w:pPr>
      <w:r>
        <w:lastRenderedPageBreak/>
        <w:t>A.</w:t>
      </w:r>
      <w:r>
        <w:tab/>
        <w:t xml:space="preserve">I will discuss </w:t>
      </w:r>
      <w:r w:rsidR="00F05BC6">
        <w:t>three</w:t>
      </w:r>
      <w:r>
        <w:t xml:space="preserve"> issues relevant to this case: the use of</w:t>
      </w:r>
      <w:r w:rsidR="005F4213">
        <w:t xml:space="preserve"> Energy Recovery </w:t>
      </w:r>
      <w:r w:rsidR="005F4213" w:rsidRPr="005F4213">
        <w:t>Mechanism</w:t>
      </w:r>
      <w:r w:rsidRPr="005F4213">
        <w:t xml:space="preserve"> </w:t>
      </w:r>
      <w:r w:rsidR="005F4213" w:rsidRPr="005F4213">
        <w:t>(</w:t>
      </w:r>
      <w:r w:rsidRPr="005F4213">
        <w:t>ERM</w:t>
      </w:r>
      <w:r w:rsidR="005F4213" w:rsidRPr="005F4213">
        <w:t>)</w:t>
      </w:r>
      <w:r>
        <w:t xml:space="preserve"> balances to offset a rate increase; changing the </w:t>
      </w:r>
      <w:r w:rsidR="00DB0881">
        <w:t xml:space="preserve">timing of the </w:t>
      </w:r>
      <w:r>
        <w:t xml:space="preserve">rate case cycle; </w:t>
      </w:r>
      <w:r w:rsidR="00F05BC6">
        <w:t xml:space="preserve">and </w:t>
      </w:r>
      <w:r>
        <w:t>the merits of a single rate increase rather than several rate increases.</w:t>
      </w:r>
    </w:p>
    <w:p w14:paraId="775B467F" w14:textId="77777777" w:rsidR="005E6965" w:rsidRPr="005E6965" w:rsidRDefault="005E6965" w:rsidP="005E6965">
      <w:pPr>
        <w:pStyle w:val="NoSpacing"/>
      </w:pPr>
    </w:p>
    <w:p w14:paraId="45C12DC2" w14:textId="085F2005" w:rsidR="005E6965" w:rsidRDefault="005E6965">
      <w:pPr>
        <w:pStyle w:val="Heading2"/>
      </w:pPr>
      <w:bookmarkStart w:id="20" w:name="_Toc459042393"/>
      <w:r w:rsidRPr="009445CE">
        <w:t>Use of the ERM balance to offset a rate increase</w:t>
      </w:r>
      <w:bookmarkEnd w:id="20"/>
    </w:p>
    <w:p w14:paraId="0D3BE9FF" w14:textId="77777777" w:rsidR="00677CF3" w:rsidRPr="00677CF3" w:rsidRDefault="00677CF3" w:rsidP="00677CF3">
      <w:pPr>
        <w:pStyle w:val="NoSpacing"/>
      </w:pPr>
    </w:p>
    <w:p w14:paraId="652FD922" w14:textId="13C2712A" w:rsidR="005E6965" w:rsidRDefault="00FD70C8" w:rsidP="00FD70C8">
      <w:pPr>
        <w:pStyle w:val="Heading8"/>
      </w:pPr>
      <w:r>
        <w:t>Q.</w:t>
      </w:r>
      <w:r>
        <w:tab/>
        <w:t xml:space="preserve">Avista is seeking to offset the impact of a proposed rate increase in 2018 by refunding a </w:t>
      </w:r>
      <w:r w:rsidR="00E9538E">
        <w:t xml:space="preserve">credit </w:t>
      </w:r>
      <w:r>
        <w:t>balance from the Energy Recovery Mechanism (ERM)</w:t>
      </w:r>
      <w:r w:rsidR="00E9538E">
        <w:t xml:space="preserve"> deferral account</w:t>
      </w:r>
      <w:r>
        <w:t>.  Does Staff support this proposal?</w:t>
      </w:r>
    </w:p>
    <w:p w14:paraId="7B618F34" w14:textId="108E9101" w:rsidR="00FD70C8" w:rsidRDefault="00FD70C8" w:rsidP="005E6965">
      <w:pPr>
        <w:pStyle w:val="NoSpacing"/>
      </w:pPr>
      <w:r>
        <w:t>A.</w:t>
      </w:r>
      <w:r>
        <w:tab/>
        <w:t xml:space="preserve">No.  </w:t>
      </w:r>
    </w:p>
    <w:p w14:paraId="5F72571E" w14:textId="77777777" w:rsidR="00FD70C8" w:rsidRDefault="00FD70C8" w:rsidP="005E6965">
      <w:pPr>
        <w:pStyle w:val="NoSpacing"/>
      </w:pPr>
    </w:p>
    <w:p w14:paraId="7D6B3BCD" w14:textId="77777777" w:rsidR="005E6965" w:rsidRDefault="005E6965" w:rsidP="005E6965">
      <w:pPr>
        <w:pStyle w:val="Heading8"/>
      </w:pPr>
      <w:r>
        <w:t>Q.</w:t>
      </w:r>
      <w:r>
        <w:tab/>
        <w:t>Has the Commission ever authorized a rebate of the ERM balance to offset a rate increase?</w:t>
      </w:r>
    </w:p>
    <w:p w14:paraId="15E214B9" w14:textId="1E418982" w:rsidR="005E6965" w:rsidRDefault="005E6965" w:rsidP="00F11EAC">
      <w:pPr>
        <w:pStyle w:val="NoSpacing"/>
      </w:pPr>
      <w:r w:rsidRPr="00D9389A">
        <w:t>A.</w:t>
      </w:r>
      <w:r w:rsidRPr="00D9389A">
        <w:tab/>
      </w:r>
      <w:r w:rsidR="00FD70C8" w:rsidRPr="00D9389A">
        <w:t>Yes</w:t>
      </w:r>
      <w:r w:rsidR="00FF4E6C">
        <w:t xml:space="preserve">.  The Commission authorized a rebate from the ERM deferral account in Dockets UE-120436 and UE-140188, rate cases that featured </w:t>
      </w:r>
      <w:r w:rsidR="00F1483F">
        <w:t>s</w:t>
      </w:r>
      <w:r w:rsidR="00FF4E6C">
        <w:t>ettlement</w:t>
      </w:r>
      <w:r w:rsidR="00F11EAC">
        <w:t>s</w:t>
      </w:r>
      <w:r w:rsidR="00FF4E6C">
        <w:t xml:space="preserve">.  </w:t>
      </w:r>
      <w:r w:rsidR="00F11EAC">
        <w:t xml:space="preserve">It is my understanding that </w:t>
      </w:r>
      <w:r w:rsidR="003F5FEC">
        <w:t xml:space="preserve">the decisions accepting </w:t>
      </w:r>
      <w:r w:rsidR="00F11EAC">
        <w:t>these s</w:t>
      </w:r>
      <w:r w:rsidR="00FF4E6C">
        <w:t xml:space="preserve">ettlements </w:t>
      </w:r>
      <w:r w:rsidR="00F11EAC">
        <w:t xml:space="preserve">are </w:t>
      </w:r>
      <w:r w:rsidR="00FF4E6C">
        <w:t>not precedent-setting.</w:t>
      </w:r>
      <w:r w:rsidR="003F5FEC">
        <w:t xml:space="preserve">  Importantly, the </w:t>
      </w:r>
      <w:r w:rsidR="00B13C4A" w:rsidRPr="00D9389A">
        <w:t>Commission has never</w:t>
      </w:r>
      <w:r w:rsidR="003F5FEC">
        <w:t>,</w:t>
      </w:r>
      <w:r w:rsidR="00B13C4A" w:rsidRPr="00D9389A">
        <w:t xml:space="preserve"> to Staff’s knowledge</w:t>
      </w:r>
      <w:r w:rsidR="003F5FEC">
        <w:t>,</w:t>
      </w:r>
      <w:r w:rsidR="00B13C4A" w:rsidRPr="00D9389A">
        <w:t xml:space="preserve"> authorized such a rebate in a </w:t>
      </w:r>
      <w:r w:rsidR="00D80713" w:rsidRPr="00D9389A">
        <w:t xml:space="preserve">fully </w:t>
      </w:r>
      <w:r w:rsidR="00B13C4A" w:rsidRPr="00D9389A">
        <w:t xml:space="preserve">litigated rate case.  </w:t>
      </w:r>
    </w:p>
    <w:p w14:paraId="1D41AA64" w14:textId="534512A6" w:rsidR="005E6965" w:rsidRDefault="005E6965" w:rsidP="005E6965">
      <w:pPr>
        <w:pStyle w:val="NoSpacing"/>
      </w:pPr>
    </w:p>
    <w:p w14:paraId="243FFE6C" w14:textId="1CF76A82" w:rsidR="005E6965" w:rsidRDefault="005E6965" w:rsidP="005E6965">
      <w:pPr>
        <w:pStyle w:val="Heading8"/>
      </w:pPr>
      <w:r>
        <w:t>Q.</w:t>
      </w:r>
      <w:r>
        <w:tab/>
        <w:t>What purpose does the ERM serve?</w:t>
      </w:r>
    </w:p>
    <w:p w14:paraId="46103F30" w14:textId="750A6C35" w:rsidR="005E6965" w:rsidRDefault="005E6965" w:rsidP="005E6965">
      <w:pPr>
        <w:pStyle w:val="NoSpacing"/>
      </w:pPr>
      <w:r>
        <w:t>A.</w:t>
      </w:r>
      <w:r>
        <w:tab/>
      </w:r>
      <w:r w:rsidR="00D80713">
        <w:t xml:space="preserve">The ERM </w:t>
      </w:r>
      <w:r w:rsidR="0067411A">
        <w:t xml:space="preserve">allows for </w:t>
      </w:r>
      <w:r w:rsidR="00677CF3">
        <w:t xml:space="preserve">the deferral of </w:t>
      </w:r>
      <w:r w:rsidR="0067411A">
        <w:t xml:space="preserve">fluctuations in </w:t>
      </w:r>
      <w:r w:rsidR="00677CF3">
        <w:t xml:space="preserve">variable </w:t>
      </w:r>
      <w:r w:rsidR="0067411A">
        <w:t>power costs that fall outside of an authorized band</w:t>
      </w:r>
      <w:r w:rsidR="00677CF3">
        <w:t xml:space="preserve"> around the baseline set in a general rate case.</w:t>
      </w:r>
      <w:r w:rsidR="0067411A">
        <w:t xml:space="preserve"> </w:t>
      </w:r>
      <w:r w:rsidR="00677CF3">
        <w:t>Once the deferred</w:t>
      </w:r>
      <w:r w:rsidR="0067411A">
        <w:t xml:space="preserve"> power</w:t>
      </w:r>
      <w:r w:rsidR="00677CF3">
        <w:t xml:space="preserve"> </w:t>
      </w:r>
      <w:r w:rsidR="0067411A">
        <w:t>cost</w:t>
      </w:r>
      <w:r w:rsidR="00677CF3">
        <w:t>s</w:t>
      </w:r>
      <w:r w:rsidR="0067411A">
        <w:t xml:space="preserve"> </w:t>
      </w:r>
      <w:r w:rsidR="00677CF3">
        <w:t xml:space="preserve">reach a defined total of $30 million, the balance is allowed for </w:t>
      </w:r>
      <w:r w:rsidR="0067411A">
        <w:lastRenderedPageBreak/>
        <w:t xml:space="preserve">recovery in base rates. </w:t>
      </w:r>
      <w:r w:rsidR="00E2031E">
        <w:t xml:space="preserve"> The</w:t>
      </w:r>
      <w:r w:rsidR="00677CF3">
        <w:t xml:space="preserve"> intent of the </w:t>
      </w:r>
      <w:r w:rsidR="00E2031E">
        <w:t xml:space="preserve">ERM </w:t>
      </w:r>
      <w:r w:rsidR="00677CF3">
        <w:t xml:space="preserve">is </w:t>
      </w:r>
      <w:r w:rsidR="00E2031E">
        <w:t xml:space="preserve">to </w:t>
      </w:r>
      <w:r w:rsidR="00677CF3">
        <w:t xml:space="preserve">insulate </w:t>
      </w:r>
      <w:r w:rsidR="00E2031E">
        <w:t xml:space="preserve">ratepayers from large </w:t>
      </w:r>
      <w:r w:rsidR="00677CF3">
        <w:t xml:space="preserve">annual </w:t>
      </w:r>
      <w:r w:rsidR="00E2031E">
        <w:t>rate fluctuations due to variations in power costs</w:t>
      </w:r>
      <w:r w:rsidR="00677CF3">
        <w:t>, while offering the utility protection from suffering losses in times of extreme power market volatility</w:t>
      </w:r>
      <w:r w:rsidR="00E2031E">
        <w:t>.</w:t>
      </w:r>
    </w:p>
    <w:p w14:paraId="7854F8FD" w14:textId="77777777" w:rsidR="005E6965" w:rsidRDefault="005E6965" w:rsidP="005E6965">
      <w:pPr>
        <w:pStyle w:val="NoSpacing"/>
      </w:pPr>
    </w:p>
    <w:p w14:paraId="3F663719" w14:textId="77777777" w:rsidR="005E6965" w:rsidRDefault="005E6965" w:rsidP="005E6965">
      <w:pPr>
        <w:pStyle w:val="Heading8"/>
      </w:pPr>
      <w:r>
        <w:t>Q.</w:t>
      </w:r>
      <w:r>
        <w:tab/>
        <w:t>Is it appropriate to use the ERM balances to offset a rate increase?</w:t>
      </w:r>
    </w:p>
    <w:p w14:paraId="47C6E32D" w14:textId="77777777" w:rsidR="00FF4E6C" w:rsidRDefault="005E6965" w:rsidP="006334F2">
      <w:pPr>
        <w:pStyle w:val="NoSpacing"/>
      </w:pPr>
      <w:r>
        <w:t>A.</w:t>
      </w:r>
      <w:r>
        <w:tab/>
      </w:r>
      <w:r w:rsidR="001A42AD">
        <w:t>No.</w:t>
      </w:r>
      <w:r w:rsidR="009445CE">
        <w:t xml:space="preserve"> </w:t>
      </w:r>
      <w:r w:rsidR="001A42AD">
        <w:t xml:space="preserve"> </w:t>
      </w:r>
      <w:r w:rsidR="00FF4E6C">
        <w:t>There is no compelling reason to interfere with the function of the ERM as it was designed.  The ERM is a tool to blunt the impact of power cost variation, not a tool to temporarily obscure an increase in billed rates.</w:t>
      </w:r>
    </w:p>
    <w:p w14:paraId="4F5C8ADB" w14:textId="5DD3F7BE" w:rsidR="005E6965" w:rsidRDefault="001A42AD" w:rsidP="00FF4E6C">
      <w:pPr>
        <w:pStyle w:val="NoSpacing"/>
        <w:ind w:firstLine="720"/>
      </w:pPr>
      <w:r>
        <w:t xml:space="preserve">The ERM is </w:t>
      </w:r>
      <w:r w:rsidRPr="001A42AD">
        <w:t xml:space="preserve">designed </w:t>
      </w:r>
      <w:r w:rsidR="006775AB">
        <w:t>so that any</w:t>
      </w:r>
      <w:r w:rsidRPr="001A42AD">
        <w:t xml:space="preserve"> credit </w:t>
      </w:r>
      <w:r w:rsidR="006775AB">
        <w:t xml:space="preserve">or rebate </w:t>
      </w:r>
      <w:r w:rsidRPr="001A42AD">
        <w:t xml:space="preserve">balance </w:t>
      </w:r>
      <w:r w:rsidR="006775AB">
        <w:t xml:space="preserve">will offset </w:t>
      </w:r>
      <w:r w:rsidR="00ED64EC">
        <w:t>fluctuations in</w:t>
      </w:r>
      <w:r w:rsidR="006775AB">
        <w:t xml:space="preserve"> power costs of a future period</w:t>
      </w:r>
      <w:r w:rsidRPr="001A42AD">
        <w:t xml:space="preserve">.  </w:t>
      </w:r>
      <w:r>
        <w:t>At present, there is a $30 million “trigger” that allows for rebates or surcharges in the event that the balance becomes unreasonably large.</w:t>
      </w:r>
      <w:r w:rsidR="00A13DBE">
        <w:t xml:space="preserve">  The Commission should let the ERM function as it was designed.</w:t>
      </w:r>
    </w:p>
    <w:p w14:paraId="53460ADF" w14:textId="3B47EDBE" w:rsidR="00CD5A34" w:rsidRDefault="001A42AD" w:rsidP="005E6965">
      <w:pPr>
        <w:pStyle w:val="NoSpacing"/>
      </w:pPr>
      <w:r>
        <w:tab/>
      </w:r>
      <w:r>
        <w:tab/>
        <w:t>The Commission follows the</w:t>
      </w:r>
      <w:r w:rsidR="00A00EF4">
        <w:t xml:space="preserve"> same</w:t>
      </w:r>
      <w:r>
        <w:t xml:space="preserve"> procedures </w:t>
      </w:r>
      <w:r w:rsidR="00A00EF4">
        <w:t>i</w:t>
      </w:r>
      <w:r>
        <w:t xml:space="preserve">f the ERM </w:t>
      </w:r>
      <w:r w:rsidR="00A00EF4">
        <w:t xml:space="preserve">has </w:t>
      </w:r>
      <w:r>
        <w:t>a debit</w:t>
      </w:r>
      <w:r w:rsidR="00A00EF4">
        <w:t xml:space="preserve"> (surcharge)</w:t>
      </w:r>
      <w:r>
        <w:t xml:space="preserve"> balance, and it should continue to follow those procedures when there is a credit balance, as there is now.</w:t>
      </w:r>
      <w:r w:rsidR="00CD5A34">
        <w:t xml:space="preserve">  A useful thought experiment is to consider whether the Commission would authorize a surcharge if the balance were equally in the debit direction</w:t>
      </w:r>
      <w:r w:rsidR="00A00EF4">
        <w:t xml:space="preserve"> to offset a decrease in rates</w:t>
      </w:r>
      <w:r w:rsidR="00CD5A34">
        <w:t>, usurping the design of the mechanism.</w:t>
      </w:r>
      <w:r>
        <w:t xml:space="preserve">  </w:t>
      </w:r>
      <w:r w:rsidR="00A00EF4">
        <w:t>That outcome is highly unlikely</w:t>
      </w:r>
      <w:r w:rsidR="00457479">
        <w:t>.</w:t>
      </w:r>
    </w:p>
    <w:p w14:paraId="6D0C5014" w14:textId="77777777" w:rsidR="00A00EF4" w:rsidRDefault="00A00EF4" w:rsidP="00CD5A34">
      <w:pPr>
        <w:pStyle w:val="NoSpacing"/>
        <w:ind w:firstLine="360"/>
      </w:pPr>
    </w:p>
    <w:p w14:paraId="2AC9ABF8" w14:textId="77777777" w:rsidR="00A00EF4" w:rsidRDefault="00A00EF4" w:rsidP="00A00EF4">
      <w:pPr>
        <w:pStyle w:val="Heading8"/>
      </w:pPr>
      <w:r>
        <w:t>Q.</w:t>
      </w:r>
      <w:r>
        <w:tab/>
        <w:t>Could you give an example of why you recommend against using the rebate balance in the ERM, please?</w:t>
      </w:r>
    </w:p>
    <w:p w14:paraId="5A015DF9" w14:textId="47F22069" w:rsidR="00563BFE" w:rsidRDefault="00A00EF4" w:rsidP="00A00EF4">
      <w:pPr>
        <w:pStyle w:val="NoSpacing"/>
      </w:pPr>
      <w:r>
        <w:lastRenderedPageBreak/>
        <w:t>A.</w:t>
      </w:r>
      <w:r>
        <w:tab/>
        <w:t xml:space="preserve">Yes.  The present balance in the ERM is about $18 million in the rebate direction.  The abundant hydro-generation of the Pacific Northwest has many benefits, but in years of drought our power prices can increase rapidly.  If hydro-genration is much lower that normal, there will be a greater use of the natural gas plants </w:t>
      </w:r>
      <w:r w:rsidR="004E70B5">
        <w:t>with higher fuel</w:t>
      </w:r>
      <w:r w:rsidR="00620358">
        <w:t xml:space="preserve"> costs</w:t>
      </w:r>
      <w:r w:rsidR="00A8038C">
        <w:t xml:space="preserve"> due to greater demand</w:t>
      </w:r>
      <w:r w:rsidR="00620358">
        <w:t xml:space="preserve"> </w:t>
      </w:r>
      <w:r>
        <w:t>which</w:t>
      </w:r>
      <w:r w:rsidR="004E70B5">
        <w:t>, in turn,</w:t>
      </w:r>
      <w:r>
        <w:t xml:space="preserve"> will drive up </w:t>
      </w:r>
      <w:r w:rsidR="00620358">
        <w:t>power</w:t>
      </w:r>
      <w:r>
        <w:t xml:space="preserve"> </w:t>
      </w:r>
      <w:r w:rsidR="00620358">
        <w:t>costs</w:t>
      </w:r>
      <w:r>
        <w:t xml:space="preserve">.  </w:t>
      </w:r>
      <w:r w:rsidR="004E70B5">
        <w:t>In this situation, which is a very real possibility, t</w:t>
      </w:r>
      <w:r>
        <w:t xml:space="preserve">he $18 million ERM </w:t>
      </w:r>
      <w:r w:rsidR="00A8038C">
        <w:t xml:space="preserve">rebate </w:t>
      </w:r>
      <w:r>
        <w:t xml:space="preserve">could </w:t>
      </w:r>
      <w:r w:rsidR="003900C9">
        <w:t xml:space="preserve">be replaced with a sizable </w:t>
      </w:r>
      <w:r w:rsidR="00A8038C">
        <w:t xml:space="preserve">surcharge </w:t>
      </w:r>
      <w:r w:rsidR="003900C9">
        <w:t>balance</w:t>
      </w:r>
      <w:r>
        <w:t xml:space="preserve"> within a few short months.  </w:t>
      </w:r>
    </w:p>
    <w:p w14:paraId="2763CB9B" w14:textId="6EA3295F" w:rsidR="00A00EF4" w:rsidRPr="00724E87" w:rsidRDefault="00563BFE" w:rsidP="00A00EF4">
      <w:pPr>
        <w:pStyle w:val="NoSpacing"/>
      </w:pPr>
      <w:r>
        <w:t xml:space="preserve"> </w:t>
      </w:r>
      <w:r>
        <w:tab/>
      </w:r>
      <w:r>
        <w:tab/>
      </w:r>
      <w:r w:rsidR="00A00EF4">
        <w:t xml:space="preserve">If the rebate is granted to offset general rates, it will be a temporary </w:t>
      </w:r>
      <w:r w:rsidR="003900C9">
        <w:t xml:space="preserve">rate </w:t>
      </w:r>
      <w:r w:rsidR="00A00EF4">
        <w:t>decrease and when that rebate ends, customers see a rate increase for that reason alone.  If the Company also files for a</w:t>
      </w:r>
      <w:r w:rsidR="003900C9">
        <w:t>nother base</w:t>
      </w:r>
      <w:r w:rsidR="00A00EF4">
        <w:t xml:space="preserve"> revenue increase, there can be the double whammy of a general rate increase plus </w:t>
      </w:r>
      <w:r w:rsidR="003900C9">
        <w:t>an additional rate increase due to an expiring</w:t>
      </w:r>
      <w:r w:rsidR="00A00EF4">
        <w:t xml:space="preserve"> rebate.  Staff finds this potential situation </w:t>
      </w:r>
      <w:r w:rsidR="00165DCC">
        <w:t>well within the realm of possibility</w:t>
      </w:r>
      <w:r w:rsidR="00A00EF4">
        <w:t xml:space="preserve"> and does not want to </w:t>
      </w:r>
      <w:r w:rsidR="00864BDF">
        <w:t>expose ratepayers to that unnecessary risk</w:t>
      </w:r>
      <w:r w:rsidR="00A00EF4">
        <w:t>.</w:t>
      </w:r>
    </w:p>
    <w:p w14:paraId="2C47C60E" w14:textId="77777777" w:rsidR="005E6965" w:rsidRDefault="005E6965" w:rsidP="005E6965">
      <w:pPr>
        <w:pStyle w:val="NoSpacing"/>
      </w:pPr>
    </w:p>
    <w:p w14:paraId="632308EB" w14:textId="030871C0" w:rsidR="00E17A0F" w:rsidRDefault="00E17A0F" w:rsidP="00E17A0F">
      <w:pPr>
        <w:pStyle w:val="Heading2"/>
      </w:pPr>
      <w:bookmarkStart w:id="21" w:name="_Toc459042394"/>
      <w:r>
        <w:t>Shifting the rate case cycle</w:t>
      </w:r>
      <w:bookmarkEnd w:id="21"/>
    </w:p>
    <w:p w14:paraId="36DCE065" w14:textId="77777777" w:rsidR="00BC64BC" w:rsidRPr="00BC64BC" w:rsidRDefault="00BC64BC" w:rsidP="00BC64BC">
      <w:pPr>
        <w:pStyle w:val="NoSpacing"/>
      </w:pPr>
    </w:p>
    <w:p w14:paraId="4A10C926" w14:textId="56DB4D30" w:rsidR="00E17A0F" w:rsidRDefault="00E17A0F" w:rsidP="00E17A0F">
      <w:pPr>
        <w:pStyle w:val="Heading8"/>
      </w:pPr>
      <w:r>
        <w:t>Q.</w:t>
      </w:r>
      <w:r>
        <w:tab/>
        <w:t xml:space="preserve">Avista has stated that it would like to shift the rate case cycle.  </w:t>
      </w:r>
      <w:r w:rsidR="001B4290">
        <w:t>Does Staff support the Company’s proposal</w:t>
      </w:r>
      <w:r>
        <w:t>?</w:t>
      </w:r>
    </w:p>
    <w:p w14:paraId="0D6A8D3C" w14:textId="30562D82" w:rsidR="00E17A0F" w:rsidRDefault="00E17A0F" w:rsidP="00E17A0F">
      <w:pPr>
        <w:pStyle w:val="NoSpacing"/>
      </w:pPr>
      <w:r>
        <w:t>A.</w:t>
      </w:r>
      <w:r>
        <w:tab/>
      </w:r>
      <w:r w:rsidR="001B4290">
        <w:t xml:space="preserve">Yes. </w:t>
      </w:r>
      <w:r w:rsidR="00D87183">
        <w:t xml:space="preserve"> </w:t>
      </w:r>
      <w:r w:rsidR="00480DD0">
        <w:t>Mr. Morris makes the case that changing the cycle of rate case filings will benefit customers by timing rate increases outside of the heating season.</w:t>
      </w:r>
      <w:r w:rsidR="00480DD0">
        <w:rPr>
          <w:rStyle w:val="FootnoteReference"/>
        </w:rPr>
        <w:footnoteReference w:id="2"/>
      </w:r>
      <w:r w:rsidR="00480DD0">
        <w:t xml:space="preserve">  Staff finds this line of reasoning appealing</w:t>
      </w:r>
      <w:r w:rsidR="001B4290">
        <w:t xml:space="preserve"> because</w:t>
      </w:r>
      <w:r w:rsidR="00D87183">
        <w:t xml:space="preserve"> it will afford customers an ample period of time to prepare for increased </w:t>
      </w:r>
      <w:r w:rsidR="00F148A4">
        <w:t>bills</w:t>
      </w:r>
      <w:r w:rsidR="00D87183">
        <w:t xml:space="preserve">, rather than experiencing a likely unexpected rise </w:t>
      </w:r>
      <w:r w:rsidR="00D87183">
        <w:lastRenderedPageBreak/>
        <w:t xml:space="preserve">in costs just when </w:t>
      </w:r>
      <w:r w:rsidR="005D5B02">
        <w:t>customers are most vulnerable</w:t>
      </w:r>
      <w:r w:rsidR="00D87183">
        <w:t xml:space="preserve">.  </w:t>
      </w:r>
      <w:r w:rsidR="001B4290">
        <w:t>Staff</w:t>
      </w:r>
      <w:r w:rsidR="00D87183">
        <w:t xml:space="preserve"> </w:t>
      </w:r>
      <w:r w:rsidR="00480DD0">
        <w:t xml:space="preserve">has also identified other reasons to encourage Avista to file </w:t>
      </w:r>
      <w:r w:rsidR="00F148A4">
        <w:t xml:space="preserve">for rates to become effective </w:t>
      </w:r>
      <w:r w:rsidR="00480DD0">
        <w:t>outside of the heating season.</w:t>
      </w:r>
    </w:p>
    <w:p w14:paraId="3F00AB4A" w14:textId="2C02FFE4" w:rsidR="001B4290" w:rsidRDefault="001B4290" w:rsidP="00E17A0F">
      <w:pPr>
        <w:pStyle w:val="NoSpacing"/>
      </w:pPr>
    </w:p>
    <w:p w14:paraId="6C20EE38" w14:textId="2DAD60C7" w:rsidR="001B4290" w:rsidRPr="001B4290" w:rsidRDefault="001B4290" w:rsidP="00BA0D4A">
      <w:pPr>
        <w:pStyle w:val="Heading8"/>
      </w:pPr>
      <w:r w:rsidRPr="001B4290">
        <w:t>Q.</w:t>
      </w:r>
      <w:r w:rsidRPr="001B4290">
        <w:tab/>
      </w:r>
      <w:r>
        <w:t>What additional benefits to stakeholders would result from a</w:t>
      </w:r>
      <w:r w:rsidRPr="001B4290">
        <w:t xml:space="preserve"> shift in the rate case cycle </w:t>
      </w:r>
      <w:r>
        <w:t>from winter to summer/fall</w:t>
      </w:r>
      <w:r w:rsidRPr="001B4290">
        <w:t>?</w:t>
      </w:r>
    </w:p>
    <w:p w14:paraId="56285F40" w14:textId="53A5ED1C" w:rsidR="00480DD0" w:rsidRDefault="001B4290" w:rsidP="00E17A0F">
      <w:pPr>
        <w:pStyle w:val="NoSpacing"/>
      </w:pPr>
      <w:r>
        <w:t>A.</w:t>
      </w:r>
      <w:r>
        <w:tab/>
      </w:r>
      <w:r w:rsidR="00480DD0">
        <w:t xml:space="preserve">Since 2013, there have been eight rate case filings from four regulated energy utilities.  </w:t>
      </w:r>
      <w:r w:rsidR="00F05BC6">
        <w:t xml:space="preserve">The Commission received six of these requests </w:t>
      </w:r>
      <w:r w:rsidR="00480DD0">
        <w:t>in winter months – defined</w:t>
      </w:r>
      <w:r w:rsidR="001A11B7">
        <w:t xml:space="preserve"> here</w:t>
      </w:r>
      <w:r w:rsidR="00480DD0">
        <w:t xml:space="preserve"> as November, December, January, or February.</w:t>
      </w:r>
      <w:r w:rsidR="00171148">
        <w:t xml:space="preserve">  A seventh was filed in March.</w:t>
      </w:r>
    </w:p>
    <w:p w14:paraId="334A76B2" w14:textId="693E7CB1" w:rsidR="00492050" w:rsidRDefault="00492050" w:rsidP="00E17A0F">
      <w:pPr>
        <w:pStyle w:val="NoSpacing"/>
      </w:pPr>
      <w:r>
        <w:tab/>
      </w:r>
      <w:r>
        <w:tab/>
      </w:r>
      <w:r w:rsidR="001B4290">
        <w:t>U</w:t>
      </w:r>
      <w:r>
        <w:t xml:space="preserve">tilities are, of course, not the only parties to these rate </w:t>
      </w:r>
      <w:r w:rsidR="00D7709A">
        <w:t xml:space="preserve">change </w:t>
      </w:r>
      <w:r>
        <w:t xml:space="preserve">requests.  </w:t>
      </w:r>
      <w:r w:rsidR="001B4290">
        <w:t>A general rate case places large demands</w:t>
      </w:r>
      <w:r>
        <w:t xml:space="preserve"> on intervening parties – Commission Staff, Public Counsel, NWIGU, ICNU</w:t>
      </w:r>
      <w:r w:rsidR="001A11B7">
        <w:t xml:space="preserve">, </w:t>
      </w:r>
      <w:r w:rsidR="005F4213">
        <w:t xml:space="preserve">and </w:t>
      </w:r>
      <w:r w:rsidR="0070008F">
        <w:t xml:space="preserve">other intervenors, as well as </w:t>
      </w:r>
      <w:r w:rsidR="001A11B7">
        <w:t>the Commissioners themselves</w:t>
      </w:r>
      <w:r>
        <w:t xml:space="preserve">.  When rate case filings from multiple companies are made within weeks of one another, </w:t>
      </w:r>
      <w:r w:rsidR="001B4290">
        <w:t xml:space="preserve">that </w:t>
      </w:r>
      <w:r>
        <w:t xml:space="preserve">burden is </w:t>
      </w:r>
      <w:r w:rsidR="001B4290">
        <w:t>increased further</w:t>
      </w:r>
      <w:r w:rsidR="00171148">
        <w:t>.</w:t>
      </w:r>
      <w:r w:rsidR="0098700D">
        <w:t xml:space="preserve">  </w:t>
      </w:r>
      <w:r w:rsidR="00F05BC6">
        <w:t>Federal holidays</w:t>
      </w:r>
      <w:r w:rsidR="0098700D">
        <w:t xml:space="preserve"> </w:t>
      </w:r>
      <w:r w:rsidR="00F05BC6">
        <w:t xml:space="preserve">in </w:t>
      </w:r>
      <w:r w:rsidR="0098700D">
        <w:t xml:space="preserve">November, December, and January </w:t>
      </w:r>
      <w:r w:rsidR="00F05BC6">
        <w:t>also slow</w:t>
      </w:r>
      <w:r w:rsidR="0098700D">
        <w:t xml:space="preserve"> </w:t>
      </w:r>
      <w:r w:rsidR="00260DCD">
        <w:t xml:space="preserve">down </w:t>
      </w:r>
      <w:r w:rsidR="0098700D">
        <w:t>the discovery process</w:t>
      </w:r>
      <w:r w:rsidR="00F05BC6">
        <w:t xml:space="preserve"> for all non-Company parties</w:t>
      </w:r>
      <w:r w:rsidR="0098700D">
        <w:t>.</w:t>
      </w:r>
      <w:r w:rsidR="00171148">
        <w:t xml:space="preserve">  </w:t>
      </w:r>
    </w:p>
    <w:p w14:paraId="0CADA351" w14:textId="602B3D26" w:rsidR="0098700D" w:rsidRDefault="0098700D" w:rsidP="00E17A0F">
      <w:pPr>
        <w:pStyle w:val="NoSpacing"/>
      </w:pPr>
      <w:r>
        <w:tab/>
      </w:r>
      <w:r>
        <w:tab/>
        <w:t>A change away from winter</w:t>
      </w:r>
      <w:r w:rsidR="00E57F84">
        <w:t>time filing dates</w:t>
      </w:r>
      <w:r w:rsidR="00F05BC6">
        <w:t xml:space="preserve"> </w:t>
      </w:r>
      <w:r w:rsidR="00E57F84">
        <w:t xml:space="preserve">would </w:t>
      </w:r>
      <w:r w:rsidR="006D5599">
        <w:t xml:space="preserve">help spread workload across the year and reduce pressures caused by coincident filings from multiple companies.  </w:t>
      </w:r>
      <w:r w:rsidR="00CA3C79">
        <w:t>Intervening parties would likely be better able to represent their</w:t>
      </w:r>
      <w:r w:rsidR="00EC5997">
        <w:t xml:space="preserve"> constituents and provide deeper</w:t>
      </w:r>
      <w:r w:rsidR="00CA3C79">
        <w:t xml:space="preserve"> analysis and commentary to the Commission in its efforts to produce outcomes in the public interest.</w:t>
      </w:r>
      <w:r w:rsidR="00F05BC6">
        <w:t xml:space="preserve"> Staff supports </w:t>
      </w:r>
      <w:r w:rsidR="001B4290">
        <w:t xml:space="preserve">practices that will lead to </w:t>
      </w:r>
      <w:r w:rsidR="00F05BC6">
        <w:t xml:space="preserve">a more thorough discovery process, </w:t>
      </w:r>
      <w:r w:rsidR="00374ED8">
        <w:t xml:space="preserve">better </w:t>
      </w:r>
      <w:r w:rsidR="00F05BC6">
        <w:t xml:space="preserve">evidentiary record, and outcomes that further the public interest. </w:t>
      </w:r>
    </w:p>
    <w:p w14:paraId="67099F57" w14:textId="0B87BD69" w:rsidR="005D5B02" w:rsidRDefault="005D5B02" w:rsidP="00E17A0F">
      <w:pPr>
        <w:pStyle w:val="NoSpacing"/>
      </w:pPr>
    </w:p>
    <w:p w14:paraId="0BE5D778" w14:textId="1BC43C5B" w:rsidR="005D5B02" w:rsidRDefault="005D5B02" w:rsidP="005D5B02">
      <w:pPr>
        <w:pStyle w:val="Heading8"/>
      </w:pPr>
      <w:r>
        <w:t>Q.</w:t>
      </w:r>
      <w:r>
        <w:tab/>
        <w:t>Are there any benefits to Avista in making a rate case filing in the summer?</w:t>
      </w:r>
    </w:p>
    <w:p w14:paraId="1872086D" w14:textId="2ECF76DF" w:rsidR="005D35FE" w:rsidRDefault="00BA0D4A" w:rsidP="00E17A0F">
      <w:pPr>
        <w:pStyle w:val="NoSpacing"/>
      </w:pPr>
      <w:r>
        <w:t>A.</w:t>
      </w:r>
      <w:r>
        <w:tab/>
      </w:r>
      <w:r w:rsidR="00CE18E4">
        <w:t>Yes.</w:t>
      </w:r>
      <w:r w:rsidR="005D5B02">
        <w:t xml:space="preserve">  Were Avista to file a rate case in the summer, it would likely use a different test period than the </w:t>
      </w:r>
      <w:r w:rsidR="009033E4">
        <w:t>October</w:t>
      </w:r>
      <w:r w:rsidR="005D5B02">
        <w:t>-to-September one used in its recent rate cases.</w:t>
      </w:r>
      <w:r w:rsidR="00600002">
        <w:t xml:space="preserve">  A change in test period and filing date could provide for a better opportunity for </w:t>
      </w:r>
      <w:r w:rsidR="00600002">
        <w:rPr>
          <w:i/>
        </w:rPr>
        <w:t>pro forma</w:t>
      </w:r>
      <w:r w:rsidR="00600002">
        <w:t xml:space="preserve"> adjustments in a modified historical test year framework to reflect</w:t>
      </w:r>
      <w:r w:rsidR="00563BFE">
        <w:t xml:space="preserve"> actual</w:t>
      </w:r>
      <w:r w:rsidR="00600002">
        <w:t xml:space="preserve"> rate base additions.</w:t>
      </w:r>
      <w:r w:rsidR="005D5B02">
        <w:t xml:space="preserve">  </w:t>
      </w:r>
      <w:r w:rsidR="00065A9F">
        <w:t>Let’s consider a</w:t>
      </w:r>
      <w:r w:rsidR="004B70B9">
        <w:t xml:space="preserve"> hypothetical</w:t>
      </w:r>
      <w:r w:rsidR="005D35FE">
        <w:t xml:space="preserve"> example in which Avista files a future rate case in July</w:t>
      </w:r>
      <w:r w:rsidR="00837387">
        <w:t>, and</w:t>
      </w:r>
      <w:r w:rsidR="005D35FE">
        <w:t xml:space="preserve"> the Company would perhaps use a</w:t>
      </w:r>
      <w:r w:rsidR="00837387">
        <w:t>n</w:t>
      </w:r>
      <w:r w:rsidR="005D35FE">
        <w:t xml:space="preserve"> </w:t>
      </w:r>
      <w:r w:rsidR="00630496">
        <w:t>April</w:t>
      </w:r>
      <w:r w:rsidR="005D35FE">
        <w:t>-to-March test year.</w:t>
      </w:r>
    </w:p>
    <w:p w14:paraId="4134A5AA" w14:textId="5ECB7C5F" w:rsidR="005D5B02" w:rsidRDefault="005D35FE" w:rsidP="00E17A0F">
      <w:pPr>
        <w:pStyle w:val="NoSpacing"/>
      </w:pPr>
      <w:r>
        <w:tab/>
      </w:r>
      <w:r>
        <w:tab/>
      </w:r>
      <w:r w:rsidR="007702B8">
        <w:t>A</w:t>
      </w:r>
      <w:r>
        <w:t xml:space="preserve"> disproportionate share of Avista’s transfers to plant occur in the fall, as the construction season comes to a close.  If Avista file</w:t>
      </w:r>
      <w:r w:rsidR="005561EA">
        <w:t>s</w:t>
      </w:r>
      <w:r>
        <w:t xml:space="preserve"> a case in </w:t>
      </w:r>
      <w:r w:rsidR="005561EA">
        <w:t xml:space="preserve">August for a </w:t>
      </w:r>
      <w:r>
        <w:t>July</w:t>
      </w:r>
      <w:r w:rsidR="005561EA">
        <w:t xml:space="preserve"> 1 effective date</w:t>
      </w:r>
      <w:r>
        <w:t xml:space="preserve">, </w:t>
      </w:r>
      <w:r w:rsidR="005561EA">
        <w:t xml:space="preserve">Staff, Public Counsel and intervenors would file </w:t>
      </w:r>
      <w:r>
        <w:t>respons</w:t>
      </w:r>
      <w:r w:rsidR="005561EA">
        <w:t>ive</w:t>
      </w:r>
      <w:r>
        <w:t xml:space="preserve"> testimony</w:t>
      </w:r>
      <w:r w:rsidR="005209B5">
        <w:t xml:space="preserve"> after the end of the construction season </w:t>
      </w:r>
      <w:r w:rsidR="00806428">
        <w:t xml:space="preserve">– </w:t>
      </w:r>
      <w:r w:rsidR="005209B5">
        <w:t xml:space="preserve"> perhaps</w:t>
      </w:r>
      <w:r>
        <w:t xml:space="preserve"> mid-January.  This sort of procedural schedule would then allow for </w:t>
      </w:r>
      <w:r>
        <w:rPr>
          <w:i/>
        </w:rPr>
        <w:t>pro forma</w:t>
      </w:r>
      <w:r>
        <w:t xml:space="preserve"> adjustments to the modified historical test year that would include </w:t>
      </w:r>
      <w:r w:rsidR="00967DB6">
        <w:t xml:space="preserve">known and measurable </w:t>
      </w:r>
      <w:r>
        <w:t xml:space="preserve">plant transfers made between the end of the test year (March) and the </w:t>
      </w:r>
      <w:r w:rsidR="005561EA">
        <w:t xml:space="preserve">end of the </w:t>
      </w:r>
      <w:r w:rsidR="005209B5">
        <w:t>construction season</w:t>
      </w:r>
      <w:r>
        <w:t>, thereby incorporating plant transfers that apparently tend to occur late in the calendar year.</w:t>
      </w:r>
      <w:r w:rsidR="000D6DD8">
        <w:t xml:space="preserve">  Put more simply, </w:t>
      </w:r>
      <w:r w:rsidR="000D6DD8" w:rsidRPr="005561EA">
        <w:t xml:space="preserve">the period for </w:t>
      </w:r>
      <w:r w:rsidR="000D6DD8" w:rsidRPr="005561EA">
        <w:rPr>
          <w:i/>
        </w:rPr>
        <w:t>pro forma</w:t>
      </w:r>
      <w:r w:rsidR="000D6DD8" w:rsidRPr="005561EA">
        <w:t xml:space="preserve"> adjustments would be aligned with the construction season</w:t>
      </w:r>
      <w:r w:rsidR="00495A26" w:rsidRPr="005561EA">
        <w:t xml:space="preserve">, </w:t>
      </w:r>
      <w:r w:rsidR="00495A26" w:rsidRPr="008E75FE">
        <w:t>thereby capturing the disproportionate amount of plant additions that occur during this period</w:t>
      </w:r>
      <w:r w:rsidR="000D6DD8" w:rsidRPr="008E75FE">
        <w:t>.</w:t>
      </w:r>
      <w:r w:rsidR="008F3E9C" w:rsidRPr="008E75FE">
        <w:t xml:space="preserve">  The</w:t>
      </w:r>
      <w:r w:rsidR="008F3E9C">
        <w:t xml:space="preserve"> graphic below provides a visual representation of this concept.</w:t>
      </w:r>
    </w:p>
    <w:p w14:paraId="37B29019" w14:textId="2AC67C82" w:rsidR="00495A26" w:rsidRPr="00495A26" w:rsidRDefault="00495A26" w:rsidP="00495A26">
      <w:pPr>
        <w:keepNext/>
        <w:keepLines/>
        <w:jc w:val="center"/>
        <w:rPr>
          <w:b/>
        </w:rPr>
      </w:pPr>
      <w:r w:rsidRPr="00F14B0B">
        <w:rPr>
          <w:b/>
        </w:rPr>
        <w:t xml:space="preserve">Illustration </w:t>
      </w:r>
      <w:r w:rsidR="00F14B0B" w:rsidRPr="00F14B0B">
        <w:rPr>
          <w:b/>
        </w:rPr>
        <w:t>1</w:t>
      </w:r>
    </w:p>
    <w:p w14:paraId="16B2C50D" w14:textId="18652196" w:rsidR="00495A26" w:rsidRDefault="004B70B9" w:rsidP="00495A26">
      <w:pPr>
        <w:keepNext/>
        <w:keepLines/>
        <w:jc w:val="center"/>
      </w:pPr>
      <w:r w:rsidRPr="004B70B9">
        <w:rPr>
          <w:noProof/>
        </w:rPr>
        <w:drawing>
          <wp:inline distT="0" distB="0" distL="0" distR="0" wp14:anchorId="783CF8F9" wp14:editId="3AE47C11">
            <wp:extent cx="5669280" cy="529596"/>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529596"/>
                    </a:xfrm>
                    <a:prstGeom prst="rect">
                      <a:avLst/>
                    </a:prstGeom>
                    <a:noFill/>
                    <a:ln>
                      <a:noFill/>
                    </a:ln>
                  </pic:spPr>
                </pic:pic>
              </a:graphicData>
            </a:graphic>
          </wp:inline>
        </w:drawing>
      </w:r>
    </w:p>
    <w:p w14:paraId="22556854" w14:textId="77777777" w:rsidR="00495A26" w:rsidRDefault="00495A26" w:rsidP="00E17A0F">
      <w:pPr>
        <w:pStyle w:val="NoSpacing"/>
      </w:pPr>
    </w:p>
    <w:p w14:paraId="7E44D1D8" w14:textId="69E0AC49" w:rsidR="00017FA6" w:rsidRDefault="005D35FE" w:rsidP="00E17A0F">
      <w:pPr>
        <w:pStyle w:val="NoSpacing"/>
      </w:pPr>
      <w:r>
        <w:lastRenderedPageBreak/>
        <w:tab/>
      </w:r>
      <w:r>
        <w:tab/>
        <w:t>The result would be that the modified historical test year ratemaking approach would</w:t>
      </w:r>
      <w:r w:rsidR="00F14B0B">
        <w:t xml:space="preserve"> be positioned to</w:t>
      </w:r>
      <w:r>
        <w:t xml:space="preserve"> more accurately reflect the rate</w:t>
      </w:r>
      <w:r w:rsidR="00563BFE">
        <w:t xml:space="preserve"> </w:t>
      </w:r>
      <w:r>
        <w:t>base balances in the rate-effective period – thereby mitigating one cause of attrition.</w:t>
      </w:r>
    </w:p>
    <w:p w14:paraId="3B97E8C5" w14:textId="77777777" w:rsidR="00837387" w:rsidRDefault="00837387" w:rsidP="00E17A0F">
      <w:pPr>
        <w:pStyle w:val="NoSpacing"/>
      </w:pPr>
    </w:p>
    <w:p w14:paraId="2E77DAB6" w14:textId="57229E6F" w:rsidR="00837387" w:rsidRPr="00837387" w:rsidRDefault="00837387" w:rsidP="00E17A0F">
      <w:pPr>
        <w:pStyle w:val="NoSpacing"/>
        <w:rPr>
          <w:b/>
        </w:rPr>
      </w:pPr>
      <w:r w:rsidRPr="00837387">
        <w:rPr>
          <w:b/>
        </w:rPr>
        <w:t>Q.</w:t>
      </w:r>
      <w:r w:rsidRPr="00837387">
        <w:rPr>
          <w:b/>
        </w:rPr>
        <w:tab/>
        <w:t xml:space="preserve">How much does the </w:t>
      </w:r>
      <w:r w:rsidRPr="001E2109">
        <w:rPr>
          <w:b/>
          <w:i/>
        </w:rPr>
        <w:t>pro forma</w:t>
      </w:r>
      <w:r w:rsidRPr="00837387">
        <w:rPr>
          <w:b/>
        </w:rPr>
        <w:t xml:space="preserve"> period actually matter?</w:t>
      </w:r>
    </w:p>
    <w:p w14:paraId="7B92FACD" w14:textId="40EEAC89" w:rsidR="00017FA6" w:rsidRDefault="00837387" w:rsidP="00E17A0F">
      <w:pPr>
        <w:pStyle w:val="NoSpacing"/>
      </w:pPr>
      <w:r>
        <w:t>A.</w:t>
      </w:r>
      <w:r>
        <w:tab/>
      </w:r>
      <w:r w:rsidR="00017FA6">
        <w:t xml:space="preserve">The table below is </w:t>
      </w:r>
      <w:r w:rsidR="00CD10A7">
        <w:t xml:space="preserve">adapted </w:t>
      </w:r>
      <w:r w:rsidR="00017FA6">
        <w:t xml:space="preserve">from the Company’s response to </w:t>
      </w:r>
      <w:r w:rsidR="00E22823">
        <w:t xml:space="preserve">UTC </w:t>
      </w:r>
      <w:r w:rsidR="00017FA6">
        <w:t>Staff D</w:t>
      </w:r>
      <w:r w:rsidR="00E22823">
        <w:t>ata Request No.</w:t>
      </w:r>
      <w:r w:rsidR="00017FA6">
        <w:t xml:space="preserve"> 160, and demonstrates that the </w:t>
      </w:r>
      <w:r w:rsidR="00017FA6">
        <w:rPr>
          <w:i/>
        </w:rPr>
        <w:t>pro forma</w:t>
      </w:r>
      <w:r w:rsidR="00017FA6">
        <w:t xml:space="preserve"> period matters quite a bit.  The average percent of transfers by month is </w:t>
      </w:r>
      <w:r w:rsidR="001E2109">
        <w:t xml:space="preserve">shown </w:t>
      </w:r>
      <w:r w:rsidR="00017FA6">
        <w:t>in the first row.  The second row calculates the average total percent transfers f</w:t>
      </w:r>
      <w:r w:rsidR="008E75FE">
        <w:t>or</w:t>
      </w:r>
      <w:r w:rsidR="00017FA6">
        <w:t xml:space="preserve"> the eight months beginning for the month in question.  Eight months is an approximate period of time over which </w:t>
      </w:r>
      <w:r w:rsidR="00017FA6">
        <w:rPr>
          <w:i/>
        </w:rPr>
        <w:t>pro forma</w:t>
      </w:r>
      <w:r w:rsidR="008E75FE">
        <w:t xml:space="preserve"> additions can be verified.  The table shows that a</w:t>
      </w:r>
      <w:r w:rsidR="00017FA6">
        <w:t xml:space="preserve">n eight-month </w:t>
      </w:r>
      <w:r w:rsidR="00017FA6">
        <w:rPr>
          <w:i/>
        </w:rPr>
        <w:t>pro forma</w:t>
      </w:r>
      <w:r w:rsidR="00017FA6">
        <w:t xml:space="preserve"> period beginning in January would generally only be able to capture 55% of the capital additions made by the Company over the course of a year, whereas a </w:t>
      </w:r>
      <w:r w:rsidR="00017FA6">
        <w:rPr>
          <w:i/>
        </w:rPr>
        <w:t>pro forma</w:t>
      </w:r>
      <w:r w:rsidR="00017FA6">
        <w:t xml:space="preserve"> period beginning in May would generally be able to capture 75% of those capital additions.</w:t>
      </w:r>
      <w:r w:rsidDel="00837387">
        <w:rPr>
          <w:rStyle w:val="FootnoteReference"/>
        </w:rPr>
        <w:t xml:space="preserve"> </w:t>
      </w:r>
    </w:p>
    <w:p w14:paraId="1F3E7A6B" w14:textId="77777777" w:rsidR="00017FA6" w:rsidRDefault="00017FA6" w:rsidP="00E17A0F">
      <w:pPr>
        <w:pStyle w:val="NoSpacing"/>
      </w:pPr>
    </w:p>
    <w:p w14:paraId="314EDC72" w14:textId="3F8E23FF" w:rsidR="008E75FE" w:rsidRPr="008E75FE" w:rsidRDefault="008E75FE" w:rsidP="008E75FE">
      <w:pPr>
        <w:pStyle w:val="NoSpacing"/>
        <w:keepNext/>
        <w:keepLines/>
        <w:spacing w:line="240" w:lineRule="auto"/>
        <w:jc w:val="center"/>
        <w:rPr>
          <w:b/>
        </w:rPr>
      </w:pPr>
      <w:r w:rsidRPr="00CB1F0F">
        <w:rPr>
          <w:b/>
        </w:rPr>
        <w:t xml:space="preserve">Table </w:t>
      </w:r>
      <w:r w:rsidR="00CB1F0F" w:rsidRPr="00CB1F0F">
        <w:rPr>
          <w:b/>
        </w:rPr>
        <w:t>1</w:t>
      </w:r>
    </w:p>
    <w:tbl>
      <w:tblPr>
        <w:tblW w:w="8882" w:type="dxa"/>
        <w:jc w:val="center"/>
        <w:tblLook w:val="04A0" w:firstRow="1" w:lastRow="0" w:firstColumn="1" w:lastColumn="0" w:noHBand="0" w:noVBand="1"/>
      </w:tblPr>
      <w:tblGrid>
        <w:gridCol w:w="1637"/>
        <w:gridCol w:w="605"/>
        <w:gridCol w:w="605"/>
        <w:gridCol w:w="605"/>
        <w:gridCol w:w="605"/>
        <w:gridCol w:w="626"/>
        <w:gridCol w:w="597"/>
        <w:gridCol w:w="605"/>
        <w:gridCol w:w="605"/>
        <w:gridCol w:w="605"/>
        <w:gridCol w:w="605"/>
        <w:gridCol w:w="605"/>
        <w:gridCol w:w="605"/>
      </w:tblGrid>
      <w:tr w:rsidR="00017FA6" w:rsidRPr="00017FA6" w14:paraId="200BB8C7" w14:textId="77777777" w:rsidTr="00837387">
        <w:trPr>
          <w:trHeight w:val="250"/>
          <w:jc w:val="center"/>
        </w:trPr>
        <w:tc>
          <w:tcPr>
            <w:tcW w:w="1637" w:type="dxa"/>
            <w:tcBorders>
              <w:top w:val="nil"/>
              <w:left w:val="nil"/>
              <w:bottom w:val="nil"/>
              <w:right w:val="nil"/>
            </w:tcBorders>
            <w:shd w:val="clear" w:color="auto" w:fill="auto"/>
            <w:noWrap/>
            <w:vAlign w:val="bottom"/>
            <w:hideMark/>
          </w:tcPr>
          <w:p w14:paraId="1291B5E8" w14:textId="77777777" w:rsidR="00017FA6" w:rsidRPr="00017FA6" w:rsidRDefault="00017FA6" w:rsidP="008E75FE">
            <w:pPr>
              <w:keepNext/>
              <w:keepLines/>
              <w:rPr>
                <w:rFonts w:eastAsia="Times New Roman"/>
              </w:rPr>
            </w:pP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C3D2D"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Jan</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39C3D485"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Feb</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28BCBED2"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Mar</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6BF14339"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Apr</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21ACBFBF"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May</w:t>
            </w: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7B44B45C"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Jun</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15C8338C"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Jul</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3C6E3ABB"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Aug</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6BCFEC9A"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Sep</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22B4B387"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Oct</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095804F5"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Nov</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10C2E65A" w14:textId="77777777" w:rsidR="00017FA6" w:rsidRPr="00017FA6" w:rsidRDefault="00017FA6" w:rsidP="008E75FE">
            <w:pPr>
              <w:keepNext/>
              <w:keepLines/>
              <w:jc w:val="center"/>
              <w:rPr>
                <w:rFonts w:ascii="Calibri" w:eastAsia="Times New Roman" w:hAnsi="Calibri"/>
                <w:b/>
                <w:bCs/>
                <w:color w:val="000000"/>
                <w:sz w:val="22"/>
                <w:szCs w:val="22"/>
              </w:rPr>
            </w:pPr>
            <w:r w:rsidRPr="00017FA6">
              <w:rPr>
                <w:rFonts w:ascii="Calibri" w:eastAsia="Times New Roman" w:hAnsi="Calibri"/>
                <w:b/>
                <w:bCs/>
                <w:color w:val="000000"/>
                <w:sz w:val="22"/>
                <w:szCs w:val="22"/>
              </w:rPr>
              <w:t>Dec</w:t>
            </w:r>
          </w:p>
        </w:tc>
      </w:tr>
      <w:tr w:rsidR="00017FA6" w:rsidRPr="00017FA6" w14:paraId="4437555C" w14:textId="77777777" w:rsidTr="00837387">
        <w:trPr>
          <w:trHeight w:val="250"/>
          <w:jc w:val="center"/>
        </w:trPr>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78F7" w14:textId="5E66016B" w:rsidR="00017FA6" w:rsidRPr="00017FA6" w:rsidRDefault="008E75FE" w:rsidP="008E75FE">
            <w:pPr>
              <w:keepNext/>
              <w:keepLines/>
              <w:jc w:val="right"/>
              <w:rPr>
                <w:rFonts w:ascii="Calibri" w:eastAsia="Times New Roman" w:hAnsi="Calibri"/>
                <w:b/>
                <w:bCs/>
                <w:color w:val="000000"/>
                <w:sz w:val="22"/>
                <w:szCs w:val="22"/>
              </w:rPr>
            </w:pPr>
            <w:r>
              <w:rPr>
                <w:rFonts w:ascii="Calibri" w:eastAsia="Times New Roman" w:hAnsi="Calibri"/>
                <w:b/>
                <w:bCs/>
                <w:color w:val="000000"/>
                <w:sz w:val="22"/>
                <w:szCs w:val="22"/>
              </w:rPr>
              <w:t>Avg % trans</w:t>
            </w:r>
            <w:r w:rsidR="00017FA6" w:rsidRPr="00017FA6">
              <w:rPr>
                <w:rFonts w:ascii="Calibri" w:eastAsia="Times New Roman" w:hAnsi="Calibri"/>
                <w:b/>
                <w:bCs/>
                <w:color w:val="000000"/>
                <w:sz w:val="22"/>
                <w:szCs w:val="22"/>
              </w:rPr>
              <w:t>fer per month:</w:t>
            </w:r>
          </w:p>
        </w:tc>
        <w:tc>
          <w:tcPr>
            <w:tcW w:w="605" w:type="dxa"/>
            <w:tcBorders>
              <w:top w:val="nil"/>
              <w:left w:val="nil"/>
              <w:bottom w:val="single" w:sz="4" w:space="0" w:color="auto"/>
              <w:right w:val="single" w:sz="4" w:space="0" w:color="auto"/>
            </w:tcBorders>
            <w:shd w:val="clear" w:color="auto" w:fill="auto"/>
            <w:noWrap/>
            <w:vAlign w:val="bottom"/>
            <w:hideMark/>
          </w:tcPr>
          <w:p w14:paraId="6579914A"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4%</w:t>
            </w:r>
          </w:p>
        </w:tc>
        <w:tc>
          <w:tcPr>
            <w:tcW w:w="605" w:type="dxa"/>
            <w:tcBorders>
              <w:top w:val="nil"/>
              <w:left w:val="nil"/>
              <w:bottom w:val="single" w:sz="4" w:space="0" w:color="auto"/>
              <w:right w:val="single" w:sz="4" w:space="0" w:color="auto"/>
            </w:tcBorders>
            <w:shd w:val="clear" w:color="auto" w:fill="auto"/>
            <w:noWrap/>
            <w:vAlign w:val="bottom"/>
            <w:hideMark/>
          </w:tcPr>
          <w:p w14:paraId="03C7C3F0"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9%</w:t>
            </w:r>
          </w:p>
        </w:tc>
        <w:tc>
          <w:tcPr>
            <w:tcW w:w="605" w:type="dxa"/>
            <w:tcBorders>
              <w:top w:val="nil"/>
              <w:left w:val="nil"/>
              <w:bottom w:val="single" w:sz="4" w:space="0" w:color="auto"/>
              <w:right w:val="single" w:sz="4" w:space="0" w:color="auto"/>
            </w:tcBorders>
            <w:shd w:val="clear" w:color="auto" w:fill="auto"/>
            <w:noWrap/>
            <w:vAlign w:val="bottom"/>
            <w:hideMark/>
          </w:tcPr>
          <w:p w14:paraId="21B491ED"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7%</w:t>
            </w:r>
          </w:p>
        </w:tc>
        <w:tc>
          <w:tcPr>
            <w:tcW w:w="605" w:type="dxa"/>
            <w:tcBorders>
              <w:top w:val="nil"/>
              <w:left w:val="nil"/>
              <w:bottom w:val="single" w:sz="4" w:space="0" w:color="auto"/>
              <w:right w:val="single" w:sz="4" w:space="0" w:color="auto"/>
            </w:tcBorders>
            <w:shd w:val="clear" w:color="auto" w:fill="auto"/>
            <w:noWrap/>
            <w:vAlign w:val="bottom"/>
            <w:hideMark/>
          </w:tcPr>
          <w:p w14:paraId="274EEC5E"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5%</w:t>
            </w:r>
          </w:p>
        </w:tc>
        <w:tc>
          <w:tcPr>
            <w:tcW w:w="626" w:type="dxa"/>
            <w:tcBorders>
              <w:top w:val="nil"/>
              <w:left w:val="nil"/>
              <w:bottom w:val="single" w:sz="4" w:space="0" w:color="auto"/>
              <w:right w:val="single" w:sz="4" w:space="0" w:color="auto"/>
            </w:tcBorders>
            <w:shd w:val="clear" w:color="auto" w:fill="auto"/>
            <w:noWrap/>
            <w:vAlign w:val="bottom"/>
            <w:hideMark/>
          </w:tcPr>
          <w:p w14:paraId="19CE9FA0"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8%</w:t>
            </w:r>
          </w:p>
        </w:tc>
        <w:tc>
          <w:tcPr>
            <w:tcW w:w="569" w:type="dxa"/>
            <w:tcBorders>
              <w:top w:val="nil"/>
              <w:left w:val="nil"/>
              <w:bottom w:val="single" w:sz="4" w:space="0" w:color="auto"/>
              <w:right w:val="single" w:sz="4" w:space="0" w:color="auto"/>
            </w:tcBorders>
            <w:shd w:val="clear" w:color="auto" w:fill="auto"/>
            <w:noWrap/>
            <w:vAlign w:val="bottom"/>
            <w:hideMark/>
          </w:tcPr>
          <w:p w14:paraId="26CE8FEC"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8%</w:t>
            </w:r>
          </w:p>
        </w:tc>
        <w:tc>
          <w:tcPr>
            <w:tcW w:w="605" w:type="dxa"/>
            <w:tcBorders>
              <w:top w:val="nil"/>
              <w:left w:val="nil"/>
              <w:bottom w:val="single" w:sz="4" w:space="0" w:color="auto"/>
              <w:right w:val="single" w:sz="4" w:space="0" w:color="auto"/>
            </w:tcBorders>
            <w:shd w:val="clear" w:color="auto" w:fill="auto"/>
            <w:noWrap/>
            <w:vAlign w:val="bottom"/>
            <w:hideMark/>
          </w:tcPr>
          <w:p w14:paraId="5D741F8F"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6%</w:t>
            </w:r>
          </w:p>
        </w:tc>
        <w:tc>
          <w:tcPr>
            <w:tcW w:w="605" w:type="dxa"/>
            <w:tcBorders>
              <w:top w:val="nil"/>
              <w:left w:val="nil"/>
              <w:bottom w:val="single" w:sz="4" w:space="0" w:color="auto"/>
              <w:right w:val="single" w:sz="4" w:space="0" w:color="auto"/>
            </w:tcBorders>
            <w:shd w:val="clear" w:color="auto" w:fill="auto"/>
            <w:noWrap/>
            <w:vAlign w:val="bottom"/>
            <w:hideMark/>
          </w:tcPr>
          <w:p w14:paraId="4AEB8E16"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8%</w:t>
            </w:r>
          </w:p>
        </w:tc>
        <w:tc>
          <w:tcPr>
            <w:tcW w:w="605" w:type="dxa"/>
            <w:tcBorders>
              <w:top w:val="nil"/>
              <w:left w:val="nil"/>
              <w:bottom w:val="single" w:sz="4" w:space="0" w:color="auto"/>
              <w:right w:val="single" w:sz="4" w:space="0" w:color="auto"/>
            </w:tcBorders>
            <w:shd w:val="clear" w:color="auto" w:fill="auto"/>
            <w:noWrap/>
            <w:vAlign w:val="bottom"/>
            <w:hideMark/>
          </w:tcPr>
          <w:p w14:paraId="49B6B35D"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11%</w:t>
            </w:r>
          </w:p>
        </w:tc>
        <w:tc>
          <w:tcPr>
            <w:tcW w:w="605" w:type="dxa"/>
            <w:tcBorders>
              <w:top w:val="nil"/>
              <w:left w:val="nil"/>
              <w:bottom w:val="single" w:sz="4" w:space="0" w:color="auto"/>
              <w:right w:val="single" w:sz="4" w:space="0" w:color="auto"/>
            </w:tcBorders>
            <w:shd w:val="clear" w:color="auto" w:fill="auto"/>
            <w:noWrap/>
            <w:vAlign w:val="bottom"/>
            <w:hideMark/>
          </w:tcPr>
          <w:p w14:paraId="010BDAAB"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8%</w:t>
            </w:r>
          </w:p>
        </w:tc>
        <w:tc>
          <w:tcPr>
            <w:tcW w:w="605" w:type="dxa"/>
            <w:tcBorders>
              <w:top w:val="nil"/>
              <w:left w:val="nil"/>
              <w:bottom w:val="single" w:sz="4" w:space="0" w:color="auto"/>
              <w:right w:val="single" w:sz="4" w:space="0" w:color="auto"/>
            </w:tcBorders>
            <w:shd w:val="clear" w:color="auto" w:fill="auto"/>
            <w:noWrap/>
            <w:vAlign w:val="bottom"/>
            <w:hideMark/>
          </w:tcPr>
          <w:p w14:paraId="3ED08A78"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9%</w:t>
            </w:r>
          </w:p>
        </w:tc>
        <w:tc>
          <w:tcPr>
            <w:tcW w:w="605" w:type="dxa"/>
            <w:tcBorders>
              <w:top w:val="nil"/>
              <w:left w:val="nil"/>
              <w:bottom w:val="single" w:sz="4" w:space="0" w:color="auto"/>
              <w:right w:val="single" w:sz="4" w:space="0" w:color="auto"/>
            </w:tcBorders>
            <w:shd w:val="clear" w:color="auto" w:fill="auto"/>
            <w:noWrap/>
            <w:vAlign w:val="bottom"/>
            <w:hideMark/>
          </w:tcPr>
          <w:p w14:paraId="615CE7D9"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18%</w:t>
            </w:r>
          </w:p>
        </w:tc>
      </w:tr>
      <w:tr w:rsidR="00017FA6" w:rsidRPr="00017FA6" w14:paraId="6C8C42A3" w14:textId="77777777" w:rsidTr="00837387">
        <w:trPr>
          <w:trHeight w:val="25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19D288FC" w14:textId="111B0BBA" w:rsidR="00017FA6" w:rsidRPr="00017FA6" w:rsidRDefault="00017FA6" w:rsidP="008E75FE">
            <w:pPr>
              <w:keepNext/>
              <w:keepLines/>
              <w:jc w:val="right"/>
              <w:rPr>
                <w:rFonts w:ascii="Calibri" w:eastAsia="Times New Roman" w:hAnsi="Calibri"/>
                <w:b/>
                <w:bCs/>
                <w:color w:val="000000"/>
                <w:sz w:val="22"/>
                <w:szCs w:val="22"/>
              </w:rPr>
            </w:pPr>
            <w:r w:rsidRPr="00017FA6">
              <w:rPr>
                <w:rFonts w:ascii="Calibri" w:eastAsia="Times New Roman" w:hAnsi="Calibri"/>
                <w:b/>
                <w:bCs/>
                <w:color w:val="000000"/>
                <w:sz w:val="22"/>
                <w:szCs w:val="22"/>
              </w:rPr>
              <w:t xml:space="preserve">Total % </w:t>
            </w:r>
            <w:r w:rsidR="008E75FE">
              <w:rPr>
                <w:rFonts w:ascii="Calibri" w:eastAsia="Times New Roman" w:hAnsi="Calibri"/>
                <w:b/>
                <w:bCs/>
                <w:color w:val="000000"/>
                <w:sz w:val="22"/>
                <w:szCs w:val="22"/>
              </w:rPr>
              <w:t>trans</w:t>
            </w:r>
            <w:r w:rsidRPr="00017FA6">
              <w:rPr>
                <w:rFonts w:ascii="Calibri" w:eastAsia="Times New Roman" w:hAnsi="Calibri"/>
                <w:b/>
                <w:bCs/>
                <w:color w:val="000000"/>
                <w:sz w:val="22"/>
                <w:szCs w:val="22"/>
              </w:rPr>
              <w:t>fer for 8 mos. starting:</w:t>
            </w:r>
          </w:p>
        </w:tc>
        <w:tc>
          <w:tcPr>
            <w:tcW w:w="605" w:type="dxa"/>
            <w:tcBorders>
              <w:top w:val="nil"/>
              <w:left w:val="nil"/>
              <w:bottom w:val="single" w:sz="4" w:space="0" w:color="auto"/>
              <w:right w:val="single" w:sz="4" w:space="0" w:color="auto"/>
            </w:tcBorders>
            <w:shd w:val="clear" w:color="auto" w:fill="auto"/>
            <w:noWrap/>
            <w:vAlign w:val="bottom"/>
            <w:hideMark/>
          </w:tcPr>
          <w:p w14:paraId="3CDDE7DD"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55%</w:t>
            </w:r>
          </w:p>
        </w:tc>
        <w:tc>
          <w:tcPr>
            <w:tcW w:w="605" w:type="dxa"/>
            <w:tcBorders>
              <w:top w:val="nil"/>
              <w:left w:val="nil"/>
              <w:bottom w:val="single" w:sz="4" w:space="0" w:color="auto"/>
              <w:right w:val="single" w:sz="4" w:space="0" w:color="auto"/>
            </w:tcBorders>
            <w:shd w:val="clear" w:color="auto" w:fill="auto"/>
            <w:noWrap/>
            <w:vAlign w:val="bottom"/>
            <w:hideMark/>
          </w:tcPr>
          <w:p w14:paraId="2814EB98"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61%</w:t>
            </w:r>
          </w:p>
        </w:tc>
        <w:tc>
          <w:tcPr>
            <w:tcW w:w="605" w:type="dxa"/>
            <w:tcBorders>
              <w:top w:val="nil"/>
              <w:left w:val="nil"/>
              <w:bottom w:val="single" w:sz="4" w:space="0" w:color="auto"/>
              <w:right w:val="single" w:sz="4" w:space="0" w:color="auto"/>
            </w:tcBorders>
            <w:shd w:val="clear" w:color="auto" w:fill="auto"/>
            <w:noWrap/>
            <w:vAlign w:val="bottom"/>
            <w:hideMark/>
          </w:tcPr>
          <w:p w14:paraId="459EE5AF"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60%</w:t>
            </w:r>
          </w:p>
        </w:tc>
        <w:tc>
          <w:tcPr>
            <w:tcW w:w="605" w:type="dxa"/>
            <w:tcBorders>
              <w:top w:val="nil"/>
              <w:left w:val="nil"/>
              <w:bottom w:val="single" w:sz="4" w:space="0" w:color="auto"/>
              <w:right w:val="single" w:sz="4" w:space="0" w:color="auto"/>
            </w:tcBorders>
            <w:shd w:val="clear" w:color="auto" w:fill="auto"/>
            <w:noWrap/>
            <w:vAlign w:val="bottom"/>
            <w:hideMark/>
          </w:tcPr>
          <w:p w14:paraId="7BDE3EA4"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62%</w:t>
            </w:r>
          </w:p>
        </w:tc>
        <w:tc>
          <w:tcPr>
            <w:tcW w:w="626" w:type="dxa"/>
            <w:tcBorders>
              <w:top w:val="nil"/>
              <w:left w:val="nil"/>
              <w:bottom w:val="single" w:sz="4" w:space="0" w:color="auto"/>
              <w:right w:val="single" w:sz="4" w:space="0" w:color="auto"/>
            </w:tcBorders>
            <w:shd w:val="clear" w:color="auto" w:fill="auto"/>
            <w:noWrap/>
            <w:vAlign w:val="bottom"/>
            <w:hideMark/>
          </w:tcPr>
          <w:p w14:paraId="18161224"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75%</w:t>
            </w:r>
          </w:p>
        </w:tc>
        <w:tc>
          <w:tcPr>
            <w:tcW w:w="569" w:type="dxa"/>
            <w:tcBorders>
              <w:top w:val="nil"/>
              <w:left w:val="nil"/>
              <w:bottom w:val="single" w:sz="4" w:space="0" w:color="auto"/>
              <w:right w:val="single" w:sz="4" w:space="0" w:color="auto"/>
            </w:tcBorders>
            <w:shd w:val="clear" w:color="auto" w:fill="auto"/>
            <w:noWrap/>
            <w:vAlign w:val="bottom"/>
            <w:hideMark/>
          </w:tcPr>
          <w:p w14:paraId="21C2AC99"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71%</w:t>
            </w:r>
          </w:p>
        </w:tc>
        <w:tc>
          <w:tcPr>
            <w:tcW w:w="605" w:type="dxa"/>
            <w:tcBorders>
              <w:top w:val="nil"/>
              <w:left w:val="nil"/>
              <w:bottom w:val="single" w:sz="4" w:space="0" w:color="auto"/>
              <w:right w:val="single" w:sz="4" w:space="0" w:color="auto"/>
            </w:tcBorders>
            <w:shd w:val="clear" w:color="auto" w:fill="auto"/>
            <w:noWrap/>
            <w:vAlign w:val="bottom"/>
            <w:hideMark/>
          </w:tcPr>
          <w:p w14:paraId="446421EE"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72%</w:t>
            </w:r>
          </w:p>
        </w:tc>
        <w:tc>
          <w:tcPr>
            <w:tcW w:w="605" w:type="dxa"/>
            <w:tcBorders>
              <w:top w:val="nil"/>
              <w:left w:val="nil"/>
              <w:bottom w:val="single" w:sz="4" w:space="0" w:color="auto"/>
              <w:right w:val="single" w:sz="4" w:space="0" w:color="auto"/>
            </w:tcBorders>
            <w:shd w:val="clear" w:color="auto" w:fill="auto"/>
            <w:noWrap/>
            <w:vAlign w:val="bottom"/>
            <w:hideMark/>
          </w:tcPr>
          <w:p w14:paraId="507671B7"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73%</w:t>
            </w:r>
          </w:p>
        </w:tc>
        <w:tc>
          <w:tcPr>
            <w:tcW w:w="605" w:type="dxa"/>
            <w:tcBorders>
              <w:top w:val="nil"/>
              <w:left w:val="nil"/>
              <w:bottom w:val="single" w:sz="4" w:space="0" w:color="auto"/>
              <w:right w:val="single" w:sz="4" w:space="0" w:color="auto"/>
            </w:tcBorders>
            <w:shd w:val="clear" w:color="auto" w:fill="auto"/>
            <w:noWrap/>
            <w:vAlign w:val="bottom"/>
            <w:hideMark/>
          </w:tcPr>
          <w:p w14:paraId="6AF5538B"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71%</w:t>
            </w:r>
          </w:p>
        </w:tc>
        <w:tc>
          <w:tcPr>
            <w:tcW w:w="605" w:type="dxa"/>
            <w:tcBorders>
              <w:top w:val="nil"/>
              <w:left w:val="nil"/>
              <w:bottom w:val="single" w:sz="4" w:space="0" w:color="auto"/>
              <w:right w:val="single" w:sz="4" w:space="0" w:color="auto"/>
            </w:tcBorders>
            <w:shd w:val="clear" w:color="auto" w:fill="auto"/>
            <w:noWrap/>
            <w:vAlign w:val="bottom"/>
            <w:hideMark/>
          </w:tcPr>
          <w:p w14:paraId="6092E212"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68%</w:t>
            </w:r>
          </w:p>
        </w:tc>
        <w:tc>
          <w:tcPr>
            <w:tcW w:w="605" w:type="dxa"/>
            <w:tcBorders>
              <w:top w:val="nil"/>
              <w:left w:val="nil"/>
              <w:bottom w:val="single" w:sz="4" w:space="0" w:color="auto"/>
              <w:right w:val="single" w:sz="4" w:space="0" w:color="auto"/>
            </w:tcBorders>
            <w:shd w:val="clear" w:color="auto" w:fill="auto"/>
            <w:noWrap/>
            <w:vAlign w:val="bottom"/>
            <w:hideMark/>
          </w:tcPr>
          <w:p w14:paraId="7DF7C000"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68%</w:t>
            </w:r>
          </w:p>
        </w:tc>
        <w:tc>
          <w:tcPr>
            <w:tcW w:w="605" w:type="dxa"/>
            <w:tcBorders>
              <w:top w:val="nil"/>
              <w:left w:val="nil"/>
              <w:bottom w:val="single" w:sz="4" w:space="0" w:color="auto"/>
              <w:right w:val="single" w:sz="4" w:space="0" w:color="auto"/>
            </w:tcBorders>
            <w:shd w:val="clear" w:color="auto" w:fill="auto"/>
            <w:noWrap/>
            <w:vAlign w:val="bottom"/>
            <w:hideMark/>
          </w:tcPr>
          <w:p w14:paraId="248DBCAF" w14:textId="77777777" w:rsidR="00017FA6" w:rsidRPr="00017FA6" w:rsidRDefault="00017FA6" w:rsidP="008E75FE">
            <w:pPr>
              <w:keepNext/>
              <w:keepLines/>
              <w:jc w:val="center"/>
              <w:rPr>
                <w:rFonts w:ascii="Calibri" w:eastAsia="Times New Roman" w:hAnsi="Calibri"/>
                <w:color w:val="000000"/>
                <w:sz w:val="22"/>
                <w:szCs w:val="22"/>
              </w:rPr>
            </w:pPr>
            <w:r w:rsidRPr="00017FA6">
              <w:rPr>
                <w:rFonts w:ascii="Calibri" w:eastAsia="Times New Roman" w:hAnsi="Calibri"/>
                <w:color w:val="000000"/>
                <w:sz w:val="22"/>
                <w:szCs w:val="22"/>
              </w:rPr>
              <w:t>65%</w:t>
            </w:r>
          </w:p>
        </w:tc>
      </w:tr>
    </w:tbl>
    <w:p w14:paraId="5E0C4017" w14:textId="77777777" w:rsidR="00017FA6" w:rsidRDefault="00017FA6" w:rsidP="00E17A0F">
      <w:pPr>
        <w:pStyle w:val="NoSpacing"/>
      </w:pPr>
    </w:p>
    <w:p w14:paraId="14E3B401" w14:textId="044C7328" w:rsidR="00F95FB3" w:rsidRPr="00E17A0F" w:rsidRDefault="00F95FB3" w:rsidP="00E17A0F">
      <w:pPr>
        <w:pStyle w:val="NoSpacing"/>
      </w:pPr>
      <w:r>
        <w:tab/>
      </w:r>
      <w:r>
        <w:tab/>
        <w:t>Of course, the timing of rate case filings is completely under the Company’s control.</w:t>
      </w:r>
    </w:p>
    <w:p w14:paraId="2E355799" w14:textId="77777777" w:rsidR="00724E87" w:rsidRPr="00724E87" w:rsidRDefault="00724E87" w:rsidP="00E17A0F">
      <w:pPr>
        <w:pStyle w:val="NoSpacing"/>
      </w:pPr>
    </w:p>
    <w:p w14:paraId="5DC0BE0A" w14:textId="49EFFFD6" w:rsidR="00942E03" w:rsidRDefault="00C64A60">
      <w:pPr>
        <w:pStyle w:val="Heading2"/>
      </w:pPr>
      <w:bookmarkStart w:id="22" w:name="_Toc459042395"/>
      <w:r>
        <w:lastRenderedPageBreak/>
        <w:t>One</w:t>
      </w:r>
      <w:r w:rsidR="00942E03">
        <w:t xml:space="preserve"> rate i</w:t>
      </w:r>
      <w:bookmarkStart w:id="23" w:name="OneRateIncrease"/>
      <w:r w:rsidR="00942E03">
        <w:t>ncrea</w:t>
      </w:r>
      <w:bookmarkEnd w:id="23"/>
      <w:r w:rsidR="00942E03">
        <w:t>se</w:t>
      </w:r>
      <w:bookmarkEnd w:id="22"/>
    </w:p>
    <w:p w14:paraId="2B9C9D0E" w14:textId="77777777" w:rsidR="00942E03" w:rsidRDefault="00942E03" w:rsidP="00942E03">
      <w:pPr>
        <w:pStyle w:val="NoSpacing"/>
      </w:pPr>
    </w:p>
    <w:p w14:paraId="4C1BB4C3" w14:textId="35C6E17B" w:rsidR="00942E03" w:rsidRDefault="00942E03" w:rsidP="00942E03">
      <w:pPr>
        <w:pStyle w:val="Heading8"/>
      </w:pPr>
      <w:r>
        <w:t>Q.</w:t>
      </w:r>
      <w:r>
        <w:tab/>
        <w:t xml:space="preserve">For both electric and natural gas service, the Company has proposed a rate increase to take effect in </w:t>
      </w:r>
      <w:r w:rsidR="00636BCE">
        <w:t xml:space="preserve">January </w:t>
      </w:r>
      <w:r>
        <w:t xml:space="preserve">2017, and another for </w:t>
      </w:r>
      <w:r w:rsidR="00636BCE">
        <w:t xml:space="preserve">January </w:t>
      </w:r>
      <w:r>
        <w:t>2018.  Does Staff agree with this approach?</w:t>
      </w:r>
    </w:p>
    <w:p w14:paraId="5A09FA9D" w14:textId="4CBF6756" w:rsidR="00942E03" w:rsidRDefault="00942E03" w:rsidP="00942E03">
      <w:pPr>
        <w:pStyle w:val="NoSpacing"/>
      </w:pPr>
      <w:r>
        <w:t>A.</w:t>
      </w:r>
      <w:r>
        <w:tab/>
        <w:t xml:space="preserve">No. </w:t>
      </w:r>
      <w:r w:rsidR="005953E1">
        <w:t xml:space="preserve"> Staff </w:t>
      </w:r>
      <w:r w:rsidR="00636BCE">
        <w:t xml:space="preserve">proposes </w:t>
      </w:r>
      <w:r w:rsidR="005953E1">
        <w:t>a single rate increase effective January 1, 2017</w:t>
      </w:r>
      <w:r w:rsidR="00E22823">
        <w:t>,</w:t>
      </w:r>
      <w:r w:rsidR="005953E1">
        <w:t xml:space="preserve"> that will </w:t>
      </w:r>
      <w:r w:rsidR="00837387">
        <w:t xml:space="preserve">allow </w:t>
      </w:r>
      <w:r w:rsidR="005953E1">
        <w:t>revenues sufficient to provide the Company an opportunity to achieve a return on equity of 9.</w:t>
      </w:r>
      <w:r w:rsidR="0044150A">
        <w:t>20</w:t>
      </w:r>
      <w:r w:rsidR="005953E1">
        <w:t xml:space="preserve">% during a rate-effective period spanning January 2017 through June 2018.  </w:t>
      </w:r>
      <w:r w:rsidR="00AC369F">
        <w:t>Staff recommends that if this approach is adopted, it is</w:t>
      </w:r>
      <w:r w:rsidR="007702B8">
        <w:t xml:space="preserve"> </w:t>
      </w:r>
      <w:r w:rsidR="0033598E">
        <w:t xml:space="preserve">done so with the Company agreeing </w:t>
      </w:r>
      <w:r w:rsidR="00837387">
        <w:t xml:space="preserve">not to </w:t>
      </w:r>
      <w:r w:rsidR="0033598E">
        <w:t>file for a rate case in which rates will be effective earlier than July 1, 2018</w:t>
      </w:r>
      <w:r w:rsidR="00AC369F">
        <w:t>.  Such an approach would function as a</w:t>
      </w:r>
      <w:r w:rsidR="005745D4">
        <w:t xml:space="preserve"> </w:t>
      </w:r>
      <w:r w:rsidR="00B10763">
        <w:t>2017 rate increase followed by a</w:t>
      </w:r>
      <w:r w:rsidR="003D4F20">
        <w:t xml:space="preserve"> six month</w:t>
      </w:r>
      <w:r w:rsidR="00AC369F">
        <w:t xml:space="preserve"> stay-out period.</w:t>
      </w:r>
    </w:p>
    <w:p w14:paraId="0CA2632C" w14:textId="172BCFB1" w:rsidR="000B5E30" w:rsidRDefault="000B5E30" w:rsidP="00942E03">
      <w:pPr>
        <w:pStyle w:val="NoSpacing"/>
      </w:pPr>
      <w:r>
        <w:tab/>
      </w:r>
      <w:r>
        <w:tab/>
      </w:r>
      <w:r w:rsidR="00636BCE">
        <w:t xml:space="preserve">Staff’s </w:t>
      </w:r>
      <w:r>
        <w:t xml:space="preserve">single </w:t>
      </w:r>
      <w:r w:rsidR="0044150A">
        <w:t>attrition adjustment</w:t>
      </w:r>
      <w:r>
        <w:t xml:space="preserve"> </w:t>
      </w:r>
      <w:r w:rsidR="00D87ACA">
        <w:t>reflects</w:t>
      </w:r>
      <w:r>
        <w:t xml:space="preserve"> </w:t>
      </w:r>
      <w:r w:rsidR="0044150A">
        <w:t>an</w:t>
      </w:r>
      <w:r>
        <w:t xml:space="preserve"> average of the results of the</w:t>
      </w:r>
      <w:r w:rsidR="006672F7">
        <w:t xml:space="preserve"> attrition study models for the</w:t>
      </w:r>
      <w:r>
        <w:t xml:space="preserve"> </w:t>
      </w:r>
      <w:r w:rsidR="006672F7">
        <w:t xml:space="preserve">12 months ending December </w:t>
      </w:r>
      <w:r>
        <w:t>2017 and</w:t>
      </w:r>
      <w:r w:rsidR="006672F7">
        <w:t xml:space="preserve"> the 12 months ending June</w:t>
      </w:r>
      <w:r>
        <w:t xml:space="preserve"> 2018.</w:t>
      </w:r>
      <w:r w:rsidR="006672F7">
        <w:t xml:space="preserve">  </w:t>
      </w:r>
      <w:r w:rsidR="006672F7" w:rsidRPr="006672F7">
        <w:t xml:space="preserve">It is appropriate to take a simple average of these figures because they </w:t>
      </w:r>
      <w:r w:rsidR="00837387">
        <w:t>represent</w:t>
      </w:r>
      <w:r w:rsidR="006672F7" w:rsidRPr="006672F7">
        <w:t xml:space="preserve"> equal-sized periods of time, and thus deserve an equal weighting.</w:t>
      </w:r>
    </w:p>
    <w:p w14:paraId="52420767" w14:textId="77777777" w:rsidR="00B10763" w:rsidRDefault="00B10763" w:rsidP="00942E03">
      <w:pPr>
        <w:pStyle w:val="NoSpacing"/>
      </w:pPr>
    </w:p>
    <w:p w14:paraId="67A95697" w14:textId="13197249" w:rsidR="00B10763" w:rsidRPr="00B10763" w:rsidRDefault="00B10763" w:rsidP="00065A9F">
      <w:pPr>
        <w:pStyle w:val="Heading8"/>
      </w:pPr>
      <w:r w:rsidRPr="00B10763">
        <w:t>Q.</w:t>
      </w:r>
      <w:r w:rsidRPr="00B10763">
        <w:tab/>
        <w:t>Why does Staff oppose the Company’s proposal for two separate rate increases?</w:t>
      </w:r>
    </w:p>
    <w:p w14:paraId="45A830AA" w14:textId="2264FF75" w:rsidR="00065A9F" w:rsidRDefault="00B10763" w:rsidP="00942E03">
      <w:pPr>
        <w:pStyle w:val="NoSpacing"/>
      </w:pPr>
      <w:r>
        <w:t>A.</w:t>
      </w:r>
      <w:r w:rsidR="00AC369F">
        <w:tab/>
        <w:t>Providing for two rate increase</w:t>
      </w:r>
      <w:r w:rsidR="003D4F20">
        <w:t>s</w:t>
      </w:r>
      <w:r w:rsidR="00AC369F">
        <w:t xml:space="preserve"> complicates matters</w:t>
      </w:r>
      <w:r>
        <w:t xml:space="preserve"> for two primary reasons</w:t>
      </w:r>
      <w:r w:rsidR="00AC369F">
        <w:t xml:space="preserve">.  One, it is administratively more burdensome.  Two, it </w:t>
      </w:r>
      <w:r w:rsidR="00086824">
        <w:t xml:space="preserve">creates </w:t>
      </w:r>
      <w:r w:rsidR="0001357D">
        <w:t>a circumstance where customers w</w:t>
      </w:r>
      <w:r w:rsidR="00086824">
        <w:t>ould experience three separate rate increases over an 18-month period</w:t>
      </w:r>
      <w:r w:rsidR="0044150A">
        <w:t>: January 1, 2017, January 1, 2018, and presumably July 1, 2018</w:t>
      </w:r>
      <w:r w:rsidR="00086824">
        <w:t xml:space="preserve">. </w:t>
      </w:r>
    </w:p>
    <w:p w14:paraId="0E84BEA2" w14:textId="6E9F8AC1" w:rsidR="00AC369F" w:rsidRDefault="00AC369F" w:rsidP="00065A9F">
      <w:pPr>
        <w:pStyle w:val="NoSpacing"/>
        <w:ind w:firstLine="360"/>
      </w:pPr>
      <w:r>
        <w:lastRenderedPageBreak/>
        <w:t xml:space="preserve">A single rate increase </w:t>
      </w:r>
      <w:r w:rsidR="00B10763">
        <w:t xml:space="preserve">is more straightforward, </w:t>
      </w:r>
      <w:r w:rsidR="00BB1ADD">
        <w:t>provides for more predictable customer bills</w:t>
      </w:r>
      <w:r w:rsidR="00B10763">
        <w:t xml:space="preserve">, and </w:t>
      </w:r>
      <w:r>
        <w:t>avoid</w:t>
      </w:r>
      <w:r w:rsidR="00B9334C">
        <w:t>s</w:t>
      </w:r>
      <w:r>
        <w:t xml:space="preserve"> the irksome experience of back-to-back</w:t>
      </w:r>
      <w:r w:rsidR="00837387">
        <w:t xml:space="preserve">-to-back </w:t>
      </w:r>
      <w:r>
        <w:t xml:space="preserve"> rate increases</w:t>
      </w:r>
      <w:r w:rsidR="00B10763">
        <w:t xml:space="preserve"> for customers</w:t>
      </w:r>
      <w:r>
        <w:t>.</w:t>
      </w:r>
    </w:p>
    <w:p w14:paraId="639937C6" w14:textId="77777777" w:rsidR="005953E1" w:rsidRPr="00942E03" w:rsidRDefault="005953E1" w:rsidP="00942E03">
      <w:pPr>
        <w:pStyle w:val="NoSpacing"/>
      </w:pPr>
    </w:p>
    <w:p w14:paraId="76542FF4" w14:textId="2D003907" w:rsidR="00F02160" w:rsidRDefault="006D0D5F" w:rsidP="00F02160">
      <w:pPr>
        <w:pStyle w:val="Heading1"/>
        <w:ind w:left="720" w:hanging="720"/>
        <w:rPr>
          <w:caps/>
        </w:rPr>
      </w:pPr>
      <w:bookmarkStart w:id="24" w:name="_Toc459042396"/>
      <w:r>
        <w:rPr>
          <w:caps/>
        </w:rPr>
        <w:t xml:space="preserve">General Discussion of </w:t>
      </w:r>
      <w:r w:rsidR="00654049">
        <w:rPr>
          <w:caps/>
        </w:rPr>
        <w:t>Attrition</w:t>
      </w:r>
      <w:bookmarkEnd w:id="24"/>
    </w:p>
    <w:p w14:paraId="2C14CE50" w14:textId="77777777" w:rsidR="006D0D5F" w:rsidRPr="006D0D5F" w:rsidRDefault="006D0D5F" w:rsidP="006D0D5F"/>
    <w:p w14:paraId="40BC9032" w14:textId="38AEDE4B" w:rsidR="00F02160" w:rsidRPr="00F14B0B" w:rsidRDefault="004B4F84" w:rsidP="00011425">
      <w:pPr>
        <w:pStyle w:val="Heading2"/>
        <w:numPr>
          <w:ilvl w:val="0"/>
          <w:numId w:val="17"/>
        </w:numPr>
      </w:pPr>
      <w:bookmarkStart w:id="25" w:name="_Toc459042397"/>
      <w:r w:rsidRPr="00F14B0B">
        <w:t>Attrition: What it is and why it’s important.</w:t>
      </w:r>
      <w:bookmarkEnd w:id="25"/>
      <w:r w:rsidRPr="00F14B0B">
        <w:t xml:space="preserve"> </w:t>
      </w:r>
    </w:p>
    <w:p w14:paraId="22E4DAA3" w14:textId="77777777" w:rsidR="00F14B0B" w:rsidRPr="00F14B0B" w:rsidRDefault="00F14B0B" w:rsidP="00F14B0B">
      <w:pPr>
        <w:pStyle w:val="NoSpacing"/>
      </w:pPr>
    </w:p>
    <w:p w14:paraId="43FE36BF" w14:textId="77777777" w:rsidR="00F02160" w:rsidRDefault="00F02160" w:rsidP="00F02160">
      <w:pPr>
        <w:pStyle w:val="Heading8"/>
      </w:pPr>
      <w:r>
        <w:t>Q.</w:t>
      </w:r>
      <w:r>
        <w:tab/>
        <w:t>What is attrition?</w:t>
      </w:r>
    </w:p>
    <w:p w14:paraId="0B36A952" w14:textId="77777777" w:rsidR="00177589" w:rsidRDefault="00F02160" w:rsidP="00F02160">
      <w:pPr>
        <w:spacing w:line="480" w:lineRule="auto"/>
        <w:ind w:left="720" w:hanging="720"/>
        <w:rPr>
          <w:rFonts w:eastAsia="Times New Roman"/>
        </w:rPr>
      </w:pPr>
      <w:r>
        <w:rPr>
          <w:rFonts w:eastAsia="Times New Roman"/>
        </w:rPr>
        <w:t>A.</w:t>
      </w:r>
      <w:r>
        <w:rPr>
          <w:rFonts w:eastAsia="Times New Roman"/>
        </w:rPr>
        <w:tab/>
        <w:t>The Commission stated in Dockets UE-150204 and UG-150205, Order 05, that “attrition occurs when the test-period relationship between rate base, expenses, and revenues does not hold under conditions in the rate effective period, such that a utility’s expenses or rate base grows more quickly than revenues</w:t>
      </w:r>
      <w:r w:rsidR="00345362">
        <w:rPr>
          <w:rFonts w:eastAsia="Times New Roman"/>
        </w:rPr>
        <w:t>, and a utility would likely have no reasonable opportunity to earn its allowed rate of return.</w:t>
      </w:r>
      <w:r>
        <w:rPr>
          <w:rFonts w:eastAsia="Times New Roman"/>
        </w:rPr>
        <w:t>”</w:t>
      </w:r>
      <w:r>
        <w:rPr>
          <w:rStyle w:val="FootnoteReference"/>
          <w:rFonts w:eastAsia="Times New Roman"/>
        </w:rPr>
        <w:footnoteReference w:id="3"/>
      </w:r>
      <w:r w:rsidR="00345362">
        <w:rPr>
          <w:rFonts w:eastAsia="Times New Roman"/>
        </w:rPr>
        <w:t xml:space="preserve">  </w:t>
      </w:r>
    </w:p>
    <w:p w14:paraId="4A99BD21" w14:textId="6D6CAA20" w:rsidR="00D25BF4" w:rsidRPr="00307B48" w:rsidRDefault="00345362" w:rsidP="00307B48">
      <w:pPr>
        <w:spacing w:line="480" w:lineRule="auto"/>
        <w:ind w:left="720" w:firstLine="720"/>
        <w:rPr>
          <w:rFonts w:eastAsia="Times New Roman"/>
        </w:rPr>
      </w:pPr>
      <w:r>
        <w:rPr>
          <w:rFonts w:eastAsia="Times New Roman"/>
        </w:rPr>
        <w:t>Typically, modifications to the historical test year are sufficient to generate a revenue requirement figure that provides utilities with a reasonable opportunity to earn the authorized rate of return.</w:t>
      </w:r>
      <w:r w:rsidR="00177589">
        <w:rPr>
          <w:rFonts w:eastAsia="Times New Roman"/>
        </w:rPr>
        <w:t xml:space="preserve">  </w:t>
      </w:r>
      <w:r w:rsidR="00DA46CC">
        <w:rPr>
          <w:rFonts w:eastAsia="Times New Roman"/>
        </w:rPr>
        <w:t>Attrition occurs when the traditional ratemaking approach falls short of this goal.</w:t>
      </w:r>
    </w:p>
    <w:p w14:paraId="068BFEEA" w14:textId="2EE3DA36" w:rsidR="00177589" w:rsidRDefault="004B4F84" w:rsidP="004B4F84">
      <w:pPr>
        <w:pStyle w:val="NoSpacing"/>
        <w:ind w:firstLine="720"/>
      </w:pPr>
      <w:r>
        <w:t>The Commission may grant an attrition adjustment when it</w:t>
      </w:r>
      <w:r w:rsidR="00177589">
        <w:t xml:space="preserve"> finds that </w:t>
      </w:r>
      <w:r w:rsidR="00956829" w:rsidRPr="0044150A">
        <w:rPr>
          <w:i/>
        </w:rPr>
        <w:t>pro forma</w:t>
      </w:r>
      <w:r w:rsidR="00956829">
        <w:t xml:space="preserve"> adjustments</w:t>
      </w:r>
      <w:r w:rsidR="00177589">
        <w:t xml:space="preserve"> to the historical test year are insufficient.  The Commission defined an attrition adjustment as “a discrete adjustment to the modified historical test year that the Commission may use when it determines attrition is present.”</w:t>
      </w:r>
      <w:r w:rsidR="00177589">
        <w:rPr>
          <w:rStyle w:val="FootnoteReference"/>
        </w:rPr>
        <w:footnoteReference w:id="4"/>
      </w:r>
    </w:p>
    <w:p w14:paraId="1B4DD57B" w14:textId="2E00B75D" w:rsidR="00450CB7" w:rsidRDefault="00450CB7" w:rsidP="00F02160">
      <w:pPr>
        <w:spacing w:line="480" w:lineRule="auto"/>
        <w:ind w:left="720" w:hanging="720"/>
        <w:rPr>
          <w:rFonts w:eastAsia="Times New Roman"/>
        </w:rPr>
      </w:pPr>
    </w:p>
    <w:p w14:paraId="7D952DED" w14:textId="445E37F5" w:rsidR="004B4F84" w:rsidRPr="00EB142C" w:rsidRDefault="004B4F84" w:rsidP="006D0D5F">
      <w:pPr>
        <w:pStyle w:val="Heading8"/>
      </w:pPr>
      <w:r w:rsidRPr="00EB142C">
        <w:t>Q.</w:t>
      </w:r>
      <w:r w:rsidRPr="00EB142C">
        <w:tab/>
        <w:t>What is an attrition study?</w:t>
      </w:r>
    </w:p>
    <w:p w14:paraId="62E69E92" w14:textId="61243ADC" w:rsidR="004B4F84" w:rsidRDefault="004B4F84" w:rsidP="00F02160">
      <w:pPr>
        <w:spacing w:line="480" w:lineRule="auto"/>
        <w:ind w:left="720" w:hanging="720"/>
        <w:rPr>
          <w:rFonts w:eastAsia="Times New Roman"/>
        </w:rPr>
      </w:pPr>
      <w:r>
        <w:rPr>
          <w:rFonts w:eastAsia="Times New Roman"/>
        </w:rPr>
        <w:t>A.</w:t>
      </w:r>
      <w:r>
        <w:rPr>
          <w:rFonts w:eastAsia="Times New Roman"/>
        </w:rPr>
        <w:tab/>
      </w:r>
      <w:r w:rsidR="00EB142C">
        <w:rPr>
          <w:rFonts w:eastAsia="Times New Roman"/>
        </w:rPr>
        <w:t>A properly-performed attrition study is an exercise in statistics.</w:t>
      </w:r>
      <w:r w:rsidR="00FC097E">
        <w:rPr>
          <w:rFonts w:eastAsia="Times New Roman"/>
        </w:rPr>
        <w:t xml:space="preserve"> </w:t>
      </w:r>
      <w:r w:rsidR="00EB142C">
        <w:rPr>
          <w:rFonts w:eastAsia="Times New Roman"/>
        </w:rPr>
        <w:t xml:space="preserve"> Staff’s attrition study evaluates changes in rate base, expenses, and revenues over a representative historical period.  When these changes are found to have a statistically-significant relationship with the passage of time,</w:t>
      </w:r>
      <w:r w:rsidR="00D25BF4">
        <w:rPr>
          <w:rFonts w:eastAsia="Times New Roman"/>
        </w:rPr>
        <w:t xml:space="preserve"> </w:t>
      </w:r>
      <w:r w:rsidR="00EB142C">
        <w:rPr>
          <w:rFonts w:eastAsia="Times New Roman"/>
        </w:rPr>
        <w:t xml:space="preserve">they are projected forward into the rate-effective period to provide estimates of the Company’s operations during that time.  </w:t>
      </w:r>
    </w:p>
    <w:p w14:paraId="46F88F4D" w14:textId="77777777" w:rsidR="00171AB3" w:rsidRDefault="00171AB3" w:rsidP="00F02160">
      <w:pPr>
        <w:spacing w:line="480" w:lineRule="auto"/>
        <w:ind w:left="720" w:hanging="720"/>
        <w:rPr>
          <w:rFonts w:eastAsia="Times New Roman"/>
        </w:rPr>
      </w:pPr>
    </w:p>
    <w:p w14:paraId="67E83788" w14:textId="7D791BD8" w:rsidR="00171AB3" w:rsidRDefault="00171AB3" w:rsidP="00171AB3">
      <w:pPr>
        <w:pStyle w:val="Heading8"/>
      </w:pPr>
      <w:r>
        <w:t>Q.</w:t>
      </w:r>
      <w:r>
        <w:tab/>
        <w:t>Is Staff’s attrition study reasonable?</w:t>
      </w:r>
    </w:p>
    <w:p w14:paraId="629B5E2F" w14:textId="4820FBC6" w:rsidR="00171AB3" w:rsidRDefault="00171AB3" w:rsidP="00171AB3">
      <w:pPr>
        <w:pStyle w:val="NoSpacing"/>
      </w:pPr>
      <w:r>
        <w:t>A.</w:t>
      </w:r>
      <w:r>
        <w:tab/>
        <w:t>Yes.  First, the Commission approved a very similar model in the Company’s previous rate case.</w:t>
      </w:r>
      <w:r w:rsidR="00EF16B1">
        <w:t xml:space="preserve">  The Commission described that model as “a detailed and rigorous attrition analysis”</w:t>
      </w:r>
      <w:r w:rsidR="00EF16B1">
        <w:rPr>
          <w:rStyle w:val="FootnoteReference"/>
        </w:rPr>
        <w:footnoteReference w:id="5"/>
      </w:r>
      <w:r w:rsidR="00EF16B1">
        <w:t xml:space="preserve"> that “uses a sound methodology”</w:t>
      </w:r>
      <w:r w:rsidR="00596065">
        <w:t>.</w:t>
      </w:r>
      <w:r w:rsidR="00EF16B1">
        <w:rPr>
          <w:rStyle w:val="FootnoteReference"/>
        </w:rPr>
        <w:footnoteReference w:id="6"/>
      </w:r>
      <w:r w:rsidR="00EF16B1">
        <w:t xml:space="preserve"> </w:t>
      </w:r>
    </w:p>
    <w:p w14:paraId="2D517DCD" w14:textId="5332516D" w:rsidR="00171AB3" w:rsidRDefault="00171AB3" w:rsidP="00171AB3">
      <w:pPr>
        <w:pStyle w:val="NoSpacing"/>
      </w:pPr>
      <w:r>
        <w:tab/>
      </w:r>
      <w:r>
        <w:tab/>
        <w:t>Second, the Commission has previously stated that “modeled results are generally acceptable if the model inputs are reasonable and the modeling is comparable in ana</w:t>
      </w:r>
      <w:r w:rsidR="00D25BF4">
        <w:t>l</w:t>
      </w:r>
      <w:r>
        <w:t>ytical rigor to what is brought to bear in making normalizing adjustments</w:t>
      </w:r>
      <w:r w:rsidR="00AE3F9A">
        <w:t>,</w:t>
      </w:r>
      <w:r>
        <w:t>” and that a key feature of an appropriate model is “rigorously matching costs and revenues.”</w:t>
      </w:r>
      <w:r>
        <w:rPr>
          <w:rStyle w:val="FootnoteReference"/>
        </w:rPr>
        <w:footnoteReference w:id="7"/>
      </w:r>
      <w:r>
        <w:t xml:space="preserve">  Staff’s attrition study models have this exact purpose. </w:t>
      </w:r>
      <w:r w:rsidR="00DB7020">
        <w:t xml:space="preserve"> As has been noted, Staff ensures that all escalation factors are derived from regression analyses that have statistically-significant variables</w:t>
      </w:r>
      <w:r w:rsidR="00956829">
        <w:t xml:space="preserve"> and follow </w:t>
      </w:r>
      <w:r w:rsidR="000C7A93">
        <w:t xml:space="preserve">a predictable growth </w:t>
      </w:r>
      <w:r w:rsidR="000C7A93">
        <w:lastRenderedPageBreak/>
        <w:t>pattern over time</w:t>
      </w:r>
      <w:r w:rsidR="00DB7020">
        <w:t xml:space="preserve">.  </w:t>
      </w:r>
      <w:r w:rsidR="000C7A93">
        <w:t>In Staff’s analysis</w:t>
      </w:r>
      <w:r w:rsidR="00DB7020">
        <w:t xml:space="preserve">, the vast majority of the lines-of-best-fit explain well over 90% of the </w:t>
      </w:r>
      <w:r w:rsidR="00DA06BF">
        <w:t xml:space="preserve">variation </w:t>
      </w:r>
      <w:r w:rsidR="00DB7020">
        <w:t>in expenses and rate base</w:t>
      </w:r>
      <w:r w:rsidR="00DA06BF">
        <w:t xml:space="preserve"> over time</w:t>
      </w:r>
      <w:r w:rsidR="00DB7020">
        <w:t>.</w:t>
      </w:r>
      <w:r w:rsidR="00DB7020">
        <w:rPr>
          <w:rStyle w:val="FootnoteReference"/>
        </w:rPr>
        <w:footnoteReference w:id="8"/>
      </w:r>
    </w:p>
    <w:p w14:paraId="5A3F4AA9" w14:textId="77777777" w:rsidR="00BC0DC3" w:rsidRDefault="00BC0DC3" w:rsidP="00F357AD">
      <w:pPr>
        <w:pStyle w:val="NoSpacing"/>
      </w:pPr>
    </w:p>
    <w:p w14:paraId="3C741790" w14:textId="77777777" w:rsidR="00BC0DC3" w:rsidRPr="00F357AD" w:rsidRDefault="00BC0DC3" w:rsidP="00F357AD">
      <w:pPr>
        <w:pStyle w:val="Heading8"/>
      </w:pPr>
      <w:r w:rsidRPr="00F357AD">
        <w:t>Q.</w:t>
      </w:r>
      <w:r w:rsidRPr="00F357AD">
        <w:tab/>
        <w:t>Does an attrition study model that produces a revenue requirement estimate for the rate-effective period render moot the traditional ratemaking approach using a modified historical test year?</w:t>
      </w:r>
    </w:p>
    <w:p w14:paraId="4CB8B538" w14:textId="366163D7" w:rsidR="00BC0DC3" w:rsidRDefault="00BC0DC3" w:rsidP="00BC0DC3">
      <w:pPr>
        <w:spacing w:line="480" w:lineRule="auto"/>
        <w:ind w:left="720" w:hanging="720"/>
        <w:rPr>
          <w:rFonts w:eastAsia="Times New Roman"/>
        </w:rPr>
      </w:pPr>
      <w:r>
        <w:rPr>
          <w:rFonts w:eastAsia="Times New Roman"/>
        </w:rPr>
        <w:t>A.</w:t>
      </w:r>
      <w:r>
        <w:rPr>
          <w:rFonts w:eastAsia="Times New Roman"/>
        </w:rPr>
        <w:tab/>
      </w:r>
      <w:r w:rsidR="00294942">
        <w:rPr>
          <w:rFonts w:eastAsia="Times New Roman"/>
        </w:rPr>
        <w:t xml:space="preserve">No. </w:t>
      </w:r>
      <w:r w:rsidR="00DA06BF">
        <w:rPr>
          <w:rFonts w:eastAsia="Times New Roman"/>
        </w:rPr>
        <w:t xml:space="preserve"> </w:t>
      </w:r>
      <w:r>
        <w:rPr>
          <w:rFonts w:eastAsia="Times New Roman"/>
        </w:rPr>
        <w:t xml:space="preserve">Staff’s attrition study – or for that matter, the Company’s </w:t>
      </w:r>
      <w:r w:rsidR="008F0311">
        <w:rPr>
          <w:rFonts w:eastAsia="Times New Roman"/>
        </w:rPr>
        <w:t>–</w:t>
      </w:r>
      <w:r>
        <w:rPr>
          <w:rFonts w:eastAsia="Times New Roman"/>
        </w:rPr>
        <w:t xml:space="preserve"> </w:t>
      </w:r>
      <w:r w:rsidRPr="00E35948">
        <w:rPr>
          <w:rFonts w:eastAsia="Times New Roman"/>
          <w:u w:val="single"/>
        </w:rPr>
        <w:t>does not</w:t>
      </w:r>
      <w:r>
        <w:rPr>
          <w:rFonts w:eastAsia="Times New Roman"/>
        </w:rPr>
        <w:t xml:space="preserve"> make the analysis offered by a more traditional ratemaking approach moot.  A modified historical test year with limited </w:t>
      </w:r>
      <w:r w:rsidRPr="0042756C">
        <w:rPr>
          <w:rFonts w:eastAsia="Times New Roman"/>
          <w:i/>
        </w:rPr>
        <w:t>pro forma</w:t>
      </w:r>
      <w:r>
        <w:rPr>
          <w:rFonts w:eastAsia="Times New Roman"/>
        </w:rPr>
        <w:t xml:space="preserve"> adjustments provides the Commission with </w:t>
      </w:r>
      <w:r w:rsidR="008F0311">
        <w:rPr>
          <w:rFonts w:eastAsia="Times New Roman"/>
        </w:rPr>
        <w:t xml:space="preserve">a </w:t>
      </w:r>
      <w:r>
        <w:rPr>
          <w:rFonts w:eastAsia="Times New Roman"/>
        </w:rPr>
        <w:t xml:space="preserve">familiar benchmark for analysis.  Furthermore, it provides </w:t>
      </w:r>
      <w:r w:rsidR="003E753E">
        <w:rPr>
          <w:rFonts w:eastAsia="Times New Roman"/>
        </w:rPr>
        <w:t>additional</w:t>
      </w:r>
      <w:r>
        <w:rPr>
          <w:rFonts w:eastAsia="Times New Roman"/>
        </w:rPr>
        <w:t xml:space="preserve"> scrutiny on specific rate base additions.  Staff’s attrition study serves as a complement to a traditional ratemaking approach, not as a substitute.</w:t>
      </w:r>
    </w:p>
    <w:p w14:paraId="2B7B696E" w14:textId="77777777" w:rsidR="00F02160" w:rsidRDefault="00F02160" w:rsidP="000E5244">
      <w:pPr>
        <w:spacing w:line="480" w:lineRule="auto"/>
        <w:rPr>
          <w:rFonts w:eastAsia="Times New Roman"/>
        </w:rPr>
      </w:pPr>
    </w:p>
    <w:p w14:paraId="02273CB0" w14:textId="660B0776" w:rsidR="00F02160" w:rsidRDefault="00F02160" w:rsidP="00F02160">
      <w:pPr>
        <w:pStyle w:val="Heading8"/>
      </w:pPr>
      <w:r>
        <w:t xml:space="preserve">Q. </w:t>
      </w:r>
      <w:r>
        <w:tab/>
        <w:t>Please describe the differences between the traditional ratemaking approach and the trend-based attrition</w:t>
      </w:r>
      <w:r w:rsidR="004934F2">
        <w:t xml:space="preserve"> study</w:t>
      </w:r>
      <w:r>
        <w:t xml:space="preserve"> in this case.</w:t>
      </w:r>
    </w:p>
    <w:p w14:paraId="20F0A879" w14:textId="2EDAD149" w:rsidR="009F6E14" w:rsidRDefault="00F02160" w:rsidP="000C249D">
      <w:pPr>
        <w:spacing w:line="480" w:lineRule="auto"/>
        <w:ind w:left="720" w:hanging="720"/>
        <w:rPr>
          <w:rFonts w:eastAsia="Times New Roman"/>
        </w:rPr>
      </w:pPr>
      <w:r>
        <w:rPr>
          <w:rFonts w:eastAsia="Times New Roman"/>
        </w:rPr>
        <w:t>A.</w:t>
      </w:r>
      <w:r>
        <w:rPr>
          <w:rFonts w:eastAsia="Times New Roman"/>
        </w:rPr>
        <w:tab/>
        <w:t>Th</w:t>
      </w:r>
      <w:r w:rsidR="003E753E">
        <w:rPr>
          <w:rFonts w:eastAsia="Times New Roman"/>
        </w:rPr>
        <w:t>is Commission’s</w:t>
      </w:r>
      <w:r>
        <w:rPr>
          <w:rFonts w:eastAsia="Times New Roman"/>
        </w:rPr>
        <w:t xml:space="preserve"> traditional ratemaking approach has been the use of a modified historical test year with limited </w:t>
      </w:r>
      <w:r w:rsidRPr="003B297F">
        <w:rPr>
          <w:rFonts w:eastAsia="Times New Roman"/>
          <w:i/>
        </w:rPr>
        <w:t>pro forma</w:t>
      </w:r>
      <w:r>
        <w:rPr>
          <w:rFonts w:eastAsia="Times New Roman"/>
        </w:rPr>
        <w:t xml:space="preserve"> adjustments.  Under that approach, a “test year” is chosen </w:t>
      </w:r>
      <w:r w:rsidR="00F534B0">
        <w:rPr>
          <w:rFonts w:eastAsia="Times New Roman"/>
        </w:rPr>
        <w:t xml:space="preserve">to capture the most up-to-date financial data of the utility.  </w:t>
      </w:r>
      <w:r>
        <w:rPr>
          <w:rFonts w:eastAsia="Times New Roman"/>
        </w:rPr>
        <w:t xml:space="preserve">Normalizing and restating adjustments are made to the </w:t>
      </w:r>
      <w:r w:rsidR="00F534B0">
        <w:rPr>
          <w:rFonts w:eastAsia="Times New Roman"/>
        </w:rPr>
        <w:t xml:space="preserve">test year </w:t>
      </w:r>
      <w:r>
        <w:rPr>
          <w:rFonts w:eastAsia="Times New Roman"/>
        </w:rPr>
        <w:t xml:space="preserve">Results of Operations </w:t>
      </w:r>
      <w:r w:rsidR="00F534B0">
        <w:rPr>
          <w:rFonts w:eastAsia="Times New Roman"/>
        </w:rPr>
        <w:t>to</w:t>
      </w:r>
      <w:r>
        <w:rPr>
          <w:rFonts w:eastAsia="Times New Roman"/>
        </w:rPr>
        <w:t xml:space="preserve"> reflect </w:t>
      </w:r>
      <w:r w:rsidR="004934F2">
        <w:rPr>
          <w:rFonts w:eastAsia="Times New Roman"/>
        </w:rPr>
        <w:t>a</w:t>
      </w:r>
      <w:r>
        <w:rPr>
          <w:rFonts w:eastAsia="Times New Roman"/>
        </w:rPr>
        <w:t xml:space="preserve"> “normal”</w:t>
      </w:r>
      <w:r w:rsidR="004934F2">
        <w:rPr>
          <w:rFonts w:eastAsia="Times New Roman"/>
        </w:rPr>
        <w:t xml:space="preserve"> or “average”</w:t>
      </w:r>
      <w:r>
        <w:rPr>
          <w:rFonts w:eastAsia="Times New Roman"/>
        </w:rPr>
        <w:t xml:space="preserve"> year.  </w:t>
      </w:r>
      <w:r w:rsidR="004934F2">
        <w:rPr>
          <w:rFonts w:eastAsia="Times New Roman"/>
        </w:rPr>
        <w:t>This provides a baseline from which more specific adjustments may be made</w:t>
      </w:r>
      <w:r w:rsidR="00F534B0">
        <w:rPr>
          <w:rFonts w:eastAsia="Times New Roman"/>
        </w:rPr>
        <w:t>,</w:t>
      </w:r>
      <w:r w:rsidR="004934F2">
        <w:rPr>
          <w:rFonts w:eastAsia="Times New Roman"/>
        </w:rPr>
        <w:t xml:space="preserve"> known as </w:t>
      </w:r>
      <w:r>
        <w:rPr>
          <w:rFonts w:eastAsia="Times New Roman"/>
          <w:i/>
        </w:rPr>
        <w:t>pro forma</w:t>
      </w:r>
      <w:r>
        <w:rPr>
          <w:rFonts w:eastAsia="Times New Roman"/>
        </w:rPr>
        <w:t xml:space="preserve"> adjustments</w:t>
      </w:r>
      <w:r w:rsidR="004934F2">
        <w:rPr>
          <w:rFonts w:eastAsia="Times New Roman"/>
        </w:rPr>
        <w:t xml:space="preserve">, </w:t>
      </w:r>
      <w:r>
        <w:rPr>
          <w:rFonts w:eastAsia="Times New Roman"/>
        </w:rPr>
        <w:t>to capture known and measurable changes to costs or rate base.</w:t>
      </w:r>
      <w:r w:rsidR="00F534B0">
        <w:rPr>
          <w:rFonts w:eastAsia="Times New Roman"/>
        </w:rPr>
        <w:t xml:space="preserve">  Th</w:t>
      </w:r>
      <w:r w:rsidR="006B127E">
        <w:rPr>
          <w:rFonts w:eastAsia="Times New Roman"/>
        </w:rPr>
        <w:t>e</w:t>
      </w:r>
      <w:r w:rsidR="00F534B0">
        <w:rPr>
          <w:rFonts w:eastAsia="Times New Roman"/>
        </w:rPr>
        <w:t xml:space="preserve"> </w:t>
      </w:r>
      <w:r w:rsidR="00F534B0" w:rsidRPr="00DA06BF">
        <w:rPr>
          <w:rFonts w:eastAsia="Times New Roman"/>
          <w:i/>
        </w:rPr>
        <w:t>pro forma</w:t>
      </w:r>
      <w:r w:rsidR="00F534B0">
        <w:rPr>
          <w:rFonts w:eastAsia="Times New Roman"/>
        </w:rPr>
        <w:t xml:space="preserve"> results </w:t>
      </w:r>
      <w:r w:rsidR="00F534B0">
        <w:rPr>
          <w:rFonts w:eastAsia="Times New Roman"/>
        </w:rPr>
        <w:lastRenderedPageBreak/>
        <w:t xml:space="preserve">of operations is presumed to represent the costs and rate base of the “rate year” or the rate effective period.  </w:t>
      </w:r>
    </w:p>
    <w:p w14:paraId="7CDDC69F" w14:textId="77777777" w:rsidR="006B127E" w:rsidRDefault="006B127E" w:rsidP="000C249D">
      <w:pPr>
        <w:spacing w:line="480" w:lineRule="auto"/>
        <w:ind w:left="720" w:hanging="720"/>
        <w:rPr>
          <w:rFonts w:eastAsia="Times New Roman"/>
        </w:rPr>
      </w:pPr>
    </w:p>
    <w:p w14:paraId="707C5507" w14:textId="591DE806" w:rsidR="001E310C" w:rsidRDefault="009F6E14" w:rsidP="006B127E">
      <w:pPr>
        <w:pStyle w:val="Heading8"/>
      </w:pPr>
      <w:r>
        <w:t>Q.</w:t>
      </w:r>
      <w:r>
        <w:tab/>
        <w:t>If this rate increase produces reven</w:t>
      </w:r>
      <w:r w:rsidR="006B127E">
        <w:t>u</w:t>
      </w:r>
      <w:r>
        <w:t xml:space="preserve">es that allow the utility to earn its target return on the </w:t>
      </w:r>
      <w:r w:rsidRPr="005947B4">
        <w:rPr>
          <w:i/>
        </w:rPr>
        <w:t>pro forma</w:t>
      </w:r>
      <w:r>
        <w:t xml:space="preserve"> rate base, does that mean those revenues offer a reasonable opportunity to earn the return during the upcoming rate effective period?</w:t>
      </w:r>
    </w:p>
    <w:p w14:paraId="72E18FAE" w14:textId="4691603D" w:rsidR="006B127E" w:rsidRDefault="009F6E14" w:rsidP="006B127E">
      <w:pPr>
        <w:pStyle w:val="NoSpacing"/>
      </w:pPr>
      <w:r>
        <w:t>A.</w:t>
      </w:r>
      <w:r>
        <w:tab/>
        <w:t xml:space="preserve">Not necessarily. </w:t>
      </w:r>
      <w:r w:rsidR="00AD2941">
        <w:t xml:space="preserve"> The sufficiency of the new rates is based on the assumption that the </w:t>
      </w:r>
      <w:r w:rsidR="005947B4">
        <w:t xml:space="preserve">adjusted levels </w:t>
      </w:r>
      <w:r w:rsidR="00AD2941">
        <w:t xml:space="preserve">of </w:t>
      </w:r>
      <w:r w:rsidR="00530ADF">
        <w:t xml:space="preserve">revenues, </w:t>
      </w:r>
      <w:r w:rsidR="00AD2941">
        <w:t>expenses and rate base will be true through the rate year.  This a</w:t>
      </w:r>
      <w:r w:rsidR="00D07A65">
        <w:t>ssumption has failed in recent years.</w:t>
      </w:r>
    </w:p>
    <w:p w14:paraId="7A9B0A50" w14:textId="5251F2A2" w:rsidR="009F6E14" w:rsidRDefault="009F6E14" w:rsidP="006B127E">
      <w:pPr>
        <w:pStyle w:val="NoSpacing"/>
      </w:pPr>
    </w:p>
    <w:p w14:paraId="0A9155A7" w14:textId="2DD9CF43" w:rsidR="003942BF" w:rsidRPr="00A07B9D" w:rsidRDefault="003942BF" w:rsidP="006B127E">
      <w:pPr>
        <w:pStyle w:val="Heading8"/>
      </w:pPr>
      <w:r w:rsidRPr="00A07B9D">
        <w:t>Q.</w:t>
      </w:r>
      <w:r w:rsidRPr="00A07B9D">
        <w:tab/>
        <w:t>Has the Commission approved other means to cure the infirmaties in the pro forma historical test year method?</w:t>
      </w:r>
    </w:p>
    <w:p w14:paraId="2E57F86C" w14:textId="6B8B308F" w:rsidR="00F02160" w:rsidRDefault="003942BF" w:rsidP="000C249D">
      <w:pPr>
        <w:spacing w:line="480" w:lineRule="auto"/>
        <w:ind w:left="720" w:hanging="720"/>
        <w:rPr>
          <w:rFonts w:eastAsia="Times New Roman"/>
        </w:rPr>
      </w:pPr>
      <w:r>
        <w:rPr>
          <w:rFonts w:eastAsia="Times New Roman"/>
        </w:rPr>
        <w:t>A.</w:t>
      </w:r>
      <w:r>
        <w:rPr>
          <w:rFonts w:eastAsia="Times New Roman"/>
        </w:rPr>
        <w:tab/>
        <w:t>Yes.</w:t>
      </w:r>
      <w:r w:rsidR="005947B4">
        <w:rPr>
          <w:rFonts w:eastAsia="Times New Roman"/>
        </w:rPr>
        <w:t xml:space="preserve">  </w:t>
      </w:r>
      <w:r w:rsidR="00F02160">
        <w:rPr>
          <w:rFonts w:eastAsia="Times New Roman"/>
        </w:rPr>
        <w:t>Many different approaches can be taken under th</w:t>
      </w:r>
      <w:r w:rsidR="000C249D">
        <w:rPr>
          <w:rFonts w:eastAsia="Times New Roman"/>
        </w:rPr>
        <w:t>at</w:t>
      </w:r>
      <w:r w:rsidR="00F02160">
        <w:rPr>
          <w:rFonts w:eastAsia="Times New Roman"/>
        </w:rPr>
        <w:t xml:space="preserve"> </w:t>
      </w:r>
      <w:r w:rsidR="003E753E">
        <w:rPr>
          <w:rFonts w:eastAsia="Times New Roman"/>
        </w:rPr>
        <w:t xml:space="preserve">traditional ratemaking </w:t>
      </w:r>
      <w:r w:rsidR="00F02160">
        <w:rPr>
          <w:rFonts w:eastAsia="Times New Roman"/>
        </w:rPr>
        <w:t xml:space="preserve">framework to account for the effects of attrition and/or regulatory lag.  Some </w:t>
      </w:r>
      <w:r w:rsidR="00A07B9D">
        <w:rPr>
          <w:rFonts w:eastAsia="Times New Roman"/>
        </w:rPr>
        <w:t>are minor</w:t>
      </w:r>
      <w:r w:rsidR="00F02160">
        <w:rPr>
          <w:rFonts w:eastAsia="Times New Roman"/>
        </w:rPr>
        <w:t xml:space="preserve"> “tweaks” </w:t>
      </w:r>
      <w:r w:rsidR="00A07B9D">
        <w:rPr>
          <w:rFonts w:eastAsia="Times New Roman"/>
        </w:rPr>
        <w:t>such as</w:t>
      </w:r>
      <w:r w:rsidR="00F02160">
        <w:rPr>
          <w:rFonts w:eastAsia="Times New Roman"/>
        </w:rPr>
        <w:t xml:space="preserve"> the use of end-of-period (EOP) accounting rather than average-of-monthly-averages (AMA) accounting for the determination of rate base</w:t>
      </w:r>
      <w:r w:rsidR="00A07B9D">
        <w:rPr>
          <w:rFonts w:eastAsia="Times New Roman"/>
        </w:rPr>
        <w:t>.</w:t>
      </w:r>
      <w:r w:rsidR="00F02160">
        <w:rPr>
          <w:rFonts w:eastAsia="Times New Roman"/>
        </w:rPr>
        <w:t xml:space="preserve"> </w:t>
      </w:r>
      <w:r w:rsidR="00A07B9D">
        <w:rPr>
          <w:rFonts w:eastAsia="Times New Roman"/>
        </w:rPr>
        <w:t xml:space="preserve">Others move further into the future including </w:t>
      </w:r>
      <w:r w:rsidR="00F02160">
        <w:rPr>
          <w:rFonts w:eastAsia="Times New Roman"/>
        </w:rPr>
        <w:t>the</w:t>
      </w:r>
      <w:r w:rsidR="00945DBD">
        <w:rPr>
          <w:rFonts w:eastAsia="Times New Roman"/>
        </w:rPr>
        <w:t xml:space="preserve"> addition </w:t>
      </w:r>
      <w:r w:rsidR="00F02160">
        <w:rPr>
          <w:rFonts w:eastAsia="Times New Roman"/>
        </w:rPr>
        <w:t>of Construction Work In-Progress into rate base</w:t>
      </w:r>
      <w:r w:rsidR="00945DBD">
        <w:rPr>
          <w:rFonts w:eastAsia="Times New Roman"/>
        </w:rPr>
        <w:t>,</w:t>
      </w:r>
      <w:r w:rsidR="00F02160">
        <w:rPr>
          <w:rFonts w:eastAsia="Times New Roman"/>
        </w:rPr>
        <w:t xml:space="preserve"> deferred accounting mechanisms for expenses</w:t>
      </w:r>
      <w:r w:rsidR="00945DBD">
        <w:rPr>
          <w:rFonts w:eastAsia="Times New Roman"/>
        </w:rPr>
        <w:t>,</w:t>
      </w:r>
      <w:r w:rsidR="001248FF">
        <w:rPr>
          <w:rFonts w:eastAsia="Times New Roman"/>
        </w:rPr>
        <w:t xml:space="preserve"> and</w:t>
      </w:r>
      <w:r w:rsidR="00F02160">
        <w:rPr>
          <w:rFonts w:eastAsia="Times New Roman"/>
        </w:rPr>
        <w:t xml:space="preserve"> the use of multi-year rate plans.</w:t>
      </w:r>
      <w:r w:rsidR="004934F2">
        <w:rPr>
          <w:rStyle w:val="FootnoteReference"/>
          <w:rFonts w:eastAsia="Times New Roman"/>
        </w:rPr>
        <w:footnoteReference w:id="9"/>
      </w:r>
    </w:p>
    <w:p w14:paraId="66127C58" w14:textId="77777777" w:rsidR="000A1303" w:rsidRDefault="000A1303" w:rsidP="000C249D">
      <w:pPr>
        <w:spacing w:line="480" w:lineRule="auto"/>
        <w:ind w:left="720" w:hanging="720"/>
        <w:rPr>
          <w:rFonts w:eastAsia="Times New Roman"/>
        </w:rPr>
      </w:pPr>
    </w:p>
    <w:p w14:paraId="2F1148A8" w14:textId="78885A07" w:rsidR="00A07B9D" w:rsidRDefault="00A07B9D" w:rsidP="000A1303">
      <w:pPr>
        <w:pStyle w:val="Heading8"/>
      </w:pPr>
      <w:r>
        <w:t>Q.</w:t>
      </w:r>
      <w:r>
        <w:tab/>
        <w:t>What method does Staff propose in this filing?</w:t>
      </w:r>
    </w:p>
    <w:p w14:paraId="5F9CB61B" w14:textId="0D756A9F" w:rsidR="001E310C" w:rsidRDefault="00A07B9D" w:rsidP="00F02160">
      <w:pPr>
        <w:spacing w:line="480" w:lineRule="auto"/>
        <w:ind w:left="720" w:hanging="720"/>
        <w:rPr>
          <w:rFonts w:eastAsia="Times New Roman"/>
        </w:rPr>
      </w:pPr>
      <w:r>
        <w:rPr>
          <w:rFonts w:eastAsia="Times New Roman"/>
        </w:rPr>
        <w:lastRenderedPageBreak/>
        <w:t>A.</w:t>
      </w:r>
      <w:r>
        <w:rPr>
          <w:rFonts w:eastAsia="Times New Roman"/>
        </w:rPr>
        <w:tab/>
        <w:t>Staff proposes using an attrition adjustment to promote a more reasonable opportunity for Avista to achieve its authorized rate of return.</w:t>
      </w:r>
    </w:p>
    <w:p w14:paraId="7FE20233" w14:textId="4003896E" w:rsidR="00F02160" w:rsidRDefault="00F02160" w:rsidP="001E310C">
      <w:pPr>
        <w:spacing w:line="480" w:lineRule="auto"/>
        <w:ind w:left="720" w:firstLine="720"/>
        <w:rPr>
          <w:rFonts w:eastAsia="Times New Roman"/>
        </w:rPr>
      </w:pPr>
      <w:r>
        <w:rPr>
          <w:rFonts w:eastAsia="Times New Roman"/>
        </w:rPr>
        <w:t xml:space="preserve">A trend-based attrition study, such as those used by the Company and Staff in this case, </w:t>
      </w:r>
      <w:r w:rsidR="0035556C">
        <w:rPr>
          <w:rFonts w:eastAsia="Times New Roman"/>
        </w:rPr>
        <w:t>estimate</w:t>
      </w:r>
      <w:r w:rsidR="00A07B9D">
        <w:rPr>
          <w:rFonts w:eastAsia="Times New Roman"/>
        </w:rPr>
        <w:t>s</w:t>
      </w:r>
      <w:r w:rsidR="0035556C">
        <w:rPr>
          <w:rFonts w:eastAsia="Times New Roman"/>
        </w:rPr>
        <w:t xml:space="preserve"> the rate base, expenses, and revenues likely to prevail in the near future</w:t>
      </w:r>
      <w:r>
        <w:rPr>
          <w:rFonts w:eastAsia="Times New Roman"/>
        </w:rPr>
        <w:t xml:space="preserve">.  Rather than using a </w:t>
      </w:r>
      <w:r w:rsidR="000A1303">
        <w:rPr>
          <w:rFonts w:eastAsia="Times New Roman"/>
        </w:rPr>
        <w:t xml:space="preserve">normalized </w:t>
      </w:r>
      <w:r>
        <w:rPr>
          <w:rFonts w:eastAsia="Times New Roman"/>
        </w:rPr>
        <w:t>“test year”</w:t>
      </w:r>
      <w:r w:rsidR="001E310C">
        <w:rPr>
          <w:rFonts w:eastAsia="Times New Roman"/>
        </w:rPr>
        <w:t xml:space="preserve"> as a starting point to serve as a proxy for the rate year</w:t>
      </w:r>
      <w:r>
        <w:rPr>
          <w:rFonts w:eastAsia="Times New Roman"/>
        </w:rPr>
        <w:t xml:space="preserve">, a broader historical period (2007 through 2015) is analyzed with the aim of capturing how these elements change over time.  The data is drawn from the Commission Basis Reports (“CBR”) filed by the Company.  </w:t>
      </w:r>
      <w:r w:rsidR="005950A6">
        <w:rPr>
          <w:rFonts w:eastAsia="Times New Roman"/>
        </w:rPr>
        <w:t>If</w:t>
      </w:r>
      <w:r>
        <w:rPr>
          <w:rFonts w:eastAsia="Times New Roman"/>
        </w:rPr>
        <w:t xml:space="preserve"> the relationship of the </w:t>
      </w:r>
      <w:r w:rsidR="000434BA">
        <w:rPr>
          <w:rFonts w:eastAsia="Times New Roman"/>
        </w:rPr>
        <w:t>sub-</w:t>
      </w:r>
      <w:r>
        <w:rPr>
          <w:rFonts w:eastAsia="Times New Roman"/>
        </w:rPr>
        <w:t xml:space="preserve">components of the revenue requirements formula are found to be highly explained by the progression of time, </w:t>
      </w:r>
      <w:r w:rsidR="005950A6">
        <w:rPr>
          <w:rFonts w:eastAsia="Times New Roman"/>
        </w:rPr>
        <w:t xml:space="preserve">then </w:t>
      </w:r>
      <w:r>
        <w:rPr>
          <w:rFonts w:eastAsia="Times New Roman"/>
        </w:rPr>
        <w:t xml:space="preserve">the </w:t>
      </w:r>
      <w:r w:rsidR="000C249D">
        <w:rPr>
          <w:rFonts w:eastAsia="Times New Roman"/>
        </w:rPr>
        <w:t>attrition study can</w:t>
      </w:r>
      <w:r>
        <w:rPr>
          <w:rFonts w:eastAsia="Times New Roman"/>
        </w:rPr>
        <w:t xml:space="preserve"> </w:t>
      </w:r>
      <w:r w:rsidR="001248FF">
        <w:rPr>
          <w:rFonts w:eastAsia="Times New Roman"/>
        </w:rPr>
        <w:t xml:space="preserve">accurately </w:t>
      </w:r>
      <w:r>
        <w:rPr>
          <w:rFonts w:eastAsia="Times New Roman"/>
        </w:rPr>
        <w:t xml:space="preserve">forecast </w:t>
      </w:r>
      <w:r w:rsidR="000C249D">
        <w:rPr>
          <w:rFonts w:eastAsia="Times New Roman"/>
        </w:rPr>
        <w:t xml:space="preserve">those components </w:t>
      </w:r>
      <w:r>
        <w:rPr>
          <w:rFonts w:eastAsia="Times New Roman"/>
        </w:rPr>
        <w:t>into the rate-effective period.</w:t>
      </w:r>
    </w:p>
    <w:p w14:paraId="4D28FEC5" w14:textId="53F11C75" w:rsidR="000434BA" w:rsidRDefault="00F02160" w:rsidP="00F02160">
      <w:pPr>
        <w:spacing w:line="480" w:lineRule="auto"/>
        <w:ind w:left="720" w:hanging="720"/>
        <w:rPr>
          <w:rFonts w:eastAsia="Times New Roman"/>
        </w:rPr>
      </w:pPr>
      <w:r>
        <w:rPr>
          <w:rFonts w:eastAsia="Times New Roman"/>
        </w:rPr>
        <w:tab/>
      </w:r>
      <w:r>
        <w:rPr>
          <w:rFonts w:eastAsia="Times New Roman"/>
        </w:rPr>
        <w:tab/>
        <w:t>Each of these two approaches</w:t>
      </w:r>
      <w:r w:rsidR="005950A6">
        <w:rPr>
          <w:rFonts w:eastAsia="Times New Roman"/>
        </w:rPr>
        <w:t>, a modified historical test year and a trend-based attrition study,</w:t>
      </w:r>
      <w:r>
        <w:rPr>
          <w:rFonts w:eastAsia="Times New Roman"/>
        </w:rPr>
        <w:t xml:space="preserve"> have their own </w:t>
      </w:r>
      <w:r w:rsidR="000434BA">
        <w:rPr>
          <w:rFonts w:eastAsia="Times New Roman"/>
        </w:rPr>
        <w:t>strengths and weaknesses</w:t>
      </w:r>
      <w:r>
        <w:rPr>
          <w:rFonts w:eastAsia="Times New Roman"/>
        </w:rPr>
        <w:t xml:space="preserve">.  </w:t>
      </w:r>
      <w:r w:rsidR="004934F2">
        <w:rPr>
          <w:rFonts w:eastAsia="Times New Roman"/>
        </w:rPr>
        <w:t xml:space="preserve">Together, they are complementary. </w:t>
      </w:r>
    </w:p>
    <w:p w14:paraId="2EFF26BD" w14:textId="77777777" w:rsidR="000434BA" w:rsidRDefault="000434BA" w:rsidP="00F02160">
      <w:pPr>
        <w:spacing w:line="480" w:lineRule="auto"/>
        <w:ind w:left="720" w:hanging="720"/>
        <w:rPr>
          <w:rFonts w:eastAsia="Times New Roman"/>
        </w:rPr>
      </w:pPr>
    </w:p>
    <w:p w14:paraId="1C60CDE6" w14:textId="4002EE50" w:rsidR="000434BA" w:rsidRDefault="000434BA" w:rsidP="000434BA">
      <w:pPr>
        <w:pStyle w:val="Heading8"/>
      </w:pPr>
      <w:r>
        <w:t>Q.</w:t>
      </w:r>
      <w:r>
        <w:tab/>
        <w:t>Can you provide some examples o</w:t>
      </w:r>
      <w:r w:rsidR="00332494">
        <w:t>f</w:t>
      </w:r>
      <w:r>
        <w:t xml:space="preserve"> the strengths and weaknesses of </w:t>
      </w:r>
      <w:r w:rsidR="009360D4">
        <w:t>modified historical test year approach</w:t>
      </w:r>
      <w:r>
        <w:t>?</w:t>
      </w:r>
    </w:p>
    <w:p w14:paraId="78212942" w14:textId="4EF0AD35" w:rsidR="0032027F" w:rsidRDefault="000434BA" w:rsidP="001248FF">
      <w:pPr>
        <w:spacing w:line="480" w:lineRule="auto"/>
        <w:ind w:left="720" w:hanging="720"/>
        <w:rPr>
          <w:rFonts w:eastAsia="Times New Roman"/>
        </w:rPr>
      </w:pPr>
      <w:r>
        <w:rPr>
          <w:rFonts w:eastAsia="Times New Roman"/>
        </w:rPr>
        <w:t>A.</w:t>
      </w:r>
      <w:r>
        <w:rPr>
          <w:rFonts w:eastAsia="Times New Roman"/>
        </w:rPr>
        <w:tab/>
        <w:t xml:space="preserve">Yes.  </w:t>
      </w:r>
      <w:r w:rsidR="009360D4">
        <w:rPr>
          <w:rFonts w:eastAsia="Times New Roman"/>
        </w:rPr>
        <w:t>As practiced by Staff, the modified historical test year approach identifies and captures only specific major plant additions</w:t>
      </w:r>
      <w:r w:rsidR="007E767A">
        <w:rPr>
          <w:rFonts w:eastAsia="Times New Roman"/>
        </w:rPr>
        <w:t xml:space="preserve"> that are used and useful and the costs of which</w:t>
      </w:r>
      <w:r w:rsidR="009360D4">
        <w:rPr>
          <w:rFonts w:eastAsia="Times New Roman"/>
        </w:rPr>
        <w:t xml:space="preserve"> are known</w:t>
      </w:r>
      <w:r w:rsidR="007E767A">
        <w:rPr>
          <w:rFonts w:eastAsia="Times New Roman"/>
        </w:rPr>
        <w:t xml:space="preserve"> and</w:t>
      </w:r>
      <w:r w:rsidR="009360D4">
        <w:rPr>
          <w:rFonts w:eastAsia="Times New Roman"/>
        </w:rPr>
        <w:t xml:space="preserve"> measurable.  This cautious approach places a high degree of emphasis on </w:t>
      </w:r>
      <w:r w:rsidR="00946CB8">
        <w:rPr>
          <w:rFonts w:eastAsia="Times New Roman"/>
        </w:rPr>
        <w:t>certainty.  The trade-off is that this often does not capture the full extent of rate base additions made prior to the beginning of the rate effective period – a characteristic known as “regulatory lag</w:t>
      </w:r>
      <w:r w:rsidR="007E767A">
        <w:rPr>
          <w:rFonts w:eastAsia="Times New Roman"/>
        </w:rPr>
        <w:t>.</w:t>
      </w:r>
      <w:r w:rsidR="00946CB8">
        <w:rPr>
          <w:rFonts w:eastAsia="Times New Roman"/>
        </w:rPr>
        <w:t xml:space="preserve">” </w:t>
      </w:r>
      <w:r w:rsidR="009360D4">
        <w:rPr>
          <w:rFonts w:eastAsia="Times New Roman"/>
        </w:rPr>
        <w:t xml:space="preserve"> </w:t>
      </w:r>
      <w:r w:rsidR="00946CB8">
        <w:rPr>
          <w:rFonts w:eastAsia="Times New Roman"/>
        </w:rPr>
        <w:t xml:space="preserve">Furthermore, this approach </w:t>
      </w:r>
      <w:r w:rsidR="009360D4">
        <w:rPr>
          <w:rFonts w:eastAsia="Times New Roman"/>
        </w:rPr>
        <w:t xml:space="preserve">produces rate </w:t>
      </w:r>
      <w:r w:rsidR="009360D4">
        <w:rPr>
          <w:rFonts w:eastAsia="Times New Roman"/>
        </w:rPr>
        <w:lastRenderedPageBreak/>
        <w:t xml:space="preserve">base balances that fall short of the total balances in place during the rate-effective period.  </w:t>
      </w:r>
      <w:r w:rsidR="00311B76">
        <w:rPr>
          <w:rFonts w:eastAsia="Times New Roman"/>
        </w:rPr>
        <w:t>This characteristic is know as “attrition” when it</w:t>
      </w:r>
      <w:r w:rsidR="00946CB8">
        <w:rPr>
          <w:rFonts w:eastAsia="Times New Roman"/>
        </w:rPr>
        <w:t xml:space="preserve"> </w:t>
      </w:r>
      <w:r w:rsidR="00311B76">
        <w:rPr>
          <w:rFonts w:eastAsia="Times New Roman"/>
        </w:rPr>
        <w:t>denies the utility of the opportunity to achieve the authorized rate of return.</w:t>
      </w:r>
      <w:r w:rsidR="001248FF" w:rsidDel="001248FF">
        <w:rPr>
          <w:rFonts w:eastAsia="Times New Roman"/>
        </w:rPr>
        <w:t xml:space="preserve"> </w:t>
      </w:r>
    </w:p>
    <w:p w14:paraId="0796890A" w14:textId="77777777" w:rsidR="00311B76" w:rsidRDefault="00311B76" w:rsidP="00142E99">
      <w:pPr>
        <w:spacing w:line="480" w:lineRule="auto"/>
        <w:ind w:left="720" w:firstLine="720"/>
        <w:rPr>
          <w:rFonts w:eastAsia="Times New Roman"/>
        </w:rPr>
      </w:pPr>
    </w:p>
    <w:p w14:paraId="7603718B" w14:textId="7D31D496" w:rsidR="00311B76" w:rsidRPr="00311B76" w:rsidRDefault="00311B76" w:rsidP="00311B76">
      <w:pPr>
        <w:pStyle w:val="Heading8"/>
      </w:pPr>
      <w:r w:rsidRPr="00311B76">
        <w:t>Q.</w:t>
      </w:r>
      <w:r w:rsidRPr="00311B76">
        <w:tab/>
        <w:t xml:space="preserve">Can you provide some examples of the strengths and weaknesses of </w:t>
      </w:r>
      <w:r>
        <w:t>the trending methodology</w:t>
      </w:r>
      <w:r w:rsidRPr="00311B76">
        <w:t>?</w:t>
      </w:r>
    </w:p>
    <w:p w14:paraId="2BF4BC8F" w14:textId="15EEEF1D" w:rsidR="008E6740" w:rsidRDefault="001248FF" w:rsidP="001248FF">
      <w:pPr>
        <w:spacing w:line="480" w:lineRule="auto"/>
        <w:ind w:left="720" w:hanging="720"/>
        <w:rPr>
          <w:rFonts w:eastAsia="Times New Roman"/>
        </w:rPr>
      </w:pPr>
      <w:r>
        <w:rPr>
          <w:rFonts w:eastAsia="Times New Roman"/>
        </w:rPr>
        <w:t>A.</w:t>
      </w:r>
      <w:r>
        <w:rPr>
          <w:rFonts w:eastAsia="Times New Roman"/>
        </w:rPr>
        <w:tab/>
      </w:r>
      <w:r w:rsidR="005F1825">
        <w:rPr>
          <w:rFonts w:eastAsia="Times New Roman"/>
        </w:rPr>
        <w:t>The strength of</w:t>
      </w:r>
      <w:r w:rsidR="008E6740">
        <w:rPr>
          <w:rFonts w:eastAsia="Times New Roman"/>
        </w:rPr>
        <w:t xml:space="preserve"> the statistical approach in the attrition stud</w:t>
      </w:r>
      <w:r w:rsidR="002D4056">
        <w:rPr>
          <w:rFonts w:eastAsia="Times New Roman"/>
        </w:rPr>
        <w:t>ies</w:t>
      </w:r>
      <w:r w:rsidR="008E6740">
        <w:rPr>
          <w:rFonts w:eastAsia="Times New Roman"/>
        </w:rPr>
        <w:t xml:space="preserve"> </w:t>
      </w:r>
      <w:r w:rsidR="005F1825">
        <w:rPr>
          <w:rFonts w:eastAsia="Times New Roman"/>
        </w:rPr>
        <w:t>is that</w:t>
      </w:r>
      <w:r w:rsidR="008E6740">
        <w:rPr>
          <w:rFonts w:eastAsia="Times New Roman"/>
        </w:rPr>
        <w:t xml:space="preserve"> it uses the known and measurable performance </w:t>
      </w:r>
      <w:r w:rsidR="005F1825">
        <w:rPr>
          <w:rFonts w:eastAsia="Times New Roman"/>
        </w:rPr>
        <w:t xml:space="preserve">of </w:t>
      </w:r>
      <w:r w:rsidR="008E6740">
        <w:rPr>
          <w:rFonts w:eastAsia="Times New Roman"/>
        </w:rPr>
        <w:t>operations</w:t>
      </w:r>
      <w:r w:rsidR="005F1825">
        <w:rPr>
          <w:rFonts w:eastAsia="Times New Roman"/>
        </w:rPr>
        <w:t xml:space="preserve"> and the actual plant-in-service</w:t>
      </w:r>
      <w:r w:rsidR="008E6740">
        <w:rPr>
          <w:rFonts w:eastAsia="Times New Roman"/>
        </w:rPr>
        <w:t xml:space="preserve"> of the Company from recent years to </w:t>
      </w:r>
      <w:r w:rsidR="00BE01B1">
        <w:rPr>
          <w:rFonts w:eastAsia="Times New Roman"/>
        </w:rPr>
        <w:t xml:space="preserve">produce </w:t>
      </w:r>
      <w:r w:rsidR="008B2BE8">
        <w:rPr>
          <w:rFonts w:eastAsia="Times New Roman"/>
        </w:rPr>
        <w:t xml:space="preserve">statistically-sound </w:t>
      </w:r>
      <w:r w:rsidR="00BE01B1">
        <w:rPr>
          <w:rFonts w:eastAsia="Times New Roman"/>
        </w:rPr>
        <w:t>estimates of</w:t>
      </w:r>
      <w:r w:rsidR="008E6740">
        <w:rPr>
          <w:rFonts w:eastAsia="Times New Roman"/>
        </w:rPr>
        <w:t xml:space="preserve"> future rate base balances</w:t>
      </w:r>
      <w:r w:rsidR="005F1825">
        <w:rPr>
          <w:rFonts w:eastAsia="Times New Roman"/>
        </w:rPr>
        <w:t>, expenses, and revenues</w:t>
      </w:r>
      <w:r w:rsidR="008E6740">
        <w:rPr>
          <w:rFonts w:eastAsia="Times New Roman"/>
        </w:rPr>
        <w:t>.</w:t>
      </w:r>
      <w:r w:rsidR="005F1825">
        <w:rPr>
          <w:rFonts w:eastAsia="Times New Roman"/>
        </w:rPr>
        <w:t xml:space="preserve">  A revenue shortfall in the upcoming period is determined and an attrition allowance may be granted to overcome this shortfall.  Establishing this near-term financial allowance will provide the utility with the opportunity to earn its target rate of return.</w:t>
      </w:r>
    </w:p>
    <w:p w14:paraId="1C7B5CDC" w14:textId="2122020E" w:rsidR="00F02160" w:rsidRDefault="008B2BE8" w:rsidP="008E6740">
      <w:pPr>
        <w:spacing w:line="480" w:lineRule="auto"/>
        <w:ind w:left="720" w:firstLine="720"/>
        <w:rPr>
          <w:rFonts w:eastAsia="Times New Roman"/>
        </w:rPr>
      </w:pPr>
      <w:r>
        <w:rPr>
          <w:rFonts w:eastAsia="Times New Roman"/>
        </w:rPr>
        <w:t>However</w:t>
      </w:r>
      <w:r w:rsidR="00F02160">
        <w:rPr>
          <w:rFonts w:eastAsia="Times New Roman"/>
        </w:rPr>
        <w:t>, the trending approach</w:t>
      </w:r>
      <w:r>
        <w:rPr>
          <w:rFonts w:eastAsia="Times New Roman"/>
        </w:rPr>
        <w:t xml:space="preserve"> behind the attrition study models</w:t>
      </w:r>
      <w:r w:rsidR="00F02160">
        <w:rPr>
          <w:rFonts w:eastAsia="Times New Roman"/>
        </w:rPr>
        <w:t xml:space="preserve"> used by both Staff and Avista is agnostic to the </w:t>
      </w:r>
      <w:r w:rsidR="008E6740">
        <w:rPr>
          <w:rFonts w:eastAsia="Times New Roman"/>
          <w:i/>
        </w:rPr>
        <w:t>specific</w:t>
      </w:r>
      <w:r w:rsidR="00F02160">
        <w:rPr>
          <w:rFonts w:eastAsia="Times New Roman"/>
        </w:rPr>
        <w:t xml:space="preserve"> </w:t>
      </w:r>
      <w:r w:rsidR="005F1825">
        <w:rPr>
          <w:rFonts w:eastAsia="Times New Roman"/>
        </w:rPr>
        <w:t>investments or expenses incurred in the rate-effective period</w:t>
      </w:r>
      <w:r w:rsidR="00F02160">
        <w:rPr>
          <w:rFonts w:eastAsia="Times New Roman"/>
        </w:rPr>
        <w:t>.</w:t>
      </w:r>
      <w:r w:rsidR="008E6740">
        <w:rPr>
          <w:rFonts w:eastAsia="Times New Roman"/>
        </w:rPr>
        <w:t xml:space="preserve">  </w:t>
      </w:r>
      <w:r w:rsidR="00F02160">
        <w:rPr>
          <w:rFonts w:eastAsia="Times New Roman"/>
        </w:rPr>
        <w:t xml:space="preserve">It therefore does not apply the </w:t>
      </w:r>
      <w:r w:rsidR="00FB76D3">
        <w:rPr>
          <w:rFonts w:eastAsia="Times New Roman"/>
        </w:rPr>
        <w:t xml:space="preserve">same level of </w:t>
      </w:r>
      <w:r w:rsidR="00F02160">
        <w:rPr>
          <w:rFonts w:eastAsia="Times New Roman"/>
        </w:rPr>
        <w:t xml:space="preserve">detailed scrutiny on </w:t>
      </w:r>
      <w:r w:rsidR="00BE01B1">
        <w:rPr>
          <w:rFonts w:eastAsia="Times New Roman"/>
        </w:rPr>
        <w:t xml:space="preserve">specific </w:t>
      </w:r>
      <w:r w:rsidR="00F02160">
        <w:rPr>
          <w:rFonts w:eastAsia="Times New Roman"/>
        </w:rPr>
        <w:t>large capital additions that the modified historical test year approach features.</w:t>
      </w:r>
      <w:r>
        <w:rPr>
          <w:rFonts w:eastAsia="Times New Roman"/>
        </w:rPr>
        <w:t xml:space="preserve">  </w:t>
      </w:r>
      <w:r w:rsidR="005F1825">
        <w:rPr>
          <w:rFonts w:eastAsia="Times New Roman"/>
        </w:rPr>
        <w:t>A</w:t>
      </w:r>
      <w:r>
        <w:rPr>
          <w:rFonts w:eastAsia="Times New Roman"/>
        </w:rPr>
        <w:t>ttrition study models succeed in producing more accurate estimates of future rate base balances</w:t>
      </w:r>
      <w:r w:rsidR="005F1825">
        <w:rPr>
          <w:rFonts w:eastAsia="Times New Roman"/>
        </w:rPr>
        <w:t xml:space="preserve"> and expenses at the expense of</w:t>
      </w:r>
      <w:r>
        <w:rPr>
          <w:rFonts w:eastAsia="Times New Roman"/>
        </w:rPr>
        <w:t xml:space="preserve"> </w:t>
      </w:r>
      <w:r w:rsidR="00945DBD">
        <w:rPr>
          <w:rFonts w:eastAsia="Times New Roman"/>
        </w:rPr>
        <w:t xml:space="preserve">the modified historical test year’s additional scrutiny of </w:t>
      </w:r>
      <w:r>
        <w:rPr>
          <w:rFonts w:eastAsia="Times New Roman"/>
        </w:rPr>
        <w:t>rate base</w:t>
      </w:r>
      <w:r w:rsidR="005F1825">
        <w:rPr>
          <w:rFonts w:eastAsia="Times New Roman"/>
        </w:rPr>
        <w:t xml:space="preserve"> </w:t>
      </w:r>
      <w:r w:rsidR="00945DBD">
        <w:rPr>
          <w:rFonts w:eastAsia="Times New Roman"/>
        </w:rPr>
        <w:t>and</w:t>
      </w:r>
      <w:r w:rsidR="005F1825">
        <w:rPr>
          <w:rFonts w:eastAsia="Times New Roman"/>
        </w:rPr>
        <w:t xml:space="preserve"> expense</w:t>
      </w:r>
      <w:r w:rsidR="00945DBD">
        <w:rPr>
          <w:rFonts w:eastAsia="Times New Roman"/>
        </w:rPr>
        <w:t xml:space="preserve"> items</w:t>
      </w:r>
      <w:r>
        <w:rPr>
          <w:rFonts w:eastAsia="Times New Roman"/>
        </w:rPr>
        <w:t xml:space="preserve">.  </w:t>
      </w:r>
    </w:p>
    <w:p w14:paraId="6E601EC1" w14:textId="31EBE89F" w:rsidR="00D00FB9" w:rsidRDefault="005F1516" w:rsidP="008E6740">
      <w:pPr>
        <w:spacing w:line="480" w:lineRule="auto"/>
        <w:ind w:left="720" w:firstLine="720"/>
        <w:rPr>
          <w:rFonts w:eastAsia="Times New Roman"/>
        </w:rPr>
      </w:pPr>
      <w:r>
        <w:rPr>
          <w:rFonts w:eastAsia="Times New Roman"/>
        </w:rPr>
        <w:t xml:space="preserve">The weaknesses of each method are overcome by the strengths of each method, giving support to the attrition </w:t>
      </w:r>
      <w:r w:rsidR="00A13DBE">
        <w:rPr>
          <w:rFonts w:eastAsia="Times New Roman"/>
        </w:rPr>
        <w:t xml:space="preserve">study </w:t>
      </w:r>
      <w:r>
        <w:rPr>
          <w:rFonts w:eastAsia="Times New Roman"/>
        </w:rPr>
        <w:t xml:space="preserve">as a complement to Staff’s analysis of the modified historical test year.  </w:t>
      </w:r>
    </w:p>
    <w:p w14:paraId="7DFB456A" w14:textId="77777777" w:rsidR="00D00FB9" w:rsidRDefault="00D00FB9" w:rsidP="008E6740">
      <w:pPr>
        <w:spacing w:line="480" w:lineRule="auto"/>
        <w:ind w:left="720" w:firstLine="720"/>
        <w:rPr>
          <w:rFonts w:eastAsia="Times New Roman"/>
        </w:rPr>
      </w:pPr>
    </w:p>
    <w:p w14:paraId="194490CB" w14:textId="511A31EE" w:rsidR="008E6740" w:rsidRDefault="00D00FB9" w:rsidP="00D00FB9">
      <w:pPr>
        <w:pStyle w:val="Heading8"/>
      </w:pPr>
      <w:r>
        <w:t>Q.</w:t>
      </w:r>
      <w:r>
        <w:tab/>
        <w:t xml:space="preserve">The modified historical test year, with limited </w:t>
      </w:r>
      <w:r w:rsidRPr="004D3EC3">
        <w:rPr>
          <w:i/>
        </w:rPr>
        <w:t>pro forma</w:t>
      </w:r>
      <w:r>
        <w:t xml:space="preserve"> adjustments, has historically served the Commission well in determining revenue requirements.  Why is it insufficient to the task today?</w:t>
      </w:r>
    </w:p>
    <w:p w14:paraId="7D6970D2" w14:textId="2A293125" w:rsidR="00D00FB9" w:rsidRDefault="00D00FB9" w:rsidP="00D00FB9">
      <w:pPr>
        <w:pStyle w:val="NoSpacing"/>
      </w:pPr>
      <w:r>
        <w:t>A.</w:t>
      </w:r>
      <w:r>
        <w:tab/>
        <w:t xml:space="preserve">Over the vast majority of </w:t>
      </w:r>
      <w:r w:rsidR="008F681F">
        <w:t>the modified historical test year’s history</w:t>
      </w:r>
      <w:r>
        <w:t>, the utilities in this state had characteristics that are not present today.  Prices</w:t>
      </w:r>
      <w:r w:rsidR="00CA47FB">
        <w:t xml:space="preserve"> facing ratepayers</w:t>
      </w:r>
      <w:r>
        <w:t xml:space="preserve"> were fixed, but revenues grew because load growth was </w:t>
      </w:r>
      <w:r w:rsidR="00CA47FB">
        <w:t>equal to or greater than increasing capital and operating costs</w:t>
      </w:r>
      <w:r>
        <w:t xml:space="preserve">.  Electrification was actively promoted by state and federal governments.  </w:t>
      </w:r>
      <w:r w:rsidR="00ED5848">
        <w:t xml:space="preserve">Electrification itself was partially responsible for enormous productivity growth in the economy and the rising incomes to match.  </w:t>
      </w:r>
      <w:r>
        <w:t>R</w:t>
      </w:r>
      <w:r w:rsidR="00514349">
        <w:t>esidential r</w:t>
      </w:r>
      <w:r>
        <w:t xml:space="preserve">atepayers </w:t>
      </w:r>
      <w:r w:rsidR="00BE1A79">
        <w:t>adopted new, energy-intensive home appliances</w:t>
      </w:r>
      <w:r w:rsidR="008F681F">
        <w:t xml:space="preserve"> such as</w:t>
      </w:r>
      <w:r w:rsidR="00BE1A79">
        <w:t xml:space="preserve"> the air conditioner, the television, electric and natural gas stovetop ranges, ovens, and water heaters.  All of this load growth demanded and then ate into capacity, where all parties enjoyed large economies of scale.  </w:t>
      </w:r>
      <w:r w:rsidR="00ED5848">
        <w:t xml:space="preserve">Production plants achieved higher thermal efficiency ratings.  </w:t>
      </w:r>
      <w:r w:rsidR="00BE1A79">
        <w:t>Commissions often dealt with the popular task of lowering prices.</w:t>
      </w:r>
      <w:r w:rsidR="009033E4">
        <w:rPr>
          <w:rStyle w:val="FootnoteReference"/>
        </w:rPr>
        <w:footnoteReference w:id="10"/>
      </w:r>
    </w:p>
    <w:p w14:paraId="0046F31A" w14:textId="5BE3C021" w:rsidR="00ED5848" w:rsidRPr="00D00FB9" w:rsidRDefault="00ED5848" w:rsidP="00D00FB9">
      <w:pPr>
        <w:pStyle w:val="NoSpacing"/>
      </w:pPr>
      <w:r>
        <w:tab/>
      </w:r>
      <w:r>
        <w:tab/>
        <w:t xml:space="preserve">Many of these conditions are no longer present.  </w:t>
      </w:r>
      <w:r w:rsidR="00514349">
        <w:t xml:space="preserve">Despite low </w:t>
      </w:r>
      <w:r w:rsidR="00CA47FB">
        <w:t>commodity energy prices, l</w:t>
      </w:r>
      <w:r>
        <w:t>oad growth is minimal</w:t>
      </w:r>
      <w:r w:rsidR="00CA47FB">
        <w:t xml:space="preserve"> to flat</w:t>
      </w:r>
      <w:r w:rsidR="008F681F">
        <w:t xml:space="preserve"> and </w:t>
      </w:r>
      <w:r>
        <w:t>many government policies actively</w:t>
      </w:r>
      <w:r w:rsidR="00CB1F0F">
        <w:t xml:space="preserve"> </w:t>
      </w:r>
      <w:r w:rsidR="009033E4">
        <w:t>discourage load growth</w:t>
      </w:r>
      <w:r>
        <w:t>.</w:t>
      </w:r>
      <w:r w:rsidR="00CA47FB">
        <w:t xml:space="preserve">  </w:t>
      </w:r>
      <w:r w:rsidR="009753BF">
        <w:t xml:space="preserve">As the </w:t>
      </w:r>
      <w:r w:rsidR="00CA47FB">
        <w:t xml:space="preserve">building, capital, and appliance stock of </w:t>
      </w:r>
      <w:r w:rsidR="009753BF">
        <w:t xml:space="preserve">customers </w:t>
      </w:r>
      <w:r w:rsidR="00CA47FB">
        <w:t xml:space="preserve">undergoes turnover, </w:t>
      </w:r>
      <w:r w:rsidR="009753BF">
        <w:t xml:space="preserve">the </w:t>
      </w:r>
      <w:r w:rsidR="00CA47FB">
        <w:t xml:space="preserve">replacement </w:t>
      </w:r>
      <w:r w:rsidR="009753BF">
        <w:t>products are</w:t>
      </w:r>
      <w:r w:rsidR="00CA47FB">
        <w:t xml:space="preserve"> more efficient.</w:t>
      </w:r>
      <w:r>
        <w:t xml:space="preserve">  </w:t>
      </w:r>
      <w:r w:rsidR="009753BF">
        <w:t>Yet production</w:t>
      </w:r>
      <w:r>
        <w:t>, transmission, and distribution plant continue to depreciat</w:t>
      </w:r>
      <w:r w:rsidR="00FB76D3">
        <w:t>e</w:t>
      </w:r>
      <w:r>
        <w:t xml:space="preserve">, eventually requiring </w:t>
      </w:r>
      <w:r>
        <w:lastRenderedPageBreak/>
        <w:t xml:space="preserve">replacement.  </w:t>
      </w:r>
      <w:r w:rsidR="00F024E9">
        <w:t>Also, u</w:t>
      </w:r>
      <w:r w:rsidR="000E25D5">
        <w:t xml:space="preserve">tilities are expected to provide a wider range of services </w:t>
      </w:r>
      <w:r w:rsidR="00F024E9">
        <w:t xml:space="preserve">and greater reliability </w:t>
      </w:r>
      <w:r w:rsidR="000E25D5">
        <w:t>than their counterparts of decades passed.</w:t>
      </w:r>
      <w:r w:rsidR="00CA47FB">
        <w:t xml:space="preserve">  </w:t>
      </w:r>
    </w:p>
    <w:p w14:paraId="40B9026D" w14:textId="77777777" w:rsidR="00806BFF" w:rsidRDefault="00806BFF" w:rsidP="00D00FB9">
      <w:pPr>
        <w:pStyle w:val="NoSpacing"/>
      </w:pPr>
    </w:p>
    <w:p w14:paraId="47483826" w14:textId="149ED7AF" w:rsidR="00806BFF" w:rsidRPr="00EB142C" w:rsidRDefault="00806BFF" w:rsidP="006D0D5F">
      <w:pPr>
        <w:pStyle w:val="Heading8"/>
      </w:pPr>
      <w:r w:rsidRPr="00EB142C">
        <w:t>Q.</w:t>
      </w:r>
      <w:r w:rsidRPr="00EB142C">
        <w:tab/>
        <w:t>When and how should the Commission grant an attrition adjustment?</w:t>
      </w:r>
    </w:p>
    <w:p w14:paraId="389EF241" w14:textId="3351C062" w:rsidR="00806BFF" w:rsidRDefault="00806BFF" w:rsidP="00806BFF">
      <w:pPr>
        <w:spacing w:line="480" w:lineRule="auto"/>
        <w:ind w:left="720" w:hanging="720"/>
        <w:rPr>
          <w:rFonts w:eastAsia="Times New Roman"/>
        </w:rPr>
      </w:pPr>
      <w:r>
        <w:rPr>
          <w:rFonts w:eastAsia="Times New Roman"/>
        </w:rPr>
        <w:t>A.</w:t>
      </w:r>
      <w:r>
        <w:rPr>
          <w:rFonts w:eastAsia="Times New Roman"/>
        </w:rPr>
        <w:tab/>
        <w:t>The Commission’s most recent standard for when to a</w:t>
      </w:r>
      <w:r w:rsidR="000B1D2B">
        <w:rPr>
          <w:rFonts w:eastAsia="Times New Roman"/>
        </w:rPr>
        <w:t>uthorize an attrition adjustment</w:t>
      </w:r>
      <w:r>
        <w:rPr>
          <w:rFonts w:eastAsia="Times New Roman"/>
        </w:rPr>
        <w:t xml:space="preserve"> requires that utilities demonstrate</w:t>
      </w:r>
      <w:r w:rsidR="00C34D29">
        <w:rPr>
          <w:rFonts w:eastAsia="Times New Roman"/>
        </w:rPr>
        <w:t>:</w:t>
      </w:r>
      <w:r>
        <w:rPr>
          <w:rFonts w:eastAsia="Times New Roman"/>
        </w:rPr>
        <w:t xml:space="preserve"> </w:t>
      </w:r>
      <w:r w:rsidR="00C34D29">
        <w:rPr>
          <w:rFonts w:eastAsia="Times New Roman"/>
        </w:rPr>
        <w:t>(1)</w:t>
      </w:r>
      <w:r>
        <w:rPr>
          <w:rFonts w:eastAsia="Times New Roman"/>
        </w:rPr>
        <w:t xml:space="preserve"> the cause(s) of attrition and </w:t>
      </w:r>
      <w:r w:rsidR="00C34D29">
        <w:rPr>
          <w:rFonts w:eastAsia="Times New Roman"/>
        </w:rPr>
        <w:t xml:space="preserve">(2) </w:t>
      </w:r>
      <w:r>
        <w:rPr>
          <w:rFonts w:eastAsia="Times New Roman"/>
        </w:rPr>
        <w:t>that those causes are beyond the utility’s control.</w:t>
      </w:r>
      <w:r>
        <w:rPr>
          <w:rStyle w:val="FootnoteReference"/>
          <w:rFonts w:eastAsia="Times New Roman"/>
        </w:rPr>
        <w:footnoteReference w:id="11"/>
      </w:r>
      <w:r>
        <w:rPr>
          <w:rFonts w:eastAsia="Times New Roman"/>
        </w:rPr>
        <w:t xml:space="preserve"> </w:t>
      </w:r>
      <w:r w:rsidR="00495AED">
        <w:rPr>
          <w:rFonts w:eastAsia="Times New Roman"/>
        </w:rPr>
        <w:t xml:space="preserve"> </w:t>
      </w:r>
      <w:r>
        <w:rPr>
          <w:rFonts w:eastAsia="Times New Roman"/>
        </w:rPr>
        <w:t>In terms of how to calculate an actual adjustment, the goal should always be</w:t>
      </w:r>
      <w:r w:rsidR="00687CE3">
        <w:rPr>
          <w:rFonts w:eastAsia="Times New Roman"/>
        </w:rPr>
        <w:t xml:space="preserve"> an</w:t>
      </w:r>
      <w:r>
        <w:rPr>
          <w:rFonts w:eastAsia="Times New Roman"/>
        </w:rPr>
        <w:t xml:space="preserve"> unbiased, mathematically sound analysis of the relationships between revenues, expenses, and rate base.  </w:t>
      </w:r>
    </w:p>
    <w:p w14:paraId="568019E4" w14:textId="77777777" w:rsidR="003E753E" w:rsidRDefault="003E753E" w:rsidP="00806BFF">
      <w:pPr>
        <w:spacing w:line="480" w:lineRule="auto"/>
        <w:rPr>
          <w:rFonts w:eastAsia="Times New Roman"/>
        </w:rPr>
      </w:pPr>
    </w:p>
    <w:p w14:paraId="31415AEF" w14:textId="1130E01B" w:rsidR="003E753E" w:rsidRPr="00EB142C" w:rsidRDefault="003E753E" w:rsidP="006D0D5F">
      <w:pPr>
        <w:pStyle w:val="Heading8"/>
      </w:pPr>
      <w:r w:rsidRPr="00EB142C">
        <w:t>Q.</w:t>
      </w:r>
      <w:r w:rsidRPr="00EB142C">
        <w:tab/>
        <w:t xml:space="preserve">How long </w:t>
      </w:r>
      <w:r w:rsidR="00C34D29">
        <w:t>should</w:t>
      </w:r>
      <w:r w:rsidRPr="00EB142C">
        <w:t xml:space="preserve"> attrition </w:t>
      </w:r>
      <w:r w:rsidR="00AD3EA2">
        <w:t>be a salient concern</w:t>
      </w:r>
      <w:r w:rsidRPr="00EB142C">
        <w:t>?</w:t>
      </w:r>
    </w:p>
    <w:p w14:paraId="68243903" w14:textId="66221976" w:rsidR="004971BA" w:rsidRDefault="003E753E" w:rsidP="002D4056">
      <w:pPr>
        <w:spacing w:line="480" w:lineRule="auto"/>
        <w:ind w:left="720" w:hanging="720"/>
        <w:rPr>
          <w:rFonts w:eastAsia="Times New Roman"/>
        </w:rPr>
      </w:pPr>
      <w:r>
        <w:rPr>
          <w:rFonts w:eastAsia="Times New Roman"/>
        </w:rPr>
        <w:t>A.</w:t>
      </w:r>
      <w:r>
        <w:rPr>
          <w:rFonts w:eastAsia="Times New Roman"/>
        </w:rPr>
        <w:tab/>
      </w:r>
      <w:r w:rsidR="004F0EA2">
        <w:rPr>
          <w:rFonts w:eastAsia="Times New Roman"/>
        </w:rPr>
        <w:t>The response is twofold.</w:t>
      </w:r>
      <w:r w:rsidR="002D4056">
        <w:rPr>
          <w:rFonts w:eastAsia="Times New Roman"/>
        </w:rPr>
        <w:t xml:space="preserve"> </w:t>
      </w:r>
      <w:r w:rsidR="004F0EA2">
        <w:rPr>
          <w:rFonts w:eastAsia="Times New Roman"/>
        </w:rPr>
        <w:t xml:space="preserve"> First, </w:t>
      </w:r>
      <w:r w:rsidR="002D4056">
        <w:rPr>
          <w:rFonts w:eastAsia="Times New Roman"/>
        </w:rPr>
        <w:t xml:space="preserve">the phenomenon of </w:t>
      </w:r>
      <w:r w:rsidR="004F0EA2">
        <w:rPr>
          <w:rFonts w:eastAsia="Times New Roman"/>
        </w:rPr>
        <w:t>a</w:t>
      </w:r>
      <w:r w:rsidR="004971BA">
        <w:rPr>
          <w:rFonts w:eastAsia="Times New Roman"/>
        </w:rPr>
        <w:t xml:space="preserve">ttrition will </w:t>
      </w:r>
      <w:r w:rsidR="00AD3EA2">
        <w:rPr>
          <w:rFonts w:eastAsia="Times New Roman"/>
        </w:rPr>
        <w:t xml:space="preserve">remain a threat </w:t>
      </w:r>
      <w:r w:rsidR="004971BA">
        <w:rPr>
          <w:rFonts w:eastAsia="Times New Roman"/>
        </w:rPr>
        <w:t xml:space="preserve">so long as the conditions </w:t>
      </w:r>
      <w:r w:rsidR="00AD3EA2">
        <w:rPr>
          <w:rFonts w:eastAsia="Times New Roman"/>
        </w:rPr>
        <w:t>agitating towards</w:t>
      </w:r>
      <w:r w:rsidR="004971BA">
        <w:rPr>
          <w:rFonts w:eastAsia="Times New Roman"/>
        </w:rPr>
        <w:t xml:space="preserve"> attrition remain present.  Outside of continuously filed rate cases, there do not seem to be any obvious sources of </w:t>
      </w:r>
      <w:r w:rsidR="00CA643A">
        <w:rPr>
          <w:rFonts w:eastAsia="Times New Roman"/>
        </w:rPr>
        <w:t xml:space="preserve">sufficient </w:t>
      </w:r>
      <w:r w:rsidR="004971BA">
        <w:rPr>
          <w:rFonts w:eastAsia="Times New Roman"/>
        </w:rPr>
        <w:t>revenue</w:t>
      </w:r>
      <w:r w:rsidR="00CA643A">
        <w:rPr>
          <w:rFonts w:eastAsia="Times New Roman"/>
        </w:rPr>
        <w:t xml:space="preserve"> growth</w:t>
      </w:r>
      <w:r w:rsidR="004971BA">
        <w:rPr>
          <w:rFonts w:eastAsia="Times New Roman"/>
        </w:rPr>
        <w:t xml:space="preserve"> to the company.</w:t>
      </w:r>
      <w:r w:rsidR="004F0EA2">
        <w:rPr>
          <w:rStyle w:val="FootnoteReference"/>
          <w:rFonts w:eastAsia="Times New Roman"/>
        </w:rPr>
        <w:footnoteReference w:id="12"/>
      </w:r>
      <w:r w:rsidR="004971BA">
        <w:rPr>
          <w:rFonts w:eastAsia="Times New Roman"/>
        </w:rPr>
        <w:t xml:space="preserve">  Avista has been alleging attrition since at least 2012</w:t>
      </w:r>
      <w:r w:rsidR="00871CAA">
        <w:rPr>
          <w:rFonts w:eastAsia="Times New Roman"/>
        </w:rPr>
        <w:t>,</w:t>
      </w:r>
      <w:r w:rsidR="00CA643A">
        <w:rPr>
          <w:rStyle w:val="FootnoteReference"/>
          <w:rFonts w:eastAsia="Times New Roman"/>
        </w:rPr>
        <w:footnoteReference w:id="13"/>
      </w:r>
      <w:r w:rsidR="004971BA">
        <w:rPr>
          <w:rFonts w:eastAsia="Times New Roman"/>
        </w:rPr>
        <w:t xml:space="preserve"> and </w:t>
      </w:r>
      <w:r w:rsidR="00EE4EEE">
        <w:rPr>
          <w:rFonts w:eastAsia="Times New Roman"/>
        </w:rPr>
        <w:t xml:space="preserve">the Company’s </w:t>
      </w:r>
      <w:r w:rsidR="004971BA">
        <w:rPr>
          <w:rFonts w:eastAsia="Times New Roman"/>
        </w:rPr>
        <w:t>Net Plant</w:t>
      </w:r>
      <w:r w:rsidR="000B1D2B">
        <w:rPr>
          <w:rFonts w:eastAsia="Times New Roman"/>
        </w:rPr>
        <w:t xml:space="preserve"> After DFIT</w:t>
      </w:r>
      <w:r w:rsidR="004971BA">
        <w:rPr>
          <w:rFonts w:eastAsia="Times New Roman"/>
        </w:rPr>
        <w:t xml:space="preserve"> </w:t>
      </w:r>
      <w:r w:rsidR="00EE4EEE">
        <w:rPr>
          <w:rFonts w:eastAsia="Times New Roman"/>
        </w:rPr>
        <w:t>in electric operations has grown</w:t>
      </w:r>
      <w:r w:rsidR="004971BA">
        <w:rPr>
          <w:rFonts w:eastAsia="Times New Roman"/>
        </w:rPr>
        <w:t xml:space="preserve"> roughly $50 million per year going back to at least 2007.</w:t>
      </w:r>
      <w:r w:rsidR="004D4220">
        <w:rPr>
          <w:rStyle w:val="FootnoteReference"/>
          <w:rFonts w:eastAsia="Times New Roman"/>
        </w:rPr>
        <w:footnoteReference w:id="14"/>
      </w:r>
      <w:r w:rsidR="004971BA">
        <w:rPr>
          <w:rFonts w:eastAsia="Times New Roman"/>
        </w:rPr>
        <w:t xml:space="preserve">  Operating expenses show fairly consistent growth of roughly $5.5 million per year, again going </w:t>
      </w:r>
      <w:r w:rsidR="004971BA">
        <w:rPr>
          <w:rFonts w:eastAsia="Times New Roman"/>
        </w:rPr>
        <w:lastRenderedPageBreak/>
        <w:t>back to 2007.</w:t>
      </w:r>
      <w:r w:rsidR="00700EA6">
        <w:rPr>
          <w:rFonts w:eastAsia="Times New Roman"/>
        </w:rPr>
        <w:t xml:space="preserve">  </w:t>
      </w:r>
      <w:r w:rsidR="004971BA">
        <w:rPr>
          <w:rFonts w:eastAsia="Times New Roman"/>
        </w:rPr>
        <w:t>Avista seems to believe these conditions will be present through at least 2019.</w:t>
      </w:r>
      <w:r w:rsidR="00B44EAA">
        <w:rPr>
          <w:rStyle w:val="FootnoteReference"/>
          <w:rFonts w:eastAsia="Times New Roman"/>
        </w:rPr>
        <w:footnoteReference w:id="15"/>
      </w:r>
    </w:p>
    <w:p w14:paraId="3F53EFBD" w14:textId="74E9AD40" w:rsidR="001D2496" w:rsidRDefault="004F0EA2" w:rsidP="00B44EAA">
      <w:pPr>
        <w:spacing w:line="480" w:lineRule="auto"/>
        <w:ind w:left="720" w:hanging="720"/>
        <w:rPr>
          <w:rFonts w:eastAsia="Times New Roman"/>
        </w:rPr>
      </w:pPr>
      <w:r>
        <w:rPr>
          <w:rFonts w:eastAsia="Times New Roman"/>
        </w:rPr>
        <w:tab/>
      </w:r>
      <w:r>
        <w:rPr>
          <w:rFonts w:eastAsia="Times New Roman"/>
        </w:rPr>
        <w:tab/>
        <w:t xml:space="preserve">The second and </w:t>
      </w:r>
      <w:r w:rsidR="007A6017">
        <w:rPr>
          <w:rFonts w:eastAsia="Times New Roman"/>
        </w:rPr>
        <w:t xml:space="preserve">perhaps </w:t>
      </w:r>
      <w:r>
        <w:rPr>
          <w:rFonts w:eastAsia="Times New Roman"/>
        </w:rPr>
        <w:t xml:space="preserve">more interesting </w:t>
      </w:r>
      <w:r w:rsidR="006329C6">
        <w:rPr>
          <w:rFonts w:eastAsia="Times New Roman"/>
        </w:rPr>
        <w:t>part of the question</w:t>
      </w:r>
      <w:r>
        <w:rPr>
          <w:rFonts w:eastAsia="Times New Roman"/>
        </w:rPr>
        <w:t xml:space="preserve"> is how long an attrition adjustment should be available to the Company. </w:t>
      </w:r>
      <w:r w:rsidR="002D4056">
        <w:rPr>
          <w:rFonts w:eastAsia="Times New Roman"/>
        </w:rPr>
        <w:t xml:space="preserve"> </w:t>
      </w:r>
      <w:r w:rsidR="0058462B">
        <w:rPr>
          <w:rFonts w:eastAsia="Times New Roman"/>
        </w:rPr>
        <w:t>T</w:t>
      </w:r>
      <w:r>
        <w:rPr>
          <w:rFonts w:eastAsia="Times New Roman"/>
        </w:rPr>
        <w:t xml:space="preserve">he current environment of low </w:t>
      </w:r>
      <w:r w:rsidR="001D2496">
        <w:rPr>
          <w:rFonts w:eastAsia="Times New Roman"/>
        </w:rPr>
        <w:t xml:space="preserve">revenue </w:t>
      </w:r>
      <w:r>
        <w:rPr>
          <w:rFonts w:eastAsia="Times New Roman"/>
        </w:rPr>
        <w:t>growth</w:t>
      </w:r>
      <w:r w:rsidR="007A6017">
        <w:rPr>
          <w:rFonts w:eastAsia="Times New Roman"/>
        </w:rPr>
        <w:t xml:space="preserve"> </w:t>
      </w:r>
      <w:r>
        <w:rPr>
          <w:rFonts w:eastAsia="Times New Roman"/>
        </w:rPr>
        <w:t>is not temporary</w:t>
      </w:r>
      <w:r w:rsidR="0058462B">
        <w:rPr>
          <w:rFonts w:eastAsia="Times New Roman"/>
        </w:rPr>
        <w:t>.</w:t>
      </w:r>
      <w:r w:rsidR="002D4056">
        <w:rPr>
          <w:rFonts w:eastAsia="Times New Roman"/>
        </w:rPr>
        <w:t xml:space="preserve"> </w:t>
      </w:r>
      <w:r w:rsidR="0058462B">
        <w:rPr>
          <w:rFonts w:eastAsia="Times New Roman"/>
        </w:rPr>
        <w:t xml:space="preserve"> I</w:t>
      </w:r>
      <w:r>
        <w:rPr>
          <w:rFonts w:eastAsia="Times New Roman"/>
        </w:rPr>
        <w:t>t is the new normal.</w:t>
      </w:r>
      <w:r w:rsidR="00700EA6">
        <w:rPr>
          <w:rStyle w:val="FootnoteReference"/>
          <w:rFonts w:eastAsia="Times New Roman"/>
        </w:rPr>
        <w:footnoteReference w:id="16"/>
      </w:r>
      <w:r>
        <w:rPr>
          <w:rFonts w:eastAsia="Times New Roman"/>
        </w:rPr>
        <w:t xml:space="preserve"> </w:t>
      </w:r>
      <w:r w:rsidR="00B44EAA">
        <w:rPr>
          <w:rFonts w:eastAsia="Times New Roman"/>
        </w:rPr>
        <w:t xml:space="preserve"> </w:t>
      </w:r>
      <w:r>
        <w:rPr>
          <w:rFonts w:eastAsia="Times New Roman"/>
        </w:rPr>
        <w:t>The Commission should recognize that at some point, prudent business practices would require the Company to adapt to this new normal</w:t>
      </w:r>
      <w:r w:rsidR="001D2496">
        <w:rPr>
          <w:rFonts w:eastAsia="Times New Roman"/>
        </w:rPr>
        <w:t>.</w:t>
      </w:r>
      <w:r w:rsidR="00B44EAA">
        <w:rPr>
          <w:rFonts w:eastAsia="Times New Roman"/>
        </w:rPr>
        <w:t xml:space="preserve">  </w:t>
      </w:r>
      <w:r>
        <w:rPr>
          <w:rFonts w:eastAsia="Times New Roman"/>
        </w:rPr>
        <w:t xml:space="preserve">However, given </w:t>
      </w:r>
      <w:r w:rsidR="001D2496">
        <w:rPr>
          <w:rFonts w:eastAsia="Times New Roman"/>
        </w:rPr>
        <w:t xml:space="preserve">that </w:t>
      </w:r>
      <w:r>
        <w:rPr>
          <w:rFonts w:eastAsia="Times New Roman"/>
        </w:rPr>
        <w:t xml:space="preserve">Avista operates in an industry </w:t>
      </w:r>
      <w:r w:rsidR="0058462B">
        <w:rPr>
          <w:rFonts w:eastAsia="Times New Roman"/>
        </w:rPr>
        <w:t xml:space="preserve">that requires </w:t>
      </w:r>
      <w:r>
        <w:rPr>
          <w:rFonts w:eastAsia="Times New Roman"/>
        </w:rPr>
        <w:t xml:space="preserve">decades-long planning, Staff believes the Commission cannot realistically expect the Company to change course so drastically within </w:t>
      </w:r>
      <w:r w:rsidR="0058462B">
        <w:rPr>
          <w:rFonts w:eastAsia="Times New Roman"/>
        </w:rPr>
        <w:t xml:space="preserve">only </w:t>
      </w:r>
      <w:r>
        <w:rPr>
          <w:rFonts w:eastAsia="Times New Roman"/>
        </w:rPr>
        <w:t xml:space="preserve">a handful of years. </w:t>
      </w:r>
      <w:r w:rsidR="00AD3EA2" w:rsidRPr="00AD3EA2">
        <w:rPr>
          <w:rFonts w:eastAsia="Times New Roman"/>
        </w:rPr>
        <w:t xml:space="preserve"> </w:t>
      </w:r>
      <w:r w:rsidR="00AD3EA2">
        <w:rPr>
          <w:rFonts w:eastAsia="Times New Roman"/>
        </w:rPr>
        <w:t>Additionally, rate base growth like Project Compass and the Spokane River Projects are</w:t>
      </w:r>
      <w:r w:rsidR="00EE4EEE">
        <w:rPr>
          <w:rFonts w:eastAsia="Times New Roman"/>
        </w:rPr>
        <w:t>, by definition,</w:t>
      </w:r>
      <w:r w:rsidR="00AD3EA2">
        <w:rPr>
          <w:rFonts w:eastAsia="Times New Roman"/>
        </w:rPr>
        <w:t xml:space="preserve"> not normal.  </w:t>
      </w:r>
    </w:p>
    <w:p w14:paraId="1C4B8F68" w14:textId="1477C6B7" w:rsidR="00AD3EA2" w:rsidRDefault="00584104" w:rsidP="00584104">
      <w:pPr>
        <w:spacing w:line="480" w:lineRule="auto"/>
        <w:ind w:left="720" w:firstLine="720"/>
        <w:rPr>
          <w:rFonts w:eastAsia="Times New Roman"/>
        </w:rPr>
      </w:pPr>
      <w:r>
        <w:rPr>
          <w:rFonts w:eastAsia="Times New Roman"/>
        </w:rPr>
        <w:t>R</w:t>
      </w:r>
      <w:r w:rsidR="00AD3EA2">
        <w:rPr>
          <w:rFonts w:eastAsia="Times New Roman"/>
        </w:rPr>
        <w:t xml:space="preserve">ate base growth </w:t>
      </w:r>
      <w:r w:rsidR="00EE4EEE">
        <w:rPr>
          <w:rFonts w:eastAsia="Times New Roman"/>
        </w:rPr>
        <w:t>will eventually decline</w:t>
      </w:r>
      <w:r w:rsidR="00AD3EA2">
        <w:rPr>
          <w:rFonts w:eastAsia="Times New Roman"/>
        </w:rPr>
        <w:t xml:space="preserve"> in the coming years.</w:t>
      </w:r>
      <w:r w:rsidR="001D2496">
        <w:rPr>
          <w:rFonts w:eastAsia="Times New Roman"/>
        </w:rPr>
        <w:t xml:space="preserve">  </w:t>
      </w:r>
      <w:r w:rsidR="00B5241A">
        <w:rPr>
          <w:rFonts w:eastAsia="Times New Roman"/>
        </w:rPr>
        <w:t>The</w:t>
      </w:r>
      <w:r w:rsidR="001D2496">
        <w:rPr>
          <w:rFonts w:eastAsia="Times New Roman"/>
        </w:rPr>
        <w:t xml:space="preserve"> combination </w:t>
      </w:r>
      <w:r w:rsidR="00B5241A">
        <w:rPr>
          <w:rFonts w:eastAsia="Times New Roman"/>
        </w:rPr>
        <w:t>of</w:t>
      </w:r>
      <w:r w:rsidR="001D2496">
        <w:rPr>
          <w:rFonts w:eastAsia="Times New Roman"/>
        </w:rPr>
        <w:t xml:space="preserve"> </w:t>
      </w:r>
      <w:r>
        <w:rPr>
          <w:rFonts w:eastAsia="Times New Roman"/>
        </w:rPr>
        <w:t>a</w:t>
      </w:r>
      <w:r w:rsidR="001D2496">
        <w:rPr>
          <w:rFonts w:eastAsia="Times New Roman"/>
        </w:rPr>
        <w:t xml:space="preserve"> slowdown in rate base growth </w:t>
      </w:r>
      <w:r w:rsidR="00B5241A">
        <w:rPr>
          <w:rFonts w:eastAsia="Times New Roman"/>
        </w:rPr>
        <w:t xml:space="preserve">and </w:t>
      </w:r>
      <w:r w:rsidR="001D2496">
        <w:rPr>
          <w:rFonts w:eastAsia="Times New Roman"/>
        </w:rPr>
        <w:t>a shift towards a f</w:t>
      </w:r>
      <w:r w:rsidR="00B5241A">
        <w:rPr>
          <w:rFonts w:eastAsia="Times New Roman"/>
        </w:rPr>
        <w:t xml:space="preserve">iling date that considers a </w:t>
      </w:r>
      <w:r w:rsidR="00B5241A">
        <w:rPr>
          <w:rFonts w:eastAsia="Times New Roman"/>
          <w:i/>
        </w:rPr>
        <w:t xml:space="preserve">pro forma </w:t>
      </w:r>
      <w:r w:rsidR="00B5241A">
        <w:rPr>
          <w:rFonts w:eastAsia="Times New Roman"/>
        </w:rPr>
        <w:t xml:space="preserve">period that aligns with the construction season will reduce the need for an attrition adjustment. </w:t>
      </w:r>
    </w:p>
    <w:p w14:paraId="28775AFB" w14:textId="164C032D" w:rsidR="003E753E" w:rsidRDefault="003E753E" w:rsidP="008E6740">
      <w:pPr>
        <w:spacing w:line="480" w:lineRule="auto"/>
        <w:ind w:left="720" w:firstLine="720"/>
        <w:rPr>
          <w:rFonts w:eastAsia="Times New Roman"/>
        </w:rPr>
      </w:pPr>
    </w:p>
    <w:p w14:paraId="6B5B2FEA" w14:textId="60F4CE35" w:rsidR="00B63FA8" w:rsidRPr="000B1D2B" w:rsidRDefault="007F674E" w:rsidP="00011425">
      <w:pPr>
        <w:pStyle w:val="Heading2"/>
        <w:numPr>
          <w:ilvl w:val="0"/>
          <w:numId w:val="17"/>
        </w:numPr>
      </w:pPr>
      <w:bookmarkStart w:id="26" w:name="_Toc459042398"/>
      <w:r>
        <w:t>Avista and Attrition</w:t>
      </w:r>
      <w:bookmarkEnd w:id="26"/>
    </w:p>
    <w:p w14:paraId="3851B564" w14:textId="77777777" w:rsidR="00796B10" w:rsidRDefault="00796B10" w:rsidP="00E16F5E">
      <w:pPr>
        <w:pStyle w:val="NoSpacing"/>
      </w:pPr>
    </w:p>
    <w:p w14:paraId="52AAAC7A" w14:textId="08A8B1F5" w:rsidR="00796B10" w:rsidRDefault="00796B10" w:rsidP="00E16F5E">
      <w:pPr>
        <w:pStyle w:val="Heading8"/>
      </w:pPr>
      <w:r>
        <w:t>Q.</w:t>
      </w:r>
      <w:r>
        <w:tab/>
      </w:r>
      <w:r w:rsidR="00A32342">
        <w:t>Absent an attrition allowance, i</w:t>
      </w:r>
      <w:r>
        <w:t>s Avista</w:t>
      </w:r>
      <w:r w:rsidR="00A32342">
        <w:t xml:space="preserve"> likely to</w:t>
      </w:r>
      <w:r>
        <w:t xml:space="preserve"> experienc</w:t>
      </w:r>
      <w:r w:rsidR="00A32342">
        <w:t>e</w:t>
      </w:r>
      <w:r>
        <w:t xml:space="preserve"> attrition?</w:t>
      </w:r>
    </w:p>
    <w:p w14:paraId="1C1B5C9B" w14:textId="72CD0FBF" w:rsidR="00796B10" w:rsidRDefault="00796B10" w:rsidP="00E16F5E">
      <w:pPr>
        <w:pStyle w:val="NoSpacing"/>
      </w:pPr>
      <w:r w:rsidRPr="00796B10">
        <w:t>A.</w:t>
      </w:r>
      <w:r w:rsidRPr="00796B10">
        <w:tab/>
      </w:r>
      <w:r w:rsidR="00011425">
        <w:t>Yes.</w:t>
      </w:r>
    </w:p>
    <w:p w14:paraId="06FAA0DB" w14:textId="77777777" w:rsidR="00011425" w:rsidRPr="00796B10" w:rsidRDefault="00011425" w:rsidP="00E16F5E">
      <w:pPr>
        <w:pStyle w:val="NoSpacing"/>
      </w:pPr>
    </w:p>
    <w:p w14:paraId="4A991B9F" w14:textId="1F7B8488" w:rsidR="00B63FA8" w:rsidRDefault="00B63FA8" w:rsidP="00B63FA8">
      <w:pPr>
        <w:pStyle w:val="Heading8"/>
      </w:pPr>
      <w:r>
        <w:lastRenderedPageBreak/>
        <w:t>Q.</w:t>
      </w:r>
      <w:r>
        <w:tab/>
      </w:r>
      <w:r w:rsidR="001C6BF8">
        <w:t>What has Avista identified as causes of attrition</w:t>
      </w:r>
      <w:r>
        <w:t>?</w:t>
      </w:r>
    </w:p>
    <w:p w14:paraId="6FAACE49" w14:textId="1708EA2E" w:rsidR="00B63FA8" w:rsidRPr="000B1D2B" w:rsidRDefault="00B63FA8" w:rsidP="00E57913">
      <w:pPr>
        <w:pStyle w:val="NoSpacing"/>
      </w:pPr>
      <w:r w:rsidRPr="000B1D2B">
        <w:t>A.</w:t>
      </w:r>
      <w:r w:rsidRPr="000B1D2B">
        <w:tab/>
      </w:r>
      <w:r w:rsidR="000B1D2B" w:rsidRPr="000B1D2B">
        <w:t>Avista claims that flat or declining sales, persistent rate</w:t>
      </w:r>
      <w:r w:rsidR="00EE4EEE">
        <w:t xml:space="preserve"> </w:t>
      </w:r>
      <w:r w:rsidR="000B1D2B" w:rsidRPr="000B1D2B">
        <w:t>base growth, and an increasing cost of doing business are</w:t>
      </w:r>
      <w:r w:rsidR="00CE3D17">
        <w:t xml:space="preserve"> </w:t>
      </w:r>
      <w:r w:rsidR="00F024E9">
        <w:t>all</w:t>
      </w:r>
      <w:r w:rsidR="000B1D2B" w:rsidRPr="000B1D2B">
        <w:t xml:space="preserve"> contributing to attrition.</w:t>
      </w:r>
      <w:r w:rsidR="00E31A58">
        <w:rPr>
          <w:rStyle w:val="FootnoteReference"/>
        </w:rPr>
        <w:footnoteReference w:id="17"/>
      </w:r>
    </w:p>
    <w:p w14:paraId="23105851" w14:textId="77777777" w:rsidR="007F674E" w:rsidRDefault="007F674E" w:rsidP="00B71FBE">
      <w:pPr>
        <w:spacing w:line="480" w:lineRule="auto"/>
        <w:rPr>
          <w:rFonts w:eastAsia="Times New Roman"/>
        </w:rPr>
      </w:pPr>
    </w:p>
    <w:p w14:paraId="5C6A4ECF" w14:textId="686F76F0" w:rsidR="00B71FBE" w:rsidRPr="007F674E" w:rsidRDefault="007F674E" w:rsidP="00E803D8">
      <w:pPr>
        <w:pStyle w:val="Heading8"/>
      </w:pPr>
      <w:r w:rsidRPr="007F674E">
        <w:t>Q.</w:t>
      </w:r>
      <w:r w:rsidRPr="007F674E">
        <w:tab/>
        <w:t>What does Staff think is causing Avista’s attrition?</w:t>
      </w:r>
    </w:p>
    <w:p w14:paraId="32F126EF" w14:textId="148FA143" w:rsidR="007F674E" w:rsidRDefault="007F674E" w:rsidP="00B5241A">
      <w:pPr>
        <w:spacing w:line="480" w:lineRule="auto"/>
        <w:ind w:left="720" w:hanging="720"/>
        <w:rPr>
          <w:rFonts w:eastAsia="Times New Roman"/>
        </w:rPr>
      </w:pPr>
      <w:r>
        <w:rPr>
          <w:rFonts w:eastAsia="Times New Roman"/>
        </w:rPr>
        <w:t>A.</w:t>
      </w:r>
      <w:r>
        <w:rPr>
          <w:rFonts w:eastAsia="Times New Roman"/>
        </w:rPr>
        <w:tab/>
        <w:t xml:space="preserve">Expenses and capital investments are growing faster than </w:t>
      </w:r>
      <w:r w:rsidR="00E803D8">
        <w:rPr>
          <w:rFonts w:eastAsia="Times New Roman"/>
        </w:rPr>
        <w:t>revenues</w:t>
      </w:r>
      <w:r>
        <w:rPr>
          <w:rFonts w:eastAsia="Times New Roman"/>
        </w:rPr>
        <w:t xml:space="preserve">. </w:t>
      </w:r>
      <w:r w:rsidR="00E803D8">
        <w:rPr>
          <w:rFonts w:eastAsia="Times New Roman"/>
        </w:rPr>
        <w:t xml:space="preserve"> </w:t>
      </w:r>
      <w:r w:rsidR="005230DC">
        <w:rPr>
          <w:rFonts w:eastAsia="Times New Roman"/>
        </w:rPr>
        <w:t xml:space="preserve">The growth rates in expenses and capital investments are largely the result of </w:t>
      </w:r>
      <w:r w:rsidR="00E803D8">
        <w:rPr>
          <w:rFonts w:eastAsia="Times New Roman"/>
        </w:rPr>
        <w:t>factors that appear to be outside of the control of the utility</w:t>
      </w:r>
      <w:r w:rsidR="005230DC">
        <w:rPr>
          <w:rFonts w:eastAsia="Times New Roman"/>
        </w:rPr>
        <w:t>.</w:t>
      </w:r>
      <w:r w:rsidR="00B5241A">
        <w:rPr>
          <w:rFonts w:eastAsia="Times New Roman"/>
        </w:rPr>
        <w:t xml:space="preserve">  Revenue growth is flat.</w:t>
      </w:r>
      <w:r w:rsidR="005230DC">
        <w:rPr>
          <w:rFonts w:eastAsia="Times New Roman"/>
        </w:rPr>
        <w:t xml:space="preserve"> </w:t>
      </w:r>
      <w:r w:rsidR="007A6017">
        <w:rPr>
          <w:rFonts w:eastAsia="Times New Roman"/>
        </w:rPr>
        <w:t xml:space="preserve"> To the extent that revenues are a function of load growth, load growth nonetheless remains low.  </w:t>
      </w:r>
    </w:p>
    <w:p w14:paraId="6FBC9252" w14:textId="77777777" w:rsidR="005230DC" w:rsidRDefault="005230DC" w:rsidP="005230DC">
      <w:pPr>
        <w:spacing w:line="480" w:lineRule="auto"/>
        <w:ind w:left="720" w:hanging="720"/>
        <w:rPr>
          <w:rFonts w:eastAsia="Times New Roman"/>
        </w:rPr>
      </w:pPr>
    </w:p>
    <w:p w14:paraId="3E4B3F1D" w14:textId="6305575E" w:rsidR="00B71FBE" w:rsidRDefault="00B71FBE" w:rsidP="00B71FBE">
      <w:pPr>
        <w:pStyle w:val="Heading8"/>
      </w:pPr>
      <w:r>
        <w:t>Q.</w:t>
      </w:r>
      <w:r>
        <w:tab/>
        <w:t xml:space="preserve">Please describe </w:t>
      </w:r>
      <w:r w:rsidR="00796B10">
        <w:t xml:space="preserve">whether and </w:t>
      </w:r>
      <w:r>
        <w:t xml:space="preserve">how flat or declining sales </w:t>
      </w:r>
      <w:r w:rsidR="00291D72">
        <w:t xml:space="preserve">could </w:t>
      </w:r>
      <w:r>
        <w:t>contribute to</w:t>
      </w:r>
      <w:r w:rsidR="00291D72">
        <w:t xml:space="preserve"> Avista experiencing</w:t>
      </w:r>
      <w:r>
        <w:t xml:space="preserve"> attrition.</w:t>
      </w:r>
    </w:p>
    <w:p w14:paraId="25657FD0" w14:textId="4AA30AD2" w:rsidR="001B47E7" w:rsidRDefault="00B71FBE" w:rsidP="00CB5B9D">
      <w:pPr>
        <w:pStyle w:val="NoSpacing"/>
      </w:pPr>
      <w:r>
        <w:t>A.</w:t>
      </w:r>
      <w:r>
        <w:tab/>
      </w:r>
      <w:r w:rsidR="005230DC">
        <w:t>Historically, g</w:t>
      </w:r>
      <w:r w:rsidR="00BE01B1">
        <w:t>rowth in sales</w:t>
      </w:r>
      <w:r w:rsidR="00FF4785">
        <w:t xml:space="preserve"> due to electrification</w:t>
      </w:r>
      <w:r w:rsidR="001B47E7">
        <w:t>,</w:t>
      </w:r>
      <w:r w:rsidR="00FF4785">
        <w:t xml:space="preserve"> </w:t>
      </w:r>
      <w:r w:rsidR="00AB5A8B">
        <w:t xml:space="preserve">persistent economic growth, </w:t>
      </w:r>
      <w:r w:rsidR="00FF4785">
        <w:t>and the wide-scale adoptio</w:t>
      </w:r>
      <w:r w:rsidR="004C545C">
        <w:t>n of home applian</w:t>
      </w:r>
      <w:r w:rsidR="00FF4785">
        <w:t>c</w:t>
      </w:r>
      <w:r w:rsidR="004C545C">
        <w:t>e</w:t>
      </w:r>
      <w:r w:rsidR="00FF4785">
        <w:t>s like refrigerators, air conditioners, and washing machines,</w:t>
      </w:r>
      <w:r w:rsidR="00BE01B1">
        <w:t xml:space="preserve"> mitigate</w:t>
      </w:r>
      <w:r w:rsidR="005230DC">
        <w:t>d</w:t>
      </w:r>
      <w:r w:rsidR="00BE01B1">
        <w:t xml:space="preserve"> some of the effects of growth in expenses and rate base.  </w:t>
      </w:r>
      <w:r w:rsidR="00FA1DEA">
        <w:t>If sales grew at a rate that was reasonably close to the rate of growth in costs,</w:t>
      </w:r>
      <w:r w:rsidR="005230DC">
        <w:t xml:space="preserve"> utilities</w:t>
      </w:r>
      <w:r w:rsidR="00FA1DEA">
        <w:t xml:space="preserve"> </w:t>
      </w:r>
      <w:r w:rsidR="007A6017">
        <w:t xml:space="preserve">would </w:t>
      </w:r>
      <w:r w:rsidR="005230DC">
        <w:t>remain</w:t>
      </w:r>
      <w:r w:rsidR="00FA1DEA">
        <w:t xml:space="preserve"> financially sound.</w:t>
      </w:r>
      <w:r w:rsidR="001C6BF8">
        <w:t xml:space="preserve">  </w:t>
      </w:r>
      <w:r w:rsidR="005230DC">
        <w:t>T</w:t>
      </w:r>
      <w:r w:rsidR="001C6BF8">
        <w:t>hese conditions no longer exist</w:t>
      </w:r>
      <w:r w:rsidR="005230DC">
        <w:t>.</w:t>
      </w:r>
      <w:r w:rsidR="00163F36">
        <w:t xml:space="preserve"> </w:t>
      </w:r>
      <w:r w:rsidR="00DF6B62">
        <w:t xml:space="preserve"> </w:t>
      </w:r>
      <w:r w:rsidR="00163F36">
        <w:t>The vast majority of homes and businesses</w:t>
      </w:r>
      <w:r w:rsidR="00FB6307">
        <w:t xml:space="preserve"> now</w:t>
      </w:r>
      <w:r w:rsidR="00163F36">
        <w:t xml:space="preserve"> have electricity and modern appliances. </w:t>
      </w:r>
      <w:r w:rsidR="00782E7B">
        <w:t xml:space="preserve"> </w:t>
      </w:r>
      <w:r w:rsidR="00FB6307">
        <w:t xml:space="preserve">According to the Department of Energy, those appliances use substantially less </w:t>
      </w:r>
      <w:r w:rsidR="00FB6307">
        <w:lastRenderedPageBreak/>
        <w:t>energy than just a few decades ago.</w:t>
      </w:r>
      <w:r w:rsidR="00FB6307">
        <w:rPr>
          <w:rStyle w:val="FootnoteReference"/>
        </w:rPr>
        <w:footnoteReference w:id="18"/>
      </w:r>
      <w:r w:rsidR="001C6BF8">
        <w:t xml:space="preserve"> </w:t>
      </w:r>
      <w:r w:rsidR="001B47E7">
        <w:t xml:space="preserve"> </w:t>
      </w:r>
      <w:r w:rsidR="00FB6307">
        <w:t>S</w:t>
      </w:r>
      <w:r w:rsidR="001C6BF8">
        <w:t>ales are</w:t>
      </w:r>
      <w:r w:rsidR="00FB6307">
        <w:t xml:space="preserve"> thus</w:t>
      </w:r>
      <w:r w:rsidR="001C6BF8">
        <w:t xml:space="preserve"> relatively flat, as Avista has </w:t>
      </w:r>
      <w:r w:rsidR="00FB6307">
        <w:t>shown in the testimonies and exhibits of Mr. Morris and Ms. Andrews.</w:t>
      </w:r>
      <w:r w:rsidR="00FB6307">
        <w:rPr>
          <w:rStyle w:val="FootnoteReference"/>
        </w:rPr>
        <w:footnoteReference w:id="19"/>
      </w:r>
      <w:r w:rsidR="00FB6307">
        <w:t xml:space="preserve"> </w:t>
      </w:r>
    </w:p>
    <w:p w14:paraId="31B571FE" w14:textId="521D194D" w:rsidR="00273C92" w:rsidRDefault="00BE01B1" w:rsidP="00CB5B9D">
      <w:pPr>
        <w:pStyle w:val="NoSpacing"/>
      </w:pPr>
      <w:r>
        <w:tab/>
      </w:r>
      <w:r>
        <w:tab/>
      </w:r>
      <w:r w:rsidR="001C6BF8">
        <w:t xml:space="preserve">However, </w:t>
      </w:r>
      <w:r w:rsidR="00882C42">
        <w:t xml:space="preserve">it is important to note that </w:t>
      </w:r>
      <w:r>
        <w:t xml:space="preserve">Avista is a decoupled utility, and as a result is </w:t>
      </w:r>
      <w:r w:rsidR="00D576D0">
        <w:t>less affected</w:t>
      </w:r>
      <w:r>
        <w:t xml:space="preserve"> </w:t>
      </w:r>
      <w:r w:rsidR="00D576D0">
        <w:t>by</w:t>
      </w:r>
      <w:r>
        <w:t xml:space="preserve"> </w:t>
      </w:r>
      <w:r w:rsidR="00273C92">
        <w:t xml:space="preserve">flat or declining </w:t>
      </w:r>
      <w:r>
        <w:t>commodity sales.</w:t>
      </w:r>
      <w:r w:rsidR="00882C42" w:rsidRPr="00882C42">
        <w:rPr>
          <w:rStyle w:val="FootnoteReference"/>
        </w:rPr>
        <w:t xml:space="preserve"> </w:t>
      </w:r>
      <w:r w:rsidR="00882C42">
        <w:rPr>
          <w:rStyle w:val="FootnoteReference"/>
        </w:rPr>
        <w:footnoteReference w:id="20"/>
      </w:r>
      <w:r w:rsidR="00B70B11">
        <w:t xml:space="preserve">  </w:t>
      </w:r>
      <w:r w:rsidR="00B5241A">
        <w:t>A</w:t>
      </w:r>
      <w:r w:rsidR="00273C92">
        <w:t xml:space="preserve"> decoupled utility</w:t>
      </w:r>
      <w:r w:rsidR="00B5241A">
        <w:t>’s</w:t>
      </w:r>
      <w:r w:rsidR="00273C92">
        <w:t xml:space="preserve"> revenues are, for all practical purposes, </w:t>
      </w:r>
      <w:r w:rsidR="00AC1F32">
        <w:t xml:space="preserve">stabilized </w:t>
      </w:r>
      <w:r w:rsidR="009704FF">
        <w:t>by design</w:t>
      </w:r>
      <w:r w:rsidR="00273C92">
        <w:t xml:space="preserve">.  In fact, a decoupled utility is </w:t>
      </w:r>
      <w:r w:rsidR="00273C92" w:rsidRPr="00273C92">
        <w:rPr>
          <w:i/>
        </w:rPr>
        <w:t>required</w:t>
      </w:r>
      <w:r w:rsidR="00273C92">
        <w:t xml:space="preserve"> to reduce rates if quantities sold prove higher than anticipated when rates were initially set.  </w:t>
      </w:r>
    </w:p>
    <w:p w14:paraId="4A774D9C" w14:textId="1D1D77C3" w:rsidR="00BE01B1" w:rsidRDefault="00273C92" w:rsidP="00273C92">
      <w:pPr>
        <w:pStyle w:val="NoSpacing"/>
        <w:ind w:firstLine="720"/>
      </w:pPr>
      <w:r>
        <w:t xml:space="preserve">Therefore, a decoupled utility such as Avista does not need a revenue increase </w:t>
      </w:r>
      <w:r w:rsidR="00782E7B">
        <w:t>so long as</w:t>
      </w:r>
      <w:r w:rsidR="00E27824">
        <w:t xml:space="preserve"> the other parts of the revenue requirement formula </w:t>
      </w:r>
      <w:r w:rsidR="00E409B4">
        <w:t>(rate base</w:t>
      </w:r>
      <w:r w:rsidR="005B077B">
        <w:t xml:space="preserve"> and</w:t>
      </w:r>
      <w:r w:rsidR="00E409B4">
        <w:t xml:space="preserve"> expenses) </w:t>
      </w:r>
      <w:r w:rsidR="00E27824">
        <w:t xml:space="preserve">remain constant.  </w:t>
      </w:r>
      <w:r>
        <w:t>F</w:t>
      </w:r>
      <w:r w:rsidR="00CB5B9D">
        <w:t>l</w:t>
      </w:r>
      <w:r w:rsidR="00BA12BE">
        <w:t>at or declining sales</w:t>
      </w:r>
      <w:r w:rsidR="00CB5B9D">
        <w:t>,</w:t>
      </w:r>
      <w:r w:rsidR="00882C42">
        <w:t xml:space="preserve"> </w:t>
      </w:r>
      <w:r w:rsidR="00CB5B9D">
        <w:t xml:space="preserve">by </w:t>
      </w:r>
      <w:r w:rsidR="00BB5552">
        <w:t>themselves</w:t>
      </w:r>
      <w:r w:rsidR="00CB5B9D">
        <w:t>,</w:t>
      </w:r>
      <w:r w:rsidR="00BA12BE">
        <w:t xml:space="preserve"> </w:t>
      </w:r>
      <w:r w:rsidR="00BB5552">
        <w:t>are</w:t>
      </w:r>
      <w:r w:rsidR="00BA12BE">
        <w:t xml:space="preserve"> </w:t>
      </w:r>
      <w:r w:rsidR="00CB5B9D">
        <w:t xml:space="preserve">not </w:t>
      </w:r>
      <w:r w:rsidR="00BA12BE">
        <w:t xml:space="preserve">a </w:t>
      </w:r>
      <w:r w:rsidR="00291D72">
        <w:t xml:space="preserve">significant </w:t>
      </w:r>
      <w:r w:rsidR="00BA12BE">
        <w:t xml:space="preserve">cause of attrition for </w:t>
      </w:r>
      <w:r w:rsidR="004A480C">
        <w:t xml:space="preserve">a decoupled utility like </w:t>
      </w:r>
      <w:r w:rsidR="00BA12BE">
        <w:t>Avista.</w:t>
      </w:r>
      <w:r w:rsidR="004A480C">
        <w:t xml:space="preserve">  </w:t>
      </w:r>
      <w:r w:rsidR="009704FF">
        <w:t>We have engineered the Company’s revenue collection to be largely indifferent to commodity sales</w:t>
      </w:r>
      <w:r w:rsidR="002775AE">
        <w:t xml:space="preserve"> through decoupling</w:t>
      </w:r>
      <w:r w:rsidR="0083207C">
        <w:t>;</w:t>
      </w:r>
      <w:r w:rsidR="00AC1F32">
        <w:t xml:space="preserve"> revenue is </w:t>
      </w:r>
      <w:r w:rsidR="0083207C">
        <w:t>more aptly described as tied to</w:t>
      </w:r>
      <w:r w:rsidR="00AC1F32">
        <w:t xml:space="preserve"> </w:t>
      </w:r>
      <w:r w:rsidR="002775AE">
        <w:t xml:space="preserve">growth in </w:t>
      </w:r>
      <w:r w:rsidR="00AC1F32">
        <w:t>customers</w:t>
      </w:r>
      <w:r w:rsidR="009704FF">
        <w:t xml:space="preserve">.  </w:t>
      </w:r>
      <w:r w:rsidR="009704FF" w:rsidRPr="009704FF">
        <w:rPr>
          <w:u w:val="single"/>
        </w:rPr>
        <w:t xml:space="preserve">Avista does not </w:t>
      </w:r>
      <w:r w:rsidR="00803436">
        <w:rPr>
          <w:u w:val="single"/>
        </w:rPr>
        <w:t xml:space="preserve">just </w:t>
      </w:r>
      <w:r w:rsidR="009704FF" w:rsidRPr="009704FF">
        <w:rPr>
          <w:u w:val="single"/>
        </w:rPr>
        <w:t xml:space="preserve">have a </w:t>
      </w:r>
      <w:r w:rsidR="009704FF">
        <w:rPr>
          <w:u w:val="single"/>
        </w:rPr>
        <w:t>low sales growth</w:t>
      </w:r>
      <w:r w:rsidR="009704FF" w:rsidRPr="009704FF">
        <w:rPr>
          <w:u w:val="single"/>
        </w:rPr>
        <w:t xml:space="preserve"> problem – it has </w:t>
      </w:r>
      <w:r w:rsidR="009704FF">
        <w:rPr>
          <w:u w:val="single"/>
        </w:rPr>
        <w:t xml:space="preserve">a low </w:t>
      </w:r>
      <w:r w:rsidR="00AC1F32">
        <w:rPr>
          <w:u w:val="single"/>
        </w:rPr>
        <w:t xml:space="preserve">customer </w:t>
      </w:r>
      <w:r w:rsidR="009704FF">
        <w:rPr>
          <w:u w:val="single"/>
        </w:rPr>
        <w:t>growth</w:t>
      </w:r>
      <w:r w:rsidR="009704FF" w:rsidRPr="009704FF">
        <w:rPr>
          <w:u w:val="single"/>
        </w:rPr>
        <w:t xml:space="preserve"> problem.</w:t>
      </w:r>
      <w:r w:rsidR="0083207C" w:rsidRPr="007C2B1D">
        <w:rPr>
          <w:rStyle w:val="FootnoteReference"/>
        </w:rPr>
        <w:footnoteReference w:id="21"/>
      </w:r>
      <w:r w:rsidR="009704FF">
        <w:t xml:space="preserve">  </w:t>
      </w:r>
      <w:r w:rsidR="004A480C">
        <w:t xml:space="preserve">The causes of </w:t>
      </w:r>
      <w:r w:rsidR="00DF6B62">
        <w:t xml:space="preserve">the </w:t>
      </w:r>
      <w:r w:rsidR="004A480C">
        <w:t>attrition</w:t>
      </w:r>
      <w:r w:rsidR="00DF6B62">
        <w:t xml:space="preserve"> threat</w:t>
      </w:r>
      <w:r w:rsidR="004A480C">
        <w:t xml:space="preserve"> lay</w:t>
      </w:r>
      <w:r w:rsidR="00CB5B9D">
        <w:t xml:space="preserve"> in</w:t>
      </w:r>
      <w:r w:rsidR="004A480C">
        <w:t xml:space="preserve"> </w:t>
      </w:r>
      <w:r w:rsidR="00882C42">
        <w:t xml:space="preserve">in the </w:t>
      </w:r>
      <w:r w:rsidR="00DF6B62">
        <w:t>relationship between</w:t>
      </w:r>
      <w:r w:rsidR="00882C42">
        <w:t xml:space="preserve"> </w:t>
      </w:r>
      <w:r>
        <w:t>pra</w:t>
      </w:r>
      <w:r w:rsidR="00BB5552">
        <w:t>c</w:t>
      </w:r>
      <w:r>
        <w:t>tically-fixed revenues and growing costs</w:t>
      </w:r>
      <w:r w:rsidR="004A480C">
        <w:t>.</w:t>
      </w:r>
    </w:p>
    <w:p w14:paraId="5983CF54" w14:textId="77777777" w:rsidR="00B71FBE" w:rsidRDefault="00B71FBE" w:rsidP="00CB5B9D">
      <w:pPr>
        <w:pStyle w:val="NoSpacing"/>
      </w:pPr>
    </w:p>
    <w:p w14:paraId="605D63D2" w14:textId="258188AF" w:rsidR="00B71FBE" w:rsidRDefault="00B71FBE" w:rsidP="00E57913">
      <w:pPr>
        <w:pStyle w:val="Heading8"/>
      </w:pPr>
      <w:r>
        <w:lastRenderedPageBreak/>
        <w:t>Q.</w:t>
      </w:r>
      <w:r>
        <w:tab/>
        <w:t xml:space="preserve">Please describe </w:t>
      </w:r>
      <w:r w:rsidR="005604A4">
        <w:t xml:space="preserve">whether and </w:t>
      </w:r>
      <w:r>
        <w:t xml:space="preserve">how rate base growth </w:t>
      </w:r>
      <w:r w:rsidR="00291D72">
        <w:t xml:space="preserve">could </w:t>
      </w:r>
      <w:r>
        <w:t>contribute to</w:t>
      </w:r>
      <w:r w:rsidR="00291D72">
        <w:t xml:space="preserve"> Avista experiencing</w:t>
      </w:r>
      <w:r>
        <w:t xml:space="preserve"> attrition.</w:t>
      </w:r>
    </w:p>
    <w:p w14:paraId="6E769C6F" w14:textId="14FA54D4" w:rsidR="00974959" w:rsidRPr="001E030B" w:rsidRDefault="00B71FBE" w:rsidP="001B7F18">
      <w:pPr>
        <w:pStyle w:val="NoSpacing"/>
      </w:pPr>
      <w:r>
        <w:t>A.</w:t>
      </w:r>
      <w:r>
        <w:tab/>
      </w:r>
      <w:r w:rsidR="0021357C">
        <w:t>When rate base grows faster than revenues,</w:t>
      </w:r>
      <w:r w:rsidR="004C545C">
        <w:t xml:space="preserve"> which</w:t>
      </w:r>
      <w:r w:rsidR="00803436">
        <w:t xml:space="preserve"> </w:t>
      </w:r>
      <w:r w:rsidR="004C545C">
        <w:t>are virtually flat,</w:t>
      </w:r>
      <w:r w:rsidR="0021357C">
        <w:t xml:space="preserve"> the </w:t>
      </w:r>
      <w:r w:rsidR="00D576D0">
        <w:t>C</w:t>
      </w:r>
      <w:r w:rsidR="0021357C">
        <w:t xml:space="preserve">ompany faces the prospect of </w:t>
      </w:r>
      <w:r w:rsidR="004C545C">
        <w:t>under-recovery</w:t>
      </w:r>
      <w:r w:rsidR="00803436">
        <w:t>.</w:t>
      </w:r>
      <w:r w:rsidR="001B7F18">
        <w:t xml:space="preserve">  Avista’s Net Plant After DFIT growth is roughly $50 million per year going back to at least 2007.</w:t>
      </w:r>
      <w:r w:rsidR="001B47E7">
        <w:rPr>
          <w:rStyle w:val="FootnoteReference"/>
        </w:rPr>
        <w:footnoteReference w:id="22"/>
      </w:r>
      <w:r w:rsidR="001B7F18">
        <w:t xml:space="preserve">  Revenue growth has not matched the rate of growth seen in rate base.</w:t>
      </w:r>
      <w:r w:rsidR="001B47E7">
        <w:rPr>
          <w:rStyle w:val="FootnoteReference"/>
        </w:rPr>
        <w:footnoteReference w:id="23"/>
      </w:r>
    </w:p>
    <w:p w14:paraId="7987CF47" w14:textId="77777777" w:rsidR="0055755D" w:rsidRDefault="0055755D" w:rsidP="0055755D">
      <w:pPr>
        <w:pStyle w:val="NoSpacing"/>
        <w:ind w:firstLine="720"/>
      </w:pPr>
    </w:p>
    <w:p w14:paraId="18B43FE2" w14:textId="77777777" w:rsidR="0055755D" w:rsidRDefault="0055755D" w:rsidP="0055755D">
      <w:pPr>
        <w:pStyle w:val="Heading8"/>
      </w:pPr>
      <w:r>
        <w:t>Q.</w:t>
      </w:r>
      <w:r>
        <w:tab/>
        <w:t>What financial conditions may be driving the increased pace of rate base additions?</w:t>
      </w:r>
    </w:p>
    <w:p w14:paraId="5F70AE5B" w14:textId="6B6B0740" w:rsidR="0055755D" w:rsidRDefault="0055755D" w:rsidP="00F555C9">
      <w:pPr>
        <w:pStyle w:val="NoSpacing"/>
      </w:pPr>
      <w:r>
        <w:t>A.</w:t>
      </w:r>
      <w:r>
        <w:tab/>
        <w:t>Since the beginning of the 2007-2008 financial crisis, the Federal Reserve Bank has pursued a low interest rate policy with the goal of achieving maximum employment and price stability.  This extended period of low interest rates has made investment in long-term capital projects more appealing</w:t>
      </w:r>
      <w:r w:rsidR="00F555C9">
        <w:t xml:space="preserve"> because </w:t>
      </w:r>
      <w:r w:rsidR="00B84564">
        <w:t>the cost of acquiring funds for investment has fallen</w:t>
      </w:r>
      <w:r>
        <w:t xml:space="preserve">.  </w:t>
      </w:r>
      <w:r w:rsidR="00B84564">
        <w:t xml:space="preserve">These borrowing costs lower the total cost of pursuing a project, which increases the expected return on that project.  </w:t>
      </w:r>
      <w:r>
        <w:t xml:space="preserve">Indeed, these sorts of outcomes are what is sought by the Federal Reserve’s </w:t>
      </w:r>
      <w:r w:rsidR="00B5757D">
        <w:t>low interest rate policy</w:t>
      </w:r>
      <w:r>
        <w:t>.</w:t>
      </w:r>
      <w:r>
        <w:rPr>
          <w:rStyle w:val="FootnoteReference"/>
        </w:rPr>
        <w:footnoteReference w:id="24"/>
      </w:r>
      <w:r w:rsidR="00F555C9">
        <w:t xml:space="preserve">  </w:t>
      </w:r>
      <w:r>
        <w:t>The graph below illustrates the change in the effective Federal Funds Rate</w:t>
      </w:r>
      <w:r w:rsidR="00B84564">
        <w:t xml:space="preserve"> – the most important benchmark interest rate in American finance </w:t>
      </w:r>
      <w:r w:rsidR="00BB5552">
        <w:t xml:space="preserve">– </w:t>
      </w:r>
      <w:r>
        <w:t>over recent years, where the shaded area represents a period of recession:</w:t>
      </w:r>
    </w:p>
    <w:p w14:paraId="00DDC542" w14:textId="77777777" w:rsidR="0055755D" w:rsidRDefault="0055755D" w:rsidP="0055755D">
      <w:pPr>
        <w:pStyle w:val="NoSpacing"/>
        <w:keepNext/>
        <w:keepLines/>
      </w:pPr>
    </w:p>
    <w:p w14:paraId="18B1D8E3" w14:textId="509A4EDE" w:rsidR="00B5757D" w:rsidRPr="00B5757D" w:rsidRDefault="00B5757D" w:rsidP="00B5757D">
      <w:pPr>
        <w:pStyle w:val="NoSpacing"/>
        <w:keepNext/>
        <w:keepLines/>
        <w:spacing w:line="240" w:lineRule="auto"/>
        <w:jc w:val="center"/>
        <w:rPr>
          <w:b/>
        </w:rPr>
      </w:pPr>
      <w:r w:rsidRPr="00B5757D">
        <w:rPr>
          <w:b/>
        </w:rPr>
        <w:t>Illustration 2</w:t>
      </w:r>
    </w:p>
    <w:p w14:paraId="56E5338A" w14:textId="77777777" w:rsidR="0055755D" w:rsidRDefault="0055755D" w:rsidP="00B5757D">
      <w:pPr>
        <w:pStyle w:val="NoSpacing"/>
        <w:keepNext/>
        <w:keepLines/>
        <w:spacing w:line="240" w:lineRule="auto"/>
      </w:pPr>
      <w:r w:rsidRPr="00F348F2">
        <w:rPr>
          <w:noProof/>
        </w:rPr>
        <w:drawing>
          <wp:inline distT="0" distB="0" distL="0" distR="0" wp14:anchorId="2A42CD5C" wp14:editId="5FCD1571">
            <wp:extent cx="5669280" cy="3805555"/>
            <wp:effectExtent l="0" t="0" r="7620" b="4445"/>
            <wp:docPr id="2" name="FRED Graph Chart" descr="FRED Graph">
              <a:hlinkClick xmlns:a="http://schemas.openxmlformats.org/drawingml/2006/main" r:id="rId13" tooltip="View this chart in your browse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ED Graph Chart" descr="FRED Graph">
                      <a:hlinkClick r:id="rId13" tooltip="View this chart in your browser. "/>
                    </pic:cNvPr>
                    <pic:cNvPicPr>
                      <a:picLocks noChangeAspect="1"/>
                    </pic:cNvPicPr>
                  </pic:nvPicPr>
                  <pic:blipFill>
                    <a:blip r:embed="rId14"/>
                    <a:stretch>
                      <a:fillRect/>
                    </a:stretch>
                  </pic:blipFill>
                  <pic:spPr>
                    <a:xfrm>
                      <a:off x="0" y="0"/>
                      <a:ext cx="5669280" cy="3805555"/>
                    </a:xfrm>
                    <a:prstGeom prst="rect">
                      <a:avLst/>
                    </a:prstGeom>
                  </pic:spPr>
                </pic:pic>
              </a:graphicData>
            </a:graphic>
          </wp:inline>
        </w:drawing>
      </w:r>
    </w:p>
    <w:p w14:paraId="31F728AD" w14:textId="6B0DE169" w:rsidR="0055755D" w:rsidRDefault="0055755D" w:rsidP="00F555C9">
      <w:pPr>
        <w:pStyle w:val="NoSpacing"/>
        <w:ind w:left="0" w:firstLine="0"/>
      </w:pPr>
      <w:r>
        <w:tab/>
      </w:r>
      <w:r>
        <w:tab/>
      </w:r>
    </w:p>
    <w:p w14:paraId="3C1EE388" w14:textId="71893A81" w:rsidR="00765267" w:rsidRPr="00765267" w:rsidRDefault="00765267" w:rsidP="00765267">
      <w:pPr>
        <w:pStyle w:val="NoSpacing"/>
        <w:rPr>
          <w:b/>
        </w:rPr>
      </w:pPr>
      <w:r w:rsidRPr="00765267">
        <w:rPr>
          <w:b/>
        </w:rPr>
        <w:t>Q.</w:t>
      </w:r>
      <w:r w:rsidRPr="00765267">
        <w:rPr>
          <w:b/>
        </w:rPr>
        <w:tab/>
        <w:t>Are there additional factors influencing Avista’s capital spending?</w:t>
      </w:r>
    </w:p>
    <w:p w14:paraId="71E0373B" w14:textId="6A526517" w:rsidR="0055755D" w:rsidRDefault="00765267" w:rsidP="00765267">
      <w:pPr>
        <w:pStyle w:val="NoSpacing"/>
      </w:pPr>
      <w:r>
        <w:t>A.</w:t>
      </w:r>
      <w:r>
        <w:tab/>
        <w:t xml:space="preserve">Yes. </w:t>
      </w:r>
      <w:r w:rsidR="00AE5C01">
        <w:t xml:space="preserve"> </w:t>
      </w:r>
      <w:r w:rsidR="0055755D">
        <w:t>A conflating factor is that Avista has improved its financial ratings with the most prominent credit rating agencies.  On December 20, 2007, Moody’s upgraded Avista from non-investment grade (Ba1) to investment grade (Baa3).  Similarly, on February 7, 2008, Standard &amp; Poor’s revised Avista Corp. from a non-investment grade (BB+) to investment grade (BBB-).</w:t>
      </w:r>
      <w:r w:rsidR="008F19B5">
        <w:rPr>
          <w:rStyle w:val="FootnoteReference"/>
        </w:rPr>
        <w:footnoteReference w:id="25"/>
      </w:r>
      <w:r w:rsidR="0055755D">
        <w:t xml:space="preserve">  These are by far the largest and most influentiual credit rating agencies.  Achieving an investment grade rating from these agencies exposes Avista to </w:t>
      </w:r>
      <w:r w:rsidR="00B5757D">
        <w:t xml:space="preserve">significantly </w:t>
      </w:r>
      <w:r w:rsidR="0055755D">
        <w:t>more financing sources</w:t>
      </w:r>
      <w:r>
        <w:t xml:space="preserve"> and lowers the Company’s cost of borrowing.</w:t>
      </w:r>
    </w:p>
    <w:p w14:paraId="6DE85C89" w14:textId="07B7CE46" w:rsidR="0055755D" w:rsidRDefault="0055755D" w:rsidP="0055755D">
      <w:pPr>
        <w:pStyle w:val="NoSpacing"/>
        <w:ind w:firstLine="720"/>
      </w:pPr>
      <w:r>
        <w:lastRenderedPageBreak/>
        <w:t>Combined, these effects should push the Company towards accelerated investment in capital projects</w:t>
      </w:r>
      <w:r w:rsidR="00765267">
        <w:t>.</w:t>
      </w:r>
      <w:r>
        <w:t xml:space="preserve"> </w:t>
      </w:r>
      <w:r w:rsidR="00765267">
        <w:t xml:space="preserve"> F</w:t>
      </w:r>
      <w:r>
        <w:t>unding for these projects has likely been easier to come by</w:t>
      </w:r>
      <w:r w:rsidR="00765267">
        <w:t xml:space="preserve"> and the cost of that funding is lower</w:t>
      </w:r>
      <w:r>
        <w:t>.</w:t>
      </w:r>
      <w:r w:rsidR="00B5757D">
        <w:t xml:space="preserve"> </w:t>
      </w:r>
      <w:r w:rsidR="00AE5C01">
        <w:t xml:space="preserve"> As a result, m</w:t>
      </w:r>
      <w:r w:rsidR="00765267">
        <w:t>ore capital projects “pencil out</w:t>
      </w:r>
      <w:r w:rsidR="00BB5552">
        <w:t>.</w:t>
      </w:r>
      <w:r w:rsidR="00765267">
        <w:t>”</w:t>
      </w:r>
    </w:p>
    <w:p w14:paraId="61EA1DED" w14:textId="69AAF6DB" w:rsidR="00B71FBE" w:rsidRDefault="00B71FBE" w:rsidP="00F76469">
      <w:pPr>
        <w:pStyle w:val="NoSpacing"/>
        <w:ind w:left="0" w:firstLine="0"/>
      </w:pPr>
    </w:p>
    <w:p w14:paraId="4A67A4EF" w14:textId="5AF4FBED" w:rsidR="00B71FBE" w:rsidRDefault="00B71FBE" w:rsidP="00E57913">
      <w:pPr>
        <w:pStyle w:val="Heading8"/>
      </w:pPr>
      <w:r>
        <w:t>Q.</w:t>
      </w:r>
      <w:r>
        <w:tab/>
        <w:t xml:space="preserve">Please describe </w:t>
      </w:r>
      <w:r w:rsidR="005604A4">
        <w:t xml:space="preserve">whether and </w:t>
      </w:r>
      <w:r>
        <w:t xml:space="preserve">how </w:t>
      </w:r>
      <w:r w:rsidR="000B1762">
        <w:t xml:space="preserve">an </w:t>
      </w:r>
      <w:r>
        <w:t xml:space="preserve">increasing cost environment </w:t>
      </w:r>
      <w:r w:rsidR="00CA17FE">
        <w:t xml:space="preserve">could </w:t>
      </w:r>
      <w:r>
        <w:t xml:space="preserve">contribute to </w:t>
      </w:r>
      <w:r w:rsidR="005604A4">
        <w:t>Avista</w:t>
      </w:r>
      <w:r w:rsidR="00CA17FE">
        <w:t xml:space="preserve"> experiencing</w:t>
      </w:r>
      <w:r w:rsidR="005604A4">
        <w:t xml:space="preserve"> </w:t>
      </w:r>
      <w:r>
        <w:t>attrition.</w:t>
      </w:r>
    </w:p>
    <w:p w14:paraId="4152CD9F" w14:textId="129C9877" w:rsidR="00412B06" w:rsidRDefault="00B71FBE" w:rsidP="00E57913">
      <w:pPr>
        <w:pStyle w:val="NoSpacing"/>
      </w:pPr>
      <w:r>
        <w:t>A.</w:t>
      </w:r>
      <w:r w:rsidR="00426839">
        <w:tab/>
      </w:r>
      <w:r w:rsidR="00B856BD">
        <w:t>Similar to</w:t>
      </w:r>
      <w:r w:rsidR="00412B06">
        <w:t xml:space="preserve"> an</w:t>
      </w:r>
      <w:r w:rsidR="00B856BD">
        <w:t xml:space="preserve"> increasing rate base, increasing expenses can cause attrition when revenue growth does not keep pace.</w:t>
      </w:r>
      <w:r w:rsidR="007C51FF">
        <w:t xml:space="preserve"> </w:t>
      </w:r>
      <w:r w:rsidR="00412B06">
        <w:t xml:space="preserve"> Over time, this difference in growth rates erodes the Company’s ability to achieve the authorized rate of return.</w:t>
      </w:r>
    </w:p>
    <w:p w14:paraId="4F9C4E3D" w14:textId="54C07CB2" w:rsidR="00B70B11" w:rsidRDefault="007C51FF" w:rsidP="00412B06">
      <w:pPr>
        <w:pStyle w:val="NoSpacing"/>
        <w:ind w:firstLine="720"/>
      </w:pPr>
      <w:r>
        <w:t>The Company’s recent rate cases document that O&amp;M expenses are growing faster than revenues.  Ms. Andrews and Mr. Morris provide support for that same premise in their testimonies.</w:t>
      </w:r>
      <w:r w:rsidR="007F6644">
        <w:rPr>
          <w:rStyle w:val="FootnoteReference"/>
        </w:rPr>
        <w:footnoteReference w:id="26"/>
      </w:r>
      <w:r>
        <w:t xml:space="preserve"> </w:t>
      </w:r>
    </w:p>
    <w:p w14:paraId="32B1E883" w14:textId="115C1CA6" w:rsidR="00237D89" w:rsidRDefault="00237D89" w:rsidP="00E57913">
      <w:pPr>
        <w:pStyle w:val="NoSpacing"/>
      </w:pPr>
      <w:r>
        <w:tab/>
      </w:r>
      <w:r>
        <w:tab/>
        <w:t>A more detailed review of Avista’s expense growth is in the next section of this testimony.</w:t>
      </w:r>
    </w:p>
    <w:p w14:paraId="3611D234" w14:textId="77777777" w:rsidR="00237D89" w:rsidRDefault="00237D89" w:rsidP="00E57913">
      <w:pPr>
        <w:pStyle w:val="NoSpacing"/>
      </w:pPr>
    </w:p>
    <w:p w14:paraId="46C3788B" w14:textId="77777777" w:rsidR="00E45652" w:rsidRDefault="00E45652" w:rsidP="00482A02">
      <w:pPr>
        <w:pStyle w:val="Heading8"/>
      </w:pPr>
      <w:r w:rsidRPr="005604A4">
        <w:t>Q.</w:t>
      </w:r>
      <w:r w:rsidRPr="005604A4">
        <w:tab/>
      </w:r>
      <w:r>
        <w:t xml:space="preserve">Are </w:t>
      </w:r>
      <w:r w:rsidRPr="005604A4">
        <w:t>the above causes sufficiently beyond Avista’s control to justify an attrition adjustment?</w:t>
      </w:r>
      <w:r>
        <w:t xml:space="preserve"> Why or why not?</w:t>
      </w:r>
    </w:p>
    <w:p w14:paraId="5377BD3C" w14:textId="7496A239" w:rsidR="00482A02" w:rsidRDefault="00E45652" w:rsidP="00482A02">
      <w:pPr>
        <w:pStyle w:val="NoSpacing"/>
      </w:pPr>
      <w:r w:rsidRPr="005604A4">
        <w:t xml:space="preserve">A. </w:t>
      </w:r>
      <w:r w:rsidRPr="005604A4">
        <w:tab/>
      </w:r>
      <w:r>
        <w:t>Staff believes that these causes are more likely than not</w:t>
      </w:r>
      <w:r w:rsidR="00791E83">
        <w:t xml:space="preserve"> outside of the control of the C</w:t>
      </w:r>
      <w:r>
        <w:t>ompany.</w:t>
      </w:r>
      <w:r w:rsidR="005550E8">
        <w:t xml:space="preserve">  Avista is facing a period of paltry load growth, low revenue growth, increasing capital expenditures, and increasing costs.  The 2007-2015 dataset used in Staff’s analysis is also drawn from Commission Basis Reports that the Company has </w:t>
      </w:r>
      <w:r w:rsidR="005550E8">
        <w:lastRenderedPageBreak/>
        <w:t xml:space="preserve">filed, and the Commission has accepted, over a period in which the Company has sought numerous rate increases.  It is thus a dataset taken from a time over which the </w:t>
      </w:r>
      <w:r w:rsidR="007F6644">
        <w:t xml:space="preserve">the Commission and the intervening parties have closely scrutinized the </w:t>
      </w:r>
      <w:r w:rsidR="005550E8">
        <w:t>Company’s operations.  The consistency and low variability of growth in this dataset, and the strength of that growth’s relationship with time</w:t>
      </w:r>
      <w:r w:rsidR="00482A02">
        <w:t xml:space="preserve"> lend support to the claim that these factors are outside of the control of the Company.</w:t>
      </w:r>
      <w:r>
        <w:t xml:space="preserve"> </w:t>
      </w:r>
      <w:r w:rsidR="00482A02">
        <w:t xml:space="preserve"> </w:t>
      </w:r>
    </w:p>
    <w:p w14:paraId="5C804B52" w14:textId="04FC20F6" w:rsidR="00E45652" w:rsidRDefault="00E45652" w:rsidP="00482A02">
      <w:pPr>
        <w:pStyle w:val="NoSpacing"/>
        <w:ind w:firstLine="720"/>
      </w:pPr>
      <w:r>
        <w:t xml:space="preserve">While the modified historical test year framework provides a better avenue for evaluation of </w:t>
      </w:r>
      <w:r w:rsidRPr="00E45652">
        <w:rPr>
          <w:i/>
        </w:rPr>
        <w:t>specific</w:t>
      </w:r>
      <w:r>
        <w:t xml:space="preserve"> changes to rate base and expenses, </w:t>
      </w:r>
      <w:r w:rsidR="00482A02">
        <w:t>the revenue requirement produced</w:t>
      </w:r>
      <w:r w:rsidR="00870DE9">
        <w:t xml:space="preserve"> in this case</w:t>
      </w:r>
      <w:r w:rsidR="00482A02">
        <w:t>, absent an attrition adjustment, is likely to be insufficient to provide a</w:t>
      </w:r>
      <w:r w:rsidR="00870DE9">
        <w:t xml:space="preserve"> fair</w:t>
      </w:r>
      <w:r w:rsidR="00482A02">
        <w:t xml:space="preserve"> opportunity to achieve the authorized rate of return.</w:t>
      </w:r>
    </w:p>
    <w:p w14:paraId="11103EAE" w14:textId="77777777" w:rsidR="00482A02" w:rsidRDefault="00482A02" w:rsidP="00482A02">
      <w:pPr>
        <w:pStyle w:val="NoSpacing"/>
        <w:keepNext/>
        <w:keepLines/>
        <w:ind w:firstLine="720"/>
      </w:pPr>
    </w:p>
    <w:p w14:paraId="4BE5A6D7" w14:textId="12124170" w:rsidR="007F6005" w:rsidRDefault="00014871" w:rsidP="007211BD">
      <w:pPr>
        <w:pStyle w:val="Heading1"/>
        <w:ind w:left="720" w:hanging="720"/>
        <w:rPr>
          <w:caps/>
        </w:rPr>
      </w:pPr>
      <w:bookmarkStart w:id="27" w:name="_Toc459042399"/>
      <w:r>
        <w:rPr>
          <w:caps/>
        </w:rPr>
        <w:t>Attrition studies</w:t>
      </w:r>
      <w:bookmarkEnd w:id="27"/>
    </w:p>
    <w:p w14:paraId="799CC43A" w14:textId="731D9049" w:rsidR="0012425C" w:rsidRPr="001243CD" w:rsidRDefault="0012425C" w:rsidP="001243CD">
      <w:pPr>
        <w:pStyle w:val="Heading2"/>
        <w:numPr>
          <w:ilvl w:val="0"/>
          <w:numId w:val="37"/>
        </w:numPr>
      </w:pPr>
      <w:bookmarkStart w:id="28" w:name="_Toc459042400"/>
      <w:r w:rsidRPr="001243CD">
        <w:t>Methodology</w:t>
      </w:r>
      <w:bookmarkEnd w:id="28"/>
    </w:p>
    <w:p w14:paraId="72D47A82" w14:textId="77777777" w:rsidR="004272F8" w:rsidRPr="004272F8" w:rsidRDefault="004272F8" w:rsidP="00482A02">
      <w:pPr>
        <w:pStyle w:val="NoSpacing"/>
      </w:pPr>
    </w:p>
    <w:p w14:paraId="1FE7976E" w14:textId="77777777" w:rsidR="00F82664" w:rsidRDefault="00F82664" w:rsidP="00F82664">
      <w:pPr>
        <w:pStyle w:val="Heading8"/>
      </w:pPr>
      <w:r>
        <w:t>Q.</w:t>
      </w:r>
      <w:r>
        <w:tab/>
        <w:t>How do the attrition studies used by Staff and Avista attempt to identify and quantify attrition?</w:t>
      </w:r>
    </w:p>
    <w:p w14:paraId="15B6FB1E" w14:textId="4E1D8708" w:rsidR="00407254" w:rsidRDefault="00F82664" w:rsidP="00F82664">
      <w:pPr>
        <w:spacing w:line="480" w:lineRule="auto"/>
        <w:ind w:left="720" w:hanging="720"/>
        <w:rPr>
          <w:rFonts w:eastAsia="Times New Roman"/>
        </w:rPr>
      </w:pPr>
      <w:r>
        <w:rPr>
          <w:rFonts w:eastAsia="Times New Roman"/>
        </w:rPr>
        <w:t>A.</w:t>
      </w:r>
      <w:r>
        <w:rPr>
          <w:rFonts w:eastAsia="Times New Roman"/>
        </w:rPr>
        <w:tab/>
        <w:t xml:space="preserve">Both Staff and Avista largely adopt the approach used by Staff in Avista’s last general rate case, Dockets UE-150204 and UG-150205.  </w:t>
      </w:r>
      <w:r w:rsidR="00407254">
        <w:rPr>
          <w:rFonts w:eastAsia="Times New Roman"/>
        </w:rPr>
        <w:t xml:space="preserve">That is, both studies apply </w:t>
      </w:r>
      <w:r w:rsidR="00FA034C">
        <w:rPr>
          <w:rFonts w:eastAsia="Times New Roman"/>
        </w:rPr>
        <w:t>regression analysis</w:t>
      </w:r>
      <w:r w:rsidR="00407254">
        <w:rPr>
          <w:rFonts w:eastAsia="Times New Roman"/>
        </w:rPr>
        <w:t xml:space="preserve"> to evaluate prevailing rates of growth in expenses and rate base. </w:t>
      </w:r>
      <w:r w:rsidR="00FA034C">
        <w:rPr>
          <w:rFonts w:eastAsia="Times New Roman"/>
        </w:rPr>
        <w:t xml:space="preserve"> </w:t>
      </w:r>
      <w:r w:rsidR="00407254">
        <w:rPr>
          <w:rFonts w:eastAsia="Times New Roman"/>
        </w:rPr>
        <w:t>Future revenues are based on future billing determinants estimated in the Company’s load forecast.  The revenue shortfall in the attrition study is the difference between expected revenues at current rates, and the revenues required to make the Company whole at the estimated levels of rate base and expenses.</w:t>
      </w:r>
    </w:p>
    <w:p w14:paraId="6CAE01C6" w14:textId="1D26EF4B" w:rsidR="00407254" w:rsidRDefault="00407254" w:rsidP="00407254">
      <w:pPr>
        <w:spacing w:line="480" w:lineRule="auto"/>
        <w:ind w:left="720" w:firstLine="720"/>
        <w:rPr>
          <w:rFonts w:eastAsia="Times New Roman"/>
        </w:rPr>
      </w:pPr>
      <w:r w:rsidRPr="00CD10A7">
        <w:rPr>
          <w:rFonts w:eastAsia="Times New Roman"/>
        </w:rPr>
        <w:lastRenderedPageBreak/>
        <w:t xml:space="preserve">Finally, the </w:t>
      </w:r>
      <w:r w:rsidR="00CD10A7" w:rsidRPr="00CD10A7">
        <w:rPr>
          <w:rFonts w:eastAsia="Times New Roman"/>
        </w:rPr>
        <w:t xml:space="preserve">estimated </w:t>
      </w:r>
      <w:r w:rsidRPr="00CD10A7">
        <w:rPr>
          <w:rFonts w:eastAsia="Times New Roman"/>
        </w:rPr>
        <w:t>revenues</w:t>
      </w:r>
      <w:r w:rsidR="00CD10A7" w:rsidRPr="00CD10A7">
        <w:rPr>
          <w:rFonts w:eastAsia="Times New Roman"/>
        </w:rPr>
        <w:t>, expenses, and rate base balances</w:t>
      </w:r>
      <w:r w:rsidRPr="00CD10A7">
        <w:rPr>
          <w:rFonts w:eastAsia="Times New Roman"/>
        </w:rPr>
        <w:t xml:space="preserve"> </w:t>
      </w:r>
      <w:r w:rsidR="00CD10A7" w:rsidRPr="00CD10A7">
        <w:rPr>
          <w:rFonts w:eastAsia="Times New Roman"/>
        </w:rPr>
        <w:t>found in the attrition studies</w:t>
      </w:r>
      <w:r w:rsidR="008A511B" w:rsidRPr="00CD10A7">
        <w:rPr>
          <w:rFonts w:eastAsia="Times New Roman"/>
        </w:rPr>
        <w:t xml:space="preserve"> </w:t>
      </w:r>
      <w:r w:rsidRPr="00CD10A7">
        <w:rPr>
          <w:rFonts w:eastAsia="Times New Roman"/>
        </w:rPr>
        <w:t>are then compared to results of the traditional ratemaking approach.</w:t>
      </w:r>
      <w:r w:rsidR="007F6644" w:rsidRPr="00CD10A7">
        <w:rPr>
          <w:rStyle w:val="FootnoteReference"/>
          <w:rFonts w:eastAsia="Times New Roman"/>
        </w:rPr>
        <w:footnoteReference w:id="27"/>
      </w:r>
      <w:r w:rsidRPr="00CD10A7">
        <w:rPr>
          <w:rFonts w:eastAsia="Times New Roman"/>
        </w:rPr>
        <w:t xml:space="preserve">  The difference between the two produces the </w:t>
      </w:r>
      <w:r w:rsidR="00CD10A7" w:rsidRPr="00CD10A7">
        <w:rPr>
          <w:rFonts w:eastAsia="Times New Roman"/>
        </w:rPr>
        <w:t>attrition adjustment</w:t>
      </w:r>
      <w:r w:rsidRPr="00CD10A7">
        <w:rPr>
          <w:rFonts w:eastAsia="Times New Roman"/>
        </w:rPr>
        <w:t>.</w:t>
      </w:r>
      <w:r w:rsidR="00870DE9" w:rsidRPr="00CD10A7">
        <w:rPr>
          <w:rFonts w:eastAsia="Times New Roman"/>
        </w:rPr>
        <w:t xml:space="preserve">  In</w:t>
      </w:r>
      <w:r w:rsidR="00870DE9" w:rsidRPr="00CE3D17">
        <w:rPr>
          <w:rFonts w:eastAsia="Times New Roman"/>
        </w:rPr>
        <w:t xml:space="preserve"> Staff’s revenue requirement presentation, this is presented as Adjustment 4.08 in the electric model, and Adjustment 4.</w:t>
      </w:r>
      <w:r w:rsidR="00CE3D17" w:rsidRPr="00CE3D17">
        <w:rPr>
          <w:rFonts w:eastAsia="Times New Roman"/>
        </w:rPr>
        <w:t xml:space="preserve">08 </w:t>
      </w:r>
      <w:r w:rsidR="00870DE9" w:rsidRPr="00CE3D17">
        <w:rPr>
          <w:rFonts w:eastAsia="Times New Roman"/>
        </w:rPr>
        <w:t>in the natural gas model.</w:t>
      </w:r>
      <w:r w:rsidR="0086644D">
        <w:rPr>
          <w:rStyle w:val="FootnoteReference"/>
          <w:rFonts w:eastAsia="Times New Roman"/>
        </w:rPr>
        <w:footnoteReference w:id="28"/>
      </w:r>
    </w:p>
    <w:p w14:paraId="12A90BB7" w14:textId="5F9485D7" w:rsidR="00F82664" w:rsidRDefault="00337393" w:rsidP="00407254">
      <w:pPr>
        <w:spacing w:line="480" w:lineRule="auto"/>
        <w:ind w:left="720" w:firstLine="720"/>
        <w:rPr>
          <w:rFonts w:eastAsia="Times New Roman"/>
        </w:rPr>
      </w:pPr>
      <w:r>
        <w:rPr>
          <w:rFonts w:eastAsia="Times New Roman"/>
        </w:rPr>
        <w:t>Staff</w:t>
      </w:r>
      <w:r w:rsidR="00407254">
        <w:rPr>
          <w:rFonts w:eastAsia="Times New Roman"/>
        </w:rPr>
        <w:t>’s analysis in this case include</w:t>
      </w:r>
      <w:r w:rsidR="000B1762">
        <w:rPr>
          <w:rFonts w:eastAsia="Times New Roman"/>
        </w:rPr>
        <w:t>s</w:t>
      </w:r>
      <w:r>
        <w:rPr>
          <w:rFonts w:eastAsia="Times New Roman"/>
        </w:rPr>
        <w:t xml:space="preserve"> changes in statistical methodology to provide better estimates of future conditions.</w:t>
      </w:r>
    </w:p>
    <w:p w14:paraId="7C557770" w14:textId="77777777" w:rsidR="00407254" w:rsidRDefault="00407254" w:rsidP="00407254">
      <w:pPr>
        <w:spacing w:line="480" w:lineRule="auto"/>
        <w:ind w:left="720" w:firstLine="720"/>
        <w:rPr>
          <w:rFonts w:eastAsia="Times New Roman"/>
        </w:rPr>
      </w:pPr>
    </w:p>
    <w:p w14:paraId="6192F81A" w14:textId="4F3FD84D" w:rsidR="00407254" w:rsidRDefault="00407254" w:rsidP="004B5B03">
      <w:pPr>
        <w:pStyle w:val="Heading8"/>
      </w:pPr>
      <w:r w:rsidRPr="00407254">
        <w:t>Q.</w:t>
      </w:r>
      <w:r w:rsidRPr="00407254">
        <w:tab/>
        <w:t xml:space="preserve">Please summarize those changes Staff proposes in this case. </w:t>
      </w:r>
    </w:p>
    <w:p w14:paraId="527EB0F2" w14:textId="002C28D5" w:rsidR="00407254" w:rsidRPr="00407254" w:rsidRDefault="00407254" w:rsidP="00F82664">
      <w:pPr>
        <w:spacing w:line="480" w:lineRule="auto"/>
        <w:ind w:left="720" w:hanging="720"/>
        <w:rPr>
          <w:rFonts w:eastAsia="Times New Roman"/>
          <w:b/>
        </w:rPr>
      </w:pPr>
      <w:r>
        <w:rPr>
          <w:rFonts w:eastAsia="Times New Roman"/>
        </w:rPr>
        <w:t>A.</w:t>
      </w:r>
      <w:r>
        <w:rPr>
          <w:rFonts w:eastAsia="Times New Roman"/>
        </w:rPr>
        <w:tab/>
        <w:t xml:space="preserve">Staff’s study evaluates rate base on a more granular level. </w:t>
      </w:r>
      <w:r w:rsidR="00FA034C">
        <w:rPr>
          <w:rFonts w:eastAsia="Times New Roman"/>
        </w:rPr>
        <w:t xml:space="preserve"> </w:t>
      </w:r>
      <w:r w:rsidR="008A0A4E">
        <w:rPr>
          <w:rFonts w:eastAsia="Times New Roman"/>
        </w:rPr>
        <w:t xml:space="preserve">Rather than project </w:t>
      </w:r>
      <w:r w:rsidR="00FA034C">
        <w:rPr>
          <w:rFonts w:eastAsia="Times New Roman"/>
        </w:rPr>
        <w:t>Net Plant After DFIT</w:t>
      </w:r>
      <w:r w:rsidR="008A0A4E">
        <w:rPr>
          <w:rFonts w:eastAsia="Times New Roman"/>
        </w:rPr>
        <w:t xml:space="preserve"> in total</w:t>
      </w:r>
      <w:r w:rsidR="00FA034C">
        <w:rPr>
          <w:rFonts w:eastAsia="Times New Roman"/>
        </w:rPr>
        <w:t xml:space="preserve">, as </w:t>
      </w:r>
      <w:r w:rsidR="00FA034C" w:rsidRPr="00040903">
        <w:rPr>
          <w:rFonts w:eastAsia="Times New Roman"/>
        </w:rPr>
        <w:t>the Company does</w:t>
      </w:r>
      <w:r w:rsidR="008A0A4E" w:rsidRPr="00040903">
        <w:rPr>
          <w:rFonts w:eastAsia="Times New Roman"/>
        </w:rPr>
        <w:t xml:space="preserve">, Staff’s study estimates the </w:t>
      </w:r>
      <w:r w:rsidRPr="00040903">
        <w:rPr>
          <w:rFonts w:eastAsia="Times New Roman"/>
        </w:rPr>
        <w:t xml:space="preserve">components of </w:t>
      </w:r>
      <w:r w:rsidR="00FA034C" w:rsidRPr="00040903">
        <w:rPr>
          <w:rFonts w:eastAsia="Times New Roman"/>
        </w:rPr>
        <w:t>Net Plant</w:t>
      </w:r>
      <w:r w:rsidR="00C9113B" w:rsidRPr="00040903">
        <w:rPr>
          <w:rFonts w:eastAsia="Times New Roman"/>
        </w:rPr>
        <w:t>,</w:t>
      </w:r>
      <w:r w:rsidRPr="00040903">
        <w:rPr>
          <w:rFonts w:eastAsia="Times New Roman"/>
        </w:rPr>
        <w:t xml:space="preserve"> </w:t>
      </w:r>
      <w:r w:rsidR="00C9113B" w:rsidRPr="00040903">
        <w:rPr>
          <w:rFonts w:eastAsia="Times New Roman"/>
        </w:rPr>
        <w:t>such as</w:t>
      </w:r>
      <w:r w:rsidR="00040903" w:rsidRPr="00040903">
        <w:rPr>
          <w:rFonts w:eastAsia="Times New Roman"/>
        </w:rPr>
        <w:t xml:space="preserve"> distribution plant in service, </w:t>
      </w:r>
      <w:r w:rsidRPr="00040903">
        <w:rPr>
          <w:rFonts w:eastAsia="Times New Roman"/>
        </w:rPr>
        <w:t>for the</w:t>
      </w:r>
      <w:r>
        <w:rPr>
          <w:rFonts w:eastAsia="Times New Roman"/>
        </w:rPr>
        <w:t xml:space="preserve"> rate-effective period</w:t>
      </w:r>
      <w:r w:rsidR="00C9113B">
        <w:rPr>
          <w:rFonts w:eastAsia="Times New Roman"/>
        </w:rPr>
        <w:t xml:space="preserve">. </w:t>
      </w:r>
      <w:r w:rsidR="0083207C">
        <w:rPr>
          <w:rFonts w:eastAsia="Times New Roman"/>
        </w:rPr>
        <w:t xml:space="preserve"> </w:t>
      </w:r>
      <w:r w:rsidR="00611706">
        <w:rPr>
          <w:rFonts w:eastAsia="Times New Roman"/>
        </w:rPr>
        <w:t>Escalating</w:t>
      </w:r>
      <w:r w:rsidR="00C9113B">
        <w:rPr>
          <w:rFonts w:eastAsia="Times New Roman"/>
        </w:rPr>
        <w:t xml:space="preserve"> the individual components results in greater accuracy,</w:t>
      </w:r>
      <w:r>
        <w:rPr>
          <w:rFonts w:eastAsia="Times New Roman"/>
        </w:rPr>
        <w:t xml:space="preserve"> because of the strong relationship these </w:t>
      </w:r>
      <w:r w:rsidR="00FA034C">
        <w:rPr>
          <w:rFonts w:eastAsia="Times New Roman"/>
        </w:rPr>
        <w:t>element</w:t>
      </w:r>
      <w:r>
        <w:rPr>
          <w:rFonts w:eastAsia="Times New Roman"/>
        </w:rPr>
        <w:t>s have with time.</w:t>
      </w:r>
      <w:r w:rsidR="008A0A4E">
        <w:rPr>
          <w:rFonts w:eastAsia="Times New Roman"/>
        </w:rPr>
        <w:t xml:space="preserve"> </w:t>
      </w:r>
      <w:r w:rsidR="00FA034C">
        <w:rPr>
          <w:rFonts w:eastAsia="Times New Roman"/>
        </w:rPr>
        <w:t xml:space="preserve"> This provides for more detailed analysis of the drivers of rate base growth.</w:t>
      </w:r>
    </w:p>
    <w:p w14:paraId="20C7C4FF" w14:textId="2E0C0308" w:rsidR="00E47B58" w:rsidRDefault="00E47B58" w:rsidP="00F82664">
      <w:pPr>
        <w:spacing w:line="480" w:lineRule="auto"/>
        <w:ind w:left="720" w:hanging="720"/>
        <w:rPr>
          <w:rFonts w:eastAsia="Times New Roman"/>
        </w:rPr>
      </w:pPr>
    </w:p>
    <w:p w14:paraId="188015A6" w14:textId="0F05483F" w:rsidR="0012425C" w:rsidRDefault="0012425C" w:rsidP="0012425C">
      <w:pPr>
        <w:pStyle w:val="Heading8"/>
      </w:pPr>
      <w:r>
        <w:t>Q.</w:t>
      </w:r>
      <w:r>
        <w:tab/>
        <w:t>What are some key</w:t>
      </w:r>
      <w:r w:rsidR="00A1470B">
        <w:t xml:space="preserve"> premises</w:t>
      </w:r>
      <w:r>
        <w:t xml:space="preserve"> in Staff’s attrition studies?</w:t>
      </w:r>
    </w:p>
    <w:p w14:paraId="04CB3622" w14:textId="65F69B65" w:rsidR="0012425C" w:rsidRPr="0042756C" w:rsidRDefault="0012425C" w:rsidP="0012425C">
      <w:pPr>
        <w:spacing w:line="480" w:lineRule="auto"/>
        <w:ind w:left="720" w:hanging="720"/>
        <w:rPr>
          <w:rFonts w:eastAsia="Times New Roman"/>
        </w:rPr>
      </w:pPr>
      <w:r>
        <w:rPr>
          <w:rFonts w:eastAsia="Times New Roman"/>
        </w:rPr>
        <w:t>A.</w:t>
      </w:r>
      <w:r>
        <w:rPr>
          <w:rFonts w:eastAsia="Times New Roman"/>
        </w:rPr>
        <w:tab/>
        <w:t>Staff’s attrition study</w:t>
      </w:r>
      <w:r w:rsidR="00113989">
        <w:rPr>
          <w:rFonts w:eastAsia="Times New Roman"/>
        </w:rPr>
        <w:t xml:space="preserve"> model</w:t>
      </w:r>
      <w:r>
        <w:rPr>
          <w:rFonts w:eastAsia="Times New Roman"/>
        </w:rPr>
        <w:t xml:space="preserve"> </w:t>
      </w:r>
      <w:r w:rsidR="008A0A4E">
        <w:rPr>
          <w:rFonts w:eastAsia="Times New Roman"/>
        </w:rPr>
        <w:t xml:space="preserve">relies on the </w:t>
      </w:r>
      <w:r>
        <w:rPr>
          <w:rFonts w:eastAsia="Times New Roman"/>
        </w:rPr>
        <w:t xml:space="preserve">the following </w:t>
      </w:r>
      <w:r w:rsidR="00A1470B">
        <w:rPr>
          <w:rFonts w:eastAsia="Times New Roman"/>
        </w:rPr>
        <w:t>premises</w:t>
      </w:r>
      <w:r>
        <w:rPr>
          <w:rFonts w:eastAsia="Times New Roman"/>
        </w:rPr>
        <w:t>:</w:t>
      </w:r>
    </w:p>
    <w:p w14:paraId="02E86C01" w14:textId="57569508" w:rsidR="0012425C" w:rsidRDefault="0012425C" w:rsidP="0086313A">
      <w:pPr>
        <w:pStyle w:val="ListParagraph"/>
        <w:numPr>
          <w:ilvl w:val="1"/>
          <w:numId w:val="6"/>
        </w:numPr>
        <w:spacing w:line="480" w:lineRule="auto"/>
        <w:rPr>
          <w:rFonts w:eastAsia="Times New Roman"/>
        </w:rPr>
      </w:pPr>
      <w:r>
        <w:rPr>
          <w:rFonts w:eastAsia="Times New Roman"/>
        </w:rPr>
        <w:t>The historical period (2007-15) provides a</w:t>
      </w:r>
      <w:r w:rsidR="00113989">
        <w:rPr>
          <w:rFonts w:eastAsia="Times New Roman"/>
        </w:rPr>
        <w:t>n appropriate and</w:t>
      </w:r>
      <w:r>
        <w:rPr>
          <w:rFonts w:eastAsia="Times New Roman"/>
        </w:rPr>
        <w:t xml:space="preserve"> thorough data set from which statistical inferences can be made. </w:t>
      </w:r>
    </w:p>
    <w:p w14:paraId="298417F0" w14:textId="5F1DAD72" w:rsidR="0012425C" w:rsidRDefault="0012425C" w:rsidP="0086313A">
      <w:pPr>
        <w:pStyle w:val="ListParagraph"/>
        <w:numPr>
          <w:ilvl w:val="1"/>
          <w:numId w:val="6"/>
        </w:numPr>
        <w:spacing w:line="480" w:lineRule="auto"/>
        <w:rPr>
          <w:rFonts w:eastAsia="Times New Roman"/>
        </w:rPr>
      </w:pPr>
      <w:r>
        <w:rPr>
          <w:rFonts w:eastAsia="Times New Roman"/>
        </w:rPr>
        <w:t xml:space="preserve">The </w:t>
      </w:r>
      <w:r w:rsidR="00113989">
        <w:rPr>
          <w:rFonts w:eastAsia="Times New Roman"/>
        </w:rPr>
        <w:t xml:space="preserve">statistically-significant </w:t>
      </w:r>
      <w:r>
        <w:rPr>
          <w:rFonts w:eastAsia="Times New Roman"/>
        </w:rPr>
        <w:t>relationships found in the historical period are strong enough to inform ratemaking in the near term.</w:t>
      </w:r>
    </w:p>
    <w:p w14:paraId="4B972728" w14:textId="1650B0D9" w:rsidR="0012425C" w:rsidRDefault="0012425C" w:rsidP="00870DE9">
      <w:pPr>
        <w:pStyle w:val="ListParagraph"/>
        <w:spacing w:line="480" w:lineRule="auto"/>
        <w:ind w:left="1440"/>
        <w:rPr>
          <w:rFonts w:eastAsia="Times New Roman"/>
        </w:rPr>
      </w:pPr>
    </w:p>
    <w:p w14:paraId="4BB57F1F" w14:textId="53D8B9F5" w:rsidR="00A349C8" w:rsidRDefault="00A349C8" w:rsidP="00A349C8">
      <w:pPr>
        <w:pStyle w:val="Heading8"/>
      </w:pPr>
      <w:r>
        <w:t>Q.</w:t>
      </w:r>
      <w:r>
        <w:tab/>
        <w:t xml:space="preserve">What support is there for the first </w:t>
      </w:r>
      <w:r w:rsidR="00A1470B">
        <w:t>premise</w:t>
      </w:r>
      <w:r w:rsidR="00FA4F1C">
        <w:t xml:space="preserve"> </w:t>
      </w:r>
      <w:r>
        <w:t>above?</w:t>
      </w:r>
    </w:p>
    <w:p w14:paraId="120CDA61" w14:textId="52E2E542" w:rsidR="00A349C8" w:rsidRDefault="00F94623" w:rsidP="00FB4194">
      <w:pPr>
        <w:pStyle w:val="NoSpacing"/>
      </w:pPr>
      <w:r>
        <w:t>A.</w:t>
      </w:r>
      <w:r>
        <w:tab/>
      </w:r>
      <w:r w:rsidR="00FB4194">
        <w:t>In Avista’s previous rate case, Staff used a period of 2009-2014 as a historical period, whereas the Company used 2007-2014.  In discussing this difference, the Commission stated in Order 05 that “we agree with the Company’s time period rather than that of Staff.”</w:t>
      </w:r>
      <w:r w:rsidR="008129CB">
        <w:rPr>
          <w:rStyle w:val="FootnoteReference"/>
        </w:rPr>
        <w:footnoteReference w:id="29"/>
      </w:r>
      <w:r w:rsidR="00954EC0">
        <w:t xml:space="preserve">  The Commission found the use of the longer dataset more appropriate for use</w:t>
      </w:r>
      <w:r w:rsidR="007F6644">
        <w:t>.  I</w:t>
      </w:r>
      <w:r w:rsidR="00954EC0">
        <w:t>n this case, we expand the dataset by one more year</w:t>
      </w:r>
      <w:r w:rsidR="007F6644">
        <w:t xml:space="preserve"> to include 2015</w:t>
      </w:r>
      <w:r w:rsidR="00954EC0">
        <w:t>.</w:t>
      </w:r>
    </w:p>
    <w:p w14:paraId="1BD4492F" w14:textId="78684BF2" w:rsidR="00FB4194" w:rsidRDefault="00FB4194" w:rsidP="00FB4194">
      <w:pPr>
        <w:pStyle w:val="NoSpacing"/>
      </w:pPr>
      <w:r>
        <w:tab/>
      </w:r>
      <w:r>
        <w:tab/>
        <w:t>In addition to that clear guidance</w:t>
      </w:r>
      <w:r w:rsidR="00954EC0">
        <w:t xml:space="preserve"> from the Commission</w:t>
      </w:r>
      <w:r>
        <w:t xml:space="preserve">, Staff in this case has a second reason to adopt </w:t>
      </w:r>
      <w:r w:rsidR="007F6644">
        <w:t>2007-2015</w:t>
      </w:r>
      <w:r>
        <w:t>.  The year 2007 represents the final year of operations that drove credit ratings agencies like Standard and Poor’s and Moody’s to elevate Avista’s credit worthiness rating to investment grade.</w:t>
      </w:r>
      <w:r w:rsidR="008129CB">
        <w:rPr>
          <w:rStyle w:val="FootnoteReference"/>
        </w:rPr>
        <w:footnoteReference w:id="30"/>
      </w:r>
      <w:r>
        <w:t xml:space="preserve">  This</w:t>
      </w:r>
      <w:r w:rsidR="008129CB">
        <w:t xml:space="preserve"> period is therefore a period over</w:t>
      </w:r>
      <w:r>
        <w:t xml:space="preserve"> which, in the eyes of major</w:t>
      </w:r>
      <w:r w:rsidR="00954EC0">
        <w:t xml:space="preserve"> </w:t>
      </w:r>
      <w:r>
        <w:t xml:space="preserve">credit ratings agencies, </w:t>
      </w:r>
      <w:r w:rsidR="008129CB">
        <w:t xml:space="preserve">Avista performed in a </w:t>
      </w:r>
      <w:r w:rsidR="00FA4F1C">
        <w:t xml:space="preserve">consistent and financially </w:t>
      </w:r>
      <w:r w:rsidR="008129CB">
        <w:t>sound manner.</w:t>
      </w:r>
    </w:p>
    <w:p w14:paraId="517B180B" w14:textId="77777777" w:rsidR="00A349C8" w:rsidRDefault="00A349C8" w:rsidP="00A349C8">
      <w:pPr>
        <w:spacing w:line="480" w:lineRule="auto"/>
        <w:rPr>
          <w:rFonts w:eastAsia="Times New Roman"/>
        </w:rPr>
      </w:pPr>
    </w:p>
    <w:p w14:paraId="06D5AC11" w14:textId="0A20736C" w:rsidR="00A349C8" w:rsidRDefault="00A349C8" w:rsidP="00A349C8">
      <w:pPr>
        <w:pStyle w:val="Heading8"/>
      </w:pPr>
      <w:r>
        <w:t>Q.</w:t>
      </w:r>
      <w:r>
        <w:tab/>
        <w:t xml:space="preserve">What support is there for the second </w:t>
      </w:r>
      <w:r w:rsidR="00954EC0">
        <w:t xml:space="preserve">premise </w:t>
      </w:r>
      <w:r>
        <w:t>above?</w:t>
      </w:r>
    </w:p>
    <w:p w14:paraId="01FC7B0B" w14:textId="535C8F35" w:rsidR="008129CB" w:rsidRDefault="00A349C8" w:rsidP="008129CB">
      <w:pPr>
        <w:pStyle w:val="NoSpacing"/>
      </w:pPr>
      <w:r>
        <w:t>A.</w:t>
      </w:r>
      <w:r>
        <w:tab/>
      </w:r>
      <w:r w:rsidR="00FA4F1C">
        <w:t xml:space="preserve">Staff </w:t>
      </w:r>
      <w:r w:rsidR="008712E1">
        <w:t>believes that the statistically-significant relationships in the historical period are strong enough to inform ratemaking in the near term for</w:t>
      </w:r>
      <w:r w:rsidR="00FA4F1C">
        <w:t xml:space="preserve"> two reasons</w:t>
      </w:r>
      <w:r w:rsidR="008129CB">
        <w:t xml:space="preserve">.  The first is that the Commission accepted such practice in Avista’s most recent rate case.  In discussing Staff’s attrition study in that case, the Commission commented that “Mr. </w:t>
      </w:r>
      <w:r w:rsidR="008129CB">
        <w:lastRenderedPageBreak/>
        <w:t>McGuire’s attrition study uses a sound methodology for developing an escalation rate from historical data.”</w:t>
      </w:r>
      <w:r w:rsidR="008129CB">
        <w:rPr>
          <w:rStyle w:val="FootnoteReference"/>
        </w:rPr>
        <w:footnoteReference w:id="31"/>
      </w:r>
      <w:r w:rsidR="002E2961">
        <w:t xml:space="preserve">  </w:t>
      </w:r>
    </w:p>
    <w:p w14:paraId="2EB15495" w14:textId="27E848FF" w:rsidR="00A349C8" w:rsidRDefault="008129CB" w:rsidP="008129CB">
      <w:pPr>
        <w:pStyle w:val="NoSpacing"/>
      </w:pPr>
      <w:r>
        <w:tab/>
      </w:r>
      <w:r>
        <w:tab/>
        <w:t>Additionally</w:t>
      </w:r>
      <w:r w:rsidR="00A349C8">
        <w:t>,</w:t>
      </w:r>
      <w:r>
        <w:t xml:space="preserve"> Staff’s attrition study in this present case only uses escalation rates when the explanatory variables for the underlying lines-of-best-fit (from which the escalation rates are developed) </w:t>
      </w:r>
      <w:r w:rsidR="00AF0C90">
        <w:t>are</w:t>
      </w:r>
      <w:r>
        <w:t xml:space="preserve"> statistically</w:t>
      </w:r>
      <w:r w:rsidR="00D26092">
        <w:t xml:space="preserve"> </w:t>
      </w:r>
      <w:r w:rsidR="00AF0C90">
        <w:t>significant</w:t>
      </w:r>
      <w:r>
        <w:t>.</w:t>
      </w:r>
      <w:r w:rsidR="00AF0C90">
        <w:t xml:space="preserve">  Staff’s stance is a principled one: it is only appropriate to escalate a subcomponent of the revenue requirement formula when there is a statistically-significant relationship </w:t>
      </w:r>
      <w:r w:rsidR="00FA4F1C">
        <w:t xml:space="preserve">between </w:t>
      </w:r>
      <w:r w:rsidR="00A161F2">
        <w:t xml:space="preserve">the growth in </w:t>
      </w:r>
      <w:r w:rsidR="00FA4F1C">
        <w:t xml:space="preserve">that subcomponent and </w:t>
      </w:r>
      <w:r w:rsidR="00AF0C90">
        <w:t>the passage of time.</w:t>
      </w:r>
      <w:r w:rsidR="00A161F2">
        <w:rPr>
          <w:rStyle w:val="FootnoteReference"/>
        </w:rPr>
        <w:footnoteReference w:id="32"/>
      </w:r>
    </w:p>
    <w:p w14:paraId="5F2CB52A" w14:textId="2F8894CC" w:rsidR="00FA3065" w:rsidRPr="00A34195" w:rsidRDefault="00FA3065" w:rsidP="00FA3065">
      <w:pPr>
        <w:pStyle w:val="NoSpacing"/>
        <w:rPr>
          <w:vanish/>
          <w:specVanish/>
        </w:rPr>
      </w:pPr>
    </w:p>
    <w:p w14:paraId="00C619A1" w14:textId="0499415B" w:rsidR="0012425C" w:rsidRDefault="0012425C" w:rsidP="00FA3065">
      <w:pPr>
        <w:pStyle w:val="NoSpacing"/>
        <w:ind w:left="0" w:firstLine="0"/>
      </w:pPr>
    </w:p>
    <w:p w14:paraId="363C82F3" w14:textId="3D67D2CC" w:rsidR="00F82664" w:rsidRDefault="00F82664" w:rsidP="0012425C">
      <w:pPr>
        <w:pStyle w:val="Heading8"/>
      </w:pPr>
      <w:r>
        <w:t>Q.</w:t>
      </w:r>
      <w:r>
        <w:tab/>
        <w:t xml:space="preserve">Avista and Staff use </w:t>
      </w:r>
      <w:r w:rsidR="000E16BF">
        <w:t>similar attrition</w:t>
      </w:r>
      <w:r>
        <w:t xml:space="preserve"> model</w:t>
      </w:r>
      <w:r w:rsidR="000E16BF">
        <w:t>s</w:t>
      </w:r>
      <w:r>
        <w:t xml:space="preserve">, albeit with </w:t>
      </w:r>
      <w:r w:rsidR="00CD3CBE">
        <w:t xml:space="preserve">some notable </w:t>
      </w:r>
      <w:r w:rsidR="00D26092">
        <w:t>differences</w:t>
      </w:r>
      <w:r>
        <w:t xml:space="preserve">.  What </w:t>
      </w:r>
      <w:r w:rsidR="008E0788">
        <w:t xml:space="preserve">are the </w:t>
      </w:r>
      <w:r>
        <w:t xml:space="preserve">major </w:t>
      </w:r>
      <w:r w:rsidR="00FA3065">
        <w:t>differences</w:t>
      </w:r>
      <w:r>
        <w:t xml:space="preserve"> </w:t>
      </w:r>
      <w:r w:rsidR="00E07067">
        <w:t xml:space="preserve">between </w:t>
      </w:r>
      <w:r>
        <w:t>Staff’s attrition study</w:t>
      </w:r>
      <w:r w:rsidR="00E07067">
        <w:t xml:space="preserve"> and Avista’s attrition study</w:t>
      </w:r>
      <w:r>
        <w:t>?</w:t>
      </w:r>
    </w:p>
    <w:p w14:paraId="3A78F6D0" w14:textId="5DA38B67" w:rsidR="0027362D" w:rsidRDefault="00F82664" w:rsidP="0027362D">
      <w:pPr>
        <w:spacing w:line="480" w:lineRule="auto"/>
        <w:ind w:left="720" w:hanging="720"/>
        <w:rPr>
          <w:rFonts w:eastAsia="Times New Roman"/>
        </w:rPr>
      </w:pPr>
      <w:r>
        <w:rPr>
          <w:rFonts w:eastAsia="Times New Roman"/>
        </w:rPr>
        <w:t>A.</w:t>
      </w:r>
      <w:r>
        <w:rPr>
          <w:rFonts w:eastAsia="Times New Roman"/>
        </w:rPr>
        <w:tab/>
        <w:t xml:space="preserve">The major </w:t>
      </w:r>
      <w:r w:rsidR="00FA3065">
        <w:rPr>
          <w:rFonts w:eastAsia="Times New Roman"/>
        </w:rPr>
        <w:t>differences in Staff’s</w:t>
      </w:r>
      <w:r>
        <w:rPr>
          <w:rFonts w:eastAsia="Times New Roman"/>
        </w:rPr>
        <w:t xml:space="preserve"> attrition models are:</w:t>
      </w:r>
    </w:p>
    <w:p w14:paraId="6E5EAAF4" w14:textId="4172FF5B" w:rsidR="0027362D" w:rsidRDefault="00FA3065" w:rsidP="00CD10A7">
      <w:pPr>
        <w:pStyle w:val="ListParagraph"/>
        <w:numPr>
          <w:ilvl w:val="1"/>
          <w:numId w:val="8"/>
        </w:numPr>
        <w:spacing w:line="480" w:lineRule="auto"/>
        <w:rPr>
          <w:rFonts w:eastAsia="Times New Roman"/>
        </w:rPr>
      </w:pPr>
      <w:r w:rsidRPr="0027362D">
        <w:rPr>
          <w:rFonts w:eastAsia="Times New Roman"/>
        </w:rPr>
        <w:t xml:space="preserve">An expansion of </w:t>
      </w:r>
      <w:r w:rsidR="00F82664" w:rsidRPr="0027362D">
        <w:rPr>
          <w:rFonts w:eastAsia="Times New Roman"/>
        </w:rPr>
        <w:t>the historical data used, to incorporate the Company’s Commission Basis Report filing for the 12 months ending December 31, 2015</w:t>
      </w:r>
      <w:r w:rsidR="00E65217" w:rsidRPr="0027362D">
        <w:rPr>
          <w:rFonts w:eastAsia="Times New Roman"/>
        </w:rPr>
        <w:t>;</w:t>
      </w:r>
      <w:r w:rsidR="00A47D43">
        <w:rPr>
          <w:rStyle w:val="FootnoteReference"/>
          <w:rFonts w:eastAsia="Times New Roman"/>
        </w:rPr>
        <w:footnoteReference w:id="33"/>
      </w:r>
    </w:p>
    <w:p w14:paraId="725F7F97" w14:textId="4E0C1609" w:rsidR="0027362D" w:rsidRPr="0027362D" w:rsidRDefault="00CA420B" w:rsidP="00CD10A7">
      <w:pPr>
        <w:pStyle w:val="ListParagraph"/>
        <w:numPr>
          <w:ilvl w:val="1"/>
          <w:numId w:val="8"/>
        </w:numPr>
        <w:spacing w:line="480" w:lineRule="auto"/>
        <w:rPr>
          <w:rFonts w:eastAsia="Times New Roman"/>
        </w:rPr>
      </w:pPr>
      <w:r w:rsidRPr="0027362D">
        <w:rPr>
          <w:rFonts w:eastAsia="Times New Roman"/>
        </w:rPr>
        <w:t>Evaluation of rate base components on a more granular level</w:t>
      </w:r>
      <w:r w:rsidR="00C038B4" w:rsidRPr="0027362D">
        <w:rPr>
          <w:rFonts w:eastAsia="Times New Roman"/>
        </w:rPr>
        <w:t xml:space="preserve"> and escalat</w:t>
      </w:r>
      <w:r w:rsidR="001E2109" w:rsidRPr="0027362D">
        <w:rPr>
          <w:rFonts w:eastAsia="Times New Roman"/>
        </w:rPr>
        <w:t>ion of</w:t>
      </w:r>
      <w:r w:rsidR="00C038B4" w:rsidRPr="0027362D">
        <w:rPr>
          <w:rFonts w:eastAsia="Times New Roman"/>
        </w:rPr>
        <w:t xml:space="preserve"> the sub-components of Net Plant, rather than just net plant, for the rate-effective period</w:t>
      </w:r>
      <w:r w:rsidRPr="0027362D">
        <w:rPr>
          <w:rFonts w:eastAsia="Times New Roman"/>
        </w:rPr>
        <w:t>;</w:t>
      </w:r>
    </w:p>
    <w:p w14:paraId="71CC6B80" w14:textId="54AEC94D" w:rsidR="0027362D" w:rsidRPr="0027362D" w:rsidRDefault="00CA420B" w:rsidP="00CD10A7">
      <w:pPr>
        <w:pStyle w:val="ListParagraph"/>
        <w:numPr>
          <w:ilvl w:val="1"/>
          <w:numId w:val="8"/>
        </w:numPr>
        <w:spacing w:line="480" w:lineRule="auto"/>
        <w:rPr>
          <w:rFonts w:eastAsia="Times New Roman"/>
        </w:rPr>
      </w:pPr>
      <w:r w:rsidRPr="0027362D">
        <w:rPr>
          <w:rFonts w:eastAsia="Times New Roman"/>
        </w:rPr>
        <w:lastRenderedPageBreak/>
        <w:t>Higher standards on the acceptance of the</w:t>
      </w:r>
      <w:r w:rsidR="00F82664" w:rsidRPr="0027362D">
        <w:rPr>
          <w:rFonts w:eastAsia="Times New Roman"/>
        </w:rPr>
        <w:t xml:space="preserve"> Company’s proposed “After Attrition Adjustments”</w:t>
      </w:r>
      <w:r w:rsidRPr="0027362D">
        <w:rPr>
          <w:rFonts w:eastAsia="Times New Roman"/>
        </w:rPr>
        <w:t xml:space="preserve"> combined with a method of calculation that incorporates Staff’s more granular analysis on the growth of specific ratebase components</w:t>
      </w:r>
      <w:r w:rsidR="00F82664" w:rsidRPr="0027362D">
        <w:rPr>
          <w:rFonts w:eastAsia="Times New Roman"/>
        </w:rPr>
        <w:t>;</w:t>
      </w:r>
    </w:p>
    <w:p w14:paraId="42D24998" w14:textId="4A4511E6" w:rsidR="0027362D" w:rsidRPr="0027362D" w:rsidRDefault="00F82664" w:rsidP="00CD10A7">
      <w:pPr>
        <w:pStyle w:val="ListParagraph"/>
        <w:numPr>
          <w:ilvl w:val="1"/>
          <w:numId w:val="8"/>
        </w:numPr>
        <w:spacing w:line="480" w:lineRule="auto"/>
        <w:rPr>
          <w:rFonts w:eastAsia="Times New Roman"/>
        </w:rPr>
      </w:pPr>
      <w:r w:rsidRPr="0027362D">
        <w:rPr>
          <w:rFonts w:eastAsia="Times New Roman"/>
        </w:rPr>
        <w:t xml:space="preserve">The addition of a growth factor </w:t>
      </w:r>
      <w:r w:rsidR="009611DE" w:rsidRPr="0027362D">
        <w:rPr>
          <w:rFonts w:eastAsia="Times New Roman"/>
        </w:rPr>
        <w:t xml:space="preserve">in natural gas service </w:t>
      </w:r>
      <w:r w:rsidRPr="0027362D">
        <w:rPr>
          <w:rFonts w:eastAsia="Times New Roman"/>
        </w:rPr>
        <w:t>for Other Revenues</w:t>
      </w:r>
      <w:r w:rsidR="00DF4111" w:rsidRPr="0027362D">
        <w:rPr>
          <w:rFonts w:eastAsia="Times New Roman"/>
        </w:rPr>
        <w:t>;</w:t>
      </w:r>
    </w:p>
    <w:p w14:paraId="265778E6" w14:textId="185E1979" w:rsidR="0027362D" w:rsidRPr="0027362D" w:rsidRDefault="00337393" w:rsidP="00CD10A7">
      <w:pPr>
        <w:pStyle w:val="ListParagraph"/>
        <w:numPr>
          <w:ilvl w:val="1"/>
          <w:numId w:val="8"/>
        </w:numPr>
        <w:spacing w:line="480" w:lineRule="auto"/>
        <w:rPr>
          <w:rFonts w:eastAsia="Times New Roman"/>
        </w:rPr>
      </w:pPr>
      <w:r w:rsidRPr="0027362D">
        <w:rPr>
          <w:rFonts w:eastAsia="Times New Roman"/>
        </w:rPr>
        <w:t>The use of a mix of linear and polynomial functions, rather than only polynomial functions, in the lines-of-best-fit in the natural gas attrition model</w:t>
      </w:r>
      <w:r w:rsidR="00DF4111" w:rsidRPr="0027362D">
        <w:rPr>
          <w:rFonts w:eastAsia="Times New Roman"/>
        </w:rPr>
        <w:t>;</w:t>
      </w:r>
    </w:p>
    <w:p w14:paraId="0C994402" w14:textId="04C5C43C" w:rsidR="0027362D" w:rsidRDefault="0012425C" w:rsidP="00CD10A7">
      <w:pPr>
        <w:pStyle w:val="ListParagraph"/>
        <w:numPr>
          <w:ilvl w:val="1"/>
          <w:numId w:val="8"/>
        </w:numPr>
        <w:spacing w:line="480" w:lineRule="auto"/>
        <w:rPr>
          <w:rFonts w:eastAsia="Times New Roman"/>
        </w:rPr>
      </w:pPr>
      <w:r w:rsidRPr="0027362D">
        <w:rPr>
          <w:rFonts w:eastAsia="Times New Roman"/>
        </w:rPr>
        <w:t>A change in the calculat</w:t>
      </w:r>
      <w:r w:rsidR="00CA420B" w:rsidRPr="0027362D">
        <w:rPr>
          <w:rFonts w:eastAsia="Times New Roman"/>
        </w:rPr>
        <w:t>ion of final revenue requirement figures, so as to present customers with one single rate increase rather than two</w:t>
      </w:r>
      <w:r w:rsidR="0027362D">
        <w:rPr>
          <w:rFonts w:eastAsia="Times New Roman"/>
        </w:rPr>
        <w:t>;</w:t>
      </w:r>
    </w:p>
    <w:p w14:paraId="07C004C2" w14:textId="67905642" w:rsidR="002A753B" w:rsidRDefault="002A753B" w:rsidP="00CD10A7">
      <w:pPr>
        <w:pStyle w:val="ListParagraph"/>
        <w:numPr>
          <w:ilvl w:val="1"/>
          <w:numId w:val="8"/>
        </w:numPr>
        <w:spacing w:line="480" w:lineRule="auto"/>
        <w:rPr>
          <w:rFonts w:eastAsia="Times New Roman"/>
        </w:rPr>
      </w:pPr>
      <w:r w:rsidRPr="0027362D">
        <w:rPr>
          <w:rFonts w:eastAsia="Times New Roman"/>
        </w:rPr>
        <w:t>A change in the O&amp;M escalation factor, to more heavily consider the recent O&amp;M performance of the Company</w:t>
      </w:r>
      <w:r w:rsidR="0027362D">
        <w:rPr>
          <w:rFonts w:eastAsia="Times New Roman"/>
        </w:rPr>
        <w:t>;</w:t>
      </w:r>
    </w:p>
    <w:p w14:paraId="2804FAAB" w14:textId="7459CFEC" w:rsidR="0027362D" w:rsidRPr="0027362D" w:rsidRDefault="0027362D" w:rsidP="00CD10A7">
      <w:pPr>
        <w:pStyle w:val="ListParagraph"/>
        <w:numPr>
          <w:ilvl w:val="1"/>
          <w:numId w:val="8"/>
        </w:numPr>
        <w:spacing w:line="480" w:lineRule="auto"/>
        <w:rPr>
          <w:rFonts w:eastAsia="Times New Roman"/>
        </w:rPr>
      </w:pPr>
      <w:r>
        <w:rPr>
          <w:rFonts w:eastAsia="Times New Roman"/>
        </w:rPr>
        <w:t>Presentation of the attrition adjustment as an adjustment to the modified historical test year.</w:t>
      </w:r>
    </w:p>
    <w:p w14:paraId="62F50721" w14:textId="43B5462F" w:rsidR="00CD3CBE" w:rsidRDefault="00CD3CBE" w:rsidP="00CD3CBE">
      <w:pPr>
        <w:spacing w:line="480" w:lineRule="auto"/>
        <w:rPr>
          <w:rFonts w:eastAsia="Times New Roman"/>
        </w:rPr>
      </w:pPr>
    </w:p>
    <w:p w14:paraId="538EC090" w14:textId="6CC9E786" w:rsidR="00CD3CBE" w:rsidRDefault="00CD3CBE" w:rsidP="00CD3CBE">
      <w:pPr>
        <w:pStyle w:val="Heading8"/>
      </w:pPr>
      <w:r>
        <w:t>Q.</w:t>
      </w:r>
      <w:r>
        <w:tab/>
        <w:t xml:space="preserve">Please </w:t>
      </w:r>
      <w:r w:rsidR="00E07067">
        <w:t>explain</w:t>
      </w:r>
      <w:r>
        <w:t xml:space="preserve"> the first change, the incorporation of the 2015 Commission Basis Report.</w:t>
      </w:r>
    </w:p>
    <w:p w14:paraId="4FE9809D" w14:textId="52689BB5" w:rsidR="00CD3CBE" w:rsidRDefault="00CD3CBE" w:rsidP="00CA420B">
      <w:pPr>
        <w:pStyle w:val="NoSpacing"/>
      </w:pPr>
      <w:r>
        <w:t>A.</w:t>
      </w:r>
      <w:r>
        <w:tab/>
      </w:r>
      <w:r w:rsidR="00CA420B">
        <w:t xml:space="preserve">Due to the timing of this rate case, Avista simply did not have the information available to put forth an attrition study that incorporated the full calendar year of 2015.  Circumstances were similar in Avista’s last rate case, and Avista ultimately updated </w:t>
      </w:r>
      <w:r w:rsidR="00217E5C">
        <w:t xml:space="preserve">its </w:t>
      </w:r>
      <w:r w:rsidR="00CA420B">
        <w:t xml:space="preserve">position on rebuttal to incorporate </w:t>
      </w:r>
      <w:r w:rsidR="004F5D60">
        <w:t>the most recent full year of operations (2014) at that point.</w:t>
      </w:r>
    </w:p>
    <w:p w14:paraId="56B0EED2" w14:textId="62F70C37" w:rsidR="004F5D60" w:rsidRDefault="004F5D60" w:rsidP="00CA420B">
      <w:pPr>
        <w:pStyle w:val="NoSpacing"/>
      </w:pPr>
      <w:r>
        <w:lastRenderedPageBreak/>
        <w:tab/>
      </w:r>
      <w:r>
        <w:tab/>
        <w:t xml:space="preserve">Upon availability of the 2015 Commission Basis Report (“CBR”) results, Staff issued </w:t>
      </w:r>
      <w:r w:rsidR="00217E5C">
        <w:t xml:space="preserve">UTC Staff </w:t>
      </w:r>
      <w:r>
        <w:t xml:space="preserve">Data Request </w:t>
      </w:r>
      <w:r w:rsidR="00217E5C">
        <w:t xml:space="preserve">No. </w:t>
      </w:r>
      <w:r>
        <w:t xml:space="preserve">30, which requested that the Company update </w:t>
      </w:r>
      <w:r w:rsidR="00217E5C">
        <w:t xml:space="preserve">its </w:t>
      </w:r>
      <w:r>
        <w:t>analysis to incorporate 2015 CBR results.</w:t>
      </w:r>
      <w:r w:rsidR="00954EC0">
        <w:rPr>
          <w:rStyle w:val="FootnoteReference"/>
        </w:rPr>
        <w:footnoteReference w:id="34"/>
      </w:r>
      <w:r>
        <w:t xml:space="preserve">  This change allows Staff’s attrition study models to draw from a broader dataset, thereby resulting in more accurate estimations.  Additionally, </w:t>
      </w:r>
      <w:r w:rsidR="00FD7EF7">
        <w:t>including calendar-year 2015</w:t>
      </w:r>
      <w:r>
        <w:t xml:space="preserve"> allows the analysis to incorporate more recent results of the Company’s operations.</w:t>
      </w:r>
    </w:p>
    <w:p w14:paraId="1981AD7C" w14:textId="6A1282C7" w:rsidR="00955CEF" w:rsidRDefault="00955CEF" w:rsidP="00CA420B">
      <w:pPr>
        <w:pStyle w:val="NoSpacing"/>
      </w:pPr>
    </w:p>
    <w:p w14:paraId="0805F456" w14:textId="4C8F9C0E" w:rsidR="00955CEF" w:rsidRDefault="00955CEF" w:rsidP="00955CEF">
      <w:pPr>
        <w:pStyle w:val="Heading8"/>
      </w:pPr>
      <w:r>
        <w:t>Q.</w:t>
      </w:r>
      <w:r>
        <w:tab/>
        <w:t xml:space="preserve">Please </w:t>
      </w:r>
      <w:r w:rsidR="00E07067">
        <w:t>explain</w:t>
      </w:r>
      <w:r>
        <w:t xml:space="preserve"> the second </w:t>
      </w:r>
      <w:r w:rsidR="00E07067">
        <w:t>difference between Avista’s and</w:t>
      </w:r>
      <w:r>
        <w:t xml:space="preserve"> Staff’s attrition stud</w:t>
      </w:r>
      <w:r w:rsidR="00E07067">
        <w:t>ies</w:t>
      </w:r>
      <w:r>
        <w:t>, the evaluation of rate base components on a more granular level.</w:t>
      </w:r>
    </w:p>
    <w:p w14:paraId="677B49ED" w14:textId="4E37E037" w:rsidR="00955CEF" w:rsidRDefault="00955CEF" w:rsidP="00955CEF">
      <w:pPr>
        <w:pStyle w:val="NoSpacing"/>
      </w:pPr>
      <w:r>
        <w:t>A.</w:t>
      </w:r>
      <w:r>
        <w:tab/>
        <w:t>The Company uses a single growth factor for all Net Plant</w:t>
      </w:r>
      <w:r w:rsidR="008D350A">
        <w:t xml:space="preserve"> (After DFIT)</w:t>
      </w:r>
      <w:r>
        <w:t xml:space="preserve"> components.  For example, the growth factor used for Transmisison Plant in Service is the same growth factor used for Distribution Plant in Service, despite the fact that these individual components are growing at different rates.  This is</w:t>
      </w:r>
      <w:r w:rsidR="008D350A">
        <w:t>, however,</w:t>
      </w:r>
      <w:r>
        <w:t xml:space="preserve"> consistent with the approach taken by Staff and </w:t>
      </w:r>
      <w:r w:rsidR="00E07067">
        <w:t xml:space="preserve">accepted by </w:t>
      </w:r>
      <w:r>
        <w:t xml:space="preserve">Avista on rebuttal in the </w:t>
      </w:r>
      <w:r w:rsidR="00E07067">
        <w:t xml:space="preserve">2015 </w:t>
      </w:r>
      <w:r>
        <w:t>rate case.</w:t>
      </w:r>
    </w:p>
    <w:p w14:paraId="7FCFFC42" w14:textId="377A892C" w:rsidR="00955CEF" w:rsidRDefault="00955CEF" w:rsidP="00955CEF">
      <w:pPr>
        <w:pStyle w:val="NoSpacing"/>
      </w:pPr>
      <w:r>
        <w:tab/>
      </w:r>
      <w:r>
        <w:tab/>
        <w:t xml:space="preserve">In this case, Staff develops unique escalation factors for each of these elements.  </w:t>
      </w:r>
      <w:r w:rsidR="00E07067">
        <w:t xml:space="preserve">In making this </w:t>
      </w:r>
      <w:r w:rsidR="00E07067" w:rsidRPr="00C24B4E">
        <w:t xml:space="preserve">change, the Commission can evaluate the growth in rate base components individually. </w:t>
      </w:r>
      <w:r w:rsidRPr="00C24B4E">
        <w:t xml:space="preserve">For the 2017 and 2018 electric attrition models, this can be seen on page </w:t>
      </w:r>
      <w:r w:rsidR="00C24B4E" w:rsidRPr="00C24B4E">
        <w:t>2</w:t>
      </w:r>
      <w:r w:rsidRPr="00C24B4E">
        <w:t>, at lines 32 through 45, in Exhibit</w:t>
      </w:r>
      <w:r w:rsidR="00AC7A20" w:rsidRPr="00C24B4E">
        <w:t xml:space="preserve"> No</w:t>
      </w:r>
      <w:r w:rsidRPr="00C24B4E">
        <w:t>s</w:t>
      </w:r>
      <w:r w:rsidR="00AC7A20" w:rsidRPr="00C24B4E">
        <w:t>.</w:t>
      </w:r>
      <w:r w:rsidRPr="00C24B4E">
        <w:t xml:space="preserve"> CSH-</w:t>
      </w:r>
      <w:r w:rsidR="00C24B4E" w:rsidRPr="00C24B4E">
        <w:t>4</w:t>
      </w:r>
      <w:r w:rsidRPr="00C24B4E">
        <w:t xml:space="preserve"> and CSH-</w:t>
      </w:r>
      <w:r w:rsidR="00C24B4E" w:rsidRPr="00C24B4E">
        <w:t>6</w:t>
      </w:r>
      <w:r w:rsidRPr="00C24B4E">
        <w:t xml:space="preserve">.  For the 2017 and 2018 natural gas models, this can be seen on page </w:t>
      </w:r>
      <w:r w:rsidR="00C24B4E" w:rsidRPr="00C24B4E">
        <w:t>2</w:t>
      </w:r>
      <w:r w:rsidRPr="00C24B4E">
        <w:t xml:space="preserve">, lines </w:t>
      </w:r>
      <w:r w:rsidR="00C24B4E" w:rsidRPr="00C24B4E">
        <w:t>32</w:t>
      </w:r>
      <w:r w:rsidRPr="00C24B4E">
        <w:t xml:space="preserve"> through </w:t>
      </w:r>
      <w:r w:rsidR="00C24B4E" w:rsidRPr="00C24B4E">
        <w:t>41</w:t>
      </w:r>
      <w:r w:rsidRPr="00C24B4E">
        <w:t>, in Exhibit</w:t>
      </w:r>
      <w:r w:rsidR="00AC7A20" w:rsidRPr="00C24B4E">
        <w:t xml:space="preserve"> No</w:t>
      </w:r>
      <w:r w:rsidRPr="00C24B4E">
        <w:t>s</w:t>
      </w:r>
      <w:r w:rsidR="00AC7A20" w:rsidRPr="00C24B4E">
        <w:t>.</w:t>
      </w:r>
      <w:r w:rsidRPr="00C24B4E">
        <w:t xml:space="preserve"> CSH-</w:t>
      </w:r>
      <w:r w:rsidR="00C24B4E" w:rsidRPr="00C24B4E">
        <w:t>5</w:t>
      </w:r>
      <w:r w:rsidRPr="00C24B4E">
        <w:t xml:space="preserve"> and CSH-</w:t>
      </w:r>
      <w:r w:rsidR="00C24B4E" w:rsidRPr="00C24B4E">
        <w:t>7</w:t>
      </w:r>
      <w:r w:rsidRPr="00C24B4E">
        <w:t xml:space="preserve">.  </w:t>
      </w:r>
    </w:p>
    <w:p w14:paraId="4E3E1EC7" w14:textId="76ECCF37" w:rsidR="00BE3001" w:rsidRDefault="00955CEF" w:rsidP="007D1500">
      <w:pPr>
        <w:pStyle w:val="NoSpacing"/>
        <w:ind w:firstLine="720"/>
      </w:pPr>
      <w:r>
        <w:lastRenderedPageBreak/>
        <w:t xml:space="preserve">This step is helpful because it informs later analysis in the growth of particular types of rate base </w:t>
      </w:r>
      <w:r w:rsidR="000C5D43">
        <w:t>–</w:t>
      </w:r>
      <w:r>
        <w:t xml:space="preserve"> for example, allowing </w:t>
      </w:r>
      <w:r w:rsidR="00BE3001">
        <w:t>the Commission</w:t>
      </w:r>
      <w:r>
        <w:t xml:space="preserve"> to view growth in distribution and production plant separately.  </w:t>
      </w:r>
      <w:r w:rsidR="00BE3001">
        <w:t xml:space="preserve">Rather than showing simply that Net Plant is increasing, Staff’s analysis shows the differing rates at which the components of Net Plant are increasing.  If the Commission finds that the Company has not justified escalation factors for some types of plant </w:t>
      </w:r>
      <w:r w:rsidR="002C016E">
        <w:t>–</w:t>
      </w:r>
      <w:r w:rsidR="00BE3001">
        <w:t xml:space="preserve"> as it did for electric distribution plant in Avista’s previous rate case </w:t>
      </w:r>
      <w:r w:rsidR="002C016E">
        <w:t>–</w:t>
      </w:r>
      <w:r w:rsidR="00BE3001">
        <w:t xml:space="preserve"> it may “zero out” the escalation of those types of plant, while retaining escalation rates that more appropriately reflect the anticipated growth for the remaining rate base elements.</w:t>
      </w:r>
      <w:r w:rsidR="0061190B">
        <w:rPr>
          <w:rStyle w:val="FootnoteReference"/>
        </w:rPr>
        <w:footnoteReference w:id="35"/>
      </w:r>
    </w:p>
    <w:p w14:paraId="478B0320" w14:textId="3F76BC6A" w:rsidR="00EE1ACE" w:rsidRDefault="00BE3001" w:rsidP="00EE1ACE">
      <w:pPr>
        <w:pStyle w:val="NoSpacing"/>
        <w:ind w:firstLine="720"/>
      </w:pPr>
      <w:r>
        <w:t>Staff’s more granular approach is also statistically valid.</w:t>
      </w:r>
      <w:r w:rsidR="00955CEF">
        <w:t xml:space="preserve"> </w:t>
      </w:r>
      <w:r>
        <w:t>T</w:t>
      </w:r>
      <w:r w:rsidR="00955CEF">
        <w:t>he resulting escalation factors are derived from lines-of-best-fit for</w:t>
      </w:r>
      <w:r w:rsidR="008D350A">
        <w:t xml:space="preserve"> each component of plant growth while ensuring that the explanatory variable remains statistically-significant.  </w:t>
      </w:r>
      <w:r w:rsidR="005B30F7">
        <w:t>Distribution plant is escalated in a manner that best reflects trends in distribution assets, and transmission plant is escalated in a manner that best reflects trends in transmission assets.</w:t>
      </w:r>
    </w:p>
    <w:p w14:paraId="44A0BA5B" w14:textId="02DE1AFA" w:rsidR="00955CEF" w:rsidRDefault="00EE1ACE" w:rsidP="00955CEF">
      <w:pPr>
        <w:pStyle w:val="NoSpacing"/>
        <w:ind w:firstLine="720"/>
      </w:pPr>
      <w:r>
        <w:t>Additionally, t</w:t>
      </w:r>
      <w:r w:rsidR="00955CEF">
        <w:t>he growth in production plant will be particular</w:t>
      </w:r>
      <w:r w:rsidR="00407BB2">
        <w:t>ly</w:t>
      </w:r>
      <w:r w:rsidR="00955CEF">
        <w:t xml:space="preserve"> helpful in the consideration of</w:t>
      </w:r>
      <w:r>
        <w:t xml:space="preserve"> a </w:t>
      </w:r>
      <w:r>
        <w:rPr>
          <w:i/>
        </w:rPr>
        <w:t>pro forma</w:t>
      </w:r>
      <w:r>
        <w:t xml:space="preserve"> adjustment to the attrition study</w:t>
      </w:r>
      <w:r w:rsidR="00BE3001">
        <w:t xml:space="preserve"> as Avista proposed, and which I</w:t>
      </w:r>
      <w:r w:rsidR="00955CEF">
        <w:t xml:space="preserve"> discuss later in </w:t>
      </w:r>
      <w:r w:rsidR="00BE3001">
        <w:t>my</w:t>
      </w:r>
      <w:r w:rsidR="00955CEF">
        <w:t xml:space="preserve"> testimony.</w:t>
      </w:r>
      <w:r w:rsidR="00FD7EF7">
        <w:rPr>
          <w:rStyle w:val="FootnoteReference"/>
        </w:rPr>
        <w:footnoteReference w:id="36"/>
      </w:r>
    </w:p>
    <w:p w14:paraId="651A0ED2" w14:textId="77777777" w:rsidR="00955CEF" w:rsidRDefault="00955CEF" w:rsidP="00955CEF">
      <w:pPr>
        <w:pStyle w:val="NoSpacing"/>
      </w:pPr>
    </w:p>
    <w:p w14:paraId="637CB0C3" w14:textId="7E0DF5DD" w:rsidR="00CD3CBE" w:rsidRDefault="00CD3CBE" w:rsidP="00CD3CBE">
      <w:pPr>
        <w:pStyle w:val="Heading8"/>
      </w:pPr>
      <w:r>
        <w:t>Q.</w:t>
      </w:r>
      <w:r>
        <w:tab/>
        <w:t xml:space="preserve">Please comment </w:t>
      </w:r>
      <w:r w:rsidR="00FD7EF7">
        <w:t xml:space="preserve">on </w:t>
      </w:r>
      <w:r>
        <w:t xml:space="preserve">the </w:t>
      </w:r>
      <w:r w:rsidR="004F5D60">
        <w:t>third</w:t>
      </w:r>
      <w:r>
        <w:t xml:space="preserve"> </w:t>
      </w:r>
      <w:r w:rsidR="00BE3001">
        <w:t>difference</w:t>
      </w:r>
      <w:r>
        <w:t xml:space="preserve">, </w:t>
      </w:r>
      <w:r w:rsidR="004F5D60">
        <w:t>Staff’s analysis of</w:t>
      </w:r>
      <w:r>
        <w:t xml:space="preserve"> </w:t>
      </w:r>
      <w:r w:rsidR="004F5D60">
        <w:t>“</w:t>
      </w:r>
      <w:r>
        <w:t>After-Attrition Adjustments</w:t>
      </w:r>
      <w:r w:rsidR="004F5D60">
        <w:t>”</w:t>
      </w:r>
      <w:r>
        <w:t>.</w:t>
      </w:r>
    </w:p>
    <w:p w14:paraId="7E1EBD3C" w14:textId="5A9BFF33" w:rsidR="00CD3CBE" w:rsidRDefault="00CD3CBE" w:rsidP="00EA4652">
      <w:pPr>
        <w:pStyle w:val="NoSpacing"/>
      </w:pPr>
      <w:r w:rsidRPr="00EA4652">
        <w:lastRenderedPageBreak/>
        <w:t>A.</w:t>
      </w:r>
      <w:r w:rsidRPr="00EA4652">
        <w:tab/>
      </w:r>
      <w:r w:rsidR="00407BB2">
        <w:t>Staff find</w:t>
      </w:r>
      <w:r w:rsidR="00EA4652" w:rsidRPr="00EA4652">
        <w:t xml:space="preserve">s that the Company’s application of an After-Attrition </w:t>
      </w:r>
      <w:r w:rsidR="00CD10A7" w:rsidRPr="00EA4652">
        <w:t>A</w:t>
      </w:r>
      <w:r w:rsidR="00CD10A7">
        <w:t>djustment</w:t>
      </w:r>
      <w:r w:rsidR="00CD10A7" w:rsidRPr="00EA4652">
        <w:t xml:space="preserve"> </w:t>
      </w:r>
      <w:r w:rsidR="00EA4652" w:rsidRPr="00EA4652">
        <w:t xml:space="preserve">has room for improvement.  </w:t>
      </w:r>
      <w:r w:rsidR="00EA4652">
        <w:t>Additionally, Staff has recommendations on when and how such adjustments should be applied.  These topics are</w:t>
      </w:r>
      <w:r w:rsidRPr="00EA4652">
        <w:t xml:space="preserve"> discussed in greater detail </w:t>
      </w:r>
      <w:r w:rsidR="000045F7">
        <w:t>later in Section V</w:t>
      </w:r>
      <w:r w:rsidR="00271733">
        <w:t xml:space="preserve">, subsection </w:t>
      </w:r>
      <w:r w:rsidR="000045F7">
        <w:t>D of my</w:t>
      </w:r>
      <w:r w:rsidRPr="00EA4652">
        <w:t xml:space="preserve"> testimony.</w:t>
      </w:r>
    </w:p>
    <w:p w14:paraId="29A1013B" w14:textId="2BA21C67" w:rsidR="007B63C9" w:rsidRDefault="007B63C9" w:rsidP="00CD3CBE">
      <w:pPr>
        <w:spacing w:line="480" w:lineRule="auto"/>
        <w:rPr>
          <w:rFonts w:eastAsia="Times New Roman"/>
        </w:rPr>
      </w:pPr>
    </w:p>
    <w:p w14:paraId="64F0E6F4" w14:textId="2271860E" w:rsidR="00B173BB" w:rsidRDefault="007B63C9" w:rsidP="00B173BB">
      <w:pPr>
        <w:pStyle w:val="Heading8"/>
      </w:pPr>
      <w:r>
        <w:t>Q.</w:t>
      </w:r>
      <w:r>
        <w:tab/>
      </w:r>
      <w:r w:rsidR="00B173BB">
        <w:t xml:space="preserve">Please comment on the </w:t>
      </w:r>
      <w:r w:rsidR="00955CEF">
        <w:t>fourth</w:t>
      </w:r>
      <w:r w:rsidR="00BE3001">
        <w:t xml:space="preserve"> difference</w:t>
      </w:r>
      <w:r w:rsidR="00B173BB">
        <w:t>, the use of an escalation factor for Other Revenues</w:t>
      </w:r>
      <w:r w:rsidR="009611DE">
        <w:t xml:space="preserve"> in natural gas service</w:t>
      </w:r>
      <w:r w:rsidR="00B173BB">
        <w:t>.</w:t>
      </w:r>
    </w:p>
    <w:p w14:paraId="489CB937" w14:textId="2C0BDACD" w:rsidR="007B63C9" w:rsidRDefault="009611DE" w:rsidP="00B173BB">
      <w:pPr>
        <w:pStyle w:val="NoSpacing"/>
      </w:pPr>
      <w:r>
        <w:t>A.</w:t>
      </w:r>
      <w:r>
        <w:tab/>
        <w:t>In its natural gas attrition study model, t</w:t>
      </w:r>
      <w:r w:rsidR="007B63C9">
        <w:t>he Company does</w:t>
      </w:r>
      <w:r w:rsidR="00B173BB">
        <w:t xml:space="preserve"> not use an escalation factor for Other Revenues, and does</w:t>
      </w:r>
      <w:r w:rsidR="007B63C9">
        <w:t xml:space="preserve"> not </w:t>
      </w:r>
      <w:r w:rsidR="00BE3001">
        <w:t>explain</w:t>
      </w:r>
      <w:r w:rsidR="007B63C9">
        <w:t xml:space="preserve"> </w:t>
      </w:r>
      <w:r w:rsidR="00B173BB">
        <w:t>why</w:t>
      </w:r>
      <w:r w:rsidR="007B63C9">
        <w:t xml:space="preserve">.  However, </w:t>
      </w:r>
      <w:r w:rsidR="00BE3001">
        <w:t>Ms. Andrews’ attrition models note</w:t>
      </w:r>
      <w:r w:rsidR="007B63C9">
        <w:t xml:space="preserve"> “Escalation Factor not used due to irregular growth.”</w:t>
      </w:r>
      <w:r w:rsidR="007B63C9">
        <w:rPr>
          <w:rStyle w:val="FootnoteReference"/>
        </w:rPr>
        <w:footnoteReference w:id="37"/>
      </w:r>
      <w:r w:rsidR="00B173BB">
        <w:t xml:space="preserve">  </w:t>
      </w:r>
    </w:p>
    <w:p w14:paraId="3F7A5549" w14:textId="04E86FB7" w:rsidR="007B63C9" w:rsidRDefault="007B63C9" w:rsidP="00B173BB">
      <w:pPr>
        <w:pStyle w:val="NoSpacing"/>
      </w:pPr>
      <w:r>
        <w:tab/>
      </w:r>
      <w:r>
        <w:tab/>
      </w:r>
      <w:r w:rsidR="005D5CF9">
        <w:t>I</w:t>
      </w:r>
      <w:r>
        <w:t>t is indeed the case that the explanatory power of a linear regression model produced using the historical Other Revenues data is lower than that of virtually all other model</w:t>
      </w:r>
      <w:r w:rsidR="005D5CF9">
        <w:t>ed</w:t>
      </w:r>
      <w:r>
        <w:t xml:space="preserve"> escalation factors in the attrition model</w:t>
      </w:r>
      <w:r w:rsidR="005D5CF9">
        <w:t xml:space="preserve">. </w:t>
      </w:r>
      <w:r w:rsidR="004D3C1C">
        <w:t xml:space="preserve"> </w:t>
      </w:r>
      <w:r w:rsidR="005D5CF9">
        <w:t>However,</w:t>
      </w:r>
      <w:r>
        <w:t xml:space="preserve"> the lin</w:t>
      </w:r>
      <w:r w:rsidR="001446FC">
        <w:t>e</w:t>
      </w:r>
      <w:r>
        <w:t xml:space="preserve"> of</w:t>
      </w:r>
      <w:r w:rsidR="001446FC">
        <w:t xml:space="preserve"> </w:t>
      </w:r>
      <w:r>
        <w:t>best</w:t>
      </w:r>
      <w:r w:rsidR="001446FC">
        <w:t xml:space="preserve"> </w:t>
      </w:r>
      <w:r>
        <w:t xml:space="preserve">fit for Other Revenues – </w:t>
      </w:r>
      <w:r w:rsidR="009611DE">
        <w:t xml:space="preserve">only </w:t>
      </w:r>
      <w:r>
        <w:t>for</w:t>
      </w:r>
      <w:r w:rsidR="009611DE">
        <w:t xml:space="preserve"> natural gas service</w:t>
      </w:r>
      <w:r w:rsidR="00407BB2">
        <w:rPr>
          <w:rStyle w:val="FootnoteReference"/>
        </w:rPr>
        <w:footnoteReference w:id="38"/>
      </w:r>
      <w:r w:rsidR="009611DE">
        <w:t xml:space="preserve"> </w:t>
      </w:r>
      <w:r>
        <w:t>– passes a standard test of statistical significance.  Staff found that the growth rate</w:t>
      </w:r>
      <w:r w:rsidR="007C32DB">
        <w:t xml:space="preserve"> in natural gas service</w:t>
      </w:r>
      <w:r>
        <w:t xml:space="preserve"> in Other Revenues is, statistically speaking, significantly different than zero.</w:t>
      </w:r>
      <w:r w:rsidR="000A02DF">
        <w:t xml:space="preserve">  </w:t>
      </w:r>
    </w:p>
    <w:p w14:paraId="7FDBE58F" w14:textId="10BB9914" w:rsidR="007C32DB" w:rsidRDefault="007B63C9" w:rsidP="00407BB2">
      <w:pPr>
        <w:pStyle w:val="NoSpacing"/>
      </w:pPr>
      <w:r>
        <w:tab/>
      </w:r>
      <w:r>
        <w:tab/>
        <w:t>Using an escalation factor on Other Revenues is therefore reasonable</w:t>
      </w:r>
      <w:r w:rsidR="00E972C3">
        <w:t xml:space="preserve"> and certainly more reasonable than assuming zero</w:t>
      </w:r>
      <w:r>
        <w:t>.  The escalation of Other Revenues has the effect of lowering the attrition allowance, because higher levels of Other Revenues are anticipated in the rate-effective period.</w:t>
      </w:r>
      <w:r w:rsidR="00407BB2" w:rsidDel="00407BB2">
        <w:t xml:space="preserve"> </w:t>
      </w:r>
    </w:p>
    <w:p w14:paraId="0F54A568" w14:textId="77777777" w:rsidR="007B63C9" w:rsidRDefault="007B63C9" w:rsidP="007B63C9">
      <w:pPr>
        <w:pStyle w:val="NoSpacing"/>
      </w:pPr>
    </w:p>
    <w:p w14:paraId="5A686E0B" w14:textId="07594F43" w:rsidR="00337393" w:rsidRDefault="00337393" w:rsidP="00337393">
      <w:pPr>
        <w:pStyle w:val="Heading8"/>
      </w:pPr>
      <w:r>
        <w:t>Q.</w:t>
      </w:r>
      <w:r>
        <w:tab/>
      </w:r>
      <w:r w:rsidR="00284401">
        <w:t xml:space="preserve">Please comment on the fifth </w:t>
      </w:r>
      <w:r w:rsidR="00E972C3">
        <w:t>difference</w:t>
      </w:r>
      <w:r w:rsidR="00284401">
        <w:t xml:space="preserve"> in Staff’s attrition study</w:t>
      </w:r>
      <w:r>
        <w:t>,</w:t>
      </w:r>
      <w:r w:rsidR="00284401">
        <w:t xml:space="preserve"> the use of a</w:t>
      </w:r>
      <w:r>
        <w:t xml:space="preserve"> mix of linear and polynomial lines-of-best-fit rather t</w:t>
      </w:r>
      <w:r w:rsidR="00284401">
        <w:t>han only polynomial functions.</w:t>
      </w:r>
    </w:p>
    <w:p w14:paraId="4D72A9B8" w14:textId="47805497" w:rsidR="007E1FAF" w:rsidRDefault="00337393" w:rsidP="00337393">
      <w:pPr>
        <w:pStyle w:val="NoSpacing"/>
      </w:pPr>
      <w:r>
        <w:t>A.</w:t>
      </w:r>
      <w:r>
        <w:tab/>
      </w:r>
      <w:r w:rsidR="007E1FAF">
        <w:t xml:space="preserve">In the last rate case, Staff (and later Avista) used linear lines-of-best-fit in the electric attrition model, and </w:t>
      </w:r>
      <w:r w:rsidR="003C592D">
        <w:t xml:space="preserve">second-order </w:t>
      </w:r>
      <w:r w:rsidR="007E1FAF">
        <w:t xml:space="preserve">polynomial lines-of-best-fit in the natural gas model.  </w:t>
      </w:r>
    </w:p>
    <w:p w14:paraId="244F03FB" w14:textId="577ACAB4" w:rsidR="007E1FAF" w:rsidRDefault="007E1FAF" w:rsidP="00337393">
      <w:pPr>
        <w:pStyle w:val="NoSpacing"/>
      </w:pPr>
      <w:r>
        <w:tab/>
      </w:r>
      <w:r>
        <w:tab/>
        <w:t xml:space="preserve">However, in this case, Staff sought not only to identify a line-of-best-fit that most closely approximated the historical data – </w:t>
      </w:r>
      <w:r w:rsidR="00D80BA4">
        <w:t>we</w:t>
      </w:r>
      <w:r>
        <w:t xml:space="preserve"> also sought to ensure </w:t>
      </w:r>
      <w:r w:rsidR="00D80BA4">
        <w:t>statistical significance in the</w:t>
      </w:r>
      <w:r>
        <w:t xml:space="preserve"> explanatory variables </w:t>
      </w:r>
      <w:r w:rsidR="00D80BA4">
        <w:t>t</w:t>
      </w:r>
      <w:r>
        <w:t>hat describe those lines</w:t>
      </w:r>
      <w:r w:rsidR="00D80BA4">
        <w:t>.</w:t>
      </w:r>
    </w:p>
    <w:p w14:paraId="29F08B60" w14:textId="6E61EA52" w:rsidR="00337393" w:rsidRDefault="00BA4C73" w:rsidP="007E1FAF">
      <w:pPr>
        <w:pStyle w:val="NoSpacing"/>
        <w:ind w:firstLine="720"/>
      </w:pPr>
      <w:r>
        <w:t xml:space="preserve">Staff chose in each instance the line that best approximated the historical data, </w:t>
      </w:r>
      <w:r w:rsidRPr="00B03D1A">
        <w:rPr>
          <w:u w:val="single"/>
        </w:rPr>
        <w:t>provided that the underlying variables were statistically significant</w:t>
      </w:r>
      <w:r>
        <w:t xml:space="preserve">.  In some circumstances, a polynomial line of best fit did </w:t>
      </w:r>
      <w:r w:rsidRPr="00670635">
        <w:rPr>
          <w:u w:val="single"/>
        </w:rPr>
        <w:t>not</w:t>
      </w:r>
      <w:r>
        <w:t xml:space="preserve"> have statistically-significant variables.  In these instances, </w:t>
      </w:r>
      <w:r w:rsidR="000E684A">
        <w:t xml:space="preserve">Staff used </w:t>
      </w:r>
      <w:r>
        <w:t xml:space="preserve">a linear function </w:t>
      </w:r>
      <w:r w:rsidR="000E684A">
        <w:t>to produce</w:t>
      </w:r>
      <w:r>
        <w:t xml:space="preserve"> the line of best fit, where the explanatory variable exhibited statistical significance.</w:t>
      </w:r>
      <w:r>
        <w:rPr>
          <w:rStyle w:val="FootnoteReference"/>
        </w:rPr>
        <w:footnoteReference w:id="39"/>
      </w:r>
    </w:p>
    <w:p w14:paraId="6206D1C9" w14:textId="41504C8E" w:rsidR="00BA4C73" w:rsidRDefault="00BA4C73" w:rsidP="00337393">
      <w:pPr>
        <w:pStyle w:val="NoSpacing"/>
      </w:pPr>
      <w:r>
        <w:tab/>
      </w:r>
      <w:r>
        <w:tab/>
        <w:t xml:space="preserve">These changes </w:t>
      </w:r>
      <w:r w:rsidR="00670635">
        <w:t xml:space="preserve">should </w:t>
      </w:r>
      <w:r>
        <w:t>provide for a more accurate estimat</w:t>
      </w:r>
      <w:r w:rsidR="00770E90">
        <w:t>e</w:t>
      </w:r>
      <w:r>
        <w:t xml:space="preserve"> of Avista’s operations in the rate-effective period.</w:t>
      </w:r>
    </w:p>
    <w:p w14:paraId="620C3B10" w14:textId="688BB779" w:rsidR="00CC7EF9" w:rsidRDefault="00CC7EF9" w:rsidP="00337393">
      <w:pPr>
        <w:pStyle w:val="NoSpacing"/>
      </w:pPr>
    </w:p>
    <w:p w14:paraId="10214CCB" w14:textId="31396E8F" w:rsidR="00CC7EF9" w:rsidRDefault="00CC7EF9" w:rsidP="00CC7EF9">
      <w:pPr>
        <w:pStyle w:val="Heading8"/>
      </w:pPr>
      <w:r>
        <w:t>Q.</w:t>
      </w:r>
      <w:r>
        <w:tab/>
        <w:t>Please comment on the sixth change, presenting customers with one rate increase rather than two.</w:t>
      </w:r>
    </w:p>
    <w:p w14:paraId="44093B6C" w14:textId="1C1380C0" w:rsidR="00CC7EF9" w:rsidRDefault="00CC7EF9" w:rsidP="00337393">
      <w:pPr>
        <w:pStyle w:val="NoSpacing"/>
      </w:pPr>
      <w:r>
        <w:t>A.</w:t>
      </w:r>
      <w:r>
        <w:tab/>
      </w:r>
      <w:r w:rsidR="00BE6D77">
        <w:t>As noted previously, one rate increase rather than two is administratively less burdensome and more transparent for ratepayers</w:t>
      </w:r>
      <w:r w:rsidR="00770E90">
        <w:t>.</w:t>
      </w:r>
    </w:p>
    <w:p w14:paraId="5EB4C0F8" w14:textId="77777777" w:rsidR="00CC7EF9" w:rsidRDefault="00CC7EF9" w:rsidP="00337393">
      <w:pPr>
        <w:pStyle w:val="NoSpacing"/>
      </w:pPr>
    </w:p>
    <w:p w14:paraId="299F9051" w14:textId="4A4F2A1C" w:rsidR="00CC7EF9" w:rsidRDefault="00CC7EF9" w:rsidP="00CC7EF9">
      <w:pPr>
        <w:pStyle w:val="Heading8"/>
      </w:pPr>
      <w:r>
        <w:lastRenderedPageBreak/>
        <w:t>Q.</w:t>
      </w:r>
      <w:r>
        <w:tab/>
        <w:t xml:space="preserve">Please comment on the seventh change, a change </w:t>
      </w:r>
      <w:r w:rsidR="002A753B">
        <w:t>in the O&amp;M escalation rates</w:t>
      </w:r>
      <w:r>
        <w:t>.</w:t>
      </w:r>
    </w:p>
    <w:p w14:paraId="53549572" w14:textId="125B09F0" w:rsidR="00CC7EF9" w:rsidRDefault="00CC7EF9" w:rsidP="00337393">
      <w:pPr>
        <w:pStyle w:val="NoSpacing"/>
      </w:pPr>
      <w:r>
        <w:t>A.</w:t>
      </w:r>
      <w:r>
        <w:tab/>
      </w:r>
      <w:r w:rsidR="002A753B">
        <w:t xml:space="preserve">Staff finds several compelling reasons to diverge from the trend </w:t>
      </w:r>
      <w:r w:rsidR="00770E90">
        <w:t>in</w:t>
      </w:r>
      <w:r w:rsidR="00EA20E1">
        <w:t xml:space="preserve"> </w:t>
      </w:r>
      <w:r w:rsidR="002A753B">
        <w:t>the historical growth rate over the 2007-2015 period.  These reasons are anchored in recent Commission decisions, the Company’s own testimony, and utility industry measures of growth in costs.</w:t>
      </w:r>
      <w:r w:rsidR="00770E90">
        <w:t xml:space="preserve"> The result is to combine both Avista’s trended expense growth with a reasonable, independent analysis of expense trends in the utility industry generally. </w:t>
      </w:r>
    </w:p>
    <w:p w14:paraId="731CCA28" w14:textId="77777777" w:rsidR="002A753B" w:rsidRDefault="002A753B" w:rsidP="00337393">
      <w:pPr>
        <w:pStyle w:val="NoSpacing"/>
      </w:pPr>
    </w:p>
    <w:p w14:paraId="1D1C863E" w14:textId="4998FB34" w:rsidR="002A753B" w:rsidRDefault="002A753B" w:rsidP="002A753B">
      <w:pPr>
        <w:pStyle w:val="Heading8"/>
      </w:pPr>
      <w:r>
        <w:t>Q.</w:t>
      </w:r>
      <w:r>
        <w:tab/>
        <w:t>Please comment on the eight</w:t>
      </w:r>
      <w:r w:rsidR="005E7E1D">
        <w:t>h</w:t>
      </w:r>
      <w:r>
        <w:t xml:space="preserve"> change, the presentation of an</w:t>
      </w:r>
      <w:r w:rsidRPr="002A753B">
        <w:t xml:space="preserve"> attrition allowance as an adjustment to the modified historical test year.</w:t>
      </w:r>
    </w:p>
    <w:p w14:paraId="709BA7A5" w14:textId="04B603CC" w:rsidR="002A753B" w:rsidRDefault="002A753B" w:rsidP="00337393">
      <w:pPr>
        <w:pStyle w:val="NoSpacing"/>
      </w:pPr>
      <w:r>
        <w:t>A.</w:t>
      </w:r>
      <w:r>
        <w:tab/>
        <w:t xml:space="preserve">Staff makes this change </w:t>
      </w:r>
      <w:r w:rsidR="0027362D">
        <w:t>because</w:t>
      </w:r>
      <w:r>
        <w:t xml:space="preserve"> </w:t>
      </w:r>
      <w:r w:rsidR="00770E90">
        <w:t xml:space="preserve">documenting the adjustment with the modified historical test year </w:t>
      </w:r>
      <w:r>
        <w:t xml:space="preserve">more clearly presents an attrition allowance as an adjustment to the traditional ratemaking method.  </w:t>
      </w:r>
    </w:p>
    <w:p w14:paraId="0863F108" w14:textId="77777777" w:rsidR="002A753B" w:rsidRDefault="002A753B" w:rsidP="00337393">
      <w:pPr>
        <w:pStyle w:val="NoSpacing"/>
      </w:pPr>
    </w:p>
    <w:p w14:paraId="428F7472" w14:textId="77777777" w:rsidR="00E972C3" w:rsidRDefault="00E972C3" w:rsidP="00337393">
      <w:pPr>
        <w:pStyle w:val="NoSpacing"/>
      </w:pPr>
    </w:p>
    <w:p w14:paraId="4167900E" w14:textId="57C81676" w:rsidR="00E972C3" w:rsidRDefault="00BE6D77" w:rsidP="001243CD">
      <w:pPr>
        <w:pStyle w:val="Heading2"/>
        <w:numPr>
          <w:ilvl w:val="0"/>
          <w:numId w:val="37"/>
        </w:numPr>
      </w:pPr>
      <w:bookmarkStart w:id="29" w:name="_Toc459042401"/>
      <w:r>
        <w:t xml:space="preserve">Overview </w:t>
      </w:r>
      <w:r w:rsidR="002F3889">
        <w:t xml:space="preserve">of the </w:t>
      </w:r>
      <w:r w:rsidR="00E972C3" w:rsidRPr="00A57891">
        <w:t>Results of Staff’s Attrition Study</w:t>
      </w:r>
      <w:bookmarkEnd w:id="29"/>
    </w:p>
    <w:p w14:paraId="5C6E4E16" w14:textId="4DFD2976" w:rsidR="00A57891" w:rsidRPr="00BE6D77" w:rsidRDefault="00BE6D77" w:rsidP="00DF4111">
      <w:pPr>
        <w:pStyle w:val="NoSpacing"/>
        <w:numPr>
          <w:ilvl w:val="0"/>
          <w:numId w:val="43"/>
        </w:numPr>
        <w:rPr>
          <w:b/>
        </w:rPr>
      </w:pPr>
      <w:r w:rsidRPr="00BE6D77">
        <w:rPr>
          <w:b/>
        </w:rPr>
        <w:t>Rate Base</w:t>
      </w:r>
    </w:p>
    <w:p w14:paraId="5640AF63" w14:textId="7B44DD82" w:rsidR="00E972C3" w:rsidRPr="00E972C3" w:rsidRDefault="00E972C3" w:rsidP="00A57891">
      <w:pPr>
        <w:pStyle w:val="Heading8"/>
      </w:pPr>
      <w:r w:rsidRPr="00E972C3">
        <w:t xml:space="preserve">Q. </w:t>
      </w:r>
      <w:r w:rsidRPr="00E972C3">
        <w:tab/>
        <w:t xml:space="preserve">Please summarize Staff’s analysis and conclusions for rate base. </w:t>
      </w:r>
    </w:p>
    <w:p w14:paraId="494CFABE" w14:textId="4966475C" w:rsidR="00E972C3" w:rsidRDefault="00E972C3" w:rsidP="00E972C3">
      <w:pPr>
        <w:pStyle w:val="NoSpacing"/>
      </w:pPr>
      <w:r>
        <w:t>A.</w:t>
      </w:r>
      <w:r>
        <w:tab/>
        <w:t xml:space="preserve">As </w:t>
      </w:r>
      <w:r w:rsidR="002D14C7">
        <w:t>previously noted</w:t>
      </w:r>
      <w:r>
        <w:t xml:space="preserve">, Staff analyzed rate base on a </w:t>
      </w:r>
      <w:r w:rsidR="00A57891">
        <w:t xml:space="preserve">more </w:t>
      </w:r>
      <w:r>
        <w:t>granular level</w:t>
      </w:r>
      <w:r w:rsidR="00A57891">
        <w:t xml:space="preserve"> than the Company’s analysis</w:t>
      </w:r>
      <w:r>
        <w:t>.</w:t>
      </w:r>
      <w:r w:rsidR="00A57891">
        <w:t xml:space="preserve"> </w:t>
      </w:r>
      <w:r>
        <w:t xml:space="preserve"> I analyzed growth rates for rate base subcomponents and then calculated best fit functions and escalation factors for each of those subcomponents. Staff’s attrition rate base figure is the sum of projected totals for each of those </w:t>
      </w:r>
      <w:r>
        <w:lastRenderedPageBreak/>
        <w:t>subcomponents</w:t>
      </w:r>
      <w:r w:rsidR="00A57891">
        <w:t>.  A comparison of Staff’s analysis</w:t>
      </w:r>
      <w:r w:rsidR="002D14C7">
        <w:t xml:space="preserve"> of rate base growth</w:t>
      </w:r>
      <w:r w:rsidR="00A57891">
        <w:t xml:space="preserve"> and</w:t>
      </w:r>
      <w:r w:rsidR="002D14C7">
        <w:t xml:space="preserve"> that of</w:t>
      </w:r>
      <w:r w:rsidR="00A57891">
        <w:t xml:space="preserve"> the Company’s is</w:t>
      </w:r>
      <w:r w:rsidR="002D14C7">
        <w:t xml:space="preserve"> displayed</w:t>
      </w:r>
      <w:r w:rsidR="00A57891">
        <w:t xml:space="preserve"> below.</w:t>
      </w:r>
      <w:r w:rsidR="004272F8">
        <w:rPr>
          <w:rStyle w:val="FootnoteReference"/>
        </w:rPr>
        <w:footnoteReference w:id="40"/>
      </w:r>
    </w:p>
    <w:p w14:paraId="79B1DA06" w14:textId="77777777" w:rsidR="00A57891" w:rsidRDefault="00A57891" w:rsidP="00E972C3">
      <w:pPr>
        <w:pStyle w:val="NoSpacing"/>
      </w:pPr>
    </w:p>
    <w:p w14:paraId="2B8B5441" w14:textId="31BF0FFB" w:rsidR="00374F45" w:rsidRPr="00374F45" w:rsidRDefault="00374F45" w:rsidP="00374F45">
      <w:pPr>
        <w:pStyle w:val="NoSpacing"/>
        <w:keepNext/>
        <w:keepLines/>
        <w:spacing w:line="240" w:lineRule="auto"/>
        <w:jc w:val="center"/>
        <w:rPr>
          <w:b/>
        </w:rPr>
      </w:pPr>
      <w:r w:rsidRPr="00F3284B">
        <w:rPr>
          <w:b/>
        </w:rPr>
        <w:t xml:space="preserve">Table </w:t>
      </w:r>
      <w:r w:rsidR="00CB1F0F">
        <w:rPr>
          <w:b/>
        </w:rPr>
        <w:t>2</w:t>
      </w:r>
    </w:p>
    <w:p w14:paraId="441DD382" w14:textId="66EEDF08" w:rsidR="00374F45" w:rsidRDefault="00374F45" w:rsidP="00374F45">
      <w:pPr>
        <w:pStyle w:val="NoSpacing"/>
        <w:keepNext/>
        <w:keepLines/>
        <w:spacing w:line="240" w:lineRule="auto"/>
        <w:jc w:val="center"/>
      </w:pPr>
      <w:r w:rsidRPr="00374F45">
        <w:rPr>
          <w:noProof/>
        </w:rPr>
        <w:drawing>
          <wp:inline distT="0" distB="0" distL="0" distR="0" wp14:anchorId="622793D0" wp14:editId="619B89CC">
            <wp:extent cx="5669280" cy="544608"/>
            <wp:effectExtent l="0" t="0" r="0"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280" cy="544608"/>
                    </a:xfrm>
                    <a:prstGeom prst="rect">
                      <a:avLst/>
                    </a:prstGeom>
                    <a:noFill/>
                    <a:ln>
                      <a:noFill/>
                    </a:ln>
                  </pic:spPr>
                </pic:pic>
              </a:graphicData>
            </a:graphic>
          </wp:inline>
        </w:drawing>
      </w:r>
    </w:p>
    <w:p w14:paraId="27CFB8BC" w14:textId="77777777" w:rsidR="00374F45" w:rsidRDefault="00374F45" w:rsidP="00E972C3">
      <w:pPr>
        <w:pStyle w:val="NoSpacing"/>
      </w:pPr>
    </w:p>
    <w:p w14:paraId="2FC2CB37" w14:textId="2714F2A7" w:rsidR="00374F45" w:rsidRPr="00374F45" w:rsidRDefault="00F3284B" w:rsidP="00F3284B">
      <w:pPr>
        <w:pStyle w:val="NoSpacing"/>
        <w:keepNext/>
        <w:keepLines/>
        <w:tabs>
          <w:tab w:val="left" w:pos="3990"/>
          <w:tab w:val="center" w:pos="4464"/>
        </w:tabs>
        <w:spacing w:line="240" w:lineRule="auto"/>
        <w:rPr>
          <w:b/>
        </w:rPr>
      </w:pPr>
      <w:r w:rsidRPr="00F3284B">
        <w:rPr>
          <w:b/>
        </w:rPr>
        <w:tab/>
      </w:r>
      <w:r w:rsidRPr="00F3284B">
        <w:rPr>
          <w:b/>
        </w:rPr>
        <w:tab/>
      </w:r>
      <w:r w:rsidR="00374F45" w:rsidRPr="00F3284B">
        <w:rPr>
          <w:b/>
        </w:rPr>
        <w:t xml:space="preserve">Table </w:t>
      </w:r>
      <w:r w:rsidR="00CB1F0F" w:rsidRPr="00F3284B">
        <w:rPr>
          <w:b/>
        </w:rPr>
        <w:t>3</w:t>
      </w:r>
    </w:p>
    <w:p w14:paraId="57DE32DF" w14:textId="51E4CFD6" w:rsidR="00374F45" w:rsidRDefault="00814D85" w:rsidP="00374F45">
      <w:pPr>
        <w:pStyle w:val="NoSpacing"/>
        <w:keepNext/>
        <w:keepLines/>
        <w:spacing w:line="240" w:lineRule="auto"/>
        <w:jc w:val="center"/>
      </w:pPr>
      <w:r w:rsidRPr="00814D85">
        <w:rPr>
          <w:noProof/>
        </w:rPr>
        <w:drawing>
          <wp:inline distT="0" distB="0" distL="0" distR="0" wp14:anchorId="40B3AED5" wp14:editId="05CCABB1">
            <wp:extent cx="5669280" cy="548064"/>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280" cy="548064"/>
                    </a:xfrm>
                    <a:prstGeom prst="rect">
                      <a:avLst/>
                    </a:prstGeom>
                    <a:noFill/>
                    <a:ln>
                      <a:noFill/>
                    </a:ln>
                  </pic:spPr>
                </pic:pic>
              </a:graphicData>
            </a:graphic>
          </wp:inline>
        </w:drawing>
      </w:r>
    </w:p>
    <w:p w14:paraId="7C561F95" w14:textId="77777777" w:rsidR="00DB5E58" w:rsidRDefault="00DB5E58" w:rsidP="00E972C3">
      <w:pPr>
        <w:pStyle w:val="NoSpacing"/>
      </w:pPr>
    </w:p>
    <w:p w14:paraId="01048452" w14:textId="16BD19A1" w:rsidR="00E972C3" w:rsidRPr="00BE6D77" w:rsidRDefault="00BE6D77" w:rsidP="00DF4111">
      <w:pPr>
        <w:pStyle w:val="NoSpacing"/>
        <w:numPr>
          <w:ilvl w:val="0"/>
          <w:numId w:val="43"/>
        </w:numPr>
        <w:rPr>
          <w:b/>
        </w:rPr>
      </w:pPr>
      <w:r w:rsidRPr="00BE6D77">
        <w:rPr>
          <w:b/>
        </w:rPr>
        <w:t>Expenses</w:t>
      </w:r>
    </w:p>
    <w:p w14:paraId="653AD306" w14:textId="35CBF2EC" w:rsidR="0040130E" w:rsidRDefault="0040130E" w:rsidP="0040130E">
      <w:pPr>
        <w:pStyle w:val="Heading8"/>
      </w:pPr>
      <w:bookmarkStart w:id="30" w:name="AfterAttriAdj"/>
      <w:r>
        <w:t>Q.</w:t>
      </w:r>
      <w:r>
        <w:tab/>
        <w:t xml:space="preserve">Please </w:t>
      </w:r>
      <w:r w:rsidR="00BA7303">
        <w:t>summarize Staff’s analysis and conclusions for expenses</w:t>
      </w:r>
      <w:r>
        <w:t>.</w:t>
      </w:r>
    </w:p>
    <w:p w14:paraId="1B47E37A" w14:textId="03061628" w:rsidR="0040130E" w:rsidRDefault="0040130E" w:rsidP="00BA7303">
      <w:pPr>
        <w:spacing w:line="480" w:lineRule="auto"/>
        <w:ind w:left="720" w:hanging="720"/>
        <w:rPr>
          <w:rFonts w:eastAsia="Times New Roman"/>
        </w:rPr>
      </w:pPr>
      <w:r>
        <w:rPr>
          <w:rFonts w:eastAsia="Times New Roman"/>
        </w:rPr>
        <w:t>A.</w:t>
      </w:r>
      <w:r>
        <w:rPr>
          <w:rFonts w:eastAsia="Times New Roman"/>
        </w:rPr>
        <w:tab/>
      </w:r>
      <w:r w:rsidR="00BA7303">
        <w:rPr>
          <w:rFonts w:eastAsia="Times New Roman"/>
        </w:rPr>
        <w:t xml:space="preserve">Staff’s analysis shows that expenses are a significant driver of </w:t>
      </w:r>
      <w:r w:rsidR="00770E90">
        <w:rPr>
          <w:rFonts w:eastAsia="Times New Roman"/>
        </w:rPr>
        <w:t xml:space="preserve">Avista’s </w:t>
      </w:r>
      <w:r w:rsidR="00BA7303">
        <w:rPr>
          <w:rFonts w:eastAsia="Times New Roman"/>
        </w:rPr>
        <w:t>attrition.</w:t>
      </w:r>
      <w:r>
        <w:rPr>
          <w:rFonts w:eastAsia="Times New Roman"/>
        </w:rPr>
        <w:t xml:space="preserve"> </w:t>
      </w:r>
      <w:r w:rsidR="00BA7303">
        <w:rPr>
          <w:rFonts w:eastAsia="Times New Roman"/>
        </w:rPr>
        <w:t xml:space="preserve"> </w:t>
      </w:r>
      <w:r w:rsidR="007E7A33">
        <w:rPr>
          <w:rFonts w:eastAsia="Times New Roman"/>
        </w:rPr>
        <w:t>T</w:t>
      </w:r>
      <w:r w:rsidR="00BA7303">
        <w:rPr>
          <w:rFonts w:eastAsia="Times New Roman"/>
        </w:rPr>
        <w:t>he modified historical test year is likely to understate the expenses the Company will incur during the rate-effective period</w:t>
      </w:r>
      <w:r w:rsidR="007E7A33">
        <w:rPr>
          <w:rFonts w:eastAsia="Times New Roman"/>
        </w:rPr>
        <w:t>.</w:t>
      </w:r>
      <w:r w:rsidR="00BA7303">
        <w:rPr>
          <w:rFonts w:eastAsia="Times New Roman"/>
        </w:rPr>
        <w:t xml:space="preserve"> </w:t>
      </w:r>
      <w:r w:rsidR="007E7A33">
        <w:rPr>
          <w:rFonts w:eastAsia="Times New Roman"/>
        </w:rPr>
        <w:t>T</w:t>
      </w:r>
      <w:r w:rsidR="00BA7303">
        <w:rPr>
          <w:rFonts w:eastAsia="Times New Roman"/>
        </w:rPr>
        <w:t xml:space="preserve">he Company’s expenses </w:t>
      </w:r>
      <w:r w:rsidR="007E7A33">
        <w:rPr>
          <w:rFonts w:eastAsia="Times New Roman"/>
        </w:rPr>
        <w:t xml:space="preserve">are also </w:t>
      </w:r>
      <w:r w:rsidR="00BA7303">
        <w:rPr>
          <w:rFonts w:eastAsia="Times New Roman"/>
        </w:rPr>
        <w:t>grow</w:t>
      </w:r>
      <w:r w:rsidR="007E7A33">
        <w:rPr>
          <w:rFonts w:eastAsia="Times New Roman"/>
        </w:rPr>
        <w:t>ing</w:t>
      </w:r>
      <w:r w:rsidR="00BA7303">
        <w:rPr>
          <w:rFonts w:eastAsia="Times New Roman"/>
        </w:rPr>
        <w:t xml:space="preserve"> at a rate higher than broad measures of utility costs</w:t>
      </w:r>
      <w:r w:rsidR="00BA7303" w:rsidRPr="00BA7303">
        <w:rPr>
          <w:rFonts w:eastAsia="Times New Roman"/>
        </w:rPr>
        <w:t xml:space="preserve"> </w:t>
      </w:r>
      <w:r w:rsidR="00BA7303">
        <w:rPr>
          <w:rFonts w:eastAsia="Times New Roman"/>
        </w:rPr>
        <w:t xml:space="preserve">over the 2007-2015 historical period, and the Company’s recent and proven efforts at reducing O&amp;M costs are consistent with broad measures of utility costs.  </w:t>
      </w:r>
    </w:p>
    <w:p w14:paraId="6780B853" w14:textId="77777777" w:rsidR="0040549B" w:rsidRDefault="0040549B" w:rsidP="0040130E">
      <w:pPr>
        <w:spacing w:line="480" w:lineRule="auto"/>
        <w:ind w:left="720" w:hanging="720"/>
        <w:rPr>
          <w:rFonts w:eastAsia="Times New Roman"/>
        </w:rPr>
      </w:pPr>
    </w:p>
    <w:p w14:paraId="19D47645" w14:textId="50605776" w:rsidR="0040549B" w:rsidRPr="0040549B" w:rsidRDefault="0040549B" w:rsidP="0040130E">
      <w:pPr>
        <w:spacing w:line="480" w:lineRule="auto"/>
        <w:rPr>
          <w:rFonts w:eastAsia="Times New Roman"/>
          <w:b/>
        </w:rPr>
      </w:pPr>
      <w:r w:rsidRPr="0040549B">
        <w:rPr>
          <w:rFonts w:eastAsia="Times New Roman"/>
          <w:b/>
        </w:rPr>
        <w:t xml:space="preserve">Q. </w:t>
      </w:r>
      <w:r w:rsidRPr="0040549B">
        <w:rPr>
          <w:rFonts w:eastAsia="Times New Roman"/>
          <w:b/>
        </w:rPr>
        <w:tab/>
        <w:t>Is there relevant history for escalating Avista’s O&amp;M expenses?</w:t>
      </w:r>
    </w:p>
    <w:p w14:paraId="7C64FC25" w14:textId="0D3C8601" w:rsidR="00FF72AF" w:rsidRDefault="0040549B" w:rsidP="00FF72AF">
      <w:pPr>
        <w:pStyle w:val="NoSpacing"/>
      </w:pPr>
      <w:r>
        <w:t>A.</w:t>
      </w:r>
      <w:r>
        <w:tab/>
        <w:t xml:space="preserve">Yes. </w:t>
      </w:r>
      <w:r w:rsidR="001243CD">
        <w:t xml:space="preserve"> </w:t>
      </w:r>
      <w:r>
        <w:t xml:space="preserve">The appropriate rate to use for these expenses was a matter of debate in Avista’s most recent rate case, due to a belief that the growth rate of these expenses </w:t>
      </w:r>
      <w:r>
        <w:lastRenderedPageBreak/>
        <w:t>had a fundamental change beginning in 2013.  Ultimately, the Commission authorized an attrition adjustment consistent with one that uses a blended rate for O&amp;M Expense growth.  That blended rate was calculated as the arithmetic average of the trends from 2007 to 2014, and the rate from 2013 to 2014.</w:t>
      </w:r>
      <w:r>
        <w:rPr>
          <w:rStyle w:val="FootnoteReference"/>
        </w:rPr>
        <w:footnoteReference w:id="41"/>
      </w:r>
      <w:r w:rsidR="0027362D">
        <w:t xml:space="preserve">  Staff adopts a similar approach in this case.</w:t>
      </w:r>
    </w:p>
    <w:p w14:paraId="3DDF393B" w14:textId="77777777" w:rsidR="00DB5E58" w:rsidRDefault="00DB5E58" w:rsidP="00FF72AF">
      <w:pPr>
        <w:pStyle w:val="NoSpacing"/>
      </w:pPr>
    </w:p>
    <w:p w14:paraId="6356CE3B" w14:textId="7F09321F" w:rsidR="00FF72AF" w:rsidRPr="00DA418D" w:rsidRDefault="00DA418D" w:rsidP="00DF4111">
      <w:pPr>
        <w:pStyle w:val="NoSpacing"/>
        <w:numPr>
          <w:ilvl w:val="0"/>
          <w:numId w:val="43"/>
        </w:numPr>
        <w:rPr>
          <w:b/>
        </w:rPr>
      </w:pPr>
      <w:r w:rsidRPr="00DA418D">
        <w:rPr>
          <w:b/>
        </w:rPr>
        <w:t>Revenues</w:t>
      </w:r>
    </w:p>
    <w:p w14:paraId="28896B44" w14:textId="492A16BF" w:rsidR="0040549B" w:rsidRDefault="0040549B" w:rsidP="0040549B">
      <w:pPr>
        <w:pStyle w:val="Heading8"/>
      </w:pPr>
      <w:r>
        <w:t>Q.</w:t>
      </w:r>
      <w:r>
        <w:tab/>
        <w:t>Has Staff reviewed the accuracy of the Company’s load forecasting?</w:t>
      </w:r>
    </w:p>
    <w:p w14:paraId="3AE4E3D9" w14:textId="13A087B3" w:rsidR="0040549B" w:rsidRDefault="0040549B" w:rsidP="0040549B">
      <w:pPr>
        <w:spacing w:line="480" w:lineRule="auto"/>
        <w:ind w:left="720" w:hanging="720"/>
        <w:rPr>
          <w:rFonts w:eastAsia="Times New Roman"/>
        </w:rPr>
      </w:pPr>
      <w:r w:rsidRPr="00FF72AF">
        <w:rPr>
          <w:rFonts w:eastAsia="Times New Roman"/>
        </w:rPr>
        <w:t>A.</w:t>
      </w:r>
      <w:r w:rsidRPr="00FF72AF">
        <w:rPr>
          <w:rFonts w:eastAsia="Times New Roman"/>
        </w:rPr>
        <w:tab/>
        <w:t xml:space="preserve">Yes.  </w:t>
      </w:r>
    </w:p>
    <w:p w14:paraId="772B6D16" w14:textId="77777777" w:rsidR="00FF72AF" w:rsidRDefault="00FF72AF" w:rsidP="00FF72AF">
      <w:pPr>
        <w:pStyle w:val="NoSpacing"/>
      </w:pPr>
    </w:p>
    <w:p w14:paraId="0C7513FC" w14:textId="77777777" w:rsidR="0040549B" w:rsidRDefault="0040549B" w:rsidP="0040549B">
      <w:pPr>
        <w:pStyle w:val="Heading8"/>
      </w:pPr>
      <w:r>
        <w:t>Q.</w:t>
      </w:r>
      <w:r>
        <w:tab/>
        <w:t>Why is it important to review the load forecasts produced by Avista?</w:t>
      </w:r>
    </w:p>
    <w:p w14:paraId="028C587B" w14:textId="4ECF2EE7" w:rsidR="0040549B" w:rsidRDefault="0040549B" w:rsidP="0040549B">
      <w:pPr>
        <w:pStyle w:val="NoSpacing"/>
      </w:pPr>
      <w:r>
        <w:t>A.</w:t>
      </w:r>
      <w:r>
        <w:tab/>
        <w:t>Avista uses its load forecasts to derive retail revenues for the rate-effective periods.  As noted by Ms. Andrews, this is the same approach used by Avista and Commission Staff in the Company’s last general rate case.</w:t>
      </w:r>
      <w:r>
        <w:rPr>
          <w:rStyle w:val="FootnoteReference"/>
        </w:rPr>
        <w:footnoteReference w:id="42"/>
      </w:r>
      <w:r>
        <w:t xml:space="preserve">  These load forecasts are also used in the traditional modified historical test year methodology, and have been for many years.  Because these forecasts are inputs for the calculation of revenues, review of their accuracy is key</w:t>
      </w:r>
      <w:r w:rsidR="00890E53">
        <w:t xml:space="preserve"> to the attrition model</w:t>
      </w:r>
      <w:r>
        <w:t>.</w:t>
      </w:r>
    </w:p>
    <w:p w14:paraId="5D2B276C" w14:textId="77777777" w:rsidR="0040549B" w:rsidRDefault="0040549B" w:rsidP="0040549B">
      <w:pPr>
        <w:pStyle w:val="NoSpacing"/>
      </w:pPr>
    </w:p>
    <w:p w14:paraId="5B9431AD" w14:textId="77777777" w:rsidR="0040549B" w:rsidRDefault="0040549B" w:rsidP="0040549B">
      <w:pPr>
        <w:pStyle w:val="Heading8"/>
      </w:pPr>
      <w:r>
        <w:t>Q.</w:t>
      </w:r>
      <w:r>
        <w:tab/>
        <w:t>Are Avista’s load forecasts predictive?</w:t>
      </w:r>
    </w:p>
    <w:p w14:paraId="5F42A9B7" w14:textId="27148E62" w:rsidR="0040549B" w:rsidRDefault="0040549B" w:rsidP="0040549B">
      <w:pPr>
        <w:pStyle w:val="NoSpacing"/>
      </w:pPr>
      <w:r>
        <w:t>A.</w:t>
      </w:r>
      <w:r>
        <w:tab/>
        <w:t>Yes.  Staff issued Data Request</w:t>
      </w:r>
      <w:r w:rsidR="00D90DF3">
        <w:t xml:space="preserve"> No.</w:t>
      </w:r>
      <w:r>
        <w:t xml:space="preserve"> 32 to Avista, seeking to compare the Company’s forecasts of consumption and actual consumption between rate schedules.  Between 2011 and 2015, the Company’s load forecast model of total therms and total </w:t>
      </w:r>
      <w:r>
        <w:lastRenderedPageBreak/>
        <w:t xml:space="preserve">kilowatt-hours were accurate within 2%.  Estimates of annual customer bills were accurate within 0.5% . </w:t>
      </w:r>
      <w:r w:rsidR="000E684A">
        <w:t>The root mean squared error was 1.67% for kilowatt-hours and 1.74% for therms.</w:t>
      </w:r>
      <w:r w:rsidR="00CE037D">
        <w:t xml:space="preserve"> </w:t>
      </w:r>
      <w:r w:rsidR="000E684A">
        <w:t xml:space="preserve"> Estimates of annual customer bills had a root mean-squared error of 0.22% for electric customers and 0.37% for natural gas customers. </w:t>
      </w:r>
      <w:r>
        <w:t xml:space="preserve"> Within rate schedules, the Company’s load forecast was accurate as well.  As a result, Staff also adopts the Company’s load forecasts for the rate effective period in its attrition model.</w:t>
      </w:r>
    </w:p>
    <w:p w14:paraId="7C2A598B" w14:textId="77777777" w:rsidR="0040549B" w:rsidRPr="0040549B" w:rsidRDefault="0040549B" w:rsidP="0040549B">
      <w:pPr>
        <w:spacing w:line="480" w:lineRule="auto"/>
        <w:ind w:left="720" w:hanging="720"/>
        <w:rPr>
          <w:rFonts w:eastAsia="Times New Roman"/>
          <w:b/>
        </w:rPr>
      </w:pPr>
    </w:p>
    <w:p w14:paraId="047A53B9" w14:textId="6CD8639C" w:rsidR="004272F8" w:rsidRPr="004272F8" w:rsidRDefault="00E34CA4" w:rsidP="00DA418D">
      <w:pPr>
        <w:pStyle w:val="Heading2"/>
        <w:numPr>
          <w:ilvl w:val="0"/>
          <w:numId w:val="37"/>
        </w:numPr>
      </w:pPr>
      <w:bookmarkStart w:id="31" w:name="_Toc459042402"/>
      <w:r>
        <w:t>The Threat of Attrition</w:t>
      </w:r>
      <w:bookmarkEnd w:id="31"/>
    </w:p>
    <w:p w14:paraId="63EA8465" w14:textId="699235DF" w:rsidR="004272F8" w:rsidRPr="009E4F01" w:rsidRDefault="00DA418D" w:rsidP="009E4F01">
      <w:pPr>
        <w:pStyle w:val="Heading3"/>
        <w:numPr>
          <w:ilvl w:val="0"/>
          <w:numId w:val="0"/>
        </w:numPr>
        <w:ind w:left="720" w:firstLine="720"/>
      </w:pPr>
      <w:bookmarkStart w:id="32" w:name="_Toc459042403"/>
      <w:r w:rsidRPr="009E4F01">
        <w:t>1.</w:t>
      </w:r>
      <w:r w:rsidRPr="009E4F01">
        <w:tab/>
        <w:t>Attrition in Avista’s Electric Operations</w:t>
      </w:r>
      <w:bookmarkEnd w:id="32"/>
    </w:p>
    <w:p w14:paraId="16E21D85" w14:textId="49E6BEE0" w:rsidR="002D14C7" w:rsidRDefault="002D14C7" w:rsidP="009E4F01">
      <w:pPr>
        <w:pStyle w:val="Heading8"/>
      </w:pPr>
      <w:r>
        <w:t>Q.</w:t>
      </w:r>
      <w:r>
        <w:tab/>
        <w:t xml:space="preserve">What is the nature of </w:t>
      </w:r>
      <w:r w:rsidR="00D61E73">
        <w:t xml:space="preserve">the threat of </w:t>
      </w:r>
      <w:r w:rsidR="00DA418D">
        <w:t>attrition</w:t>
      </w:r>
      <w:r>
        <w:t xml:space="preserve"> </w:t>
      </w:r>
      <w:r w:rsidR="006329C6">
        <w:t xml:space="preserve">in </w:t>
      </w:r>
      <w:r>
        <w:t>Avista’s electric operations?</w:t>
      </w:r>
    </w:p>
    <w:p w14:paraId="5AA93F37" w14:textId="542AC7BB" w:rsidR="002D14C7" w:rsidRDefault="002D14C7" w:rsidP="009E4F01">
      <w:pPr>
        <w:pStyle w:val="NoSpacing"/>
      </w:pPr>
      <w:r>
        <w:t>A.</w:t>
      </w:r>
      <w:r>
        <w:tab/>
      </w:r>
      <w:r w:rsidR="009C2B90">
        <w:t>G</w:t>
      </w:r>
      <w:r w:rsidR="00DA418D">
        <w:t xml:space="preserve">rowth </w:t>
      </w:r>
      <w:r w:rsidR="009C2B90">
        <w:t>in</w:t>
      </w:r>
      <w:r w:rsidR="00BD5A49">
        <w:t xml:space="preserve"> operating expenses and growth in</w:t>
      </w:r>
      <w:r w:rsidR="009C2B90">
        <w:t xml:space="preserve"> </w:t>
      </w:r>
      <w:r w:rsidR="00BD5A49">
        <w:t>rate base</w:t>
      </w:r>
      <w:r w:rsidR="00DA418D">
        <w:t xml:space="preserve"> continue to </w:t>
      </w:r>
      <w:r w:rsidR="009C2B90">
        <w:t>be important driver</w:t>
      </w:r>
      <w:r w:rsidR="00BD5A49">
        <w:t>s</w:t>
      </w:r>
      <w:r w:rsidR="009C2B90">
        <w:t xml:space="preserve"> of</w:t>
      </w:r>
      <w:r w:rsidR="00DA418D">
        <w:t xml:space="preserve"> </w:t>
      </w:r>
      <w:r w:rsidR="002A7AE3">
        <w:t>the threat of attrition</w:t>
      </w:r>
      <w:r w:rsidR="00DA418D">
        <w:t xml:space="preserve">. </w:t>
      </w:r>
      <w:r w:rsidR="00124C0C">
        <w:t xml:space="preserve"> </w:t>
      </w:r>
      <w:r w:rsidR="001446FC">
        <w:t>T</w:t>
      </w:r>
      <w:r w:rsidR="00BD5A49">
        <w:t>he growth in expenses appears to be the primary driver of the threat of attrition in Avista’s electric service.</w:t>
      </w:r>
    </w:p>
    <w:p w14:paraId="29EB041D" w14:textId="77777777" w:rsidR="002D14C7" w:rsidRDefault="002D14C7" w:rsidP="009E4F01">
      <w:pPr>
        <w:pStyle w:val="NoSpacing"/>
      </w:pPr>
    </w:p>
    <w:p w14:paraId="3DE5945C" w14:textId="77777777" w:rsidR="001243CD" w:rsidRDefault="001243CD" w:rsidP="009E4F01">
      <w:pPr>
        <w:pStyle w:val="Heading8"/>
      </w:pPr>
      <w:r>
        <w:t>Q.</w:t>
      </w:r>
      <w:r>
        <w:tab/>
        <w:t>Which types of electric rate base are growing most quickly?</w:t>
      </w:r>
    </w:p>
    <w:p w14:paraId="693F40BF" w14:textId="41B49777" w:rsidR="001243CD" w:rsidRDefault="001243CD" w:rsidP="009E4F01">
      <w:pPr>
        <w:pStyle w:val="NoSpacing"/>
      </w:pPr>
      <w:r>
        <w:t>A.</w:t>
      </w:r>
      <w:r>
        <w:tab/>
        <w:t>Over the historical period, intangible plant has grown at the quickest pace, with intangible plant</w:t>
      </w:r>
      <w:r w:rsidR="00B85A9F">
        <w:t xml:space="preserve"> in service</w:t>
      </w:r>
      <w:r>
        <w:t xml:space="preserve"> estimated to grow by 9.28% during calendar year 2016.  When considering the total value of rate base additions, distribution plant </w:t>
      </w:r>
      <w:r w:rsidR="00B85A9F">
        <w:t xml:space="preserve">in service </w:t>
      </w:r>
      <w:r>
        <w:t>shows the most growth.  The expected growth in distribution plant</w:t>
      </w:r>
      <w:r w:rsidR="00B85A9F">
        <w:t xml:space="preserve"> in service</w:t>
      </w:r>
      <w:r>
        <w:t xml:space="preserve"> in 2016 would represent 42.69% of all expected growth in </w:t>
      </w:r>
      <w:r w:rsidR="00B85A9F">
        <w:t>Plant in Service</w:t>
      </w:r>
      <w:r>
        <w:t xml:space="preserve">, prior to any consideration of </w:t>
      </w:r>
      <w:r w:rsidR="00124C0C">
        <w:t>“After-Attrition Adjustments</w:t>
      </w:r>
      <w:r w:rsidR="00CE037D">
        <w:t>.</w:t>
      </w:r>
      <w:r w:rsidR="00124C0C">
        <w:t>”</w:t>
      </w:r>
      <w:r>
        <w:t xml:space="preserve">  Distribution plant is expected to grow at a faster rate than total plant in service</w:t>
      </w:r>
      <w:r w:rsidR="009C2B90">
        <w:t>,</w:t>
      </w:r>
      <w:r>
        <w:t xml:space="preserve"> meaning that distribution</w:t>
      </w:r>
      <w:r w:rsidR="00E34CA4">
        <w:t xml:space="preserve"> plant</w:t>
      </w:r>
      <w:r>
        <w:t xml:space="preserve"> can be </w:t>
      </w:r>
      <w:r>
        <w:lastRenderedPageBreak/>
        <w:t>expected to contine to represent an even larger share of Avista’s rate base in the near future.</w:t>
      </w:r>
      <w:r w:rsidR="00890E53">
        <w:rPr>
          <w:rStyle w:val="FootnoteReference"/>
        </w:rPr>
        <w:footnoteReference w:id="43"/>
      </w:r>
    </w:p>
    <w:p w14:paraId="3AA3C73D" w14:textId="77777777" w:rsidR="001243CD" w:rsidRDefault="001243CD" w:rsidP="009E4F01">
      <w:pPr>
        <w:pStyle w:val="NoSpacing"/>
      </w:pPr>
    </w:p>
    <w:p w14:paraId="381F3F8F" w14:textId="474815BD" w:rsidR="001243CD" w:rsidRDefault="001243CD" w:rsidP="005E7E1D">
      <w:pPr>
        <w:pStyle w:val="NoSpacing"/>
        <w:keepNext/>
        <w:keepLines/>
        <w:spacing w:line="240" w:lineRule="auto"/>
        <w:jc w:val="center"/>
        <w:rPr>
          <w:b/>
        </w:rPr>
      </w:pPr>
      <w:r w:rsidRPr="00F3284B">
        <w:rPr>
          <w:b/>
        </w:rPr>
        <w:t xml:space="preserve">Table </w:t>
      </w:r>
      <w:r w:rsidR="00F3284B" w:rsidRPr="00F3284B">
        <w:rPr>
          <w:b/>
        </w:rPr>
        <w:t>4</w:t>
      </w:r>
      <w:r w:rsidRPr="00F3284B">
        <w:rPr>
          <w:b/>
        </w:rPr>
        <w:t xml:space="preserve"> – Estimated growth in </w:t>
      </w:r>
      <w:r w:rsidR="00E52358" w:rsidRPr="00F3284B">
        <w:rPr>
          <w:b/>
        </w:rPr>
        <w:t>Plant in Service</w:t>
      </w:r>
      <w:r w:rsidRPr="00F3284B">
        <w:rPr>
          <w:b/>
        </w:rPr>
        <w:t xml:space="preserve"> in 2016</w:t>
      </w:r>
    </w:p>
    <w:tbl>
      <w:tblPr>
        <w:tblW w:w="5902" w:type="dxa"/>
        <w:jc w:val="center"/>
        <w:tblLook w:val="04A0" w:firstRow="1" w:lastRow="0" w:firstColumn="1" w:lastColumn="0" w:noHBand="0" w:noVBand="1"/>
      </w:tblPr>
      <w:tblGrid>
        <w:gridCol w:w="1402"/>
        <w:gridCol w:w="1400"/>
        <w:gridCol w:w="1500"/>
        <w:gridCol w:w="1600"/>
      </w:tblGrid>
      <w:tr w:rsidR="001243CD" w:rsidRPr="002E3B6B" w14:paraId="47999BDE" w14:textId="77777777" w:rsidTr="005561EA">
        <w:trPr>
          <w:cantSplit/>
          <w:trHeight w:val="855"/>
          <w:jc w:val="center"/>
        </w:trPr>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26F8" w14:textId="4215031C" w:rsidR="001243CD" w:rsidRPr="002E3B6B" w:rsidRDefault="001243CD" w:rsidP="005E7E1D">
            <w:pPr>
              <w:keepNext/>
              <w:keepLines/>
              <w:jc w:val="center"/>
              <w:rPr>
                <w:rFonts w:eastAsia="Times New Roman"/>
                <w:b/>
                <w:bCs/>
                <w:sz w:val="22"/>
                <w:szCs w:val="22"/>
              </w:rPr>
            </w:pPr>
            <w:r w:rsidRPr="002E3B6B">
              <w:rPr>
                <w:rFonts w:eastAsia="Times New Roman"/>
                <w:b/>
                <w:bCs/>
                <w:sz w:val="22"/>
                <w:szCs w:val="22"/>
              </w:rPr>
              <w:t xml:space="preserve">Category of </w:t>
            </w:r>
            <w:r w:rsidR="00E52358">
              <w:rPr>
                <w:rFonts w:eastAsia="Times New Roman"/>
                <w:b/>
                <w:bCs/>
                <w:sz w:val="22"/>
                <w:szCs w:val="22"/>
              </w:rPr>
              <w:t>Plant In Service</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FA1BFA7" w14:textId="77777777" w:rsidR="001243CD" w:rsidRPr="002E3B6B" w:rsidRDefault="001243CD" w:rsidP="005E7E1D">
            <w:pPr>
              <w:keepNext/>
              <w:keepLines/>
              <w:jc w:val="center"/>
              <w:rPr>
                <w:rFonts w:eastAsia="Times New Roman"/>
                <w:b/>
                <w:bCs/>
                <w:sz w:val="22"/>
                <w:szCs w:val="22"/>
              </w:rPr>
            </w:pPr>
            <w:r w:rsidRPr="002E3B6B">
              <w:rPr>
                <w:rFonts w:eastAsia="Times New Roman"/>
                <w:b/>
                <w:bCs/>
                <w:sz w:val="22"/>
                <w:szCs w:val="22"/>
              </w:rPr>
              <w:t>Estimated growth, 2016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B422F0D" w14:textId="77777777" w:rsidR="001243CD" w:rsidRPr="002E3B6B" w:rsidRDefault="001243CD" w:rsidP="005E7E1D">
            <w:pPr>
              <w:keepNext/>
              <w:keepLines/>
              <w:jc w:val="center"/>
              <w:rPr>
                <w:rFonts w:eastAsia="Times New Roman"/>
                <w:b/>
                <w:bCs/>
                <w:sz w:val="22"/>
                <w:szCs w:val="22"/>
              </w:rPr>
            </w:pPr>
            <w:r w:rsidRPr="002E3B6B">
              <w:rPr>
                <w:rFonts w:eastAsia="Times New Roman"/>
                <w:b/>
                <w:bCs/>
                <w:sz w:val="22"/>
                <w:szCs w:val="22"/>
              </w:rPr>
              <w:t>Estimated addition, 2016 (thousands)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513E734" w14:textId="77777777" w:rsidR="001243CD" w:rsidRPr="002E3B6B" w:rsidRDefault="001243CD" w:rsidP="005E7E1D">
            <w:pPr>
              <w:keepNext/>
              <w:keepLines/>
              <w:jc w:val="center"/>
              <w:rPr>
                <w:rFonts w:eastAsia="Times New Roman"/>
                <w:b/>
                <w:bCs/>
                <w:sz w:val="22"/>
                <w:szCs w:val="22"/>
              </w:rPr>
            </w:pPr>
            <w:r w:rsidRPr="002E3B6B">
              <w:rPr>
                <w:rFonts w:eastAsia="Times New Roman"/>
                <w:b/>
                <w:bCs/>
                <w:sz w:val="22"/>
                <w:szCs w:val="22"/>
              </w:rPr>
              <w:t>Share of estimated additions, 2016</w:t>
            </w:r>
          </w:p>
        </w:tc>
      </w:tr>
      <w:tr w:rsidR="001243CD" w:rsidRPr="002E3B6B" w14:paraId="572A19DC" w14:textId="77777777" w:rsidTr="005561EA">
        <w:trPr>
          <w:cantSplit/>
          <w:trHeight w:val="300"/>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6AFD75A7"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Intangible</w:t>
            </w:r>
          </w:p>
        </w:tc>
        <w:tc>
          <w:tcPr>
            <w:tcW w:w="1400" w:type="dxa"/>
            <w:tcBorders>
              <w:top w:val="nil"/>
              <w:left w:val="nil"/>
              <w:bottom w:val="single" w:sz="4" w:space="0" w:color="auto"/>
              <w:right w:val="single" w:sz="4" w:space="0" w:color="auto"/>
            </w:tcBorders>
            <w:shd w:val="clear" w:color="auto" w:fill="auto"/>
            <w:noWrap/>
            <w:vAlign w:val="bottom"/>
            <w:hideMark/>
          </w:tcPr>
          <w:p w14:paraId="189777FD"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9.28%</w:t>
            </w:r>
          </w:p>
        </w:tc>
        <w:tc>
          <w:tcPr>
            <w:tcW w:w="1500" w:type="dxa"/>
            <w:tcBorders>
              <w:top w:val="nil"/>
              <w:left w:val="nil"/>
              <w:bottom w:val="single" w:sz="4" w:space="0" w:color="auto"/>
              <w:right w:val="single" w:sz="4" w:space="0" w:color="auto"/>
            </w:tcBorders>
            <w:shd w:val="clear" w:color="auto" w:fill="auto"/>
            <w:noWrap/>
            <w:vAlign w:val="bottom"/>
            <w:hideMark/>
          </w:tcPr>
          <w:p w14:paraId="05E2E32E" w14:textId="15B0B9A4" w:rsidR="001243CD" w:rsidRPr="002E3B6B" w:rsidRDefault="001243CD" w:rsidP="007E7C69">
            <w:pPr>
              <w:keepNext/>
              <w:keepLines/>
              <w:jc w:val="center"/>
              <w:rPr>
                <w:rFonts w:eastAsia="Times New Roman"/>
                <w:sz w:val="22"/>
                <w:szCs w:val="22"/>
              </w:rPr>
            </w:pPr>
            <w:r w:rsidRPr="002E3B6B">
              <w:rPr>
                <w:rFonts w:eastAsia="Times New Roman"/>
                <w:sz w:val="22"/>
                <w:szCs w:val="22"/>
              </w:rPr>
              <w:t>$</w:t>
            </w:r>
            <w:r w:rsidR="007560D5">
              <w:rPr>
                <w:rFonts w:eastAsia="Times New Roman"/>
                <w:sz w:val="22"/>
                <w:szCs w:val="22"/>
              </w:rPr>
              <w:t>13.54</w:t>
            </w:r>
            <w:r w:rsidR="007E7C69">
              <w:rPr>
                <w:rFonts w:eastAsia="Times New Roman"/>
                <w:sz w:val="22"/>
                <w:szCs w:val="22"/>
              </w:rPr>
              <w:t>4</w:t>
            </w:r>
          </w:p>
        </w:tc>
        <w:tc>
          <w:tcPr>
            <w:tcW w:w="1600" w:type="dxa"/>
            <w:tcBorders>
              <w:top w:val="nil"/>
              <w:left w:val="nil"/>
              <w:bottom w:val="single" w:sz="4" w:space="0" w:color="auto"/>
              <w:right w:val="single" w:sz="4" w:space="0" w:color="auto"/>
            </w:tcBorders>
            <w:shd w:val="clear" w:color="auto" w:fill="auto"/>
            <w:noWrap/>
            <w:vAlign w:val="bottom"/>
            <w:hideMark/>
          </w:tcPr>
          <w:p w14:paraId="6C320D03"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12.31%</w:t>
            </w:r>
          </w:p>
        </w:tc>
      </w:tr>
      <w:tr w:rsidR="001243CD" w:rsidRPr="002E3B6B" w14:paraId="224776B2" w14:textId="77777777" w:rsidTr="005561EA">
        <w:trPr>
          <w:cantSplit/>
          <w:trHeight w:val="300"/>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052EEAD0"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Production</w:t>
            </w:r>
          </w:p>
        </w:tc>
        <w:tc>
          <w:tcPr>
            <w:tcW w:w="1400" w:type="dxa"/>
            <w:tcBorders>
              <w:top w:val="nil"/>
              <w:left w:val="nil"/>
              <w:bottom w:val="single" w:sz="4" w:space="0" w:color="auto"/>
              <w:right w:val="single" w:sz="4" w:space="0" w:color="auto"/>
            </w:tcBorders>
            <w:shd w:val="clear" w:color="auto" w:fill="auto"/>
            <w:noWrap/>
            <w:vAlign w:val="bottom"/>
            <w:hideMark/>
          </w:tcPr>
          <w:p w14:paraId="73F2D186"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2.03%</w:t>
            </w:r>
          </w:p>
        </w:tc>
        <w:tc>
          <w:tcPr>
            <w:tcW w:w="1500" w:type="dxa"/>
            <w:tcBorders>
              <w:top w:val="nil"/>
              <w:left w:val="nil"/>
              <w:bottom w:val="single" w:sz="4" w:space="0" w:color="auto"/>
              <w:right w:val="single" w:sz="4" w:space="0" w:color="auto"/>
            </w:tcBorders>
            <w:shd w:val="clear" w:color="auto" w:fill="auto"/>
            <w:noWrap/>
            <w:vAlign w:val="bottom"/>
            <w:hideMark/>
          </w:tcPr>
          <w:p w14:paraId="455D0913" w14:textId="65DE8983" w:rsidR="001243CD" w:rsidRPr="002E3B6B" w:rsidRDefault="001243CD" w:rsidP="005E7E1D">
            <w:pPr>
              <w:keepNext/>
              <w:keepLines/>
              <w:jc w:val="center"/>
              <w:rPr>
                <w:rFonts w:eastAsia="Times New Roman"/>
                <w:sz w:val="22"/>
                <w:szCs w:val="22"/>
              </w:rPr>
            </w:pPr>
            <w:r w:rsidRPr="002E3B6B">
              <w:rPr>
                <w:rFonts w:eastAsia="Times New Roman"/>
                <w:sz w:val="22"/>
                <w:szCs w:val="22"/>
              </w:rPr>
              <w:t>$</w:t>
            </w:r>
            <w:r w:rsidR="007E7C69">
              <w:rPr>
                <w:rFonts w:eastAsia="Times New Roman"/>
                <w:sz w:val="22"/>
                <w:szCs w:val="22"/>
              </w:rPr>
              <w:t>15,809</w:t>
            </w:r>
          </w:p>
        </w:tc>
        <w:tc>
          <w:tcPr>
            <w:tcW w:w="1600" w:type="dxa"/>
            <w:tcBorders>
              <w:top w:val="nil"/>
              <w:left w:val="nil"/>
              <w:bottom w:val="single" w:sz="4" w:space="0" w:color="auto"/>
              <w:right w:val="single" w:sz="4" w:space="0" w:color="auto"/>
            </w:tcBorders>
            <w:shd w:val="clear" w:color="auto" w:fill="auto"/>
            <w:noWrap/>
            <w:vAlign w:val="bottom"/>
            <w:hideMark/>
          </w:tcPr>
          <w:p w14:paraId="1D32006F"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14.47%</w:t>
            </w:r>
          </w:p>
        </w:tc>
      </w:tr>
      <w:tr w:rsidR="001243CD" w:rsidRPr="002E3B6B" w14:paraId="021BABB9" w14:textId="77777777" w:rsidTr="005561EA">
        <w:trPr>
          <w:cantSplit/>
          <w:trHeight w:val="300"/>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2AA1525F"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Transmission</w:t>
            </w:r>
          </w:p>
        </w:tc>
        <w:tc>
          <w:tcPr>
            <w:tcW w:w="1400" w:type="dxa"/>
            <w:tcBorders>
              <w:top w:val="nil"/>
              <w:left w:val="nil"/>
              <w:bottom w:val="single" w:sz="4" w:space="0" w:color="auto"/>
              <w:right w:val="single" w:sz="4" w:space="0" w:color="auto"/>
            </w:tcBorders>
            <w:shd w:val="clear" w:color="auto" w:fill="auto"/>
            <w:noWrap/>
            <w:vAlign w:val="bottom"/>
            <w:hideMark/>
          </w:tcPr>
          <w:p w14:paraId="09E1D9D6"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4.00%</w:t>
            </w:r>
          </w:p>
        </w:tc>
        <w:tc>
          <w:tcPr>
            <w:tcW w:w="1500" w:type="dxa"/>
            <w:tcBorders>
              <w:top w:val="nil"/>
              <w:left w:val="nil"/>
              <w:bottom w:val="single" w:sz="4" w:space="0" w:color="auto"/>
              <w:right w:val="single" w:sz="4" w:space="0" w:color="auto"/>
            </w:tcBorders>
            <w:shd w:val="clear" w:color="auto" w:fill="auto"/>
            <w:noWrap/>
            <w:vAlign w:val="bottom"/>
            <w:hideMark/>
          </w:tcPr>
          <w:p w14:paraId="386E999F" w14:textId="3D02A871" w:rsidR="001243CD" w:rsidRPr="002E3B6B" w:rsidRDefault="001243CD" w:rsidP="005E7E1D">
            <w:pPr>
              <w:keepNext/>
              <w:keepLines/>
              <w:jc w:val="center"/>
              <w:rPr>
                <w:rFonts w:eastAsia="Times New Roman"/>
                <w:sz w:val="22"/>
                <w:szCs w:val="22"/>
              </w:rPr>
            </w:pPr>
            <w:r w:rsidRPr="002E3B6B">
              <w:rPr>
                <w:rFonts w:eastAsia="Times New Roman"/>
                <w:sz w:val="22"/>
                <w:szCs w:val="22"/>
              </w:rPr>
              <w:t>$</w:t>
            </w:r>
            <w:r w:rsidR="007E7C69">
              <w:rPr>
                <w:rFonts w:eastAsia="Times New Roman"/>
                <w:sz w:val="22"/>
                <w:szCs w:val="22"/>
              </w:rPr>
              <w:t>16,071</w:t>
            </w:r>
          </w:p>
        </w:tc>
        <w:tc>
          <w:tcPr>
            <w:tcW w:w="1600" w:type="dxa"/>
            <w:tcBorders>
              <w:top w:val="nil"/>
              <w:left w:val="nil"/>
              <w:bottom w:val="single" w:sz="4" w:space="0" w:color="auto"/>
              <w:right w:val="single" w:sz="4" w:space="0" w:color="auto"/>
            </w:tcBorders>
            <w:shd w:val="clear" w:color="auto" w:fill="auto"/>
            <w:noWrap/>
            <w:vAlign w:val="bottom"/>
            <w:hideMark/>
          </w:tcPr>
          <w:p w14:paraId="0608290E"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14.71%</w:t>
            </w:r>
          </w:p>
        </w:tc>
      </w:tr>
      <w:tr w:rsidR="001243CD" w:rsidRPr="002E3B6B" w14:paraId="168DB10D" w14:textId="77777777" w:rsidTr="005561EA">
        <w:trPr>
          <w:cantSplit/>
          <w:trHeight w:val="300"/>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7A977D12"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Distribution</w:t>
            </w:r>
          </w:p>
        </w:tc>
        <w:tc>
          <w:tcPr>
            <w:tcW w:w="1400" w:type="dxa"/>
            <w:tcBorders>
              <w:top w:val="nil"/>
              <w:left w:val="nil"/>
              <w:bottom w:val="single" w:sz="4" w:space="0" w:color="auto"/>
              <w:right w:val="single" w:sz="4" w:space="0" w:color="auto"/>
            </w:tcBorders>
            <w:shd w:val="clear" w:color="auto" w:fill="auto"/>
            <w:noWrap/>
            <w:vAlign w:val="bottom"/>
            <w:hideMark/>
          </w:tcPr>
          <w:p w14:paraId="20A60378"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5.21%</w:t>
            </w:r>
          </w:p>
        </w:tc>
        <w:tc>
          <w:tcPr>
            <w:tcW w:w="1500" w:type="dxa"/>
            <w:tcBorders>
              <w:top w:val="nil"/>
              <w:left w:val="nil"/>
              <w:bottom w:val="single" w:sz="4" w:space="0" w:color="auto"/>
              <w:right w:val="single" w:sz="4" w:space="0" w:color="auto"/>
            </w:tcBorders>
            <w:shd w:val="clear" w:color="auto" w:fill="auto"/>
            <w:noWrap/>
            <w:vAlign w:val="bottom"/>
            <w:hideMark/>
          </w:tcPr>
          <w:p w14:paraId="1BDFDA9A" w14:textId="77A27C13" w:rsidR="001243CD" w:rsidRPr="002E3B6B" w:rsidRDefault="001243CD" w:rsidP="005E7E1D">
            <w:pPr>
              <w:keepNext/>
              <w:keepLines/>
              <w:jc w:val="center"/>
              <w:rPr>
                <w:rFonts w:eastAsia="Times New Roman"/>
                <w:sz w:val="22"/>
                <w:szCs w:val="22"/>
              </w:rPr>
            </w:pPr>
            <w:r w:rsidRPr="002E3B6B">
              <w:rPr>
                <w:rFonts w:eastAsia="Times New Roman"/>
                <w:sz w:val="22"/>
                <w:szCs w:val="22"/>
              </w:rPr>
              <w:t>$</w:t>
            </w:r>
            <w:r w:rsidR="007E7C69">
              <w:rPr>
                <w:rFonts w:eastAsia="Times New Roman"/>
                <w:sz w:val="22"/>
                <w:szCs w:val="22"/>
              </w:rPr>
              <w:t>46,651</w:t>
            </w:r>
          </w:p>
        </w:tc>
        <w:tc>
          <w:tcPr>
            <w:tcW w:w="1600" w:type="dxa"/>
            <w:tcBorders>
              <w:top w:val="nil"/>
              <w:left w:val="nil"/>
              <w:bottom w:val="single" w:sz="4" w:space="0" w:color="auto"/>
              <w:right w:val="single" w:sz="4" w:space="0" w:color="auto"/>
            </w:tcBorders>
            <w:shd w:val="clear" w:color="auto" w:fill="auto"/>
            <w:noWrap/>
            <w:vAlign w:val="bottom"/>
            <w:hideMark/>
          </w:tcPr>
          <w:p w14:paraId="75D20EC6"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42.69%</w:t>
            </w:r>
          </w:p>
        </w:tc>
      </w:tr>
      <w:tr w:rsidR="001243CD" w:rsidRPr="002E3B6B" w14:paraId="79D5C70D" w14:textId="77777777" w:rsidTr="005561EA">
        <w:trPr>
          <w:cantSplit/>
          <w:trHeight w:val="300"/>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54CE0195"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General</w:t>
            </w:r>
          </w:p>
        </w:tc>
        <w:tc>
          <w:tcPr>
            <w:tcW w:w="1400" w:type="dxa"/>
            <w:tcBorders>
              <w:top w:val="nil"/>
              <w:left w:val="nil"/>
              <w:bottom w:val="single" w:sz="4" w:space="0" w:color="auto"/>
              <w:right w:val="single" w:sz="4" w:space="0" w:color="auto"/>
            </w:tcBorders>
            <w:shd w:val="clear" w:color="auto" w:fill="auto"/>
            <w:noWrap/>
            <w:vAlign w:val="bottom"/>
            <w:hideMark/>
          </w:tcPr>
          <w:p w14:paraId="7E1FA45D"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8.13%</w:t>
            </w:r>
          </w:p>
        </w:tc>
        <w:tc>
          <w:tcPr>
            <w:tcW w:w="1500" w:type="dxa"/>
            <w:tcBorders>
              <w:top w:val="nil"/>
              <w:left w:val="nil"/>
              <w:bottom w:val="single" w:sz="4" w:space="0" w:color="auto"/>
              <w:right w:val="single" w:sz="4" w:space="0" w:color="auto"/>
            </w:tcBorders>
            <w:shd w:val="clear" w:color="auto" w:fill="auto"/>
            <w:noWrap/>
            <w:vAlign w:val="bottom"/>
            <w:hideMark/>
          </w:tcPr>
          <w:p w14:paraId="1EF191ED" w14:textId="50942B37" w:rsidR="001243CD" w:rsidRPr="002E3B6B" w:rsidRDefault="001243CD" w:rsidP="005E7E1D">
            <w:pPr>
              <w:keepNext/>
              <w:keepLines/>
              <w:jc w:val="center"/>
              <w:rPr>
                <w:rFonts w:eastAsia="Times New Roman"/>
                <w:sz w:val="22"/>
                <w:szCs w:val="22"/>
              </w:rPr>
            </w:pPr>
            <w:r w:rsidRPr="002E3B6B">
              <w:rPr>
                <w:rFonts w:eastAsia="Times New Roman"/>
                <w:sz w:val="22"/>
                <w:szCs w:val="22"/>
              </w:rPr>
              <w:t>$</w:t>
            </w:r>
            <w:r w:rsidR="007E7C69">
              <w:rPr>
                <w:rFonts w:eastAsia="Times New Roman"/>
                <w:sz w:val="22"/>
                <w:szCs w:val="22"/>
              </w:rPr>
              <w:t>17,289</w:t>
            </w:r>
          </w:p>
        </w:tc>
        <w:tc>
          <w:tcPr>
            <w:tcW w:w="1600" w:type="dxa"/>
            <w:tcBorders>
              <w:top w:val="nil"/>
              <w:left w:val="nil"/>
              <w:bottom w:val="single" w:sz="4" w:space="0" w:color="auto"/>
              <w:right w:val="single" w:sz="4" w:space="0" w:color="auto"/>
            </w:tcBorders>
            <w:shd w:val="clear" w:color="auto" w:fill="auto"/>
            <w:noWrap/>
            <w:vAlign w:val="bottom"/>
            <w:hideMark/>
          </w:tcPr>
          <w:p w14:paraId="3477FA9A" w14:textId="77777777" w:rsidR="001243CD" w:rsidRPr="002E3B6B" w:rsidRDefault="001243CD" w:rsidP="005E7E1D">
            <w:pPr>
              <w:keepNext/>
              <w:keepLines/>
              <w:jc w:val="center"/>
              <w:rPr>
                <w:rFonts w:eastAsia="Times New Roman"/>
                <w:sz w:val="22"/>
                <w:szCs w:val="22"/>
              </w:rPr>
            </w:pPr>
            <w:r w:rsidRPr="002E3B6B">
              <w:rPr>
                <w:rFonts w:eastAsia="Times New Roman"/>
                <w:sz w:val="22"/>
                <w:szCs w:val="22"/>
              </w:rPr>
              <w:t>15.82%</w:t>
            </w:r>
          </w:p>
        </w:tc>
      </w:tr>
    </w:tbl>
    <w:p w14:paraId="19422726" w14:textId="77777777" w:rsidR="001243CD" w:rsidRDefault="001243CD" w:rsidP="009E4F01">
      <w:pPr>
        <w:pStyle w:val="NoSpacing"/>
      </w:pPr>
    </w:p>
    <w:p w14:paraId="19E4A62A" w14:textId="77777777" w:rsidR="001243CD" w:rsidRDefault="001243CD" w:rsidP="009E4F01">
      <w:pPr>
        <w:pStyle w:val="NoSpacing"/>
      </w:pPr>
    </w:p>
    <w:p w14:paraId="51B4FAF0" w14:textId="762FCC41" w:rsidR="004272F8" w:rsidRPr="00657BAB" w:rsidRDefault="004272F8" w:rsidP="00657BAB">
      <w:pPr>
        <w:pStyle w:val="Heading8"/>
      </w:pPr>
      <w:r w:rsidRPr="00657BAB">
        <w:rPr>
          <w:rStyle w:val="Heading8Char"/>
          <w:b/>
        </w:rPr>
        <w:t>Q.</w:t>
      </w:r>
      <w:r w:rsidRPr="00657BAB">
        <w:rPr>
          <w:rStyle w:val="Heading8Char"/>
          <w:b/>
        </w:rPr>
        <w:tab/>
      </w:r>
      <w:r w:rsidR="009C2B90" w:rsidRPr="00657BAB">
        <w:rPr>
          <w:rStyle w:val="Heading8Char"/>
          <w:b/>
        </w:rPr>
        <w:t>What are the differences</w:t>
      </w:r>
      <w:r w:rsidR="009C2B90" w:rsidRPr="00657BAB">
        <w:t xml:space="preserve"> between Staff’s and Avista’s approaches to measuring plant growth in Avista’s electric operations</w:t>
      </w:r>
      <w:r w:rsidRPr="00657BAB">
        <w:t>?</w:t>
      </w:r>
    </w:p>
    <w:p w14:paraId="270BB16A" w14:textId="3347EB22" w:rsidR="004272F8" w:rsidRDefault="004272F8" w:rsidP="009E4F01">
      <w:pPr>
        <w:pStyle w:val="NoSpacing"/>
      </w:pPr>
      <w:r>
        <w:t>A.</w:t>
      </w:r>
      <w:r>
        <w:tab/>
        <w:t xml:space="preserve">Staff found the growth in particular types of electric plant growth over the historical period.  Staff’s analysis found the stastically-significant rate of growth for each type of plant, and then developed escalation factors specific to those elements.  </w:t>
      </w:r>
    </w:p>
    <w:p w14:paraId="06A1FC63" w14:textId="7CB0B657" w:rsidR="004272F8" w:rsidRDefault="004272F8" w:rsidP="009E4F01">
      <w:pPr>
        <w:pStyle w:val="NoSpacing"/>
        <w:ind w:firstLine="720"/>
      </w:pPr>
      <w:r>
        <w:t>Avista’s analysis only evaluated growth in Net Plant After DFIT, which does not provide the same degree of insight as to which types of plant are driving rate base growth.  Instead, Avista applies the same escalator to all trended components of rate base.  A comparison between Staff’s escalations and Avista’s</w:t>
      </w:r>
      <w:r w:rsidR="009C2B90">
        <w:t xml:space="preserve"> escalations show</w:t>
      </w:r>
      <w:r w:rsidR="009C2B90" w:rsidRPr="00E204A7">
        <w:t xml:space="preserve"> the importance of using a specific escalation rate for the respective type of plant.  Intangible plant has not grown at the same rate as Production plant, or at the same rate as Net Plant After DFIT.  </w:t>
      </w:r>
      <w:r w:rsidR="009C2B90">
        <w:t xml:space="preserve">Depreciation and amortization rates vary as well.  </w:t>
      </w:r>
    </w:p>
    <w:p w14:paraId="0F5C2361" w14:textId="77777777" w:rsidR="004272F8" w:rsidRDefault="004272F8" w:rsidP="009E4F01">
      <w:pPr>
        <w:pStyle w:val="NoSpacing"/>
        <w:ind w:firstLine="720"/>
        <w:jc w:val="center"/>
      </w:pPr>
    </w:p>
    <w:p w14:paraId="5CC609AB" w14:textId="723A8BAE" w:rsidR="004272F8" w:rsidRPr="004B5B03" w:rsidRDefault="004272F8" w:rsidP="009E4F01">
      <w:pPr>
        <w:pStyle w:val="NoSpacing"/>
        <w:keepNext/>
        <w:keepLines/>
        <w:spacing w:line="240" w:lineRule="auto"/>
        <w:jc w:val="center"/>
        <w:rPr>
          <w:b/>
        </w:rPr>
      </w:pPr>
      <w:r w:rsidRPr="00F3284B">
        <w:rPr>
          <w:b/>
        </w:rPr>
        <w:t xml:space="preserve">Table </w:t>
      </w:r>
      <w:r w:rsidR="00F3284B" w:rsidRPr="00F3284B">
        <w:rPr>
          <w:b/>
        </w:rPr>
        <w:t>5</w:t>
      </w:r>
    </w:p>
    <w:tbl>
      <w:tblPr>
        <w:tblW w:w="10216" w:type="dxa"/>
        <w:tblLook w:val="04A0" w:firstRow="1" w:lastRow="0" w:firstColumn="1" w:lastColumn="0" w:noHBand="0" w:noVBand="1"/>
      </w:tblPr>
      <w:tblGrid>
        <w:gridCol w:w="2215"/>
        <w:gridCol w:w="1497"/>
        <w:gridCol w:w="1599"/>
        <w:gridCol w:w="1562"/>
        <w:gridCol w:w="1769"/>
        <w:gridCol w:w="1574"/>
      </w:tblGrid>
      <w:tr w:rsidR="004272F8" w:rsidRPr="00E204A7" w14:paraId="1375674B" w14:textId="77777777" w:rsidTr="005E7E1D">
        <w:trPr>
          <w:trHeight w:val="300"/>
        </w:trPr>
        <w:tc>
          <w:tcPr>
            <w:tcW w:w="2215" w:type="dxa"/>
            <w:tcBorders>
              <w:top w:val="nil"/>
              <w:left w:val="nil"/>
              <w:bottom w:val="nil"/>
              <w:right w:val="nil"/>
            </w:tcBorders>
            <w:shd w:val="clear" w:color="auto" w:fill="auto"/>
            <w:noWrap/>
            <w:vAlign w:val="bottom"/>
            <w:hideMark/>
          </w:tcPr>
          <w:p w14:paraId="346DBF43" w14:textId="77777777" w:rsidR="004272F8" w:rsidRPr="00E204A7" w:rsidRDefault="004272F8" w:rsidP="009E4F01">
            <w:pPr>
              <w:keepNext/>
              <w:keepLines/>
              <w:jc w:val="center"/>
              <w:rPr>
                <w:rFonts w:eastAsia="Times New Roman"/>
              </w:rPr>
            </w:pPr>
          </w:p>
        </w:tc>
        <w:tc>
          <w:tcPr>
            <w:tcW w:w="1497" w:type="dxa"/>
            <w:tcBorders>
              <w:top w:val="nil"/>
              <w:left w:val="nil"/>
              <w:bottom w:val="nil"/>
              <w:right w:val="nil"/>
            </w:tcBorders>
            <w:shd w:val="clear" w:color="auto" w:fill="auto"/>
            <w:noWrap/>
            <w:vAlign w:val="bottom"/>
            <w:hideMark/>
          </w:tcPr>
          <w:p w14:paraId="714F3485" w14:textId="77777777" w:rsidR="004272F8" w:rsidRPr="00E204A7" w:rsidRDefault="004272F8" w:rsidP="009E4F01">
            <w:pPr>
              <w:keepNext/>
              <w:keepLines/>
              <w:jc w:val="center"/>
              <w:rPr>
                <w:rFonts w:eastAsia="Times New Roman"/>
                <w:sz w:val="20"/>
                <w:szCs w:val="20"/>
              </w:rPr>
            </w:pPr>
          </w:p>
        </w:tc>
        <w:tc>
          <w:tcPr>
            <w:tcW w:w="6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EC197" w14:textId="77777777" w:rsidR="004272F8" w:rsidRPr="00E204A7" w:rsidRDefault="004272F8" w:rsidP="009E4F01">
            <w:pPr>
              <w:keepNext/>
              <w:keepLines/>
              <w:jc w:val="center"/>
              <w:rPr>
                <w:rFonts w:ascii="Calibri" w:eastAsia="Times New Roman" w:hAnsi="Calibri"/>
                <w:b/>
                <w:bCs/>
                <w:color w:val="000000"/>
                <w:sz w:val="22"/>
                <w:szCs w:val="22"/>
              </w:rPr>
            </w:pPr>
            <w:r w:rsidRPr="00E204A7">
              <w:rPr>
                <w:rFonts w:ascii="Calibri" w:eastAsia="Times New Roman" w:hAnsi="Calibri"/>
                <w:b/>
                <w:bCs/>
                <w:color w:val="000000"/>
                <w:sz w:val="22"/>
                <w:szCs w:val="22"/>
              </w:rPr>
              <w:t>Electric, 12ME Dec 2017</w:t>
            </w:r>
          </w:p>
        </w:tc>
      </w:tr>
      <w:tr w:rsidR="004272F8" w:rsidRPr="00E204A7" w14:paraId="2DD730AF" w14:textId="77777777" w:rsidTr="005E7E1D">
        <w:trPr>
          <w:trHeight w:val="300"/>
        </w:trPr>
        <w:tc>
          <w:tcPr>
            <w:tcW w:w="2215" w:type="dxa"/>
            <w:tcBorders>
              <w:top w:val="nil"/>
              <w:left w:val="nil"/>
              <w:bottom w:val="nil"/>
              <w:right w:val="nil"/>
            </w:tcBorders>
            <w:shd w:val="clear" w:color="auto" w:fill="auto"/>
            <w:noWrap/>
            <w:vAlign w:val="bottom"/>
            <w:hideMark/>
          </w:tcPr>
          <w:p w14:paraId="1A086CE2" w14:textId="77777777" w:rsidR="004272F8" w:rsidRPr="00E204A7" w:rsidRDefault="004272F8" w:rsidP="009E4F01">
            <w:pPr>
              <w:keepNext/>
              <w:keepLines/>
              <w:jc w:val="center"/>
              <w:rPr>
                <w:rFonts w:ascii="Calibri" w:eastAsia="Times New Roman" w:hAnsi="Calibri"/>
                <w:b/>
                <w:bCs/>
                <w:color w:val="000000"/>
                <w:sz w:val="22"/>
                <w:szCs w:val="22"/>
              </w:rPr>
            </w:pPr>
          </w:p>
        </w:tc>
        <w:tc>
          <w:tcPr>
            <w:tcW w:w="1497" w:type="dxa"/>
            <w:tcBorders>
              <w:top w:val="nil"/>
              <w:left w:val="nil"/>
              <w:bottom w:val="nil"/>
              <w:right w:val="nil"/>
            </w:tcBorders>
            <w:shd w:val="clear" w:color="auto" w:fill="auto"/>
            <w:noWrap/>
            <w:vAlign w:val="bottom"/>
            <w:hideMark/>
          </w:tcPr>
          <w:p w14:paraId="5045DC43" w14:textId="77777777" w:rsidR="004272F8" w:rsidRPr="00E204A7" w:rsidRDefault="004272F8" w:rsidP="009E4F01">
            <w:pPr>
              <w:keepNext/>
              <w:keepLines/>
              <w:jc w:val="center"/>
              <w:rPr>
                <w:rFonts w:eastAsia="Times New Roman"/>
                <w:sz w:val="20"/>
                <w:szCs w:val="20"/>
              </w:rPr>
            </w:pP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231FDF17"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Staff Escalator</w:t>
            </w:r>
          </w:p>
        </w:tc>
        <w:tc>
          <w:tcPr>
            <w:tcW w:w="1562" w:type="dxa"/>
            <w:tcBorders>
              <w:top w:val="nil"/>
              <w:left w:val="nil"/>
              <w:bottom w:val="single" w:sz="4" w:space="0" w:color="auto"/>
              <w:right w:val="single" w:sz="4" w:space="0" w:color="auto"/>
            </w:tcBorders>
            <w:shd w:val="clear" w:color="auto" w:fill="auto"/>
            <w:noWrap/>
            <w:vAlign w:val="bottom"/>
            <w:hideMark/>
          </w:tcPr>
          <w:p w14:paraId="18BE4CA6"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AVA Escalator</w:t>
            </w:r>
          </w:p>
        </w:tc>
        <w:tc>
          <w:tcPr>
            <w:tcW w:w="1769" w:type="dxa"/>
            <w:tcBorders>
              <w:top w:val="nil"/>
              <w:left w:val="nil"/>
              <w:bottom w:val="single" w:sz="4" w:space="0" w:color="auto"/>
              <w:right w:val="single" w:sz="4" w:space="0" w:color="auto"/>
            </w:tcBorders>
            <w:shd w:val="clear" w:color="auto" w:fill="auto"/>
            <w:noWrap/>
            <w:vAlign w:val="bottom"/>
            <w:hideMark/>
          </w:tcPr>
          <w:p w14:paraId="578F473B"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Staff $</w:t>
            </w:r>
          </w:p>
        </w:tc>
        <w:tc>
          <w:tcPr>
            <w:tcW w:w="1574" w:type="dxa"/>
            <w:tcBorders>
              <w:top w:val="nil"/>
              <w:left w:val="nil"/>
              <w:bottom w:val="single" w:sz="4" w:space="0" w:color="auto"/>
              <w:right w:val="single" w:sz="4" w:space="0" w:color="auto"/>
            </w:tcBorders>
            <w:shd w:val="clear" w:color="auto" w:fill="auto"/>
            <w:noWrap/>
            <w:vAlign w:val="bottom"/>
            <w:hideMark/>
          </w:tcPr>
          <w:p w14:paraId="2EAC94DA"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AVA $</w:t>
            </w:r>
          </w:p>
        </w:tc>
      </w:tr>
      <w:tr w:rsidR="004272F8" w:rsidRPr="00E204A7" w14:paraId="3A08BA57" w14:textId="77777777" w:rsidTr="005E7E1D">
        <w:trPr>
          <w:trHeight w:val="300"/>
        </w:trPr>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379F9"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Plant in service</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701B1B79"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Intangible</w:t>
            </w:r>
          </w:p>
        </w:tc>
        <w:tc>
          <w:tcPr>
            <w:tcW w:w="1599" w:type="dxa"/>
            <w:tcBorders>
              <w:top w:val="nil"/>
              <w:left w:val="nil"/>
              <w:bottom w:val="single" w:sz="4" w:space="0" w:color="auto"/>
              <w:right w:val="single" w:sz="4" w:space="0" w:color="auto"/>
            </w:tcBorders>
            <w:shd w:val="clear" w:color="auto" w:fill="auto"/>
            <w:noWrap/>
            <w:vAlign w:val="bottom"/>
            <w:hideMark/>
          </w:tcPr>
          <w:p w14:paraId="5AF9DEE0"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18.56%</w:t>
            </w:r>
          </w:p>
        </w:tc>
        <w:tc>
          <w:tcPr>
            <w:tcW w:w="1562" w:type="dxa"/>
            <w:tcBorders>
              <w:top w:val="nil"/>
              <w:left w:val="nil"/>
              <w:bottom w:val="single" w:sz="4" w:space="0" w:color="auto"/>
              <w:right w:val="single" w:sz="4" w:space="0" w:color="auto"/>
            </w:tcBorders>
            <w:shd w:val="clear" w:color="auto" w:fill="auto"/>
            <w:noWrap/>
            <w:vAlign w:val="bottom"/>
            <w:hideMark/>
          </w:tcPr>
          <w:p w14:paraId="3EE82332"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7.79%</w:t>
            </w:r>
          </w:p>
        </w:tc>
        <w:tc>
          <w:tcPr>
            <w:tcW w:w="1769" w:type="dxa"/>
            <w:tcBorders>
              <w:top w:val="nil"/>
              <w:left w:val="nil"/>
              <w:bottom w:val="single" w:sz="4" w:space="0" w:color="auto"/>
              <w:right w:val="single" w:sz="4" w:space="0" w:color="auto"/>
            </w:tcBorders>
            <w:shd w:val="clear" w:color="auto" w:fill="auto"/>
            <w:noWrap/>
            <w:vAlign w:val="bottom"/>
            <w:hideMark/>
          </w:tcPr>
          <w:p w14:paraId="6A9B1D9D" w14:textId="72869675"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26,908</w:t>
            </w:r>
          </w:p>
        </w:tc>
        <w:tc>
          <w:tcPr>
            <w:tcW w:w="1574" w:type="dxa"/>
            <w:tcBorders>
              <w:top w:val="nil"/>
              <w:left w:val="nil"/>
              <w:bottom w:val="single" w:sz="4" w:space="0" w:color="auto"/>
              <w:right w:val="single" w:sz="4" w:space="0" w:color="auto"/>
            </w:tcBorders>
            <w:shd w:val="clear" w:color="auto" w:fill="auto"/>
            <w:noWrap/>
            <w:vAlign w:val="bottom"/>
            <w:hideMark/>
          </w:tcPr>
          <w:p w14:paraId="5BCBF1D1" w14:textId="2CF9409C"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11,692</w:t>
            </w:r>
          </w:p>
        </w:tc>
      </w:tr>
      <w:tr w:rsidR="004272F8" w:rsidRPr="00E204A7" w14:paraId="4936AF9B" w14:textId="77777777" w:rsidTr="005E7E1D">
        <w:trPr>
          <w:trHeight w:val="300"/>
        </w:trPr>
        <w:tc>
          <w:tcPr>
            <w:tcW w:w="2215" w:type="dxa"/>
            <w:vMerge/>
            <w:tcBorders>
              <w:top w:val="single" w:sz="4" w:space="0" w:color="auto"/>
              <w:left w:val="single" w:sz="4" w:space="0" w:color="auto"/>
              <w:bottom w:val="single" w:sz="4" w:space="0" w:color="auto"/>
              <w:right w:val="single" w:sz="4" w:space="0" w:color="auto"/>
            </w:tcBorders>
            <w:vAlign w:val="center"/>
            <w:hideMark/>
          </w:tcPr>
          <w:p w14:paraId="7BE16628" w14:textId="77777777" w:rsidR="004272F8" w:rsidRPr="00E204A7" w:rsidRDefault="004272F8" w:rsidP="009E4F01">
            <w:pPr>
              <w:keepNext/>
              <w:keepLines/>
              <w:jc w:val="center"/>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11190279"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Production</w:t>
            </w:r>
          </w:p>
        </w:tc>
        <w:tc>
          <w:tcPr>
            <w:tcW w:w="1599" w:type="dxa"/>
            <w:tcBorders>
              <w:top w:val="nil"/>
              <w:left w:val="nil"/>
              <w:bottom w:val="single" w:sz="4" w:space="0" w:color="auto"/>
              <w:right w:val="single" w:sz="4" w:space="0" w:color="auto"/>
            </w:tcBorders>
            <w:shd w:val="clear" w:color="auto" w:fill="auto"/>
            <w:noWrap/>
            <w:vAlign w:val="bottom"/>
            <w:hideMark/>
          </w:tcPr>
          <w:p w14:paraId="07808BD7"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4.06%</w:t>
            </w:r>
          </w:p>
        </w:tc>
        <w:tc>
          <w:tcPr>
            <w:tcW w:w="1562" w:type="dxa"/>
            <w:tcBorders>
              <w:top w:val="nil"/>
              <w:left w:val="nil"/>
              <w:bottom w:val="single" w:sz="4" w:space="0" w:color="auto"/>
              <w:right w:val="single" w:sz="4" w:space="0" w:color="auto"/>
            </w:tcBorders>
            <w:shd w:val="clear" w:color="auto" w:fill="auto"/>
            <w:noWrap/>
            <w:vAlign w:val="bottom"/>
            <w:hideMark/>
          </w:tcPr>
          <w:p w14:paraId="69816D34"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7.79%</w:t>
            </w:r>
          </w:p>
        </w:tc>
        <w:tc>
          <w:tcPr>
            <w:tcW w:w="1769" w:type="dxa"/>
            <w:tcBorders>
              <w:top w:val="nil"/>
              <w:left w:val="nil"/>
              <w:bottom w:val="single" w:sz="4" w:space="0" w:color="auto"/>
              <w:right w:val="single" w:sz="4" w:space="0" w:color="auto"/>
            </w:tcBorders>
            <w:shd w:val="clear" w:color="auto" w:fill="auto"/>
            <w:noWrap/>
            <w:vAlign w:val="bottom"/>
            <w:hideMark/>
          </w:tcPr>
          <w:p w14:paraId="25474347" w14:textId="69F2FB1E"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31,619</w:t>
            </w:r>
          </w:p>
        </w:tc>
        <w:tc>
          <w:tcPr>
            <w:tcW w:w="1574" w:type="dxa"/>
            <w:tcBorders>
              <w:top w:val="nil"/>
              <w:left w:val="nil"/>
              <w:bottom w:val="single" w:sz="4" w:space="0" w:color="auto"/>
              <w:right w:val="single" w:sz="4" w:space="0" w:color="auto"/>
            </w:tcBorders>
            <w:shd w:val="clear" w:color="auto" w:fill="auto"/>
            <w:noWrap/>
            <w:vAlign w:val="bottom"/>
            <w:hideMark/>
          </w:tcPr>
          <w:p w14:paraId="39ECB709" w14:textId="5C70E5C3"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59,880</w:t>
            </w:r>
          </w:p>
        </w:tc>
      </w:tr>
      <w:tr w:rsidR="004272F8" w:rsidRPr="00E204A7" w14:paraId="22609C2B" w14:textId="77777777" w:rsidTr="005E7E1D">
        <w:trPr>
          <w:trHeight w:val="300"/>
        </w:trPr>
        <w:tc>
          <w:tcPr>
            <w:tcW w:w="2215" w:type="dxa"/>
            <w:vMerge/>
            <w:tcBorders>
              <w:top w:val="single" w:sz="4" w:space="0" w:color="auto"/>
              <w:left w:val="single" w:sz="4" w:space="0" w:color="auto"/>
              <w:bottom w:val="single" w:sz="4" w:space="0" w:color="auto"/>
              <w:right w:val="single" w:sz="4" w:space="0" w:color="auto"/>
            </w:tcBorders>
            <w:vAlign w:val="center"/>
            <w:hideMark/>
          </w:tcPr>
          <w:p w14:paraId="51FBB742" w14:textId="77777777" w:rsidR="004272F8" w:rsidRPr="00E204A7" w:rsidRDefault="004272F8" w:rsidP="009E4F01">
            <w:pPr>
              <w:keepNext/>
              <w:keepLines/>
              <w:jc w:val="center"/>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40B232AC"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Transmission</w:t>
            </w:r>
          </w:p>
        </w:tc>
        <w:tc>
          <w:tcPr>
            <w:tcW w:w="1599" w:type="dxa"/>
            <w:tcBorders>
              <w:top w:val="nil"/>
              <w:left w:val="nil"/>
              <w:bottom w:val="single" w:sz="4" w:space="0" w:color="auto"/>
              <w:right w:val="single" w:sz="4" w:space="0" w:color="auto"/>
            </w:tcBorders>
            <w:shd w:val="clear" w:color="auto" w:fill="auto"/>
            <w:noWrap/>
            <w:vAlign w:val="bottom"/>
            <w:hideMark/>
          </w:tcPr>
          <w:p w14:paraId="0F4EC635"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8.00%</w:t>
            </w:r>
          </w:p>
        </w:tc>
        <w:tc>
          <w:tcPr>
            <w:tcW w:w="1562" w:type="dxa"/>
            <w:tcBorders>
              <w:top w:val="nil"/>
              <w:left w:val="nil"/>
              <w:bottom w:val="single" w:sz="4" w:space="0" w:color="auto"/>
              <w:right w:val="single" w:sz="4" w:space="0" w:color="auto"/>
            </w:tcBorders>
            <w:shd w:val="clear" w:color="auto" w:fill="auto"/>
            <w:noWrap/>
            <w:vAlign w:val="bottom"/>
            <w:hideMark/>
          </w:tcPr>
          <w:p w14:paraId="5C168AF0"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7.79%</w:t>
            </w:r>
          </w:p>
        </w:tc>
        <w:tc>
          <w:tcPr>
            <w:tcW w:w="1769" w:type="dxa"/>
            <w:tcBorders>
              <w:top w:val="nil"/>
              <w:left w:val="nil"/>
              <w:bottom w:val="single" w:sz="4" w:space="0" w:color="auto"/>
              <w:right w:val="single" w:sz="4" w:space="0" w:color="auto"/>
            </w:tcBorders>
            <w:shd w:val="clear" w:color="auto" w:fill="auto"/>
            <w:noWrap/>
            <w:vAlign w:val="bottom"/>
            <w:hideMark/>
          </w:tcPr>
          <w:p w14:paraId="67DCEF0E" w14:textId="0109B94D"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32,142</w:t>
            </w:r>
          </w:p>
        </w:tc>
        <w:tc>
          <w:tcPr>
            <w:tcW w:w="1574" w:type="dxa"/>
            <w:tcBorders>
              <w:top w:val="nil"/>
              <w:left w:val="nil"/>
              <w:bottom w:val="single" w:sz="4" w:space="0" w:color="auto"/>
              <w:right w:val="single" w:sz="4" w:space="0" w:color="auto"/>
            </w:tcBorders>
            <w:shd w:val="clear" w:color="auto" w:fill="auto"/>
            <w:noWrap/>
            <w:vAlign w:val="bottom"/>
            <w:hideMark/>
          </w:tcPr>
          <w:p w14:paraId="21CBCC12" w14:textId="104B81CD"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30,772</w:t>
            </w:r>
          </w:p>
        </w:tc>
      </w:tr>
      <w:tr w:rsidR="004272F8" w:rsidRPr="00E204A7" w14:paraId="7EE6D0D6" w14:textId="77777777" w:rsidTr="005E7E1D">
        <w:trPr>
          <w:trHeight w:val="300"/>
        </w:trPr>
        <w:tc>
          <w:tcPr>
            <w:tcW w:w="2215" w:type="dxa"/>
            <w:vMerge/>
            <w:tcBorders>
              <w:top w:val="single" w:sz="4" w:space="0" w:color="auto"/>
              <w:left w:val="single" w:sz="4" w:space="0" w:color="auto"/>
              <w:bottom w:val="single" w:sz="4" w:space="0" w:color="auto"/>
              <w:right w:val="single" w:sz="4" w:space="0" w:color="auto"/>
            </w:tcBorders>
            <w:vAlign w:val="center"/>
            <w:hideMark/>
          </w:tcPr>
          <w:p w14:paraId="6F53D7FD" w14:textId="77777777" w:rsidR="004272F8" w:rsidRPr="00E204A7" w:rsidRDefault="004272F8" w:rsidP="009E4F01">
            <w:pPr>
              <w:keepNext/>
              <w:keepLines/>
              <w:jc w:val="center"/>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7E91F1DA"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Distribution</w:t>
            </w:r>
          </w:p>
        </w:tc>
        <w:tc>
          <w:tcPr>
            <w:tcW w:w="1599" w:type="dxa"/>
            <w:tcBorders>
              <w:top w:val="nil"/>
              <w:left w:val="nil"/>
              <w:bottom w:val="single" w:sz="4" w:space="0" w:color="auto"/>
              <w:right w:val="single" w:sz="4" w:space="0" w:color="auto"/>
            </w:tcBorders>
            <w:shd w:val="clear" w:color="auto" w:fill="auto"/>
            <w:noWrap/>
            <w:vAlign w:val="bottom"/>
            <w:hideMark/>
          </w:tcPr>
          <w:p w14:paraId="3FF83C98"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10.42%</w:t>
            </w:r>
          </w:p>
        </w:tc>
        <w:tc>
          <w:tcPr>
            <w:tcW w:w="1562" w:type="dxa"/>
            <w:tcBorders>
              <w:top w:val="nil"/>
              <w:left w:val="nil"/>
              <w:bottom w:val="single" w:sz="4" w:space="0" w:color="auto"/>
              <w:right w:val="single" w:sz="4" w:space="0" w:color="auto"/>
            </w:tcBorders>
            <w:shd w:val="clear" w:color="auto" w:fill="auto"/>
            <w:noWrap/>
            <w:vAlign w:val="bottom"/>
            <w:hideMark/>
          </w:tcPr>
          <w:p w14:paraId="31396B8F"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7.79%</w:t>
            </w:r>
          </w:p>
        </w:tc>
        <w:tc>
          <w:tcPr>
            <w:tcW w:w="1769" w:type="dxa"/>
            <w:tcBorders>
              <w:top w:val="nil"/>
              <w:left w:val="nil"/>
              <w:bottom w:val="single" w:sz="4" w:space="0" w:color="auto"/>
              <w:right w:val="single" w:sz="4" w:space="0" w:color="auto"/>
            </w:tcBorders>
            <w:shd w:val="clear" w:color="auto" w:fill="auto"/>
            <w:noWrap/>
            <w:vAlign w:val="bottom"/>
            <w:hideMark/>
          </w:tcPr>
          <w:p w14:paraId="02E02CB6" w14:textId="33B1EBB6"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93,302</w:t>
            </w:r>
          </w:p>
        </w:tc>
        <w:tc>
          <w:tcPr>
            <w:tcW w:w="1574" w:type="dxa"/>
            <w:tcBorders>
              <w:top w:val="nil"/>
              <w:left w:val="nil"/>
              <w:bottom w:val="single" w:sz="4" w:space="0" w:color="auto"/>
              <w:right w:val="single" w:sz="4" w:space="0" w:color="auto"/>
            </w:tcBorders>
            <w:shd w:val="clear" w:color="auto" w:fill="auto"/>
            <w:noWrap/>
            <w:vAlign w:val="bottom"/>
            <w:hideMark/>
          </w:tcPr>
          <w:p w14:paraId="6D1FFAD6" w14:textId="304DB42E"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68,433</w:t>
            </w:r>
          </w:p>
        </w:tc>
      </w:tr>
      <w:tr w:rsidR="004272F8" w:rsidRPr="00E204A7" w14:paraId="5D9998B6" w14:textId="77777777" w:rsidTr="005E7E1D">
        <w:trPr>
          <w:trHeight w:val="300"/>
        </w:trPr>
        <w:tc>
          <w:tcPr>
            <w:tcW w:w="2215" w:type="dxa"/>
            <w:vMerge/>
            <w:tcBorders>
              <w:top w:val="single" w:sz="4" w:space="0" w:color="auto"/>
              <w:left w:val="single" w:sz="4" w:space="0" w:color="auto"/>
              <w:bottom w:val="single" w:sz="4" w:space="0" w:color="auto"/>
              <w:right w:val="single" w:sz="4" w:space="0" w:color="auto"/>
            </w:tcBorders>
            <w:vAlign w:val="center"/>
            <w:hideMark/>
          </w:tcPr>
          <w:p w14:paraId="77E6A4A4" w14:textId="77777777" w:rsidR="004272F8" w:rsidRPr="00E204A7" w:rsidRDefault="004272F8" w:rsidP="009E4F01">
            <w:pPr>
              <w:keepNext/>
              <w:keepLines/>
              <w:jc w:val="center"/>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66470E01"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General</w:t>
            </w:r>
          </w:p>
        </w:tc>
        <w:tc>
          <w:tcPr>
            <w:tcW w:w="1599" w:type="dxa"/>
            <w:tcBorders>
              <w:top w:val="nil"/>
              <w:left w:val="nil"/>
              <w:bottom w:val="single" w:sz="4" w:space="0" w:color="auto"/>
              <w:right w:val="single" w:sz="4" w:space="0" w:color="auto"/>
            </w:tcBorders>
            <w:shd w:val="clear" w:color="auto" w:fill="auto"/>
            <w:noWrap/>
            <w:vAlign w:val="bottom"/>
            <w:hideMark/>
          </w:tcPr>
          <w:p w14:paraId="4EF121E4"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16.25%</w:t>
            </w:r>
          </w:p>
        </w:tc>
        <w:tc>
          <w:tcPr>
            <w:tcW w:w="1562" w:type="dxa"/>
            <w:tcBorders>
              <w:top w:val="nil"/>
              <w:left w:val="nil"/>
              <w:bottom w:val="single" w:sz="4" w:space="0" w:color="auto"/>
              <w:right w:val="single" w:sz="4" w:space="0" w:color="auto"/>
            </w:tcBorders>
            <w:shd w:val="clear" w:color="auto" w:fill="auto"/>
            <w:noWrap/>
            <w:vAlign w:val="bottom"/>
            <w:hideMark/>
          </w:tcPr>
          <w:p w14:paraId="13AE0664"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7.79%</w:t>
            </w:r>
          </w:p>
        </w:tc>
        <w:tc>
          <w:tcPr>
            <w:tcW w:w="1769" w:type="dxa"/>
            <w:tcBorders>
              <w:top w:val="nil"/>
              <w:left w:val="nil"/>
              <w:bottom w:val="single" w:sz="4" w:space="0" w:color="auto"/>
              <w:right w:val="single" w:sz="4" w:space="0" w:color="auto"/>
            </w:tcBorders>
            <w:shd w:val="clear" w:color="auto" w:fill="auto"/>
            <w:noWrap/>
            <w:vAlign w:val="bottom"/>
            <w:hideMark/>
          </w:tcPr>
          <w:p w14:paraId="1637E6A6" w14:textId="77374394"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34,578</w:t>
            </w:r>
          </w:p>
        </w:tc>
        <w:tc>
          <w:tcPr>
            <w:tcW w:w="1574" w:type="dxa"/>
            <w:tcBorders>
              <w:top w:val="nil"/>
              <w:left w:val="nil"/>
              <w:bottom w:val="single" w:sz="4" w:space="0" w:color="auto"/>
              <w:right w:val="single" w:sz="4" w:space="0" w:color="auto"/>
            </w:tcBorders>
            <w:shd w:val="clear" w:color="auto" w:fill="auto"/>
            <w:noWrap/>
            <w:vAlign w:val="bottom"/>
            <w:hideMark/>
          </w:tcPr>
          <w:p w14:paraId="79982A3E" w14:textId="14F79F08"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15,938</w:t>
            </w:r>
          </w:p>
        </w:tc>
      </w:tr>
      <w:tr w:rsidR="004272F8" w:rsidRPr="00E204A7" w14:paraId="75D6F2A9" w14:textId="77777777" w:rsidTr="005E7E1D">
        <w:trPr>
          <w:trHeight w:val="300"/>
        </w:trPr>
        <w:tc>
          <w:tcPr>
            <w:tcW w:w="2215" w:type="dxa"/>
            <w:vMerge w:val="restart"/>
            <w:tcBorders>
              <w:top w:val="nil"/>
              <w:left w:val="single" w:sz="4" w:space="0" w:color="auto"/>
              <w:bottom w:val="single" w:sz="4" w:space="0" w:color="auto"/>
              <w:right w:val="single" w:sz="4" w:space="0" w:color="auto"/>
            </w:tcBorders>
            <w:shd w:val="clear" w:color="auto" w:fill="auto"/>
            <w:vAlign w:val="center"/>
            <w:hideMark/>
          </w:tcPr>
          <w:p w14:paraId="6884789F"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Accum. Depr. &amp; Amort.</w:t>
            </w:r>
          </w:p>
        </w:tc>
        <w:tc>
          <w:tcPr>
            <w:tcW w:w="1497" w:type="dxa"/>
            <w:tcBorders>
              <w:top w:val="nil"/>
              <w:left w:val="nil"/>
              <w:bottom w:val="single" w:sz="4" w:space="0" w:color="auto"/>
              <w:right w:val="single" w:sz="4" w:space="0" w:color="auto"/>
            </w:tcBorders>
            <w:shd w:val="clear" w:color="auto" w:fill="auto"/>
            <w:noWrap/>
            <w:vAlign w:val="bottom"/>
            <w:hideMark/>
          </w:tcPr>
          <w:p w14:paraId="3D146B4A"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Intangible</w:t>
            </w:r>
          </w:p>
        </w:tc>
        <w:tc>
          <w:tcPr>
            <w:tcW w:w="1599" w:type="dxa"/>
            <w:tcBorders>
              <w:top w:val="nil"/>
              <w:left w:val="nil"/>
              <w:bottom w:val="single" w:sz="4" w:space="0" w:color="auto"/>
              <w:right w:val="single" w:sz="4" w:space="0" w:color="auto"/>
            </w:tcBorders>
            <w:shd w:val="clear" w:color="auto" w:fill="auto"/>
            <w:noWrap/>
            <w:vAlign w:val="bottom"/>
            <w:hideMark/>
          </w:tcPr>
          <w:p w14:paraId="5364D591" w14:textId="3C85A9BE"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1</w:t>
            </w:r>
            <w:r w:rsidR="003717D8">
              <w:rPr>
                <w:rFonts w:ascii="Calibri" w:eastAsia="Times New Roman" w:hAnsi="Calibri"/>
                <w:color w:val="000000"/>
                <w:sz w:val="22"/>
                <w:szCs w:val="22"/>
              </w:rPr>
              <w:t>7.67</w:t>
            </w:r>
            <w:r w:rsidRPr="00E204A7">
              <w:rPr>
                <w:rFonts w:ascii="Calibri" w:eastAsia="Times New Roman" w:hAnsi="Calibri"/>
                <w:color w:val="000000"/>
                <w:sz w:val="22"/>
                <w:szCs w:val="22"/>
              </w:rPr>
              <w:t>%</w:t>
            </w:r>
          </w:p>
        </w:tc>
        <w:tc>
          <w:tcPr>
            <w:tcW w:w="1562" w:type="dxa"/>
            <w:tcBorders>
              <w:top w:val="nil"/>
              <w:left w:val="nil"/>
              <w:bottom w:val="single" w:sz="4" w:space="0" w:color="auto"/>
              <w:right w:val="single" w:sz="4" w:space="0" w:color="auto"/>
            </w:tcBorders>
            <w:shd w:val="clear" w:color="auto" w:fill="auto"/>
            <w:noWrap/>
            <w:vAlign w:val="bottom"/>
            <w:hideMark/>
          </w:tcPr>
          <w:p w14:paraId="5E61F3CA"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7.79%</w:t>
            </w:r>
          </w:p>
        </w:tc>
        <w:tc>
          <w:tcPr>
            <w:tcW w:w="1769" w:type="dxa"/>
            <w:tcBorders>
              <w:top w:val="nil"/>
              <w:left w:val="nil"/>
              <w:bottom w:val="single" w:sz="4" w:space="0" w:color="auto"/>
              <w:right w:val="single" w:sz="4" w:space="0" w:color="auto"/>
            </w:tcBorders>
            <w:shd w:val="clear" w:color="auto" w:fill="auto"/>
            <w:noWrap/>
            <w:vAlign w:val="bottom"/>
            <w:hideMark/>
          </w:tcPr>
          <w:p w14:paraId="6ED27D99" w14:textId="091A4D13"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(4,</w:t>
            </w:r>
            <w:r w:rsidR="003717D8">
              <w:rPr>
                <w:rFonts w:ascii="Calibri" w:eastAsia="Times New Roman" w:hAnsi="Calibri"/>
                <w:color w:val="000000"/>
                <w:sz w:val="22"/>
                <w:szCs w:val="22"/>
              </w:rPr>
              <w:t>407</w:t>
            </w:r>
            <w:r w:rsidRPr="00E204A7">
              <w:rPr>
                <w:rFonts w:ascii="Calibri" w:eastAsia="Times New Roman" w:hAnsi="Calibri"/>
                <w:color w:val="000000"/>
                <w:sz w:val="22"/>
                <w:szCs w:val="22"/>
              </w:rPr>
              <w:t>)</w:t>
            </w:r>
          </w:p>
        </w:tc>
        <w:tc>
          <w:tcPr>
            <w:tcW w:w="1574" w:type="dxa"/>
            <w:tcBorders>
              <w:top w:val="nil"/>
              <w:left w:val="nil"/>
              <w:bottom w:val="single" w:sz="4" w:space="0" w:color="auto"/>
              <w:right w:val="single" w:sz="4" w:space="0" w:color="auto"/>
            </w:tcBorders>
            <w:shd w:val="clear" w:color="auto" w:fill="auto"/>
            <w:noWrap/>
            <w:vAlign w:val="bottom"/>
            <w:hideMark/>
          </w:tcPr>
          <w:p w14:paraId="1C294208" w14:textId="6848B8B1"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(1,934)</w:t>
            </w:r>
          </w:p>
        </w:tc>
      </w:tr>
      <w:tr w:rsidR="004272F8" w:rsidRPr="00E204A7" w14:paraId="5924CAE6" w14:textId="77777777" w:rsidTr="005E7E1D">
        <w:trPr>
          <w:trHeight w:val="300"/>
        </w:trPr>
        <w:tc>
          <w:tcPr>
            <w:tcW w:w="2215" w:type="dxa"/>
            <w:vMerge/>
            <w:tcBorders>
              <w:top w:val="nil"/>
              <w:left w:val="single" w:sz="4" w:space="0" w:color="auto"/>
              <w:bottom w:val="single" w:sz="4" w:space="0" w:color="auto"/>
              <w:right w:val="single" w:sz="4" w:space="0" w:color="auto"/>
            </w:tcBorders>
            <w:vAlign w:val="center"/>
            <w:hideMark/>
          </w:tcPr>
          <w:p w14:paraId="522841B8" w14:textId="77777777" w:rsidR="004272F8" w:rsidRPr="00E204A7" w:rsidRDefault="004272F8" w:rsidP="009E4F01">
            <w:pPr>
              <w:keepNext/>
              <w:keepLines/>
              <w:jc w:val="center"/>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6D6E014A"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Production</w:t>
            </w:r>
          </w:p>
        </w:tc>
        <w:tc>
          <w:tcPr>
            <w:tcW w:w="1599" w:type="dxa"/>
            <w:tcBorders>
              <w:top w:val="nil"/>
              <w:left w:val="nil"/>
              <w:bottom w:val="single" w:sz="4" w:space="0" w:color="auto"/>
              <w:right w:val="single" w:sz="4" w:space="0" w:color="auto"/>
            </w:tcBorders>
            <w:shd w:val="clear" w:color="auto" w:fill="auto"/>
            <w:noWrap/>
            <w:vAlign w:val="bottom"/>
            <w:hideMark/>
          </w:tcPr>
          <w:p w14:paraId="30345EBB"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8.18%</w:t>
            </w:r>
          </w:p>
        </w:tc>
        <w:tc>
          <w:tcPr>
            <w:tcW w:w="1562" w:type="dxa"/>
            <w:tcBorders>
              <w:top w:val="nil"/>
              <w:left w:val="nil"/>
              <w:bottom w:val="single" w:sz="4" w:space="0" w:color="auto"/>
              <w:right w:val="single" w:sz="4" w:space="0" w:color="auto"/>
            </w:tcBorders>
            <w:shd w:val="clear" w:color="auto" w:fill="auto"/>
            <w:noWrap/>
            <w:vAlign w:val="bottom"/>
            <w:hideMark/>
          </w:tcPr>
          <w:p w14:paraId="642306AB"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7.79%</w:t>
            </w:r>
          </w:p>
        </w:tc>
        <w:tc>
          <w:tcPr>
            <w:tcW w:w="1769" w:type="dxa"/>
            <w:tcBorders>
              <w:top w:val="nil"/>
              <w:left w:val="nil"/>
              <w:bottom w:val="single" w:sz="4" w:space="0" w:color="auto"/>
              <w:right w:val="single" w:sz="4" w:space="0" w:color="auto"/>
            </w:tcBorders>
            <w:shd w:val="clear" w:color="auto" w:fill="auto"/>
            <w:noWrap/>
            <w:vAlign w:val="bottom"/>
            <w:hideMark/>
          </w:tcPr>
          <w:p w14:paraId="2EC3CD0D" w14:textId="48E2536A"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(27,876)</w:t>
            </w:r>
          </w:p>
        </w:tc>
        <w:tc>
          <w:tcPr>
            <w:tcW w:w="1574" w:type="dxa"/>
            <w:tcBorders>
              <w:top w:val="nil"/>
              <w:left w:val="nil"/>
              <w:bottom w:val="single" w:sz="4" w:space="0" w:color="auto"/>
              <w:right w:val="single" w:sz="4" w:space="0" w:color="auto"/>
            </w:tcBorders>
            <w:shd w:val="clear" w:color="auto" w:fill="auto"/>
            <w:noWrap/>
            <w:vAlign w:val="bottom"/>
            <w:hideMark/>
          </w:tcPr>
          <w:p w14:paraId="289E3A06" w14:textId="2DA6DFAD"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(26,232)</w:t>
            </w:r>
          </w:p>
        </w:tc>
      </w:tr>
      <w:tr w:rsidR="004272F8" w:rsidRPr="00E204A7" w14:paraId="65452996" w14:textId="77777777" w:rsidTr="005E7E1D">
        <w:trPr>
          <w:trHeight w:val="300"/>
        </w:trPr>
        <w:tc>
          <w:tcPr>
            <w:tcW w:w="2215" w:type="dxa"/>
            <w:vMerge/>
            <w:tcBorders>
              <w:top w:val="nil"/>
              <w:left w:val="single" w:sz="4" w:space="0" w:color="auto"/>
              <w:bottom w:val="single" w:sz="4" w:space="0" w:color="auto"/>
              <w:right w:val="single" w:sz="4" w:space="0" w:color="auto"/>
            </w:tcBorders>
            <w:vAlign w:val="center"/>
            <w:hideMark/>
          </w:tcPr>
          <w:p w14:paraId="7388C7C5" w14:textId="77777777" w:rsidR="004272F8" w:rsidRPr="00E204A7" w:rsidRDefault="004272F8" w:rsidP="009E4F01">
            <w:pPr>
              <w:keepNext/>
              <w:keepLines/>
              <w:jc w:val="center"/>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6164D82F"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Transmission</w:t>
            </w:r>
          </w:p>
        </w:tc>
        <w:tc>
          <w:tcPr>
            <w:tcW w:w="1599" w:type="dxa"/>
            <w:tcBorders>
              <w:top w:val="nil"/>
              <w:left w:val="nil"/>
              <w:bottom w:val="single" w:sz="4" w:space="0" w:color="auto"/>
              <w:right w:val="single" w:sz="4" w:space="0" w:color="auto"/>
            </w:tcBorders>
            <w:shd w:val="clear" w:color="auto" w:fill="auto"/>
            <w:noWrap/>
            <w:vAlign w:val="bottom"/>
            <w:hideMark/>
          </w:tcPr>
          <w:p w14:paraId="74C67A95"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7.68%</w:t>
            </w:r>
          </w:p>
        </w:tc>
        <w:tc>
          <w:tcPr>
            <w:tcW w:w="1562" w:type="dxa"/>
            <w:tcBorders>
              <w:top w:val="nil"/>
              <w:left w:val="nil"/>
              <w:bottom w:val="single" w:sz="4" w:space="0" w:color="auto"/>
              <w:right w:val="single" w:sz="4" w:space="0" w:color="auto"/>
            </w:tcBorders>
            <w:shd w:val="clear" w:color="auto" w:fill="auto"/>
            <w:noWrap/>
            <w:vAlign w:val="bottom"/>
            <w:hideMark/>
          </w:tcPr>
          <w:p w14:paraId="7D599B77"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7.79%</w:t>
            </w:r>
          </w:p>
        </w:tc>
        <w:tc>
          <w:tcPr>
            <w:tcW w:w="1769" w:type="dxa"/>
            <w:tcBorders>
              <w:top w:val="nil"/>
              <w:left w:val="nil"/>
              <w:bottom w:val="single" w:sz="4" w:space="0" w:color="auto"/>
              <w:right w:val="single" w:sz="4" w:space="0" w:color="auto"/>
            </w:tcBorders>
            <w:shd w:val="clear" w:color="auto" w:fill="auto"/>
            <w:noWrap/>
            <w:vAlign w:val="bottom"/>
            <w:hideMark/>
          </w:tcPr>
          <w:p w14:paraId="71AE0F73" w14:textId="75DFC556"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(9,977)</w:t>
            </w:r>
          </w:p>
        </w:tc>
        <w:tc>
          <w:tcPr>
            <w:tcW w:w="1574" w:type="dxa"/>
            <w:tcBorders>
              <w:top w:val="nil"/>
              <w:left w:val="nil"/>
              <w:bottom w:val="single" w:sz="4" w:space="0" w:color="auto"/>
              <w:right w:val="single" w:sz="4" w:space="0" w:color="auto"/>
            </w:tcBorders>
            <w:shd w:val="clear" w:color="auto" w:fill="auto"/>
            <w:noWrap/>
            <w:vAlign w:val="bottom"/>
            <w:hideMark/>
          </w:tcPr>
          <w:p w14:paraId="3D93AC48" w14:textId="24A27E1D"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(9,920)</w:t>
            </w:r>
          </w:p>
        </w:tc>
      </w:tr>
      <w:tr w:rsidR="004272F8" w:rsidRPr="00E204A7" w14:paraId="5BD1F47B" w14:textId="77777777" w:rsidTr="005E7E1D">
        <w:trPr>
          <w:trHeight w:val="300"/>
        </w:trPr>
        <w:tc>
          <w:tcPr>
            <w:tcW w:w="2215" w:type="dxa"/>
            <w:vMerge/>
            <w:tcBorders>
              <w:top w:val="nil"/>
              <w:left w:val="single" w:sz="4" w:space="0" w:color="auto"/>
              <w:bottom w:val="single" w:sz="4" w:space="0" w:color="auto"/>
              <w:right w:val="single" w:sz="4" w:space="0" w:color="auto"/>
            </w:tcBorders>
            <w:vAlign w:val="center"/>
            <w:hideMark/>
          </w:tcPr>
          <w:p w14:paraId="29593AC2" w14:textId="77777777" w:rsidR="004272F8" w:rsidRPr="00E204A7" w:rsidRDefault="004272F8" w:rsidP="009E4F01">
            <w:pPr>
              <w:keepNext/>
              <w:keepLines/>
              <w:jc w:val="center"/>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5F2FE118"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Distribution</w:t>
            </w:r>
          </w:p>
        </w:tc>
        <w:tc>
          <w:tcPr>
            <w:tcW w:w="1599" w:type="dxa"/>
            <w:tcBorders>
              <w:top w:val="nil"/>
              <w:left w:val="nil"/>
              <w:bottom w:val="single" w:sz="4" w:space="0" w:color="auto"/>
              <w:right w:val="single" w:sz="4" w:space="0" w:color="auto"/>
            </w:tcBorders>
            <w:shd w:val="clear" w:color="auto" w:fill="auto"/>
            <w:noWrap/>
            <w:vAlign w:val="bottom"/>
            <w:hideMark/>
          </w:tcPr>
          <w:p w14:paraId="4ADB2D89"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10.03%</w:t>
            </w:r>
          </w:p>
        </w:tc>
        <w:tc>
          <w:tcPr>
            <w:tcW w:w="1562" w:type="dxa"/>
            <w:tcBorders>
              <w:top w:val="nil"/>
              <w:left w:val="nil"/>
              <w:bottom w:val="single" w:sz="4" w:space="0" w:color="auto"/>
              <w:right w:val="single" w:sz="4" w:space="0" w:color="auto"/>
            </w:tcBorders>
            <w:shd w:val="clear" w:color="auto" w:fill="auto"/>
            <w:noWrap/>
            <w:vAlign w:val="bottom"/>
            <w:hideMark/>
          </w:tcPr>
          <w:p w14:paraId="556EB61D"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7.79%</w:t>
            </w:r>
          </w:p>
        </w:tc>
        <w:tc>
          <w:tcPr>
            <w:tcW w:w="1769" w:type="dxa"/>
            <w:tcBorders>
              <w:top w:val="nil"/>
              <w:left w:val="nil"/>
              <w:bottom w:val="single" w:sz="4" w:space="0" w:color="auto"/>
              <w:right w:val="single" w:sz="4" w:space="0" w:color="auto"/>
            </w:tcBorders>
            <w:shd w:val="clear" w:color="auto" w:fill="auto"/>
            <w:noWrap/>
            <w:vAlign w:val="bottom"/>
            <w:hideMark/>
          </w:tcPr>
          <w:p w14:paraId="134D4C1B" w14:textId="08CCDA68"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(27,225)</w:t>
            </w:r>
          </w:p>
        </w:tc>
        <w:tc>
          <w:tcPr>
            <w:tcW w:w="1574" w:type="dxa"/>
            <w:tcBorders>
              <w:top w:val="nil"/>
              <w:left w:val="nil"/>
              <w:bottom w:val="single" w:sz="4" w:space="0" w:color="auto"/>
              <w:right w:val="single" w:sz="4" w:space="0" w:color="auto"/>
            </w:tcBorders>
            <w:shd w:val="clear" w:color="auto" w:fill="auto"/>
            <w:noWrap/>
            <w:vAlign w:val="bottom"/>
            <w:hideMark/>
          </w:tcPr>
          <w:p w14:paraId="176D6BEC" w14:textId="35E3804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(21,312)</w:t>
            </w:r>
          </w:p>
        </w:tc>
      </w:tr>
      <w:tr w:rsidR="004272F8" w:rsidRPr="00E204A7" w14:paraId="22C70C74" w14:textId="77777777" w:rsidTr="005E7E1D">
        <w:trPr>
          <w:trHeight w:val="300"/>
        </w:trPr>
        <w:tc>
          <w:tcPr>
            <w:tcW w:w="2215" w:type="dxa"/>
            <w:vMerge/>
            <w:tcBorders>
              <w:top w:val="nil"/>
              <w:left w:val="single" w:sz="4" w:space="0" w:color="auto"/>
              <w:bottom w:val="single" w:sz="4" w:space="0" w:color="auto"/>
              <w:right w:val="single" w:sz="4" w:space="0" w:color="auto"/>
            </w:tcBorders>
            <w:vAlign w:val="center"/>
            <w:hideMark/>
          </w:tcPr>
          <w:p w14:paraId="209CF1EB" w14:textId="77777777" w:rsidR="004272F8" w:rsidRPr="00E204A7" w:rsidRDefault="004272F8" w:rsidP="009E4F01">
            <w:pPr>
              <w:keepNext/>
              <w:keepLines/>
              <w:jc w:val="center"/>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3FF9990A"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General</w:t>
            </w:r>
          </w:p>
        </w:tc>
        <w:tc>
          <w:tcPr>
            <w:tcW w:w="1599" w:type="dxa"/>
            <w:tcBorders>
              <w:top w:val="nil"/>
              <w:left w:val="nil"/>
              <w:bottom w:val="single" w:sz="4" w:space="0" w:color="auto"/>
              <w:right w:val="single" w:sz="4" w:space="0" w:color="auto"/>
            </w:tcBorders>
            <w:shd w:val="clear" w:color="auto" w:fill="auto"/>
            <w:noWrap/>
            <w:vAlign w:val="bottom"/>
            <w:hideMark/>
          </w:tcPr>
          <w:p w14:paraId="6570F836" w14:textId="27D9DBA0" w:rsidR="004272F8" w:rsidRPr="00E204A7" w:rsidRDefault="004272F8" w:rsidP="003717D8">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12.7</w:t>
            </w:r>
            <w:r w:rsidR="003717D8">
              <w:rPr>
                <w:rFonts w:ascii="Calibri" w:eastAsia="Times New Roman" w:hAnsi="Calibri"/>
                <w:color w:val="000000"/>
                <w:sz w:val="22"/>
                <w:szCs w:val="22"/>
              </w:rPr>
              <w:t>26</w:t>
            </w:r>
            <w:r w:rsidRPr="00E204A7">
              <w:rPr>
                <w:rFonts w:ascii="Calibri" w:eastAsia="Times New Roman" w:hAnsi="Calibri"/>
                <w:color w:val="000000"/>
                <w:sz w:val="22"/>
                <w:szCs w:val="22"/>
              </w:rPr>
              <w:t>%</w:t>
            </w:r>
          </w:p>
        </w:tc>
        <w:tc>
          <w:tcPr>
            <w:tcW w:w="1562" w:type="dxa"/>
            <w:tcBorders>
              <w:top w:val="nil"/>
              <w:left w:val="nil"/>
              <w:bottom w:val="single" w:sz="4" w:space="0" w:color="auto"/>
              <w:right w:val="single" w:sz="4" w:space="0" w:color="auto"/>
            </w:tcBorders>
            <w:shd w:val="clear" w:color="auto" w:fill="auto"/>
            <w:noWrap/>
            <w:vAlign w:val="bottom"/>
            <w:hideMark/>
          </w:tcPr>
          <w:p w14:paraId="39EF18D1"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7.79%</w:t>
            </w:r>
          </w:p>
        </w:tc>
        <w:tc>
          <w:tcPr>
            <w:tcW w:w="1769" w:type="dxa"/>
            <w:tcBorders>
              <w:top w:val="nil"/>
              <w:left w:val="nil"/>
              <w:bottom w:val="single" w:sz="4" w:space="0" w:color="auto"/>
              <w:right w:val="single" w:sz="4" w:space="0" w:color="auto"/>
            </w:tcBorders>
            <w:shd w:val="clear" w:color="auto" w:fill="auto"/>
            <w:noWrap/>
            <w:vAlign w:val="bottom"/>
            <w:hideMark/>
          </w:tcPr>
          <w:p w14:paraId="2497E4AA" w14:textId="540640B1"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w:t>
            </w:r>
            <w:r w:rsidR="003717D8">
              <w:rPr>
                <w:rFonts w:ascii="Calibri" w:eastAsia="Times New Roman" w:hAnsi="Calibri"/>
                <w:color w:val="000000"/>
                <w:sz w:val="22"/>
                <w:szCs w:val="22"/>
              </w:rPr>
              <w:t>8</w:t>
            </w:r>
            <w:r w:rsidRPr="00E204A7">
              <w:rPr>
                <w:rFonts w:ascii="Calibri" w:eastAsia="Times New Roman" w:hAnsi="Calibri"/>
                <w:color w:val="000000"/>
                <w:sz w:val="22"/>
                <w:szCs w:val="22"/>
              </w:rPr>
              <w:t>,</w:t>
            </w:r>
            <w:r w:rsidR="003717D8">
              <w:rPr>
                <w:rFonts w:ascii="Calibri" w:eastAsia="Times New Roman" w:hAnsi="Calibri"/>
                <w:color w:val="000000"/>
                <w:sz w:val="22"/>
                <w:szCs w:val="22"/>
              </w:rPr>
              <w:t>957</w:t>
            </w:r>
            <w:r w:rsidRPr="00E204A7">
              <w:rPr>
                <w:rFonts w:ascii="Calibri" w:eastAsia="Times New Roman" w:hAnsi="Calibri"/>
                <w:color w:val="000000"/>
                <w:sz w:val="22"/>
                <w:szCs w:val="22"/>
              </w:rPr>
              <w:t>)</w:t>
            </w:r>
          </w:p>
        </w:tc>
        <w:tc>
          <w:tcPr>
            <w:tcW w:w="1574" w:type="dxa"/>
            <w:tcBorders>
              <w:top w:val="nil"/>
              <w:left w:val="nil"/>
              <w:bottom w:val="single" w:sz="4" w:space="0" w:color="auto"/>
              <w:right w:val="single" w:sz="4" w:space="0" w:color="auto"/>
            </w:tcBorders>
            <w:shd w:val="clear" w:color="auto" w:fill="auto"/>
            <w:noWrap/>
            <w:vAlign w:val="bottom"/>
            <w:hideMark/>
          </w:tcPr>
          <w:p w14:paraId="722C2652" w14:textId="341BC45F"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(5,338)</w:t>
            </w:r>
          </w:p>
        </w:tc>
      </w:tr>
      <w:tr w:rsidR="004272F8" w:rsidRPr="00E204A7" w14:paraId="71A36B3E" w14:textId="77777777" w:rsidTr="005E7E1D">
        <w:trPr>
          <w:trHeight w:val="300"/>
        </w:trPr>
        <w:tc>
          <w:tcPr>
            <w:tcW w:w="37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590F0"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Net Plant</w:t>
            </w:r>
          </w:p>
        </w:tc>
        <w:tc>
          <w:tcPr>
            <w:tcW w:w="1599" w:type="dxa"/>
            <w:tcBorders>
              <w:top w:val="nil"/>
              <w:left w:val="nil"/>
              <w:bottom w:val="single" w:sz="4" w:space="0" w:color="auto"/>
              <w:right w:val="single" w:sz="4" w:space="0" w:color="auto"/>
            </w:tcBorders>
            <w:shd w:val="clear" w:color="auto" w:fill="auto"/>
            <w:noWrap/>
            <w:vAlign w:val="bottom"/>
            <w:hideMark/>
          </w:tcPr>
          <w:p w14:paraId="27061604"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w:t>
            </w:r>
          </w:p>
        </w:tc>
        <w:tc>
          <w:tcPr>
            <w:tcW w:w="1562" w:type="dxa"/>
            <w:tcBorders>
              <w:top w:val="nil"/>
              <w:left w:val="nil"/>
              <w:bottom w:val="single" w:sz="4" w:space="0" w:color="auto"/>
              <w:right w:val="single" w:sz="4" w:space="0" w:color="auto"/>
            </w:tcBorders>
            <w:shd w:val="clear" w:color="auto" w:fill="auto"/>
            <w:noWrap/>
            <w:vAlign w:val="bottom"/>
            <w:hideMark/>
          </w:tcPr>
          <w:p w14:paraId="2F874E3A"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w:t>
            </w:r>
          </w:p>
        </w:tc>
        <w:tc>
          <w:tcPr>
            <w:tcW w:w="1769" w:type="dxa"/>
            <w:tcBorders>
              <w:top w:val="nil"/>
              <w:left w:val="nil"/>
              <w:bottom w:val="single" w:sz="4" w:space="0" w:color="auto"/>
              <w:right w:val="single" w:sz="4" w:space="0" w:color="auto"/>
            </w:tcBorders>
            <w:shd w:val="clear" w:color="auto" w:fill="auto"/>
            <w:noWrap/>
            <w:vAlign w:val="bottom"/>
            <w:hideMark/>
          </w:tcPr>
          <w:p w14:paraId="74D0D871" w14:textId="1AFBDB4E"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140,107</w:t>
            </w:r>
          </w:p>
        </w:tc>
        <w:tc>
          <w:tcPr>
            <w:tcW w:w="1574" w:type="dxa"/>
            <w:tcBorders>
              <w:top w:val="nil"/>
              <w:left w:val="nil"/>
              <w:bottom w:val="single" w:sz="4" w:space="0" w:color="auto"/>
              <w:right w:val="single" w:sz="4" w:space="0" w:color="auto"/>
            </w:tcBorders>
            <w:shd w:val="clear" w:color="auto" w:fill="auto"/>
            <w:noWrap/>
            <w:vAlign w:val="bottom"/>
            <w:hideMark/>
          </w:tcPr>
          <w:p w14:paraId="0B0C4AEF" w14:textId="1AE7FC0B"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       121,979</w:t>
            </w:r>
          </w:p>
        </w:tc>
      </w:tr>
    </w:tbl>
    <w:p w14:paraId="2556211C" w14:textId="77777777" w:rsidR="004272F8" w:rsidRDefault="004272F8" w:rsidP="009E4F01">
      <w:pPr>
        <w:pStyle w:val="NoSpacing"/>
      </w:pPr>
    </w:p>
    <w:p w14:paraId="7441051D" w14:textId="37849E27" w:rsidR="004272F8" w:rsidRPr="004B5B03" w:rsidRDefault="004272F8" w:rsidP="009E4F01">
      <w:pPr>
        <w:pStyle w:val="NoSpacing"/>
        <w:keepNext/>
        <w:keepLines/>
        <w:spacing w:line="240" w:lineRule="auto"/>
        <w:jc w:val="center"/>
        <w:rPr>
          <w:b/>
        </w:rPr>
      </w:pPr>
      <w:r w:rsidRPr="00F3284B">
        <w:rPr>
          <w:b/>
        </w:rPr>
        <w:t xml:space="preserve">Table </w:t>
      </w:r>
      <w:r w:rsidR="00F3284B">
        <w:rPr>
          <w:b/>
        </w:rPr>
        <w:t>6</w:t>
      </w:r>
    </w:p>
    <w:tbl>
      <w:tblPr>
        <w:tblW w:w="9980" w:type="dxa"/>
        <w:tblLook w:val="04A0" w:firstRow="1" w:lastRow="0" w:firstColumn="1" w:lastColumn="0" w:noHBand="0" w:noVBand="1"/>
      </w:tblPr>
      <w:tblGrid>
        <w:gridCol w:w="1979"/>
        <w:gridCol w:w="1497"/>
        <w:gridCol w:w="1599"/>
        <w:gridCol w:w="1562"/>
        <w:gridCol w:w="1769"/>
        <w:gridCol w:w="1574"/>
      </w:tblGrid>
      <w:tr w:rsidR="004272F8" w:rsidRPr="00E204A7" w14:paraId="21D0D39E" w14:textId="77777777" w:rsidTr="001F5258">
        <w:trPr>
          <w:trHeight w:val="300"/>
        </w:trPr>
        <w:tc>
          <w:tcPr>
            <w:tcW w:w="1979" w:type="dxa"/>
            <w:tcBorders>
              <w:top w:val="nil"/>
              <w:left w:val="nil"/>
              <w:bottom w:val="nil"/>
              <w:right w:val="nil"/>
            </w:tcBorders>
            <w:shd w:val="clear" w:color="auto" w:fill="auto"/>
            <w:noWrap/>
            <w:vAlign w:val="bottom"/>
            <w:hideMark/>
          </w:tcPr>
          <w:p w14:paraId="7D6E107C" w14:textId="77777777" w:rsidR="004272F8" w:rsidRPr="00E204A7" w:rsidRDefault="004272F8" w:rsidP="009E4F01">
            <w:pPr>
              <w:keepNext/>
              <w:keepLines/>
              <w:rPr>
                <w:rFonts w:eastAsia="Times New Roman"/>
              </w:rPr>
            </w:pPr>
          </w:p>
        </w:tc>
        <w:tc>
          <w:tcPr>
            <w:tcW w:w="1497" w:type="dxa"/>
            <w:tcBorders>
              <w:top w:val="nil"/>
              <w:left w:val="nil"/>
              <w:bottom w:val="nil"/>
              <w:right w:val="nil"/>
            </w:tcBorders>
            <w:shd w:val="clear" w:color="auto" w:fill="auto"/>
            <w:noWrap/>
            <w:vAlign w:val="bottom"/>
            <w:hideMark/>
          </w:tcPr>
          <w:p w14:paraId="027B5512" w14:textId="77777777" w:rsidR="004272F8" w:rsidRPr="00E204A7" w:rsidRDefault="004272F8" w:rsidP="009E4F01">
            <w:pPr>
              <w:keepNext/>
              <w:keepLines/>
              <w:rPr>
                <w:rFonts w:eastAsia="Times New Roman"/>
                <w:sz w:val="20"/>
                <w:szCs w:val="20"/>
              </w:rPr>
            </w:pPr>
          </w:p>
        </w:tc>
        <w:tc>
          <w:tcPr>
            <w:tcW w:w="6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B35EE" w14:textId="77777777" w:rsidR="004272F8" w:rsidRPr="00E204A7" w:rsidRDefault="004272F8" w:rsidP="009E4F01">
            <w:pPr>
              <w:keepNext/>
              <w:keepLines/>
              <w:jc w:val="center"/>
              <w:rPr>
                <w:rFonts w:ascii="Calibri" w:eastAsia="Times New Roman" w:hAnsi="Calibri"/>
                <w:b/>
                <w:bCs/>
                <w:color w:val="000000"/>
                <w:sz w:val="22"/>
                <w:szCs w:val="22"/>
              </w:rPr>
            </w:pPr>
            <w:r w:rsidRPr="00E204A7">
              <w:rPr>
                <w:rFonts w:ascii="Calibri" w:eastAsia="Times New Roman" w:hAnsi="Calibri"/>
                <w:b/>
                <w:bCs/>
                <w:color w:val="000000"/>
                <w:sz w:val="22"/>
                <w:szCs w:val="22"/>
              </w:rPr>
              <w:t>Electric, 12ME Jun 2018</w:t>
            </w:r>
          </w:p>
        </w:tc>
      </w:tr>
      <w:tr w:rsidR="004272F8" w:rsidRPr="00E204A7" w14:paraId="23079375" w14:textId="77777777" w:rsidTr="001F5258">
        <w:trPr>
          <w:trHeight w:val="300"/>
        </w:trPr>
        <w:tc>
          <w:tcPr>
            <w:tcW w:w="1979" w:type="dxa"/>
            <w:tcBorders>
              <w:top w:val="nil"/>
              <w:left w:val="nil"/>
              <w:bottom w:val="nil"/>
              <w:right w:val="nil"/>
            </w:tcBorders>
            <w:shd w:val="clear" w:color="auto" w:fill="auto"/>
            <w:noWrap/>
            <w:vAlign w:val="bottom"/>
            <w:hideMark/>
          </w:tcPr>
          <w:p w14:paraId="63530AF2" w14:textId="77777777" w:rsidR="004272F8" w:rsidRPr="00E204A7" w:rsidRDefault="004272F8" w:rsidP="009E4F01">
            <w:pPr>
              <w:keepNext/>
              <w:keepLines/>
              <w:jc w:val="center"/>
              <w:rPr>
                <w:rFonts w:ascii="Calibri" w:eastAsia="Times New Roman" w:hAnsi="Calibri"/>
                <w:b/>
                <w:bCs/>
                <w:color w:val="000000"/>
                <w:sz w:val="22"/>
                <w:szCs w:val="22"/>
              </w:rPr>
            </w:pPr>
          </w:p>
        </w:tc>
        <w:tc>
          <w:tcPr>
            <w:tcW w:w="1497" w:type="dxa"/>
            <w:tcBorders>
              <w:top w:val="nil"/>
              <w:left w:val="nil"/>
              <w:bottom w:val="nil"/>
              <w:right w:val="nil"/>
            </w:tcBorders>
            <w:shd w:val="clear" w:color="auto" w:fill="auto"/>
            <w:noWrap/>
            <w:vAlign w:val="bottom"/>
            <w:hideMark/>
          </w:tcPr>
          <w:p w14:paraId="03D7C8C0" w14:textId="77777777" w:rsidR="004272F8" w:rsidRPr="00E204A7" w:rsidRDefault="004272F8" w:rsidP="009E4F01">
            <w:pPr>
              <w:keepNext/>
              <w:keepLines/>
              <w:rPr>
                <w:rFonts w:eastAsia="Times New Roman"/>
                <w:sz w:val="20"/>
                <w:szCs w:val="20"/>
              </w:rPr>
            </w:pP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083D1145"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Staff Escalator</w:t>
            </w:r>
          </w:p>
        </w:tc>
        <w:tc>
          <w:tcPr>
            <w:tcW w:w="1562" w:type="dxa"/>
            <w:tcBorders>
              <w:top w:val="nil"/>
              <w:left w:val="nil"/>
              <w:bottom w:val="single" w:sz="4" w:space="0" w:color="auto"/>
              <w:right w:val="single" w:sz="4" w:space="0" w:color="auto"/>
            </w:tcBorders>
            <w:shd w:val="clear" w:color="auto" w:fill="auto"/>
            <w:noWrap/>
            <w:vAlign w:val="bottom"/>
            <w:hideMark/>
          </w:tcPr>
          <w:p w14:paraId="29CC3B4A"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AVA Escalator</w:t>
            </w:r>
          </w:p>
        </w:tc>
        <w:tc>
          <w:tcPr>
            <w:tcW w:w="1769" w:type="dxa"/>
            <w:tcBorders>
              <w:top w:val="nil"/>
              <w:left w:val="nil"/>
              <w:bottom w:val="single" w:sz="4" w:space="0" w:color="auto"/>
              <w:right w:val="single" w:sz="4" w:space="0" w:color="auto"/>
            </w:tcBorders>
            <w:shd w:val="clear" w:color="auto" w:fill="auto"/>
            <w:noWrap/>
            <w:vAlign w:val="bottom"/>
            <w:hideMark/>
          </w:tcPr>
          <w:p w14:paraId="1B0B5AB4"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Staff $</w:t>
            </w:r>
          </w:p>
        </w:tc>
        <w:tc>
          <w:tcPr>
            <w:tcW w:w="1574" w:type="dxa"/>
            <w:tcBorders>
              <w:top w:val="nil"/>
              <w:left w:val="nil"/>
              <w:bottom w:val="single" w:sz="4" w:space="0" w:color="auto"/>
              <w:right w:val="single" w:sz="4" w:space="0" w:color="auto"/>
            </w:tcBorders>
            <w:shd w:val="clear" w:color="auto" w:fill="auto"/>
            <w:noWrap/>
            <w:vAlign w:val="bottom"/>
            <w:hideMark/>
          </w:tcPr>
          <w:p w14:paraId="1DA3768C"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AVA $</w:t>
            </w:r>
          </w:p>
        </w:tc>
      </w:tr>
      <w:tr w:rsidR="004272F8" w:rsidRPr="00E204A7" w14:paraId="59B1461A" w14:textId="77777777" w:rsidTr="001F5258">
        <w:trPr>
          <w:trHeight w:val="300"/>
        </w:trPr>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0A4A0"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Plant in service</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37A88603"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Intangible</w:t>
            </w:r>
          </w:p>
        </w:tc>
        <w:tc>
          <w:tcPr>
            <w:tcW w:w="1599" w:type="dxa"/>
            <w:tcBorders>
              <w:top w:val="nil"/>
              <w:left w:val="nil"/>
              <w:bottom w:val="single" w:sz="4" w:space="0" w:color="auto"/>
              <w:right w:val="single" w:sz="4" w:space="0" w:color="auto"/>
            </w:tcBorders>
            <w:shd w:val="clear" w:color="auto" w:fill="auto"/>
            <w:noWrap/>
            <w:vAlign w:val="bottom"/>
            <w:hideMark/>
          </w:tcPr>
          <w:p w14:paraId="5729EC8B"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23.20%</w:t>
            </w:r>
          </w:p>
        </w:tc>
        <w:tc>
          <w:tcPr>
            <w:tcW w:w="1562" w:type="dxa"/>
            <w:tcBorders>
              <w:top w:val="nil"/>
              <w:left w:val="nil"/>
              <w:bottom w:val="single" w:sz="4" w:space="0" w:color="auto"/>
              <w:right w:val="single" w:sz="4" w:space="0" w:color="auto"/>
            </w:tcBorders>
            <w:shd w:val="clear" w:color="auto" w:fill="auto"/>
            <w:noWrap/>
            <w:vAlign w:val="bottom"/>
            <w:hideMark/>
          </w:tcPr>
          <w:p w14:paraId="7E6466F6"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9.74%</w:t>
            </w:r>
          </w:p>
        </w:tc>
        <w:tc>
          <w:tcPr>
            <w:tcW w:w="1769" w:type="dxa"/>
            <w:tcBorders>
              <w:top w:val="nil"/>
              <w:left w:val="nil"/>
              <w:bottom w:val="single" w:sz="4" w:space="0" w:color="auto"/>
              <w:right w:val="single" w:sz="4" w:space="0" w:color="auto"/>
            </w:tcBorders>
            <w:shd w:val="clear" w:color="auto" w:fill="auto"/>
            <w:noWrap/>
            <w:vAlign w:val="bottom"/>
            <w:hideMark/>
          </w:tcPr>
          <w:p w14:paraId="6CCEDCBB"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33,635 </w:t>
            </w:r>
          </w:p>
        </w:tc>
        <w:tc>
          <w:tcPr>
            <w:tcW w:w="1574" w:type="dxa"/>
            <w:tcBorders>
              <w:top w:val="nil"/>
              <w:left w:val="nil"/>
              <w:bottom w:val="single" w:sz="4" w:space="0" w:color="auto"/>
              <w:right w:val="single" w:sz="4" w:space="0" w:color="auto"/>
            </w:tcBorders>
            <w:shd w:val="clear" w:color="auto" w:fill="auto"/>
            <w:noWrap/>
            <w:vAlign w:val="bottom"/>
            <w:hideMark/>
          </w:tcPr>
          <w:p w14:paraId="56F6EB64"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14,615 </w:t>
            </w:r>
          </w:p>
        </w:tc>
      </w:tr>
      <w:tr w:rsidR="004272F8" w:rsidRPr="00E204A7" w14:paraId="1D20B6C8" w14:textId="77777777" w:rsidTr="001F5258">
        <w:trPr>
          <w:trHeight w:val="300"/>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00DB2712" w14:textId="77777777" w:rsidR="004272F8" w:rsidRPr="00E204A7" w:rsidRDefault="004272F8" w:rsidP="009E4F01">
            <w:pPr>
              <w:keepNext/>
              <w:keepLines/>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727685EC"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Production</w:t>
            </w:r>
          </w:p>
        </w:tc>
        <w:tc>
          <w:tcPr>
            <w:tcW w:w="1599" w:type="dxa"/>
            <w:tcBorders>
              <w:top w:val="nil"/>
              <w:left w:val="nil"/>
              <w:bottom w:val="single" w:sz="4" w:space="0" w:color="auto"/>
              <w:right w:val="single" w:sz="4" w:space="0" w:color="auto"/>
            </w:tcBorders>
            <w:shd w:val="clear" w:color="auto" w:fill="auto"/>
            <w:noWrap/>
            <w:vAlign w:val="bottom"/>
            <w:hideMark/>
          </w:tcPr>
          <w:p w14:paraId="47FCAB44"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5.07%</w:t>
            </w:r>
          </w:p>
        </w:tc>
        <w:tc>
          <w:tcPr>
            <w:tcW w:w="1562" w:type="dxa"/>
            <w:tcBorders>
              <w:top w:val="nil"/>
              <w:left w:val="nil"/>
              <w:bottom w:val="single" w:sz="4" w:space="0" w:color="auto"/>
              <w:right w:val="single" w:sz="4" w:space="0" w:color="auto"/>
            </w:tcBorders>
            <w:shd w:val="clear" w:color="auto" w:fill="auto"/>
            <w:noWrap/>
            <w:vAlign w:val="bottom"/>
            <w:hideMark/>
          </w:tcPr>
          <w:p w14:paraId="434330BC"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9.74%</w:t>
            </w:r>
          </w:p>
        </w:tc>
        <w:tc>
          <w:tcPr>
            <w:tcW w:w="1769" w:type="dxa"/>
            <w:tcBorders>
              <w:top w:val="nil"/>
              <w:left w:val="nil"/>
              <w:bottom w:val="single" w:sz="4" w:space="0" w:color="auto"/>
              <w:right w:val="single" w:sz="4" w:space="0" w:color="auto"/>
            </w:tcBorders>
            <w:shd w:val="clear" w:color="auto" w:fill="auto"/>
            <w:noWrap/>
            <w:vAlign w:val="bottom"/>
            <w:hideMark/>
          </w:tcPr>
          <w:p w14:paraId="03B17EC2"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39,523 </w:t>
            </w:r>
          </w:p>
        </w:tc>
        <w:tc>
          <w:tcPr>
            <w:tcW w:w="1574" w:type="dxa"/>
            <w:tcBorders>
              <w:top w:val="nil"/>
              <w:left w:val="nil"/>
              <w:bottom w:val="single" w:sz="4" w:space="0" w:color="auto"/>
              <w:right w:val="single" w:sz="4" w:space="0" w:color="auto"/>
            </w:tcBorders>
            <w:shd w:val="clear" w:color="auto" w:fill="auto"/>
            <w:noWrap/>
            <w:vAlign w:val="bottom"/>
            <w:hideMark/>
          </w:tcPr>
          <w:p w14:paraId="4B587F84"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74,850 </w:t>
            </w:r>
          </w:p>
        </w:tc>
      </w:tr>
      <w:tr w:rsidR="004272F8" w:rsidRPr="00E204A7" w14:paraId="6E67A66F" w14:textId="77777777" w:rsidTr="001F5258">
        <w:trPr>
          <w:trHeight w:val="300"/>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0B10E99B" w14:textId="77777777" w:rsidR="004272F8" w:rsidRPr="00E204A7" w:rsidRDefault="004272F8" w:rsidP="009E4F01">
            <w:pPr>
              <w:keepNext/>
              <w:keepLines/>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22DE95B5"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Transmission</w:t>
            </w:r>
          </w:p>
        </w:tc>
        <w:tc>
          <w:tcPr>
            <w:tcW w:w="1599" w:type="dxa"/>
            <w:tcBorders>
              <w:top w:val="nil"/>
              <w:left w:val="nil"/>
              <w:bottom w:val="single" w:sz="4" w:space="0" w:color="auto"/>
              <w:right w:val="single" w:sz="4" w:space="0" w:color="auto"/>
            </w:tcBorders>
            <w:shd w:val="clear" w:color="auto" w:fill="auto"/>
            <w:noWrap/>
            <w:vAlign w:val="bottom"/>
            <w:hideMark/>
          </w:tcPr>
          <w:p w14:paraId="502215A6"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10.00%</w:t>
            </w:r>
          </w:p>
        </w:tc>
        <w:tc>
          <w:tcPr>
            <w:tcW w:w="1562" w:type="dxa"/>
            <w:tcBorders>
              <w:top w:val="nil"/>
              <w:left w:val="nil"/>
              <w:bottom w:val="single" w:sz="4" w:space="0" w:color="auto"/>
              <w:right w:val="single" w:sz="4" w:space="0" w:color="auto"/>
            </w:tcBorders>
            <w:shd w:val="clear" w:color="auto" w:fill="auto"/>
            <w:noWrap/>
            <w:vAlign w:val="bottom"/>
            <w:hideMark/>
          </w:tcPr>
          <w:p w14:paraId="46A5536D"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9.74%</w:t>
            </w:r>
          </w:p>
        </w:tc>
        <w:tc>
          <w:tcPr>
            <w:tcW w:w="1769" w:type="dxa"/>
            <w:tcBorders>
              <w:top w:val="nil"/>
              <w:left w:val="nil"/>
              <w:bottom w:val="single" w:sz="4" w:space="0" w:color="auto"/>
              <w:right w:val="single" w:sz="4" w:space="0" w:color="auto"/>
            </w:tcBorders>
            <w:shd w:val="clear" w:color="auto" w:fill="auto"/>
            <w:noWrap/>
            <w:vAlign w:val="bottom"/>
            <w:hideMark/>
          </w:tcPr>
          <w:p w14:paraId="4F7E596F"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40,177 </w:t>
            </w:r>
          </w:p>
        </w:tc>
        <w:tc>
          <w:tcPr>
            <w:tcW w:w="1574" w:type="dxa"/>
            <w:tcBorders>
              <w:top w:val="nil"/>
              <w:left w:val="nil"/>
              <w:bottom w:val="single" w:sz="4" w:space="0" w:color="auto"/>
              <w:right w:val="single" w:sz="4" w:space="0" w:color="auto"/>
            </w:tcBorders>
            <w:shd w:val="clear" w:color="auto" w:fill="auto"/>
            <w:noWrap/>
            <w:vAlign w:val="bottom"/>
            <w:hideMark/>
          </w:tcPr>
          <w:p w14:paraId="3D39D330"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38,465 </w:t>
            </w:r>
          </w:p>
        </w:tc>
      </w:tr>
      <w:tr w:rsidR="004272F8" w:rsidRPr="00E204A7" w14:paraId="1748FC62" w14:textId="77777777" w:rsidTr="001F5258">
        <w:trPr>
          <w:trHeight w:val="300"/>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1968F3E7" w14:textId="77777777" w:rsidR="004272F8" w:rsidRPr="00E204A7" w:rsidRDefault="004272F8" w:rsidP="009E4F01">
            <w:pPr>
              <w:keepNext/>
              <w:keepLines/>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6A6196E5"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Distribution</w:t>
            </w:r>
          </w:p>
        </w:tc>
        <w:tc>
          <w:tcPr>
            <w:tcW w:w="1599" w:type="dxa"/>
            <w:tcBorders>
              <w:top w:val="nil"/>
              <w:left w:val="nil"/>
              <w:bottom w:val="single" w:sz="4" w:space="0" w:color="auto"/>
              <w:right w:val="single" w:sz="4" w:space="0" w:color="auto"/>
            </w:tcBorders>
            <w:shd w:val="clear" w:color="auto" w:fill="auto"/>
            <w:noWrap/>
            <w:vAlign w:val="bottom"/>
            <w:hideMark/>
          </w:tcPr>
          <w:p w14:paraId="3CE6AEF3"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13.03%</w:t>
            </w:r>
          </w:p>
        </w:tc>
        <w:tc>
          <w:tcPr>
            <w:tcW w:w="1562" w:type="dxa"/>
            <w:tcBorders>
              <w:top w:val="nil"/>
              <w:left w:val="nil"/>
              <w:bottom w:val="single" w:sz="4" w:space="0" w:color="auto"/>
              <w:right w:val="single" w:sz="4" w:space="0" w:color="auto"/>
            </w:tcBorders>
            <w:shd w:val="clear" w:color="auto" w:fill="auto"/>
            <w:noWrap/>
            <w:vAlign w:val="bottom"/>
            <w:hideMark/>
          </w:tcPr>
          <w:p w14:paraId="78D27F5C"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9.74%</w:t>
            </w:r>
          </w:p>
        </w:tc>
        <w:tc>
          <w:tcPr>
            <w:tcW w:w="1769" w:type="dxa"/>
            <w:tcBorders>
              <w:top w:val="nil"/>
              <w:left w:val="nil"/>
              <w:bottom w:val="single" w:sz="4" w:space="0" w:color="auto"/>
              <w:right w:val="single" w:sz="4" w:space="0" w:color="auto"/>
            </w:tcBorders>
            <w:shd w:val="clear" w:color="auto" w:fill="auto"/>
            <w:noWrap/>
            <w:vAlign w:val="bottom"/>
            <w:hideMark/>
          </w:tcPr>
          <w:p w14:paraId="3E6CD985"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116,628 </w:t>
            </w:r>
          </w:p>
        </w:tc>
        <w:tc>
          <w:tcPr>
            <w:tcW w:w="1574" w:type="dxa"/>
            <w:tcBorders>
              <w:top w:val="nil"/>
              <w:left w:val="nil"/>
              <w:bottom w:val="single" w:sz="4" w:space="0" w:color="auto"/>
              <w:right w:val="single" w:sz="4" w:space="0" w:color="auto"/>
            </w:tcBorders>
            <w:shd w:val="clear" w:color="auto" w:fill="auto"/>
            <w:noWrap/>
            <w:vAlign w:val="bottom"/>
            <w:hideMark/>
          </w:tcPr>
          <w:p w14:paraId="70E188C6"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85,541 </w:t>
            </w:r>
          </w:p>
        </w:tc>
      </w:tr>
      <w:tr w:rsidR="004272F8" w:rsidRPr="00E204A7" w14:paraId="56E5B1E1" w14:textId="77777777" w:rsidTr="001F5258">
        <w:trPr>
          <w:trHeight w:val="300"/>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6606F72B" w14:textId="77777777" w:rsidR="004272F8" w:rsidRPr="00E204A7" w:rsidRDefault="004272F8" w:rsidP="009E4F01">
            <w:pPr>
              <w:keepNext/>
              <w:keepLines/>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344515F9"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General</w:t>
            </w:r>
          </w:p>
        </w:tc>
        <w:tc>
          <w:tcPr>
            <w:tcW w:w="1599" w:type="dxa"/>
            <w:tcBorders>
              <w:top w:val="nil"/>
              <w:left w:val="nil"/>
              <w:bottom w:val="single" w:sz="4" w:space="0" w:color="auto"/>
              <w:right w:val="single" w:sz="4" w:space="0" w:color="auto"/>
            </w:tcBorders>
            <w:shd w:val="clear" w:color="auto" w:fill="auto"/>
            <w:noWrap/>
            <w:vAlign w:val="bottom"/>
            <w:hideMark/>
          </w:tcPr>
          <w:p w14:paraId="5968B3C4" w14:textId="035770E9"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20.32%</w:t>
            </w:r>
          </w:p>
        </w:tc>
        <w:tc>
          <w:tcPr>
            <w:tcW w:w="1562" w:type="dxa"/>
            <w:tcBorders>
              <w:top w:val="nil"/>
              <w:left w:val="nil"/>
              <w:bottom w:val="single" w:sz="4" w:space="0" w:color="auto"/>
              <w:right w:val="single" w:sz="4" w:space="0" w:color="auto"/>
            </w:tcBorders>
            <w:shd w:val="clear" w:color="auto" w:fill="auto"/>
            <w:noWrap/>
            <w:vAlign w:val="bottom"/>
            <w:hideMark/>
          </w:tcPr>
          <w:p w14:paraId="20C55CE4"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9.74%</w:t>
            </w:r>
          </w:p>
        </w:tc>
        <w:tc>
          <w:tcPr>
            <w:tcW w:w="1769" w:type="dxa"/>
            <w:tcBorders>
              <w:top w:val="nil"/>
              <w:left w:val="nil"/>
              <w:bottom w:val="single" w:sz="4" w:space="0" w:color="auto"/>
              <w:right w:val="single" w:sz="4" w:space="0" w:color="auto"/>
            </w:tcBorders>
            <w:shd w:val="clear" w:color="auto" w:fill="auto"/>
            <w:noWrap/>
            <w:vAlign w:val="bottom"/>
            <w:hideMark/>
          </w:tcPr>
          <w:p w14:paraId="4E8965E0"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43,223 </w:t>
            </w:r>
          </w:p>
        </w:tc>
        <w:tc>
          <w:tcPr>
            <w:tcW w:w="1574" w:type="dxa"/>
            <w:tcBorders>
              <w:top w:val="nil"/>
              <w:left w:val="nil"/>
              <w:bottom w:val="single" w:sz="4" w:space="0" w:color="auto"/>
              <w:right w:val="single" w:sz="4" w:space="0" w:color="auto"/>
            </w:tcBorders>
            <w:shd w:val="clear" w:color="auto" w:fill="auto"/>
            <w:noWrap/>
            <w:vAlign w:val="bottom"/>
            <w:hideMark/>
          </w:tcPr>
          <w:p w14:paraId="0816346B"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19,923 </w:t>
            </w:r>
          </w:p>
        </w:tc>
      </w:tr>
      <w:tr w:rsidR="004272F8" w:rsidRPr="00E204A7" w14:paraId="6115DBB6" w14:textId="77777777" w:rsidTr="001F5258">
        <w:trPr>
          <w:trHeight w:val="300"/>
        </w:trPr>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14:paraId="44E5E9BE"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Accum. Depr. &amp; Amort.</w:t>
            </w:r>
          </w:p>
        </w:tc>
        <w:tc>
          <w:tcPr>
            <w:tcW w:w="1497" w:type="dxa"/>
            <w:tcBorders>
              <w:top w:val="nil"/>
              <w:left w:val="nil"/>
              <w:bottom w:val="single" w:sz="4" w:space="0" w:color="auto"/>
              <w:right w:val="single" w:sz="4" w:space="0" w:color="auto"/>
            </w:tcBorders>
            <w:shd w:val="clear" w:color="auto" w:fill="auto"/>
            <w:noWrap/>
            <w:vAlign w:val="bottom"/>
            <w:hideMark/>
          </w:tcPr>
          <w:p w14:paraId="4344F22B"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Intangible</w:t>
            </w:r>
          </w:p>
        </w:tc>
        <w:tc>
          <w:tcPr>
            <w:tcW w:w="1599" w:type="dxa"/>
            <w:tcBorders>
              <w:top w:val="nil"/>
              <w:left w:val="nil"/>
              <w:bottom w:val="single" w:sz="4" w:space="0" w:color="auto"/>
              <w:right w:val="single" w:sz="4" w:space="0" w:color="auto"/>
            </w:tcBorders>
            <w:shd w:val="clear" w:color="auto" w:fill="auto"/>
            <w:noWrap/>
            <w:vAlign w:val="bottom"/>
            <w:hideMark/>
          </w:tcPr>
          <w:p w14:paraId="470B34C9" w14:textId="42C36CB5" w:rsidR="004272F8" w:rsidRPr="00E204A7" w:rsidRDefault="004272F8" w:rsidP="00A804FC">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2</w:t>
            </w:r>
            <w:r w:rsidR="00A804FC">
              <w:rPr>
                <w:rFonts w:ascii="Calibri" w:eastAsia="Times New Roman" w:hAnsi="Calibri"/>
                <w:color w:val="000000"/>
                <w:sz w:val="22"/>
                <w:szCs w:val="22"/>
              </w:rPr>
              <w:t>2</w:t>
            </w:r>
            <w:r w:rsidRPr="00E204A7">
              <w:rPr>
                <w:rFonts w:ascii="Calibri" w:eastAsia="Times New Roman" w:hAnsi="Calibri"/>
                <w:color w:val="000000"/>
                <w:sz w:val="22"/>
                <w:szCs w:val="22"/>
              </w:rPr>
              <w:t>.</w:t>
            </w:r>
            <w:r w:rsidR="00A804FC">
              <w:rPr>
                <w:rFonts w:ascii="Calibri" w:eastAsia="Times New Roman" w:hAnsi="Calibri"/>
                <w:color w:val="000000"/>
                <w:sz w:val="22"/>
                <w:szCs w:val="22"/>
              </w:rPr>
              <w:t>08</w:t>
            </w:r>
            <w:r w:rsidRPr="00E204A7">
              <w:rPr>
                <w:rFonts w:ascii="Calibri" w:eastAsia="Times New Roman" w:hAnsi="Calibri"/>
                <w:color w:val="000000"/>
                <w:sz w:val="22"/>
                <w:szCs w:val="22"/>
              </w:rPr>
              <w:t>%</w:t>
            </w:r>
          </w:p>
        </w:tc>
        <w:tc>
          <w:tcPr>
            <w:tcW w:w="1562" w:type="dxa"/>
            <w:tcBorders>
              <w:top w:val="nil"/>
              <w:left w:val="nil"/>
              <w:bottom w:val="single" w:sz="4" w:space="0" w:color="auto"/>
              <w:right w:val="single" w:sz="4" w:space="0" w:color="auto"/>
            </w:tcBorders>
            <w:shd w:val="clear" w:color="auto" w:fill="auto"/>
            <w:noWrap/>
            <w:vAlign w:val="bottom"/>
            <w:hideMark/>
          </w:tcPr>
          <w:p w14:paraId="13F4E2B5"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9.74%</w:t>
            </w:r>
          </w:p>
        </w:tc>
        <w:tc>
          <w:tcPr>
            <w:tcW w:w="1769" w:type="dxa"/>
            <w:tcBorders>
              <w:top w:val="nil"/>
              <w:left w:val="nil"/>
              <w:bottom w:val="single" w:sz="4" w:space="0" w:color="auto"/>
              <w:right w:val="single" w:sz="4" w:space="0" w:color="auto"/>
            </w:tcBorders>
            <w:shd w:val="clear" w:color="auto" w:fill="auto"/>
            <w:noWrap/>
            <w:vAlign w:val="bottom"/>
            <w:hideMark/>
          </w:tcPr>
          <w:p w14:paraId="34A9EB82" w14:textId="033C6BE2" w:rsidR="004272F8" w:rsidRPr="00E204A7" w:rsidRDefault="004272F8" w:rsidP="00A804FC">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(5,</w:t>
            </w:r>
            <w:r w:rsidR="00A804FC">
              <w:rPr>
                <w:rFonts w:ascii="Calibri" w:eastAsia="Times New Roman" w:hAnsi="Calibri"/>
                <w:color w:val="000000"/>
                <w:sz w:val="22"/>
                <w:szCs w:val="22"/>
              </w:rPr>
              <w:t>509</w:t>
            </w:r>
            <w:r w:rsidRPr="00E204A7">
              <w:rPr>
                <w:rFonts w:ascii="Calibri" w:eastAsia="Times New Roman" w:hAnsi="Calibri"/>
                <w:color w:val="000000"/>
                <w:sz w:val="22"/>
                <w:szCs w:val="22"/>
              </w:rPr>
              <w:t>)</w:t>
            </w:r>
          </w:p>
        </w:tc>
        <w:tc>
          <w:tcPr>
            <w:tcW w:w="1574" w:type="dxa"/>
            <w:tcBorders>
              <w:top w:val="nil"/>
              <w:left w:val="nil"/>
              <w:bottom w:val="single" w:sz="4" w:space="0" w:color="auto"/>
              <w:right w:val="single" w:sz="4" w:space="0" w:color="auto"/>
            </w:tcBorders>
            <w:shd w:val="clear" w:color="auto" w:fill="auto"/>
            <w:noWrap/>
            <w:vAlign w:val="bottom"/>
            <w:hideMark/>
          </w:tcPr>
          <w:p w14:paraId="75BCA514"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(2,418)</w:t>
            </w:r>
          </w:p>
        </w:tc>
      </w:tr>
      <w:tr w:rsidR="004272F8" w:rsidRPr="00E204A7" w14:paraId="48255402" w14:textId="77777777" w:rsidTr="001F5258">
        <w:trPr>
          <w:trHeight w:val="300"/>
        </w:trPr>
        <w:tc>
          <w:tcPr>
            <w:tcW w:w="1979" w:type="dxa"/>
            <w:vMerge/>
            <w:tcBorders>
              <w:top w:val="nil"/>
              <w:left w:val="single" w:sz="4" w:space="0" w:color="auto"/>
              <w:bottom w:val="single" w:sz="4" w:space="0" w:color="auto"/>
              <w:right w:val="single" w:sz="4" w:space="0" w:color="auto"/>
            </w:tcBorders>
            <w:vAlign w:val="center"/>
            <w:hideMark/>
          </w:tcPr>
          <w:p w14:paraId="1E9AC13E" w14:textId="77777777" w:rsidR="004272F8" w:rsidRPr="00E204A7" w:rsidRDefault="004272F8" w:rsidP="009E4F01">
            <w:pPr>
              <w:keepNext/>
              <w:keepLines/>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31F41F1F"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Production</w:t>
            </w:r>
          </w:p>
        </w:tc>
        <w:tc>
          <w:tcPr>
            <w:tcW w:w="1599" w:type="dxa"/>
            <w:tcBorders>
              <w:top w:val="nil"/>
              <w:left w:val="nil"/>
              <w:bottom w:val="single" w:sz="4" w:space="0" w:color="auto"/>
              <w:right w:val="single" w:sz="4" w:space="0" w:color="auto"/>
            </w:tcBorders>
            <w:shd w:val="clear" w:color="auto" w:fill="auto"/>
            <w:noWrap/>
            <w:vAlign w:val="bottom"/>
            <w:hideMark/>
          </w:tcPr>
          <w:p w14:paraId="7D5AB98E"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10.23%</w:t>
            </w:r>
          </w:p>
        </w:tc>
        <w:tc>
          <w:tcPr>
            <w:tcW w:w="1562" w:type="dxa"/>
            <w:tcBorders>
              <w:top w:val="nil"/>
              <w:left w:val="nil"/>
              <w:bottom w:val="single" w:sz="4" w:space="0" w:color="auto"/>
              <w:right w:val="single" w:sz="4" w:space="0" w:color="auto"/>
            </w:tcBorders>
            <w:shd w:val="clear" w:color="auto" w:fill="auto"/>
            <w:noWrap/>
            <w:vAlign w:val="bottom"/>
            <w:hideMark/>
          </w:tcPr>
          <w:p w14:paraId="1C8D7FDD"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9.74%</w:t>
            </w:r>
          </w:p>
        </w:tc>
        <w:tc>
          <w:tcPr>
            <w:tcW w:w="1769" w:type="dxa"/>
            <w:tcBorders>
              <w:top w:val="nil"/>
              <w:left w:val="nil"/>
              <w:bottom w:val="single" w:sz="4" w:space="0" w:color="auto"/>
              <w:right w:val="single" w:sz="4" w:space="0" w:color="auto"/>
            </w:tcBorders>
            <w:shd w:val="clear" w:color="auto" w:fill="auto"/>
            <w:noWrap/>
            <w:vAlign w:val="bottom"/>
            <w:hideMark/>
          </w:tcPr>
          <w:p w14:paraId="7B6EFDC0"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(34,845)</w:t>
            </w:r>
          </w:p>
        </w:tc>
        <w:tc>
          <w:tcPr>
            <w:tcW w:w="1574" w:type="dxa"/>
            <w:tcBorders>
              <w:top w:val="nil"/>
              <w:left w:val="nil"/>
              <w:bottom w:val="single" w:sz="4" w:space="0" w:color="auto"/>
              <w:right w:val="single" w:sz="4" w:space="0" w:color="auto"/>
            </w:tcBorders>
            <w:shd w:val="clear" w:color="auto" w:fill="auto"/>
            <w:noWrap/>
            <w:vAlign w:val="bottom"/>
            <w:hideMark/>
          </w:tcPr>
          <w:p w14:paraId="6C099EFD"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(32,790)</w:t>
            </w:r>
          </w:p>
        </w:tc>
      </w:tr>
      <w:tr w:rsidR="004272F8" w:rsidRPr="00E204A7" w14:paraId="367C92F1" w14:textId="77777777" w:rsidTr="001F5258">
        <w:trPr>
          <w:trHeight w:val="300"/>
        </w:trPr>
        <w:tc>
          <w:tcPr>
            <w:tcW w:w="1979" w:type="dxa"/>
            <w:vMerge/>
            <w:tcBorders>
              <w:top w:val="nil"/>
              <w:left w:val="single" w:sz="4" w:space="0" w:color="auto"/>
              <w:bottom w:val="single" w:sz="4" w:space="0" w:color="auto"/>
              <w:right w:val="single" w:sz="4" w:space="0" w:color="auto"/>
            </w:tcBorders>
            <w:vAlign w:val="center"/>
            <w:hideMark/>
          </w:tcPr>
          <w:p w14:paraId="5B14B38E" w14:textId="77777777" w:rsidR="004272F8" w:rsidRPr="00E204A7" w:rsidRDefault="004272F8" w:rsidP="009E4F01">
            <w:pPr>
              <w:keepNext/>
              <w:keepLines/>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44393ED4"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Transmission</w:t>
            </w:r>
          </w:p>
        </w:tc>
        <w:tc>
          <w:tcPr>
            <w:tcW w:w="1599" w:type="dxa"/>
            <w:tcBorders>
              <w:top w:val="nil"/>
              <w:left w:val="nil"/>
              <w:bottom w:val="single" w:sz="4" w:space="0" w:color="auto"/>
              <w:right w:val="single" w:sz="4" w:space="0" w:color="auto"/>
            </w:tcBorders>
            <w:shd w:val="clear" w:color="auto" w:fill="auto"/>
            <w:noWrap/>
            <w:vAlign w:val="bottom"/>
            <w:hideMark/>
          </w:tcPr>
          <w:p w14:paraId="632C2899"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9.60%</w:t>
            </w:r>
          </w:p>
        </w:tc>
        <w:tc>
          <w:tcPr>
            <w:tcW w:w="1562" w:type="dxa"/>
            <w:tcBorders>
              <w:top w:val="nil"/>
              <w:left w:val="nil"/>
              <w:bottom w:val="single" w:sz="4" w:space="0" w:color="auto"/>
              <w:right w:val="single" w:sz="4" w:space="0" w:color="auto"/>
            </w:tcBorders>
            <w:shd w:val="clear" w:color="auto" w:fill="auto"/>
            <w:noWrap/>
            <w:vAlign w:val="bottom"/>
            <w:hideMark/>
          </w:tcPr>
          <w:p w14:paraId="301E70C4"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9.74%</w:t>
            </w:r>
          </w:p>
        </w:tc>
        <w:tc>
          <w:tcPr>
            <w:tcW w:w="1769" w:type="dxa"/>
            <w:tcBorders>
              <w:top w:val="nil"/>
              <w:left w:val="nil"/>
              <w:bottom w:val="single" w:sz="4" w:space="0" w:color="auto"/>
              <w:right w:val="single" w:sz="4" w:space="0" w:color="auto"/>
            </w:tcBorders>
            <w:shd w:val="clear" w:color="auto" w:fill="auto"/>
            <w:noWrap/>
            <w:vAlign w:val="bottom"/>
            <w:hideMark/>
          </w:tcPr>
          <w:p w14:paraId="1AD8DA5C"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(12,471)</w:t>
            </w:r>
          </w:p>
        </w:tc>
        <w:tc>
          <w:tcPr>
            <w:tcW w:w="1574" w:type="dxa"/>
            <w:tcBorders>
              <w:top w:val="nil"/>
              <w:left w:val="nil"/>
              <w:bottom w:val="single" w:sz="4" w:space="0" w:color="auto"/>
              <w:right w:val="single" w:sz="4" w:space="0" w:color="auto"/>
            </w:tcBorders>
            <w:shd w:val="clear" w:color="auto" w:fill="auto"/>
            <w:noWrap/>
            <w:vAlign w:val="bottom"/>
            <w:hideMark/>
          </w:tcPr>
          <w:p w14:paraId="0C3DB605"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(12,400)</w:t>
            </w:r>
          </w:p>
        </w:tc>
      </w:tr>
      <w:tr w:rsidR="004272F8" w:rsidRPr="00E204A7" w14:paraId="656FBA45" w14:textId="77777777" w:rsidTr="001F5258">
        <w:trPr>
          <w:trHeight w:val="300"/>
        </w:trPr>
        <w:tc>
          <w:tcPr>
            <w:tcW w:w="1979" w:type="dxa"/>
            <w:vMerge/>
            <w:tcBorders>
              <w:top w:val="nil"/>
              <w:left w:val="single" w:sz="4" w:space="0" w:color="auto"/>
              <w:bottom w:val="single" w:sz="4" w:space="0" w:color="auto"/>
              <w:right w:val="single" w:sz="4" w:space="0" w:color="auto"/>
            </w:tcBorders>
            <w:vAlign w:val="center"/>
            <w:hideMark/>
          </w:tcPr>
          <w:p w14:paraId="641DF912" w14:textId="77777777" w:rsidR="004272F8" w:rsidRPr="00E204A7" w:rsidRDefault="004272F8" w:rsidP="009E4F01">
            <w:pPr>
              <w:keepNext/>
              <w:keepLines/>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6CE9195A"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Distribution</w:t>
            </w:r>
          </w:p>
        </w:tc>
        <w:tc>
          <w:tcPr>
            <w:tcW w:w="1599" w:type="dxa"/>
            <w:tcBorders>
              <w:top w:val="nil"/>
              <w:left w:val="nil"/>
              <w:bottom w:val="single" w:sz="4" w:space="0" w:color="auto"/>
              <w:right w:val="single" w:sz="4" w:space="0" w:color="auto"/>
            </w:tcBorders>
            <w:shd w:val="clear" w:color="auto" w:fill="auto"/>
            <w:noWrap/>
            <w:vAlign w:val="bottom"/>
            <w:hideMark/>
          </w:tcPr>
          <w:p w14:paraId="457E8E87"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12.54%</w:t>
            </w:r>
          </w:p>
        </w:tc>
        <w:tc>
          <w:tcPr>
            <w:tcW w:w="1562" w:type="dxa"/>
            <w:tcBorders>
              <w:top w:val="nil"/>
              <w:left w:val="nil"/>
              <w:bottom w:val="single" w:sz="4" w:space="0" w:color="auto"/>
              <w:right w:val="single" w:sz="4" w:space="0" w:color="auto"/>
            </w:tcBorders>
            <w:shd w:val="clear" w:color="auto" w:fill="auto"/>
            <w:noWrap/>
            <w:vAlign w:val="bottom"/>
            <w:hideMark/>
          </w:tcPr>
          <w:p w14:paraId="232E9C33"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9.74%</w:t>
            </w:r>
          </w:p>
        </w:tc>
        <w:tc>
          <w:tcPr>
            <w:tcW w:w="1769" w:type="dxa"/>
            <w:tcBorders>
              <w:top w:val="nil"/>
              <w:left w:val="nil"/>
              <w:bottom w:val="single" w:sz="4" w:space="0" w:color="auto"/>
              <w:right w:val="single" w:sz="4" w:space="0" w:color="auto"/>
            </w:tcBorders>
            <w:shd w:val="clear" w:color="auto" w:fill="auto"/>
            <w:noWrap/>
            <w:vAlign w:val="bottom"/>
            <w:hideMark/>
          </w:tcPr>
          <w:p w14:paraId="4E2B0B1F"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(34,031)</w:t>
            </w:r>
          </w:p>
        </w:tc>
        <w:tc>
          <w:tcPr>
            <w:tcW w:w="1574" w:type="dxa"/>
            <w:tcBorders>
              <w:top w:val="nil"/>
              <w:left w:val="nil"/>
              <w:bottom w:val="single" w:sz="4" w:space="0" w:color="auto"/>
              <w:right w:val="single" w:sz="4" w:space="0" w:color="auto"/>
            </w:tcBorders>
            <w:shd w:val="clear" w:color="auto" w:fill="auto"/>
            <w:noWrap/>
            <w:vAlign w:val="bottom"/>
            <w:hideMark/>
          </w:tcPr>
          <w:p w14:paraId="64567FBF"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(26,640)</w:t>
            </w:r>
          </w:p>
        </w:tc>
      </w:tr>
      <w:tr w:rsidR="004272F8" w:rsidRPr="00E204A7" w14:paraId="17DBC255" w14:textId="77777777" w:rsidTr="001F5258">
        <w:trPr>
          <w:trHeight w:val="300"/>
        </w:trPr>
        <w:tc>
          <w:tcPr>
            <w:tcW w:w="1979" w:type="dxa"/>
            <w:vMerge/>
            <w:tcBorders>
              <w:top w:val="nil"/>
              <w:left w:val="single" w:sz="4" w:space="0" w:color="auto"/>
              <w:bottom w:val="single" w:sz="4" w:space="0" w:color="auto"/>
              <w:right w:val="single" w:sz="4" w:space="0" w:color="auto"/>
            </w:tcBorders>
            <w:vAlign w:val="center"/>
            <w:hideMark/>
          </w:tcPr>
          <w:p w14:paraId="0A49DAE3" w14:textId="77777777" w:rsidR="004272F8" w:rsidRPr="00E204A7" w:rsidRDefault="004272F8" w:rsidP="009E4F01">
            <w:pPr>
              <w:keepNext/>
              <w:keepLines/>
              <w:rPr>
                <w:rFonts w:ascii="Calibri" w:eastAsia="Times New Roman" w:hAnsi="Calibri"/>
                <w:color w:val="000000"/>
                <w:sz w:val="22"/>
                <w:szCs w:val="22"/>
              </w:rPr>
            </w:pPr>
          </w:p>
        </w:tc>
        <w:tc>
          <w:tcPr>
            <w:tcW w:w="1497" w:type="dxa"/>
            <w:tcBorders>
              <w:top w:val="nil"/>
              <w:left w:val="nil"/>
              <w:bottom w:val="single" w:sz="4" w:space="0" w:color="auto"/>
              <w:right w:val="single" w:sz="4" w:space="0" w:color="auto"/>
            </w:tcBorders>
            <w:shd w:val="clear" w:color="auto" w:fill="auto"/>
            <w:noWrap/>
            <w:vAlign w:val="bottom"/>
            <w:hideMark/>
          </w:tcPr>
          <w:p w14:paraId="4E5EE691"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General</w:t>
            </w:r>
          </w:p>
        </w:tc>
        <w:tc>
          <w:tcPr>
            <w:tcW w:w="1599" w:type="dxa"/>
            <w:tcBorders>
              <w:top w:val="nil"/>
              <w:left w:val="nil"/>
              <w:bottom w:val="single" w:sz="4" w:space="0" w:color="auto"/>
              <w:right w:val="single" w:sz="4" w:space="0" w:color="auto"/>
            </w:tcBorders>
            <w:shd w:val="clear" w:color="auto" w:fill="auto"/>
            <w:noWrap/>
            <w:vAlign w:val="bottom"/>
            <w:hideMark/>
          </w:tcPr>
          <w:p w14:paraId="29C03A0B" w14:textId="6C18F9CE" w:rsidR="004272F8" w:rsidRPr="00E204A7" w:rsidRDefault="004272F8" w:rsidP="00A804FC">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15.</w:t>
            </w:r>
            <w:r w:rsidR="00A804FC">
              <w:rPr>
                <w:rFonts w:ascii="Calibri" w:eastAsia="Times New Roman" w:hAnsi="Calibri"/>
                <w:color w:val="000000"/>
                <w:sz w:val="22"/>
                <w:szCs w:val="22"/>
              </w:rPr>
              <w:t>33</w:t>
            </w:r>
            <w:r w:rsidRPr="00E204A7">
              <w:rPr>
                <w:rFonts w:ascii="Calibri" w:eastAsia="Times New Roman" w:hAnsi="Calibri"/>
                <w:color w:val="000000"/>
                <w:sz w:val="22"/>
                <w:szCs w:val="22"/>
              </w:rPr>
              <w:t>%</w:t>
            </w:r>
          </w:p>
        </w:tc>
        <w:tc>
          <w:tcPr>
            <w:tcW w:w="1562" w:type="dxa"/>
            <w:tcBorders>
              <w:top w:val="nil"/>
              <w:left w:val="nil"/>
              <w:bottom w:val="single" w:sz="4" w:space="0" w:color="auto"/>
              <w:right w:val="single" w:sz="4" w:space="0" w:color="auto"/>
            </w:tcBorders>
            <w:shd w:val="clear" w:color="auto" w:fill="auto"/>
            <w:noWrap/>
            <w:vAlign w:val="bottom"/>
            <w:hideMark/>
          </w:tcPr>
          <w:p w14:paraId="4E7F8B04" w14:textId="77777777" w:rsidR="004272F8" w:rsidRPr="00E204A7" w:rsidRDefault="004272F8" w:rsidP="009E4F01">
            <w:pPr>
              <w:keepNext/>
              <w:keepLines/>
              <w:jc w:val="right"/>
              <w:rPr>
                <w:rFonts w:ascii="Calibri" w:eastAsia="Times New Roman" w:hAnsi="Calibri"/>
                <w:color w:val="000000"/>
                <w:sz w:val="22"/>
                <w:szCs w:val="22"/>
              </w:rPr>
            </w:pPr>
            <w:r w:rsidRPr="00E204A7">
              <w:rPr>
                <w:rFonts w:ascii="Calibri" w:eastAsia="Times New Roman" w:hAnsi="Calibri"/>
                <w:color w:val="000000"/>
                <w:sz w:val="22"/>
                <w:szCs w:val="22"/>
              </w:rPr>
              <w:t>9.74%</w:t>
            </w:r>
          </w:p>
        </w:tc>
        <w:tc>
          <w:tcPr>
            <w:tcW w:w="1769" w:type="dxa"/>
            <w:tcBorders>
              <w:top w:val="nil"/>
              <w:left w:val="nil"/>
              <w:bottom w:val="single" w:sz="4" w:space="0" w:color="auto"/>
              <w:right w:val="single" w:sz="4" w:space="0" w:color="auto"/>
            </w:tcBorders>
            <w:shd w:val="clear" w:color="auto" w:fill="auto"/>
            <w:noWrap/>
            <w:vAlign w:val="bottom"/>
            <w:hideMark/>
          </w:tcPr>
          <w:p w14:paraId="0E04FC30" w14:textId="34F65244"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(11,</w:t>
            </w:r>
            <w:r w:rsidR="00A804FC">
              <w:rPr>
                <w:rFonts w:ascii="Calibri" w:eastAsia="Times New Roman" w:hAnsi="Calibri"/>
                <w:color w:val="000000"/>
                <w:sz w:val="22"/>
                <w:szCs w:val="22"/>
              </w:rPr>
              <w:t>196</w:t>
            </w:r>
            <w:r w:rsidRPr="00E204A7">
              <w:rPr>
                <w:rFonts w:ascii="Calibri" w:eastAsia="Times New Roman" w:hAnsi="Calibri"/>
                <w:color w:val="000000"/>
                <w:sz w:val="22"/>
                <w:szCs w:val="22"/>
              </w:rPr>
              <w:t>)</w:t>
            </w:r>
          </w:p>
        </w:tc>
        <w:tc>
          <w:tcPr>
            <w:tcW w:w="1574" w:type="dxa"/>
            <w:tcBorders>
              <w:top w:val="nil"/>
              <w:left w:val="nil"/>
              <w:bottom w:val="single" w:sz="4" w:space="0" w:color="auto"/>
              <w:right w:val="single" w:sz="4" w:space="0" w:color="auto"/>
            </w:tcBorders>
            <w:shd w:val="clear" w:color="auto" w:fill="auto"/>
            <w:noWrap/>
            <w:vAlign w:val="bottom"/>
            <w:hideMark/>
          </w:tcPr>
          <w:p w14:paraId="704B67D8"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(6,673)</w:t>
            </w:r>
          </w:p>
        </w:tc>
      </w:tr>
      <w:tr w:rsidR="004272F8" w:rsidRPr="00E204A7" w14:paraId="033F7794" w14:textId="77777777" w:rsidTr="001F5258">
        <w:trPr>
          <w:trHeight w:val="300"/>
        </w:trPr>
        <w:tc>
          <w:tcPr>
            <w:tcW w:w="3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E9E7"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Net Plant</w:t>
            </w:r>
          </w:p>
        </w:tc>
        <w:tc>
          <w:tcPr>
            <w:tcW w:w="1599" w:type="dxa"/>
            <w:tcBorders>
              <w:top w:val="nil"/>
              <w:left w:val="nil"/>
              <w:bottom w:val="single" w:sz="4" w:space="0" w:color="auto"/>
              <w:right w:val="single" w:sz="4" w:space="0" w:color="auto"/>
            </w:tcBorders>
            <w:shd w:val="clear" w:color="auto" w:fill="auto"/>
            <w:noWrap/>
            <w:vAlign w:val="bottom"/>
            <w:hideMark/>
          </w:tcPr>
          <w:p w14:paraId="71AC3781"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w:t>
            </w:r>
          </w:p>
        </w:tc>
        <w:tc>
          <w:tcPr>
            <w:tcW w:w="1562" w:type="dxa"/>
            <w:tcBorders>
              <w:top w:val="nil"/>
              <w:left w:val="nil"/>
              <w:bottom w:val="single" w:sz="4" w:space="0" w:color="auto"/>
              <w:right w:val="single" w:sz="4" w:space="0" w:color="auto"/>
            </w:tcBorders>
            <w:shd w:val="clear" w:color="auto" w:fill="auto"/>
            <w:noWrap/>
            <w:vAlign w:val="bottom"/>
            <w:hideMark/>
          </w:tcPr>
          <w:p w14:paraId="76DA41FA" w14:textId="77777777" w:rsidR="004272F8" w:rsidRPr="00E204A7" w:rsidRDefault="004272F8" w:rsidP="009E4F01">
            <w:pPr>
              <w:keepNext/>
              <w:keepLines/>
              <w:jc w:val="center"/>
              <w:rPr>
                <w:rFonts w:ascii="Calibri" w:eastAsia="Times New Roman" w:hAnsi="Calibri"/>
                <w:color w:val="000000"/>
                <w:sz w:val="22"/>
                <w:szCs w:val="22"/>
              </w:rPr>
            </w:pPr>
            <w:r w:rsidRPr="00E204A7">
              <w:rPr>
                <w:rFonts w:ascii="Calibri" w:eastAsia="Times New Roman" w:hAnsi="Calibri"/>
                <w:color w:val="000000"/>
                <w:sz w:val="22"/>
                <w:szCs w:val="22"/>
              </w:rPr>
              <w:t>-</w:t>
            </w:r>
          </w:p>
        </w:tc>
        <w:tc>
          <w:tcPr>
            <w:tcW w:w="1769" w:type="dxa"/>
            <w:tcBorders>
              <w:top w:val="nil"/>
              <w:left w:val="nil"/>
              <w:bottom w:val="single" w:sz="4" w:space="0" w:color="auto"/>
              <w:right w:val="single" w:sz="4" w:space="0" w:color="auto"/>
            </w:tcBorders>
            <w:shd w:val="clear" w:color="auto" w:fill="auto"/>
            <w:noWrap/>
            <w:vAlign w:val="bottom"/>
            <w:hideMark/>
          </w:tcPr>
          <w:p w14:paraId="2E22063D"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175,134 </w:t>
            </w:r>
          </w:p>
        </w:tc>
        <w:tc>
          <w:tcPr>
            <w:tcW w:w="1574" w:type="dxa"/>
            <w:tcBorders>
              <w:top w:val="nil"/>
              <w:left w:val="nil"/>
              <w:bottom w:val="single" w:sz="4" w:space="0" w:color="auto"/>
              <w:right w:val="single" w:sz="4" w:space="0" w:color="auto"/>
            </w:tcBorders>
            <w:shd w:val="clear" w:color="auto" w:fill="auto"/>
            <w:noWrap/>
            <w:vAlign w:val="bottom"/>
            <w:hideMark/>
          </w:tcPr>
          <w:p w14:paraId="6A5613B8" w14:textId="77777777" w:rsidR="004272F8" w:rsidRPr="00E204A7" w:rsidRDefault="004272F8" w:rsidP="009E4F01">
            <w:pPr>
              <w:keepNext/>
              <w:keepLines/>
              <w:rPr>
                <w:rFonts w:ascii="Calibri" w:eastAsia="Times New Roman" w:hAnsi="Calibri"/>
                <w:color w:val="000000"/>
                <w:sz w:val="22"/>
                <w:szCs w:val="22"/>
              </w:rPr>
            </w:pPr>
            <w:r w:rsidRPr="00E204A7">
              <w:rPr>
                <w:rFonts w:ascii="Calibri" w:eastAsia="Times New Roman" w:hAnsi="Calibri"/>
                <w:color w:val="000000"/>
                <w:sz w:val="22"/>
                <w:szCs w:val="22"/>
              </w:rPr>
              <w:t xml:space="preserve"> $       152,474 </w:t>
            </w:r>
          </w:p>
        </w:tc>
      </w:tr>
    </w:tbl>
    <w:p w14:paraId="34DB144D" w14:textId="77777777" w:rsidR="004272F8" w:rsidRPr="00242B34" w:rsidRDefault="004272F8" w:rsidP="009E4F01">
      <w:pPr>
        <w:pStyle w:val="NoSpacing"/>
      </w:pPr>
    </w:p>
    <w:p w14:paraId="53A695E8" w14:textId="4185CAB3" w:rsidR="004272F8" w:rsidRPr="00E204A7" w:rsidRDefault="004272F8" w:rsidP="009E4F01">
      <w:pPr>
        <w:pStyle w:val="NoSpacing"/>
      </w:pPr>
      <w:r w:rsidRPr="00E204A7">
        <w:tab/>
      </w:r>
      <w:r>
        <w:tab/>
        <w:t xml:space="preserve"> </w:t>
      </w:r>
    </w:p>
    <w:p w14:paraId="38D1BE26" w14:textId="77777777" w:rsidR="004272F8" w:rsidRDefault="004272F8" w:rsidP="009E4F01">
      <w:pPr>
        <w:pStyle w:val="NoSpacing"/>
      </w:pPr>
    </w:p>
    <w:p w14:paraId="61787B9D" w14:textId="77777777" w:rsidR="004272F8" w:rsidRDefault="004272F8" w:rsidP="009E4F01">
      <w:pPr>
        <w:pStyle w:val="Heading8"/>
      </w:pPr>
      <w:r>
        <w:t>Q.</w:t>
      </w:r>
      <w:r>
        <w:tab/>
        <w:t>Both Avista’s and Staff’s analysis shows that distribution plant is expected to grow by the largest dollar amount.  What explains the growth in distribution assets?</w:t>
      </w:r>
    </w:p>
    <w:p w14:paraId="4BB7B5D4" w14:textId="020660B0" w:rsidR="005E7E1D" w:rsidRDefault="004272F8" w:rsidP="009E4F01">
      <w:pPr>
        <w:pStyle w:val="NoSpacing"/>
      </w:pPr>
      <w:r>
        <w:lastRenderedPageBreak/>
        <w:t>A.</w:t>
      </w:r>
      <w:r>
        <w:tab/>
        <w:t xml:space="preserve">Avista supports its claims for the prudency of distribution plant growth by citing reliability concerns </w:t>
      </w:r>
      <w:r w:rsidR="00CA3AD3">
        <w:t>and the cost of connecting new customers</w:t>
      </w:r>
      <w:r w:rsidR="00DE4FF1">
        <w:t>.</w:t>
      </w:r>
      <w:r w:rsidR="00DE4FF1" w:rsidRPr="00DE4FF1">
        <w:rPr>
          <w:rStyle w:val="FootnoteReference"/>
        </w:rPr>
        <w:t xml:space="preserve"> </w:t>
      </w:r>
      <w:r w:rsidR="00DE4FF1">
        <w:rPr>
          <w:rStyle w:val="FootnoteReference"/>
        </w:rPr>
        <w:footnoteReference w:id="44"/>
      </w:r>
      <w:r w:rsidR="00CA3AD3">
        <w:t>.</w:t>
      </w:r>
      <w:r w:rsidR="00B40272">
        <w:t xml:space="preserve">  The Company, through the testimony of Ms. Rosentrater, notes the Company’s continued wood pole replacement program</w:t>
      </w:r>
      <w:r w:rsidR="00890E53">
        <w:t>,</w:t>
      </w:r>
      <w:r w:rsidR="00B40272">
        <w:t xml:space="preserve"> compliance requirements, </w:t>
      </w:r>
      <w:r w:rsidR="00CB484D">
        <w:t xml:space="preserve">and </w:t>
      </w:r>
      <w:r w:rsidR="00B40272">
        <w:t>unplanned maintenance and other externally-driven forces</w:t>
      </w:r>
      <w:r w:rsidR="00CB484D">
        <w:t>.</w:t>
      </w:r>
      <w:r w:rsidR="00DE4FF1">
        <w:rPr>
          <w:rStyle w:val="FootnoteReference"/>
        </w:rPr>
        <w:footnoteReference w:id="45"/>
      </w:r>
      <w:r w:rsidR="00DE4FF1">
        <w:t xml:space="preserve"> </w:t>
      </w:r>
      <w:r w:rsidR="00B40272">
        <w:t xml:space="preserve"> </w:t>
      </w:r>
      <w:r w:rsidR="00CB484D">
        <w:t>Additionally, Avista witness Mr. Thies notes that “Avista’s plans call for a continuation of utility capital investments in</w:t>
      </w:r>
      <w:r w:rsidR="00112A60">
        <w:t xml:space="preserve"> . . .</w:t>
      </w:r>
      <w:r w:rsidR="00CB484D">
        <w:t xml:space="preserve"> distribution systems to preserve and enhance service reliability for our customers.”</w:t>
      </w:r>
      <w:r w:rsidR="00CB484D">
        <w:rPr>
          <w:rStyle w:val="FootnoteReference"/>
        </w:rPr>
        <w:footnoteReference w:id="46"/>
      </w:r>
      <w:r w:rsidR="00CB484D">
        <w:t xml:space="preserve">  Reliability is a theme of Avista’s case.</w:t>
      </w:r>
      <w:r w:rsidR="005E7E1D">
        <w:t xml:space="preserve">  </w:t>
      </w:r>
    </w:p>
    <w:p w14:paraId="662B1EA2" w14:textId="1C0B733D" w:rsidR="004272F8" w:rsidRDefault="005E7E1D" w:rsidP="00890E53">
      <w:pPr>
        <w:pStyle w:val="NoSpacing"/>
        <w:ind w:firstLine="720"/>
      </w:pPr>
      <w:r>
        <w:t>As it stands, these are hard claims to endorse or refute, and Staff has previously voiced concern regarding this issue.</w:t>
      </w:r>
      <w:r w:rsidR="006C21C4">
        <w:rPr>
          <w:rStyle w:val="FootnoteReference"/>
        </w:rPr>
        <w:footnoteReference w:id="47"/>
      </w:r>
      <w:r>
        <w:t xml:space="preserve">  It is worth emphasizing that the burden of proof on this matter ultimately l</w:t>
      </w:r>
      <w:r w:rsidR="00890E53">
        <w:t>ie</w:t>
      </w:r>
      <w:r>
        <w:t xml:space="preserve">s with the Company, and the Company has an information asymmetry that uniquely positions it as the party best able to prove that increasing </w:t>
      </w:r>
      <w:r w:rsidR="00890E53">
        <w:t xml:space="preserve">distribution system </w:t>
      </w:r>
      <w:r>
        <w:t>costs are out of the Company’s control.</w:t>
      </w:r>
    </w:p>
    <w:p w14:paraId="1F431C92" w14:textId="6C2ED07B" w:rsidR="004272F8" w:rsidRDefault="004272F8" w:rsidP="00890E53">
      <w:pPr>
        <w:pStyle w:val="NoSpacing"/>
        <w:ind w:firstLine="720"/>
      </w:pPr>
      <w:r>
        <w:t>To get a better sense of an appropriate level of distribution investment, Staff has begun working with an expert consultant to develop an econometric study which will evaluate a utility’s distribution investment given its unique service territory characteristics.  This study will estimate a utility’s reliability given the circumstances it faces, and this estimate can be compared to a utility’s actual reliability performance.  Staff will have a better understanding of the</w:t>
      </w:r>
      <w:r w:rsidR="00B40272">
        <w:t xml:space="preserve"> overall</w:t>
      </w:r>
      <w:r>
        <w:t xml:space="preserve"> prudency and efficiency of distribution investment as a result of this work.</w:t>
      </w:r>
    </w:p>
    <w:p w14:paraId="6DBA60D6" w14:textId="77777777" w:rsidR="00246266" w:rsidRDefault="00246266" w:rsidP="009E4F01">
      <w:pPr>
        <w:pStyle w:val="NoSpacing"/>
        <w:ind w:firstLine="360"/>
      </w:pPr>
    </w:p>
    <w:p w14:paraId="776FE34E" w14:textId="021DCA69" w:rsidR="00246266" w:rsidRPr="00246266" w:rsidRDefault="00246266" w:rsidP="009E4F01">
      <w:pPr>
        <w:pStyle w:val="Heading8"/>
      </w:pPr>
      <w:r>
        <w:t>Q.</w:t>
      </w:r>
      <w:r>
        <w:tab/>
        <w:t xml:space="preserve">Are distribution projects ill-suited for incorporation as </w:t>
      </w:r>
      <w:r>
        <w:rPr>
          <w:i/>
        </w:rPr>
        <w:t>pro forma</w:t>
      </w:r>
      <w:r>
        <w:t xml:space="preserve"> adjustments to a modified historical test year?</w:t>
      </w:r>
    </w:p>
    <w:p w14:paraId="6CABE035" w14:textId="1E52CCB6" w:rsidR="004272F8" w:rsidRDefault="00246266" w:rsidP="009E4F01">
      <w:pPr>
        <w:pStyle w:val="NoSpacing"/>
      </w:pPr>
      <w:r>
        <w:t>A.</w:t>
      </w:r>
      <w:r>
        <w:tab/>
        <w:t xml:space="preserve">Yes.  Despite the fact that distribution is the largest component of plant in service, and that it has historically grown at a faster rate than plant in service as a whole, individual distribution projects tend to be small.  These projects tend to not meet the standard for a major project, and are thus not considered for </w:t>
      </w:r>
      <w:r>
        <w:rPr>
          <w:i/>
        </w:rPr>
        <w:t>pro forma</w:t>
      </w:r>
      <w:r>
        <w:t xml:space="preserve"> treatment.  The result is that the traditional ratemaking method tends to understate distribution plant</w:t>
      </w:r>
      <w:r w:rsidR="001446FC">
        <w:t xml:space="preserve"> in the rate-effective period</w:t>
      </w:r>
      <w:r>
        <w:t xml:space="preserve">.  </w:t>
      </w:r>
    </w:p>
    <w:p w14:paraId="751A3855" w14:textId="58FFB4B3" w:rsidR="00246266" w:rsidRDefault="00246266" w:rsidP="009E4F01">
      <w:pPr>
        <w:pStyle w:val="NoSpacing"/>
      </w:pPr>
      <w:r>
        <w:tab/>
      </w:r>
      <w:r>
        <w:tab/>
        <w:t xml:space="preserve">Ms. Huang presents Staff’s analysis using the traditional ratemaking method.  She identifies </w:t>
      </w:r>
      <w:r w:rsidR="00EB2592">
        <w:t xml:space="preserve">electric </w:t>
      </w:r>
      <w:r>
        <w:t xml:space="preserve">projects that meet Staff’s definition of major, and has found </w:t>
      </w:r>
      <w:r w:rsidR="008F507E">
        <w:t xml:space="preserve">that no </w:t>
      </w:r>
      <w:r w:rsidR="00EB2592">
        <w:t xml:space="preserve">electric </w:t>
      </w:r>
      <w:r>
        <w:t>distribution p</w:t>
      </w:r>
      <w:r w:rsidR="00EB2592">
        <w:t xml:space="preserve">rojects to meet this standard – meaning that $0 of distribution projects are given </w:t>
      </w:r>
      <w:r w:rsidR="00EB2592">
        <w:rPr>
          <w:i/>
        </w:rPr>
        <w:t>pro forma</w:t>
      </w:r>
      <w:r w:rsidR="00EB2592">
        <w:t xml:space="preserve"> treatment in Staff’s modified historical test year analysis</w:t>
      </w:r>
      <w:r>
        <w:t>.</w:t>
      </w:r>
      <w:r w:rsidR="00EB2592">
        <w:t xml:space="preserve">  </w:t>
      </w:r>
    </w:p>
    <w:p w14:paraId="73CDCDD6" w14:textId="6B4D53A7" w:rsidR="00657BAB" w:rsidRDefault="00657BAB" w:rsidP="009E4F01">
      <w:pPr>
        <w:pStyle w:val="NoSpacing"/>
      </w:pPr>
    </w:p>
    <w:p w14:paraId="23255C29" w14:textId="62D15184" w:rsidR="00657BAB" w:rsidRDefault="00657BAB" w:rsidP="00657BAB">
      <w:pPr>
        <w:pStyle w:val="Heading8"/>
      </w:pPr>
      <w:r>
        <w:t>Q.</w:t>
      </w:r>
      <w:r>
        <w:tab/>
        <w:t xml:space="preserve">Staff’s more detailed analysis also shows that production plant has grown the slowest over the historical period.  Why is this </w:t>
      </w:r>
      <w:r w:rsidR="002F3889">
        <w:t xml:space="preserve">particularly </w:t>
      </w:r>
      <w:r>
        <w:t>relevant</w:t>
      </w:r>
      <w:r w:rsidR="002F3889">
        <w:t xml:space="preserve"> for this case</w:t>
      </w:r>
      <w:r>
        <w:t>?</w:t>
      </w:r>
    </w:p>
    <w:p w14:paraId="24AAC0FD" w14:textId="7BA6E6D4" w:rsidR="00657BAB" w:rsidRDefault="00657BAB" w:rsidP="009E4F01">
      <w:pPr>
        <w:pStyle w:val="NoSpacing"/>
      </w:pPr>
      <w:r>
        <w:t>A.</w:t>
      </w:r>
      <w:r>
        <w:tab/>
        <w:t xml:space="preserve">In this case, Avista proposes an “After Attrition Adjustment” (a </w:t>
      </w:r>
      <w:r>
        <w:rPr>
          <w:i/>
        </w:rPr>
        <w:t>pro forma</w:t>
      </w:r>
      <w:r>
        <w:t xml:space="preserve"> adjustment) to the results of the attrition study for the Spokane River Projects.  These are all hydroelectric production projects of significant size.  Slow growth in this particular type of electric utility asset class lends support to the claim that the historical record does not sufficiently capture the </w:t>
      </w:r>
      <w:r w:rsidR="00C21F58">
        <w:t xml:space="preserve">growth in production plant </w:t>
      </w:r>
      <w:r w:rsidR="00C21F58">
        <w:lastRenderedPageBreak/>
        <w:t xml:space="preserve">anticipated by the rate-effective period.  This issue is discussed in more detail later in </w:t>
      </w:r>
      <w:r w:rsidR="00271733">
        <w:t xml:space="preserve">Section V, subsection D of </w:t>
      </w:r>
      <w:r w:rsidR="005A67EF">
        <w:t xml:space="preserve">my </w:t>
      </w:r>
      <w:r w:rsidR="00C21F58">
        <w:t>testimony.</w:t>
      </w:r>
      <w:r w:rsidR="00271733" w:rsidDel="00271733">
        <w:rPr>
          <w:rStyle w:val="FootnoteReference"/>
        </w:rPr>
        <w:t xml:space="preserve"> </w:t>
      </w:r>
    </w:p>
    <w:p w14:paraId="73C73AEA" w14:textId="053198B0" w:rsidR="002A7AE3" w:rsidRDefault="002A7AE3" w:rsidP="009E4F01">
      <w:pPr>
        <w:pStyle w:val="NoSpacing"/>
      </w:pPr>
    </w:p>
    <w:p w14:paraId="57E8487C" w14:textId="1BE031B3" w:rsidR="002A7AE3" w:rsidRDefault="002A7AE3" w:rsidP="002A7AE3">
      <w:pPr>
        <w:pStyle w:val="Heading8"/>
      </w:pPr>
      <w:r>
        <w:t>Q.</w:t>
      </w:r>
      <w:r>
        <w:tab/>
        <w:t>Does Staff have any further detailed analysis on the growth in rate base?</w:t>
      </w:r>
    </w:p>
    <w:p w14:paraId="633C5044" w14:textId="1D8EAB46" w:rsidR="002A7AE3" w:rsidRPr="00246266" w:rsidRDefault="002A7AE3" w:rsidP="009E4F01">
      <w:pPr>
        <w:pStyle w:val="NoSpacing"/>
      </w:pPr>
      <w:r>
        <w:t>A.</w:t>
      </w:r>
      <w:r>
        <w:tab/>
        <w:t xml:space="preserve">Yes.  </w:t>
      </w:r>
      <w:r w:rsidR="006C21C4">
        <w:t xml:space="preserve">My exhibits provide a more detailed, numerical analysis.  </w:t>
      </w:r>
      <w:r w:rsidRPr="002A7AE3">
        <w:t>Exhibit No.</w:t>
      </w:r>
      <w:r w:rsidR="00851733">
        <w:t xml:space="preserve"> </w:t>
      </w:r>
      <w:r w:rsidRPr="002A7AE3">
        <w:t>CSH-8</w:t>
      </w:r>
      <w:r w:rsidR="00851733">
        <w:t xml:space="preserve"> </w:t>
      </w:r>
      <w:r>
        <w:t xml:space="preserve">shows growth in Avista’s plant in service, by FERC account, over the historical period.  For example, </w:t>
      </w:r>
      <w:r w:rsidR="006C21C4">
        <w:t>my exhibit</w:t>
      </w:r>
      <w:r w:rsidR="005A67EF">
        <w:t xml:space="preserve"> CSH-8</w:t>
      </w:r>
      <w:r w:rsidR="006C21C4">
        <w:t xml:space="preserve"> shows that m</w:t>
      </w:r>
      <w:r>
        <w:t xml:space="preserve">eters </w:t>
      </w:r>
      <w:r w:rsidR="00544310">
        <w:t>are expected to grow by 6.96% in 2016, faster than Distribution plant as a whole</w:t>
      </w:r>
      <w:r w:rsidR="00004B1B">
        <w:t xml:space="preserve"> (5.21%)</w:t>
      </w:r>
      <w:r w:rsidR="00544310">
        <w:t>.</w:t>
      </w:r>
    </w:p>
    <w:p w14:paraId="0AD816CA" w14:textId="77777777" w:rsidR="00246266" w:rsidRDefault="00246266" w:rsidP="009E4F01">
      <w:pPr>
        <w:pStyle w:val="NoSpacing"/>
      </w:pPr>
    </w:p>
    <w:p w14:paraId="18C542EC" w14:textId="076F2448" w:rsidR="004272F8" w:rsidRDefault="004272F8" w:rsidP="009E4F01">
      <w:pPr>
        <w:pStyle w:val="Heading8"/>
      </w:pPr>
      <w:r>
        <w:t>Q.</w:t>
      </w:r>
      <w:r>
        <w:tab/>
      </w:r>
      <w:r w:rsidR="006C21C4">
        <w:t>Moving from rate base to expenses, w</w:t>
      </w:r>
      <w:r>
        <w:t xml:space="preserve">hat is the nature of expense growth in Avista’s electric operations, and is </w:t>
      </w:r>
      <w:r w:rsidR="00E137A9">
        <w:t>that growth</w:t>
      </w:r>
      <w:r>
        <w:t xml:space="preserve"> reasonable?</w:t>
      </w:r>
    </w:p>
    <w:p w14:paraId="62A52057" w14:textId="2C3B0F1A" w:rsidR="004272F8" w:rsidRPr="00237D89" w:rsidRDefault="004272F8" w:rsidP="009E4F01">
      <w:pPr>
        <w:pStyle w:val="NoSpacing"/>
      </w:pPr>
      <w:r>
        <w:t>A.</w:t>
      </w:r>
      <w:r>
        <w:tab/>
        <w:t xml:space="preserve">Staff’s attrition analysis shows that the Company’s Operating Expenses have grown at </w:t>
      </w:r>
      <w:r w:rsidR="00CF69D0">
        <w:t xml:space="preserve">a </w:t>
      </w:r>
      <w:r>
        <w:t>4.07% rate over the historical period.</w:t>
      </w:r>
    </w:p>
    <w:p w14:paraId="73D683D1" w14:textId="7B801927" w:rsidR="004272F8" w:rsidRDefault="004272F8" w:rsidP="009E4F01">
      <w:pPr>
        <w:pStyle w:val="NoSpacing"/>
      </w:pPr>
      <w:r>
        <w:tab/>
      </w:r>
      <w:r>
        <w:tab/>
        <w:t xml:space="preserve">The chart below displays several measures of costs that utilities face, and lends support to Avista’s claims that </w:t>
      </w:r>
      <w:r w:rsidR="001F6E2C">
        <w:t xml:space="preserve">growth in </w:t>
      </w:r>
      <w:r>
        <w:t xml:space="preserve">operating costs </w:t>
      </w:r>
      <w:r w:rsidR="001F6E2C">
        <w:t xml:space="preserve">is </w:t>
      </w:r>
      <w:r>
        <w:t xml:space="preserve">outside of </w:t>
      </w:r>
      <w:r w:rsidR="001F6E2C">
        <w:t xml:space="preserve">its </w:t>
      </w:r>
      <w:r>
        <w:t xml:space="preserve">control.  </w:t>
      </w:r>
    </w:p>
    <w:p w14:paraId="078BDD71" w14:textId="77777777" w:rsidR="004272F8" w:rsidRDefault="004272F8" w:rsidP="009E4F01">
      <w:pPr>
        <w:pStyle w:val="NoSpacing"/>
      </w:pPr>
    </w:p>
    <w:p w14:paraId="1BBAFCEA" w14:textId="54BF401F" w:rsidR="004272F8" w:rsidRPr="00CB2518" w:rsidRDefault="004272F8" w:rsidP="00657BAB">
      <w:pPr>
        <w:keepNext/>
        <w:keepLines/>
        <w:jc w:val="center"/>
        <w:rPr>
          <w:b/>
        </w:rPr>
      </w:pPr>
      <w:r w:rsidRPr="00F3284B">
        <w:rPr>
          <w:b/>
        </w:rPr>
        <w:lastRenderedPageBreak/>
        <w:t xml:space="preserve">Illustration </w:t>
      </w:r>
      <w:r w:rsidR="00F3284B" w:rsidRPr="00F3284B">
        <w:rPr>
          <w:b/>
        </w:rPr>
        <w:t>3</w:t>
      </w:r>
    </w:p>
    <w:p w14:paraId="6F854DB5" w14:textId="454D9D47" w:rsidR="004272F8" w:rsidRDefault="00FA7F68" w:rsidP="00657BAB">
      <w:pPr>
        <w:pStyle w:val="NoSpacing"/>
        <w:keepNext/>
        <w:keepLines/>
        <w:jc w:val="center"/>
      </w:pPr>
      <w:r>
        <w:rPr>
          <w:noProof/>
        </w:rPr>
        <w:drawing>
          <wp:inline distT="0" distB="0" distL="0" distR="0" wp14:anchorId="76FFFF0D" wp14:editId="500A5814">
            <wp:extent cx="5195753" cy="312321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8162" cy="3136680"/>
                    </a:xfrm>
                    <a:prstGeom prst="rect">
                      <a:avLst/>
                    </a:prstGeom>
                    <a:noFill/>
                  </pic:spPr>
                </pic:pic>
              </a:graphicData>
            </a:graphic>
          </wp:inline>
        </w:drawing>
      </w:r>
    </w:p>
    <w:p w14:paraId="68031B80" w14:textId="77777777" w:rsidR="004272F8" w:rsidRDefault="004272F8" w:rsidP="009E4F01">
      <w:pPr>
        <w:spacing w:line="480" w:lineRule="auto"/>
        <w:rPr>
          <w:rFonts w:eastAsia="Times New Roman"/>
        </w:rPr>
      </w:pPr>
    </w:p>
    <w:p w14:paraId="162D8ACE" w14:textId="4359F683" w:rsidR="006C21C4" w:rsidRPr="006C21C4" w:rsidRDefault="006C21C4" w:rsidP="009E4F01">
      <w:pPr>
        <w:spacing w:line="480" w:lineRule="auto"/>
        <w:rPr>
          <w:rFonts w:eastAsia="Times New Roman"/>
          <w:b/>
        </w:rPr>
      </w:pPr>
      <w:r w:rsidRPr="006C21C4">
        <w:rPr>
          <w:rFonts w:eastAsia="Times New Roman"/>
          <w:b/>
        </w:rPr>
        <w:t>Q.</w:t>
      </w:r>
      <w:r w:rsidRPr="006C21C4">
        <w:rPr>
          <w:rFonts w:eastAsia="Times New Roman"/>
          <w:b/>
        </w:rPr>
        <w:tab/>
      </w:r>
      <w:r w:rsidRPr="00F3284B">
        <w:rPr>
          <w:rFonts w:eastAsia="Times New Roman"/>
          <w:b/>
        </w:rPr>
        <w:t xml:space="preserve">Please explain the above graph, Illustration </w:t>
      </w:r>
      <w:r w:rsidR="00F3284B" w:rsidRPr="00F3284B">
        <w:rPr>
          <w:rFonts w:eastAsia="Times New Roman"/>
          <w:b/>
        </w:rPr>
        <w:t>3</w:t>
      </w:r>
      <w:r w:rsidRPr="00F3284B">
        <w:rPr>
          <w:rFonts w:eastAsia="Times New Roman"/>
          <w:b/>
        </w:rPr>
        <w:t>.</w:t>
      </w:r>
    </w:p>
    <w:p w14:paraId="5A42FC5A" w14:textId="7835D660" w:rsidR="004272F8" w:rsidRDefault="006C21C4" w:rsidP="009E4F01">
      <w:pPr>
        <w:pStyle w:val="NoSpacing"/>
      </w:pPr>
      <w:r>
        <w:t>A.</w:t>
      </w:r>
      <w:r w:rsidR="004272F8">
        <w:tab/>
        <w:t>The illustration above shows four measures of Purchasing Power Index that are specific to utilities.  The purple line, labeled PPI: Utilities, is a generic measure</w:t>
      </w:r>
      <w:r w:rsidR="005D2FB1">
        <w:t xml:space="preserve"> for both natural gas and electric utilities</w:t>
      </w:r>
      <w:r w:rsidR="00151BC9">
        <w:t>,</w:t>
      </w:r>
      <w:r w:rsidR="005D2FB1">
        <w:rPr>
          <w:rStyle w:val="FootnoteReference"/>
        </w:rPr>
        <w:footnoteReference w:id="48"/>
      </w:r>
      <w:r w:rsidR="004272F8">
        <w:t xml:space="preserve"> while the blue, green, and red lines measure specific</w:t>
      </w:r>
      <w:r w:rsidR="005D2FB1">
        <w:t xml:space="preserve"> </w:t>
      </w:r>
      <w:r w:rsidR="005D2FB1" w:rsidRPr="005D2FB1">
        <w:rPr>
          <w:b/>
          <w:u w:val="single"/>
        </w:rPr>
        <w:t>electric</w:t>
      </w:r>
      <w:r w:rsidR="005D2FB1">
        <w:rPr>
          <w:b/>
          <w:u w:val="single"/>
        </w:rPr>
        <w:t>-only</w:t>
      </w:r>
      <w:r w:rsidR="004272F8">
        <w:t xml:space="preserve"> utility functions</w:t>
      </w:r>
      <w:r w:rsidR="00151BC9">
        <w:t>.</w:t>
      </w:r>
      <w:r w:rsidR="00980900">
        <w:rPr>
          <w:rStyle w:val="FootnoteReference"/>
        </w:rPr>
        <w:footnoteReference w:id="49"/>
      </w:r>
      <w:r w:rsidR="004272F8">
        <w:t xml:space="preserve">  </w:t>
      </w:r>
    </w:p>
    <w:p w14:paraId="56D7F664" w14:textId="288B6DD1" w:rsidR="004272F8" w:rsidRDefault="004272F8" w:rsidP="009E4F01">
      <w:pPr>
        <w:pStyle w:val="NoSpacing"/>
      </w:pPr>
      <w:r>
        <w:tab/>
      </w:r>
      <w:r>
        <w:tab/>
        <w:t>Also displayed</w:t>
      </w:r>
      <w:r w:rsidR="00FA7F68">
        <w:t xml:space="preserve"> in brown</w:t>
      </w:r>
      <w:r>
        <w:t xml:space="preserve"> is the Employment Cost Index, a measure of compensation costs for employees.  This index is specific to utilities.</w:t>
      </w:r>
      <w:r w:rsidR="007C48E4">
        <w:rPr>
          <w:rStyle w:val="FootnoteReference"/>
        </w:rPr>
        <w:footnoteReference w:id="50"/>
      </w:r>
      <w:r>
        <w:t xml:space="preserve">  All five indices are collected and maintained by the Bureau of Labor Statistics</w:t>
      </w:r>
      <w:r w:rsidR="00980900">
        <w:t>.</w:t>
      </w:r>
      <w:r>
        <w:t xml:space="preserve">  </w:t>
      </w:r>
    </w:p>
    <w:p w14:paraId="7618ABA2" w14:textId="65B41930" w:rsidR="00FA7F68" w:rsidRDefault="00FA7F68" w:rsidP="009E4F01">
      <w:pPr>
        <w:pStyle w:val="NoSpacing"/>
      </w:pPr>
      <w:r>
        <w:lastRenderedPageBreak/>
        <w:tab/>
      </w:r>
      <w:r>
        <w:tab/>
        <w:t xml:space="preserve">Finally, the growth in Avista’s operating expenses in natural gas service (orange dashed line) and in electric service </w:t>
      </w:r>
      <w:r w:rsidR="00657BAB">
        <w:t>(black dashed line) are</w:t>
      </w:r>
      <w:r>
        <w:t xml:space="preserve"> displayed.  These two data series are the same data series</w:t>
      </w:r>
      <w:r w:rsidR="00657BAB">
        <w:t xml:space="preserve"> reported in the Commission Basis Reports</w:t>
      </w:r>
      <w:r>
        <w:t>.</w:t>
      </w:r>
    </w:p>
    <w:p w14:paraId="05306A86" w14:textId="77777777" w:rsidR="006C21C4" w:rsidRDefault="006C21C4" w:rsidP="009E4F01">
      <w:pPr>
        <w:pStyle w:val="NoSpacing"/>
        <w:rPr>
          <w:b/>
        </w:rPr>
      </w:pPr>
    </w:p>
    <w:p w14:paraId="2F50B5BE" w14:textId="2D734FDA" w:rsidR="006C21C4" w:rsidRPr="006C21C4" w:rsidRDefault="006C21C4" w:rsidP="009E4F01">
      <w:pPr>
        <w:pStyle w:val="NoSpacing"/>
        <w:rPr>
          <w:b/>
        </w:rPr>
      </w:pPr>
      <w:r w:rsidRPr="006C21C4">
        <w:rPr>
          <w:b/>
        </w:rPr>
        <w:t>Q.</w:t>
      </w:r>
      <w:r w:rsidRPr="006C21C4">
        <w:rPr>
          <w:b/>
        </w:rPr>
        <w:tab/>
        <w:t>What conclusions does Staff draw from the above graph/data?</w:t>
      </w:r>
    </w:p>
    <w:p w14:paraId="2D18818A" w14:textId="406C6A73" w:rsidR="00614174" w:rsidRDefault="006C21C4" w:rsidP="009E4F01">
      <w:pPr>
        <w:pStyle w:val="NoSpacing"/>
      </w:pPr>
      <w:r>
        <w:t>A.</w:t>
      </w:r>
      <w:r w:rsidR="004272F8">
        <w:tab/>
        <w:t>Here we see five measures of utility costs, gathered from utilities across the nation by an eminently reputable statistical agency, which all show increasing costs across the same time frame as used in Staff’s attrition study model.</w:t>
      </w:r>
      <w:r w:rsidR="00FA7F68">
        <w:t xml:space="preserve">  Avista’s natural gas and electric services both show increasing costs in operating expenses across this timeframe that outpace these measures.  </w:t>
      </w:r>
    </w:p>
    <w:p w14:paraId="3C614E64" w14:textId="37B40AD4" w:rsidR="00614174" w:rsidRDefault="00614174" w:rsidP="00614174">
      <w:pPr>
        <w:pStyle w:val="NoSpacing"/>
        <w:ind w:firstLine="720"/>
      </w:pPr>
      <w:r>
        <w:t xml:space="preserve">It is worth noting how Avista’s electric operating expenses slow in growth from 2012 through 2015.  This is consistent with the </w:t>
      </w:r>
      <w:r w:rsidR="00ED0F1B">
        <w:t>“significant reduction in expenses starting in 2013” testified to by Company witness Ms. Andrews</w:t>
      </w:r>
      <w:r w:rsidR="006C21C4">
        <w:t>.</w:t>
      </w:r>
      <w:r w:rsidR="00ED0F1B">
        <w:rPr>
          <w:rStyle w:val="FootnoteReference"/>
        </w:rPr>
        <w:footnoteReference w:id="51"/>
      </w:r>
      <w:r w:rsidR="00ED0F1B">
        <w:t xml:space="preserve">  Importantly, it is also consistent with the two most broad measures of utility costs presented above: Employment Cost Index, and PPI: Utilities.  Note that the brown line (Employment Cost Index), the purple line (PPI: Utilities), and the black dashed line (Avista’s electric operating expenses) are all roughly parallel from 2012 and on. </w:t>
      </w:r>
    </w:p>
    <w:p w14:paraId="771BE8BC" w14:textId="77777777" w:rsidR="00ED0F1B" w:rsidRDefault="00ED0F1B" w:rsidP="00614174">
      <w:pPr>
        <w:pStyle w:val="NoSpacing"/>
        <w:ind w:firstLine="720"/>
      </w:pPr>
    </w:p>
    <w:p w14:paraId="2388E3ED" w14:textId="11A6E150" w:rsidR="00ED0F1B" w:rsidRDefault="00ED0F1B" w:rsidP="00ED0F1B">
      <w:pPr>
        <w:pStyle w:val="Heading8"/>
      </w:pPr>
      <w:r>
        <w:t>Q.</w:t>
      </w:r>
      <w:r>
        <w:tab/>
        <w:t>What is Staff’s recommendation on the escalation of O&amp;M costs for the rate-effective period in electric service?</w:t>
      </w:r>
    </w:p>
    <w:p w14:paraId="3614312C" w14:textId="5D866EEC" w:rsidR="004272F8" w:rsidRDefault="00B51A1C" w:rsidP="00ED0F1B">
      <w:pPr>
        <w:pStyle w:val="NoSpacing"/>
        <w:ind w:firstLine="0"/>
      </w:pPr>
      <w:r>
        <w:t xml:space="preserve">Staff recommends an adjustment to the Company’s historical O&amp;M trend. </w:t>
      </w:r>
      <w:r w:rsidR="00ED0F1B">
        <w:t xml:space="preserve">Operating Expenses are perhaps the component of revenue requirements most under the </w:t>
      </w:r>
      <w:r w:rsidR="00ED0F1B">
        <w:lastRenderedPageBreak/>
        <w:t>Company’s control</w:t>
      </w:r>
      <w:r w:rsidR="004272F8">
        <w:t>.</w:t>
      </w:r>
      <w:r w:rsidR="00ED0F1B">
        <w:t xml:space="preserve">  Avista’s growth in operating expenses over the 2007-2015 historical period are also above those of broad measures of utility costs.  Avista acknowledges the slowdown in growth of O&amp;M expenses beginning in 2013 through the testimony of Ms. Andrews, and that slowdown is consistent with the growth seen in a broad measure of utility employment costs (Employment Cost Index) and inputs (PPI: Utilities). </w:t>
      </w:r>
    </w:p>
    <w:p w14:paraId="5AB91167" w14:textId="7A7B1764" w:rsidR="00ED0F1B" w:rsidRDefault="00ED0F1B" w:rsidP="00ED0F1B">
      <w:pPr>
        <w:pStyle w:val="NoSpacing"/>
        <w:ind w:firstLine="0"/>
      </w:pPr>
      <w:r>
        <w:tab/>
        <w:t xml:space="preserve">For these reasons, Staff finds it appropriate to adjust the escalator for electric O&amp;M costs away from what the historical trend suggests, and towards a </w:t>
      </w:r>
      <w:r w:rsidR="00ED237E">
        <w:t xml:space="preserve">blended average.  A blended average is consistent with the determination </w:t>
      </w:r>
      <w:r w:rsidR="002F3889">
        <w:t>by</w:t>
      </w:r>
      <w:r w:rsidR="00ED237E">
        <w:t xml:space="preserve"> the Commission in Avista’s last rate case as well.</w:t>
      </w:r>
      <w:r w:rsidR="00ED237E">
        <w:rPr>
          <w:rStyle w:val="FootnoteReference"/>
        </w:rPr>
        <w:footnoteReference w:id="52"/>
      </w:r>
    </w:p>
    <w:p w14:paraId="58C88C8C" w14:textId="162277A6" w:rsidR="00ED237E" w:rsidRDefault="00ED237E" w:rsidP="00ED0F1B">
      <w:pPr>
        <w:pStyle w:val="NoSpacing"/>
        <w:ind w:firstLine="0"/>
      </w:pPr>
      <w:r>
        <w:tab/>
        <w:t xml:space="preserve">The blended average used by Staff is found as follows: one-quarter weight is given to Employment Cost Index, one-quarter weight is given to PPI: Utilities, and one-half weight is given to the historical trend from 2007-2015.  The result is a </w:t>
      </w:r>
      <w:r w:rsidR="0013319E">
        <w:t>3.04</w:t>
      </w:r>
      <w:r>
        <w:t>% annual growth rate</w:t>
      </w:r>
      <w:r>
        <w:rPr>
          <w:rStyle w:val="FootnoteReference"/>
        </w:rPr>
        <w:footnoteReference w:id="53"/>
      </w:r>
      <w:r>
        <w:t xml:space="preserve"> – comparable to the 2.42% used by the Commission in Avista’s last rate case.</w:t>
      </w:r>
      <w:r>
        <w:rPr>
          <w:rStyle w:val="FootnoteReference"/>
        </w:rPr>
        <w:footnoteReference w:id="54"/>
      </w:r>
      <w:r>
        <w:t xml:space="preserve">  This weighted average thus incorporates the historical performance of the utility and the unique circumstances it faces, as well as broad measures of utility operation costs that are consistent with the recent slowdown in electric O&amp;M costs that the Company has acknowledged.</w:t>
      </w:r>
    </w:p>
    <w:p w14:paraId="7DC52D5E" w14:textId="10AFCB38" w:rsidR="00DB2C46" w:rsidRDefault="00DB2C46" w:rsidP="00ED0F1B">
      <w:pPr>
        <w:pStyle w:val="NoSpacing"/>
        <w:ind w:firstLine="0"/>
      </w:pPr>
    </w:p>
    <w:p w14:paraId="4DBAC1F6" w14:textId="47685A11" w:rsidR="00DB2C46" w:rsidRDefault="00DB2C46" w:rsidP="00DB2C46">
      <w:pPr>
        <w:pStyle w:val="Heading8"/>
      </w:pPr>
      <w:r>
        <w:t>Q.</w:t>
      </w:r>
      <w:r>
        <w:tab/>
        <w:t>Why use these weights?</w:t>
      </w:r>
    </w:p>
    <w:p w14:paraId="0891409C" w14:textId="30630946" w:rsidR="00DB2C46" w:rsidRDefault="00DB2C46" w:rsidP="00DB2C46">
      <w:pPr>
        <w:pStyle w:val="NoSpacing"/>
      </w:pPr>
      <w:r>
        <w:lastRenderedPageBreak/>
        <w:t>A.</w:t>
      </w:r>
      <w:r>
        <w:tab/>
        <w:t>Applying a weight of one-half to the historical trend is consistent with the method used by the Commission in Avista’s last general rate case.</w:t>
      </w:r>
      <w:r w:rsidR="00350F54">
        <w:rPr>
          <w:rStyle w:val="FootnoteReference"/>
        </w:rPr>
        <w:footnoteReference w:id="55"/>
      </w:r>
      <w:r>
        <w:t xml:space="preserve">  The other half of the calculation amounts to an average of the Employment Cost Index and the PPI: Utilities index.  The Employment Cost Index is a broad measure of utility labor costs, while the PPI: Utilities index is a broad measure of non-labor costs that utilities face. </w:t>
      </w:r>
    </w:p>
    <w:p w14:paraId="005BBC36" w14:textId="20549A21" w:rsidR="00DB2C46" w:rsidRDefault="00DB2C46" w:rsidP="00DB2C46">
      <w:pPr>
        <w:pStyle w:val="NoSpacing"/>
      </w:pPr>
      <w:r>
        <w:tab/>
      </w:r>
      <w:r>
        <w:tab/>
        <w:t xml:space="preserve">Performing the calculation in this manner appropriately weights the actual growth in expenses that Avista has experienced, while also giving an equal weight to a proxy of reasonable growth in expenses across the utilities industry. </w:t>
      </w:r>
    </w:p>
    <w:p w14:paraId="3FAF2C77" w14:textId="77777777" w:rsidR="004272F8" w:rsidRDefault="004272F8" w:rsidP="009E4F01">
      <w:pPr>
        <w:spacing w:line="480" w:lineRule="auto"/>
        <w:rPr>
          <w:rFonts w:eastAsia="Times New Roman"/>
        </w:rPr>
      </w:pPr>
    </w:p>
    <w:p w14:paraId="3E49B602" w14:textId="77777777" w:rsidR="004272F8" w:rsidRDefault="004272F8" w:rsidP="009E4F01">
      <w:pPr>
        <w:pStyle w:val="Heading8"/>
      </w:pPr>
      <w:r>
        <w:t>Q.</w:t>
      </w:r>
      <w:r>
        <w:tab/>
        <w:t>Staff was able to evaluate rate base components on a more detailed level.  Why hasn’t the same approach been taken to expenses?</w:t>
      </w:r>
    </w:p>
    <w:p w14:paraId="2CD85055" w14:textId="35E6DA5C" w:rsidR="004272F8" w:rsidRDefault="004272F8" w:rsidP="004272F8">
      <w:pPr>
        <w:pStyle w:val="NoSpacing"/>
      </w:pPr>
      <w:r>
        <w:t>A.</w:t>
      </w:r>
      <w:r>
        <w:tab/>
        <w:t xml:space="preserve">Commission Basis Report results </w:t>
      </w:r>
      <w:r w:rsidR="00E137A9">
        <w:t>do</w:t>
      </w:r>
      <w:r>
        <w:t xml:space="preserve"> not lend </w:t>
      </w:r>
      <w:r w:rsidR="006A7656">
        <w:t xml:space="preserve">themselves </w:t>
      </w:r>
      <w:r>
        <w:t>to more detailed analysis o</w:t>
      </w:r>
      <w:r w:rsidR="00C93FF9">
        <w:t>f</w:t>
      </w:r>
      <w:r>
        <w:t xml:space="preserve"> expenses.  Expenses are not reported on the same granular level as rate base components.</w:t>
      </w:r>
    </w:p>
    <w:p w14:paraId="018E8C0C" w14:textId="77777777" w:rsidR="004272F8" w:rsidRDefault="004272F8" w:rsidP="004272F8">
      <w:pPr>
        <w:pStyle w:val="NoSpacing"/>
      </w:pPr>
    </w:p>
    <w:p w14:paraId="78D1E27D" w14:textId="4CDE6E56" w:rsidR="004272F8" w:rsidRPr="001F5258" w:rsidRDefault="00E137A9" w:rsidP="009E4F01">
      <w:pPr>
        <w:pStyle w:val="Heading3"/>
        <w:numPr>
          <w:ilvl w:val="0"/>
          <w:numId w:val="0"/>
        </w:numPr>
        <w:ind w:left="720" w:firstLine="720"/>
      </w:pPr>
      <w:bookmarkStart w:id="33" w:name="_Toc459042404"/>
      <w:r>
        <w:t xml:space="preserve">2. </w:t>
      </w:r>
      <w:r>
        <w:tab/>
      </w:r>
      <w:r w:rsidR="004272F8" w:rsidRPr="001F5258">
        <w:t>Attrition in Avista’s Natural Gas Operations</w:t>
      </w:r>
      <w:bookmarkEnd w:id="33"/>
    </w:p>
    <w:p w14:paraId="26EADD08" w14:textId="77777777" w:rsidR="004272F8" w:rsidRDefault="004272F8" w:rsidP="004272F8">
      <w:pPr>
        <w:pStyle w:val="NoSpacing"/>
      </w:pPr>
    </w:p>
    <w:p w14:paraId="5158A820" w14:textId="66512CBD" w:rsidR="00374F45" w:rsidRDefault="004272F8" w:rsidP="00A613B0">
      <w:pPr>
        <w:pStyle w:val="Heading8"/>
      </w:pPr>
      <w:r w:rsidRPr="00A613B0">
        <w:t>Q.</w:t>
      </w:r>
      <w:r w:rsidRPr="00A613B0">
        <w:tab/>
      </w:r>
      <w:r w:rsidR="00A613B0" w:rsidRPr="00A613B0">
        <w:t>What is the nature of the threat of attrition in Avista’s natural gas operations?</w:t>
      </w:r>
    </w:p>
    <w:p w14:paraId="58274D07" w14:textId="79C27A9D" w:rsidR="00DB26D7" w:rsidRDefault="00DB26D7" w:rsidP="00DB26D7">
      <w:pPr>
        <w:pStyle w:val="NoSpacing"/>
      </w:pPr>
      <w:r>
        <w:rPr>
          <w:b/>
        </w:rPr>
        <w:t>A.</w:t>
      </w:r>
      <w:r>
        <w:tab/>
      </w:r>
      <w:r w:rsidR="00350F54">
        <w:t>Again,</w:t>
      </w:r>
      <w:r>
        <w:t xml:space="preserve"> growth in </w:t>
      </w:r>
      <w:r w:rsidR="002F3889">
        <w:t>rate base</w:t>
      </w:r>
      <w:r>
        <w:t xml:space="preserve"> </w:t>
      </w:r>
      <w:r w:rsidR="002F3889">
        <w:t>and growth in expenses are</w:t>
      </w:r>
      <w:r>
        <w:t xml:space="preserve"> the primary driver</w:t>
      </w:r>
      <w:r w:rsidR="002F3889">
        <w:t>s</w:t>
      </w:r>
      <w:r>
        <w:t xml:space="preserve"> of the threat of attrition in Avista’s natural gas operations. </w:t>
      </w:r>
    </w:p>
    <w:p w14:paraId="445B2853" w14:textId="77777777" w:rsidR="002F3889" w:rsidRDefault="002F3889" w:rsidP="00DB26D7">
      <w:pPr>
        <w:pStyle w:val="NoSpacing"/>
      </w:pPr>
    </w:p>
    <w:p w14:paraId="4896395A" w14:textId="27CAC85B" w:rsidR="002F3889" w:rsidRDefault="002F3889" w:rsidP="002F3889">
      <w:pPr>
        <w:pStyle w:val="Heading8"/>
      </w:pPr>
      <w:r>
        <w:lastRenderedPageBreak/>
        <w:t>Q.</w:t>
      </w:r>
      <w:r>
        <w:tab/>
        <w:t>Which types of natural gas rate base are growing most quickly?</w:t>
      </w:r>
    </w:p>
    <w:p w14:paraId="005DC13C" w14:textId="52DFAB3C" w:rsidR="002F3889" w:rsidRDefault="002F3889" w:rsidP="00DB26D7">
      <w:pPr>
        <w:pStyle w:val="NoSpacing"/>
      </w:pPr>
      <w:r>
        <w:t>A.</w:t>
      </w:r>
      <w:r>
        <w:tab/>
      </w:r>
      <w:r w:rsidR="00B85A9F">
        <w:t xml:space="preserve">Staff’s attrition analysis suggests that distribution plant will be the dominant driver of growth in plant in service.  </w:t>
      </w:r>
    </w:p>
    <w:p w14:paraId="7237999B" w14:textId="77777777" w:rsidR="00B85A9F" w:rsidRDefault="00B85A9F" w:rsidP="00DB26D7">
      <w:pPr>
        <w:pStyle w:val="NoSpacing"/>
      </w:pPr>
    </w:p>
    <w:p w14:paraId="58C41D86" w14:textId="28B38BF4" w:rsidR="00B85A9F" w:rsidRDefault="00B85A9F" w:rsidP="00B85A9F">
      <w:pPr>
        <w:pStyle w:val="NoSpacing"/>
        <w:keepNext/>
        <w:keepLines/>
        <w:spacing w:line="240" w:lineRule="auto"/>
        <w:jc w:val="center"/>
        <w:rPr>
          <w:b/>
        </w:rPr>
      </w:pPr>
      <w:r w:rsidRPr="00F3284B">
        <w:rPr>
          <w:b/>
        </w:rPr>
        <w:t xml:space="preserve">Table </w:t>
      </w:r>
      <w:r w:rsidR="00F3284B" w:rsidRPr="00F3284B">
        <w:rPr>
          <w:b/>
        </w:rPr>
        <w:t>7</w:t>
      </w:r>
      <w:r w:rsidRPr="00F3284B">
        <w:rPr>
          <w:b/>
        </w:rPr>
        <w:t xml:space="preserve"> – Estimated growth in Natural Gas Plant in Service in 2016</w:t>
      </w:r>
    </w:p>
    <w:p w14:paraId="5D7E3F83" w14:textId="77777777" w:rsidR="00B85A9F" w:rsidRDefault="00B85A9F" w:rsidP="00B85A9F">
      <w:pPr>
        <w:pStyle w:val="NoSpacing"/>
        <w:keepNext/>
        <w:keepLines/>
        <w:spacing w:line="240" w:lineRule="auto"/>
      </w:pPr>
    </w:p>
    <w:tbl>
      <w:tblPr>
        <w:tblW w:w="5560" w:type="dxa"/>
        <w:jc w:val="center"/>
        <w:tblLook w:val="04A0" w:firstRow="1" w:lastRow="0" w:firstColumn="1" w:lastColumn="0" w:noHBand="0" w:noVBand="1"/>
      </w:tblPr>
      <w:tblGrid>
        <w:gridCol w:w="1420"/>
        <w:gridCol w:w="1400"/>
        <w:gridCol w:w="1440"/>
        <w:gridCol w:w="1300"/>
      </w:tblGrid>
      <w:tr w:rsidR="00B85A9F" w:rsidRPr="00B85A9F" w14:paraId="707DC40D" w14:textId="77777777" w:rsidTr="00B85A9F">
        <w:trPr>
          <w:trHeight w:val="1155"/>
          <w:jc w:val="center"/>
        </w:trPr>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D33EAF" w14:textId="77777777" w:rsidR="00B85A9F" w:rsidRPr="00B85A9F" w:rsidRDefault="00B85A9F" w:rsidP="00B85A9F">
            <w:pPr>
              <w:keepNext/>
              <w:keepLines/>
              <w:jc w:val="center"/>
              <w:rPr>
                <w:rFonts w:eastAsia="Times New Roman"/>
                <w:b/>
                <w:bCs/>
                <w:color w:val="000000"/>
                <w:sz w:val="22"/>
                <w:szCs w:val="22"/>
              </w:rPr>
            </w:pPr>
            <w:r w:rsidRPr="00B85A9F">
              <w:rPr>
                <w:rFonts w:eastAsia="Times New Roman"/>
                <w:b/>
                <w:bCs/>
                <w:color w:val="000000"/>
                <w:sz w:val="22"/>
                <w:szCs w:val="22"/>
              </w:rPr>
              <w:t>Category of Plant In Service</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4D186D94" w14:textId="77777777" w:rsidR="00B85A9F" w:rsidRPr="00B85A9F" w:rsidRDefault="00B85A9F" w:rsidP="00B85A9F">
            <w:pPr>
              <w:keepNext/>
              <w:keepLines/>
              <w:jc w:val="center"/>
              <w:rPr>
                <w:rFonts w:eastAsia="Times New Roman"/>
                <w:b/>
                <w:bCs/>
                <w:color w:val="000000"/>
                <w:sz w:val="22"/>
                <w:szCs w:val="22"/>
              </w:rPr>
            </w:pPr>
            <w:r w:rsidRPr="00B85A9F">
              <w:rPr>
                <w:rFonts w:eastAsia="Times New Roman"/>
                <w:b/>
                <w:bCs/>
                <w:color w:val="000000"/>
                <w:sz w:val="22"/>
                <w:szCs w:val="22"/>
              </w:rPr>
              <w:t>Estimated growth, 2016</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D30B4D6" w14:textId="77777777" w:rsidR="00B85A9F" w:rsidRPr="00B85A9F" w:rsidRDefault="00B85A9F" w:rsidP="00B85A9F">
            <w:pPr>
              <w:keepNext/>
              <w:keepLines/>
              <w:jc w:val="center"/>
              <w:rPr>
                <w:rFonts w:eastAsia="Times New Roman"/>
                <w:b/>
                <w:bCs/>
                <w:color w:val="000000"/>
                <w:sz w:val="22"/>
                <w:szCs w:val="22"/>
              </w:rPr>
            </w:pPr>
            <w:r w:rsidRPr="00B85A9F">
              <w:rPr>
                <w:rFonts w:eastAsia="Times New Roman"/>
                <w:b/>
                <w:bCs/>
                <w:color w:val="000000"/>
                <w:sz w:val="22"/>
                <w:szCs w:val="22"/>
              </w:rPr>
              <w:t>Estimated addition, 2016 (thousands)</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10964911" w14:textId="77777777" w:rsidR="00B85A9F" w:rsidRPr="00B85A9F" w:rsidRDefault="00B85A9F" w:rsidP="00B85A9F">
            <w:pPr>
              <w:keepNext/>
              <w:keepLines/>
              <w:jc w:val="center"/>
              <w:rPr>
                <w:rFonts w:eastAsia="Times New Roman"/>
                <w:b/>
                <w:bCs/>
                <w:color w:val="000000"/>
                <w:sz w:val="22"/>
                <w:szCs w:val="22"/>
              </w:rPr>
            </w:pPr>
            <w:r w:rsidRPr="00B85A9F">
              <w:rPr>
                <w:rFonts w:eastAsia="Times New Roman"/>
                <w:b/>
                <w:bCs/>
                <w:color w:val="000000"/>
                <w:sz w:val="22"/>
                <w:szCs w:val="22"/>
              </w:rPr>
              <w:t>Share of estimated additions, 2016</w:t>
            </w:r>
          </w:p>
        </w:tc>
      </w:tr>
      <w:tr w:rsidR="00B85A9F" w:rsidRPr="00B85A9F" w14:paraId="321E30C4" w14:textId="77777777" w:rsidTr="00B85A9F">
        <w:trPr>
          <w:trHeight w:val="315"/>
          <w:jc w:val="center"/>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3D70D60"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UG Storage</w:t>
            </w:r>
          </w:p>
        </w:tc>
        <w:tc>
          <w:tcPr>
            <w:tcW w:w="1400" w:type="dxa"/>
            <w:tcBorders>
              <w:top w:val="nil"/>
              <w:left w:val="nil"/>
              <w:bottom w:val="single" w:sz="8" w:space="0" w:color="auto"/>
              <w:right w:val="single" w:sz="8" w:space="0" w:color="auto"/>
            </w:tcBorders>
            <w:shd w:val="clear" w:color="auto" w:fill="auto"/>
            <w:noWrap/>
            <w:vAlign w:val="center"/>
            <w:hideMark/>
          </w:tcPr>
          <w:p w14:paraId="0C28F006"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-0.31%</w:t>
            </w:r>
          </w:p>
        </w:tc>
        <w:tc>
          <w:tcPr>
            <w:tcW w:w="1440" w:type="dxa"/>
            <w:tcBorders>
              <w:top w:val="nil"/>
              <w:left w:val="nil"/>
              <w:bottom w:val="single" w:sz="8" w:space="0" w:color="auto"/>
              <w:right w:val="single" w:sz="8" w:space="0" w:color="auto"/>
            </w:tcBorders>
            <w:shd w:val="clear" w:color="auto" w:fill="auto"/>
            <w:noWrap/>
            <w:vAlign w:val="center"/>
            <w:hideMark/>
          </w:tcPr>
          <w:p w14:paraId="198CC8FC" w14:textId="77777777" w:rsidR="00B85A9F" w:rsidRPr="00B85A9F" w:rsidRDefault="00B85A9F" w:rsidP="00B85A9F">
            <w:pPr>
              <w:keepNext/>
              <w:keepLines/>
              <w:jc w:val="center"/>
              <w:rPr>
                <w:rFonts w:eastAsia="Times New Roman"/>
                <w:color w:val="000000"/>
                <w:sz w:val="22"/>
                <w:szCs w:val="22"/>
              </w:rPr>
            </w:pPr>
            <w:r w:rsidRPr="001446FC">
              <w:rPr>
                <w:rFonts w:eastAsia="Times New Roman"/>
                <w:sz w:val="22"/>
                <w:szCs w:val="22"/>
              </w:rPr>
              <w:t>($79)</w:t>
            </w:r>
          </w:p>
        </w:tc>
        <w:tc>
          <w:tcPr>
            <w:tcW w:w="1300" w:type="dxa"/>
            <w:tcBorders>
              <w:top w:val="nil"/>
              <w:left w:val="nil"/>
              <w:bottom w:val="single" w:sz="8" w:space="0" w:color="auto"/>
              <w:right w:val="single" w:sz="8" w:space="0" w:color="auto"/>
            </w:tcBorders>
            <w:shd w:val="clear" w:color="auto" w:fill="auto"/>
            <w:noWrap/>
            <w:vAlign w:val="center"/>
            <w:hideMark/>
          </w:tcPr>
          <w:p w14:paraId="490724DE"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-0.27%</w:t>
            </w:r>
          </w:p>
        </w:tc>
      </w:tr>
      <w:tr w:rsidR="00B85A9F" w:rsidRPr="00B85A9F" w14:paraId="7D2A7BE0" w14:textId="77777777" w:rsidTr="00B85A9F">
        <w:trPr>
          <w:trHeight w:val="315"/>
          <w:jc w:val="center"/>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B419A0E"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Distribution</w:t>
            </w:r>
          </w:p>
        </w:tc>
        <w:tc>
          <w:tcPr>
            <w:tcW w:w="1400" w:type="dxa"/>
            <w:tcBorders>
              <w:top w:val="nil"/>
              <w:left w:val="nil"/>
              <w:bottom w:val="single" w:sz="8" w:space="0" w:color="auto"/>
              <w:right w:val="single" w:sz="8" w:space="0" w:color="auto"/>
            </w:tcBorders>
            <w:shd w:val="clear" w:color="auto" w:fill="auto"/>
            <w:noWrap/>
            <w:vAlign w:val="center"/>
            <w:hideMark/>
          </w:tcPr>
          <w:p w14:paraId="2EBFF689"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6.29%</w:t>
            </w:r>
          </w:p>
        </w:tc>
        <w:tc>
          <w:tcPr>
            <w:tcW w:w="1440" w:type="dxa"/>
            <w:tcBorders>
              <w:top w:val="nil"/>
              <w:left w:val="nil"/>
              <w:bottom w:val="single" w:sz="8" w:space="0" w:color="auto"/>
              <w:right w:val="single" w:sz="8" w:space="0" w:color="auto"/>
            </w:tcBorders>
            <w:shd w:val="clear" w:color="auto" w:fill="auto"/>
            <w:noWrap/>
            <w:vAlign w:val="center"/>
            <w:hideMark/>
          </w:tcPr>
          <w:p w14:paraId="1561AB61"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 xml:space="preserve">$22,672 </w:t>
            </w:r>
          </w:p>
        </w:tc>
        <w:tc>
          <w:tcPr>
            <w:tcW w:w="1300" w:type="dxa"/>
            <w:tcBorders>
              <w:top w:val="nil"/>
              <w:left w:val="nil"/>
              <w:bottom w:val="single" w:sz="8" w:space="0" w:color="auto"/>
              <w:right w:val="single" w:sz="8" w:space="0" w:color="auto"/>
            </w:tcBorders>
            <w:shd w:val="clear" w:color="auto" w:fill="auto"/>
            <w:noWrap/>
            <w:vAlign w:val="center"/>
            <w:hideMark/>
          </w:tcPr>
          <w:p w14:paraId="5EF87843"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78.36%</w:t>
            </w:r>
          </w:p>
        </w:tc>
      </w:tr>
      <w:tr w:rsidR="00B85A9F" w:rsidRPr="00B85A9F" w14:paraId="6B264871" w14:textId="77777777" w:rsidTr="00B85A9F">
        <w:trPr>
          <w:trHeight w:val="315"/>
          <w:jc w:val="center"/>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1DF42E6"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General</w:t>
            </w:r>
          </w:p>
        </w:tc>
        <w:tc>
          <w:tcPr>
            <w:tcW w:w="1400" w:type="dxa"/>
            <w:tcBorders>
              <w:top w:val="nil"/>
              <w:left w:val="nil"/>
              <w:bottom w:val="single" w:sz="8" w:space="0" w:color="auto"/>
              <w:right w:val="single" w:sz="8" w:space="0" w:color="auto"/>
            </w:tcBorders>
            <w:shd w:val="clear" w:color="auto" w:fill="auto"/>
            <w:noWrap/>
            <w:vAlign w:val="center"/>
            <w:hideMark/>
          </w:tcPr>
          <w:p w14:paraId="4D165B94"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8.39%</w:t>
            </w:r>
          </w:p>
        </w:tc>
        <w:tc>
          <w:tcPr>
            <w:tcW w:w="1440" w:type="dxa"/>
            <w:tcBorders>
              <w:top w:val="nil"/>
              <w:left w:val="nil"/>
              <w:bottom w:val="single" w:sz="8" w:space="0" w:color="auto"/>
              <w:right w:val="single" w:sz="8" w:space="0" w:color="auto"/>
            </w:tcBorders>
            <w:shd w:val="clear" w:color="auto" w:fill="auto"/>
            <w:noWrap/>
            <w:vAlign w:val="center"/>
            <w:hideMark/>
          </w:tcPr>
          <w:p w14:paraId="6DC4176D"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 xml:space="preserve">$6,339 </w:t>
            </w:r>
          </w:p>
        </w:tc>
        <w:tc>
          <w:tcPr>
            <w:tcW w:w="1300" w:type="dxa"/>
            <w:tcBorders>
              <w:top w:val="nil"/>
              <w:left w:val="nil"/>
              <w:bottom w:val="single" w:sz="8" w:space="0" w:color="auto"/>
              <w:right w:val="single" w:sz="8" w:space="0" w:color="auto"/>
            </w:tcBorders>
            <w:shd w:val="clear" w:color="auto" w:fill="auto"/>
            <w:noWrap/>
            <w:vAlign w:val="center"/>
            <w:hideMark/>
          </w:tcPr>
          <w:p w14:paraId="16C3A890" w14:textId="77777777" w:rsidR="00B85A9F" w:rsidRPr="00B85A9F" w:rsidRDefault="00B85A9F" w:rsidP="00B85A9F">
            <w:pPr>
              <w:keepNext/>
              <w:keepLines/>
              <w:jc w:val="center"/>
              <w:rPr>
                <w:rFonts w:eastAsia="Times New Roman"/>
                <w:color w:val="000000"/>
                <w:sz w:val="22"/>
                <w:szCs w:val="22"/>
              </w:rPr>
            </w:pPr>
            <w:r w:rsidRPr="00B85A9F">
              <w:rPr>
                <w:rFonts w:eastAsia="Times New Roman"/>
                <w:color w:val="000000"/>
                <w:sz w:val="22"/>
                <w:szCs w:val="22"/>
              </w:rPr>
              <w:t>21.91%</w:t>
            </w:r>
          </w:p>
        </w:tc>
      </w:tr>
    </w:tbl>
    <w:p w14:paraId="788A7EA5" w14:textId="77777777" w:rsidR="00B85A9F" w:rsidRDefault="00B85A9F" w:rsidP="00DB26D7">
      <w:pPr>
        <w:pStyle w:val="NoSpacing"/>
      </w:pPr>
    </w:p>
    <w:p w14:paraId="15BA9BA8" w14:textId="77777777" w:rsidR="002F3889" w:rsidRDefault="002F3889" w:rsidP="00DB26D7">
      <w:pPr>
        <w:pStyle w:val="NoSpacing"/>
      </w:pPr>
    </w:p>
    <w:p w14:paraId="34A144D3" w14:textId="0001594C" w:rsidR="002F3889" w:rsidRPr="00B85A9F" w:rsidRDefault="002F3889" w:rsidP="00B85A9F">
      <w:pPr>
        <w:pStyle w:val="Heading8"/>
      </w:pPr>
      <w:r w:rsidRPr="00B85A9F">
        <w:rPr>
          <w:rStyle w:val="Heading8Char"/>
          <w:b/>
        </w:rPr>
        <w:t>Q.</w:t>
      </w:r>
      <w:r w:rsidRPr="00B85A9F">
        <w:rPr>
          <w:rStyle w:val="Heading8Char"/>
          <w:b/>
        </w:rPr>
        <w:tab/>
        <w:t>What are the difference</w:t>
      </w:r>
      <w:r w:rsidR="00B85A9F">
        <w:rPr>
          <w:rStyle w:val="Heading8Char"/>
          <w:b/>
        </w:rPr>
        <w:t>s</w:t>
      </w:r>
      <w:r w:rsidRPr="00B85A9F">
        <w:rPr>
          <w:rStyle w:val="Heading8Char"/>
          <w:b/>
        </w:rPr>
        <w:t xml:space="preserve"> between Staff’s and Avista’s approaches to measuring plant</w:t>
      </w:r>
      <w:r w:rsidRPr="00B85A9F">
        <w:t xml:space="preserve"> growth in Avista’s natural gas operations?</w:t>
      </w:r>
    </w:p>
    <w:p w14:paraId="11F0979A" w14:textId="01CEAEAF" w:rsidR="00B85A9F" w:rsidRDefault="002F3889" w:rsidP="00B85A9F">
      <w:pPr>
        <w:pStyle w:val="NoSpacing"/>
      </w:pPr>
      <w:r>
        <w:t>A.</w:t>
      </w:r>
      <w:r>
        <w:tab/>
      </w:r>
      <w:r w:rsidR="00713EEE">
        <w:t xml:space="preserve">Similar to the analysis of electric service, </w:t>
      </w:r>
      <w:r w:rsidR="00B85A9F">
        <w:t>Staff found the growth</w:t>
      </w:r>
      <w:r w:rsidR="00350F54">
        <w:t xml:space="preserve"> rates</w:t>
      </w:r>
      <w:r w:rsidR="00B85A9F">
        <w:t xml:space="preserve"> </w:t>
      </w:r>
      <w:r w:rsidR="00350F54">
        <w:t>for</w:t>
      </w:r>
      <w:r w:rsidR="00B85A9F">
        <w:t xml:space="preserve"> particular types of </w:t>
      </w:r>
      <w:r w:rsidR="00713EEE">
        <w:t xml:space="preserve">natural gas </w:t>
      </w:r>
      <w:r w:rsidR="00B85A9F">
        <w:t xml:space="preserve">plant growth over the historical period.  Staff’s analysis found the stastically-significant rate of growth for each type of plant, and then developed escalation factors specific to those elements.  </w:t>
      </w:r>
      <w:r w:rsidR="00713EEE">
        <w:t>Avista’s analysis only evaluated growth in Net Plant After DFIT.</w:t>
      </w:r>
    </w:p>
    <w:p w14:paraId="77055A0B" w14:textId="5FAF9BEF" w:rsidR="002F3889" w:rsidRDefault="00B85A9F" w:rsidP="00713EEE">
      <w:pPr>
        <w:pStyle w:val="NoSpacing"/>
        <w:ind w:firstLine="720"/>
      </w:pPr>
      <w:r>
        <w:t>A comparison between Staff’s escalations and Avista’s escalations show the importance of using a specific escalation rate for the respective type of plant.</w:t>
      </w:r>
      <w:r w:rsidR="00713EEE">
        <w:t xml:space="preserve">  </w:t>
      </w:r>
      <w:r w:rsidR="007449FB">
        <w:t xml:space="preserve">Note that in Staff’s analysis, general plant uses an escalation rate based on a linear function, while Avista’s broad escalator for Net Plant After DFIT, and Staff’s </w:t>
      </w:r>
      <w:r w:rsidR="007449FB">
        <w:lastRenderedPageBreak/>
        <w:t>escalators for underground storage and distribution plant</w:t>
      </w:r>
      <w:r w:rsidR="006F1CA8">
        <w:t>,</w:t>
      </w:r>
      <w:r w:rsidR="007449FB">
        <w:t xml:space="preserve"> are based on polynomial functions.</w:t>
      </w:r>
      <w:r w:rsidR="00350F54">
        <w:rPr>
          <w:rStyle w:val="FootnoteReference"/>
        </w:rPr>
        <w:footnoteReference w:id="56"/>
      </w:r>
    </w:p>
    <w:p w14:paraId="1CBBCCF7" w14:textId="77777777" w:rsidR="007449FB" w:rsidRDefault="007449FB" w:rsidP="007449FB">
      <w:pPr>
        <w:pStyle w:val="NoSpacing"/>
      </w:pPr>
    </w:p>
    <w:p w14:paraId="5E4F9A5D" w14:textId="56EDABC8" w:rsidR="007449FB" w:rsidRPr="007449FB" w:rsidRDefault="007449FB" w:rsidP="007449FB">
      <w:pPr>
        <w:pStyle w:val="NoSpacing"/>
        <w:keepNext/>
        <w:keepLines/>
        <w:spacing w:line="240" w:lineRule="auto"/>
        <w:jc w:val="center"/>
        <w:rPr>
          <w:b/>
        </w:rPr>
      </w:pPr>
      <w:r w:rsidRPr="00F3284B">
        <w:rPr>
          <w:b/>
        </w:rPr>
        <w:t xml:space="preserve">Table </w:t>
      </w:r>
      <w:r w:rsidR="00F3284B" w:rsidRPr="00F3284B">
        <w:rPr>
          <w:b/>
        </w:rPr>
        <w:t>8</w:t>
      </w:r>
    </w:p>
    <w:tbl>
      <w:tblPr>
        <w:tblW w:w="8952" w:type="dxa"/>
        <w:tblLook w:val="04A0" w:firstRow="1" w:lastRow="0" w:firstColumn="1" w:lastColumn="0" w:noHBand="0" w:noVBand="1"/>
      </w:tblPr>
      <w:tblGrid>
        <w:gridCol w:w="1196"/>
        <w:gridCol w:w="1386"/>
        <w:gridCol w:w="1604"/>
        <w:gridCol w:w="1267"/>
        <w:gridCol w:w="1864"/>
        <w:gridCol w:w="1635"/>
      </w:tblGrid>
      <w:tr w:rsidR="007449FB" w:rsidRPr="007449FB" w14:paraId="015E3E19" w14:textId="77777777" w:rsidTr="007449FB">
        <w:trPr>
          <w:trHeight w:val="300"/>
        </w:trPr>
        <w:tc>
          <w:tcPr>
            <w:tcW w:w="1196" w:type="dxa"/>
            <w:tcBorders>
              <w:top w:val="nil"/>
              <w:left w:val="nil"/>
              <w:bottom w:val="nil"/>
              <w:right w:val="nil"/>
            </w:tcBorders>
            <w:shd w:val="clear" w:color="auto" w:fill="auto"/>
            <w:noWrap/>
            <w:vAlign w:val="bottom"/>
            <w:hideMark/>
          </w:tcPr>
          <w:p w14:paraId="17B3E7C8" w14:textId="77777777" w:rsidR="007449FB" w:rsidRPr="007449FB" w:rsidRDefault="007449FB" w:rsidP="007449FB">
            <w:pPr>
              <w:keepNext/>
              <w:keepLines/>
              <w:rPr>
                <w:rFonts w:eastAsia="Times New Roman"/>
              </w:rPr>
            </w:pPr>
          </w:p>
        </w:tc>
        <w:tc>
          <w:tcPr>
            <w:tcW w:w="1386" w:type="dxa"/>
            <w:tcBorders>
              <w:top w:val="nil"/>
              <w:left w:val="nil"/>
              <w:bottom w:val="nil"/>
              <w:right w:val="nil"/>
            </w:tcBorders>
            <w:shd w:val="clear" w:color="auto" w:fill="auto"/>
            <w:noWrap/>
            <w:vAlign w:val="bottom"/>
            <w:hideMark/>
          </w:tcPr>
          <w:p w14:paraId="6BCF98EE" w14:textId="77777777" w:rsidR="007449FB" w:rsidRPr="007449FB" w:rsidRDefault="007449FB" w:rsidP="007449FB">
            <w:pPr>
              <w:keepNext/>
              <w:keepLines/>
              <w:rPr>
                <w:rFonts w:eastAsia="Times New Roman"/>
                <w:sz w:val="20"/>
                <w:szCs w:val="20"/>
              </w:rPr>
            </w:pPr>
          </w:p>
        </w:tc>
        <w:tc>
          <w:tcPr>
            <w:tcW w:w="63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AC1EC" w14:textId="77777777" w:rsidR="007449FB" w:rsidRPr="007449FB" w:rsidRDefault="007449FB" w:rsidP="007449FB">
            <w:pPr>
              <w:keepNext/>
              <w:keepLines/>
              <w:jc w:val="center"/>
              <w:rPr>
                <w:rFonts w:ascii="Calibri" w:eastAsia="Times New Roman" w:hAnsi="Calibri"/>
                <w:b/>
                <w:bCs/>
                <w:color w:val="000000"/>
                <w:sz w:val="22"/>
                <w:szCs w:val="22"/>
              </w:rPr>
            </w:pPr>
            <w:r w:rsidRPr="007449FB">
              <w:rPr>
                <w:rFonts w:ascii="Calibri" w:eastAsia="Times New Roman" w:hAnsi="Calibri"/>
                <w:b/>
                <w:bCs/>
                <w:color w:val="000000"/>
                <w:sz w:val="22"/>
                <w:szCs w:val="22"/>
              </w:rPr>
              <w:t>Natural Gas, 12ME Dec 2017</w:t>
            </w:r>
          </w:p>
        </w:tc>
      </w:tr>
      <w:tr w:rsidR="007449FB" w:rsidRPr="007449FB" w14:paraId="28B2D093" w14:textId="77777777" w:rsidTr="007449FB">
        <w:trPr>
          <w:trHeight w:val="300"/>
        </w:trPr>
        <w:tc>
          <w:tcPr>
            <w:tcW w:w="1196" w:type="dxa"/>
            <w:tcBorders>
              <w:top w:val="nil"/>
              <w:left w:val="nil"/>
              <w:bottom w:val="nil"/>
              <w:right w:val="nil"/>
            </w:tcBorders>
            <w:shd w:val="clear" w:color="auto" w:fill="auto"/>
            <w:noWrap/>
            <w:vAlign w:val="bottom"/>
            <w:hideMark/>
          </w:tcPr>
          <w:p w14:paraId="178103E0" w14:textId="77777777" w:rsidR="007449FB" w:rsidRPr="007449FB" w:rsidRDefault="007449FB" w:rsidP="007449FB">
            <w:pPr>
              <w:keepNext/>
              <w:keepLines/>
              <w:jc w:val="center"/>
              <w:rPr>
                <w:rFonts w:ascii="Calibri" w:eastAsia="Times New Roman" w:hAnsi="Calibri"/>
                <w:b/>
                <w:bCs/>
                <w:color w:val="000000"/>
                <w:sz w:val="22"/>
                <w:szCs w:val="22"/>
              </w:rPr>
            </w:pPr>
          </w:p>
        </w:tc>
        <w:tc>
          <w:tcPr>
            <w:tcW w:w="1386" w:type="dxa"/>
            <w:tcBorders>
              <w:top w:val="nil"/>
              <w:left w:val="nil"/>
              <w:bottom w:val="nil"/>
              <w:right w:val="nil"/>
            </w:tcBorders>
            <w:shd w:val="clear" w:color="auto" w:fill="auto"/>
            <w:noWrap/>
            <w:vAlign w:val="bottom"/>
            <w:hideMark/>
          </w:tcPr>
          <w:p w14:paraId="4B7E6418" w14:textId="77777777" w:rsidR="007449FB" w:rsidRPr="007449FB" w:rsidRDefault="007449FB" w:rsidP="007449FB">
            <w:pPr>
              <w:keepNext/>
              <w:keepLines/>
              <w:rPr>
                <w:rFonts w:eastAsia="Times New Roman"/>
                <w:sz w:val="20"/>
                <w:szCs w:val="20"/>
              </w:rPr>
            </w:pPr>
          </w:p>
        </w:tc>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4AD2C924"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Staff Escalator</w:t>
            </w:r>
          </w:p>
        </w:tc>
        <w:tc>
          <w:tcPr>
            <w:tcW w:w="1267" w:type="dxa"/>
            <w:tcBorders>
              <w:top w:val="nil"/>
              <w:left w:val="nil"/>
              <w:bottom w:val="single" w:sz="4" w:space="0" w:color="auto"/>
              <w:right w:val="single" w:sz="4" w:space="0" w:color="auto"/>
            </w:tcBorders>
            <w:shd w:val="clear" w:color="auto" w:fill="auto"/>
            <w:noWrap/>
            <w:vAlign w:val="bottom"/>
            <w:hideMark/>
          </w:tcPr>
          <w:p w14:paraId="137B5920"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AVA Escalator</w:t>
            </w:r>
          </w:p>
        </w:tc>
        <w:tc>
          <w:tcPr>
            <w:tcW w:w="1864" w:type="dxa"/>
            <w:tcBorders>
              <w:top w:val="nil"/>
              <w:left w:val="nil"/>
              <w:bottom w:val="single" w:sz="4" w:space="0" w:color="auto"/>
              <w:right w:val="single" w:sz="4" w:space="0" w:color="auto"/>
            </w:tcBorders>
            <w:shd w:val="clear" w:color="auto" w:fill="auto"/>
            <w:noWrap/>
            <w:vAlign w:val="bottom"/>
            <w:hideMark/>
          </w:tcPr>
          <w:p w14:paraId="7E16DB71"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Staff $</w:t>
            </w:r>
          </w:p>
        </w:tc>
        <w:tc>
          <w:tcPr>
            <w:tcW w:w="1635" w:type="dxa"/>
            <w:tcBorders>
              <w:top w:val="nil"/>
              <w:left w:val="nil"/>
              <w:bottom w:val="single" w:sz="4" w:space="0" w:color="auto"/>
              <w:right w:val="single" w:sz="4" w:space="0" w:color="auto"/>
            </w:tcBorders>
            <w:shd w:val="clear" w:color="auto" w:fill="auto"/>
            <w:noWrap/>
            <w:vAlign w:val="bottom"/>
            <w:hideMark/>
          </w:tcPr>
          <w:p w14:paraId="4DED6E71"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AVA $</w:t>
            </w:r>
          </w:p>
        </w:tc>
      </w:tr>
      <w:tr w:rsidR="007449FB" w:rsidRPr="007449FB" w14:paraId="08967356" w14:textId="77777777" w:rsidTr="007449FB">
        <w:trPr>
          <w:trHeight w:val="300"/>
        </w:trPr>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863FA"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Plant in service</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4A206016"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UG Storage</w:t>
            </w:r>
          </w:p>
        </w:tc>
        <w:tc>
          <w:tcPr>
            <w:tcW w:w="1604" w:type="dxa"/>
            <w:tcBorders>
              <w:top w:val="nil"/>
              <w:left w:val="nil"/>
              <w:bottom w:val="single" w:sz="4" w:space="0" w:color="auto"/>
              <w:right w:val="single" w:sz="4" w:space="0" w:color="auto"/>
            </w:tcBorders>
            <w:shd w:val="clear" w:color="auto" w:fill="auto"/>
            <w:noWrap/>
            <w:vAlign w:val="bottom"/>
            <w:hideMark/>
          </w:tcPr>
          <w:p w14:paraId="571305FB"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-0.62%</w:t>
            </w:r>
          </w:p>
        </w:tc>
        <w:tc>
          <w:tcPr>
            <w:tcW w:w="1267" w:type="dxa"/>
            <w:tcBorders>
              <w:top w:val="nil"/>
              <w:left w:val="nil"/>
              <w:bottom w:val="single" w:sz="4" w:space="0" w:color="auto"/>
              <w:right w:val="single" w:sz="4" w:space="0" w:color="auto"/>
            </w:tcBorders>
            <w:shd w:val="clear" w:color="auto" w:fill="auto"/>
            <w:noWrap/>
            <w:vAlign w:val="bottom"/>
            <w:hideMark/>
          </w:tcPr>
          <w:p w14:paraId="0FD94DCC"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10.91%</w:t>
            </w:r>
          </w:p>
        </w:tc>
        <w:tc>
          <w:tcPr>
            <w:tcW w:w="1864" w:type="dxa"/>
            <w:tcBorders>
              <w:top w:val="nil"/>
              <w:left w:val="nil"/>
              <w:bottom w:val="single" w:sz="4" w:space="0" w:color="auto"/>
              <w:right w:val="single" w:sz="4" w:space="0" w:color="auto"/>
            </w:tcBorders>
            <w:shd w:val="clear" w:color="auto" w:fill="auto"/>
            <w:noWrap/>
            <w:vAlign w:val="bottom"/>
            <w:hideMark/>
          </w:tcPr>
          <w:p w14:paraId="1E8A35E5"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(158.4)</w:t>
            </w:r>
          </w:p>
        </w:tc>
        <w:tc>
          <w:tcPr>
            <w:tcW w:w="1635" w:type="dxa"/>
            <w:tcBorders>
              <w:top w:val="nil"/>
              <w:left w:val="nil"/>
              <w:bottom w:val="single" w:sz="4" w:space="0" w:color="auto"/>
              <w:right w:val="single" w:sz="4" w:space="0" w:color="auto"/>
            </w:tcBorders>
            <w:shd w:val="clear" w:color="auto" w:fill="auto"/>
            <w:noWrap/>
            <w:vAlign w:val="bottom"/>
            <w:hideMark/>
          </w:tcPr>
          <w:p w14:paraId="3742612B"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2,813 </w:t>
            </w:r>
          </w:p>
        </w:tc>
      </w:tr>
      <w:tr w:rsidR="007449FB" w:rsidRPr="007449FB" w14:paraId="6267B6A9" w14:textId="77777777" w:rsidTr="007449FB">
        <w:trPr>
          <w:trHeight w:val="300"/>
        </w:trPr>
        <w:tc>
          <w:tcPr>
            <w:tcW w:w="1196" w:type="dxa"/>
            <w:vMerge/>
            <w:tcBorders>
              <w:top w:val="single" w:sz="4" w:space="0" w:color="auto"/>
              <w:left w:val="single" w:sz="4" w:space="0" w:color="auto"/>
              <w:bottom w:val="single" w:sz="4" w:space="0" w:color="auto"/>
              <w:right w:val="single" w:sz="4" w:space="0" w:color="auto"/>
            </w:tcBorders>
            <w:vAlign w:val="center"/>
            <w:hideMark/>
          </w:tcPr>
          <w:p w14:paraId="0ED34D03" w14:textId="77777777" w:rsidR="007449FB" w:rsidRPr="007449FB" w:rsidRDefault="007449FB" w:rsidP="007449FB">
            <w:pPr>
              <w:keepNext/>
              <w:keepLines/>
              <w:rPr>
                <w:rFonts w:ascii="Calibri" w:eastAsia="Times New Roman" w:hAnsi="Calibri"/>
                <w:color w:val="000000"/>
                <w:sz w:val="22"/>
                <w:szCs w:val="22"/>
              </w:rPr>
            </w:pPr>
          </w:p>
        </w:tc>
        <w:tc>
          <w:tcPr>
            <w:tcW w:w="1386" w:type="dxa"/>
            <w:tcBorders>
              <w:top w:val="nil"/>
              <w:left w:val="nil"/>
              <w:bottom w:val="single" w:sz="4" w:space="0" w:color="auto"/>
              <w:right w:val="single" w:sz="4" w:space="0" w:color="auto"/>
            </w:tcBorders>
            <w:shd w:val="clear" w:color="auto" w:fill="auto"/>
            <w:noWrap/>
            <w:vAlign w:val="bottom"/>
            <w:hideMark/>
          </w:tcPr>
          <w:p w14:paraId="5B3E2A5B"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Distribution</w:t>
            </w:r>
          </w:p>
        </w:tc>
        <w:tc>
          <w:tcPr>
            <w:tcW w:w="1604" w:type="dxa"/>
            <w:tcBorders>
              <w:top w:val="nil"/>
              <w:left w:val="nil"/>
              <w:bottom w:val="single" w:sz="4" w:space="0" w:color="auto"/>
              <w:right w:val="single" w:sz="4" w:space="0" w:color="auto"/>
            </w:tcBorders>
            <w:shd w:val="clear" w:color="auto" w:fill="auto"/>
            <w:noWrap/>
            <w:vAlign w:val="bottom"/>
            <w:hideMark/>
          </w:tcPr>
          <w:p w14:paraId="7AEBBCB9"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12.57%</w:t>
            </w:r>
          </w:p>
        </w:tc>
        <w:tc>
          <w:tcPr>
            <w:tcW w:w="1267" w:type="dxa"/>
            <w:tcBorders>
              <w:top w:val="nil"/>
              <w:left w:val="nil"/>
              <w:bottom w:val="single" w:sz="4" w:space="0" w:color="auto"/>
              <w:right w:val="single" w:sz="4" w:space="0" w:color="auto"/>
            </w:tcBorders>
            <w:shd w:val="clear" w:color="auto" w:fill="auto"/>
            <w:noWrap/>
            <w:vAlign w:val="bottom"/>
            <w:hideMark/>
          </w:tcPr>
          <w:p w14:paraId="40B3F2FA"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10.91%</w:t>
            </w:r>
          </w:p>
        </w:tc>
        <w:tc>
          <w:tcPr>
            <w:tcW w:w="1864" w:type="dxa"/>
            <w:tcBorders>
              <w:top w:val="nil"/>
              <w:left w:val="nil"/>
              <w:bottom w:val="single" w:sz="4" w:space="0" w:color="auto"/>
              <w:right w:val="single" w:sz="4" w:space="0" w:color="auto"/>
            </w:tcBorders>
            <w:shd w:val="clear" w:color="auto" w:fill="auto"/>
            <w:noWrap/>
            <w:vAlign w:val="bottom"/>
            <w:hideMark/>
          </w:tcPr>
          <w:p w14:paraId="527D3EB4"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45,343.3 </w:t>
            </w:r>
          </w:p>
        </w:tc>
        <w:tc>
          <w:tcPr>
            <w:tcW w:w="1635" w:type="dxa"/>
            <w:tcBorders>
              <w:top w:val="nil"/>
              <w:left w:val="nil"/>
              <w:bottom w:val="single" w:sz="4" w:space="0" w:color="auto"/>
              <w:right w:val="single" w:sz="4" w:space="0" w:color="auto"/>
            </w:tcBorders>
            <w:shd w:val="clear" w:color="auto" w:fill="auto"/>
            <w:noWrap/>
            <w:vAlign w:val="bottom"/>
            <w:hideMark/>
          </w:tcPr>
          <w:p w14:paraId="29DB7016"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39,238 </w:t>
            </w:r>
          </w:p>
        </w:tc>
      </w:tr>
      <w:tr w:rsidR="007449FB" w:rsidRPr="007449FB" w14:paraId="057872F2" w14:textId="77777777" w:rsidTr="007449FB">
        <w:trPr>
          <w:trHeight w:val="300"/>
        </w:trPr>
        <w:tc>
          <w:tcPr>
            <w:tcW w:w="1196" w:type="dxa"/>
            <w:vMerge/>
            <w:tcBorders>
              <w:top w:val="single" w:sz="4" w:space="0" w:color="auto"/>
              <w:left w:val="single" w:sz="4" w:space="0" w:color="auto"/>
              <w:bottom w:val="single" w:sz="4" w:space="0" w:color="auto"/>
              <w:right w:val="single" w:sz="4" w:space="0" w:color="auto"/>
            </w:tcBorders>
            <w:vAlign w:val="center"/>
            <w:hideMark/>
          </w:tcPr>
          <w:p w14:paraId="3FD753DA" w14:textId="77777777" w:rsidR="007449FB" w:rsidRPr="007449FB" w:rsidRDefault="007449FB" w:rsidP="007449FB">
            <w:pPr>
              <w:keepNext/>
              <w:keepLines/>
              <w:rPr>
                <w:rFonts w:ascii="Calibri" w:eastAsia="Times New Roman" w:hAnsi="Calibri"/>
                <w:color w:val="000000"/>
                <w:sz w:val="22"/>
                <w:szCs w:val="22"/>
              </w:rPr>
            </w:pPr>
          </w:p>
        </w:tc>
        <w:tc>
          <w:tcPr>
            <w:tcW w:w="1386" w:type="dxa"/>
            <w:tcBorders>
              <w:top w:val="nil"/>
              <w:left w:val="nil"/>
              <w:bottom w:val="single" w:sz="4" w:space="0" w:color="auto"/>
              <w:right w:val="single" w:sz="4" w:space="0" w:color="auto"/>
            </w:tcBorders>
            <w:shd w:val="clear" w:color="auto" w:fill="auto"/>
            <w:noWrap/>
            <w:vAlign w:val="bottom"/>
            <w:hideMark/>
          </w:tcPr>
          <w:p w14:paraId="42B89F99"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General</w:t>
            </w:r>
          </w:p>
        </w:tc>
        <w:tc>
          <w:tcPr>
            <w:tcW w:w="1604" w:type="dxa"/>
            <w:tcBorders>
              <w:top w:val="nil"/>
              <w:left w:val="nil"/>
              <w:bottom w:val="single" w:sz="4" w:space="0" w:color="auto"/>
              <w:right w:val="single" w:sz="4" w:space="0" w:color="auto"/>
            </w:tcBorders>
            <w:shd w:val="clear" w:color="auto" w:fill="auto"/>
            <w:noWrap/>
            <w:vAlign w:val="bottom"/>
            <w:hideMark/>
          </w:tcPr>
          <w:p w14:paraId="3FCF7C69"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16.79%</w:t>
            </w:r>
          </w:p>
        </w:tc>
        <w:tc>
          <w:tcPr>
            <w:tcW w:w="1267" w:type="dxa"/>
            <w:tcBorders>
              <w:top w:val="nil"/>
              <w:left w:val="nil"/>
              <w:bottom w:val="single" w:sz="4" w:space="0" w:color="auto"/>
              <w:right w:val="single" w:sz="4" w:space="0" w:color="auto"/>
            </w:tcBorders>
            <w:shd w:val="clear" w:color="auto" w:fill="auto"/>
            <w:noWrap/>
            <w:vAlign w:val="bottom"/>
            <w:hideMark/>
          </w:tcPr>
          <w:p w14:paraId="15E49B18"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10.91%</w:t>
            </w:r>
          </w:p>
        </w:tc>
        <w:tc>
          <w:tcPr>
            <w:tcW w:w="1864" w:type="dxa"/>
            <w:tcBorders>
              <w:top w:val="nil"/>
              <w:left w:val="nil"/>
              <w:bottom w:val="single" w:sz="4" w:space="0" w:color="auto"/>
              <w:right w:val="single" w:sz="4" w:space="0" w:color="auto"/>
            </w:tcBorders>
            <w:shd w:val="clear" w:color="auto" w:fill="auto"/>
            <w:noWrap/>
            <w:vAlign w:val="bottom"/>
            <w:hideMark/>
          </w:tcPr>
          <w:p w14:paraId="7E1E9E1D"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12,677.4 </w:t>
            </w:r>
          </w:p>
        </w:tc>
        <w:tc>
          <w:tcPr>
            <w:tcW w:w="1635" w:type="dxa"/>
            <w:tcBorders>
              <w:top w:val="nil"/>
              <w:left w:val="nil"/>
              <w:bottom w:val="single" w:sz="4" w:space="0" w:color="auto"/>
              <w:right w:val="single" w:sz="4" w:space="0" w:color="auto"/>
            </w:tcBorders>
            <w:shd w:val="clear" w:color="auto" w:fill="auto"/>
            <w:noWrap/>
            <w:vAlign w:val="bottom"/>
            <w:hideMark/>
          </w:tcPr>
          <w:p w14:paraId="77A4B9CA"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7,984 </w:t>
            </w:r>
          </w:p>
        </w:tc>
      </w:tr>
      <w:tr w:rsidR="007449FB" w:rsidRPr="007449FB" w14:paraId="5E7C5FB5" w14:textId="77777777" w:rsidTr="007449FB">
        <w:trPr>
          <w:trHeight w:val="300"/>
        </w:trPr>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78DE6B6D"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Accum. Depr. &amp; Amort.</w:t>
            </w:r>
          </w:p>
        </w:tc>
        <w:tc>
          <w:tcPr>
            <w:tcW w:w="1386" w:type="dxa"/>
            <w:tcBorders>
              <w:top w:val="nil"/>
              <w:left w:val="nil"/>
              <w:bottom w:val="single" w:sz="4" w:space="0" w:color="auto"/>
              <w:right w:val="single" w:sz="4" w:space="0" w:color="auto"/>
            </w:tcBorders>
            <w:shd w:val="clear" w:color="auto" w:fill="auto"/>
            <w:noWrap/>
            <w:vAlign w:val="bottom"/>
            <w:hideMark/>
          </w:tcPr>
          <w:p w14:paraId="07CC39AD"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UG Storage</w:t>
            </w:r>
          </w:p>
        </w:tc>
        <w:tc>
          <w:tcPr>
            <w:tcW w:w="1604" w:type="dxa"/>
            <w:tcBorders>
              <w:top w:val="nil"/>
              <w:left w:val="nil"/>
              <w:bottom w:val="single" w:sz="4" w:space="0" w:color="auto"/>
              <w:right w:val="single" w:sz="4" w:space="0" w:color="auto"/>
            </w:tcBorders>
            <w:shd w:val="clear" w:color="auto" w:fill="auto"/>
            <w:noWrap/>
            <w:vAlign w:val="bottom"/>
            <w:hideMark/>
          </w:tcPr>
          <w:p w14:paraId="40CD45BD"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10.29%</w:t>
            </w:r>
          </w:p>
        </w:tc>
        <w:tc>
          <w:tcPr>
            <w:tcW w:w="1267" w:type="dxa"/>
            <w:tcBorders>
              <w:top w:val="nil"/>
              <w:left w:val="nil"/>
              <w:bottom w:val="single" w:sz="4" w:space="0" w:color="auto"/>
              <w:right w:val="single" w:sz="4" w:space="0" w:color="auto"/>
            </w:tcBorders>
            <w:shd w:val="clear" w:color="auto" w:fill="auto"/>
            <w:noWrap/>
            <w:vAlign w:val="bottom"/>
            <w:hideMark/>
          </w:tcPr>
          <w:p w14:paraId="1DF93DBA"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10.91%</w:t>
            </w:r>
          </w:p>
        </w:tc>
        <w:tc>
          <w:tcPr>
            <w:tcW w:w="1864" w:type="dxa"/>
            <w:tcBorders>
              <w:top w:val="nil"/>
              <w:left w:val="nil"/>
              <w:bottom w:val="single" w:sz="4" w:space="0" w:color="auto"/>
              <w:right w:val="single" w:sz="4" w:space="0" w:color="auto"/>
            </w:tcBorders>
            <w:shd w:val="clear" w:color="auto" w:fill="auto"/>
            <w:noWrap/>
            <w:vAlign w:val="bottom"/>
            <w:hideMark/>
          </w:tcPr>
          <w:p w14:paraId="7DC1C8C8"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(1,018.9)</w:t>
            </w:r>
          </w:p>
        </w:tc>
        <w:tc>
          <w:tcPr>
            <w:tcW w:w="1635" w:type="dxa"/>
            <w:tcBorders>
              <w:top w:val="nil"/>
              <w:left w:val="nil"/>
              <w:bottom w:val="single" w:sz="4" w:space="0" w:color="auto"/>
              <w:right w:val="single" w:sz="4" w:space="0" w:color="auto"/>
            </w:tcBorders>
            <w:shd w:val="clear" w:color="auto" w:fill="auto"/>
            <w:noWrap/>
            <w:vAlign w:val="bottom"/>
            <w:hideMark/>
          </w:tcPr>
          <w:p w14:paraId="0E40940D"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(1,083)</w:t>
            </w:r>
          </w:p>
        </w:tc>
      </w:tr>
      <w:tr w:rsidR="007449FB" w:rsidRPr="007449FB" w14:paraId="251E793F" w14:textId="77777777" w:rsidTr="007449FB">
        <w:trPr>
          <w:trHeight w:val="300"/>
        </w:trPr>
        <w:tc>
          <w:tcPr>
            <w:tcW w:w="1196" w:type="dxa"/>
            <w:vMerge/>
            <w:tcBorders>
              <w:top w:val="nil"/>
              <w:left w:val="single" w:sz="4" w:space="0" w:color="auto"/>
              <w:bottom w:val="single" w:sz="4" w:space="0" w:color="auto"/>
              <w:right w:val="single" w:sz="4" w:space="0" w:color="auto"/>
            </w:tcBorders>
            <w:vAlign w:val="center"/>
            <w:hideMark/>
          </w:tcPr>
          <w:p w14:paraId="64708A4E" w14:textId="77777777" w:rsidR="007449FB" w:rsidRPr="007449FB" w:rsidRDefault="007449FB" w:rsidP="007449FB">
            <w:pPr>
              <w:keepNext/>
              <w:keepLines/>
              <w:rPr>
                <w:rFonts w:ascii="Calibri" w:eastAsia="Times New Roman" w:hAnsi="Calibri"/>
                <w:color w:val="000000"/>
                <w:sz w:val="22"/>
                <w:szCs w:val="22"/>
              </w:rPr>
            </w:pPr>
          </w:p>
        </w:tc>
        <w:tc>
          <w:tcPr>
            <w:tcW w:w="1386" w:type="dxa"/>
            <w:tcBorders>
              <w:top w:val="nil"/>
              <w:left w:val="nil"/>
              <w:bottom w:val="single" w:sz="4" w:space="0" w:color="auto"/>
              <w:right w:val="single" w:sz="4" w:space="0" w:color="auto"/>
            </w:tcBorders>
            <w:shd w:val="clear" w:color="auto" w:fill="auto"/>
            <w:noWrap/>
            <w:vAlign w:val="bottom"/>
            <w:hideMark/>
          </w:tcPr>
          <w:p w14:paraId="4C76AD39"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Distribution</w:t>
            </w:r>
          </w:p>
        </w:tc>
        <w:tc>
          <w:tcPr>
            <w:tcW w:w="1604" w:type="dxa"/>
            <w:tcBorders>
              <w:top w:val="nil"/>
              <w:left w:val="nil"/>
              <w:bottom w:val="single" w:sz="4" w:space="0" w:color="auto"/>
              <w:right w:val="single" w:sz="4" w:space="0" w:color="auto"/>
            </w:tcBorders>
            <w:shd w:val="clear" w:color="auto" w:fill="auto"/>
            <w:noWrap/>
            <w:vAlign w:val="bottom"/>
            <w:hideMark/>
          </w:tcPr>
          <w:p w14:paraId="7FE04A35"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12.12%</w:t>
            </w:r>
          </w:p>
        </w:tc>
        <w:tc>
          <w:tcPr>
            <w:tcW w:w="1267" w:type="dxa"/>
            <w:tcBorders>
              <w:top w:val="nil"/>
              <w:left w:val="nil"/>
              <w:bottom w:val="single" w:sz="4" w:space="0" w:color="auto"/>
              <w:right w:val="single" w:sz="4" w:space="0" w:color="auto"/>
            </w:tcBorders>
            <w:shd w:val="clear" w:color="auto" w:fill="auto"/>
            <w:noWrap/>
            <w:vAlign w:val="bottom"/>
            <w:hideMark/>
          </w:tcPr>
          <w:p w14:paraId="5A8BBFAD"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10.91%</w:t>
            </w:r>
          </w:p>
        </w:tc>
        <w:tc>
          <w:tcPr>
            <w:tcW w:w="1864" w:type="dxa"/>
            <w:tcBorders>
              <w:top w:val="nil"/>
              <w:left w:val="nil"/>
              <w:bottom w:val="single" w:sz="4" w:space="0" w:color="auto"/>
              <w:right w:val="single" w:sz="4" w:space="0" w:color="auto"/>
            </w:tcBorders>
            <w:shd w:val="clear" w:color="auto" w:fill="auto"/>
            <w:noWrap/>
            <w:vAlign w:val="bottom"/>
            <w:hideMark/>
          </w:tcPr>
          <w:p w14:paraId="3E452365"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(14,739.4)</w:t>
            </w:r>
          </w:p>
        </w:tc>
        <w:tc>
          <w:tcPr>
            <w:tcW w:w="1635" w:type="dxa"/>
            <w:tcBorders>
              <w:top w:val="nil"/>
              <w:left w:val="nil"/>
              <w:bottom w:val="single" w:sz="4" w:space="0" w:color="auto"/>
              <w:right w:val="single" w:sz="4" w:space="0" w:color="auto"/>
            </w:tcBorders>
            <w:shd w:val="clear" w:color="auto" w:fill="auto"/>
            <w:noWrap/>
            <w:vAlign w:val="bottom"/>
            <w:hideMark/>
          </w:tcPr>
          <w:p w14:paraId="7D6BA178"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(13,214)</w:t>
            </w:r>
          </w:p>
        </w:tc>
      </w:tr>
      <w:tr w:rsidR="007449FB" w:rsidRPr="007449FB" w14:paraId="1E549EE0" w14:textId="77777777" w:rsidTr="007449FB">
        <w:trPr>
          <w:trHeight w:val="300"/>
        </w:trPr>
        <w:tc>
          <w:tcPr>
            <w:tcW w:w="1196" w:type="dxa"/>
            <w:vMerge/>
            <w:tcBorders>
              <w:top w:val="nil"/>
              <w:left w:val="single" w:sz="4" w:space="0" w:color="auto"/>
              <w:bottom w:val="single" w:sz="4" w:space="0" w:color="auto"/>
              <w:right w:val="single" w:sz="4" w:space="0" w:color="auto"/>
            </w:tcBorders>
            <w:vAlign w:val="center"/>
            <w:hideMark/>
          </w:tcPr>
          <w:p w14:paraId="1D1E3B15" w14:textId="77777777" w:rsidR="007449FB" w:rsidRPr="007449FB" w:rsidRDefault="007449FB" w:rsidP="007449FB">
            <w:pPr>
              <w:keepNext/>
              <w:keepLines/>
              <w:rPr>
                <w:rFonts w:ascii="Calibri" w:eastAsia="Times New Roman" w:hAnsi="Calibri"/>
                <w:color w:val="000000"/>
                <w:sz w:val="22"/>
                <w:szCs w:val="22"/>
              </w:rPr>
            </w:pPr>
          </w:p>
        </w:tc>
        <w:tc>
          <w:tcPr>
            <w:tcW w:w="1386" w:type="dxa"/>
            <w:tcBorders>
              <w:top w:val="nil"/>
              <w:left w:val="nil"/>
              <w:bottom w:val="single" w:sz="4" w:space="0" w:color="auto"/>
              <w:right w:val="single" w:sz="4" w:space="0" w:color="auto"/>
            </w:tcBorders>
            <w:shd w:val="clear" w:color="auto" w:fill="auto"/>
            <w:noWrap/>
            <w:vAlign w:val="bottom"/>
            <w:hideMark/>
          </w:tcPr>
          <w:p w14:paraId="2BCD5C43"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General</w:t>
            </w:r>
          </w:p>
        </w:tc>
        <w:tc>
          <w:tcPr>
            <w:tcW w:w="1604" w:type="dxa"/>
            <w:tcBorders>
              <w:top w:val="nil"/>
              <w:left w:val="nil"/>
              <w:bottom w:val="single" w:sz="4" w:space="0" w:color="auto"/>
              <w:right w:val="single" w:sz="4" w:space="0" w:color="auto"/>
            </w:tcBorders>
            <w:shd w:val="clear" w:color="auto" w:fill="auto"/>
            <w:noWrap/>
            <w:vAlign w:val="bottom"/>
            <w:hideMark/>
          </w:tcPr>
          <w:p w14:paraId="005942B2"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15.26%</w:t>
            </w:r>
          </w:p>
        </w:tc>
        <w:tc>
          <w:tcPr>
            <w:tcW w:w="1267" w:type="dxa"/>
            <w:tcBorders>
              <w:top w:val="nil"/>
              <w:left w:val="nil"/>
              <w:bottom w:val="single" w:sz="4" w:space="0" w:color="auto"/>
              <w:right w:val="single" w:sz="4" w:space="0" w:color="auto"/>
            </w:tcBorders>
            <w:shd w:val="clear" w:color="auto" w:fill="auto"/>
            <w:noWrap/>
            <w:vAlign w:val="bottom"/>
            <w:hideMark/>
          </w:tcPr>
          <w:p w14:paraId="7B605DA8"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10.91%</w:t>
            </w:r>
          </w:p>
        </w:tc>
        <w:tc>
          <w:tcPr>
            <w:tcW w:w="1864" w:type="dxa"/>
            <w:tcBorders>
              <w:top w:val="nil"/>
              <w:left w:val="nil"/>
              <w:bottom w:val="single" w:sz="4" w:space="0" w:color="auto"/>
              <w:right w:val="single" w:sz="4" w:space="0" w:color="auto"/>
            </w:tcBorders>
            <w:shd w:val="clear" w:color="auto" w:fill="auto"/>
            <w:noWrap/>
            <w:vAlign w:val="bottom"/>
            <w:hideMark/>
          </w:tcPr>
          <w:p w14:paraId="3AF602AC"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(3,164.3)</w:t>
            </w:r>
          </w:p>
        </w:tc>
        <w:tc>
          <w:tcPr>
            <w:tcW w:w="1635" w:type="dxa"/>
            <w:tcBorders>
              <w:top w:val="nil"/>
              <w:left w:val="nil"/>
              <w:bottom w:val="single" w:sz="4" w:space="0" w:color="auto"/>
              <w:right w:val="single" w:sz="4" w:space="0" w:color="auto"/>
            </w:tcBorders>
            <w:shd w:val="clear" w:color="auto" w:fill="auto"/>
            <w:noWrap/>
            <w:vAlign w:val="bottom"/>
            <w:hideMark/>
          </w:tcPr>
          <w:p w14:paraId="0AD16677"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(2,057)</w:t>
            </w:r>
          </w:p>
        </w:tc>
      </w:tr>
      <w:tr w:rsidR="007449FB" w:rsidRPr="007449FB" w14:paraId="4C67A0C2" w14:textId="77777777" w:rsidTr="007449FB">
        <w:trPr>
          <w:trHeight w:val="300"/>
        </w:trPr>
        <w:tc>
          <w:tcPr>
            <w:tcW w:w="2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FC155"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Net Plant</w:t>
            </w:r>
          </w:p>
        </w:tc>
        <w:tc>
          <w:tcPr>
            <w:tcW w:w="1604" w:type="dxa"/>
            <w:tcBorders>
              <w:top w:val="nil"/>
              <w:left w:val="nil"/>
              <w:bottom w:val="single" w:sz="4" w:space="0" w:color="auto"/>
              <w:right w:val="single" w:sz="4" w:space="0" w:color="auto"/>
            </w:tcBorders>
            <w:shd w:val="clear" w:color="auto" w:fill="auto"/>
            <w:noWrap/>
            <w:vAlign w:val="bottom"/>
            <w:hideMark/>
          </w:tcPr>
          <w:p w14:paraId="07889813"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1E3EBB3D"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w:t>
            </w:r>
          </w:p>
        </w:tc>
        <w:tc>
          <w:tcPr>
            <w:tcW w:w="1864" w:type="dxa"/>
            <w:tcBorders>
              <w:top w:val="nil"/>
              <w:left w:val="nil"/>
              <w:bottom w:val="single" w:sz="4" w:space="0" w:color="auto"/>
              <w:right w:val="single" w:sz="4" w:space="0" w:color="auto"/>
            </w:tcBorders>
            <w:shd w:val="clear" w:color="auto" w:fill="auto"/>
            <w:noWrap/>
            <w:vAlign w:val="bottom"/>
            <w:hideMark/>
          </w:tcPr>
          <w:p w14:paraId="67A1DEB0"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38,940 </w:t>
            </w:r>
          </w:p>
        </w:tc>
        <w:tc>
          <w:tcPr>
            <w:tcW w:w="1635" w:type="dxa"/>
            <w:tcBorders>
              <w:top w:val="nil"/>
              <w:left w:val="nil"/>
              <w:bottom w:val="single" w:sz="4" w:space="0" w:color="auto"/>
              <w:right w:val="single" w:sz="4" w:space="0" w:color="auto"/>
            </w:tcBorders>
            <w:shd w:val="clear" w:color="auto" w:fill="auto"/>
            <w:noWrap/>
            <w:vAlign w:val="bottom"/>
            <w:hideMark/>
          </w:tcPr>
          <w:p w14:paraId="47E8E35F"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33,681 </w:t>
            </w:r>
          </w:p>
        </w:tc>
      </w:tr>
    </w:tbl>
    <w:p w14:paraId="29A5B378" w14:textId="77777777" w:rsidR="007449FB" w:rsidRDefault="007449FB" w:rsidP="007449FB">
      <w:pPr>
        <w:pStyle w:val="NoSpacing"/>
        <w:jc w:val="center"/>
      </w:pPr>
    </w:p>
    <w:p w14:paraId="5BCF31AB" w14:textId="77777777" w:rsidR="007449FB" w:rsidRDefault="007449FB" w:rsidP="007449FB">
      <w:pPr>
        <w:pStyle w:val="NoSpacing"/>
        <w:jc w:val="center"/>
      </w:pPr>
    </w:p>
    <w:p w14:paraId="00F8968F" w14:textId="56D6DF27" w:rsidR="007449FB" w:rsidRPr="007449FB" w:rsidRDefault="007449FB" w:rsidP="007449FB">
      <w:pPr>
        <w:pStyle w:val="NoSpacing"/>
        <w:keepNext/>
        <w:keepLines/>
        <w:spacing w:line="240" w:lineRule="auto"/>
        <w:jc w:val="center"/>
        <w:rPr>
          <w:b/>
        </w:rPr>
      </w:pPr>
      <w:r w:rsidRPr="00F3284B">
        <w:rPr>
          <w:b/>
        </w:rPr>
        <w:t xml:space="preserve">Table </w:t>
      </w:r>
      <w:r w:rsidR="00F3284B" w:rsidRPr="00F3284B">
        <w:rPr>
          <w:b/>
        </w:rPr>
        <w:t>9</w:t>
      </w:r>
    </w:p>
    <w:tbl>
      <w:tblPr>
        <w:tblW w:w="9254" w:type="dxa"/>
        <w:tblLook w:val="04A0" w:firstRow="1" w:lastRow="0" w:firstColumn="1" w:lastColumn="0" w:noHBand="0" w:noVBand="1"/>
      </w:tblPr>
      <w:tblGrid>
        <w:gridCol w:w="1196"/>
        <w:gridCol w:w="1386"/>
        <w:gridCol w:w="1604"/>
        <w:gridCol w:w="1569"/>
        <w:gridCol w:w="1864"/>
        <w:gridCol w:w="1635"/>
      </w:tblGrid>
      <w:tr w:rsidR="007449FB" w:rsidRPr="007449FB" w14:paraId="265A9E05" w14:textId="77777777" w:rsidTr="007449FB">
        <w:trPr>
          <w:trHeight w:val="300"/>
        </w:trPr>
        <w:tc>
          <w:tcPr>
            <w:tcW w:w="1196" w:type="dxa"/>
            <w:tcBorders>
              <w:top w:val="nil"/>
              <w:left w:val="nil"/>
              <w:bottom w:val="nil"/>
              <w:right w:val="nil"/>
            </w:tcBorders>
            <w:shd w:val="clear" w:color="auto" w:fill="auto"/>
            <w:noWrap/>
            <w:vAlign w:val="bottom"/>
            <w:hideMark/>
          </w:tcPr>
          <w:p w14:paraId="2621BA88" w14:textId="77777777" w:rsidR="007449FB" w:rsidRPr="007449FB" w:rsidRDefault="007449FB" w:rsidP="007449FB">
            <w:pPr>
              <w:keepNext/>
              <w:keepLines/>
              <w:rPr>
                <w:rFonts w:eastAsia="Times New Roman"/>
              </w:rPr>
            </w:pPr>
          </w:p>
        </w:tc>
        <w:tc>
          <w:tcPr>
            <w:tcW w:w="1386" w:type="dxa"/>
            <w:tcBorders>
              <w:top w:val="nil"/>
              <w:left w:val="nil"/>
              <w:bottom w:val="nil"/>
              <w:right w:val="nil"/>
            </w:tcBorders>
            <w:shd w:val="clear" w:color="auto" w:fill="auto"/>
            <w:noWrap/>
            <w:vAlign w:val="bottom"/>
            <w:hideMark/>
          </w:tcPr>
          <w:p w14:paraId="76FDC12E" w14:textId="77777777" w:rsidR="007449FB" w:rsidRPr="007449FB" w:rsidRDefault="007449FB" w:rsidP="007449FB">
            <w:pPr>
              <w:keepNext/>
              <w:keepLines/>
              <w:rPr>
                <w:rFonts w:eastAsia="Times New Roman"/>
                <w:sz w:val="20"/>
                <w:szCs w:val="20"/>
              </w:rPr>
            </w:pPr>
          </w:p>
        </w:tc>
        <w:tc>
          <w:tcPr>
            <w:tcW w:w="66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F060" w14:textId="77777777" w:rsidR="007449FB" w:rsidRPr="007449FB" w:rsidRDefault="007449FB" w:rsidP="007449FB">
            <w:pPr>
              <w:keepNext/>
              <w:keepLines/>
              <w:jc w:val="center"/>
              <w:rPr>
                <w:rFonts w:ascii="Calibri" w:eastAsia="Times New Roman" w:hAnsi="Calibri"/>
                <w:b/>
                <w:bCs/>
                <w:color w:val="000000"/>
                <w:sz w:val="22"/>
                <w:szCs w:val="22"/>
              </w:rPr>
            </w:pPr>
            <w:r w:rsidRPr="007449FB">
              <w:rPr>
                <w:rFonts w:ascii="Calibri" w:eastAsia="Times New Roman" w:hAnsi="Calibri"/>
                <w:b/>
                <w:bCs/>
                <w:color w:val="000000"/>
                <w:sz w:val="22"/>
                <w:szCs w:val="22"/>
              </w:rPr>
              <w:t>Natural Gas, 12ME Jun 2018</w:t>
            </w:r>
          </w:p>
        </w:tc>
      </w:tr>
      <w:tr w:rsidR="007449FB" w:rsidRPr="007449FB" w14:paraId="7AC9A8D7" w14:textId="77777777" w:rsidTr="007449FB">
        <w:trPr>
          <w:trHeight w:val="300"/>
        </w:trPr>
        <w:tc>
          <w:tcPr>
            <w:tcW w:w="1196" w:type="dxa"/>
            <w:tcBorders>
              <w:top w:val="nil"/>
              <w:left w:val="nil"/>
              <w:bottom w:val="nil"/>
              <w:right w:val="nil"/>
            </w:tcBorders>
            <w:shd w:val="clear" w:color="auto" w:fill="auto"/>
            <w:noWrap/>
            <w:vAlign w:val="bottom"/>
            <w:hideMark/>
          </w:tcPr>
          <w:p w14:paraId="7D6CE521" w14:textId="77777777" w:rsidR="007449FB" w:rsidRPr="007449FB" w:rsidRDefault="007449FB" w:rsidP="007449FB">
            <w:pPr>
              <w:keepNext/>
              <w:keepLines/>
              <w:jc w:val="center"/>
              <w:rPr>
                <w:rFonts w:ascii="Calibri" w:eastAsia="Times New Roman" w:hAnsi="Calibri"/>
                <w:b/>
                <w:bCs/>
                <w:color w:val="000000"/>
                <w:sz w:val="22"/>
                <w:szCs w:val="22"/>
              </w:rPr>
            </w:pPr>
          </w:p>
        </w:tc>
        <w:tc>
          <w:tcPr>
            <w:tcW w:w="1386" w:type="dxa"/>
            <w:tcBorders>
              <w:top w:val="nil"/>
              <w:left w:val="nil"/>
              <w:bottom w:val="nil"/>
              <w:right w:val="nil"/>
            </w:tcBorders>
            <w:shd w:val="clear" w:color="auto" w:fill="auto"/>
            <w:noWrap/>
            <w:vAlign w:val="bottom"/>
            <w:hideMark/>
          </w:tcPr>
          <w:p w14:paraId="559F0F7C" w14:textId="77777777" w:rsidR="007449FB" w:rsidRPr="007449FB" w:rsidRDefault="007449FB" w:rsidP="007449FB">
            <w:pPr>
              <w:keepNext/>
              <w:keepLines/>
              <w:rPr>
                <w:rFonts w:eastAsia="Times New Roman"/>
                <w:sz w:val="20"/>
                <w:szCs w:val="20"/>
              </w:rPr>
            </w:pPr>
          </w:p>
        </w:tc>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5221E27C"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Staff Escalator</w:t>
            </w:r>
          </w:p>
        </w:tc>
        <w:tc>
          <w:tcPr>
            <w:tcW w:w="1569" w:type="dxa"/>
            <w:tcBorders>
              <w:top w:val="nil"/>
              <w:left w:val="nil"/>
              <w:bottom w:val="single" w:sz="4" w:space="0" w:color="auto"/>
              <w:right w:val="single" w:sz="4" w:space="0" w:color="auto"/>
            </w:tcBorders>
            <w:shd w:val="clear" w:color="auto" w:fill="auto"/>
            <w:noWrap/>
            <w:vAlign w:val="bottom"/>
            <w:hideMark/>
          </w:tcPr>
          <w:p w14:paraId="78FA9219"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AVA Escalator</w:t>
            </w:r>
          </w:p>
        </w:tc>
        <w:tc>
          <w:tcPr>
            <w:tcW w:w="1864" w:type="dxa"/>
            <w:tcBorders>
              <w:top w:val="nil"/>
              <w:left w:val="nil"/>
              <w:bottom w:val="single" w:sz="4" w:space="0" w:color="auto"/>
              <w:right w:val="single" w:sz="4" w:space="0" w:color="auto"/>
            </w:tcBorders>
            <w:shd w:val="clear" w:color="auto" w:fill="auto"/>
            <w:noWrap/>
            <w:vAlign w:val="bottom"/>
            <w:hideMark/>
          </w:tcPr>
          <w:p w14:paraId="3FC3CE3B"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Staff $</w:t>
            </w:r>
          </w:p>
        </w:tc>
        <w:tc>
          <w:tcPr>
            <w:tcW w:w="1635" w:type="dxa"/>
            <w:tcBorders>
              <w:top w:val="nil"/>
              <w:left w:val="nil"/>
              <w:bottom w:val="single" w:sz="4" w:space="0" w:color="auto"/>
              <w:right w:val="single" w:sz="4" w:space="0" w:color="auto"/>
            </w:tcBorders>
            <w:shd w:val="clear" w:color="auto" w:fill="auto"/>
            <w:noWrap/>
            <w:vAlign w:val="bottom"/>
            <w:hideMark/>
          </w:tcPr>
          <w:p w14:paraId="55CB7EBB"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AVA $</w:t>
            </w:r>
          </w:p>
        </w:tc>
      </w:tr>
      <w:tr w:rsidR="007449FB" w:rsidRPr="007449FB" w14:paraId="0D8BD568" w14:textId="77777777" w:rsidTr="007449FB">
        <w:trPr>
          <w:trHeight w:val="300"/>
        </w:trPr>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F494D"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Plant in service</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538BD8ED"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UG Storage</w:t>
            </w:r>
          </w:p>
        </w:tc>
        <w:tc>
          <w:tcPr>
            <w:tcW w:w="1604" w:type="dxa"/>
            <w:tcBorders>
              <w:top w:val="nil"/>
              <w:left w:val="nil"/>
              <w:bottom w:val="single" w:sz="4" w:space="0" w:color="auto"/>
              <w:right w:val="single" w:sz="4" w:space="0" w:color="auto"/>
            </w:tcBorders>
            <w:shd w:val="clear" w:color="auto" w:fill="auto"/>
            <w:noWrap/>
            <w:vAlign w:val="bottom"/>
            <w:hideMark/>
          </w:tcPr>
          <w:p w14:paraId="370DE0A7"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-0.77%</w:t>
            </w:r>
          </w:p>
        </w:tc>
        <w:tc>
          <w:tcPr>
            <w:tcW w:w="1569" w:type="dxa"/>
            <w:tcBorders>
              <w:top w:val="nil"/>
              <w:left w:val="nil"/>
              <w:bottom w:val="single" w:sz="4" w:space="0" w:color="auto"/>
              <w:right w:val="single" w:sz="4" w:space="0" w:color="auto"/>
            </w:tcBorders>
            <w:shd w:val="clear" w:color="auto" w:fill="auto"/>
            <w:noWrap/>
            <w:vAlign w:val="bottom"/>
            <w:hideMark/>
          </w:tcPr>
          <w:p w14:paraId="2A70375E"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13.64%</w:t>
            </w:r>
          </w:p>
        </w:tc>
        <w:tc>
          <w:tcPr>
            <w:tcW w:w="1864" w:type="dxa"/>
            <w:tcBorders>
              <w:top w:val="nil"/>
              <w:left w:val="nil"/>
              <w:bottom w:val="single" w:sz="4" w:space="0" w:color="auto"/>
              <w:right w:val="single" w:sz="4" w:space="0" w:color="auto"/>
            </w:tcBorders>
            <w:shd w:val="clear" w:color="auto" w:fill="auto"/>
            <w:noWrap/>
            <w:vAlign w:val="bottom"/>
            <w:hideMark/>
          </w:tcPr>
          <w:p w14:paraId="2E08DCAD"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(198.0)</w:t>
            </w:r>
          </w:p>
        </w:tc>
        <w:tc>
          <w:tcPr>
            <w:tcW w:w="1635" w:type="dxa"/>
            <w:tcBorders>
              <w:top w:val="nil"/>
              <w:left w:val="nil"/>
              <w:bottom w:val="single" w:sz="4" w:space="0" w:color="auto"/>
              <w:right w:val="single" w:sz="4" w:space="0" w:color="auto"/>
            </w:tcBorders>
            <w:shd w:val="clear" w:color="auto" w:fill="auto"/>
            <w:noWrap/>
            <w:vAlign w:val="bottom"/>
            <w:hideMark/>
          </w:tcPr>
          <w:p w14:paraId="2506B649"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3,516 </w:t>
            </w:r>
          </w:p>
        </w:tc>
      </w:tr>
      <w:tr w:rsidR="007449FB" w:rsidRPr="007449FB" w14:paraId="50337580" w14:textId="77777777" w:rsidTr="007449FB">
        <w:trPr>
          <w:trHeight w:val="300"/>
        </w:trPr>
        <w:tc>
          <w:tcPr>
            <w:tcW w:w="1196" w:type="dxa"/>
            <w:vMerge/>
            <w:tcBorders>
              <w:top w:val="single" w:sz="4" w:space="0" w:color="auto"/>
              <w:left w:val="single" w:sz="4" w:space="0" w:color="auto"/>
              <w:bottom w:val="single" w:sz="4" w:space="0" w:color="auto"/>
              <w:right w:val="single" w:sz="4" w:space="0" w:color="auto"/>
            </w:tcBorders>
            <w:vAlign w:val="center"/>
            <w:hideMark/>
          </w:tcPr>
          <w:p w14:paraId="4886A3D0" w14:textId="77777777" w:rsidR="007449FB" w:rsidRPr="007449FB" w:rsidRDefault="007449FB" w:rsidP="007449FB">
            <w:pPr>
              <w:keepNext/>
              <w:keepLines/>
              <w:rPr>
                <w:rFonts w:ascii="Calibri" w:eastAsia="Times New Roman" w:hAnsi="Calibri"/>
                <w:color w:val="000000"/>
                <w:sz w:val="22"/>
                <w:szCs w:val="22"/>
              </w:rPr>
            </w:pPr>
          </w:p>
        </w:tc>
        <w:tc>
          <w:tcPr>
            <w:tcW w:w="1386" w:type="dxa"/>
            <w:tcBorders>
              <w:top w:val="nil"/>
              <w:left w:val="nil"/>
              <w:bottom w:val="single" w:sz="4" w:space="0" w:color="auto"/>
              <w:right w:val="single" w:sz="4" w:space="0" w:color="auto"/>
            </w:tcBorders>
            <w:shd w:val="clear" w:color="auto" w:fill="auto"/>
            <w:noWrap/>
            <w:vAlign w:val="bottom"/>
            <w:hideMark/>
          </w:tcPr>
          <w:p w14:paraId="704742C5"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Distribution</w:t>
            </w:r>
          </w:p>
        </w:tc>
        <w:tc>
          <w:tcPr>
            <w:tcW w:w="1604" w:type="dxa"/>
            <w:tcBorders>
              <w:top w:val="nil"/>
              <w:left w:val="nil"/>
              <w:bottom w:val="single" w:sz="4" w:space="0" w:color="auto"/>
              <w:right w:val="single" w:sz="4" w:space="0" w:color="auto"/>
            </w:tcBorders>
            <w:shd w:val="clear" w:color="auto" w:fill="auto"/>
            <w:noWrap/>
            <w:vAlign w:val="bottom"/>
            <w:hideMark/>
          </w:tcPr>
          <w:p w14:paraId="78D96218"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15.72%</w:t>
            </w:r>
          </w:p>
        </w:tc>
        <w:tc>
          <w:tcPr>
            <w:tcW w:w="1569" w:type="dxa"/>
            <w:tcBorders>
              <w:top w:val="nil"/>
              <w:left w:val="nil"/>
              <w:bottom w:val="single" w:sz="4" w:space="0" w:color="auto"/>
              <w:right w:val="single" w:sz="4" w:space="0" w:color="auto"/>
            </w:tcBorders>
            <w:shd w:val="clear" w:color="auto" w:fill="auto"/>
            <w:noWrap/>
            <w:vAlign w:val="bottom"/>
            <w:hideMark/>
          </w:tcPr>
          <w:p w14:paraId="46952D87"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13.64%</w:t>
            </w:r>
          </w:p>
        </w:tc>
        <w:tc>
          <w:tcPr>
            <w:tcW w:w="1864" w:type="dxa"/>
            <w:tcBorders>
              <w:top w:val="nil"/>
              <w:left w:val="nil"/>
              <w:bottom w:val="single" w:sz="4" w:space="0" w:color="auto"/>
              <w:right w:val="single" w:sz="4" w:space="0" w:color="auto"/>
            </w:tcBorders>
            <w:shd w:val="clear" w:color="auto" w:fill="auto"/>
            <w:noWrap/>
            <w:vAlign w:val="bottom"/>
            <w:hideMark/>
          </w:tcPr>
          <w:p w14:paraId="640062CA"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56,679.2 </w:t>
            </w:r>
          </w:p>
        </w:tc>
        <w:tc>
          <w:tcPr>
            <w:tcW w:w="1635" w:type="dxa"/>
            <w:tcBorders>
              <w:top w:val="nil"/>
              <w:left w:val="nil"/>
              <w:bottom w:val="single" w:sz="4" w:space="0" w:color="auto"/>
              <w:right w:val="single" w:sz="4" w:space="0" w:color="auto"/>
            </w:tcBorders>
            <w:shd w:val="clear" w:color="auto" w:fill="auto"/>
            <w:noWrap/>
            <w:vAlign w:val="bottom"/>
            <w:hideMark/>
          </w:tcPr>
          <w:p w14:paraId="7DDADBE9"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49,048 </w:t>
            </w:r>
          </w:p>
        </w:tc>
      </w:tr>
      <w:tr w:rsidR="007449FB" w:rsidRPr="007449FB" w14:paraId="7B170618" w14:textId="77777777" w:rsidTr="007449FB">
        <w:trPr>
          <w:trHeight w:val="300"/>
        </w:trPr>
        <w:tc>
          <w:tcPr>
            <w:tcW w:w="1196" w:type="dxa"/>
            <w:vMerge/>
            <w:tcBorders>
              <w:top w:val="single" w:sz="4" w:space="0" w:color="auto"/>
              <w:left w:val="single" w:sz="4" w:space="0" w:color="auto"/>
              <w:bottom w:val="single" w:sz="4" w:space="0" w:color="auto"/>
              <w:right w:val="single" w:sz="4" w:space="0" w:color="auto"/>
            </w:tcBorders>
            <w:vAlign w:val="center"/>
            <w:hideMark/>
          </w:tcPr>
          <w:p w14:paraId="612F9314" w14:textId="77777777" w:rsidR="007449FB" w:rsidRPr="007449FB" w:rsidRDefault="007449FB" w:rsidP="007449FB">
            <w:pPr>
              <w:keepNext/>
              <w:keepLines/>
              <w:rPr>
                <w:rFonts w:ascii="Calibri" w:eastAsia="Times New Roman" w:hAnsi="Calibri"/>
                <w:color w:val="000000"/>
                <w:sz w:val="22"/>
                <w:szCs w:val="22"/>
              </w:rPr>
            </w:pPr>
          </w:p>
        </w:tc>
        <w:tc>
          <w:tcPr>
            <w:tcW w:w="1386" w:type="dxa"/>
            <w:tcBorders>
              <w:top w:val="nil"/>
              <w:left w:val="nil"/>
              <w:bottom w:val="single" w:sz="4" w:space="0" w:color="auto"/>
              <w:right w:val="single" w:sz="4" w:space="0" w:color="auto"/>
            </w:tcBorders>
            <w:shd w:val="clear" w:color="auto" w:fill="auto"/>
            <w:noWrap/>
            <w:vAlign w:val="bottom"/>
            <w:hideMark/>
          </w:tcPr>
          <w:p w14:paraId="792A4F76"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General</w:t>
            </w:r>
          </w:p>
        </w:tc>
        <w:tc>
          <w:tcPr>
            <w:tcW w:w="1604" w:type="dxa"/>
            <w:tcBorders>
              <w:top w:val="nil"/>
              <w:left w:val="nil"/>
              <w:bottom w:val="single" w:sz="4" w:space="0" w:color="auto"/>
              <w:right w:val="single" w:sz="4" w:space="0" w:color="auto"/>
            </w:tcBorders>
            <w:shd w:val="clear" w:color="auto" w:fill="auto"/>
            <w:noWrap/>
            <w:vAlign w:val="bottom"/>
            <w:hideMark/>
          </w:tcPr>
          <w:p w14:paraId="673762F7"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20.99%</w:t>
            </w:r>
          </w:p>
        </w:tc>
        <w:tc>
          <w:tcPr>
            <w:tcW w:w="1569" w:type="dxa"/>
            <w:tcBorders>
              <w:top w:val="nil"/>
              <w:left w:val="nil"/>
              <w:bottom w:val="single" w:sz="4" w:space="0" w:color="auto"/>
              <w:right w:val="single" w:sz="4" w:space="0" w:color="auto"/>
            </w:tcBorders>
            <w:shd w:val="clear" w:color="auto" w:fill="auto"/>
            <w:noWrap/>
            <w:vAlign w:val="bottom"/>
            <w:hideMark/>
          </w:tcPr>
          <w:p w14:paraId="52DC9CBC"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13.64%</w:t>
            </w:r>
          </w:p>
        </w:tc>
        <w:tc>
          <w:tcPr>
            <w:tcW w:w="1864" w:type="dxa"/>
            <w:tcBorders>
              <w:top w:val="nil"/>
              <w:left w:val="nil"/>
              <w:bottom w:val="single" w:sz="4" w:space="0" w:color="auto"/>
              <w:right w:val="single" w:sz="4" w:space="0" w:color="auto"/>
            </w:tcBorders>
            <w:shd w:val="clear" w:color="auto" w:fill="auto"/>
            <w:noWrap/>
            <w:vAlign w:val="bottom"/>
            <w:hideMark/>
          </w:tcPr>
          <w:p w14:paraId="7475AD90"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15,846.8 </w:t>
            </w:r>
          </w:p>
        </w:tc>
        <w:tc>
          <w:tcPr>
            <w:tcW w:w="1635" w:type="dxa"/>
            <w:tcBorders>
              <w:top w:val="nil"/>
              <w:left w:val="nil"/>
              <w:bottom w:val="single" w:sz="4" w:space="0" w:color="auto"/>
              <w:right w:val="single" w:sz="4" w:space="0" w:color="auto"/>
            </w:tcBorders>
            <w:shd w:val="clear" w:color="auto" w:fill="auto"/>
            <w:noWrap/>
            <w:vAlign w:val="bottom"/>
            <w:hideMark/>
          </w:tcPr>
          <w:p w14:paraId="61906246"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9,980 </w:t>
            </w:r>
          </w:p>
        </w:tc>
      </w:tr>
      <w:tr w:rsidR="007449FB" w:rsidRPr="007449FB" w14:paraId="39CC0BB0" w14:textId="77777777" w:rsidTr="007449FB">
        <w:trPr>
          <w:trHeight w:val="300"/>
        </w:trPr>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3D51D1C9"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Accum. Depr. &amp; Amort.</w:t>
            </w:r>
          </w:p>
        </w:tc>
        <w:tc>
          <w:tcPr>
            <w:tcW w:w="1386" w:type="dxa"/>
            <w:tcBorders>
              <w:top w:val="nil"/>
              <w:left w:val="nil"/>
              <w:bottom w:val="single" w:sz="4" w:space="0" w:color="auto"/>
              <w:right w:val="single" w:sz="4" w:space="0" w:color="auto"/>
            </w:tcBorders>
            <w:shd w:val="clear" w:color="auto" w:fill="auto"/>
            <w:noWrap/>
            <w:vAlign w:val="bottom"/>
            <w:hideMark/>
          </w:tcPr>
          <w:p w14:paraId="06E9EAA8"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UG Storage</w:t>
            </w:r>
          </w:p>
        </w:tc>
        <w:tc>
          <w:tcPr>
            <w:tcW w:w="1604" w:type="dxa"/>
            <w:tcBorders>
              <w:top w:val="nil"/>
              <w:left w:val="nil"/>
              <w:bottom w:val="single" w:sz="4" w:space="0" w:color="auto"/>
              <w:right w:val="single" w:sz="4" w:space="0" w:color="auto"/>
            </w:tcBorders>
            <w:shd w:val="clear" w:color="auto" w:fill="auto"/>
            <w:noWrap/>
            <w:vAlign w:val="bottom"/>
            <w:hideMark/>
          </w:tcPr>
          <w:p w14:paraId="56DBF251"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12.86%</w:t>
            </w:r>
          </w:p>
        </w:tc>
        <w:tc>
          <w:tcPr>
            <w:tcW w:w="1569" w:type="dxa"/>
            <w:tcBorders>
              <w:top w:val="nil"/>
              <w:left w:val="nil"/>
              <w:bottom w:val="single" w:sz="4" w:space="0" w:color="auto"/>
              <w:right w:val="single" w:sz="4" w:space="0" w:color="auto"/>
            </w:tcBorders>
            <w:shd w:val="clear" w:color="auto" w:fill="auto"/>
            <w:noWrap/>
            <w:vAlign w:val="bottom"/>
            <w:hideMark/>
          </w:tcPr>
          <w:p w14:paraId="4EEBEB9C"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13.64%</w:t>
            </w:r>
          </w:p>
        </w:tc>
        <w:tc>
          <w:tcPr>
            <w:tcW w:w="1864" w:type="dxa"/>
            <w:tcBorders>
              <w:top w:val="nil"/>
              <w:left w:val="nil"/>
              <w:bottom w:val="single" w:sz="4" w:space="0" w:color="auto"/>
              <w:right w:val="single" w:sz="4" w:space="0" w:color="auto"/>
            </w:tcBorders>
            <w:shd w:val="clear" w:color="auto" w:fill="auto"/>
            <w:noWrap/>
            <w:vAlign w:val="bottom"/>
            <w:hideMark/>
          </w:tcPr>
          <w:p w14:paraId="4BBAA5E0"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(1,273.6)</w:t>
            </w:r>
          </w:p>
        </w:tc>
        <w:tc>
          <w:tcPr>
            <w:tcW w:w="1635" w:type="dxa"/>
            <w:tcBorders>
              <w:top w:val="nil"/>
              <w:left w:val="nil"/>
              <w:bottom w:val="single" w:sz="4" w:space="0" w:color="auto"/>
              <w:right w:val="single" w:sz="4" w:space="0" w:color="auto"/>
            </w:tcBorders>
            <w:shd w:val="clear" w:color="auto" w:fill="auto"/>
            <w:noWrap/>
            <w:vAlign w:val="bottom"/>
            <w:hideMark/>
          </w:tcPr>
          <w:p w14:paraId="527A52EC"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(1,354)</w:t>
            </w:r>
          </w:p>
        </w:tc>
      </w:tr>
      <w:tr w:rsidR="007449FB" w:rsidRPr="007449FB" w14:paraId="75ECDC15" w14:textId="77777777" w:rsidTr="007449FB">
        <w:trPr>
          <w:trHeight w:val="300"/>
        </w:trPr>
        <w:tc>
          <w:tcPr>
            <w:tcW w:w="1196" w:type="dxa"/>
            <w:vMerge/>
            <w:tcBorders>
              <w:top w:val="nil"/>
              <w:left w:val="single" w:sz="4" w:space="0" w:color="auto"/>
              <w:bottom w:val="single" w:sz="4" w:space="0" w:color="auto"/>
              <w:right w:val="single" w:sz="4" w:space="0" w:color="auto"/>
            </w:tcBorders>
            <w:vAlign w:val="center"/>
            <w:hideMark/>
          </w:tcPr>
          <w:p w14:paraId="63E9449D" w14:textId="77777777" w:rsidR="007449FB" w:rsidRPr="007449FB" w:rsidRDefault="007449FB" w:rsidP="007449FB">
            <w:pPr>
              <w:keepNext/>
              <w:keepLines/>
              <w:rPr>
                <w:rFonts w:ascii="Calibri" w:eastAsia="Times New Roman" w:hAnsi="Calibri"/>
                <w:color w:val="000000"/>
                <w:sz w:val="22"/>
                <w:szCs w:val="22"/>
              </w:rPr>
            </w:pPr>
          </w:p>
        </w:tc>
        <w:tc>
          <w:tcPr>
            <w:tcW w:w="1386" w:type="dxa"/>
            <w:tcBorders>
              <w:top w:val="nil"/>
              <w:left w:val="nil"/>
              <w:bottom w:val="single" w:sz="4" w:space="0" w:color="auto"/>
              <w:right w:val="single" w:sz="4" w:space="0" w:color="auto"/>
            </w:tcBorders>
            <w:shd w:val="clear" w:color="auto" w:fill="auto"/>
            <w:noWrap/>
            <w:vAlign w:val="bottom"/>
            <w:hideMark/>
          </w:tcPr>
          <w:p w14:paraId="06FA2789"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Distribution</w:t>
            </w:r>
          </w:p>
        </w:tc>
        <w:tc>
          <w:tcPr>
            <w:tcW w:w="1604" w:type="dxa"/>
            <w:tcBorders>
              <w:top w:val="nil"/>
              <w:left w:val="nil"/>
              <w:bottom w:val="single" w:sz="4" w:space="0" w:color="auto"/>
              <w:right w:val="single" w:sz="4" w:space="0" w:color="auto"/>
            </w:tcBorders>
            <w:shd w:val="clear" w:color="auto" w:fill="auto"/>
            <w:noWrap/>
            <w:vAlign w:val="bottom"/>
            <w:hideMark/>
          </w:tcPr>
          <w:p w14:paraId="45CB66D8"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15.15%</w:t>
            </w:r>
          </w:p>
        </w:tc>
        <w:tc>
          <w:tcPr>
            <w:tcW w:w="1569" w:type="dxa"/>
            <w:tcBorders>
              <w:top w:val="nil"/>
              <w:left w:val="nil"/>
              <w:bottom w:val="single" w:sz="4" w:space="0" w:color="auto"/>
              <w:right w:val="single" w:sz="4" w:space="0" w:color="auto"/>
            </w:tcBorders>
            <w:shd w:val="clear" w:color="auto" w:fill="auto"/>
            <w:noWrap/>
            <w:vAlign w:val="bottom"/>
            <w:hideMark/>
          </w:tcPr>
          <w:p w14:paraId="27354F87"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13.64%</w:t>
            </w:r>
          </w:p>
        </w:tc>
        <w:tc>
          <w:tcPr>
            <w:tcW w:w="1864" w:type="dxa"/>
            <w:tcBorders>
              <w:top w:val="nil"/>
              <w:left w:val="nil"/>
              <w:bottom w:val="single" w:sz="4" w:space="0" w:color="auto"/>
              <w:right w:val="single" w:sz="4" w:space="0" w:color="auto"/>
            </w:tcBorders>
            <w:shd w:val="clear" w:color="auto" w:fill="auto"/>
            <w:noWrap/>
            <w:vAlign w:val="bottom"/>
            <w:hideMark/>
          </w:tcPr>
          <w:p w14:paraId="4338A677"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(18,424.3)</w:t>
            </w:r>
          </w:p>
        </w:tc>
        <w:tc>
          <w:tcPr>
            <w:tcW w:w="1635" w:type="dxa"/>
            <w:tcBorders>
              <w:top w:val="nil"/>
              <w:left w:val="nil"/>
              <w:bottom w:val="single" w:sz="4" w:space="0" w:color="auto"/>
              <w:right w:val="single" w:sz="4" w:space="0" w:color="auto"/>
            </w:tcBorders>
            <w:shd w:val="clear" w:color="auto" w:fill="auto"/>
            <w:noWrap/>
            <w:vAlign w:val="bottom"/>
            <w:hideMark/>
          </w:tcPr>
          <w:p w14:paraId="6F56F473"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(16,518)</w:t>
            </w:r>
          </w:p>
        </w:tc>
      </w:tr>
      <w:tr w:rsidR="007449FB" w:rsidRPr="007449FB" w14:paraId="5AE18576" w14:textId="77777777" w:rsidTr="007449FB">
        <w:trPr>
          <w:trHeight w:val="300"/>
        </w:trPr>
        <w:tc>
          <w:tcPr>
            <w:tcW w:w="1196" w:type="dxa"/>
            <w:vMerge/>
            <w:tcBorders>
              <w:top w:val="nil"/>
              <w:left w:val="single" w:sz="4" w:space="0" w:color="auto"/>
              <w:bottom w:val="single" w:sz="4" w:space="0" w:color="auto"/>
              <w:right w:val="single" w:sz="4" w:space="0" w:color="auto"/>
            </w:tcBorders>
            <w:vAlign w:val="center"/>
            <w:hideMark/>
          </w:tcPr>
          <w:p w14:paraId="1AC3F8A8" w14:textId="77777777" w:rsidR="007449FB" w:rsidRPr="007449FB" w:rsidRDefault="007449FB" w:rsidP="007449FB">
            <w:pPr>
              <w:keepNext/>
              <w:keepLines/>
              <w:rPr>
                <w:rFonts w:ascii="Calibri" w:eastAsia="Times New Roman" w:hAnsi="Calibri"/>
                <w:color w:val="000000"/>
                <w:sz w:val="22"/>
                <w:szCs w:val="22"/>
              </w:rPr>
            </w:pPr>
          </w:p>
        </w:tc>
        <w:tc>
          <w:tcPr>
            <w:tcW w:w="1386" w:type="dxa"/>
            <w:tcBorders>
              <w:top w:val="nil"/>
              <w:left w:val="nil"/>
              <w:bottom w:val="single" w:sz="4" w:space="0" w:color="auto"/>
              <w:right w:val="single" w:sz="4" w:space="0" w:color="auto"/>
            </w:tcBorders>
            <w:shd w:val="clear" w:color="auto" w:fill="auto"/>
            <w:noWrap/>
            <w:vAlign w:val="bottom"/>
            <w:hideMark/>
          </w:tcPr>
          <w:p w14:paraId="6B271594"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General</w:t>
            </w:r>
          </w:p>
        </w:tc>
        <w:tc>
          <w:tcPr>
            <w:tcW w:w="1604" w:type="dxa"/>
            <w:tcBorders>
              <w:top w:val="nil"/>
              <w:left w:val="nil"/>
              <w:bottom w:val="single" w:sz="4" w:space="0" w:color="auto"/>
              <w:right w:val="single" w:sz="4" w:space="0" w:color="auto"/>
            </w:tcBorders>
            <w:shd w:val="clear" w:color="auto" w:fill="auto"/>
            <w:noWrap/>
            <w:vAlign w:val="bottom"/>
            <w:hideMark/>
          </w:tcPr>
          <w:p w14:paraId="5573B2B8"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19.07%</w:t>
            </w:r>
          </w:p>
        </w:tc>
        <w:tc>
          <w:tcPr>
            <w:tcW w:w="1569" w:type="dxa"/>
            <w:tcBorders>
              <w:top w:val="nil"/>
              <w:left w:val="nil"/>
              <w:bottom w:val="single" w:sz="4" w:space="0" w:color="auto"/>
              <w:right w:val="single" w:sz="4" w:space="0" w:color="auto"/>
            </w:tcBorders>
            <w:shd w:val="clear" w:color="auto" w:fill="auto"/>
            <w:noWrap/>
            <w:vAlign w:val="bottom"/>
            <w:hideMark/>
          </w:tcPr>
          <w:p w14:paraId="529C22AC" w14:textId="77777777" w:rsidR="007449FB" w:rsidRPr="007449FB" w:rsidRDefault="007449FB" w:rsidP="007449FB">
            <w:pPr>
              <w:keepNext/>
              <w:keepLines/>
              <w:jc w:val="right"/>
              <w:rPr>
                <w:rFonts w:ascii="Calibri" w:eastAsia="Times New Roman" w:hAnsi="Calibri"/>
                <w:color w:val="000000"/>
                <w:sz w:val="22"/>
                <w:szCs w:val="22"/>
              </w:rPr>
            </w:pPr>
            <w:r w:rsidRPr="007449FB">
              <w:rPr>
                <w:rFonts w:ascii="Calibri" w:eastAsia="Times New Roman" w:hAnsi="Calibri"/>
                <w:color w:val="000000"/>
                <w:sz w:val="22"/>
                <w:szCs w:val="22"/>
              </w:rPr>
              <w:t>13.64%</w:t>
            </w:r>
          </w:p>
        </w:tc>
        <w:tc>
          <w:tcPr>
            <w:tcW w:w="1864" w:type="dxa"/>
            <w:tcBorders>
              <w:top w:val="nil"/>
              <w:left w:val="nil"/>
              <w:bottom w:val="single" w:sz="4" w:space="0" w:color="auto"/>
              <w:right w:val="single" w:sz="4" w:space="0" w:color="auto"/>
            </w:tcBorders>
            <w:shd w:val="clear" w:color="auto" w:fill="auto"/>
            <w:noWrap/>
            <w:vAlign w:val="bottom"/>
            <w:hideMark/>
          </w:tcPr>
          <w:p w14:paraId="4AEAF48E"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(3,955.3)</w:t>
            </w:r>
          </w:p>
        </w:tc>
        <w:tc>
          <w:tcPr>
            <w:tcW w:w="1635" w:type="dxa"/>
            <w:tcBorders>
              <w:top w:val="nil"/>
              <w:left w:val="nil"/>
              <w:bottom w:val="single" w:sz="4" w:space="0" w:color="auto"/>
              <w:right w:val="single" w:sz="4" w:space="0" w:color="auto"/>
            </w:tcBorders>
            <w:shd w:val="clear" w:color="auto" w:fill="auto"/>
            <w:noWrap/>
            <w:vAlign w:val="bottom"/>
            <w:hideMark/>
          </w:tcPr>
          <w:p w14:paraId="32B4BDC9"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(2,571)</w:t>
            </w:r>
          </w:p>
        </w:tc>
      </w:tr>
      <w:tr w:rsidR="007449FB" w:rsidRPr="007449FB" w14:paraId="0EF21C32" w14:textId="77777777" w:rsidTr="007449FB">
        <w:trPr>
          <w:trHeight w:val="300"/>
        </w:trPr>
        <w:tc>
          <w:tcPr>
            <w:tcW w:w="2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9D79C"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Net Plant</w:t>
            </w:r>
          </w:p>
        </w:tc>
        <w:tc>
          <w:tcPr>
            <w:tcW w:w="1604" w:type="dxa"/>
            <w:tcBorders>
              <w:top w:val="nil"/>
              <w:left w:val="nil"/>
              <w:bottom w:val="single" w:sz="4" w:space="0" w:color="auto"/>
              <w:right w:val="single" w:sz="4" w:space="0" w:color="auto"/>
            </w:tcBorders>
            <w:shd w:val="clear" w:color="auto" w:fill="auto"/>
            <w:noWrap/>
            <w:vAlign w:val="bottom"/>
            <w:hideMark/>
          </w:tcPr>
          <w:p w14:paraId="12614A0D"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w:t>
            </w:r>
          </w:p>
        </w:tc>
        <w:tc>
          <w:tcPr>
            <w:tcW w:w="1569" w:type="dxa"/>
            <w:tcBorders>
              <w:top w:val="nil"/>
              <w:left w:val="nil"/>
              <w:bottom w:val="single" w:sz="4" w:space="0" w:color="auto"/>
              <w:right w:val="single" w:sz="4" w:space="0" w:color="auto"/>
            </w:tcBorders>
            <w:shd w:val="clear" w:color="auto" w:fill="auto"/>
            <w:noWrap/>
            <w:vAlign w:val="bottom"/>
            <w:hideMark/>
          </w:tcPr>
          <w:p w14:paraId="3962880D" w14:textId="77777777" w:rsidR="007449FB" w:rsidRPr="007449FB" w:rsidRDefault="007449FB" w:rsidP="007449FB">
            <w:pPr>
              <w:keepNext/>
              <w:keepLines/>
              <w:jc w:val="center"/>
              <w:rPr>
                <w:rFonts w:ascii="Calibri" w:eastAsia="Times New Roman" w:hAnsi="Calibri"/>
                <w:color w:val="000000"/>
                <w:sz w:val="22"/>
                <w:szCs w:val="22"/>
              </w:rPr>
            </w:pPr>
            <w:r w:rsidRPr="007449FB">
              <w:rPr>
                <w:rFonts w:ascii="Calibri" w:eastAsia="Times New Roman" w:hAnsi="Calibri"/>
                <w:color w:val="000000"/>
                <w:sz w:val="22"/>
                <w:szCs w:val="22"/>
              </w:rPr>
              <w:t>-</w:t>
            </w:r>
          </w:p>
        </w:tc>
        <w:tc>
          <w:tcPr>
            <w:tcW w:w="1864" w:type="dxa"/>
            <w:tcBorders>
              <w:top w:val="nil"/>
              <w:left w:val="nil"/>
              <w:bottom w:val="single" w:sz="4" w:space="0" w:color="auto"/>
              <w:right w:val="single" w:sz="4" w:space="0" w:color="auto"/>
            </w:tcBorders>
            <w:shd w:val="clear" w:color="auto" w:fill="auto"/>
            <w:noWrap/>
            <w:vAlign w:val="bottom"/>
            <w:hideMark/>
          </w:tcPr>
          <w:p w14:paraId="140A1E76"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48,675 </w:t>
            </w:r>
          </w:p>
        </w:tc>
        <w:tc>
          <w:tcPr>
            <w:tcW w:w="1635" w:type="dxa"/>
            <w:tcBorders>
              <w:top w:val="nil"/>
              <w:left w:val="nil"/>
              <w:bottom w:val="single" w:sz="4" w:space="0" w:color="auto"/>
              <w:right w:val="single" w:sz="4" w:space="0" w:color="auto"/>
            </w:tcBorders>
            <w:shd w:val="clear" w:color="auto" w:fill="auto"/>
            <w:noWrap/>
            <w:vAlign w:val="bottom"/>
            <w:hideMark/>
          </w:tcPr>
          <w:p w14:paraId="633F5022" w14:textId="77777777" w:rsidR="007449FB" w:rsidRPr="007449FB" w:rsidRDefault="007449FB" w:rsidP="007449FB">
            <w:pPr>
              <w:keepNext/>
              <w:keepLines/>
              <w:rPr>
                <w:rFonts w:ascii="Calibri" w:eastAsia="Times New Roman" w:hAnsi="Calibri"/>
                <w:color w:val="000000"/>
                <w:sz w:val="22"/>
                <w:szCs w:val="22"/>
              </w:rPr>
            </w:pPr>
            <w:r w:rsidRPr="007449FB">
              <w:rPr>
                <w:rFonts w:ascii="Calibri" w:eastAsia="Times New Roman" w:hAnsi="Calibri"/>
                <w:color w:val="000000"/>
                <w:sz w:val="22"/>
                <w:szCs w:val="22"/>
              </w:rPr>
              <w:t xml:space="preserve"> $         42,101 </w:t>
            </w:r>
          </w:p>
        </w:tc>
      </w:tr>
    </w:tbl>
    <w:p w14:paraId="546CB538" w14:textId="77777777" w:rsidR="007449FB" w:rsidRDefault="007449FB" w:rsidP="007449FB">
      <w:pPr>
        <w:pStyle w:val="NoSpacing"/>
        <w:jc w:val="center"/>
      </w:pPr>
    </w:p>
    <w:p w14:paraId="4A1F2090" w14:textId="77777777" w:rsidR="002F3889" w:rsidRDefault="002F3889" w:rsidP="002F3889">
      <w:pPr>
        <w:pStyle w:val="NoSpacing"/>
      </w:pPr>
    </w:p>
    <w:p w14:paraId="36F7026C" w14:textId="209F0C1C" w:rsidR="008A7CB0" w:rsidRDefault="008A7CB0" w:rsidP="008A7CB0">
      <w:pPr>
        <w:pStyle w:val="Heading8"/>
      </w:pPr>
      <w:r>
        <w:t>Q.</w:t>
      </w:r>
      <w:r>
        <w:tab/>
        <w:t>Both Staff and Avista project distribution plant to be the overwhelming driver of additions to Net Plant.  What explains this growth?</w:t>
      </w:r>
    </w:p>
    <w:p w14:paraId="5A203506" w14:textId="14102881" w:rsidR="008A7CB0" w:rsidRDefault="008A7CB0" w:rsidP="008A7CB0">
      <w:pPr>
        <w:pStyle w:val="NoSpacing"/>
      </w:pPr>
      <w:r>
        <w:lastRenderedPageBreak/>
        <w:t>A.</w:t>
      </w:r>
      <w:r>
        <w:tab/>
        <w:t xml:space="preserve">Distribution is, by far, the largest component of Net Plant and it displays large, consistent growth over the historical period.  </w:t>
      </w:r>
      <w:r w:rsidR="002C4A07">
        <w:t xml:space="preserve">It is worth noting that in natural gas service, “distribution” plant encompasses what is analogous to distribution and transmission plant in electric service.  Mains alone – perhaps most analogous to transmission lines </w:t>
      </w:r>
      <w:r w:rsidR="00DC56DD">
        <w:t>–</w:t>
      </w:r>
      <w:r w:rsidR="002C4A07">
        <w:t xml:space="preserve"> represented over 49% of 2015 distribution plant additions.</w:t>
      </w:r>
    </w:p>
    <w:p w14:paraId="4A573679" w14:textId="3F773EE0" w:rsidR="002C4A07" w:rsidRDefault="002C4A07" w:rsidP="008A7CB0">
      <w:pPr>
        <w:pStyle w:val="NoSpacing"/>
      </w:pPr>
      <w:r>
        <w:tab/>
      </w:r>
      <w:r>
        <w:tab/>
        <w:t xml:space="preserve">Avista </w:t>
      </w:r>
      <w:r w:rsidR="00350F54">
        <w:t xml:space="preserve">also </w:t>
      </w:r>
      <w:r>
        <w:t xml:space="preserve">continues long-standing pipe replacement programs such as the Isolated Steel Replacement project and the Aldyl A Replacement project.  </w:t>
      </w:r>
      <w:r w:rsidR="00350F54">
        <w:t xml:space="preserve">Staff’s modified historical test year analysis considers </w:t>
      </w:r>
      <w:r w:rsidR="00DC56DD">
        <w:t>b</w:t>
      </w:r>
      <w:r>
        <w:t xml:space="preserve">oth of these projects to be major projects, and </w:t>
      </w:r>
      <w:r w:rsidR="00350F54">
        <w:t>the Company also expects both</w:t>
      </w:r>
      <w:r>
        <w:t xml:space="preserve"> to be major additions to distribution plant in natural gas service in the near-term.</w:t>
      </w:r>
    </w:p>
    <w:p w14:paraId="595E897E" w14:textId="4F2A5206" w:rsidR="00E06ECB" w:rsidRDefault="00E06ECB" w:rsidP="008A7CB0">
      <w:pPr>
        <w:pStyle w:val="NoSpacing"/>
      </w:pPr>
    </w:p>
    <w:p w14:paraId="2C9AF688" w14:textId="0DF6CCF7" w:rsidR="00E06ECB" w:rsidRDefault="00E06ECB" w:rsidP="00E06ECB">
      <w:pPr>
        <w:pStyle w:val="Heading8"/>
      </w:pPr>
      <w:r>
        <w:t>Q.</w:t>
      </w:r>
      <w:r>
        <w:tab/>
        <w:t>Does Staff have any further detailed analysis on the growth in natural gas rate base?</w:t>
      </w:r>
    </w:p>
    <w:p w14:paraId="119D0089" w14:textId="103F9334" w:rsidR="00E06ECB" w:rsidRDefault="00E06ECB" w:rsidP="008A7CB0">
      <w:pPr>
        <w:pStyle w:val="NoSpacing"/>
      </w:pPr>
      <w:r>
        <w:t>A.</w:t>
      </w:r>
      <w:r>
        <w:tab/>
        <w:t xml:space="preserve">Yes.  </w:t>
      </w:r>
      <w:r w:rsidR="00570367">
        <w:t xml:space="preserve">My </w:t>
      </w:r>
      <w:r w:rsidRPr="002A7AE3">
        <w:t>Exhibit No. CSH-</w:t>
      </w:r>
      <w:r>
        <w:t>9</w:t>
      </w:r>
      <w:r w:rsidR="00570367">
        <w:t xml:space="preserve"> </w:t>
      </w:r>
      <w:r>
        <w:t xml:space="preserve">shows growth in Avista’s natural gas plant in service, by FERC account, over the historical period.  </w:t>
      </w:r>
    </w:p>
    <w:p w14:paraId="79162799" w14:textId="3E2C9972" w:rsidR="005422A9" w:rsidRDefault="005422A9" w:rsidP="008A7CB0">
      <w:pPr>
        <w:pStyle w:val="NoSpacing"/>
      </w:pPr>
    </w:p>
    <w:p w14:paraId="3C9F5C1F" w14:textId="0472CF59" w:rsidR="005422A9" w:rsidRDefault="005422A9" w:rsidP="005422A9">
      <w:pPr>
        <w:pStyle w:val="Heading8"/>
      </w:pPr>
      <w:r>
        <w:t>Q.</w:t>
      </w:r>
      <w:r>
        <w:tab/>
        <w:t>What is the nature of expense growth in Avista’s natural gas operations, and is that growth reasonable?</w:t>
      </w:r>
    </w:p>
    <w:p w14:paraId="489DF25E" w14:textId="464D2BE8" w:rsidR="005422A9" w:rsidRPr="00237D89" w:rsidRDefault="005422A9" w:rsidP="005422A9">
      <w:pPr>
        <w:pStyle w:val="NoSpacing"/>
      </w:pPr>
      <w:r>
        <w:t>A.</w:t>
      </w:r>
      <w:r>
        <w:tab/>
        <w:t>Staff’s attrition analysis shows that the Company’s Natural Gas Operating Expenses have grown at</w:t>
      </w:r>
      <w:r w:rsidR="00DC56DD">
        <w:t xml:space="preserve"> a</w:t>
      </w:r>
      <w:r>
        <w:t xml:space="preserve"> 4.23% rate over the historical period.</w:t>
      </w:r>
    </w:p>
    <w:p w14:paraId="6E67E992" w14:textId="621137E9" w:rsidR="005422A9" w:rsidRDefault="005422A9" w:rsidP="005422A9">
      <w:pPr>
        <w:pStyle w:val="NoSpacing"/>
      </w:pPr>
      <w:r>
        <w:tab/>
      </w:r>
      <w:r>
        <w:tab/>
        <w:t xml:space="preserve">We can refer again to the chart previously shown in this testimony’s discussion on electric services.  </w:t>
      </w:r>
    </w:p>
    <w:p w14:paraId="237875AF" w14:textId="77777777" w:rsidR="005422A9" w:rsidRDefault="005422A9" w:rsidP="005422A9">
      <w:pPr>
        <w:pStyle w:val="NoSpacing"/>
      </w:pPr>
    </w:p>
    <w:p w14:paraId="5F4786ED" w14:textId="1DE74F59" w:rsidR="005422A9" w:rsidRPr="00CB2518" w:rsidRDefault="005422A9" w:rsidP="005422A9">
      <w:pPr>
        <w:keepNext/>
        <w:keepLines/>
        <w:jc w:val="center"/>
        <w:rPr>
          <w:b/>
        </w:rPr>
      </w:pPr>
      <w:r w:rsidRPr="00F3284B">
        <w:rPr>
          <w:b/>
        </w:rPr>
        <w:lastRenderedPageBreak/>
        <w:t xml:space="preserve">Illustration </w:t>
      </w:r>
      <w:r w:rsidR="00F3284B">
        <w:rPr>
          <w:b/>
        </w:rPr>
        <w:t>4</w:t>
      </w:r>
    </w:p>
    <w:p w14:paraId="56100F75" w14:textId="77777777" w:rsidR="005422A9" w:rsidRDefault="005422A9" w:rsidP="005422A9">
      <w:pPr>
        <w:pStyle w:val="NoSpacing"/>
        <w:keepNext/>
        <w:keepLines/>
        <w:jc w:val="center"/>
      </w:pPr>
      <w:r>
        <w:rPr>
          <w:noProof/>
        </w:rPr>
        <w:drawing>
          <wp:inline distT="0" distB="0" distL="0" distR="0" wp14:anchorId="1376EBBD" wp14:editId="543E74DF">
            <wp:extent cx="5195753" cy="3123210"/>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8162" cy="3136680"/>
                    </a:xfrm>
                    <a:prstGeom prst="rect">
                      <a:avLst/>
                    </a:prstGeom>
                    <a:noFill/>
                  </pic:spPr>
                </pic:pic>
              </a:graphicData>
            </a:graphic>
          </wp:inline>
        </w:drawing>
      </w:r>
    </w:p>
    <w:p w14:paraId="412DE1C8" w14:textId="77777777" w:rsidR="005422A9" w:rsidRDefault="005422A9" w:rsidP="005422A9">
      <w:pPr>
        <w:spacing w:line="480" w:lineRule="auto"/>
        <w:rPr>
          <w:rFonts w:eastAsia="Times New Roman"/>
        </w:rPr>
      </w:pPr>
    </w:p>
    <w:p w14:paraId="299679F2" w14:textId="221AAA34" w:rsidR="005422A9" w:rsidRDefault="005422A9" w:rsidP="00021DE1">
      <w:pPr>
        <w:pStyle w:val="NoSpacing"/>
      </w:pPr>
      <w:r>
        <w:tab/>
      </w:r>
      <w:r>
        <w:tab/>
        <w:t xml:space="preserve">Consider now the orange dashed line, representing the adjusted operating expenses found in the Company’s Commission Basis </w:t>
      </w:r>
      <w:r w:rsidR="00021DE1">
        <w:t>Reports from 2007 through 2015.  Between 2012 and 2014, we see a mostly horizontal line, representing little to no growth, and consistent with what we observed with electric service.  Th</w:t>
      </w:r>
      <w:r>
        <w:t xml:space="preserve">is </w:t>
      </w:r>
      <w:r w:rsidR="007B1407">
        <w:t xml:space="preserve">is </w:t>
      </w:r>
      <w:r>
        <w:t>consistent with the “significant reduction in expenses starting in 2013” testified to by Company witness Ms. Andrews</w:t>
      </w:r>
      <w:r w:rsidR="00570367">
        <w:t>.</w:t>
      </w:r>
      <w:r>
        <w:rPr>
          <w:rStyle w:val="FootnoteReference"/>
        </w:rPr>
        <w:footnoteReference w:id="57"/>
      </w:r>
      <w:r>
        <w:t xml:space="preserve">  </w:t>
      </w:r>
      <w:r w:rsidR="00021DE1">
        <w:t>And again</w:t>
      </w:r>
      <w:r>
        <w:t xml:space="preserve">, it is also consistent with the two most broad measures of utility costs presented above: Employment Cost Index, and PPI: Utilities.  </w:t>
      </w:r>
    </w:p>
    <w:p w14:paraId="0CD0F77C" w14:textId="77777777" w:rsidR="005422A9" w:rsidRDefault="005422A9" w:rsidP="005422A9">
      <w:pPr>
        <w:pStyle w:val="NoSpacing"/>
        <w:ind w:firstLine="720"/>
      </w:pPr>
    </w:p>
    <w:p w14:paraId="47B2F6DC" w14:textId="39142D28" w:rsidR="005422A9" w:rsidRDefault="005422A9" w:rsidP="005422A9">
      <w:pPr>
        <w:pStyle w:val="Heading8"/>
      </w:pPr>
      <w:r>
        <w:t>Q.</w:t>
      </w:r>
      <w:r>
        <w:tab/>
        <w:t xml:space="preserve">What is Staff’s recommendation on the escalation of O&amp;M costs for the rate-effective period in </w:t>
      </w:r>
      <w:r w:rsidR="00021DE1">
        <w:t>natural gas</w:t>
      </w:r>
      <w:r>
        <w:t xml:space="preserve"> service?</w:t>
      </w:r>
    </w:p>
    <w:p w14:paraId="3D7A5790" w14:textId="4A9C45CE" w:rsidR="005422A9" w:rsidRDefault="005422A9" w:rsidP="005422A9">
      <w:pPr>
        <w:pStyle w:val="NoSpacing"/>
        <w:ind w:firstLine="0"/>
      </w:pPr>
      <w:r>
        <w:lastRenderedPageBreak/>
        <w:t xml:space="preserve">For </w:t>
      </w:r>
      <w:r w:rsidR="00021DE1">
        <w:t>similar</w:t>
      </w:r>
      <w:r>
        <w:t xml:space="preserve"> reasons</w:t>
      </w:r>
      <w:r w:rsidR="00021DE1">
        <w:t xml:space="preserve"> to those in electric service</w:t>
      </w:r>
      <w:r>
        <w:t xml:space="preserve">, Staff finds it appropriate to adjust the escalator for </w:t>
      </w:r>
      <w:r w:rsidR="007B1407">
        <w:t>natural gas</w:t>
      </w:r>
      <w:r>
        <w:t xml:space="preserve"> O&amp;M costs away from what the historical trend suggests and towards a blended average.  </w:t>
      </w:r>
    </w:p>
    <w:p w14:paraId="197E0AF4" w14:textId="60D20430" w:rsidR="005422A9" w:rsidRDefault="005422A9" w:rsidP="005422A9">
      <w:pPr>
        <w:pStyle w:val="NoSpacing"/>
        <w:ind w:firstLine="0"/>
      </w:pPr>
      <w:r>
        <w:tab/>
        <w:t xml:space="preserve">The blended average used by Staff is found as follows: one-quarter weight is given to Employment Cost Index, one-quarter weight is given to PPI: Utilities, and one-half weight is given to the historical trend from 2007-2015.  The result is a </w:t>
      </w:r>
      <w:r w:rsidR="00021DE1">
        <w:t>3.</w:t>
      </w:r>
      <w:r w:rsidR="00943E37">
        <w:t>46</w:t>
      </w:r>
      <w:r>
        <w:t>% annual growth rate</w:t>
      </w:r>
      <w:r>
        <w:rPr>
          <w:rStyle w:val="FootnoteReference"/>
        </w:rPr>
        <w:footnoteReference w:id="58"/>
      </w:r>
      <w:r>
        <w:t xml:space="preserve"> – </w:t>
      </w:r>
      <w:r w:rsidR="00943E37">
        <w:t xml:space="preserve">somewhat </w:t>
      </w:r>
      <w:r w:rsidR="00E43313">
        <w:t>above that of</w:t>
      </w:r>
      <w:r>
        <w:t xml:space="preserve"> the 2.42% used by the Commission in Avista’s last rate case.</w:t>
      </w:r>
      <w:r>
        <w:rPr>
          <w:rStyle w:val="FootnoteReference"/>
        </w:rPr>
        <w:footnoteReference w:id="59"/>
      </w:r>
      <w:r>
        <w:t xml:space="preserve">  This weighted average thus incorporates the historical performance of the utility and the unique circumstances it faces, as well as broad measures of utility operation costs that are consistent with the recent slowdown in </w:t>
      </w:r>
      <w:r w:rsidR="00021DE1">
        <w:t>natural gas</w:t>
      </w:r>
      <w:r>
        <w:t xml:space="preserve"> O&amp;M costs that the Company has acknowledged.</w:t>
      </w:r>
    </w:p>
    <w:p w14:paraId="4ADCD24C" w14:textId="30E1DEAC" w:rsidR="00294873" w:rsidRDefault="00294873" w:rsidP="005422A9">
      <w:pPr>
        <w:pStyle w:val="NoSpacing"/>
        <w:ind w:firstLine="0"/>
      </w:pPr>
    </w:p>
    <w:p w14:paraId="79258EBD" w14:textId="7DF4AF44" w:rsidR="00294873" w:rsidRDefault="00294873" w:rsidP="00294873">
      <w:pPr>
        <w:pStyle w:val="Heading8"/>
      </w:pPr>
      <w:r>
        <w:t>Q.</w:t>
      </w:r>
      <w:r>
        <w:tab/>
        <w:t>Why use these weights?</w:t>
      </w:r>
    </w:p>
    <w:p w14:paraId="288B2AC6" w14:textId="2D546D2A" w:rsidR="00294873" w:rsidRDefault="00294873" w:rsidP="00294873">
      <w:pPr>
        <w:pStyle w:val="NoSpacing"/>
      </w:pPr>
      <w:r>
        <w:t>A.</w:t>
      </w:r>
      <w:r>
        <w:tab/>
        <w:t xml:space="preserve">The rationale is the same as I note </w:t>
      </w:r>
      <w:r w:rsidR="00570367">
        <w:t xml:space="preserve">in </w:t>
      </w:r>
      <w:r w:rsidR="00271733">
        <w:t xml:space="preserve">Section V, </w:t>
      </w:r>
      <w:r w:rsidR="00570367">
        <w:t xml:space="preserve">subsection C.1., </w:t>
      </w:r>
      <w:r>
        <w:t>above</w:t>
      </w:r>
      <w:r w:rsidR="00570367">
        <w:t>,</w:t>
      </w:r>
      <w:r>
        <w:t xml:space="preserve"> for electric service.</w:t>
      </w:r>
      <w:r w:rsidR="00271733" w:rsidDel="00271733">
        <w:rPr>
          <w:rStyle w:val="FootnoteReference"/>
        </w:rPr>
        <w:t xml:space="preserve"> </w:t>
      </w:r>
    </w:p>
    <w:p w14:paraId="1F1CE786" w14:textId="77777777" w:rsidR="004272F8" w:rsidRDefault="004272F8" w:rsidP="00DB26D7">
      <w:pPr>
        <w:pStyle w:val="NoSpacing"/>
      </w:pPr>
    </w:p>
    <w:p w14:paraId="23A54AB2" w14:textId="130896DD" w:rsidR="00316F0B" w:rsidRPr="001243CD" w:rsidRDefault="005E6965" w:rsidP="001243CD">
      <w:pPr>
        <w:pStyle w:val="Heading2"/>
        <w:numPr>
          <w:ilvl w:val="0"/>
          <w:numId w:val="37"/>
        </w:numPr>
      </w:pPr>
      <w:bookmarkStart w:id="35" w:name="_Toc459042405"/>
      <w:r w:rsidRPr="00AD58BA">
        <w:rPr>
          <w:i/>
        </w:rPr>
        <w:t>Pro Forma</w:t>
      </w:r>
      <w:r w:rsidRPr="001243CD">
        <w:t xml:space="preserve"> Adjustments to Attrition Models</w:t>
      </w:r>
      <w:bookmarkEnd w:id="35"/>
      <w:r w:rsidR="00316F0B" w:rsidRPr="001243CD">
        <w:t xml:space="preserve"> </w:t>
      </w:r>
    </w:p>
    <w:bookmarkEnd w:id="30"/>
    <w:p w14:paraId="172F4810" w14:textId="77777777" w:rsidR="00316F0B" w:rsidRDefault="00316F0B" w:rsidP="00316F0B">
      <w:pPr>
        <w:pStyle w:val="NoSpacing"/>
      </w:pPr>
    </w:p>
    <w:p w14:paraId="5A470E15" w14:textId="77777777" w:rsidR="006E16B3" w:rsidRDefault="006E16B3" w:rsidP="00307B48">
      <w:pPr>
        <w:pStyle w:val="Heading8"/>
      </w:pPr>
      <w:r>
        <w:t>Q.</w:t>
      </w:r>
      <w:r>
        <w:tab/>
        <w:t>Ms. Andrews recommends that “After-Attrition Adjustments” be made to the results of the electric and natural gas attrition studies.  What is the purpose of such an adjustment?</w:t>
      </w:r>
    </w:p>
    <w:p w14:paraId="72F4231A" w14:textId="4AB545B4" w:rsidR="006E16B3" w:rsidRDefault="006E16B3" w:rsidP="006E16B3">
      <w:pPr>
        <w:pStyle w:val="NoSpacing"/>
      </w:pPr>
      <w:r>
        <w:lastRenderedPageBreak/>
        <w:t>A.</w:t>
      </w:r>
      <w:r>
        <w:tab/>
        <w:t xml:space="preserve">An “after-attrition adjustment” is made to the results of an attrition study due to the belief that the trend lines produced by the analysis do not adequately reflect </w:t>
      </w:r>
      <w:r w:rsidR="00596D12">
        <w:t xml:space="preserve">the near </w:t>
      </w:r>
      <w:r>
        <w:t xml:space="preserve">future levels.  In this sense, they are analogous to a </w:t>
      </w:r>
      <w:r>
        <w:rPr>
          <w:i/>
        </w:rPr>
        <w:t>pro forma</w:t>
      </w:r>
      <w:r>
        <w:t xml:space="preserve"> adjustment in the familiar modified historical test year ratemaking framework.  </w:t>
      </w:r>
    </w:p>
    <w:p w14:paraId="1AF396BB" w14:textId="77777777" w:rsidR="006E16B3" w:rsidRDefault="006E16B3" w:rsidP="006E16B3">
      <w:pPr>
        <w:pStyle w:val="NoSpacing"/>
        <w:ind w:firstLine="720"/>
      </w:pPr>
      <w:r>
        <w:t>One reason for an “After-Attrition Adjustment” may be that future capital additions are composed of abnormal projects that aren’t reflected in the historical record.  Another reason may be that the data from which the historical trend is derived fails to reflect a “new normal” regarding the pace of capital additions.</w:t>
      </w:r>
    </w:p>
    <w:p w14:paraId="0DEA4832" w14:textId="77777777" w:rsidR="006E16B3" w:rsidRDefault="006E16B3" w:rsidP="006E16B3">
      <w:pPr>
        <w:pStyle w:val="NoSpacing"/>
        <w:ind w:firstLine="720"/>
      </w:pPr>
      <w:r>
        <w:t>In Avista’s last rate case, an “after-attrition adjustment” was made to accommodate a large capital addition known as Project Compass.</w:t>
      </w:r>
    </w:p>
    <w:p w14:paraId="6FE06BD8" w14:textId="77777777" w:rsidR="006E16B3" w:rsidRDefault="006E16B3" w:rsidP="006E16B3">
      <w:pPr>
        <w:pStyle w:val="NoSpacing"/>
      </w:pPr>
    </w:p>
    <w:p w14:paraId="419EE306" w14:textId="50066BE5" w:rsidR="006E16B3" w:rsidRDefault="006E16B3" w:rsidP="006E16B3">
      <w:pPr>
        <w:pStyle w:val="Heading8"/>
      </w:pPr>
      <w:r>
        <w:t>Q.</w:t>
      </w:r>
      <w:r>
        <w:tab/>
        <w:t>Staff has made it a point to use different terminology for such an adjustment.  Why?</w:t>
      </w:r>
    </w:p>
    <w:p w14:paraId="07782EC8" w14:textId="5747645C" w:rsidR="006E16B3" w:rsidRDefault="006E16B3" w:rsidP="006E16B3">
      <w:pPr>
        <w:pStyle w:val="NoSpacing"/>
      </w:pPr>
      <w:r>
        <w:t>A.</w:t>
      </w:r>
      <w:r>
        <w:tab/>
        <w:t xml:space="preserve">There are two reasons for this.  First, it is to clarify language so that the function of such an adjustment is presented in terms more familiar to those involved in and impacted by this rate case.  </w:t>
      </w:r>
      <w:r>
        <w:rPr>
          <w:i/>
        </w:rPr>
        <w:t>Pro forma</w:t>
      </w:r>
      <w:r>
        <w:t xml:space="preserve"> adjustments are made in the traditional modified historical test year approach as a way to adjust </w:t>
      </w:r>
      <w:r w:rsidR="00BD5D7C">
        <w:t xml:space="preserve">base </w:t>
      </w:r>
      <w:r>
        <w:t>figures to more accurately represent figures as they are anticipated to be in the rate year.  That is precisely the function served by the “after-attrition adjustments</w:t>
      </w:r>
      <w:r w:rsidR="00856E89">
        <w:t>.</w:t>
      </w:r>
      <w:r>
        <w:t>”</w:t>
      </w:r>
      <w:r w:rsidR="004E2A5A">
        <w:t xml:space="preserve"> </w:t>
      </w:r>
    </w:p>
    <w:p w14:paraId="28A75AB7" w14:textId="77777777" w:rsidR="006E16B3" w:rsidRDefault="006E16B3" w:rsidP="006E16B3">
      <w:pPr>
        <w:pStyle w:val="NoSpacing"/>
      </w:pPr>
      <w:r>
        <w:tab/>
      </w:r>
      <w:r>
        <w:tab/>
        <w:t>A second reason is to emphasize that “attrition” is not a treatment, but rather the phenomenon we wish to treat.  “Attrition” is not something granted or given or allowed to the Company; it is a ratemaking problem that, if unaddressed, has the potential to put a utility in financial peril.</w:t>
      </w:r>
    </w:p>
    <w:p w14:paraId="374FF0D4" w14:textId="77777777" w:rsidR="006E16B3" w:rsidRDefault="006E16B3" w:rsidP="006E16B3">
      <w:pPr>
        <w:pStyle w:val="NoSpacing"/>
      </w:pPr>
    </w:p>
    <w:p w14:paraId="4FF7F156" w14:textId="2F2CFBF2" w:rsidR="006E16B3" w:rsidRDefault="006E16B3" w:rsidP="006E16B3">
      <w:pPr>
        <w:pStyle w:val="Heading8"/>
      </w:pPr>
      <w:r>
        <w:t>Q.</w:t>
      </w:r>
      <w:r>
        <w:tab/>
        <w:t xml:space="preserve">What are some reasons to be cautious about the use of </w:t>
      </w:r>
      <w:r>
        <w:rPr>
          <w:i/>
        </w:rPr>
        <w:t>pro forma</w:t>
      </w:r>
      <w:r>
        <w:t xml:space="preserve"> adjustments to the attrition study models?</w:t>
      </w:r>
    </w:p>
    <w:p w14:paraId="75F25EFC" w14:textId="7309D01F" w:rsidR="006E16B3" w:rsidRDefault="006E16B3" w:rsidP="006E16B3">
      <w:pPr>
        <w:pStyle w:val="NoSpacing"/>
      </w:pPr>
      <w:r>
        <w:t>A.</w:t>
      </w:r>
      <w:r>
        <w:tab/>
        <w:t xml:space="preserve">The premise underlying the attrition study models used by Staff and Avista in the Company’s previous rate case, and in this case, </w:t>
      </w:r>
      <w:r w:rsidR="004E2A5A">
        <w:t xml:space="preserve">is </w:t>
      </w:r>
      <w:r>
        <w:t>that the historical record provides a dataset from which statistically-sound estimations of future rate base, expense, and revenue figures can be estimated.</w:t>
      </w:r>
    </w:p>
    <w:p w14:paraId="6E32D537" w14:textId="77777777" w:rsidR="006E16B3" w:rsidRDefault="006E16B3" w:rsidP="006E16B3">
      <w:pPr>
        <w:pStyle w:val="NoSpacing"/>
      </w:pPr>
      <w:r>
        <w:tab/>
      </w:r>
      <w:r>
        <w:tab/>
        <w:t xml:space="preserve">A </w:t>
      </w:r>
      <w:r>
        <w:rPr>
          <w:i/>
        </w:rPr>
        <w:t xml:space="preserve">pro forma </w:t>
      </w:r>
      <w:r>
        <w:t xml:space="preserve">adjustment to the results of that model undermines that premise.  The use of a </w:t>
      </w:r>
      <w:r>
        <w:rPr>
          <w:i/>
        </w:rPr>
        <w:t>pro forma</w:t>
      </w:r>
      <w:r>
        <w:t xml:space="preserve"> adjustment is an admission that the model does not accurately capture future figures – in this case, rate base figures.  While a </w:t>
      </w:r>
      <w:r>
        <w:rPr>
          <w:i/>
        </w:rPr>
        <w:t>pro forma</w:t>
      </w:r>
      <w:r>
        <w:t xml:space="preserve"> adjustment to the results of such a statistical model may nonetheless be found to be appropriate in some circumstances, it should not be a routine or regular matter.  The evidence for such an adjustment should be quite strong.</w:t>
      </w:r>
    </w:p>
    <w:p w14:paraId="2F2A9FEF" w14:textId="77777777" w:rsidR="006E16B3" w:rsidRDefault="006E16B3" w:rsidP="006E16B3">
      <w:pPr>
        <w:pStyle w:val="NoSpacing"/>
      </w:pPr>
    </w:p>
    <w:p w14:paraId="581A6D13" w14:textId="4BBAEAF5" w:rsidR="006E16B3" w:rsidRDefault="006E16B3" w:rsidP="006E16B3">
      <w:pPr>
        <w:pStyle w:val="Heading8"/>
      </w:pPr>
      <w:r>
        <w:t>Q.</w:t>
      </w:r>
      <w:r>
        <w:tab/>
        <w:t xml:space="preserve">What principles should guide the use of these adjustments? </w:t>
      </w:r>
    </w:p>
    <w:p w14:paraId="08D74C32" w14:textId="7BA54471" w:rsidR="006E16B3" w:rsidRDefault="006E16B3" w:rsidP="006E16B3">
      <w:pPr>
        <w:pStyle w:val="NoSpacing"/>
      </w:pPr>
      <w:r>
        <w:t xml:space="preserve">A. </w:t>
      </w:r>
      <w:r>
        <w:tab/>
        <w:t>It is not sufficient to say that such an adjustment is for an “abnormal” circumstance; the historical record used by both Staff and Avista spans a period of time in which several events occurred that would have been considered “abnormal” at the time.  One such example is that of the $45 million-plus addition of Project Compass, which was transferred to plant in February 2015, and is thus included in the historical record</w:t>
      </w:r>
      <w:r w:rsidR="00533B53">
        <w:t>.</w:t>
      </w:r>
      <w:r>
        <w:rPr>
          <w:rStyle w:val="FootnoteReference"/>
        </w:rPr>
        <w:footnoteReference w:id="60"/>
      </w:r>
      <w:r>
        <w:t xml:space="preserve">  Because Staff’s attrition study (and Avista’s, for that matter) is a statistical exercise drawing from a nine-year period over which some “lumpy” plant additions </w:t>
      </w:r>
      <w:r>
        <w:lastRenderedPageBreak/>
        <w:t>occurred, the estimates produced by the attrition models implicitly incorporate the possibility of such</w:t>
      </w:r>
      <w:r w:rsidR="00E43313">
        <w:t xml:space="preserve"> “lumpy”</w:t>
      </w:r>
      <w:r>
        <w:t xml:space="preserve"> plant additions.</w:t>
      </w:r>
    </w:p>
    <w:p w14:paraId="4692C8EB" w14:textId="77777777" w:rsidR="006E16B3" w:rsidRPr="008277A2" w:rsidRDefault="006E16B3" w:rsidP="006E16B3">
      <w:pPr>
        <w:pStyle w:val="NoSpacing"/>
        <w:ind w:firstLine="720"/>
      </w:pPr>
      <w:r>
        <w:t xml:space="preserve">In this present case, and in any future cases in which such a statistically-based approach is taken, a party advocating the use of a </w:t>
      </w:r>
      <w:r>
        <w:rPr>
          <w:i/>
        </w:rPr>
        <w:t>pro forma</w:t>
      </w:r>
      <w:r>
        <w:t xml:space="preserve"> adjustment should be required to demonstrate that </w:t>
      </w:r>
      <w:r w:rsidRPr="004F301D">
        <w:rPr>
          <w:u w:val="single"/>
        </w:rPr>
        <w:t xml:space="preserve">the historical record does not accurately capture the characteristics that the </w:t>
      </w:r>
      <w:r w:rsidRPr="004F301D">
        <w:rPr>
          <w:i/>
          <w:u w:val="single"/>
        </w:rPr>
        <w:t>pro forma</w:t>
      </w:r>
      <w:r w:rsidRPr="004F301D">
        <w:rPr>
          <w:u w:val="single"/>
        </w:rPr>
        <w:t xml:space="preserve"> adjustment seeks to correct</w:t>
      </w:r>
      <w:r>
        <w:t xml:space="preserve">.  Furthermore, the principles guiding </w:t>
      </w:r>
      <w:r>
        <w:rPr>
          <w:i/>
        </w:rPr>
        <w:t>pro forma</w:t>
      </w:r>
      <w:r>
        <w:t xml:space="preserve"> adjustments in the traditional modified historical test year method of ratemaking should be adopted.</w:t>
      </w:r>
      <w:r>
        <w:rPr>
          <w:rStyle w:val="FootnoteReference"/>
        </w:rPr>
        <w:footnoteReference w:id="61"/>
      </w:r>
      <w:r>
        <w:t xml:space="preserve">  </w:t>
      </w:r>
      <w:r w:rsidRPr="004F301D">
        <w:rPr>
          <w:u w:val="single"/>
        </w:rPr>
        <w:t>That is, plant adjustments should be major; known and measurable, used and useful, and prudently incurred</w:t>
      </w:r>
      <w:r>
        <w:t>.</w:t>
      </w:r>
    </w:p>
    <w:p w14:paraId="0832C667" w14:textId="77777777" w:rsidR="006E16B3" w:rsidRDefault="006E16B3" w:rsidP="006E16B3">
      <w:pPr>
        <w:pStyle w:val="NoSpacing"/>
      </w:pPr>
    </w:p>
    <w:p w14:paraId="5639B83A" w14:textId="4CBD5E87" w:rsidR="006E16B3" w:rsidRDefault="006E16B3" w:rsidP="006E16B3">
      <w:pPr>
        <w:pStyle w:val="Heading8"/>
      </w:pPr>
      <w:r>
        <w:t>Q.</w:t>
      </w:r>
      <w:r>
        <w:tab/>
        <w:t>If the Commission were to find that there is reason to incorporate such an adjustment, what should guide its actions?</w:t>
      </w:r>
    </w:p>
    <w:p w14:paraId="7F5D721E" w14:textId="44136868" w:rsidR="006E16B3" w:rsidRDefault="006E16B3" w:rsidP="006E16B3">
      <w:pPr>
        <w:pStyle w:val="NoSpacing"/>
      </w:pPr>
      <w:r>
        <w:t>A.</w:t>
      </w:r>
      <w:r>
        <w:tab/>
        <w:t xml:space="preserve">After accepting that such an adjustment is called for, the task then becomes the determination of the size of that adjustment.  </w:t>
      </w:r>
      <w:r w:rsidRPr="00EA5B66">
        <w:rPr>
          <w:u w:val="single"/>
        </w:rPr>
        <w:t xml:space="preserve">A </w:t>
      </w:r>
      <w:r w:rsidR="00E43313">
        <w:rPr>
          <w:i/>
          <w:u w:val="single"/>
        </w:rPr>
        <w:t>pro forma</w:t>
      </w:r>
      <w:r w:rsidRPr="00EA5B66">
        <w:rPr>
          <w:u w:val="single"/>
        </w:rPr>
        <w:t xml:space="preserve"> adjustment </w:t>
      </w:r>
      <w:r w:rsidR="00E43313">
        <w:rPr>
          <w:u w:val="single"/>
        </w:rPr>
        <w:t xml:space="preserve">to the attrition study </w:t>
      </w:r>
      <w:r w:rsidRPr="00EA5B66">
        <w:rPr>
          <w:u w:val="single"/>
        </w:rPr>
        <w:t xml:space="preserve">should attempt to capture </w:t>
      </w:r>
      <w:r>
        <w:rPr>
          <w:u w:val="single"/>
        </w:rPr>
        <w:t>only t</w:t>
      </w:r>
      <w:r w:rsidRPr="00EA5B66">
        <w:rPr>
          <w:u w:val="single"/>
        </w:rPr>
        <w:t>he plant addition amount that is above and beyond what the historical trend suggests</w:t>
      </w:r>
      <w:r>
        <w:t xml:space="preserve">, and it should do so with enough certainty to justify the deviation from an historical trend.  </w:t>
      </w:r>
    </w:p>
    <w:p w14:paraId="3EEFDC10" w14:textId="77777777" w:rsidR="006E16B3" w:rsidRPr="003B4D2B" w:rsidRDefault="006E16B3" w:rsidP="006E16B3">
      <w:pPr>
        <w:pStyle w:val="NoSpacing"/>
        <w:ind w:firstLine="720"/>
      </w:pPr>
      <w:r>
        <w:t xml:space="preserve">This means that figure is unlikely to be the entire value of the project, unless perhaps that project is a completely new and wholly abnormal endeavor.  </w:t>
      </w:r>
      <w:r w:rsidRPr="003B4D2B">
        <w:t xml:space="preserve">A project that provides entirely new services or functionality may meet this standard; AMI has the potential to be such a project.  But in most cases, a project being considered for </w:t>
      </w:r>
      <w:r w:rsidRPr="003B4D2B">
        <w:lastRenderedPageBreak/>
        <w:t>treatment as a post-attrition adjustment is likely captured, in part, by the growth in rate base due to the use of escalation factors.</w:t>
      </w:r>
    </w:p>
    <w:p w14:paraId="12DA32B3" w14:textId="77777777" w:rsidR="006E16B3" w:rsidRDefault="006E16B3" w:rsidP="006E16B3">
      <w:pPr>
        <w:pStyle w:val="NoSpacing"/>
      </w:pPr>
    </w:p>
    <w:p w14:paraId="60BE6221" w14:textId="0530C455" w:rsidR="00316F0B" w:rsidRDefault="00316F0B" w:rsidP="006E16B3">
      <w:pPr>
        <w:pStyle w:val="Heading8"/>
      </w:pPr>
      <w:r>
        <w:t>Q.</w:t>
      </w:r>
      <w:r>
        <w:tab/>
        <w:t xml:space="preserve">What projects are proposed to be included as </w:t>
      </w:r>
      <w:r w:rsidR="00CA6ADF">
        <w:t>“</w:t>
      </w:r>
      <w:r>
        <w:t>After-Attrition Adjustments</w:t>
      </w:r>
      <w:r w:rsidR="00CA6ADF">
        <w:t>”</w:t>
      </w:r>
      <w:r>
        <w:t xml:space="preserve"> by Avista?</w:t>
      </w:r>
    </w:p>
    <w:p w14:paraId="02C7799D" w14:textId="22E3D755" w:rsidR="00316F0B" w:rsidRDefault="00316F0B" w:rsidP="00316F0B">
      <w:pPr>
        <w:pStyle w:val="NoSpacing"/>
      </w:pPr>
      <w:r>
        <w:t>A.</w:t>
      </w:r>
      <w:r>
        <w:tab/>
        <w:t xml:space="preserve">For electric service, Avista proposes </w:t>
      </w:r>
      <w:r w:rsidR="00F84C95">
        <w:t>“</w:t>
      </w:r>
      <w:r>
        <w:t>After-Attrition Adjustments</w:t>
      </w:r>
      <w:r w:rsidR="00F84C95">
        <w:t>”</w:t>
      </w:r>
      <w:r>
        <w:t xml:space="preserve"> for a group of projects known collectively as Spokane River Projects, and another adjustment</w:t>
      </w:r>
      <w:r w:rsidR="004929B1">
        <w:t xml:space="preserve"> for the electric portion of it</w:t>
      </w:r>
      <w:r>
        <w:t>s Advanced Metering Infr</w:t>
      </w:r>
      <w:r w:rsidR="00F84C95">
        <w:t>astructure (“AMI”) project.  A similar</w:t>
      </w:r>
      <w:r>
        <w:t xml:space="preserve"> adjustment is proposed in natural gas service for the natural gas portion of the AMI project.</w:t>
      </w:r>
    </w:p>
    <w:p w14:paraId="110A1AB0" w14:textId="45F8AD4B" w:rsidR="004F6737" w:rsidRDefault="004F6737" w:rsidP="00316F0B">
      <w:pPr>
        <w:pStyle w:val="NoSpacing"/>
      </w:pPr>
    </w:p>
    <w:p w14:paraId="0E8CADEA" w14:textId="7414D556" w:rsidR="004F6737" w:rsidRDefault="004F6737" w:rsidP="004F6737">
      <w:pPr>
        <w:pStyle w:val="Heading8"/>
      </w:pPr>
      <w:r>
        <w:t>Q.</w:t>
      </w:r>
      <w:r>
        <w:tab/>
        <w:t xml:space="preserve">What projects is Staff including as a </w:t>
      </w:r>
      <w:r>
        <w:rPr>
          <w:i/>
        </w:rPr>
        <w:t>pro forma</w:t>
      </w:r>
      <w:r>
        <w:t xml:space="preserve"> adjustment to the attrition study model</w:t>
      </w:r>
      <w:r w:rsidR="00C657BE">
        <w:t>s</w:t>
      </w:r>
      <w:r>
        <w:t>?</w:t>
      </w:r>
    </w:p>
    <w:p w14:paraId="080EF8AA" w14:textId="1CE77AC4" w:rsidR="007C59B8" w:rsidRDefault="004F6737" w:rsidP="007C59B8">
      <w:pPr>
        <w:pStyle w:val="NoSpacing"/>
      </w:pPr>
      <w:r>
        <w:t>A.</w:t>
      </w:r>
      <w:r>
        <w:tab/>
        <w:t xml:space="preserve">Staff is including a </w:t>
      </w:r>
      <w:r>
        <w:rPr>
          <w:i/>
        </w:rPr>
        <w:t xml:space="preserve">pro forma </w:t>
      </w:r>
      <w:r>
        <w:t>adjustment only for the Spokane River Projects.</w:t>
      </w:r>
      <w:r w:rsidR="00C55528">
        <w:t xml:space="preserve">  </w:t>
      </w:r>
      <w:r w:rsidR="007C59B8">
        <w:t xml:space="preserve">Spokane River Projects is composed of three independent projects along the Spokane River.  These are the Nine Mile hydroelectric dam rehabilitation project, the Post Falls south channel gates replacement project, and the Little Falls powerhouse redevelopment </w:t>
      </w:r>
      <w:r w:rsidR="00C55528">
        <w:t>project.</w:t>
      </w:r>
    </w:p>
    <w:p w14:paraId="4166472F" w14:textId="77777777" w:rsidR="007C59B8" w:rsidRDefault="007C59B8" w:rsidP="007C59B8">
      <w:pPr>
        <w:pStyle w:val="NoSpacing"/>
      </w:pPr>
    </w:p>
    <w:p w14:paraId="466F547F" w14:textId="054B2EDC" w:rsidR="00F84C95" w:rsidRDefault="00F84C95" w:rsidP="00F84C95">
      <w:pPr>
        <w:pStyle w:val="Heading8"/>
      </w:pPr>
      <w:r>
        <w:t>Q.</w:t>
      </w:r>
      <w:r>
        <w:tab/>
        <w:t xml:space="preserve">Why does Staff not include a </w:t>
      </w:r>
      <w:r>
        <w:rPr>
          <w:i/>
        </w:rPr>
        <w:t>pro forma</w:t>
      </w:r>
      <w:r>
        <w:t xml:space="preserve"> adjustment to the attrition study models for the AMI project?</w:t>
      </w:r>
    </w:p>
    <w:p w14:paraId="32A52A0E" w14:textId="3FD89166" w:rsidR="00F84C95" w:rsidRDefault="00F84C95" w:rsidP="00316F0B">
      <w:pPr>
        <w:pStyle w:val="NoSpacing"/>
      </w:pPr>
      <w:r>
        <w:t>A.</w:t>
      </w:r>
      <w:r>
        <w:tab/>
        <w:t xml:space="preserve">The AMI project does not fit the </w:t>
      </w:r>
      <w:r w:rsidR="004F301D">
        <w:t xml:space="preserve">traditional </w:t>
      </w:r>
      <w:r w:rsidR="004F301D">
        <w:rPr>
          <w:i/>
        </w:rPr>
        <w:t>pro forma</w:t>
      </w:r>
      <w:r w:rsidR="004F301D">
        <w:t xml:space="preserve"> adjustment principles that I describe in my guiding principles above</w:t>
      </w:r>
      <w:r>
        <w:t xml:space="preserve">.  </w:t>
      </w:r>
      <w:r w:rsidR="00CA6ADF">
        <w:t>The reader may also</w:t>
      </w:r>
      <w:r>
        <w:t xml:space="preserve"> refer to the testimony </w:t>
      </w:r>
      <w:r>
        <w:lastRenderedPageBreak/>
        <w:t xml:space="preserve">of </w:t>
      </w:r>
      <w:r w:rsidRPr="00BC3243">
        <w:t xml:space="preserve">Staff witness </w:t>
      </w:r>
      <w:r w:rsidR="00C657BE" w:rsidRPr="00BC3243">
        <w:t>David Nightingale</w:t>
      </w:r>
      <w:r>
        <w:t xml:space="preserve"> for further </w:t>
      </w:r>
      <w:r w:rsidR="00D02EE5">
        <w:t xml:space="preserve">discussion </w:t>
      </w:r>
      <w:r>
        <w:t xml:space="preserve">on the </w:t>
      </w:r>
      <w:r w:rsidR="007C59B8">
        <w:t>in</w:t>
      </w:r>
      <w:r>
        <w:t>appropriateness of including this project into rates.</w:t>
      </w:r>
    </w:p>
    <w:p w14:paraId="55B9E36A" w14:textId="77777777" w:rsidR="00316F0B" w:rsidRDefault="00316F0B" w:rsidP="00316F0B">
      <w:pPr>
        <w:pStyle w:val="NoSpacing"/>
        <w:ind w:firstLine="720"/>
      </w:pPr>
    </w:p>
    <w:p w14:paraId="343D98A7" w14:textId="4646146C" w:rsidR="00316F0B" w:rsidRDefault="00316F0B" w:rsidP="00316F0B">
      <w:pPr>
        <w:pStyle w:val="Heading8"/>
      </w:pPr>
      <w:r>
        <w:t>Q.</w:t>
      </w:r>
      <w:r>
        <w:tab/>
      </w:r>
      <w:r w:rsidR="00CF633C" w:rsidRPr="00CF633C">
        <w:t xml:space="preserve">Avista notes that in the previous rate case, the Commission authorized a “post-attrition adjustment” to the results of the attrition study to incorporate an abnormal plant addition. </w:t>
      </w:r>
      <w:r w:rsidR="00CF633C">
        <w:t xml:space="preserve"> </w:t>
      </w:r>
      <w:r>
        <w:t>What constitutes an abnormal plant addition?</w:t>
      </w:r>
    </w:p>
    <w:p w14:paraId="3A16168F" w14:textId="29998571" w:rsidR="00316F0B" w:rsidRDefault="00316F0B" w:rsidP="00316F0B">
      <w:pPr>
        <w:pStyle w:val="NoSpacing"/>
      </w:pPr>
      <w:r>
        <w:t>A.</w:t>
      </w:r>
      <w:r>
        <w:tab/>
      </w:r>
      <w:r w:rsidR="002408A6">
        <w:t>Revisiting t</w:t>
      </w:r>
      <w:r>
        <w:t xml:space="preserve">he last Avista rate case </w:t>
      </w:r>
      <w:r w:rsidR="002408A6">
        <w:t xml:space="preserve">can provide </w:t>
      </w:r>
      <w:r>
        <w:t>some insight.</w:t>
      </w:r>
    </w:p>
    <w:p w14:paraId="7C6C4842" w14:textId="5B8D61D2" w:rsidR="00316F0B" w:rsidRDefault="00316F0B" w:rsidP="00316F0B">
      <w:pPr>
        <w:pStyle w:val="NoSpacing"/>
        <w:ind w:firstLine="720"/>
      </w:pPr>
      <w:r>
        <w:t xml:space="preserve">Ms. Andrews notes that in the previous Avista rate case, Project Compass was accounted for as a </w:t>
      </w:r>
      <w:r w:rsidR="009A187A">
        <w:t>“</w:t>
      </w:r>
      <w:r>
        <w:t>post-attrition adjustment</w:t>
      </w:r>
      <w:r w:rsidR="00D02EE5">
        <w:t>.</w:t>
      </w:r>
      <w:r w:rsidR="009A187A">
        <w:t>”</w:t>
      </w:r>
      <w:r>
        <w:t xml:space="preserve">  Mr. McGuire, Staff’s witness in that case, was measured in his support for such treatment.</w:t>
      </w:r>
    </w:p>
    <w:p w14:paraId="611D03C9" w14:textId="59EE9499" w:rsidR="00316F0B" w:rsidRDefault="00E24F5F" w:rsidP="00316F0B">
      <w:pPr>
        <w:pStyle w:val="NoSpacing"/>
        <w:ind w:firstLine="720"/>
      </w:pPr>
      <w:r>
        <w:t>Two</w:t>
      </w:r>
      <w:r w:rsidR="00316F0B">
        <w:t xml:space="preserve"> elements contributed to Mr. McGuire’s belief that Project Compass was an abnormal plant addition worthy of a </w:t>
      </w:r>
      <w:r w:rsidR="009A187A">
        <w:t>“</w:t>
      </w:r>
      <w:r w:rsidR="00316F0B">
        <w:t>post-attrition adjustment</w:t>
      </w:r>
      <w:r w:rsidR="00D02EE5">
        <w:t>.</w:t>
      </w:r>
      <w:r w:rsidR="009A187A">
        <w:t>”</w:t>
      </w:r>
      <w:r w:rsidR="00316F0B">
        <w:t xml:space="preserve">  They are the size of the project and the nature of the project. </w:t>
      </w:r>
      <w:r>
        <w:t xml:space="preserve"> Additionally, Project Compass was of a known-and-measurable size.</w:t>
      </w:r>
    </w:p>
    <w:p w14:paraId="25196C11" w14:textId="0CBB4D91" w:rsidR="006103F7" w:rsidRPr="00F15127" w:rsidRDefault="0084351F" w:rsidP="006103F7">
      <w:pPr>
        <w:pStyle w:val="NoSpacing"/>
        <w:ind w:firstLine="720"/>
        <w:rPr>
          <w:strike/>
        </w:rPr>
      </w:pPr>
      <w:r>
        <w:t>T</w:t>
      </w:r>
      <w:r w:rsidR="006103F7">
        <w:t xml:space="preserve">he </w:t>
      </w:r>
      <w:r w:rsidR="00E24F5F">
        <w:t>“</w:t>
      </w:r>
      <w:r w:rsidR="006103F7">
        <w:t>post-attrition adjustment</w:t>
      </w:r>
      <w:r w:rsidR="00E24F5F">
        <w:t>”</w:t>
      </w:r>
      <w:r w:rsidR="006103F7">
        <w:t xml:space="preserve"> for Project Compass represented a $42.058 million addition to total rate base, or 2.86% of the Net Plant found in the previous year’s Commission Basis Report.</w:t>
      </w:r>
      <w:r w:rsidR="006103F7" w:rsidRPr="0044228C">
        <w:rPr>
          <w:rStyle w:val="FootnoteReference"/>
        </w:rPr>
        <w:t xml:space="preserve"> </w:t>
      </w:r>
      <w:r w:rsidR="006103F7">
        <w:rPr>
          <w:rStyle w:val="FootnoteReference"/>
        </w:rPr>
        <w:footnoteReference w:id="62"/>
      </w:r>
    </w:p>
    <w:p w14:paraId="45279F1C" w14:textId="73850922" w:rsidR="00316F0B" w:rsidRDefault="00C801E8" w:rsidP="00316F0B">
      <w:pPr>
        <w:pStyle w:val="NoSpacing"/>
        <w:ind w:firstLine="720"/>
      </w:pPr>
      <w:r>
        <w:t xml:space="preserve">As to the nature of the project, </w:t>
      </w:r>
      <w:r w:rsidR="00316F0B">
        <w:t>Project Compass provided new functionality to the Company and its customers</w:t>
      </w:r>
      <w:r w:rsidR="00265148">
        <w:t>.</w:t>
      </w:r>
      <w:r w:rsidR="00316F0B">
        <w:t xml:space="preserve">  Project Compass provides services to the Company and its ratepayers that simply were not present before it was placed into service.  This is another way in which Project Compass was abnormal.</w:t>
      </w:r>
    </w:p>
    <w:p w14:paraId="183F1B5D" w14:textId="3FF20071" w:rsidR="00CF633C" w:rsidRDefault="00CF633C" w:rsidP="00316F0B">
      <w:pPr>
        <w:pStyle w:val="NoSpacing"/>
        <w:ind w:firstLine="720"/>
      </w:pPr>
    </w:p>
    <w:p w14:paraId="0C9EB77D" w14:textId="7163F8A1" w:rsidR="00CF633C" w:rsidRDefault="00CF633C" w:rsidP="00CF633C">
      <w:pPr>
        <w:pStyle w:val="Heading8"/>
      </w:pPr>
      <w:r>
        <w:lastRenderedPageBreak/>
        <w:t>Q.</w:t>
      </w:r>
      <w:r>
        <w:tab/>
      </w:r>
      <w:r w:rsidR="00CA6ADF">
        <w:t>Two of the three Spokane River Projects</w:t>
      </w:r>
      <w:r>
        <w:t xml:space="preserve"> are smaller than Project Compass</w:t>
      </w:r>
      <w:r w:rsidR="00CA6ADF">
        <w:t xml:space="preserve"> was</w:t>
      </w:r>
      <w:r>
        <w:t>.  Are these projects “abnormal” in size?</w:t>
      </w:r>
    </w:p>
    <w:p w14:paraId="5AAA7A25" w14:textId="54F0BD72" w:rsidR="00CF633C" w:rsidRDefault="00CF633C" w:rsidP="00CF633C">
      <w:pPr>
        <w:pStyle w:val="NoSpacing"/>
      </w:pPr>
      <w:r>
        <w:t>A.</w:t>
      </w:r>
      <w:r>
        <w:tab/>
        <w:t xml:space="preserve">We may use Staff’s definition of “major” plant from Staff’s testimony in Avista’s last rate case as one way to determine if these projects are “abnormal” in size.  Staff recognizes here that this amounts to assuming that “abnormal” and “major” are synonymous, and that reasonable parties may disagree.  </w:t>
      </w:r>
    </w:p>
    <w:p w14:paraId="6D5E47AE" w14:textId="71FF9FDA" w:rsidR="00CF633C" w:rsidRDefault="00CF633C" w:rsidP="00CF633C">
      <w:pPr>
        <w:pStyle w:val="NoSpacing"/>
      </w:pPr>
      <w:r>
        <w:tab/>
      </w:r>
      <w:r>
        <w:tab/>
        <w:t>Nonetheless, by that standard these projects may be considered to be abnormal in size; see the testimony of Staff witness Joanna Huang for discussion on “major” projects.</w:t>
      </w:r>
    </w:p>
    <w:p w14:paraId="42848C1A" w14:textId="3FFBE2B7" w:rsidR="00CF633C" w:rsidRDefault="00CF633C" w:rsidP="00CF633C">
      <w:pPr>
        <w:pStyle w:val="NoSpacing"/>
      </w:pPr>
      <w:r>
        <w:tab/>
      </w:r>
      <w:r>
        <w:tab/>
        <w:t xml:space="preserve">Recall that Staff’s method of calculating the size of the </w:t>
      </w:r>
      <w:r>
        <w:rPr>
          <w:i/>
        </w:rPr>
        <w:t>pro forma</w:t>
      </w:r>
      <w:r>
        <w:t xml:space="preserve"> adjustment aims to capture only the known and measurable plant addition amount that is above and beyond what the historical trend suggests.  This attenuates the risk of overstating the future rate base balance for</w:t>
      </w:r>
      <w:r w:rsidR="00C70E6D">
        <w:t xml:space="preserve"> the particular type of plant.</w:t>
      </w:r>
    </w:p>
    <w:p w14:paraId="229FD921" w14:textId="15AA2968" w:rsidR="00316F0B" w:rsidRDefault="00316F0B" w:rsidP="004020BC">
      <w:pPr>
        <w:pStyle w:val="NoSpacing"/>
      </w:pPr>
    </w:p>
    <w:p w14:paraId="0CA79FCD" w14:textId="53CAD308" w:rsidR="004020BC" w:rsidRDefault="004020BC" w:rsidP="004020BC">
      <w:pPr>
        <w:pStyle w:val="Heading8"/>
      </w:pPr>
      <w:r>
        <w:t>Q.</w:t>
      </w:r>
      <w:r>
        <w:tab/>
      </w:r>
      <w:r w:rsidRPr="004020BC">
        <w:t>How has Staff calculated the amount of plant addition above and beyond what the historical trend suggests?</w:t>
      </w:r>
    </w:p>
    <w:p w14:paraId="3AE625A4" w14:textId="74CCD24F" w:rsidR="001D111B" w:rsidRDefault="004020BC" w:rsidP="001D111B">
      <w:pPr>
        <w:pStyle w:val="NoSpacing"/>
      </w:pPr>
      <w:r w:rsidRPr="001D7428">
        <w:t>A.</w:t>
      </w:r>
      <w:r w:rsidRPr="001D7428">
        <w:tab/>
      </w:r>
      <w:r w:rsidR="001D111B" w:rsidRPr="001D7428">
        <w:t>The calculation is performed according to the following steps:</w:t>
      </w:r>
      <w:r w:rsidR="001D111B">
        <w:t xml:space="preserve">  </w:t>
      </w:r>
    </w:p>
    <w:p w14:paraId="528CD3F5" w14:textId="41A05256" w:rsidR="001D111B" w:rsidRDefault="001D111B" w:rsidP="001D111B">
      <w:pPr>
        <w:pStyle w:val="NoSpacing"/>
        <w:ind w:left="1440" w:firstLine="0"/>
      </w:pPr>
      <w:r w:rsidRPr="00CA6ADF">
        <w:rPr>
          <w:b/>
          <w:u w:val="single"/>
        </w:rPr>
        <w:t>Step 1</w:t>
      </w:r>
      <w:r>
        <w:t xml:space="preserve">: The annual growth for a particular type of plant is found through regression analysis.  Production plant was found to have grown by $15.809 million per year.  </w:t>
      </w:r>
    </w:p>
    <w:p w14:paraId="64697EAF" w14:textId="72AAB807" w:rsidR="001D111B" w:rsidRDefault="001D111B" w:rsidP="00A86250">
      <w:pPr>
        <w:pStyle w:val="NoSpacing"/>
        <w:ind w:firstLine="0"/>
      </w:pPr>
      <w:r>
        <w:tab/>
      </w:r>
      <w:r w:rsidRPr="00CA6ADF">
        <w:rPr>
          <w:b/>
          <w:u w:val="single"/>
        </w:rPr>
        <w:t>Step 2</w:t>
      </w:r>
      <w:r>
        <w:t xml:space="preserve">: The monthly growth is found by dividing the annual amount by 12.  </w:t>
      </w:r>
    </w:p>
    <w:p w14:paraId="167716D6" w14:textId="4D3962C6" w:rsidR="001D111B" w:rsidRDefault="001D111B" w:rsidP="00CA6ADF">
      <w:pPr>
        <w:pStyle w:val="NoSpacing"/>
        <w:ind w:left="1440" w:firstLine="0"/>
      </w:pPr>
      <w:r w:rsidRPr="00CA6ADF">
        <w:rPr>
          <w:b/>
          <w:u w:val="single"/>
        </w:rPr>
        <w:lastRenderedPageBreak/>
        <w:t>Step 3</w:t>
      </w:r>
      <w:r>
        <w:t xml:space="preserve">: Find the actual amount of plant transferred to service, by month.  Through </w:t>
      </w:r>
      <w:r w:rsidR="00BC3243">
        <w:t xml:space="preserve">UTC </w:t>
      </w:r>
      <w:r>
        <w:t>Staff D</w:t>
      </w:r>
      <w:r w:rsidR="00BC3243">
        <w:t>ata Request No.</w:t>
      </w:r>
      <w:r>
        <w:t xml:space="preserve"> 12, the actual amount of production plant transferred to service from the three Spokane River Projects is found.</w:t>
      </w:r>
    </w:p>
    <w:p w14:paraId="16C2BF93" w14:textId="5A3D190C" w:rsidR="001D111B" w:rsidRDefault="001D111B" w:rsidP="00CA6ADF">
      <w:pPr>
        <w:pStyle w:val="NoSpacing"/>
        <w:ind w:left="1440" w:firstLine="0"/>
      </w:pPr>
      <w:r w:rsidRPr="00CA6ADF">
        <w:rPr>
          <w:b/>
          <w:u w:val="single"/>
        </w:rPr>
        <w:t>Step 4</w:t>
      </w:r>
      <w:r>
        <w:t xml:space="preserve">: The actual transfers by month are compared to the estimated transfers per month.  When the actual transfer exceeds the estimated transfer, the difference is appropriate to add as a </w:t>
      </w:r>
      <w:r>
        <w:rPr>
          <w:i/>
        </w:rPr>
        <w:t>pro forma</w:t>
      </w:r>
      <w:r>
        <w:t xml:space="preserve"> adjustment.  If the actual transfer does not exceed the expected transfer, no </w:t>
      </w:r>
      <w:r>
        <w:rPr>
          <w:i/>
        </w:rPr>
        <w:t>pro forma</w:t>
      </w:r>
      <w:r>
        <w:t xml:space="preserve"> treatment is applied, as the historical trend is assumed to capture typical production plant growth.</w:t>
      </w:r>
    </w:p>
    <w:p w14:paraId="09FE80F0" w14:textId="77777777" w:rsidR="004020BC" w:rsidRDefault="004020BC" w:rsidP="004020BC">
      <w:pPr>
        <w:pStyle w:val="NoSpacing"/>
      </w:pPr>
    </w:p>
    <w:p w14:paraId="4DA67B82" w14:textId="122F78C4" w:rsidR="004020BC" w:rsidRPr="007B1407" w:rsidRDefault="004020BC" w:rsidP="004020BC">
      <w:pPr>
        <w:pStyle w:val="Heading8"/>
      </w:pPr>
      <w:r>
        <w:t>Q.</w:t>
      </w:r>
      <w:r>
        <w:tab/>
        <w:t xml:space="preserve">How do the </w:t>
      </w:r>
      <w:r>
        <w:rPr>
          <w:i/>
        </w:rPr>
        <w:t xml:space="preserve">pro forma </w:t>
      </w:r>
      <w:r>
        <w:t xml:space="preserve">adjustments to the attrition study models compare </w:t>
      </w:r>
      <w:r w:rsidRPr="007B1407">
        <w:t>between Staff and Avista?</w:t>
      </w:r>
    </w:p>
    <w:p w14:paraId="05836240" w14:textId="5AC0600B" w:rsidR="00877104" w:rsidRDefault="004020BC" w:rsidP="004020BC">
      <w:pPr>
        <w:pStyle w:val="NoSpacing"/>
      </w:pPr>
      <w:r w:rsidRPr="007B1407">
        <w:t>A.</w:t>
      </w:r>
      <w:r w:rsidRPr="007B1407">
        <w:tab/>
      </w:r>
      <w:r w:rsidR="00877104" w:rsidRPr="007B1407">
        <w:t>As shown in the table below, Staff’s method for calculating this sort of adjustment produces a lower figure than the Company has testified to.</w:t>
      </w:r>
      <w:r w:rsidR="00416D11" w:rsidRPr="007B1407">
        <w:t xml:space="preserve">  This is due to the different methodology</w:t>
      </w:r>
      <w:r w:rsidR="00416D11">
        <w:t xml:space="preserve"> Staff used in calculating the size of such an adjustment.</w:t>
      </w:r>
      <w:r w:rsidR="001F6E2C">
        <w:t xml:space="preserve">  Another important factor is Staff’s use of AMA (average of monthly averages) figures, which is consistent with the accounting used elsewhere in the attrition study.</w:t>
      </w:r>
      <w:r w:rsidR="00877104">
        <w:t xml:space="preserve">  </w:t>
      </w:r>
      <w:r w:rsidR="00B7485E">
        <w:t xml:space="preserve">Again, note that Staff is not supporting a </w:t>
      </w:r>
      <w:r w:rsidR="00B7485E">
        <w:rPr>
          <w:i/>
        </w:rPr>
        <w:t xml:space="preserve">pro forma </w:t>
      </w:r>
      <w:r w:rsidR="00B7485E">
        <w:t>adjustment for the Company’s AMI project, in either of its services.</w:t>
      </w:r>
    </w:p>
    <w:p w14:paraId="7EED78C4" w14:textId="77777777" w:rsidR="007B1407" w:rsidRDefault="007B1407" w:rsidP="004020BC">
      <w:pPr>
        <w:pStyle w:val="NoSpacing"/>
      </w:pPr>
    </w:p>
    <w:p w14:paraId="382A03FD" w14:textId="6D6F7BB9" w:rsidR="00990E80" w:rsidRPr="00990E80" w:rsidRDefault="00990E80" w:rsidP="00990E80">
      <w:pPr>
        <w:pStyle w:val="NoSpacing"/>
        <w:keepNext/>
        <w:keepLines/>
        <w:spacing w:line="240" w:lineRule="auto"/>
        <w:jc w:val="center"/>
        <w:rPr>
          <w:b/>
        </w:rPr>
      </w:pPr>
      <w:r w:rsidRPr="008E6A87">
        <w:rPr>
          <w:b/>
        </w:rPr>
        <w:t xml:space="preserve">Table </w:t>
      </w:r>
      <w:r w:rsidR="00F3284B">
        <w:rPr>
          <w:b/>
        </w:rPr>
        <w:t>10</w:t>
      </w:r>
      <w:r w:rsidRPr="008E6A87">
        <w:rPr>
          <w:b/>
        </w:rPr>
        <w:t xml:space="preserve">– </w:t>
      </w:r>
      <w:r w:rsidRPr="008E6A87">
        <w:rPr>
          <w:b/>
          <w:i/>
        </w:rPr>
        <w:t>Pro Forma</w:t>
      </w:r>
      <w:r w:rsidRPr="008E6A87">
        <w:rPr>
          <w:b/>
        </w:rPr>
        <w:t xml:space="preserve"> Adjustments to the Attrition Study – Plant in Service</w:t>
      </w:r>
    </w:p>
    <w:tbl>
      <w:tblPr>
        <w:tblW w:w="8389" w:type="dxa"/>
        <w:jc w:val="center"/>
        <w:tblLook w:val="04A0" w:firstRow="1" w:lastRow="0" w:firstColumn="1" w:lastColumn="0" w:noHBand="0" w:noVBand="1"/>
      </w:tblPr>
      <w:tblGrid>
        <w:gridCol w:w="759"/>
        <w:gridCol w:w="3686"/>
        <w:gridCol w:w="1748"/>
        <w:gridCol w:w="2196"/>
      </w:tblGrid>
      <w:tr w:rsidR="00E763F9" w:rsidRPr="00E763F9" w14:paraId="5F944F0E" w14:textId="77777777" w:rsidTr="00E763F9">
        <w:trPr>
          <w:trHeight w:val="300"/>
          <w:jc w:val="center"/>
        </w:trPr>
        <w:tc>
          <w:tcPr>
            <w:tcW w:w="759" w:type="dxa"/>
            <w:tcBorders>
              <w:top w:val="nil"/>
              <w:left w:val="nil"/>
              <w:bottom w:val="nil"/>
              <w:right w:val="nil"/>
            </w:tcBorders>
            <w:shd w:val="clear" w:color="auto" w:fill="auto"/>
            <w:noWrap/>
            <w:vAlign w:val="bottom"/>
            <w:hideMark/>
          </w:tcPr>
          <w:p w14:paraId="47FFBA16" w14:textId="77777777" w:rsidR="00E763F9" w:rsidRPr="00E763F9" w:rsidRDefault="00E763F9" w:rsidP="00990E80">
            <w:pPr>
              <w:keepNext/>
              <w:keepLines/>
              <w:rPr>
                <w:rFonts w:eastAsia="Times New Roman"/>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2C53F" w14:textId="77777777" w:rsidR="00E763F9" w:rsidRPr="00E763F9" w:rsidRDefault="00E763F9" w:rsidP="00990E80">
            <w:pPr>
              <w:keepNext/>
              <w:keepLines/>
              <w:rPr>
                <w:rFonts w:ascii="Calibri" w:eastAsia="Times New Roman" w:hAnsi="Calibri"/>
                <w:b/>
                <w:bCs/>
                <w:color w:val="000000"/>
                <w:sz w:val="22"/>
                <w:szCs w:val="22"/>
              </w:rPr>
            </w:pPr>
            <w:r w:rsidRPr="00E763F9">
              <w:rPr>
                <w:rFonts w:ascii="Calibri" w:eastAsia="Times New Roman" w:hAnsi="Calibri"/>
                <w:b/>
                <w:bCs/>
                <w:color w:val="000000"/>
                <w:sz w:val="22"/>
                <w:szCs w:val="22"/>
              </w:rPr>
              <w:t>Spokane River Projects (Electric)</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71A5C0E6" w14:textId="77777777" w:rsidR="00E763F9" w:rsidRPr="00E763F9" w:rsidRDefault="00E763F9" w:rsidP="00990E80">
            <w:pPr>
              <w:keepNext/>
              <w:keepLines/>
              <w:rPr>
                <w:rFonts w:ascii="Calibri" w:eastAsia="Times New Roman" w:hAnsi="Calibri"/>
                <w:b/>
                <w:bCs/>
                <w:color w:val="000000"/>
                <w:sz w:val="22"/>
                <w:szCs w:val="22"/>
              </w:rPr>
            </w:pPr>
            <w:r w:rsidRPr="00E763F9">
              <w:rPr>
                <w:rFonts w:ascii="Calibri" w:eastAsia="Times New Roman" w:hAnsi="Calibri"/>
                <w:b/>
                <w:bCs/>
                <w:color w:val="000000"/>
                <w:sz w:val="22"/>
                <w:szCs w:val="22"/>
              </w:rPr>
              <w:t>AMI (Electric)</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14:paraId="7EE62E8A" w14:textId="77777777" w:rsidR="00E763F9" w:rsidRPr="00E763F9" w:rsidRDefault="00E763F9" w:rsidP="00990E80">
            <w:pPr>
              <w:keepNext/>
              <w:keepLines/>
              <w:rPr>
                <w:rFonts w:ascii="Calibri" w:eastAsia="Times New Roman" w:hAnsi="Calibri"/>
                <w:b/>
                <w:bCs/>
                <w:color w:val="000000"/>
                <w:sz w:val="22"/>
                <w:szCs w:val="22"/>
              </w:rPr>
            </w:pPr>
            <w:r w:rsidRPr="00E763F9">
              <w:rPr>
                <w:rFonts w:ascii="Calibri" w:eastAsia="Times New Roman" w:hAnsi="Calibri"/>
                <w:b/>
                <w:bCs/>
                <w:color w:val="000000"/>
                <w:sz w:val="22"/>
                <w:szCs w:val="22"/>
              </w:rPr>
              <w:t>AMI (Natural Gas)</w:t>
            </w:r>
          </w:p>
        </w:tc>
      </w:tr>
      <w:tr w:rsidR="00E763F9" w:rsidRPr="00E763F9" w14:paraId="110E9E91" w14:textId="77777777" w:rsidTr="00E763F9">
        <w:trPr>
          <w:trHeight w:val="300"/>
          <w:jc w:val="center"/>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9ADB7" w14:textId="77777777" w:rsidR="00E763F9" w:rsidRPr="00E763F9" w:rsidRDefault="00E763F9" w:rsidP="00990E80">
            <w:pPr>
              <w:keepNext/>
              <w:keepLines/>
              <w:rPr>
                <w:rFonts w:ascii="Calibri" w:eastAsia="Times New Roman" w:hAnsi="Calibri"/>
                <w:color w:val="000000"/>
                <w:sz w:val="22"/>
                <w:szCs w:val="22"/>
              </w:rPr>
            </w:pPr>
            <w:r w:rsidRPr="00E763F9">
              <w:rPr>
                <w:rFonts w:ascii="Calibri" w:eastAsia="Times New Roman" w:hAnsi="Calibri"/>
                <w:color w:val="000000"/>
                <w:sz w:val="22"/>
                <w:szCs w:val="22"/>
              </w:rPr>
              <w:t>Avista</w:t>
            </w:r>
          </w:p>
        </w:tc>
        <w:tc>
          <w:tcPr>
            <w:tcW w:w="3686" w:type="dxa"/>
            <w:tcBorders>
              <w:top w:val="nil"/>
              <w:left w:val="nil"/>
              <w:bottom w:val="single" w:sz="4" w:space="0" w:color="auto"/>
              <w:right w:val="single" w:sz="4" w:space="0" w:color="auto"/>
            </w:tcBorders>
            <w:shd w:val="clear" w:color="auto" w:fill="auto"/>
            <w:noWrap/>
            <w:vAlign w:val="bottom"/>
            <w:hideMark/>
          </w:tcPr>
          <w:p w14:paraId="237A3952" w14:textId="77777777" w:rsidR="00E763F9" w:rsidRPr="00E763F9" w:rsidRDefault="00E763F9" w:rsidP="00990E80">
            <w:pPr>
              <w:keepNext/>
              <w:keepLines/>
              <w:rPr>
                <w:rFonts w:ascii="Calibri" w:eastAsia="Times New Roman" w:hAnsi="Calibri"/>
                <w:color w:val="000000"/>
                <w:sz w:val="22"/>
                <w:szCs w:val="22"/>
              </w:rPr>
            </w:pPr>
            <w:r w:rsidRPr="00E763F9">
              <w:rPr>
                <w:rFonts w:ascii="Calibri" w:eastAsia="Times New Roman" w:hAnsi="Calibri"/>
                <w:color w:val="000000"/>
                <w:sz w:val="22"/>
                <w:szCs w:val="22"/>
              </w:rPr>
              <w:t xml:space="preserve"> $                                                   71,295 </w:t>
            </w:r>
          </w:p>
        </w:tc>
        <w:tc>
          <w:tcPr>
            <w:tcW w:w="1748" w:type="dxa"/>
            <w:tcBorders>
              <w:top w:val="nil"/>
              <w:left w:val="nil"/>
              <w:bottom w:val="single" w:sz="4" w:space="0" w:color="auto"/>
              <w:right w:val="single" w:sz="4" w:space="0" w:color="auto"/>
            </w:tcBorders>
            <w:shd w:val="clear" w:color="auto" w:fill="auto"/>
            <w:noWrap/>
            <w:vAlign w:val="bottom"/>
            <w:hideMark/>
          </w:tcPr>
          <w:p w14:paraId="22F5D196" w14:textId="77777777" w:rsidR="00E763F9" w:rsidRPr="00E763F9" w:rsidRDefault="00E763F9" w:rsidP="00990E80">
            <w:pPr>
              <w:keepNext/>
              <w:keepLines/>
              <w:rPr>
                <w:rFonts w:ascii="Calibri" w:eastAsia="Times New Roman" w:hAnsi="Calibri"/>
                <w:color w:val="000000"/>
                <w:sz w:val="22"/>
                <w:szCs w:val="22"/>
              </w:rPr>
            </w:pPr>
            <w:r w:rsidRPr="00E763F9">
              <w:rPr>
                <w:rFonts w:ascii="Calibri" w:eastAsia="Times New Roman" w:hAnsi="Calibri"/>
                <w:color w:val="000000"/>
                <w:sz w:val="22"/>
                <w:szCs w:val="22"/>
              </w:rPr>
              <w:t xml:space="preserve"> $           26,304 </w:t>
            </w:r>
          </w:p>
        </w:tc>
        <w:tc>
          <w:tcPr>
            <w:tcW w:w="2196" w:type="dxa"/>
            <w:tcBorders>
              <w:top w:val="nil"/>
              <w:left w:val="nil"/>
              <w:bottom w:val="single" w:sz="4" w:space="0" w:color="auto"/>
              <w:right w:val="single" w:sz="4" w:space="0" w:color="auto"/>
            </w:tcBorders>
            <w:shd w:val="clear" w:color="auto" w:fill="auto"/>
            <w:noWrap/>
            <w:vAlign w:val="bottom"/>
            <w:hideMark/>
          </w:tcPr>
          <w:p w14:paraId="4B763651" w14:textId="77777777" w:rsidR="00E763F9" w:rsidRPr="00E763F9" w:rsidRDefault="00E763F9" w:rsidP="00990E80">
            <w:pPr>
              <w:keepNext/>
              <w:keepLines/>
              <w:rPr>
                <w:rFonts w:ascii="Calibri" w:eastAsia="Times New Roman" w:hAnsi="Calibri"/>
                <w:color w:val="000000"/>
                <w:sz w:val="22"/>
                <w:szCs w:val="22"/>
              </w:rPr>
            </w:pPr>
            <w:r w:rsidRPr="00E763F9">
              <w:rPr>
                <w:rFonts w:ascii="Calibri" w:eastAsia="Times New Roman" w:hAnsi="Calibri"/>
                <w:color w:val="000000"/>
                <w:sz w:val="22"/>
                <w:szCs w:val="22"/>
              </w:rPr>
              <w:t xml:space="preserve"> $                    10,946 </w:t>
            </w:r>
          </w:p>
        </w:tc>
      </w:tr>
      <w:tr w:rsidR="00E763F9" w:rsidRPr="00E763F9" w14:paraId="0DF98CBC" w14:textId="77777777" w:rsidTr="00E763F9">
        <w:trPr>
          <w:trHeight w:val="300"/>
          <w:jc w:val="center"/>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8E5CBAE" w14:textId="77777777" w:rsidR="00E763F9" w:rsidRPr="008E6A87" w:rsidRDefault="00E763F9" w:rsidP="00990E80">
            <w:pPr>
              <w:keepNext/>
              <w:keepLines/>
              <w:rPr>
                <w:rFonts w:ascii="Calibri" w:eastAsia="Times New Roman" w:hAnsi="Calibri"/>
                <w:color w:val="000000"/>
                <w:sz w:val="22"/>
                <w:szCs w:val="22"/>
              </w:rPr>
            </w:pPr>
            <w:r w:rsidRPr="008E6A87">
              <w:rPr>
                <w:rFonts w:ascii="Calibri" w:eastAsia="Times New Roman" w:hAnsi="Calibri"/>
                <w:color w:val="000000"/>
                <w:sz w:val="22"/>
                <w:szCs w:val="22"/>
              </w:rPr>
              <w:t>Staff</w:t>
            </w:r>
          </w:p>
        </w:tc>
        <w:tc>
          <w:tcPr>
            <w:tcW w:w="3686" w:type="dxa"/>
            <w:tcBorders>
              <w:top w:val="nil"/>
              <w:left w:val="nil"/>
              <w:bottom w:val="single" w:sz="4" w:space="0" w:color="auto"/>
              <w:right w:val="single" w:sz="4" w:space="0" w:color="auto"/>
            </w:tcBorders>
            <w:shd w:val="clear" w:color="auto" w:fill="auto"/>
            <w:noWrap/>
            <w:vAlign w:val="bottom"/>
            <w:hideMark/>
          </w:tcPr>
          <w:p w14:paraId="22C3DC75" w14:textId="7E855B02" w:rsidR="00E763F9" w:rsidRPr="008E6A87" w:rsidRDefault="00E763F9" w:rsidP="008E6A87">
            <w:pPr>
              <w:keepNext/>
              <w:keepLines/>
              <w:rPr>
                <w:rFonts w:ascii="Calibri" w:eastAsia="Times New Roman" w:hAnsi="Calibri"/>
                <w:color w:val="000000"/>
                <w:sz w:val="22"/>
                <w:szCs w:val="22"/>
              </w:rPr>
            </w:pPr>
            <w:r w:rsidRPr="008E6A87">
              <w:rPr>
                <w:rFonts w:ascii="Calibri" w:eastAsia="Times New Roman" w:hAnsi="Calibri"/>
                <w:color w:val="000000"/>
                <w:sz w:val="22"/>
                <w:szCs w:val="22"/>
              </w:rPr>
              <w:t xml:space="preserve"> $                                                   </w:t>
            </w:r>
            <w:r w:rsidR="008E6A87" w:rsidRPr="008E6A87">
              <w:rPr>
                <w:rFonts w:ascii="Calibri" w:eastAsia="Times New Roman" w:hAnsi="Calibri"/>
                <w:color w:val="000000"/>
                <w:sz w:val="22"/>
                <w:szCs w:val="22"/>
              </w:rPr>
              <w:t>17,461</w:t>
            </w:r>
            <w:r w:rsidRPr="008E6A87">
              <w:rPr>
                <w:rFonts w:ascii="Calibri" w:eastAsia="Times New Roman" w:hAnsi="Calibri"/>
                <w:color w:val="000000"/>
                <w:sz w:val="22"/>
                <w:szCs w:val="22"/>
              </w:rPr>
              <w:t xml:space="preserve"> </w:t>
            </w:r>
          </w:p>
        </w:tc>
        <w:tc>
          <w:tcPr>
            <w:tcW w:w="1748" w:type="dxa"/>
            <w:tcBorders>
              <w:top w:val="nil"/>
              <w:left w:val="nil"/>
              <w:bottom w:val="single" w:sz="4" w:space="0" w:color="auto"/>
              <w:right w:val="single" w:sz="4" w:space="0" w:color="auto"/>
            </w:tcBorders>
            <w:shd w:val="clear" w:color="auto" w:fill="auto"/>
            <w:noWrap/>
            <w:vAlign w:val="bottom"/>
            <w:hideMark/>
          </w:tcPr>
          <w:p w14:paraId="4EED2CED" w14:textId="77777777" w:rsidR="00E763F9" w:rsidRPr="008E6A87" w:rsidRDefault="00E763F9" w:rsidP="00990E80">
            <w:pPr>
              <w:keepNext/>
              <w:keepLines/>
              <w:rPr>
                <w:rFonts w:ascii="Calibri" w:eastAsia="Times New Roman" w:hAnsi="Calibri"/>
                <w:color w:val="000000"/>
                <w:sz w:val="22"/>
                <w:szCs w:val="22"/>
              </w:rPr>
            </w:pPr>
            <w:r w:rsidRPr="008E6A87">
              <w:rPr>
                <w:rFonts w:ascii="Calibri" w:eastAsia="Times New Roman" w:hAnsi="Calibri"/>
                <w:color w:val="000000"/>
                <w:sz w:val="22"/>
                <w:szCs w:val="22"/>
              </w:rPr>
              <w:t xml:space="preserve"> $                     -   </w:t>
            </w:r>
          </w:p>
        </w:tc>
        <w:tc>
          <w:tcPr>
            <w:tcW w:w="2196" w:type="dxa"/>
            <w:tcBorders>
              <w:top w:val="nil"/>
              <w:left w:val="nil"/>
              <w:bottom w:val="single" w:sz="4" w:space="0" w:color="auto"/>
              <w:right w:val="single" w:sz="4" w:space="0" w:color="auto"/>
            </w:tcBorders>
            <w:shd w:val="clear" w:color="auto" w:fill="auto"/>
            <w:noWrap/>
            <w:vAlign w:val="bottom"/>
            <w:hideMark/>
          </w:tcPr>
          <w:p w14:paraId="7BE15151" w14:textId="77777777" w:rsidR="00E763F9" w:rsidRPr="00E763F9" w:rsidRDefault="00E763F9" w:rsidP="00990E80">
            <w:pPr>
              <w:keepNext/>
              <w:keepLines/>
              <w:rPr>
                <w:rFonts w:ascii="Calibri" w:eastAsia="Times New Roman" w:hAnsi="Calibri"/>
                <w:color w:val="000000"/>
                <w:sz w:val="22"/>
                <w:szCs w:val="22"/>
              </w:rPr>
            </w:pPr>
            <w:r w:rsidRPr="008E6A87">
              <w:rPr>
                <w:rFonts w:ascii="Calibri" w:eastAsia="Times New Roman" w:hAnsi="Calibri"/>
                <w:color w:val="000000"/>
                <w:sz w:val="22"/>
                <w:szCs w:val="22"/>
              </w:rPr>
              <w:t xml:space="preserve"> $                              -</w:t>
            </w:r>
            <w:r w:rsidRPr="00E763F9">
              <w:rPr>
                <w:rFonts w:ascii="Calibri" w:eastAsia="Times New Roman" w:hAnsi="Calibri"/>
                <w:color w:val="000000"/>
                <w:sz w:val="22"/>
                <w:szCs w:val="22"/>
              </w:rPr>
              <w:t xml:space="preserve">   </w:t>
            </w:r>
          </w:p>
        </w:tc>
      </w:tr>
    </w:tbl>
    <w:p w14:paraId="59DB1B54" w14:textId="10AEFE92" w:rsidR="00877104" w:rsidRDefault="00877104" w:rsidP="004020BC">
      <w:pPr>
        <w:pStyle w:val="NoSpacing"/>
      </w:pPr>
    </w:p>
    <w:p w14:paraId="40762D27" w14:textId="77777777" w:rsidR="00990E80" w:rsidRDefault="00990E80" w:rsidP="004020BC">
      <w:pPr>
        <w:pStyle w:val="NoSpacing"/>
      </w:pPr>
    </w:p>
    <w:p w14:paraId="6C0614F6" w14:textId="3B0CC487" w:rsidR="00877104" w:rsidRDefault="00877104" w:rsidP="00877104">
      <w:pPr>
        <w:pStyle w:val="Heading8"/>
      </w:pPr>
      <w:r>
        <w:t>Q.</w:t>
      </w:r>
      <w:r>
        <w:tab/>
        <w:t xml:space="preserve">Staff has expressed some skepticism over </w:t>
      </w:r>
      <w:r>
        <w:rPr>
          <w:i/>
        </w:rPr>
        <w:t>pro forma</w:t>
      </w:r>
      <w:r>
        <w:t xml:space="preserve"> adjustments </w:t>
      </w:r>
      <w:r w:rsidR="00A86250">
        <w:t>to</w:t>
      </w:r>
      <w:r>
        <w:t xml:space="preserve"> </w:t>
      </w:r>
      <w:r w:rsidR="00D9251A">
        <w:t>its</w:t>
      </w:r>
      <w:r>
        <w:t xml:space="preserve"> </w:t>
      </w:r>
      <w:r w:rsidR="00D9251A">
        <w:t>statistically</w:t>
      </w:r>
      <w:r>
        <w:t>-based attrition study model.  Why has it chosen to support one here for the hydro-electric production projects along the Spokane River?</w:t>
      </w:r>
    </w:p>
    <w:p w14:paraId="49F3CB54" w14:textId="54A9474B" w:rsidR="00E868EC" w:rsidRDefault="00877104" w:rsidP="00E868EC">
      <w:pPr>
        <w:pStyle w:val="NoSpacing"/>
      </w:pPr>
      <w:r>
        <w:t>A.</w:t>
      </w:r>
      <w:r>
        <w:tab/>
        <w:t xml:space="preserve">To consider the appropriateness of such an adjustment, a look at the historical growth rates of production plant was warranted.  The historical growth in production plant additions suggests $15.81 million in </w:t>
      </w:r>
      <w:r w:rsidR="00D9251A">
        <w:t xml:space="preserve">annual </w:t>
      </w:r>
      <w:r>
        <w:t xml:space="preserve">production plant growth.  The historical trend also </w:t>
      </w:r>
      <w:r w:rsidR="00E65CF0">
        <w:t>show</w:t>
      </w:r>
      <w:r>
        <w:t xml:space="preserve">s that Production plant </w:t>
      </w:r>
      <w:r w:rsidR="00C40DD1">
        <w:t>has</w:t>
      </w:r>
      <w:r>
        <w:t xml:space="preserve"> been the slowest growing pa</w:t>
      </w:r>
      <w:r w:rsidR="00C40DD1">
        <w:t>rt of Plant in Service (2.03%</w:t>
      </w:r>
      <w:r w:rsidR="00D41559">
        <w:t xml:space="preserve"> annual growth</w:t>
      </w:r>
      <w:r w:rsidR="00C40DD1">
        <w:t>).</w:t>
      </w:r>
    </w:p>
    <w:p w14:paraId="27DC2AF7" w14:textId="620F29A4" w:rsidR="003F6B32" w:rsidRDefault="00C40DD1" w:rsidP="00E868EC">
      <w:pPr>
        <w:pStyle w:val="NoSpacing"/>
        <w:ind w:firstLine="720"/>
      </w:pPr>
      <w:r>
        <w:t>Post Falls</w:t>
      </w:r>
      <w:r w:rsidR="00E868EC">
        <w:t xml:space="preserve">, the smallest of the three projects, had $9.3 million of </w:t>
      </w:r>
      <w:r w:rsidR="00D9251A">
        <w:t xml:space="preserve">production </w:t>
      </w:r>
      <w:r w:rsidR="00E868EC">
        <w:t>plant placed into s</w:t>
      </w:r>
      <w:r w:rsidR="00E65CF0">
        <w:t>ervice in February 2016 alone</w:t>
      </w:r>
      <w:r w:rsidR="006E695F">
        <w:t xml:space="preserve">, and by </w:t>
      </w:r>
      <w:r w:rsidR="00C40305">
        <w:t>the end of February the entirety of the estimated $15.81 million in production plant growth had been exceeded</w:t>
      </w:r>
      <w:r w:rsidR="00D41559">
        <w:t xml:space="preserve"> by over 23% due to</w:t>
      </w:r>
      <w:r w:rsidR="00C40305">
        <w:t xml:space="preserve"> transfers to plant associated with </w:t>
      </w:r>
      <w:r w:rsidR="00D9251A">
        <w:t>all</w:t>
      </w:r>
      <w:r w:rsidR="00C40305">
        <w:t xml:space="preserve"> three projects</w:t>
      </w:r>
      <w:r w:rsidR="00E65CF0">
        <w:t xml:space="preserve">.  The substantial difference between the growth suggested by the historical record and what is actually known to have been placed into service bolsters the argument for the use of a </w:t>
      </w:r>
      <w:r w:rsidR="00E65CF0">
        <w:rPr>
          <w:i/>
        </w:rPr>
        <w:t>pro forma</w:t>
      </w:r>
      <w:r w:rsidR="00E65CF0">
        <w:t xml:space="preserve"> adjustment to the attrition study model’s</w:t>
      </w:r>
      <w:r w:rsidR="006E695F">
        <w:t xml:space="preserve"> production plant</w:t>
      </w:r>
      <w:r w:rsidR="00E65CF0">
        <w:t xml:space="preserve"> results.</w:t>
      </w:r>
    </w:p>
    <w:p w14:paraId="1CD1762A" w14:textId="77777777" w:rsidR="003F6B32" w:rsidRDefault="003F6B32" w:rsidP="00E868EC">
      <w:pPr>
        <w:pStyle w:val="NoSpacing"/>
        <w:ind w:firstLine="720"/>
      </w:pPr>
    </w:p>
    <w:p w14:paraId="4972EFEE" w14:textId="6F833F60" w:rsidR="003F6B32" w:rsidRPr="00ED192D" w:rsidRDefault="003F6B32" w:rsidP="003F6B32">
      <w:pPr>
        <w:pStyle w:val="Heading2"/>
        <w:numPr>
          <w:ilvl w:val="0"/>
          <w:numId w:val="37"/>
        </w:numPr>
      </w:pPr>
      <w:bookmarkStart w:id="36" w:name="_Toc459042406"/>
      <w:r w:rsidRPr="00ED192D">
        <w:t>Reasonableness of Results</w:t>
      </w:r>
      <w:bookmarkEnd w:id="36"/>
    </w:p>
    <w:p w14:paraId="581A67C1" w14:textId="77777777" w:rsidR="003F6B32" w:rsidRPr="00134701" w:rsidRDefault="003F6B32" w:rsidP="003F6B32">
      <w:pPr>
        <w:pStyle w:val="Heading8"/>
      </w:pPr>
      <w:r w:rsidRPr="00134701">
        <w:t>Q.</w:t>
      </w:r>
      <w:r w:rsidRPr="00134701">
        <w:tab/>
        <w:t>Is it important to review the attrition study’s results for reasonableness?</w:t>
      </w:r>
    </w:p>
    <w:p w14:paraId="080B3BD2" w14:textId="3835D655" w:rsidR="003F6B32" w:rsidRPr="00F209B6" w:rsidRDefault="003F6B32" w:rsidP="003F6B32">
      <w:pPr>
        <w:pStyle w:val="NoSpacing"/>
      </w:pPr>
      <w:r w:rsidRPr="00F209B6">
        <w:t>A.</w:t>
      </w:r>
      <w:r w:rsidRPr="00F209B6">
        <w:tab/>
        <w:t xml:space="preserve">Yes. </w:t>
      </w:r>
      <w:r>
        <w:t xml:space="preserve"> The quantitative results provide a strong basis for an attrition adjustment. </w:t>
      </w:r>
      <w:r w:rsidR="0095660D">
        <w:t xml:space="preserve"> </w:t>
      </w:r>
      <w:r>
        <w:t xml:space="preserve">As noted above, the mathematics are convincing because the vast majority of the lines-of-best-fit explain over 90% of the variability in expenses and rate base.  But even </w:t>
      </w:r>
      <w:r>
        <w:lastRenderedPageBreak/>
        <w:t xml:space="preserve">though </w:t>
      </w:r>
      <w:r w:rsidRPr="00F209B6">
        <w:t xml:space="preserve">Staff completed its analysis </w:t>
      </w:r>
      <w:r>
        <w:t>in an objective manner,</w:t>
      </w:r>
      <w:r w:rsidRPr="00F209B6">
        <w:t xml:space="preserve"> it is still important to assess whether or not that objectively-derived answer makes sense. </w:t>
      </w:r>
    </w:p>
    <w:p w14:paraId="6BC36E67" w14:textId="77777777" w:rsidR="003F6B32" w:rsidRDefault="003F6B32" w:rsidP="003F6B32">
      <w:pPr>
        <w:pStyle w:val="NoSpacing"/>
        <w:ind w:left="0" w:firstLine="0"/>
        <w:rPr>
          <w:rFonts w:ascii="Courier" w:hAnsi="Courier" w:cs="Courier"/>
          <w:sz w:val="27"/>
          <w:szCs w:val="27"/>
        </w:rPr>
      </w:pPr>
    </w:p>
    <w:p w14:paraId="436F5C54" w14:textId="4A0792CB" w:rsidR="003F6B32" w:rsidRPr="003F6B32" w:rsidRDefault="003F6B32" w:rsidP="003F6B32">
      <w:pPr>
        <w:pStyle w:val="Heading8"/>
      </w:pPr>
      <w:r w:rsidRPr="00134701">
        <w:t>Q.</w:t>
      </w:r>
      <w:r w:rsidRPr="00134701">
        <w:tab/>
        <w:t xml:space="preserve">Please provide a brief example of how Staff reviewed its attrition-based results. </w:t>
      </w:r>
    </w:p>
    <w:p w14:paraId="162AF621" w14:textId="4C4F69B7" w:rsidR="00482E1A" w:rsidRPr="00F209B6" w:rsidRDefault="003F6B32" w:rsidP="00DA4141">
      <w:pPr>
        <w:pStyle w:val="NoSpacing"/>
      </w:pPr>
      <w:r>
        <w:t>A.</w:t>
      </w:r>
      <w:r>
        <w:tab/>
      </w:r>
      <w:r w:rsidR="00482E1A">
        <w:t>We can compare the analysis done by Staff in Avista’s last rate case to the results of the Company’s 2015 CBR.  On the electric side, Staff’s projections of Net Plant were off by less than 1.4%.  On the gas side, Staff’s projections of Net Plant were off by less than 9.6%.</w:t>
      </w:r>
      <w:r w:rsidR="00482E1A">
        <w:rPr>
          <w:rStyle w:val="FootnoteReference"/>
        </w:rPr>
        <w:footnoteReference w:id="63"/>
      </w:r>
      <w:r w:rsidR="00DA4141">
        <w:t xml:space="preserve">  Staff’s natural gas attrition analysis in this case is more conservative than last year’s due to the use of both linear and polynomial lines of best fit.</w:t>
      </w:r>
    </w:p>
    <w:p w14:paraId="08DA4F25" w14:textId="77777777" w:rsidR="003F6B32" w:rsidRDefault="003F6B32" w:rsidP="003F6B32">
      <w:pPr>
        <w:pStyle w:val="NoSpacing"/>
        <w:rPr>
          <w:rFonts w:ascii="Courier" w:hAnsi="Courier" w:cs="Courier"/>
          <w:sz w:val="27"/>
          <w:szCs w:val="27"/>
        </w:rPr>
      </w:pPr>
    </w:p>
    <w:p w14:paraId="355C22B3" w14:textId="5ACE698F" w:rsidR="003F6B32" w:rsidRDefault="003F6B32" w:rsidP="003F6B32">
      <w:pPr>
        <w:pStyle w:val="Heading8"/>
      </w:pPr>
      <w:r w:rsidRPr="003F6B32">
        <w:t>Q.</w:t>
      </w:r>
      <w:r w:rsidRPr="003F6B32">
        <w:tab/>
        <w:t>W</w:t>
      </w:r>
      <w:r>
        <w:t>hen w</w:t>
      </w:r>
      <w:r w:rsidRPr="003F6B32">
        <w:t xml:space="preserve">ill the Commission be able to assess the </w:t>
      </w:r>
      <w:r w:rsidR="00ED192D">
        <w:t>reasonableness</w:t>
      </w:r>
      <w:r w:rsidRPr="003F6B32">
        <w:t xml:space="preserve"> of the results of </w:t>
      </w:r>
      <w:r>
        <w:t>a similar model to the one used in this case?</w:t>
      </w:r>
    </w:p>
    <w:p w14:paraId="4A0BD1D2" w14:textId="759A6892" w:rsidR="003F6B32" w:rsidRPr="003F6B32" w:rsidRDefault="003F6B32" w:rsidP="003F6B32">
      <w:pPr>
        <w:pStyle w:val="NoSpacing"/>
      </w:pPr>
      <w:r>
        <w:t>A.</w:t>
      </w:r>
      <w:r>
        <w:tab/>
        <w:t xml:space="preserve">Once the Commission receives the Company’s 2016 Commission Basis Report, it will have the results of the Company’s operations under a year in which it was granted revenues based on an attrition adjustment.  The model that produced that attrition adjustment is the predecessor of the model in this case.  </w:t>
      </w:r>
      <w:r w:rsidR="00ED192D">
        <w:t xml:space="preserve">An appropriate comparison would include the projects from all parties’ attrition study models and traditional, modified historical test year models.  Such a comparison will provide further evidence of the reasonableness of the methodology used in the calculation of an attrition allowance. </w:t>
      </w:r>
    </w:p>
    <w:p w14:paraId="2D52EB24" w14:textId="76FAB2D5" w:rsidR="00DE6104" w:rsidRDefault="0057362A" w:rsidP="003F6B32">
      <w:pPr>
        <w:pStyle w:val="NoSpacing"/>
      </w:pPr>
      <w:r>
        <w:lastRenderedPageBreak/>
        <w:t xml:space="preserve"> </w:t>
      </w:r>
      <w:bookmarkStart w:id="37" w:name="_Toc457890377"/>
      <w:bookmarkStart w:id="38" w:name="_Toc457890378"/>
      <w:bookmarkStart w:id="39" w:name="_Toc457890380"/>
      <w:bookmarkStart w:id="40" w:name="_Toc457890381"/>
      <w:bookmarkStart w:id="41" w:name="_Toc457890383"/>
      <w:bookmarkStart w:id="42" w:name="_Toc457890384"/>
      <w:bookmarkEnd w:id="37"/>
      <w:bookmarkEnd w:id="38"/>
      <w:bookmarkEnd w:id="39"/>
      <w:bookmarkEnd w:id="40"/>
      <w:bookmarkEnd w:id="41"/>
      <w:bookmarkEnd w:id="42"/>
    </w:p>
    <w:p w14:paraId="7FA18193" w14:textId="77777777" w:rsidR="00DE6104" w:rsidRDefault="00DE6104" w:rsidP="00DE6104">
      <w:pPr>
        <w:pStyle w:val="Heading8"/>
      </w:pPr>
      <w:r>
        <w:t>Q.</w:t>
      </w:r>
      <w:r>
        <w:tab/>
        <w:t>Does this conclude your testimony?</w:t>
      </w:r>
    </w:p>
    <w:p w14:paraId="0AE7174D" w14:textId="18AE8C7C" w:rsidR="00DE6104" w:rsidRDefault="00DE6104" w:rsidP="001F6E2C">
      <w:pPr>
        <w:pStyle w:val="NoSpacing"/>
      </w:pPr>
      <w:r>
        <w:t>A.</w:t>
      </w:r>
      <w:r>
        <w:tab/>
        <w:t>Yes.</w:t>
      </w:r>
    </w:p>
    <w:sectPr w:rsidR="00DE6104" w:rsidSect="000E0390">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8D687" w14:textId="77777777" w:rsidR="00701828" w:rsidRDefault="00701828" w:rsidP="00CC09B5">
      <w:r>
        <w:separator/>
      </w:r>
    </w:p>
    <w:p w14:paraId="483AEE28" w14:textId="77777777" w:rsidR="00701828" w:rsidRDefault="00701828"/>
    <w:p w14:paraId="17CF4AB4" w14:textId="77777777" w:rsidR="00701828" w:rsidRDefault="00701828" w:rsidP="00352C04"/>
    <w:p w14:paraId="06718A86" w14:textId="77777777" w:rsidR="00701828" w:rsidRDefault="00701828" w:rsidP="00352C04"/>
    <w:p w14:paraId="4CDBF3D2" w14:textId="77777777" w:rsidR="00701828" w:rsidRDefault="00701828"/>
  </w:endnote>
  <w:endnote w:type="continuationSeparator" w:id="0">
    <w:p w14:paraId="17B24A2E" w14:textId="77777777" w:rsidR="00701828" w:rsidRDefault="00701828" w:rsidP="00CC09B5">
      <w:r>
        <w:continuationSeparator/>
      </w:r>
    </w:p>
    <w:p w14:paraId="2DD4788A" w14:textId="77777777" w:rsidR="00701828" w:rsidRDefault="00701828"/>
    <w:p w14:paraId="4B2117F4" w14:textId="77777777" w:rsidR="00701828" w:rsidRDefault="00701828" w:rsidP="00352C04"/>
    <w:p w14:paraId="4FA0D2F7" w14:textId="77777777" w:rsidR="00701828" w:rsidRDefault="00701828" w:rsidP="00352C04"/>
    <w:p w14:paraId="67CA3A13" w14:textId="77777777" w:rsidR="00701828" w:rsidRDefault="00701828"/>
  </w:endnote>
  <w:endnote w:type="continuationNotice" w:id="1">
    <w:p w14:paraId="58A29380" w14:textId="77777777" w:rsidR="00701828" w:rsidRDefault="00701828"/>
    <w:p w14:paraId="70017388" w14:textId="77777777" w:rsidR="00701828" w:rsidRDefault="00701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A77D" w14:textId="11942910" w:rsidR="00701828" w:rsidRPr="00287889" w:rsidRDefault="00701828" w:rsidP="00CC09B5">
    <w:pPr>
      <w:pStyle w:val="Footer"/>
      <w:rPr>
        <w:sz w:val="22"/>
        <w:szCs w:val="22"/>
      </w:rPr>
    </w:pPr>
    <w:r w:rsidRPr="00287889">
      <w:rPr>
        <w:sz w:val="22"/>
        <w:szCs w:val="22"/>
      </w:rPr>
      <w:t xml:space="preserve">TESTIMONY OF CHRISTOPHER S. HANCOCK </w:t>
    </w:r>
    <w:r w:rsidRPr="00287889">
      <w:rPr>
        <w:sz w:val="22"/>
        <w:szCs w:val="22"/>
      </w:rPr>
      <w:tab/>
    </w:r>
    <w:r w:rsidRPr="00287889">
      <w:rPr>
        <w:sz w:val="22"/>
        <w:szCs w:val="22"/>
      </w:rPr>
      <w:tab/>
      <w:t>Exhibit No. CSH-1T</w:t>
    </w:r>
  </w:p>
  <w:p w14:paraId="0B0AA77E" w14:textId="07D9D07E" w:rsidR="00701828" w:rsidRPr="00287889" w:rsidRDefault="00701828" w:rsidP="00CC09B5">
    <w:pPr>
      <w:pStyle w:val="Footer"/>
      <w:rPr>
        <w:rStyle w:val="PageNumber"/>
        <w:sz w:val="22"/>
        <w:szCs w:val="22"/>
        <w:lang w:val="fr-FR"/>
      </w:rPr>
    </w:pPr>
    <w:r w:rsidRPr="00287889">
      <w:rPr>
        <w:sz w:val="22"/>
        <w:szCs w:val="22"/>
      </w:rPr>
      <w:t>Docket</w:t>
    </w:r>
    <w:r>
      <w:rPr>
        <w:sz w:val="22"/>
        <w:szCs w:val="22"/>
      </w:rPr>
      <w:t>s</w:t>
    </w:r>
    <w:r w:rsidRPr="00287889">
      <w:rPr>
        <w:sz w:val="22"/>
        <w:szCs w:val="22"/>
        <w:lang w:val="fr-FR"/>
      </w:rPr>
      <w:t xml:space="preserve"> UE-160228</w:t>
    </w:r>
    <w:r>
      <w:rPr>
        <w:sz w:val="22"/>
        <w:szCs w:val="22"/>
        <w:lang w:val="fr-FR"/>
      </w:rPr>
      <w:t>/</w:t>
    </w:r>
    <w:r w:rsidRPr="00287889">
      <w:rPr>
        <w:sz w:val="22"/>
        <w:szCs w:val="22"/>
        <w:lang w:val="fr-FR"/>
      </w:rPr>
      <w:t>UG-160229</w:t>
    </w:r>
    <w:r w:rsidRPr="00287889">
      <w:rPr>
        <w:sz w:val="22"/>
        <w:szCs w:val="22"/>
        <w:lang w:val="fr-FR"/>
      </w:rPr>
      <w:tab/>
    </w:r>
    <w:r w:rsidRPr="00287889">
      <w:rPr>
        <w:sz w:val="22"/>
        <w:szCs w:val="22"/>
        <w:lang w:val="fr-FR"/>
      </w:rPr>
      <w:tab/>
      <w:t xml:space="preserve">Page </w:t>
    </w:r>
    <w:r w:rsidRPr="00287889">
      <w:rPr>
        <w:rStyle w:val="PageNumber"/>
        <w:sz w:val="22"/>
        <w:szCs w:val="22"/>
        <w:lang w:val="fr-FR"/>
      </w:rPr>
      <w:fldChar w:fldCharType="begin"/>
    </w:r>
    <w:r w:rsidRPr="00022107">
      <w:rPr>
        <w:rStyle w:val="PageNumber"/>
        <w:sz w:val="20"/>
        <w:szCs w:val="20"/>
        <w:lang w:val="fr-FR"/>
      </w:rPr>
      <w:instrText xml:space="preserve"> PAGE </w:instrText>
    </w:r>
    <w:r w:rsidRPr="00287889">
      <w:rPr>
        <w:rStyle w:val="PageNumber"/>
        <w:sz w:val="22"/>
        <w:szCs w:val="22"/>
        <w:lang w:val="fr-FR"/>
      </w:rPr>
      <w:fldChar w:fldCharType="separate"/>
    </w:r>
    <w:r w:rsidR="00940E94">
      <w:rPr>
        <w:rStyle w:val="PageNumber"/>
        <w:noProof/>
        <w:sz w:val="20"/>
        <w:szCs w:val="20"/>
        <w:lang w:val="fr-FR"/>
      </w:rPr>
      <w:t>50</w:t>
    </w:r>
    <w:r w:rsidRPr="00287889">
      <w:rPr>
        <w:rStyle w:val="PageNumber"/>
        <w:sz w:val="22"/>
        <w:szCs w:val="22"/>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B661C" w14:textId="77777777" w:rsidR="00701828" w:rsidRDefault="00701828">
      <w:r>
        <w:separator/>
      </w:r>
    </w:p>
  </w:footnote>
  <w:footnote w:type="continuationSeparator" w:id="0">
    <w:p w14:paraId="3CF8D4F4" w14:textId="77777777" w:rsidR="00701828" w:rsidRDefault="00701828" w:rsidP="00352C04">
      <w:r>
        <w:continuationSeparator/>
      </w:r>
    </w:p>
    <w:p w14:paraId="310E6F74" w14:textId="77777777" w:rsidR="00701828" w:rsidRDefault="00701828"/>
  </w:footnote>
  <w:footnote w:type="continuationNotice" w:id="1">
    <w:p w14:paraId="70127B06" w14:textId="77777777" w:rsidR="00701828" w:rsidRDefault="00701828"/>
    <w:p w14:paraId="10068EA4" w14:textId="77777777" w:rsidR="00701828" w:rsidRDefault="00701828"/>
  </w:footnote>
  <w:footnote w:id="2">
    <w:p w14:paraId="4CB06597" w14:textId="7C531246" w:rsidR="00701828" w:rsidRDefault="00701828">
      <w:pPr>
        <w:pStyle w:val="FootnoteText"/>
      </w:pPr>
      <w:r>
        <w:rPr>
          <w:rStyle w:val="FootnoteReference"/>
        </w:rPr>
        <w:footnoteRef/>
      </w:r>
      <w:r>
        <w:t xml:space="preserve"> Morris, Exh. No. ___ (SLM-1T) 3:13-17.</w:t>
      </w:r>
    </w:p>
  </w:footnote>
  <w:footnote w:id="3">
    <w:p w14:paraId="44B60B28" w14:textId="777A57FE" w:rsidR="00701828" w:rsidRDefault="00701828" w:rsidP="00F02160">
      <w:pPr>
        <w:pStyle w:val="FootnoteText"/>
      </w:pPr>
      <w:r>
        <w:rPr>
          <w:rStyle w:val="FootnoteReference"/>
        </w:rPr>
        <w:footnoteRef/>
      </w:r>
      <w:r>
        <w:t xml:space="preserve"> </w:t>
      </w:r>
      <w:r w:rsidRPr="00596065">
        <w:rPr>
          <w:i/>
        </w:rPr>
        <w:t>Wash. Utils. &amp; Tranps. Comm’n. v. Avista Corp.</w:t>
      </w:r>
      <w:r>
        <w:t>, Dockets UE-150204 and UG-150205, Order 05, 18, ¶ 47 (Jan. 6, 2016).</w:t>
      </w:r>
    </w:p>
  </w:footnote>
  <w:footnote w:id="4">
    <w:p w14:paraId="17E033C1" w14:textId="459D9CC4" w:rsidR="00701828" w:rsidRDefault="00701828">
      <w:pPr>
        <w:pStyle w:val="FootnoteText"/>
      </w:pPr>
      <w:r>
        <w:rPr>
          <w:rStyle w:val="FootnoteReference"/>
        </w:rPr>
        <w:footnoteRef/>
      </w:r>
      <w:r>
        <w:t xml:space="preserve"> </w:t>
      </w:r>
      <w:r>
        <w:rPr>
          <w:i/>
        </w:rPr>
        <w:t>Id.</w:t>
      </w:r>
      <w:r>
        <w:t xml:space="preserve"> at 19, ¶ 47.</w:t>
      </w:r>
    </w:p>
  </w:footnote>
  <w:footnote w:id="5">
    <w:p w14:paraId="5B676D01" w14:textId="77850855" w:rsidR="00701828" w:rsidRDefault="00701828">
      <w:pPr>
        <w:pStyle w:val="FootnoteText"/>
      </w:pPr>
      <w:r>
        <w:rPr>
          <w:rStyle w:val="FootnoteReference"/>
        </w:rPr>
        <w:footnoteRef/>
      </w:r>
      <w:r>
        <w:t xml:space="preserve"> </w:t>
      </w:r>
      <w:r>
        <w:rPr>
          <w:i/>
        </w:rPr>
        <w:t xml:space="preserve">Id. </w:t>
      </w:r>
      <w:r>
        <w:t>at 37, ¶ 97.</w:t>
      </w:r>
    </w:p>
  </w:footnote>
  <w:footnote w:id="6">
    <w:p w14:paraId="1ED23137" w14:textId="037340AE" w:rsidR="00701828" w:rsidRDefault="00701828">
      <w:pPr>
        <w:pStyle w:val="FootnoteText"/>
      </w:pPr>
      <w:r>
        <w:rPr>
          <w:rStyle w:val="FootnoteReference"/>
        </w:rPr>
        <w:footnoteRef/>
      </w:r>
      <w:r>
        <w:t xml:space="preserve"> </w:t>
      </w:r>
      <w:r w:rsidRPr="00596065">
        <w:rPr>
          <w:i/>
        </w:rPr>
        <w:t>Id.</w:t>
      </w:r>
      <w:r>
        <w:t xml:space="preserve"> at 42, ¶ 114. </w:t>
      </w:r>
    </w:p>
  </w:footnote>
  <w:footnote w:id="7">
    <w:p w14:paraId="700FFBA1" w14:textId="7B3A94CF" w:rsidR="00701828" w:rsidRDefault="00701828">
      <w:pPr>
        <w:pStyle w:val="FootnoteText"/>
      </w:pPr>
      <w:r>
        <w:rPr>
          <w:rStyle w:val="FootnoteReference"/>
        </w:rPr>
        <w:footnoteRef/>
      </w:r>
      <w:r>
        <w:t xml:space="preserve"> </w:t>
      </w:r>
      <w:r>
        <w:rPr>
          <w:i/>
        </w:rPr>
        <w:t>Wash. Utils. &amp; Transp. Comm’n. v. Avista Corp.</w:t>
      </w:r>
      <w:r>
        <w:t>, Dockets UE-090134, UG-090135, and UG-060518, Order10,</w:t>
      </w:r>
      <w:r w:rsidRPr="00AE3F9A">
        <w:t xml:space="preserve"> </w:t>
      </w:r>
      <w:r>
        <w:t>22 ¶ 49 (Dec. 22, 2009) (referencing power cost models).</w:t>
      </w:r>
    </w:p>
  </w:footnote>
  <w:footnote w:id="8">
    <w:p w14:paraId="643DF8B2" w14:textId="48519EA2" w:rsidR="00701828" w:rsidRDefault="00701828">
      <w:pPr>
        <w:pStyle w:val="FootnoteText"/>
      </w:pPr>
      <w:r>
        <w:rPr>
          <w:rStyle w:val="FootnoteReference"/>
        </w:rPr>
        <w:footnoteRef/>
      </w:r>
      <w:r>
        <w:t xml:space="preserve"> The adjusted r-squared values are over 0.90.</w:t>
      </w:r>
    </w:p>
  </w:footnote>
  <w:footnote w:id="9">
    <w:p w14:paraId="1D9E5DE1" w14:textId="36D077D9" w:rsidR="00701828" w:rsidRDefault="00701828">
      <w:pPr>
        <w:pStyle w:val="FootnoteText"/>
      </w:pPr>
      <w:r w:rsidRPr="001E310C">
        <w:rPr>
          <w:rStyle w:val="FootnoteReference"/>
        </w:rPr>
        <w:footnoteRef/>
      </w:r>
      <w:r>
        <w:t xml:space="preserve">Docket </w:t>
      </w:r>
      <w:r w:rsidRPr="001E310C">
        <w:t>UE-150204,</w:t>
      </w:r>
      <w:r>
        <w:t xml:space="preserve"> </w:t>
      </w:r>
      <w:r w:rsidRPr="001E310C">
        <w:t xml:space="preserve">Order 05 </w:t>
      </w:r>
      <w:r>
        <w:t xml:space="preserve">at 26, ¶ </w:t>
      </w:r>
      <w:r w:rsidRPr="001E310C">
        <w:t>62.</w:t>
      </w:r>
    </w:p>
  </w:footnote>
  <w:footnote w:id="10">
    <w:p w14:paraId="094F180F" w14:textId="3D22B04A" w:rsidR="00701828" w:rsidRPr="009033E4" w:rsidRDefault="00701828">
      <w:pPr>
        <w:pStyle w:val="FootnoteText"/>
      </w:pPr>
      <w:r>
        <w:rPr>
          <w:rStyle w:val="FootnoteReference"/>
        </w:rPr>
        <w:footnoteRef/>
      </w:r>
      <w:r>
        <w:t xml:space="preserve"> </w:t>
      </w:r>
      <w:r w:rsidRPr="00A13DBE">
        <w:rPr>
          <w:smallCaps/>
        </w:rPr>
        <w:t>Edward Kahn, Electric Utility Planning &amp; Regulation</w:t>
      </w:r>
      <w:r>
        <w:t xml:space="preserve"> 12 (1991).</w:t>
      </w:r>
    </w:p>
  </w:footnote>
  <w:footnote w:id="11">
    <w:p w14:paraId="44C08965" w14:textId="62F9DECA" w:rsidR="00701828" w:rsidRDefault="00701828" w:rsidP="00806BFF">
      <w:pPr>
        <w:pStyle w:val="FootnoteText"/>
      </w:pPr>
      <w:r>
        <w:rPr>
          <w:rStyle w:val="FootnoteReference"/>
        </w:rPr>
        <w:footnoteRef/>
      </w:r>
      <w:r>
        <w:t xml:space="preserve"> Docket UE-150204, Order 05 at 41, ¶ 110.</w:t>
      </w:r>
    </w:p>
  </w:footnote>
  <w:footnote w:id="12">
    <w:p w14:paraId="3F02188C" w14:textId="26E4DF99" w:rsidR="00701828" w:rsidRDefault="00701828" w:rsidP="004F0EA2">
      <w:pPr>
        <w:pStyle w:val="FootnoteText"/>
      </w:pPr>
      <w:r>
        <w:rPr>
          <w:rStyle w:val="FootnoteReference"/>
        </w:rPr>
        <w:footnoteRef/>
      </w:r>
      <w:r>
        <w:t xml:space="preserve"> Morris, SLM-1T 15:21 (“it is necessary to increase retail rates each year”).</w:t>
      </w:r>
    </w:p>
  </w:footnote>
  <w:footnote w:id="13">
    <w:p w14:paraId="172E563D" w14:textId="253B631F" w:rsidR="00701828" w:rsidRDefault="00701828">
      <w:pPr>
        <w:pStyle w:val="FootnoteText"/>
      </w:pPr>
      <w:r>
        <w:rPr>
          <w:rStyle w:val="FootnoteReference"/>
        </w:rPr>
        <w:footnoteRef/>
      </w:r>
      <w:r>
        <w:t xml:space="preserve"> </w:t>
      </w:r>
      <w:r>
        <w:rPr>
          <w:i/>
        </w:rPr>
        <w:t xml:space="preserve">See </w:t>
      </w:r>
      <w:r w:rsidRPr="00871CAA">
        <w:rPr>
          <w:i/>
        </w:rPr>
        <w:t>Wash. Utils. &amp; Transp. Comm’n. v. Avista Corp.</w:t>
      </w:r>
      <w:r>
        <w:t>, Docket UE-120436, Direct Testimony of Scott L. Morris, Exh. No. SLM-1T, April 2, 2012.</w:t>
      </w:r>
    </w:p>
  </w:footnote>
  <w:footnote w:id="14">
    <w:p w14:paraId="55111289" w14:textId="61E2BE0D" w:rsidR="00701828" w:rsidRPr="004D4220" w:rsidRDefault="00701828">
      <w:pPr>
        <w:pStyle w:val="FootnoteText"/>
      </w:pPr>
      <w:r>
        <w:rPr>
          <w:rStyle w:val="FootnoteReference"/>
        </w:rPr>
        <w:footnoteRef/>
      </w:r>
      <w:r>
        <w:t xml:space="preserve"> </w:t>
      </w:r>
      <w:r>
        <w:rPr>
          <w:i/>
        </w:rPr>
        <w:t xml:space="preserve">See </w:t>
      </w:r>
      <w:r>
        <w:t xml:space="preserve">Andrews, Exh. No. ___ (EMA-2) 7. </w:t>
      </w:r>
    </w:p>
  </w:footnote>
  <w:footnote w:id="15">
    <w:p w14:paraId="3FB479DC" w14:textId="52A1EA9D" w:rsidR="00701828" w:rsidRDefault="00701828">
      <w:pPr>
        <w:pStyle w:val="FootnoteText"/>
      </w:pPr>
      <w:r>
        <w:rPr>
          <w:rStyle w:val="FootnoteReference"/>
        </w:rPr>
        <w:footnoteRef/>
      </w:r>
      <w:r>
        <w:t xml:space="preserve"> Andrews, Exh. No. Exh. No. __ (EMA-1T) 16 (</w:t>
      </w:r>
      <w:r>
        <w:rPr>
          <w:rFonts w:eastAsia="Times New Roman"/>
        </w:rPr>
        <w:t>showing Avista forecasts rate base growth and increases in operating expenses over the next three years).</w:t>
      </w:r>
    </w:p>
  </w:footnote>
  <w:footnote w:id="16">
    <w:p w14:paraId="427FD7DA" w14:textId="5F11F6D6" w:rsidR="00701828" w:rsidRDefault="00701828">
      <w:pPr>
        <w:pStyle w:val="FootnoteText"/>
      </w:pPr>
      <w:r>
        <w:rPr>
          <w:rStyle w:val="FootnoteReference"/>
        </w:rPr>
        <w:footnoteRef/>
      </w:r>
      <w:r>
        <w:t xml:space="preserve"> Docket UE-150204, Order 05 at 40, ¶ 109.</w:t>
      </w:r>
    </w:p>
  </w:footnote>
  <w:footnote w:id="17">
    <w:p w14:paraId="2B3C7FE0" w14:textId="43E24795" w:rsidR="00701828" w:rsidRDefault="00701828">
      <w:pPr>
        <w:pStyle w:val="FootnoteText"/>
      </w:pPr>
      <w:r>
        <w:rPr>
          <w:rStyle w:val="FootnoteReference"/>
        </w:rPr>
        <w:footnoteRef/>
      </w:r>
      <w:r>
        <w:t xml:space="preserve"> Andrews, Exh. No. __ (EMA-1T) 7:14-17 </w:t>
      </w:r>
      <w:r>
        <w:rPr>
          <w:i/>
        </w:rPr>
        <w:t>and</w:t>
      </w:r>
      <w:r>
        <w:t xml:space="preserve"> 17:6-15.</w:t>
      </w:r>
    </w:p>
  </w:footnote>
  <w:footnote w:id="18">
    <w:p w14:paraId="7FB0F50D" w14:textId="791877F3" w:rsidR="00701828" w:rsidRDefault="00701828">
      <w:pPr>
        <w:pStyle w:val="FootnoteText"/>
      </w:pPr>
      <w:r>
        <w:rPr>
          <w:rStyle w:val="FootnoteReference"/>
        </w:rPr>
        <w:footnoteRef/>
      </w:r>
      <w:r>
        <w:t xml:space="preserve"> Modern washing machines, dishwashers, airconditioners, and furnaces use 70%, 40%, 50%, and 10% less energy, respectively, than in 1990. Refrigerators are about 80% more efficient than they were in the 1970s. U.S. Department of Energy, </w:t>
      </w:r>
      <w:r w:rsidRPr="005D4C6B">
        <w:rPr>
          <w:i/>
        </w:rPr>
        <w:t>Energy Efficiency and Renewable Energy</w:t>
      </w:r>
      <w:r>
        <w:t xml:space="preserve">, February 2016. </w:t>
      </w:r>
      <w:r w:rsidRPr="00990E80">
        <w:t>http://energy.gov/eere/buildings/downloads/appliance-and-equipment-standards-fact-sheet</w:t>
      </w:r>
      <w:r>
        <w:t xml:space="preserve">, accessed Aug. 4, 2016. </w:t>
      </w:r>
    </w:p>
  </w:footnote>
  <w:footnote w:id="19">
    <w:p w14:paraId="3F0AA8ED" w14:textId="56B5A306" w:rsidR="00701828" w:rsidRDefault="00701828">
      <w:pPr>
        <w:pStyle w:val="FootnoteText"/>
      </w:pPr>
      <w:r>
        <w:rPr>
          <w:rStyle w:val="FootnoteReference"/>
        </w:rPr>
        <w:footnoteRef/>
      </w:r>
      <w:r>
        <w:t xml:space="preserve"> Morris, Exh. No. __ (SLM-1T) 15; Andrews, Exh. No. __ (EMA-1T) 15-16.</w:t>
      </w:r>
    </w:p>
  </w:footnote>
  <w:footnote w:id="20">
    <w:p w14:paraId="18718A02" w14:textId="147C2EDA" w:rsidR="00701828" w:rsidRDefault="00701828" w:rsidP="00882C42">
      <w:pPr>
        <w:pStyle w:val="FootnoteText"/>
      </w:pPr>
      <w:r>
        <w:rPr>
          <w:rStyle w:val="FootnoteReference"/>
        </w:rPr>
        <w:footnoteRef/>
      </w:r>
      <w:r>
        <w:t xml:space="preserve"> Over 81% of Avista’s kWh sales since 2006 were on rate schedules that are now subject to decoupling.</w:t>
      </w:r>
    </w:p>
  </w:footnote>
  <w:footnote w:id="21">
    <w:p w14:paraId="56BF1D60" w14:textId="3BD9EB66" w:rsidR="00701828" w:rsidRDefault="00701828">
      <w:pPr>
        <w:pStyle w:val="FootnoteText"/>
      </w:pPr>
      <w:r>
        <w:rPr>
          <w:rStyle w:val="FootnoteReference"/>
        </w:rPr>
        <w:footnoteRef/>
      </w:r>
      <w:r>
        <w:t xml:space="preserve"> Over the 2007-2015 period, Spokane County (a proxy for Avista’s service territory) averaged less than 1% annual growth in population.  Office of Financial Management, Historical estimates of April 1 population and housing for the state, counties, and cities.  </w:t>
      </w:r>
      <w:r w:rsidRPr="00BB65E7">
        <w:t>http://www.ofm.wa.gov/pop/april1/hseries/default.asp</w:t>
      </w:r>
    </w:p>
  </w:footnote>
  <w:footnote w:id="22">
    <w:p w14:paraId="472E0654" w14:textId="15031E49" w:rsidR="00701828" w:rsidRDefault="00701828">
      <w:pPr>
        <w:pStyle w:val="FootnoteText"/>
      </w:pPr>
      <w:r>
        <w:rPr>
          <w:rStyle w:val="FootnoteReference"/>
        </w:rPr>
        <w:footnoteRef/>
      </w:r>
      <w:r>
        <w:t xml:space="preserve"> Andrews, Exh. No. ___ (EMA-2) 7.</w:t>
      </w:r>
    </w:p>
  </w:footnote>
  <w:footnote w:id="23">
    <w:p w14:paraId="100D70A0" w14:textId="7B423052" w:rsidR="00701828" w:rsidRPr="002B641A" w:rsidRDefault="00701828">
      <w:pPr>
        <w:pStyle w:val="FootnoteText"/>
      </w:pPr>
      <w:r>
        <w:rPr>
          <w:rStyle w:val="FootnoteReference"/>
        </w:rPr>
        <w:footnoteRef/>
      </w:r>
      <w:r>
        <w:t xml:space="preserve"> </w:t>
      </w:r>
      <w:r>
        <w:rPr>
          <w:i/>
        </w:rPr>
        <w:t>See, e.g.</w:t>
      </w:r>
      <w:r>
        <w:t>,</w:t>
      </w:r>
      <w:r>
        <w:rPr>
          <w:i/>
        </w:rPr>
        <w:t xml:space="preserve"> </w:t>
      </w:r>
      <w:r>
        <w:t>Morris, Exh. No. __ (SLM-1T) 15; Andrews,</w:t>
      </w:r>
      <w:r w:rsidRPr="00BB5552">
        <w:t xml:space="preserve"> </w:t>
      </w:r>
      <w:r>
        <w:t>Exh. No. __ (EMA-1T) 15-17; Andrews, Exh. No.</w:t>
      </w:r>
      <w:r w:rsidRPr="00BB5552">
        <w:t xml:space="preserve"> </w:t>
      </w:r>
      <w:r>
        <w:t>__ (EMA-2); Andrews, Exh. No.</w:t>
      </w:r>
      <w:r w:rsidRPr="00BB5552">
        <w:t xml:space="preserve"> </w:t>
      </w:r>
      <w:r>
        <w:t>__ (EMA-3).</w:t>
      </w:r>
    </w:p>
  </w:footnote>
  <w:footnote w:id="24">
    <w:p w14:paraId="2DB2906E" w14:textId="7F302A86" w:rsidR="00701828" w:rsidRDefault="00701828" w:rsidP="0055755D">
      <w:pPr>
        <w:pStyle w:val="FootnoteText"/>
      </w:pPr>
      <w:r>
        <w:rPr>
          <w:rStyle w:val="FootnoteReference"/>
        </w:rPr>
        <w:footnoteRef/>
      </w:r>
      <w:r>
        <w:t xml:space="preserve"> Board of Governors of the Federal Reserve System, Current FAQ’s “How does monetary policy influence inflation and employment?” updated Dec. 16, 3015, </w:t>
      </w:r>
      <w:r w:rsidRPr="002B641A">
        <w:t>https://www.federalreserve.gov/faqs/money_12856.htm</w:t>
      </w:r>
      <w:r>
        <w:t xml:space="preserve">, accessed August 4, 2016.  </w:t>
      </w:r>
    </w:p>
  </w:footnote>
  <w:footnote w:id="25">
    <w:p w14:paraId="75FD05E2" w14:textId="5BD1977C" w:rsidR="00701828" w:rsidRDefault="00701828">
      <w:pPr>
        <w:pStyle w:val="FootnoteText"/>
      </w:pPr>
      <w:r>
        <w:rPr>
          <w:rStyle w:val="FootnoteReference"/>
        </w:rPr>
        <w:footnoteRef/>
      </w:r>
      <w:r>
        <w:t xml:space="preserve"> </w:t>
      </w:r>
      <w:r>
        <w:rPr>
          <w:i/>
        </w:rPr>
        <w:t xml:space="preserve">See </w:t>
      </w:r>
      <w:r>
        <w:t>Parcell, Exh. No. DCP-5.</w:t>
      </w:r>
    </w:p>
  </w:footnote>
  <w:footnote w:id="26">
    <w:p w14:paraId="6E9B4B1B" w14:textId="40535F27" w:rsidR="00701828" w:rsidRDefault="00701828">
      <w:pPr>
        <w:pStyle w:val="FootnoteText"/>
      </w:pPr>
      <w:r>
        <w:rPr>
          <w:rStyle w:val="FootnoteReference"/>
        </w:rPr>
        <w:footnoteRef/>
      </w:r>
      <w:r>
        <w:t xml:space="preserve"> Morris, Exh. No. __ (SLM-1T) 15; Andrews, Exh. No. __ (EMA-1T) 15-17.</w:t>
      </w:r>
    </w:p>
  </w:footnote>
  <w:footnote w:id="27">
    <w:p w14:paraId="14A74154" w14:textId="25B08D5B" w:rsidR="00701828" w:rsidRDefault="00701828">
      <w:pPr>
        <w:pStyle w:val="FootnoteText"/>
      </w:pPr>
      <w:r>
        <w:rPr>
          <w:rStyle w:val="FootnoteReference"/>
        </w:rPr>
        <w:footnoteRef/>
      </w:r>
      <w:r>
        <w:t xml:space="preserve"> Power supply costs are excluded from the calculation. </w:t>
      </w:r>
    </w:p>
  </w:footnote>
  <w:footnote w:id="28">
    <w:p w14:paraId="117B5A35" w14:textId="7723D4BD" w:rsidR="00701828" w:rsidRDefault="00701828">
      <w:pPr>
        <w:pStyle w:val="FootnoteText"/>
      </w:pPr>
      <w:r>
        <w:rPr>
          <w:rStyle w:val="FootnoteReference"/>
        </w:rPr>
        <w:footnoteRef/>
      </w:r>
      <w:r>
        <w:t xml:space="preserve"> Huang, Exh. Nos. JH-2 and JH-3.</w:t>
      </w:r>
    </w:p>
  </w:footnote>
  <w:footnote w:id="29">
    <w:p w14:paraId="15D6C45D" w14:textId="48F38339" w:rsidR="00701828" w:rsidRDefault="00701828">
      <w:pPr>
        <w:pStyle w:val="FootnoteText"/>
      </w:pPr>
      <w:r>
        <w:rPr>
          <w:rStyle w:val="FootnoteReference"/>
        </w:rPr>
        <w:footnoteRef/>
      </w:r>
      <w:r>
        <w:t xml:space="preserve"> Docket UE-150104, Order 05 at 42, ¶ 114.</w:t>
      </w:r>
    </w:p>
  </w:footnote>
  <w:footnote w:id="30">
    <w:p w14:paraId="3CC53AB0" w14:textId="2B9863B8" w:rsidR="00701828" w:rsidRDefault="00701828">
      <w:pPr>
        <w:pStyle w:val="FootnoteText"/>
      </w:pPr>
      <w:r>
        <w:rPr>
          <w:rStyle w:val="FootnoteReference"/>
        </w:rPr>
        <w:footnoteRef/>
      </w:r>
      <w:r>
        <w:t xml:space="preserve"> Staff obtained the specific dates through discovery. Mr. Thies also includes some detail of Avista’s credit ratings in confidential exhibit MTT-2. Directy Testimony of Mark T. Thies, Exhibit No. ___(MTT-2C) </w:t>
      </w:r>
    </w:p>
  </w:footnote>
  <w:footnote w:id="31">
    <w:p w14:paraId="6FCD4EA6" w14:textId="4252EF92" w:rsidR="00701828" w:rsidRDefault="00701828">
      <w:pPr>
        <w:pStyle w:val="FootnoteText"/>
      </w:pPr>
      <w:r>
        <w:rPr>
          <w:rStyle w:val="FootnoteReference"/>
        </w:rPr>
        <w:footnoteRef/>
      </w:r>
      <w:r>
        <w:t xml:space="preserve"> Order 05, UE-150204, at 42 ¶114.</w:t>
      </w:r>
    </w:p>
  </w:footnote>
  <w:footnote w:id="32">
    <w:p w14:paraId="701659AE" w14:textId="4A0E9937" w:rsidR="00701828" w:rsidRDefault="00701828">
      <w:pPr>
        <w:pStyle w:val="FootnoteText"/>
      </w:pPr>
      <w:r>
        <w:rPr>
          <w:rStyle w:val="FootnoteReference"/>
        </w:rPr>
        <w:footnoteRef/>
      </w:r>
      <w:r>
        <w:t xml:space="preserve"> Time is represented by an independent variable corresponding to the given year.  An alpha of 0.05 is used.</w:t>
      </w:r>
    </w:p>
  </w:footnote>
  <w:footnote w:id="33">
    <w:p w14:paraId="5205DB07" w14:textId="7E9D42EE" w:rsidR="00701828" w:rsidRDefault="00701828" w:rsidP="00A47D43">
      <w:pPr>
        <w:pStyle w:val="FootnoteText"/>
      </w:pPr>
      <w:r>
        <w:rPr>
          <w:rStyle w:val="FootnoteReference"/>
        </w:rPr>
        <w:footnoteRef/>
      </w:r>
      <w:r>
        <w:t xml:space="preserve"> Avista used a 12-months ending September 30, 2015, as that was the most up-to-date information when the Company made its filing. Andrews, Exh. No. __ (EMA-1T) 22:4-8.  Staff anticipates that Avista will adopt Staff’s approach here on rebuttal.</w:t>
      </w:r>
    </w:p>
  </w:footnote>
  <w:footnote w:id="34">
    <w:p w14:paraId="290F549D" w14:textId="2A30786B" w:rsidR="00701828" w:rsidRPr="00954EC0" w:rsidRDefault="00701828">
      <w:pPr>
        <w:pStyle w:val="FootnoteText"/>
      </w:pPr>
      <w:r>
        <w:rPr>
          <w:rStyle w:val="FootnoteReference"/>
        </w:rPr>
        <w:footnoteRef/>
      </w:r>
      <w:r>
        <w:t xml:space="preserve"> The Company’s response to Staff DR 30 made other updates as well. The Production/Transmission (“PT”) ratio was updated, which shifted more assets towards a Washington allocation. The conversion factor was updated as well, which had the effect of increasing the revenue requirement.</w:t>
      </w:r>
    </w:p>
  </w:footnote>
  <w:footnote w:id="35">
    <w:p w14:paraId="2657B268" w14:textId="475E2794" w:rsidR="00701828" w:rsidRDefault="00701828" w:rsidP="0061190B">
      <w:pPr>
        <w:pStyle w:val="FootnoteText"/>
      </w:pPr>
      <w:r>
        <w:rPr>
          <w:rStyle w:val="FootnoteReference"/>
        </w:rPr>
        <w:footnoteRef/>
      </w:r>
      <w:r>
        <w:t xml:space="preserve"> Docket UE-1502014, Order 05 at 44, ¶ 120.</w:t>
      </w:r>
    </w:p>
  </w:footnote>
  <w:footnote w:id="36">
    <w:p w14:paraId="5CA2484F" w14:textId="5594D14B" w:rsidR="00701828" w:rsidRDefault="00701828" w:rsidP="00FD7EF7">
      <w:pPr>
        <w:pStyle w:val="FootnoteText"/>
      </w:pPr>
      <w:r>
        <w:rPr>
          <w:rStyle w:val="FootnoteReference"/>
        </w:rPr>
        <w:footnoteRef/>
      </w:r>
      <w:r>
        <w:t xml:space="preserve"> The Company’s case refers to this type of adjustment as an “After-Attrition Adjustment.”</w:t>
      </w:r>
    </w:p>
  </w:footnote>
  <w:footnote w:id="37">
    <w:p w14:paraId="6FDED3D8" w14:textId="07EE3713" w:rsidR="00701828" w:rsidRDefault="00701828" w:rsidP="007B63C9">
      <w:pPr>
        <w:pStyle w:val="FootnoteText"/>
      </w:pPr>
      <w:r>
        <w:rPr>
          <w:rStyle w:val="FootnoteReference"/>
        </w:rPr>
        <w:footnoteRef/>
      </w:r>
      <w:r>
        <w:t xml:space="preserve"> This can be found on the “Other Revenues” tab of each model.  Ms. Andrews’ Exhibit No. __ (EMA-3) at page 4 and Exhibit No. __ (EMA-5) at page 4 show the Company uses 0.00% as an escalator for Other Revenues.  </w:t>
      </w:r>
    </w:p>
  </w:footnote>
  <w:footnote w:id="38">
    <w:p w14:paraId="44AE23AB" w14:textId="602A860A" w:rsidR="00701828" w:rsidRPr="000E684A" w:rsidRDefault="00701828">
      <w:pPr>
        <w:pStyle w:val="FootnoteText"/>
      </w:pPr>
      <w:r>
        <w:rPr>
          <w:rStyle w:val="FootnoteReference"/>
        </w:rPr>
        <w:footnoteRef/>
      </w:r>
      <w:r>
        <w:t xml:space="preserve"> </w:t>
      </w:r>
      <w:r w:rsidRPr="00407BB2">
        <w:t>The explanatory variable in Other Revenues for electric service was not statistically-significant, so it is appropriate to escalate it at a 0% rate</w:t>
      </w:r>
      <w:r>
        <w:t xml:space="preserve"> on the electric side</w:t>
      </w:r>
      <w:r w:rsidRPr="00407BB2">
        <w:t>, as the Company did.</w:t>
      </w:r>
      <w:r>
        <w:t xml:space="preserve"> </w:t>
      </w:r>
      <w:r>
        <w:rPr>
          <w:i/>
        </w:rPr>
        <w:t xml:space="preserve">See </w:t>
      </w:r>
      <w:r>
        <w:t xml:space="preserve">Andrews, Exh. No. __ (EMA-2) 4 and Andrews, Exh. No. __ (EMA-4) 4.  </w:t>
      </w:r>
    </w:p>
  </w:footnote>
  <w:footnote w:id="39">
    <w:p w14:paraId="2B328937" w14:textId="658F040B" w:rsidR="00701828" w:rsidRDefault="00701828">
      <w:pPr>
        <w:pStyle w:val="FootnoteText"/>
      </w:pPr>
      <w:r>
        <w:rPr>
          <w:rStyle w:val="FootnoteReference"/>
        </w:rPr>
        <w:footnoteRef/>
      </w:r>
      <w:r>
        <w:t xml:space="preserve"> The level of statistical significance used by Staff is α = 0.05.</w:t>
      </w:r>
    </w:p>
  </w:footnote>
  <w:footnote w:id="40">
    <w:p w14:paraId="65BEB30F" w14:textId="4E5E0A0A" w:rsidR="00701828" w:rsidRPr="004272F8" w:rsidRDefault="00701828">
      <w:pPr>
        <w:pStyle w:val="FootnoteText"/>
      </w:pPr>
      <w:r>
        <w:rPr>
          <w:rStyle w:val="FootnoteReference"/>
        </w:rPr>
        <w:footnoteRef/>
      </w:r>
      <w:r>
        <w:t xml:space="preserve"> This is a comparison of escalated rate base figures  prior to any consideration of an “After-Attrition Adjustment” or </w:t>
      </w:r>
      <w:r>
        <w:rPr>
          <w:i/>
        </w:rPr>
        <w:t>pro forma</w:t>
      </w:r>
      <w:r>
        <w:t xml:space="preserve"> adjustments to account for the Spokane River Projects.</w:t>
      </w:r>
    </w:p>
  </w:footnote>
  <w:footnote w:id="41">
    <w:p w14:paraId="34EC95DA" w14:textId="34A38AF1" w:rsidR="00701828" w:rsidRDefault="00701828" w:rsidP="0040549B">
      <w:pPr>
        <w:pStyle w:val="FootnoteText"/>
      </w:pPr>
      <w:r>
        <w:rPr>
          <w:rStyle w:val="FootnoteReference"/>
        </w:rPr>
        <w:footnoteRef/>
      </w:r>
      <w:r>
        <w:t xml:space="preserve"> Docket UE-150204, Order 05 at 91, ¶ 297.</w:t>
      </w:r>
    </w:p>
  </w:footnote>
  <w:footnote w:id="42">
    <w:p w14:paraId="1B75B297" w14:textId="011620BD" w:rsidR="00701828" w:rsidRDefault="00701828" w:rsidP="0040549B">
      <w:pPr>
        <w:pStyle w:val="FootnoteText"/>
      </w:pPr>
      <w:r>
        <w:rPr>
          <w:rStyle w:val="FootnoteReference"/>
        </w:rPr>
        <w:footnoteRef/>
      </w:r>
      <w:r>
        <w:t xml:space="preserve"> Andrews, Exh. No. __ (EMA-1T) 23:13 - 24:3.</w:t>
      </w:r>
    </w:p>
  </w:footnote>
  <w:footnote w:id="43">
    <w:p w14:paraId="7AACAB7C" w14:textId="77777777" w:rsidR="00701828" w:rsidRDefault="00701828" w:rsidP="00890E53">
      <w:pPr>
        <w:pStyle w:val="FootnoteText"/>
      </w:pPr>
      <w:r>
        <w:rPr>
          <w:rStyle w:val="FootnoteReference"/>
        </w:rPr>
        <w:footnoteRef/>
      </w:r>
      <w:r>
        <w:t xml:space="preserve"> Total plant in service is the sum of intangible, production, transmission, distribution, and general plant.</w:t>
      </w:r>
    </w:p>
  </w:footnote>
  <w:footnote w:id="44">
    <w:p w14:paraId="0211090A" w14:textId="525865EF" w:rsidR="00701828" w:rsidRDefault="00701828" w:rsidP="00DE4FF1">
      <w:pPr>
        <w:pStyle w:val="FootnoteText"/>
      </w:pPr>
      <w:r>
        <w:rPr>
          <w:rStyle w:val="FootnoteReference"/>
        </w:rPr>
        <w:footnoteRef/>
      </w:r>
      <w:r>
        <w:t xml:space="preserve"> Morris, Exh. No. __ (SLM-1T) 13:8-12 </w:t>
      </w:r>
      <w:r>
        <w:rPr>
          <w:i/>
        </w:rPr>
        <w:t xml:space="preserve">and </w:t>
      </w:r>
      <w:r>
        <w:t xml:space="preserve"> 14:15-20.  Rosentrater, Exh. No. __ (HLM-1T) 31:14 - 32:11.</w:t>
      </w:r>
    </w:p>
  </w:footnote>
  <w:footnote w:id="45">
    <w:p w14:paraId="70F06901" w14:textId="244B6B40" w:rsidR="00701828" w:rsidRDefault="00701828" w:rsidP="00DE4FF1">
      <w:pPr>
        <w:pStyle w:val="FootnoteText"/>
      </w:pPr>
      <w:r>
        <w:rPr>
          <w:rStyle w:val="FootnoteReference"/>
        </w:rPr>
        <w:footnoteRef/>
      </w:r>
      <w:r>
        <w:t xml:space="preserve"> Rosentrater, Exh. No. __ (HLM-1T) 34-37.</w:t>
      </w:r>
    </w:p>
  </w:footnote>
  <w:footnote w:id="46">
    <w:p w14:paraId="6B7EBA54" w14:textId="7E8D93A4" w:rsidR="00701828" w:rsidRDefault="00701828" w:rsidP="00CB484D">
      <w:pPr>
        <w:pStyle w:val="FootnoteText"/>
      </w:pPr>
      <w:r>
        <w:rPr>
          <w:rStyle w:val="FootnoteReference"/>
        </w:rPr>
        <w:footnoteRef/>
      </w:r>
      <w:r>
        <w:t xml:space="preserve"> Thies, Exh. No. __ (MTT-1T) 2:4-5.</w:t>
      </w:r>
    </w:p>
  </w:footnote>
  <w:footnote w:id="47">
    <w:p w14:paraId="7E50AA52" w14:textId="179A8262" w:rsidR="00701828" w:rsidRPr="00DE4FF1" w:rsidRDefault="00701828">
      <w:pPr>
        <w:pStyle w:val="FootnoteText"/>
      </w:pPr>
      <w:r>
        <w:rPr>
          <w:rStyle w:val="FootnoteReference"/>
        </w:rPr>
        <w:footnoteRef/>
      </w:r>
      <w:r>
        <w:t xml:space="preserve"> </w:t>
      </w:r>
      <w:r>
        <w:rPr>
          <w:i/>
        </w:rPr>
        <w:t>See Wash. Utils &amp; Transp. Comm’n. v. Avista Corp.</w:t>
      </w:r>
      <w:r>
        <w:t>, Docket UE-150204, Direct Testimony of Christopher R. McGuire, Exh. No. CRM-1T 21 – 25, July 27, 2015.</w:t>
      </w:r>
    </w:p>
  </w:footnote>
  <w:footnote w:id="48">
    <w:p w14:paraId="39342C45" w14:textId="179064DE" w:rsidR="00701828" w:rsidRDefault="00701828">
      <w:pPr>
        <w:pStyle w:val="FootnoteText"/>
      </w:pPr>
      <w:r>
        <w:rPr>
          <w:rStyle w:val="FootnoteReference"/>
        </w:rPr>
        <w:footnoteRef/>
      </w:r>
      <w:r>
        <w:t xml:space="preserve"> This measure does include water and sewage utilities as well.  FRED Economic Data, Federal Reserve Bank of St. Louis, Data series </w:t>
      </w:r>
      <w:r w:rsidRPr="00980900">
        <w:t>PCU221221</w:t>
      </w:r>
      <w:r>
        <w:t xml:space="preserve"> at </w:t>
      </w:r>
      <w:r w:rsidRPr="00151BC9">
        <w:t>http://fred.stlouisfed.org</w:t>
      </w:r>
      <w:r>
        <w:t xml:space="preserve"> accessed Aug. 4, 2016. </w:t>
      </w:r>
    </w:p>
  </w:footnote>
  <w:footnote w:id="49">
    <w:p w14:paraId="1A4115C5" w14:textId="3E3CA4D2" w:rsidR="00701828" w:rsidRDefault="00701828">
      <w:pPr>
        <w:pStyle w:val="FootnoteText"/>
      </w:pPr>
      <w:r>
        <w:rPr>
          <w:rStyle w:val="FootnoteReference"/>
        </w:rPr>
        <w:footnoteRef/>
      </w:r>
      <w:r>
        <w:t xml:space="preserve"> Transmission (blue) is data series </w:t>
      </w:r>
      <w:r w:rsidRPr="00980900">
        <w:t>PCU221121221121</w:t>
      </w:r>
      <w:r>
        <w:t xml:space="preserve">; Distribution (red) is data series </w:t>
      </w:r>
      <w:r w:rsidRPr="00980900">
        <w:t>PCU221122221122</w:t>
      </w:r>
      <w:r>
        <w:t xml:space="preserve">; Generation (green) is data series </w:t>
      </w:r>
      <w:r w:rsidRPr="00980900">
        <w:t>PCU2211102211104</w:t>
      </w:r>
      <w:r>
        <w:t>.  All can be found at FRED Economic Data, Federal Reserve Bank of St. Louis, http://fred.stlouisfed.org.</w:t>
      </w:r>
    </w:p>
  </w:footnote>
  <w:footnote w:id="50">
    <w:p w14:paraId="6E726591" w14:textId="60E8976E" w:rsidR="00701828" w:rsidRDefault="00701828">
      <w:pPr>
        <w:pStyle w:val="FootnoteText"/>
      </w:pPr>
      <w:r>
        <w:rPr>
          <w:rStyle w:val="FootnoteReference"/>
        </w:rPr>
        <w:footnoteRef/>
      </w:r>
      <w:r>
        <w:t xml:space="preserve"> This measure includes water, sewage, natural gas, and electric utilities.  Data series </w:t>
      </w:r>
      <w:r w:rsidRPr="00980900">
        <w:t>CIS2014400000000I</w:t>
      </w:r>
      <w:r>
        <w:t xml:space="preserve"> at </w:t>
      </w:r>
      <w:r w:rsidRPr="00C93FF9">
        <w:t>http://fred.stlouisfed.org</w:t>
      </w:r>
      <w:r>
        <w:t xml:space="preserve">. </w:t>
      </w:r>
    </w:p>
  </w:footnote>
  <w:footnote w:id="51">
    <w:p w14:paraId="752C19E3" w14:textId="18C67F2D" w:rsidR="00701828" w:rsidRDefault="00701828">
      <w:pPr>
        <w:pStyle w:val="FootnoteText"/>
      </w:pPr>
      <w:r>
        <w:rPr>
          <w:rStyle w:val="FootnoteReference"/>
        </w:rPr>
        <w:footnoteRef/>
      </w:r>
      <w:r>
        <w:t xml:space="preserve"> Andrews EMA-1T, at 34:8-9.</w:t>
      </w:r>
    </w:p>
  </w:footnote>
  <w:footnote w:id="52">
    <w:p w14:paraId="16FEE7D7" w14:textId="5649F96A" w:rsidR="00701828" w:rsidRDefault="00701828">
      <w:pPr>
        <w:pStyle w:val="FootnoteText"/>
      </w:pPr>
      <w:r>
        <w:rPr>
          <w:rStyle w:val="FootnoteReference"/>
        </w:rPr>
        <w:footnoteRef/>
      </w:r>
      <w:r>
        <w:t xml:space="preserve"> Order 05, UE-150204, at 45 ¶123.</w:t>
      </w:r>
    </w:p>
  </w:footnote>
  <w:footnote w:id="53">
    <w:p w14:paraId="3E43980D" w14:textId="2666F69C" w:rsidR="00701828" w:rsidRDefault="00701828" w:rsidP="00ED237E">
      <w:pPr>
        <w:pStyle w:val="FootnoteText"/>
      </w:pPr>
      <w:r>
        <w:rPr>
          <w:rStyle w:val="FootnoteReference"/>
        </w:rPr>
        <w:footnoteRef/>
      </w:r>
      <w:r>
        <w:t xml:space="preserve"> A 3.04% annual growth rate translates to an escalator of 6.08% into 12 ME Dec 2017, and 7.60% for 12 ME Jun 2018.</w:t>
      </w:r>
    </w:p>
  </w:footnote>
  <w:footnote w:id="54">
    <w:p w14:paraId="62169EC5" w14:textId="1D09E88F" w:rsidR="00701828" w:rsidRDefault="00701828">
      <w:pPr>
        <w:pStyle w:val="FootnoteText"/>
      </w:pPr>
      <w:r>
        <w:rPr>
          <w:rStyle w:val="FootnoteReference"/>
        </w:rPr>
        <w:footnoteRef/>
      </w:r>
      <w:r>
        <w:t xml:space="preserve"> Docket UE-150204, Order 05 at 45, ¶ 123.</w:t>
      </w:r>
    </w:p>
  </w:footnote>
  <w:footnote w:id="55">
    <w:p w14:paraId="1AE1BE14" w14:textId="02F10D55" w:rsidR="00701828" w:rsidRPr="0029178E" w:rsidRDefault="00701828">
      <w:pPr>
        <w:pStyle w:val="FootnoteText"/>
        <w:rPr>
          <w:i/>
        </w:rPr>
      </w:pPr>
      <w:r>
        <w:rPr>
          <w:rStyle w:val="FootnoteReference"/>
        </w:rPr>
        <w:footnoteRef/>
      </w:r>
      <w:r>
        <w:t xml:space="preserve"> </w:t>
      </w:r>
      <w:r>
        <w:rPr>
          <w:i/>
        </w:rPr>
        <w:t>Id.</w:t>
      </w:r>
    </w:p>
  </w:footnote>
  <w:footnote w:id="56">
    <w:p w14:paraId="6B9E21C1" w14:textId="18F29D1F" w:rsidR="00701828" w:rsidRDefault="00701828">
      <w:pPr>
        <w:pStyle w:val="FootnoteText"/>
      </w:pPr>
      <w:r>
        <w:rPr>
          <w:rStyle w:val="FootnoteReference"/>
        </w:rPr>
        <w:footnoteRef/>
      </w:r>
      <w:r>
        <w:t xml:space="preserve"> </w:t>
      </w:r>
      <w:r>
        <w:rPr>
          <w:i/>
        </w:rPr>
        <w:t xml:space="preserve">Compare </w:t>
      </w:r>
      <w:r w:rsidRPr="00940E94">
        <w:t>Hancock Exhibit Nos. CSH-5 and CSH-7</w:t>
      </w:r>
      <w:r>
        <w:t xml:space="preserve"> </w:t>
      </w:r>
      <w:r>
        <w:rPr>
          <w:i/>
        </w:rPr>
        <w:t xml:space="preserve">and </w:t>
      </w:r>
      <w:r>
        <w:t>Andrews, Exh. N</w:t>
      </w:r>
      <w:r w:rsidR="009E7C38">
        <w:t>o. __ (EMA-3) at 9 and Exh. No. </w:t>
      </w:r>
      <w:r>
        <w:t>__ (EMA-5) at 9.</w:t>
      </w:r>
      <w:bookmarkStart w:id="34" w:name="_GoBack"/>
      <w:bookmarkEnd w:id="34"/>
    </w:p>
  </w:footnote>
  <w:footnote w:id="57">
    <w:p w14:paraId="6FC980A1" w14:textId="3BBBE897" w:rsidR="00701828" w:rsidRDefault="00701828" w:rsidP="005422A9">
      <w:pPr>
        <w:pStyle w:val="FootnoteText"/>
      </w:pPr>
      <w:r>
        <w:rPr>
          <w:rStyle w:val="FootnoteReference"/>
        </w:rPr>
        <w:footnoteRef/>
      </w:r>
      <w:r>
        <w:t xml:space="preserve"> Andrews, Exh. No. __ (EMA-1T) 34:8-9.</w:t>
      </w:r>
    </w:p>
  </w:footnote>
  <w:footnote w:id="58">
    <w:p w14:paraId="019E091F" w14:textId="67E8FFBB" w:rsidR="00701828" w:rsidRDefault="00701828" w:rsidP="005422A9">
      <w:pPr>
        <w:pStyle w:val="FootnoteText"/>
      </w:pPr>
      <w:r>
        <w:rPr>
          <w:rStyle w:val="FootnoteReference"/>
        </w:rPr>
        <w:footnoteRef/>
      </w:r>
      <w:r>
        <w:t xml:space="preserve"> A 3.46% annual growth rate translates to an escalator of 6.92% into 12 ME Dec. 2017, and 8.65% for 12 ME June 2018.</w:t>
      </w:r>
    </w:p>
  </w:footnote>
  <w:footnote w:id="59">
    <w:p w14:paraId="26D0AB27" w14:textId="69FC81CD" w:rsidR="00701828" w:rsidRDefault="00701828" w:rsidP="005422A9">
      <w:pPr>
        <w:pStyle w:val="FootnoteText"/>
      </w:pPr>
      <w:r>
        <w:rPr>
          <w:rStyle w:val="FootnoteReference"/>
        </w:rPr>
        <w:footnoteRef/>
      </w:r>
      <w:r>
        <w:t xml:space="preserve"> Docket UE-150204, Order 05 at 45, ¶ 123.  In the previous rate case, O&amp;M escalation was not unique to each service.</w:t>
      </w:r>
    </w:p>
  </w:footnote>
  <w:footnote w:id="60">
    <w:p w14:paraId="1EF20788" w14:textId="3CA9B06F" w:rsidR="00701828" w:rsidRDefault="00701828" w:rsidP="006E16B3">
      <w:pPr>
        <w:pStyle w:val="FootnoteText"/>
      </w:pPr>
      <w:r>
        <w:rPr>
          <w:rStyle w:val="FootnoteReference"/>
        </w:rPr>
        <w:footnoteRef/>
      </w:r>
      <w:r>
        <w:t xml:space="preserve"> “Historical record” is the dataset of Commission Basis Reports from 2007- 2015.</w:t>
      </w:r>
    </w:p>
  </w:footnote>
  <w:footnote w:id="61">
    <w:p w14:paraId="4617A307" w14:textId="189C08FA" w:rsidR="00701828" w:rsidRPr="00533B53" w:rsidRDefault="00701828" w:rsidP="006E16B3">
      <w:pPr>
        <w:pStyle w:val="FootnoteText"/>
      </w:pPr>
      <w:r>
        <w:rPr>
          <w:rStyle w:val="FootnoteReference"/>
        </w:rPr>
        <w:footnoteRef/>
      </w:r>
      <w:r>
        <w:t xml:space="preserve"> Docket UE-150204, Direct Testimony of Christopher S. Hancock, Exh. No. ___CSH-1T 9-10. </w:t>
      </w:r>
      <w:r>
        <w:rPr>
          <w:i/>
        </w:rPr>
        <w:t xml:space="preserve">See also </w:t>
      </w:r>
      <w:r>
        <w:t>Docket UE-150204, Order 05 at 14-15 and at 17, ¶ 40.</w:t>
      </w:r>
    </w:p>
  </w:footnote>
  <w:footnote w:id="62">
    <w:p w14:paraId="1156252F" w14:textId="77777777" w:rsidR="00701828" w:rsidRDefault="00701828" w:rsidP="006103F7">
      <w:pPr>
        <w:pStyle w:val="FootnoteText"/>
      </w:pPr>
      <w:r>
        <w:rPr>
          <w:rStyle w:val="FootnoteReference"/>
        </w:rPr>
        <w:footnoteRef/>
      </w:r>
      <w:r>
        <w:t xml:space="preserve"> $42.058 million divided by $1.472 billion is 0.02857, or 2.86%.</w:t>
      </w:r>
    </w:p>
  </w:footnote>
  <w:footnote w:id="63">
    <w:p w14:paraId="026B87A0" w14:textId="1D275D06" w:rsidR="00701828" w:rsidRPr="00DA4141" w:rsidRDefault="00701828">
      <w:pPr>
        <w:pStyle w:val="FootnoteText"/>
        <w:rPr>
          <w:u w:val="single"/>
        </w:rPr>
      </w:pPr>
      <w:r>
        <w:rPr>
          <w:rStyle w:val="FootnoteReference"/>
        </w:rPr>
        <w:footnoteRef/>
      </w:r>
      <w:r>
        <w:t xml:space="preserve"> </w:t>
      </w:r>
      <w:r>
        <w:rPr>
          <w:i/>
        </w:rPr>
        <w:t>See</w:t>
      </w:r>
      <w:r>
        <w:t xml:space="preserve"> UE-150204, CRM-2, column M, page 5 (after removing 2016 growth) </w:t>
      </w:r>
      <w:r w:rsidRPr="00DA4141">
        <w:rPr>
          <w:i/>
        </w:rPr>
        <w:t>and</w:t>
      </w:r>
      <w:r>
        <w:t xml:space="preserve"> UE-160228, CSH-4, page 2, column A (Avista’s 2015 AMA CBR) for electric.  For gas, </w:t>
      </w:r>
      <w:r>
        <w:rPr>
          <w:i/>
        </w:rPr>
        <w:t xml:space="preserve">see </w:t>
      </w:r>
      <w:r>
        <w:t xml:space="preserve">UG-150205, CRM-3, column M, page 5 (after removing 2016 growth) </w:t>
      </w:r>
      <w:r w:rsidRPr="00DA4141">
        <w:rPr>
          <w:i/>
        </w:rPr>
        <w:t>and</w:t>
      </w:r>
      <w:r w:rsidRPr="00DA4141">
        <w:t xml:space="preserve"> UG-160229, CSH-5, page 2, column A (Avista’s 2015 AMA CBR).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57ED4"/>
    <w:multiLevelType w:val="hybridMultilevel"/>
    <w:tmpl w:val="E1646F26"/>
    <w:lvl w:ilvl="0" w:tplc="6CE4F678">
      <w:start w:val="1"/>
      <w:numFmt w:val="upperRoman"/>
      <w:pStyle w:val="Heading1"/>
      <w:lvlText w:val="%1."/>
      <w:lvlJc w:val="left"/>
      <w:pPr>
        <w:ind w:left="495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1" w15:restartNumberingAfterBreak="0">
    <w:nsid w:val="19A5046E"/>
    <w:multiLevelType w:val="hybridMultilevel"/>
    <w:tmpl w:val="2392095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5676E"/>
    <w:multiLevelType w:val="hybridMultilevel"/>
    <w:tmpl w:val="830256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8D2B2E"/>
    <w:multiLevelType w:val="hybridMultilevel"/>
    <w:tmpl w:val="BB7E78C8"/>
    <w:lvl w:ilvl="0" w:tplc="B122FC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12AB5"/>
    <w:multiLevelType w:val="hybridMultilevel"/>
    <w:tmpl w:val="47B08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D132D2"/>
    <w:multiLevelType w:val="hybridMultilevel"/>
    <w:tmpl w:val="A1EAF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5EF"/>
    <w:multiLevelType w:val="hybridMultilevel"/>
    <w:tmpl w:val="2B0849F6"/>
    <w:lvl w:ilvl="0" w:tplc="C3B2235C">
      <w:start w:val="1"/>
      <w:numFmt w:val="upperLetter"/>
      <w:pStyle w:val="Heading2"/>
      <w:lvlText w:val="%1."/>
      <w:lvlJc w:val="left"/>
      <w:pPr>
        <w:ind w:left="1080" w:hanging="360"/>
      </w:pPr>
      <w:rPr>
        <w:rFonts w:ascii="Times New Roman" w:hAnsi="Times New Roman" w:cs="Times New Roman"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FA511E"/>
    <w:multiLevelType w:val="hybridMultilevel"/>
    <w:tmpl w:val="503C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86B05"/>
    <w:multiLevelType w:val="hybridMultilevel"/>
    <w:tmpl w:val="7D84B476"/>
    <w:lvl w:ilvl="0" w:tplc="6290B7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E700EF"/>
    <w:multiLevelType w:val="hybridMultilevel"/>
    <w:tmpl w:val="0B70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97DEB"/>
    <w:multiLevelType w:val="hybridMultilevel"/>
    <w:tmpl w:val="21483D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FE56E6"/>
    <w:multiLevelType w:val="hybridMultilevel"/>
    <w:tmpl w:val="DD72219A"/>
    <w:lvl w:ilvl="0" w:tplc="EDE61B34">
      <w:start w:val="1"/>
      <w:numFmt w:val="decimal"/>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4745A6F"/>
    <w:multiLevelType w:val="hybridMultilevel"/>
    <w:tmpl w:val="403CA8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1"/>
  </w:num>
  <w:num w:numId="3">
    <w:abstractNumId w:val="6"/>
  </w:num>
  <w:num w:numId="4">
    <w:abstractNumId w:val="6"/>
    <w:lvlOverride w:ilvl="0">
      <w:startOverride w:val="1"/>
    </w:lvlOverride>
  </w:num>
  <w:num w:numId="5">
    <w:abstractNumId w:val="6"/>
    <w:lvlOverride w:ilvl="0">
      <w:startOverride w:val="1"/>
    </w:lvlOverride>
  </w:num>
  <w:num w:numId="6">
    <w:abstractNumId w:val="10"/>
  </w:num>
  <w:num w:numId="7">
    <w:abstractNumId w:val="11"/>
    <w:lvlOverride w:ilvl="0">
      <w:startOverride w:val="1"/>
    </w:lvlOverride>
  </w:num>
  <w:num w:numId="8">
    <w:abstractNumId w:val="1"/>
  </w:num>
  <w:num w:numId="9">
    <w:abstractNumId w:val="2"/>
  </w:num>
  <w:num w:numId="10">
    <w:abstractNumId w:val="11"/>
  </w:num>
  <w:num w:numId="11">
    <w:abstractNumId w:val="11"/>
  </w:num>
  <w:num w:numId="12">
    <w:abstractNumId w:val="11"/>
  </w:num>
  <w:num w:numId="13">
    <w:abstractNumId w:val="11"/>
  </w:num>
  <w:num w:numId="14">
    <w:abstractNumId w:val="9"/>
  </w:num>
  <w:num w:numId="15">
    <w:abstractNumId w:val="7"/>
  </w:num>
  <w:num w:numId="16">
    <w:abstractNumId w:val="6"/>
  </w:num>
  <w:num w:numId="17">
    <w:abstractNumId w:val="6"/>
    <w:lvlOverride w:ilvl="0">
      <w:startOverride w:val="1"/>
    </w:lvlOverride>
  </w:num>
  <w:num w:numId="18">
    <w:abstractNumId w:val="6"/>
  </w:num>
  <w:num w:numId="19">
    <w:abstractNumId w:val="8"/>
  </w:num>
  <w:num w:numId="20">
    <w:abstractNumId w:val="6"/>
    <w:lvlOverride w:ilvl="0">
      <w:startOverride w:val="1"/>
    </w:lvlOverride>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lvlOverride w:ilvl="0">
      <w:startOverride w:val="1"/>
    </w:lvlOverride>
  </w:num>
  <w:num w:numId="29">
    <w:abstractNumId w:val="11"/>
    <w:lvlOverride w:ilvl="0">
      <w:startOverride w:val="1"/>
    </w:lvlOverride>
  </w:num>
  <w:num w:numId="30">
    <w:abstractNumId w:val="11"/>
  </w:num>
  <w:num w:numId="31">
    <w:abstractNumId w:val="11"/>
  </w:num>
  <w:num w:numId="32">
    <w:abstractNumId w:val="6"/>
    <w:lvlOverride w:ilvl="0">
      <w:startOverride w:val="1"/>
    </w:lvlOverride>
  </w:num>
  <w:num w:numId="33">
    <w:abstractNumId w:val="6"/>
  </w:num>
  <w:num w:numId="34">
    <w:abstractNumId w:val="11"/>
    <w:lvlOverride w:ilvl="0">
      <w:startOverride w:val="1"/>
    </w:lvlOverride>
  </w:num>
  <w:num w:numId="35">
    <w:abstractNumId w:val="11"/>
    <w:lvlOverride w:ilvl="0">
      <w:startOverride w:val="1"/>
    </w:lvlOverride>
  </w:num>
  <w:num w:numId="36">
    <w:abstractNumId w:val="6"/>
  </w:num>
  <w:num w:numId="37">
    <w:abstractNumId w:val="6"/>
    <w:lvlOverride w:ilvl="0">
      <w:startOverride w:val="1"/>
    </w:lvlOverride>
  </w:num>
  <w:num w:numId="38">
    <w:abstractNumId w:val="6"/>
  </w:num>
  <w:num w:numId="39">
    <w:abstractNumId w:val="11"/>
  </w:num>
  <w:num w:numId="40">
    <w:abstractNumId w:val="6"/>
  </w:num>
  <w:num w:numId="41">
    <w:abstractNumId w:val="3"/>
  </w:num>
  <w:num w:numId="42">
    <w:abstractNumId w:val="5"/>
  </w:num>
  <w:num w:numId="43">
    <w:abstractNumId w:val="12"/>
  </w:num>
  <w:num w:numId="44">
    <w:abstractNumId w:val="6"/>
  </w:num>
  <w:num w:numId="45">
    <w:abstractNumId w:val="11"/>
  </w:num>
  <w:num w:numId="46">
    <w:abstractNumId w:val="6"/>
  </w:num>
  <w:num w:numId="4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AD"/>
    <w:rsid w:val="00001366"/>
    <w:rsid w:val="000039C1"/>
    <w:rsid w:val="000045F7"/>
    <w:rsid w:val="000047BA"/>
    <w:rsid w:val="00004B1B"/>
    <w:rsid w:val="00005919"/>
    <w:rsid w:val="00007391"/>
    <w:rsid w:val="000076E1"/>
    <w:rsid w:val="000105BA"/>
    <w:rsid w:val="00011425"/>
    <w:rsid w:val="00011A63"/>
    <w:rsid w:val="00012559"/>
    <w:rsid w:val="00012BB3"/>
    <w:rsid w:val="0001357D"/>
    <w:rsid w:val="00013BEB"/>
    <w:rsid w:val="000140A9"/>
    <w:rsid w:val="00014871"/>
    <w:rsid w:val="0001556A"/>
    <w:rsid w:val="00015EAF"/>
    <w:rsid w:val="000166D5"/>
    <w:rsid w:val="0001674B"/>
    <w:rsid w:val="00016BEF"/>
    <w:rsid w:val="000172BE"/>
    <w:rsid w:val="00017FA6"/>
    <w:rsid w:val="0002053F"/>
    <w:rsid w:val="00021DE1"/>
    <w:rsid w:val="00022107"/>
    <w:rsid w:val="00022ADC"/>
    <w:rsid w:val="00022FC6"/>
    <w:rsid w:val="00023E8C"/>
    <w:rsid w:val="0002498F"/>
    <w:rsid w:val="00026244"/>
    <w:rsid w:val="00026519"/>
    <w:rsid w:val="000274D0"/>
    <w:rsid w:val="00030A7E"/>
    <w:rsid w:val="0003114F"/>
    <w:rsid w:val="00031FC5"/>
    <w:rsid w:val="000324D6"/>
    <w:rsid w:val="00032935"/>
    <w:rsid w:val="00032C72"/>
    <w:rsid w:val="00032F70"/>
    <w:rsid w:val="00033300"/>
    <w:rsid w:val="0003348C"/>
    <w:rsid w:val="0003575B"/>
    <w:rsid w:val="00035ABE"/>
    <w:rsid w:val="00035B40"/>
    <w:rsid w:val="0003623E"/>
    <w:rsid w:val="0004009B"/>
    <w:rsid w:val="00040469"/>
    <w:rsid w:val="00040903"/>
    <w:rsid w:val="000419F6"/>
    <w:rsid w:val="0004278F"/>
    <w:rsid w:val="00042833"/>
    <w:rsid w:val="00042A8F"/>
    <w:rsid w:val="00043405"/>
    <w:rsid w:val="000434BA"/>
    <w:rsid w:val="000437E5"/>
    <w:rsid w:val="0004590F"/>
    <w:rsid w:val="00046F31"/>
    <w:rsid w:val="00047A14"/>
    <w:rsid w:val="00047C0D"/>
    <w:rsid w:val="0005013D"/>
    <w:rsid w:val="00050BD7"/>
    <w:rsid w:val="0005166A"/>
    <w:rsid w:val="00051C32"/>
    <w:rsid w:val="000528C9"/>
    <w:rsid w:val="00052DAA"/>
    <w:rsid w:val="00052EDB"/>
    <w:rsid w:val="00052F74"/>
    <w:rsid w:val="000538CD"/>
    <w:rsid w:val="00053CAC"/>
    <w:rsid w:val="000543EB"/>
    <w:rsid w:val="000549E4"/>
    <w:rsid w:val="0005661C"/>
    <w:rsid w:val="0005685B"/>
    <w:rsid w:val="00057BD1"/>
    <w:rsid w:val="0006056E"/>
    <w:rsid w:val="000610B9"/>
    <w:rsid w:val="000617A7"/>
    <w:rsid w:val="00061B84"/>
    <w:rsid w:val="000621E7"/>
    <w:rsid w:val="00063000"/>
    <w:rsid w:val="0006308B"/>
    <w:rsid w:val="00063125"/>
    <w:rsid w:val="00065A9F"/>
    <w:rsid w:val="00065E18"/>
    <w:rsid w:val="00065FA3"/>
    <w:rsid w:val="000669B5"/>
    <w:rsid w:val="00066C8D"/>
    <w:rsid w:val="0006742C"/>
    <w:rsid w:val="00070D52"/>
    <w:rsid w:val="00072ABB"/>
    <w:rsid w:val="0007345F"/>
    <w:rsid w:val="000736A2"/>
    <w:rsid w:val="000745E8"/>
    <w:rsid w:val="00075863"/>
    <w:rsid w:val="00076138"/>
    <w:rsid w:val="00080598"/>
    <w:rsid w:val="00080968"/>
    <w:rsid w:val="00080B04"/>
    <w:rsid w:val="00080B1D"/>
    <w:rsid w:val="000812F4"/>
    <w:rsid w:val="00084B0C"/>
    <w:rsid w:val="00085307"/>
    <w:rsid w:val="000853DC"/>
    <w:rsid w:val="00085BAE"/>
    <w:rsid w:val="000863D3"/>
    <w:rsid w:val="000867C1"/>
    <w:rsid w:val="00086824"/>
    <w:rsid w:val="00087484"/>
    <w:rsid w:val="00087980"/>
    <w:rsid w:val="00090908"/>
    <w:rsid w:val="0009113C"/>
    <w:rsid w:val="00094A54"/>
    <w:rsid w:val="00095101"/>
    <w:rsid w:val="000951DC"/>
    <w:rsid w:val="0009778C"/>
    <w:rsid w:val="000A0159"/>
    <w:rsid w:val="000A02DF"/>
    <w:rsid w:val="000A1303"/>
    <w:rsid w:val="000A2B6E"/>
    <w:rsid w:val="000A44E7"/>
    <w:rsid w:val="000A5F6B"/>
    <w:rsid w:val="000A6644"/>
    <w:rsid w:val="000A6937"/>
    <w:rsid w:val="000A6CBB"/>
    <w:rsid w:val="000A7333"/>
    <w:rsid w:val="000A7789"/>
    <w:rsid w:val="000B0BE1"/>
    <w:rsid w:val="000B0E31"/>
    <w:rsid w:val="000B1762"/>
    <w:rsid w:val="000B1D2B"/>
    <w:rsid w:val="000B2044"/>
    <w:rsid w:val="000B58E4"/>
    <w:rsid w:val="000B5DED"/>
    <w:rsid w:val="000B5E30"/>
    <w:rsid w:val="000B6C36"/>
    <w:rsid w:val="000B6C89"/>
    <w:rsid w:val="000B6DCD"/>
    <w:rsid w:val="000C02E3"/>
    <w:rsid w:val="000C0B24"/>
    <w:rsid w:val="000C1E37"/>
    <w:rsid w:val="000C249D"/>
    <w:rsid w:val="000C2F4A"/>
    <w:rsid w:val="000C2FC3"/>
    <w:rsid w:val="000C3134"/>
    <w:rsid w:val="000C31AB"/>
    <w:rsid w:val="000C45A5"/>
    <w:rsid w:val="000C5D43"/>
    <w:rsid w:val="000C64C8"/>
    <w:rsid w:val="000C74D4"/>
    <w:rsid w:val="000C7A93"/>
    <w:rsid w:val="000C7E30"/>
    <w:rsid w:val="000D0CC2"/>
    <w:rsid w:val="000D1CF7"/>
    <w:rsid w:val="000D2086"/>
    <w:rsid w:val="000D2545"/>
    <w:rsid w:val="000D2944"/>
    <w:rsid w:val="000D2A04"/>
    <w:rsid w:val="000D2B89"/>
    <w:rsid w:val="000D449E"/>
    <w:rsid w:val="000D4D30"/>
    <w:rsid w:val="000D5166"/>
    <w:rsid w:val="000D5B20"/>
    <w:rsid w:val="000D64B8"/>
    <w:rsid w:val="000D6B9C"/>
    <w:rsid w:val="000D6DD8"/>
    <w:rsid w:val="000D7206"/>
    <w:rsid w:val="000E0390"/>
    <w:rsid w:val="000E0584"/>
    <w:rsid w:val="000E16BF"/>
    <w:rsid w:val="000E1B43"/>
    <w:rsid w:val="000E1BA6"/>
    <w:rsid w:val="000E222A"/>
    <w:rsid w:val="000E259D"/>
    <w:rsid w:val="000E25D5"/>
    <w:rsid w:val="000E2853"/>
    <w:rsid w:val="000E3D9E"/>
    <w:rsid w:val="000E48DB"/>
    <w:rsid w:val="000E5244"/>
    <w:rsid w:val="000E5C5C"/>
    <w:rsid w:val="000E640C"/>
    <w:rsid w:val="000E6626"/>
    <w:rsid w:val="000E684A"/>
    <w:rsid w:val="000E72B5"/>
    <w:rsid w:val="000E7A01"/>
    <w:rsid w:val="000E7A9D"/>
    <w:rsid w:val="000E7FDE"/>
    <w:rsid w:val="000F0A77"/>
    <w:rsid w:val="000F1521"/>
    <w:rsid w:val="000F17CF"/>
    <w:rsid w:val="000F3187"/>
    <w:rsid w:val="000F3361"/>
    <w:rsid w:val="000F531D"/>
    <w:rsid w:val="000F5E5A"/>
    <w:rsid w:val="000F5ED6"/>
    <w:rsid w:val="000F5F09"/>
    <w:rsid w:val="000F6F0E"/>
    <w:rsid w:val="000F75F7"/>
    <w:rsid w:val="000F767F"/>
    <w:rsid w:val="000F7DEB"/>
    <w:rsid w:val="00100C7F"/>
    <w:rsid w:val="00100F1C"/>
    <w:rsid w:val="00102D3F"/>
    <w:rsid w:val="001032B2"/>
    <w:rsid w:val="0010513D"/>
    <w:rsid w:val="001061B4"/>
    <w:rsid w:val="001068CF"/>
    <w:rsid w:val="0010773E"/>
    <w:rsid w:val="00107771"/>
    <w:rsid w:val="00107802"/>
    <w:rsid w:val="001103E2"/>
    <w:rsid w:val="00110B4F"/>
    <w:rsid w:val="00110D01"/>
    <w:rsid w:val="001112CD"/>
    <w:rsid w:val="00111748"/>
    <w:rsid w:val="00111B3C"/>
    <w:rsid w:val="00112A60"/>
    <w:rsid w:val="00112B09"/>
    <w:rsid w:val="00113989"/>
    <w:rsid w:val="001148F8"/>
    <w:rsid w:val="001150B7"/>
    <w:rsid w:val="001151DA"/>
    <w:rsid w:val="00115341"/>
    <w:rsid w:val="0011555D"/>
    <w:rsid w:val="00115EAC"/>
    <w:rsid w:val="00122162"/>
    <w:rsid w:val="00122435"/>
    <w:rsid w:val="0012425C"/>
    <w:rsid w:val="001243CD"/>
    <w:rsid w:val="00124440"/>
    <w:rsid w:val="001248FF"/>
    <w:rsid w:val="00124903"/>
    <w:rsid w:val="00124C0C"/>
    <w:rsid w:val="0012658F"/>
    <w:rsid w:val="00126657"/>
    <w:rsid w:val="00126DFB"/>
    <w:rsid w:val="00126E6A"/>
    <w:rsid w:val="00127E18"/>
    <w:rsid w:val="00131AFF"/>
    <w:rsid w:val="00132503"/>
    <w:rsid w:val="00132FAD"/>
    <w:rsid w:val="0013319E"/>
    <w:rsid w:val="001336AD"/>
    <w:rsid w:val="00135A86"/>
    <w:rsid w:val="00135F84"/>
    <w:rsid w:val="00136B26"/>
    <w:rsid w:val="00136E68"/>
    <w:rsid w:val="001400E3"/>
    <w:rsid w:val="00142E99"/>
    <w:rsid w:val="001430BF"/>
    <w:rsid w:val="001434F0"/>
    <w:rsid w:val="00143FA1"/>
    <w:rsid w:val="00143FC6"/>
    <w:rsid w:val="001446FC"/>
    <w:rsid w:val="001460C3"/>
    <w:rsid w:val="00150962"/>
    <w:rsid w:val="00150FB3"/>
    <w:rsid w:val="00151BC9"/>
    <w:rsid w:val="00151DBF"/>
    <w:rsid w:val="0015239D"/>
    <w:rsid w:val="001524D0"/>
    <w:rsid w:val="00152EAD"/>
    <w:rsid w:val="00153BF3"/>
    <w:rsid w:val="0015401A"/>
    <w:rsid w:val="0015418D"/>
    <w:rsid w:val="00154511"/>
    <w:rsid w:val="00154C47"/>
    <w:rsid w:val="001551C8"/>
    <w:rsid w:val="001555D7"/>
    <w:rsid w:val="00155E8D"/>
    <w:rsid w:val="00156391"/>
    <w:rsid w:val="00156760"/>
    <w:rsid w:val="00156E5A"/>
    <w:rsid w:val="001571AD"/>
    <w:rsid w:val="00157CD2"/>
    <w:rsid w:val="0016014F"/>
    <w:rsid w:val="00161CA7"/>
    <w:rsid w:val="00163F36"/>
    <w:rsid w:val="00163F79"/>
    <w:rsid w:val="00164A72"/>
    <w:rsid w:val="001659CC"/>
    <w:rsid w:val="00165DCC"/>
    <w:rsid w:val="001673D9"/>
    <w:rsid w:val="00167412"/>
    <w:rsid w:val="00167DD5"/>
    <w:rsid w:val="00170796"/>
    <w:rsid w:val="001709B3"/>
    <w:rsid w:val="00171148"/>
    <w:rsid w:val="00171AB3"/>
    <w:rsid w:val="00171CF5"/>
    <w:rsid w:val="00171D6A"/>
    <w:rsid w:val="001722F8"/>
    <w:rsid w:val="00173506"/>
    <w:rsid w:val="00173FEB"/>
    <w:rsid w:val="0017417F"/>
    <w:rsid w:val="00174634"/>
    <w:rsid w:val="00174853"/>
    <w:rsid w:val="00174E53"/>
    <w:rsid w:val="00176053"/>
    <w:rsid w:val="00176438"/>
    <w:rsid w:val="00176F15"/>
    <w:rsid w:val="00177589"/>
    <w:rsid w:val="00180244"/>
    <w:rsid w:val="001812D7"/>
    <w:rsid w:val="00181A53"/>
    <w:rsid w:val="001830E6"/>
    <w:rsid w:val="00184A69"/>
    <w:rsid w:val="00184CF0"/>
    <w:rsid w:val="0018617F"/>
    <w:rsid w:val="001868DA"/>
    <w:rsid w:val="00186ACA"/>
    <w:rsid w:val="00187211"/>
    <w:rsid w:val="00187C60"/>
    <w:rsid w:val="00190110"/>
    <w:rsid w:val="00190721"/>
    <w:rsid w:val="00191683"/>
    <w:rsid w:val="001919AF"/>
    <w:rsid w:val="00192187"/>
    <w:rsid w:val="00192E4A"/>
    <w:rsid w:val="00193339"/>
    <w:rsid w:val="00193624"/>
    <w:rsid w:val="001938C7"/>
    <w:rsid w:val="00194B04"/>
    <w:rsid w:val="0019571B"/>
    <w:rsid w:val="00195D8A"/>
    <w:rsid w:val="00196321"/>
    <w:rsid w:val="0019718F"/>
    <w:rsid w:val="00197D16"/>
    <w:rsid w:val="001A07C6"/>
    <w:rsid w:val="001A0A09"/>
    <w:rsid w:val="001A0BAF"/>
    <w:rsid w:val="001A0C18"/>
    <w:rsid w:val="001A11B7"/>
    <w:rsid w:val="001A203B"/>
    <w:rsid w:val="001A277E"/>
    <w:rsid w:val="001A2F78"/>
    <w:rsid w:val="001A42AD"/>
    <w:rsid w:val="001A4594"/>
    <w:rsid w:val="001A4E75"/>
    <w:rsid w:val="001A554A"/>
    <w:rsid w:val="001A5C82"/>
    <w:rsid w:val="001A6E35"/>
    <w:rsid w:val="001A7B11"/>
    <w:rsid w:val="001A7B47"/>
    <w:rsid w:val="001B0991"/>
    <w:rsid w:val="001B0DAD"/>
    <w:rsid w:val="001B1A02"/>
    <w:rsid w:val="001B1B57"/>
    <w:rsid w:val="001B2217"/>
    <w:rsid w:val="001B3881"/>
    <w:rsid w:val="001B3D80"/>
    <w:rsid w:val="001B4290"/>
    <w:rsid w:val="001B4376"/>
    <w:rsid w:val="001B47E7"/>
    <w:rsid w:val="001B5680"/>
    <w:rsid w:val="001B5C88"/>
    <w:rsid w:val="001B7F18"/>
    <w:rsid w:val="001C0490"/>
    <w:rsid w:val="001C5AB1"/>
    <w:rsid w:val="001C6479"/>
    <w:rsid w:val="001C6BF8"/>
    <w:rsid w:val="001C7314"/>
    <w:rsid w:val="001D0618"/>
    <w:rsid w:val="001D111B"/>
    <w:rsid w:val="001D15B4"/>
    <w:rsid w:val="001D2496"/>
    <w:rsid w:val="001D2BD5"/>
    <w:rsid w:val="001D2E3D"/>
    <w:rsid w:val="001D3C15"/>
    <w:rsid w:val="001D43E7"/>
    <w:rsid w:val="001D4640"/>
    <w:rsid w:val="001D4BD1"/>
    <w:rsid w:val="001D4FFE"/>
    <w:rsid w:val="001D521E"/>
    <w:rsid w:val="001D5AB0"/>
    <w:rsid w:val="001D5E2A"/>
    <w:rsid w:val="001D7336"/>
    <w:rsid w:val="001D7428"/>
    <w:rsid w:val="001D7FC9"/>
    <w:rsid w:val="001E030B"/>
    <w:rsid w:val="001E1027"/>
    <w:rsid w:val="001E1D7A"/>
    <w:rsid w:val="001E2109"/>
    <w:rsid w:val="001E310C"/>
    <w:rsid w:val="001E3243"/>
    <w:rsid w:val="001E4478"/>
    <w:rsid w:val="001E4BAB"/>
    <w:rsid w:val="001E4D34"/>
    <w:rsid w:val="001E565B"/>
    <w:rsid w:val="001E5DEA"/>
    <w:rsid w:val="001E7817"/>
    <w:rsid w:val="001E7AF1"/>
    <w:rsid w:val="001F086C"/>
    <w:rsid w:val="001F0AA3"/>
    <w:rsid w:val="001F0C24"/>
    <w:rsid w:val="001F125E"/>
    <w:rsid w:val="001F1273"/>
    <w:rsid w:val="001F15D6"/>
    <w:rsid w:val="001F1B3B"/>
    <w:rsid w:val="001F1B4E"/>
    <w:rsid w:val="001F3415"/>
    <w:rsid w:val="001F35F8"/>
    <w:rsid w:val="001F45C1"/>
    <w:rsid w:val="001F5258"/>
    <w:rsid w:val="001F56E7"/>
    <w:rsid w:val="001F6106"/>
    <w:rsid w:val="001F6A0D"/>
    <w:rsid w:val="001F6E2C"/>
    <w:rsid w:val="001F734A"/>
    <w:rsid w:val="001F75EC"/>
    <w:rsid w:val="00201B1A"/>
    <w:rsid w:val="00201CA6"/>
    <w:rsid w:val="0020491A"/>
    <w:rsid w:val="00204931"/>
    <w:rsid w:val="00205535"/>
    <w:rsid w:val="0020694D"/>
    <w:rsid w:val="0020700A"/>
    <w:rsid w:val="0020738C"/>
    <w:rsid w:val="002073E4"/>
    <w:rsid w:val="00207756"/>
    <w:rsid w:val="00210119"/>
    <w:rsid w:val="00211B1B"/>
    <w:rsid w:val="00212323"/>
    <w:rsid w:val="00212EFE"/>
    <w:rsid w:val="0021357C"/>
    <w:rsid w:val="002144AD"/>
    <w:rsid w:val="00215CB7"/>
    <w:rsid w:val="00217E5C"/>
    <w:rsid w:val="00217FFB"/>
    <w:rsid w:val="00220F49"/>
    <w:rsid w:val="00220FBD"/>
    <w:rsid w:val="00221332"/>
    <w:rsid w:val="002217E1"/>
    <w:rsid w:val="002223DE"/>
    <w:rsid w:val="00222602"/>
    <w:rsid w:val="00222981"/>
    <w:rsid w:val="00224272"/>
    <w:rsid w:val="00224ACE"/>
    <w:rsid w:val="002251C0"/>
    <w:rsid w:val="00225599"/>
    <w:rsid w:val="002263EA"/>
    <w:rsid w:val="002307D1"/>
    <w:rsid w:val="00230CBA"/>
    <w:rsid w:val="00231994"/>
    <w:rsid w:val="002327FC"/>
    <w:rsid w:val="0023282C"/>
    <w:rsid w:val="002329FA"/>
    <w:rsid w:val="00233484"/>
    <w:rsid w:val="002348B0"/>
    <w:rsid w:val="00234EE9"/>
    <w:rsid w:val="002353BB"/>
    <w:rsid w:val="00235813"/>
    <w:rsid w:val="00235C4C"/>
    <w:rsid w:val="00235C9D"/>
    <w:rsid w:val="00236395"/>
    <w:rsid w:val="00237969"/>
    <w:rsid w:val="00237D89"/>
    <w:rsid w:val="002408A6"/>
    <w:rsid w:val="00240CB8"/>
    <w:rsid w:val="00241879"/>
    <w:rsid w:val="0024290C"/>
    <w:rsid w:val="00242B34"/>
    <w:rsid w:val="002434C4"/>
    <w:rsid w:val="00243780"/>
    <w:rsid w:val="00243BD1"/>
    <w:rsid w:val="0024470E"/>
    <w:rsid w:val="00244A49"/>
    <w:rsid w:val="00245215"/>
    <w:rsid w:val="002453AA"/>
    <w:rsid w:val="00245E33"/>
    <w:rsid w:val="00246056"/>
    <w:rsid w:val="00246266"/>
    <w:rsid w:val="002462FD"/>
    <w:rsid w:val="00246739"/>
    <w:rsid w:val="00252B8B"/>
    <w:rsid w:val="002534CA"/>
    <w:rsid w:val="00255C70"/>
    <w:rsid w:val="0025612E"/>
    <w:rsid w:val="002563C4"/>
    <w:rsid w:val="00256F74"/>
    <w:rsid w:val="00260650"/>
    <w:rsid w:val="00260DCD"/>
    <w:rsid w:val="002619FC"/>
    <w:rsid w:val="00261E0C"/>
    <w:rsid w:val="002625EC"/>
    <w:rsid w:val="00262FA2"/>
    <w:rsid w:val="002631FE"/>
    <w:rsid w:val="00263395"/>
    <w:rsid w:val="002635D7"/>
    <w:rsid w:val="00264A69"/>
    <w:rsid w:val="00264E7F"/>
    <w:rsid w:val="00265148"/>
    <w:rsid w:val="002670DD"/>
    <w:rsid w:val="002678B2"/>
    <w:rsid w:val="00267CAA"/>
    <w:rsid w:val="002702D1"/>
    <w:rsid w:val="00271733"/>
    <w:rsid w:val="00272700"/>
    <w:rsid w:val="002729F7"/>
    <w:rsid w:val="00272E7A"/>
    <w:rsid w:val="0027357D"/>
    <w:rsid w:val="0027362D"/>
    <w:rsid w:val="00273C92"/>
    <w:rsid w:val="002746FC"/>
    <w:rsid w:val="00274BAD"/>
    <w:rsid w:val="00274F25"/>
    <w:rsid w:val="002752E0"/>
    <w:rsid w:val="00275A69"/>
    <w:rsid w:val="00275D09"/>
    <w:rsid w:val="00276B63"/>
    <w:rsid w:val="002775AE"/>
    <w:rsid w:val="00277DD8"/>
    <w:rsid w:val="0028084F"/>
    <w:rsid w:val="0028109C"/>
    <w:rsid w:val="002810B9"/>
    <w:rsid w:val="00281890"/>
    <w:rsid w:val="00281DC7"/>
    <w:rsid w:val="0028298C"/>
    <w:rsid w:val="00282ED0"/>
    <w:rsid w:val="0028300E"/>
    <w:rsid w:val="00283D4B"/>
    <w:rsid w:val="00284401"/>
    <w:rsid w:val="00284C94"/>
    <w:rsid w:val="002851CB"/>
    <w:rsid w:val="002856A8"/>
    <w:rsid w:val="002873E8"/>
    <w:rsid w:val="00287889"/>
    <w:rsid w:val="002878E9"/>
    <w:rsid w:val="002908BA"/>
    <w:rsid w:val="0029178E"/>
    <w:rsid w:val="00291CA4"/>
    <w:rsid w:val="00291D72"/>
    <w:rsid w:val="00291E4A"/>
    <w:rsid w:val="002924F8"/>
    <w:rsid w:val="00293755"/>
    <w:rsid w:val="0029457D"/>
    <w:rsid w:val="00294873"/>
    <w:rsid w:val="00294942"/>
    <w:rsid w:val="00294DEC"/>
    <w:rsid w:val="00296AFE"/>
    <w:rsid w:val="00296B4E"/>
    <w:rsid w:val="002971CC"/>
    <w:rsid w:val="002974B1"/>
    <w:rsid w:val="002A2675"/>
    <w:rsid w:val="002A41B0"/>
    <w:rsid w:val="002A652F"/>
    <w:rsid w:val="002A65A8"/>
    <w:rsid w:val="002A6F55"/>
    <w:rsid w:val="002A753B"/>
    <w:rsid w:val="002A7659"/>
    <w:rsid w:val="002A7AE3"/>
    <w:rsid w:val="002A7EFD"/>
    <w:rsid w:val="002B1A28"/>
    <w:rsid w:val="002B4E4D"/>
    <w:rsid w:val="002B4FE6"/>
    <w:rsid w:val="002B5E4E"/>
    <w:rsid w:val="002B641A"/>
    <w:rsid w:val="002B68CF"/>
    <w:rsid w:val="002B77F2"/>
    <w:rsid w:val="002C016E"/>
    <w:rsid w:val="002C039A"/>
    <w:rsid w:val="002C092D"/>
    <w:rsid w:val="002C1CCA"/>
    <w:rsid w:val="002C2E27"/>
    <w:rsid w:val="002C3B0A"/>
    <w:rsid w:val="002C4A07"/>
    <w:rsid w:val="002C6100"/>
    <w:rsid w:val="002C6A6B"/>
    <w:rsid w:val="002C6AF3"/>
    <w:rsid w:val="002D14C7"/>
    <w:rsid w:val="002D14D5"/>
    <w:rsid w:val="002D18EF"/>
    <w:rsid w:val="002D1B24"/>
    <w:rsid w:val="002D2889"/>
    <w:rsid w:val="002D2EAF"/>
    <w:rsid w:val="002D32BE"/>
    <w:rsid w:val="002D33C6"/>
    <w:rsid w:val="002D3D19"/>
    <w:rsid w:val="002D4056"/>
    <w:rsid w:val="002D42B1"/>
    <w:rsid w:val="002D5666"/>
    <w:rsid w:val="002D589C"/>
    <w:rsid w:val="002D5B64"/>
    <w:rsid w:val="002D6F2A"/>
    <w:rsid w:val="002D7760"/>
    <w:rsid w:val="002E0E71"/>
    <w:rsid w:val="002E0F85"/>
    <w:rsid w:val="002E1640"/>
    <w:rsid w:val="002E2961"/>
    <w:rsid w:val="002E39C1"/>
    <w:rsid w:val="002E3B6B"/>
    <w:rsid w:val="002E42FF"/>
    <w:rsid w:val="002E4F53"/>
    <w:rsid w:val="002E4FF4"/>
    <w:rsid w:val="002E5CB5"/>
    <w:rsid w:val="002E5F9F"/>
    <w:rsid w:val="002E6466"/>
    <w:rsid w:val="002E7CBE"/>
    <w:rsid w:val="002E7E4B"/>
    <w:rsid w:val="002F1226"/>
    <w:rsid w:val="002F206F"/>
    <w:rsid w:val="002F37CF"/>
    <w:rsid w:val="002F3889"/>
    <w:rsid w:val="002F5BAF"/>
    <w:rsid w:val="002F668B"/>
    <w:rsid w:val="002F69D9"/>
    <w:rsid w:val="002F79FC"/>
    <w:rsid w:val="002F7C44"/>
    <w:rsid w:val="003007A9"/>
    <w:rsid w:val="003019EF"/>
    <w:rsid w:val="00301D68"/>
    <w:rsid w:val="00302643"/>
    <w:rsid w:val="00302FE2"/>
    <w:rsid w:val="00303653"/>
    <w:rsid w:val="00303C13"/>
    <w:rsid w:val="003041E0"/>
    <w:rsid w:val="00304ADA"/>
    <w:rsid w:val="003050E9"/>
    <w:rsid w:val="00305402"/>
    <w:rsid w:val="00305496"/>
    <w:rsid w:val="003056B1"/>
    <w:rsid w:val="00305F70"/>
    <w:rsid w:val="00307B48"/>
    <w:rsid w:val="003102A4"/>
    <w:rsid w:val="003103CE"/>
    <w:rsid w:val="003110FB"/>
    <w:rsid w:val="0031110C"/>
    <w:rsid w:val="00311191"/>
    <w:rsid w:val="003111E5"/>
    <w:rsid w:val="0031143B"/>
    <w:rsid w:val="00311B76"/>
    <w:rsid w:val="003122ED"/>
    <w:rsid w:val="00312F65"/>
    <w:rsid w:val="00313421"/>
    <w:rsid w:val="0031351F"/>
    <w:rsid w:val="00316424"/>
    <w:rsid w:val="00316523"/>
    <w:rsid w:val="00316F0B"/>
    <w:rsid w:val="00317AA5"/>
    <w:rsid w:val="00317E65"/>
    <w:rsid w:val="0032027F"/>
    <w:rsid w:val="00320EDE"/>
    <w:rsid w:val="003213C0"/>
    <w:rsid w:val="00321D57"/>
    <w:rsid w:val="003225D0"/>
    <w:rsid w:val="00324031"/>
    <w:rsid w:val="00324061"/>
    <w:rsid w:val="0032408A"/>
    <w:rsid w:val="0032530A"/>
    <w:rsid w:val="00325AB2"/>
    <w:rsid w:val="003276EF"/>
    <w:rsid w:val="003310E6"/>
    <w:rsid w:val="00331ED9"/>
    <w:rsid w:val="003320D1"/>
    <w:rsid w:val="00332494"/>
    <w:rsid w:val="003336AB"/>
    <w:rsid w:val="0033598E"/>
    <w:rsid w:val="00336588"/>
    <w:rsid w:val="00336977"/>
    <w:rsid w:val="0033738A"/>
    <w:rsid w:val="00337393"/>
    <w:rsid w:val="003403B4"/>
    <w:rsid w:val="00340B5E"/>
    <w:rsid w:val="00340BDB"/>
    <w:rsid w:val="0034158A"/>
    <w:rsid w:val="0034237D"/>
    <w:rsid w:val="003435E6"/>
    <w:rsid w:val="003448A6"/>
    <w:rsid w:val="00345362"/>
    <w:rsid w:val="00346430"/>
    <w:rsid w:val="003469C6"/>
    <w:rsid w:val="00347697"/>
    <w:rsid w:val="00350F54"/>
    <w:rsid w:val="00350FE8"/>
    <w:rsid w:val="0035122F"/>
    <w:rsid w:val="00351AA1"/>
    <w:rsid w:val="00352514"/>
    <w:rsid w:val="00352C04"/>
    <w:rsid w:val="00353232"/>
    <w:rsid w:val="00353712"/>
    <w:rsid w:val="003541EB"/>
    <w:rsid w:val="0035556C"/>
    <w:rsid w:val="00355977"/>
    <w:rsid w:val="00355D49"/>
    <w:rsid w:val="00356B17"/>
    <w:rsid w:val="00356B62"/>
    <w:rsid w:val="003607CE"/>
    <w:rsid w:val="003609E0"/>
    <w:rsid w:val="00361960"/>
    <w:rsid w:val="003625F0"/>
    <w:rsid w:val="0036279B"/>
    <w:rsid w:val="00363F15"/>
    <w:rsid w:val="00370D3E"/>
    <w:rsid w:val="00371184"/>
    <w:rsid w:val="0037119A"/>
    <w:rsid w:val="003717D8"/>
    <w:rsid w:val="00372380"/>
    <w:rsid w:val="00373839"/>
    <w:rsid w:val="003741F4"/>
    <w:rsid w:val="00374ED8"/>
    <w:rsid w:val="00374F45"/>
    <w:rsid w:val="00374FF0"/>
    <w:rsid w:val="00380401"/>
    <w:rsid w:val="003810FC"/>
    <w:rsid w:val="00381B37"/>
    <w:rsid w:val="003824BD"/>
    <w:rsid w:val="00382768"/>
    <w:rsid w:val="003829B2"/>
    <w:rsid w:val="00382AFA"/>
    <w:rsid w:val="00383083"/>
    <w:rsid w:val="00385C91"/>
    <w:rsid w:val="00386213"/>
    <w:rsid w:val="00386431"/>
    <w:rsid w:val="00387F73"/>
    <w:rsid w:val="003900C9"/>
    <w:rsid w:val="003903F4"/>
    <w:rsid w:val="00390410"/>
    <w:rsid w:val="00390E99"/>
    <w:rsid w:val="00390FB8"/>
    <w:rsid w:val="00391849"/>
    <w:rsid w:val="00392982"/>
    <w:rsid w:val="00393FD6"/>
    <w:rsid w:val="003942BF"/>
    <w:rsid w:val="00394483"/>
    <w:rsid w:val="00394E5D"/>
    <w:rsid w:val="00394EF6"/>
    <w:rsid w:val="00396D99"/>
    <w:rsid w:val="00397353"/>
    <w:rsid w:val="00397D00"/>
    <w:rsid w:val="003A3135"/>
    <w:rsid w:val="003A3C66"/>
    <w:rsid w:val="003A4017"/>
    <w:rsid w:val="003A423F"/>
    <w:rsid w:val="003A5447"/>
    <w:rsid w:val="003A6130"/>
    <w:rsid w:val="003A6F04"/>
    <w:rsid w:val="003B08E1"/>
    <w:rsid w:val="003B1A28"/>
    <w:rsid w:val="003B1AC8"/>
    <w:rsid w:val="003B1B67"/>
    <w:rsid w:val="003B297F"/>
    <w:rsid w:val="003B33B6"/>
    <w:rsid w:val="003B4765"/>
    <w:rsid w:val="003B4D2B"/>
    <w:rsid w:val="003B4FB2"/>
    <w:rsid w:val="003B5735"/>
    <w:rsid w:val="003B6E07"/>
    <w:rsid w:val="003B759D"/>
    <w:rsid w:val="003C149B"/>
    <w:rsid w:val="003C1D75"/>
    <w:rsid w:val="003C2810"/>
    <w:rsid w:val="003C3776"/>
    <w:rsid w:val="003C385F"/>
    <w:rsid w:val="003C49AB"/>
    <w:rsid w:val="003C4B2C"/>
    <w:rsid w:val="003C502C"/>
    <w:rsid w:val="003C5667"/>
    <w:rsid w:val="003C592D"/>
    <w:rsid w:val="003C60E3"/>
    <w:rsid w:val="003D08EF"/>
    <w:rsid w:val="003D0D28"/>
    <w:rsid w:val="003D21FF"/>
    <w:rsid w:val="003D3A78"/>
    <w:rsid w:val="003D4B5A"/>
    <w:rsid w:val="003D4F20"/>
    <w:rsid w:val="003D578F"/>
    <w:rsid w:val="003D5AB4"/>
    <w:rsid w:val="003D686A"/>
    <w:rsid w:val="003D6874"/>
    <w:rsid w:val="003E2604"/>
    <w:rsid w:val="003E39AB"/>
    <w:rsid w:val="003E3D16"/>
    <w:rsid w:val="003E3D85"/>
    <w:rsid w:val="003E400E"/>
    <w:rsid w:val="003E425E"/>
    <w:rsid w:val="003E4330"/>
    <w:rsid w:val="003E46E1"/>
    <w:rsid w:val="003E4840"/>
    <w:rsid w:val="003E4B43"/>
    <w:rsid w:val="003E5730"/>
    <w:rsid w:val="003E6BD1"/>
    <w:rsid w:val="003E7393"/>
    <w:rsid w:val="003E753E"/>
    <w:rsid w:val="003E78E7"/>
    <w:rsid w:val="003E7CD6"/>
    <w:rsid w:val="003F1CD8"/>
    <w:rsid w:val="003F26BA"/>
    <w:rsid w:val="003F2974"/>
    <w:rsid w:val="003F2C74"/>
    <w:rsid w:val="003F36CC"/>
    <w:rsid w:val="003F5955"/>
    <w:rsid w:val="003F5E46"/>
    <w:rsid w:val="003F5FEC"/>
    <w:rsid w:val="003F6524"/>
    <w:rsid w:val="003F6B32"/>
    <w:rsid w:val="003F71BB"/>
    <w:rsid w:val="003F73A5"/>
    <w:rsid w:val="003F769C"/>
    <w:rsid w:val="003F788B"/>
    <w:rsid w:val="0040003A"/>
    <w:rsid w:val="00400128"/>
    <w:rsid w:val="004011D5"/>
    <w:rsid w:val="0040130E"/>
    <w:rsid w:val="004015FC"/>
    <w:rsid w:val="00401E03"/>
    <w:rsid w:val="004020BC"/>
    <w:rsid w:val="004026AD"/>
    <w:rsid w:val="004027A6"/>
    <w:rsid w:val="00402AE1"/>
    <w:rsid w:val="00403245"/>
    <w:rsid w:val="0040549B"/>
    <w:rsid w:val="00405960"/>
    <w:rsid w:val="00405CFE"/>
    <w:rsid w:val="0040659B"/>
    <w:rsid w:val="00407254"/>
    <w:rsid w:val="0040759C"/>
    <w:rsid w:val="004078AC"/>
    <w:rsid w:val="00407BB2"/>
    <w:rsid w:val="00411E77"/>
    <w:rsid w:val="00412934"/>
    <w:rsid w:val="00412B06"/>
    <w:rsid w:val="00413D48"/>
    <w:rsid w:val="00413D72"/>
    <w:rsid w:val="00416149"/>
    <w:rsid w:val="0041627C"/>
    <w:rsid w:val="00416283"/>
    <w:rsid w:val="00416806"/>
    <w:rsid w:val="00416A6E"/>
    <w:rsid w:val="00416D11"/>
    <w:rsid w:val="00417260"/>
    <w:rsid w:val="004202F0"/>
    <w:rsid w:val="0042040E"/>
    <w:rsid w:val="00420D60"/>
    <w:rsid w:val="0042148E"/>
    <w:rsid w:val="00421EA5"/>
    <w:rsid w:val="00421EDE"/>
    <w:rsid w:val="00422BA7"/>
    <w:rsid w:val="00423A56"/>
    <w:rsid w:val="0042424F"/>
    <w:rsid w:val="00424AA5"/>
    <w:rsid w:val="00424FFA"/>
    <w:rsid w:val="00426839"/>
    <w:rsid w:val="0042716B"/>
    <w:rsid w:val="004272F8"/>
    <w:rsid w:val="0042756C"/>
    <w:rsid w:val="00427B54"/>
    <w:rsid w:val="00427C46"/>
    <w:rsid w:val="00427FC9"/>
    <w:rsid w:val="00430880"/>
    <w:rsid w:val="004308DA"/>
    <w:rsid w:val="00430997"/>
    <w:rsid w:val="00430B11"/>
    <w:rsid w:val="00432473"/>
    <w:rsid w:val="00432480"/>
    <w:rsid w:val="00434D77"/>
    <w:rsid w:val="00436132"/>
    <w:rsid w:val="0043775C"/>
    <w:rsid w:val="004378C8"/>
    <w:rsid w:val="00437AD4"/>
    <w:rsid w:val="0044004E"/>
    <w:rsid w:val="00441168"/>
    <w:rsid w:val="00441371"/>
    <w:rsid w:val="0044150A"/>
    <w:rsid w:val="0044197A"/>
    <w:rsid w:val="00441BA6"/>
    <w:rsid w:val="0044228C"/>
    <w:rsid w:val="004423DE"/>
    <w:rsid w:val="00442699"/>
    <w:rsid w:val="00442DC0"/>
    <w:rsid w:val="00444307"/>
    <w:rsid w:val="00444490"/>
    <w:rsid w:val="00445C20"/>
    <w:rsid w:val="004508B5"/>
    <w:rsid w:val="00450CB7"/>
    <w:rsid w:val="00452EE9"/>
    <w:rsid w:val="00452EF2"/>
    <w:rsid w:val="004531FE"/>
    <w:rsid w:val="0045327A"/>
    <w:rsid w:val="00453AC1"/>
    <w:rsid w:val="004550C9"/>
    <w:rsid w:val="00455AAB"/>
    <w:rsid w:val="00457431"/>
    <w:rsid w:val="00457479"/>
    <w:rsid w:val="00461111"/>
    <w:rsid w:val="00461B64"/>
    <w:rsid w:val="00462A4F"/>
    <w:rsid w:val="00463044"/>
    <w:rsid w:val="00463621"/>
    <w:rsid w:val="0046414C"/>
    <w:rsid w:val="00464B48"/>
    <w:rsid w:val="00464D0C"/>
    <w:rsid w:val="00465CDB"/>
    <w:rsid w:val="00466228"/>
    <w:rsid w:val="00466B9C"/>
    <w:rsid w:val="0046730C"/>
    <w:rsid w:val="00467B03"/>
    <w:rsid w:val="00470B02"/>
    <w:rsid w:val="00471C3F"/>
    <w:rsid w:val="00471D52"/>
    <w:rsid w:val="004725CA"/>
    <w:rsid w:val="004732A0"/>
    <w:rsid w:val="004735AC"/>
    <w:rsid w:val="00473BD6"/>
    <w:rsid w:val="004763B7"/>
    <w:rsid w:val="00477444"/>
    <w:rsid w:val="004775DF"/>
    <w:rsid w:val="00480DD0"/>
    <w:rsid w:val="0048114E"/>
    <w:rsid w:val="00482046"/>
    <w:rsid w:val="00482A02"/>
    <w:rsid w:val="00482E1A"/>
    <w:rsid w:val="0048444F"/>
    <w:rsid w:val="00484AB3"/>
    <w:rsid w:val="004853CC"/>
    <w:rsid w:val="00486467"/>
    <w:rsid w:val="004867EF"/>
    <w:rsid w:val="004869A4"/>
    <w:rsid w:val="004877A6"/>
    <w:rsid w:val="0048792E"/>
    <w:rsid w:val="004909EF"/>
    <w:rsid w:val="00490D4E"/>
    <w:rsid w:val="00490E22"/>
    <w:rsid w:val="00491D44"/>
    <w:rsid w:val="00492050"/>
    <w:rsid w:val="0049263A"/>
    <w:rsid w:val="004929B1"/>
    <w:rsid w:val="00492EDF"/>
    <w:rsid w:val="004934F2"/>
    <w:rsid w:val="004940D7"/>
    <w:rsid w:val="00494CBF"/>
    <w:rsid w:val="004951B4"/>
    <w:rsid w:val="00495A26"/>
    <w:rsid w:val="00495AED"/>
    <w:rsid w:val="0049618E"/>
    <w:rsid w:val="00496EF7"/>
    <w:rsid w:val="004971BA"/>
    <w:rsid w:val="00497405"/>
    <w:rsid w:val="004A2122"/>
    <w:rsid w:val="004A27B2"/>
    <w:rsid w:val="004A2F25"/>
    <w:rsid w:val="004A317D"/>
    <w:rsid w:val="004A3277"/>
    <w:rsid w:val="004A4771"/>
    <w:rsid w:val="004A480C"/>
    <w:rsid w:val="004A700C"/>
    <w:rsid w:val="004A7358"/>
    <w:rsid w:val="004B053D"/>
    <w:rsid w:val="004B18EA"/>
    <w:rsid w:val="004B2041"/>
    <w:rsid w:val="004B2C7B"/>
    <w:rsid w:val="004B4D8D"/>
    <w:rsid w:val="004B4F84"/>
    <w:rsid w:val="004B52EA"/>
    <w:rsid w:val="004B5B03"/>
    <w:rsid w:val="004B60CD"/>
    <w:rsid w:val="004B650B"/>
    <w:rsid w:val="004B70B9"/>
    <w:rsid w:val="004B79A0"/>
    <w:rsid w:val="004C1180"/>
    <w:rsid w:val="004C122B"/>
    <w:rsid w:val="004C12AD"/>
    <w:rsid w:val="004C3F22"/>
    <w:rsid w:val="004C49B7"/>
    <w:rsid w:val="004C545C"/>
    <w:rsid w:val="004C56B8"/>
    <w:rsid w:val="004C6090"/>
    <w:rsid w:val="004D019A"/>
    <w:rsid w:val="004D05EC"/>
    <w:rsid w:val="004D0E4B"/>
    <w:rsid w:val="004D1960"/>
    <w:rsid w:val="004D3C1C"/>
    <w:rsid w:val="004D3EC3"/>
    <w:rsid w:val="004D4220"/>
    <w:rsid w:val="004D48ED"/>
    <w:rsid w:val="004D54F5"/>
    <w:rsid w:val="004D56B8"/>
    <w:rsid w:val="004D5A63"/>
    <w:rsid w:val="004D603A"/>
    <w:rsid w:val="004E23E1"/>
    <w:rsid w:val="004E2A5A"/>
    <w:rsid w:val="004E2B00"/>
    <w:rsid w:val="004E3C38"/>
    <w:rsid w:val="004E4A0F"/>
    <w:rsid w:val="004E67D2"/>
    <w:rsid w:val="004E70B5"/>
    <w:rsid w:val="004E7D2C"/>
    <w:rsid w:val="004F0EA2"/>
    <w:rsid w:val="004F301D"/>
    <w:rsid w:val="004F464F"/>
    <w:rsid w:val="004F4BF1"/>
    <w:rsid w:val="004F4D1E"/>
    <w:rsid w:val="004F55D9"/>
    <w:rsid w:val="004F5D33"/>
    <w:rsid w:val="004F5D60"/>
    <w:rsid w:val="004F616C"/>
    <w:rsid w:val="004F6737"/>
    <w:rsid w:val="004F7C0A"/>
    <w:rsid w:val="0050004A"/>
    <w:rsid w:val="00500502"/>
    <w:rsid w:val="00500C80"/>
    <w:rsid w:val="00500DD9"/>
    <w:rsid w:val="0050116B"/>
    <w:rsid w:val="0050190B"/>
    <w:rsid w:val="005029E6"/>
    <w:rsid w:val="005031A2"/>
    <w:rsid w:val="0050349F"/>
    <w:rsid w:val="00503A3F"/>
    <w:rsid w:val="0050423F"/>
    <w:rsid w:val="00504548"/>
    <w:rsid w:val="005049F7"/>
    <w:rsid w:val="005059A9"/>
    <w:rsid w:val="00506139"/>
    <w:rsid w:val="0050634D"/>
    <w:rsid w:val="00506A57"/>
    <w:rsid w:val="0051014B"/>
    <w:rsid w:val="00511967"/>
    <w:rsid w:val="00512D2E"/>
    <w:rsid w:val="005138CB"/>
    <w:rsid w:val="00513A81"/>
    <w:rsid w:val="00513F2D"/>
    <w:rsid w:val="005141AE"/>
    <w:rsid w:val="00514349"/>
    <w:rsid w:val="00514D38"/>
    <w:rsid w:val="00514EA6"/>
    <w:rsid w:val="0051546C"/>
    <w:rsid w:val="005166CA"/>
    <w:rsid w:val="005176E9"/>
    <w:rsid w:val="00520032"/>
    <w:rsid w:val="0052035F"/>
    <w:rsid w:val="005209B5"/>
    <w:rsid w:val="005221A7"/>
    <w:rsid w:val="00522223"/>
    <w:rsid w:val="00522602"/>
    <w:rsid w:val="005227C4"/>
    <w:rsid w:val="00522971"/>
    <w:rsid w:val="00522AE2"/>
    <w:rsid w:val="00522C7A"/>
    <w:rsid w:val="005230DC"/>
    <w:rsid w:val="0052366E"/>
    <w:rsid w:val="005249FD"/>
    <w:rsid w:val="00525DD0"/>
    <w:rsid w:val="00525EB7"/>
    <w:rsid w:val="005277A1"/>
    <w:rsid w:val="00527F68"/>
    <w:rsid w:val="00530ADF"/>
    <w:rsid w:val="00530D64"/>
    <w:rsid w:val="00530FEE"/>
    <w:rsid w:val="00531227"/>
    <w:rsid w:val="00531BFA"/>
    <w:rsid w:val="005322B5"/>
    <w:rsid w:val="00532933"/>
    <w:rsid w:val="00532CBB"/>
    <w:rsid w:val="005331EC"/>
    <w:rsid w:val="005338E4"/>
    <w:rsid w:val="00533B53"/>
    <w:rsid w:val="00533E18"/>
    <w:rsid w:val="00533FDA"/>
    <w:rsid w:val="00534317"/>
    <w:rsid w:val="00535B97"/>
    <w:rsid w:val="00536045"/>
    <w:rsid w:val="00540335"/>
    <w:rsid w:val="00540687"/>
    <w:rsid w:val="00540803"/>
    <w:rsid w:val="00541CF9"/>
    <w:rsid w:val="005422A9"/>
    <w:rsid w:val="00542C22"/>
    <w:rsid w:val="005431A9"/>
    <w:rsid w:val="005435F9"/>
    <w:rsid w:val="00543E0C"/>
    <w:rsid w:val="00544310"/>
    <w:rsid w:val="00544701"/>
    <w:rsid w:val="00544A43"/>
    <w:rsid w:val="00544AB8"/>
    <w:rsid w:val="00544D57"/>
    <w:rsid w:val="0054647F"/>
    <w:rsid w:val="00547968"/>
    <w:rsid w:val="00547F23"/>
    <w:rsid w:val="00550E1F"/>
    <w:rsid w:val="00551CEF"/>
    <w:rsid w:val="00552600"/>
    <w:rsid w:val="00553440"/>
    <w:rsid w:val="005537D8"/>
    <w:rsid w:val="00553974"/>
    <w:rsid w:val="00553A66"/>
    <w:rsid w:val="00553ED8"/>
    <w:rsid w:val="005540FA"/>
    <w:rsid w:val="0055435C"/>
    <w:rsid w:val="005546B3"/>
    <w:rsid w:val="00554F30"/>
    <w:rsid w:val="005550E8"/>
    <w:rsid w:val="00555113"/>
    <w:rsid w:val="00555D94"/>
    <w:rsid w:val="005561EA"/>
    <w:rsid w:val="005563BD"/>
    <w:rsid w:val="00557092"/>
    <w:rsid w:val="0055755D"/>
    <w:rsid w:val="00557A25"/>
    <w:rsid w:val="00557B43"/>
    <w:rsid w:val="00557F15"/>
    <w:rsid w:val="005604A4"/>
    <w:rsid w:val="005608FB"/>
    <w:rsid w:val="00563BFE"/>
    <w:rsid w:val="00564839"/>
    <w:rsid w:val="00564ACF"/>
    <w:rsid w:val="00564C3A"/>
    <w:rsid w:val="00564E2D"/>
    <w:rsid w:val="00567133"/>
    <w:rsid w:val="00567F5A"/>
    <w:rsid w:val="005700DB"/>
    <w:rsid w:val="00570359"/>
    <w:rsid w:val="00570367"/>
    <w:rsid w:val="0057042C"/>
    <w:rsid w:val="005707D7"/>
    <w:rsid w:val="005711A4"/>
    <w:rsid w:val="00573157"/>
    <w:rsid w:val="0057362A"/>
    <w:rsid w:val="005741E4"/>
    <w:rsid w:val="005745D4"/>
    <w:rsid w:val="00574E1D"/>
    <w:rsid w:val="00576130"/>
    <w:rsid w:val="005771AB"/>
    <w:rsid w:val="0057744D"/>
    <w:rsid w:val="00577A15"/>
    <w:rsid w:val="00580054"/>
    <w:rsid w:val="00581FD3"/>
    <w:rsid w:val="00582169"/>
    <w:rsid w:val="005823AA"/>
    <w:rsid w:val="005839CC"/>
    <w:rsid w:val="00584104"/>
    <w:rsid w:val="00584592"/>
    <w:rsid w:val="0058462B"/>
    <w:rsid w:val="00585107"/>
    <w:rsid w:val="0058652F"/>
    <w:rsid w:val="005870D7"/>
    <w:rsid w:val="00587160"/>
    <w:rsid w:val="00587BFC"/>
    <w:rsid w:val="00591783"/>
    <w:rsid w:val="00591968"/>
    <w:rsid w:val="00591A7A"/>
    <w:rsid w:val="00592717"/>
    <w:rsid w:val="0059344F"/>
    <w:rsid w:val="005944F2"/>
    <w:rsid w:val="005947B4"/>
    <w:rsid w:val="00594D5B"/>
    <w:rsid w:val="00594E2F"/>
    <w:rsid w:val="005950A6"/>
    <w:rsid w:val="005953E1"/>
    <w:rsid w:val="005956EF"/>
    <w:rsid w:val="00596065"/>
    <w:rsid w:val="0059679F"/>
    <w:rsid w:val="00596D12"/>
    <w:rsid w:val="0059712C"/>
    <w:rsid w:val="00597817"/>
    <w:rsid w:val="005A0EA1"/>
    <w:rsid w:val="005A130E"/>
    <w:rsid w:val="005A15F0"/>
    <w:rsid w:val="005A1BFA"/>
    <w:rsid w:val="005A1DDE"/>
    <w:rsid w:val="005A22D7"/>
    <w:rsid w:val="005A2AAC"/>
    <w:rsid w:val="005A2D46"/>
    <w:rsid w:val="005A386F"/>
    <w:rsid w:val="005A3C8F"/>
    <w:rsid w:val="005A3FD8"/>
    <w:rsid w:val="005A41D2"/>
    <w:rsid w:val="005A5CBF"/>
    <w:rsid w:val="005A67EF"/>
    <w:rsid w:val="005A6C74"/>
    <w:rsid w:val="005A7435"/>
    <w:rsid w:val="005A75DB"/>
    <w:rsid w:val="005A7DDF"/>
    <w:rsid w:val="005B0468"/>
    <w:rsid w:val="005B05B6"/>
    <w:rsid w:val="005B077B"/>
    <w:rsid w:val="005B08C6"/>
    <w:rsid w:val="005B12DA"/>
    <w:rsid w:val="005B1609"/>
    <w:rsid w:val="005B2EFB"/>
    <w:rsid w:val="005B30F7"/>
    <w:rsid w:val="005B3126"/>
    <w:rsid w:val="005B494B"/>
    <w:rsid w:val="005B4CE5"/>
    <w:rsid w:val="005B5876"/>
    <w:rsid w:val="005B632C"/>
    <w:rsid w:val="005B72C0"/>
    <w:rsid w:val="005C468F"/>
    <w:rsid w:val="005C4F93"/>
    <w:rsid w:val="005C5295"/>
    <w:rsid w:val="005C5394"/>
    <w:rsid w:val="005C559D"/>
    <w:rsid w:val="005C5A17"/>
    <w:rsid w:val="005C5CBC"/>
    <w:rsid w:val="005C5F3A"/>
    <w:rsid w:val="005C689A"/>
    <w:rsid w:val="005C68C6"/>
    <w:rsid w:val="005C6BA7"/>
    <w:rsid w:val="005D0960"/>
    <w:rsid w:val="005D09AB"/>
    <w:rsid w:val="005D1C41"/>
    <w:rsid w:val="005D2FB1"/>
    <w:rsid w:val="005D35FE"/>
    <w:rsid w:val="005D3876"/>
    <w:rsid w:val="005D3F0D"/>
    <w:rsid w:val="005D4C6B"/>
    <w:rsid w:val="005D4D32"/>
    <w:rsid w:val="005D5748"/>
    <w:rsid w:val="005D5B02"/>
    <w:rsid w:val="005D5CF9"/>
    <w:rsid w:val="005D6905"/>
    <w:rsid w:val="005D6BA3"/>
    <w:rsid w:val="005E0A56"/>
    <w:rsid w:val="005E0C70"/>
    <w:rsid w:val="005E428F"/>
    <w:rsid w:val="005E4A7B"/>
    <w:rsid w:val="005E6965"/>
    <w:rsid w:val="005E6D0C"/>
    <w:rsid w:val="005E7E1D"/>
    <w:rsid w:val="005F0C61"/>
    <w:rsid w:val="005F1516"/>
    <w:rsid w:val="005F1825"/>
    <w:rsid w:val="005F1B2C"/>
    <w:rsid w:val="005F230D"/>
    <w:rsid w:val="005F2EB0"/>
    <w:rsid w:val="005F33C7"/>
    <w:rsid w:val="005F3A9E"/>
    <w:rsid w:val="005F3AC4"/>
    <w:rsid w:val="005F4213"/>
    <w:rsid w:val="005F4293"/>
    <w:rsid w:val="005F649E"/>
    <w:rsid w:val="005F6DF7"/>
    <w:rsid w:val="00600002"/>
    <w:rsid w:val="006005C0"/>
    <w:rsid w:val="00602C03"/>
    <w:rsid w:val="0060336C"/>
    <w:rsid w:val="00604A5F"/>
    <w:rsid w:val="0060597B"/>
    <w:rsid w:val="00605E72"/>
    <w:rsid w:val="006066A1"/>
    <w:rsid w:val="00607066"/>
    <w:rsid w:val="006100E1"/>
    <w:rsid w:val="006103F7"/>
    <w:rsid w:val="00610B3A"/>
    <w:rsid w:val="00610FA8"/>
    <w:rsid w:val="0061131B"/>
    <w:rsid w:val="00611706"/>
    <w:rsid w:val="0061172E"/>
    <w:rsid w:val="0061190B"/>
    <w:rsid w:val="00611A27"/>
    <w:rsid w:val="006127D0"/>
    <w:rsid w:val="00613A48"/>
    <w:rsid w:val="00614068"/>
    <w:rsid w:val="00614174"/>
    <w:rsid w:val="00615205"/>
    <w:rsid w:val="00615851"/>
    <w:rsid w:val="00616A37"/>
    <w:rsid w:val="00617888"/>
    <w:rsid w:val="006178DF"/>
    <w:rsid w:val="00617941"/>
    <w:rsid w:val="00620358"/>
    <w:rsid w:val="006235CE"/>
    <w:rsid w:val="00623621"/>
    <w:rsid w:val="00624DBC"/>
    <w:rsid w:val="006251D9"/>
    <w:rsid w:val="006262A6"/>
    <w:rsid w:val="00627337"/>
    <w:rsid w:val="006277DE"/>
    <w:rsid w:val="00630496"/>
    <w:rsid w:val="006304C8"/>
    <w:rsid w:val="00630665"/>
    <w:rsid w:val="0063093F"/>
    <w:rsid w:val="0063121E"/>
    <w:rsid w:val="0063157D"/>
    <w:rsid w:val="00632566"/>
    <w:rsid w:val="006329C6"/>
    <w:rsid w:val="00632B69"/>
    <w:rsid w:val="006334F2"/>
    <w:rsid w:val="00634AAD"/>
    <w:rsid w:val="006355F2"/>
    <w:rsid w:val="00636BCE"/>
    <w:rsid w:val="0063715A"/>
    <w:rsid w:val="006376AE"/>
    <w:rsid w:val="00637E63"/>
    <w:rsid w:val="00640D0B"/>
    <w:rsid w:val="00640E50"/>
    <w:rsid w:val="00641982"/>
    <w:rsid w:val="0064233D"/>
    <w:rsid w:val="0064290B"/>
    <w:rsid w:val="0064319A"/>
    <w:rsid w:val="00643823"/>
    <w:rsid w:val="006445F6"/>
    <w:rsid w:val="006447E2"/>
    <w:rsid w:val="006457EA"/>
    <w:rsid w:val="00645ABD"/>
    <w:rsid w:val="00645D2F"/>
    <w:rsid w:val="00645E15"/>
    <w:rsid w:val="00650467"/>
    <w:rsid w:val="00650854"/>
    <w:rsid w:val="006508F4"/>
    <w:rsid w:val="00650C1A"/>
    <w:rsid w:val="00651EEC"/>
    <w:rsid w:val="00652677"/>
    <w:rsid w:val="006535A0"/>
    <w:rsid w:val="00653BBA"/>
    <w:rsid w:val="00654049"/>
    <w:rsid w:val="006547C5"/>
    <w:rsid w:val="00654B4F"/>
    <w:rsid w:val="00654FE7"/>
    <w:rsid w:val="006553E3"/>
    <w:rsid w:val="00655920"/>
    <w:rsid w:val="00656451"/>
    <w:rsid w:val="00656662"/>
    <w:rsid w:val="00656AEE"/>
    <w:rsid w:val="00657355"/>
    <w:rsid w:val="00657549"/>
    <w:rsid w:val="00657BAB"/>
    <w:rsid w:val="006602DF"/>
    <w:rsid w:val="00660331"/>
    <w:rsid w:val="00660445"/>
    <w:rsid w:val="00660909"/>
    <w:rsid w:val="006644FB"/>
    <w:rsid w:val="006648BA"/>
    <w:rsid w:val="00665426"/>
    <w:rsid w:val="006672F7"/>
    <w:rsid w:val="00667FAE"/>
    <w:rsid w:val="006704A7"/>
    <w:rsid w:val="00670635"/>
    <w:rsid w:val="00670A21"/>
    <w:rsid w:val="00671AEB"/>
    <w:rsid w:val="00672F7B"/>
    <w:rsid w:val="00673524"/>
    <w:rsid w:val="00673958"/>
    <w:rsid w:val="0067411A"/>
    <w:rsid w:val="006744A7"/>
    <w:rsid w:val="006769A9"/>
    <w:rsid w:val="006775AB"/>
    <w:rsid w:val="00677CF3"/>
    <w:rsid w:val="0068005F"/>
    <w:rsid w:val="00680831"/>
    <w:rsid w:val="00680BC1"/>
    <w:rsid w:val="00682036"/>
    <w:rsid w:val="006824BA"/>
    <w:rsid w:val="00683417"/>
    <w:rsid w:val="0068394B"/>
    <w:rsid w:val="00683999"/>
    <w:rsid w:val="0068431A"/>
    <w:rsid w:val="006876B0"/>
    <w:rsid w:val="00687CE3"/>
    <w:rsid w:val="00690EA6"/>
    <w:rsid w:val="006914F8"/>
    <w:rsid w:val="006919FA"/>
    <w:rsid w:val="006933E4"/>
    <w:rsid w:val="00693452"/>
    <w:rsid w:val="006955DD"/>
    <w:rsid w:val="00696187"/>
    <w:rsid w:val="00697633"/>
    <w:rsid w:val="00697CAC"/>
    <w:rsid w:val="006A0C0E"/>
    <w:rsid w:val="006A246D"/>
    <w:rsid w:val="006A39ED"/>
    <w:rsid w:val="006A41EE"/>
    <w:rsid w:val="006A4FC3"/>
    <w:rsid w:val="006A7340"/>
    <w:rsid w:val="006A73CE"/>
    <w:rsid w:val="006A74B5"/>
    <w:rsid w:val="006A7656"/>
    <w:rsid w:val="006A7722"/>
    <w:rsid w:val="006A7F58"/>
    <w:rsid w:val="006B122D"/>
    <w:rsid w:val="006B127E"/>
    <w:rsid w:val="006B1FCA"/>
    <w:rsid w:val="006B3740"/>
    <w:rsid w:val="006B38EA"/>
    <w:rsid w:val="006B3EF8"/>
    <w:rsid w:val="006B3F01"/>
    <w:rsid w:val="006B43D8"/>
    <w:rsid w:val="006B4ABB"/>
    <w:rsid w:val="006B683D"/>
    <w:rsid w:val="006B704C"/>
    <w:rsid w:val="006B7744"/>
    <w:rsid w:val="006C09B1"/>
    <w:rsid w:val="006C192A"/>
    <w:rsid w:val="006C21C4"/>
    <w:rsid w:val="006C3CD7"/>
    <w:rsid w:val="006C46D2"/>
    <w:rsid w:val="006C4903"/>
    <w:rsid w:val="006C5AF3"/>
    <w:rsid w:val="006C5AF9"/>
    <w:rsid w:val="006C678C"/>
    <w:rsid w:val="006D0D5F"/>
    <w:rsid w:val="006D4EB0"/>
    <w:rsid w:val="006D5102"/>
    <w:rsid w:val="006D5599"/>
    <w:rsid w:val="006D5801"/>
    <w:rsid w:val="006D5FCE"/>
    <w:rsid w:val="006D6CB8"/>
    <w:rsid w:val="006D7263"/>
    <w:rsid w:val="006D7D12"/>
    <w:rsid w:val="006D7E2C"/>
    <w:rsid w:val="006E00AB"/>
    <w:rsid w:val="006E03C1"/>
    <w:rsid w:val="006E1670"/>
    <w:rsid w:val="006E16B3"/>
    <w:rsid w:val="006E16F4"/>
    <w:rsid w:val="006E18DB"/>
    <w:rsid w:val="006E19A7"/>
    <w:rsid w:val="006E2DD6"/>
    <w:rsid w:val="006E38F0"/>
    <w:rsid w:val="006E3D8E"/>
    <w:rsid w:val="006E6177"/>
    <w:rsid w:val="006E695F"/>
    <w:rsid w:val="006E6C3E"/>
    <w:rsid w:val="006E7F05"/>
    <w:rsid w:val="006F0BF7"/>
    <w:rsid w:val="006F0CE5"/>
    <w:rsid w:val="006F0FE7"/>
    <w:rsid w:val="006F1CA8"/>
    <w:rsid w:val="006F27DA"/>
    <w:rsid w:val="006F5015"/>
    <w:rsid w:val="006F50BB"/>
    <w:rsid w:val="006F5EA1"/>
    <w:rsid w:val="006F77FE"/>
    <w:rsid w:val="0070008F"/>
    <w:rsid w:val="00700138"/>
    <w:rsid w:val="007003EC"/>
    <w:rsid w:val="00700E8F"/>
    <w:rsid w:val="00700EA6"/>
    <w:rsid w:val="00701828"/>
    <w:rsid w:val="00703659"/>
    <w:rsid w:val="00703C4A"/>
    <w:rsid w:val="007041AD"/>
    <w:rsid w:val="00704264"/>
    <w:rsid w:val="007065AB"/>
    <w:rsid w:val="00706B4E"/>
    <w:rsid w:val="007079D8"/>
    <w:rsid w:val="00707F57"/>
    <w:rsid w:val="00710EB1"/>
    <w:rsid w:val="00711B16"/>
    <w:rsid w:val="00712C91"/>
    <w:rsid w:val="00712DE3"/>
    <w:rsid w:val="00713027"/>
    <w:rsid w:val="00713EEE"/>
    <w:rsid w:val="0071436C"/>
    <w:rsid w:val="007148AE"/>
    <w:rsid w:val="00715631"/>
    <w:rsid w:val="00716CBC"/>
    <w:rsid w:val="00716F0A"/>
    <w:rsid w:val="00720A02"/>
    <w:rsid w:val="007211B3"/>
    <w:rsid w:val="007211BD"/>
    <w:rsid w:val="0072243D"/>
    <w:rsid w:val="0072288B"/>
    <w:rsid w:val="00723CC9"/>
    <w:rsid w:val="00724640"/>
    <w:rsid w:val="00724793"/>
    <w:rsid w:val="00724898"/>
    <w:rsid w:val="00724E87"/>
    <w:rsid w:val="00724F97"/>
    <w:rsid w:val="007251DC"/>
    <w:rsid w:val="00725623"/>
    <w:rsid w:val="00725706"/>
    <w:rsid w:val="007309F4"/>
    <w:rsid w:val="007316D6"/>
    <w:rsid w:val="00732717"/>
    <w:rsid w:val="007328E4"/>
    <w:rsid w:val="00734444"/>
    <w:rsid w:val="00734808"/>
    <w:rsid w:val="00735298"/>
    <w:rsid w:val="007368D1"/>
    <w:rsid w:val="00736EFE"/>
    <w:rsid w:val="00736F65"/>
    <w:rsid w:val="00737360"/>
    <w:rsid w:val="00737508"/>
    <w:rsid w:val="00737F10"/>
    <w:rsid w:val="0074037A"/>
    <w:rsid w:val="0074176C"/>
    <w:rsid w:val="00742336"/>
    <w:rsid w:val="00742D60"/>
    <w:rsid w:val="00743343"/>
    <w:rsid w:val="00743F11"/>
    <w:rsid w:val="00743FE7"/>
    <w:rsid w:val="00744804"/>
    <w:rsid w:val="007449FB"/>
    <w:rsid w:val="00744D41"/>
    <w:rsid w:val="00744E8F"/>
    <w:rsid w:val="0074579C"/>
    <w:rsid w:val="0074598F"/>
    <w:rsid w:val="00745FBD"/>
    <w:rsid w:val="0075052C"/>
    <w:rsid w:val="00750B19"/>
    <w:rsid w:val="00750B51"/>
    <w:rsid w:val="007511EB"/>
    <w:rsid w:val="00753A36"/>
    <w:rsid w:val="00753FF0"/>
    <w:rsid w:val="00754084"/>
    <w:rsid w:val="0075453B"/>
    <w:rsid w:val="007545FB"/>
    <w:rsid w:val="007560D5"/>
    <w:rsid w:val="00756435"/>
    <w:rsid w:val="00757310"/>
    <w:rsid w:val="00760517"/>
    <w:rsid w:val="007609ED"/>
    <w:rsid w:val="00761104"/>
    <w:rsid w:val="0076167E"/>
    <w:rsid w:val="007619F5"/>
    <w:rsid w:val="00762548"/>
    <w:rsid w:val="0076274D"/>
    <w:rsid w:val="007637C9"/>
    <w:rsid w:val="00763ABE"/>
    <w:rsid w:val="00765267"/>
    <w:rsid w:val="007702B8"/>
    <w:rsid w:val="00770AB8"/>
    <w:rsid w:val="00770E90"/>
    <w:rsid w:val="00770F4D"/>
    <w:rsid w:val="0077167F"/>
    <w:rsid w:val="00771CE8"/>
    <w:rsid w:val="0077278A"/>
    <w:rsid w:val="0077292D"/>
    <w:rsid w:val="00772DFE"/>
    <w:rsid w:val="007735CE"/>
    <w:rsid w:val="007744F1"/>
    <w:rsid w:val="007759B4"/>
    <w:rsid w:val="007765F5"/>
    <w:rsid w:val="00777BEA"/>
    <w:rsid w:val="00777FCC"/>
    <w:rsid w:val="00780B9E"/>
    <w:rsid w:val="00781521"/>
    <w:rsid w:val="00782135"/>
    <w:rsid w:val="0078239E"/>
    <w:rsid w:val="00782E7B"/>
    <w:rsid w:val="0078379F"/>
    <w:rsid w:val="00783AB3"/>
    <w:rsid w:val="00784256"/>
    <w:rsid w:val="007857B6"/>
    <w:rsid w:val="0078598D"/>
    <w:rsid w:val="007859C4"/>
    <w:rsid w:val="00785A4F"/>
    <w:rsid w:val="00785E14"/>
    <w:rsid w:val="00787688"/>
    <w:rsid w:val="00791E83"/>
    <w:rsid w:val="007928D2"/>
    <w:rsid w:val="00792FFB"/>
    <w:rsid w:val="00794EF9"/>
    <w:rsid w:val="0079506E"/>
    <w:rsid w:val="007964A2"/>
    <w:rsid w:val="00796B10"/>
    <w:rsid w:val="007A01EE"/>
    <w:rsid w:val="007A0710"/>
    <w:rsid w:val="007A11AB"/>
    <w:rsid w:val="007A2334"/>
    <w:rsid w:val="007A264B"/>
    <w:rsid w:val="007A302A"/>
    <w:rsid w:val="007A3144"/>
    <w:rsid w:val="007A343E"/>
    <w:rsid w:val="007A46CE"/>
    <w:rsid w:val="007A6017"/>
    <w:rsid w:val="007A65FF"/>
    <w:rsid w:val="007A6F3D"/>
    <w:rsid w:val="007B05AE"/>
    <w:rsid w:val="007B0EF4"/>
    <w:rsid w:val="007B1407"/>
    <w:rsid w:val="007B186D"/>
    <w:rsid w:val="007B23F9"/>
    <w:rsid w:val="007B28F2"/>
    <w:rsid w:val="007B37F0"/>
    <w:rsid w:val="007B5613"/>
    <w:rsid w:val="007B63C9"/>
    <w:rsid w:val="007B6AE1"/>
    <w:rsid w:val="007B707A"/>
    <w:rsid w:val="007B7155"/>
    <w:rsid w:val="007B7336"/>
    <w:rsid w:val="007B7B66"/>
    <w:rsid w:val="007C073B"/>
    <w:rsid w:val="007C1305"/>
    <w:rsid w:val="007C14AB"/>
    <w:rsid w:val="007C1595"/>
    <w:rsid w:val="007C1B26"/>
    <w:rsid w:val="007C2837"/>
    <w:rsid w:val="007C2953"/>
    <w:rsid w:val="007C2B1D"/>
    <w:rsid w:val="007C32DB"/>
    <w:rsid w:val="007C3D1C"/>
    <w:rsid w:val="007C48E4"/>
    <w:rsid w:val="007C4BEB"/>
    <w:rsid w:val="007C51AA"/>
    <w:rsid w:val="007C51FF"/>
    <w:rsid w:val="007C58A1"/>
    <w:rsid w:val="007C59B8"/>
    <w:rsid w:val="007C5A88"/>
    <w:rsid w:val="007C61F3"/>
    <w:rsid w:val="007C7918"/>
    <w:rsid w:val="007C7BF4"/>
    <w:rsid w:val="007D0437"/>
    <w:rsid w:val="007D079C"/>
    <w:rsid w:val="007D08EC"/>
    <w:rsid w:val="007D0B87"/>
    <w:rsid w:val="007D0B8E"/>
    <w:rsid w:val="007D1500"/>
    <w:rsid w:val="007D1981"/>
    <w:rsid w:val="007D1FA0"/>
    <w:rsid w:val="007D24C9"/>
    <w:rsid w:val="007D2858"/>
    <w:rsid w:val="007D34D4"/>
    <w:rsid w:val="007D3E01"/>
    <w:rsid w:val="007D4069"/>
    <w:rsid w:val="007D4DEC"/>
    <w:rsid w:val="007D6351"/>
    <w:rsid w:val="007D6645"/>
    <w:rsid w:val="007D76D2"/>
    <w:rsid w:val="007E02D0"/>
    <w:rsid w:val="007E0745"/>
    <w:rsid w:val="007E11CA"/>
    <w:rsid w:val="007E1FAF"/>
    <w:rsid w:val="007E48B0"/>
    <w:rsid w:val="007E5E58"/>
    <w:rsid w:val="007E6938"/>
    <w:rsid w:val="007E767A"/>
    <w:rsid w:val="007E7A33"/>
    <w:rsid w:val="007E7C69"/>
    <w:rsid w:val="007F0D70"/>
    <w:rsid w:val="007F1CE7"/>
    <w:rsid w:val="007F28FC"/>
    <w:rsid w:val="007F3100"/>
    <w:rsid w:val="007F4AB3"/>
    <w:rsid w:val="007F5926"/>
    <w:rsid w:val="007F6005"/>
    <w:rsid w:val="007F6644"/>
    <w:rsid w:val="007F674E"/>
    <w:rsid w:val="007F6879"/>
    <w:rsid w:val="007F6B9D"/>
    <w:rsid w:val="007F6D90"/>
    <w:rsid w:val="008001EA"/>
    <w:rsid w:val="008004C0"/>
    <w:rsid w:val="00803052"/>
    <w:rsid w:val="00803436"/>
    <w:rsid w:val="00805849"/>
    <w:rsid w:val="00806428"/>
    <w:rsid w:val="00806BFF"/>
    <w:rsid w:val="00811D3B"/>
    <w:rsid w:val="0081298B"/>
    <w:rsid w:val="008129CB"/>
    <w:rsid w:val="008133A5"/>
    <w:rsid w:val="008136C9"/>
    <w:rsid w:val="00813D9C"/>
    <w:rsid w:val="00814B85"/>
    <w:rsid w:val="00814D85"/>
    <w:rsid w:val="00814F49"/>
    <w:rsid w:val="00815D3F"/>
    <w:rsid w:val="008166C6"/>
    <w:rsid w:val="00816BD2"/>
    <w:rsid w:val="008177E2"/>
    <w:rsid w:val="00817CD4"/>
    <w:rsid w:val="00817D5C"/>
    <w:rsid w:val="008203D4"/>
    <w:rsid w:val="008204D5"/>
    <w:rsid w:val="00820AFB"/>
    <w:rsid w:val="00821047"/>
    <w:rsid w:val="00821C17"/>
    <w:rsid w:val="00821F6C"/>
    <w:rsid w:val="0082248C"/>
    <w:rsid w:val="008225AD"/>
    <w:rsid w:val="00822AD2"/>
    <w:rsid w:val="00824000"/>
    <w:rsid w:val="008243D7"/>
    <w:rsid w:val="0082756A"/>
    <w:rsid w:val="008277A2"/>
    <w:rsid w:val="00827FC1"/>
    <w:rsid w:val="00831179"/>
    <w:rsid w:val="0083207C"/>
    <w:rsid w:val="00833E5C"/>
    <w:rsid w:val="008341F5"/>
    <w:rsid w:val="00836712"/>
    <w:rsid w:val="00837387"/>
    <w:rsid w:val="0084351F"/>
    <w:rsid w:val="00843C17"/>
    <w:rsid w:val="0084543A"/>
    <w:rsid w:val="008458F0"/>
    <w:rsid w:val="0084655B"/>
    <w:rsid w:val="00846996"/>
    <w:rsid w:val="00846E64"/>
    <w:rsid w:val="00847D50"/>
    <w:rsid w:val="00850F7D"/>
    <w:rsid w:val="00851733"/>
    <w:rsid w:val="00851A68"/>
    <w:rsid w:val="008536F1"/>
    <w:rsid w:val="00853DB0"/>
    <w:rsid w:val="00853E76"/>
    <w:rsid w:val="0085455A"/>
    <w:rsid w:val="0085570A"/>
    <w:rsid w:val="00855C1F"/>
    <w:rsid w:val="00856E89"/>
    <w:rsid w:val="00857232"/>
    <w:rsid w:val="008574D4"/>
    <w:rsid w:val="008575B6"/>
    <w:rsid w:val="0085787B"/>
    <w:rsid w:val="00860D69"/>
    <w:rsid w:val="00860EB1"/>
    <w:rsid w:val="00861707"/>
    <w:rsid w:val="0086313A"/>
    <w:rsid w:val="00863FF0"/>
    <w:rsid w:val="0086404F"/>
    <w:rsid w:val="00864BDF"/>
    <w:rsid w:val="00864D9D"/>
    <w:rsid w:val="00865435"/>
    <w:rsid w:val="008657F4"/>
    <w:rsid w:val="00866193"/>
    <w:rsid w:val="0086644D"/>
    <w:rsid w:val="00867244"/>
    <w:rsid w:val="00870729"/>
    <w:rsid w:val="00870D17"/>
    <w:rsid w:val="00870DE9"/>
    <w:rsid w:val="008712E1"/>
    <w:rsid w:val="008716D3"/>
    <w:rsid w:val="00871721"/>
    <w:rsid w:val="00871757"/>
    <w:rsid w:val="00871CAA"/>
    <w:rsid w:val="00872632"/>
    <w:rsid w:val="008736F3"/>
    <w:rsid w:val="00873739"/>
    <w:rsid w:val="008739DD"/>
    <w:rsid w:val="00873BEA"/>
    <w:rsid w:val="00874A47"/>
    <w:rsid w:val="008752C0"/>
    <w:rsid w:val="0087607D"/>
    <w:rsid w:val="00876299"/>
    <w:rsid w:val="00876D98"/>
    <w:rsid w:val="00877104"/>
    <w:rsid w:val="00880D29"/>
    <w:rsid w:val="008815BC"/>
    <w:rsid w:val="00881A63"/>
    <w:rsid w:val="00882C42"/>
    <w:rsid w:val="00883FD6"/>
    <w:rsid w:val="0088498A"/>
    <w:rsid w:val="008854AE"/>
    <w:rsid w:val="008857BF"/>
    <w:rsid w:val="008860A2"/>
    <w:rsid w:val="00886373"/>
    <w:rsid w:val="008875B0"/>
    <w:rsid w:val="008876C8"/>
    <w:rsid w:val="0089036C"/>
    <w:rsid w:val="00890E53"/>
    <w:rsid w:val="00890F35"/>
    <w:rsid w:val="008919E7"/>
    <w:rsid w:val="00891C0B"/>
    <w:rsid w:val="008935CF"/>
    <w:rsid w:val="008937AC"/>
    <w:rsid w:val="00894D30"/>
    <w:rsid w:val="00897585"/>
    <w:rsid w:val="0089782F"/>
    <w:rsid w:val="00897BF9"/>
    <w:rsid w:val="008A08FB"/>
    <w:rsid w:val="008A0A4E"/>
    <w:rsid w:val="008A1CCF"/>
    <w:rsid w:val="008A2F6B"/>
    <w:rsid w:val="008A30DE"/>
    <w:rsid w:val="008A30E4"/>
    <w:rsid w:val="008A317A"/>
    <w:rsid w:val="008A34A9"/>
    <w:rsid w:val="008A41AF"/>
    <w:rsid w:val="008A4734"/>
    <w:rsid w:val="008A4871"/>
    <w:rsid w:val="008A511B"/>
    <w:rsid w:val="008A5431"/>
    <w:rsid w:val="008A55E6"/>
    <w:rsid w:val="008A5D66"/>
    <w:rsid w:val="008A6B3B"/>
    <w:rsid w:val="008A6C18"/>
    <w:rsid w:val="008A7653"/>
    <w:rsid w:val="008A7998"/>
    <w:rsid w:val="008A7CB0"/>
    <w:rsid w:val="008B0560"/>
    <w:rsid w:val="008B0EF5"/>
    <w:rsid w:val="008B12AA"/>
    <w:rsid w:val="008B12BC"/>
    <w:rsid w:val="008B14D6"/>
    <w:rsid w:val="008B2BE8"/>
    <w:rsid w:val="008B303F"/>
    <w:rsid w:val="008B3F51"/>
    <w:rsid w:val="008B4E44"/>
    <w:rsid w:val="008B5265"/>
    <w:rsid w:val="008B55C3"/>
    <w:rsid w:val="008B59C0"/>
    <w:rsid w:val="008C04E0"/>
    <w:rsid w:val="008C06F8"/>
    <w:rsid w:val="008C126B"/>
    <w:rsid w:val="008C1391"/>
    <w:rsid w:val="008C1C12"/>
    <w:rsid w:val="008C3743"/>
    <w:rsid w:val="008C4B11"/>
    <w:rsid w:val="008C4C71"/>
    <w:rsid w:val="008C51B0"/>
    <w:rsid w:val="008C5B37"/>
    <w:rsid w:val="008C5F16"/>
    <w:rsid w:val="008C6EE9"/>
    <w:rsid w:val="008C7B22"/>
    <w:rsid w:val="008C7BA0"/>
    <w:rsid w:val="008D1569"/>
    <w:rsid w:val="008D2F24"/>
    <w:rsid w:val="008D350A"/>
    <w:rsid w:val="008D414B"/>
    <w:rsid w:val="008D4A2E"/>
    <w:rsid w:val="008D4B08"/>
    <w:rsid w:val="008D4D0F"/>
    <w:rsid w:val="008D506F"/>
    <w:rsid w:val="008D54E1"/>
    <w:rsid w:val="008D669C"/>
    <w:rsid w:val="008D7FDA"/>
    <w:rsid w:val="008E0788"/>
    <w:rsid w:val="008E084B"/>
    <w:rsid w:val="008E0C42"/>
    <w:rsid w:val="008E1930"/>
    <w:rsid w:val="008E1A17"/>
    <w:rsid w:val="008E2F8D"/>
    <w:rsid w:val="008E3ABE"/>
    <w:rsid w:val="008E3B96"/>
    <w:rsid w:val="008E561C"/>
    <w:rsid w:val="008E5BF2"/>
    <w:rsid w:val="008E5E04"/>
    <w:rsid w:val="008E5E72"/>
    <w:rsid w:val="008E6740"/>
    <w:rsid w:val="008E6A6E"/>
    <w:rsid w:val="008E6A87"/>
    <w:rsid w:val="008E75FE"/>
    <w:rsid w:val="008E79F1"/>
    <w:rsid w:val="008E7CCE"/>
    <w:rsid w:val="008E7E25"/>
    <w:rsid w:val="008F0311"/>
    <w:rsid w:val="008F092C"/>
    <w:rsid w:val="008F0DD9"/>
    <w:rsid w:val="008F13C4"/>
    <w:rsid w:val="008F19B5"/>
    <w:rsid w:val="008F1AE1"/>
    <w:rsid w:val="008F2EB3"/>
    <w:rsid w:val="008F2F6F"/>
    <w:rsid w:val="008F35CB"/>
    <w:rsid w:val="008F38DE"/>
    <w:rsid w:val="008F3D16"/>
    <w:rsid w:val="008F3E9C"/>
    <w:rsid w:val="008F3EEA"/>
    <w:rsid w:val="008F41B9"/>
    <w:rsid w:val="008F4B1B"/>
    <w:rsid w:val="008F507E"/>
    <w:rsid w:val="008F51FF"/>
    <w:rsid w:val="008F5B5D"/>
    <w:rsid w:val="008F5FD9"/>
    <w:rsid w:val="008F6007"/>
    <w:rsid w:val="008F6416"/>
    <w:rsid w:val="008F678F"/>
    <w:rsid w:val="008F681F"/>
    <w:rsid w:val="008F6F30"/>
    <w:rsid w:val="008F7063"/>
    <w:rsid w:val="00901BC6"/>
    <w:rsid w:val="009024F3"/>
    <w:rsid w:val="009027A4"/>
    <w:rsid w:val="009033E4"/>
    <w:rsid w:val="00903BAC"/>
    <w:rsid w:val="0090429E"/>
    <w:rsid w:val="009043DA"/>
    <w:rsid w:val="009049EE"/>
    <w:rsid w:val="00904E3D"/>
    <w:rsid w:val="0090500A"/>
    <w:rsid w:val="00905160"/>
    <w:rsid w:val="00905BC3"/>
    <w:rsid w:val="00907194"/>
    <w:rsid w:val="00907FA4"/>
    <w:rsid w:val="009109A9"/>
    <w:rsid w:val="009111CF"/>
    <w:rsid w:val="00913147"/>
    <w:rsid w:val="0091525F"/>
    <w:rsid w:val="0091549B"/>
    <w:rsid w:val="00917FA2"/>
    <w:rsid w:val="00917FE0"/>
    <w:rsid w:val="009201A4"/>
    <w:rsid w:val="0092150D"/>
    <w:rsid w:val="0092293A"/>
    <w:rsid w:val="009235D2"/>
    <w:rsid w:val="00923A9E"/>
    <w:rsid w:val="00923CC1"/>
    <w:rsid w:val="00924A24"/>
    <w:rsid w:val="00925684"/>
    <w:rsid w:val="00927650"/>
    <w:rsid w:val="00931602"/>
    <w:rsid w:val="009316BE"/>
    <w:rsid w:val="00932889"/>
    <w:rsid w:val="00932D22"/>
    <w:rsid w:val="00933116"/>
    <w:rsid w:val="00934173"/>
    <w:rsid w:val="009342CD"/>
    <w:rsid w:val="0093508C"/>
    <w:rsid w:val="009358EA"/>
    <w:rsid w:val="0093596B"/>
    <w:rsid w:val="009360D4"/>
    <w:rsid w:val="009370D8"/>
    <w:rsid w:val="009401C6"/>
    <w:rsid w:val="00940E94"/>
    <w:rsid w:val="00941B30"/>
    <w:rsid w:val="0094239A"/>
    <w:rsid w:val="00942E03"/>
    <w:rsid w:val="00943E37"/>
    <w:rsid w:val="009445CE"/>
    <w:rsid w:val="00945DBD"/>
    <w:rsid w:val="00945FEF"/>
    <w:rsid w:val="00946388"/>
    <w:rsid w:val="00946CB8"/>
    <w:rsid w:val="009474A4"/>
    <w:rsid w:val="009510A5"/>
    <w:rsid w:val="00951C80"/>
    <w:rsid w:val="00952059"/>
    <w:rsid w:val="009523BB"/>
    <w:rsid w:val="009526D2"/>
    <w:rsid w:val="00952747"/>
    <w:rsid w:val="0095345A"/>
    <w:rsid w:val="00954A78"/>
    <w:rsid w:val="00954B5E"/>
    <w:rsid w:val="00954EC0"/>
    <w:rsid w:val="009550F7"/>
    <w:rsid w:val="00955CEF"/>
    <w:rsid w:val="0095660D"/>
    <w:rsid w:val="00956829"/>
    <w:rsid w:val="00956CAE"/>
    <w:rsid w:val="00956F33"/>
    <w:rsid w:val="009579E4"/>
    <w:rsid w:val="009611DE"/>
    <w:rsid w:val="00962F56"/>
    <w:rsid w:val="0096462D"/>
    <w:rsid w:val="009646CC"/>
    <w:rsid w:val="00966849"/>
    <w:rsid w:val="0096692D"/>
    <w:rsid w:val="009673A9"/>
    <w:rsid w:val="009674AD"/>
    <w:rsid w:val="00967590"/>
    <w:rsid w:val="00967827"/>
    <w:rsid w:val="00967DB6"/>
    <w:rsid w:val="009704FF"/>
    <w:rsid w:val="0097157B"/>
    <w:rsid w:val="00971B9A"/>
    <w:rsid w:val="00972D9D"/>
    <w:rsid w:val="00974959"/>
    <w:rsid w:val="00974AE1"/>
    <w:rsid w:val="00975038"/>
    <w:rsid w:val="009753BF"/>
    <w:rsid w:val="00976427"/>
    <w:rsid w:val="00977ACD"/>
    <w:rsid w:val="00980900"/>
    <w:rsid w:val="00980923"/>
    <w:rsid w:val="00981219"/>
    <w:rsid w:val="009819AC"/>
    <w:rsid w:val="00981F49"/>
    <w:rsid w:val="00982698"/>
    <w:rsid w:val="00982C5D"/>
    <w:rsid w:val="0098342A"/>
    <w:rsid w:val="0098408F"/>
    <w:rsid w:val="0098500F"/>
    <w:rsid w:val="00985B4A"/>
    <w:rsid w:val="00985D8F"/>
    <w:rsid w:val="00985F8E"/>
    <w:rsid w:val="0098700D"/>
    <w:rsid w:val="00987068"/>
    <w:rsid w:val="00990BD1"/>
    <w:rsid w:val="00990E80"/>
    <w:rsid w:val="00991889"/>
    <w:rsid w:val="00994073"/>
    <w:rsid w:val="0099510B"/>
    <w:rsid w:val="00996417"/>
    <w:rsid w:val="00996E36"/>
    <w:rsid w:val="00997DB2"/>
    <w:rsid w:val="009A0102"/>
    <w:rsid w:val="009A1440"/>
    <w:rsid w:val="009A187A"/>
    <w:rsid w:val="009A2581"/>
    <w:rsid w:val="009A2774"/>
    <w:rsid w:val="009A2B4F"/>
    <w:rsid w:val="009A2EC2"/>
    <w:rsid w:val="009A38C9"/>
    <w:rsid w:val="009A3CF1"/>
    <w:rsid w:val="009A3E40"/>
    <w:rsid w:val="009A3F67"/>
    <w:rsid w:val="009A4747"/>
    <w:rsid w:val="009A605E"/>
    <w:rsid w:val="009A79CC"/>
    <w:rsid w:val="009B0B07"/>
    <w:rsid w:val="009B1148"/>
    <w:rsid w:val="009B12EC"/>
    <w:rsid w:val="009B214F"/>
    <w:rsid w:val="009B2D5D"/>
    <w:rsid w:val="009B2DBA"/>
    <w:rsid w:val="009B2FAC"/>
    <w:rsid w:val="009B3F37"/>
    <w:rsid w:val="009B43B1"/>
    <w:rsid w:val="009B4D0E"/>
    <w:rsid w:val="009B6032"/>
    <w:rsid w:val="009B7B74"/>
    <w:rsid w:val="009C2B90"/>
    <w:rsid w:val="009C2DDD"/>
    <w:rsid w:val="009C6405"/>
    <w:rsid w:val="009C6D8D"/>
    <w:rsid w:val="009C7C82"/>
    <w:rsid w:val="009D2250"/>
    <w:rsid w:val="009D2DC6"/>
    <w:rsid w:val="009D4E52"/>
    <w:rsid w:val="009D62F0"/>
    <w:rsid w:val="009D66AC"/>
    <w:rsid w:val="009D68BB"/>
    <w:rsid w:val="009D69A1"/>
    <w:rsid w:val="009D6E8C"/>
    <w:rsid w:val="009D737B"/>
    <w:rsid w:val="009E0074"/>
    <w:rsid w:val="009E104B"/>
    <w:rsid w:val="009E49A5"/>
    <w:rsid w:val="009E4F01"/>
    <w:rsid w:val="009E6633"/>
    <w:rsid w:val="009E7C38"/>
    <w:rsid w:val="009E7E02"/>
    <w:rsid w:val="009F0B31"/>
    <w:rsid w:val="009F0B68"/>
    <w:rsid w:val="009F25AD"/>
    <w:rsid w:val="009F47B7"/>
    <w:rsid w:val="009F4AA1"/>
    <w:rsid w:val="009F527E"/>
    <w:rsid w:val="009F6339"/>
    <w:rsid w:val="009F6E14"/>
    <w:rsid w:val="009F7E7D"/>
    <w:rsid w:val="00A00EF4"/>
    <w:rsid w:val="00A020B6"/>
    <w:rsid w:val="00A04458"/>
    <w:rsid w:val="00A05401"/>
    <w:rsid w:val="00A06946"/>
    <w:rsid w:val="00A07B9D"/>
    <w:rsid w:val="00A10992"/>
    <w:rsid w:val="00A10E48"/>
    <w:rsid w:val="00A11403"/>
    <w:rsid w:val="00A12857"/>
    <w:rsid w:val="00A12D85"/>
    <w:rsid w:val="00A13766"/>
    <w:rsid w:val="00A13DBE"/>
    <w:rsid w:val="00A1451E"/>
    <w:rsid w:val="00A1470B"/>
    <w:rsid w:val="00A14B50"/>
    <w:rsid w:val="00A15989"/>
    <w:rsid w:val="00A15B38"/>
    <w:rsid w:val="00A15CB3"/>
    <w:rsid w:val="00A16182"/>
    <w:rsid w:val="00A161F2"/>
    <w:rsid w:val="00A16AE7"/>
    <w:rsid w:val="00A17737"/>
    <w:rsid w:val="00A20BE8"/>
    <w:rsid w:val="00A20D1D"/>
    <w:rsid w:val="00A21376"/>
    <w:rsid w:val="00A21495"/>
    <w:rsid w:val="00A2377E"/>
    <w:rsid w:val="00A243E0"/>
    <w:rsid w:val="00A25276"/>
    <w:rsid w:val="00A25ED5"/>
    <w:rsid w:val="00A25FEF"/>
    <w:rsid w:val="00A274B2"/>
    <w:rsid w:val="00A2792E"/>
    <w:rsid w:val="00A31693"/>
    <w:rsid w:val="00A32342"/>
    <w:rsid w:val="00A33B55"/>
    <w:rsid w:val="00A33F44"/>
    <w:rsid w:val="00A34195"/>
    <w:rsid w:val="00A3442B"/>
    <w:rsid w:val="00A34786"/>
    <w:rsid w:val="00A349C8"/>
    <w:rsid w:val="00A34CA1"/>
    <w:rsid w:val="00A3554A"/>
    <w:rsid w:val="00A35EE1"/>
    <w:rsid w:val="00A40041"/>
    <w:rsid w:val="00A40C52"/>
    <w:rsid w:val="00A41196"/>
    <w:rsid w:val="00A41FBF"/>
    <w:rsid w:val="00A43B01"/>
    <w:rsid w:val="00A44D27"/>
    <w:rsid w:val="00A44DCE"/>
    <w:rsid w:val="00A456DE"/>
    <w:rsid w:val="00A45C46"/>
    <w:rsid w:val="00A46221"/>
    <w:rsid w:val="00A47D43"/>
    <w:rsid w:val="00A5038D"/>
    <w:rsid w:val="00A5159D"/>
    <w:rsid w:val="00A525BE"/>
    <w:rsid w:val="00A53743"/>
    <w:rsid w:val="00A538EB"/>
    <w:rsid w:val="00A53E45"/>
    <w:rsid w:val="00A54CBA"/>
    <w:rsid w:val="00A54D61"/>
    <w:rsid w:val="00A55AB3"/>
    <w:rsid w:val="00A5631E"/>
    <w:rsid w:val="00A56E98"/>
    <w:rsid w:val="00A572DF"/>
    <w:rsid w:val="00A57740"/>
    <w:rsid w:val="00A57891"/>
    <w:rsid w:val="00A609EA"/>
    <w:rsid w:val="00A60D0D"/>
    <w:rsid w:val="00A60DFE"/>
    <w:rsid w:val="00A613B0"/>
    <w:rsid w:val="00A61740"/>
    <w:rsid w:val="00A62C63"/>
    <w:rsid w:val="00A63CC8"/>
    <w:rsid w:val="00A63DE2"/>
    <w:rsid w:val="00A647AB"/>
    <w:rsid w:val="00A65697"/>
    <w:rsid w:val="00A659FC"/>
    <w:rsid w:val="00A67EFA"/>
    <w:rsid w:val="00A707B3"/>
    <w:rsid w:val="00A71E0B"/>
    <w:rsid w:val="00A720A7"/>
    <w:rsid w:val="00A7330F"/>
    <w:rsid w:val="00A747F4"/>
    <w:rsid w:val="00A74995"/>
    <w:rsid w:val="00A74B66"/>
    <w:rsid w:val="00A76FA9"/>
    <w:rsid w:val="00A7795A"/>
    <w:rsid w:val="00A77D67"/>
    <w:rsid w:val="00A8038C"/>
    <w:rsid w:val="00A804FC"/>
    <w:rsid w:val="00A80D20"/>
    <w:rsid w:val="00A81895"/>
    <w:rsid w:val="00A82409"/>
    <w:rsid w:val="00A826CB"/>
    <w:rsid w:val="00A830B9"/>
    <w:rsid w:val="00A833A7"/>
    <w:rsid w:val="00A83CDE"/>
    <w:rsid w:val="00A84C2A"/>
    <w:rsid w:val="00A86250"/>
    <w:rsid w:val="00A86C22"/>
    <w:rsid w:val="00A870EA"/>
    <w:rsid w:val="00A8799D"/>
    <w:rsid w:val="00A911B9"/>
    <w:rsid w:val="00A92174"/>
    <w:rsid w:val="00A95199"/>
    <w:rsid w:val="00A9580A"/>
    <w:rsid w:val="00A95B0D"/>
    <w:rsid w:val="00A9698F"/>
    <w:rsid w:val="00A97CB8"/>
    <w:rsid w:val="00A97D96"/>
    <w:rsid w:val="00AA03CB"/>
    <w:rsid w:val="00AA10D4"/>
    <w:rsid w:val="00AA133F"/>
    <w:rsid w:val="00AA1F52"/>
    <w:rsid w:val="00AA232B"/>
    <w:rsid w:val="00AA294A"/>
    <w:rsid w:val="00AA311D"/>
    <w:rsid w:val="00AA45BF"/>
    <w:rsid w:val="00AA48C6"/>
    <w:rsid w:val="00AA4D60"/>
    <w:rsid w:val="00AA552D"/>
    <w:rsid w:val="00AA5725"/>
    <w:rsid w:val="00AA579D"/>
    <w:rsid w:val="00AA5952"/>
    <w:rsid w:val="00AA5CE6"/>
    <w:rsid w:val="00AA65CB"/>
    <w:rsid w:val="00AA7C01"/>
    <w:rsid w:val="00AB157A"/>
    <w:rsid w:val="00AB2727"/>
    <w:rsid w:val="00AB3052"/>
    <w:rsid w:val="00AB5532"/>
    <w:rsid w:val="00AB5800"/>
    <w:rsid w:val="00AB5A8B"/>
    <w:rsid w:val="00AB67AA"/>
    <w:rsid w:val="00AC059E"/>
    <w:rsid w:val="00AC132D"/>
    <w:rsid w:val="00AC146F"/>
    <w:rsid w:val="00AC1F32"/>
    <w:rsid w:val="00AC2C50"/>
    <w:rsid w:val="00AC2EBD"/>
    <w:rsid w:val="00AC2F4C"/>
    <w:rsid w:val="00AC3456"/>
    <w:rsid w:val="00AC3599"/>
    <w:rsid w:val="00AC369F"/>
    <w:rsid w:val="00AC5CA9"/>
    <w:rsid w:val="00AC5F5F"/>
    <w:rsid w:val="00AC6B26"/>
    <w:rsid w:val="00AC7A20"/>
    <w:rsid w:val="00AD01FF"/>
    <w:rsid w:val="00AD103A"/>
    <w:rsid w:val="00AD1919"/>
    <w:rsid w:val="00AD2941"/>
    <w:rsid w:val="00AD3312"/>
    <w:rsid w:val="00AD3507"/>
    <w:rsid w:val="00AD3EA2"/>
    <w:rsid w:val="00AD421D"/>
    <w:rsid w:val="00AD4E7E"/>
    <w:rsid w:val="00AD508D"/>
    <w:rsid w:val="00AD58BA"/>
    <w:rsid w:val="00AD5B0E"/>
    <w:rsid w:val="00AD73F1"/>
    <w:rsid w:val="00AE04F7"/>
    <w:rsid w:val="00AE099A"/>
    <w:rsid w:val="00AE099D"/>
    <w:rsid w:val="00AE103E"/>
    <w:rsid w:val="00AE10BD"/>
    <w:rsid w:val="00AE18E0"/>
    <w:rsid w:val="00AE1F98"/>
    <w:rsid w:val="00AE26BE"/>
    <w:rsid w:val="00AE273E"/>
    <w:rsid w:val="00AE3F9A"/>
    <w:rsid w:val="00AE40E3"/>
    <w:rsid w:val="00AE4243"/>
    <w:rsid w:val="00AE5432"/>
    <w:rsid w:val="00AE5630"/>
    <w:rsid w:val="00AE5B57"/>
    <w:rsid w:val="00AE5C01"/>
    <w:rsid w:val="00AE6A80"/>
    <w:rsid w:val="00AF0463"/>
    <w:rsid w:val="00AF06E7"/>
    <w:rsid w:val="00AF0C90"/>
    <w:rsid w:val="00AF178B"/>
    <w:rsid w:val="00AF28D3"/>
    <w:rsid w:val="00AF393E"/>
    <w:rsid w:val="00AF3ACB"/>
    <w:rsid w:val="00AF463A"/>
    <w:rsid w:val="00B00397"/>
    <w:rsid w:val="00B012D9"/>
    <w:rsid w:val="00B0195E"/>
    <w:rsid w:val="00B02427"/>
    <w:rsid w:val="00B03D1A"/>
    <w:rsid w:val="00B0430C"/>
    <w:rsid w:val="00B04E6F"/>
    <w:rsid w:val="00B04F10"/>
    <w:rsid w:val="00B0504E"/>
    <w:rsid w:val="00B0550D"/>
    <w:rsid w:val="00B06CBB"/>
    <w:rsid w:val="00B06DCD"/>
    <w:rsid w:val="00B06FD7"/>
    <w:rsid w:val="00B10263"/>
    <w:rsid w:val="00B10570"/>
    <w:rsid w:val="00B10763"/>
    <w:rsid w:val="00B10854"/>
    <w:rsid w:val="00B12C22"/>
    <w:rsid w:val="00B13018"/>
    <w:rsid w:val="00B13041"/>
    <w:rsid w:val="00B13C4A"/>
    <w:rsid w:val="00B13EB9"/>
    <w:rsid w:val="00B15742"/>
    <w:rsid w:val="00B16E1C"/>
    <w:rsid w:val="00B173BB"/>
    <w:rsid w:val="00B17782"/>
    <w:rsid w:val="00B17EC3"/>
    <w:rsid w:val="00B20998"/>
    <w:rsid w:val="00B2183B"/>
    <w:rsid w:val="00B21FC6"/>
    <w:rsid w:val="00B2324A"/>
    <w:rsid w:val="00B24A99"/>
    <w:rsid w:val="00B24AAF"/>
    <w:rsid w:val="00B24FFA"/>
    <w:rsid w:val="00B25158"/>
    <w:rsid w:val="00B267D8"/>
    <w:rsid w:val="00B326DE"/>
    <w:rsid w:val="00B32B51"/>
    <w:rsid w:val="00B32BB1"/>
    <w:rsid w:val="00B32E5C"/>
    <w:rsid w:val="00B33096"/>
    <w:rsid w:val="00B33739"/>
    <w:rsid w:val="00B33950"/>
    <w:rsid w:val="00B3424C"/>
    <w:rsid w:val="00B348FF"/>
    <w:rsid w:val="00B34C6A"/>
    <w:rsid w:val="00B36B12"/>
    <w:rsid w:val="00B37666"/>
    <w:rsid w:val="00B37E0B"/>
    <w:rsid w:val="00B4008D"/>
    <w:rsid w:val="00B40272"/>
    <w:rsid w:val="00B4119F"/>
    <w:rsid w:val="00B412AB"/>
    <w:rsid w:val="00B41C03"/>
    <w:rsid w:val="00B44DF4"/>
    <w:rsid w:val="00B44EAA"/>
    <w:rsid w:val="00B467A2"/>
    <w:rsid w:val="00B50030"/>
    <w:rsid w:val="00B50F09"/>
    <w:rsid w:val="00B5100C"/>
    <w:rsid w:val="00B51750"/>
    <w:rsid w:val="00B51A1C"/>
    <w:rsid w:val="00B5241A"/>
    <w:rsid w:val="00B53112"/>
    <w:rsid w:val="00B53E57"/>
    <w:rsid w:val="00B55089"/>
    <w:rsid w:val="00B55717"/>
    <w:rsid w:val="00B559B0"/>
    <w:rsid w:val="00B5757D"/>
    <w:rsid w:val="00B57A80"/>
    <w:rsid w:val="00B60040"/>
    <w:rsid w:val="00B60FAA"/>
    <w:rsid w:val="00B61D82"/>
    <w:rsid w:val="00B632B8"/>
    <w:rsid w:val="00B63698"/>
    <w:rsid w:val="00B63DBA"/>
    <w:rsid w:val="00B63FA8"/>
    <w:rsid w:val="00B640A8"/>
    <w:rsid w:val="00B64A40"/>
    <w:rsid w:val="00B65734"/>
    <w:rsid w:val="00B65C8C"/>
    <w:rsid w:val="00B672B2"/>
    <w:rsid w:val="00B67979"/>
    <w:rsid w:val="00B70B11"/>
    <w:rsid w:val="00B71376"/>
    <w:rsid w:val="00B71FBE"/>
    <w:rsid w:val="00B72232"/>
    <w:rsid w:val="00B725D3"/>
    <w:rsid w:val="00B72C62"/>
    <w:rsid w:val="00B73760"/>
    <w:rsid w:val="00B7485E"/>
    <w:rsid w:val="00B762C3"/>
    <w:rsid w:val="00B77AA6"/>
    <w:rsid w:val="00B77C4C"/>
    <w:rsid w:val="00B810D1"/>
    <w:rsid w:val="00B82BB6"/>
    <w:rsid w:val="00B83768"/>
    <w:rsid w:val="00B83785"/>
    <w:rsid w:val="00B84388"/>
    <w:rsid w:val="00B84564"/>
    <w:rsid w:val="00B856BD"/>
    <w:rsid w:val="00B85A9F"/>
    <w:rsid w:val="00B85B03"/>
    <w:rsid w:val="00B85CAA"/>
    <w:rsid w:val="00B86EA1"/>
    <w:rsid w:val="00B872C9"/>
    <w:rsid w:val="00B87495"/>
    <w:rsid w:val="00B903C2"/>
    <w:rsid w:val="00B90B92"/>
    <w:rsid w:val="00B912A6"/>
    <w:rsid w:val="00B9334C"/>
    <w:rsid w:val="00B94C57"/>
    <w:rsid w:val="00B9547B"/>
    <w:rsid w:val="00B9629D"/>
    <w:rsid w:val="00B96DE6"/>
    <w:rsid w:val="00B97396"/>
    <w:rsid w:val="00BA0D4A"/>
    <w:rsid w:val="00BA12BE"/>
    <w:rsid w:val="00BA149F"/>
    <w:rsid w:val="00BA2B83"/>
    <w:rsid w:val="00BA4C73"/>
    <w:rsid w:val="00BA5099"/>
    <w:rsid w:val="00BA51C8"/>
    <w:rsid w:val="00BA5445"/>
    <w:rsid w:val="00BA690B"/>
    <w:rsid w:val="00BA70F8"/>
    <w:rsid w:val="00BA7303"/>
    <w:rsid w:val="00BA7B84"/>
    <w:rsid w:val="00BA7DFC"/>
    <w:rsid w:val="00BB0909"/>
    <w:rsid w:val="00BB0AAB"/>
    <w:rsid w:val="00BB154A"/>
    <w:rsid w:val="00BB181E"/>
    <w:rsid w:val="00BB1ADD"/>
    <w:rsid w:val="00BB1C67"/>
    <w:rsid w:val="00BB221C"/>
    <w:rsid w:val="00BB27D1"/>
    <w:rsid w:val="00BB28B0"/>
    <w:rsid w:val="00BB38C9"/>
    <w:rsid w:val="00BB390E"/>
    <w:rsid w:val="00BB3CD7"/>
    <w:rsid w:val="00BB429E"/>
    <w:rsid w:val="00BB43F8"/>
    <w:rsid w:val="00BB4C47"/>
    <w:rsid w:val="00BB5552"/>
    <w:rsid w:val="00BB65E7"/>
    <w:rsid w:val="00BB69B5"/>
    <w:rsid w:val="00BB6A8B"/>
    <w:rsid w:val="00BB6BBD"/>
    <w:rsid w:val="00BB6CBF"/>
    <w:rsid w:val="00BB7D87"/>
    <w:rsid w:val="00BC0BC5"/>
    <w:rsid w:val="00BC0DC3"/>
    <w:rsid w:val="00BC3243"/>
    <w:rsid w:val="00BC38EB"/>
    <w:rsid w:val="00BC3DC6"/>
    <w:rsid w:val="00BC41EC"/>
    <w:rsid w:val="00BC4951"/>
    <w:rsid w:val="00BC4CA0"/>
    <w:rsid w:val="00BC513F"/>
    <w:rsid w:val="00BC5DB0"/>
    <w:rsid w:val="00BC5F4E"/>
    <w:rsid w:val="00BC6048"/>
    <w:rsid w:val="00BC64BC"/>
    <w:rsid w:val="00BC70A4"/>
    <w:rsid w:val="00BD05F9"/>
    <w:rsid w:val="00BD3AC4"/>
    <w:rsid w:val="00BD4C2B"/>
    <w:rsid w:val="00BD533D"/>
    <w:rsid w:val="00BD5A49"/>
    <w:rsid w:val="00BD5CD0"/>
    <w:rsid w:val="00BD5D7C"/>
    <w:rsid w:val="00BD68B7"/>
    <w:rsid w:val="00BD6B8E"/>
    <w:rsid w:val="00BD70B5"/>
    <w:rsid w:val="00BD7E02"/>
    <w:rsid w:val="00BE01B1"/>
    <w:rsid w:val="00BE136B"/>
    <w:rsid w:val="00BE161D"/>
    <w:rsid w:val="00BE19AA"/>
    <w:rsid w:val="00BE1A79"/>
    <w:rsid w:val="00BE1D2D"/>
    <w:rsid w:val="00BE3001"/>
    <w:rsid w:val="00BE3710"/>
    <w:rsid w:val="00BE3D7A"/>
    <w:rsid w:val="00BE4B80"/>
    <w:rsid w:val="00BE5F2E"/>
    <w:rsid w:val="00BE63CA"/>
    <w:rsid w:val="00BE675D"/>
    <w:rsid w:val="00BE6A48"/>
    <w:rsid w:val="00BE6C64"/>
    <w:rsid w:val="00BE6D77"/>
    <w:rsid w:val="00BE6DA3"/>
    <w:rsid w:val="00BE7FF9"/>
    <w:rsid w:val="00BF06A6"/>
    <w:rsid w:val="00BF0F14"/>
    <w:rsid w:val="00BF1B73"/>
    <w:rsid w:val="00BF2A14"/>
    <w:rsid w:val="00BF36DB"/>
    <w:rsid w:val="00BF3EA7"/>
    <w:rsid w:val="00BF4004"/>
    <w:rsid w:val="00BF45D6"/>
    <w:rsid w:val="00BF56AC"/>
    <w:rsid w:val="00BF5D6F"/>
    <w:rsid w:val="00BF6B8A"/>
    <w:rsid w:val="00C00450"/>
    <w:rsid w:val="00C02CAF"/>
    <w:rsid w:val="00C02CB3"/>
    <w:rsid w:val="00C030B8"/>
    <w:rsid w:val="00C035A8"/>
    <w:rsid w:val="00C038B4"/>
    <w:rsid w:val="00C04843"/>
    <w:rsid w:val="00C04A6F"/>
    <w:rsid w:val="00C0669F"/>
    <w:rsid w:val="00C06D48"/>
    <w:rsid w:val="00C07ACB"/>
    <w:rsid w:val="00C12356"/>
    <w:rsid w:val="00C123CB"/>
    <w:rsid w:val="00C144D6"/>
    <w:rsid w:val="00C14ED6"/>
    <w:rsid w:val="00C1514E"/>
    <w:rsid w:val="00C1573E"/>
    <w:rsid w:val="00C15A37"/>
    <w:rsid w:val="00C15F63"/>
    <w:rsid w:val="00C16164"/>
    <w:rsid w:val="00C168B8"/>
    <w:rsid w:val="00C16904"/>
    <w:rsid w:val="00C17208"/>
    <w:rsid w:val="00C217CC"/>
    <w:rsid w:val="00C21893"/>
    <w:rsid w:val="00C21E8E"/>
    <w:rsid w:val="00C21F58"/>
    <w:rsid w:val="00C23146"/>
    <w:rsid w:val="00C23A19"/>
    <w:rsid w:val="00C24B4E"/>
    <w:rsid w:val="00C25CF8"/>
    <w:rsid w:val="00C25D68"/>
    <w:rsid w:val="00C26107"/>
    <w:rsid w:val="00C31468"/>
    <w:rsid w:val="00C322D4"/>
    <w:rsid w:val="00C3261D"/>
    <w:rsid w:val="00C331DB"/>
    <w:rsid w:val="00C3354F"/>
    <w:rsid w:val="00C33C3D"/>
    <w:rsid w:val="00C34099"/>
    <w:rsid w:val="00C34D29"/>
    <w:rsid w:val="00C35E13"/>
    <w:rsid w:val="00C365BA"/>
    <w:rsid w:val="00C36AFD"/>
    <w:rsid w:val="00C36D7B"/>
    <w:rsid w:val="00C40305"/>
    <w:rsid w:val="00C4080F"/>
    <w:rsid w:val="00C40DD1"/>
    <w:rsid w:val="00C41280"/>
    <w:rsid w:val="00C41286"/>
    <w:rsid w:val="00C4182F"/>
    <w:rsid w:val="00C41E45"/>
    <w:rsid w:val="00C42432"/>
    <w:rsid w:val="00C443E0"/>
    <w:rsid w:val="00C44540"/>
    <w:rsid w:val="00C447FD"/>
    <w:rsid w:val="00C46337"/>
    <w:rsid w:val="00C47D8E"/>
    <w:rsid w:val="00C516ED"/>
    <w:rsid w:val="00C51AF8"/>
    <w:rsid w:val="00C53AE9"/>
    <w:rsid w:val="00C545D8"/>
    <w:rsid w:val="00C55528"/>
    <w:rsid w:val="00C5578C"/>
    <w:rsid w:val="00C56476"/>
    <w:rsid w:val="00C57C8D"/>
    <w:rsid w:val="00C57CB5"/>
    <w:rsid w:val="00C60CBB"/>
    <w:rsid w:val="00C621E4"/>
    <w:rsid w:val="00C62FEA"/>
    <w:rsid w:val="00C641EC"/>
    <w:rsid w:val="00C644DA"/>
    <w:rsid w:val="00C64508"/>
    <w:rsid w:val="00C64A60"/>
    <w:rsid w:val="00C657BE"/>
    <w:rsid w:val="00C66A3F"/>
    <w:rsid w:val="00C66F68"/>
    <w:rsid w:val="00C677A2"/>
    <w:rsid w:val="00C70198"/>
    <w:rsid w:val="00C7045F"/>
    <w:rsid w:val="00C70C3D"/>
    <w:rsid w:val="00C70E6D"/>
    <w:rsid w:val="00C70F65"/>
    <w:rsid w:val="00C7125D"/>
    <w:rsid w:val="00C71E76"/>
    <w:rsid w:val="00C72A95"/>
    <w:rsid w:val="00C748FF"/>
    <w:rsid w:val="00C75D43"/>
    <w:rsid w:val="00C76E49"/>
    <w:rsid w:val="00C77529"/>
    <w:rsid w:val="00C777C7"/>
    <w:rsid w:val="00C801E8"/>
    <w:rsid w:val="00C8049E"/>
    <w:rsid w:val="00C82B1E"/>
    <w:rsid w:val="00C86025"/>
    <w:rsid w:val="00C8761B"/>
    <w:rsid w:val="00C90241"/>
    <w:rsid w:val="00C909A2"/>
    <w:rsid w:val="00C9113B"/>
    <w:rsid w:val="00C91369"/>
    <w:rsid w:val="00C928C3"/>
    <w:rsid w:val="00C92AFF"/>
    <w:rsid w:val="00C93D12"/>
    <w:rsid w:val="00C93FF9"/>
    <w:rsid w:val="00C9527D"/>
    <w:rsid w:val="00C95B6D"/>
    <w:rsid w:val="00C95F94"/>
    <w:rsid w:val="00C97E30"/>
    <w:rsid w:val="00CA0D98"/>
    <w:rsid w:val="00CA1519"/>
    <w:rsid w:val="00CA17FE"/>
    <w:rsid w:val="00CA2BD7"/>
    <w:rsid w:val="00CA3AD3"/>
    <w:rsid w:val="00CA3C79"/>
    <w:rsid w:val="00CA40A7"/>
    <w:rsid w:val="00CA420B"/>
    <w:rsid w:val="00CA47FB"/>
    <w:rsid w:val="00CA618A"/>
    <w:rsid w:val="00CA62D6"/>
    <w:rsid w:val="00CA643A"/>
    <w:rsid w:val="00CA6ADF"/>
    <w:rsid w:val="00CA743F"/>
    <w:rsid w:val="00CB04E5"/>
    <w:rsid w:val="00CB0D10"/>
    <w:rsid w:val="00CB0F67"/>
    <w:rsid w:val="00CB1731"/>
    <w:rsid w:val="00CB19FA"/>
    <w:rsid w:val="00CB1A40"/>
    <w:rsid w:val="00CB1C65"/>
    <w:rsid w:val="00CB1F0F"/>
    <w:rsid w:val="00CB2248"/>
    <w:rsid w:val="00CB2518"/>
    <w:rsid w:val="00CB484D"/>
    <w:rsid w:val="00CB5B9D"/>
    <w:rsid w:val="00CB6386"/>
    <w:rsid w:val="00CB652F"/>
    <w:rsid w:val="00CB6785"/>
    <w:rsid w:val="00CC044C"/>
    <w:rsid w:val="00CC0736"/>
    <w:rsid w:val="00CC086F"/>
    <w:rsid w:val="00CC09B5"/>
    <w:rsid w:val="00CC3199"/>
    <w:rsid w:val="00CC3F1B"/>
    <w:rsid w:val="00CC4354"/>
    <w:rsid w:val="00CC48FA"/>
    <w:rsid w:val="00CC5779"/>
    <w:rsid w:val="00CC59C4"/>
    <w:rsid w:val="00CC7D90"/>
    <w:rsid w:val="00CC7EF9"/>
    <w:rsid w:val="00CD0188"/>
    <w:rsid w:val="00CD09C4"/>
    <w:rsid w:val="00CD0E2A"/>
    <w:rsid w:val="00CD109F"/>
    <w:rsid w:val="00CD10A7"/>
    <w:rsid w:val="00CD1681"/>
    <w:rsid w:val="00CD1721"/>
    <w:rsid w:val="00CD2148"/>
    <w:rsid w:val="00CD32EA"/>
    <w:rsid w:val="00CD3CBE"/>
    <w:rsid w:val="00CD3DF4"/>
    <w:rsid w:val="00CD3E83"/>
    <w:rsid w:val="00CD3F0E"/>
    <w:rsid w:val="00CD4301"/>
    <w:rsid w:val="00CD5A34"/>
    <w:rsid w:val="00CD6317"/>
    <w:rsid w:val="00CD670B"/>
    <w:rsid w:val="00CD6776"/>
    <w:rsid w:val="00CD7339"/>
    <w:rsid w:val="00CE0171"/>
    <w:rsid w:val="00CE037D"/>
    <w:rsid w:val="00CE0872"/>
    <w:rsid w:val="00CE0D5F"/>
    <w:rsid w:val="00CE18E4"/>
    <w:rsid w:val="00CE2246"/>
    <w:rsid w:val="00CE3D17"/>
    <w:rsid w:val="00CE3FDE"/>
    <w:rsid w:val="00CE6D18"/>
    <w:rsid w:val="00CF0337"/>
    <w:rsid w:val="00CF079C"/>
    <w:rsid w:val="00CF1461"/>
    <w:rsid w:val="00CF1976"/>
    <w:rsid w:val="00CF3AD2"/>
    <w:rsid w:val="00CF3F61"/>
    <w:rsid w:val="00CF4ABB"/>
    <w:rsid w:val="00CF4E05"/>
    <w:rsid w:val="00CF53AB"/>
    <w:rsid w:val="00CF58E2"/>
    <w:rsid w:val="00CF5BE2"/>
    <w:rsid w:val="00CF633C"/>
    <w:rsid w:val="00CF69D0"/>
    <w:rsid w:val="00CF69E5"/>
    <w:rsid w:val="00CF6A9E"/>
    <w:rsid w:val="00CF7521"/>
    <w:rsid w:val="00CF7F47"/>
    <w:rsid w:val="00D002D5"/>
    <w:rsid w:val="00D008CE"/>
    <w:rsid w:val="00D00D4A"/>
    <w:rsid w:val="00D00DF7"/>
    <w:rsid w:val="00D00FB9"/>
    <w:rsid w:val="00D016F1"/>
    <w:rsid w:val="00D01A4A"/>
    <w:rsid w:val="00D0299B"/>
    <w:rsid w:val="00D02EE5"/>
    <w:rsid w:val="00D03D35"/>
    <w:rsid w:val="00D04C90"/>
    <w:rsid w:val="00D054E5"/>
    <w:rsid w:val="00D05695"/>
    <w:rsid w:val="00D07099"/>
    <w:rsid w:val="00D07A65"/>
    <w:rsid w:val="00D10F61"/>
    <w:rsid w:val="00D138DD"/>
    <w:rsid w:val="00D144E5"/>
    <w:rsid w:val="00D1457D"/>
    <w:rsid w:val="00D14656"/>
    <w:rsid w:val="00D148EA"/>
    <w:rsid w:val="00D149E2"/>
    <w:rsid w:val="00D14B5E"/>
    <w:rsid w:val="00D14C21"/>
    <w:rsid w:val="00D151E9"/>
    <w:rsid w:val="00D167DA"/>
    <w:rsid w:val="00D17CBA"/>
    <w:rsid w:val="00D201D2"/>
    <w:rsid w:val="00D202A5"/>
    <w:rsid w:val="00D21100"/>
    <w:rsid w:val="00D21693"/>
    <w:rsid w:val="00D224F6"/>
    <w:rsid w:val="00D227E2"/>
    <w:rsid w:val="00D241A6"/>
    <w:rsid w:val="00D24395"/>
    <w:rsid w:val="00D25BF4"/>
    <w:rsid w:val="00D26092"/>
    <w:rsid w:val="00D260BD"/>
    <w:rsid w:val="00D2647B"/>
    <w:rsid w:val="00D277CA"/>
    <w:rsid w:val="00D30409"/>
    <w:rsid w:val="00D3092D"/>
    <w:rsid w:val="00D30D79"/>
    <w:rsid w:val="00D32E7E"/>
    <w:rsid w:val="00D331AE"/>
    <w:rsid w:val="00D332E6"/>
    <w:rsid w:val="00D3385E"/>
    <w:rsid w:val="00D35535"/>
    <w:rsid w:val="00D35933"/>
    <w:rsid w:val="00D35A5C"/>
    <w:rsid w:val="00D36DE3"/>
    <w:rsid w:val="00D40390"/>
    <w:rsid w:val="00D40FDE"/>
    <w:rsid w:val="00D41559"/>
    <w:rsid w:val="00D4273E"/>
    <w:rsid w:val="00D42909"/>
    <w:rsid w:val="00D43422"/>
    <w:rsid w:val="00D441F2"/>
    <w:rsid w:val="00D44FE8"/>
    <w:rsid w:val="00D45A86"/>
    <w:rsid w:val="00D460C4"/>
    <w:rsid w:val="00D4648C"/>
    <w:rsid w:val="00D46BA8"/>
    <w:rsid w:val="00D46E24"/>
    <w:rsid w:val="00D4727A"/>
    <w:rsid w:val="00D475AE"/>
    <w:rsid w:val="00D5042C"/>
    <w:rsid w:val="00D50693"/>
    <w:rsid w:val="00D50973"/>
    <w:rsid w:val="00D50AB7"/>
    <w:rsid w:val="00D51830"/>
    <w:rsid w:val="00D51E50"/>
    <w:rsid w:val="00D51E89"/>
    <w:rsid w:val="00D51EB3"/>
    <w:rsid w:val="00D5294A"/>
    <w:rsid w:val="00D53548"/>
    <w:rsid w:val="00D537F2"/>
    <w:rsid w:val="00D553E1"/>
    <w:rsid w:val="00D55F95"/>
    <w:rsid w:val="00D567CC"/>
    <w:rsid w:val="00D56DBD"/>
    <w:rsid w:val="00D571E7"/>
    <w:rsid w:val="00D573BE"/>
    <w:rsid w:val="00D575AD"/>
    <w:rsid w:val="00D576D0"/>
    <w:rsid w:val="00D57D28"/>
    <w:rsid w:val="00D60CD9"/>
    <w:rsid w:val="00D61B31"/>
    <w:rsid w:val="00D61D9C"/>
    <w:rsid w:val="00D61E73"/>
    <w:rsid w:val="00D6305D"/>
    <w:rsid w:val="00D633C0"/>
    <w:rsid w:val="00D63504"/>
    <w:rsid w:val="00D640BF"/>
    <w:rsid w:val="00D65056"/>
    <w:rsid w:val="00D65193"/>
    <w:rsid w:val="00D65C8A"/>
    <w:rsid w:val="00D673F6"/>
    <w:rsid w:val="00D67791"/>
    <w:rsid w:val="00D7053C"/>
    <w:rsid w:val="00D70702"/>
    <w:rsid w:val="00D72A24"/>
    <w:rsid w:val="00D72C69"/>
    <w:rsid w:val="00D73274"/>
    <w:rsid w:val="00D74EE8"/>
    <w:rsid w:val="00D75267"/>
    <w:rsid w:val="00D76581"/>
    <w:rsid w:val="00D76684"/>
    <w:rsid w:val="00D7709A"/>
    <w:rsid w:val="00D776B4"/>
    <w:rsid w:val="00D77814"/>
    <w:rsid w:val="00D80713"/>
    <w:rsid w:val="00D80A4E"/>
    <w:rsid w:val="00D80BA4"/>
    <w:rsid w:val="00D81210"/>
    <w:rsid w:val="00D816D8"/>
    <w:rsid w:val="00D821BD"/>
    <w:rsid w:val="00D82E43"/>
    <w:rsid w:val="00D8556E"/>
    <w:rsid w:val="00D85DEF"/>
    <w:rsid w:val="00D87183"/>
    <w:rsid w:val="00D87ACA"/>
    <w:rsid w:val="00D87B1E"/>
    <w:rsid w:val="00D905B3"/>
    <w:rsid w:val="00D909ED"/>
    <w:rsid w:val="00D90D40"/>
    <w:rsid w:val="00D90DF3"/>
    <w:rsid w:val="00D90EC2"/>
    <w:rsid w:val="00D9251A"/>
    <w:rsid w:val="00D92EB0"/>
    <w:rsid w:val="00D9389A"/>
    <w:rsid w:val="00D939CA"/>
    <w:rsid w:val="00D93EC1"/>
    <w:rsid w:val="00D95368"/>
    <w:rsid w:val="00D95C43"/>
    <w:rsid w:val="00D963F0"/>
    <w:rsid w:val="00D96456"/>
    <w:rsid w:val="00D96F4F"/>
    <w:rsid w:val="00D97267"/>
    <w:rsid w:val="00D97E1C"/>
    <w:rsid w:val="00D97EF3"/>
    <w:rsid w:val="00DA0638"/>
    <w:rsid w:val="00DA06BF"/>
    <w:rsid w:val="00DA0B9C"/>
    <w:rsid w:val="00DA1B86"/>
    <w:rsid w:val="00DA284D"/>
    <w:rsid w:val="00DA2E71"/>
    <w:rsid w:val="00DA4141"/>
    <w:rsid w:val="00DA418D"/>
    <w:rsid w:val="00DA4658"/>
    <w:rsid w:val="00DA46CC"/>
    <w:rsid w:val="00DA512E"/>
    <w:rsid w:val="00DA58E8"/>
    <w:rsid w:val="00DA5D0E"/>
    <w:rsid w:val="00DA62B0"/>
    <w:rsid w:val="00DA6E91"/>
    <w:rsid w:val="00DA70BB"/>
    <w:rsid w:val="00DA7210"/>
    <w:rsid w:val="00DA7823"/>
    <w:rsid w:val="00DA790F"/>
    <w:rsid w:val="00DB0881"/>
    <w:rsid w:val="00DB0ADB"/>
    <w:rsid w:val="00DB131B"/>
    <w:rsid w:val="00DB17BA"/>
    <w:rsid w:val="00DB26D7"/>
    <w:rsid w:val="00DB2C46"/>
    <w:rsid w:val="00DB2F47"/>
    <w:rsid w:val="00DB3A38"/>
    <w:rsid w:val="00DB3B30"/>
    <w:rsid w:val="00DB44C8"/>
    <w:rsid w:val="00DB5DEA"/>
    <w:rsid w:val="00DB5E58"/>
    <w:rsid w:val="00DB6185"/>
    <w:rsid w:val="00DB7020"/>
    <w:rsid w:val="00DB726D"/>
    <w:rsid w:val="00DC06A8"/>
    <w:rsid w:val="00DC09D5"/>
    <w:rsid w:val="00DC2EA8"/>
    <w:rsid w:val="00DC2ED2"/>
    <w:rsid w:val="00DC3370"/>
    <w:rsid w:val="00DC3631"/>
    <w:rsid w:val="00DC52A5"/>
    <w:rsid w:val="00DC56DD"/>
    <w:rsid w:val="00DC6241"/>
    <w:rsid w:val="00DC63A2"/>
    <w:rsid w:val="00DC7377"/>
    <w:rsid w:val="00DD0799"/>
    <w:rsid w:val="00DD0805"/>
    <w:rsid w:val="00DD0B10"/>
    <w:rsid w:val="00DD0C49"/>
    <w:rsid w:val="00DD0F81"/>
    <w:rsid w:val="00DD13F6"/>
    <w:rsid w:val="00DD1AB6"/>
    <w:rsid w:val="00DD2A47"/>
    <w:rsid w:val="00DD2AD5"/>
    <w:rsid w:val="00DD3897"/>
    <w:rsid w:val="00DD40E0"/>
    <w:rsid w:val="00DD43A0"/>
    <w:rsid w:val="00DD49B2"/>
    <w:rsid w:val="00DD4BDD"/>
    <w:rsid w:val="00DD66D6"/>
    <w:rsid w:val="00DD6ECD"/>
    <w:rsid w:val="00DD730D"/>
    <w:rsid w:val="00DD743A"/>
    <w:rsid w:val="00DD74F7"/>
    <w:rsid w:val="00DD7E31"/>
    <w:rsid w:val="00DE175B"/>
    <w:rsid w:val="00DE1B89"/>
    <w:rsid w:val="00DE2D7D"/>
    <w:rsid w:val="00DE3A25"/>
    <w:rsid w:val="00DE3F1D"/>
    <w:rsid w:val="00DE4FF1"/>
    <w:rsid w:val="00DE51AD"/>
    <w:rsid w:val="00DE51D1"/>
    <w:rsid w:val="00DE6069"/>
    <w:rsid w:val="00DE60CA"/>
    <w:rsid w:val="00DE6104"/>
    <w:rsid w:val="00DE66A1"/>
    <w:rsid w:val="00DE6DB8"/>
    <w:rsid w:val="00DE7108"/>
    <w:rsid w:val="00DE7ED2"/>
    <w:rsid w:val="00DF2B17"/>
    <w:rsid w:val="00DF2B57"/>
    <w:rsid w:val="00DF3006"/>
    <w:rsid w:val="00DF3047"/>
    <w:rsid w:val="00DF4111"/>
    <w:rsid w:val="00DF4389"/>
    <w:rsid w:val="00DF4878"/>
    <w:rsid w:val="00DF5A4F"/>
    <w:rsid w:val="00DF6B62"/>
    <w:rsid w:val="00E025FB"/>
    <w:rsid w:val="00E037B6"/>
    <w:rsid w:val="00E04FB0"/>
    <w:rsid w:val="00E0575E"/>
    <w:rsid w:val="00E0691B"/>
    <w:rsid w:val="00E06ECB"/>
    <w:rsid w:val="00E07067"/>
    <w:rsid w:val="00E07383"/>
    <w:rsid w:val="00E108BE"/>
    <w:rsid w:val="00E11F57"/>
    <w:rsid w:val="00E137A9"/>
    <w:rsid w:val="00E14793"/>
    <w:rsid w:val="00E14AA5"/>
    <w:rsid w:val="00E16F5E"/>
    <w:rsid w:val="00E171EA"/>
    <w:rsid w:val="00E17A0F"/>
    <w:rsid w:val="00E17CB2"/>
    <w:rsid w:val="00E2031E"/>
    <w:rsid w:val="00E204A7"/>
    <w:rsid w:val="00E20671"/>
    <w:rsid w:val="00E20717"/>
    <w:rsid w:val="00E209C5"/>
    <w:rsid w:val="00E21878"/>
    <w:rsid w:val="00E22823"/>
    <w:rsid w:val="00E22B28"/>
    <w:rsid w:val="00E23129"/>
    <w:rsid w:val="00E23EEB"/>
    <w:rsid w:val="00E24135"/>
    <w:rsid w:val="00E241CB"/>
    <w:rsid w:val="00E24B42"/>
    <w:rsid w:val="00E24F5F"/>
    <w:rsid w:val="00E25F91"/>
    <w:rsid w:val="00E26581"/>
    <w:rsid w:val="00E26CE5"/>
    <w:rsid w:val="00E27824"/>
    <w:rsid w:val="00E30342"/>
    <w:rsid w:val="00E305A4"/>
    <w:rsid w:val="00E30F65"/>
    <w:rsid w:val="00E31A58"/>
    <w:rsid w:val="00E328BC"/>
    <w:rsid w:val="00E32B70"/>
    <w:rsid w:val="00E33451"/>
    <w:rsid w:val="00E3395C"/>
    <w:rsid w:val="00E343E2"/>
    <w:rsid w:val="00E34CA4"/>
    <w:rsid w:val="00E353E4"/>
    <w:rsid w:val="00E35948"/>
    <w:rsid w:val="00E35BE5"/>
    <w:rsid w:val="00E35CD0"/>
    <w:rsid w:val="00E35FAE"/>
    <w:rsid w:val="00E409B4"/>
    <w:rsid w:val="00E41E16"/>
    <w:rsid w:val="00E429E3"/>
    <w:rsid w:val="00E42EDE"/>
    <w:rsid w:val="00E43313"/>
    <w:rsid w:val="00E453DD"/>
    <w:rsid w:val="00E45652"/>
    <w:rsid w:val="00E45A75"/>
    <w:rsid w:val="00E46306"/>
    <w:rsid w:val="00E46A65"/>
    <w:rsid w:val="00E479A5"/>
    <w:rsid w:val="00E479EA"/>
    <w:rsid w:val="00E47A3E"/>
    <w:rsid w:val="00E47A55"/>
    <w:rsid w:val="00E47B58"/>
    <w:rsid w:val="00E47D20"/>
    <w:rsid w:val="00E52358"/>
    <w:rsid w:val="00E54C8C"/>
    <w:rsid w:val="00E551E2"/>
    <w:rsid w:val="00E55BD2"/>
    <w:rsid w:val="00E55C74"/>
    <w:rsid w:val="00E57913"/>
    <w:rsid w:val="00E57F84"/>
    <w:rsid w:val="00E606B3"/>
    <w:rsid w:val="00E608B4"/>
    <w:rsid w:val="00E60C2A"/>
    <w:rsid w:val="00E60F4C"/>
    <w:rsid w:val="00E616B7"/>
    <w:rsid w:val="00E63351"/>
    <w:rsid w:val="00E63A1C"/>
    <w:rsid w:val="00E63A35"/>
    <w:rsid w:val="00E63E28"/>
    <w:rsid w:val="00E6419A"/>
    <w:rsid w:val="00E6427B"/>
    <w:rsid w:val="00E6441D"/>
    <w:rsid w:val="00E65217"/>
    <w:rsid w:val="00E65CF0"/>
    <w:rsid w:val="00E6614A"/>
    <w:rsid w:val="00E66A48"/>
    <w:rsid w:val="00E67C50"/>
    <w:rsid w:val="00E70846"/>
    <w:rsid w:val="00E708F2"/>
    <w:rsid w:val="00E70EA9"/>
    <w:rsid w:val="00E71688"/>
    <w:rsid w:val="00E7178B"/>
    <w:rsid w:val="00E71E19"/>
    <w:rsid w:val="00E7316F"/>
    <w:rsid w:val="00E734A1"/>
    <w:rsid w:val="00E7378B"/>
    <w:rsid w:val="00E739E6"/>
    <w:rsid w:val="00E74523"/>
    <w:rsid w:val="00E74B02"/>
    <w:rsid w:val="00E74E43"/>
    <w:rsid w:val="00E763F9"/>
    <w:rsid w:val="00E76617"/>
    <w:rsid w:val="00E803D8"/>
    <w:rsid w:val="00E81087"/>
    <w:rsid w:val="00E81B01"/>
    <w:rsid w:val="00E835E4"/>
    <w:rsid w:val="00E8468D"/>
    <w:rsid w:val="00E84D15"/>
    <w:rsid w:val="00E864DA"/>
    <w:rsid w:val="00E868EC"/>
    <w:rsid w:val="00E86FED"/>
    <w:rsid w:val="00E87020"/>
    <w:rsid w:val="00E91591"/>
    <w:rsid w:val="00E921CA"/>
    <w:rsid w:val="00E9224D"/>
    <w:rsid w:val="00E93C3D"/>
    <w:rsid w:val="00E9538E"/>
    <w:rsid w:val="00E96920"/>
    <w:rsid w:val="00E96975"/>
    <w:rsid w:val="00E96C0D"/>
    <w:rsid w:val="00E96FF6"/>
    <w:rsid w:val="00E972C3"/>
    <w:rsid w:val="00E978C2"/>
    <w:rsid w:val="00E97C9E"/>
    <w:rsid w:val="00EA02CF"/>
    <w:rsid w:val="00EA02D2"/>
    <w:rsid w:val="00EA1112"/>
    <w:rsid w:val="00EA1503"/>
    <w:rsid w:val="00EA18F7"/>
    <w:rsid w:val="00EA20E1"/>
    <w:rsid w:val="00EA210D"/>
    <w:rsid w:val="00EA3F96"/>
    <w:rsid w:val="00EA4652"/>
    <w:rsid w:val="00EA4E7B"/>
    <w:rsid w:val="00EA532D"/>
    <w:rsid w:val="00EA5645"/>
    <w:rsid w:val="00EA5826"/>
    <w:rsid w:val="00EA5B66"/>
    <w:rsid w:val="00EA78A7"/>
    <w:rsid w:val="00EA7A5F"/>
    <w:rsid w:val="00EB0E91"/>
    <w:rsid w:val="00EB0EEE"/>
    <w:rsid w:val="00EB142C"/>
    <w:rsid w:val="00EB2592"/>
    <w:rsid w:val="00EB3227"/>
    <w:rsid w:val="00EB37D1"/>
    <w:rsid w:val="00EB37E7"/>
    <w:rsid w:val="00EB3B65"/>
    <w:rsid w:val="00EB3B9C"/>
    <w:rsid w:val="00EB44C5"/>
    <w:rsid w:val="00EB4752"/>
    <w:rsid w:val="00EB4B8D"/>
    <w:rsid w:val="00EB4DF8"/>
    <w:rsid w:val="00EB5AFC"/>
    <w:rsid w:val="00EB5B32"/>
    <w:rsid w:val="00EB6034"/>
    <w:rsid w:val="00EB6728"/>
    <w:rsid w:val="00EB6931"/>
    <w:rsid w:val="00EB6DDC"/>
    <w:rsid w:val="00EC194C"/>
    <w:rsid w:val="00EC1AC4"/>
    <w:rsid w:val="00EC2141"/>
    <w:rsid w:val="00EC22BF"/>
    <w:rsid w:val="00EC22D7"/>
    <w:rsid w:val="00EC2F98"/>
    <w:rsid w:val="00EC31A2"/>
    <w:rsid w:val="00EC48B8"/>
    <w:rsid w:val="00EC5712"/>
    <w:rsid w:val="00EC5997"/>
    <w:rsid w:val="00EC5D82"/>
    <w:rsid w:val="00EC5F4E"/>
    <w:rsid w:val="00ED0F1B"/>
    <w:rsid w:val="00ED1428"/>
    <w:rsid w:val="00ED192D"/>
    <w:rsid w:val="00ED237E"/>
    <w:rsid w:val="00ED2F7C"/>
    <w:rsid w:val="00ED3FBB"/>
    <w:rsid w:val="00ED4208"/>
    <w:rsid w:val="00ED51FD"/>
    <w:rsid w:val="00ED5848"/>
    <w:rsid w:val="00ED5DDD"/>
    <w:rsid w:val="00ED64EC"/>
    <w:rsid w:val="00ED7138"/>
    <w:rsid w:val="00ED79B1"/>
    <w:rsid w:val="00EE056E"/>
    <w:rsid w:val="00EE08E1"/>
    <w:rsid w:val="00EE113E"/>
    <w:rsid w:val="00EE1487"/>
    <w:rsid w:val="00EE1ACE"/>
    <w:rsid w:val="00EE1FD9"/>
    <w:rsid w:val="00EE34F1"/>
    <w:rsid w:val="00EE3C1C"/>
    <w:rsid w:val="00EE466B"/>
    <w:rsid w:val="00EE4748"/>
    <w:rsid w:val="00EE4EB9"/>
    <w:rsid w:val="00EE4EEE"/>
    <w:rsid w:val="00EE534F"/>
    <w:rsid w:val="00EE5F0E"/>
    <w:rsid w:val="00EE6164"/>
    <w:rsid w:val="00EE7476"/>
    <w:rsid w:val="00EF082A"/>
    <w:rsid w:val="00EF10C1"/>
    <w:rsid w:val="00EF126E"/>
    <w:rsid w:val="00EF16B1"/>
    <w:rsid w:val="00EF212D"/>
    <w:rsid w:val="00EF2918"/>
    <w:rsid w:val="00EF3C89"/>
    <w:rsid w:val="00EF4F14"/>
    <w:rsid w:val="00EF62A7"/>
    <w:rsid w:val="00EF6406"/>
    <w:rsid w:val="00EF6B4F"/>
    <w:rsid w:val="00EF7161"/>
    <w:rsid w:val="00F02160"/>
    <w:rsid w:val="00F02430"/>
    <w:rsid w:val="00F024E9"/>
    <w:rsid w:val="00F02B3B"/>
    <w:rsid w:val="00F0321E"/>
    <w:rsid w:val="00F03B04"/>
    <w:rsid w:val="00F04367"/>
    <w:rsid w:val="00F045CA"/>
    <w:rsid w:val="00F04722"/>
    <w:rsid w:val="00F051FC"/>
    <w:rsid w:val="00F05BC6"/>
    <w:rsid w:val="00F07C57"/>
    <w:rsid w:val="00F100C0"/>
    <w:rsid w:val="00F10130"/>
    <w:rsid w:val="00F1097A"/>
    <w:rsid w:val="00F11443"/>
    <w:rsid w:val="00F11EAC"/>
    <w:rsid w:val="00F1209A"/>
    <w:rsid w:val="00F12C35"/>
    <w:rsid w:val="00F1398B"/>
    <w:rsid w:val="00F1483F"/>
    <w:rsid w:val="00F148A4"/>
    <w:rsid w:val="00F14B0B"/>
    <w:rsid w:val="00F15127"/>
    <w:rsid w:val="00F16343"/>
    <w:rsid w:val="00F16B00"/>
    <w:rsid w:val="00F1725E"/>
    <w:rsid w:val="00F21B68"/>
    <w:rsid w:val="00F21F28"/>
    <w:rsid w:val="00F222F0"/>
    <w:rsid w:val="00F22D84"/>
    <w:rsid w:val="00F22E7D"/>
    <w:rsid w:val="00F22FB2"/>
    <w:rsid w:val="00F23871"/>
    <w:rsid w:val="00F25440"/>
    <w:rsid w:val="00F26EA7"/>
    <w:rsid w:val="00F27471"/>
    <w:rsid w:val="00F27558"/>
    <w:rsid w:val="00F277D6"/>
    <w:rsid w:val="00F27A10"/>
    <w:rsid w:val="00F27CF1"/>
    <w:rsid w:val="00F30FA1"/>
    <w:rsid w:val="00F310F3"/>
    <w:rsid w:val="00F31BB4"/>
    <w:rsid w:val="00F326C3"/>
    <w:rsid w:val="00F3284B"/>
    <w:rsid w:val="00F32B8A"/>
    <w:rsid w:val="00F3396F"/>
    <w:rsid w:val="00F340E5"/>
    <w:rsid w:val="00F348F2"/>
    <w:rsid w:val="00F357AD"/>
    <w:rsid w:val="00F40218"/>
    <w:rsid w:val="00F4077E"/>
    <w:rsid w:val="00F40A5F"/>
    <w:rsid w:val="00F41F71"/>
    <w:rsid w:val="00F42B39"/>
    <w:rsid w:val="00F42D3A"/>
    <w:rsid w:val="00F433E1"/>
    <w:rsid w:val="00F43BE3"/>
    <w:rsid w:val="00F45B13"/>
    <w:rsid w:val="00F46729"/>
    <w:rsid w:val="00F46F38"/>
    <w:rsid w:val="00F47617"/>
    <w:rsid w:val="00F5016D"/>
    <w:rsid w:val="00F507DC"/>
    <w:rsid w:val="00F508F7"/>
    <w:rsid w:val="00F534B0"/>
    <w:rsid w:val="00F537B4"/>
    <w:rsid w:val="00F54203"/>
    <w:rsid w:val="00F5448C"/>
    <w:rsid w:val="00F54CF1"/>
    <w:rsid w:val="00F54F98"/>
    <w:rsid w:val="00F555C9"/>
    <w:rsid w:val="00F55992"/>
    <w:rsid w:val="00F575FD"/>
    <w:rsid w:val="00F6182E"/>
    <w:rsid w:val="00F6231E"/>
    <w:rsid w:val="00F6334E"/>
    <w:rsid w:val="00F63798"/>
    <w:rsid w:val="00F6390C"/>
    <w:rsid w:val="00F63BDC"/>
    <w:rsid w:val="00F655D0"/>
    <w:rsid w:val="00F656C6"/>
    <w:rsid w:val="00F65B72"/>
    <w:rsid w:val="00F66088"/>
    <w:rsid w:val="00F661F9"/>
    <w:rsid w:val="00F6792B"/>
    <w:rsid w:val="00F701CE"/>
    <w:rsid w:val="00F71D69"/>
    <w:rsid w:val="00F720F8"/>
    <w:rsid w:val="00F72670"/>
    <w:rsid w:val="00F72F65"/>
    <w:rsid w:val="00F73A61"/>
    <w:rsid w:val="00F74F65"/>
    <w:rsid w:val="00F75D24"/>
    <w:rsid w:val="00F76204"/>
    <w:rsid w:val="00F76469"/>
    <w:rsid w:val="00F76AC2"/>
    <w:rsid w:val="00F76CC0"/>
    <w:rsid w:val="00F76CFC"/>
    <w:rsid w:val="00F7771D"/>
    <w:rsid w:val="00F77C44"/>
    <w:rsid w:val="00F82331"/>
    <w:rsid w:val="00F82664"/>
    <w:rsid w:val="00F82FD9"/>
    <w:rsid w:val="00F84C95"/>
    <w:rsid w:val="00F86488"/>
    <w:rsid w:val="00F87968"/>
    <w:rsid w:val="00F87D25"/>
    <w:rsid w:val="00F87E39"/>
    <w:rsid w:val="00F90897"/>
    <w:rsid w:val="00F91074"/>
    <w:rsid w:val="00F91253"/>
    <w:rsid w:val="00F913DD"/>
    <w:rsid w:val="00F915ED"/>
    <w:rsid w:val="00F91E35"/>
    <w:rsid w:val="00F925FD"/>
    <w:rsid w:val="00F92B40"/>
    <w:rsid w:val="00F92BFB"/>
    <w:rsid w:val="00F92F00"/>
    <w:rsid w:val="00F94623"/>
    <w:rsid w:val="00F94AF9"/>
    <w:rsid w:val="00F95AC8"/>
    <w:rsid w:val="00F95FB3"/>
    <w:rsid w:val="00F9737E"/>
    <w:rsid w:val="00F97612"/>
    <w:rsid w:val="00F977F1"/>
    <w:rsid w:val="00FA01D5"/>
    <w:rsid w:val="00FA0296"/>
    <w:rsid w:val="00FA034C"/>
    <w:rsid w:val="00FA1056"/>
    <w:rsid w:val="00FA1C32"/>
    <w:rsid w:val="00FA1DEA"/>
    <w:rsid w:val="00FA2ADC"/>
    <w:rsid w:val="00FA3065"/>
    <w:rsid w:val="00FA3827"/>
    <w:rsid w:val="00FA4F1C"/>
    <w:rsid w:val="00FA7F68"/>
    <w:rsid w:val="00FB1657"/>
    <w:rsid w:val="00FB2DB9"/>
    <w:rsid w:val="00FB378E"/>
    <w:rsid w:val="00FB38BB"/>
    <w:rsid w:val="00FB4194"/>
    <w:rsid w:val="00FB5263"/>
    <w:rsid w:val="00FB5589"/>
    <w:rsid w:val="00FB5621"/>
    <w:rsid w:val="00FB6307"/>
    <w:rsid w:val="00FB6AC0"/>
    <w:rsid w:val="00FB6B13"/>
    <w:rsid w:val="00FB7576"/>
    <w:rsid w:val="00FB76D3"/>
    <w:rsid w:val="00FC097E"/>
    <w:rsid w:val="00FC0ECF"/>
    <w:rsid w:val="00FC10E0"/>
    <w:rsid w:val="00FC1E94"/>
    <w:rsid w:val="00FC2804"/>
    <w:rsid w:val="00FC3C6B"/>
    <w:rsid w:val="00FC3E07"/>
    <w:rsid w:val="00FC59DC"/>
    <w:rsid w:val="00FC6175"/>
    <w:rsid w:val="00FD0C09"/>
    <w:rsid w:val="00FD1460"/>
    <w:rsid w:val="00FD17DC"/>
    <w:rsid w:val="00FD1FAC"/>
    <w:rsid w:val="00FD2909"/>
    <w:rsid w:val="00FD2BC9"/>
    <w:rsid w:val="00FD3191"/>
    <w:rsid w:val="00FD4802"/>
    <w:rsid w:val="00FD5568"/>
    <w:rsid w:val="00FD70C8"/>
    <w:rsid w:val="00FD7D51"/>
    <w:rsid w:val="00FD7EF7"/>
    <w:rsid w:val="00FE0E98"/>
    <w:rsid w:val="00FE1086"/>
    <w:rsid w:val="00FE2222"/>
    <w:rsid w:val="00FE2A6D"/>
    <w:rsid w:val="00FE344B"/>
    <w:rsid w:val="00FE369B"/>
    <w:rsid w:val="00FE43BD"/>
    <w:rsid w:val="00FE7AB1"/>
    <w:rsid w:val="00FF1B91"/>
    <w:rsid w:val="00FF2E89"/>
    <w:rsid w:val="00FF3277"/>
    <w:rsid w:val="00FF4023"/>
    <w:rsid w:val="00FF41F4"/>
    <w:rsid w:val="00FF44D5"/>
    <w:rsid w:val="00FF4785"/>
    <w:rsid w:val="00FF4868"/>
    <w:rsid w:val="00FF4A1E"/>
    <w:rsid w:val="00FF4E6C"/>
    <w:rsid w:val="00FF5FE4"/>
    <w:rsid w:val="00FF7113"/>
    <w:rsid w:val="00FF72AF"/>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B0AA705"/>
  <w15:docId w15:val="{214AA290-604A-40B2-B326-E8209826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8F7"/>
  </w:style>
  <w:style w:type="paragraph" w:styleId="Heading1">
    <w:name w:val="heading 1"/>
    <w:aliases w:val="Section Header"/>
    <w:basedOn w:val="Normal"/>
    <w:next w:val="Normal"/>
    <w:link w:val="Heading1Char"/>
    <w:uiPriority w:val="9"/>
    <w:qFormat/>
    <w:rsid w:val="008F38DE"/>
    <w:pPr>
      <w:numPr>
        <w:numId w:val="1"/>
      </w:numPr>
      <w:spacing w:line="480" w:lineRule="auto"/>
      <w:jc w:val="center"/>
      <w:outlineLvl w:val="0"/>
    </w:pPr>
    <w:rPr>
      <w:rFonts w:eastAsia="Times New Roman"/>
      <w:b/>
    </w:rPr>
  </w:style>
  <w:style w:type="paragraph" w:styleId="Heading2">
    <w:name w:val="heading 2"/>
    <w:basedOn w:val="Normal"/>
    <w:next w:val="Normal"/>
    <w:link w:val="Heading2Char"/>
    <w:uiPriority w:val="9"/>
    <w:unhideWhenUsed/>
    <w:qFormat/>
    <w:rsid w:val="00513F2D"/>
    <w:pPr>
      <w:numPr>
        <w:numId w:val="3"/>
      </w:numPr>
      <w:spacing w:line="480" w:lineRule="auto"/>
      <w:outlineLvl w:val="1"/>
    </w:pPr>
    <w:rPr>
      <w:rFonts w:eastAsia="Times New Roman"/>
      <w:b/>
    </w:rPr>
  </w:style>
  <w:style w:type="paragraph" w:styleId="Heading3">
    <w:name w:val="heading 3"/>
    <w:basedOn w:val="Heading1"/>
    <w:next w:val="Normal"/>
    <w:link w:val="Heading3Char"/>
    <w:uiPriority w:val="9"/>
    <w:unhideWhenUsed/>
    <w:rsid w:val="00C36D7B"/>
    <w:pPr>
      <w:keepNext/>
      <w:keepLines/>
      <w:numPr>
        <w:numId w:val="2"/>
      </w:numPr>
      <w:spacing w:before="40"/>
      <w:jc w:val="left"/>
      <w:outlineLvl w:val="2"/>
    </w:pPr>
    <w:rPr>
      <w:rFonts w:eastAsiaTheme="majorEastAsia" w:cstheme="majorBidi"/>
    </w:rPr>
  </w:style>
  <w:style w:type="paragraph" w:styleId="Heading4">
    <w:name w:val="heading 4"/>
    <w:basedOn w:val="Normal"/>
    <w:next w:val="Normal"/>
    <w:link w:val="Heading4Char"/>
    <w:uiPriority w:val="9"/>
    <w:unhideWhenUsed/>
    <w:rsid w:val="006547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rsid w:val="0054068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Question"/>
    <w:basedOn w:val="Heading2"/>
    <w:next w:val="Normal"/>
    <w:link w:val="Heading8Char"/>
    <w:uiPriority w:val="9"/>
    <w:unhideWhenUsed/>
    <w:qFormat/>
    <w:rsid w:val="008F38DE"/>
    <w:pPr>
      <w:numPr>
        <w:numId w:val="0"/>
      </w:numPr>
      <w:ind w:left="720" w:hanging="720"/>
      <w:outlineLvl w:val="7"/>
    </w:pPr>
  </w:style>
  <w:style w:type="paragraph" w:styleId="Heading9">
    <w:name w:val="heading 9"/>
    <w:basedOn w:val="Normal"/>
    <w:next w:val="Normal"/>
    <w:link w:val="Heading9Char"/>
    <w:uiPriority w:val="9"/>
    <w:unhideWhenUsed/>
    <w:rsid w:val="005406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8F38DE"/>
    <w:rPr>
      <w:rFonts w:eastAsia="Times New Roman"/>
      <w:b/>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nhideWhenUsed/>
    <w:rsid w:val="00CC09B5"/>
    <w:pPr>
      <w:tabs>
        <w:tab w:val="center" w:pos="4680"/>
        <w:tab w:val="right" w:pos="9360"/>
      </w:tabs>
    </w:pPr>
  </w:style>
  <w:style w:type="character" w:customStyle="1" w:styleId="HeaderChar">
    <w:name w:val="Header Char"/>
    <w:basedOn w:val="DefaultParagraphFont"/>
    <w:link w:val="Header"/>
    <w:rsid w:val="00CC09B5"/>
  </w:style>
  <w:style w:type="paragraph" w:styleId="NoSpacing">
    <w:name w:val="No Spacing"/>
    <w:aliases w:val="Answer"/>
    <w:basedOn w:val="Normal"/>
    <w:uiPriority w:val="1"/>
    <w:qFormat/>
    <w:rsid w:val="00713027"/>
    <w:pPr>
      <w:spacing w:line="480" w:lineRule="auto"/>
      <w:ind w:left="720" w:hanging="720"/>
    </w:pPr>
    <w:rPr>
      <w:rFonts w:eastAsia="Times New Roman"/>
    </w:rPr>
  </w:style>
  <w:style w:type="character" w:customStyle="1" w:styleId="Heading2Char">
    <w:name w:val="Heading 2 Char"/>
    <w:basedOn w:val="DefaultParagraphFont"/>
    <w:link w:val="Heading2"/>
    <w:uiPriority w:val="9"/>
    <w:rsid w:val="00513F2D"/>
    <w:rPr>
      <w:rFonts w:eastAsia="Times New Roman"/>
      <w:b/>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uiPriority w:val="99"/>
    <w:semiHidden/>
    <w:unhideWhenUsed/>
    <w:rsid w:val="00D32E7E"/>
    <w:rPr>
      <w:sz w:val="16"/>
      <w:szCs w:val="16"/>
    </w:rPr>
  </w:style>
  <w:style w:type="paragraph" w:styleId="CommentText">
    <w:name w:val="annotation text"/>
    <w:basedOn w:val="Normal"/>
    <w:link w:val="CommentTextChar"/>
    <w:uiPriority w:val="99"/>
    <w:semiHidden/>
    <w:unhideWhenUsed/>
    <w:rsid w:val="00D32E7E"/>
    <w:rPr>
      <w:sz w:val="20"/>
      <w:szCs w:val="20"/>
    </w:rPr>
  </w:style>
  <w:style w:type="character" w:customStyle="1" w:styleId="CommentTextChar">
    <w:name w:val="Comment Text Char"/>
    <w:basedOn w:val="DefaultParagraphFont"/>
    <w:link w:val="CommentText"/>
    <w:uiPriority w:val="99"/>
    <w:semiHidden/>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132503"/>
    <w:pPr>
      <w:tabs>
        <w:tab w:val="left" w:pos="880"/>
        <w:tab w:val="right" w:leader="dot" w:pos="9350"/>
      </w:tabs>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4011D5"/>
    <w:pPr>
      <w:tabs>
        <w:tab w:val="right" w:pos="360"/>
        <w:tab w:val="left" w:pos="540"/>
        <w:tab w:val="right" w:leader="dot" w:pos="9350"/>
      </w:tabs>
      <w:spacing w:after="100" w:line="276" w:lineRule="auto"/>
    </w:pPr>
    <w:rPr>
      <w:rFonts w:ascii="Times New Roman Bold" w:eastAsiaTheme="minorEastAsia" w:hAnsi="Times New Roman Bold"/>
      <w:b/>
      <w:caps/>
      <w:noProof/>
      <w:lang w:eastAsia="ja-JP"/>
    </w:rPr>
  </w:style>
  <w:style w:type="paragraph" w:styleId="TOC3">
    <w:name w:val="toc 3"/>
    <w:basedOn w:val="Normal"/>
    <w:next w:val="Normal"/>
    <w:autoRedefine/>
    <w:uiPriority w:val="39"/>
    <w:unhideWhenUsed/>
    <w:qFormat/>
    <w:rsid w:val="008004C0"/>
    <w:pPr>
      <w:spacing w:after="100" w:line="276" w:lineRule="auto"/>
      <w:ind w:left="440"/>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aliases w:val="ALTS FOOTNOTE,Footnote Text Char1 Char,Footnote Text Char Char Char,Footnote Text Char1 Char Char Char,Footnote Text Char Char Char Char Char,Footnote Text Char Char1 Char,Footnote Text Char1 Char1 Char,Footnote Text Char Char1,fn"/>
    <w:basedOn w:val="Normal"/>
    <w:link w:val="FootnoteTextChar"/>
    <w:uiPriority w:val="99"/>
    <w:unhideWhenUsed/>
    <w:qFormat/>
    <w:rsid w:val="006B3F01"/>
    <w:rPr>
      <w:sz w:val="20"/>
      <w:szCs w:val="20"/>
    </w:rPr>
  </w:style>
  <w:style w:type="character" w:customStyle="1" w:styleId="FootnoteTextChar">
    <w:name w:val="Footnote Text Char"/>
    <w:aliases w:val="ALTS FOOTNOTE Char,Footnote Text Char1 Char Char1,Footnote Text Char Char Char Char1,Footnote Text Char1 Char Char Char Char1,Footnote Text Char Char Char Char Char Char1,Footnote Text Char Char1 Char Char1,fn Char1"/>
    <w:basedOn w:val="DefaultParagraphFont"/>
    <w:link w:val="FootnoteText"/>
    <w:uiPriority w:val="99"/>
    <w:rsid w:val="006B3F01"/>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99"/>
    <w:unhideWhenUsed/>
    <w:qFormat/>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 w:type="table" w:styleId="TableGrid">
    <w:name w:val="Table Grid"/>
    <w:basedOn w:val="TableNormal"/>
    <w:uiPriority w:val="59"/>
    <w:rsid w:val="0043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D7B"/>
    <w:rPr>
      <w:rFonts w:eastAsiaTheme="majorEastAsia" w:cstheme="majorBidi"/>
      <w:b/>
    </w:rPr>
  </w:style>
  <w:style w:type="character" w:customStyle="1" w:styleId="Heading4Char">
    <w:name w:val="Heading 4 Char"/>
    <w:basedOn w:val="DefaultParagraphFont"/>
    <w:link w:val="Heading4"/>
    <w:uiPriority w:val="9"/>
    <w:rsid w:val="006547C5"/>
    <w:rPr>
      <w:rFonts w:asciiTheme="majorHAnsi" w:eastAsiaTheme="majorEastAsia" w:hAnsiTheme="majorHAnsi" w:cstheme="majorBidi"/>
      <w:i/>
      <w:iCs/>
      <w:color w:val="365F91" w:themeColor="accent1" w:themeShade="BF"/>
    </w:rPr>
  </w:style>
  <w:style w:type="character" w:customStyle="1" w:styleId="Heading8Char">
    <w:name w:val="Heading 8 Char"/>
    <w:aliases w:val="Question Char"/>
    <w:basedOn w:val="DefaultParagraphFont"/>
    <w:link w:val="Heading8"/>
    <w:uiPriority w:val="9"/>
    <w:rsid w:val="008F38DE"/>
    <w:rPr>
      <w:rFonts w:eastAsia="Times New Roman"/>
      <w:b/>
    </w:rPr>
  </w:style>
  <w:style w:type="character" w:customStyle="1" w:styleId="Heading9Char">
    <w:name w:val="Heading 9 Char"/>
    <w:basedOn w:val="DefaultParagraphFont"/>
    <w:link w:val="Heading9"/>
    <w:uiPriority w:val="9"/>
    <w:rsid w:val="00540687"/>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540687"/>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rsid w:val="00090908"/>
    <w:pPr>
      <w:spacing w:line="480" w:lineRule="auto"/>
      <w:ind w:left="720" w:hanging="360"/>
    </w:pPr>
    <w:rPr>
      <w:rFonts w:eastAsia="Times New Roman"/>
    </w:rPr>
  </w:style>
  <w:style w:type="character" w:customStyle="1" w:styleId="BodyTextIndent2Char">
    <w:name w:val="Body Text Indent 2 Char"/>
    <w:basedOn w:val="DefaultParagraphFont"/>
    <w:link w:val="BodyTextIndent2"/>
    <w:rsid w:val="00090908"/>
    <w:rPr>
      <w:rFonts w:eastAsia="Times New Roman"/>
    </w:rPr>
  </w:style>
  <w:style w:type="paragraph" w:customStyle="1" w:styleId="Default">
    <w:name w:val="Default"/>
    <w:rsid w:val="00F91074"/>
    <w:pPr>
      <w:autoSpaceDE w:val="0"/>
      <w:autoSpaceDN w:val="0"/>
      <w:adjustRightInd w:val="0"/>
    </w:pPr>
    <w:rPr>
      <w:color w:val="00000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uiPriority w:val="99"/>
    <w:locked/>
    <w:rsid w:val="00B25158"/>
    <w:rPr>
      <w:sz w:val="22"/>
    </w:rPr>
  </w:style>
  <w:style w:type="paragraph" w:customStyle="1" w:styleId="Heading1a">
    <w:name w:val="Heading 1a"/>
    <w:basedOn w:val="Heading3"/>
    <w:link w:val="Heading1aChar"/>
    <w:qFormat/>
    <w:rsid w:val="001F5258"/>
    <w:rPr>
      <w:i/>
    </w:rPr>
  </w:style>
  <w:style w:type="character" w:customStyle="1" w:styleId="Heading1aChar">
    <w:name w:val="Heading 1a Char"/>
    <w:basedOn w:val="Heading3Char"/>
    <w:link w:val="Heading1a"/>
    <w:rsid w:val="001F5258"/>
    <w:rPr>
      <w:rFonts w:eastAsiaTheme="majorEastAsia" w:cstheme="majorBid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870">
      <w:bodyDiv w:val="1"/>
      <w:marLeft w:val="0"/>
      <w:marRight w:val="0"/>
      <w:marTop w:val="0"/>
      <w:marBottom w:val="0"/>
      <w:divBdr>
        <w:top w:val="none" w:sz="0" w:space="0" w:color="auto"/>
        <w:left w:val="none" w:sz="0" w:space="0" w:color="auto"/>
        <w:bottom w:val="none" w:sz="0" w:space="0" w:color="auto"/>
        <w:right w:val="none" w:sz="0" w:space="0" w:color="auto"/>
      </w:divBdr>
    </w:div>
    <w:div w:id="144785909">
      <w:bodyDiv w:val="1"/>
      <w:marLeft w:val="0"/>
      <w:marRight w:val="0"/>
      <w:marTop w:val="0"/>
      <w:marBottom w:val="0"/>
      <w:divBdr>
        <w:top w:val="none" w:sz="0" w:space="0" w:color="auto"/>
        <w:left w:val="none" w:sz="0" w:space="0" w:color="auto"/>
        <w:bottom w:val="none" w:sz="0" w:space="0" w:color="auto"/>
        <w:right w:val="none" w:sz="0" w:space="0" w:color="auto"/>
      </w:divBdr>
    </w:div>
    <w:div w:id="179468018">
      <w:bodyDiv w:val="1"/>
      <w:marLeft w:val="0"/>
      <w:marRight w:val="0"/>
      <w:marTop w:val="0"/>
      <w:marBottom w:val="0"/>
      <w:divBdr>
        <w:top w:val="none" w:sz="0" w:space="0" w:color="auto"/>
        <w:left w:val="none" w:sz="0" w:space="0" w:color="auto"/>
        <w:bottom w:val="none" w:sz="0" w:space="0" w:color="auto"/>
        <w:right w:val="none" w:sz="0" w:space="0" w:color="auto"/>
      </w:divBdr>
    </w:div>
    <w:div w:id="203251515">
      <w:bodyDiv w:val="1"/>
      <w:marLeft w:val="0"/>
      <w:marRight w:val="0"/>
      <w:marTop w:val="0"/>
      <w:marBottom w:val="0"/>
      <w:divBdr>
        <w:top w:val="none" w:sz="0" w:space="0" w:color="auto"/>
        <w:left w:val="none" w:sz="0" w:space="0" w:color="auto"/>
        <w:bottom w:val="none" w:sz="0" w:space="0" w:color="auto"/>
        <w:right w:val="none" w:sz="0" w:space="0" w:color="auto"/>
      </w:divBdr>
    </w:div>
    <w:div w:id="272329427">
      <w:bodyDiv w:val="1"/>
      <w:marLeft w:val="0"/>
      <w:marRight w:val="0"/>
      <w:marTop w:val="0"/>
      <w:marBottom w:val="0"/>
      <w:divBdr>
        <w:top w:val="none" w:sz="0" w:space="0" w:color="auto"/>
        <w:left w:val="none" w:sz="0" w:space="0" w:color="auto"/>
        <w:bottom w:val="none" w:sz="0" w:space="0" w:color="auto"/>
        <w:right w:val="none" w:sz="0" w:space="0" w:color="auto"/>
      </w:divBdr>
    </w:div>
    <w:div w:id="358554388">
      <w:bodyDiv w:val="1"/>
      <w:marLeft w:val="0"/>
      <w:marRight w:val="0"/>
      <w:marTop w:val="0"/>
      <w:marBottom w:val="0"/>
      <w:divBdr>
        <w:top w:val="none" w:sz="0" w:space="0" w:color="auto"/>
        <w:left w:val="none" w:sz="0" w:space="0" w:color="auto"/>
        <w:bottom w:val="none" w:sz="0" w:space="0" w:color="auto"/>
        <w:right w:val="none" w:sz="0" w:space="0" w:color="auto"/>
      </w:divBdr>
    </w:div>
    <w:div w:id="381825703">
      <w:bodyDiv w:val="1"/>
      <w:marLeft w:val="0"/>
      <w:marRight w:val="0"/>
      <w:marTop w:val="0"/>
      <w:marBottom w:val="0"/>
      <w:divBdr>
        <w:top w:val="none" w:sz="0" w:space="0" w:color="auto"/>
        <w:left w:val="none" w:sz="0" w:space="0" w:color="auto"/>
        <w:bottom w:val="none" w:sz="0" w:space="0" w:color="auto"/>
        <w:right w:val="none" w:sz="0" w:space="0" w:color="auto"/>
      </w:divBdr>
    </w:div>
    <w:div w:id="386075804">
      <w:bodyDiv w:val="1"/>
      <w:marLeft w:val="0"/>
      <w:marRight w:val="0"/>
      <w:marTop w:val="0"/>
      <w:marBottom w:val="0"/>
      <w:divBdr>
        <w:top w:val="none" w:sz="0" w:space="0" w:color="auto"/>
        <w:left w:val="none" w:sz="0" w:space="0" w:color="auto"/>
        <w:bottom w:val="none" w:sz="0" w:space="0" w:color="auto"/>
        <w:right w:val="none" w:sz="0" w:space="0" w:color="auto"/>
      </w:divBdr>
    </w:div>
    <w:div w:id="412624103">
      <w:bodyDiv w:val="1"/>
      <w:marLeft w:val="0"/>
      <w:marRight w:val="0"/>
      <w:marTop w:val="0"/>
      <w:marBottom w:val="0"/>
      <w:divBdr>
        <w:top w:val="none" w:sz="0" w:space="0" w:color="auto"/>
        <w:left w:val="none" w:sz="0" w:space="0" w:color="auto"/>
        <w:bottom w:val="none" w:sz="0" w:space="0" w:color="auto"/>
        <w:right w:val="none" w:sz="0" w:space="0" w:color="auto"/>
      </w:divBdr>
    </w:div>
    <w:div w:id="423693588">
      <w:bodyDiv w:val="1"/>
      <w:marLeft w:val="0"/>
      <w:marRight w:val="0"/>
      <w:marTop w:val="0"/>
      <w:marBottom w:val="0"/>
      <w:divBdr>
        <w:top w:val="none" w:sz="0" w:space="0" w:color="auto"/>
        <w:left w:val="none" w:sz="0" w:space="0" w:color="auto"/>
        <w:bottom w:val="none" w:sz="0" w:space="0" w:color="auto"/>
        <w:right w:val="none" w:sz="0" w:space="0" w:color="auto"/>
      </w:divBdr>
    </w:div>
    <w:div w:id="430782466">
      <w:bodyDiv w:val="1"/>
      <w:marLeft w:val="0"/>
      <w:marRight w:val="0"/>
      <w:marTop w:val="0"/>
      <w:marBottom w:val="0"/>
      <w:divBdr>
        <w:top w:val="none" w:sz="0" w:space="0" w:color="auto"/>
        <w:left w:val="none" w:sz="0" w:space="0" w:color="auto"/>
        <w:bottom w:val="none" w:sz="0" w:space="0" w:color="auto"/>
        <w:right w:val="none" w:sz="0" w:space="0" w:color="auto"/>
      </w:divBdr>
    </w:div>
    <w:div w:id="453595402">
      <w:bodyDiv w:val="1"/>
      <w:marLeft w:val="0"/>
      <w:marRight w:val="0"/>
      <w:marTop w:val="0"/>
      <w:marBottom w:val="0"/>
      <w:divBdr>
        <w:top w:val="none" w:sz="0" w:space="0" w:color="auto"/>
        <w:left w:val="none" w:sz="0" w:space="0" w:color="auto"/>
        <w:bottom w:val="none" w:sz="0" w:space="0" w:color="auto"/>
        <w:right w:val="none" w:sz="0" w:space="0" w:color="auto"/>
      </w:divBdr>
    </w:div>
    <w:div w:id="457727915">
      <w:bodyDiv w:val="1"/>
      <w:marLeft w:val="0"/>
      <w:marRight w:val="0"/>
      <w:marTop w:val="0"/>
      <w:marBottom w:val="0"/>
      <w:divBdr>
        <w:top w:val="none" w:sz="0" w:space="0" w:color="auto"/>
        <w:left w:val="none" w:sz="0" w:space="0" w:color="auto"/>
        <w:bottom w:val="none" w:sz="0" w:space="0" w:color="auto"/>
        <w:right w:val="none" w:sz="0" w:space="0" w:color="auto"/>
      </w:divBdr>
    </w:div>
    <w:div w:id="516626037">
      <w:bodyDiv w:val="1"/>
      <w:marLeft w:val="0"/>
      <w:marRight w:val="0"/>
      <w:marTop w:val="0"/>
      <w:marBottom w:val="0"/>
      <w:divBdr>
        <w:top w:val="none" w:sz="0" w:space="0" w:color="auto"/>
        <w:left w:val="none" w:sz="0" w:space="0" w:color="auto"/>
        <w:bottom w:val="none" w:sz="0" w:space="0" w:color="auto"/>
        <w:right w:val="none" w:sz="0" w:space="0" w:color="auto"/>
      </w:divBdr>
    </w:div>
    <w:div w:id="561333161">
      <w:bodyDiv w:val="1"/>
      <w:marLeft w:val="0"/>
      <w:marRight w:val="0"/>
      <w:marTop w:val="0"/>
      <w:marBottom w:val="0"/>
      <w:divBdr>
        <w:top w:val="none" w:sz="0" w:space="0" w:color="auto"/>
        <w:left w:val="none" w:sz="0" w:space="0" w:color="auto"/>
        <w:bottom w:val="none" w:sz="0" w:space="0" w:color="auto"/>
        <w:right w:val="none" w:sz="0" w:space="0" w:color="auto"/>
      </w:divBdr>
    </w:div>
    <w:div w:id="615136759">
      <w:bodyDiv w:val="1"/>
      <w:marLeft w:val="0"/>
      <w:marRight w:val="0"/>
      <w:marTop w:val="0"/>
      <w:marBottom w:val="0"/>
      <w:divBdr>
        <w:top w:val="none" w:sz="0" w:space="0" w:color="auto"/>
        <w:left w:val="none" w:sz="0" w:space="0" w:color="auto"/>
        <w:bottom w:val="none" w:sz="0" w:space="0" w:color="auto"/>
        <w:right w:val="none" w:sz="0" w:space="0" w:color="auto"/>
      </w:divBdr>
    </w:div>
    <w:div w:id="694617545">
      <w:bodyDiv w:val="1"/>
      <w:marLeft w:val="0"/>
      <w:marRight w:val="0"/>
      <w:marTop w:val="0"/>
      <w:marBottom w:val="0"/>
      <w:divBdr>
        <w:top w:val="none" w:sz="0" w:space="0" w:color="auto"/>
        <w:left w:val="none" w:sz="0" w:space="0" w:color="auto"/>
        <w:bottom w:val="none" w:sz="0" w:space="0" w:color="auto"/>
        <w:right w:val="none" w:sz="0" w:space="0" w:color="auto"/>
      </w:divBdr>
    </w:div>
    <w:div w:id="718282522">
      <w:bodyDiv w:val="1"/>
      <w:marLeft w:val="0"/>
      <w:marRight w:val="0"/>
      <w:marTop w:val="0"/>
      <w:marBottom w:val="0"/>
      <w:divBdr>
        <w:top w:val="none" w:sz="0" w:space="0" w:color="auto"/>
        <w:left w:val="none" w:sz="0" w:space="0" w:color="auto"/>
        <w:bottom w:val="none" w:sz="0" w:space="0" w:color="auto"/>
        <w:right w:val="none" w:sz="0" w:space="0" w:color="auto"/>
      </w:divBdr>
    </w:div>
    <w:div w:id="729888111">
      <w:bodyDiv w:val="1"/>
      <w:marLeft w:val="0"/>
      <w:marRight w:val="0"/>
      <w:marTop w:val="0"/>
      <w:marBottom w:val="0"/>
      <w:divBdr>
        <w:top w:val="none" w:sz="0" w:space="0" w:color="auto"/>
        <w:left w:val="none" w:sz="0" w:space="0" w:color="auto"/>
        <w:bottom w:val="none" w:sz="0" w:space="0" w:color="auto"/>
        <w:right w:val="none" w:sz="0" w:space="0" w:color="auto"/>
      </w:divBdr>
    </w:div>
    <w:div w:id="754088742">
      <w:bodyDiv w:val="1"/>
      <w:marLeft w:val="0"/>
      <w:marRight w:val="0"/>
      <w:marTop w:val="0"/>
      <w:marBottom w:val="0"/>
      <w:divBdr>
        <w:top w:val="none" w:sz="0" w:space="0" w:color="auto"/>
        <w:left w:val="none" w:sz="0" w:space="0" w:color="auto"/>
        <w:bottom w:val="none" w:sz="0" w:space="0" w:color="auto"/>
        <w:right w:val="none" w:sz="0" w:space="0" w:color="auto"/>
      </w:divBdr>
    </w:div>
    <w:div w:id="772749545">
      <w:bodyDiv w:val="1"/>
      <w:marLeft w:val="0"/>
      <w:marRight w:val="0"/>
      <w:marTop w:val="0"/>
      <w:marBottom w:val="0"/>
      <w:divBdr>
        <w:top w:val="none" w:sz="0" w:space="0" w:color="auto"/>
        <w:left w:val="none" w:sz="0" w:space="0" w:color="auto"/>
        <w:bottom w:val="none" w:sz="0" w:space="0" w:color="auto"/>
        <w:right w:val="none" w:sz="0" w:space="0" w:color="auto"/>
      </w:divBdr>
    </w:div>
    <w:div w:id="904528395">
      <w:bodyDiv w:val="1"/>
      <w:marLeft w:val="0"/>
      <w:marRight w:val="0"/>
      <w:marTop w:val="0"/>
      <w:marBottom w:val="0"/>
      <w:divBdr>
        <w:top w:val="none" w:sz="0" w:space="0" w:color="auto"/>
        <w:left w:val="none" w:sz="0" w:space="0" w:color="auto"/>
        <w:bottom w:val="none" w:sz="0" w:space="0" w:color="auto"/>
        <w:right w:val="none" w:sz="0" w:space="0" w:color="auto"/>
      </w:divBdr>
    </w:div>
    <w:div w:id="949507351">
      <w:bodyDiv w:val="1"/>
      <w:marLeft w:val="0"/>
      <w:marRight w:val="0"/>
      <w:marTop w:val="0"/>
      <w:marBottom w:val="0"/>
      <w:divBdr>
        <w:top w:val="none" w:sz="0" w:space="0" w:color="auto"/>
        <w:left w:val="none" w:sz="0" w:space="0" w:color="auto"/>
        <w:bottom w:val="none" w:sz="0" w:space="0" w:color="auto"/>
        <w:right w:val="none" w:sz="0" w:space="0" w:color="auto"/>
      </w:divBdr>
    </w:div>
    <w:div w:id="1025601100">
      <w:bodyDiv w:val="1"/>
      <w:marLeft w:val="0"/>
      <w:marRight w:val="0"/>
      <w:marTop w:val="0"/>
      <w:marBottom w:val="0"/>
      <w:divBdr>
        <w:top w:val="none" w:sz="0" w:space="0" w:color="auto"/>
        <w:left w:val="none" w:sz="0" w:space="0" w:color="auto"/>
        <w:bottom w:val="none" w:sz="0" w:space="0" w:color="auto"/>
        <w:right w:val="none" w:sz="0" w:space="0" w:color="auto"/>
      </w:divBdr>
    </w:div>
    <w:div w:id="1037194893">
      <w:bodyDiv w:val="1"/>
      <w:marLeft w:val="0"/>
      <w:marRight w:val="0"/>
      <w:marTop w:val="0"/>
      <w:marBottom w:val="0"/>
      <w:divBdr>
        <w:top w:val="none" w:sz="0" w:space="0" w:color="auto"/>
        <w:left w:val="none" w:sz="0" w:space="0" w:color="auto"/>
        <w:bottom w:val="none" w:sz="0" w:space="0" w:color="auto"/>
        <w:right w:val="none" w:sz="0" w:space="0" w:color="auto"/>
      </w:divBdr>
    </w:div>
    <w:div w:id="1054164036">
      <w:bodyDiv w:val="1"/>
      <w:marLeft w:val="0"/>
      <w:marRight w:val="0"/>
      <w:marTop w:val="0"/>
      <w:marBottom w:val="0"/>
      <w:divBdr>
        <w:top w:val="none" w:sz="0" w:space="0" w:color="auto"/>
        <w:left w:val="none" w:sz="0" w:space="0" w:color="auto"/>
        <w:bottom w:val="none" w:sz="0" w:space="0" w:color="auto"/>
        <w:right w:val="none" w:sz="0" w:space="0" w:color="auto"/>
      </w:divBdr>
    </w:div>
    <w:div w:id="1373966020">
      <w:bodyDiv w:val="1"/>
      <w:marLeft w:val="0"/>
      <w:marRight w:val="0"/>
      <w:marTop w:val="0"/>
      <w:marBottom w:val="0"/>
      <w:divBdr>
        <w:top w:val="none" w:sz="0" w:space="0" w:color="auto"/>
        <w:left w:val="none" w:sz="0" w:space="0" w:color="auto"/>
        <w:bottom w:val="none" w:sz="0" w:space="0" w:color="auto"/>
        <w:right w:val="none" w:sz="0" w:space="0" w:color="auto"/>
      </w:divBdr>
    </w:div>
    <w:div w:id="1504470851">
      <w:bodyDiv w:val="1"/>
      <w:marLeft w:val="0"/>
      <w:marRight w:val="0"/>
      <w:marTop w:val="0"/>
      <w:marBottom w:val="0"/>
      <w:divBdr>
        <w:top w:val="none" w:sz="0" w:space="0" w:color="auto"/>
        <w:left w:val="none" w:sz="0" w:space="0" w:color="auto"/>
        <w:bottom w:val="none" w:sz="0" w:space="0" w:color="auto"/>
        <w:right w:val="none" w:sz="0" w:space="0" w:color="auto"/>
      </w:divBdr>
    </w:div>
    <w:div w:id="1528787856">
      <w:bodyDiv w:val="1"/>
      <w:marLeft w:val="0"/>
      <w:marRight w:val="0"/>
      <w:marTop w:val="0"/>
      <w:marBottom w:val="0"/>
      <w:divBdr>
        <w:top w:val="none" w:sz="0" w:space="0" w:color="auto"/>
        <w:left w:val="none" w:sz="0" w:space="0" w:color="auto"/>
        <w:bottom w:val="none" w:sz="0" w:space="0" w:color="auto"/>
        <w:right w:val="none" w:sz="0" w:space="0" w:color="auto"/>
      </w:divBdr>
    </w:div>
    <w:div w:id="1582829312">
      <w:bodyDiv w:val="1"/>
      <w:marLeft w:val="0"/>
      <w:marRight w:val="0"/>
      <w:marTop w:val="0"/>
      <w:marBottom w:val="0"/>
      <w:divBdr>
        <w:top w:val="none" w:sz="0" w:space="0" w:color="auto"/>
        <w:left w:val="none" w:sz="0" w:space="0" w:color="auto"/>
        <w:bottom w:val="none" w:sz="0" w:space="0" w:color="auto"/>
        <w:right w:val="none" w:sz="0" w:space="0" w:color="auto"/>
      </w:divBdr>
    </w:div>
    <w:div w:id="1667584907">
      <w:bodyDiv w:val="1"/>
      <w:marLeft w:val="0"/>
      <w:marRight w:val="0"/>
      <w:marTop w:val="0"/>
      <w:marBottom w:val="0"/>
      <w:divBdr>
        <w:top w:val="none" w:sz="0" w:space="0" w:color="auto"/>
        <w:left w:val="none" w:sz="0" w:space="0" w:color="auto"/>
        <w:bottom w:val="none" w:sz="0" w:space="0" w:color="auto"/>
        <w:right w:val="none" w:sz="0" w:space="0" w:color="auto"/>
      </w:divBdr>
    </w:div>
    <w:div w:id="1687486757">
      <w:bodyDiv w:val="1"/>
      <w:marLeft w:val="0"/>
      <w:marRight w:val="0"/>
      <w:marTop w:val="0"/>
      <w:marBottom w:val="0"/>
      <w:divBdr>
        <w:top w:val="none" w:sz="0" w:space="0" w:color="auto"/>
        <w:left w:val="none" w:sz="0" w:space="0" w:color="auto"/>
        <w:bottom w:val="none" w:sz="0" w:space="0" w:color="auto"/>
        <w:right w:val="none" w:sz="0" w:space="0" w:color="auto"/>
      </w:divBdr>
    </w:div>
    <w:div w:id="1717968995">
      <w:bodyDiv w:val="1"/>
      <w:marLeft w:val="0"/>
      <w:marRight w:val="0"/>
      <w:marTop w:val="0"/>
      <w:marBottom w:val="0"/>
      <w:divBdr>
        <w:top w:val="none" w:sz="0" w:space="0" w:color="auto"/>
        <w:left w:val="none" w:sz="0" w:space="0" w:color="auto"/>
        <w:bottom w:val="none" w:sz="0" w:space="0" w:color="auto"/>
        <w:right w:val="none" w:sz="0" w:space="0" w:color="auto"/>
      </w:divBdr>
    </w:div>
    <w:div w:id="1748265950">
      <w:bodyDiv w:val="1"/>
      <w:marLeft w:val="0"/>
      <w:marRight w:val="0"/>
      <w:marTop w:val="0"/>
      <w:marBottom w:val="0"/>
      <w:divBdr>
        <w:top w:val="none" w:sz="0" w:space="0" w:color="auto"/>
        <w:left w:val="none" w:sz="0" w:space="0" w:color="auto"/>
        <w:bottom w:val="none" w:sz="0" w:space="0" w:color="auto"/>
        <w:right w:val="none" w:sz="0" w:space="0" w:color="auto"/>
      </w:divBdr>
    </w:div>
    <w:div w:id="1755660755">
      <w:bodyDiv w:val="1"/>
      <w:marLeft w:val="0"/>
      <w:marRight w:val="0"/>
      <w:marTop w:val="0"/>
      <w:marBottom w:val="0"/>
      <w:divBdr>
        <w:top w:val="none" w:sz="0" w:space="0" w:color="auto"/>
        <w:left w:val="none" w:sz="0" w:space="0" w:color="auto"/>
        <w:bottom w:val="none" w:sz="0" w:space="0" w:color="auto"/>
        <w:right w:val="none" w:sz="0" w:space="0" w:color="auto"/>
      </w:divBdr>
    </w:div>
    <w:div w:id="1766874882">
      <w:bodyDiv w:val="1"/>
      <w:marLeft w:val="0"/>
      <w:marRight w:val="0"/>
      <w:marTop w:val="0"/>
      <w:marBottom w:val="0"/>
      <w:divBdr>
        <w:top w:val="none" w:sz="0" w:space="0" w:color="auto"/>
        <w:left w:val="none" w:sz="0" w:space="0" w:color="auto"/>
        <w:bottom w:val="none" w:sz="0" w:space="0" w:color="auto"/>
        <w:right w:val="none" w:sz="0" w:space="0" w:color="auto"/>
      </w:divBdr>
    </w:div>
    <w:div w:id="1859002375">
      <w:bodyDiv w:val="1"/>
      <w:marLeft w:val="0"/>
      <w:marRight w:val="0"/>
      <w:marTop w:val="0"/>
      <w:marBottom w:val="0"/>
      <w:divBdr>
        <w:top w:val="none" w:sz="0" w:space="0" w:color="auto"/>
        <w:left w:val="none" w:sz="0" w:space="0" w:color="auto"/>
        <w:bottom w:val="none" w:sz="0" w:space="0" w:color="auto"/>
        <w:right w:val="none" w:sz="0" w:space="0" w:color="auto"/>
      </w:divBdr>
    </w:div>
    <w:div w:id="1961255561">
      <w:bodyDiv w:val="1"/>
      <w:marLeft w:val="0"/>
      <w:marRight w:val="0"/>
      <w:marTop w:val="0"/>
      <w:marBottom w:val="0"/>
      <w:divBdr>
        <w:top w:val="none" w:sz="0" w:space="0" w:color="auto"/>
        <w:left w:val="none" w:sz="0" w:space="0" w:color="auto"/>
        <w:bottom w:val="none" w:sz="0" w:space="0" w:color="auto"/>
        <w:right w:val="none" w:sz="0" w:space="0" w:color="auto"/>
      </w:divBdr>
    </w:div>
    <w:div w:id="2001225664">
      <w:bodyDiv w:val="1"/>
      <w:marLeft w:val="0"/>
      <w:marRight w:val="0"/>
      <w:marTop w:val="0"/>
      <w:marBottom w:val="0"/>
      <w:divBdr>
        <w:top w:val="none" w:sz="0" w:space="0" w:color="auto"/>
        <w:left w:val="none" w:sz="0" w:space="0" w:color="auto"/>
        <w:bottom w:val="none" w:sz="0" w:space="0" w:color="auto"/>
        <w:right w:val="none" w:sz="0" w:space="0" w:color="auto"/>
      </w:divBdr>
    </w:div>
    <w:div w:id="2077241700">
      <w:bodyDiv w:val="1"/>
      <w:marLeft w:val="0"/>
      <w:marRight w:val="0"/>
      <w:marTop w:val="0"/>
      <w:marBottom w:val="0"/>
      <w:divBdr>
        <w:top w:val="none" w:sz="0" w:space="0" w:color="auto"/>
        <w:left w:val="none" w:sz="0" w:space="0" w:color="auto"/>
        <w:bottom w:val="none" w:sz="0" w:space="0" w:color="auto"/>
        <w:right w:val="none" w:sz="0" w:space="0" w:color="auto"/>
      </w:divBdr>
    </w:div>
    <w:div w:id="2077968394">
      <w:bodyDiv w:val="1"/>
      <w:marLeft w:val="0"/>
      <w:marRight w:val="0"/>
      <w:marTop w:val="0"/>
      <w:marBottom w:val="0"/>
      <w:divBdr>
        <w:top w:val="none" w:sz="0" w:space="0" w:color="auto"/>
        <w:left w:val="none" w:sz="0" w:space="0" w:color="auto"/>
        <w:bottom w:val="none" w:sz="0" w:space="0" w:color="auto"/>
        <w:right w:val="none" w:sz="0" w:space="0" w:color="auto"/>
      </w:divBdr>
    </w:div>
    <w:div w:id="2079791001">
      <w:bodyDiv w:val="1"/>
      <w:marLeft w:val="0"/>
      <w:marRight w:val="0"/>
      <w:marTop w:val="0"/>
      <w:marBottom w:val="0"/>
      <w:divBdr>
        <w:top w:val="none" w:sz="0" w:space="0" w:color="auto"/>
        <w:left w:val="none" w:sz="0" w:space="0" w:color="auto"/>
        <w:bottom w:val="none" w:sz="0" w:space="0" w:color="auto"/>
        <w:right w:val="none" w:sz="0" w:space="0" w:color="auto"/>
      </w:divBdr>
    </w:div>
    <w:div w:id="21404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ed.stlouisfed.org/graph/?g=59I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2016-08-17T21:44:47+00:00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2506-5EF5-412F-B169-E4E28170B1FA}"/>
</file>

<file path=customXml/itemProps2.xml><?xml version="1.0" encoding="utf-8"?>
<ds:datastoreItem xmlns:ds="http://schemas.openxmlformats.org/officeDocument/2006/customXml" ds:itemID="{A99CC9C6-BB73-4DB8-B2F3-A2C534969D98}"/>
</file>

<file path=customXml/itemProps3.xml><?xml version="1.0" encoding="utf-8"?>
<ds:datastoreItem xmlns:ds="http://schemas.openxmlformats.org/officeDocument/2006/customXml" ds:itemID="{FE071C75-7D90-41E4-91D3-C93606751324}"/>
</file>

<file path=customXml/itemProps4.xml><?xml version="1.0" encoding="utf-8"?>
<ds:datastoreItem xmlns:ds="http://schemas.openxmlformats.org/officeDocument/2006/customXml" ds:itemID="{C2DCD5AB-DA94-4D13-9A81-DA506A1F6382}"/>
</file>

<file path=customXml/itemProps5.xml><?xml version="1.0" encoding="utf-8"?>
<ds:datastoreItem xmlns:ds="http://schemas.openxmlformats.org/officeDocument/2006/customXml" ds:itemID="{7D91F660-E3E1-415A-AA64-B16E26A2BFC7}"/>
</file>

<file path=docProps/app.xml><?xml version="1.0" encoding="utf-8"?>
<Properties xmlns="http://schemas.openxmlformats.org/officeDocument/2006/extended-properties" xmlns:vt="http://schemas.openxmlformats.org/officeDocument/2006/docPropsVTypes">
  <Template>Normal</Template>
  <TotalTime>4000</TotalTime>
  <Pages>64</Pages>
  <Words>12601</Words>
  <Characters>71829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Hancock Testimony</vt:lpstr>
    </vt:vector>
  </TitlesOfParts>
  <Company>Washington Utilities and Transportation Commission</Company>
  <LinksUpToDate>false</LinksUpToDate>
  <CharactersWithSpaces>84262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Hancock Testimony</dc:title>
  <dc:subject/>
  <dc:creator>chancock@utc.wa.gov</dc:creator>
  <cp:keywords/>
  <dc:description/>
  <cp:lastModifiedBy>Shearer, Brett (UTC)</cp:lastModifiedBy>
  <cp:revision>160</cp:revision>
  <cp:lastPrinted>2016-08-10T15:08:00Z</cp:lastPrinted>
  <dcterms:created xsi:type="dcterms:W3CDTF">2016-08-04T01:28:00Z</dcterms:created>
  <dcterms:modified xsi:type="dcterms:W3CDTF">2016-08-16T16:12:00Z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