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030" w:rsidRPr="00587017" w:rsidRDefault="00EA7FCF" w:rsidP="00EE274C">
      <w:pPr>
        <w:pStyle w:val="testimony"/>
        <w:widowControl w:val="0"/>
        <w:tabs>
          <w:tab w:val="clear" w:pos="720"/>
          <w:tab w:val="clear" w:pos="2160"/>
        </w:tabs>
        <w:spacing w:line="480" w:lineRule="auto"/>
        <w:ind w:left="0" w:firstLine="0"/>
        <w:jc w:val="center"/>
        <w:rPr>
          <w:rFonts w:ascii="Times New Roman" w:hAnsi="Times New Roman"/>
          <w:b/>
        </w:rPr>
      </w:pPr>
      <w:r w:rsidRPr="00587017">
        <w:rPr>
          <w:rFonts w:ascii="Times New Roman" w:hAnsi="Times New Roman"/>
          <w:b/>
        </w:rPr>
        <w:t>QUANTIFYING DECOUPLING RISK</w:t>
      </w:r>
    </w:p>
    <w:p w:rsidR="00654EC4" w:rsidRPr="00587017" w:rsidRDefault="00564030" w:rsidP="00EE274C">
      <w:pPr>
        <w:pStyle w:val="testimony"/>
        <w:widowControl w:val="0"/>
        <w:tabs>
          <w:tab w:val="clear" w:pos="720"/>
          <w:tab w:val="clear" w:pos="2160"/>
        </w:tabs>
        <w:spacing w:line="480" w:lineRule="auto"/>
        <w:ind w:left="0" w:firstLine="0"/>
        <w:jc w:val="center"/>
        <w:rPr>
          <w:rFonts w:ascii="Times New Roman" w:hAnsi="Times New Roman"/>
          <w:b/>
        </w:rPr>
      </w:pPr>
      <w:r w:rsidRPr="00587017">
        <w:rPr>
          <w:rFonts w:ascii="Times New Roman" w:hAnsi="Times New Roman"/>
        </w:rPr>
        <w:t>QUANTIFYING RISKS</w:t>
      </w:r>
      <w:r w:rsidR="001E32B2" w:rsidRPr="00587017">
        <w:rPr>
          <w:rFonts w:ascii="Times New Roman" w:hAnsi="Times New Roman"/>
        </w:rPr>
        <w:t xml:space="preserve"> AND RETURNS</w:t>
      </w:r>
      <w:bookmarkStart w:id="0" w:name="_GoBack"/>
      <w:bookmarkEnd w:id="0"/>
      <w:r w:rsidR="00FC61E3" w:rsidRPr="00587017">
        <w:rPr>
          <w:rFonts w:ascii="Times New Roman" w:hAnsi="Times New Roman"/>
          <w:b/>
        </w:rPr>
        <w:fldChar w:fldCharType="begin"/>
      </w:r>
      <w:r w:rsidR="00654EC4" w:rsidRPr="00587017">
        <w:rPr>
          <w:rFonts w:ascii="Times New Roman" w:hAnsi="Times New Roman"/>
        </w:rPr>
        <w:instrText xml:space="preserve"> TC "</w:instrText>
      </w:r>
      <w:bookmarkStart w:id="1" w:name="_Toc316285457"/>
      <w:r w:rsidR="00654EC4" w:rsidRPr="00587017">
        <w:rPr>
          <w:rFonts w:ascii="Times New Roman" w:hAnsi="Times New Roman"/>
          <w:b/>
        </w:rPr>
        <w:instrText>V.</w:instrText>
      </w:r>
      <w:r w:rsidR="00654EC4" w:rsidRPr="00587017">
        <w:rPr>
          <w:rFonts w:ascii="Times New Roman" w:hAnsi="Times New Roman"/>
          <w:b/>
        </w:rPr>
        <w:tab/>
        <w:instrText>DECOUPLING RISK/RETURN ASSESSMENT</w:instrText>
      </w:r>
      <w:bookmarkEnd w:id="1"/>
      <w:r w:rsidR="00654EC4" w:rsidRPr="00587017">
        <w:rPr>
          <w:rFonts w:ascii="Times New Roman" w:hAnsi="Times New Roman"/>
        </w:rPr>
        <w:instrText xml:space="preserve">" \f C \l "1" </w:instrText>
      </w:r>
      <w:r w:rsidR="00FC61E3" w:rsidRPr="00587017">
        <w:rPr>
          <w:rFonts w:ascii="Times New Roman" w:hAnsi="Times New Roman"/>
          <w:b/>
        </w:rPr>
        <w:fldChar w:fldCharType="end"/>
      </w:r>
    </w:p>
    <w:p w:rsidR="00654EC4" w:rsidRPr="00587017" w:rsidRDefault="00EA7FCF" w:rsidP="00EE274C">
      <w:pPr>
        <w:spacing w:line="480" w:lineRule="auto"/>
        <w:rPr>
          <w:rFonts w:ascii="Times New Roman" w:hAnsi="Times New Roman"/>
        </w:rPr>
      </w:pPr>
      <w:r w:rsidRPr="00587017">
        <w:rPr>
          <w:rFonts w:ascii="Times New Roman" w:hAnsi="Times New Roman"/>
        </w:rPr>
        <w:tab/>
        <w:t>D</w:t>
      </w:r>
      <w:r w:rsidR="00654EC4" w:rsidRPr="00587017">
        <w:rPr>
          <w:rFonts w:ascii="Times New Roman" w:hAnsi="Times New Roman"/>
        </w:rPr>
        <w:t xml:space="preserve">ecoupling is designed to separate revenues from volumetric sales.  Because decoupling a utility’s base revenues from sales has the effect of reducing the utility’s exposure to revenue stream volatility caused by economic conditions, conservation, weather or any other operating condition that would normally cause revenue fluctuations, it lowers the risk of the utility.  Lower operational </w:t>
      </w:r>
      <w:r w:rsidR="000C5F4E" w:rsidRPr="00587017">
        <w:rPr>
          <w:rFonts w:ascii="Times New Roman" w:hAnsi="Times New Roman"/>
        </w:rPr>
        <w:t>risks for the utility equates to lower risk for investors, and should, in turn, result</w:t>
      </w:r>
      <w:r w:rsidR="00622860" w:rsidRPr="00587017">
        <w:rPr>
          <w:rFonts w:ascii="Times New Roman" w:hAnsi="Times New Roman"/>
        </w:rPr>
        <w:t xml:space="preserve"> in</w:t>
      </w:r>
      <w:r w:rsidR="00654EC4" w:rsidRPr="00587017">
        <w:rPr>
          <w:rFonts w:ascii="Times New Roman" w:hAnsi="Times New Roman"/>
        </w:rPr>
        <w:t xml:space="preserve"> lower allowed rates of return on equity and/or lower equity ratios in the rat</w:t>
      </w:r>
      <w:r w:rsidR="003B2AF3" w:rsidRPr="00587017">
        <w:rPr>
          <w:rFonts w:ascii="Times New Roman" w:hAnsi="Times New Roman"/>
        </w:rPr>
        <w:t xml:space="preserve">emaking capital structure.  </w:t>
      </w:r>
      <w:r w:rsidR="00AA2564">
        <w:rPr>
          <w:rFonts w:ascii="Times New Roman" w:hAnsi="Times New Roman"/>
        </w:rPr>
        <w:t>In this Exhibit, I analyze</w:t>
      </w:r>
      <w:r w:rsidR="00654EC4" w:rsidRPr="00587017">
        <w:rPr>
          <w:rFonts w:ascii="Times New Roman" w:hAnsi="Times New Roman"/>
        </w:rPr>
        <w:t xml:space="preserve"> the reduction in revenue volatility that </w:t>
      </w:r>
      <w:r w:rsidR="00387517">
        <w:rPr>
          <w:rFonts w:ascii="Times New Roman" w:hAnsi="Times New Roman"/>
        </w:rPr>
        <w:t xml:space="preserve">Avista’s Washington gas and electric operations would </w:t>
      </w:r>
      <w:r w:rsidR="00654EC4" w:rsidRPr="00587017">
        <w:rPr>
          <w:rFonts w:ascii="Times New Roman" w:hAnsi="Times New Roman"/>
        </w:rPr>
        <w:t>realize through a decoupling mechanism</w:t>
      </w:r>
      <w:r w:rsidR="00374B86" w:rsidRPr="00587017">
        <w:rPr>
          <w:rFonts w:ascii="Times New Roman" w:hAnsi="Times New Roman"/>
        </w:rPr>
        <w:t xml:space="preserve"> </w:t>
      </w:r>
      <w:r w:rsidR="00654EC4" w:rsidRPr="00587017">
        <w:rPr>
          <w:rFonts w:ascii="Times New Roman" w:hAnsi="Times New Roman"/>
        </w:rPr>
        <w:t>and provide</w:t>
      </w:r>
      <w:r w:rsidR="000C7B42" w:rsidRPr="00587017">
        <w:rPr>
          <w:rFonts w:ascii="Times New Roman" w:hAnsi="Times New Roman"/>
        </w:rPr>
        <w:t>s</w:t>
      </w:r>
      <w:r w:rsidR="00654EC4" w:rsidRPr="00587017">
        <w:rPr>
          <w:rFonts w:ascii="Times New Roman" w:hAnsi="Times New Roman"/>
        </w:rPr>
        <w:t xml:space="preserve"> an analytical framework through which that risk reduction can be assessed and the equity capital cost impact quantified.</w:t>
      </w:r>
    </w:p>
    <w:p w:rsidR="00654EC4" w:rsidRPr="00587017" w:rsidRDefault="00E4235C" w:rsidP="00EE274C">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 xml:space="preserve">An investor purchases a financial asset with </w:t>
      </w:r>
      <w:r w:rsidRPr="00587017">
        <w:rPr>
          <w:rFonts w:ascii="Times New Roman" w:hAnsi="Times New Roman"/>
        </w:rPr>
        <w:t>the</w:t>
      </w:r>
      <w:r w:rsidR="00654EC4" w:rsidRPr="00587017">
        <w:rPr>
          <w:rFonts w:ascii="Times New Roman" w:hAnsi="Times New Roman"/>
        </w:rPr>
        <w:t xml:space="preserve"> expectation that the asset will produce a future stream of income, generating an expected rate of return.  The risk of investing in any asset is directly related to the possibility that actual, realized returns will deviate from expected returns.  The greater the potential for actual returns to deviate from expected returns, the higher the risk.  Conversely, the more certain an investor can be that the returns expected will be realized, the lower the risk.</w:t>
      </w:r>
    </w:p>
    <w:p w:rsidR="00654EC4" w:rsidRPr="00587017" w:rsidRDefault="00003C8C" w:rsidP="00EE274C">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 xml:space="preserve">One measure of </w:t>
      </w:r>
      <w:r w:rsidR="00774EED">
        <w:rPr>
          <w:rFonts w:ascii="Times New Roman" w:hAnsi="Times New Roman"/>
        </w:rPr>
        <w:t>a financial asset’s risk</w:t>
      </w:r>
      <w:r w:rsidR="00654EC4" w:rsidRPr="00587017">
        <w:rPr>
          <w:rFonts w:ascii="Times New Roman" w:hAnsi="Times New Roman"/>
        </w:rPr>
        <w:t xml:space="preserve">, then, is the volatility or variability of the </w:t>
      </w:r>
      <w:r w:rsidR="005D33D0" w:rsidRPr="00587017">
        <w:rPr>
          <w:rFonts w:ascii="Times New Roman" w:hAnsi="Times New Roman"/>
        </w:rPr>
        <w:t>income</w:t>
      </w:r>
      <w:r w:rsidR="00BB18EE">
        <w:rPr>
          <w:rFonts w:ascii="Times New Roman" w:hAnsi="Times New Roman"/>
        </w:rPr>
        <w:t xml:space="preserve"> stream it generates.  Chart A</w:t>
      </w:r>
      <w:r w:rsidR="00654EC4" w:rsidRPr="00587017">
        <w:rPr>
          <w:rFonts w:ascii="Times New Roman" w:hAnsi="Times New Roman"/>
        </w:rPr>
        <w:t xml:space="preserve">, below, shows the income streams generated by two financial assets, “Asset A” and “Asset B.”  Both of the assets have, over time, provided a </w:t>
      </w:r>
      <w:r w:rsidR="00654EC4" w:rsidRPr="00587017">
        <w:rPr>
          <w:rFonts w:ascii="Times New Roman" w:hAnsi="Times New Roman"/>
        </w:rPr>
        <w:lastRenderedPageBreak/>
        <w:t>trend of increasing returns.  In fact, the trend line of the returns (shown as the dashed line in Chart I) is exactly the same for both investments.  Therefore, given that conditions in the future could be expected to resemble those of the past, investors would, on average, expect that the dollar returns produced by each investment to be the same in future periods.  However, the risk of the two assets is not the same.</w:t>
      </w:r>
    </w:p>
    <w:p w:rsidR="00654EC4" w:rsidRPr="00587017" w:rsidRDefault="00BB18EE" w:rsidP="00EE274C">
      <w:pPr>
        <w:keepNext/>
        <w:keepLines/>
        <w:spacing w:line="480" w:lineRule="auto"/>
        <w:jc w:val="center"/>
        <w:rPr>
          <w:rFonts w:ascii="Times New Roman" w:hAnsi="Times New Roman"/>
        </w:rPr>
      </w:pPr>
      <w:r>
        <w:rPr>
          <w:rFonts w:ascii="Times New Roman" w:hAnsi="Times New Roman"/>
        </w:rPr>
        <w:t>Chart A</w:t>
      </w:r>
      <w:r w:rsidR="00654EC4" w:rsidRPr="00587017">
        <w:rPr>
          <w:rFonts w:ascii="Times New Roman" w:hAnsi="Times New Roman"/>
        </w:rPr>
        <w:t>.</w:t>
      </w:r>
    </w:p>
    <w:p w:rsidR="00654EC4" w:rsidRPr="00587017" w:rsidRDefault="00654EC4" w:rsidP="00EE274C">
      <w:pPr>
        <w:pStyle w:val="testimony"/>
        <w:keepNext/>
        <w:keepLines/>
        <w:widowControl w:val="0"/>
        <w:tabs>
          <w:tab w:val="clear" w:pos="720"/>
          <w:tab w:val="clear" w:pos="2160"/>
        </w:tabs>
        <w:spacing w:line="480" w:lineRule="auto"/>
        <w:ind w:left="0" w:firstLine="0"/>
        <w:jc w:val="center"/>
        <w:rPr>
          <w:rFonts w:ascii="Times New Roman" w:hAnsi="Times New Roman"/>
        </w:rPr>
      </w:pPr>
      <w:r w:rsidRPr="00587017">
        <w:rPr>
          <w:rFonts w:ascii="Times New Roman" w:hAnsi="Times New Roman"/>
        </w:rPr>
        <w:t>Volatility and Risk</w:t>
      </w:r>
    </w:p>
    <w:p w:rsidR="00654EC4" w:rsidRPr="00587017" w:rsidRDefault="00654EC4" w:rsidP="00654EC4">
      <w:pPr>
        <w:pStyle w:val="testimony"/>
        <w:keepNext/>
        <w:keepLines/>
        <w:widowControl w:val="0"/>
        <w:tabs>
          <w:tab w:val="clear" w:pos="720"/>
          <w:tab w:val="clear" w:pos="2160"/>
        </w:tabs>
        <w:spacing w:line="480" w:lineRule="auto"/>
        <w:ind w:left="0" w:firstLine="0"/>
        <w:jc w:val="center"/>
        <w:rPr>
          <w:rFonts w:ascii="Times New Roman" w:hAnsi="Times New Roman"/>
        </w:rPr>
      </w:pPr>
      <w:r w:rsidRPr="00587017">
        <w:rPr>
          <w:rFonts w:ascii="Times New Roman" w:hAnsi="Times New Roman"/>
          <w:noProof/>
        </w:rPr>
        <w:drawing>
          <wp:inline distT="0" distB="0" distL="0" distR="0" wp14:anchorId="775B74F3" wp14:editId="0AA2821F">
            <wp:extent cx="4483100" cy="3276600"/>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483100" cy="3276600"/>
                    </a:xfrm>
                    <a:prstGeom prst="rect">
                      <a:avLst/>
                    </a:prstGeom>
                    <a:noFill/>
                    <a:ln w="9525">
                      <a:noFill/>
                      <a:miter lim="800000"/>
                      <a:headEnd/>
                      <a:tailEnd/>
                    </a:ln>
                  </pic:spPr>
                </pic:pic>
              </a:graphicData>
            </a:graphic>
          </wp:inline>
        </w:drawing>
      </w:r>
    </w:p>
    <w:p w:rsidR="00654EC4" w:rsidRPr="00587017" w:rsidRDefault="00654EC4" w:rsidP="00160048">
      <w:pPr>
        <w:spacing w:line="480" w:lineRule="auto"/>
        <w:rPr>
          <w:rFonts w:ascii="Times New Roman" w:hAnsi="Times New Roman"/>
        </w:rPr>
      </w:pPr>
      <w:r w:rsidRPr="00587017">
        <w:rPr>
          <w:rFonts w:ascii="Times New Roman" w:hAnsi="Times New Roman"/>
          <w:b/>
        </w:rPr>
        <w:tab/>
      </w:r>
      <w:r w:rsidRPr="00587017">
        <w:rPr>
          <w:rFonts w:ascii="Times New Roman" w:hAnsi="Times New Roman"/>
        </w:rPr>
        <w:t xml:space="preserve">Asset A has shown much wider swings in return, much greater volatility, than has Asset B.  Therefore, even though Asset A has the same expected </w:t>
      </w:r>
      <w:r w:rsidR="002855A7" w:rsidRPr="00587017">
        <w:rPr>
          <w:rFonts w:ascii="Times New Roman" w:hAnsi="Times New Roman"/>
        </w:rPr>
        <w:t xml:space="preserve">average </w:t>
      </w:r>
      <w:r w:rsidRPr="00587017">
        <w:rPr>
          <w:rFonts w:ascii="Times New Roman" w:hAnsi="Times New Roman"/>
        </w:rPr>
        <w:t xml:space="preserve">future return stream as Asset B, there is a much lower probability that the actual return realized from an investment in Asset A will equal the expected return.  Asset A, then, is a riskier </w:t>
      </w:r>
      <w:r w:rsidRPr="00587017">
        <w:rPr>
          <w:rFonts w:ascii="Times New Roman" w:hAnsi="Times New Roman"/>
        </w:rPr>
        <w:lastRenderedPageBreak/>
        <w:t>investment than Asset B, which, in all probability, will provide a return to investors that more closely approximates the expected return.</w:t>
      </w:r>
    </w:p>
    <w:p w:rsidR="00654EC4" w:rsidRPr="00587017" w:rsidRDefault="00003C8C" w:rsidP="00160048">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When an investor purchases a share of utility stock, he or she is purchasing an expected future stream of dividends and growth in that dividend, or capital apprec</w:t>
      </w:r>
      <w:r w:rsidR="00BF7008" w:rsidRPr="00587017">
        <w:rPr>
          <w:rFonts w:ascii="Times New Roman" w:hAnsi="Times New Roman"/>
        </w:rPr>
        <w:t xml:space="preserve">iation when the stock is sold. </w:t>
      </w:r>
      <w:r w:rsidR="00654EC4" w:rsidRPr="00587017">
        <w:rPr>
          <w:rFonts w:ascii="Times New Roman" w:hAnsi="Times New Roman"/>
        </w:rPr>
        <w:t xml:space="preserve">That dividend expectation is, in turn, dependent on the </w:t>
      </w:r>
      <w:r w:rsidR="00F44003" w:rsidRPr="00587017">
        <w:rPr>
          <w:rFonts w:ascii="Times New Roman" w:hAnsi="Times New Roman"/>
        </w:rPr>
        <w:t xml:space="preserve">income earned by the utility, which is directly related to stability of the </w:t>
      </w:r>
      <w:r w:rsidR="00654EC4" w:rsidRPr="00587017">
        <w:rPr>
          <w:rFonts w:ascii="Times New Roman" w:hAnsi="Times New Roman"/>
        </w:rPr>
        <w:t xml:space="preserve">revenues of the utility </w:t>
      </w:r>
      <w:r w:rsidR="007B1326" w:rsidRPr="00587017">
        <w:rPr>
          <w:rFonts w:ascii="Times New Roman" w:hAnsi="Times New Roman"/>
        </w:rPr>
        <w:t>as well as</w:t>
      </w:r>
      <w:r w:rsidR="00654EC4" w:rsidRPr="00587017">
        <w:rPr>
          <w:rFonts w:ascii="Times New Roman" w:hAnsi="Times New Roman"/>
        </w:rPr>
        <w:t xml:space="preserve"> the dividend payout ratio determined by management.  If the </w:t>
      </w:r>
      <w:r w:rsidR="000C57CC" w:rsidRPr="00587017">
        <w:rPr>
          <w:rFonts w:ascii="Times New Roman" w:hAnsi="Times New Roman"/>
        </w:rPr>
        <w:t xml:space="preserve">firm’s </w:t>
      </w:r>
      <w:r w:rsidR="00654EC4" w:rsidRPr="00587017">
        <w:rPr>
          <w:rFonts w:ascii="Times New Roman" w:hAnsi="Times New Roman"/>
        </w:rPr>
        <w:t xml:space="preserve">revenues are steady and show little fluctuation, the dividend is more secure and the investor sees the utility as being less risky than an otherwise similar investment whose dividend is based on a </w:t>
      </w:r>
      <w:r w:rsidR="000C57CC" w:rsidRPr="00587017">
        <w:rPr>
          <w:rFonts w:ascii="Times New Roman" w:hAnsi="Times New Roman"/>
        </w:rPr>
        <w:t xml:space="preserve">more </w:t>
      </w:r>
      <w:r w:rsidR="00654EC4" w:rsidRPr="00587017">
        <w:rPr>
          <w:rFonts w:ascii="Times New Roman" w:hAnsi="Times New Roman"/>
        </w:rPr>
        <w:t xml:space="preserve">volatile </w:t>
      </w:r>
      <w:r w:rsidR="000C57CC" w:rsidRPr="00587017">
        <w:rPr>
          <w:rFonts w:ascii="Times New Roman" w:hAnsi="Times New Roman"/>
        </w:rPr>
        <w:t>revenue</w:t>
      </w:r>
      <w:r w:rsidR="00654EC4" w:rsidRPr="00587017">
        <w:rPr>
          <w:rFonts w:ascii="Times New Roman" w:hAnsi="Times New Roman"/>
        </w:rPr>
        <w:t xml:space="preserve"> stream.  The fact that the </w:t>
      </w:r>
      <w:r w:rsidR="000C57CC" w:rsidRPr="00587017">
        <w:rPr>
          <w:rFonts w:ascii="Times New Roman" w:hAnsi="Times New Roman"/>
        </w:rPr>
        <w:t>return</w:t>
      </w:r>
      <w:r w:rsidR="00654EC4" w:rsidRPr="00587017">
        <w:rPr>
          <w:rFonts w:ascii="Times New Roman" w:hAnsi="Times New Roman"/>
        </w:rPr>
        <w:t xml:space="preserve"> volatility of a financial asset is directly related to its investment risk is neither controversial nor difficult to comprehend, and that concept is fundamental to assessing the risk impact of decoupling.  A decoupling mechanism works to reduce the revenue stream volatility of the utility’s operations and, thus, </w:t>
      </w:r>
      <w:proofErr w:type="gramStart"/>
      <w:r w:rsidR="00654EC4" w:rsidRPr="00587017">
        <w:rPr>
          <w:rFonts w:ascii="Times New Roman" w:hAnsi="Times New Roman"/>
        </w:rPr>
        <w:t>its</w:t>
      </w:r>
      <w:proofErr w:type="gramEnd"/>
      <w:r w:rsidR="00654EC4" w:rsidRPr="00587017">
        <w:rPr>
          <w:rFonts w:ascii="Times New Roman" w:hAnsi="Times New Roman"/>
        </w:rPr>
        <w:t xml:space="preserve"> operating risk.</w:t>
      </w:r>
    </w:p>
    <w:p w:rsidR="00654EC4" w:rsidRPr="00587017" w:rsidRDefault="00E67DCF" w:rsidP="00160048">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 xml:space="preserve">A decoupling mechanism separates utility revenues from unit sales—kWh in the case of an electric utility and </w:t>
      </w:r>
      <w:proofErr w:type="spellStart"/>
      <w:r w:rsidR="00654EC4" w:rsidRPr="00587017">
        <w:rPr>
          <w:rFonts w:ascii="Times New Roman" w:hAnsi="Times New Roman"/>
        </w:rPr>
        <w:t>Mcf</w:t>
      </w:r>
      <w:proofErr w:type="spellEnd"/>
      <w:r w:rsidR="00654EC4" w:rsidRPr="00587017">
        <w:rPr>
          <w:rFonts w:ascii="Times New Roman" w:hAnsi="Times New Roman"/>
        </w:rPr>
        <w:t xml:space="preserve"> or dekatherms in the case of a gas utility—and targets, instead, an overall revenue requirement.  Under a decoupling ratemaking regime, if customer consumption is below the expected amount and revenues do not meet the projected level, the utility is allowed to increase unit rates in order to produc</w:t>
      </w:r>
      <w:r w:rsidRPr="00587017">
        <w:rPr>
          <w:rFonts w:ascii="Times New Roman" w:hAnsi="Times New Roman"/>
        </w:rPr>
        <w:t xml:space="preserve">e the projected revenue level. </w:t>
      </w:r>
      <w:r w:rsidR="00654EC4" w:rsidRPr="00587017">
        <w:rPr>
          <w:rFonts w:ascii="Times New Roman" w:hAnsi="Times New Roman"/>
        </w:rPr>
        <w:t>If, on the other hand, revenues exceed the target level, the utility is required to return to customers the amount of revenues that exceed the target level.</w:t>
      </w:r>
    </w:p>
    <w:p w:rsidR="00654EC4" w:rsidRPr="00587017" w:rsidRDefault="00D6472A" w:rsidP="00160048">
      <w:pPr>
        <w:spacing w:line="480" w:lineRule="auto"/>
        <w:rPr>
          <w:rFonts w:ascii="Times New Roman" w:hAnsi="Times New Roman"/>
        </w:rPr>
      </w:pPr>
      <w:r w:rsidRPr="00587017">
        <w:rPr>
          <w:rFonts w:ascii="Times New Roman" w:hAnsi="Times New Roman"/>
        </w:rPr>
        <w:lastRenderedPageBreak/>
        <w:tab/>
        <w:t>Importantly</w:t>
      </w:r>
      <w:r w:rsidR="00654EC4" w:rsidRPr="00587017">
        <w:rPr>
          <w:rFonts w:ascii="Times New Roman" w:hAnsi="Times New Roman"/>
        </w:rPr>
        <w:t xml:space="preserve">, in </w:t>
      </w:r>
      <w:r w:rsidR="00181C4C">
        <w:rPr>
          <w:rFonts w:ascii="Times New Roman" w:hAnsi="Times New Roman"/>
        </w:rPr>
        <w:t>a</w:t>
      </w:r>
      <w:r w:rsidR="004C3E6F" w:rsidRPr="00587017">
        <w:rPr>
          <w:rFonts w:ascii="Times New Roman" w:hAnsi="Times New Roman"/>
        </w:rPr>
        <w:t xml:space="preserve"> </w:t>
      </w:r>
      <w:r w:rsidR="002060CF">
        <w:rPr>
          <w:rFonts w:ascii="Times New Roman" w:hAnsi="Times New Roman"/>
        </w:rPr>
        <w:t xml:space="preserve">full </w:t>
      </w:r>
      <w:r w:rsidR="00654EC4" w:rsidRPr="00587017">
        <w:rPr>
          <w:rFonts w:ascii="Times New Roman" w:hAnsi="Times New Roman"/>
        </w:rPr>
        <w:t>decoupling ratemaking regime, there is no mechanism for discerning the source of the change in customer usage.  The reduction in usage may come from conservation, or it may come from lower customer usage due to factors unrelated to conservation, e.g., economic downturns, price elasticity effects on demand, changes in the firm’s customer mix, technological changes, or weather-related factors.  Because there is no practical way to distinguish the various factors that may affect customer usage, all the factors that could impact unit sales are necessarily included in the decoupling/make-whole process.  In effect, decoupling acts as a regulatory pass-through rate adjustment for factors that cause revenue volatility, much like a fuel-adjustment clause for variations in fuel costs.  Therefore, the decoupling process can operate as a buffer for the utility, sheltering its stockholders from fluctuations in revenues and, ultimately, moderating swings in operating earnings</w:t>
      </w:r>
      <w:r w:rsidR="00CD586A" w:rsidRPr="00587017">
        <w:rPr>
          <w:rFonts w:ascii="Times New Roman" w:hAnsi="Times New Roman"/>
        </w:rPr>
        <w:t xml:space="preserve"> and dividends</w:t>
      </w:r>
      <w:r w:rsidR="00654EC4" w:rsidRPr="00587017">
        <w:rPr>
          <w:rFonts w:ascii="Times New Roman" w:hAnsi="Times New Roman"/>
        </w:rPr>
        <w:t xml:space="preserve"> from causes that might otherwise arise from </w:t>
      </w:r>
      <w:r w:rsidR="00CD586A" w:rsidRPr="00587017">
        <w:rPr>
          <w:rFonts w:ascii="Times New Roman" w:hAnsi="Times New Roman"/>
        </w:rPr>
        <w:t>adverse</w:t>
      </w:r>
      <w:r w:rsidR="00654EC4" w:rsidRPr="00587017">
        <w:rPr>
          <w:rFonts w:ascii="Times New Roman" w:hAnsi="Times New Roman"/>
        </w:rPr>
        <w:t xml:space="preserve"> conditions.</w:t>
      </w:r>
    </w:p>
    <w:p w:rsidR="00654EC4" w:rsidRPr="00587017" w:rsidRDefault="00D6472A" w:rsidP="00160048">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If, through a decoupling ratemaking process, the utility is made whole for operational variables that could affect revenues, the potential for volatility is reduced.  Investors and investor advisory services are aware that a reduction in volatility reduces the overall investment risk of a utility operation.  Therefore, the removal of the volatility and risk associated with those factors indicates that a utility operating under a decoupling mechanism has a lower investor-required return on equity than an otherwise equivalent utility operating under traditional regulation (i.e., without a decoupling mechanism).</w:t>
      </w:r>
    </w:p>
    <w:p w:rsidR="00654EC4" w:rsidRPr="00587017" w:rsidRDefault="00AF459A" w:rsidP="00160048">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 xml:space="preserve">Decoupling </w:t>
      </w:r>
      <w:r w:rsidR="008934E0" w:rsidRPr="00587017">
        <w:rPr>
          <w:rFonts w:ascii="Times New Roman" w:hAnsi="Times New Roman"/>
        </w:rPr>
        <w:t xml:space="preserve">of sales from revenue </w:t>
      </w:r>
      <w:r w:rsidR="00654EC4" w:rsidRPr="00587017">
        <w:rPr>
          <w:rFonts w:ascii="Times New Roman" w:hAnsi="Times New Roman"/>
        </w:rPr>
        <w:t xml:space="preserve">lowers a utility’s operating risk and unless that lower operating risk is reflected in rates through a reduction in the authorized rate of </w:t>
      </w:r>
      <w:r w:rsidR="00654EC4" w:rsidRPr="00587017">
        <w:rPr>
          <w:rFonts w:ascii="Times New Roman" w:hAnsi="Times New Roman"/>
        </w:rPr>
        <w:lastRenderedPageBreak/>
        <w:t xml:space="preserve">return or some other appropriate measure, decoupling will produce a windfall for utility investors.  Instituting a </w:t>
      </w:r>
      <w:r w:rsidR="000C5F4E" w:rsidRPr="00587017">
        <w:rPr>
          <w:rFonts w:ascii="Times New Roman" w:hAnsi="Times New Roman"/>
        </w:rPr>
        <w:t>revenue-decoupling</w:t>
      </w:r>
      <w:r w:rsidR="00654EC4" w:rsidRPr="00587017">
        <w:rPr>
          <w:rFonts w:ascii="Times New Roman" w:hAnsi="Times New Roman"/>
        </w:rPr>
        <w:t xml:space="preserve"> program for utilities without a concomitant downward adjustment to the allowed equity return, then, would create utility rates that exceed costs.  Such rates would exceed just and reasonable levels and also would encourage an economically inefficient allocation of resources.  Therefore, the allowed return on equity for a utility that is entering a regulatory framework in which revenues are decoupled from volumetric sales must be lower than that appropriate for the same utility under traditional regulation.  The question here is—how much lower?</w:t>
      </w:r>
    </w:p>
    <w:p w:rsidR="00654EC4" w:rsidRPr="00587017" w:rsidRDefault="0028741F" w:rsidP="00160048">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 xml:space="preserve">An analytical process through which the impact of </w:t>
      </w:r>
      <w:r w:rsidR="008934E0" w:rsidRPr="00587017">
        <w:rPr>
          <w:rFonts w:ascii="Times New Roman" w:hAnsi="Times New Roman"/>
        </w:rPr>
        <w:t xml:space="preserve">revenue </w:t>
      </w:r>
      <w:r w:rsidR="00654EC4" w:rsidRPr="00587017">
        <w:rPr>
          <w:rFonts w:ascii="Times New Roman" w:hAnsi="Times New Roman"/>
        </w:rPr>
        <w:t xml:space="preserve">decoupling on the appropriate return on equity for </w:t>
      </w:r>
      <w:r w:rsidRPr="00587017">
        <w:rPr>
          <w:rFonts w:ascii="Times New Roman" w:hAnsi="Times New Roman"/>
        </w:rPr>
        <w:t xml:space="preserve">the </w:t>
      </w:r>
      <w:r w:rsidR="000E3292">
        <w:rPr>
          <w:rFonts w:ascii="Times New Roman" w:hAnsi="Times New Roman"/>
        </w:rPr>
        <w:t>Avista electric and gas operations in Washington</w:t>
      </w:r>
      <w:r w:rsidR="00654EC4" w:rsidRPr="00587017">
        <w:rPr>
          <w:rFonts w:ascii="Times New Roman" w:hAnsi="Times New Roman"/>
        </w:rPr>
        <w:t xml:space="preserve"> can be assessed is presented below</w:t>
      </w:r>
      <w:r w:rsidR="00FF0852">
        <w:rPr>
          <w:rFonts w:ascii="Times New Roman" w:hAnsi="Times New Roman"/>
        </w:rPr>
        <w:t>.  H</w:t>
      </w:r>
      <w:r w:rsidR="00654EC4" w:rsidRPr="00587017">
        <w:rPr>
          <w:rFonts w:ascii="Times New Roman" w:hAnsi="Times New Roman"/>
        </w:rPr>
        <w:t xml:space="preserve">owever, it is intuitively obvious that the more the utility’s revenue volatility </w:t>
      </w:r>
      <w:r w:rsidR="00523EB1" w:rsidRPr="00587017">
        <w:rPr>
          <w:rFonts w:ascii="Times New Roman" w:hAnsi="Times New Roman"/>
        </w:rPr>
        <w:t>is</w:t>
      </w:r>
      <w:r w:rsidR="00654EC4" w:rsidRPr="00587017">
        <w:rPr>
          <w:rFonts w:ascii="Times New Roman" w:hAnsi="Times New Roman"/>
        </w:rPr>
        <w:t xml:space="preserve"> eliminated by decoupling, the greater the risk reduction caused by decoupling and the lower the allowed equity return should be.  If, for example, operating costs were constant and 100% of the revenue variations of a utility were due to factors eliminated by decoupling, that ratemaking mechanism could effectively turn a utility equity investment into a bond-like financial instrument.  In that extreme theoretical instance, the level of uncertainty regarding the expected return that normally accompanies a utility equity investment would </w:t>
      </w:r>
      <w:r w:rsidR="008A1FAA" w:rsidRPr="00587017">
        <w:rPr>
          <w:rFonts w:ascii="Times New Roman" w:hAnsi="Times New Roman"/>
        </w:rPr>
        <w:t xml:space="preserve">be significantly reduced and a risk-adjusted </w:t>
      </w:r>
      <w:r w:rsidR="00654EC4" w:rsidRPr="00587017">
        <w:rPr>
          <w:rFonts w:ascii="Times New Roman" w:hAnsi="Times New Roman"/>
        </w:rPr>
        <w:t xml:space="preserve">equity return would fall toward </w:t>
      </w:r>
      <w:r w:rsidR="00201D39" w:rsidRPr="00587017">
        <w:rPr>
          <w:rFonts w:ascii="Times New Roman" w:hAnsi="Times New Roman"/>
        </w:rPr>
        <w:t>a return</w:t>
      </w:r>
      <w:r w:rsidR="00654EC4" w:rsidRPr="00587017">
        <w:rPr>
          <w:rFonts w:ascii="Times New Roman" w:hAnsi="Times New Roman"/>
        </w:rPr>
        <w:t xml:space="preserve"> appropriate for utility debt capital.</w:t>
      </w:r>
    </w:p>
    <w:p w:rsidR="00654EC4" w:rsidRPr="00587017" w:rsidRDefault="00201D39" w:rsidP="00160048">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 xml:space="preserve">Quantifying the change in operating risk of a utility operation due to a reduction in revenue volatility caused by a </w:t>
      </w:r>
      <w:r w:rsidR="009C4BEF" w:rsidRPr="00587017">
        <w:rPr>
          <w:rFonts w:ascii="Times New Roman" w:hAnsi="Times New Roman"/>
        </w:rPr>
        <w:t xml:space="preserve">revenue </w:t>
      </w:r>
      <w:r w:rsidR="00654EC4" w:rsidRPr="00587017">
        <w:rPr>
          <w:rFonts w:ascii="Times New Roman" w:hAnsi="Times New Roman"/>
        </w:rPr>
        <w:t>decoupling mechanism is a two</w:t>
      </w:r>
      <w:r w:rsidR="00654EC4" w:rsidRPr="00587017">
        <w:rPr>
          <w:rFonts w:ascii="Times New Roman" w:hAnsi="Times New Roman"/>
        </w:rPr>
        <w:noBreakHyphen/>
        <w:t xml:space="preserve">step process.  First, the degree to which fluctuations in utility revenues are dependent on operating </w:t>
      </w:r>
      <w:r w:rsidR="00654EC4" w:rsidRPr="00587017">
        <w:rPr>
          <w:rFonts w:ascii="Times New Roman" w:hAnsi="Times New Roman"/>
        </w:rPr>
        <w:lastRenderedPageBreak/>
        <w:t xml:space="preserve">factors such as the </w:t>
      </w:r>
      <w:r w:rsidRPr="00587017">
        <w:rPr>
          <w:rFonts w:ascii="Times New Roman" w:hAnsi="Times New Roman"/>
        </w:rPr>
        <w:t xml:space="preserve">underlying growth in the </w:t>
      </w:r>
      <w:r w:rsidR="00654EC4" w:rsidRPr="00587017">
        <w:rPr>
          <w:rFonts w:ascii="Times New Roman" w:hAnsi="Times New Roman"/>
        </w:rPr>
        <w:t>economy must be measured</w:t>
      </w:r>
      <w:r w:rsidR="0022491D">
        <w:rPr>
          <w:rFonts w:ascii="Times New Roman" w:hAnsi="Times New Roman"/>
        </w:rPr>
        <w:t>.  Second,</w:t>
      </w:r>
      <w:r w:rsidR="00654EC4" w:rsidRPr="00587017">
        <w:rPr>
          <w:rFonts w:ascii="Times New Roman" w:hAnsi="Times New Roman"/>
        </w:rPr>
        <w:t xml:space="preserve"> the </w:t>
      </w:r>
      <w:r w:rsidR="00DE15A9">
        <w:rPr>
          <w:rFonts w:ascii="Times New Roman" w:hAnsi="Times New Roman"/>
        </w:rPr>
        <w:t xml:space="preserve">net </w:t>
      </w:r>
      <w:r w:rsidR="00654EC4" w:rsidRPr="00587017">
        <w:rPr>
          <w:rFonts w:ascii="Times New Roman" w:hAnsi="Times New Roman"/>
        </w:rPr>
        <w:t>revenue volatility that normally exists with the utility operation must be quantified.</w:t>
      </w:r>
    </w:p>
    <w:p w:rsidR="00654EC4" w:rsidRPr="00587017" w:rsidRDefault="00201D39" w:rsidP="00160048">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 xml:space="preserve">Measuring the degree to which fluctuations in utility revenues are dependent on changes in the operating environment is accomplished through regression analysis.  In such an analysis, variables that represent economic conditions (Gross State Product (“GSP”) for </w:t>
      </w:r>
      <w:r w:rsidR="00DE15A9">
        <w:rPr>
          <w:rFonts w:ascii="Times New Roman" w:hAnsi="Times New Roman"/>
        </w:rPr>
        <w:t>Washington</w:t>
      </w:r>
      <w:r w:rsidR="0022491D">
        <w:rPr>
          <w:rFonts w:ascii="Times New Roman" w:hAnsi="Times New Roman"/>
        </w:rPr>
        <w:t xml:space="preserve"> and</w:t>
      </w:r>
      <w:r w:rsidR="00DE15A9">
        <w:rPr>
          <w:rFonts w:ascii="Times New Roman" w:hAnsi="Times New Roman"/>
        </w:rPr>
        <w:t xml:space="preserve"> heating degree days</w:t>
      </w:r>
      <w:r w:rsidR="00654EC4" w:rsidRPr="00587017">
        <w:rPr>
          <w:rFonts w:ascii="Times New Roman" w:hAnsi="Times New Roman"/>
        </w:rPr>
        <w:t xml:space="preserve">) are regressed against the utility’s net revenues over a relatively long time period.  </w:t>
      </w:r>
      <w:r w:rsidR="00624964" w:rsidRPr="00587017">
        <w:rPr>
          <w:rFonts w:ascii="Times New Roman" w:hAnsi="Times New Roman"/>
        </w:rPr>
        <w:t xml:space="preserve">The “net revenues” are the </w:t>
      </w:r>
      <w:r w:rsidR="00EB0B09">
        <w:rPr>
          <w:rFonts w:ascii="Times New Roman" w:hAnsi="Times New Roman"/>
        </w:rPr>
        <w:t>Company’s</w:t>
      </w:r>
      <w:r w:rsidR="00624964" w:rsidRPr="00587017">
        <w:rPr>
          <w:rFonts w:ascii="Times New Roman" w:hAnsi="Times New Roman"/>
        </w:rPr>
        <w:t xml:space="preserve"> revenues less t</w:t>
      </w:r>
      <w:r w:rsidR="00DE15A9">
        <w:rPr>
          <w:rFonts w:ascii="Times New Roman" w:hAnsi="Times New Roman"/>
        </w:rPr>
        <w:t>he expenses for fuel</w:t>
      </w:r>
      <w:r w:rsidR="00624964" w:rsidRPr="00587017">
        <w:rPr>
          <w:rFonts w:ascii="Times New Roman" w:hAnsi="Times New Roman"/>
        </w:rPr>
        <w:t xml:space="preserve"> </w:t>
      </w:r>
      <w:r w:rsidR="00DE15A9">
        <w:rPr>
          <w:rFonts w:ascii="Times New Roman" w:hAnsi="Times New Roman"/>
        </w:rPr>
        <w:t xml:space="preserve">and </w:t>
      </w:r>
      <w:r w:rsidR="00624964" w:rsidRPr="00587017">
        <w:rPr>
          <w:rFonts w:ascii="Times New Roman" w:hAnsi="Times New Roman"/>
        </w:rPr>
        <w:t>purchased power (which are tracked and</w:t>
      </w:r>
      <w:r w:rsidR="00466FC5" w:rsidRPr="00587017">
        <w:rPr>
          <w:rFonts w:ascii="Times New Roman" w:hAnsi="Times New Roman"/>
        </w:rPr>
        <w:t xml:space="preserve"> are </w:t>
      </w:r>
      <w:r w:rsidR="00630E3F">
        <w:rPr>
          <w:rFonts w:ascii="Times New Roman" w:hAnsi="Times New Roman"/>
        </w:rPr>
        <w:t>recovered under a separate regulatory plan</w:t>
      </w:r>
      <w:r w:rsidR="00331572" w:rsidRPr="00587017">
        <w:rPr>
          <w:rFonts w:ascii="Times New Roman" w:hAnsi="Times New Roman"/>
        </w:rPr>
        <w:t xml:space="preserve">). Because those revenues associated with the factors that are “tracked” and “trued-up” are already addressed through a regulatory mechanism, they are not included in </w:t>
      </w:r>
      <w:r w:rsidR="0078299E" w:rsidRPr="00587017">
        <w:rPr>
          <w:rFonts w:ascii="Times New Roman" w:hAnsi="Times New Roman"/>
        </w:rPr>
        <w:t xml:space="preserve">the assessment of decoupling risk reduction. </w:t>
      </w:r>
      <w:r w:rsidR="00466FC5" w:rsidRPr="00587017">
        <w:rPr>
          <w:rFonts w:ascii="Times New Roman" w:hAnsi="Times New Roman"/>
        </w:rPr>
        <w:t>Through such a regression</w:t>
      </w:r>
      <w:r w:rsidR="00654EC4" w:rsidRPr="00587017">
        <w:rPr>
          <w:rFonts w:ascii="Times New Roman" w:hAnsi="Times New Roman"/>
        </w:rPr>
        <w:t xml:space="preserve"> analysis, it can be determined to what degree </w:t>
      </w:r>
      <w:r w:rsidR="0078299E" w:rsidRPr="00587017">
        <w:rPr>
          <w:rFonts w:ascii="Times New Roman" w:hAnsi="Times New Roman"/>
        </w:rPr>
        <w:t xml:space="preserve">net </w:t>
      </w:r>
      <w:r w:rsidR="00654EC4" w:rsidRPr="00587017">
        <w:rPr>
          <w:rFonts w:ascii="Times New Roman" w:hAnsi="Times New Roman"/>
        </w:rPr>
        <w:t xml:space="preserve">revenues </w:t>
      </w:r>
      <w:r w:rsidR="00466FC5" w:rsidRPr="00587017">
        <w:rPr>
          <w:rFonts w:ascii="Times New Roman" w:hAnsi="Times New Roman"/>
        </w:rPr>
        <w:t>volatility is</w:t>
      </w:r>
      <w:r w:rsidR="00654EC4" w:rsidRPr="00587017">
        <w:rPr>
          <w:rFonts w:ascii="Times New Roman" w:hAnsi="Times New Roman"/>
        </w:rPr>
        <w:t xml:space="preserve"> determined by those </w:t>
      </w:r>
      <w:r w:rsidR="00895EC9" w:rsidRPr="00587017">
        <w:rPr>
          <w:rFonts w:ascii="Times New Roman" w:hAnsi="Times New Roman"/>
        </w:rPr>
        <w:t>exogenous</w:t>
      </w:r>
      <w:r w:rsidR="00654EC4" w:rsidRPr="00587017">
        <w:rPr>
          <w:rFonts w:ascii="Times New Roman" w:hAnsi="Times New Roman"/>
        </w:rPr>
        <w:t xml:space="preserve"> variables</w:t>
      </w:r>
      <w:r w:rsidR="00895EC9" w:rsidRPr="00587017">
        <w:rPr>
          <w:rFonts w:ascii="Times New Roman" w:hAnsi="Times New Roman"/>
        </w:rPr>
        <w:t xml:space="preserve"> (</w:t>
      </w:r>
      <w:r w:rsidR="00630E3F">
        <w:rPr>
          <w:rFonts w:ascii="Times New Roman" w:hAnsi="Times New Roman"/>
        </w:rPr>
        <w:t xml:space="preserve">e.g., </w:t>
      </w:r>
      <w:r w:rsidR="00895EC9" w:rsidRPr="00587017">
        <w:rPr>
          <w:rFonts w:ascii="Times New Roman" w:hAnsi="Times New Roman"/>
        </w:rPr>
        <w:t>economic activity)</w:t>
      </w:r>
      <w:r w:rsidR="00654EC4" w:rsidRPr="00587017">
        <w:rPr>
          <w:rFonts w:ascii="Times New Roman" w:hAnsi="Times New Roman"/>
        </w:rPr>
        <w:t>.</w:t>
      </w:r>
    </w:p>
    <w:p w:rsidR="00654EC4" w:rsidRPr="00587017" w:rsidRDefault="00E56A9D" w:rsidP="00160048">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 xml:space="preserve">For </w:t>
      </w:r>
      <w:r w:rsidR="00720E2A">
        <w:rPr>
          <w:rFonts w:ascii="Times New Roman" w:hAnsi="Times New Roman"/>
        </w:rPr>
        <w:t>Avista’s Washin</w:t>
      </w:r>
      <w:r w:rsidR="00674608">
        <w:rPr>
          <w:rFonts w:ascii="Times New Roman" w:hAnsi="Times New Roman"/>
        </w:rPr>
        <w:t>gton jurisdictional operati</w:t>
      </w:r>
      <w:r w:rsidR="00720E2A">
        <w:rPr>
          <w:rFonts w:ascii="Times New Roman" w:hAnsi="Times New Roman"/>
        </w:rPr>
        <w:t>ons</w:t>
      </w:r>
      <w:r w:rsidR="000257EA" w:rsidRPr="00587017">
        <w:rPr>
          <w:rFonts w:ascii="Times New Roman" w:hAnsi="Times New Roman"/>
        </w:rPr>
        <w:t xml:space="preserve">, </w:t>
      </w:r>
      <w:r w:rsidR="00720E2A">
        <w:rPr>
          <w:rFonts w:ascii="Times New Roman" w:hAnsi="Times New Roman"/>
        </w:rPr>
        <w:t>I</w:t>
      </w:r>
      <w:r w:rsidR="00654EC4" w:rsidRPr="00587017">
        <w:rPr>
          <w:rFonts w:ascii="Times New Roman" w:hAnsi="Times New Roman"/>
        </w:rPr>
        <w:t xml:space="preserve"> studied the correlation between the </w:t>
      </w:r>
      <w:r w:rsidR="00720E2A">
        <w:rPr>
          <w:rFonts w:ascii="Times New Roman" w:hAnsi="Times New Roman"/>
        </w:rPr>
        <w:t>Washington</w:t>
      </w:r>
      <w:r w:rsidR="00654EC4" w:rsidRPr="00587017">
        <w:rPr>
          <w:rFonts w:ascii="Times New Roman" w:hAnsi="Times New Roman"/>
        </w:rPr>
        <w:t xml:space="preserve"> economy (</w:t>
      </w:r>
      <w:r w:rsidR="00720E2A">
        <w:rPr>
          <w:rFonts w:ascii="Times New Roman" w:hAnsi="Times New Roman"/>
        </w:rPr>
        <w:t>Washington</w:t>
      </w:r>
      <w:r w:rsidR="00654EC4" w:rsidRPr="00587017">
        <w:rPr>
          <w:rFonts w:ascii="Times New Roman" w:hAnsi="Times New Roman"/>
        </w:rPr>
        <w:t xml:space="preserve"> GSP)</w:t>
      </w:r>
      <w:r w:rsidR="00720E2A">
        <w:rPr>
          <w:rFonts w:ascii="Times New Roman" w:hAnsi="Times New Roman"/>
        </w:rPr>
        <w:t>, heating degree days</w:t>
      </w:r>
      <w:r w:rsidR="00FD301C">
        <w:rPr>
          <w:rFonts w:ascii="Times New Roman" w:hAnsi="Times New Roman"/>
        </w:rPr>
        <w:t xml:space="preserve"> (HDD)</w:t>
      </w:r>
      <w:r w:rsidR="00654EC4" w:rsidRPr="00587017">
        <w:rPr>
          <w:rFonts w:ascii="Times New Roman" w:hAnsi="Times New Roman"/>
        </w:rPr>
        <w:t xml:space="preserve"> and </w:t>
      </w:r>
      <w:r w:rsidR="00FD301C">
        <w:rPr>
          <w:rFonts w:ascii="Times New Roman" w:hAnsi="Times New Roman"/>
        </w:rPr>
        <w:t xml:space="preserve">gas and electric operation </w:t>
      </w:r>
      <w:r w:rsidR="00654EC4" w:rsidRPr="00587017">
        <w:rPr>
          <w:rFonts w:ascii="Times New Roman" w:hAnsi="Times New Roman"/>
        </w:rPr>
        <w:t xml:space="preserve">net revenues over the </w:t>
      </w:r>
      <w:r w:rsidR="00FD301C">
        <w:rPr>
          <w:rFonts w:ascii="Times New Roman" w:hAnsi="Times New Roman"/>
        </w:rPr>
        <w:t>2000</w:t>
      </w:r>
      <w:r w:rsidR="00F91DFA" w:rsidRPr="00587017">
        <w:rPr>
          <w:rFonts w:ascii="Times New Roman" w:hAnsi="Times New Roman"/>
        </w:rPr>
        <w:t xml:space="preserve"> to 2012</w:t>
      </w:r>
      <w:r w:rsidR="00654EC4" w:rsidRPr="00587017">
        <w:rPr>
          <w:rFonts w:ascii="Times New Roman" w:hAnsi="Times New Roman"/>
        </w:rPr>
        <w:t xml:space="preserve"> time </w:t>
      </w:r>
      <w:r w:rsidR="00F91DFA" w:rsidRPr="00587017">
        <w:rPr>
          <w:rFonts w:ascii="Times New Roman" w:hAnsi="Times New Roman"/>
        </w:rPr>
        <w:t>frame</w:t>
      </w:r>
      <w:r w:rsidR="00654EC4" w:rsidRPr="00587017">
        <w:rPr>
          <w:rFonts w:ascii="Times New Roman" w:hAnsi="Times New Roman"/>
        </w:rPr>
        <w:t xml:space="preserve">. </w:t>
      </w:r>
      <w:r w:rsidR="00FF2E01" w:rsidRPr="00587017">
        <w:rPr>
          <w:rFonts w:ascii="Times New Roman" w:hAnsi="Times New Roman"/>
        </w:rPr>
        <w:t>The Company</w:t>
      </w:r>
      <w:r w:rsidR="00FF2E01">
        <w:rPr>
          <w:rFonts w:ascii="Times New Roman" w:hAnsi="Times New Roman"/>
        </w:rPr>
        <w:t>,</w:t>
      </w:r>
      <w:r w:rsidR="00FF2E01" w:rsidRPr="00587017">
        <w:rPr>
          <w:rFonts w:ascii="Times New Roman" w:hAnsi="Times New Roman"/>
        </w:rPr>
        <w:t xml:space="preserve"> in response to Public Counsel </w:t>
      </w:r>
      <w:proofErr w:type="gramStart"/>
      <w:r w:rsidR="00FF2E01" w:rsidRPr="00587017">
        <w:rPr>
          <w:rFonts w:ascii="Times New Roman" w:hAnsi="Times New Roman"/>
        </w:rPr>
        <w:t>data</w:t>
      </w:r>
      <w:proofErr w:type="gramEnd"/>
      <w:r w:rsidR="00FF2E01" w:rsidRPr="00587017">
        <w:rPr>
          <w:rFonts w:ascii="Times New Roman" w:hAnsi="Times New Roman"/>
        </w:rPr>
        <w:t xml:space="preserve"> requests</w:t>
      </w:r>
      <w:r w:rsidR="00FF2E01">
        <w:rPr>
          <w:rFonts w:ascii="Times New Roman" w:hAnsi="Times New Roman"/>
        </w:rPr>
        <w:t>,</w:t>
      </w:r>
      <w:r w:rsidR="00FF2E01" w:rsidRPr="00587017">
        <w:rPr>
          <w:rFonts w:ascii="Times New Roman" w:hAnsi="Times New Roman"/>
        </w:rPr>
        <w:t xml:space="preserve"> provided those</w:t>
      </w:r>
      <w:r w:rsidR="00FD301C">
        <w:rPr>
          <w:rFonts w:ascii="Times New Roman" w:hAnsi="Times New Roman"/>
        </w:rPr>
        <w:t xml:space="preserve"> historical financial and HDD</w:t>
      </w:r>
      <w:r w:rsidR="00FF2E01" w:rsidRPr="00587017">
        <w:rPr>
          <w:rFonts w:ascii="Times New Roman" w:hAnsi="Times New Roman"/>
        </w:rPr>
        <w:t xml:space="preserve"> data</w:t>
      </w:r>
      <w:r w:rsidR="00654EC4" w:rsidRPr="00587017">
        <w:rPr>
          <w:rFonts w:ascii="Times New Roman" w:hAnsi="Times New Roman"/>
        </w:rPr>
        <w:t>.</w:t>
      </w:r>
      <w:r w:rsidR="00870D9A">
        <w:rPr>
          <w:rStyle w:val="FootnoteReference"/>
        </w:rPr>
        <w:footnoteReference w:id="1"/>
      </w:r>
      <w:r w:rsidR="00654EC4" w:rsidRPr="00587017">
        <w:rPr>
          <w:rFonts w:ascii="Times New Roman" w:hAnsi="Times New Roman"/>
        </w:rPr>
        <w:t xml:space="preserve">  The </w:t>
      </w:r>
      <w:r w:rsidR="00FF2E01">
        <w:rPr>
          <w:rFonts w:ascii="Times New Roman" w:hAnsi="Times New Roman"/>
        </w:rPr>
        <w:t>Washington</w:t>
      </w:r>
      <w:r w:rsidR="00654EC4" w:rsidRPr="00587017">
        <w:rPr>
          <w:rFonts w:ascii="Times New Roman" w:hAnsi="Times New Roman"/>
        </w:rPr>
        <w:t xml:space="preserve"> GSP is available on the U. S. Department of Commerce, Bureau of Labor Statistics web page.  </w:t>
      </w:r>
    </w:p>
    <w:p w:rsidR="00654EC4" w:rsidRPr="00587017" w:rsidRDefault="00E56A9D" w:rsidP="00160048">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Regressing those economic</w:t>
      </w:r>
      <w:r w:rsidR="000777CD">
        <w:rPr>
          <w:rFonts w:ascii="Times New Roman" w:hAnsi="Times New Roman"/>
        </w:rPr>
        <w:t xml:space="preserve"> and weather</w:t>
      </w:r>
      <w:r w:rsidR="00654EC4" w:rsidRPr="00587017">
        <w:rPr>
          <w:rFonts w:ascii="Times New Roman" w:hAnsi="Times New Roman"/>
        </w:rPr>
        <w:t xml:space="preserve"> variables cited above against </w:t>
      </w:r>
      <w:r w:rsidR="000777CD">
        <w:rPr>
          <w:rFonts w:ascii="Times New Roman" w:hAnsi="Times New Roman"/>
        </w:rPr>
        <w:t>the</w:t>
      </w:r>
      <w:r w:rsidR="00654EC4" w:rsidRPr="00587017">
        <w:rPr>
          <w:rFonts w:ascii="Times New Roman" w:hAnsi="Times New Roman"/>
        </w:rPr>
        <w:t xml:space="preserve"> annual net revenues from </w:t>
      </w:r>
      <w:r w:rsidR="000777CD">
        <w:rPr>
          <w:rFonts w:ascii="Times New Roman" w:hAnsi="Times New Roman"/>
        </w:rPr>
        <w:t>2000</w:t>
      </w:r>
      <w:r w:rsidR="00654EC4" w:rsidRPr="00587017">
        <w:rPr>
          <w:rFonts w:ascii="Times New Roman" w:hAnsi="Times New Roman"/>
        </w:rPr>
        <w:t xml:space="preserve"> </w:t>
      </w:r>
      <w:r w:rsidRPr="00587017">
        <w:rPr>
          <w:rFonts w:ascii="Times New Roman" w:hAnsi="Times New Roman"/>
        </w:rPr>
        <w:t>through 2012</w:t>
      </w:r>
      <w:r w:rsidR="001448E9" w:rsidRPr="00587017">
        <w:rPr>
          <w:rFonts w:ascii="Times New Roman" w:hAnsi="Times New Roman"/>
        </w:rPr>
        <w:t xml:space="preserve"> indicates, as shown on </w:t>
      </w:r>
      <w:r w:rsidR="004448C8">
        <w:rPr>
          <w:rFonts w:ascii="Times New Roman" w:hAnsi="Times New Roman"/>
        </w:rPr>
        <w:t>Exh</w:t>
      </w:r>
      <w:r w:rsidR="00AA2564">
        <w:rPr>
          <w:rFonts w:ascii="Times New Roman" w:hAnsi="Times New Roman"/>
        </w:rPr>
        <w:t>i</w:t>
      </w:r>
      <w:r w:rsidR="004448C8">
        <w:rPr>
          <w:rFonts w:ascii="Times New Roman" w:hAnsi="Times New Roman"/>
        </w:rPr>
        <w:t>bits_</w:t>
      </w:r>
      <w:proofErr w:type="gramStart"/>
      <w:r w:rsidR="004448C8">
        <w:rPr>
          <w:rFonts w:ascii="Times New Roman" w:hAnsi="Times New Roman"/>
        </w:rPr>
        <w:t>_(</w:t>
      </w:r>
      <w:proofErr w:type="gramEnd"/>
      <w:r w:rsidR="004448C8">
        <w:rPr>
          <w:rFonts w:ascii="Times New Roman" w:hAnsi="Times New Roman"/>
        </w:rPr>
        <w:t>SGH-</w:t>
      </w:r>
      <w:r w:rsidR="00AA2564">
        <w:rPr>
          <w:rFonts w:ascii="Times New Roman" w:hAnsi="Times New Roman"/>
        </w:rPr>
        <w:t>13</w:t>
      </w:r>
      <w:r w:rsidR="00C82698">
        <w:rPr>
          <w:rFonts w:ascii="Times New Roman" w:hAnsi="Times New Roman"/>
        </w:rPr>
        <w:t xml:space="preserve">) and </w:t>
      </w:r>
      <w:r w:rsidR="00C82698">
        <w:rPr>
          <w:rFonts w:ascii="Times New Roman" w:hAnsi="Times New Roman"/>
        </w:rPr>
        <w:lastRenderedPageBreak/>
        <w:t>(</w:t>
      </w:r>
      <w:r w:rsidR="004448C8">
        <w:rPr>
          <w:rFonts w:ascii="Times New Roman" w:hAnsi="Times New Roman"/>
        </w:rPr>
        <w:t>SGH-</w:t>
      </w:r>
      <w:r w:rsidR="00AA2564">
        <w:rPr>
          <w:rFonts w:ascii="Times New Roman" w:hAnsi="Times New Roman"/>
        </w:rPr>
        <w:t>14</w:t>
      </w:r>
      <w:r w:rsidR="004448C8">
        <w:rPr>
          <w:rFonts w:ascii="Times New Roman" w:hAnsi="Times New Roman"/>
        </w:rPr>
        <w:t>)</w:t>
      </w:r>
      <w:r w:rsidR="0022491D">
        <w:rPr>
          <w:rFonts w:ascii="Times New Roman" w:hAnsi="Times New Roman"/>
        </w:rPr>
        <w:t>,</w:t>
      </w:r>
      <w:r w:rsidR="000257EA" w:rsidRPr="00587017">
        <w:rPr>
          <w:rFonts w:ascii="Times New Roman" w:hAnsi="Times New Roman"/>
        </w:rPr>
        <w:t xml:space="preserve"> page 1</w:t>
      </w:r>
      <w:r w:rsidR="00654EC4" w:rsidRPr="00587017">
        <w:rPr>
          <w:rFonts w:ascii="Times New Roman" w:hAnsi="Times New Roman"/>
        </w:rPr>
        <w:t xml:space="preserve">, </w:t>
      </w:r>
      <w:r w:rsidR="00EF42B9">
        <w:rPr>
          <w:rFonts w:ascii="Times New Roman" w:hAnsi="Times New Roman"/>
        </w:rPr>
        <w:t>they</w:t>
      </w:r>
      <w:r w:rsidR="00C82698">
        <w:rPr>
          <w:rFonts w:ascii="Times New Roman" w:hAnsi="Times New Roman"/>
        </w:rPr>
        <w:t xml:space="preserve"> account for approximately 7</w:t>
      </w:r>
      <w:r w:rsidR="00C8396D" w:rsidRPr="00587017">
        <w:rPr>
          <w:rFonts w:ascii="Times New Roman" w:hAnsi="Times New Roman"/>
        </w:rPr>
        <w:t>0</w:t>
      </w:r>
      <w:r w:rsidR="00654EC4" w:rsidRPr="00587017">
        <w:rPr>
          <w:rFonts w:ascii="Times New Roman" w:hAnsi="Times New Roman"/>
        </w:rPr>
        <w:t>%</w:t>
      </w:r>
      <w:r w:rsidR="00C82698">
        <w:rPr>
          <w:rFonts w:ascii="Times New Roman" w:hAnsi="Times New Roman"/>
        </w:rPr>
        <w:t xml:space="preserve"> (electric)</w:t>
      </w:r>
      <w:r w:rsidR="00654EC4" w:rsidRPr="00587017">
        <w:rPr>
          <w:rFonts w:ascii="Times New Roman" w:hAnsi="Times New Roman"/>
        </w:rPr>
        <w:t xml:space="preserve"> </w:t>
      </w:r>
      <w:r w:rsidR="00C82698">
        <w:rPr>
          <w:rFonts w:ascii="Times New Roman" w:hAnsi="Times New Roman"/>
        </w:rPr>
        <w:t xml:space="preserve">to 90% (gas) </w:t>
      </w:r>
      <w:r w:rsidR="00654EC4" w:rsidRPr="00587017">
        <w:rPr>
          <w:rFonts w:ascii="Times New Roman" w:hAnsi="Times New Roman"/>
        </w:rPr>
        <w:t xml:space="preserve">of the volatility in the </w:t>
      </w:r>
      <w:r w:rsidR="00C82698">
        <w:rPr>
          <w:rFonts w:ascii="Times New Roman" w:hAnsi="Times New Roman"/>
        </w:rPr>
        <w:t>Company’s</w:t>
      </w:r>
      <w:r w:rsidR="00654EC4" w:rsidRPr="00587017">
        <w:rPr>
          <w:rFonts w:ascii="Times New Roman" w:hAnsi="Times New Roman"/>
        </w:rPr>
        <w:t xml:space="preserve"> </w:t>
      </w:r>
      <w:r w:rsidR="00684417" w:rsidRPr="00587017">
        <w:rPr>
          <w:rFonts w:ascii="Times New Roman" w:hAnsi="Times New Roman"/>
        </w:rPr>
        <w:t xml:space="preserve">net </w:t>
      </w:r>
      <w:r w:rsidR="00654EC4" w:rsidRPr="00587017">
        <w:rPr>
          <w:rFonts w:ascii="Times New Roman" w:hAnsi="Times New Roman"/>
        </w:rPr>
        <w:t>revenues</w:t>
      </w:r>
      <w:r w:rsidR="00684417" w:rsidRPr="00587017">
        <w:rPr>
          <w:rFonts w:ascii="Times New Roman" w:hAnsi="Times New Roman"/>
        </w:rPr>
        <w:t>. That is</w:t>
      </w:r>
      <w:r w:rsidR="00654EC4" w:rsidRPr="00587017">
        <w:rPr>
          <w:rFonts w:ascii="Times New Roman" w:hAnsi="Times New Roman"/>
        </w:rPr>
        <w:t>, the r-squared</w:t>
      </w:r>
      <w:r w:rsidR="00C8396D" w:rsidRPr="00587017">
        <w:rPr>
          <w:rFonts w:ascii="Times New Roman" w:hAnsi="Times New Roman"/>
        </w:rPr>
        <w:t xml:space="preserve"> value of the regression</w:t>
      </w:r>
      <w:r w:rsidR="00684417" w:rsidRPr="00587017">
        <w:rPr>
          <w:rFonts w:ascii="Times New Roman" w:hAnsi="Times New Roman"/>
        </w:rPr>
        <w:t xml:space="preserve"> for </w:t>
      </w:r>
      <w:r w:rsidR="00C82698">
        <w:rPr>
          <w:rFonts w:ascii="Times New Roman" w:hAnsi="Times New Roman"/>
        </w:rPr>
        <w:t>Avista’s Washington electric operations</w:t>
      </w:r>
      <w:r w:rsidR="00C8396D" w:rsidRPr="00587017">
        <w:rPr>
          <w:rFonts w:ascii="Times New Roman" w:hAnsi="Times New Roman"/>
        </w:rPr>
        <w:t xml:space="preserve"> is </w:t>
      </w:r>
      <w:r w:rsidR="00EF42B9">
        <w:rPr>
          <w:rFonts w:ascii="Times New Roman" w:hAnsi="Times New Roman"/>
        </w:rPr>
        <w:t>0.72</w:t>
      </w:r>
      <w:r w:rsidR="00684417" w:rsidRPr="00587017">
        <w:rPr>
          <w:rFonts w:ascii="Times New Roman" w:hAnsi="Times New Roman"/>
        </w:rPr>
        <w:t xml:space="preserve"> and that for </w:t>
      </w:r>
      <w:r w:rsidR="007A09B0">
        <w:rPr>
          <w:rFonts w:ascii="Times New Roman" w:hAnsi="Times New Roman"/>
        </w:rPr>
        <w:t>the Company’s gas operations</w:t>
      </w:r>
      <w:r w:rsidR="00684417" w:rsidRPr="00587017">
        <w:rPr>
          <w:rFonts w:ascii="Times New Roman" w:hAnsi="Times New Roman"/>
        </w:rPr>
        <w:t xml:space="preserve"> is </w:t>
      </w:r>
      <w:r w:rsidR="000C0FDA">
        <w:rPr>
          <w:rFonts w:ascii="Times New Roman" w:hAnsi="Times New Roman"/>
        </w:rPr>
        <w:t>0.96</w:t>
      </w:r>
      <w:r w:rsidR="00654EC4" w:rsidRPr="00587017">
        <w:rPr>
          <w:rFonts w:ascii="Times New Roman" w:hAnsi="Times New Roman"/>
        </w:rPr>
        <w:t>.</w:t>
      </w:r>
      <w:r w:rsidR="007D452B">
        <w:rPr>
          <w:rStyle w:val="FootnoteReference"/>
        </w:rPr>
        <w:footnoteReference w:id="2"/>
      </w:r>
      <w:r w:rsidR="00654EC4" w:rsidRPr="00587017">
        <w:rPr>
          <w:rFonts w:ascii="Times New Roman" w:hAnsi="Times New Roman"/>
        </w:rPr>
        <w:t xml:space="preserve"> </w:t>
      </w:r>
      <w:r w:rsidR="000C0FDA">
        <w:rPr>
          <w:rFonts w:ascii="Times New Roman" w:hAnsi="Times New Roman"/>
        </w:rPr>
        <w:t>Therefore, e</w:t>
      </w:r>
      <w:r w:rsidR="00654EC4" w:rsidRPr="00587017">
        <w:rPr>
          <w:rFonts w:ascii="Times New Roman" w:hAnsi="Times New Roman"/>
        </w:rPr>
        <w:t>conomic activity</w:t>
      </w:r>
      <w:r w:rsidR="007A09B0">
        <w:rPr>
          <w:rFonts w:ascii="Times New Roman" w:hAnsi="Times New Roman"/>
        </w:rPr>
        <w:t xml:space="preserve"> and weather</w:t>
      </w:r>
      <w:r w:rsidR="00654EC4" w:rsidRPr="00587017">
        <w:rPr>
          <w:rFonts w:ascii="Times New Roman" w:hAnsi="Times New Roman"/>
        </w:rPr>
        <w:t xml:space="preserve"> </w:t>
      </w:r>
      <w:r w:rsidR="007A09B0">
        <w:rPr>
          <w:rFonts w:ascii="Times New Roman" w:hAnsi="Times New Roman"/>
        </w:rPr>
        <w:t>are</w:t>
      </w:r>
      <w:r w:rsidR="00654EC4" w:rsidRPr="00587017">
        <w:rPr>
          <w:rFonts w:ascii="Times New Roman" w:hAnsi="Times New Roman"/>
        </w:rPr>
        <w:t xml:space="preserve"> important factor</w:t>
      </w:r>
      <w:r w:rsidR="007A09B0">
        <w:rPr>
          <w:rFonts w:ascii="Times New Roman" w:hAnsi="Times New Roman"/>
        </w:rPr>
        <w:t>s</w:t>
      </w:r>
      <w:r w:rsidR="00654EC4" w:rsidRPr="00587017">
        <w:rPr>
          <w:rFonts w:ascii="Times New Roman" w:hAnsi="Times New Roman"/>
        </w:rPr>
        <w:t xml:space="preserve"> in determining </w:t>
      </w:r>
      <w:r w:rsidR="007A09B0">
        <w:rPr>
          <w:rFonts w:ascii="Times New Roman" w:hAnsi="Times New Roman"/>
        </w:rPr>
        <w:t>the Company’s</w:t>
      </w:r>
      <w:r w:rsidR="00035762" w:rsidRPr="00587017">
        <w:rPr>
          <w:rFonts w:ascii="Times New Roman" w:hAnsi="Times New Roman"/>
        </w:rPr>
        <w:t xml:space="preserve"> net</w:t>
      </w:r>
      <w:r w:rsidR="000C0FDA">
        <w:rPr>
          <w:rFonts w:ascii="Times New Roman" w:hAnsi="Times New Roman"/>
        </w:rPr>
        <w:t xml:space="preserve"> revenues</w:t>
      </w:r>
      <w:r w:rsidR="00654EC4" w:rsidRPr="00587017">
        <w:rPr>
          <w:rFonts w:ascii="Times New Roman" w:hAnsi="Times New Roman"/>
        </w:rPr>
        <w:t xml:space="preserve">, and </w:t>
      </w:r>
      <w:r w:rsidR="007A09B0">
        <w:rPr>
          <w:rFonts w:ascii="Times New Roman" w:hAnsi="Times New Roman"/>
        </w:rPr>
        <w:t>were</w:t>
      </w:r>
      <w:r w:rsidR="00654EC4" w:rsidRPr="00587017">
        <w:rPr>
          <w:rFonts w:ascii="Times New Roman" w:hAnsi="Times New Roman"/>
        </w:rPr>
        <w:t xml:space="preserve"> statistically significant in determining the fluctuations in net revenues. </w:t>
      </w:r>
      <w:r w:rsidR="00654EC4" w:rsidRPr="000C0FDA">
        <w:rPr>
          <w:rFonts w:ascii="Times New Roman" w:hAnsi="Times New Roman"/>
        </w:rPr>
        <w:t>The regression coefficient of GSP was statistically significant at above the 99% level (t-statistic</w:t>
      </w:r>
      <w:r w:rsidR="00035762" w:rsidRPr="000C0FDA">
        <w:rPr>
          <w:rFonts w:ascii="Times New Roman" w:hAnsi="Times New Roman"/>
        </w:rPr>
        <w:t>s</w:t>
      </w:r>
      <w:r w:rsidR="00654EC4" w:rsidRPr="000C0FDA">
        <w:rPr>
          <w:rFonts w:ascii="Times New Roman" w:hAnsi="Times New Roman"/>
        </w:rPr>
        <w:t xml:space="preserve"> &gt; 3.5) and the chance that the correlation indicated is random is very small, as indicated by the F-statistic (</w:t>
      </w:r>
      <w:r w:rsidR="00D507E7" w:rsidRPr="000C0FDA">
        <w:rPr>
          <w:rFonts w:ascii="Times New Roman" w:hAnsi="Times New Roman"/>
        </w:rPr>
        <w:t xml:space="preserve">&gt; </w:t>
      </w:r>
      <w:r w:rsidR="00776521">
        <w:rPr>
          <w:rFonts w:ascii="Times New Roman" w:hAnsi="Times New Roman"/>
        </w:rPr>
        <w:t>10</w:t>
      </w:r>
      <w:r w:rsidR="00654EC4" w:rsidRPr="000C0FDA">
        <w:rPr>
          <w:rFonts w:ascii="Times New Roman" w:hAnsi="Times New Roman"/>
        </w:rPr>
        <w:t>; indicat</w:t>
      </w:r>
      <w:r w:rsidR="00776521">
        <w:rPr>
          <w:rFonts w:ascii="Times New Roman" w:hAnsi="Times New Roman"/>
        </w:rPr>
        <w:t>ing probability &lt; 0.</w:t>
      </w:r>
      <w:r w:rsidR="00654EC4" w:rsidRPr="000C0FDA">
        <w:rPr>
          <w:rFonts w:ascii="Times New Roman" w:hAnsi="Times New Roman"/>
        </w:rPr>
        <w:t>01).</w:t>
      </w:r>
      <w:r w:rsidR="00654EC4" w:rsidRPr="00587017">
        <w:rPr>
          <w:rFonts w:ascii="Times New Roman" w:hAnsi="Times New Roman"/>
        </w:rPr>
        <w:t xml:space="preserve"> </w:t>
      </w:r>
    </w:p>
    <w:p w:rsidR="006A60EF" w:rsidRDefault="00A24AF4" w:rsidP="00160048">
      <w:pPr>
        <w:spacing w:line="480" w:lineRule="auto"/>
        <w:rPr>
          <w:rFonts w:ascii="Times New Roman" w:hAnsi="Times New Roman"/>
        </w:rPr>
      </w:pPr>
      <w:r w:rsidRPr="00587017">
        <w:rPr>
          <w:rFonts w:ascii="Times New Roman" w:hAnsi="Times New Roman"/>
        </w:rPr>
        <w:tab/>
      </w:r>
      <w:r w:rsidR="00A47DDF" w:rsidRPr="00587017">
        <w:rPr>
          <w:rFonts w:ascii="Times New Roman" w:hAnsi="Times New Roman"/>
        </w:rPr>
        <w:t xml:space="preserve">Although these regressions show a high correlation between </w:t>
      </w:r>
      <w:r w:rsidR="00EB0B09">
        <w:rPr>
          <w:rFonts w:ascii="Times New Roman" w:hAnsi="Times New Roman"/>
        </w:rPr>
        <w:t xml:space="preserve">weather, </w:t>
      </w:r>
      <w:r w:rsidR="00A47DDF" w:rsidRPr="00587017">
        <w:rPr>
          <w:rFonts w:ascii="Times New Roman" w:hAnsi="Times New Roman"/>
        </w:rPr>
        <w:t>economic activity and the Compan</w:t>
      </w:r>
      <w:r w:rsidR="00EB0B09">
        <w:rPr>
          <w:rFonts w:ascii="Times New Roman" w:hAnsi="Times New Roman"/>
        </w:rPr>
        <w:t>y</w:t>
      </w:r>
      <w:r w:rsidR="00A47DDF" w:rsidRPr="00587017">
        <w:rPr>
          <w:rFonts w:ascii="Times New Roman" w:hAnsi="Times New Roman"/>
        </w:rPr>
        <w:t>’</w:t>
      </w:r>
      <w:r w:rsidR="00EB0B09">
        <w:rPr>
          <w:rFonts w:ascii="Times New Roman" w:hAnsi="Times New Roman"/>
        </w:rPr>
        <w:t>s</w:t>
      </w:r>
      <w:r w:rsidR="00A47DDF" w:rsidRPr="00587017">
        <w:rPr>
          <w:rFonts w:ascii="Times New Roman" w:hAnsi="Times New Roman"/>
        </w:rPr>
        <w:t xml:space="preserve"> net revenues</w:t>
      </w:r>
      <w:r w:rsidR="001D2191" w:rsidRPr="00587017">
        <w:rPr>
          <w:rFonts w:ascii="Times New Roman" w:hAnsi="Times New Roman"/>
        </w:rPr>
        <w:t xml:space="preserve">, </w:t>
      </w:r>
      <w:r w:rsidR="00B23634" w:rsidRPr="00587017">
        <w:rPr>
          <w:rFonts w:ascii="Times New Roman" w:hAnsi="Times New Roman"/>
        </w:rPr>
        <w:t>it is reasonable</w:t>
      </w:r>
      <w:r w:rsidR="001D2191" w:rsidRPr="00587017">
        <w:rPr>
          <w:rFonts w:ascii="Times New Roman" w:hAnsi="Times New Roman"/>
        </w:rPr>
        <w:t xml:space="preserve"> to be cautious about assuming that a </w:t>
      </w:r>
      <w:r w:rsidR="004F68F5" w:rsidRPr="00587017">
        <w:rPr>
          <w:rFonts w:ascii="Times New Roman" w:hAnsi="Times New Roman"/>
        </w:rPr>
        <w:t xml:space="preserve">revenue </w:t>
      </w:r>
      <w:r w:rsidR="001D2191" w:rsidRPr="00587017">
        <w:rPr>
          <w:rFonts w:ascii="Times New Roman" w:hAnsi="Times New Roman"/>
        </w:rPr>
        <w:t xml:space="preserve">decoupling regime will eliminate </w:t>
      </w:r>
      <w:r w:rsidR="00A63EB6" w:rsidRPr="00587017">
        <w:rPr>
          <w:rFonts w:ascii="Times New Roman" w:hAnsi="Times New Roman"/>
        </w:rPr>
        <w:t xml:space="preserve">nearly </w:t>
      </w:r>
      <w:r w:rsidR="001D2191" w:rsidRPr="00587017">
        <w:rPr>
          <w:rFonts w:ascii="Times New Roman" w:hAnsi="Times New Roman"/>
        </w:rPr>
        <w:t>all of the revenue volatility-related risk</w:t>
      </w:r>
      <w:r w:rsidR="00A63EB6" w:rsidRPr="00587017">
        <w:rPr>
          <w:rFonts w:ascii="Times New Roman" w:hAnsi="Times New Roman"/>
        </w:rPr>
        <w:t xml:space="preserve">s, for several reasons. </w:t>
      </w:r>
      <w:r w:rsidR="00654EC4" w:rsidRPr="00587017">
        <w:rPr>
          <w:rFonts w:ascii="Times New Roman" w:hAnsi="Times New Roman"/>
        </w:rPr>
        <w:t xml:space="preserve">First, linear regressions are relatively simple approximations of reality and to the extent that changes in the Company’s revenues have occurred in a more complex, non-linear fashion, they may not be fully captured in such an analysis.  Moreover, because the economic growth data used in this analysis is only available annually, the analysis is based on a relatively small data set.  </w:t>
      </w:r>
    </w:p>
    <w:p w:rsidR="00654EC4" w:rsidRPr="00587017" w:rsidRDefault="006A60EF" w:rsidP="00160048">
      <w:pPr>
        <w:spacing w:line="480" w:lineRule="auto"/>
        <w:rPr>
          <w:rFonts w:ascii="Times New Roman" w:hAnsi="Times New Roman"/>
        </w:rPr>
      </w:pPr>
      <w:r>
        <w:rPr>
          <w:rFonts w:ascii="Times New Roman" w:hAnsi="Times New Roman"/>
        </w:rPr>
        <w:tab/>
      </w:r>
      <w:r w:rsidR="00654EC4" w:rsidRPr="00587017">
        <w:rPr>
          <w:rFonts w:ascii="Times New Roman" w:hAnsi="Times New Roman"/>
        </w:rPr>
        <w:t xml:space="preserve">Second, this analysis of revenue volatility captures the total investment risk differences that may arise due to the implementation of a decoupling mechanism.  However, according to theory, investors are primarily concerned with the non-diversifiable risk of an investment, not the total risk.  Therefore, in theory, it is unlikely </w:t>
      </w:r>
      <w:r w:rsidR="00654EC4" w:rsidRPr="00587017">
        <w:rPr>
          <w:rFonts w:ascii="Times New Roman" w:hAnsi="Times New Roman"/>
        </w:rPr>
        <w:lastRenderedPageBreak/>
        <w:t xml:space="preserve">that investors will respond to the differences in total risk captured in this analysis because some portion of that risk </w:t>
      </w:r>
      <w:r>
        <w:rPr>
          <w:rFonts w:ascii="Times New Roman" w:hAnsi="Times New Roman"/>
        </w:rPr>
        <w:t>could</w:t>
      </w:r>
      <w:r w:rsidR="00654EC4" w:rsidRPr="00587017">
        <w:rPr>
          <w:rFonts w:ascii="Times New Roman" w:hAnsi="Times New Roman"/>
        </w:rPr>
        <w:t xml:space="preserve"> be diversified away.</w:t>
      </w:r>
    </w:p>
    <w:p w:rsidR="00654EC4" w:rsidRPr="00587017" w:rsidRDefault="00A47DDF" w:rsidP="00160048">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 xml:space="preserve">The amount of diversifiable risk as a percentage of total risk for one company is not readily determinable, but because the majority of the volatility in </w:t>
      </w:r>
      <w:r w:rsidR="008C392B" w:rsidRPr="00587017">
        <w:rPr>
          <w:rFonts w:ascii="Times New Roman" w:hAnsi="Times New Roman"/>
        </w:rPr>
        <w:t xml:space="preserve">the </w:t>
      </w:r>
      <w:r w:rsidR="00EB0B09">
        <w:rPr>
          <w:rFonts w:ascii="Times New Roman" w:hAnsi="Times New Roman"/>
        </w:rPr>
        <w:t>Company’s</w:t>
      </w:r>
      <w:r w:rsidR="008C392B" w:rsidRPr="00587017">
        <w:rPr>
          <w:rFonts w:ascii="Times New Roman" w:hAnsi="Times New Roman"/>
        </w:rPr>
        <w:t xml:space="preserve"> net</w:t>
      </w:r>
      <w:r w:rsidR="00654EC4" w:rsidRPr="00587017">
        <w:rPr>
          <w:rFonts w:ascii="Times New Roman" w:hAnsi="Times New Roman"/>
        </w:rPr>
        <w:t xml:space="preserve"> revenues </w:t>
      </w:r>
      <w:r w:rsidR="00490C56">
        <w:rPr>
          <w:rFonts w:ascii="Times New Roman" w:hAnsi="Times New Roman"/>
        </w:rPr>
        <w:t>is</w:t>
      </w:r>
      <w:r w:rsidR="00654EC4" w:rsidRPr="00587017">
        <w:rPr>
          <w:rFonts w:ascii="Times New Roman" w:hAnsi="Times New Roman"/>
        </w:rPr>
        <w:t xml:space="preserve"> economy-related and because it is reasonable to assume that economic growth deviates from the norm in a random fashion, </w:t>
      </w:r>
      <w:r w:rsidR="002446D1" w:rsidRPr="00587017">
        <w:rPr>
          <w:rFonts w:ascii="Times New Roman" w:hAnsi="Times New Roman"/>
        </w:rPr>
        <w:t>we can conclude that</w:t>
      </w:r>
      <w:r w:rsidR="00654EC4" w:rsidRPr="00587017">
        <w:rPr>
          <w:rFonts w:ascii="Times New Roman" w:hAnsi="Times New Roman"/>
        </w:rPr>
        <w:t xml:space="preserve"> substantial amounts of the </w:t>
      </w:r>
      <w:r w:rsidR="00490C56">
        <w:rPr>
          <w:rFonts w:ascii="Times New Roman" w:hAnsi="Times New Roman"/>
        </w:rPr>
        <w:t>Washington</w:t>
      </w:r>
      <w:r w:rsidR="00654EC4" w:rsidRPr="00587017">
        <w:rPr>
          <w:rFonts w:ascii="Times New Roman" w:hAnsi="Times New Roman"/>
        </w:rPr>
        <w:t>-specific economic-related risk evidenced here could not be diversified away</w:t>
      </w:r>
      <w:r w:rsidR="002446D1" w:rsidRPr="00587017">
        <w:rPr>
          <w:rFonts w:ascii="Times New Roman" w:hAnsi="Times New Roman"/>
        </w:rPr>
        <w:t xml:space="preserve"> and that risk would matter to investors</w:t>
      </w:r>
      <w:r w:rsidR="00654EC4" w:rsidRPr="00587017">
        <w:rPr>
          <w:rFonts w:ascii="Times New Roman" w:hAnsi="Times New Roman"/>
        </w:rPr>
        <w:t xml:space="preserve">.  Moreover, the economic environment in </w:t>
      </w:r>
      <w:r w:rsidR="00490C56">
        <w:rPr>
          <w:rFonts w:ascii="Times New Roman" w:hAnsi="Times New Roman"/>
        </w:rPr>
        <w:t>Washington</w:t>
      </w:r>
      <w:r w:rsidR="00654EC4" w:rsidRPr="00587017">
        <w:rPr>
          <w:rFonts w:ascii="Times New Roman" w:hAnsi="Times New Roman"/>
        </w:rPr>
        <w:t xml:space="preserve"> is tied, in a general sense, to that of the U.S. as a whole, and system-wide economic risk (systematic risk), by definition, cannot be diversified away.  One could also make the case that whatever diversification can be made vis-à-vis an investment in </w:t>
      </w:r>
      <w:r w:rsidR="00490C56">
        <w:rPr>
          <w:rFonts w:ascii="Times New Roman" w:hAnsi="Times New Roman"/>
        </w:rPr>
        <w:t>Avista</w:t>
      </w:r>
      <w:r w:rsidR="00654EC4" w:rsidRPr="00587017">
        <w:rPr>
          <w:rFonts w:ascii="Times New Roman" w:hAnsi="Times New Roman"/>
        </w:rPr>
        <w:t xml:space="preserve"> (especially economy-related aspects) has already been made, and new opportunities for significant additional diversification will not arise as a result of the institution of a decoupling mechanism.  </w:t>
      </w:r>
    </w:p>
    <w:p w:rsidR="00A02FE8" w:rsidRPr="00587017" w:rsidRDefault="004A3343" w:rsidP="00160048">
      <w:pPr>
        <w:spacing w:line="480" w:lineRule="auto"/>
        <w:rPr>
          <w:rFonts w:ascii="Times New Roman" w:hAnsi="Times New Roman"/>
        </w:rPr>
      </w:pPr>
      <w:r w:rsidRPr="00587017">
        <w:rPr>
          <w:rFonts w:ascii="Times New Roman" w:hAnsi="Times New Roman"/>
        </w:rPr>
        <w:tab/>
      </w:r>
      <w:r w:rsidR="00490C56">
        <w:rPr>
          <w:rFonts w:ascii="Times New Roman" w:hAnsi="Times New Roman"/>
        </w:rPr>
        <w:t>Third</w:t>
      </w:r>
      <w:r w:rsidRPr="00587017">
        <w:rPr>
          <w:rFonts w:ascii="Times New Roman" w:hAnsi="Times New Roman"/>
        </w:rPr>
        <w:t xml:space="preserve">, </w:t>
      </w:r>
      <w:r w:rsidR="000C5F4E" w:rsidRPr="00587017">
        <w:rPr>
          <w:rFonts w:ascii="Times New Roman" w:hAnsi="Times New Roman"/>
        </w:rPr>
        <w:t>revenue-decoupling</w:t>
      </w:r>
      <w:r w:rsidRPr="00587017">
        <w:rPr>
          <w:rFonts w:ascii="Times New Roman" w:hAnsi="Times New Roman"/>
        </w:rPr>
        <w:t xml:space="preserve"> </w:t>
      </w:r>
      <w:r w:rsidR="00FD56D2" w:rsidRPr="00587017">
        <w:rPr>
          <w:rFonts w:ascii="Times New Roman" w:hAnsi="Times New Roman"/>
        </w:rPr>
        <w:t xml:space="preserve">regimes </w:t>
      </w:r>
      <w:r w:rsidR="00DA5763" w:rsidRPr="00587017">
        <w:rPr>
          <w:rFonts w:ascii="Times New Roman" w:hAnsi="Times New Roman"/>
        </w:rPr>
        <w:t xml:space="preserve">do </w:t>
      </w:r>
      <w:r w:rsidR="00FD56D2" w:rsidRPr="00587017">
        <w:rPr>
          <w:rFonts w:ascii="Times New Roman" w:hAnsi="Times New Roman"/>
        </w:rPr>
        <w:t xml:space="preserve">exist in a few other regulatory jurisdictions in the US in addition to </w:t>
      </w:r>
      <w:r w:rsidR="004E3DC0">
        <w:rPr>
          <w:rFonts w:ascii="Times New Roman" w:hAnsi="Times New Roman"/>
        </w:rPr>
        <w:t>Washington</w:t>
      </w:r>
      <w:r w:rsidR="00FD56D2" w:rsidRPr="00587017">
        <w:rPr>
          <w:rFonts w:ascii="Times New Roman" w:hAnsi="Times New Roman"/>
        </w:rPr>
        <w:t xml:space="preserve">. </w:t>
      </w:r>
      <w:r w:rsidR="00BE2211" w:rsidRPr="00587017">
        <w:rPr>
          <w:rFonts w:ascii="Times New Roman" w:hAnsi="Times New Roman"/>
        </w:rPr>
        <w:t xml:space="preserve">Edison Electric Institute reports in </w:t>
      </w:r>
      <w:r w:rsidR="005C1778" w:rsidRPr="00587017">
        <w:rPr>
          <w:rFonts w:ascii="Times New Roman" w:hAnsi="Times New Roman"/>
        </w:rPr>
        <w:t>a 2013 publication that 12 states employ revenue decoupling.</w:t>
      </w:r>
      <w:r w:rsidR="00E015EC" w:rsidRPr="00587017">
        <w:rPr>
          <w:rStyle w:val="FootnoteReference"/>
          <w:rFonts w:ascii="Times New Roman" w:hAnsi="Times New Roman"/>
        </w:rPr>
        <w:footnoteReference w:id="3"/>
      </w:r>
      <w:r w:rsidR="005C1778" w:rsidRPr="00587017">
        <w:rPr>
          <w:rFonts w:ascii="Times New Roman" w:hAnsi="Times New Roman"/>
        </w:rPr>
        <w:t xml:space="preserve"> </w:t>
      </w:r>
      <w:r w:rsidR="00FD56D2" w:rsidRPr="00587017">
        <w:rPr>
          <w:rFonts w:ascii="Times New Roman" w:hAnsi="Times New Roman"/>
        </w:rPr>
        <w:t xml:space="preserve">Therefore, some of the lower risk </w:t>
      </w:r>
      <w:r w:rsidR="00A02FE8" w:rsidRPr="00587017">
        <w:rPr>
          <w:rFonts w:ascii="Times New Roman" w:hAnsi="Times New Roman"/>
        </w:rPr>
        <w:t>imparted by decoupling will be captured in the stock prices of those utilities that enjoy tha</w:t>
      </w:r>
      <w:r w:rsidR="00DF3E8E" w:rsidRPr="00587017">
        <w:rPr>
          <w:rFonts w:ascii="Times New Roman" w:hAnsi="Times New Roman"/>
        </w:rPr>
        <w:t xml:space="preserve">t regulatory scheme. </w:t>
      </w:r>
      <w:r w:rsidR="004E3DC0">
        <w:rPr>
          <w:rFonts w:ascii="Times New Roman" w:hAnsi="Times New Roman"/>
        </w:rPr>
        <w:t>I</w:t>
      </w:r>
      <w:r w:rsidR="00CA537E" w:rsidRPr="00587017">
        <w:rPr>
          <w:rFonts w:ascii="Times New Roman" w:hAnsi="Times New Roman"/>
        </w:rPr>
        <w:t xml:space="preserve">n the cost of capital analysis presented in </w:t>
      </w:r>
      <w:r w:rsidR="004E3DC0">
        <w:rPr>
          <w:rFonts w:ascii="Times New Roman" w:hAnsi="Times New Roman"/>
        </w:rPr>
        <w:t>this testimony</w:t>
      </w:r>
      <w:r w:rsidR="00CA537E" w:rsidRPr="00587017">
        <w:rPr>
          <w:rFonts w:ascii="Times New Roman" w:hAnsi="Times New Roman"/>
        </w:rPr>
        <w:t xml:space="preserve">, </w:t>
      </w:r>
      <w:r w:rsidR="00866C63">
        <w:rPr>
          <w:rFonts w:ascii="Times New Roman" w:hAnsi="Times New Roman"/>
        </w:rPr>
        <w:t>22</w:t>
      </w:r>
      <w:r w:rsidR="008274F7" w:rsidRPr="00587017">
        <w:rPr>
          <w:rFonts w:ascii="Times New Roman" w:hAnsi="Times New Roman"/>
        </w:rPr>
        <w:t>% of the ju</w:t>
      </w:r>
      <w:r w:rsidR="00866C63">
        <w:rPr>
          <w:rFonts w:ascii="Times New Roman" w:hAnsi="Times New Roman"/>
        </w:rPr>
        <w:t>risdictions in</w:t>
      </w:r>
      <w:r w:rsidR="008274F7" w:rsidRPr="00587017">
        <w:rPr>
          <w:rFonts w:ascii="Times New Roman" w:hAnsi="Times New Roman"/>
        </w:rPr>
        <w:t xml:space="preserve"> </w:t>
      </w:r>
      <w:r w:rsidR="00CA537E" w:rsidRPr="00587017">
        <w:rPr>
          <w:rFonts w:ascii="Times New Roman" w:hAnsi="Times New Roman"/>
        </w:rPr>
        <w:t xml:space="preserve">the sample group of </w:t>
      </w:r>
      <w:r w:rsidR="0014368D" w:rsidRPr="00587017">
        <w:rPr>
          <w:rFonts w:ascii="Times New Roman" w:hAnsi="Times New Roman"/>
        </w:rPr>
        <w:t xml:space="preserve">electric </w:t>
      </w:r>
      <w:r w:rsidR="00CA537E" w:rsidRPr="00587017">
        <w:rPr>
          <w:rFonts w:ascii="Times New Roman" w:hAnsi="Times New Roman"/>
        </w:rPr>
        <w:t xml:space="preserve">companies </w:t>
      </w:r>
      <w:r w:rsidR="0014368D" w:rsidRPr="00587017">
        <w:rPr>
          <w:rFonts w:ascii="Times New Roman" w:hAnsi="Times New Roman"/>
        </w:rPr>
        <w:t xml:space="preserve">have </w:t>
      </w:r>
      <w:r w:rsidR="005F2766" w:rsidRPr="00587017">
        <w:rPr>
          <w:rFonts w:ascii="Times New Roman" w:hAnsi="Times New Roman"/>
        </w:rPr>
        <w:t xml:space="preserve">revenue </w:t>
      </w:r>
      <w:r w:rsidR="0014368D" w:rsidRPr="00587017">
        <w:rPr>
          <w:rFonts w:ascii="Times New Roman" w:hAnsi="Times New Roman"/>
        </w:rPr>
        <w:t xml:space="preserve">decoupling. </w:t>
      </w:r>
      <w:r w:rsidR="00DF3E8E" w:rsidRPr="00587017">
        <w:rPr>
          <w:rFonts w:ascii="Times New Roman" w:hAnsi="Times New Roman"/>
        </w:rPr>
        <w:t xml:space="preserve">To the extent that the companies used to estimate the cost of common equity have a </w:t>
      </w:r>
      <w:r w:rsidR="00DF3E8E" w:rsidRPr="00587017">
        <w:rPr>
          <w:rFonts w:ascii="Times New Roman" w:hAnsi="Times New Roman"/>
        </w:rPr>
        <w:lastRenderedPageBreak/>
        <w:t>decoupling regulatory regime,</w:t>
      </w:r>
      <w:r w:rsidR="008274F7" w:rsidRPr="00587017">
        <w:rPr>
          <w:rFonts w:ascii="Times New Roman" w:hAnsi="Times New Roman"/>
        </w:rPr>
        <w:t xml:space="preserve"> then,</w:t>
      </w:r>
      <w:r w:rsidR="00DF3E8E" w:rsidRPr="00587017">
        <w:rPr>
          <w:rFonts w:ascii="Times New Roman" w:hAnsi="Times New Roman"/>
        </w:rPr>
        <w:t xml:space="preserve"> that risk would be included in the market-based cost of equity and </w:t>
      </w:r>
      <w:r w:rsidR="00A92484" w:rsidRPr="00587017">
        <w:rPr>
          <w:rFonts w:ascii="Times New Roman" w:hAnsi="Times New Roman"/>
        </w:rPr>
        <w:t xml:space="preserve">a full decrement for decoupling </w:t>
      </w:r>
      <w:r w:rsidR="00FC5FC9" w:rsidRPr="00587017">
        <w:rPr>
          <w:rFonts w:ascii="Times New Roman" w:hAnsi="Times New Roman"/>
        </w:rPr>
        <w:t xml:space="preserve">depicted by these statistical analyses </w:t>
      </w:r>
      <w:r w:rsidR="00A92484" w:rsidRPr="00587017">
        <w:rPr>
          <w:rFonts w:ascii="Times New Roman" w:hAnsi="Times New Roman"/>
        </w:rPr>
        <w:t>would</w:t>
      </w:r>
      <w:r w:rsidR="00FC5FC9" w:rsidRPr="00587017">
        <w:rPr>
          <w:rFonts w:ascii="Times New Roman" w:hAnsi="Times New Roman"/>
        </w:rPr>
        <w:t>, therefore,</w:t>
      </w:r>
      <w:r w:rsidR="00A92484" w:rsidRPr="00587017">
        <w:rPr>
          <w:rFonts w:ascii="Times New Roman" w:hAnsi="Times New Roman"/>
        </w:rPr>
        <w:t xml:space="preserve"> not be necessary.</w:t>
      </w:r>
    </w:p>
    <w:p w:rsidR="00C812C0" w:rsidRDefault="00A02FE8" w:rsidP="0017332C">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 xml:space="preserve">In sum, while the robust statistical results of the volatility analyses presented herein </w:t>
      </w:r>
      <w:r w:rsidR="000C65DF" w:rsidRPr="00587017">
        <w:rPr>
          <w:rFonts w:ascii="Times New Roman" w:hAnsi="Times New Roman"/>
        </w:rPr>
        <w:t>lend credence to their reliability, it is important to note that we are estimating the impact of revenue decoupling on volatility and risk, and that investors may not include all of that risk reduc</w:t>
      </w:r>
      <w:r w:rsidR="004D7A13">
        <w:rPr>
          <w:rFonts w:ascii="Times New Roman" w:hAnsi="Times New Roman"/>
        </w:rPr>
        <w:t>tio</w:t>
      </w:r>
      <w:r w:rsidR="00654EC4" w:rsidRPr="00587017">
        <w:rPr>
          <w:rFonts w:ascii="Times New Roman" w:hAnsi="Times New Roman"/>
        </w:rPr>
        <w:t>n</w:t>
      </w:r>
      <w:r w:rsidR="004D7A13">
        <w:rPr>
          <w:rFonts w:ascii="Times New Roman" w:hAnsi="Times New Roman"/>
        </w:rPr>
        <w:t xml:space="preserve"> in</w:t>
      </w:r>
      <w:r w:rsidR="00654EC4" w:rsidRPr="00587017">
        <w:rPr>
          <w:rFonts w:ascii="Times New Roman" w:hAnsi="Times New Roman"/>
        </w:rPr>
        <w:t xml:space="preserve"> the price they are willing to provide for </w:t>
      </w:r>
      <w:r w:rsidR="00672F49">
        <w:rPr>
          <w:rFonts w:ascii="Times New Roman" w:hAnsi="Times New Roman"/>
        </w:rPr>
        <w:t>Avista</w:t>
      </w:r>
      <w:r w:rsidR="00654EC4" w:rsidRPr="00587017">
        <w:rPr>
          <w:rFonts w:ascii="Times New Roman" w:hAnsi="Times New Roman"/>
        </w:rPr>
        <w:t xml:space="preserve">.  Also, </w:t>
      </w:r>
      <w:r w:rsidR="004D7A13">
        <w:rPr>
          <w:rFonts w:ascii="Times New Roman" w:hAnsi="Times New Roman"/>
        </w:rPr>
        <w:t>a relatively small</w:t>
      </w:r>
      <w:r w:rsidR="00654EC4" w:rsidRPr="00587017">
        <w:rPr>
          <w:rFonts w:ascii="Times New Roman" w:hAnsi="Times New Roman"/>
        </w:rPr>
        <w:t xml:space="preserve"> portion of the operations of the utilities </w:t>
      </w:r>
      <w:r w:rsidR="00672F49">
        <w:rPr>
          <w:rFonts w:ascii="Times New Roman" w:hAnsi="Times New Roman"/>
        </w:rPr>
        <w:t>I</w:t>
      </w:r>
      <w:r w:rsidR="00654EC4" w:rsidRPr="00587017">
        <w:rPr>
          <w:rFonts w:ascii="Times New Roman" w:hAnsi="Times New Roman"/>
        </w:rPr>
        <w:t xml:space="preserve"> use in estimating the cost of equity are in regulatory jurisdictions that employ </w:t>
      </w:r>
      <w:r w:rsidR="00BB1F5E" w:rsidRPr="00587017">
        <w:rPr>
          <w:rFonts w:ascii="Times New Roman" w:hAnsi="Times New Roman"/>
        </w:rPr>
        <w:t xml:space="preserve">revenue </w:t>
      </w:r>
      <w:r w:rsidR="00654EC4" w:rsidRPr="00587017">
        <w:rPr>
          <w:rFonts w:ascii="Times New Roman" w:hAnsi="Times New Roman"/>
        </w:rPr>
        <w:t>decoupling.</w:t>
      </w:r>
      <w:r w:rsidR="00C812C0">
        <w:rPr>
          <w:rFonts w:ascii="Times New Roman" w:hAnsi="Times New Roman"/>
        </w:rPr>
        <w:t xml:space="preserve"> </w:t>
      </w:r>
      <w:r w:rsidR="00654EC4" w:rsidRPr="00474098">
        <w:rPr>
          <w:rFonts w:ascii="Times New Roman" w:hAnsi="Times New Roman"/>
        </w:rPr>
        <w:t xml:space="preserve">Therefore, in estimating the average dollar/cost of equity impact of </w:t>
      </w:r>
      <w:r w:rsidR="005F2766" w:rsidRPr="00474098">
        <w:rPr>
          <w:rFonts w:ascii="Times New Roman" w:hAnsi="Times New Roman"/>
        </w:rPr>
        <w:t xml:space="preserve">revenue </w:t>
      </w:r>
      <w:r w:rsidR="00654EC4" w:rsidRPr="00474098">
        <w:rPr>
          <w:rFonts w:ascii="Times New Roman" w:hAnsi="Times New Roman"/>
        </w:rPr>
        <w:t xml:space="preserve">decoupling on </w:t>
      </w:r>
      <w:r w:rsidR="00474098">
        <w:rPr>
          <w:rFonts w:ascii="Times New Roman" w:hAnsi="Times New Roman"/>
        </w:rPr>
        <w:t>Avista’s Washington operations</w:t>
      </w:r>
      <w:r w:rsidR="00654EC4" w:rsidRPr="00474098">
        <w:rPr>
          <w:rFonts w:ascii="Times New Roman" w:hAnsi="Times New Roman"/>
        </w:rPr>
        <w:t xml:space="preserve">, </w:t>
      </w:r>
      <w:r w:rsidR="00474098">
        <w:rPr>
          <w:rFonts w:ascii="Times New Roman" w:hAnsi="Times New Roman"/>
        </w:rPr>
        <w:t>I</w:t>
      </w:r>
      <w:r w:rsidR="00654EC4" w:rsidRPr="00474098">
        <w:rPr>
          <w:rFonts w:ascii="Times New Roman" w:hAnsi="Times New Roman"/>
        </w:rPr>
        <w:t xml:space="preserve"> utilize a conservative factor for the impact</w:t>
      </w:r>
      <w:r w:rsidR="00C812C0">
        <w:rPr>
          <w:rFonts w:ascii="Times New Roman" w:hAnsi="Times New Roman"/>
        </w:rPr>
        <w:t xml:space="preserve"> on revenue volatility</w:t>
      </w:r>
      <w:r w:rsidR="00654EC4" w:rsidRPr="00474098">
        <w:rPr>
          <w:rFonts w:ascii="Times New Roman" w:hAnsi="Times New Roman"/>
        </w:rPr>
        <w:t xml:space="preserve"> of the operating variables</w:t>
      </w:r>
      <w:r w:rsidR="00737384" w:rsidRPr="00474098">
        <w:rPr>
          <w:rFonts w:ascii="Times New Roman" w:hAnsi="Times New Roman"/>
        </w:rPr>
        <w:t xml:space="preserve"> studied</w:t>
      </w:r>
      <w:r w:rsidR="00474098">
        <w:rPr>
          <w:rFonts w:ascii="Times New Roman" w:hAnsi="Times New Roman"/>
        </w:rPr>
        <w:t>.</w:t>
      </w:r>
      <w:r w:rsidR="0017332C">
        <w:rPr>
          <w:rFonts w:ascii="Times New Roman" w:hAnsi="Times New Roman"/>
        </w:rPr>
        <w:t xml:space="preserve"> </w:t>
      </w:r>
    </w:p>
    <w:p w:rsidR="00BB1109" w:rsidRDefault="00D40E00" w:rsidP="00BB1109">
      <w:pPr>
        <w:spacing w:line="480" w:lineRule="auto"/>
        <w:rPr>
          <w:rFonts w:ascii="Times New Roman" w:hAnsi="Times New Roman"/>
        </w:rPr>
      </w:pPr>
      <w:r w:rsidRPr="00587017">
        <w:rPr>
          <w:rFonts w:ascii="Times New Roman" w:hAnsi="Times New Roman"/>
        </w:rPr>
        <w:tab/>
      </w:r>
      <w:r w:rsidR="007F2F58">
        <w:rPr>
          <w:rFonts w:ascii="Times New Roman" w:hAnsi="Times New Roman"/>
        </w:rPr>
        <w:t>A different r</w:t>
      </w:r>
      <w:r w:rsidR="00654EC4" w:rsidRPr="00587017">
        <w:rPr>
          <w:rFonts w:ascii="Times New Roman" w:hAnsi="Times New Roman"/>
        </w:rPr>
        <w:t xml:space="preserve">egression analysis plays a part in quantifying the </w:t>
      </w:r>
      <w:r w:rsidR="00582DD2" w:rsidRPr="00587017">
        <w:rPr>
          <w:rFonts w:ascii="Times New Roman" w:hAnsi="Times New Roman"/>
        </w:rPr>
        <w:t>revenue</w:t>
      </w:r>
      <w:r w:rsidR="00654EC4" w:rsidRPr="00587017">
        <w:rPr>
          <w:rFonts w:ascii="Times New Roman" w:hAnsi="Times New Roman"/>
        </w:rPr>
        <w:t xml:space="preserve"> stream volatility that </w:t>
      </w:r>
      <w:r w:rsidR="007F2F58">
        <w:rPr>
          <w:rFonts w:ascii="Times New Roman" w:hAnsi="Times New Roman"/>
        </w:rPr>
        <w:t>has existed historically</w:t>
      </w:r>
      <w:r w:rsidR="00654EC4" w:rsidRPr="00587017">
        <w:rPr>
          <w:rFonts w:ascii="Times New Roman" w:hAnsi="Times New Roman"/>
        </w:rPr>
        <w:t xml:space="preserve"> with </w:t>
      </w:r>
      <w:r w:rsidR="0032735E">
        <w:rPr>
          <w:rFonts w:ascii="Times New Roman" w:hAnsi="Times New Roman"/>
        </w:rPr>
        <w:t>Avista’s</w:t>
      </w:r>
      <w:r w:rsidR="00532D44">
        <w:rPr>
          <w:rFonts w:ascii="Times New Roman" w:hAnsi="Times New Roman"/>
        </w:rPr>
        <w:t xml:space="preserve"> utility operation</w:t>
      </w:r>
      <w:r w:rsidR="0032735E">
        <w:rPr>
          <w:rFonts w:ascii="Times New Roman" w:hAnsi="Times New Roman"/>
        </w:rPr>
        <w:t>s in Washington</w:t>
      </w:r>
      <w:r w:rsidR="00532D44">
        <w:rPr>
          <w:rFonts w:ascii="Times New Roman" w:hAnsi="Times New Roman"/>
        </w:rPr>
        <w:t>.  Chart B</w:t>
      </w:r>
      <w:r w:rsidR="00654EC4" w:rsidRPr="00587017">
        <w:rPr>
          <w:rFonts w:ascii="Times New Roman" w:hAnsi="Times New Roman"/>
        </w:rPr>
        <w:t xml:space="preserve">, below, shows the revenue stream of a hypothetical utility operation over time. </w:t>
      </w:r>
      <w:r w:rsidR="00532D44">
        <w:rPr>
          <w:rFonts w:ascii="Times New Roman" w:hAnsi="Times New Roman"/>
        </w:rPr>
        <w:t xml:space="preserve"> Also show</w:t>
      </w:r>
      <w:r w:rsidR="00AC2775">
        <w:rPr>
          <w:rFonts w:ascii="Times New Roman" w:hAnsi="Times New Roman"/>
        </w:rPr>
        <w:t>n</w:t>
      </w:r>
      <w:r w:rsidR="00532D44">
        <w:rPr>
          <w:rFonts w:ascii="Times New Roman" w:hAnsi="Times New Roman"/>
        </w:rPr>
        <w:t xml:space="preserve"> in Chart B</w:t>
      </w:r>
      <w:r w:rsidR="00654EC4" w:rsidRPr="00587017">
        <w:rPr>
          <w:rFonts w:ascii="Times New Roman" w:hAnsi="Times New Roman"/>
        </w:rPr>
        <w:t xml:space="preserve"> is the least-squares linear regression line, which represents the trend in revenues over that time period.  In addition, the variance and standard deviation of the revenues around the trend line can be calculated.  That process gives a quantitative measure of the volatility of the utility’s revenues around the revenue trend or regression line.  A similar graph of </w:t>
      </w:r>
      <w:r w:rsidR="00AC2775">
        <w:rPr>
          <w:rFonts w:ascii="Times New Roman" w:hAnsi="Times New Roman"/>
        </w:rPr>
        <w:t>Avista’s Washington electric and gas</w:t>
      </w:r>
      <w:r w:rsidR="00654EC4" w:rsidRPr="00587017">
        <w:rPr>
          <w:rFonts w:ascii="Times New Roman" w:hAnsi="Times New Roman"/>
        </w:rPr>
        <w:t xml:space="preserve"> net revenues over the </w:t>
      </w:r>
      <w:r w:rsidR="00AC2775">
        <w:rPr>
          <w:rFonts w:ascii="Times New Roman" w:hAnsi="Times New Roman"/>
        </w:rPr>
        <w:t>200</w:t>
      </w:r>
      <w:r w:rsidR="00BB1109">
        <w:rPr>
          <w:rFonts w:ascii="Times New Roman" w:hAnsi="Times New Roman"/>
        </w:rPr>
        <w:t>0</w:t>
      </w:r>
      <w:r w:rsidR="000F78B3" w:rsidRPr="00587017">
        <w:rPr>
          <w:rFonts w:ascii="Times New Roman" w:hAnsi="Times New Roman"/>
        </w:rPr>
        <w:t>—2012</w:t>
      </w:r>
      <w:r w:rsidR="00654EC4" w:rsidRPr="00587017">
        <w:rPr>
          <w:rFonts w:ascii="Times New Roman" w:hAnsi="Times New Roman"/>
        </w:rPr>
        <w:t xml:space="preserve"> period is shown in </w:t>
      </w:r>
      <w:r w:rsidR="00707725">
        <w:rPr>
          <w:rFonts w:ascii="Times New Roman" w:hAnsi="Times New Roman"/>
        </w:rPr>
        <w:t>Exhibit__(SGH-</w:t>
      </w:r>
      <w:r w:rsidR="008919F9">
        <w:rPr>
          <w:rFonts w:ascii="Times New Roman" w:hAnsi="Times New Roman"/>
        </w:rPr>
        <w:t>13</w:t>
      </w:r>
      <w:r w:rsidR="00707725">
        <w:rPr>
          <w:rFonts w:ascii="Times New Roman" w:hAnsi="Times New Roman"/>
        </w:rPr>
        <w:t>) and (SGH-</w:t>
      </w:r>
      <w:r w:rsidR="008919F9">
        <w:rPr>
          <w:rFonts w:ascii="Times New Roman" w:hAnsi="Times New Roman"/>
        </w:rPr>
        <w:t>14</w:t>
      </w:r>
      <w:r w:rsidR="00707725">
        <w:rPr>
          <w:rFonts w:ascii="Times New Roman" w:hAnsi="Times New Roman"/>
        </w:rPr>
        <w:t>)</w:t>
      </w:r>
      <w:r w:rsidR="000F78B3" w:rsidRPr="00587017">
        <w:rPr>
          <w:rFonts w:ascii="Times New Roman" w:hAnsi="Times New Roman"/>
        </w:rPr>
        <w:t>, page 2</w:t>
      </w:r>
      <w:r w:rsidR="00BB1109">
        <w:rPr>
          <w:rFonts w:ascii="Times New Roman" w:hAnsi="Times New Roman"/>
        </w:rPr>
        <w:t>, respectively</w:t>
      </w:r>
      <w:r w:rsidR="00654EC4" w:rsidRPr="00587017">
        <w:rPr>
          <w:rFonts w:ascii="Times New Roman" w:hAnsi="Times New Roman"/>
        </w:rPr>
        <w:t>.</w:t>
      </w:r>
    </w:p>
    <w:p w:rsidR="00BB1109" w:rsidRDefault="00532D44" w:rsidP="00BB1109">
      <w:pPr>
        <w:spacing w:line="480" w:lineRule="auto"/>
        <w:jc w:val="center"/>
        <w:rPr>
          <w:rFonts w:ascii="Times New Roman" w:hAnsi="Times New Roman"/>
        </w:rPr>
      </w:pPr>
      <w:r>
        <w:rPr>
          <w:rFonts w:ascii="Times New Roman" w:hAnsi="Times New Roman"/>
        </w:rPr>
        <w:t>Chart B</w:t>
      </w:r>
    </w:p>
    <w:p w:rsidR="00654EC4" w:rsidRPr="00587017" w:rsidRDefault="00654EC4" w:rsidP="00BB1109">
      <w:pPr>
        <w:spacing w:line="480" w:lineRule="auto"/>
        <w:jc w:val="center"/>
        <w:rPr>
          <w:rFonts w:ascii="Times New Roman" w:hAnsi="Times New Roman"/>
        </w:rPr>
      </w:pPr>
      <w:r w:rsidRPr="00587017">
        <w:rPr>
          <w:rFonts w:ascii="Times New Roman" w:hAnsi="Times New Roman"/>
        </w:rPr>
        <w:lastRenderedPageBreak/>
        <w:t>Linear Regression of Historical Revenues</w:t>
      </w:r>
      <w:r w:rsidRPr="00587017">
        <w:rPr>
          <w:rFonts w:ascii="Times New Roman" w:hAnsi="Times New Roman"/>
          <w:noProof/>
        </w:rPr>
        <w:drawing>
          <wp:inline distT="0" distB="0" distL="0" distR="0" wp14:anchorId="15C17014" wp14:editId="38F567EA">
            <wp:extent cx="4483100" cy="327660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lum bright="-6000" contrast="-14000"/>
                    </a:blip>
                    <a:srcRect/>
                    <a:stretch>
                      <a:fillRect/>
                    </a:stretch>
                  </pic:blipFill>
                  <pic:spPr bwMode="auto">
                    <a:xfrm>
                      <a:off x="0" y="0"/>
                      <a:ext cx="4483100" cy="3276600"/>
                    </a:xfrm>
                    <a:prstGeom prst="rect">
                      <a:avLst/>
                    </a:prstGeom>
                    <a:noFill/>
                    <a:ln w="9525">
                      <a:noFill/>
                      <a:miter lim="800000"/>
                      <a:headEnd/>
                      <a:tailEnd/>
                    </a:ln>
                  </pic:spPr>
                </pic:pic>
              </a:graphicData>
            </a:graphic>
          </wp:inline>
        </w:drawing>
      </w:r>
    </w:p>
    <w:p w:rsidR="00203177" w:rsidRDefault="00203177" w:rsidP="00160048">
      <w:pPr>
        <w:spacing w:line="480" w:lineRule="auto"/>
        <w:rPr>
          <w:rFonts w:ascii="Times New Roman" w:hAnsi="Times New Roman"/>
        </w:rPr>
      </w:pPr>
      <w:r>
        <w:rPr>
          <w:rFonts w:ascii="Times New Roman" w:hAnsi="Times New Roman"/>
        </w:rPr>
        <w:tab/>
      </w:r>
      <w:r w:rsidR="00654EC4" w:rsidRPr="00587017">
        <w:rPr>
          <w:rFonts w:ascii="Times New Roman" w:hAnsi="Times New Roman"/>
        </w:rPr>
        <w:t xml:space="preserve">Once the standard deviation of revenues about the trend line is established, a zone of ±3 standard deviation units (s) above and below the revenue trend line can be established.  With utility </w:t>
      </w:r>
      <w:r w:rsidR="0056086A" w:rsidRPr="00587017">
        <w:rPr>
          <w:rFonts w:ascii="Times New Roman" w:hAnsi="Times New Roman"/>
        </w:rPr>
        <w:t xml:space="preserve">net </w:t>
      </w:r>
      <w:r w:rsidR="00654EC4" w:rsidRPr="00587017">
        <w:rPr>
          <w:rFonts w:ascii="Times New Roman" w:hAnsi="Times New Roman"/>
        </w:rPr>
        <w:t xml:space="preserve">revenues normally distributed about the revenue trend, a zone ± 3s above and below the revenue trend line establishes a range within which the </w:t>
      </w:r>
      <w:proofErr w:type="gramStart"/>
      <w:r w:rsidR="00654EC4" w:rsidRPr="00587017">
        <w:rPr>
          <w:rFonts w:ascii="Times New Roman" w:hAnsi="Times New Roman"/>
        </w:rPr>
        <w:t>utility’s</w:t>
      </w:r>
      <w:proofErr w:type="gramEnd"/>
      <w:r w:rsidR="00654EC4" w:rsidRPr="00587017">
        <w:rPr>
          <w:rFonts w:ascii="Times New Roman" w:hAnsi="Times New Roman"/>
        </w:rPr>
        <w:t xml:space="preserve"> </w:t>
      </w:r>
      <w:r w:rsidR="0056086A" w:rsidRPr="00587017">
        <w:rPr>
          <w:rFonts w:ascii="Times New Roman" w:hAnsi="Times New Roman"/>
        </w:rPr>
        <w:t xml:space="preserve">met </w:t>
      </w:r>
      <w:r w:rsidR="00654EC4" w:rsidRPr="00587017">
        <w:rPr>
          <w:rFonts w:ascii="Times New Roman" w:hAnsi="Times New Roman"/>
        </w:rPr>
        <w:t xml:space="preserve">revenues will fall 99.9% of the time.  For </w:t>
      </w:r>
      <w:r w:rsidR="0056086A" w:rsidRPr="00587017">
        <w:rPr>
          <w:rFonts w:ascii="Times New Roman" w:hAnsi="Times New Roman"/>
        </w:rPr>
        <w:t xml:space="preserve">the </w:t>
      </w:r>
      <w:r w:rsidR="00707725">
        <w:rPr>
          <w:rFonts w:ascii="Times New Roman" w:hAnsi="Times New Roman"/>
        </w:rPr>
        <w:t>Avista operations in Washington</w:t>
      </w:r>
      <w:r w:rsidR="00654EC4" w:rsidRPr="00587017">
        <w:rPr>
          <w:rFonts w:ascii="Times New Roman" w:hAnsi="Times New Roman"/>
        </w:rPr>
        <w:t>, the calculation of the trend line as well as the distribution about the trend line</w:t>
      </w:r>
      <w:r>
        <w:rPr>
          <w:rFonts w:ascii="Times New Roman" w:hAnsi="Times New Roman"/>
        </w:rPr>
        <w:t xml:space="preserve"> and the historical volatility</w:t>
      </w:r>
      <w:r w:rsidR="00654EC4" w:rsidRPr="00587017">
        <w:rPr>
          <w:rFonts w:ascii="Times New Roman" w:hAnsi="Times New Roman"/>
        </w:rPr>
        <w:t xml:space="preserve"> for net revenues is shown in </w:t>
      </w:r>
      <w:r w:rsidR="009C1BD2">
        <w:rPr>
          <w:rFonts w:ascii="Times New Roman" w:hAnsi="Times New Roman"/>
        </w:rPr>
        <w:t>Exhibits</w:t>
      </w:r>
      <w:r w:rsidR="00707725">
        <w:rPr>
          <w:rFonts w:ascii="Times New Roman" w:hAnsi="Times New Roman"/>
        </w:rPr>
        <w:t>_</w:t>
      </w:r>
      <w:proofErr w:type="gramStart"/>
      <w:r w:rsidR="00707725">
        <w:rPr>
          <w:rFonts w:ascii="Times New Roman" w:hAnsi="Times New Roman"/>
        </w:rPr>
        <w:t>_(</w:t>
      </w:r>
      <w:proofErr w:type="gramEnd"/>
      <w:r w:rsidR="00707725">
        <w:rPr>
          <w:rFonts w:ascii="Times New Roman" w:hAnsi="Times New Roman"/>
        </w:rPr>
        <w:t>SGH-</w:t>
      </w:r>
      <w:r w:rsidR="008919F9">
        <w:rPr>
          <w:rFonts w:ascii="Times New Roman" w:hAnsi="Times New Roman"/>
        </w:rPr>
        <w:t>13</w:t>
      </w:r>
      <w:r w:rsidR="00707725">
        <w:rPr>
          <w:rFonts w:ascii="Times New Roman" w:hAnsi="Times New Roman"/>
        </w:rPr>
        <w:t>) and (SGH-</w:t>
      </w:r>
      <w:r w:rsidR="008919F9">
        <w:rPr>
          <w:rFonts w:ascii="Times New Roman" w:hAnsi="Times New Roman"/>
        </w:rPr>
        <w:t>14</w:t>
      </w:r>
      <w:r w:rsidR="00707725">
        <w:rPr>
          <w:rFonts w:ascii="Times New Roman" w:hAnsi="Times New Roman"/>
        </w:rPr>
        <w:t>)</w:t>
      </w:r>
      <w:r w:rsidR="0056086A" w:rsidRPr="00587017">
        <w:rPr>
          <w:rFonts w:ascii="Times New Roman" w:hAnsi="Times New Roman"/>
        </w:rPr>
        <w:t>, page 3</w:t>
      </w:r>
      <w:r w:rsidR="00654EC4" w:rsidRPr="00587017">
        <w:rPr>
          <w:rFonts w:ascii="Times New Roman" w:hAnsi="Times New Roman"/>
        </w:rPr>
        <w:t>.</w:t>
      </w:r>
    </w:p>
    <w:p w:rsidR="00654EC4" w:rsidRPr="00587017" w:rsidRDefault="00203177" w:rsidP="00160048">
      <w:pPr>
        <w:spacing w:line="480" w:lineRule="auto"/>
        <w:rPr>
          <w:rFonts w:ascii="Times New Roman" w:hAnsi="Times New Roman"/>
        </w:rPr>
      </w:pPr>
      <w:r>
        <w:rPr>
          <w:rFonts w:ascii="Times New Roman" w:hAnsi="Times New Roman"/>
        </w:rPr>
        <w:tab/>
        <w:t>Page 3 of Exhibit_</w:t>
      </w:r>
      <w:proofErr w:type="gramStart"/>
      <w:r>
        <w:rPr>
          <w:rFonts w:ascii="Times New Roman" w:hAnsi="Times New Roman"/>
        </w:rPr>
        <w:t>_(</w:t>
      </w:r>
      <w:proofErr w:type="gramEnd"/>
      <w:r>
        <w:rPr>
          <w:rFonts w:ascii="Times New Roman" w:hAnsi="Times New Roman"/>
        </w:rPr>
        <w:t>SGH-</w:t>
      </w:r>
      <w:r w:rsidR="008919F9">
        <w:rPr>
          <w:rFonts w:ascii="Times New Roman" w:hAnsi="Times New Roman"/>
        </w:rPr>
        <w:t>13</w:t>
      </w:r>
      <w:r>
        <w:rPr>
          <w:rFonts w:ascii="Times New Roman" w:hAnsi="Times New Roman"/>
        </w:rPr>
        <w:t>) and</w:t>
      </w:r>
      <w:r w:rsidR="00912452">
        <w:rPr>
          <w:rFonts w:ascii="Times New Roman" w:hAnsi="Times New Roman"/>
        </w:rPr>
        <w:t xml:space="preserve"> (SGH-</w:t>
      </w:r>
      <w:r w:rsidR="008919F9">
        <w:rPr>
          <w:rFonts w:ascii="Times New Roman" w:hAnsi="Times New Roman"/>
        </w:rPr>
        <w:t>14</w:t>
      </w:r>
      <w:r w:rsidR="00912452">
        <w:rPr>
          <w:rFonts w:ascii="Times New Roman" w:hAnsi="Times New Roman"/>
        </w:rPr>
        <w:t>) show the net revenue volatility that has existed for Avista’s electric and gas utility operations</w:t>
      </w:r>
      <w:r w:rsidR="00836565">
        <w:rPr>
          <w:rFonts w:ascii="Times New Roman" w:hAnsi="Times New Roman"/>
        </w:rPr>
        <w:t>, respectively,</w:t>
      </w:r>
      <w:r w:rsidR="00912452">
        <w:rPr>
          <w:rFonts w:ascii="Times New Roman" w:hAnsi="Times New Roman"/>
        </w:rPr>
        <w:t xml:space="preserve"> in Washington over the 2000-2012 period. </w:t>
      </w:r>
      <w:r w:rsidR="00D97D4F">
        <w:rPr>
          <w:rFonts w:ascii="Times New Roman" w:hAnsi="Times New Roman"/>
        </w:rPr>
        <w:t>As noted above</w:t>
      </w:r>
      <w:r w:rsidR="00836565">
        <w:rPr>
          <w:rFonts w:ascii="Times New Roman" w:hAnsi="Times New Roman"/>
        </w:rPr>
        <w:t>,</w:t>
      </w:r>
      <w:r w:rsidR="00D97D4F">
        <w:rPr>
          <w:rFonts w:ascii="Times New Roman" w:hAnsi="Times New Roman"/>
        </w:rPr>
        <w:t xml:space="preserve"> in assessing the impact of decoupling on the </w:t>
      </w:r>
      <w:r w:rsidR="00D97D4F">
        <w:rPr>
          <w:rFonts w:ascii="Times New Roman" w:hAnsi="Times New Roman"/>
        </w:rPr>
        <w:lastRenderedPageBreak/>
        <w:t>Company’s cost of equity</w:t>
      </w:r>
      <w:r w:rsidR="008919F9">
        <w:rPr>
          <w:rFonts w:ascii="Times New Roman" w:hAnsi="Times New Roman"/>
        </w:rPr>
        <w:t>,</w:t>
      </w:r>
      <w:r w:rsidR="00D97D4F">
        <w:rPr>
          <w:rFonts w:ascii="Times New Roman" w:hAnsi="Times New Roman"/>
        </w:rPr>
        <w:t xml:space="preserve"> I assume that the reduction in historical volatility will not be complete. </w:t>
      </w:r>
      <w:r w:rsidR="009C24C7">
        <w:rPr>
          <w:rFonts w:ascii="Times New Roman" w:hAnsi="Times New Roman"/>
        </w:rPr>
        <w:t xml:space="preserve">As shown in </w:t>
      </w:r>
      <w:r w:rsidR="00247BE4">
        <w:rPr>
          <w:rFonts w:ascii="Times New Roman" w:hAnsi="Times New Roman"/>
        </w:rPr>
        <w:t xml:space="preserve">page 1 of </w:t>
      </w:r>
      <w:r w:rsidR="009C24C7">
        <w:rPr>
          <w:rFonts w:ascii="Times New Roman" w:hAnsi="Times New Roman"/>
        </w:rPr>
        <w:t>Exhibits</w:t>
      </w:r>
      <w:r w:rsidR="00247BE4">
        <w:rPr>
          <w:rFonts w:ascii="Times New Roman" w:hAnsi="Times New Roman"/>
        </w:rPr>
        <w:t>_</w:t>
      </w:r>
      <w:proofErr w:type="gramStart"/>
      <w:r w:rsidR="00247BE4">
        <w:rPr>
          <w:rFonts w:ascii="Times New Roman" w:hAnsi="Times New Roman"/>
        </w:rPr>
        <w:t>_(</w:t>
      </w:r>
      <w:proofErr w:type="gramEnd"/>
      <w:r w:rsidR="00247BE4">
        <w:rPr>
          <w:rFonts w:ascii="Times New Roman" w:hAnsi="Times New Roman"/>
        </w:rPr>
        <w:t>SGH-</w:t>
      </w:r>
      <w:r w:rsidR="008919F9">
        <w:rPr>
          <w:rFonts w:ascii="Times New Roman" w:hAnsi="Times New Roman"/>
        </w:rPr>
        <w:t>13</w:t>
      </w:r>
      <w:r w:rsidR="00247BE4">
        <w:rPr>
          <w:rFonts w:ascii="Times New Roman" w:hAnsi="Times New Roman"/>
        </w:rPr>
        <w:t>) and (SGH-</w:t>
      </w:r>
      <w:r w:rsidR="008919F9">
        <w:rPr>
          <w:rFonts w:ascii="Times New Roman" w:hAnsi="Times New Roman"/>
        </w:rPr>
        <w:t>14</w:t>
      </w:r>
      <w:r w:rsidR="00247BE4">
        <w:rPr>
          <w:rFonts w:ascii="Times New Roman" w:hAnsi="Times New Roman"/>
        </w:rPr>
        <w:t>)</w:t>
      </w:r>
      <w:r w:rsidR="009C24C7">
        <w:rPr>
          <w:rFonts w:ascii="Times New Roman" w:hAnsi="Times New Roman"/>
        </w:rPr>
        <w:t>, about 70% of the electric operations</w:t>
      </w:r>
      <w:r w:rsidR="00247BE4">
        <w:rPr>
          <w:rFonts w:ascii="Times New Roman" w:hAnsi="Times New Roman"/>
        </w:rPr>
        <w:t>’</w:t>
      </w:r>
      <w:r w:rsidR="009C24C7">
        <w:rPr>
          <w:rFonts w:ascii="Times New Roman" w:hAnsi="Times New Roman"/>
        </w:rPr>
        <w:t xml:space="preserve"> net revenue volatility is explained by the changes in </w:t>
      </w:r>
      <w:r w:rsidR="004D4B7F">
        <w:rPr>
          <w:rFonts w:ascii="Times New Roman" w:hAnsi="Times New Roman"/>
        </w:rPr>
        <w:t xml:space="preserve">economic and weather conditions and about 90% of the changes in </w:t>
      </w:r>
      <w:r w:rsidR="00247BE4">
        <w:rPr>
          <w:rFonts w:ascii="Times New Roman" w:hAnsi="Times New Roman"/>
        </w:rPr>
        <w:t xml:space="preserve">Avista’s gas operations’ </w:t>
      </w:r>
      <w:r w:rsidR="004D4B7F">
        <w:rPr>
          <w:rFonts w:ascii="Times New Roman" w:hAnsi="Times New Roman"/>
        </w:rPr>
        <w:t>net revenue are determined by those factors. In assessing the reduction in volatility</w:t>
      </w:r>
      <w:r w:rsidR="0096376C">
        <w:rPr>
          <w:rFonts w:ascii="Times New Roman" w:hAnsi="Times New Roman"/>
        </w:rPr>
        <w:t xml:space="preserve"> and the reduction in the cost of capital due to decoupling</w:t>
      </w:r>
      <w:r w:rsidR="004D4B7F">
        <w:rPr>
          <w:rFonts w:ascii="Times New Roman" w:hAnsi="Times New Roman"/>
        </w:rPr>
        <w:t xml:space="preserve">, however, I assume </w:t>
      </w:r>
      <w:r w:rsidR="00B56FCB">
        <w:rPr>
          <w:rFonts w:ascii="Times New Roman" w:hAnsi="Times New Roman"/>
        </w:rPr>
        <w:t xml:space="preserve">the reduction in volatility for electric operations will be about 40% and the reduction in gas operation net revenue volatility will be </w:t>
      </w:r>
      <w:r w:rsidR="007F5B36">
        <w:rPr>
          <w:rFonts w:ascii="Times New Roman" w:hAnsi="Times New Roman"/>
        </w:rPr>
        <w:t xml:space="preserve">about 50% </w:t>
      </w:r>
      <w:r w:rsidR="0096376C">
        <w:rPr>
          <w:rFonts w:ascii="Times New Roman" w:hAnsi="Times New Roman"/>
        </w:rPr>
        <w:t xml:space="preserve">(rather than 70% to 90%). That is, my assumption is that decoupling will reduce net revenue volatility to </w:t>
      </w:r>
      <w:r w:rsidR="007F5B36">
        <w:rPr>
          <w:rFonts w:ascii="Times New Roman" w:hAnsi="Times New Roman"/>
        </w:rPr>
        <w:t>roughly half of the historical volatility</w:t>
      </w:r>
      <w:r w:rsidR="00706186">
        <w:rPr>
          <w:rFonts w:ascii="Times New Roman" w:hAnsi="Times New Roman"/>
        </w:rPr>
        <w:t xml:space="preserve"> experienced over the 2000-2012 </w:t>
      </w:r>
      <w:proofErr w:type="gramStart"/>
      <w:r w:rsidR="00706186">
        <w:rPr>
          <w:rFonts w:ascii="Times New Roman" w:hAnsi="Times New Roman"/>
        </w:rPr>
        <w:t>period</w:t>
      </w:r>
      <w:proofErr w:type="gramEnd"/>
      <w:r w:rsidR="007F5B36">
        <w:rPr>
          <w:rFonts w:ascii="Times New Roman" w:hAnsi="Times New Roman"/>
        </w:rPr>
        <w:t>.</w:t>
      </w:r>
      <w:r w:rsidR="002672FB">
        <w:rPr>
          <w:rFonts w:ascii="Times New Roman" w:hAnsi="Times New Roman"/>
        </w:rPr>
        <w:t xml:space="preserve"> </w:t>
      </w:r>
      <w:r w:rsidR="002672FB" w:rsidRPr="002672FB">
        <w:rPr>
          <w:rFonts w:ascii="Times New Roman" w:hAnsi="Times New Roman"/>
        </w:rPr>
        <w:t>This is a conservative adjustment, which could result in an understatement of the equity return decrement for decoupling that is necessary to balance the intere</w:t>
      </w:r>
      <w:r w:rsidR="00706186">
        <w:rPr>
          <w:rFonts w:ascii="Times New Roman" w:hAnsi="Times New Roman"/>
        </w:rPr>
        <w:t>sts of investors and ratepayers.</w:t>
      </w:r>
      <w:r w:rsidR="00E01B79">
        <w:rPr>
          <w:rFonts w:ascii="Times New Roman" w:hAnsi="Times New Roman"/>
        </w:rPr>
        <w:t xml:space="preserve"> </w:t>
      </w:r>
      <w:r w:rsidR="002672FB" w:rsidRPr="002672FB">
        <w:rPr>
          <w:rFonts w:ascii="Times New Roman" w:hAnsi="Times New Roman"/>
        </w:rPr>
        <w:t xml:space="preserve"> </w:t>
      </w:r>
      <w:r w:rsidR="00706186">
        <w:rPr>
          <w:rFonts w:ascii="Times New Roman" w:hAnsi="Times New Roman"/>
        </w:rPr>
        <w:t>However</w:t>
      </w:r>
      <w:r w:rsidR="002672FB" w:rsidRPr="002672FB">
        <w:rPr>
          <w:rFonts w:ascii="Times New Roman" w:hAnsi="Times New Roman"/>
        </w:rPr>
        <w:t>, I beli</w:t>
      </w:r>
      <w:r w:rsidR="00706186">
        <w:rPr>
          <w:rFonts w:ascii="Times New Roman" w:hAnsi="Times New Roman"/>
        </w:rPr>
        <w:t>e</w:t>
      </w:r>
      <w:r w:rsidR="002672FB" w:rsidRPr="002672FB">
        <w:rPr>
          <w:rFonts w:ascii="Times New Roman" w:hAnsi="Times New Roman"/>
        </w:rPr>
        <w:t xml:space="preserve">ve, </w:t>
      </w:r>
      <w:r w:rsidR="00706186">
        <w:rPr>
          <w:rFonts w:ascii="Times New Roman" w:hAnsi="Times New Roman"/>
        </w:rPr>
        <w:t xml:space="preserve">it </w:t>
      </w:r>
      <w:r w:rsidR="002672FB" w:rsidRPr="002672FB">
        <w:rPr>
          <w:rFonts w:ascii="Times New Roman" w:hAnsi="Times New Roman"/>
        </w:rPr>
        <w:t xml:space="preserve">fairly recognizes that </w:t>
      </w:r>
      <w:r w:rsidR="00003ED5">
        <w:rPr>
          <w:rFonts w:ascii="Times New Roman" w:hAnsi="Times New Roman"/>
        </w:rPr>
        <w:t xml:space="preserve">the impact of decoupling will </w:t>
      </w:r>
      <w:r w:rsidR="00E01B79">
        <w:rPr>
          <w:rFonts w:ascii="Times New Roman" w:hAnsi="Times New Roman"/>
        </w:rPr>
        <w:t xml:space="preserve">not </w:t>
      </w:r>
      <w:r w:rsidR="00003ED5">
        <w:rPr>
          <w:rFonts w:ascii="Times New Roman" w:hAnsi="Times New Roman"/>
        </w:rPr>
        <w:t xml:space="preserve">completely eliminate volatility, and </w:t>
      </w:r>
      <w:r w:rsidR="002672FB" w:rsidRPr="002672FB">
        <w:rPr>
          <w:rFonts w:ascii="Times New Roman" w:hAnsi="Times New Roman"/>
        </w:rPr>
        <w:t>any such analysis represents an approximation of reality.</w:t>
      </w:r>
    </w:p>
    <w:p w:rsidR="008F34ED" w:rsidRPr="00587017" w:rsidRDefault="00992C0B" w:rsidP="00160048">
      <w:pPr>
        <w:spacing w:line="480" w:lineRule="auto"/>
        <w:rPr>
          <w:rFonts w:ascii="Times New Roman" w:hAnsi="Times New Roman"/>
        </w:rPr>
      </w:pPr>
      <w:r w:rsidRPr="00587017">
        <w:rPr>
          <w:rFonts w:ascii="Times New Roman" w:hAnsi="Times New Roman"/>
        </w:rPr>
        <w:tab/>
      </w:r>
      <w:r w:rsidR="00E10157">
        <w:rPr>
          <w:rFonts w:ascii="Times New Roman" w:hAnsi="Times New Roman"/>
        </w:rPr>
        <w:t>In order to estimate the impact of the reduction in volatility</w:t>
      </w:r>
      <w:r w:rsidR="0052683A">
        <w:rPr>
          <w:rFonts w:ascii="Times New Roman" w:hAnsi="Times New Roman"/>
        </w:rPr>
        <w:t xml:space="preserve">, I assume that, over time, utility revenues will be randomly distributed. </w:t>
      </w:r>
      <w:r w:rsidR="00654EC4" w:rsidRPr="00587017">
        <w:rPr>
          <w:rFonts w:ascii="Times New Roman" w:hAnsi="Times New Roman"/>
        </w:rPr>
        <w:t>The distribution of net revenues about the historical trends can also be represented as the familiar bell-shap</w:t>
      </w:r>
      <w:r w:rsidR="008F34ED" w:rsidRPr="00587017">
        <w:rPr>
          <w:rFonts w:ascii="Times New Roman" w:hAnsi="Times New Roman"/>
        </w:rPr>
        <w:t>e</w:t>
      </w:r>
      <w:r w:rsidR="00707725">
        <w:rPr>
          <w:rFonts w:ascii="Times New Roman" w:hAnsi="Times New Roman"/>
        </w:rPr>
        <w:t>d curve shown below in Chart C</w:t>
      </w:r>
      <w:r w:rsidR="00654EC4" w:rsidRPr="00587017">
        <w:rPr>
          <w:rFonts w:ascii="Times New Roman" w:hAnsi="Times New Roman"/>
        </w:rPr>
        <w:t>.</w:t>
      </w:r>
    </w:p>
    <w:p w:rsidR="00654EC4" w:rsidRPr="00587017" w:rsidRDefault="00654EC4" w:rsidP="00160048">
      <w:pPr>
        <w:spacing w:line="480" w:lineRule="auto"/>
        <w:rPr>
          <w:rFonts w:ascii="Times New Roman" w:hAnsi="Times New Roman"/>
        </w:rPr>
      </w:pPr>
    </w:p>
    <w:p w:rsidR="008F34ED" w:rsidRPr="00587017" w:rsidRDefault="00B53722" w:rsidP="00160048">
      <w:pPr>
        <w:spacing w:line="480" w:lineRule="auto"/>
        <w:jc w:val="center"/>
        <w:rPr>
          <w:rFonts w:ascii="Times New Roman" w:hAnsi="Times New Roman"/>
        </w:rPr>
      </w:pPr>
      <w:r>
        <w:rPr>
          <w:rFonts w:ascii="Times New Roman" w:hAnsi="Times New Roman"/>
        </w:rPr>
        <w:br w:type="page"/>
      </w:r>
      <w:r w:rsidR="00707725">
        <w:rPr>
          <w:rFonts w:ascii="Times New Roman" w:hAnsi="Times New Roman"/>
        </w:rPr>
        <w:lastRenderedPageBreak/>
        <w:t>Chart C</w:t>
      </w:r>
    </w:p>
    <w:p w:rsidR="00654EC4" w:rsidRPr="00587017" w:rsidRDefault="00654EC4" w:rsidP="00160048">
      <w:pPr>
        <w:spacing w:line="480" w:lineRule="auto"/>
        <w:jc w:val="center"/>
        <w:rPr>
          <w:rFonts w:ascii="Times New Roman" w:hAnsi="Times New Roman"/>
        </w:rPr>
      </w:pPr>
      <w:r w:rsidRPr="00587017">
        <w:rPr>
          <w:rFonts w:ascii="Times New Roman" w:hAnsi="Times New Roman"/>
        </w:rPr>
        <w:t xml:space="preserve">Revenue Distribution </w:t>
      </w:r>
      <w:proofErr w:type="gramStart"/>
      <w:r w:rsidRPr="00587017">
        <w:rPr>
          <w:rFonts w:ascii="Times New Roman" w:hAnsi="Times New Roman"/>
        </w:rPr>
        <w:t>Under</w:t>
      </w:r>
      <w:proofErr w:type="gramEnd"/>
      <w:r w:rsidRPr="00587017">
        <w:rPr>
          <w:rFonts w:ascii="Times New Roman" w:hAnsi="Times New Roman"/>
        </w:rPr>
        <w:t xml:space="preserve"> Traditional Regulation</w:t>
      </w:r>
    </w:p>
    <w:p w:rsidR="00654EC4" w:rsidRPr="00587017" w:rsidRDefault="003769D3" w:rsidP="003769D3">
      <w:pPr>
        <w:jc w:val="center"/>
        <w:rPr>
          <w:rFonts w:ascii="Times New Roman" w:hAnsi="Times New Roman"/>
        </w:rPr>
      </w:pPr>
      <w:r w:rsidRPr="00587017">
        <w:rPr>
          <w:rFonts w:ascii="Times New Roman" w:hAnsi="Times New Roman"/>
          <w:noProof/>
        </w:rPr>
        <w:drawing>
          <wp:inline distT="0" distB="0" distL="0" distR="0" wp14:anchorId="51E12921" wp14:editId="45F3B5FF">
            <wp:extent cx="5486400" cy="3263900"/>
            <wp:effectExtent l="0" t="0" r="0"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5486400" cy="3263900"/>
                    </a:xfrm>
                    <a:prstGeom prst="rect">
                      <a:avLst/>
                    </a:prstGeom>
                    <a:noFill/>
                    <a:ln w="9525">
                      <a:noFill/>
                      <a:miter lim="800000"/>
                      <a:headEnd/>
                      <a:tailEnd/>
                    </a:ln>
                  </pic:spPr>
                </pic:pic>
              </a:graphicData>
            </a:graphic>
          </wp:inline>
        </w:drawing>
      </w:r>
    </w:p>
    <w:p w:rsidR="00B42261" w:rsidRPr="00587017" w:rsidRDefault="00654EC4" w:rsidP="0098616D">
      <w:pPr>
        <w:spacing w:line="480" w:lineRule="auto"/>
        <w:rPr>
          <w:rFonts w:ascii="Times New Roman" w:hAnsi="Times New Roman"/>
        </w:rPr>
      </w:pPr>
      <w:r w:rsidRPr="00587017">
        <w:rPr>
          <w:rFonts w:ascii="Times New Roman" w:hAnsi="Times New Roman"/>
        </w:rPr>
        <w:tab/>
        <w:t>When the volatility of the revenue stream is reduced, in this case by a decoupling mechanism, the variance of the revenues about th</w:t>
      </w:r>
      <w:r w:rsidR="000E5A04">
        <w:rPr>
          <w:rFonts w:ascii="Times New Roman" w:hAnsi="Times New Roman"/>
        </w:rPr>
        <w:t>e trend line shown in Chart B</w:t>
      </w:r>
      <w:r w:rsidRPr="00587017">
        <w:rPr>
          <w:rFonts w:ascii="Times New Roman" w:hAnsi="Times New Roman"/>
        </w:rPr>
        <w:t xml:space="preserve"> is reduced and the width of the zone ±3s above and below the</w:t>
      </w:r>
      <w:r w:rsidR="001B1ECD" w:rsidRPr="00587017">
        <w:rPr>
          <w:rFonts w:ascii="Times New Roman" w:hAnsi="Times New Roman"/>
        </w:rPr>
        <w:t xml:space="preserve"> average</w:t>
      </w:r>
      <w:r w:rsidRPr="00587017">
        <w:rPr>
          <w:rFonts w:ascii="Times New Roman" w:hAnsi="Times New Roman"/>
        </w:rPr>
        <w:t xml:space="preserve"> trend line narrows.  </w:t>
      </w:r>
      <w:proofErr w:type="gramStart"/>
      <w:r w:rsidRPr="00587017">
        <w:rPr>
          <w:rFonts w:ascii="Times New Roman" w:hAnsi="Times New Roman"/>
        </w:rPr>
        <w:t xml:space="preserve">In other words, as the volatility of the utility’s revenue stream is reduced, the possibility that the actual revenue or net income (which will fall within ±3s) will more closely approximate the expected </w:t>
      </w:r>
      <w:r w:rsidR="001B1ECD" w:rsidRPr="00587017">
        <w:rPr>
          <w:rFonts w:ascii="Times New Roman" w:hAnsi="Times New Roman"/>
        </w:rPr>
        <w:t>net revenue</w:t>
      </w:r>
      <w:r w:rsidRPr="00587017">
        <w:rPr>
          <w:rFonts w:ascii="Times New Roman" w:hAnsi="Times New Roman"/>
        </w:rPr>
        <w:t xml:space="preserve"> (represented by the trend line) is increased and, therefore, the utility’s operating risk is reduced.</w:t>
      </w:r>
      <w:proofErr w:type="gramEnd"/>
      <w:r w:rsidRPr="00587017">
        <w:rPr>
          <w:rFonts w:ascii="Times New Roman" w:hAnsi="Times New Roman"/>
        </w:rPr>
        <w:t xml:space="preserve">  Further, as the volatility of the utility’s revenues around the trend line is reduced, the </w:t>
      </w:r>
      <w:proofErr w:type="gramStart"/>
      <w:r w:rsidRPr="00587017">
        <w:rPr>
          <w:rFonts w:ascii="Times New Roman" w:hAnsi="Times New Roman"/>
        </w:rPr>
        <w:t>shape of the “bell curve” graph</w:t>
      </w:r>
      <w:proofErr w:type="gramEnd"/>
      <w:r w:rsidRPr="00587017">
        <w:rPr>
          <w:rFonts w:ascii="Times New Roman" w:hAnsi="Times New Roman"/>
        </w:rPr>
        <w:t xml:space="preserve"> of the revenue distribution changes.  As shown in Chart </w:t>
      </w:r>
      <w:r w:rsidR="00CA4EC7">
        <w:rPr>
          <w:rFonts w:ascii="Times New Roman" w:hAnsi="Times New Roman"/>
        </w:rPr>
        <w:t>D</w:t>
      </w:r>
      <w:r w:rsidRPr="00587017">
        <w:rPr>
          <w:rFonts w:ascii="Times New Roman" w:hAnsi="Times New Roman"/>
        </w:rPr>
        <w:t>, while still centered on the average expected revenue, the “bell” formed by the distribution of utility revenues under decoupling becomes taller and thinner.</w:t>
      </w:r>
    </w:p>
    <w:p w:rsidR="00654EC4" w:rsidRPr="00587017" w:rsidRDefault="00654EC4" w:rsidP="0098616D">
      <w:pPr>
        <w:spacing w:line="480" w:lineRule="auto"/>
        <w:rPr>
          <w:rFonts w:ascii="Times New Roman" w:hAnsi="Times New Roman"/>
        </w:rPr>
      </w:pPr>
    </w:p>
    <w:p w:rsidR="00654EC4" w:rsidRPr="00587017" w:rsidRDefault="00654EC4" w:rsidP="0098616D">
      <w:pPr>
        <w:spacing w:line="480" w:lineRule="auto"/>
        <w:jc w:val="center"/>
        <w:rPr>
          <w:rFonts w:ascii="Times New Roman" w:hAnsi="Times New Roman"/>
        </w:rPr>
      </w:pPr>
      <w:r w:rsidRPr="00587017">
        <w:rPr>
          <w:rFonts w:ascii="Times New Roman" w:hAnsi="Times New Roman"/>
        </w:rPr>
        <w:t xml:space="preserve">Chart </w:t>
      </w:r>
      <w:r w:rsidR="00CA4EC7">
        <w:rPr>
          <w:rFonts w:ascii="Times New Roman" w:hAnsi="Times New Roman"/>
        </w:rPr>
        <w:t>D</w:t>
      </w:r>
    </w:p>
    <w:p w:rsidR="00654EC4" w:rsidRPr="00587017" w:rsidRDefault="00654EC4" w:rsidP="0098616D">
      <w:pPr>
        <w:pStyle w:val="testimony"/>
        <w:widowControl w:val="0"/>
        <w:tabs>
          <w:tab w:val="clear" w:pos="720"/>
          <w:tab w:val="clear" w:pos="2160"/>
        </w:tabs>
        <w:spacing w:line="480" w:lineRule="auto"/>
        <w:ind w:left="0" w:firstLine="0"/>
        <w:jc w:val="center"/>
        <w:rPr>
          <w:rFonts w:ascii="Times New Roman" w:hAnsi="Times New Roman"/>
        </w:rPr>
      </w:pPr>
      <w:r w:rsidRPr="00587017">
        <w:rPr>
          <w:rFonts w:ascii="Times New Roman" w:hAnsi="Times New Roman"/>
        </w:rPr>
        <w:t xml:space="preserve">Revenue Distribution Differential </w:t>
      </w:r>
      <w:proofErr w:type="gramStart"/>
      <w:r w:rsidRPr="00587017">
        <w:rPr>
          <w:rFonts w:ascii="Times New Roman" w:hAnsi="Times New Roman"/>
        </w:rPr>
        <w:t>With</w:t>
      </w:r>
      <w:proofErr w:type="gramEnd"/>
      <w:r w:rsidRPr="00587017">
        <w:rPr>
          <w:rFonts w:ascii="Times New Roman" w:hAnsi="Times New Roman"/>
        </w:rPr>
        <w:t xml:space="preserve"> Decoupling</w:t>
      </w:r>
    </w:p>
    <w:p w:rsidR="00654EC4" w:rsidRPr="00587017" w:rsidRDefault="00654EC4" w:rsidP="00654EC4">
      <w:pPr>
        <w:pStyle w:val="testimony"/>
        <w:widowControl w:val="0"/>
        <w:tabs>
          <w:tab w:val="clear" w:pos="720"/>
          <w:tab w:val="clear" w:pos="2160"/>
        </w:tabs>
        <w:spacing w:line="480" w:lineRule="auto"/>
        <w:ind w:left="0" w:firstLine="0"/>
        <w:jc w:val="center"/>
        <w:rPr>
          <w:rFonts w:ascii="Times New Roman" w:hAnsi="Times New Roman"/>
        </w:rPr>
      </w:pPr>
      <w:r w:rsidRPr="00587017">
        <w:rPr>
          <w:rFonts w:ascii="Times New Roman" w:hAnsi="Times New Roman"/>
          <w:noProof/>
        </w:rPr>
        <w:drawing>
          <wp:inline distT="0" distB="0" distL="0" distR="0" wp14:anchorId="3199DDC4" wp14:editId="76DD71C8">
            <wp:extent cx="5473700" cy="33274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473700" cy="3327400"/>
                    </a:xfrm>
                    <a:prstGeom prst="rect">
                      <a:avLst/>
                    </a:prstGeom>
                    <a:noFill/>
                    <a:ln w="9525">
                      <a:noFill/>
                      <a:miter lim="800000"/>
                      <a:headEnd/>
                      <a:tailEnd/>
                    </a:ln>
                  </pic:spPr>
                </pic:pic>
              </a:graphicData>
            </a:graphic>
          </wp:inline>
        </w:drawing>
      </w:r>
    </w:p>
    <w:p w:rsidR="00C454B0" w:rsidRDefault="00654EC4" w:rsidP="0098616D">
      <w:pPr>
        <w:spacing w:line="480" w:lineRule="auto"/>
        <w:rPr>
          <w:rFonts w:ascii="Times New Roman" w:hAnsi="Times New Roman"/>
        </w:rPr>
      </w:pPr>
      <w:r w:rsidRPr="00587017">
        <w:rPr>
          <w:rFonts w:ascii="Times New Roman" w:hAnsi="Times New Roman"/>
          <w:b/>
        </w:rPr>
        <w:tab/>
      </w:r>
      <w:r w:rsidRPr="00587017">
        <w:rPr>
          <w:rFonts w:ascii="Times New Roman" w:hAnsi="Times New Roman"/>
        </w:rPr>
        <w:t xml:space="preserve">It is through this change in the shape of the distribution of possible revenue outcomes, shown in Chart </w:t>
      </w:r>
      <w:proofErr w:type="gramStart"/>
      <w:r w:rsidR="00CA4EC7">
        <w:rPr>
          <w:rFonts w:ascii="Times New Roman" w:hAnsi="Times New Roman"/>
        </w:rPr>
        <w:t>D</w:t>
      </w:r>
      <w:r w:rsidRPr="00587017">
        <w:rPr>
          <w:rFonts w:ascii="Times New Roman" w:hAnsi="Times New Roman"/>
        </w:rPr>
        <w:t>, that</w:t>
      </w:r>
      <w:proofErr w:type="gramEnd"/>
      <w:r w:rsidRPr="00587017">
        <w:rPr>
          <w:rFonts w:ascii="Times New Roman" w:hAnsi="Times New Roman"/>
        </w:rPr>
        <w:t xml:space="preserve"> we are able to quantify the impact of decoupling on the cost of equity capital.  When the variance of revenues about the trend line is reduced, the possibility of more extreme outcomes both negative and positive, are eliminated. To the investor, the risk-reducing aspect of this change is the elimination of the possibility of extreme negative revenue outcomes.  </w:t>
      </w:r>
    </w:p>
    <w:p w:rsidR="00654EC4" w:rsidRPr="00587017" w:rsidRDefault="00C454B0" w:rsidP="0098616D">
      <w:pPr>
        <w:spacing w:line="480" w:lineRule="auto"/>
        <w:rPr>
          <w:rFonts w:ascii="Times New Roman" w:hAnsi="Times New Roman"/>
        </w:rPr>
      </w:pPr>
      <w:r>
        <w:rPr>
          <w:rFonts w:ascii="Times New Roman" w:hAnsi="Times New Roman"/>
        </w:rPr>
        <w:tab/>
      </w:r>
      <w:r w:rsidR="00654EC4" w:rsidRPr="00587017">
        <w:rPr>
          <w:rFonts w:ascii="Times New Roman" w:hAnsi="Times New Roman"/>
        </w:rPr>
        <w:t xml:space="preserve">Under traditional regulation it is possible that the utility could experience revenues at the extreme lower left corner of the original revenue distribution (-3s).  This would represent an adverse risk outcome to the investor. Under a less volatile decoupling </w:t>
      </w:r>
      <w:r w:rsidR="00654EC4" w:rsidRPr="00587017">
        <w:rPr>
          <w:rFonts w:ascii="Times New Roman" w:hAnsi="Times New Roman"/>
        </w:rPr>
        <w:lastRenderedPageBreak/>
        <w:t xml:space="preserve">scenario, however, the revenue distribution is narrower, the expected revenues more certain and the most negative outcome (-3s* on the new bell curve) is a higher revenue value and, thus, represents less risk to the investor.  </w:t>
      </w:r>
    </w:p>
    <w:p w:rsidR="00654EC4" w:rsidRPr="00587017" w:rsidRDefault="007A0531" w:rsidP="0098616D">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The pertinent difference in the probability outcomes under the traditional and decoupling scenario can be quantified as the difference in the area in the graph between the two curves, i.e., between -3s and -3s*.  This area (designated as “</w:t>
      </w:r>
      <w:r w:rsidR="00654EC4" w:rsidRPr="00587017">
        <w:rPr>
          <w:rFonts w:ascii="Times New Roman" w:hAnsi="Times New Roman"/>
          <w:i/>
        </w:rPr>
        <w:t>p</w:t>
      </w:r>
      <w:r w:rsidR="00B74C0D">
        <w:rPr>
          <w:rFonts w:ascii="Times New Roman" w:hAnsi="Times New Roman"/>
        </w:rPr>
        <w:t>” in Chart D</w:t>
      </w:r>
      <w:r w:rsidR="00654EC4" w:rsidRPr="00587017">
        <w:rPr>
          <w:rFonts w:ascii="Times New Roman" w:hAnsi="Times New Roman"/>
        </w:rPr>
        <w:t xml:space="preserve">) between the original distribution curve and the new (decoupling) curve represents the reduction in the probability of an extreme negative outcome that existed prior to the adoption of decoupling.  As shown in </w:t>
      </w:r>
      <w:r w:rsidRPr="00587017">
        <w:rPr>
          <w:rFonts w:ascii="Times New Roman" w:hAnsi="Times New Roman"/>
        </w:rPr>
        <w:t xml:space="preserve">page 4 of </w:t>
      </w:r>
      <w:r w:rsidR="00CA4EC7">
        <w:rPr>
          <w:rFonts w:ascii="Times New Roman" w:hAnsi="Times New Roman"/>
        </w:rPr>
        <w:t>Exhibit_</w:t>
      </w:r>
      <w:proofErr w:type="gramStart"/>
      <w:r w:rsidR="00CA4EC7">
        <w:rPr>
          <w:rFonts w:ascii="Times New Roman" w:hAnsi="Times New Roman"/>
        </w:rPr>
        <w:t>_(</w:t>
      </w:r>
      <w:proofErr w:type="gramEnd"/>
      <w:r w:rsidR="00CA4EC7">
        <w:rPr>
          <w:rFonts w:ascii="Times New Roman" w:hAnsi="Times New Roman"/>
        </w:rPr>
        <w:t>SGH-</w:t>
      </w:r>
      <w:r w:rsidR="009B05CA">
        <w:rPr>
          <w:rFonts w:ascii="Times New Roman" w:hAnsi="Times New Roman"/>
        </w:rPr>
        <w:t>13</w:t>
      </w:r>
      <w:r w:rsidR="00CA4EC7">
        <w:rPr>
          <w:rFonts w:ascii="Times New Roman" w:hAnsi="Times New Roman"/>
        </w:rPr>
        <w:t>) and (SGH-</w:t>
      </w:r>
      <w:r w:rsidR="009B05CA">
        <w:rPr>
          <w:rFonts w:ascii="Times New Roman" w:hAnsi="Times New Roman"/>
        </w:rPr>
        <w:t>14</w:t>
      </w:r>
      <w:r w:rsidR="00CA4EC7">
        <w:rPr>
          <w:rFonts w:ascii="Times New Roman" w:hAnsi="Times New Roman"/>
        </w:rPr>
        <w:t>)</w:t>
      </w:r>
      <w:r w:rsidR="00654EC4" w:rsidRPr="00587017">
        <w:rPr>
          <w:rFonts w:ascii="Times New Roman" w:hAnsi="Times New Roman"/>
        </w:rPr>
        <w:t>, the probability differential (“</w:t>
      </w:r>
      <w:r w:rsidR="00654EC4" w:rsidRPr="00587017">
        <w:rPr>
          <w:rFonts w:ascii="Times New Roman" w:hAnsi="Times New Roman"/>
          <w:i/>
        </w:rPr>
        <w:t>p</w:t>
      </w:r>
      <w:r w:rsidR="00654EC4" w:rsidRPr="00587017">
        <w:rPr>
          <w:rFonts w:ascii="Times New Roman" w:hAnsi="Times New Roman"/>
        </w:rPr>
        <w:t xml:space="preserve">”) represented by a 40% reduction in historical </w:t>
      </w:r>
      <w:r w:rsidR="00EF680D" w:rsidRPr="00587017">
        <w:rPr>
          <w:rFonts w:ascii="Times New Roman" w:hAnsi="Times New Roman"/>
        </w:rPr>
        <w:t xml:space="preserve">net </w:t>
      </w:r>
      <w:r w:rsidR="00B74C0D">
        <w:rPr>
          <w:rFonts w:ascii="Times New Roman" w:hAnsi="Times New Roman"/>
        </w:rPr>
        <w:t xml:space="preserve">electric </w:t>
      </w:r>
      <w:r w:rsidR="00654EC4" w:rsidRPr="00587017">
        <w:rPr>
          <w:rFonts w:ascii="Times New Roman" w:hAnsi="Times New Roman"/>
        </w:rPr>
        <w:t>revenue variance equals approximately 0.00869, which represents approximately 0.87% of revenues</w:t>
      </w:r>
      <w:r w:rsidR="007C2DD6">
        <w:rPr>
          <w:rFonts w:ascii="Times New Roman" w:hAnsi="Times New Roman"/>
        </w:rPr>
        <w:t>, and a 50%</w:t>
      </w:r>
      <w:r w:rsidR="005360A3">
        <w:rPr>
          <w:rFonts w:ascii="Times New Roman" w:hAnsi="Times New Roman"/>
        </w:rPr>
        <w:t xml:space="preserve"> reduction in historical net </w:t>
      </w:r>
      <w:r w:rsidR="00B74C0D">
        <w:rPr>
          <w:rFonts w:ascii="Times New Roman" w:hAnsi="Times New Roman"/>
        </w:rPr>
        <w:t xml:space="preserve">gas </w:t>
      </w:r>
      <w:r w:rsidR="005360A3">
        <w:rPr>
          <w:rFonts w:ascii="Times New Roman" w:hAnsi="Times New Roman"/>
        </w:rPr>
        <w:t>revenue variance equals approximately 0.</w:t>
      </w:r>
      <w:r w:rsidR="002F4B64">
        <w:rPr>
          <w:rFonts w:ascii="Times New Roman" w:hAnsi="Times New Roman"/>
        </w:rPr>
        <w:t>00</w:t>
      </w:r>
      <w:r w:rsidR="00A61316">
        <w:rPr>
          <w:rFonts w:ascii="Times New Roman" w:hAnsi="Times New Roman"/>
        </w:rPr>
        <w:t>156, which is roughly 1.56</w:t>
      </w:r>
      <w:r w:rsidR="002F4B64">
        <w:rPr>
          <w:rFonts w:ascii="Times New Roman" w:hAnsi="Times New Roman"/>
        </w:rPr>
        <w:t>% of revenues</w:t>
      </w:r>
      <w:r w:rsidR="00654EC4" w:rsidRPr="00587017">
        <w:rPr>
          <w:rFonts w:ascii="Times New Roman" w:hAnsi="Times New Roman"/>
        </w:rPr>
        <w:t>.</w:t>
      </w:r>
      <w:r w:rsidR="00A61316">
        <w:rPr>
          <w:rFonts w:ascii="Times New Roman" w:hAnsi="Times New Roman"/>
        </w:rPr>
        <w:t xml:space="preserve"> </w:t>
      </w:r>
      <w:r w:rsidR="009B05CA">
        <w:rPr>
          <w:rFonts w:ascii="Times New Roman" w:hAnsi="Times New Roman"/>
        </w:rPr>
        <w:t>Note</w:t>
      </w:r>
      <w:proofErr w:type="gramStart"/>
      <w:r w:rsidR="009B05CA">
        <w:rPr>
          <w:rFonts w:ascii="Times New Roman" w:hAnsi="Times New Roman"/>
        </w:rPr>
        <w:t>,</w:t>
      </w:r>
      <w:proofErr w:type="gramEnd"/>
      <w:r w:rsidR="009B05CA">
        <w:rPr>
          <w:rFonts w:ascii="Times New Roman" w:hAnsi="Times New Roman"/>
        </w:rPr>
        <w:t xml:space="preserve"> </w:t>
      </w:r>
      <w:r w:rsidR="00A61316">
        <w:rPr>
          <w:rFonts w:ascii="Times New Roman" w:hAnsi="Times New Roman"/>
        </w:rPr>
        <w:t>the greater reduction in volatility (50%) is more valuable to investors because it will resul</w:t>
      </w:r>
      <w:r w:rsidR="007A6A67">
        <w:rPr>
          <w:rFonts w:ascii="Times New Roman" w:hAnsi="Times New Roman"/>
        </w:rPr>
        <w:t>t in a lower probability of negative outcomes.</w:t>
      </w:r>
    </w:p>
    <w:p w:rsidR="00654EC4" w:rsidRPr="00587017" w:rsidRDefault="00290B22" w:rsidP="0098616D">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 xml:space="preserve">This analysis indicates that investors would be indifferent between traditional regulation and </w:t>
      </w:r>
      <w:r w:rsidR="00555C4C" w:rsidRPr="00587017">
        <w:rPr>
          <w:rFonts w:ascii="Times New Roman" w:hAnsi="Times New Roman"/>
        </w:rPr>
        <w:t xml:space="preserve">revenue </w:t>
      </w:r>
      <w:r w:rsidR="00654EC4" w:rsidRPr="00587017">
        <w:rPr>
          <w:rFonts w:ascii="Times New Roman" w:hAnsi="Times New Roman"/>
        </w:rPr>
        <w:t>decoupling if the equity return under decoupling produced a revenue requirement 0.87%</w:t>
      </w:r>
      <w:r w:rsidR="00D42938">
        <w:rPr>
          <w:rFonts w:ascii="Times New Roman" w:hAnsi="Times New Roman"/>
        </w:rPr>
        <w:t xml:space="preserve"> (electric) to </w:t>
      </w:r>
      <w:r w:rsidR="007A6A67">
        <w:rPr>
          <w:rFonts w:ascii="Times New Roman" w:hAnsi="Times New Roman"/>
        </w:rPr>
        <w:t>1.56</w:t>
      </w:r>
      <w:r w:rsidR="002F4B64">
        <w:rPr>
          <w:rFonts w:ascii="Times New Roman" w:hAnsi="Times New Roman"/>
        </w:rPr>
        <w:t>%</w:t>
      </w:r>
      <w:r w:rsidR="00D42938">
        <w:rPr>
          <w:rFonts w:ascii="Times New Roman" w:hAnsi="Times New Roman"/>
        </w:rPr>
        <w:t xml:space="preserve"> (gas)</w:t>
      </w:r>
      <w:r w:rsidR="00CF7F54">
        <w:rPr>
          <w:rFonts w:ascii="Times New Roman" w:hAnsi="Times New Roman"/>
        </w:rPr>
        <w:t xml:space="preserve"> less than</w:t>
      </w:r>
      <w:r w:rsidR="00654EC4" w:rsidRPr="00587017">
        <w:rPr>
          <w:rFonts w:ascii="Times New Roman" w:hAnsi="Times New Roman"/>
        </w:rPr>
        <w:t xml:space="preserve"> that under traditional regulation.  In order for the equity return interests of investors and ratepayers to be balanced under a </w:t>
      </w:r>
      <w:r w:rsidR="00555C4C" w:rsidRPr="00587017">
        <w:rPr>
          <w:rFonts w:ascii="Times New Roman" w:hAnsi="Times New Roman"/>
        </w:rPr>
        <w:t>revenue decoupling</w:t>
      </w:r>
      <w:r w:rsidR="00654EC4" w:rsidRPr="00587017">
        <w:rPr>
          <w:rFonts w:ascii="Times New Roman" w:hAnsi="Times New Roman"/>
        </w:rPr>
        <w:t xml:space="preserve"> regulatory regime, then, the allowed return will have to be less than that allowed under traditional regulation.  In this instance, the appropriate reduction in equity return is estimated as the equity return difference that </w:t>
      </w:r>
      <w:r w:rsidR="00654EC4" w:rsidRPr="00587017">
        <w:rPr>
          <w:rFonts w:ascii="Times New Roman" w:hAnsi="Times New Roman"/>
        </w:rPr>
        <w:lastRenderedPageBreak/>
        <w:t xml:space="preserve">would reduce </w:t>
      </w:r>
      <w:r w:rsidRPr="00587017">
        <w:rPr>
          <w:rFonts w:ascii="Times New Roman" w:hAnsi="Times New Roman"/>
        </w:rPr>
        <w:t xml:space="preserve">net </w:t>
      </w:r>
      <w:r w:rsidR="00654EC4" w:rsidRPr="00587017">
        <w:rPr>
          <w:rFonts w:ascii="Times New Roman" w:hAnsi="Times New Roman"/>
        </w:rPr>
        <w:t>revenues by 0.87%</w:t>
      </w:r>
      <w:r w:rsidR="00502279">
        <w:rPr>
          <w:rFonts w:ascii="Times New Roman" w:hAnsi="Times New Roman"/>
        </w:rPr>
        <w:t xml:space="preserve"> to 1.56</w:t>
      </w:r>
      <w:r w:rsidR="00D42938">
        <w:rPr>
          <w:rFonts w:ascii="Times New Roman" w:hAnsi="Times New Roman"/>
        </w:rPr>
        <w:t>%</w:t>
      </w:r>
      <w:r w:rsidR="00654EC4" w:rsidRPr="00587017">
        <w:rPr>
          <w:rFonts w:ascii="Times New Roman" w:hAnsi="Times New Roman"/>
        </w:rPr>
        <w:t xml:space="preserve">, on average, based on </w:t>
      </w:r>
      <w:r w:rsidR="00DA1689" w:rsidRPr="00587017">
        <w:rPr>
          <w:rFonts w:ascii="Times New Roman" w:hAnsi="Times New Roman"/>
        </w:rPr>
        <w:t xml:space="preserve">the </w:t>
      </w:r>
      <w:r w:rsidR="00D42938">
        <w:rPr>
          <w:rFonts w:ascii="Times New Roman" w:hAnsi="Times New Roman"/>
        </w:rPr>
        <w:t>Avista Washington</w:t>
      </w:r>
      <w:r w:rsidR="00502279">
        <w:rPr>
          <w:rFonts w:ascii="Times New Roman" w:hAnsi="Times New Roman"/>
        </w:rPr>
        <w:t xml:space="preserve"> electric and gas utility</w:t>
      </w:r>
      <w:r w:rsidR="00DA1689" w:rsidRPr="00587017">
        <w:rPr>
          <w:rFonts w:ascii="Times New Roman" w:hAnsi="Times New Roman"/>
        </w:rPr>
        <w:t xml:space="preserve"> </w:t>
      </w:r>
      <w:r w:rsidR="00654EC4" w:rsidRPr="00587017">
        <w:rPr>
          <w:rFonts w:ascii="Times New Roman" w:hAnsi="Times New Roman"/>
        </w:rPr>
        <w:t xml:space="preserve">historical results over the past </w:t>
      </w:r>
      <w:r w:rsidR="00D42938">
        <w:rPr>
          <w:rFonts w:ascii="Times New Roman" w:hAnsi="Times New Roman"/>
        </w:rPr>
        <w:t>twelve</w:t>
      </w:r>
      <w:r w:rsidR="00654EC4" w:rsidRPr="00587017">
        <w:rPr>
          <w:rFonts w:ascii="Times New Roman" w:hAnsi="Times New Roman"/>
        </w:rPr>
        <w:t xml:space="preserve"> years.</w:t>
      </w:r>
    </w:p>
    <w:p w:rsidR="00654EC4" w:rsidRPr="00587017" w:rsidRDefault="00DA1689" w:rsidP="0098616D">
      <w:pPr>
        <w:spacing w:line="480" w:lineRule="auto"/>
        <w:rPr>
          <w:rFonts w:ascii="Times New Roman" w:hAnsi="Times New Roman"/>
        </w:rPr>
      </w:pPr>
      <w:r w:rsidRPr="00587017">
        <w:rPr>
          <w:rFonts w:ascii="Times New Roman" w:hAnsi="Times New Roman"/>
        </w:rPr>
        <w:tab/>
      </w:r>
      <w:r w:rsidR="00D42938">
        <w:rPr>
          <w:rFonts w:ascii="Times New Roman" w:hAnsi="Times New Roman"/>
        </w:rPr>
        <w:t>Exhibit_</w:t>
      </w:r>
      <w:proofErr w:type="gramStart"/>
      <w:r w:rsidR="00D42938">
        <w:rPr>
          <w:rFonts w:ascii="Times New Roman" w:hAnsi="Times New Roman"/>
        </w:rPr>
        <w:t>_(</w:t>
      </w:r>
      <w:proofErr w:type="gramEnd"/>
      <w:r w:rsidR="00D42938">
        <w:rPr>
          <w:rFonts w:ascii="Times New Roman" w:hAnsi="Times New Roman"/>
        </w:rPr>
        <w:t>SGH-</w:t>
      </w:r>
      <w:r w:rsidR="009B05CA">
        <w:rPr>
          <w:rFonts w:ascii="Times New Roman" w:hAnsi="Times New Roman"/>
        </w:rPr>
        <w:t>13</w:t>
      </w:r>
      <w:r w:rsidR="00D42938">
        <w:rPr>
          <w:rFonts w:ascii="Times New Roman" w:hAnsi="Times New Roman"/>
        </w:rPr>
        <w:t>)</w:t>
      </w:r>
      <w:r w:rsidR="00C22159" w:rsidRPr="00587017">
        <w:rPr>
          <w:rFonts w:ascii="Times New Roman" w:hAnsi="Times New Roman"/>
        </w:rPr>
        <w:t>, page 4</w:t>
      </w:r>
      <w:r w:rsidR="00654EC4" w:rsidRPr="00587017">
        <w:rPr>
          <w:rFonts w:ascii="Times New Roman" w:hAnsi="Times New Roman"/>
        </w:rPr>
        <w:t xml:space="preserve"> shows the calculations necessary to quantify the risk-reduction impact of </w:t>
      </w:r>
      <w:r w:rsidR="00CA7F00">
        <w:rPr>
          <w:rFonts w:ascii="Times New Roman" w:hAnsi="Times New Roman"/>
        </w:rPr>
        <w:t>the</w:t>
      </w:r>
      <w:r w:rsidR="00654EC4" w:rsidRPr="00587017">
        <w:rPr>
          <w:rFonts w:ascii="Times New Roman" w:hAnsi="Times New Roman"/>
        </w:rPr>
        <w:t xml:space="preserve"> </w:t>
      </w:r>
      <w:r w:rsidR="00555C4C" w:rsidRPr="00587017">
        <w:rPr>
          <w:rFonts w:ascii="Times New Roman" w:hAnsi="Times New Roman"/>
        </w:rPr>
        <w:t xml:space="preserve">revenue </w:t>
      </w:r>
      <w:r w:rsidR="00654EC4" w:rsidRPr="00587017">
        <w:rPr>
          <w:rFonts w:ascii="Times New Roman" w:hAnsi="Times New Roman"/>
        </w:rPr>
        <w:t xml:space="preserve">decoupling mechanism with regard to the Company’s </w:t>
      </w:r>
      <w:r w:rsidR="00CA7F00">
        <w:rPr>
          <w:rFonts w:ascii="Times New Roman" w:hAnsi="Times New Roman"/>
        </w:rPr>
        <w:t xml:space="preserve">electric </w:t>
      </w:r>
      <w:r w:rsidR="00654EC4" w:rsidRPr="00587017">
        <w:rPr>
          <w:rFonts w:ascii="Times New Roman" w:hAnsi="Times New Roman"/>
        </w:rPr>
        <w:t xml:space="preserve">net revenues.  </w:t>
      </w:r>
      <w:r w:rsidR="00C22159" w:rsidRPr="00587017">
        <w:rPr>
          <w:rFonts w:ascii="Times New Roman" w:hAnsi="Times New Roman"/>
        </w:rPr>
        <w:t>A</w:t>
      </w:r>
      <w:r w:rsidR="00654EC4" w:rsidRPr="00587017">
        <w:rPr>
          <w:rFonts w:ascii="Times New Roman" w:hAnsi="Times New Roman"/>
        </w:rPr>
        <w:t xml:space="preserve">s noted above, the probability of extreme negative outcomes in </w:t>
      </w:r>
      <w:r w:rsidR="00CA7F00">
        <w:rPr>
          <w:rFonts w:ascii="Times New Roman" w:hAnsi="Times New Roman"/>
        </w:rPr>
        <w:t>the Company’s Washington electric utility</w:t>
      </w:r>
      <w:r w:rsidR="00654EC4" w:rsidRPr="00587017">
        <w:rPr>
          <w:rFonts w:ascii="Times New Roman" w:hAnsi="Times New Roman"/>
        </w:rPr>
        <w:t xml:space="preserve"> </w:t>
      </w:r>
      <w:r w:rsidR="00C22159" w:rsidRPr="00587017">
        <w:rPr>
          <w:rFonts w:ascii="Times New Roman" w:hAnsi="Times New Roman"/>
        </w:rPr>
        <w:t xml:space="preserve">net </w:t>
      </w:r>
      <w:r w:rsidR="00654EC4" w:rsidRPr="00587017">
        <w:rPr>
          <w:rFonts w:ascii="Times New Roman" w:hAnsi="Times New Roman"/>
        </w:rPr>
        <w:t xml:space="preserve">revenues is reduced by about 0.87% when the historical revenue variance is reduced by the 40% factor </w:t>
      </w:r>
      <w:r w:rsidR="00502279">
        <w:rPr>
          <w:rFonts w:ascii="Times New Roman" w:hAnsi="Times New Roman"/>
        </w:rPr>
        <w:t>discussed</w:t>
      </w:r>
      <w:r w:rsidR="00654EC4" w:rsidRPr="00587017">
        <w:rPr>
          <w:rFonts w:ascii="Times New Roman" w:hAnsi="Times New Roman"/>
        </w:rPr>
        <w:t xml:space="preserve"> previously.  When this percentage is multiplied by </w:t>
      </w:r>
      <w:r w:rsidR="00792979">
        <w:rPr>
          <w:rFonts w:ascii="Times New Roman" w:hAnsi="Times New Roman"/>
        </w:rPr>
        <w:t>the electric operations’</w:t>
      </w:r>
      <w:r w:rsidR="00654EC4" w:rsidRPr="00587017">
        <w:rPr>
          <w:rFonts w:ascii="Times New Roman" w:hAnsi="Times New Roman"/>
        </w:rPr>
        <w:t xml:space="preserve"> average annual net revenue over the past </w:t>
      </w:r>
      <w:r w:rsidR="009626CA">
        <w:rPr>
          <w:rFonts w:ascii="Times New Roman" w:hAnsi="Times New Roman"/>
        </w:rPr>
        <w:t>twelve</w:t>
      </w:r>
      <w:r w:rsidR="00654EC4" w:rsidRPr="00587017">
        <w:rPr>
          <w:rFonts w:ascii="Times New Roman" w:hAnsi="Times New Roman"/>
        </w:rPr>
        <w:t xml:space="preserve"> years </w:t>
      </w:r>
      <w:r w:rsidR="00654EC4" w:rsidRPr="009626CA">
        <w:rPr>
          <w:rFonts w:ascii="Times New Roman" w:hAnsi="Times New Roman"/>
        </w:rPr>
        <w:t>($</w:t>
      </w:r>
      <w:r w:rsidR="00B2659B">
        <w:rPr>
          <w:rFonts w:ascii="Times New Roman" w:hAnsi="Times New Roman"/>
        </w:rPr>
        <w:t>389.645</w:t>
      </w:r>
      <w:r w:rsidR="00654EC4" w:rsidRPr="009626CA">
        <w:rPr>
          <w:rFonts w:ascii="Times New Roman" w:hAnsi="Times New Roman"/>
        </w:rPr>
        <w:t xml:space="preserve"> Million</w:t>
      </w:r>
      <w:r w:rsidR="00654EC4" w:rsidRPr="00587017">
        <w:rPr>
          <w:rFonts w:ascii="Times New Roman" w:hAnsi="Times New Roman"/>
        </w:rPr>
        <w:t xml:space="preserve">), the result is </w:t>
      </w:r>
      <w:r w:rsidR="00654EC4" w:rsidRPr="00B2659B">
        <w:rPr>
          <w:rFonts w:ascii="Times New Roman" w:hAnsi="Times New Roman"/>
        </w:rPr>
        <w:t>$</w:t>
      </w:r>
      <w:r w:rsidR="00B2659B" w:rsidRPr="00B2659B">
        <w:rPr>
          <w:rFonts w:ascii="Times New Roman" w:hAnsi="Times New Roman"/>
        </w:rPr>
        <w:t>3.386</w:t>
      </w:r>
      <w:r w:rsidR="00413DC9" w:rsidRPr="00B2659B">
        <w:rPr>
          <w:rFonts w:ascii="Times New Roman" w:hAnsi="Times New Roman"/>
        </w:rPr>
        <w:t xml:space="preserve"> Million</w:t>
      </w:r>
      <w:r w:rsidR="00413DC9" w:rsidRPr="00587017">
        <w:rPr>
          <w:rFonts w:ascii="Times New Roman" w:hAnsi="Times New Roman"/>
        </w:rPr>
        <w:t xml:space="preserve"> annually.  </w:t>
      </w:r>
      <w:r w:rsidR="00B2659B">
        <w:rPr>
          <w:rFonts w:ascii="Times New Roman" w:hAnsi="Times New Roman"/>
        </w:rPr>
        <w:t>That is</w:t>
      </w:r>
      <w:r w:rsidR="00413DC9" w:rsidRPr="00587017">
        <w:rPr>
          <w:rFonts w:ascii="Times New Roman" w:hAnsi="Times New Roman"/>
        </w:rPr>
        <w:t>, d</w:t>
      </w:r>
      <w:r w:rsidR="00654EC4" w:rsidRPr="00587017">
        <w:rPr>
          <w:rFonts w:ascii="Times New Roman" w:hAnsi="Times New Roman"/>
        </w:rPr>
        <w:t xml:space="preserve">ue to the risk-reducing nature of </w:t>
      </w:r>
      <w:r w:rsidR="005240BF" w:rsidRPr="00587017">
        <w:rPr>
          <w:rFonts w:ascii="Times New Roman" w:hAnsi="Times New Roman"/>
        </w:rPr>
        <w:t xml:space="preserve">revenue </w:t>
      </w:r>
      <w:r w:rsidR="00654EC4" w:rsidRPr="00587017">
        <w:rPr>
          <w:rFonts w:ascii="Times New Roman" w:hAnsi="Times New Roman"/>
        </w:rPr>
        <w:t xml:space="preserve">decoupling, investors would be indifferent between </w:t>
      </w:r>
      <w:r w:rsidR="00792979">
        <w:rPr>
          <w:rFonts w:ascii="Times New Roman" w:hAnsi="Times New Roman"/>
        </w:rPr>
        <w:t>Avis</w:t>
      </w:r>
      <w:r w:rsidR="00B2659B">
        <w:rPr>
          <w:rFonts w:ascii="Times New Roman" w:hAnsi="Times New Roman"/>
        </w:rPr>
        <w:t>ta’s Washington electric operati</w:t>
      </w:r>
      <w:r w:rsidR="00792979">
        <w:rPr>
          <w:rFonts w:ascii="Times New Roman" w:hAnsi="Times New Roman"/>
        </w:rPr>
        <w:t>ons</w:t>
      </w:r>
      <w:r w:rsidR="00654EC4" w:rsidRPr="00587017">
        <w:rPr>
          <w:rFonts w:ascii="Times New Roman" w:hAnsi="Times New Roman"/>
        </w:rPr>
        <w:t xml:space="preserve"> realizing an average of approximately </w:t>
      </w:r>
      <w:r w:rsidR="00654EC4" w:rsidRPr="00B2659B">
        <w:rPr>
          <w:rFonts w:ascii="Times New Roman" w:hAnsi="Times New Roman"/>
        </w:rPr>
        <w:t>$</w:t>
      </w:r>
      <w:r w:rsidR="00B2659B">
        <w:rPr>
          <w:rFonts w:ascii="Times New Roman" w:hAnsi="Times New Roman"/>
        </w:rPr>
        <w:t>389</w:t>
      </w:r>
      <w:r w:rsidR="000123B1" w:rsidRPr="00B2659B">
        <w:rPr>
          <w:rFonts w:ascii="Times New Roman" w:hAnsi="Times New Roman"/>
        </w:rPr>
        <w:t xml:space="preserve"> </w:t>
      </w:r>
      <w:r w:rsidR="00654EC4" w:rsidRPr="00B2659B">
        <w:rPr>
          <w:rFonts w:ascii="Times New Roman" w:hAnsi="Times New Roman"/>
        </w:rPr>
        <w:t>Million</w:t>
      </w:r>
      <w:r w:rsidR="00654EC4" w:rsidRPr="00587017">
        <w:rPr>
          <w:rFonts w:ascii="Times New Roman" w:hAnsi="Times New Roman"/>
        </w:rPr>
        <w:t xml:space="preserve"> in net revenues per year as it has under traditional regulation and receiving </w:t>
      </w:r>
      <w:r w:rsidR="00233748" w:rsidRPr="00233748">
        <w:rPr>
          <w:rFonts w:ascii="Times New Roman" w:hAnsi="Times New Roman"/>
        </w:rPr>
        <w:t>$3.3 Million</w:t>
      </w:r>
      <w:r w:rsidR="00654EC4" w:rsidRPr="00587017">
        <w:rPr>
          <w:rFonts w:ascii="Times New Roman" w:hAnsi="Times New Roman"/>
        </w:rPr>
        <w:t xml:space="preserve"> less than that amount annually under a </w:t>
      </w:r>
      <w:r w:rsidR="00B56DC7" w:rsidRPr="00587017">
        <w:rPr>
          <w:rFonts w:ascii="Times New Roman" w:hAnsi="Times New Roman"/>
        </w:rPr>
        <w:t xml:space="preserve">revenue </w:t>
      </w:r>
      <w:r w:rsidR="00654EC4" w:rsidRPr="00587017">
        <w:rPr>
          <w:rFonts w:ascii="Times New Roman" w:hAnsi="Times New Roman"/>
        </w:rPr>
        <w:t>decoupling regulatory framework.</w:t>
      </w:r>
      <w:r w:rsidR="000123B1" w:rsidRPr="00587017">
        <w:rPr>
          <w:rStyle w:val="FootnoteReference"/>
          <w:rFonts w:ascii="Times New Roman" w:hAnsi="Times New Roman"/>
        </w:rPr>
        <w:footnoteReference w:id="4"/>
      </w:r>
    </w:p>
    <w:p w:rsidR="00654EC4" w:rsidRPr="00587017" w:rsidRDefault="000123B1" w:rsidP="0098616D">
      <w:pPr>
        <w:spacing w:line="480" w:lineRule="auto"/>
        <w:rPr>
          <w:rFonts w:ascii="Times New Roman" w:hAnsi="Times New Roman"/>
        </w:rPr>
      </w:pPr>
      <w:r w:rsidRPr="00587017">
        <w:rPr>
          <w:rFonts w:ascii="Times New Roman" w:hAnsi="Times New Roman"/>
        </w:rPr>
        <w:tab/>
      </w:r>
      <w:r w:rsidR="00654EC4" w:rsidRPr="00587017">
        <w:rPr>
          <w:rFonts w:ascii="Times New Roman" w:hAnsi="Times New Roman"/>
        </w:rPr>
        <w:t>This annual reduction in revenues</w:t>
      </w:r>
      <w:r w:rsidR="003F5A4D" w:rsidRPr="00587017">
        <w:rPr>
          <w:rFonts w:ascii="Times New Roman" w:hAnsi="Times New Roman"/>
        </w:rPr>
        <w:t xml:space="preserve"> for </w:t>
      </w:r>
      <w:r w:rsidR="001B3509">
        <w:rPr>
          <w:rFonts w:ascii="Times New Roman" w:hAnsi="Times New Roman"/>
        </w:rPr>
        <w:t>Avista’s electric operations</w:t>
      </w:r>
      <w:r w:rsidR="00654EC4" w:rsidRPr="00587017">
        <w:rPr>
          <w:rFonts w:ascii="Times New Roman" w:hAnsi="Times New Roman"/>
        </w:rPr>
        <w:t xml:space="preserve"> is translated in to an equity return differential by fir</w:t>
      </w:r>
      <w:r w:rsidR="003F5A4D" w:rsidRPr="00587017">
        <w:rPr>
          <w:rFonts w:ascii="Times New Roman" w:hAnsi="Times New Roman"/>
        </w:rPr>
        <w:t xml:space="preserve">st estimating that during the </w:t>
      </w:r>
      <w:r w:rsidR="001B3509">
        <w:rPr>
          <w:rFonts w:ascii="Times New Roman" w:hAnsi="Times New Roman"/>
        </w:rPr>
        <w:t>12</w:t>
      </w:r>
      <w:r w:rsidR="00654EC4" w:rsidRPr="00587017">
        <w:rPr>
          <w:rFonts w:ascii="Times New Roman" w:hAnsi="Times New Roman"/>
        </w:rPr>
        <w:t xml:space="preserve">-year study period, </w:t>
      </w:r>
      <w:r w:rsidR="001B3509">
        <w:rPr>
          <w:rFonts w:ascii="Times New Roman" w:hAnsi="Times New Roman"/>
        </w:rPr>
        <w:t>the Company’s electric</w:t>
      </w:r>
      <w:r w:rsidR="00654EC4" w:rsidRPr="00587017">
        <w:rPr>
          <w:rFonts w:ascii="Times New Roman" w:hAnsi="Times New Roman"/>
        </w:rPr>
        <w:t xml:space="preserve"> utility </w:t>
      </w:r>
      <w:r w:rsidR="001B3509">
        <w:rPr>
          <w:rFonts w:ascii="Times New Roman" w:hAnsi="Times New Roman"/>
        </w:rPr>
        <w:t xml:space="preserve">jurisdictional </w:t>
      </w:r>
      <w:r w:rsidR="00654EC4" w:rsidRPr="00587017">
        <w:rPr>
          <w:rFonts w:ascii="Times New Roman" w:hAnsi="Times New Roman"/>
        </w:rPr>
        <w:t xml:space="preserve">rate base averaged </w:t>
      </w:r>
      <w:r w:rsidR="00233748" w:rsidRPr="00233748">
        <w:rPr>
          <w:rFonts w:ascii="Times New Roman" w:hAnsi="Times New Roman"/>
        </w:rPr>
        <w:t>$876</w:t>
      </w:r>
      <w:r w:rsidR="00233748">
        <w:rPr>
          <w:rFonts w:ascii="Times New Roman" w:hAnsi="Times New Roman"/>
          <w:color w:val="FF6600"/>
        </w:rPr>
        <w:t xml:space="preserve"> </w:t>
      </w:r>
      <w:r w:rsidR="00654EC4" w:rsidRPr="00587017">
        <w:rPr>
          <w:rFonts w:ascii="Times New Roman" w:hAnsi="Times New Roman"/>
        </w:rPr>
        <w:t>Million and its common equity ratio averaged </w:t>
      </w:r>
      <w:r w:rsidR="001A015F">
        <w:rPr>
          <w:rFonts w:ascii="Times New Roman" w:hAnsi="Times New Roman"/>
        </w:rPr>
        <w:t>46.68</w:t>
      </w:r>
      <w:r w:rsidR="00654EC4" w:rsidRPr="001A015F">
        <w:rPr>
          <w:rFonts w:ascii="Times New Roman" w:hAnsi="Times New Roman"/>
        </w:rPr>
        <w:t>%.</w:t>
      </w:r>
      <w:r w:rsidR="00654EC4" w:rsidRPr="001A015F">
        <w:rPr>
          <w:rStyle w:val="FootnoteReference"/>
          <w:rFonts w:ascii="Times New Roman" w:hAnsi="Times New Roman"/>
        </w:rPr>
        <w:footnoteReference w:id="5"/>
      </w:r>
      <w:r w:rsidR="003D1D6B" w:rsidRPr="00587017">
        <w:rPr>
          <w:rFonts w:ascii="Times New Roman" w:hAnsi="Times New Roman"/>
        </w:rPr>
        <w:t xml:space="preserve"> </w:t>
      </w:r>
      <w:r w:rsidR="00654EC4" w:rsidRPr="00587017">
        <w:rPr>
          <w:rFonts w:ascii="Times New Roman" w:hAnsi="Times New Roman"/>
        </w:rPr>
        <w:t xml:space="preserve">Given the historical record established by the Company, a 1% reduction in equity return over the historical period studied would, on average, have resulted in an annual return-related revenue reduction of </w:t>
      </w:r>
      <w:r w:rsidR="00654EC4" w:rsidRPr="00E2755D">
        <w:rPr>
          <w:rFonts w:ascii="Times New Roman" w:hAnsi="Times New Roman"/>
        </w:rPr>
        <w:t>$</w:t>
      </w:r>
      <w:r w:rsidR="00E2755D">
        <w:rPr>
          <w:rFonts w:ascii="Times New Roman" w:hAnsi="Times New Roman"/>
        </w:rPr>
        <w:t>6.29</w:t>
      </w:r>
      <w:r w:rsidR="00F36A75" w:rsidRPr="00587017">
        <w:rPr>
          <w:rFonts w:ascii="Times New Roman" w:hAnsi="Times New Roman"/>
        </w:rPr>
        <w:t xml:space="preserve"> </w:t>
      </w:r>
      <w:r w:rsidR="00654EC4" w:rsidRPr="00587017">
        <w:rPr>
          <w:rFonts w:ascii="Times New Roman" w:hAnsi="Times New Roman"/>
        </w:rPr>
        <w:t xml:space="preserve">Million (1% x </w:t>
      </w:r>
      <w:r w:rsidR="00564B3F">
        <w:rPr>
          <w:rFonts w:ascii="Times New Roman" w:hAnsi="Times New Roman"/>
        </w:rPr>
        <w:t>46.68%</w:t>
      </w:r>
      <w:r w:rsidR="00654EC4" w:rsidRPr="00587017">
        <w:rPr>
          <w:rFonts w:ascii="Times New Roman" w:hAnsi="Times New Roman"/>
        </w:rPr>
        <w:t xml:space="preserve"> (equity ratio) x </w:t>
      </w:r>
      <w:r w:rsidR="00564B3F" w:rsidRPr="00564B3F">
        <w:rPr>
          <w:rFonts w:ascii="Times New Roman" w:hAnsi="Times New Roman"/>
        </w:rPr>
        <w:t>$876.683</w:t>
      </w:r>
      <w:r w:rsidR="00654EC4" w:rsidRPr="00564B3F">
        <w:rPr>
          <w:rFonts w:ascii="Times New Roman" w:hAnsi="Times New Roman"/>
        </w:rPr>
        <w:t xml:space="preserve"> </w:t>
      </w:r>
      <w:r w:rsidR="00654EC4" w:rsidRPr="00587017">
        <w:rPr>
          <w:rFonts w:ascii="Times New Roman" w:hAnsi="Times New Roman"/>
        </w:rPr>
        <w:t>Million (Rate Base) ÷ (1</w:t>
      </w:r>
      <w:r w:rsidR="00654EC4" w:rsidRPr="00587017">
        <w:rPr>
          <w:rFonts w:ascii="Times New Roman" w:hAnsi="Times New Roman"/>
        </w:rPr>
        <w:noBreakHyphen/>
        <w:t xml:space="preserve">35% tax rate)).  Therefore, if an </w:t>
      </w:r>
      <w:r w:rsidR="00654EC4" w:rsidRPr="00587017">
        <w:rPr>
          <w:rFonts w:ascii="Times New Roman" w:hAnsi="Times New Roman"/>
        </w:rPr>
        <w:lastRenderedPageBreak/>
        <w:t>appropriate return adjustment for decoupling calls for a reduction of</w:t>
      </w:r>
      <w:r w:rsidR="00776165" w:rsidRPr="00587017">
        <w:rPr>
          <w:rFonts w:ascii="Times New Roman" w:hAnsi="Times New Roman"/>
        </w:rPr>
        <w:t xml:space="preserve"> approximately</w:t>
      </w:r>
      <w:r w:rsidR="00654EC4" w:rsidRPr="00587017">
        <w:rPr>
          <w:rFonts w:ascii="Times New Roman" w:hAnsi="Times New Roman"/>
        </w:rPr>
        <w:t xml:space="preserve"> </w:t>
      </w:r>
      <w:r w:rsidR="00564B3F">
        <w:rPr>
          <w:rFonts w:ascii="Times New Roman" w:hAnsi="Times New Roman"/>
        </w:rPr>
        <w:t>$3.4</w:t>
      </w:r>
      <w:r w:rsidR="00654EC4" w:rsidRPr="00587017">
        <w:rPr>
          <w:rFonts w:ascii="Times New Roman" w:hAnsi="Times New Roman"/>
        </w:rPr>
        <w:t xml:space="preserve"> Million in annual revenues (as noted above and shown on </w:t>
      </w:r>
      <w:r w:rsidR="00BF5286">
        <w:rPr>
          <w:rFonts w:ascii="Times New Roman" w:hAnsi="Times New Roman"/>
        </w:rPr>
        <w:t>Exhibit_</w:t>
      </w:r>
      <w:proofErr w:type="gramStart"/>
      <w:r w:rsidR="00BF5286">
        <w:rPr>
          <w:rFonts w:ascii="Times New Roman" w:hAnsi="Times New Roman"/>
        </w:rPr>
        <w:t>_(</w:t>
      </w:r>
      <w:proofErr w:type="gramEnd"/>
      <w:r w:rsidR="00BF5286">
        <w:rPr>
          <w:rFonts w:ascii="Times New Roman" w:hAnsi="Times New Roman"/>
        </w:rPr>
        <w:t>SGH-</w:t>
      </w:r>
      <w:r w:rsidR="009B05CA">
        <w:rPr>
          <w:rFonts w:ascii="Times New Roman" w:hAnsi="Times New Roman"/>
        </w:rPr>
        <w:t>13</w:t>
      </w:r>
      <w:r w:rsidR="00BF5286">
        <w:rPr>
          <w:rFonts w:ascii="Times New Roman" w:hAnsi="Times New Roman"/>
        </w:rPr>
        <w:t>)</w:t>
      </w:r>
      <w:r w:rsidR="00776165" w:rsidRPr="00587017">
        <w:rPr>
          <w:rFonts w:ascii="Times New Roman" w:hAnsi="Times New Roman"/>
        </w:rPr>
        <w:t>, page 4</w:t>
      </w:r>
      <w:r w:rsidR="00654EC4" w:rsidRPr="00587017">
        <w:rPr>
          <w:rFonts w:ascii="Times New Roman" w:hAnsi="Times New Roman"/>
        </w:rPr>
        <w:t xml:space="preserve">), and a 1% reduction would have caused a revenue reduction of about </w:t>
      </w:r>
      <w:r w:rsidR="00803299">
        <w:rPr>
          <w:rFonts w:ascii="Times New Roman" w:hAnsi="Times New Roman"/>
        </w:rPr>
        <w:t>$6.29</w:t>
      </w:r>
      <w:r w:rsidR="00654EC4" w:rsidRPr="00587017">
        <w:rPr>
          <w:rFonts w:ascii="Times New Roman" w:hAnsi="Times New Roman"/>
        </w:rPr>
        <w:t xml:space="preserve"> Million, then an equ</w:t>
      </w:r>
      <w:r w:rsidR="00BE32AC" w:rsidRPr="00587017">
        <w:rPr>
          <w:rFonts w:ascii="Times New Roman" w:hAnsi="Times New Roman"/>
        </w:rPr>
        <w:t xml:space="preserve">ity return adjustment of </w:t>
      </w:r>
      <w:r w:rsidR="00803299" w:rsidRPr="00803299">
        <w:rPr>
          <w:rFonts w:ascii="Times New Roman" w:hAnsi="Times New Roman"/>
        </w:rPr>
        <w:t>54</w:t>
      </w:r>
      <w:r w:rsidR="00654EC4" w:rsidRPr="00587017">
        <w:rPr>
          <w:rFonts w:ascii="Times New Roman" w:hAnsi="Times New Roman"/>
        </w:rPr>
        <w:t xml:space="preserve"> basis points</w:t>
      </w:r>
      <w:r w:rsidR="00F703D5" w:rsidRPr="00587017">
        <w:rPr>
          <w:rFonts w:ascii="Times New Roman" w:hAnsi="Times New Roman"/>
        </w:rPr>
        <w:t xml:space="preserve"> for </w:t>
      </w:r>
      <w:r w:rsidR="00BF5286">
        <w:rPr>
          <w:rFonts w:ascii="Times New Roman" w:hAnsi="Times New Roman"/>
        </w:rPr>
        <w:t>Avista’s electric operations</w:t>
      </w:r>
      <w:r w:rsidR="00654EC4" w:rsidRPr="00587017">
        <w:rPr>
          <w:rFonts w:ascii="Times New Roman" w:hAnsi="Times New Roman"/>
        </w:rPr>
        <w:t xml:space="preserve"> would be indicated under a decoupling </w:t>
      </w:r>
      <w:r w:rsidR="00F858E9">
        <w:rPr>
          <w:rFonts w:ascii="Times New Roman" w:hAnsi="Times New Roman"/>
        </w:rPr>
        <w:t xml:space="preserve">regulatory </w:t>
      </w:r>
      <w:r w:rsidR="00654EC4" w:rsidRPr="00587017">
        <w:rPr>
          <w:rFonts w:ascii="Times New Roman" w:hAnsi="Times New Roman"/>
        </w:rPr>
        <w:t>regime (1% x </w:t>
      </w:r>
      <w:r w:rsidR="00803299" w:rsidRPr="00803299">
        <w:rPr>
          <w:rFonts w:ascii="Times New Roman" w:hAnsi="Times New Roman"/>
        </w:rPr>
        <w:t>3.386 Mill/$6.29 Mill</w:t>
      </w:r>
      <w:r w:rsidR="00654EC4" w:rsidRPr="00587017">
        <w:rPr>
          <w:rFonts w:ascii="Times New Roman" w:hAnsi="Times New Roman"/>
        </w:rPr>
        <w:t>.).</w:t>
      </w:r>
    </w:p>
    <w:p w:rsidR="001E32B2" w:rsidRPr="00587017" w:rsidRDefault="00C4680B" w:rsidP="0098616D">
      <w:pPr>
        <w:spacing w:line="480" w:lineRule="auto"/>
        <w:rPr>
          <w:rFonts w:ascii="Times New Roman" w:hAnsi="Times New Roman"/>
        </w:rPr>
      </w:pPr>
      <w:r w:rsidRPr="00587017">
        <w:rPr>
          <w:rFonts w:ascii="Times New Roman" w:hAnsi="Times New Roman"/>
        </w:rPr>
        <w:tab/>
        <w:t xml:space="preserve">Page 4 of </w:t>
      </w:r>
      <w:r w:rsidR="00F858E9">
        <w:rPr>
          <w:rFonts w:ascii="Times New Roman" w:hAnsi="Times New Roman"/>
        </w:rPr>
        <w:t>Exhibit_</w:t>
      </w:r>
      <w:proofErr w:type="gramStart"/>
      <w:r w:rsidR="00F858E9">
        <w:rPr>
          <w:rFonts w:ascii="Times New Roman" w:hAnsi="Times New Roman"/>
        </w:rPr>
        <w:t>_(</w:t>
      </w:r>
      <w:proofErr w:type="gramEnd"/>
      <w:r w:rsidR="00F858E9">
        <w:rPr>
          <w:rFonts w:ascii="Times New Roman" w:hAnsi="Times New Roman"/>
        </w:rPr>
        <w:t>SGH-</w:t>
      </w:r>
      <w:r w:rsidR="009B05CA">
        <w:rPr>
          <w:rFonts w:ascii="Times New Roman" w:hAnsi="Times New Roman"/>
        </w:rPr>
        <w:t>14</w:t>
      </w:r>
      <w:r w:rsidR="00F858E9">
        <w:rPr>
          <w:rFonts w:ascii="Times New Roman" w:hAnsi="Times New Roman"/>
        </w:rPr>
        <w:t>)</w:t>
      </w:r>
      <w:r w:rsidRPr="00587017">
        <w:rPr>
          <w:rFonts w:ascii="Times New Roman" w:hAnsi="Times New Roman"/>
        </w:rPr>
        <w:t xml:space="preserve"> show</w:t>
      </w:r>
      <w:r w:rsidR="00F858E9">
        <w:rPr>
          <w:rFonts w:ascii="Times New Roman" w:hAnsi="Times New Roman"/>
        </w:rPr>
        <w:t>s</w:t>
      </w:r>
      <w:r w:rsidRPr="00587017">
        <w:rPr>
          <w:rFonts w:ascii="Times New Roman" w:hAnsi="Times New Roman"/>
        </w:rPr>
        <w:t xml:space="preserve"> that appropriate </w:t>
      </w:r>
      <w:r w:rsidR="0014499D" w:rsidRPr="00587017">
        <w:rPr>
          <w:rFonts w:ascii="Times New Roman" w:hAnsi="Times New Roman"/>
        </w:rPr>
        <w:t xml:space="preserve">decoupling-related </w:t>
      </w:r>
      <w:r w:rsidRPr="00587017">
        <w:rPr>
          <w:rFonts w:ascii="Times New Roman" w:hAnsi="Times New Roman"/>
        </w:rPr>
        <w:t xml:space="preserve">equity return decrements </w:t>
      </w:r>
      <w:r w:rsidR="0014499D" w:rsidRPr="00587017">
        <w:rPr>
          <w:rFonts w:ascii="Times New Roman" w:hAnsi="Times New Roman"/>
        </w:rPr>
        <w:t xml:space="preserve">for </w:t>
      </w:r>
      <w:r w:rsidR="00F858E9">
        <w:rPr>
          <w:rFonts w:ascii="Times New Roman" w:hAnsi="Times New Roman"/>
        </w:rPr>
        <w:t>Avista’s gas distribution operations in Washington</w:t>
      </w:r>
      <w:r w:rsidR="00916D17">
        <w:rPr>
          <w:rFonts w:ascii="Times New Roman" w:hAnsi="Times New Roman"/>
        </w:rPr>
        <w:t xml:space="preserve">, assuming a 50% reduction in </w:t>
      </w:r>
      <w:r w:rsidR="007E03E3">
        <w:rPr>
          <w:rFonts w:ascii="Times New Roman" w:hAnsi="Times New Roman"/>
        </w:rPr>
        <w:t>revenue volatility,</w:t>
      </w:r>
      <w:r w:rsidR="0014499D" w:rsidRPr="00587017">
        <w:rPr>
          <w:rFonts w:ascii="Times New Roman" w:hAnsi="Times New Roman"/>
        </w:rPr>
        <w:t xml:space="preserve"> </w:t>
      </w:r>
      <w:r w:rsidR="00916D17">
        <w:rPr>
          <w:rFonts w:ascii="Times New Roman" w:hAnsi="Times New Roman"/>
        </w:rPr>
        <w:t>is 82</w:t>
      </w:r>
      <w:r w:rsidR="00F858E9">
        <w:rPr>
          <w:rFonts w:ascii="Times New Roman" w:hAnsi="Times New Roman"/>
        </w:rPr>
        <w:t xml:space="preserve"> basis points</w:t>
      </w:r>
      <w:r w:rsidR="0014499D" w:rsidRPr="00587017">
        <w:rPr>
          <w:rFonts w:ascii="Times New Roman" w:hAnsi="Times New Roman"/>
        </w:rPr>
        <w:t xml:space="preserve">. </w:t>
      </w:r>
      <w:r w:rsidR="00654EC4" w:rsidRPr="00587017">
        <w:rPr>
          <w:rFonts w:ascii="Times New Roman" w:hAnsi="Times New Roman"/>
        </w:rPr>
        <w:t xml:space="preserve">Therefore, </w:t>
      </w:r>
      <w:r w:rsidR="00A42AA1">
        <w:rPr>
          <w:rFonts w:ascii="Times New Roman" w:hAnsi="Times New Roman"/>
        </w:rPr>
        <w:t xml:space="preserve">as </w:t>
      </w:r>
      <w:r w:rsidR="00654EC4" w:rsidRPr="00587017">
        <w:rPr>
          <w:rFonts w:ascii="Times New Roman" w:hAnsi="Times New Roman"/>
        </w:rPr>
        <w:t>an appropriate equ</w:t>
      </w:r>
      <w:r w:rsidR="001E32B2" w:rsidRPr="00587017">
        <w:rPr>
          <w:rFonts w:ascii="Times New Roman" w:hAnsi="Times New Roman"/>
        </w:rPr>
        <w:t xml:space="preserve">ity return decrement related to </w:t>
      </w:r>
      <w:r w:rsidR="00654EC4" w:rsidRPr="00587017">
        <w:rPr>
          <w:rFonts w:ascii="Times New Roman" w:hAnsi="Times New Roman"/>
        </w:rPr>
        <w:t xml:space="preserve">decoupling utility revenues from unit sales, </w:t>
      </w:r>
      <w:r w:rsidR="00833BAD">
        <w:rPr>
          <w:rFonts w:ascii="Times New Roman" w:hAnsi="Times New Roman"/>
        </w:rPr>
        <w:t>I</w:t>
      </w:r>
      <w:r w:rsidR="00654EC4" w:rsidRPr="00587017">
        <w:rPr>
          <w:rFonts w:ascii="Times New Roman" w:hAnsi="Times New Roman"/>
        </w:rPr>
        <w:t xml:space="preserve"> </w:t>
      </w:r>
      <w:r w:rsidR="001E32B2" w:rsidRPr="00587017">
        <w:rPr>
          <w:rFonts w:ascii="Times New Roman" w:hAnsi="Times New Roman"/>
        </w:rPr>
        <w:t xml:space="preserve">recommend the Commission use </w:t>
      </w:r>
      <w:r w:rsidR="00833BAD">
        <w:rPr>
          <w:rFonts w:ascii="Times New Roman" w:hAnsi="Times New Roman"/>
        </w:rPr>
        <w:t>50</w:t>
      </w:r>
      <w:r w:rsidR="00654EC4" w:rsidRPr="00587017">
        <w:rPr>
          <w:rFonts w:ascii="Times New Roman" w:hAnsi="Times New Roman"/>
        </w:rPr>
        <w:t xml:space="preserve"> basis points for </w:t>
      </w:r>
      <w:r w:rsidR="00A42AA1">
        <w:rPr>
          <w:rFonts w:ascii="Times New Roman" w:hAnsi="Times New Roman"/>
        </w:rPr>
        <w:t>Avista</w:t>
      </w:r>
      <w:r w:rsidR="001E32B2" w:rsidRPr="00587017">
        <w:rPr>
          <w:rFonts w:ascii="Times New Roman" w:hAnsi="Times New Roman"/>
        </w:rPr>
        <w:t xml:space="preserve"> companies</w:t>
      </w:r>
      <w:r w:rsidR="00654EC4" w:rsidRPr="00587017">
        <w:rPr>
          <w:rFonts w:ascii="Times New Roman" w:hAnsi="Times New Roman"/>
        </w:rPr>
        <w:t xml:space="preserve"> in this proceeding. </w:t>
      </w:r>
      <w:r w:rsidR="00A42AA1">
        <w:rPr>
          <w:rFonts w:ascii="Times New Roman" w:hAnsi="Times New Roman"/>
        </w:rPr>
        <w:t xml:space="preserve">In other words, with a decoupling regime in place, </w:t>
      </w:r>
      <w:r w:rsidR="00667AEA">
        <w:rPr>
          <w:rFonts w:ascii="Times New Roman" w:hAnsi="Times New Roman"/>
        </w:rPr>
        <w:t xml:space="preserve">in order to balance the interests of ratepayers and the Company’s stockholders, </w:t>
      </w:r>
      <w:r w:rsidR="00A42AA1">
        <w:rPr>
          <w:rFonts w:ascii="Times New Roman" w:hAnsi="Times New Roman"/>
        </w:rPr>
        <w:t>Avista’s allowed return on common equity should be</w:t>
      </w:r>
      <w:r w:rsidR="00667AEA">
        <w:rPr>
          <w:rFonts w:ascii="Times New Roman" w:hAnsi="Times New Roman"/>
        </w:rPr>
        <w:t xml:space="preserve"> reduced by 50 bas</w:t>
      </w:r>
      <w:r w:rsidR="007E03E3">
        <w:rPr>
          <w:rFonts w:ascii="Times New Roman" w:hAnsi="Times New Roman"/>
        </w:rPr>
        <w:t xml:space="preserve">is points from that determined </w:t>
      </w:r>
      <w:r w:rsidR="00667AEA">
        <w:rPr>
          <w:rFonts w:ascii="Times New Roman" w:hAnsi="Times New Roman"/>
        </w:rPr>
        <w:t>in a market-based analysis.</w:t>
      </w:r>
    </w:p>
    <w:p w:rsidR="001E32B2" w:rsidRPr="00587017" w:rsidRDefault="001E32B2" w:rsidP="000837A6">
      <w:pPr>
        <w:rPr>
          <w:rFonts w:ascii="Times New Roman" w:hAnsi="Times New Roman"/>
        </w:rPr>
      </w:pPr>
    </w:p>
    <w:p w:rsidR="00EA7FCF" w:rsidRPr="00587017" w:rsidRDefault="00EA7FCF" w:rsidP="009403BE">
      <w:pPr>
        <w:spacing w:line="480" w:lineRule="auto"/>
        <w:jc w:val="left"/>
        <w:rPr>
          <w:rFonts w:ascii="Times New Roman" w:hAnsi="Times New Roman"/>
        </w:rPr>
      </w:pPr>
    </w:p>
    <w:sectPr w:rsidR="00EA7FCF" w:rsidRPr="00587017" w:rsidSect="00EA7FCF">
      <w:headerReference w:type="default"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050" w:rsidRDefault="00862050">
      <w:r>
        <w:separator/>
      </w:r>
    </w:p>
  </w:endnote>
  <w:endnote w:type="continuationSeparator" w:id="0">
    <w:p w:rsidR="00862050" w:rsidRDefault="0086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722" w:rsidRPr="00587017" w:rsidRDefault="00B53722" w:rsidP="001854D0">
    <w:pPr>
      <w:pStyle w:val="Footer"/>
      <w:jc w:val="center"/>
      <w:rPr>
        <w:rFonts w:ascii="Times New Roman" w:hAnsi="Times New Roman"/>
      </w:rPr>
    </w:pPr>
    <w:r w:rsidRPr="00587017">
      <w:rPr>
        <w:rFonts w:ascii="Times New Roman" w:hAnsi="Times New Roman"/>
        <w:szCs w:val="24"/>
      </w:rPr>
      <w:t xml:space="preserve">Page </w:t>
    </w:r>
    <w:r w:rsidRPr="00587017">
      <w:rPr>
        <w:rFonts w:ascii="Times New Roman" w:hAnsi="Times New Roman"/>
        <w:szCs w:val="24"/>
      </w:rPr>
      <w:fldChar w:fldCharType="begin"/>
    </w:r>
    <w:r w:rsidRPr="00587017">
      <w:rPr>
        <w:rFonts w:ascii="Times New Roman" w:hAnsi="Times New Roman"/>
        <w:szCs w:val="24"/>
      </w:rPr>
      <w:instrText xml:space="preserve"> PAGE </w:instrText>
    </w:r>
    <w:r w:rsidRPr="00587017">
      <w:rPr>
        <w:rFonts w:ascii="Times New Roman" w:hAnsi="Times New Roman"/>
        <w:szCs w:val="24"/>
      </w:rPr>
      <w:fldChar w:fldCharType="separate"/>
    </w:r>
    <w:r w:rsidR="00382EF4">
      <w:rPr>
        <w:rFonts w:ascii="Times New Roman" w:hAnsi="Times New Roman"/>
        <w:noProof/>
        <w:szCs w:val="24"/>
      </w:rPr>
      <w:t>1</w:t>
    </w:r>
    <w:r w:rsidRPr="00587017">
      <w:rPr>
        <w:rFonts w:ascii="Times New Roman" w:hAnsi="Times New Roman"/>
        <w:szCs w:val="24"/>
      </w:rPr>
      <w:fldChar w:fldCharType="end"/>
    </w:r>
    <w:r w:rsidRPr="00587017">
      <w:rPr>
        <w:rFonts w:ascii="Times New Roman" w:hAnsi="Times New Roman"/>
        <w:szCs w:val="24"/>
      </w:rPr>
      <w:t xml:space="preserve"> of </w:t>
    </w:r>
    <w:r w:rsidRPr="00587017">
      <w:rPr>
        <w:rFonts w:ascii="Times New Roman" w:hAnsi="Times New Roman"/>
        <w:szCs w:val="24"/>
      </w:rPr>
      <w:fldChar w:fldCharType="begin"/>
    </w:r>
    <w:r w:rsidRPr="00587017">
      <w:rPr>
        <w:rFonts w:ascii="Times New Roman" w:hAnsi="Times New Roman"/>
        <w:szCs w:val="24"/>
      </w:rPr>
      <w:instrText xml:space="preserve"> NUMPAGES </w:instrText>
    </w:r>
    <w:r w:rsidRPr="00587017">
      <w:rPr>
        <w:rFonts w:ascii="Times New Roman" w:hAnsi="Times New Roman"/>
        <w:szCs w:val="24"/>
      </w:rPr>
      <w:fldChar w:fldCharType="separate"/>
    </w:r>
    <w:r w:rsidR="00382EF4">
      <w:rPr>
        <w:rFonts w:ascii="Times New Roman" w:hAnsi="Times New Roman"/>
        <w:noProof/>
        <w:szCs w:val="24"/>
      </w:rPr>
      <w:t>16</w:t>
    </w:r>
    <w:r w:rsidRPr="00587017">
      <w:rPr>
        <w:rFonts w:ascii="Times New Roman" w:hAnsi="Times New Roman"/>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050" w:rsidRDefault="00862050">
      <w:r>
        <w:separator/>
      </w:r>
    </w:p>
  </w:footnote>
  <w:footnote w:type="continuationSeparator" w:id="0">
    <w:p w:rsidR="00862050" w:rsidRDefault="00862050">
      <w:r>
        <w:continuationSeparator/>
      </w:r>
    </w:p>
  </w:footnote>
  <w:footnote w:id="1">
    <w:p w:rsidR="00870D9A" w:rsidRDefault="00870D9A">
      <w:pPr>
        <w:pStyle w:val="FootnoteText"/>
      </w:pPr>
      <w:r>
        <w:rPr>
          <w:rStyle w:val="FootnoteReference"/>
        </w:rPr>
        <w:footnoteRef/>
      </w:r>
      <w:r>
        <w:t xml:space="preserve"> </w:t>
      </w:r>
      <w:proofErr w:type="gramStart"/>
      <w:r w:rsidR="00242800">
        <w:t>Avista’s Response to Public Counsel Data Request 63.</w:t>
      </w:r>
      <w:proofErr w:type="gramEnd"/>
    </w:p>
  </w:footnote>
  <w:footnote w:id="2">
    <w:p w:rsidR="007D452B" w:rsidRDefault="007D452B">
      <w:pPr>
        <w:pStyle w:val="FootnoteText"/>
      </w:pPr>
      <w:r>
        <w:rPr>
          <w:rStyle w:val="FootnoteReference"/>
        </w:rPr>
        <w:footnoteRef/>
      </w:r>
      <w:r>
        <w:t xml:space="preserve"> Exhibits SGH-13 and SHG-14, page 3.</w:t>
      </w:r>
    </w:p>
  </w:footnote>
  <w:footnote w:id="3">
    <w:p w:rsidR="00B53722" w:rsidRPr="00672F49" w:rsidRDefault="00B53722">
      <w:pPr>
        <w:pStyle w:val="FootnoteText"/>
        <w:rPr>
          <w:rFonts w:ascii="Times New Roman" w:hAnsi="Times New Roman"/>
        </w:rPr>
      </w:pPr>
      <w:r>
        <w:rPr>
          <w:rStyle w:val="FootnoteReference"/>
        </w:rPr>
        <w:footnoteRef/>
      </w:r>
      <w:r>
        <w:t xml:space="preserve"> </w:t>
      </w:r>
      <w:r w:rsidRPr="00672F49">
        <w:rPr>
          <w:rFonts w:ascii="Times New Roman" w:hAnsi="Times New Roman"/>
        </w:rPr>
        <w:t>Edison Electric Institute, “Alternative Regulation for Evolving Utility Challenges: An Updated</w:t>
      </w:r>
    </w:p>
    <w:p w:rsidR="00B53722" w:rsidRDefault="00B53722">
      <w:pPr>
        <w:pStyle w:val="FootnoteText"/>
      </w:pPr>
      <w:r w:rsidRPr="00672F49">
        <w:rPr>
          <w:rFonts w:ascii="Times New Roman" w:hAnsi="Times New Roman"/>
        </w:rPr>
        <w:t>Survey,” 2013, p. 16.</w:t>
      </w:r>
    </w:p>
  </w:footnote>
  <w:footnote w:id="4">
    <w:p w:rsidR="00B53722" w:rsidRDefault="00B53722" w:rsidP="009B05CA">
      <w:pPr>
        <w:pStyle w:val="FootnoteText"/>
        <w:ind w:left="0" w:firstLine="0"/>
      </w:pPr>
      <w:r>
        <w:rPr>
          <w:rStyle w:val="FootnoteReference"/>
        </w:rPr>
        <w:footnoteRef/>
      </w:r>
      <w:r>
        <w:t xml:space="preserve"> </w:t>
      </w:r>
      <w:r w:rsidRPr="00A3369F">
        <w:rPr>
          <w:rFonts w:ascii="Times New Roman" w:hAnsi="Times New Roman"/>
        </w:rPr>
        <w:t xml:space="preserve">Similar calculations are shown for </w:t>
      </w:r>
      <w:r>
        <w:rPr>
          <w:rFonts w:ascii="Times New Roman" w:hAnsi="Times New Roman"/>
        </w:rPr>
        <w:t>Avista’s gas operations in Washington in Exhibit_</w:t>
      </w:r>
      <w:proofErr w:type="gramStart"/>
      <w:r>
        <w:rPr>
          <w:rFonts w:ascii="Times New Roman" w:hAnsi="Times New Roman"/>
        </w:rPr>
        <w:t>_(</w:t>
      </w:r>
      <w:proofErr w:type="gramEnd"/>
      <w:r>
        <w:rPr>
          <w:rFonts w:ascii="Times New Roman" w:hAnsi="Times New Roman"/>
        </w:rPr>
        <w:t>SGH-</w:t>
      </w:r>
      <w:r w:rsidR="009B05CA">
        <w:rPr>
          <w:rFonts w:ascii="Times New Roman" w:hAnsi="Times New Roman"/>
        </w:rPr>
        <w:t>14</w:t>
      </w:r>
      <w:r>
        <w:rPr>
          <w:rFonts w:ascii="Times New Roman" w:hAnsi="Times New Roman"/>
        </w:rPr>
        <w:t>), p</w:t>
      </w:r>
      <w:r w:rsidR="009B05CA">
        <w:rPr>
          <w:rFonts w:ascii="Times New Roman" w:hAnsi="Times New Roman"/>
        </w:rPr>
        <w:t>.</w:t>
      </w:r>
      <w:r>
        <w:rPr>
          <w:rFonts w:ascii="Times New Roman" w:hAnsi="Times New Roman"/>
        </w:rPr>
        <w:t xml:space="preserve"> 4</w:t>
      </w:r>
      <w:r w:rsidRPr="00A3369F">
        <w:rPr>
          <w:rFonts w:ascii="Times New Roman" w:hAnsi="Times New Roman"/>
        </w:rPr>
        <w:t>.</w:t>
      </w:r>
    </w:p>
  </w:footnote>
  <w:footnote w:id="5">
    <w:p w:rsidR="00B53722" w:rsidRDefault="00B53722" w:rsidP="00654EC4">
      <w:pPr>
        <w:pStyle w:val="FootnoteText"/>
      </w:pPr>
      <w:r>
        <w:rPr>
          <w:rStyle w:val="FootnoteReference"/>
        </w:rPr>
        <w:footnoteRef/>
      </w:r>
      <w:r>
        <w:t xml:space="preserve"> </w:t>
      </w:r>
      <w:proofErr w:type="gramStart"/>
      <w:r w:rsidRPr="00A3369F">
        <w:rPr>
          <w:rFonts w:ascii="Times New Roman" w:hAnsi="Times New Roman"/>
        </w:rPr>
        <w:t xml:space="preserve">Data from </w:t>
      </w:r>
      <w:r>
        <w:rPr>
          <w:rFonts w:ascii="Times New Roman" w:hAnsi="Times New Roman"/>
        </w:rPr>
        <w:t>Company responses to ICNU-1.19 and PC-63 and 129</w:t>
      </w:r>
      <w:r w:rsidRPr="00A3369F">
        <w:rPr>
          <w:rFonts w:ascii="Times New Roman" w:hAnsi="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32" w:rsidRDefault="009A2632" w:rsidP="00142125">
    <w:pPr>
      <w:pStyle w:val="Header"/>
      <w:jc w:val="right"/>
      <w:rPr>
        <w:rFonts w:ascii="Times New Roman" w:hAnsi="Times New Roman"/>
      </w:rPr>
    </w:pPr>
    <w:r>
      <w:rPr>
        <w:rFonts w:ascii="Times New Roman" w:hAnsi="Times New Roman"/>
      </w:rPr>
      <w:t>Dockets UE-140188 &amp; UG-140189</w:t>
    </w:r>
  </w:p>
  <w:p w:rsidR="0091384A" w:rsidRDefault="0091384A" w:rsidP="00142125">
    <w:pPr>
      <w:pStyle w:val="Header"/>
      <w:jc w:val="right"/>
      <w:rPr>
        <w:rFonts w:ascii="Times New Roman" w:hAnsi="Times New Roman"/>
      </w:rPr>
    </w:pPr>
    <w:r>
      <w:rPr>
        <w:rFonts w:ascii="Times New Roman" w:hAnsi="Times New Roman"/>
      </w:rPr>
      <w:t xml:space="preserve">Exhibit No. </w:t>
    </w:r>
    <w:r w:rsidR="009A2632">
      <w:rPr>
        <w:rFonts w:ascii="Times New Roman" w:hAnsi="Times New Roman"/>
      </w:rPr>
      <w:t>SGH-19</w:t>
    </w:r>
  </w:p>
  <w:p w:rsidR="00B53722" w:rsidRDefault="009A2632" w:rsidP="00142125">
    <w:pPr>
      <w:pStyle w:val="Header"/>
      <w:jc w:val="right"/>
      <w:rPr>
        <w:rFonts w:ascii="Times New Roman" w:hAnsi="Times New Roman"/>
      </w:rPr>
    </w:pPr>
    <w:r w:rsidRPr="009A2632">
      <w:rPr>
        <w:rFonts w:ascii="Times New Roman" w:hAnsi="Times New Roman"/>
      </w:rPr>
      <w:t xml:space="preserve">Page </w:t>
    </w:r>
    <w:r w:rsidRPr="009A2632">
      <w:rPr>
        <w:rFonts w:ascii="Times New Roman" w:hAnsi="Times New Roman"/>
        <w:b/>
      </w:rPr>
      <w:fldChar w:fldCharType="begin"/>
    </w:r>
    <w:r w:rsidRPr="009A2632">
      <w:rPr>
        <w:rFonts w:ascii="Times New Roman" w:hAnsi="Times New Roman"/>
        <w:b/>
      </w:rPr>
      <w:instrText xml:space="preserve"> PAGE  \* Arabic  \* MERGEFORMAT </w:instrText>
    </w:r>
    <w:r w:rsidRPr="009A2632">
      <w:rPr>
        <w:rFonts w:ascii="Times New Roman" w:hAnsi="Times New Roman"/>
        <w:b/>
      </w:rPr>
      <w:fldChar w:fldCharType="separate"/>
    </w:r>
    <w:r w:rsidR="00382EF4">
      <w:rPr>
        <w:rFonts w:ascii="Times New Roman" w:hAnsi="Times New Roman"/>
        <w:b/>
        <w:noProof/>
      </w:rPr>
      <w:t>1</w:t>
    </w:r>
    <w:r w:rsidRPr="009A2632">
      <w:rPr>
        <w:rFonts w:ascii="Times New Roman" w:hAnsi="Times New Roman"/>
        <w:b/>
      </w:rPr>
      <w:fldChar w:fldCharType="end"/>
    </w:r>
    <w:r w:rsidRPr="009A2632">
      <w:rPr>
        <w:rFonts w:ascii="Times New Roman" w:hAnsi="Times New Roman"/>
      </w:rPr>
      <w:t xml:space="preserve"> of </w:t>
    </w:r>
    <w:r w:rsidRPr="009A2632">
      <w:rPr>
        <w:rFonts w:ascii="Times New Roman" w:hAnsi="Times New Roman"/>
        <w:b/>
      </w:rPr>
      <w:fldChar w:fldCharType="begin"/>
    </w:r>
    <w:r w:rsidRPr="009A2632">
      <w:rPr>
        <w:rFonts w:ascii="Times New Roman" w:hAnsi="Times New Roman"/>
        <w:b/>
      </w:rPr>
      <w:instrText xml:space="preserve"> NUMPAGES  \* Arabic  \* MERGEFORMAT </w:instrText>
    </w:r>
    <w:r w:rsidRPr="009A2632">
      <w:rPr>
        <w:rFonts w:ascii="Times New Roman" w:hAnsi="Times New Roman"/>
        <w:b/>
      </w:rPr>
      <w:fldChar w:fldCharType="separate"/>
    </w:r>
    <w:r w:rsidR="00382EF4">
      <w:rPr>
        <w:rFonts w:ascii="Times New Roman" w:hAnsi="Times New Roman"/>
        <w:b/>
        <w:noProof/>
      </w:rPr>
      <w:t>16</w:t>
    </w:r>
    <w:r w:rsidRPr="009A2632">
      <w:rPr>
        <w:rFonts w:ascii="Times New Roman" w:hAnsi="Times New Roman"/>
        <w:b/>
      </w:rPr>
      <w:fldChar w:fldCharType="end"/>
    </w:r>
  </w:p>
  <w:p w:rsidR="00B53722" w:rsidRPr="00587017" w:rsidRDefault="00B53722" w:rsidP="00142125">
    <w:pPr>
      <w:pStyle w:val="Header"/>
      <w:jc w:val="right"/>
      <w:rPr>
        <w:rFonts w:ascii="Times New Roman" w:hAnsi="Times New Roman"/>
      </w:rPr>
    </w:pPr>
  </w:p>
  <w:p w:rsidR="00B53722" w:rsidRDefault="00B53722" w:rsidP="0014212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0"/>
    <w:lvl w:ilvl="0">
      <w:start w:val="1"/>
      <w:numFmt w:val="decimal"/>
      <w:lvlText w:val="%1."/>
      <w:lvlJc w:val="left"/>
      <w:pPr>
        <w:tabs>
          <w:tab w:val="num" w:pos="1440"/>
        </w:tabs>
      </w:pPr>
    </w:lvl>
  </w:abstractNum>
  <w:abstractNum w:abstractNumId="2">
    <w:nsid w:val="0ACC6041"/>
    <w:multiLevelType w:val="hybridMultilevel"/>
    <w:tmpl w:val="827EB876"/>
    <w:lvl w:ilvl="0" w:tplc="ED8050CA">
      <w:start w:val="17"/>
      <w:numFmt w:val="upperLetter"/>
      <w:lvlText w:val="%1."/>
      <w:lvlJc w:val="left"/>
      <w:pPr>
        <w:tabs>
          <w:tab w:val="num" w:pos="0"/>
        </w:tabs>
        <w:ind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0AE94EB5"/>
    <w:multiLevelType w:val="hybridMultilevel"/>
    <w:tmpl w:val="C846C22E"/>
    <w:lvl w:ilvl="0" w:tplc="ED8050CA">
      <w:start w:val="17"/>
      <w:numFmt w:val="upperLetter"/>
      <w:lvlText w:val="%1."/>
      <w:lvlJc w:val="left"/>
      <w:pPr>
        <w:tabs>
          <w:tab w:val="num" w:pos="0"/>
        </w:tabs>
        <w:ind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126B33D0"/>
    <w:multiLevelType w:val="singleLevel"/>
    <w:tmpl w:val="EE48D93A"/>
    <w:lvl w:ilvl="0">
      <w:start w:val="22"/>
      <w:numFmt w:val="upperLetter"/>
      <w:pStyle w:val="Heading1"/>
      <w:lvlText w:val="%1."/>
      <w:lvlJc w:val="left"/>
      <w:pPr>
        <w:tabs>
          <w:tab w:val="num" w:pos="360"/>
        </w:tabs>
        <w:ind w:left="360" w:hanging="360"/>
      </w:pPr>
      <w:rPr>
        <w:rFonts w:hint="default"/>
        <w:b/>
      </w:rPr>
    </w:lvl>
  </w:abstractNum>
  <w:abstractNum w:abstractNumId="5">
    <w:nsid w:val="16E17795"/>
    <w:multiLevelType w:val="hybridMultilevel"/>
    <w:tmpl w:val="9220746C"/>
    <w:lvl w:ilvl="0" w:tplc="ED8050CA">
      <w:start w:val="1"/>
      <w:numFmt w:val="upperLetter"/>
      <w:lvlText w:val="%1."/>
      <w:lvlJc w:val="left"/>
      <w:pPr>
        <w:tabs>
          <w:tab w:val="num" w:pos="0"/>
        </w:tabs>
        <w:ind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
    <w:nsid w:val="32732470"/>
    <w:multiLevelType w:val="hybridMultilevel"/>
    <w:tmpl w:val="B600A78A"/>
    <w:lvl w:ilvl="0" w:tplc="ED8050CA">
      <w:start w:val="1"/>
      <w:numFmt w:val="upperLetter"/>
      <w:lvlText w:val="%1."/>
      <w:lvlJc w:val="left"/>
      <w:pPr>
        <w:tabs>
          <w:tab w:val="num" w:pos="0"/>
        </w:tabs>
        <w:ind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
    <w:nsid w:val="447164E5"/>
    <w:multiLevelType w:val="singleLevel"/>
    <w:tmpl w:val="301AD15C"/>
    <w:lvl w:ilvl="0">
      <w:start w:val="1"/>
      <w:numFmt w:val="upperLetter"/>
      <w:lvlText w:val="%1."/>
      <w:lvlJc w:val="left"/>
      <w:pPr>
        <w:tabs>
          <w:tab w:val="num" w:pos="720"/>
        </w:tabs>
        <w:ind w:left="720" w:hanging="720"/>
      </w:pPr>
      <w:rPr>
        <w:rFonts w:hint="default"/>
      </w:rPr>
    </w:lvl>
  </w:abstractNum>
  <w:abstractNum w:abstractNumId="8">
    <w:nsid w:val="512A6D58"/>
    <w:multiLevelType w:val="singleLevel"/>
    <w:tmpl w:val="33CA1DCC"/>
    <w:lvl w:ilvl="0">
      <w:start w:val="17"/>
      <w:numFmt w:val="upperLetter"/>
      <w:lvlText w:val="%1."/>
      <w:lvlJc w:val="left"/>
      <w:pPr>
        <w:tabs>
          <w:tab w:val="num" w:pos="720"/>
        </w:tabs>
        <w:ind w:left="720" w:hanging="720"/>
      </w:pPr>
      <w:rPr>
        <w:rFonts w:hint="default"/>
      </w:rPr>
    </w:lvl>
  </w:abstractNum>
  <w:abstractNum w:abstractNumId="9">
    <w:nsid w:val="548D7134"/>
    <w:multiLevelType w:val="singleLevel"/>
    <w:tmpl w:val="301AD15C"/>
    <w:lvl w:ilvl="0">
      <w:start w:val="1"/>
      <w:numFmt w:val="upperLetter"/>
      <w:lvlText w:val="%1."/>
      <w:lvlJc w:val="left"/>
      <w:pPr>
        <w:tabs>
          <w:tab w:val="num" w:pos="720"/>
        </w:tabs>
        <w:ind w:left="720" w:hanging="720"/>
      </w:pPr>
      <w:rPr>
        <w:rFonts w:hint="default"/>
      </w:rPr>
    </w:lvl>
  </w:abstractNum>
  <w:abstractNum w:abstractNumId="10">
    <w:nsid w:val="5A96072E"/>
    <w:multiLevelType w:val="singleLevel"/>
    <w:tmpl w:val="EB327E94"/>
    <w:lvl w:ilvl="0">
      <w:start w:val="1"/>
      <w:numFmt w:val="upperLetter"/>
      <w:pStyle w:val="Heading2"/>
      <w:lvlText w:val="%1."/>
      <w:lvlJc w:val="left"/>
      <w:pPr>
        <w:tabs>
          <w:tab w:val="num" w:pos="720"/>
        </w:tabs>
        <w:ind w:left="720" w:hanging="720"/>
      </w:pPr>
      <w:rPr>
        <w:rFonts w:hint="default"/>
      </w:rPr>
    </w:lvl>
  </w:abstractNum>
  <w:abstractNum w:abstractNumId="11">
    <w:nsid w:val="665A5C5F"/>
    <w:multiLevelType w:val="multilevel"/>
    <w:tmpl w:val="B1602FCC"/>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2">
    <w:nsid w:val="69DB5088"/>
    <w:multiLevelType w:val="singleLevel"/>
    <w:tmpl w:val="1B12044C"/>
    <w:lvl w:ilvl="0">
      <w:start w:val="17"/>
      <w:numFmt w:val="upperLetter"/>
      <w:lvlText w:val="%1."/>
      <w:lvlJc w:val="left"/>
      <w:pPr>
        <w:tabs>
          <w:tab w:val="num" w:pos="720"/>
        </w:tabs>
        <w:ind w:left="720" w:hanging="720"/>
      </w:pPr>
      <w:rPr>
        <w:rFonts w:hint="default"/>
      </w:rPr>
    </w:lvl>
  </w:abstractNum>
  <w:abstractNum w:abstractNumId="13">
    <w:nsid w:val="6DA241FC"/>
    <w:multiLevelType w:val="hybridMultilevel"/>
    <w:tmpl w:val="B24EC944"/>
    <w:lvl w:ilvl="0" w:tplc="75C6BF04">
      <w:start w:val="17"/>
      <w:numFmt w:val="upperLetter"/>
      <w:lvlText w:val="%1."/>
      <w:lvlJc w:val="left"/>
      <w:pPr>
        <w:tabs>
          <w:tab w:val="num" w:pos="0"/>
        </w:tabs>
        <w:ind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4">
    <w:nsid w:val="6FCB03F7"/>
    <w:multiLevelType w:val="hybridMultilevel"/>
    <w:tmpl w:val="9B34BD1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75E51135"/>
    <w:multiLevelType w:val="hybridMultilevel"/>
    <w:tmpl w:val="B1602F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77F53C65"/>
    <w:multiLevelType w:val="hybridMultilevel"/>
    <w:tmpl w:val="930836C4"/>
    <w:lvl w:ilvl="0" w:tplc="ED8050CA">
      <w:start w:val="17"/>
      <w:numFmt w:val="upperLetter"/>
      <w:lvlText w:val="%1."/>
      <w:lvlJc w:val="left"/>
      <w:pPr>
        <w:tabs>
          <w:tab w:val="num" w:pos="0"/>
        </w:tabs>
        <w:ind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1"/>
    <w:lvlOverride w:ilvl="0">
      <w:startOverride w:val="1"/>
      <w:lvl w:ilvl="0">
        <w:start w:val="1"/>
        <w:numFmt w:val="decimal"/>
        <w:lvlText w:val="%1."/>
        <w:lvlJc w:val="left"/>
      </w:lvl>
    </w:lvlOverride>
  </w:num>
  <w:num w:numId="2">
    <w:abstractNumId w:val="9"/>
  </w:num>
  <w:num w:numId="3">
    <w:abstractNumId w:val="12"/>
  </w:num>
  <w:num w:numId="4">
    <w:abstractNumId w:val="7"/>
  </w:num>
  <w:num w:numId="5">
    <w:abstractNumId w:val="10"/>
  </w:num>
  <w:num w:numId="6">
    <w:abstractNumId w:val="4"/>
  </w:num>
  <w:num w:numId="7">
    <w:abstractNumId w:val="8"/>
  </w:num>
  <w:num w:numId="8">
    <w:abstractNumId w:val="0"/>
  </w:num>
  <w:num w:numId="9">
    <w:abstractNumId w:val="13"/>
  </w:num>
  <w:num w:numId="10">
    <w:abstractNumId w:val="2"/>
  </w:num>
  <w:num w:numId="11">
    <w:abstractNumId w:val="3"/>
  </w:num>
  <w:num w:numId="12">
    <w:abstractNumId w:val="6"/>
  </w:num>
  <w:num w:numId="13">
    <w:abstractNumId w:val="16"/>
  </w:num>
  <w:num w:numId="14">
    <w:abstractNumId w:val="5"/>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C4"/>
    <w:rsid w:val="00003C8C"/>
    <w:rsid w:val="00003ED5"/>
    <w:rsid w:val="000123B1"/>
    <w:rsid w:val="0002036F"/>
    <w:rsid w:val="00021C25"/>
    <w:rsid w:val="000257EA"/>
    <w:rsid w:val="00035762"/>
    <w:rsid w:val="00040A66"/>
    <w:rsid w:val="00044CCE"/>
    <w:rsid w:val="000777CD"/>
    <w:rsid w:val="000837A6"/>
    <w:rsid w:val="000B0E28"/>
    <w:rsid w:val="000C0FDA"/>
    <w:rsid w:val="000C57CC"/>
    <w:rsid w:val="000C5F4E"/>
    <w:rsid w:val="000C65DF"/>
    <w:rsid w:val="000C670D"/>
    <w:rsid w:val="000C7B42"/>
    <w:rsid w:val="000E3292"/>
    <w:rsid w:val="000E5A04"/>
    <w:rsid w:val="000F78B3"/>
    <w:rsid w:val="00120A8C"/>
    <w:rsid w:val="00142125"/>
    <w:rsid w:val="0014368D"/>
    <w:rsid w:val="001448E9"/>
    <w:rsid w:val="0014499D"/>
    <w:rsid w:val="00154A7F"/>
    <w:rsid w:val="00160048"/>
    <w:rsid w:val="001632CB"/>
    <w:rsid w:val="001640EE"/>
    <w:rsid w:val="0017332C"/>
    <w:rsid w:val="001767CF"/>
    <w:rsid w:val="00181C4C"/>
    <w:rsid w:val="001854D0"/>
    <w:rsid w:val="00197644"/>
    <w:rsid w:val="001A015F"/>
    <w:rsid w:val="001A406E"/>
    <w:rsid w:val="001B1ECD"/>
    <w:rsid w:val="001B3509"/>
    <w:rsid w:val="001C6EAC"/>
    <w:rsid w:val="001D2191"/>
    <w:rsid w:val="001E32B2"/>
    <w:rsid w:val="001E6A15"/>
    <w:rsid w:val="001E6D2B"/>
    <w:rsid w:val="00201D39"/>
    <w:rsid w:val="00203177"/>
    <w:rsid w:val="002060CF"/>
    <w:rsid w:val="002175B7"/>
    <w:rsid w:val="0022491D"/>
    <w:rsid w:val="00231FF9"/>
    <w:rsid w:val="00233748"/>
    <w:rsid w:val="00242800"/>
    <w:rsid w:val="002446D1"/>
    <w:rsid w:val="00247BE4"/>
    <w:rsid w:val="002672FB"/>
    <w:rsid w:val="00281943"/>
    <w:rsid w:val="002855A7"/>
    <w:rsid w:val="00285A72"/>
    <w:rsid w:val="0028741F"/>
    <w:rsid w:val="00290B22"/>
    <w:rsid w:val="002B00A9"/>
    <w:rsid w:val="002E40D3"/>
    <w:rsid w:val="002F4B64"/>
    <w:rsid w:val="002F6F51"/>
    <w:rsid w:val="003029E4"/>
    <w:rsid w:val="003165C5"/>
    <w:rsid w:val="0032735E"/>
    <w:rsid w:val="00331572"/>
    <w:rsid w:val="00360CE9"/>
    <w:rsid w:val="00365B16"/>
    <w:rsid w:val="00374B86"/>
    <w:rsid w:val="003769D3"/>
    <w:rsid w:val="003775EE"/>
    <w:rsid w:val="00382EF4"/>
    <w:rsid w:val="00387517"/>
    <w:rsid w:val="00387E6B"/>
    <w:rsid w:val="003B2AF3"/>
    <w:rsid w:val="003D1D6B"/>
    <w:rsid w:val="003F5A4D"/>
    <w:rsid w:val="00413DC9"/>
    <w:rsid w:val="00416B9F"/>
    <w:rsid w:val="00426483"/>
    <w:rsid w:val="004448C8"/>
    <w:rsid w:val="004518A9"/>
    <w:rsid w:val="004538FA"/>
    <w:rsid w:val="00460052"/>
    <w:rsid w:val="004661AE"/>
    <w:rsid w:val="00466FC5"/>
    <w:rsid w:val="00474098"/>
    <w:rsid w:val="00490C56"/>
    <w:rsid w:val="00497076"/>
    <w:rsid w:val="004A3343"/>
    <w:rsid w:val="004B0BD1"/>
    <w:rsid w:val="004C3E6F"/>
    <w:rsid w:val="004D44B6"/>
    <w:rsid w:val="004D4A7D"/>
    <w:rsid w:val="004D4B7F"/>
    <w:rsid w:val="004D5635"/>
    <w:rsid w:val="004D59D0"/>
    <w:rsid w:val="004D7A13"/>
    <w:rsid w:val="004E1D07"/>
    <w:rsid w:val="004E3DC0"/>
    <w:rsid w:val="004F68F5"/>
    <w:rsid w:val="00502279"/>
    <w:rsid w:val="00503E97"/>
    <w:rsid w:val="00522FBD"/>
    <w:rsid w:val="00523EB1"/>
    <w:rsid w:val="005240BF"/>
    <w:rsid w:val="0052683A"/>
    <w:rsid w:val="00532D44"/>
    <w:rsid w:val="005360A3"/>
    <w:rsid w:val="005547FC"/>
    <w:rsid w:val="00555C4C"/>
    <w:rsid w:val="00560620"/>
    <w:rsid w:val="0056086A"/>
    <w:rsid w:val="00564030"/>
    <w:rsid w:val="00564B3F"/>
    <w:rsid w:val="005706B5"/>
    <w:rsid w:val="00580D82"/>
    <w:rsid w:val="00582DD2"/>
    <w:rsid w:val="00585FB4"/>
    <w:rsid w:val="00587017"/>
    <w:rsid w:val="005B12B0"/>
    <w:rsid w:val="005C1778"/>
    <w:rsid w:val="005D33D0"/>
    <w:rsid w:val="005F2766"/>
    <w:rsid w:val="0062005D"/>
    <w:rsid w:val="00622860"/>
    <w:rsid w:val="00624964"/>
    <w:rsid w:val="00630E3F"/>
    <w:rsid w:val="0064024B"/>
    <w:rsid w:val="006460C9"/>
    <w:rsid w:val="00654EC4"/>
    <w:rsid w:val="006579CE"/>
    <w:rsid w:val="00667AEA"/>
    <w:rsid w:val="00672F49"/>
    <w:rsid w:val="00674608"/>
    <w:rsid w:val="006746B0"/>
    <w:rsid w:val="00684417"/>
    <w:rsid w:val="006A60EF"/>
    <w:rsid w:val="006B0C23"/>
    <w:rsid w:val="00706186"/>
    <w:rsid w:val="00707725"/>
    <w:rsid w:val="00720E2A"/>
    <w:rsid w:val="00730A64"/>
    <w:rsid w:val="00737384"/>
    <w:rsid w:val="00747A97"/>
    <w:rsid w:val="0076272F"/>
    <w:rsid w:val="0076687A"/>
    <w:rsid w:val="00770199"/>
    <w:rsid w:val="00774EED"/>
    <w:rsid w:val="00776165"/>
    <w:rsid w:val="00776521"/>
    <w:rsid w:val="0078299E"/>
    <w:rsid w:val="00792979"/>
    <w:rsid w:val="007A0531"/>
    <w:rsid w:val="007A09B0"/>
    <w:rsid w:val="007A6A67"/>
    <w:rsid w:val="007B1326"/>
    <w:rsid w:val="007B7A0E"/>
    <w:rsid w:val="007C2DD6"/>
    <w:rsid w:val="007C44D5"/>
    <w:rsid w:val="007C4E12"/>
    <w:rsid w:val="007D4229"/>
    <w:rsid w:val="007D452B"/>
    <w:rsid w:val="007E03E3"/>
    <w:rsid w:val="007F2F58"/>
    <w:rsid w:val="007F4AEA"/>
    <w:rsid w:val="007F5B36"/>
    <w:rsid w:val="007F66AF"/>
    <w:rsid w:val="00803299"/>
    <w:rsid w:val="00810509"/>
    <w:rsid w:val="00815B86"/>
    <w:rsid w:val="008274F7"/>
    <w:rsid w:val="00833BAD"/>
    <w:rsid w:val="00836565"/>
    <w:rsid w:val="00862050"/>
    <w:rsid w:val="00866C63"/>
    <w:rsid w:val="00870D9A"/>
    <w:rsid w:val="008919F9"/>
    <w:rsid w:val="008934E0"/>
    <w:rsid w:val="00895EC9"/>
    <w:rsid w:val="008A1FAA"/>
    <w:rsid w:val="008B26D8"/>
    <w:rsid w:val="008C392B"/>
    <w:rsid w:val="008F34ED"/>
    <w:rsid w:val="00901B20"/>
    <w:rsid w:val="009115DE"/>
    <w:rsid w:val="00912452"/>
    <w:rsid w:val="0091384A"/>
    <w:rsid w:val="00916D17"/>
    <w:rsid w:val="009403BE"/>
    <w:rsid w:val="00944F9D"/>
    <w:rsid w:val="009563E2"/>
    <w:rsid w:val="009626CA"/>
    <w:rsid w:val="0096376C"/>
    <w:rsid w:val="009675E8"/>
    <w:rsid w:val="00975A25"/>
    <w:rsid w:val="0098616D"/>
    <w:rsid w:val="00992C0B"/>
    <w:rsid w:val="009A2632"/>
    <w:rsid w:val="009A71A3"/>
    <w:rsid w:val="009B05CA"/>
    <w:rsid w:val="009B0FC5"/>
    <w:rsid w:val="009C1BD2"/>
    <w:rsid w:val="009C24C7"/>
    <w:rsid w:val="009C4BEF"/>
    <w:rsid w:val="009D7945"/>
    <w:rsid w:val="009F257C"/>
    <w:rsid w:val="00A02FE8"/>
    <w:rsid w:val="00A06346"/>
    <w:rsid w:val="00A14DBD"/>
    <w:rsid w:val="00A15ACD"/>
    <w:rsid w:val="00A24AF4"/>
    <w:rsid w:val="00A3369F"/>
    <w:rsid w:val="00A36062"/>
    <w:rsid w:val="00A42AA1"/>
    <w:rsid w:val="00A47DDF"/>
    <w:rsid w:val="00A55957"/>
    <w:rsid w:val="00A61316"/>
    <w:rsid w:val="00A63EB6"/>
    <w:rsid w:val="00A75E04"/>
    <w:rsid w:val="00A92484"/>
    <w:rsid w:val="00AA2564"/>
    <w:rsid w:val="00AA7161"/>
    <w:rsid w:val="00AC2775"/>
    <w:rsid w:val="00AC5B85"/>
    <w:rsid w:val="00AF459A"/>
    <w:rsid w:val="00B23634"/>
    <w:rsid w:val="00B2659B"/>
    <w:rsid w:val="00B27808"/>
    <w:rsid w:val="00B42261"/>
    <w:rsid w:val="00B53722"/>
    <w:rsid w:val="00B56DC7"/>
    <w:rsid w:val="00B56FCB"/>
    <w:rsid w:val="00B74C0D"/>
    <w:rsid w:val="00BB1109"/>
    <w:rsid w:val="00BB18EE"/>
    <w:rsid w:val="00BB1F5E"/>
    <w:rsid w:val="00BD3B1D"/>
    <w:rsid w:val="00BD521C"/>
    <w:rsid w:val="00BE2211"/>
    <w:rsid w:val="00BE32AC"/>
    <w:rsid w:val="00BF5286"/>
    <w:rsid w:val="00BF7008"/>
    <w:rsid w:val="00C07D24"/>
    <w:rsid w:val="00C2045E"/>
    <w:rsid w:val="00C22159"/>
    <w:rsid w:val="00C44CA1"/>
    <w:rsid w:val="00C454B0"/>
    <w:rsid w:val="00C4680B"/>
    <w:rsid w:val="00C7001C"/>
    <w:rsid w:val="00C812C0"/>
    <w:rsid w:val="00C82698"/>
    <w:rsid w:val="00C8396D"/>
    <w:rsid w:val="00CA01D3"/>
    <w:rsid w:val="00CA4EC7"/>
    <w:rsid w:val="00CA537E"/>
    <w:rsid w:val="00CA7F00"/>
    <w:rsid w:val="00CD586A"/>
    <w:rsid w:val="00CE50B9"/>
    <w:rsid w:val="00CE5350"/>
    <w:rsid w:val="00CF28C5"/>
    <w:rsid w:val="00CF7F54"/>
    <w:rsid w:val="00D06E49"/>
    <w:rsid w:val="00D37EEF"/>
    <w:rsid w:val="00D40E00"/>
    <w:rsid w:val="00D42938"/>
    <w:rsid w:val="00D44362"/>
    <w:rsid w:val="00D4447C"/>
    <w:rsid w:val="00D507E7"/>
    <w:rsid w:val="00D50836"/>
    <w:rsid w:val="00D54150"/>
    <w:rsid w:val="00D6472A"/>
    <w:rsid w:val="00D72177"/>
    <w:rsid w:val="00D87AFE"/>
    <w:rsid w:val="00D97D4F"/>
    <w:rsid w:val="00DA1689"/>
    <w:rsid w:val="00DA5763"/>
    <w:rsid w:val="00DB4D7A"/>
    <w:rsid w:val="00DD4AC4"/>
    <w:rsid w:val="00DE15A9"/>
    <w:rsid w:val="00DF36AF"/>
    <w:rsid w:val="00DF3E8E"/>
    <w:rsid w:val="00DF68A9"/>
    <w:rsid w:val="00E015EC"/>
    <w:rsid w:val="00E01B79"/>
    <w:rsid w:val="00E10157"/>
    <w:rsid w:val="00E14951"/>
    <w:rsid w:val="00E17FB8"/>
    <w:rsid w:val="00E2755D"/>
    <w:rsid w:val="00E4235C"/>
    <w:rsid w:val="00E56A9D"/>
    <w:rsid w:val="00E67DCF"/>
    <w:rsid w:val="00EA7FCF"/>
    <w:rsid w:val="00EB0B09"/>
    <w:rsid w:val="00EC6C87"/>
    <w:rsid w:val="00EE274C"/>
    <w:rsid w:val="00EF02F4"/>
    <w:rsid w:val="00EF42B9"/>
    <w:rsid w:val="00EF680D"/>
    <w:rsid w:val="00F000BA"/>
    <w:rsid w:val="00F16FDD"/>
    <w:rsid w:val="00F33AB7"/>
    <w:rsid w:val="00F34CA5"/>
    <w:rsid w:val="00F36A75"/>
    <w:rsid w:val="00F44003"/>
    <w:rsid w:val="00F45FBE"/>
    <w:rsid w:val="00F703D5"/>
    <w:rsid w:val="00F775E0"/>
    <w:rsid w:val="00F833BC"/>
    <w:rsid w:val="00F858E9"/>
    <w:rsid w:val="00F87BD4"/>
    <w:rsid w:val="00F91DFA"/>
    <w:rsid w:val="00FB4179"/>
    <w:rsid w:val="00FB462B"/>
    <w:rsid w:val="00FB6312"/>
    <w:rsid w:val="00FC3CD4"/>
    <w:rsid w:val="00FC5FC9"/>
    <w:rsid w:val="00FC61E3"/>
    <w:rsid w:val="00FD301C"/>
    <w:rsid w:val="00FD56D2"/>
    <w:rsid w:val="00FF0852"/>
    <w:rsid w:val="00FF2E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54EC4"/>
    <w:pPr>
      <w:jc w:val="both"/>
    </w:pPr>
    <w:rPr>
      <w:rFonts w:ascii="Arial" w:eastAsia="Times New Roman" w:hAnsi="Arial" w:cs="Times New Roman"/>
      <w:snapToGrid w:val="0"/>
      <w:szCs w:val="20"/>
    </w:rPr>
  </w:style>
  <w:style w:type="paragraph" w:styleId="Heading1">
    <w:name w:val="heading 1"/>
    <w:basedOn w:val="Normal"/>
    <w:next w:val="Normal"/>
    <w:link w:val="Heading1Char"/>
    <w:qFormat/>
    <w:rsid w:val="00654EC4"/>
    <w:pPr>
      <w:keepNext/>
      <w:numPr>
        <w:numId w:val="6"/>
      </w:numPr>
      <w:spacing w:line="480" w:lineRule="auto"/>
      <w:outlineLvl w:val="0"/>
    </w:pPr>
    <w:rPr>
      <w:b/>
      <w:u w:val="single"/>
    </w:rPr>
  </w:style>
  <w:style w:type="paragraph" w:styleId="Heading2">
    <w:name w:val="heading 2"/>
    <w:basedOn w:val="Normal"/>
    <w:next w:val="Normal"/>
    <w:link w:val="Heading2Char"/>
    <w:qFormat/>
    <w:rsid w:val="00654EC4"/>
    <w:pPr>
      <w:keepNext/>
      <w:numPr>
        <w:numId w:val="5"/>
      </w:numPr>
      <w:tabs>
        <w:tab w:val="clear" w:pos="720"/>
        <w:tab w:val="left" w:pos="0"/>
        <w:tab w:val="num" w:pos="1440"/>
        <w:tab w:val="left" w:pos="2163"/>
        <w:tab w:val="left" w:pos="2884"/>
        <w:tab w:val="left" w:pos="3605"/>
        <w:tab w:val="left" w:pos="4326"/>
        <w:tab w:val="left" w:pos="5047"/>
        <w:tab w:val="left" w:pos="5768"/>
        <w:tab w:val="left" w:pos="6489"/>
        <w:tab w:val="left" w:pos="7210"/>
        <w:tab w:val="left" w:pos="7931"/>
        <w:tab w:val="left" w:pos="8652"/>
      </w:tabs>
      <w:spacing w:line="480" w:lineRule="auto"/>
      <w:ind w:left="1440"/>
      <w:outlineLvl w:val="1"/>
    </w:pPr>
    <w:rPr>
      <w:b/>
    </w:rPr>
  </w:style>
  <w:style w:type="paragraph" w:styleId="Heading3">
    <w:name w:val="heading 3"/>
    <w:basedOn w:val="Normal"/>
    <w:next w:val="Normal"/>
    <w:link w:val="Heading3Char"/>
    <w:qFormat/>
    <w:rsid w:val="00654EC4"/>
    <w:pPr>
      <w:keepNext/>
      <w:tabs>
        <w:tab w:val="center" w:pos="4536"/>
      </w:tabs>
      <w:jc w:val="center"/>
      <w:outlineLvl w:val="2"/>
    </w:pPr>
    <w:rPr>
      <w:b/>
    </w:rPr>
  </w:style>
  <w:style w:type="paragraph" w:styleId="Heading4">
    <w:name w:val="heading 4"/>
    <w:basedOn w:val="Normal"/>
    <w:next w:val="Normal"/>
    <w:link w:val="Heading4Char"/>
    <w:qFormat/>
    <w:rsid w:val="00654EC4"/>
    <w:pPr>
      <w:keepNext/>
      <w:tabs>
        <w:tab w:val="center" w:pos="4536"/>
      </w:tabs>
      <w:jc w:val="center"/>
      <w:outlineLvl w:val="3"/>
    </w:pPr>
    <w:rPr>
      <w:b/>
      <w:sz w:val="28"/>
    </w:rPr>
  </w:style>
  <w:style w:type="paragraph" w:styleId="Heading5">
    <w:name w:val="heading 5"/>
    <w:basedOn w:val="Normal"/>
    <w:next w:val="Normal"/>
    <w:link w:val="Heading5Char"/>
    <w:qFormat/>
    <w:rsid w:val="00654EC4"/>
    <w:pPr>
      <w:keepNext/>
      <w:tabs>
        <w:tab w:val="left" w:pos="720"/>
        <w:tab w:val="left" w:pos="1440"/>
        <w:tab w:val="center" w:pos="4536"/>
      </w:tab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54EC4"/>
    <w:pPr>
      <w:jc w:val="left"/>
    </w:pPr>
    <w:rPr>
      <w:rFonts w:ascii="Lucida Grande" w:hAnsi="Lucida Grande"/>
      <w:snapToGrid/>
      <w:sz w:val="18"/>
      <w:szCs w:val="18"/>
    </w:rPr>
  </w:style>
  <w:style w:type="character" w:customStyle="1" w:styleId="BalloonTextChar">
    <w:name w:val="Balloon Text Char"/>
    <w:basedOn w:val="DefaultParagraphFont"/>
    <w:uiPriority w:val="99"/>
    <w:semiHidden/>
    <w:rsid w:val="00D3400E"/>
    <w:rPr>
      <w:rFonts w:ascii="Lucida Grande" w:hAnsi="Lucida Grande"/>
      <w:sz w:val="18"/>
      <w:szCs w:val="18"/>
    </w:rPr>
  </w:style>
  <w:style w:type="character" w:customStyle="1" w:styleId="BalloonTextChar0">
    <w:name w:val="Balloon Text Char"/>
    <w:basedOn w:val="DefaultParagraphFont"/>
    <w:uiPriority w:val="99"/>
    <w:semiHidden/>
    <w:rsid w:val="00D3400E"/>
    <w:rPr>
      <w:rFonts w:ascii="Lucida Grande" w:hAnsi="Lucida Grande"/>
      <w:sz w:val="18"/>
      <w:szCs w:val="18"/>
    </w:rPr>
  </w:style>
  <w:style w:type="character" w:customStyle="1" w:styleId="BalloonTextChar2">
    <w:name w:val="Balloon Text Char"/>
    <w:basedOn w:val="DefaultParagraphFont"/>
    <w:uiPriority w:val="99"/>
    <w:semiHidden/>
    <w:rsid w:val="00D3400E"/>
    <w:rPr>
      <w:rFonts w:ascii="Lucida Grande" w:hAnsi="Lucida Grande"/>
      <w:sz w:val="18"/>
      <w:szCs w:val="18"/>
    </w:rPr>
  </w:style>
  <w:style w:type="character" w:customStyle="1" w:styleId="BalloonTextChar3">
    <w:name w:val="Balloon Text Char"/>
    <w:basedOn w:val="DefaultParagraphFont"/>
    <w:uiPriority w:val="99"/>
    <w:semiHidden/>
    <w:rsid w:val="00D32F86"/>
    <w:rPr>
      <w:rFonts w:ascii="Lucida Grande" w:hAnsi="Lucida Grande"/>
      <w:sz w:val="18"/>
      <w:szCs w:val="18"/>
    </w:rPr>
  </w:style>
  <w:style w:type="character" w:customStyle="1" w:styleId="BalloonTextChar4">
    <w:name w:val="Balloon Text Char"/>
    <w:basedOn w:val="DefaultParagraphFont"/>
    <w:uiPriority w:val="99"/>
    <w:semiHidden/>
    <w:rsid w:val="00D32F86"/>
    <w:rPr>
      <w:rFonts w:ascii="Lucida Grande" w:hAnsi="Lucida Grande"/>
      <w:sz w:val="18"/>
      <w:szCs w:val="18"/>
    </w:rPr>
  </w:style>
  <w:style w:type="character" w:customStyle="1" w:styleId="Heading1Char">
    <w:name w:val="Heading 1 Char"/>
    <w:basedOn w:val="DefaultParagraphFont"/>
    <w:link w:val="Heading1"/>
    <w:rsid w:val="00654EC4"/>
    <w:rPr>
      <w:rFonts w:ascii="Arial" w:eastAsia="Times New Roman" w:hAnsi="Arial" w:cs="Times New Roman"/>
      <w:b/>
      <w:snapToGrid w:val="0"/>
      <w:szCs w:val="20"/>
      <w:u w:val="single"/>
    </w:rPr>
  </w:style>
  <w:style w:type="character" w:customStyle="1" w:styleId="Heading2Char">
    <w:name w:val="Heading 2 Char"/>
    <w:basedOn w:val="DefaultParagraphFont"/>
    <w:link w:val="Heading2"/>
    <w:rsid w:val="00654EC4"/>
    <w:rPr>
      <w:rFonts w:ascii="Arial" w:eastAsia="Times New Roman" w:hAnsi="Arial" w:cs="Times New Roman"/>
      <w:b/>
      <w:snapToGrid w:val="0"/>
      <w:szCs w:val="20"/>
    </w:rPr>
  </w:style>
  <w:style w:type="character" w:customStyle="1" w:styleId="Heading3Char">
    <w:name w:val="Heading 3 Char"/>
    <w:basedOn w:val="DefaultParagraphFont"/>
    <w:link w:val="Heading3"/>
    <w:rsid w:val="00654EC4"/>
    <w:rPr>
      <w:rFonts w:ascii="Arial" w:eastAsia="Times New Roman" w:hAnsi="Arial" w:cs="Times New Roman"/>
      <w:b/>
      <w:snapToGrid w:val="0"/>
      <w:szCs w:val="20"/>
    </w:rPr>
  </w:style>
  <w:style w:type="character" w:customStyle="1" w:styleId="Heading4Char">
    <w:name w:val="Heading 4 Char"/>
    <w:basedOn w:val="DefaultParagraphFont"/>
    <w:link w:val="Heading4"/>
    <w:rsid w:val="00654EC4"/>
    <w:rPr>
      <w:rFonts w:ascii="Arial" w:eastAsia="Times New Roman" w:hAnsi="Arial" w:cs="Times New Roman"/>
      <w:b/>
      <w:snapToGrid w:val="0"/>
      <w:sz w:val="28"/>
      <w:szCs w:val="20"/>
    </w:rPr>
  </w:style>
  <w:style w:type="character" w:customStyle="1" w:styleId="Heading5Char">
    <w:name w:val="Heading 5 Char"/>
    <w:basedOn w:val="DefaultParagraphFont"/>
    <w:link w:val="Heading5"/>
    <w:rsid w:val="00654EC4"/>
    <w:rPr>
      <w:rFonts w:ascii="Arial" w:eastAsia="Times New Roman" w:hAnsi="Arial" w:cs="Times New Roman"/>
      <w:b/>
      <w:snapToGrid w:val="0"/>
      <w:szCs w:val="20"/>
    </w:rPr>
  </w:style>
  <w:style w:type="character" w:styleId="FootnoteReference">
    <w:name w:val="footnote reference"/>
    <w:semiHidden/>
    <w:rsid w:val="00654EC4"/>
    <w:rPr>
      <w:rFonts w:ascii="Arial" w:hAnsi="Arial"/>
      <w:sz w:val="24"/>
      <w:vertAlign w:val="superscript"/>
    </w:rPr>
  </w:style>
  <w:style w:type="paragraph" w:styleId="DocumentMap">
    <w:name w:val="Document Map"/>
    <w:basedOn w:val="Normal"/>
    <w:link w:val="DocumentMapChar"/>
    <w:semiHidden/>
    <w:rsid w:val="00654EC4"/>
    <w:pPr>
      <w:shd w:val="clear" w:color="auto" w:fill="000080"/>
    </w:pPr>
  </w:style>
  <w:style w:type="character" w:customStyle="1" w:styleId="DocumentMapChar">
    <w:name w:val="Document Map Char"/>
    <w:basedOn w:val="DefaultParagraphFont"/>
    <w:link w:val="DocumentMap"/>
    <w:semiHidden/>
    <w:rsid w:val="00654EC4"/>
    <w:rPr>
      <w:rFonts w:ascii="Arial" w:eastAsia="Times New Roman" w:hAnsi="Arial" w:cs="Times New Roman"/>
      <w:snapToGrid w:val="0"/>
      <w:szCs w:val="20"/>
      <w:shd w:val="clear" w:color="auto" w:fill="000080"/>
    </w:rPr>
  </w:style>
  <w:style w:type="paragraph" w:styleId="FootnoteText">
    <w:name w:val="footnote text"/>
    <w:basedOn w:val="Normal"/>
    <w:link w:val="FootnoteTextChar"/>
    <w:semiHidden/>
    <w:rsid w:val="00654EC4"/>
    <w:pPr>
      <w:ind w:left="720" w:hanging="720"/>
    </w:pPr>
    <w:rPr>
      <w:sz w:val="20"/>
    </w:rPr>
  </w:style>
  <w:style w:type="character" w:customStyle="1" w:styleId="FootnoteTextChar">
    <w:name w:val="Footnote Text Char"/>
    <w:basedOn w:val="DefaultParagraphFont"/>
    <w:link w:val="FootnoteText"/>
    <w:semiHidden/>
    <w:rsid w:val="00654EC4"/>
    <w:rPr>
      <w:rFonts w:ascii="Arial" w:eastAsia="Times New Roman" w:hAnsi="Arial" w:cs="Times New Roman"/>
      <w:snapToGrid w:val="0"/>
      <w:sz w:val="20"/>
      <w:szCs w:val="20"/>
    </w:rPr>
  </w:style>
  <w:style w:type="paragraph" w:styleId="Header">
    <w:name w:val="header"/>
    <w:basedOn w:val="Normal"/>
    <w:link w:val="HeaderChar"/>
    <w:rsid w:val="00654EC4"/>
    <w:pPr>
      <w:tabs>
        <w:tab w:val="center" w:pos="4320"/>
        <w:tab w:val="right" w:pos="8640"/>
      </w:tabs>
    </w:pPr>
  </w:style>
  <w:style w:type="character" w:customStyle="1" w:styleId="HeaderChar">
    <w:name w:val="Header Char"/>
    <w:basedOn w:val="DefaultParagraphFont"/>
    <w:link w:val="Header"/>
    <w:rsid w:val="00654EC4"/>
    <w:rPr>
      <w:rFonts w:ascii="Arial" w:eastAsia="Times New Roman" w:hAnsi="Arial" w:cs="Times New Roman"/>
      <w:snapToGrid w:val="0"/>
      <w:szCs w:val="20"/>
    </w:rPr>
  </w:style>
  <w:style w:type="paragraph" w:styleId="Footer">
    <w:name w:val="footer"/>
    <w:basedOn w:val="Normal"/>
    <w:link w:val="FooterChar"/>
    <w:rsid w:val="00654EC4"/>
    <w:pPr>
      <w:tabs>
        <w:tab w:val="center" w:pos="4320"/>
        <w:tab w:val="right" w:pos="8640"/>
      </w:tabs>
    </w:pPr>
  </w:style>
  <w:style w:type="character" w:customStyle="1" w:styleId="FooterChar">
    <w:name w:val="Footer Char"/>
    <w:basedOn w:val="DefaultParagraphFont"/>
    <w:link w:val="Footer"/>
    <w:rsid w:val="00654EC4"/>
    <w:rPr>
      <w:rFonts w:ascii="Arial" w:eastAsia="Times New Roman" w:hAnsi="Arial" w:cs="Times New Roman"/>
      <w:snapToGrid w:val="0"/>
      <w:szCs w:val="20"/>
    </w:rPr>
  </w:style>
  <w:style w:type="paragraph" w:styleId="TOC6">
    <w:name w:val="toc 6"/>
    <w:basedOn w:val="Normal"/>
    <w:autoRedefine/>
    <w:semiHidden/>
    <w:rsid w:val="00654EC4"/>
    <w:pPr>
      <w:tabs>
        <w:tab w:val="left" w:pos="1440"/>
        <w:tab w:val="right" w:leader="dot" w:pos="9350"/>
      </w:tabs>
      <w:spacing w:after="240"/>
      <w:ind w:left="4320" w:right="720" w:hanging="720"/>
    </w:pPr>
  </w:style>
  <w:style w:type="character" w:styleId="CommentReference">
    <w:name w:val="annotation reference"/>
    <w:basedOn w:val="DefaultParagraphFont"/>
    <w:semiHidden/>
    <w:rsid w:val="00654EC4"/>
    <w:rPr>
      <w:rFonts w:ascii="Arial" w:hAnsi="Arial"/>
      <w:sz w:val="16"/>
    </w:rPr>
  </w:style>
  <w:style w:type="paragraph" w:styleId="CommentText">
    <w:name w:val="annotation text"/>
    <w:basedOn w:val="Normal"/>
    <w:link w:val="CommentTextChar"/>
    <w:semiHidden/>
    <w:rsid w:val="00654EC4"/>
    <w:rPr>
      <w:sz w:val="20"/>
    </w:rPr>
  </w:style>
  <w:style w:type="character" w:customStyle="1" w:styleId="CommentTextChar">
    <w:name w:val="Comment Text Char"/>
    <w:basedOn w:val="DefaultParagraphFont"/>
    <w:link w:val="CommentText"/>
    <w:semiHidden/>
    <w:rsid w:val="00654EC4"/>
    <w:rPr>
      <w:rFonts w:ascii="Arial" w:eastAsia="Times New Roman" w:hAnsi="Arial" w:cs="Times New Roman"/>
      <w:snapToGrid w:val="0"/>
      <w:sz w:val="20"/>
      <w:szCs w:val="20"/>
    </w:rPr>
  </w:style>
  <w:style w:type="character" w:styleId="LineNumber">
    <w:name w:val="line number"/>
    <w:basedOn w:val="DefaultParagraphFont"/>
    <w:rsid w:val="00654EC4"/>
    <w:rPr>
      <w:rFonts w:ascii="Arial" w:hAnsi="Arial"/>
      <w:sz w:val="24"/>
    </w:rPr>
  </w:style>
  <w:style w:type="character" w:styleId="PageNumber">
    <w:name w:val="page number"/>
    <w:basedOn w:val="DefaultParagraphFont"/>
    <w:rsid w:val="00654EC4"/>
    <w:rPr>
      <w:rFonts w:ascii="Arial" w:hAnsi="Arial"/>
      <w:sz w:val="24"/>
    </w:rPr>
  </w:style>
  <w:style w:type="paragraph" w:styleId="TOC1">
    <w:name w:val="toc 1"/>
    <w:basedOn w:val="Normal"/>
    <w:autoRedefine/>
    <w:semiHidden/>
    <w:rsid w:val="00654EC4"/>
    <w:pPr>
      <w:tabs>
        <w:tab w:val="left" w:pos="720"/>
        <w:tab w:val="right" w:leader="dot" w:pos="9346"/>
      </w:tabs>
      <w:spacing w:after="240"/>
      <w:ind w:left="720" w:right="720" w:hanging="720"/>
    </w:pPr>
    <w:rPr>
      <w:snapToGrid/>
    </w:rPr>
  </w:style>
  <w:style w:type="paragraph" w:styleId="TOC2">
    <w:name w:val="toc 2"/>
    <w:basedOn w:val="Normal"/>
    <w:autoRedefine/>
    <w:semiHidden/>
    <w:rsid w:val="00654EC4"/>
    <w:pPr>
      <w:tabs>
        <w:tab w:val="left" w:pos="1440"/>
        <w:tab w:val="right" w:leader="dot" w:pos="9346"/>
      </w:tabs>
      <w:spacing w:after="240"/>
      <w:ind w:left="1440" w:right="720" w:hanging="720"/>
    </w:pPr>
    <w:rPr>
      <w:snapToGrid/>
    </w:rPr>
  </w:style>
  <w:style w:type="paragraph" w:styleId="TOC3">
    <w:name w:val="toc 3"/>
    <w:basedOn w:val="Normal"/>
    <w:autoRedefine/>
    <w:semiHidden/>
    <w:rsid w:val="00654EC4"/>
    <w:pPr>
      <w:tabs>
        <w:tab w:val="left" w:pos="1440"/>
        <w:tab w:val="right" w:leader="dot" w:pos="9346"/>
      </w:tabs>
      <w:spacing w:after="240"/>
      <w:ind w:left="2160" w:right="720" w:hanging="720"/>
    </w:pPr>
    <w:rPr>
      <w:snapToGrid/>
    </w:rPr>
  </w:style>
  <w:style w:type="paragraph" w:styleId="TOC4">
    <w:name w:val="toc 4"/>
    <w:basedOn w:val="Normal"/>
    <w:autoRedefine/>
    <w:semiHidden/>
    <w:rsid w:val="00654EC4"/>
    <w:pPr>
      <w:tabs>
        <w:tab w:val="left" w:pos="1440"/>
        <w:tab w:val="right" w:leader="dot" w:pos="9346"/>
      </w:tabs>
      <w:spacing w:after="240"/>
      <w:ind w:left="2880" w:right="720" w:hanging="720"/>
    </w:pPr>
    <w:rPr>
      <w:snapToGrid/>
    </w:rPr>
  </w:style>
  <w:style w:type="paragraph" w:styleId="TOC5">
    <w:name w:val="toc 5"/>
    <w:basedOn w:val="Normal"/>
    <w:next w:val="Normal"/>
    <w:autoRedefine/>
    <w:semiHidden/>
    <w:rsid w:val="00654EC4"/>
    <w:pPr>
      <w:tabs>
        <w:tab w:val="left" w:pos="720"/>
        <w:tab w:val="right" w:leader="dot" w:pos="9350"/>
      </w:tabs>
      <w:spacing w:after="240"/>
      <w:ind w:left="3600" w:right="720" w:hanging="720"/>
    </w:pPr>
    <w:rPr>
      <w:noProof/>
    </w:rPr>
  </w:style>
  <w:style w:type="paragraph" w:customStyle="1" w:styleId="testimony">
    <w:name w:val="testimony"/>
    <w:basedOn w:val="Normal"/>
    <w:rsid w:val="00654EC4"/>
    <w:pPr>
      <w:tabs>
        <w:tab w:val="left" w:pos="720"/>
        <w:tab w:val="left" w:pos="2160"/>
      </w:tabs>
      <w:spacing w:line="440" w:lineRule="atLeast"/>
      <w:ind w:left="360" w:hanging="360"/>
      <w:jc w:val="left"/>
    </w:pPr>
    <w:rPr>
      <w:rFonts w:ascii="Times" w:hAnsi="Times"/>
      <w:snapToGrid/>
      <w:szCs w:val="24"/>
    </w:rPr>
  </w:style>
  <w:style w:type="character" w:styleId="Hyperlink">
    <w:name w:val="Hyperlink"/>
    <w:basedOn w:val="DefaultParagraphFont"/>
    <w:rsid w:val="00654EC4"/>
    <w:rPr>
      <w:rFonts w:cs="Times New Roman"/>
      <w:color w:val="0000FF"/>
      <w:u w:val="single"/>
    </w:rPr>
  </w:style>
  <w:style w:type="paragraph" w:customStyle="1" w:styleId="Quote1">
    <w:name w:val="Quote1"/>
    <w:basedOn w:val="testimony"/>
    <w:rsid w:val="00654EC4"/>
    <w:pPr>
      <w:tabs>
        <w:tab w:val="clear" w:pos="720"/>
      </w:tabs>
      <w:spacing w:line="240" w:lineRule="auto"/>
      <w:ind w:left="1440" w:right="1440" w:firstLine="0"/>
    </w:pPr>
    <w:rPr>
      <w:rFonts w:ascii="Helvetica" w:hAnsi="Helvetica"/>
    </w:rPr>
  </w:style>
  <w:style w:type="character" w:styleId="EndnoteReference">
    <w:name w:val="endnote reference"/>
    <w:basedOn w:val="DefaultParagraphFont"/>
    <w:rsid w:val="00654EC4"/>
    <w:rPr>
      <w:rFonts w:cs="Times New Roman"/>
      <w:vertAlign w:val="superscript"/>
    </w:rPr>
  </w:style>
  <w:style w:type="paragraph" w:customStyle="1" w:styleId="letterstyle">
    <w:name w:val="letter style"/>
    <w:basedOn w:val="Normal"/>
    <w:rsid w:val="00654EC4"/>
    <w:pPr>
      <w:tabs>
        <w:tab w:val="left" w:pos="720"/>
        <w:tab w:val="left" w:pos="4680"/>
        <w:tab w:val="left" w:pos="5040"/>
        <w:tab w:val="left" w:pos="6480"/>
      </w:tabs>
      <w:jc w:val="left"/>
    </w:pPr>
    <w:rPr>
      <w:rFonts w:ascii="Helvetica" w:hAnsi="Helvetica"/>
      <w:snapToGrid/>
      <w:sz w:val="22"/>
      <w:szCs w:val="24"/>
    </w:rPr>
  </w:style>
  <w:style w:type="paragraph" w:customStyle="1" w:styleId="Exhibits">
    <w:name w:val="Exhibits"/>
    <w:rsid w:val="00654EC4"/>
    <w:pPr>
      <w:suppressLineNumbers/>
      <w:tabs>
        <w:tab w:val="left" w:pos="7920"/>
      </w:tabs>
      <w:ind w:left="-1440" w:right="-1440"/>
    </w:pPr>
    <w:rPr>
      <w:rFonts w:ascii="New York" w:eastAsia="Times New Roman" w:hAnsi="New York" w:cs="Times New Roman"/>
    </w:rPr>
  </w:style>
  <w:style w:type="paragraph" w:customStyle="1" w:styleId="testimonyQ">
    <w:name w:val="testimony Q#"/>
    <w:basedOn w:val="testimony"/>
    <w:rsid w:val="00654EC4"/>
    <w:pPr>
      <w:ind w:left="0" w:hanging="720"/>
    </w:pPr>
  </w:style>
  <w:style w:type="paragraph" w:customStyle="1" w:styleId="TIMES">
    <w:name w:val="TIMES"/>
    <w:basedOn w:val="Normal"/>
    <w:rsid w:val="00654EC4"/>
    <w:pPr>
      <w:jc w:val="left"/>
    </w:pPr>
    <w:rPr>
      <w:rFonts w:ascii="Times" w:hAnsi="Times"/>
      <w:snapToGrid/>
      <w:sz w:val="20"/>
      <w:szCs w:val="24"/>
    </w:rPr>
  </w:style>
  <w:style w:type="paragraph" w:customStyle="1" w:styleId="Proof">
    <w:name w:val="Proof"/>
    <w:basedOn w:val="Exhibits"/>
    <w:rsid w:val="00654EC4"/>
    <w:pPr>
      <w:tabs>
        <w:tab w:val="left" w:pos="0"/>
        <w:tab w:val="left" w:pos="1440"/>
        <w:tab w:val="left" w:pos="2160"/>
        <w:tab w:val="left" w:pos="8460"/>
        <w:tab w:val="decimal" w:pos="9000"/>
      </w:tabs>
      <w:ind w:left="-360" w:right="-720"/>
    </w:pPr>
    <w:rPr>
      <w:rFonts w:ascii="Times" w:hAnsi="Times"/>
      <w:sz w:val="20"/>
    </w:rPr>
  </w:style>
  <w:style w:type="paragraph" w:customStyle="1" w:styleId="quotecourier">
    <w:name w:val="quote (courier)"/>
    <w:basedOn w:val="Quote1"/>
    <w:rsid w:val="00654EC4"/>
    <w:rPr>
      <w:rFonts w:ascii="Courier" w:hAnsi="Courier"/>
    </w:rPr>
  </w:style>
  <w:style w:type="paragraph" w:customStyle="1" w:styleId="FootnoteText1">
    <w:name w:val="Footnote Text1"/>
    <w:basedOn w:val="Normal"/>
    <w:rsid w:val="00654EC4"/>
    <w:pPr>
      <w:ind w:left="720"/>
      <w:jc w:val="left"/>
    </w:pPr>
    <w:rPr>
      <w:rFonts w:ascii="Helvetica" w:hAnsi="Helvetica"/>
      <w:snapToGrid/>
      <w:sz w:val="20"/>
      <w:szCs w:val="24"/>
    </w:rPr>
  </w:style>
  <w:style w:type="paragraph" w:customStyle="1" w:styleId="WPDefaults">
    <w:name w:val="WP Defaults"/>
    <w:rsid w:val="00654E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eastAsia="Times New Roman" w:hAnsi="Times" w:cs="Times New Roman"/>
    </w:rPr>
  </w:style>
  <w:style w:type="paragraph" w:customStyle="1" w:styleId="Header1">
    <w:name w:val="Header1"/>
    <w:rsid w:val="00654EC4"/>
    <w:rPr>
      <w:rFonts w:ascii="Times" w:eastAsia="Times New Roman" w:hAnsi="Times" w:cs="Times New Roman"/>
    </w:rPr>
  </w:style>
  <w:style w:type="paragraph" w:customStyle="1" w:styleId="Footnote">
    <w:name w:val="Footnote #"/>
    <w:rsid w:val="00654EC4"/>
    <w:rPr>
      <w:rFonts w:ascii="Times" w:eastAsia="Times New Roman" w:hAnsi="Times" w:cs="Times New Roman"/>
    </w:rPr>
  </w:style>
  <w:style w:type="paragraph" w:customStyle="1" w:styleId="Document">
    <w:name w:val="Document"/>
    <w:rsid w:val="00654EC4"/>
    <w:rPr>
      <w:rFonts w:ascii="Times" w:eastAsia="Times New Roman" w:hAnsi="Times" w:cs="Times New Roman"/>
    </w:rPr>
  </w:style>
  <w:style w:type="paragraph" w:styleId="ListBullet">
    <w:name w:val="List Bullet"/>
    <w:basedOn w:val="Normal"/>
    <w:autoRedefine/>
    <w:rsid w:val="00654EC4"/>
    <w:pPr>
      <w:numPr>
        <w:numId w:val="8"/>
      </w:numPr>
      <w:jc w:val="left"/>
    </w:pPr>
    <w:rPr>
      <w:rFonts w:ascii="New York" w:hAnsi="New York"/>
      <w:snapToGrid/>
      <w:szCs w:val="24"/>
    </w:rPr>
  </w:style>
  <w:style w:type="character" w:customStyle="1" w:styleId="InitialStyle">
    <w:name w:val="InitialStyle"/>
    <w:rsid w:val="00654EC4"/>
    <w:rPr>
      <w:rFonts w:ascii="Times New Roman" w:hAnsi="Times New Roman"/>
      <w:color w:val="auto"/>
      <w:spacing w:val="0"/>
      <w:sz w:val="24"/>
    </w:rPr>
  </w:style>
  <w:style w:type="paragraph" w:customStyle="1" w:styleId="Answer">
    <w:name w:val="Answer"/>
    <w:basedOn w:val="testimony"/>
    <w:rsid w:val="00654EC4"/>
    <w:pPr>
      <w:tabs>
        <w:tab w:val="clear" w:pos="2160"/>
      </w:tabs>
      <w:spacing w:line="480" w:lineRule="auto"/>
      <w:ind w:left="0" w:firstLine="720"/>
      <w:jc w:val="both"/>
    </w:pPr>
    <w:rPr>
      <w:rFonts w:ascii="Times New Roman" w:hAnsi="Times New Roman"/>
    </w:rPr>
  </w:style>
  <w:style w:type="character" w:styleId="FollowedHyperlink">
    <w:name w:val="FollowedHyperlink"/>
    <w:basedOn w:val="DefaultParagraphFont"/>
    <w:rsid w:val="00654EC4"/>
    <w:rPr>
      <w:rFonts w:cs="Times New Roman"/>
      <w:color w:val="800080"/>
      <w:u w:val="single"/>
    </w:rPr>
  </w:style>
  <w:style w:type="paragraph" w:customStyle="1" w:styleId="SecondAnswer">
    <w:name w:val="SecondAnswer"/>
    <w:basedOn w:val="Answer"/>
    <w:rsid w:val="00654EC4"/>
  </w:style>
  <w:style w:type="paragraph" w:customStyle="1" w:styleId="Question">
    <w:name w:val="Question"/>
    <w:basedOn w:val="testimony"/>
    <w:rsid w:val="00654EC4"/>
    <w:pPr>
      <w:tabs>
        <w:tab w:val="clear" w:pos="2160"/>
      </w:tabs>
      <w:spacing w:line="480" w:lineRule="auto"/>
      <w:ind w:left="0" w:firstLine="720"/>
      <w:jc w:val="both"/>
    </w:pPr>
    <w:rPr>
      <w:rFonts w:ascii="Times New Roman" w:hAnsi="Times New Roman"/>
      <w:caps/>
    </w:rPr>
  </w:style>
  <w:style w:type="character" w:customStyle="1" w:styleId="BalloonTextChar1">
    <w:name w:val="Balloon Text Char1"/>
    <w:basedOn w:val="DefaultParagraphFont"/>
    <w:link w:val="BalloonText"/>
    <w:rsid w:val="00654EC4"/>
    <w:rPr>
      <w:rFonts w:ascii="Lucida Grande" w:eastAsia="Times New Roman" w:hAnsi="Lucida Grande" w:cs="Times New Roman"/>
      <w:sz w:val="18"/>
      <w:szCs w:val="18"/>
    </w:rPr>
  </w:style>
  <w:style w:type="paragraph" w:customStyle="1" w:styleId="Answers">
    <w:name w:val="Answers"/>
    <w:basedOn w:val="Normal"/>
    <w:link w:val="AnswersChar"/>
    <w:rsid w:val="00654EC4"/>
    <w:pPr>
      <w:spacing w:line="480" w:lineRule="auto"/>
      <w:ind w:left="720" w:hanging="720"/>
    </w:pPr>
    <w:rPr>
      <w:rFonts w:ascii="Times New Roman" w:hAnsi="Times New Roman"/>
      <w:snapToGrid/>
      <w:szCs w:val="24"/>
    </w:rPr>
  </w:style>
  <w:style w:type="character" w:customStyle="1" w:styleId="AnswersChar">
    <w:name w:val="Answers Char"/>
    <w:basedOn w:val="DefaultParagraphFont"/>
    <w:link w:val="Answers"/>
    <w:locked/>
    <w:rsid w:val="00654EC4"/>
    <w:rPr>
      <w:rFonts w:ascii="Times New Roman" w:eastAsia="Times New Roman" w:hAnsi="Times New Roman" w:cs="Times New Roman"/>
    </w:rPr>
  </w:style>
  <w:style w:type="paragraph" w:customStyle="1" w:styleId="LGPUCFootnote">
    <w:name w:val="LG PUC Footnote"/>
    <w:basedOn w:val="Normal"/>
    <w:rsid w:val="00654EC4"/>
    <w:pPr>
      <w:widowControl w:val="0"/>
      <w:tabs>
        <w:tab w:val="left" w:pos="1080"/>
      </w:tabs>
      <w:spacing w:before="120" w:line="240" w:lineRule="exact"/>
      <w:ind w:firstLine="720"/>
    </w:pPr>
    <w:rPr>
      <w:rFonts w:ascii="Times New Roman" w:hAnsi="Times New Roman"/>
      <w:snapToGrid/>
      <w:sz w:val="20"/>
      <w:szCs w:val="24"/>
    </w:rPr>
  </w:style>
  <w:style w:type="paragraph" w:customStyle="1" w:styleId="Answer2">
    <w:name w:val="Answer 2"/>
    <w:basedOn w:val="Answers"/>
    <w:link w:val="Answer2Char"/>
    <w:rsid w:val="00654EC4"/>
    <w:pPr>
      <w:ind w:firstLine="720"/>
    </w:pPr>
  </w:style>
  <w:style w:type="character" w:customStyle="1" w:styleId="Answer2Char">
    <w:name w:val="Answer 2 Char"/>
    <w:basedOn w:val="AnswersChar"/>
    <w:link w:val="Answer2"/>
    <w:locked/>
    <w:rsid w:val="00654EC4"/>
    <w:rPr>
      <w:rFonts w:ascii="Times New Roman" w:eastAsia="Times New Roman" w:hAnsi="Times New Roman" w:cs="Times New Roman"/>
    </w:rPr>
  </w:style>
  <w:style w:type="table" w:styleId="TableGrid">
    <w:name w:val="Table Grid"/>
    <w:basedOn w:val="TableNormal"/>
    <w:rsid w:val="00654EC4"/>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654EC4"/>
    <w:rPr>
      <w:b/>
      <w:bCs/>
    </w:rPr>
  </w:style>
  <w:style w:type="character" w:customStyle="1" w:styleId="CommentSubjectChar">
    <w:name w:val="Comment Subject Char"/>
    <w:basedOn w:val="CommentTextChar"/>
    <w:link w:val="CommentSubject"/>
    <w:semiHidden/>
    <w:rsid w:val="00654EC4"/>
    <w:rPr>
      <w:rFonts w:ascii="Arial" w:eastAsia="Times New Roman" w:hAnsi="Arial" w:cs="Times New Roman"/>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54EC4"/>
    <w:pPr>
      <w:jc w:val="both"/>
    </w:pPr>
    <w:rPr>
      <w:rFonts w:ascii="Arial" w:eastAsia="Times New Roman" w:hAnsi="Arial" w:cs="Times New Roman"/>
      <w:snapToGrid w:val="0"/>
      <w:szCs w:val="20"/>
    </w:rPr>
  </w:style>
  <w:style w:type="paragraph" w:styleId="Heading1">
    <w:name w:val="heading 1"/>
    <w:basedOn w:val="Normal"/>
    <w:next w:val="Normal"/>
    <w:link w:val="Heading1Char"/>
    <w:qFormat/>
    <w:rsid w:val="00654EC4"/>
    <w:pPr>
      <w:keepNext/>
      <w:numPr>
        <w:numId w:val="6"/>
      </w:numPr>
      <w:spacing w:line="480" w:lineRule="auto"/>
      <w:outlineLvl w:val="0"/>
    </w:pPr>
    <w:rPr>
      <w:b/>
      <w:u w:val="single"/>
    </w:rPr>
  </w:style>
  <w:style w:type="paragraph" w:styleId="Heading2">
    <w:name w:val="heading 2"/>
    <w:basedOn w:val="Normal"/>
    <w:next w:val="Normal"/>
    <w:link w:val="Heading2Char"/>
    <w:qFormat/>
    <w:rsid w:val="00654EC4"/>
    <w:pPr>
      <w:keepNext/>
      <w:numPr>
        <w:numId w:val="5"/>
      </w:numPr>
      <w:tabs>
        <w:tab w:val="clear" w:pos="720"/>
        <w:tab w:val="left" w:pos="0"/>
        <w:tab w:val="num" w:pos="1440"/>
        <w:tab w:val="left" w:pos="2163"/>
        <w:tab w:val="left" w:pos="2884"/>
        <w:tab w:val="left" w:pos="3605"/>
        <w:tab w:val="left" w:pos="4326"/>
        <w:tab w:val="left" w:pos="5047"/>
        <w:tab w:val="left" w:pos="5768"/>
        <w:tab w:val="left" w:pos="6489"/>
        <w:tab w:val="left" w:pos="7210"/>
        <w:tab w:val="left" w:pos="7931"/>
        <w:tab w:val="left" w:pos="8652"/>
      </w:tabs>
      <w:spacing w:line="480" w:lineRule="auto"/>
      <w:ind w:left="1440"/>
      <w:outlineLvl w:val="1"/>
    </w:pPr>
    <w:rPr>
      <w:b/>
    </w:rPr>
  </w:style>
  <w:style w:type="paragraph" w:styleId="Heading3">
    <w:name w:val="heading 3"/>
    <w:basedOn w:val="Normal"/>
    <w:next w:val="Normal"/>
    <w:link w:val="Heading3Char"/>
    <w:qFormat/>
    <w:rsid w:val="00654EC4"/>
    <w:pPr>
      <w:keepNext/>
      <w:tabs>
        <w:tab w:val="center" w:pos="4536"/>
      </w:tabs>
      <w:jc w:val="center"/>
      <w:outlineLvl w:val="2"/>
    </w:pPr>
    <w:rPr>
      <w:b/>
    </w:rPr>
  </w:style>
  <w:style w:type="paragraph" w:styleId="Heading4">
    <w:name w:val="heading 4"/>
    <w:basedOn w:val="Normal"/>
    <w:next w:val="Normal"/>
    <w:link w:val="Heading4Char"/>
    <w:qFormat/>
    <w:rsid w:val="00654EC4"/>
    <w:pPr>
      <w:keepNext/>
      <w:tabs>
        <w:tab w:val="center" w:pos="4536"/>
      </w:tabs>
      <w:jc w:val="center"/>
      <w:outlineLvl w:val="3"/>
    </w:pPr>
    <w:rPr>
      <w:b/>
      <w:sz w:val="28"/>
    </w:rPr>
  </w:style>
  <w:style w:type="paragraph" w:styleId="Heading5">
    <w:name w:val="heading 5"/>
    <w:basedOn w:val="Normal"/>
    <w:next w:val="Normal"/>
    <w:link w:val="Heading5Char"/>
    <w:qFormat/>
    <w:rsid w:val="00654EC4"/>
    <w:pPr>
      <w:keepNext/>
      <w:tabs>
        <w:tab w:val="left" w:pos="720"/>
        <w:tab w:val="left" w:pos="1440"/>
        <w:tab w:val="center" w:pos="4536"/>
      </w:tab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54EC4"/>
    <w:pPr>
      <w:jc w:val="left"/>
    </w:pPr>
    <w:rPr>
      <w:rFonts w:ascii="Lucida Grande" w:hAnsi="Lucida Grande"/>
      <w:snapToGrid/>
      <w:sz w:val="18"/>
      <w:szCs w:val="18"/>
    </w:rPr>
  </w:style>
  <w:style w:type="character" w:customStyle="1" w:styleId="BalloonTextChar">
    <w:name w:val="Balloon Text Char"/>
    <w:basedOn w:val="DefaultParagraphFont"/>
    <w:uiPriority w:val="99"/>
    <w:semiHidden/>
    <w:rsid w:val="00D3400E"/>
    <w:rPr>
      <w:rFonts w:ascii="Lucida Grande" w:hAnsi="Lucida Grande"/>
      <w:sz w:val="18"/>
      <w:szCs w:val="18"/>
    </w:rPr>
  </w:style>
  <w:style w:type="character" w:customStyle="1" w:styleId="BalloonTextChar0">
    <w:name w:val="Balloon Text Char"/>
    <w:basedOn w:val="DefaultParagraphFont"/>
    <w:uiPriority w:val="99"/>
    <w:semiHidden/>
    <w:rsid w:val="00D3400E"/>
    <w:rPr>
      <w:rFonts w:ascii="Lucida Grande" w:hAnsi="Lucida Grande"/>
      <w:sz w:val="18"/>
      <w:szCs w:val="18"/>
    </w:rPr>
  </w:style>
  <w:style w:type="character" w:customStyle="1" w:styleId="BalloonTextChar2">
    <w:name w:val="Balloon Text Char"/>
    <w:basedOn w:val="DefaultParagraphFont"/>
    <w:uiPriority w:val="99"/>
    <w:semiHidden/>
    <w:rsid w:val="00D3400E"/>
    <w:rPr>
      <w:rFonts w:ascii="Lucida Grande" w:hAnsi="Lucida Grande"/>
      <w:sz w:val="18"/>
      <w:szCs w:val="18"/>
    </w:rPr>
  </w:style>
  <w:style w:type="character" w:customStyle="1" w:styleId="BalloonTextChar3">
    <w:name w:val="Balloon Text Char"/>
    <w:basedOn w:val="DefaultParagraphFont"/>
    <w:uiPriority w:val="99"/>
    <w:semiHidden/>
    <w:rsid w:val="00D32F86"/>
    <w:rPr>
      <w:rFonts w:ascii="Lucida Grande" w:hAnsi="Lucida Grande"/>
      <w:sz w:val="18"/>
      <w:szCs w:val="18"/>
    </w:rPr>
  </w:style>
  <w:style w:type="character" w:customStyle="1" w:styleId="BalloonTextChar4">
    <w:name w:val="Balloon Text Char"/>
    <w:basedOn w:val="DefaultParagraphFont"/>
    <w:uiPriority w:val="99"/>
    <w:semiHidden/>
    <w:rsid w:val="00D32F86"/>
    <w:rPr>
      <w:rFonts w:ascii="Lucida Grande" w:hAnsi="Lucida Grande"/>
      <w:sz w:val="18"/>
      <w:szCs w:val="18"/>
    </w:rPr>
  </w:style>
  <w:style w:type="character" w:customStyle="1" w:styleId="Heading1Char">
    <w:name w:val="Heading 1 Char"/>
    <w:basedOn w:val="DefaultParagraphFont"/>
    <w:link w:val="Heading1"/>
    <w:rsid w:val="00654EC4"/>
    <w:rPr>
      <w:rFonts w:ascii="Arial" w:eastAsia="Times New Roman" w:hAnsi="Arial" w:cs="Times New Roman"/>
      <w:b/>
      <w:snapToGrid w:val="0"/>
      <w:szCs w:val="20"/>
      <w:u w:val="single"/>
    </w:rPr>
  </w:style>
  <w:style w:type="character" w:customStyle="1" w:styleId="Heading2Char">
    <w:name w:val="Heading 2 Char"/>
    <w:basedOn w:val="DefaultParagraphFont"/>
    <w:link w:val="Heading2"/>
    <w:rsid w:val="00654EC4"/>
    <w:rPr>
      <w:rFonts w:ascii="Arial" w:eastAsia="Times New Roman" w:hAnsi="Arial" w:cs="Times New Roman"/>
      <w:b/>
      <w:snapToGrid w:val="0"/>
      <w:szCs w:val="20"/>
    </w:rPr>
  </w:style>
  <w:style w:type="character" w:customStyle="1" w:styleId="Heading3Char">
    <w:name w:val="Heading 3 Char"/>
    <w:basedOn w:val="DefaultParagraphFont"/>
    <w:link w:val="Heading3"/>
    <w:rsid w:val="00654EC4"/>
    <w:rPr>
      <w:rFonts w:ascii="Arial" w:eastAsia="Times New Roman" w:hAnsi="Arial" w:cs="Times New Roman"/>
      <w:b/>
      <w:snapToGrid w:val="0"/>
      <w:szCs w:val="20"/>
    </w:rPr>
  </w:style>
  <w:style w:type="character" w:customStyle="1" w:styleId="Heading4Char">
    <w:name w:val="Heading 4 Char"/>
    <w:basedOn w:val="DefaultParagraphFont"/>
    <w:link w:val="Heading4"/>
    <w:rsid w:val="00654EC4"/>
    <w:rPr>
      <w:rFonts w:ascii="Arial" w:eastAsia="Times New Roman" w:hAnsi="Arial" w:cs="Times New Roman"/>
      <w:b/>
      <w:snapToGrid w:val="0"/>
      <w:sz w:val="28"/>
      <w:szCs w:val="20"/>
    </w:rPr>
  </w:style>
  <w:style w:type="character" w:customStyle="1" w:styleId="Heading5Char">
    <w:name w:val="Heading 5 Char"/>
    <w:basedOn w:val="DefaultParagraphFont"/>
    <w:link w:val="Heading5"/>
    <w:rsid w:val="00654EC4"/>
    <w:rPr>
      <w:rFonts w:ascii="Arial" w:eastAsia="Times New Roman" w:hAnsi="Arial" w:cs="Times New Roman"/>
      <w:b/>
      <w:snapToGrid w:val="0"/>
      <w:szCs w:val="20"/>
    </w:rPr>
  </w:style>
  <w:style w:type="character" w:styleId="FootnoteReference">
    <w:name w:val="footnote reference"/>
    <w:semiHidden/>
    <w:rsid w:val="00654EC4"/>
    <w:rPr>
      <w:rFonts w:ascii="Arial" w:hAnsi="Arial"/>
      <w:sz w:val="24"/>
      <w:vertAlign w:val="superscript"/>
    </w:rPr>
  </w:style>
  <w:style w:type="paragraph" w:styleId="DocumentMap">
    <w:name w:val="Document Map"/>
    <w:basedOn w:val="Normal"/>
    <w:link w:val="DocumentMapChar"/>
    <w:semiHidden/>
    <w:rsid w:val="00654EC4"/>
    <w:pPr>
      <w:shd w:val="clear" w:color="auto" w:fill="000080"/>
    </w:pPr>
  </w:style>
  <w:style w:type="character" w:customStyle="1" w:styleId="DocumentMapChar">
    <w:name w:val="Document Map Char"/>
    <w:basedOn w:val="DefaultParagraphFont"/>
    <w:link w:val="DocumentMap"/>
    <w:semiHidden/>
    <w:rsid w:val="00654EC4"/>
    <w:rPr>
      <w:rFonts w:ascii="Arial" w:eastAsia="Times New Roman" w:hAnsi="Arial" w:cs="Times New Roman"/>
      <w:snapToGrid w:val="0"/>
      <w:szCs w:val="20"/>
      <w:shd w:val="clear" w:color="auto" w:fill="000080"/>
    </w:rPr>
  </w:style>
  <w:style w:type="paragraph" w:styleId="FootnoteText">
    <w:name w:val="footnote text"/>
    <w:basedOn w:val="Normal"/>
    <w:link w:val="FootnoteTextChar"/>
    <w:semiHidden/>
    <w:rsid w:val="00654EC4"/>
    <w:pPr>
      <w:ind w:left="720" w:hanging="720"/>
    </w:pPr>
    <w:rPr>
      <w:sz w:val="20"/>
    </w:rPr>
  </w:style>
  <w:style w:type="character" w:customStyle="1" w:styleId="FootnoteTextChar">
    <w:name w:val="Footnote Text Char"/>
    <w:basedOn w:val="DefaultParagraphFont"/>
    <w:link w:val="FootnoteText"/>
    <w:semiHidden/>
    <w:rsid w:val="00654EC4"/>
    <w:rPr>
      <w:rFonts w:ascii="Arial" w:eastAsia="Times New Roman" w:hAnsi="Arial" w:cs="Times New Roman"/>
      <w:snapToGrid w:val="0"/>
      <w:sz w:val="20"/>
      <w:szCs w:val="20"/>
    </w:rPr>
  </w:style>
  <w:style w:type="paragraph" w:styleId="Header">
    <w:name w:val="header"/>
    <w:basedOn w:val="Normal"/>
    <w:link w:val="HeaderChar"/>
    <w:rsid w:val="00654EC4"/>
    <w:pPr>
      <w:tabs>
        <w:tab w:val="center" w:pos="4320"/>
        <w:tab w:val="right" w:pos="8640"/>
      </w:tabs>
    </w:pPr>
  </w:style>
  <w:style w:type="character" w:customStyle="1" w:styleId="HeaderChar">
    <w:name w:val="Header Char"/>
    <w:basedOn w:val="DefaultParagraphFont"/>
    <w:link w:val="Header"/>
    <w:rsid w:val="00654EC4"/>
    <w:rPr>
      <w:rFonts w:ascii="Arial" w:eastAsia="Times New Roman" w:hAnsi="Arial" w:cs="Times New Roman"/>
      <w:snapToGrid w:val="0"/>
      <w:szCs w:val="20"/>
    </w:rPr>
  </w:style>
  <w:style w:type="paragraph" w:styleId="Footer">
    <w:name w:val="footer"/>
    <w:basedOn w:val="Normal"/>
    <w:link w:val="FooterChar"/>
    <w:rsid w:val="00654EC4"/>
    <w:pPr>
      <w:tabs>
        <w:tab w:val="center" w:pos="4320"/>
        <w:tab w:val="right" w:pos="8640"/>
      </w:tabs>
    </w:pPr>
  </w:style>
  <w:style w:type="character" w:customStyle="1" w:styleId="FooterChar">
    <w:name w:val="Footer Char"/>
    <w:basedOn w:val="DefaultParagraphFont"/>
    <w:link w:val="Footer"/>
    <w:rsid w:val="00654EC4"/>
    <w:rPr>
      <w:rFonts w:ascii="Arial" w:eastAsia="Times New Roman" w:hAnsi="Arial" w:cs="Times New Roman"/>
      <w:snapToGrid w:val="0"/>
      <w:szCs w:val="20"/>
    </w:rPr>
  </w:style>
  <w:style w:type="paragraph" w:styleId="TOC6">
    <w:name w:val="toc 6"/>
    <w:basedOn w:val="Normal"/>
    <w:autoRedefine/>
    <w:semiHidden/>
    <w:rsid w:val="00654EC4"/>
    <w:pPr>
      <w:tabs>
        <w:tab w:val="left" w:pos="1440"/>
        <w:tab w:val="right" w:leader="dot" w:pos="9350"/>
      </w:tabs>
      <w:spacing w:after="240"/>
      <w:ind w:left="4320" w:right="720" w:hanging="720"/>
    </w:pPr>
  </w:style>
  <w:style w:type="character" w:styleId="CommentReference">
    <w:name w:val="annotation reference"/>
    <w:basedOn w:val="DefaultParagraphFont"/>
    <w:semiHidden/>
    <w:rsid w:val="00654EC4"/>
    <w:rPr>
      <w:rFonts w:ascii="Arial" w:hAnsi="Arial"/>
      <w:sz w:val="16"/>
    </w:rPr>
  </w:style>
  <w:style w:type="paragraph" w:styleId="CommentText">
    <w:name w:val="annotation text"/>
    <w:basedOn w:val="Normal"/>
    <w:link w:val="CommentTextChar"/>
    <w:semiHidden/>
    <w:rsid w:val="00654EC4"/>
    <w:rPr>
      <w:sz w:val="20"/>
    </w:rPr>
  </w:style>
  <w:style w:type="character" w:customStyle="1" w:styleId="CommentTextChar">
    <w:name w:val="Comment Text Char"/>
    <w:basedOn w:val="DefaultParagraphFont"/>
    <w:link w:val="CommentText"/>
    <w:semiHidden/>
    <w:rsid w:val="00654EC4"/>
    <w:rPr>
      <w:rFonts w:ascii="Arial" w:eastAsia="Times New Roman" w:hAnsi="Arial" w:cs="Times New Roman"/>
      <w:snapToGrid w:val="0"/>
      <w:sz w:val="20"/>
      <w:szCs w:val="20"/>
    </w:rPr>
  </w:style>
  <w:style w:type="character" w:styleId="LineNumber">
    <w:name w:val="line number"/>
    <w:basedOn w:val="DefaultParagraphFont"/>
    <w:rsid w:val="00654EC4"/>
    <w:rPr>
      <w:rFonts w:ascii="Arial" w:hAnsi="Arial"/>
      <w:sz w:val="24"/>
    </w:rPr>
  </w:style>
  <w:style w:type="character" w:styleId="PageNumber">
    <w:name w:val="page number"/>
    <w:basedOn w:val="DefaultParagraphFont"/>
    <w:rsid w:val="00654EC4"/>
    <w:rPr>
      <w:rFonts w:ascii="Arial" w:hAnsi="Arial"/>
      <w:sz w:val="24"/>
    </w:rPr>
  </w:style>
  <w:style w:type="paragraph" w:styleId="TOC1">
    <w:name w:val="toc 1"/>
    <w:basedOn w:val="Normal"/>
    <w:autoRedefine/>
    <w:semiHidden/>
    <w:rsid w:val="00654EC4"/>
    <w:pPr>
      <w:tabs>
        <w:tab w:val="left" w:pos="720"/>
        <w:tab w:val="right" w:leader="dot" w:pos="9346"/>
      </w:tabs>
      <w:spacing w:after="240"/>
      <w:ind w:left="720" w:right="720" w:hanging="720"/>
    </w:pPr>
    <w:rPr>
      <w:snapToGrid/>
    </w:rPr>
  </w:style>
  <w:style w:type="paragraph" w:styleId="TOC2">
    <w:name w:val="toc 2"/>
    <w:basedOn w:val="Normal"/>
    <w:autoRedefine/>
    <w:semiHidden/>
    <w:rsid w:val="00654EC4"/>
    <w:pPr>
      <w:tabs>
        <w:tab w:val="left" w:pos="1440"/>
        <w:tab w:val="right" w:leader="dot" w:pos="9346"/>
      </w:tabs>
      <w:spacing w:after="240"/>
      <w:ind w:left="1440" w:right="720" w:hanging="720"/>
    </w:pPr>
    <w:rPr>
      <w:snapToGrid/>
    </w:rPr>
  </w:style>
  <w:style w:type="paragraph" w:styleId="TOC3">
    <w:name w:val="toc 3"/>
    <w:basedOn w:val="Normal"/>
    <w:autoRedefine/>
    <w:semiHidden/>
    <w:rsid w:val="00654EC4"/>
    <w:pPr>
      <w:tabs>
        <w:tab w:val="left" w:pos="1440"/>
        <w:tab w:val="right" w:leader="dot" w:pos="9346"/>
      </w:tabs>
      <w:spacing w:after="240"/>
      <w:ind w:left="2160" w:right="720" w:hanging="720"/>
    </w:pPr>
    <w:rPr>
      <w:snapToGrid/>
    </w:rPr>
  </w:style>
  <w:style w:type="paragraph" w:styleId="TOC4">
    <w:name w:val="toc 4"/>
    <w:basedOn w:val="Normal"/>
    <w:autoRedefine/>
    <w:semiHidden/>
    <w:rsid w:val="00654EC4"/>
    <w:pPr>
      <w:tabs>
        <w:tab w:val="left" w:pos="1440"/>
        <w:tab w:val="right" w:leader="dot" w:pos="9346"/>
      </w:tabs>
      <w:spacing w:after="240"/>
      <w:ind w:left="2880" w:right="720" w:hanging="720"/>
    </w:pPr>
    <w:rPr>
      <w:snapToGrid/>
    </w:rPr>
  </w:style>
  <w:style w:type="paragraph" w:styleId="TOC5">
    <w:name w:val="toc 5"/>
    <w:basedOn w:val="Normal"/>
    <w:next w:val="Normal"/>
    <w:autoRedefine/>
    <w:semiHidden/>
    <w:rsid w:val="00654EC4"/>
    <w:pPr>
      <w:tabs>
        <w:tab w:val="left" w:pos="720"/>
        <w:tab w:val="right" w:leader="dot" w:pos="9350"/>
      </w:tabs>
      <w:spacing w:after="240"/>
      <w:ind w:left="3600" w:right="720" w:hanging="720"/>
    </w:pPr>
    <w:rPr>
      <w:noProof/>
    </w:rPr>
  </w:style>
  <w:style w:type="paragraph" w:customStyle="1" w:styleId="testimony">
    <w:name w:val="testimony"/>
    <w:basedOn w:val="Normal"/>
    <w:rsid w:val="00654EC4"/>
    <w:pPr>
      <w:tabs>
        <w:tab w:val="left" w:pos="720"/>
        <w:tab w:val="left" w:pos="2160"/>
      </w:tabs>
      <w:spacing w:line="440" w:lineRule="atLeast"/>
      <w:ind w:left="360" w:hanging="360"/>
      <w:jc w:val="left"/>
    </w:pPr>
    <w:rPr>
      <w:rFonts w:ascii="Times" w:hAnsi="Times"/>
      <w:snapToGrid/>
      <w:szCs w:val="24"/>
    </w:rPr>
  </w:style>
  <w:style w:type="character" w:styleId="Hyperlink">
    <w:name w:val="Hyperlink"/>
    <w:basedOn w:val="DefaultParagraphFont"/>
    <w:rsid w:val="00654EC4"/>
    <w:rPr>
      <w:rFonts w:cs="Times New Roman"/>
      <w:color w:val="0000FF"/>
      <w:u w:val="single"/>
    </w:rPr>
  </w:style>
  <w:style w:type="paragraph" w:customStyle="1" w:styleId="Quote1">
    <w:name w:val="Quote1"/>
    <w:basedOn w:val="testimony"/>
    <w:rsid w:val="00654EC4"/>
    <w:pPr>
      <w:tabs>
        <w:tab w:val="clear" w:pos="720"/>
      </w:tabs>
      <w:spacing w:line="240" w:lineRule="auto"/>
      <w:ind w:left="1440" w:right="1440" w:firstLine="0"/>
    </w:pPr>
    <w:rPr>
      <w:rFonts w:ascii="Helvetica" w:hAnsi="Helvetica"/>
    </w:rPr>
  </w:style>
  <w:style w:type="character" w:styleId="EndnoteReference">
    <w:name w:val="endnote reference"/>
    <w:basedOn w:val="DefaultParagraphFont"/>
    <w:rsid w:val="00654EC4"/>
    <w:rPr>
      <w:rFonts w:cs="Times New Roman"/>
      <w:vertAlign w:val="superscript"/>
    </w:rPr>
  </w:style>
  <w:style w:type="paragraph" w:customStyle="1" w:styleId="letterstyle">
    <w:name w:val="letter style"/>
    <w:basedOn w:val="Normal"/>
    <w:rsid w:val="00654EC4"/>
    <w:pPr>
      <w:tabs>
        <w:tab w:val="left" w:pos="720"/>
        <w:tab w:val="left" w:pos="4680"/>
        <w:tab w:val="left" w:pos="5040"/>
        <w:tab w:val="left" w:pos="6480"/>
      </w:tabs>
      <w:jc w:val="left"/>
    </w:pPr>
    <w:rPr>
      <w:rFonts w:ascii="Helvetica" w:hAnsi="Helvetica"/>
      <w:snapToGrid/>
      <w:sz w:val="22"/>
      <w:szCs w:val="24"/>
    </w:rPr>
  </w:style>
  <w:style w:type="paragraph" w:customStyle="1" w:styleId="Exhibits">
    <w:name w:val="Exhibits"/>
    <w:rsid w:val="00654EC4"/>
    <w:pPr>
      <w:suppressLineNumbers/>
      <w:tabs>
        <w:tab w:val="left" w:pos="7920"/>
      </w:tabs>
      <w:ind w:left="-1440" w:right="-1440"/>
    </w:pPr>
    <w:rPr>
      <w:rFonts w:ascii="New York" w:eastAsia="Times New Roman" w:hAnsi="New York" w:cs="Times New Roman"/>
    </w:rPr>
  </w:style>
  <w:style w:type="paragraph" w:customStyle="1" w:styleId="testimonyQ">
    <w:name w:val="testimony Q#"/>
    <w:basedOn w:val="testimony"/>
    <w:rsid w:val="00654EC4"/>
    <w:pPr>
      <w:ind w:left="0" w:hanging="720"/>
    </w:pPr>
  </w:style>
  <w:style w:type="paragraph" w:customStyle="1" w:styleId="TIMES">
    <w:name w:val="TIMES"/>
    <w:basedOn w:val="Normal"/>
    <w:rsid w:val="00654EC4"/>
    <w:pPr>
      <w:jc w:val="left"/>
    </w:pPr>
    <w:rPr>
      <w:rFonts w:ascii="Times" w:hAnsi="Times"/>
      <w:snapToGrid/>
      <w:sz w:val="20"/>
      <w:szCs w:val="24"/>
    </w:rPr>
  </w:style>
  <w:style w:type="paragraph" w:customStyle="1" w:styleId="Proof">
    <w:name w:val="Proof"/>
    <w:basedOn w:val="Exhibits"/>
    <w:rsid w:val="00654EC4"/>
    <w:pPr>
      <w:tabs>
        <w:tab w:val="left" w:pos="0"/>
        <w:tab w:val="left" w:pos="1440"/>
        <w:tab w:val="left" w:pos="2160"/>
        <w:tab w:val="left" w:pos="8460"/>
        <w:tab w:val="decimal" w:pos="9000"/>
      </w:tabs>
      <w:ind w:left="-360" w:right="-720"/>
    </w:pPr>
    <w:rPr>
      <w:rFonts w:ascii="Times" w:hAnsi="Times"/>
      <w:sz w:val="20"/>
    </w:rPr>
  </w:style>
  <w:style w:type="paragraph" w:customStyle="1" w:styleId="quotecourier">
    <w:name w:val="quote (courier)"/>
    <w:basedOn w:val="Quote1"/>
    <w:rsid w:val="00654EC4"/>
    <w:rPr>
      <w:rFonts w:ascii="Courier" w:hAnsi="Courier"/>
    </w:rPr>
  </w:style>
  <w:style w:type="paragraph" w:customStyle="1" w:styleId="FootnoteText1">
    <w:name w:val="Footnote Text1"/>
    <w:basedOn w:val="Normal"/>
    <w:rsid w:val="00654EC4"/>
    <w:pPr>
      <w:ind w:left="720"/>
      <w:jc w:val="left"/>
    </w:pPr>
    <w:rPr>
      <w:rFonts w:ascii="Helvetica" w:hAnsi="Helvetica"/>
      <w:snapToGrid/>
      <w:sz w:val="20"/>
      <w:szCs w:val="24"/>
    </w:rPr>
  </w:style>
  <w:style w:type="paragraph" w:customStyle="1" w:styleId="WPDefaults">
    <w:name w:val="WP Defaults"/>
    <w:rsid w:val="00654E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eastAsia="Times New Roman" w:hAnsi="Times" w:cs="Times New Roman"/>
    </w:rPr>
  </w:style>
  <w:style w:type="paragraph" w:customStyle="1" w:styleId="Header1">
    <w:name w:val="Header1"/>
    <w:rsid w:val="00654EC4"/>
    <w:rPr>
      <w:rFonts w:ascii="Times" w:eastAsia="Times New Roman" w:hAnsi="Times" w:cs="Times New Roman"/>
    </w:rPr>
  </w:style>
  <w:style w:type="paragraph" w:customStyle="1" w:styleId="Footnote">
    <w:name w:val="Footnote #"/>
    <w:rsid w:val="00654EC4"/>
    <w:rPr>
      <w:rFonts w:ascii="Times" w:eastAsia="Times New Roman" w:hAnsi="Times" w:cs="Times New Roman"/>
    </w:rPr>
  </w:style>
  <w:style w:type="paragraph" w:customStyle="1" w:styleId="Document">
    <w:name w:val="Document"/>
    <w:rsid w:val="00654EC4"/>
    <w:rPr>
      <w:rFonts w:ascii="Times" w:eastAsia="Times New Roman" w:hAnsi="Times" w:cs="Times New Roman"/>
    </w:rPr>
  </w:style>
  <w:style w:type="paragraph" w:styleId="ListBullet">
    <w:name w:val="List Bullet"/>
    <w:basedOn w:val="Normal"/>
    <w:autoRedefine/>
    <w:rsid w:val="00654EC4"/>
    <w:pPr>
      <w:numPr>
        <w:numId w:val="8"/>
      </w:numPr>
      <w:jc w:val="left"/>
    </w:pPr>
    <w:rPr>
      <w:rFonts w:ascii="New York" w:hAnsi="New York"/>
      <w:snapToGrid/>
      <w:szCs w:val="24"/>
    </w:rPr>
  </w:style>
  <w:style w:type="character" w:customStyle="1" w:styleId="InitialStyle">
    <w:name w:val="InitialStyle"/>
    <w:rsid w:val="00654EC4"/>
    <w:rPr>
      <w:rFonts w:ascii="Times New Roman" w:hAnsi="Times New Roman"/>
      <w:color w:val="auto"/>
      <w:spacing w:val="0"/>
      <w:sz w:val="24"/>
    </w:rPr>
  </w:style>
  <w:style w:type="paragraph" w:customStyle="1" w:styleId="Answer">
    <w:name w:val="Answer"/>
    <w:basedOn w:val="testimony"/>
    <w:rsid w:val="00654EC4"/>
    <w:pPr>
      <w:tabs>
        <w:tab w:val="clear" w:pos="2160"/>
      </w:tabs>
      <w:spacing w:line="480" w:lineRule="auto"/>
      <w:ind w:left="0" w:firstLine="720"/>
      <w:jc w:val="both"/>
    </w:pPr>
    <w:rPr>
      <w:rFonts w:ascii="Times New Roman" w:hAnsi="Times New Roman"/>
    </w:rPr>
  </w:style>
  <w:style w:type="character" w:styleId="FollowedHyperlink">
    <w:name w:val="FollowedHyperlink"/>
    <w:basedOn w:val="DefaultParagraphFont"/>
    <w:rsid w:val="00654EC4"/>
    <w:rPr>
      <w:rFonts w:cs="Times New Roman"/>
      <w:color w:val="800080"/>
      <w:u w:val="single"/>
    </w:rPr>
  </w:style>
  <w:style w:type="paragraph" w:customStyle="1" w:styleId="SecondAnswer">
    <w:name w:val="SecondAnswer"/>
    <w:basedOn w:val="Answer"/>
    <w:rsid w:val="00654EC4"/>
  </w:style>
  <w:style w:type="paragraph" w:customStyle="1" w:styleId="Question">
    <w:name w:val="Question"/>
    <w:basedOn w:val="testimony"/>
    <w:rsid w:val="00654EC4"/>
    <w:pPr>
      <w:tabs>
        <w:tab w:val="clear" w:pos="2160"/>
      </w:tabs>
      <w:spacing w:line="480" w:lineRule="auto"/>
      <w:ind w:left="0" w:firstLine="720"/>
      <w:jc w:val="both"/>
    </w:pPr>
    <w:rPr>
      <w:rFonts w:ascii="Times New Roman" w:hAnsi="Times New Roman"/>
      <w:caps/>
    </w:rPr>
  </w:style>
  <w:style w:type="character" w:customStyle="1" w:styleId="BalloonTextChar1">
    <w:name w:val="Balloon Text Char1"/>
    <w:basedOn w:val="DefaultParagraphFont"/>
    <w:link w:val="BalloonText"/>
    <w:rsid w:val="00654EC4"/>
    <w:rPr>
      <w:rFonts w:ascii="Lucida Grande" w:eastAsia="Times New Roman" w:hAnsi="Lucida Grande" w:cs="Times New Roman"/>
      <w:sz w:val="18"/>
      <w:szCs w:val="18"/>
    </w:rPr>
  </w:style>
  <w:style w:type="paragraph" w:customStyle="1" w:styleId="Answers">
    <w:name w:val="Answers"/>
    <w:basedOn w:val="Normal"/>
    <w:link w:val="AnswersChar"/>
    <w:rsid w:val="00654EC4"/>
    <w:pPr>
      <w:spacing w:line="480" w:lineRule="auto"/>
      <w:ind w:left="720" w:hanging="720"/>
    </w:pPr>
    <w:rPr>
      <w:rFonts w:ascii="Times New Roman" w:hAnsi="Times New Roman"/>
      <w:snapToGrid/>
      <w:szCs w:val="24"/>
    </w:rPr>
  </w:style>
  <w:style w:type="character" w:customStyle="1" w:styleId="AnswersChar">
    <w:name w:val="Answers Char"/>
    <w:basedOn w:val="DefaultParagraphFont"/>
    <w:link w:val="Answers"/>
    <w:locked/>
    <w:rsid w:val="00654EC4"/>
    <w:rPr>
      <w:rFonts w:ascii="Times New Roman" w:eastAsia="Times New Roman" w:hAnsi="Times New Roman" w:cs="Times New Roman"/>
    </w:rPr>
  </w:style>
  <w:style w:type="paragraph" w:customStyle="1" w:styleId="LGPUCFootnote">
    <w:name w:val="LG PUC Footnote"/>
    <w:basedOn w:val="Normal"/>
    <w:rsid w:val="00654EC4"/>
    <w:pPr>
      <w:widowControl w:val="0"/>
      <w:tabs>
        <w:tab w:val="left" w:pos="1080"/>
      </w:tabs>
      <w:spacing w:before="120" w:line="240" w:lineRule="exact"/>
      <w:ind w:firstLine="720"/>
    </w:pPr>
    <w:rPr>
      <w:rFonts w:ascii="Times New Roman" w:hAnsi="Times New Roman"/>
      <w:snapToGrid/>
      <w:sz w:val="20"/>
      <w:szCs w:val="24"/>
    </w:rPr>
  </w:style>
  <w:style w:type="paragraph" w:customStyle="1" w:styleId="Answer2">
    <w:name w:val="Answer 2"/>
    <w:basedOn w:val="Answers"/>
    <w:link w:val="Answer2Char"/>
    <w:rsid w:val="00654EC4"/>
    <w:pPr>
      <w:ind w:firstLine="720"/>
    </w:pPr>
  </w:style>
  <w:style w:type="character" w:customStyle="1" w:styleId="Answer2Char">
    <w:name w:val="Answer 2 Char"/>
    <w:basedOn w:val="AnswersChar"/>
    <w:link w:val="Answer2"/>
    <w:locked/>
    <w:rsid w:val="00654EC4"/>
    <w:rPr>
      <w:rFonts w:ascii="Times New Roman" w:eastAsia="Times New Roman" w:hAnsi="Times New Roman" w:cs="Times New Roman"/>
    </w:rPr>
  </w:style>
  <w:style w:type="table" w:styleId="TableGrid">
    <w:name w:val="Table Grid"/>
    <w:basedOn w:val="TableNormal"/>
    <w:rsid w:val="00654EC4"/>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654EC4"/>
    <w:rPr>
      <w:b/>
      <w:bCs/>
    </w:rPr>
  </w:style>
  <w:style w:type="character" w:customStyle="1" w:styleId="CommentSubjectChar">
    <w:name w:val="Comment Subject Char"/>
    <w:basedOn w:val="CommentTextChar"/>
    <w:link w:val="CommentSubject"/>
    <w:semiHidden/>
    <w:rsid w:val="00654EC4"/>
    <w:rPr>
      <w:rFonts w:ascii="Arial" w:eastAsia="Times New Roman" w:hAnsi="Arial"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10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2014-07-22T07:00:00+00:00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F1273-B0B4-40F9-A8EB-53B00F092140}"/>
</file>

<file path=customXml/itemProps2.xml><?xml version="1.0" encoding="utf-8"?>
<ds:datastoreItem xmlns:ds="http://schemas.openxmlformats.org/officeDocument/2006/customXml" ds:itemID="{F3F990EA-4FAD-4136-8609-4699B9A079D9}"/>
</file>

<file path=customXml/itemProps3.xml><?xml version="1.0" encoding="utf-8"?>
<ds:datastoreItem xmlns:ds="http://schemas.openxmlformats.org/officeDocument/2006/customXml" ds:itemID="{8F96F0D7-AD50-4F37-B0B7-107AB032F359}"/>
</file>

<file path=customXml/itemProps4.xml><?xml version="1.0" encoding="utf-8"?>
<ds:datastoreItem xmlns:ds="http://schemas.openxmlformats.org/officeDocument/2006/customXml" ds:itemID="{CCCF5B78-ED6E-4006-B224-A0B940FDA630}"/>
</file>

<file path=customXml/itemProps5.xml><?xml version="1.0" encoding="utf-8"?>
<ds:datastoreItem xmlns:ds="http://schemas.openxmlformats.org/officeDocument/2006/customXml" ds:itemID="{76F48407-2754-4E8C-8387-1A7A589A432F}"/>
</file>

<file path=docProps/app.xml><?xml version="1.0" encoding="utf-8"?>
<Properties xmlns="http://schemas.openxmlformats.org/officeDocument/2006/extended-properties" xmlns:vt="http://schemas.openxmlformats.org/officeDocument/2006/docPropsVTypes">
  <Template>Normal.dotm</Template>
  <TotalTime>2</TotalTime>
  <Pages>16</Pages>
  <Words>3555</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Hill Associates</Company>
  <LinksUpToDate>false</LinksUpToDate>
  <CharactersWithSpaces>23778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Hill</dc:creator>
  <cp:lastModifiedBy>carolw</cp:lastModifiedBy>
  <cp:revision>4</cp:revision>
  <cp:lastPrinted>2014-07-17T19:04:00Z</cp:lastPrinted>
  <dcterms:created xsi:type="dcterms:W3CDTF">2014-07-15T15:33:00Z</dcterms:created>
  <dcterms:modified xsi:type="dcterms:W3CDTF">2014-07-17T19:04:00Z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-1097542482</vt:i4>
  </property>
  <property fmtid="{D5CDD505-2E9C-101B-9397-08002B2CF9AE}" pid="3" name="_NewReviewCycle">
    <vt:lpwstr/>
  </property>
  <property fmtid="{D5CDD505-2E9C-101B-9397-08002B2CF9AE}" pid="4" name="_EmailSubject">
    <vt:lpwstr>FW: Avista ROE Testimony-Draft</vt:lpwstr>
  </property>
  <property fmtid="{D5CDD505-2E9C-101B-9397-08002B2CF9AE}" pid="5" name="_AuthorEmail">
    <vt:lpwstr>LisaW4@ATG.WA.GOV</vt:lpwstr>
  </property>
  <property fmtid="{D5CDD505-2E9C-101B-9397-08002B2CF9AE}" pid="6" name="_AuthorEmailDisplayName">
    <vt:lpwstr>Gafken, Lisa (ATG)</vt:lpwstr>
  </property>
  <property fmtid="{D5CDD505-2E9C-101B-9397-08002B2CF9AE}" pid="7" name="_PreviousAdHocReviewCycleID">
    <vt:i4>-481970847</vt:i4>
  </property>
  <property fmtid="{D5CDD505-2E9C-101B-9397-08002B2CF9AE}" pid="8" name="_ReviewingToolsShownOnce">
    <vt:lpwstr/>
  </property>
  <property fmtid="{D5CDD505-2E9C-101B-9397-08002B2CF9AE}" pid="9" name="ContentTypeId">
    <vt:lpwstr>0x0101006E56B4D1795A2E4DB2F0B01679ED314A0076D05DFA5A769A459A1C549E33C26839</vt:lpwstr>
  </property>
  <property fmtid="{D5CDD505-2E9C-101B-9397-08002B2CF9AE}" pid="10" name="_docset_NoMedatataSyncRequired">
    <vt:lpwstr>False</vt:lpwstr>
  </property>
</Properties>
</file>