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FDD4D" w14:textId="77777777" w:rsidR="00625B64" w:rsidRPr="00AB16AE" w:rsidRDefault="0090335E" w:rsidP="00625B64">
      <w:pPr>
        <w:jc w:val="center"/>
        <w:rPr>
          <w:rFonts w:ascii="Times New Roman" w:hAnsi="Times New Roman"/>
          <w:b/>
          <w:sz w:val="24"/>
          <w:szCs w:val="24"/>
        </w:rPr>
      </w:pPr>
      <w:r w:rsidRPr="00AB16AE">
        <w:rPr>
          <w:rFonts w:ascii="Times New Roman" w:hAnsi="Times New Roman"/>
          <w:b/>
          <w:sz w:val="24"/>
          <w:szCs w:val="24"/>
        </w:rPr>
        <w:t>TR</w:t>
      </w:r>
      <w:r w:rsidR="00625B64" w:rsidRPr="00AB16AE">
        <w:rPr>
          <w:rFonts w:ascii="Times New Roman" w:hAnsi="Times New Roman"/>
          <w:b/>
          <w:sz w:val="24"/>
          <w:szCs w:val="24"/>
        </w:rPr>
        <w:t>-151079 Oil Train Safety Rulemaking</w:t>
      </w:r>
    </w:p>
    <w:p w14:paraId="7B19961B" w14:textId="77777777" w:rsidR="00625B64" w:rsidRPr="00AB16AE" w:rsidRDefault="00625B64" w:rsidP="00625B64">
      <w:pPr>
        <w:jc w:val="center"/>
        <w:rPr>
          <w:rFonts w:ascii="Times New Roman" w:hAnsi="Times New Roman"/>
          <w:b/>
          <w:sz w:val="24"/>
          <w:szCs w:val="24"/>
        </w:rPr>
      </w:pPr>
      <w:r w:rsidRPr="00AB16AE">
        <w:rPr>
          <w:rFonts w:ascii="Times New Roman" w:hAnsi="Times New Roman"/>
          <w:b/>
          <w:sz w:val="24"/>
          <w:szCs w:val="24"/>
        </w:rPr>
        <w:t>Comment Summary Matrix CR</w:t>
      </w:r>
      <w:r w:rsidR="00CB41AD">
        <w:rPr>
          <w:rFonts w:ascii="Times New Roman" w:hAnsi="Times New Roman"/>
          <w:b/>
          <w:sz w:val="24"/>
          <w:szCs w:val="24"/>
        </w:rPr>
        <w:t>-</w:t>
      </w:r>
      <w:r w:rsidRPr="00AB16AE">
        <w:rPr>
          <w:rFonts w:ascii="Times New Roman" w:hAnsi="Times New Roman"/>
          <w:b/>
          <w:sz w:val="24"/>
          <w:szCs w:val="24"/>
        </w:rPr>
        <w:t>101</w:t>
      </w:r>
    </w:p>
    <w:p w14:paraId="1FA0806C" w14:textId="77777777" w:rsidR="00625B64" w:rsidRPr="00AB16AE" w:rsidRDefault="00494848" w:rsidP="00625B64">
      <w:pPr>
        <w:jc w:val="center"/>
        <w:rPr>
          <w:rFonts w:ascii="Times New Roman" w:hAnsi="Times New Roman"/>
          <w:sz w:val="24"/>
          <w:szCs w:val="24"/>
        </w:rPr>
      </w:pPr>
      <w:r w:rsidRPr="00AB16AE">
        <w:rPr>
          <w:rFonts w:ascii="Times New Roman" w:hAnsi="Times New Roman"/>
          <w:sz w:val="24"/>
          <w:szCs w:val="24"/>
        </w:rPr>
        <w:t xml:space="preserve">October </w:t>
      </w:r>
      <w:r w:rsidR="00C051B2" w:rsidRPr="00AB16AE">
        <w:rPr>
          <w:rFonts w:ascii="Times New Roman" w:hAnsi="Times New Roman"/>
          <w:sz w:val="24"/>
          <w:szCs w:val="24"/>
        </w:rPr>
        <w:t>28</w:t>
      </w:r>
      <w:r w:rsidR="00625B64" w:rsidRPr="00AB16AE">
        <w:rPr>
          <w:rFonts w:ascii="Times New Roman" w:hAnsi="Times New Roman"/>
          <w:sz w:val="24"/>
          <w:szCs w:val="24"/>
        </w:rPr>
        <w:t>, 2015</w:t>
      </w:r>
    </w:p>
    <w:p w14:paraId="6B6B7763" w14:textId="77777777" w:rsidR="00625B64" w:rsidRPr="00AB16AE" w:rsidRDefault="00625B64" w:rsidP="00625B64">
      <w:pP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1"/>
        <w:gridCol w:w="2222"/>
        <w:gridCol w:w="7075"/>
        <w:gridCol w:w="5592"/>
      </w:tblGrid>
      <w:tr w:rsidR="00BD4B3E" w:rsidRPr="00AB16AE" w14:paraId="0ED0C215" w14:textId="77777777" w:rsidTr="0090335E">
        <w:tc>
          <w:tcPr>
            <w:tcW w:w="689" w:type="pct"/>
            <w:tcBorders>
              <w:top w:val="single" w:sz="4" w:space="0" w:color="000000"/>
              <w:left w:val="single" w:sz="4" w:space="0" w:color="000000"/>
              <w:bottom w:val="single" w:sz="4" w:space="0" w:color="000000"/>
              <w:right w:val="single" w:sz="4" w:space="0" w:color="000000"/>
            </w:tcBorders>
            <w:shd w:val="pct15" w:color="auto" w:fill="auto"/>
            <w:hideMark/>
          </w:tcPr>
          <w:p w14:paraId="14D00E19" w14:textId="77777777" w:rsidR="00625B64" w:rsidRPr="00AB16AE" w:rsidRDefault="00625B64">
            <w:pPr>
              <w:spacing w:line="240" w:lineRule="auto"/>
              <w:rPr>
                <w:rFonts w:ascii="Times New Roman" w:hAnsi="Times New Roman"/>
                <w:b/>
                <w:sz w:val="24"/>
                <w:szCs w:val="24"/>
              </w:rPr>
            </w:pPr>
            <w:r w:rsidRPr="00AB16AE">
              <w:rPr>
                <w:rFonts w:ascii="Times New Roman" w:hAnsi="Times New Roman"/>
                <w:b/>
                <w:sz w:val="24"/>
                <w:szCs w:val="24"/>
              </w:rPr>
              <w:t>Section</w:t>
            </w:r>
          </w:p>
        </w:tc>
        <w:tc>
          <w:tcPr>
            <w:tcW w:w="643" w:type="pct"/>
            <w:tcBorders>
              <w:top w:val="single" w:sz="4" w:space="0" w:color="000000"/>
              <w:left w:val="single" w:sz="4" w:space="0" w:color="000000"/>
              <w:bottom w:val="single" w:sz="4" w:space="0" w:color="000000"/>
              <w:right w:val="single" w:sz="4" w:space="0" w:color="000000"/>
            </w:tcBorders>
            <w:shd w:val="pct15" w:color="auto" w:fill="auto"/>
            <w:hideMark/>
          </w:tcPr>
          <w:p w14:paraId="0CB995C0" w14:textId="77777777" w:rsidR="00625B64" w:rsidRPr="00AB16AE" w:rsidRDefault="00625B64">
            <w:pPr>
              <w:spacing w:line="240" w:lineRule="auto"/>
              <w:rPr>
                <w:rFonts w:ascii="Times New Roman" w:hAnsi="Times New Roman"/>
                <w:b/>
                <w:sz w:val="24"/>
                <w:szCs w:val="24"/>
              </w:rPr>
            </w:pPr>
            <w:r w:rsidRPr="00AB16AE">
              <w:rPr>
                <w:rFonts w:ascii="Times New Roman" w:hAnsi="Times New Roman"/>
                <w:b/>
                <w:sz w:val="24"/>
                <w:szCs w:val="24"/>
              </w:rPr>
              <w:t>Commenter</w:t>
            </w:r>
          </w:p>
        </w:tc>
        <w:tc>
          <w:tcPr>
            <w:tcW w:w="2048" w:type="pct"/>
            <w:tcBorders>
              <w:top w:val="single" w:sz="4" w:space="0" w:color="000000"/>
              <w:left w:val="single" w:sz="4" w:space="0" w:color="000000"/>
              <w:bottom w:val="single" w:sz="4" w:space="0" w:color="000000"/>
              <w:right w:val="single" w:sz="4" w:space="0" w:color="000000"/>
            </w:tcBorders>
            <w:shd w:val="pct15" w:color="auto" w:fill="auto"/>
            <w:hideMark/>
          </w:tcPr>
          <w:p w14:paraId="46B290DC" w14:textId="77777777" w:rsidR="00625B64" w:rsidRPr="00AB16AE" w:rsidRDefault="00625B64">
            <w:pPr>
              <w:spacing w:line="240" w:lineRule="auto"/>
              <w:rPr>
                <w:rFonts w:ascii="Times New Roman" w:hAnsi="Times New Roman"/>
                <w:b/>
                <w:sz w:val="24"/>
                <w:szCs w:val="24"/>
              </w:rPr>
            </w:pPr>
            <w:r w:rsidRPr="00AB16AE">
              <w:rPr>
                <w:rFonts w:ascii="Times New Roman" w:hAnsi="Times New Roman"/>
                <w:b/>
                <w:sz w:val="24"/>
                <w:szCs w:val="24"/>
              </w:rPr>
              <w:t>Comments</w:t>
            </w:r>
          </w:p>
        </w:tc>
        <w:tc>
          <w:tcPr>
            <w:tcW w:w="1619" w:type="pct"/>
            <w:tcBorders>
              <w:top w:val="single" w:sz="4" w:space="0" w:color="000000"/>
              <w:left w:val="single" w:sz="4" w:space="0" w:color="000000"/>
              <w:bottom w:val="single" w:sz="4" w:space="0" w:color="000000"/>
              <w:right w:val="single" w:sz="4" w:space="0" w:color="000000"/>
            </w:tcBorders>
            <w:shd w:val="pct15" w:color="auto" w:fill="auto"/>
            <w:hideMark/>
          </w:tcPr>
          <w:p w14:paraId="4B6C24E8" w14:textId="77777777" w:rsidR="00625B64" w:rsidRPr="00AB16AE" w:rsidRDefault="00625B64">
            <w:pPr>
              <w:spacing w:line="240" w:lineRule="auto"/>
              <w:rPr>
                <w:rFonts w:ascii="Times New Roman" w:hAnsi="Times New Roman"/>
                <w:b/>
                <w:sz w:val="24"/>
                <w:szCs w:val="24"/>
              </w:rPr>
            </w:pPr>
            <w:r w:rsidRPr="00AB16AE">
              <w:rPr>
                <w:rFonts w:ascii="Times New Roman" w:hAnsi="Times New Roman"/>
                <w:b/>
                <w:sz w:val="24"/>
                <w:szCs w:val="24"/>
              </w:rPr>
              <w:t>Staff Response</w:t>
            </w:r>
          </w:p>
        </w:tc>
      </w:tr>
      <w:tr w:rsidR="00BD4B3E" w:rsidRPr="00AB16AE" w14:paraId="5BE51EA7" w14:textId="77777777" w:rsidTr="0090335E">
        <w:tc>
          <w:tcPr>
            <w:tcW w:w="689" w:type="pct"/>
            <w:tcBorders>
              <w:top w:val="single" w:sz="4" w:space="0" w:color="000000"/>
              <w:left w:val="single" w:sz="4" w:space="0" w:color="000000"/>
              <w:bottom w:val="single" w:sz="4" w:space="0" w:color="000000"/>
              <w:right w:val="single" w:sz="4" w:space="0" w:color="000000"/>
            </w:tcBorders>
          </w:tcPr>
          <w:p w14:paraId="79B26562" w14:textId="77777777" w:rsidR="00625B64" w:rsidRPr="00AB16AE" w:rsidRDefault="00625B64">
            <w:pPr>
              <w:spacing w:line="240" w:lineRule="auto"/>
              <w:rPr>
                <w:rFonts w:ascii="Times New Roman" w:hAnsi="Times New Roman"/>
                <w:sz w:val="24"/>
                <w:szCs w:val="24"/>
              </w:rPr>
            </w:pPr>
            <w:r w:rsidRPr="00AB16AE">
              <w:rPr>
                <w:rFonts w:ascii="Times New Roman" w:hAnsi="Times New Roman"/>
                <w:sz w:val="24"/>
                <w:szCs w:val="24"/>
              </w:rPr>
              <w:t>WAC</w:t>
            </w:r>
            <w:r w:rsidR="00CE2BCD" w:rsidRPr="00AB16AE">
              <w:rPr>
                <w:rFonts w:ascii="Times New Roman" w:hAnsi="Times New Roman"/>
                <w:sz w:val="24"/>
                <w:szCs w:val="24"/>
              </w:rPr>
              <w:t xml:space="preserve"> </w:t>
            </w:r>
            <w:r w:rsidRPr="00AB16AE">
              <w:rPr>
                <w:rFonts w:ascii="Times New Roman" w:hAnsi="Times New Roman"/>
                <w:sz w:val="24"/>
                <w:szCs w:val="24"/>
              </w:rPr>
              <w:t>480-62-XXX</w:t>
            </w:r>
          </w:p>
          <w:p w14:paraId="4BE864ED" w14:textId="77777777" w:rsidR="00625B64" w:rsidRPr="00AB16AE" w:rsidRDefault="00625B64">
            <w:pPr>
              <w:spacing w:line="240" w:lineRule="auto"/>
              <w:rPr>
                <w:rFonts w:ascii="Times New Roman" w:hAnsi="Times New Roman"/>
                <w:sz w:val="24"/>
                <w:szCs w:val="24"/>
              </w:rPr>
            </w:pPr>
            <w:r w:rsidRPr="00AB16AE">
              <w:rPr>
                <w:rFonts w:ascii="Times New Roman" w:hAnsi="Times New Roman"/>
                <w:sz w:val="24"/>
                <w:szCs w:val="24"/>
              </w:rPr>
              <w:t>First class cities opt-in</w:t>
            </w:r>
          </w:p>
        </w:tc>
        <w:tc>
          <w:tcPr>
            <w:tcW w:w="643" w:type="pct"/>
            <w:tcBorders>
              <w:top w:val="single" w:sz="4" w:space="0" w:color="000000"/>
              <w:left w:val="single" w:sz="4" w:space="0" w:color="000000"/>
              <w:bottom w:val="single" w:sz="4" w:space="0" w:color="000000"/>
              <w:right w:val="single" w:sz="4" w:space="0" w:color="000000"/>
            </w:tcBorders>
          </w:tcPr>
          <w:p w14:paraId="2D74A98C" w14:textId="77777777" w:rsidR="00625B64" w:rsidRPr="00AB16AE" w:rsidRDefault="00625B64">
            <w:pPr>
              <w:spacing w:line="240" w:lineRule="auto"/>
              <w:rPr>
                <w:rFonts w:ascii="Times New Roman" w:hAnsi="Times New Roman"/>
                <w:sz w:val="24"/>
                <w:szCs w:val="24"/>
              </w:rPr>
            </w:pPr>
            <w:r w:rsidRPr="00AB16AE">
              <w:rPr>
                <w:rFonts w:ascii="Times New Roman" w:hAnsi="Times New Roman"/>
                <w:sz w:val="24"/>
                <w:szCs w:val="24"/>
              </w:rPr>
              <w:t>Karen Hengerer</w:t>
            </w:r>
          </w:p>
        </w:tc>
        <w:tc>
          <w:tcPr>
            <w:tcW w:w="2048" w:type="pct"/>
            <w:tcBorders>
              <w:top w:val="single" w:sz="4" w:space="0" w:color="000000"/>
              <w:left w:val="single" w:sz="4" w:space="0" w:color="000000"/>
              <w:bottom w:val="single" w:sz="4" w:space="0" w:color="000000"/>
              <w:right w:val="single" w:sz="4" w:space="0" w:color="000000"/>
            </w:tcBorders>
          </w:tcPr>
          <w:p w14:paraId="6F992457" w14:textId="77777777" w:rsidR="00625B64" w:rsidRPr="00AB16AE" w:rsidRDefault="00625B64" w:rsidP="00625B64">
            <w:pPr>
              <w:spacing w:line="240" w:lineRule="auto"/>
              <w:rPr>
                <w:rFonts w:ascii="Times New Roman" w:hAnsi="Times New Roman"/>
                <w:sz w:val="24"/>
                <w:szCs w:val="24"/>
              </w:rPr>
            </w:pPr>
            <w:r w:rsidRPr="00AB16AE">
              <w:rPr>
                <w:rFonts w:ascii="Times New Roman" w:hAnsi="Times New Roman"/>
                <w:sz w:val="24"/>
                <w:szCs w:val="24"/>
              </w:rPr>
              <w:t xml:space="preserve">The commenter recommends all cities and high density areas with oil by rail traffic be required to meet minimum safety standards set by UTC, without the choice to opt-in or out. </w:t>
            </w:r>
          </w:p>
        </w:tc>
        <w:tc>
          <w:tcPr>
            <w:tcW w:w="1619" w:type="pct"/>
            <w:tcBorders>
              <w:top w:val="single" w:sz="4" w:space="0" w:color="000000"/>
              <w:left w:val="single" w:sz="4" w:space="0" w:color="000000"/>
              <w:bottom w:val="single" w:sz="4" w:space="0" w:color="000000"/>
              <w:right w:val="single" w:sz="4" w:space="0" w:color="000000"/>
            </w:tcBorders>
          </w:tcPr>
          <w:p w14:paraId="61141E8E" w14:textId="77777777" w:rsidR="00625B64" w:rsidRPr="00AB16AE" w:rsidRDefault="00625B64" w:rsidP="00571321">
            <w:pPr>
              <w:rPr>
                <w:rFonts w:ascii="Times New Roman" w:hAnsi="Times New Roman"/>
                <w:sz w:val="24"/>
                <w:szCs w:val="24"/>
              </w:rPr>
            </w:pPr>
            <w:r w:rsidRPr="00AB16AE">
              <w:rPr>
                <w:rFonts w:ascii="Times New Roman" w:hAnsi="Times New Roman"/>
                <w:sz w:val="24"/>
                <w:szCs w:val="24"/>
              </w:rPr>
              <w:t>The choice for first</w:t>
            </w:r>
            <w:r w:rsidR="00CE2BCD" w:rsidRPr="00AB16AE">
              <w:rPr>
                <w:rFonts w:ascii="Times New Roman" w:hAnsi="Times New Roman"/>
                <w:sz w:val="24"/>
                <w:szCs w:val="24"/>
              </w:rPr>
              <w:t xml:space="preserve"> </w:t>
            </w:r>
            <w:r w:rsidRPr="00AB16AE">
              <w:rPr>
                <w:rFonts w:ascii="Times New Roman" w:hAnsi="Times New Roman"/>
                <w:sz w:val="24"/>
                <w:szCs w:val="24"/>
              </w:rPr>
              <w:t>class cities to opt-in</w:t>
            </w:r>
            <w:r w:rsidR="00CE2BCD" w:rsidRPr="00AB16AE">
              <w:rPr>
                <w:rFonts w:ascii="Times New Roman" w:hAnsi="Times New Roman"/>
                <w:sz w:val="24"/>
                <w:szCs w:val="24"/>
              </w:rPr>
              <w:t xml:space="preserve"> is contained in HB1449, the law passed by the Legislature. UTC is not able to eliminate the opt-in provision.</w:t>
            </w:r>
            <w:r w:rsidR="004D3BB6" w:rsidRPr="00AB16AE">
              <w:rPr>
                <w:rFonts w:ascii="Times New Roman" w:hAnsi="Times New Roman"/>
                <w:sz w:val="24"/>
                <w:szCs w:val="24"/>
              </w:rPr>
              <w:t xml:space="preserve">  Further, the only opt</w:t>
            </w:r>
            <w:r w:rsidR="00571321" w:rsidRPr="00AB16AE">
              <w:rPr>
                <w:rFonts w:ascii="Times New Roman" w:hAnsi="Times New Roman"/>
                <w:sz w:val="24"/>
                <w:szCs w:val="24"/>
              </w:rPr>
              <w:t>-</w:t>
            </w:r>
            <w:r w:rsidR="004D3BB6" w:rsidRPr="00AB16AE">
              <w:rPr>
                <w:rFonts w:ascii="Times New Roman" w:hAnsi="Times New Roman"/>
                <w:sz w:val="24"/>
                <w:szCs w:val="24"/>
              </w:rPr>
              <w:t xml:space="preserve">in provision contained in the draft rule is for first class cities </w:t>
            </w:r>
            <w:r w:rsidR="00571321" w:rsidRPr="00AB16AE">
              <w:rPr>
                <w:rFonts w:ascii="Times New Roman" w:hAnsi="Times New Roman"/>
                <w:sz w:val="24"/>
                <w:szCs w:val="24"/>
              </w:rPr>
              <w:t xml:space="preserve">to participate in the UTC’s </w:t>
            </w:r>
            <w:r w:rsidR="004D3BB6" w:rsidRPr="00AB16AE">
              <w:rPr>
                <w:rFonts w:ascii="Times New Roman" w:hAnsi="Times New Roman"/>
                <w:sz w:val="24"/>
                <w:szCs w:val="24"/>
              </w:rPr>
              <w:t xml:space="preserve">crossing </w:t>
            </w:r>
            <w:r w:rsidR="00E34F5C" w:rsidRPr="00AB16AE">
              <w:rPr>
                <w:rFonts w:ascii="Times New Roman" w:hAnsi="Times New Roman"/>
                <w:sz w:val="24"/>
                <w:szCs w:val="24"/>
              </w:rPr>
              <w:t xml:space="preserve">inspection </w:t>
            </w:r>
            <w:r w:rsidR="004D3BB6" w:rsidRPr="00AB16AE">
              <w:rPr>
                <w:rFonts w:ascii="Times New Roman" w:hAnsi="Times New Roman"/>
                <w:sz w:val="24"/>
                <w:szCs w:val="24"/>
              </w:rPr>
              <w:t>safety</w:t>
            </w:r>
            <w:r w:rsidR="00571321" w:rsidRPr="00AB16AE">
              <w:rPr>
                <w:rFonts w:ascii="Times New Roman" w:hAnsi="Times New Roman"/>
                <w:sz w:val="24"/>
                <w:szCs w:val="24"/>
              </w:rPr>
              <w:t xml:space="preserve"> program</w:t>
            </w:r>
            <w:r w:rsidR="004D3BB6" w:rsidRPr="00AB16AE">
              <w:rPr>
                <w:rFonts w:ascii="Times New Roman" w:hAnsi="Times New Roman"/>
                <w:sz w:val="24"/>
                <w:szCs w:val="24"/>
              </w:rPr>
              <w:t xml:space="preserve">.  </w:t>
            </w:r>
            <w:r w:rsidR="00571321" w:rsidRPr="00AB16AE">
              <w:rPr>
                <w:rFonts w:ascii="Times New Roman" w:hAnsi="Times New Roman"/>
                <w:sz w:val="24"/>
                <w:szCs w:val="24"/>
              </w:rPr>
              <w:t xml:space="preserve">This </w:t>
            </w:r>
            <w:r w:rsidR="00E34F5C" w:rsidRPr="00AB16AE">
              <w:rPr>
                <w:rFonts w:ascii="Times New Roman" w:hAnsi="Times New Roman"/>
                <w:sz w:val="24"/>
                <w:szCs w:val="24"/>
              </w:rPr>
              <w:t xml:space="preserve">rule </w:t>
            </w:r>
            <w:r w:rsidR="00571321" w:rsidRPr="00AB16AE">
              <w:rPr>
                <w:rFonts w:ascii="Times New Roman" w:hAnsi="Times New Roman"/>
                <w:sz w:val="24"/>
                <w:szCs w:val="24"/>
              </w:rPr>
              <w:t xml:space="preserve">does not impact inspections conducted through the </w:t>
            </w:r>
            <w:r w:rsidR="004D3BB6" w:rsidRPr="00AB16AE">
              <w:rPr>
                <w:rFonts w:ascii="Times New Roman" w:hAnsi="Times New Roman"/>
                <w:sz w:val="24"/>
                <w:szCs w:val="24"/>
              </w:rPr>
              <w:t>UTC</w:t>
            </w:r>
            <w:r w:rsidR="00571321" w:rsidRPr="00AB16AE">
              <w:rPr>
                <w:rFonts w:ascii="Times New Roman" w:hAnsi="Times New Roman"/>
                <w:sz w:val="24"/>
                <w:szCs w:val="24"/>
              </w:rPr>
              <w:t>’s</w:t>
            </w:r>
            <w:r w:rsidR="004D3BB6" w:rsidRPr="00AB16AE">
              <w:rPr>
                <w:rFonts w:ascii="Times New Roman" w:hAnsi="Times New Roman"/>
                <w:sz w:val="24"/>
                <w:szCs w:val="24"/>
              </w:rPr>
              <w:t xml:space="preserve"> partner</w:t>
            </w:r>
            <w:r w:rsidR="00571321" w:rsidRPr="00AB16AE">
              <w:rPr>
                <w:rFonts w:ascii="Times New Roman" w:hAnsi="Times New Roman"/>
                <w:sz w:val="24"/>
                <w:szCs w:val="24"/>
              </w:rPr>
              <w:t>ship</w:t>
            </w:r>
            <w:r w:rsidR="004D3BB6" w:rsidRPr="00AB16AE">
              <w:rPr>
                <w:rFonts w:ascii="Times New Roman" w:hAnsi="Times New Roman"/>
                <w:sz w:val="24"/>
                <w:szCs w:val="24"/>
              </w:rPr>
              <w:t xml:space="preserve"> with the Federal Railroad Administration (FRA)</w:t>
            </w:r>
            <w:r w:rsidR="00571321" w:rsidRPr="00AB16AE">
              <w:rPr>
                <w:rFonts w:ascii="Times New Roman" w:hAnsi="Times New Roman"/>
                <w:sz w:val="24"/>
                <w:szCs w:val="24"/>
              </w:rPr>
              <w:t>. The UTC</w:t>
            </w:r>
            <w:r w:rsidR="004D3BB6" w:rsidRPr="00AB16AE">
              <w:rPr>
                <w:rFonts w:ascii="Times New Roman" w:hAnsi="Times New Roman"/>
                <w:sz w:val="24"/>
                <w:szCs w:val="24"/>
              </w:rPr>
              <w:t xml:space="preserve"> employs FRA</w:t>
            </w:r>
            <w:r w:rsidR="00571321" w:rsidRPr="00AB16AE">
              <w:rPr>
                <w:rFonts w:ascii="Times New Roman" w:hAnsi="Times New Roman"/>
                <w:sz w:val="24"/>
                <w:szCs w:val="24"/>
              </w:rPr>
              <w:t>-</w:t>
            </w:r>
            <w:r w:rsidR="004D3BB6" w:rsidRPr="00AB16AE">
              <w:rPr>
                <w:rFonts w:ascii="Times New Roman" w:hAnsi="Times New Roman"/>
                <w:sz w:val="24"/>
                <w:szCs w:val="24"/>
              </w:rPr>
              <w:t xml:space="preserve">certified state inspectors to </w:t>
            </w:r>
            <w:r w:rsidR="00E34F5C" w:rsidRPr="00AB16AE">
              <w:rPr>
                <w:rFonts w:ascii="Times New Roman" w:hAnsi="Times New Roman"/>
                <w:sz w:val="24"/>
                <w:szCs w:val="24"/>
              </w:rPr>
              <w:t xml:space="preserve">perform </w:t>
            </w:r>
            <w:r w:rsidR="004D3BB6" w:rsidRPr="00AB16AE">
              <w:rPr>
                <w:rFonts w:ascii="Times New Roman" w:hAnsi="Times New Roman"/>
                <w:sz w:val="24"/>
                <w:szCs w:val="24"/>
              </w:rPr>
              <w:t>inspect</w:t>
            </w:r>
            <w:r w:rsidR="00E34F5C" w:rsidRPr="00AB16AE">
              <w:rPr>
                <w:rFonts w:ascii="Times New Roman" w:hAnsi="Times New Roman"/>
                <w:sz w:val="24"/>
                <w:szCs w:val="24"/>
              </w:rPr>
              <w:t>ions in the following disciplines:</w:t>
            </w:r>
            <w:r w:rsidR="004D3BB6" w:rsidRPr="00AB16AE">
              <w:rPr>
                <w:rFonts w:ascii="Times New Roman" w:hAnsi="Times New Roman"/>
                <w:sz w:val="24"/>
                <w:szCs w:val="24"/>
              </w:rPr>
              <w:t xml:space="preserve"> track, hazardous material, motive power &amp; equipment, signal and train control and operating </w:t>
            </w:r>
            <w:r w:rsidR="00C60098" w:rsidRPr="00AB16AE">
              <w:rPr>
                <w:rFonts w:ascii="Times New Roman" w:hAnsi="Times New Roman"/>
                <w:sz w:val="24"/>
                <w:szCs w:val="24"/>
              </w:rPr>
              <w:t>practices.  These inspections are not opt-in.</w:t>
            </w:r>
          </w:p>
        </w:tc>
      </w:tr>
      <w:tr w:rsidR="00CA44C8" w:rsidRPr="00AB16AE" w14:paraId="2820A9E1" w14:textId="77777777" w:rsidTr="0090335E">
        <w:tc>
          <w:tcPr>
            <w:tcW w:w="689" w:type="pct"/>
            <w:tcBorders>
              <w:top w:val="single" w:sz="4" w:space="0" w:color="000000"/>
              <w:left w:val="single" w:sz="4" w:space="0" w:color="000000"/>
              <w:bottom w:val="single" w:sz="4" w:space="0" w:color="000000"/>
              <w:right w:val="single" w:sz="4" w:space="0" w:color="000000"/>
            </w:tcBorders>
          </w:tcPr>
          <w:p w14:paraId="7FD5CA2D" w14:textId="77777777" w:rsidR="00CA44C8" w:rsidRPr="00AB16AE" w:rsidRDefault="00CA44C8" w:rsidP="00CA44C8">
            <w:pPr>
              <w:spacing w:line="240" w:lineRule="auto"/>
              <w:rPr>
                <w:rFonts w:ascii="Times New Roman" w:hAnsi="Times New Roman"/>
                <w:sz w:val="24"/>
                <w:szCs w:val="24"/>
              </w:rPr>
            </w:pPr>
            <w:r w:rsidRPr="00AB16AE">
              <w:rPr>
                <w:rFonts w:ascii="Times New Roman" w:hAnsi="Times New Roman"/>
                <w:sz w:val="24"/>
                <w:szCs w:val="24"/>
              </w:rPr>
              <w:t>WAC 480-62-XXX</w:t>
            </w:r>
          </w:p>
          <w:p w14:paraId="47BA1490" w14:textId="77777777" w:rsidR="00CA44C8" w:rsidRPr="00AB16AE" w:rsidRDefault="00CA44C8" w:rsidP="00CA44C8">
            <w:pPr>
              <w:spacing w:line="240" w:lineRule="auto"/>
              <w:rPr>
                <w:rFonts w:ascii="Times New Roman" w:hAnsi="Times New Roman"/>
                <w:sz w:val="24"/>
                <w:szCs w:val="24"/>
              </w:rPr>
            </w:pPr>
            <w:r w:rsidRPr="00AB16AE">
              <w:rPr>
                <w:rFonts w:ascii="Times New Roman" w:hAnsi="Times New Roman"/>
                <w:sz w:val="24"/>
                <w:szCs w:val="24"/>
              </w:rPr>
              <w:t>Safety standards at private crossings</w:t>
            </w:r>
          </w:p>
        </w:tc>
        <w:tc>
          <w:tcPr>
            <w:tcW w:w="643" w:type="pct"/>
            <w:tcBorders>
              <w:top w:val="single" w:sz="4" w:space="0" w:color="000000"/>
              <w:left w:val="single" w:sz="4" w:space="0" w:color="000000"/>
              <w:bottom w:val="single" w:sz="4" w:space="0" w:color="000000"/>
              <w:right w:val="single" w:sz="4" w:space="0" w:color="000000"/>
            </w:tcBorders>
          </w:tcPr>
          <w:p w14:paraId="48B3A7A9" w14:textId="77777777" w:rsidR="00CA44C8" w:rsidRPr="00AB16AE" w:rsidRDefault="00CA44C8" w:rsidP="00CA44C8">
            <w:pPr>
              <w:spacing w:line="240" w:lineRule="auto"/>
              <w:rPr>
                <w:rFonts w:ascii="Times New Roman" w:hAnsi="Times New Roman"/>
                <w:sz w:val="24"/>
                <w:szCs w:val="24"/>
              </w:rPr>
            </w:pPr>
            <w:r w:rsidRPr="00AB16AE">
              <w:rPr>
                <w:rFonts w:ascii="Times New Roman" w:hAnsi="Times New Roman"/>
                <w:sz w:val="24"/>
                <w:szCs w:val="24"/>
              </w:rPr>
              <w:t>Elmer Ward,</w:t>
            </w:r>
          </w:p>
          <w:p w14:paraId="2F33E5F2" w14:textId="77777777" w:rsidR="00CA44C8" w:rsidRPr="00AB16AE" w:rsidRDefault="00CA44C8" w:rsidP="00CA44C8">
            <w:pPr>
              <w:spacing w:line="240" w:lineRule="auto"/>
              <w:rPr>
                <w:rFonts w:ascii="Times New Roman" w:hAnsi="Times New Roman"/>
                <w:sz w:val="24"/>
                <w:szCs w:val="24"/>
              </w:rPr>
            </w:pPr>
            <w:r w:rsidRPr="00AB16AE">
              <w:rPr>
                <w:rFonts w:ascii="Times New Roman" w:hAnsi="Times New Roman"/>
                <w:sz w:val="24"/>
                <w:szCs w:val="24"/>
              </w:rPr>
              <w:t>Confederated Tribes of the Warms Springs Reservation of Oregon</w:t>
            </w:r>
          </w:p>
        </w:tc>
        <w:tc>
          <w:tcPr>
            <w:tcW w:w="2048" w:type="pct"/>
            <w:tcBorders>
              <w:top w:val="single" w:sz="4" w:space="0" w:color="000000"/>
              <w:left w:val="single" w:sz="4" w:space="0" w:color="000000"/>
              <w:bottom w:val="single" w:sz="4" w:space="0" w:color="000000"/>
              <w:right w:val="single" w:sz="4" w:space="0" w:color="000000"/>
            </w:tcBorders>
          </w:tcPr>
          <w:p w14:paraId="75094FCD" w14:textId="77777777" w:rsidR="00CA44C8" w:rsidRPr="00AB16AE" w:rsidRDefault="00CA44C8" w:rsidP="00CA44C8">
            <w:pPr>
              <w:spacing w:line="240" w:lineRule="auto"/>
              <w:rPr>
                <w:rFonts w:ascii="Times New Roman" w:hAnsi="Times New Roman"/>
                <w:sz w:val="24"/>
                <w:szCs w:val="24"/>
              </w:rPr>
            </w:pPr>
            <w:r w:rsidRPr="00AB16AE">
              <w:rPr>
                <w:rFonts w:ascii="Times New Roman" w:hAnsi="Times New Roman"/>
                <w:sz w:val="24"/>
                <w:szCs w:val="24"/>
              </w:rPr>
              <w:t>The commenter recommends requiring one or more stop signs at every private crossing where no automatic device is in place, unless the installation of signs would create a hazard or dangerous condition that would not otherwise exist.</w:t>
            </w:r>
          </w:p>
        </w:tc>
        <w:tc>
          <w:tcPr>
            <w:tcW w:w="1619" w:type="pct"/>
            <w:tcBorders>
              <w:top w:val="single" w:sz="4" w:space="0" w:color="000000"/>
              <w:left w:val="single" w:sz="4" w:space="0" w:color="000000"/>
              <w:bottom w:val="single" w:sz="4" w:space="0" w:color="000000"/>
              <w:right w:val="single" w:sz="4" w:space="0" w:color="000000"/>
            </w:tcBorders>
          </w:tcPr>
          <w:p w14:paraId="014751FB" w14:textId="77777777" w:rsidR="00CA44C8" w:rsidRPr="00AB16AE" w:rsidRDefault="001C3836" w:rsidP="001C3836">
            <w:pPr>
              <w:rPr>
                <w:rFonts w:ascii="Times New Roman" w:hAnsi="Times New Roman"/>
                <w:sz w:val="24"/>
                <w:szCs w:val="24"/>
              </w:rPr>
            </w:pPr>
            <w:r w:rsidRPr="00AB16AE">
              <w:rPr>
                <w:rFonts w:ascii="Times New Roman" w:hAnsi="Times New Roman"/>
                <w:sz w:val="24"/>
                <w:szCs w:val="24"/>
              </w:rPr>
              <w:t>Proposed rules require stop signs.</w:t>
            </w:r>
          </w:p>
        </w:tc>
      </w:tr>
      <w:tr w:rsidR="00CE2BCD" w:rsidRPr="00AB16AE" w14:paraId="1EDF25F0" w14:textId="77777777" w:rsidTr="0090335E">
        <w:tc>
          <w:tcPr>
            <w:tcW w:w="689" w:type="pct"/>
            <w:tcBorders>
              <w:top w:val="single" w:sz="4" w:space="0" w:color="000000"/>
              <w:left w:val="single" w:sz="4" w:space="0" w:color="000000"/>
              <w:bottom w:val="single" w:sz="4" w:space="0" w:color="000000"/>
              <w:right w:val="single" w:sz="4" w:space="0" w:color="000000"/>
            </w:tcBorders>
          </w:tcPr>
          <w:p w14:paraId="0821F037" w14:textId="77777777" w:rsidR="00CE2BCD" w:rsidRPr="00AB16AE" w:rsidRDefault="00CE2BCD">
            <w:pPr>
              <w:spacing w:line="240" w:lineRule="auto"/>
              <w:rPr>
                <w:rFonts w:ascii="Times New Roman" w:hAnsi="Times New Roman"/>
                <w:sz w:val="24"/>
                <w:szCs w:val="24"/>
              </w:rPr>
            </w:pPr>
            <w:r w:rsidRPr="00AB16AE">
              <w:rPr>
                <w:rFonts w:ascii="Times New Roman" w:hAnsi="Times New Roman"/>
                <w:sz w:val="24"/>
                <w:szCs w:val="24"/>
              </w:rPr>
              <w:t>WAC 480-62-XXX</w:t>
            </w:r>
          </w:p>
          <w:p w14:paraId="190913EF" w14:textId="77777777" w:rsidR="00CE2BCD" w:rsidRPr="00AB16AE" w:rsidRDefault="00CE2BCD">
            <w:pPr>
              <w:spacing w:line="240" w:lineRule="auto"/>
              <w:rPr>
                <w:rFonts w:ascii="Times New Roman" w:hAnsi="Times New Roman"/>
                <w:sz w:val="24"/>
                <w:szCs w:val="24"/>
              </w:rPr>
            </w:pPr>
            <w:r w:rsidRPr="00AB16AE">
              <w:rPr>
                <w:rFonts w:ascii="Times New Roman" w:hAnsi="Times New Roman"/>
                <w:sz w:val="24"/>
                <w:szCs w:val="24"/>
              </w:rPr>
              <w:t>Safety standards at private crossings</w:t>
            </w:r>
          </w:p>
        </w:tc>
        <w:tc>
          <w:tcPr>
            <w:tcW w:w="643" w:type="pct"/>
            <w:tcBorders>
              <w:top w:val="single" w:sz="4" w:space="0" w:color="000000"/>
              <w:left w:val="single" w:sz="4" w:space="0" w:color="000000"/>
              <w:bottom w:val="single" w:sz="4" w:space="0" w:color="000000"/>
              <w:right w:val="single" w:sz="4" w:space="0" w:color="000000"/>
            </w:tcBorders>
          </w:tcPr>
          <w:p w14:paraId="0C4E7E86" w14:textId="77777777" w:rsidR="00CE2BCD" w:rsidRPr="00AB16AE" w:rsidRDefault="00CE2BCD">
            <w:pPr>
              <w:spacing w:line="240" w:lineRule="auto"/>
              <w:rPr>
                <w:rFonts w:ascii="Times New Roman" w:hAnsi="Times New Roman"/>
                <w:sz w:val="24"/>
                <w:szCs w:val="24"/>
              </w:rPr>
            </w:pPr>
            <w:r w:rsidRPr="00AB16AE">
              <w:rPr>
                <w:rFonts w:ascii="Times New Roman" w:hAnsi="Times New Roman"/>
                <w:sz w:val="24"/>
                <w:szCs w:val="24"/>
              </w:rPr>
              <w:t>Paul Didelius,</w:t>
            </w:r>
          </w:p>
          <w:p w14:paraId="3A588979" w14:textId="77777777" w:rsidR="00CE2BCD" w:rsidRPr="00AB16AE" w:rsidRDefault="00CE2BCD" w:rsidP="00CE2BCD">
            <w:pPr>
              <w:spacing w:line="240" w:lineRule="auto"/>
              <w:rPr>
                <w:rFonts w:ascii="Times New Roman" w:hAnsi="Times New Roman"/>
                <w:sz w:val="24"/>
                <w:szCs w:val="24"/>
              </w:rPr>
            </w:pPr>
            <w:r w:rsidRPr="00AB16AE">
              <w:rPr>
                <w:rFonts w:ascii="Times New Roman" w:hAnsi="Times New Roman"/>
                <w:sz w:val="24"/>
                <w:szCs w:val="24"/>
              </w:rPr>
              <w:t>Kennewick Terminal RR</w:t>
            </w:r>
          </w:p>
        </w:tc>
        <w:tc>
          <w:tcPr>
            <w:tcW w:w="2048" w:type="pct"/>
            <w:tcBorders>
              <w:top w:val="single" w:sz="4" w:space="0" w:color="000000"/>
              <w:left w:val="single" w:sz="4" w:space="0" w:color="000000"/>
              <w:bottom w:val="single" w:sz="4" w:space="0" w:color="000000"/>
              <w:right w:val="single" w:sz="4" w:space="0" w:color="000000"/>
            </w:tcBorders>
          </w:tcPr>
          <w:p w14:paraId="719EBE49" w14:textId="77777777" w:rsidR="00CE2BCD" w:rsidRPr="00AB16AE" w:rsidRDefault="000E19E4" w:rsidP="00CE2BCD">
            <w:pPr>
              <w:pStyle w:val="ListParagraph"/>
              <w:numPr>
                <w:ilvl w:val="0"/>
                <w:numId w:val="5"/>
              </w:numPr>
              <w:spacing w:line="240" w:lineRule="auto"/>
              <w:rPr>
                <w:rFonts w:ascii="Times New Roman" w:hAnsi="Times New Roman" w:cs="Times New Roman"/>
                <w:sz w:val="24"/>
                <w:szCs w:val="24"/>
              </w:rPr>
            </w:pPr>
            <w:r w:rsidRPr="00AB16AE">
              <w:rPr>
                <w:rFonts w:ascii="Times New Roman" w:hAnsi="Times New Roman" w:cs="Times New Roman"/>
                <w:sz w:val="24"/>
                <w:szCs w:val="24"/>
              </w:rPr>
              <w:t>S</w:t>
            </w:r>
            <w:r w:rsidR="00CE2BCD" w:rsidRPr="00AB16AE">
              <w:rPr>
                <w:rFonts w:ascii="Times New Roman" w:hAnsi="Times New Roman" w:cs="Times New Roman"/>
                <w:sz w:val="24"/>
                <w:szCs w:val="24"/>
              </w:rPr>
              <w:t>ubsection (2)(b), requir</w:t>
            </w:r>
            <w:r w:rsidRPr="00AB16AE">
              <w:rPr>
                <w:rFonts w:ascii="Times New Roman" w:hAnsi="Times New Roman" w:cs="Times New Roman"/>
                <w:sz w:val="24"/>
                <w:szCs w:val="24"/>
              </w:rPr>
              <w:t>es</w:t>
            </w:r>
            <w:r w:rsidR="00CE2BCD" w:rsidRPr="00AB16AE">
              <w:rPr>
                <w:rFonts w:ascii="Times New Roman" w:hAnsi="Times New Roman" w:cs="Times New Roman"/>
                <w:sz w:val="24"/>
                <w:szCs w:val="24"/>
              </w:rPr>
              <w:t xml:space="preserve"> specific signage at private crossings</w:t>
            </w:r>
            <w:r w:rsidRPr="00AB16AE">
              <w:rPr>
                <w:rFonts w:ascii="Times New Roman" w:hAnsi="Times New Roman" w:cs="Times New Roman"/>
                <w:sz w:val="24"/>
                <w:szCs w:val="24"/>
              </w:rPr>
              <w:t xml:space="preserve">. The commenter </w:t>
            </w:r>
            <w:r w:rsidR="005413E7" w:rsidRPr="00AB16AE">
              <w:rPr>
                <w:rFonts w:ascii="Times New Roman" w:hAnsi="Times New Roman" w:cs="Times New Roman"/>
                <w:sz w:val="24"/>
                <w:szCs w:val="24"/>
              </w:rPr>
              <w:t>states</w:t>
            </w:r>
            <w:r w:rsidRPr="00AB16AE">
              <w:rPr>
                <w:rFonts w:ascii="Times New Roman" w:hAnsi="Times New Roman" w:cs="Times New Roman"/>
                <w:sz w:val="24"/>
                <w:szCs w:val="24"/>
              </w:rPr>
              <w:t xml:space="preserve"> this </w:t>
            </w:r>
            <w:r w:rsidR="00CE2BCD" w:rsidRPr="00AB16AE">
              <w:rPr>
                <w:rFonts w:ascii="Times New Roman" w:hAnsi="Times New Roman" w:cs="Times New Roman"/>
                <w:sz w:val="24"/>
                <w:szCs w:val="24"/>
              </w:rPr>
              <w:t>unnecessarily duplicate</w:t>
            </w:r>
            <w:r w:rsidRPr="00AB16AE">
              <w:rPr>
                <w:rFonts w:ascii="Times New Roman" w:hAnsi="Times New Roman" w:cs="Times New Roman"/>
                <w:sz w:val="24"/>
                <w:szCs w:val="24"/>
              </w:rPr>
              <w:t>s</w:t>
            </w:r>
            <w:r w:rsidR="00CE2BCD" w:rsidRPr="00AB16AE">
              <w:rPr>
                <w:rFonts w:ascii="Times New Roman" w:hAnsi="Times New Roman" w:cs="Times New Roman"/>
                <w:sz w:val="24"/>
                <w:szCs w:val="24"/>
              </w:rPr>
              <w:t xml:space="preserve"> federal </w:t>
            </w:r>
            <w:r w:rsidR="00714565" w:rsidRPr="00AB16AE">
              <w:rPr>
                <w:rFonts w:ascii="Times New Roman" w:hAnsi="Times New Roman" w:cs="Times New Roman"/>
                <w:sz w:val="24"/>
                <w:szCs w:val="24"/>
              </w:rPr>
              <w:t>regulations</w:t>
            </w:r>
            <w:r w:rsidR="00CE2BCD" w:rsidRPr="00AB16AE">
              <w:rPr>
                <w:rFonts w:ascii="Times New Roman" w:hAnsi="Times New Roman" w:cs="Times New Roman"/>
                <w:sz w:val="24"/>
                <w:szCs w:val="24"/>
              </w:rPr>
              <w:t>.</w:t>
            </w:r>
          </w:p>
          <w:p w14:paraId="71F6D813" w14:textId="77777777" w:rsidR="00CE2BCD" w:rsidRPr="00AB16AE" w:rsidRDefault="000E19E4" w:rsidP="000E19E4">
            <w:pPr>
              <w:pStyle w:val="ListParagraph"/>
              <w:numPr>
                <w:ilvl w:val="0"/>
                <w:numId w:val="5"/>
              </w:numPr>
              <w:spacing w:line="240" w:lineRule="auto"/>
              <w:rPr>
                <w:rFonts w:ascii="Times New Roman" w:hAnsi="Times New Roman" w:cs="Times New Roman"/>
                <w:sz w:val="24"/>
                <w:szCs w:val="24"/>
              </w:rPr>
            </w:pPr>
            <w:r w:rsidRPr="00AB16AE">
              <w:rPr>
                <w:rFonts w:ascii="Times New Roman" w:hAnsi="Times New Roman" w:cs="Times New Roman"/>
                <w:sz w:val="24"/>
                <w:szCs w:val="24"/>
              </w:rPr>
              <w:t>S</w:t>
            </w:r>
            <w:r w:rsidR="00CE2BCD" w:rsidRPr="00AB16AE">
              <w:rPr>
                <w:rFonts w:ascii="Times New Roman" w:hAnsi="Times New Roman" w:cs="Times New Roman"/>
                <w:sz w:val="24"/>
                <w:szCs w:val="24"/>
              </w:rPr>
              <w:t>ubsection (4)</w:t>
            </w:r>
            <w:r w:rsidRPr="00AB16AE">
              <w:rPr>
                <w:rFonts w:ascii="Times New Roman" w:hAnsi="Times New Roman" w:cs="Times New Roman"/>
                <w:sz w:val="24"/>
                <w:szCs w:val="24"/>
              </w:rPr>
              <w:t xml:space="preserve"> requires railroads to correct, within 90 days of the adoption of the rule, any deficiency identified by UTC. The commenter recommends a more achievable response time.</w:t>
            </w:r>
          </w:p>
        </w:tc>
        <w:tc>
          <w:tcPr>
            <w:tcW w:w="1619" w:type="pct"/>
            <w:tcBorders>
              <w:top w:val="single" w:sz="4" w:space="0" w:color="000000"/>
              <w:left w:val="single" w:sz="4" w:space="0" w:color="000000"/>
              <w:bottom w:val="single" w:sz="4" w:space="0" w:color="000000"/>
              <w:right w:val="single" w:sz="4" w:space="0" w:color="000000"/>
            </w:tcBorders>
          </w:tcPr>
          <w:p w14:paraId="25CC3DED" w14:textId="77777777" w:rsidR="00CE2BCD" w:rsidRPr="00AB16AE" w:rsidRDefault="00EF1150" w:rsidP="00714565">
            <w:pPr>
              <w:pStyle w:val="ListParagraph"/>
              <w:numPr>
                <w:ilvl w:val="0"/>
                <w:numId w:val="11"/>
              </w:numPr>
              <w:rPr>
                <w:rFonts w:ascii="Times New Roman" w:hAnsi="Times New Roman" w:cs="Times New Roman"/>
                <w:sz w:val="24"/>
                <w:szCs w:val="24"/>
              </w:rPr>
            </w:pPr>
            <w:r w:rsidRPr="00AB16AE">
              <w:rPr>
                <w:rFonts w:ascii="Times New Roman" w:hAnsi="Times New Roman" w:cs="Times New Roman"/>
                <w:sz w:val="24"/>
                <w:szCs w:val="24"/>
              </w:rPr>
              <w:t>F</w:t>
            </w:r>
            <w:r w:rsidR="00714565" w:rsidRPr="00AB16AE">
              <w:rPr>
                <w:rFonts w:ascii="Times New Roman" w:hAnsi="Times New Roman" w:cs="Times New Roman"/>
                <w:sz w:val="24"/>
                <w:szCs w:val="24"/>
              </w:rPr>
              <w:t>ederal regulations for signage at private crossings</w:t>
            </w:r>
            <w:r w:rsidRPr="00AB16AE">
              <w:rPr>
                <w:rFonts w:ascii="Times New Roman" w:hAnsi="Times New Roman" w:cs="Times New Roman"/>
                <w:sz w:val="24"/>
                <w:szCs w:val="24"/>
              </w:rPr>
              <w:t xml:space="preserve"> is limited to Emergency Notification System (ENS) signs</w:t>
            </w:r>
            <w:r w:rsidR="00B60112" w:rsidRPr="00AB16AE">
              <w:rPr>
                <w:rFonts w:ascii="Times New Roman" w:hAnsi="Times New Roman" w:cs="Times New Roman"/>
                <w:sz w:val="24"/>
                <w:szCs w:val="24"/>
              </w:rPr>
              <w:t xml:space="preserve">, </w:t>
            </w:r>
            <w:r w:rsidR="00B60112" w:rsidRPr="00AB16AE">
              <w:rPr>
                <w:rFonts w:ascii="Times New Roman" w:hAnsi="Times New Roman" w:cs="Times New Roman"/>
                <w:color w:val="333333"/>
                <w:sz w:val="24"/>
                <w:szCs w:val="24"/>
                <w:lang w:val="en"/>
              </w:rPr>
              <w:t>49 CFR Part 234, Subpart E</w:t>
            </w:r>
            <w:r w:rsidR="00714565" w:rsidRPr="00AB16AE">
              <w:rPr>
                <w:rFonts w:ascii="Times New Roman" w:hAnsi="Times New Roman" w:cs="Times New Roman"/>
                <w:sz w:val="24"/>
                <w:szCs w:val="24"/>
              </w:rPr>
              <w:t>.</w:t>
            </w:r>
            <w:r w:rsidRPr="00AB16AE">
              <w:rPr>
                <w:rFonts w:ascii="Times New Roman" w:hAnsi="Times New Roman" w:cs="Times New Roman"/>
                <w:sz w:val="24"/>
                <w:szCs w:val="24"/>
              </w:rPr>
              <w:t xml:space="preserve"> UTC</w:t>
            </w:r>
            <w:r w:rsidR="00571321" w:rsidRPr="00AB16AE">
              <w:rPr>
                <w:rFonts w:ascii="Times New Roman" w:hAnsi="Times New Roman" w:cs="Times New Roman"/>
                <w:sz w:val="24"/>
                <w:szCs w:val="24"/>
              </w:rPr>
              <w:t>-</w:t>
            </w:r>
            <w:r w:rsidRPr="00AB16AE">
              <w:rPr>
                <w:rFonts w:ascii="Times New Roman" w:hAnsi="Times New Roman" w:cs="Times New Roman"/>
                <w:sz w:val="24"/>
                <w:szCs w:val="24"/>
              </w:rPr>
              <w:t>proposed rules are consistent with federal rules</w:t>
            </w:r>
            <w:r w:rsidR="00B60112" w:rsidRPr="00AB16AE">
              <w:rPr>
                <w:rFonts w:ascii="Times New Roman" w:hAnsi="Times New Roman" w:cs="Times New Roman"/>
                <w:sz w:val="24"/>
                <w:szCs w:val="24"/>
              </w:rPr>
              <w:t xml:space="preserve"> in regards to the ENS and ha</w:t>
            </w:r>
            <w:r w:rsidR="00571321" w:rsidRPr="00AB16AE">
              <w:rPr>
                <w:rFonts w:ascii="Times New Roman" w:hAnsi="Times New Roman" w:cs="Times New Roman"/>
                <w:sz w:val="24"/>
                <w:szCs w:val="24"/>
              </w:rPr>
              <w:t>ve</w:t>
            </w:r>
            <w:r w:rsidR="00B60112" w:rsidRPr="00AB16AE">
              <w:rPr>
                <w:rFonts w:ascii="Times New Roman" w:hAnsi="Times New Roman" w:cs="Times New Roman"/>
                <w:sz w:val="24"/>
                <w:szCs w:val="24"/>
              </w:rPr>
              <w:t xml:space="preserve"> additional safety requirements regarding signage.</w:t>
            </w:r>
          </w:p>
          <w:p w14:paraId="27706BAA" w14:textId="77777777" w:rsidR="009E282A" w:rsidRPr="00AB16AE" w:rsidRDefault="009E282A" w:rsidP="00714565">
            <w:pPr>
              <w:pStyle w:val="ListParagraph"/>
              <w:numPr>
                <w:ilvl w:val="0"/>
                <w:numId w:val="11"/>
              </w:numPr>
              <w:rPr>
                <w:rFonts w:ascii="Times New Roman" w:hAnsi="Times New Roman" w:cs="Times New Roman"/>
                <w:sz w:val="24"/>
                <w:szCs w:val="24"/>
              </w:rPr>
            </w:pPr>
            <w:r w:rsidRPr="00AB16AE">
              <w:rPr>
                <w:rFonts w:ascii="Times New Roman" w:hAnsi="Times New Roman" w:cs="Times New Roman"/>
                <w:sz w:val="24"/>
                <w:szCs w:val="24"/>
              </w:rPr>
              <w:lastRenderedPageBreak/>
              <w:t>The latest draft of the rules allow railroads 120 days to correct a deficiency from the time of notification by UTC.</w:t>
            </w:r>
            <w:r w:rsidR="00B60112" w:rsidRPr="00AB16AE">
              <w:rPr>
                <w:rFonts w:ascii="Times New Roman" w:hAnsi="Times New Roman" w:cs="Times New Roman"/>
                <w:sz w:val="24"/>
                <w:szCs w:val="24"/>
              </w:rPr>
              <w:t xml:space="preserve"> </w:t>
            </w:r>
          </w:p>
        </w:tc>
      </w:tr>
      <w:tr w:rsidR="000E19E4" w:rsidRPr="00AB16AE" w14:paraId="7268F765" w14:textId="77777777" w:rsidTr="0090335E">
        <w:tc>
          <w:tcPr>
            <w:tcW w:w="689" w:type="pct"/>
            <w:tcBorders>
              <w:top w:val="single" w:sz="4" w:space="0" w:color="000000"/>
              <w:left w:val="single" w:sz="4" w:space="0" w:color="000000"/>
              <w:bottom w:val="single" w:sz="4" w:space="0" w:color="000000"/>
              <w:right w:val="single" w:sz="4" w:space="0" w:color="000000"/>
            </w:tcBorders>
          </w:tcPr>
          <w:p w14:paraId="71BF1F1B" w14:textId="77777777" w:rsidR="000E19E4" w:rsidRPr="00AB16AE" w:rsidRDefault="000E19E4" w:rsidP="000E19E4">
            <w:pPr>
              <w:spacing w:line="240" w:lineRule="auto"/>
              <w:rPr>
                <w:rFonts w:ascii="Times New Roman" w:hAnsi="Times New Roman"/>
                <w:sz w:val="24"/>
                <w:szCs w:val="24"/>
              </w:rPr>
            </w:pPr>
            <w:r w:rsidRPr="00AB16AE">
              <w:rPr>
                <w:rFonts w:ascii="Times New Roman" w:hAnsi="Times New Roman"/>
                <w:sz w:val="24"/>
                <w:szCs w:val="24"/>
              </w:rPr>
              <w:lastRenderedPageBreak/>
              <w:t>WAC 480-62-XXX</w:t>
            </w:r>
          </w:p>
          <w:p w14:paraId="4C19547B" w14:textId="77777777" w:rsidR="000E19E4" w:rsidRPr="00AB16AE" w:rsidRDefault="000E19E4" w:rsidP="000E19E4">
            <w:pPr>
              <w:spacing w:line="240" w:lineRule="auto"/>
              <w:rPr>
                <w:rFonts w:ascii="Times New Roman" w:hAnsi="Times New Roman"/>
                <w:sz w:val="24"/>
                <w:szCs w:val="24"/>
              </w:rPr>
            </w:pPr>
            <w:r w:rsidRPr="00AB16AE">
              <w:rPr>
                <w:rFonts w:ascii="Times New Roman" w:hAnsi="Times New Roman"/>
                <w:sz w:val="24"/>
                <w:szCs w:val="24"/>
              </w:rPr>
              <w:t>Safety standards at private crossings</w:t>
            </w:r>
          </w:p>
        </w:tc>
        <w:tc>
          <w:tcPr>
            <w:tcW w:w="643" w:type="pct"/>
            <w:tcBorders>
              <w:top w:val="single" w:sz="4" w:space="0" w:color="000000"/>
              <w:left w:val="single" w:sz="4" w:space="0" w:color="000000"/>
              <w:bottom w:val="single" w:sz="4" w:space="0" w:color="000000"/>
              <w:right w:val="single" w:sz="4" w:space="0" w:color="000000"/>
            </w:tcBorders>
          </w:tcPr>
          <w:p w14:paraId="02CACE53" w14:textId="77777777" w:rsidR="000E19E4" w:rsidRPr="00AB16AE" w:rsidRDefault="00BD4B3E">
            <w:pPr>
              <w:spacing w:line="240" w:lineRule="auto"/>
              <w:rPr>
                <w:rFonts w:ascii="Times New Roman" w:hAnsi="Times New Roman"/>
                <w:sz w:val="24"/>
                <w:szCs w:val="24"/>
              </w:rPr>
            </w:pPr>
            <w:r w:rsidRPr="00AB16AE">
              <w:rPr>
                <w:rFonts w:ascii="Times New Roman" w:hAnsi="Times New Roman"/>
                <w:sz w:val="24"/>
                <w:szCs w:val="24"/>
              </w:rPr>
              <w:t>Toby J. Van Altvorst, Western Washington Railroad</w:t>
            </w:r>
          </w:p>
        </w:tc>
        <w:tc>
          <w:tcPr>
            <w:tcW w:w="2048" w:type="pct"/>
            <w:tcBorders>
              <w:top w:val="single" w:sz="4" w:space="0" w:color="000000"/>
              <w:left w:val="single" w:sz="4" w:space="0" w:color="000000"/>
              <w:bottom w:val="single" w:sz="4" w:space="0" w:color="000000"/>
              <w:right w:val="single" w:sz="4" w:space="0" w:color="000000"/>
            </w:tcBorders>
          </w:tcPr>
          <w:p w14:paraId="3959FF40" w14:textId="77777777" w:rsidR="00BD4B3E" w:rsidRPr="00AB16AE" w:rsidRDefault="000E19E4" w:rsidP="000E19E4">
            <w:pPr>
              <w:pStyle w:val="ListParagraph"/>
              <w:numPr>
                <w:ilvl w:val="0"/>
                <w:numId w:val="7"/>
              </w:numPr>
              <w:spacing w:line="240" w:lineRule="auto"/>
              <w:rPr>
                <w:rFonts w:ascii="Times New Roman" w:hAnsi="Times New Roman" w:cs="Times New Roman"/>
                <w:sz w:val="24"/>
                <w:szCs w:val="24"/>
              </w:rPr>
            </w:pPr>
            <w:r w:rsidRPr="00AB16AE">
              <w:rPr>
                <w:rFonts w:ascii="Times New Roman" w:hAnsi="Times New Roman" w:cs="Times New Roman"/>
                <w:sz w:val="24"/>
                <w:szCs w:val="24"/>
              </w:rPr>
              <w:t xml:space="preserve">Subsection (2)(b), requires specific signage at private crossings. The commenter </w:t>
            </w:r>
            <w:r w:rsidR="005413E7" w:rsidRPr="00AB16AE">
              <w:rPr>
                <w:rFonts w:ascii="Times New Roman" w:hAnsi="Times New Roman" w:cs="Times New Roman"/>
                <w:sz w:val="24"/>
                <w:szCs w:val="24"/>
              </w:rPr>
              <w:t>states</w:t>
            </w:r>
            <w:r w:rsidRPr="00AB16AE">
              <w:rPr>
                <w:rFonts w:ascii="Times New Roman" w:hAnsi="Times New Roman" w:cs="Times New Roman"/>
                <w:sz w:val="24"/>
                <w:szCs w:val="24"/>
              </w:rPr>
              <w:t xml:space="preserve"> this unnecessarily duplicates </w:t>
            </w:r>
            <w:r w:rsidR="00BD4B3E" w:rsidRPr="00AB16AE">
              <w:rPr>
                <w:rFonts w:ascii="Times New Roman" w:hAnsi="Times New Roman" w:cs="Times New Roman"/>
                <w:sz w:val="24"/>
                <w:szCs w:val="24"/>
              </w:rPr>
              <w:t xml:space="preserve">federal </w:t>
            </w:r>
            <w:r w:rsidR="00714565" w:rsidRPr="00AB16AE">
              <w:rPr>
                <w:rFonts w:ascii="Times New Roman" w:hAnsi="Times New Roman" w:cs="Times New Roman"/>
                <w:sz w:val="24"/>
                <w:szCs w:val="24"/>
              </w:rPr>
              <w:t>regulations</w:t>
            </w:r>
            <w:r w:rsidR="00BD4B3E" w:rsidRPr="00AB16AE">
              <w:rPr>
                <w:rFonts w:ascii="Times New Roman" w:hAnsi="Times New Roman" w:cs="Times New Roman"/>
                <w:sz w:val="24"/>
                <w:szCs w:val="24"/>
              </w:rPr>
              <w:t>.</w:t>
            </w:r>
          </w:p>
          <w:p w14:paraId="4CA1FD76" w14:textId="77777777" w:rsidR="000E19E4" w:rsidRPr="00AB16AE" w:rsidRDefault="000E19E4" w:rsidP="000E19E4">
            <w:pPr>
              <w:pStyle w:val="ListParagraph"/>
              <w:numPr>
                <w:ilvl w:val="0"/>
                <w:numId w:val="7"/>
              </w:numPr>
              <w:spacing w:line="240" w:lineRule="auto"/>
              <w:rPr>
                <w:rFonts w:ascii="Times New Roman" w:hAnsi="Times New Roman" w:cs="Times New Roman"/>
                <w:sz w:val="24"/>
                <w:szCs w:val="24"/>
              </w:rPr>
            </w:pPr>
            <w:r w:rsidRPr="00AB16AE">
              <w:rPr>
                <w:rFonts w:ascii="Times New Roman" w:hAnsi="Times New Roman" w:cs="Times New Roman"/>
                <w:sz w:val="24"/>
                <w:szCs w:val="24"/>
              </w:rPr>
              <w:t>Subsection (4) requires railroads to correct, within 90 days of the adoption of the rule, any deficiency identified by UTC. The commenter recommends a more achievable response time.</w:t>
            </w:r>
          </w:p>
        </w:tc>
        <w:tc>
          <w:tcPr>
            <w:tcW w:w="1619" w:type="pct"/>
            <w:tcBorders>
              <w:top w:val="single" w:sz="4" w:space="0" w:color="000000"/>
              <w:left w:val="single" w:sz="4" w:space="0" w:color="000000"/>
              <w:bottom w:val="single" w:sz="4" w:space="0" w:color="000000"/>
              <w:right w:val="single" w:sz="4" w:space="0" w:color="000000"/>
            </w:tcBorders>
          </w:tcPr>
          <w:p w14:paraId="7D858615" w14:textId="77777777" w:rsidR="000E19E4" w:rsidRPr="00AB16AE" w:rsidRDefault="00B60112" w:rsidP="00714565">
            <w:pPr>
              <w:pStyle w:val="ListParagraph"/>
              <w:numPr>
                <w:ilvl w:val="0"/>
                <w:numId w:val="12"/>
              </w:numPr>
              <w:rPr>
                <w:rFonts w:ascii="Times New Roman" w:hAnsi="Times New Roman" w:cs="Times New Roman"/>
                <w:sz w:val="24"/>
                <w:szCs w:val="24"/>
              </w:rPr>
            </w:pPr>
            <w:r w:rsidRPr="00AB16AE">
              <w:rPr>
                <w:rFonts w:ascii="Times New Roman" w:hAnsi="Times New Roman" w:cs="Times New Roman"/>
                <w:sz w:val="24"/>
                <w:szCs w:val="24"/>
              </w:rPr>
              <w:t xml:space="preserve">Federal regulations for signage at private crossings is limited to Emergency Notification System (ENS) signs, </w:t>
            </w:r>
            <w:r w:rsidRPr="00AB16AE">
              <w:rPr>
                <w:rFonts w:ascii="Times New Roman" w:hAnsi="Times New Roman" w:cs="Times New Roman"/>
                <w:color w:val="333333"/>
                <w:sz w:val="24"/>
                <w:szCs w:val="24"/>
                <w:lang w:val="en"/>
              </w:rPr>
              <w:t>49 CFR Part 234, Subpart E</w:t>
            </w:r>
            <w:r w:rsidRPr="00AB16AE">
              <w:rPr>
                <w:rFonts w:ascii="Times New Roman" w:hAnsi="Times New Roman" w:cs="Times New Roman"/>
                <w:sz w:val="24"/>
                <w:szCs w:val="24"/>
              </w:rPr>
              <w:t>. UTC</w:t>
            </w:r>
            <w:r w:rsidR="00571321" w:rsidRPr="00AB16AE">
              <w:rPr>
                <w:rFonts w:ascii="Times New Roman" w:hAnsi="Times New Roman" w:cs="Times New Roman"/>
                <w:sz w:val="24"/>
                <w:szCs w:val="24"/>
              </w:rPr>
              <w:t>-</w:t>
            </w:r>
            <w:r w:rsidRPr="00AB16AE">
              <w:rPr>
                <w:rFonts w:ascii="Times New Roman" w:hAnsi="Times New Roman" w:cs="Times New Roman"/>
                <w:sz w:val="24"/>
                <w:szCs w:val="24"/>
              </w:rPr>
              <w:t>proposed rules are consistent with federal rules in regards to the ENS and ha</w:t>
            </w:r>
            <w:r w:rsidR="00571321" w:rsidRPr="00AB16AE">
              <w:rPr>
                <w:rFonts w:ascii="Times New Roman" w:hAnsi="Times New Roman" w:cs="Times New Roman"/>
                <w:sz w:val="24"/>
                <w:szCs w:val="24"/>
              </w:rPr>
              <w:t>ve</w:t>
            </w:r>
            <w:r w:rsidRPr="00AB16AE">
              <w:rPr>
                <w:rFonts w:ascii="Times New Roman" w:hAnsi="Times New Roman" w:cs="Times New Roman"/>
                <w:sz w:val="24"/>
                <w:szCs w:val="24"/>
              </w:rPr>
              <w:t xml:space="preserve"> additional safety requirements regarding signage.</w:t>
            </w:r>
            <w:r w:rsidR="00EF1150" w:rsidRPr="00AB16AE">
              <w:rPr>
                <w:rFonts w:ascii="Times New Roman" w:hAnsi="Times New Roman" w:cs="Times New Roman"/>
                <w:sz w:val="24"/>
                <w:szCs w:val="24"/>
              </w:rPr>
              <w:t>.</w:t>
            </w:r>
          </w:p>
          <w:p w14:paraId="0675DB41" w14:textId="77777777" w:rsidR="009E282A" w:rsidRPr="00AB16AE" w:rsidRDefault="009E282A" w:rsidP="00714565">
            <w:pPr>
              <w:pStyle w:val="ListParagraph"/>
              <w:numPr>
                <w:ilvl w:val="0"/>
                <w:numId w:val="12"/>
              </w:numPr>
              <w:rPr>
                <w:rFonts w:ascii="Times New Roman" w:hAnsi="Times New Roman" w:cs="Times New Roman"/>
                <w:sz w:val="24"/>
                <w:szCs w:val="24"/>
              </w:rPr>
            </w:pPr>
            <w:r w:rsidRPr="00AB16AE">
              <w:rPr>
                <w:rFonts w:ascii="Times New Roman" w:hAnsi="Times New Roman" w:cs="Times New Roman"/>
                <w:sz w:val="24"/>
                <w:szCs w:val="24"/>
              </w:rPr>
              <w:t>The latest draft of the rules allow railroads 120 days to correct a deficiency from the time of notification by UTC.</w:t>
            </w:r>
          </w:p>
        </w:tc>
      </w:tr>
      <w:tr w:rsidR="005413E7" w:rsidRPr="00AB16AE" w14:paraId="60EA8006" w14:textId="77777777" w:rsidTr="0090335E">
        <w:trPr>
          <w:trHeight w:val="368"/>
        </w:trPr>
        <w:tc>
          <w:tcPr>
            <w:tcW w:w="689" w:type="pct"/>
            <w:tcBorders>
              <w:top w:val="single" w:sz="4" w:space="0" w:color="000000"/>
              <w:left w:val="single" w:sz="4" w:space="0" w:color="000000"/>
              <w:bottom w:val="single" w:sz="4" w:space="0" w:color="000000"/>
              <w:right w:val="single" w:sz="4" w:space="0" w:color="000000"/>
            </w:tcBorders>
          </w:tcPr>
          <w:p w14:paraId="3FE7D308" w14:textId="77777777" w:rsidR="005413E7" w:rsidRPr="00AB16AE" w:rsidRDefault="005413E7" w:rsidP="005413E7">
            <w:pPr>
              <w:spacing w:line="240" w:lineRule="auto"/>
              <w:rPr>
                <w:rFonts w:ascii="Times New Roman" w:hAnsi="Times New Roman"/>
                <w:sz w:val="24"/>
                <w:szCs w:val="24"/>
              </w:rPr>
            </w:pPr>
            <w:r w:rsidRPr="00AB16AE">
              <w:rPr>
                <w:rFonts w:ascii="Times New Roman" w:hAnsi="Times New Roman"/>
                <w:sz w:val="24"/>
                <w:szCs w:val="24"/>
              </w:rPr>
              <w:t>WAC 480-62-XXX</w:t>
            </w:r>
          </w:p>
          <w:p w14:paraId="3B979EC4" w14:textId="77777777" w:rsidR="005413E7" w:rsidRPr="00AB16AE" w:rsidRDefault="005413E7" w:rsidP="005413E7">
            <w:pPr>
              <w:spacing w:line="240" w:lineRule="auto"/>
              <w:rPr>
                <w:rFonts w:ascii="Times New Roman" w:hAnsi="Times New Roman"/>
                <w:sz w:val="24"/>
                <w:szCs w:val="24"/>
              </w:rPr>
            </w:pPr>
            <w:r w:rsidRPr="00AB16AE">
              <w:rPr>
                <w:rFonts w:ascii="Times New Roman" w:hAnsi="Times New Roman"/>
                <w:sz w:val="24"/>
                <w:szCs w:val="24"/>
              </w:rPr>
              <w:t>Safety standards at private crossings</w:t>
            </w:r>
          </w:p>
        </w:tc>
        <w:tc>
          <w:tcPr>
            <w:tcW w:w="643" w:type="pct"/>
            <w:tcBorders>
              <w:top w:val="single" w:sz="4" w:space="0" w:color="000000"/>
              <w:left w:val="single" w:sz="4" w:space="0" w:color="000000"/>
              <w:bottom w:val="single" w:sz="4" w:space="0" w:color="000000"/>
              <w:right w:val="single" w:sz="4" w:space="0" w:color="000000"/>
            </w:tcBorders>
          </w:tcPr>
          <w:p w14:paraId="42B29C45" w14:textId="77777777" w:rsidR="005413E7" w:rsidRPr="00AB16AE" w:rsidRDefault="005413E7" w:rsidP="005413E7">
            <w:pPr>
              <w:spacing w:line="240" w:lineRule="auto"/>
              <w:rPr>
                <w:rFonts w:ascii="Times New Roman" w:hAnsi="Times New Roman"/>
                <w:sz w:val="24"/>
                <w:szCs w:val="24"/>
              </w:rPr>
            </w:pPr>
            <w:r w:rsidRPr="00AB16AE">
              <w:rPr>
                <w:rFonts w:ascii="Times New Roman" w:hAnsi="Times New Roman"/>
                <w:sz w:val="24"/>
                <w:szCs w:val="24"/>
              </w:rPr>
              <w:t>Dale W. King,</w:t>
            </w:r>
          </w:p>
          <w:p w14:paraId="5921DF74" w14:textId="77777777" w:rsidR="005413E7" w:rsidRPr="00AB16AE" w:rsidRDefault="005413E7" w:rsidP="005413E7">
            <w:pPr>
              <w:spacing w:line="240" w:lineRule="auto"/>
              <w:rPr>
                <w:rFonts w:ascii="Times New Roman" w:hAnsi="Times New Roman"/>
                <w:sz w:val="24"/>
                <w:szCs w:val="24"/>
              </w:rPr>
            </w:pPr>
            <w:r w:rsidRPr="00AB16AE">
              <w:rPr>
                <w:rFonts w:ascii="Times New Roman" w:hAnsi="Times New Roman"/>
                <w:sz w:val="24"/>
                <w:szCs w:val="24"/>
              </w:rPr>
              <w:t>Tacoma Rail</w:t>
            </w:r>
          </w:p>
        </w:tc>
        <w:tc>
          <w:tcPr>
            <w:tcW w:w="2048" w:type="pct"/>
            <w:tcBorders>
              <w:top w:val="single" w:sz="4" w:space="0" w:color="000000"/>
              <w:left w:val="single" w:sz="4" w:space="0" w:color="000000"/>
              <w:bottom w:val="single" w:sz="4" w:space="0" w:color="000000"/>
              <w:right w:val="single" w:sz="4" w:space="0" w:color="000000"/>
            </w:tcBorders>
          </w:tcPr>
          <w:p w14:paraId="03863D8F" w14:textId="77777777" w:rsidR="00EF1150" w:rsidRPr="00AB16AE" w:rsidRDefault="002102A5" w:rsidP="005413E7">
            <w:pPr>
              <w:spacing w:line="240" w:lineRule="auto"/>
              <w:rPr>
                <w:rFonts w:ascii="Times New Roman" w:hAnsi="Times New Roman"/>
                <w:sz w:val="24"/>
                <w:szCs w:val="24"/>
              </w:rPr>
            </w:pPr>
            <w:r w:rsidRPr="00AB16AE">
              <w:rPr>
                <w:rFonts w:ascii="Times New Roman" w:hAnsi="Times New Roman"/>
                <w:sz w:val="24"/>
                <w:szCs w:val="24"/>
              </w:rPr>
              <w:t>Subsection (2)(b), requires specific signage at private crossings. The commenter</w:t>
            </w:r>
            <w:r w:rsidR="00EF1150" w:rsidRPr="00AB16AE">
              <w:rPr>
                <w:rFonts w:ascii="Times New Roman" w:hAnsi="Times New Roman"/>
                <w:sz w:val="24"/>
                <w:szCs w:val="24"/>
              </w:rPr>
              <w:t>:</w:t>
            </w:r>
          </w:p>
          <w:p w14:paraId="4FF45750" w14:textId="77777777" w:rsidR="005413E7" w:rsidRPr="00AB16AE" w:rsidRDefault="00EF1150" w:rsidP="00EF1150">
            <w:pPr>
              <w:pStyle w:val="ListParagraph"/>
              <w:numPr>
                <w:ilvl w:val="0"/>
                <w:numId w:val="14"/>
              </w:numPr>
              <w:spacing w:line="240" w:lineRule="auto"/>
              <w:rPr>
                <w:rFonts w:ascii="Times New Roman" w:hAnsi="Times New Roman" w:cs="Times New Roman"/>
                <w:sz w:val="24"/>
                <w:szCs w:val="24"/>
              </w:rPr>
            </w:pPr>
            <w:r w:rsidRPr="00AB16AE">
              <w:rPr>
                <w:rFonts w:ascii="Times New Roman" w:hAnsi="Times New Roman" w:cs="Times New Roman"/>
                <w:sz w:val="24"/>
                <w:szCs w:val="24"/>
              </w:rPr>
              <w:t>States t</w:t>
            </w:r>
            <w:r w:rsidR="002102A5" w:rsidRPr="00AB16AE">
              <w:rPr>
                <w:rFonts w:ascii="Times New Roman" w:hAnsi="Times New Roman" w:cs="Times New Roman"/>
                <w:sz w:val="24"/>
                <w:szCs w:val="24"/>
              </w:rPr>
              <w:t>his unnecessarily duplicates federal regulations.</w:t>
            </w:r>
          </w:p>
          <w:p w14:paraId="6BC67306" w14:textId="77777777" w:rsidR="00EF1150" w:rsidRPr="00AB16AE" w:rsidRDefault="00EF1150" w:rsidP="00EF1150">
            <w:pPr>
              <w:pStyle w:val="ListParagraph"/>
              <w:numPr>
                <w:ilvl w:val="0"/>
                <w:numId w:val="14"/>
              </w:numPr>
              <w:spacing w:line="240" w:lineRule="auto"/>
              <w:rPr>
                <w:rFonts w:ascii="Times New Roman" w:hAnsi="Times New Roman" w:cs="Times New Roman"/>
                <w:sz w:val="24"/>
                <w:szCs w:val="24"/>
              </w:rPr>
            </w:pPr>
            <w:r w:rsidRPr="00AB16AE">
              <w:rPr>
                <w:rFonts w:ascii="Times New Roman" w:hAnsi="Times New Roman" w:cs="Times New Roman"/>
                <w:sz w:val="24"/>
                <w:szCs w:val="24"/>
              </w:rPr>
              <w:t>Recommends requiring signage only at private crossings which are not compliance with current federal standards.</w:t>
            </w:r>
          </w:p>
        </w:tc>
        <w:tc>
          <w:tcPr>
            <w:tcW w:w="1619" w:type="pct"/>
            <w:tcBorders>
              <w:top w:val="single" w:sz="4" w:space="0" w:color="000000"/>
              <w:left w:val="single" w:sz="4" w:space="0" w:color="000000"/>
              <w:bottom w:val="single" w:sz="4" w:space="0" w:color="000000"/>
              <w:right w:val="single" w:sz="4" w:space="0" w:color="000000"/>
            </w:tcBorders>
          </w:tcPr>
          <w:p w14:paraId="37379AA7" w14:textId="77777777" w:rsidR="005413E7" w:rsidRPr="00AB16AE" w:rsidRDefault="00B60112" w:rsidP="00EF1150">
            <w:pPr>
              <w:pStyle w:val="ListParagraph"/>
              <w:numPr>
                <w:ilvl w:val="0"/>
                <w:numId w:val="15"/>
              </w:numPr>
              <w:autoSpaceDE w:val="0"/>
              <w:autoSpaceDN w:val="0"/>
              <w:spacing w:line="240" w:lineRule="atLeast"/>
              <w:rPr>
                <w:rFonts w:ascii="Times New Roman" w:hAnsi="Times New Roman" w:cs="Times New Roman"/>
                <w:sz w:val="24"/>
                <w:szCs w:val="24"/>
              </w:rPr>
            </w:pPr>
            <w:r w:rsidRPr="00AB16AE">
              <w:rPr>
                <w:rFonts w:ascii="Times New Roman" w:hAnsi="Times New Roman" w:cs="Times New Roman"/>
                <w:sz w:val="24"/>
                <w:szCs w:val="24"/>
              </w:rPr>
              <w:t xml:space="preserve">Federal regulations for signage at private crossings is limited to Emergency Notification System (ENS) signs, </w:t>
            </w:r>
            <w:r w:rsidRPr="00AB16AE">
              <w:rPr>
                <w:rFonts w:ascii="Times New Roman" w:hAnsi="Times New Roman" w:cs="Times New Roman"/>
                <w:color w:val="333333"/>
                <w:sz w:val="24"/>
                <w:szCs w:val="24"/>
                <w:lang w:val="en"/>
              </w:rPr>
              <w:t>49 CFR Part 234, Subpart E</w:t>
            </w:r>
            <w:r w:rsidRPr="00AB16AE">
              <w:rPr>
                <w:rFonts w:ascii="Times New Roman" w:hAnsi="Times New Roman" w:cs="Times New Roman"/>
                <w:sz w:val="24"/>
                <w:szCs w:val="24"/>
              </w:rPr>
              <w:t>. UTC</w:t>
            </w:r>
            <w:r w:rsidR="00571321" w:rsidRPr="00AB16AE">
              <w:rPr>
                <w:rFonts w:ascii="Times New Roman" w:hAnsi="Times New Roman" w:cs="Times New Roman"/>
                <w:sz w:val="24"/>
                <w:szCs w:val="24"/>
              </w:rPr>
              <w:t>-</w:t>
            </w:r>
            <w:r w:rsidRPr="00AB16AE">
              <w:rPr>
                <w:rFonts w:ascii="Times New Roman" w:hAnsi="Times New Roman" w:cs="Times New Roman"/>
                <w:sz w:val="24"/>
                <w:szCs w:val="24"/>
              </w:rPr>
              <w:t>proposed rules are consistent with federal rules in regards to the ENS and ha</w:t>
            </w:r>
            <w:r w:rsidR="00571321" w:rsidRPr="00AB16AE">
              <w:rPr>
                <w:rFonts w:ascii="Times New Roman" w:hAnsi="Times New Roman" w:cs="Times New Roman"/>
                <w:sz w:val="24"/>
                <w:szCs w:val="24"/>
              </w:rPr>
              <w:t>ve</w:t>
            </w:r>
            <w:r w:rsidRPr="00AB16AE">
              <w:rPr>
                <w:rFonts w:ascii="Times New Roman" w:hAnsi="Times New Roman" w:cs="Times New Roman"/>
                <w:sz w:val="24"/>
                <w:szCs w:val="24"/>
              </w:rPr>
              <w:t xml:space="preserve"> additional safety requirements regarding signage.</w:t>
            </w:r>
            <w:r w:rsidR="00EF1150" w:rsidRPr="00AB16AE">
              <w:rPr>
                <w:rFonts w:ascii="Times New Roman" w:hAnsi="Times New Roman" w:cs="Times New Roman"/>
                <w:sz w:val="24"/>
                <w:szCs w:val="24"/>
              </w:rPr>
              <w:t>.</w:t>
            </w:r>
          </w:p>
          <w:p w14:paraId="6B34BAAD" w14:textId="77777777" w:rsidR="00EF1150" w:rsidRPr="00AB16AE" w:rsidRDefault="00AF12FE" w:rsidP="00EF1150">
            <w:pPr>
              <w:pStyle w:val="ListParagraph"/>
              <w:numPr>
                <w:ilvl w:val="0"/>
                <w:numId w:val="15"/>
              </w:numPr>
              <w:autoSpaceDE w:val="0"/>
              <w:autoSpaceDN w:val="0"/>
              <w:spacing w:line="240" w:lineRule="atLeast"/>
              <w:rPr>
                <w:rFonts w:ascii="Times New Roman" w:hAnsi="Times New Roman" w:cs="Times New Roman"/>
                <w:sz w:val="24"/>
                <w:szCs w:val="24"/>
              </w:rPr>
            </w:pPr>
            <w:r w:rsidRPr="00AB16AE">
              <w:rPr>
                <w:rFonts w:ascii="Times New Roman" w:hAnsi="Times New Roman" w:cs="Times New Roman"/>
                <w:sz w:val="24"/>
                <w:szCs w:val="24"/>
              </w:rPr>
              <w:t>Private crossings that have adequate</w:t>
            </w:r>
            <w:r w:rsidR="00E34F5C" w:rsidRPr="00AB16AE">
              <w:rPr>
                <w:rFonts w:ascii="Times New Roman" w:hAnsi="Times New Roman" w:cs="Times New Roman"/>
                <w:sz w:val="24"/>
                <w:szCs w:val="24"/>
              </w:rPr>
              <w:t xml:space="preserve"> or comparable</w:t>
            </w:r>
            <w:r w:rsidRPr="00AB16AE">
              <w:rPr>
                <w:rFonts w:ascii="Times New Roman" w:hAnsi="Times New Roman" w:cs="Times New Roman"/>
                <w:sz w:val="24"/>
                <w:szCs w:val="24"/>
              </w:rPr>
              <w:t xml:space="preserve"> signage already installed can apply for a waiver from the UTC.</w:t>
            </w:r>
          </w:p>
        </w:tc>
      </w:tr>
      <w:tr w:rsidR="005F1C26" w:rsidRPr="00AB16AE" w14:paraId="37F44EF9" w14:textId="77777777" w:rsidTr="0090335E">
        <w:trPr>
          <w:trHeight w:val="368"/>
        </w:trPr>
        <w:tc>
          <w:tcPr>
            <w:tcW w:w="689" w:type="pct"/>
            <w:tcBorders>
              <w:top w:val="single" w:sz="4" w:space="0" w:color="000000"/>
              <w:left w:val="single" w:sz="4" w:space="0" w:color="000000"/>
              <w:bottom w:val="single" w:sz="4" w:space="0" w:color="000000"/>
              <w:right w:val="single" w:sz="4" w:space="0" w:color="000000"/>
            </w:tcBorders>
          </w:tcPr>
          <w:p w14:paraId="1F3E45B7" w14:textId="77777777" w:rsidR="005F1C26" w:rsidRPr="00AB16AE" w:rsidRDefault="005F1C26" w:rsidP="005F1C26">
            <w:pPr>
              <w:spacing w:line="240" w:lineRule="auto"/>
              <w:rPr>
                <w:rFonts w:ascii="Times New Roman" w:hAnsi="Times New Roman"/>
                <w:sz w:val="24"/>
                <w:szCs w:val="24"/>
              </w:rPr>
            </w:pPr>
            <w:r w:rsidRPr="00AB16AE">
              <w:rPr>
                <w:rFonts w:ascii="Times New Roman" w:hAnsi="Times New Roman"/>
                <w:sz w:val="24"/>
                <w:szCs w:val="24"/>
              </w:rPr>
              <w:t>WAC 480-62-300(2)(d)</w:t>
            </w:r>
          </w:p>
          <w:p w14:paraId="330547A9" w14:textId="77777777" w:rsidR="005F1C26" w:rsidRPr="00AB16AE" w:rsidRDefault="005F1C26" w:rsidP="005F1C26">
            <w:pPr>
              <w:spacing w:line="240" w:lineRule="auto"/>
              <w:rPr>
                <w:rFonts w:ascii="Times New Roman" w:hAnsi="Times New Roman"/>
                <w:sz w:val="24"/>
                <w:szCs w:val="24"/>
              </w:rPr>
            </w:pPr>
            <w:r w:rsidRPr="00AB16AE">
              <w:rPr>
                <w:rFonts w:ascii="Times New Roman" w:hAnsi="Times New Roman"/>
                <w:sz w:val="24"/>
                <w:szCs w:val="24"/>
              </w:rPr>
              <w:t>Reporting ability to pay clean up costs in case of a spill</w:t>
            </w:r>
          </w:p>
          <w:p w14:paraId="6C9AF17D" w14:textId="77777777" w:rsidR="005F1C26" w:rsidRPr="00AB16AE" w:rsidRDefault="005F1C26">
            <w:pPr>
              <w:spacing w:line="240" w:lineRule="auto"/>
              <w:rPr>
                <w:rFonts w:ascii="Times New Roman" w:hAnsi="Times New Roman"/>
                <w:sz w:val="24"/>
                <w:szCs w:val="24"/>
              </w:rPr>
            </w:pPr>
          </w:p>
        </w:tc>
        <w:tc>
          <w:tcPr>
            <w:tcW w:w="643" w:type="pct"/>
            <w:tcBorders>
              <w:top w:val="single" w:sz="4" w:space="0" w:color="000000"/>
              <w:left w:val="single" w:sz="4" w:space="0" w:color="000000"/>
              <w:bottom w:val="single" w:sz="4" w:space="0" w:color="000000"/>
              <w:right w:val="single" w:sz="4" w:space="0" w:color="000000"/>
            </w:tcBorders>
          </w:tcPr>
          <w:p w14:paraId="0F2F331D" w14:textId="77777777" w:rsidR="005F1C26" w:rsidRPr="00AB16AE" w:rsidRDefault="005F1C26" w:rsidP="000E19E4">
            <w:pPr>
              <w:spacing w:line="240" w:lineRule="auto"/>
              <w:rPr>
                <w:rFonts w:ascii="Times New Roman" w:hAnsi="Times New Roman"/>
                <w:sz w:val="24"/>
                <w:szCs w:val="24"/>
              </w:rPr>
            </w:pPr>
            <w:r w:rsidRPr="00AB16AE">
              <w:rPr>
                <w:rFonts w:ascii="Times New Roman" w:hAnsi="Times New Roman"/>
                <w:sz w:val="24"/>
                <w:szCs w:val="24"/>
              </w:rPr>
              <w:t>Dale Jensen,</w:t>
            </w:r>
          </w:p>
          <w:p w14:paraId="20C885D3" w14:textId="77777777" w:rsidR="005F1C26" w:rsidRPr="00AB16AE" w:rsidRDefault="005F1C26" w:rsidP="000E19E4">
            <w:pPr>
              <w:spacing w:line="240" w:lineRule="auto"/>
              <w:rPr>
                <w:rFonts w:ascii="Times New Roman" w:hAnsi="Times New Roman"/>
                <w:sz w:val="24"/>
                <w:szCs w:val="24"/>
              </w:rPr>
            </w:pPr>
            <w:r w:rsidRPr="00AB16AE">
              <w:rPr>
                <w:rFonts w:ascii="Times New Roman" w:hAnsi="Times New Roman"/>
                <w:sz w:val="24"/>
                <w:szCs w:val="24"/>
              </w:rPr>
              <w:t>Department of Ecology</w:t>
            </w:r>
          </w:p>
        </w:tc>
        <w:tc>
          <w:tcPr>
            <w:tcW w:w="2048" w:type="pct"/>
            <w:tcBorders>
              <w:top w:val="single" w:sz="4" w:space="0" w:color="000000"/>
              <w:left w:val="single" w:sz="4" w:space="0" w:color="000000"/>
              <w:bottom w:val="single" w:sz="4" w:space="0" w:color="000000"/>
              <w:right w:val="single" w:sz="4" w:space="0" w:color="000000"/>
            </w:tcBorders>
          </w:tcPr>
          <w:p w14:paraId="47C2C286" w14:textId="77777777" w:rsidR="005F1C26" w:rsidRPr="00AB16AE" w:rsidRDefault="005F1C26" w:rsidP="005413E7">
            <w:pPr>
              <w:spacing w:line="240" w:lineRule="auto"/>
              <w:rPr>
                <w:rFonts w:ascii="Times New Roman" w:hAnsi="Times New Roman"/>
                <w:sz w:val="24"/>
                <w:szCs w:val="24"/>
              </w:rPr>
            </w:pPr>
            <w:r w:rsidRPr="00AB16AE">
              <w:rPr>
                <w:rFonts w:ascii="Times New Roman" w:hAnsi="Times New Roman"/>
                <w:sz w:val="24"/>
                <w:szCs w:val="24"/>
              </w:rPr>
              <w:t>Supports the rule as proposed.</w:t>
            </w:r>
          </w:p>
        </w:tc>
        <w:tc>
          <w:tcPr>
            <w:tcW w:w="1619" w:type="pct"/>
            <w:tcBorders>
              <w:top w:val="single" w:sz="4" w:space="0" w:color="000000"/>
              <w:left w:val="single" w:sz="4" w:space="0" w:color="000000"/>
              <w:bottom w:val="single" w:sz="4" w:space="0" w:color="000000"/>
              <w:right w:val="single" w:sz="4" w:space="0" w:color="000000"/>
            </w:tcBorders>
          </w:tcPr>
          <w:p w14:paraId="15AD647A" w14:textId="77777777" w:rsidR="005F1C26" w:rsidRPr="00AB16AE" w:rsidRDefault="005F1C26" w:rsidP="00CE2BCD">
            <w:pPr>
              <w:autoSpaceDE w:val="0"/>
              <w:autoSpaceDN w:val="0"/>
              <w:spacing w:line="240" w:lineRule="atLeast"/>
              <w:rPr>
                <w:rFonts w:ascii="Times New Roman" w:hAnsi="Times New Roman"/>
                <w:sz w:val="24"/>
                <w:szCs w:val="24"/>
              </w:rPr>
            </w:pPr>
            <w:r w:rsidRPr="00AB16AE">
              <w:rPr>
                <w:rFonts w:ascii="Times New Roman" w:hAnsi="Times New Roman"/>
                <w:sz w:val="24"/>
                <w:szCs w:val="24"/>
              </w:rPr>
              <w:t>N/</w:t>
            </w:r>
            <w:r w:rsidR="005E7F22">
              <w:rPr>
                <w:rFonts w:ascii="Times New Roman" w:hAnsi="Times New Roman"/>
                <w:sz w:val="24"/>
                <w:szCs w:val="24"/>
              </w:rPr>
              <w:t>A</w:t>
            </w:r>
          </w:p>
        </w:tc>
      </w:tr>
      <w:tr w:rsidR="00DB54D5" w:rsidRPr="00AB16AE" w14:paraId="09847213" w14:textId="77777777" w:rsidTr="0090335E">
        <w:trPr>
          <w:trHeight w:val="368"/>
        </w:trPr>
        <w:tc>
          <w:tcPr>
            <w:tcW w:w="689" w:type="pct"/>
            <w:tcBorders>
              <w:top w:val="single" w:sz="4" w:space="0" w:color="000000"/>
              <w:left w:val="single" w:sz="4" w:space="0" w:color="000000"/>
              <w:bottom w:val="single" w:sz="4" w:space="0" w:color="000000"/>
              <w:right w:val="single" w:sz="4" w:space="0" w:color="000000"/>
            </w:tcBorders>
          </w:tcPr>
          <w:p w14:paraId="32867834" w14:textId="77777777" w:rsidR="00DB54D5" w:rsidRPr="00AB16AE" w:rsidRDefault="00DB54D5" w:rsidP="00DB54D5">
            <w:pPr>
              <w:spacing w:line="240" w:lineRule="auto"/>
              <w:rPr>
                <w:rFonts w:ascii="Times New Roman" w:hAnsi="Times New Roman"/>
                <w:sz w:val="24"/>
                <w:szCs w:val="24"/>
              </w:rPr>
            </w:pPr>
            <w:r w:rsidRPr="00AB16AE">
              <w:rPr>
                <w:rFonts w:ascii="Times New Roman" w:hAnsi="Times New Roman"/>
                <w:sz w:val="24"/>
                <w:szCs w:val="24"/>
              </w:rPr>
              <w:t>WAC 480-62-300(2)(d)</w:t>
            </w:r>
          </w:p>
          <w:p w14:paraId="6BBE433F" w14:textId="77777777" w:rsidR="00DB54D5" w:rsidRPr="00AB16AE" w:rsidRDefault="00DB54D5" w:rsidP="00DB54D5">
            <w:pPr>
              <w:spacing w:line="240" w:lineRule="auto"/>
              <w:rPr>
                <w:rFonts w:ascii="Times New Roman" w:hAnsi="Times New Roman"/>
                <w:sz w:val="24"/>
                <w:szCs w:val="24"/>
              </w:rPr>
            </w:pPr>
            <w:r w:rsidRPr="00AB16AE">
              <w:rPr>
                <w:rFonts w:ascii="Times New Roman" w:hAnsi="Times New Roman"/>
                <w:sz w:val="24"/>
                <w:szCs w:val="24"/>
              </w:rPr>
              <w:lastRenderedPageBreak/>
              <w:t>Reporting ability to pay clean up costs in case of a spill</w:t>
            </w:r>
          </w:p>
          <w:p w14:paraId="7D26B85A" w14:textId="77777777" w:rsidR="00DB54D5" w:rsidRPr="00AB16AE" w:rsidRDefault="00DB54D5">
            <w:pPr>
              <w:spacing w:line="240" w:lineRule="auto"/>
              <w:rPr>
                <w:rFonts w:ascii="Times New Roman" w:hAnsi="Times New Roman"/>
                <w:sz w:val="24"/>
                <w:szCs w:val="24"/>
              </w:rPr>
            </w:pPr>
          </w:p>
        </w:tc>
        <w:tc>
          <w:tcPr>
            <w:tcW w:w="643" w:type="pct"/>
            <w:tcBorders>
              <w:top w:val="single" w:sz="4" w:space="0" w:color="000000"/>
              <w:left w:val="single" w:sz="4" w:space="0" w:color="000000"/>
              <w:bottom w:val="single" w:sz="4" w:space="0" w:color="000000"/>
              <w:right w:val="single" w:sz="4" w:space="0" w:color="000000"/>
            </w:tcBorders>
          </w:tcPr>
          <w:p w14:paraId="517B4743" w14:textId="77777777" w:rsidR="00DB54D5" w:rsidRPr="00AB16AE" w:rsidRDefault="00DB54D5" w:rsidP="00DB54D5">
            <w:pPr>
              <w:spacing w:line="240" w:lineRule="auto"/>
              <w:rPr>
                <w:rFonts w:ascii="Times New Roman" w:hAnsi="Times New Roman"/>
                <w:sz w:val="24"/>
                <w:szCs w:val="24"/>
              </w:rPr>
            </w:pPr>
            <w:r w:rsidRPr="00AB16AE">
              <w:rPr>
                <w:rFonts w:ascii="Times New Roman" w:hAnsi="Times New Roman"/>
                <w:sz w:val="24"/>
                <w:szCs w:val="24"/>
              </w:rPr>
              <w:lastRenderedPageBreak/>
              <w:t>Elmer Ward,</w:t>
            </w:r>
          </w:p>
          <w:p w14:paraId="0169A4D8" w14:textId="77777777" w:rsidR="00DB54D5" w:rsidRPr="00AB16AE" w:rsidRDefault="00DB54D5" w:rsidP="00DB54D5">
            <w:pPr>
              <w:spacing w:line="240" w:lineRule="auto"/>
              <w:rPr>
                <w:rFonts w:ascii="Times New Roman" w:hAnsi="Times New Roman"/>
                <w:sz w:val="24"/>
                <w:szCs w:val="24"/>
              </w:rPr>
            </w:pPr>
            <w:r w:rsidRPr="00AB16AE">
              <w:rPr>
                <w:rFonts w:ascii="Times New Roman" w:hAnsi="Times New Roman"/>
                <w:sz w:val="24"/>
                <w:szCs w:val="24"/>
              </w:rPr>
              <w:t xml:space="preserve">Confederated Tribes of the Warms </w:t>
            </w:r>
            <w:r w:rsidRPr="00AB16AE">
              <w:rPr>
                <w:rFonts w:ascii="Times New Roman" w:hAnsi="Times New Roman"/>
                <w:sz w:val="24"/>
                <w:szCs w:val="24"/>
              </w:rPr>
              <w:lastRenderedPageBreak/>
              <w:t>Springs Reservation of Oregon</w:t>
            </w:r>
          </w:p>
        </w:tc>
        <w:tc>
          <w:tcPr>
            <w:tcW w:w="2048" w:type="pct"/>
            <w:tcBorders>
              <w:top w:val="single" w:sz="4" w:space="0" w:color="000000"/>
              <w:left w:val="single" w:sz="4" w:space="0" w:color="000000"/>
              <w:bottom w:val="single" w:sz="4" w:space="0" w:color="000000"/>
              <w:right w:val="single" w:sz="4" w:space="0" w:color="000000"/>
            </w:tcBorders>
          </w:tcPr>
          <w:p w14:paraId="4CE59B3B" w14:textId="77777777" w:rsidR="00CA44C8" w:rsidRPr="00AB16AE" w:rsidRDefault="00CA44C8" w:rsidP="00CA44C8">
            <w:pPr>
              <w:spacing w:line="240" w:lineRule="auto"/>
              <w:rPr>
                <w:rFonts w:ascii="Times New Roman" w:hAnsi="Times New Roman"/>
                <w:sz w:val="24"/>
                <w:szCs w:val="24"/>
              </w:rPr>
            </w:pPr>
            <w:r w:rsidRPr="00AB16AE">
              <w:rPr>
                <w:rFonts w:ascii="Times New Roman" w:hAnsi="Times New Roman"/>
                <w:sz w:val="24"/>
                <w:szCs w:val="24"/>
              </w:rPr>
              <w:lastRenderedPageBreak/>
              <w:t>The commenter recommends:</w:t>
            </w:r>
          </w:p>
          <w:p w14:paraId="1F80F915" w14:textId="77777777" w:rsidR="00DB54D5" w:rsidRPr="00AB16AE" w:rsidRDefault="00CA44C8" w:rsidP="00CA44C8">
            <w:pPr>
              <w:pStyle w:val="ListParagraph"/>
              <w:numPr>
                <w:ilvl w:val="0"/>
                <w:numId w:val="16"/>
              </w:numPr>
              <w:spacing w:line="240" w:lineRule="auto"/>
              <w:rPr>
                <w:rFonts w:ascii="Times New Roman" w:hAnsi="Times New Roman" w:cs="Times New Roman"/>
                <w:sz w:val="24"/>
                <w:szCs w:val="24"/>
              </w:rPr>
            </w:pPr>
            <w:r w:rsidRPr="00AB16AE">
              <w:rPr>
                <w:rFonts w:ascii="Times New Roman" w:hAnsi="Times New Roman" w:cs="Times New Roman"/>
                <w:sz w:val="24"/>
                <w:szCs w:val="24"/>
              </w:rPr>
              <w:t xml:space="preserve">A “reasonable worst case spill” be understood, for the purposes of preparing contingency plans, as the largest foreseeable discharge of oil by a rail car. </w:t>
            </w:r>
          </w:p>
          <w:p w14:paraId="31E066FB" w14:textId="77777777" w:rsidR="00CA44C8" w:rsidRPr="00AB16AE" w:rsidRDefault="00CA44C8" w:rsidP="00CA44C8">
            <w:pPr>
              <w:pStyle w:val="ListParagraph"/>
              <w:numPr>
                <w:ilvl w:val="0"/>
                <w:numId w:val="16"/>
              </w:numPr>
              <w:spacing w:line="240" w:lineRule="auto"/>
              <w:rPr>
                <w:rFonts w:ascii="Times New Roman" w:hAnsi="Times New Roman" w:cs="Times New Roman"/>
                <w:sz w:val="24"/>
                <w:szCs w:val="24"/>
              </w:rPr>
            </w:pPr>
            <w:r w:rsidRPr="00AB16AE">
              <w:rPr>
                <w:rFonts w:ascii="Times New Roman" w:hAnsi="Times New Roman" w:cs="Times New Roman"/>
                <w:sz w:val="24"/>
                <w:szCs w:val="24"/>
              </w:rPr>
              <w:lastRenderedPageBreak/>
              <w:t>Spilled oil costs include the expenses incurred for investigating the source of the spill, investigating the extent of damage, conducting cleanup, conducting pre-damage and damage assessment studies and collecting for damages.</w:t>
            </w:r>
          </w:p>
          <w:p w14:paraId="08DB888C" w14:textId="77777777" w:rsidR="00AF12FE" w:rsidRPr="00AB16AE" w:rsidRDefault="00AF12FE" w:rsidP="00AB16AE">
            <w:pPr>
              <w:pStyle w:val="ListParagraph"/>
              <w:spacing w:line="240" w:lineRule="auto"/>
              <w:ind w:left="360"/>
              <w:rPr>
                <w:rFonts w:ascii="Times New Roman" w:hAnsi="Times New Roman" w:cs="Times New Roman"/>
                <w:sz w:val="24"/>
                <w:szCs w:val="24"/>
              </w:rPr>
            </w:pPr>
          </w:p>
          <w:p w14:paraId="691222C5" w14:textId="77777777" w:rsidR="00CA44C8" w:rsidRPr="00AB16AE" w:rsidRDefault="00CA44C8" w:rsidP="00CA44C8">
            <w:pPr>
              <w:pStyle w:val="ListParagraph"/>
              <w:numPr>
                <w:ilvl w:val="0"/>
                <w:numId w:val="16"/>
              </w:numPr>
              <w:spacing w:line="240" w:lineRule="auto"/>
              <w:rPr>
                <w:rFonts w:ascii="Times New Roman" w:hAnsi="Times New Roman" w:cs="Times New Roman"/>
                <w:sz w:val="24"/>
                <w:szCs w:val="24"/>
              </w:rPr>
            </w:pPr>
            <w:r w:rsidRPr="00AB16AE">
              <w:rPr>
                <w:rFonts w:ascii="Times New Roman" w:hAnsi="Times New Roman" w:cs="Times New Roman"/>
                <w:sz w:val="24"/>
                <w:szCs w:val="24"/>
              </w:rPr>
              <w:t xml:space="preserve">There </w:t>
            </w:r>
            <w:r w:rsidR="00571321" w:rsidRPr="00AB16AE">
              <w:rPr>
                <w:rFonts w:ascii="Times New Roman" w:hAnsi="Times New Roman" w:cs="Times New Roman"/>
                <w:sz w:val="24"/>
                <w:szCs w:val="24"/>
              </w:rPr>
              <w:t xml:space="preserve">should </w:t>
            </w:r>
            <w:r w:rsidRPr="00AB16AE">
              <w:rPr>
                <w:rFonts w:ascii="Times New Roman" w:hAnsi="Times New Roman" w:cs="Times New Roman"/>
                <w:sz w:val="24"/>
                <w:szCs w:val="24"/>
              </w:rPr>
              <w:t>not be a cap on the liability of an owner/transporter of oil.</w:t>
            </w:r>
          </w:p>
          <w:p w14:paraId="77CCDD71" w14:textId="77777777" w:rsidR="00CA44C8" w:rsidRPr="00AB16AE" w:rsidRDefault="00CA44C8" w:rsidP="00CA44C8">
            <w:pPr>
              <w:pStyle w:val="ListParagraph"/>
              <w:numPr>
                <w:ilvl w:val="0"/>
                <w:numId w:val="16"/>
              </w:numPr>
              <w:spacing w:line="240" w:lineRule="auto"/>
              <w:rPr>
                <w:rFonts w:ascii="Times New Roman" w:hAnsi="Times New Roman" w:cs="Times New Roman"/>
                <w:sz w:val="24"/>
                <w:szCs w:val="24"/>
              </w:rPr>
            </w:pPr>
            <w:r w:rsidRPr="00AB16AE">
              <w:rPr>
                <w:rFonts w:ascii="Times New Roman" w:hAnsi="Times New Roman" w:cs="Times New Roman"/>
                <w:sz w:val="24"/>
                <w:szCs w:val="24"/>
              </w:rPr>
              <w:t>Establish a template advising a permittee of its responsibilities to reimburse federal, state, tribal and local governments for respective costs incurred in responding to a spill.</w:t>
            </w:r>
          </w:p>
          <w:p w14:paraId="09583E40" w14:textId="77777777" w:rsidR="00CA44C8" w:rsidRPr="00AB16AE" w:rsidRDefault="00CA44C8" w:rsidP="00CA44C8">
            <w:pPr>
              <w:pStyle w:val="ListParagraph"/>
              <w:numPr>
                <w:ilvl w:val="0"/>
                <w:numId w:val="16"/>
              </w:numPr>
              <w:spacing w:line="240" w:lineRule="auto"/>
              <w:rPr>
                <w:rFonts w:ascii="Times New Roman" w:hAnsi="Times New Roman" w:cs="Times New Roman"/>
                <w:sz w:val="24"/>
                <w:szCs w:val="24"/>
              </w:rPr>
            </w:pPr>
            <w:r w:rsidRPr="00AB16AE">
              <w:rPr>
                <w:rFonts w:ascii="Times New Roman" w:hAnsi="Times New Roman" w:cs="Times New Roman"/>
                <w:sz w:val="24"/>
                <w:szCs w:val="24"/>
              </w:rPr>
              <w:t>Establish a natural resources damage assessment process.</w:t>
            </w:r>
          </w:p>
        </w:tc>
        <w:tc>
          <w:tcPr>
            <w:tcW w:w="1619" w:type="pct"/>
            <w:tcBorders>
              <w:top w:val="single" w:sz="4" w:space="0" w:color="000000"/>
              <w:left w:val="single" w:sz="4" w:space="0" w:color="000000"/>
              <w:bottom w:val="single" w:sz="4" w:space="0" w:color="000000"/>
              <w:right w:val="single" w:sz="4" w:space="0" w:color="000000"/>
            </w:tcBorders>
          </w:tcPr>
          <w:p w14:paraId="1958DD04" w14:textId="77777777" w:rsidR="00DB54D5" w:rsidRPr="00AB16AE" w:rsidRDefault="00FA53B0" w:rsidP="00FA53B0">
            <w:pPr>
              <w:pStyle w:val="ListParagraph"/>
              <w:numPr>
                <w:ilvl w:val="0"/>
                <w:numId w:val="17"/>
              </w:numPr>
              <w:autoSpaceDE w:val="0"/>
              <w:autoSpaceDN w:val="0"/>
              <w:spacing w:line="240" w:lineRule="atLeast"/>
              <w:ind w:left="359"/>
              <w:rPr>
                <w:rFonts w:ascii="Times New Roman" w:hAnsi="Times New Roman" w:cs="Times New Roman"/>
                <w:sz w:val="24"/>
                <w:szCs w:val="24"/>
              </w:rPr>
            </w:pPr>
            <w:r w:rsidRPr="00AB16AE">
              <w:rPr>
                <w:rFonts w:ascii="Times New Roman" w:hAnsi="Times New Roman" w:cs="Times New Roman"/>
                <w:sz w:val="24"/>
                <w:szCs w:val="24"/>
              </w:rPr>
              <w:lastRenderedPageBreak/>
              <w:t>HB 1449 contained a provision for an addition of financial responsibility in the railroads annual report.  Contingency plans are not addressed in this section.</w:t>
            </w:r>
          </w:p>
          <w:p w14:paraId="0123AC09" w14:textId="77777777" w:rsidR="00FA53B0" w:rsidRPr="00AB16AE" w:rsidRDefault="00FA53B0" w:rsidP="00FA53B0">
            <w:pPr>
              <w:pStyle w:val="ListParagraph"/>
              <w:numPr>
                <w:ilvl w:val="0"/>
                <w:numId w:val="17"/>
              </w:numPr>
              <w:autoSpaceDE w:val="0"/>
              <w:autoSpaceDN w:val="0"/>
              <w:spacing w:line="240" w:lineRule="atLeast"/>
              <w:ind w:left="359"/>
              <w:rPr>
                <w:rFonts w:ascii="Times New Roman" w:hAnsi="Times New Roman" w:cs="Times New Roman"/>
                <w:sz w:val="24"/>
                <w:szCs w:val="24"/>
              </w:rPr>
            </w:pPr>
            <w:r w:rsidRPr="00AB16AE">
              <w:rPr>
                <w:rFonts w:ascii="Times New Roman" w:hAnsi="Times New Roman" w:cs="Times New Roman"/>
                <w:sz w:val="24"/>
                <w:szCs w:val="24"/>
              </w:rPr>
              <w:lastRenderedPageBreak/>
              <w:t>HB 1449 requires railroads to submit information for damages to include per</w:t>
            </w:r>
            <w:r w:rsidR="00571321" w:rsidRPr="00AB16AE">
              <w:rPr>
                <w:rFonts w:ascii="Times New Roman" w:hAnsi="Times New Roman" w:cs="Times New Roman"/>
                <w:sz w:val="24"/>
                <w:szCs w:val="24"/>
              </w:rPr>
              <w:t>-</w:t>
            </w:r>
            <w:r w:rsidRPr="00AB16AE">
              <w:rPr>
                <w:rFonts w:ascii="Times New Roman" w:hAnsi="Times New Roman" w:cs="Times New Roman"/>
                <w:sz w:val="24"/>
                <w:szCs w:val="24"/>
              </w:rPr>
              <w:t>barrel cleanup and damage cost of spilled oil.  Information from PHMSA on the federal Enhanced Tank Car rule was used to calculate damage costs.</w:t>
            </w:r>
          </w:p>
          <w:p w14:paraId="508B96FB" w14:textId="77777777" w:rsidR="00FA53B0" w:rsidRPr="00AB16AE" w:rsidRDefault="00FA53B0" w:rsidP="00FA53B0">
            <w:pPr>
              <w:pStyle w:val="ListParagraph"/>
              <w:numPr>
                <w:ilvl w:val="0"/>
                <w:numId w:val="17"/>
              </w:numPr>
              <w:autoSpaceDE w:val="0"/>
              <w:autoSpaceDN w:val="0"/>
              <w:spacing w:line="240" w:lineRule="atLeast"/>
              <w:ind w:left="359"/>
              <w:rPr>
                <w:rFonts w:ascii="Times New Roman" w:hAnsi="Times New Roman" w:cs="Times New Roman"/>
                <w:sz w:val="24"/>
                <w:szCs w:val="24"/>
              </w:rPr>
            </w:pPr>
            <w:r w:rsidRPr="00AB16AE">
              <w:rPr>
                <w:rFonts w:ascii="Times New Roman" w:hAnsi="Times New Roman" w:cs="Times New Roman"/>
                <w:sz w:val="24"/>
                <w:szCs w:val="24"/>
              </w:rPr>
              <w:t>Not a function of reporting cleanup costs.</w:t>
            </w:r>
          </w:p>
          <w:p w14:paraId="162C007E" w14:textId="77777777" w:rsidR="00FA53B0" w:rsidRPr="00AB16AE" w:rsidRDefault="00FA53B0" w:rsidP="00FA53B0">
            <w:pPr>
              <w:pStyle w:val="ListParagraph"/>
              <w:numPr>
                <w:ilvl w:val="0"/>
                <w:numId w:val="17"/>
              </w:numPr>
              <w:autoSpaceDE w:val="0"/>
              <w:autoSpaceDN w:val="0"/>
              <w:spacing w:line="240" w:lineRule="atLeast"/>
              <w:ind w:left="359"/>
              <w:rPr>
                <w:rFonts w:ascii="Times New Roman" w:hAnsi="Times New Roman" w:cs="Times New Roman"/>
                <w:sz w:val="24"/>
                <w:szCs w:val="24"/>
              </w:rPr>
            </w:pPr>
            <w:r w:rsidRPr="00AB16AE">
              <w:rPr>
                <w:rFonts w:ascii="Times New Roman" w:hAnsi="Times New Roman" w:cs="Times New Roman"/>
                <w:sz w:val="24"/>
                <w:szCs w:val="24"/>
              </w:rPr>
              <w:t>HB 1449 requires an addition to the railroads</w:t>
            </w:r>
            <w:r w:rsidR="00571321" w:rsidRPr="00AB16AE">
              <w:rPr>
                <w:rFonts w:ascii="Times New Roman" w:hAnsi="Times New Roman" w:cs="Times New Roman"/>
                <w:sz w:val="24"/>
                <w:szCs w:val="24"/>
              </w:rPr>
              <w:t>’</w:t>
            </w:r>
            <w:r w:rsidRPr="00AB16AE">
              <w:rPr>
                <w:rFonts w:ascii="Times New Roman" w:hAnsi="Times New Roman" w:cs="Times New Roman"/>
                <w:sz w:val="24"/>
                <w:szCs w:val="24"/>
              </w:rPr>
              <w:t xml:space="preserve"> annual report only.</w:t>
            </w:r>
          </w:p>
          <w:p w14:paraId="311B9088" w14:textId="77777777" w:rsidR="00FA53B0" w:rsidRPr="00AB16AE" w:rsidRDefault="00FA53B0" w:rsidP="00AB16AE">
            <w:pPr>
              <w:pStyle w:val="ListParagraph"/>
              <w:numPr>
                <w:ilvl w:val="0"/>
                <w:numId w:val="17"/>
              </w:numPr>
              <w:autoSpaceDE w:val="0"/>
              <w:autoSpaceDN w:val="0"/>
              <w:spacing w:line="240" w:lineRule="atLeast"/>
              <w:ind w:left="359"/>
              <w:rPr>
                <w:rFonts w:ascii="Times New Roman" w:hAnsi="Times New Roman" w:cs="Times New Roman"/>
                <w:sz w:val="24"/>
                <w:szCs w:val="24"/>
              </w:rPr>
            </w:pPr>
            <w:r w:rsidRPr="00AB16AE">
              <w:rPr>
                <w:rFonts w:ascii="Times New Roman" w:hAnsi="Times New Roman" w:cs="Times New Roman"/>
                <w:sz w:val="24"/>
                <w:szCs w:val="24"/>
              </w:rPr>
              <w:t xml:space="preserve">This is outside the scope </w:t>
            </w:r>
            <w:r w:rsidR="00D40150" w:rsidRPr="00AB16AE">
              <w:rPr>
                <w:rFonts w:ascii="Times New Roman" w:hAnsi="Times New Roman" w:cs="Times New Roman"/>
                <w:sz w:val="24"/>
                <w:szCs w:val="24"/>
              </w:rPr>
              <w:t>of UTC’s</w:t>
            </w:r>
            <w:r w:rsidRPr="00AB16AE">
              <w:rPr>
                <w:rFonts w:ascii="Times New Roman" w:hAnsi="Times New Roman" w:cs="Times New Roman"/>
                <w:sz w:val="24"/>
                <w:szCs w:val="24"/>
              </w:rPr>
              <w:t xml:space="preserve"> regulatory authority.</w:t>
            </w:r>
            <w:r w:rsidR="00AF12FE" w:rsidRPr="00AB16AE">
              <w:rPr>
                <w:rFonts w:ascii="Times New Roman" w:hAnsi="Times New Roman" w:cs="Times New Roman"/>
                <w:sz w:val="24"/>
                <w:szCs w:val="24"/>
              </w:rPr>
              <w:t xml:space="preserve">  HB 1449 requires railroads to submit information for damages to include per</w:t>
            </w:r>
            <w:r w:rsidR="00571321" w:rsidRPr="00AB16AE">
              <w:rPr>
                <w:rFonts w:ascii="Times New Roman" w:hAnsi="Times New Roman" w:cs="Times New Roman"/>
                <w:sz w:val="24"/>
                <w:szCs w:val="24"/>
              </w:rPr>
              <w:t>-</w:t>
            </w:r>
            <w:r w:rsidR="00AF12FE" w:rsidRPr="00AB16AE">
              <w:rPr>
                <w:rFonts w:ascii="Times New Roman" w:hAnsi="Times New Roman" w:cs="Times New Roman"/>
                <w:sz w:val="24"/>
                <w:szCs w:val="24"/>
              </w:rPr>
              <w:t>barrel cleanup and damage cost of spilled oil.  This is a reporting feature only and the statute does not allow for any punitive action based on the information submitted.</w:t>
            </w:r>
          </w:p>
        </w:tc>
      </w:tr>
      <w:tr w:rsidR="000E19E4" w:rsidRPr="00AB16AE" w14:paraId="416F9D12" w14:textId="77777777" w:rsidTr="0090335E">
        <w:trPr>
          <w:trHeight w:val="368"/>
        </w:trPr>
        <w:tc>
          <w:tcPr>
            <w:tcW w:w="689" w:type="pct"/>
            <w:tcBorders>
              <w:top w:val="single" w:sz="4" w:space="0" w:color="000000"/>
              <w:left w:val="single" w:sz="4" w:space="0" w:color="000000"/>
              <w:bottom w:val="single" w:sz="4" w:space="0" w:color="000000"/>
              <w:right w:val="single" w:sz="4" w:space="0" w:color="000000"/>
            </w:tcBorders>
          </w:tcPr>
          <w:p w14:paraId="3918ED03" w14:textId="77777777" w:rsidR="000E19E4" w:rsidRPr="00AB16AE" w:rsidRDefault="000E19E4">
            <w:pPr>
              <w:spacing w:line="240" w:lineRule="auto"/>
              <w:rPr>
                <w:rFonts w:ascii="Times New Roman" w:hAnsi="Times New Roman"/>
                <w:sz w:val="24"/>
                <w:szCs w:val="24"/>
              </w:rPr>
            </w:pPr>
            <w:r w:rsidRPr="00AB16AE">
              <w:rPr>
                <w:rFonts w:ascii="Times New Roman" w:hAnsi="Times New Roman"/>
                <w:sz w:val="24"/>
                <w:szCs w:val="24"/>
              </w:rPr>
              <w:lastRenderedPageBreak/>
              <w:t>WAC 480-62-300</w:t>
            </w:r>
            <w:r w:rsidR="00714565" w:rsidRPr="00AB16AE">
              <w:rPr>
                <w:rFonts w:ascii="Times New Roman" w:hAnsi="Times New Roman"/>
                <w:sz w:val="24"/>
                <w:szCs w:val="24"/>
              </w:rPr>
              <w:t>(2)(d)</w:t>
            </w:r>
          </w:p>
          <w:p w14:paraId="0C496914" w14:textId="77777777" w:rsidR="000E19E4" w:rsidRPr="00AB16AE" w:rsidRDefault="00714565">
            <w:pPr>
              <w:spacing w:line="240" w:lineRule="auto"/>
              <w:rPr>
                <w:rFonts w:ascii="Times New Roman" w:hAnsi="Times New Roman"/>
                <w:sz w:val="24"/>
                <w:szCs w:val="24"/>
              </w:rPr>
            </w:pPr>
            <w:r w:rsidRPr="00AB16AE">
              <w:rPr>
                <w:rFonts w:ascii="Times New Roman" w:hAnsi="Times New Roman"/>
                <w:sz w:val="24"/>
                <w:szCs w:val="24"/>
              </w:rPr>
              <w:t>Reporting ability to pay clean up costs in case of a spill</w:t>
            </w:r>
          </w:p>
          <w:p w14:paraId="7750E7B3" w14:textId="77777777" w:rsidR="00714565" w:rsidRPr="00AB16AE" w:rsidRDefault="00714565">
            <w:pPr>
              <w:spacing w:line="240" w:lineRule="auto"/>
              <w:rPr>
                <w:rFonts w:ascii="Times New Roman" w:hAnsi="Times New Roman"/>
                <w:sz w:val="24"/>
                <w:szCs w:val="24"/>
              </w:rPr>
            </w:pPr>
          </w:p>
        </w:tc>
        <w:tc>
          <w:tcPr>
            <w:tcW w:w="643" w:type="pct"/>
            <w:tcBorders>
              <w:top w:val="single" w:sz="4" w:space="0" w:color="000000"/>
              <w:left w:val="single" w:sz="4" w:space="0" w:color="000000"/>
              <w:bottom w:val="single" w:sz="4" w:space="0" w:color="000000"/>
              <w:right w:val="single" w:sz="4" w:space="0" w:color="000000"/>
            </w:tcBorders>
          </w:tcPr>
          <w:p w14:paraId="75D5AA25" w14:textId="77777777" w:rsidR="000E19E4" w:rsidRPr="00AB16AE" w:rsidRDefault="000E19E4" w:rsidP="000E19E4">
            <w:pPr>
              <w:spacing w:line="240" w:lineRule="auto"/>
              <w:rPr>
                <w:rFonts w:ascii="Times New Roman" w:hAnsi="Times New Roman"/>
                <w:sz w:val="24"/>
                <w:szCs w:val="24"/>
              </w:rPr>
            </w:pPr>
            <w:r w:rsidRPr="00AB16AE">
              <w:rPr>
                <w:rFonts w:ascii="Times New Roman" w:hAnsi="Times New Roman"/>
                <w:sz w:val="24"/>
                <w:szCs w:val="24"/>
              </w:rPr>
              <w:t>Paul Didelius,</w:t>
            </w:r>
          </w:p>
          <w:p w14:paraId="20ED51D8" w14:textId="77777777" w:rsidR="000E19E4" w:rsidRPr="00AB16AE" w:rsidRDefault="000E19E4" w:rsidP="000E19E4">
            <w:pPr>
              <w:spacing w:line="240" w:lineRule="auto"/>
              <w:rPr>
                <w:rFonts w:ascii="Times New Roman" w:hAnsi="Times New Roman"/>
                <w:sz w:val="24"/>
                <w:szCs w:val="24"/>
              </w:rPr>
            </w:pPr>
            <w:r w:rsidRPr="00AB16AE">
              <w:rPr>
                <w:rFonts w:ascii="Times New Roman" w:hAnsi="Times New Roman"/>
                <w:sz w:val="24"/>
                <w:szCs w:val="24"/>
              </w:rPr>
              <w:t>Kennewick Terminal RR</w:t>
            </w:r>
          </w:p>
        </w:tc>
        <w:tc>
          <w:tcPr>
            <w:tcW w:w="2048" w:type="pct"/>
            <w:tcBorders>
              <w:top w:val="single" w:sz="4" w:space="0" w:color="000000"/>
              <w:left w:val="single" w:sz="4" w:space="0" w:color="000000"/>
              <w:bottom w:val="single" w:sz="4" w:space="0" w:color="000000"/>
              <w:right w:val="single" w:sz="4" w:space="0" w:color="000000"/>
            </w:tcBorders>
          </w:tcPr>
          <w:p w14:paraId="4B697D72" w14:textId="77777777" w:rsidR="000E19E4" w:rsidRPr="00AB16AE" w:rsidRDefault="000E19E4" w:rsidP="005413E7">
            <w:pPr>
              <w:spacing w:line="240" w:lineRule="auto"/>
              <w:rPr>
                <w:rFonts w:ascii="Times New Roman" w:hAnsi="Times New Roman"/>
                <w:sz w:val="24"/>
                <w:szCs w:val="24"/>
              </w:rPr>
            </w:pPr>
            <w:r w:rsidRPr="00AB16AE">
              <w:rPr>
                <w:rFonts w:ascii="Times New Roman" w:hAnsi="Times New Roman"/>
                <w:sz w:val="24"/>
                <w:szCs w:val="24"/>
              </w:rPr>
              <w:t xml:space="preserve">The commenter </w:t>
            </w:r>
            <w:r w:rsidR="005413E7" w:rsidRPr="00AB16AE">
              <w:rPr>
                <w:rFonts w:ascii="Times New Roman" w:hAnsi="Times New Roman"/>
                <w:sz w:val="24"/>
                <w:szCs w:val="24"/>
              </w:rPr>
              <w:t>states</w:t>
            </w:r>
            <w:r w:rsidRPr="00AB16AE">
              <w:rPr>
                <w:rFonts w:ascii="Times New Roman" w:hAnsi="Times New Roman"/>
                <w:sz w:val="24"/>
                <w:szCs w:val="24"/>
              </w:rPr>
              <w:t xml:space="preserve"> this </w:t>
            </w:r>
            <w:r w:rsidR="005413E7" w:rsidRPr="00AB16AE">
              <w:rPr>
                <w:rFonts w:ascii="Times New Roman" w:hAnsi="Times New Roman"/>
                <w:sz w:val="24"/>
                <w:szCs w:val="24"/>
              </w:rPr>
              <w:t xml:space="preserve">reporting requirement </w:t>
            </w:r>
            <w:r w:rsidRPr="00AB16AE">
              <w:rPr>
                <w:rFonts w:ascii="Times New Roman" w:hAnsi="Times New Roman"/>
                <w:sz w:val="24"/>
                <w:szCs w:val="24"/>
              </w:rPr>
              <w:t>is burdensome and potentially in conflict with federal requirements of common carriage. The commenter believes this requirement will likely be litigated and found to be federally preempted and beyond the rights of the state.</w:t>
            </w:r>
          </w:p>
        </w:tc>
        <w:tc>
          <w:tcPr>
            <w:tcW w:w="1619" w:type="pct"/>
            <w:tcBorders>
              <w:top w:val="single" w:sz="4" w:space="0" w:color="000000"/>
              <w:left w:val="single" w:sz="4" w:space="0" w:color="000000"/>
              <w:bottom w:val="single" w:sz="4" w:space="0" w:color="000000"/>
              <w:right w:val="single" w:sz="4" w:space="0" w:color="000000"/>
            </w:tcBorders>
          </w:tcPr>
          <w:p w14:paraId="28FE5E2D" w14:textId="77777777" w:rsidR="000E19E4" w:rsidRPr="00AB16AE" w:rsidRDefault="000F2867" w:rsidP="009D4EFF">
            <w:pPr>
              <w:autoSpaceDE w:val="0"/>
              <w:autoSpaceDN w:val="0"/>
              <w:spacing w:line="240" w:lineRule="atLeast"/>
              <w:rPr>
                <w:rFonts w:ascii="Times New Roman" w:hAnsi="Times New Roman"/>
                <w:sz w:val="24"/>
                <w:szCs w:val="24"/>
              </w:rPr>
            </w:pPr>
            <w:r w:rsidRPr="00AB16AE">
              <w:rPr>
                <w:rFonts w:ascii="Times New Roman" w:hAnsi="Times New Roman"/>
                <w:sz w:val="24"/>
                <w:szCs w:val="24"/>
              </w:rPr>
              <w:t>HB 1449 explicitly states that the information required in the annual report may not be used for economic regulation of a railroad</w:t>
            </w:r>
            <w:r w:rsidR="00AF12FE" w:rsidRPr="00AB16AE">
              <w:rPr>
                <w:rFonts w:ascii="Times New Roman" w:hAnsi="Times New Roman"/>
                <w:sz w:val="24"/>
                <w:szCs w:val="24"/>
              </w:rPr>
              <w:t xml:space="preserve"> and no punitive actions may be taken against the railroad based on the information provided.</w:t>
            </w:r>
          </w:p>
        </w:tc>
      </w:tr>
      <w:tr w:rsidR="009A6F40" w:rsidRPr="00AB16AE" w14:paraId="695EBE92" w14:textId="77777777" w:rsidTr="0090335E">
        <w:trPr>
          <w:trHeight w:val="368"/>
        </w:trPr>
        <w:tc>
          <w:tcPr>
            <w:tcW w:w="689" w:type="pct"/>
            <w:tcBorders>
              <w:top w:val="single" w:sz="4" w:space="0" w:color="000000"/>
              <w:left w:val="single" w:sz="4" w:space="0" w:color="000000"/>
              <w:bottom w:val="single" w:sz="4" w:space="0" w:color="000000"/>
              <w:right w:val="single" w:sz="4" w:space="0" w:color="000000"/>
            </w:tcBorders>
          </w:tcPr>
          <w:p w14:paraId="71E98245" w14:textId="77777777" w:rsidR="00714565" w:rsidRPr="00AB16AE" w:rsidRDefault="00714565" w:rsidP="00714565">
            <w:pPr>
              <w:spacing w:line="240" w:lineRule="auto"/>
              <w:rPr>
                <w:rFonts w:ascii="Times New Roman" w:hAnsi="Times New Roman"/>
                <w:sz w:val="24"/>
                <w:szCs w:val="24"/>
              </w:rPr>
            </w:pPr>
            <w:r w:rsidRPr="00AB16AE">
              <w:rPr>
                <w:rFonts w:ascii="Times New Roman" w:hAnsi="Times New Roman"/>
                <w:sz w:val="24"/>
                <w:szCs w:val="24"/>
              </w:rPr>
              <w:t>WAC 480-62-300(2)(d)</w:t>
            </w:r>
          </w:p>
          <w:p w14:paraId="26377CE4" w14:textId="77777777" w:rsidR="00714565" w:rsidRPr="00AB16AE" w:rsidRDefault="00714565" w:rsidP="00714565">
            <w:pPr>
              <w:spacing w:line="240" w:lineRule="auto"/>
              <w:rPr>
                <w:rFonts w:ascii="Times New Roman" w:hAnsi="Times New Roman"/>
                <w:sz w:val="24"/>
                <w:szCs w:val="24"/>
              </w:rPr>
            </w:pPr>
            <w:r w:rsidRPr="00AB16AE">
              <w:rPr>
                <w:rFonts w:ascii="Times New Roman" w:hAnsi="Times New Roman"/>
                <w:sz w:val="24"/>
                <w:szCs w:val="24"/>
              </w:rPr>
              <w:t>Reporting ability to pay clean up costs in case of a spill</w:t>
            </w:r>
          </w:p>
          <w:p w14:paraId="39BEF8FE" w14:textId="77777777" w:rsidR="009A6F40" w:rsidRPr="00AB16AE" w:rsidRDefault="009A6F40" w:rsidP="009A6F40">
            <w:pPr>
              <w:spacing w:line="240" w:lineRule="auto"/>
              <w:rPr>
                <w:rFonts w:ascii="Times New Roman" w:hAnsi="Times New Roman"/>
                <w:sz w:val="24"/>
                <w:szCs w:val="24"/>
              </w:rPr>
            </w:pPr>
          </w:p>
        </w:tc>
        <w:tc>
          <w:tcPr>
            <w:tcW w:w="643" w:type="pct"/>
            <w:tcBorders>
              <w:top w:val="single" w:sz="4" w:space="0" w:color="000000"/>
              <w:left w:val="single" w:sz="4" w:space="0" w:color="000000"/>
              <w:bottom w:val="single" w:sz="4" w:space="0" w:color="000000"/>
              <w:right w:val="single" w:sz="4" w:space="0" w:color="000000"/>
            </w:tcBorders>
          </w:tcPr>
          <w:p w14:paraId="6E62EAA8" w14:textId="77777777" w:rsidR="009A6F40" w:rsidRPr="00AB16AE" w:rsidRDefault="009A6F40" w:rsidP="000E19E4">
            <w:pPr>
              <w:spacing w:line="240" w:lineRule="auto"/>
              <w:rPr>
                <w:rFonts w:ascii="Times New Roman" w:hAnsi="Times New Roman"/>
                <w:sz w:val="24"/>
                <w:szCs w:val="24"/>
              </w:rPr>
            </w:pPr>
            <w:r w:rsidRPr="00AB16AE">
              <w:rPr>
                <w:rFonts w:ascii="Times New Roman" w:hAnsi="Times New Roman"/>
                <w:sz w:val="24"/>
                <w:szCs w:val="24"/>
              </w:rPr>
              <w:t>Toby J. Van Altvorst, Western Washington Railroad</w:t>
            </w:r>
          </w:p>
        </w:tc>
        <w:tc>
          <w:tcPr>
            <w:tcW w:w="2048" w:type="pct"/>
            <w:tcBorders>
              <w:top w:val="single" w:sz="4" w:space="0" w:color="000000"/>
              <w:left w:val="single" w:sz="4" w:space="0" w:color="000000"/>
              <w:bottom w:val="single" w:sz="4" w:space="0" w:color="000000"/>
              <w:right w:val="single" w:sz="4" w:space="0" w:color="000000"/>
            </w:tcBorders>
          </w:tcPr>
          <w:p w14:paraId="63D12CAF" w14:textId="77777777" w:rsidR="009A6F40" w:rsidRPr="00AB16AE" w:rsidRDefault="009A6F40" w:rsidP="005413E7">
            <w:pPr>
              <w:spacing w:line="240" w:lineRule="auto"/>
              <w:rPr>
                <w:rFonts w:ascii="Times New Roman" w:hAnsi="Times New Roman"/>
                <w:sz w:val="24"/>
                <w:szCs w:val="24"/>
              </w:rPr>
            </w:pPr>
            <w:r w:rsidRPr="00AB16AE">
              <w:rPr>
                <w:rFonts w:ascii="Times New Roman" w:hAnsi="Times New Roman"/>
                <w:sz w:val="24"/>
                <w:szCs w:val="24"/>
              </w:rPr>
              <w:t xml:space="preserve">The commenter </w:t>
            </w:r>
            <w:r w:rsidR="005413E7" w:rsidRPr="00AB16AE">
              <w:rPr>
                <w:rFonts w:ascii="Times New Roman" w:hAnsi="Times New Roman"/>
                <w:sz w:val="24"/>
                <w:szCs w:val="24"/>
              </w:rPr>
              <w:t>states</w:t>
            </w:r>
            <w:r w:rsidRPr="00AB16AE">
              <w:rPr>
                <w:rFonts w:ascii="Times New Roman" w:hAnsi="Times New Roman"/>
                <w:sz w:val="24"/>
                <w:szCs w:val="24"/>
              </w:rPr>
              <w:t xml:space="preserve"> this</w:t>
            </w:r>
            <w:r w:rsidR="005413E7" w:rsidRPr="00AB16AE">
              <w:rPr>
                <w:rFonts w:ascii="Times New Roman" w:hAnsi="Times New Roman"/>
                <w:sz w:val="24"/>
                <w:szCs w:val="24"/>
              </w:rPr>
              <w:t xml:space="preserve"> reporting requirement</w:t>
            </w:r>
            <w:r w:rsidRPr="00AB16AE">
              <w:rPr>
                <w:rFonts w:ascii="Times New Roman" w:hAnsi="Times New Roman"/>
                <w:sz w:val="24"/>
                <w:szCs w:val="24"/>
              </w:rPr>
              <w:t xml:space="preserve"> is burdensome and potentially in conflict with federal requirements of common carriage. The commenter believes this requirement will likely be litigated and found to be federally preempted and beyond the rights of the state.</w:t>
            </w:r>
          </w:p>
        </w:tc>
        <w:tc>
          <w:tcPr>
            <w:tcW w:w="1619" w:type="pct"/>
            <w:tcBorders>
              <w:top w:val="single" w:sz="4" w:space="0" w:color="000000"/>
              <w:left w:val="single" w:sz="4" w:space="0" w:color="000000"/>
              <w:bottom w:val="single" w:sz="4" w:space="0" w:color="000000"/>
              <w:right w:val="single" w:sz="4" w:space="0" w:color="000000"/>
            </w:tcBorders>
          </w:tcPr>
          <w:p w14:paraId="6AAC26F0" w14:textId="77777777" w:rsidR="009A6F40" w:rsidRPr="00AB16AE" w:rsidRDefault="00AF12FE" w:rsidP="009D4EFF">
            <w:pPr>
              <w:autoSpaceDE w:val="0"/>
              <w:autoSpaceDN w:val="0"/>
              <w:spacing w:line="240" w:lineRule="atLeast"/>
              <w:rPr>
                <w:rFonts w:ascii="Times New Roman" w:hAnsi="Times New Roman"/>
                <w:sz w:val="24"/>
                <w:szCs w:val="24"/>
              </w:rPr>
            </w:pPr>
            <w:r w:rsidRPr="00AB16AE">
              <w:rPr>
                <w:rFonts w:ascii="Times New Roman" w:hAnsi="Times New Roman"/>
                <w:sz w:val="24"/>
                <w:szCs w:val="24"/>
              </w:rPr>
              <w:t>HB 1449 explicitly states that the information required in the annual report may not be used for economic regulation of a railroad and no punitive actions may be taken against the railroad based on the information provided.</w:t>
            </w:r>
          </w:p>
        </w:tc>
      </w:tr>
      <w:tr w:rsidR="00714565" w:rsidRPr="00AB16AE" w14:paraId="524F7158" w14:textId="77777777" w:rsidTr="0090335E">
        <w:trPr>
          <w:trHeight w:val="368"/>
        </w:trPr>
        <w:tc>
          <w:tcPr>
            <w:tcW w:w="689" w:type="pct"/>
            <w:tcBorders>
              <w:top w:val="single" w:sz="4" w:space="0" w:color="000000"/>
              <w:left w:val="single" w:sz="4" w:space="0" w:color="000000"/>
              <w:bottom w:val="single" w:sz="4" w:space="0" w:color="000000"/>
              <w:right w:val="single" w:sz="4" w:space="0" w:color="000000"/>
            </w:tcBorders>
          </w:tcPr>
          <w:p w14:paraId="72C1CAC4" w14:textId="77777777" w:rsidR="00714565" w:rsidRPr="00AB16AE" w:rsidRDefault="00714565" w:rsidP="00714565">
            <w:pPr>
              <w:spacing w:line="240" w:lineRule="auto"/>
              <w:rPr>
                <w:rFonts w:ascii="Times New Roman" w:hAnsi="Times New Roman"/>
                <w:sz w:val="24"/>
                <w:szCs w:val="24"/>
              </w:rPr>
            </w:pPr>
            <w:r w:rsidRPr="00AB16AE">
              <w:rPr>
                <w:rFonts w:ascii="Times New Roman" w:hAnsi="Times New Roman"/>
                <w:sz w:val="24"/>
                <w:szCs w:val="24"/>
              </w:rPr>
              <w:t>WAC 480-62-300(2)(d)</w:t>
            </w:r>
          </w:p>
          <w:p w14:paraId="0F8CB858" w14:textId="77777777" w:rsidR="00714565" w:rsidRPr="00AB16AE" w:rsidRDefault="00714565" w:rsidP="00714565">
            <w:pPr>
              <w:spacing w:line="240" w:lineRule="auto"/>
              <w:rPr>
                <w:rFonts w:ascii="Times New Roman" w:hAnsi="Times New Roman"/>
                <w:sz w:val="24"/>
                <w:szCs w:val="24"/>
              </w:rPr>
            </w:pPr>
            <w:r w:rsidRPr="00AB16AE">
              <w:rPr>
                <w:rFonts w:ascii="Times New Roman" w:hAnsi="Times New Roman"/>
                <w:sz w:val="24"/>
                <w:szCs w:val="24"/>
              </w:rPr>
              <w:t>Reporting ability to pay clean up costs in case of a spill</w:t>
            </w:r>
          </w:p>
        </w:tc>
        <w:tc>
          <w:tcPr>
            <w:tcW w:w="643" w:type="pct"/>
            <w:tcBorders>
              <w:top w:val="single" w:sz="4" w:space="0" w:color="000000"/>
              <w:left w:val="single" w:sz="4" w:space="0" w:color="000000"/>
              <w:bottom w:val="single" w:sz="4" w:space="0" w:color="000000"/>
              <w:right w:val="single" w:sz="4" w:space="0" w:color="000000"/>
            </w:tcBorders>
          </w:tcPr>
          <w:p w14:paraId="2488B441" w14:textId="77777777" w:rsidR="00714565" w:rsidRPr="00AB16AE" w:rsidRDefault="00714565" w:rsidP="00714565">
            <w:pPr>
              <w:spacing w:line="240" w:lineRule="auto"/>
              <w:rPr>
                <w:rFonts w:ascii="Times New Roman" w:hAnsi="Times New Roman"/>
                <w:sz w:val="24"/>
                <w:szCs w:val="24"/>
              </w:rPr>
            </w:pPr>
            <w:r w:rsidRPr="00AB16AE">
              <w:rPr>
                <w:rFonts w:ascii="Times New Roman" w:hAnsi="Times New Roman"/>
                <w:sz w:val="24"/>
                <w:szCs w:val="24"/>
              </w:rPr>
              <w:t>Dow Consta</w:t>
            </w:r>
            <w:r w:rsidR="008B5330">
              <w:rPr>
                <w:rFonts w:ascii="Times New Roman" w:hAnsi="Times New Roman"/>
                <w:sz w:val="24"/>
                <w:szCs w:val="24"/>
              </w:rPr>
              <w:t>n</w:t>
            </w:r>
            <w:r w:rsidRPr="00AB16AE">
              <w:rPr>
                <w:rFonts w:ascii="Times New Roman" w:hAnsi="Times New Roman"/>
                <w:sz w:val="24"/>
                <w:szCs w:val="24"/>
              </w:rPr>
              <w:t>tine,</w:t>
            </w:r>
          </w:p>
          <w:p w14:paraId="2B77E281" w14:textId="77777777" w:rsidR="00714565" w:rsidRPr="00AB16AE" w:rsidRDefault="00714565" w:rsidP="00714565">
            <w:pPr>
              <w:spacing w:line="240" w:lineRule="auto"/>
              <w:rPr>
                <w:rFonts w:ascii="Times New Roman" w:hAnsi="Times New Roman"/>
                <w:sz w:val="24"/>
                <w:szCs w:val="24"/>
              </w:rPr>
            </w:pPr>
            <w:r w:rsidRPr="00AB16AE">
              <w:rPr>
                <w:rFonts w:ascii="Times New Roman" w:hAnsi="Times New Roman"/>
                <w:sz w:val="24"/>
                <w:szCs w:val="24"/>
              </w:rPr>
              <w:t>King County Executive</w:t>
            </w:r>
          </w:p>
        </w:tc>
        <w:tc>
          <w:tcPr>
            <w:tcW w:w="2048" w:type="pct"/>
            <w:tcBorders>
              <w:top w:val="single" w:sz="4" w:space="0" w:color="000000"/>
              <w:left w:val="single" w:sz="4" w:space="0" w:color="000000"/>
              <w:bottom w:val="single" w:sz="4" w:space="0" w:color="000000"/>
              <w:right w:val="single" w:sz="4" w:space="0" w:color="000000"/>
            </w:tcBorders>
          </w:tcPr>
          <w:p w14:paraId="31392DE1" w14:textId="77777777" w:rsidR="00714565" w:rsidRPr="00AB16AE" w:rsidRDefault="00714565" w:rsidP="00571321">
            <w:pPr>
              <w:spacing w:line="240" w:lineRule="auto"/>
              <w:rPr>
                <w:rFonts w:ascii="Times New Roman" w:hAnsi="Times New Roman"/>
                <w:sz w:val="24"/>
                <w:szCs w:val="24"/>
              </w:rPr>
            </w:pPr>
            <w:r w:rsidRPr="00AB16AE">
              <w:rPr>
                <w:rFonts w:ascii="Times New Roman" w:hAnsi="Times New Roman"/>
                <w:sz w:val="24"/>
                <w:szCs w:val="24"/>
              </w:rPr>
              <w:t xml:space="preserve">The commenter </w:t>
            </w:r>
            <w:r w:rsidR="005413E7" w:rsidRPr="00AB16AE">
              <w:rPr>
                <w:rFonts w:ascii="Times New Roman" w:hAnsi="Times New Roman"/>
                <w:sz w:val="24"/>
                <w:szCs w:val="24"/>
              </w:rPr>
              <w:t>states</w:t>
            </w:r>
            <w:r w:rsidRPr="00AB16AE">
              <w:rPr>
                <w:rFonts w:ascii="Times New Roman" w:hAnsi="Times New Roman"/>
                <w:sz w:val="24"/>
                <w:szCs w:val="24"/>
              </w:rPr>
              <w:t xml:space="preserve"> the current cost of $400 per gallon in clean</w:t>
            </w:r>
            <w:r w:rsidR="00571321" w:rsidRPr="00AB16AE">
              <w:rPr>
                <w:rFonts w:ascii="Times New Roman" w:hAnsi="Times New Roman"/>
                <w:sz w:val="24"/>
                <w:szCs w:val="24"/>
              </w:rPr>
              <w:t>-</w:t>
            </w:r>
            <w:r w:rsidRPr="00AB16AE">
              <w:rPr>
                <w:rFonts w:ascii="Times New Roman" w:hAnsi="Times New Roman"/>
                <w:sz w:val="24"/>
                <w:szCs w:val="24"/>
              </w:rPr>
              <w:t>up costs is not enough. The commenter recommends “… the state use Canada</w:t>
            </w:r>
            <w:r w:rsidR="0004124F" w:rsidRPr="00AB16AE">
              <w:rPr>
                <w:rFonts w:ascii="Times New Roman" w:hAnsi="Times New Roman"/>
                <w:sz w:val="24"/>
                <w:szCs w:val="24"/>
              </w:rPr>
              <w:t>’</w:t>
            </w:r>
            <w:r w:rsidRPr="00AB16AE">
              <w:rPr>
                <w:rFonts w:ascii="Times New Roman" w:hAnsi="Times New Roman"/>
                <w:sz w:val="24"/>
                <w:szCs w:val="24"/>
              </w:rPr>
              <w:t>s Lac-Megantic oil spill disaster as a baseline, in which the cleanup costs and damages were estimated to be $1,880 per gallon of oil.”</w:t>
            </w:r>
          </w:p>
        </w:tc>
        <w:tc>
          <w:tcPr>
            <w:tcW w:w="1619" w:type="pct"/>
            <w:tcBorders>
              <w:top w:val="single" w:sz="4" w:space="0" w:color="000000"/>
              <w:left w:val="single" w:sz="4" w:space="0" w:color="000000"/>
              <w:bottom w:val="single" w:sz="4" w:space="0" w:color="000000"/>
              <w:right w:val="single" w:sz="4" w:space="0" w:color="000000"/>
            </w:tcBorders>
          </w:tcPr>
          <w:p w14:paraId="79A1E15C" w14:textId="77777777" w:rsidR="00714565" w:rsidRPr="00AB16AE" w:rsidRDefault="009D4EFF" w:rsidP="00571321">
            <w:pPr>
              <w:autoSpaceDE w:val="0"/>
              <w:autoSpaceDN w:val="0"/>
              <w:spacing w:line="240" w:lineRule="atLeast"/>
              <w:rPr>
                <w:rFonts w:ascii="Times New Roman" w:hAnsi="Times New Roman"/>
                <w:sz w:val="24"/>
                <w:szCs w:val="24"/>
              </w:rPr>
            </w:pPr>
            <w:r w:rsidRPr="00AB16AE">
              <w:rPr>
                <w:rFonts w:ascii="Times New Roman" w:hAnsi="Times New Roman"/>
                <w:sz w:val="24"/>
                <w:szCs w:val="24"/>
              </w:rPr>
              <w:t xml:space="preserve">The </w:t>
            </w:r>
            <w:r w:rsidR="00D40150" w:rsidRPr="00AB16AE">
              <w:rPr>
                <w:rFonts w:ascii="Times New Roman" w:hAnsi="Times New Roman"/>
                <w:sz w:val="24"/>
                <w:szCs w:val="24"/>
              </w:rPr>
              <w:t>UTC</w:t>
            </w:r>
            <w:r w:rsidRPr="00AB16AE">
              <w:rPr>
                <w:rFonts w:ascii="Times New Roman" w:hAnsi="Times New Roman"/>
                <w:sz w:val="24"/>
                <w:szCs w:val="24"/>
              </w:rPr>
              <w:t xml:space="preserve"> relied on the PHMSA federal enhanced tank car rule to calculate cleanup and damage costs of spilled oil.  </w:t>
            </w:r>
            <w:r w:rsidR="00AF12FE" w:rsidRPr="00AB16AE">
              <w:rPr>
                <w:rFonts w:ascii="Times New Roman" w:hAnsi="Times New Roman"/>
                <w:sz w:val="24"/>
                <w:szCs w:val="24"/>
              </w:rPr>
              <w:t>The clean</w:t>
            </w:r>
            <w:r w:rsidR="00571321" w:rsidRPr="00AB16AE">
              <w:rPr>
                <w:rFonts w:ascii="Times New Roman" w:hAnsi="Times New Roman"/>
                <w:sz w:val="24"/>
                <w:szCs w:val="24"/>
              </w:rPr>
              <w:t>-</w:t>
            </w:r>
            <w:r w:rsidR="00AF12FE" w:rsidRPr="00AB16AE">
              <w:rPr>
                <w:rFonts w:ascii="Times New Roman" w:hAnsi="Times New Roman"/>
                <w:sz w:val="24"/>
                <w:szCs w:val="24"/>
              </w:rPr>
              <w:t>up costs used in this rulemaking</w:t>
            </w:r>
            <w:r w:rsidR="00571321" w:rsidRPr="00AB16AE">
              <w:rPr>
                <w:rFonts w:ascii="Times New Roman" w:hAnsi="Times New Roman"/>
                <w:sz w:val="24"/>
                <w:szCs w:val="24"/>
              </w:rPr>
              <w:t>,</w:t>
            </w:r>
            <w:r w:rsidR="00AF12FE" w:rsidRPr="00AB16AE">
              <w:rPr>
                <w:rFonts w:ascii="Times New Roman" w:hAnsi="Times New Roman"/>
                <w:sz w:val="24"/>
                <w:szCs w:val="24"/>
              </w:rPr>
              <w:t xml:space="preserve"> </w:t>
            </w:r>
            <w:r w:rsidR="00004D72" w:rsidRPr="00AB16AE">
              <w:rPr>
                <w:rFonts w:ascii="Times New Roman" w:hAnsi="Times New Roman"/>
                <w:sz w:val="24"/>
                <w:szCs w:val="24"/>
              </w:rPr>
              <w:t xml:space="preserve">$16,800 per barrel, </w:t>
            </w:r>
            <w:r w:rsidR="00AF12FE" w:rsidRPr="00AB16AE">
              <w:rPr>
                <w:rFonts w:ascii="Times New Roman" w:hAnsi="Times New Roman"/>
                <w:sz w:val="24"/>
                <w:szCs w:val="24"/>
              </w:rPr>
              <w:t>exceed the clean</w:t>
            </w:r>
            <w:r w:rsidR="00571321" w:rsidRPr="00AB16AE">
              <w:rPr>
                <w:rFonts w:ascii="Times New Roman" w:hAnsi="Times New Roman"/>
                <w:sz w:val="24"/>
                <w:szCs w:val="24"/>
              </w:rPr>
              <w:t>-</w:t>
            </w:r>
            <w:r w:rsidR="00AF12FE" w:rsidRPr="00AB16AE">
              <w:rPr>
                <w:rFonts w:ascii="Times New Roman" w:hAnsi="Times New Roman"/>
                <w:sz w:val="24"/>
                <w:szCs w:val="24"/>
              </w:rPr>
              <w:t xml:space="preserve">up costs calculated in states like California ($10,000 per barrel). </w:t>
            </w:r>
          </w:p>
        </w:tc>
      </w:tr>
      <w:tr w:rsidR="0004124F" w:rsidRPr="00AB16AE" w14:paraId="358109B7" w14:textId="77777777" w:rsidTr="0090335E">
        <w:trPr>
          <w:trHeight w:val="368"/>
        </w:trPr>
        <w:tc>
          <w:tcPr>
            <w:tcW w:w="689" w:type="pct"/>
            <w:tcBorders>
              <w:top w:val="single" w:sz="4" w:space="0" w:color="000000"/>
              <w:left w:val="single" w:sz="4" w:space="0" w:color="000000"/>
              <w:bottom w:val="single" w:sz="4" w:space="0" w:color="000000"/>
              <w:right w:val="single" w:sz="4" w:space="0" w:color="000000"/>
            </w:tcBorders>
          </w:tcPr>
          <w:p w14:paraId="4CBC1E9A" w14:textId="77777777" w:rsidR="0004124F" w:rsidRPr="00AB16AE" w:rsidRDefault="0004124F" w:rsidP="0004124F">
            <w:pPr>
              <w:spacing w:line="240" w:lineRule="auto"/>
              <w:rPr>
                <w:rFonts w:ascii="Times New Roman" w:hAnsi="Times New Roman"/>
                <w:sz w:val="24"/>
                <w:szCs w:val="24"/>
              </w:rPr>
            </w:pPr>
            <w:r w:rsidRPr="00AB16AE">
              <w:rPr>
                <w:rFonts w:ascii="Times New Roman" w:hAnsi="Times New Roman"/>
                <w:sz w:val="24"/>
                <w:szCs w:val="24"/>
              </w:rPr>
              <w:lastRenderedPageBreak/>
              <w:t>WAC 480-62-300(2)(d)</w:t>
            </w:r>
          </w:p>
          <w:p w14:paraId="67EEC76B" w14:textId="77777777" w:rsidR="0004124F" w:rsidRPr="00AB16AE" w:rsidRDefault="0004124F" w:rsidP="0004124F">
            <w:pPr>
              <w:spacing w:line="240" w:lineRule="auto"/>
              <w:rPr>
                <w:rFonts w:ascii="Times New Roman" w:hAnsi="Times New Roman"/>
                <w:sz w:val="24"/>
                <w:szCs w:val="24"/>
              </w:rPr>
            </w:pPr>
            <w:r w:rsidRPr="00AB16AE">
              <w:rPr>
                <w:rFonts w:ascii="Times New Roman" w:hAnsi="Times New Roman"/>
                <w:sz w:val="24"/>
                <w:szCs w:val="24"/>
              </w:rPr>
              <w:t>Reporting ability to pay clean up costs in case of a spill</w:t>
            </w:r>
          </w:p>
          <w:p w14:paraId="4E654D08" w14:textId="77777777" w:rsidR="0004124F" w:rsidRPr="00AB16AE" w:rsidRDefault="0004124F" w:rsidP="00714565">
            <w:pPr>
              <w:spacing w:line="240" w:lineRule="auto"/>
              <w:rPr>
                <w:rFonts w:ascii="Times New Roman" w:hAnsi="Times New Roman"/>
                <w:sz w:val="24"/>
                <w:szCs w:val="24"/>
              </w:rPr>
            </w:pPr>
          </w:p>
        </w:tc>
        <w:tc>
          <w:tcPr>
            <w:tcW w:w="643" w:type="pct"/>
            <w:tcBorders>
              <w:top w:val="single" w:sz="4" w:space="0" w:color="000000"/>
              <w:left w:val="single" w:sz="4" w:space="0" w:color="000000"/>
              <w:bottom w:val="single" w:sz="4" w:space="0" w:color="000000"/>
              <w:right w:val="single" w:sz="4" w:space="0" w:color="000000"/>
            </w:tcBorders>
          </w:tcPr>
          <w:p w14:paraId="1F48FABC" w14:textId="77777777" w:rsidR="0004124F" w:rsidRPr="00AB16AE" w:rsidRDefault="0004124F" w:rsidP="00714565">
            <w:pPr>
              <w:spacing w:line="240" w:lineRule="auto"/>
              <w:rPr>
                <w:rFonts w:ascii="Times New Roman" w:hAnsi="Times New Roman"/>
                <w:sz w:val="24"/>
                <w:szCs w:val="24"/>
              </w:rPr>
            </w:pPr>
            <w:r w:rsidRPr="00AB16AE">
              <w:rPr>
                <w:rFonts w:ascii="Times New Roman" w:hAnsi="Times New Roman"/>
                <w:sz w:val="24"/>
                <w:szCs w:val="24"/>
              </w:rPr>
              <w:t>Dale W. King,</w:t>
            </w:r>
          </w:p>
          <w:p w14:paraId="4DC7B512" w14:textId="77777777" w:rsidR="0004124F" w:rsidRPr="00AB16AE" w:rsidRDefault="0004124F" w:rsidP="00714565">
            <w:pPr>
              <w:spacing w:line="240" w:lineRule="auto"/>
              <w:rPr>
                <w:rFonts w:ascii="Times New Roman" w:hAnsi="Times New Roman"/>
                <w:sz w:val="24"/>
                <w:szCs w:val="24"/>
              </w:rPr>
            </w:pPr>
            <w:r w:rsidRPr="00AB16AE">
              <w:rPr>
                <w:rFonts w:ascii="Times New Roman" w:hAnsi="Times New Roman"/>
                <w:sz w:val="24"/>
                <w:szCs w:val="24"/>
              </w:rPr>
              <w:t>Tacoma Rail</w:t>
            </w:r>
          </w:p>
        </w:tc>
        <w:tc>
          <w:tcPr>
            <w:tcW w:w="2048" w:type="pct"/>
            <w:tcBorders>
              <w:top w:val="single" w:sz="4" w:space="0" w:color="000000"/>
              <w:left w:val="single" w:sz="4" w:space="0" w:color="000000"/>
              <w:bottom w:val="single" w:sz="4" w:space="0" w:color="000000"/>
              <w:right w:val="single" w:sz="4" w:space="0" w:color="000000"/>
            </w:tcBorders>
          </w:tcPr>
          <w:p w14:paraId="017A44EA" w14:textId="77777777" w:rsidR="005413E7" w:rsidRPr="00AB16AE" w:rsidRDefault="005413E7" w:rsidP="005413E7">
            <w:pPr>
              <w:spacing w:line="240" w:lineRule="auto"/>
              <w:rPr>
                <w:rFonts w:ascii="Times New Roman" w:hAnsi="Times New Roman"/>
                <w:sz w:val="24"/>
                <w:szCs w:val="24"/>
              </w:rPr>
            </w:pPr>
            <w:r w:rsidRPr="00AB16AE">
              <w:rPr>
                <w:rFonts w:ascii="Times New Roman" w:hAnsi="Times New Roman"/>
                <w:sz w:val="24"/>
                <w:szCs w:val="24"/>
              </w:rPr>
              <w:t>Regarding the financial responsibility required in case of a spill, the commenter states that:</w:t>
            </w:r>
          </w:p>
          <w:p w14:paraId="4AB28286" w14:textId="77777777" w:rsidR="0004124F" w:rsidRPr="00AB16AE" w:rsidRDefault="005413E7" w:rsidP="005413E7">
            <w:pPr>
              <w:pStyle w:val="ListParagraph"/>
              <w:numPr>
                <w:ilvl w:val="0"/>
                <w:numId w:val="13"/>
              </w:numPr>
              <w:spacing w:line="240" w:lineRule="auto"/>
              <w:rPr>
                <w:rFonts w:ascii="Times New Roman" w:hAnsi="Times New Roman" w:cs="Times New Roman"/>
                <w:sz w:val="24"/>
                <w:szCs w:val="24"/>
              </w:rPr>
            </w:pPr>
            <w:r w:rsidRPr="00AB16AE">
              <w:rPr>
                <w:rFonts w:ascii="Times New Roman" w:hAnsi="Times New Roman" w:cs="Times New Roman"/>
                <w:sz w:val="24"/>
                <w:szCs w:val="24"/>
              </w:rPr>
              <w:t>The kinetic energy equation used is flawed, in that, “… by subtracting the speed ratio squared from the number one, a result is reached which differs from the presumed intent. As an example to demonstrate this, by changing the train speed from 45 mph to 10 mph the equation yields the result of 98% rather than the more representative result of 2%. The correct formula should simply use the speed ratio squared without subtracting that ratio from one.”</w:t>
            </w:r>
            <w:r w:rsidR="00EF1150" w:rsidRPr="00AB16AE">
              <w:rPr>
                <w:rFonts w:ascii="Times New Roman" w:hAnsi="Times New Roman" w:cs="Times New Roman"/>
                <w:sz w:val="24"/>
                <w:szCs w:val="24"/>
              </w:rPr>
              <w:t xml:space="preserve"> See graphic representation in comments.</w:t>
            </w:r>
          </w:p>
          <w:p w14:paraId="3D462D64" w14:textId="77777777" w:rsidR="005413E7" w:rsidRPr="00AB16AE" w:rsidRDefault="005413E7" w:rsidP="005413E7">
            <w:pPr>
              <w:pStyle w:val="ListParagraph"/>
              <w:numPr>
                <w:ilvl w:val="0"/>
                <w:numId w:val="13"/>
              </w:numPr>
              <w:spacing w:line="240" w:lineRule="auto"/>
              <w:rPr>
                <w:rFonts w:ascii="Times New Roman" w:hAnsi="Times New Roman" w:cs="Times New Roman"/>
                <w:sz w:val="24"/>
                <w:szCs w:val="24"/>
              </w:rPr>
            </w:pPr>
            <w:r w:rsidRPr="00AB16AE">
              <w:rPr>
                <w:rFonts w:ascii="Times New Roman" w:hAnsi="Times New Roman" w:cs="Times New Roman"/>
                <w:sz w:val="24"/>
                <w:szCs w:val="24"/>
              </w:rPr>
              <w:t>The proposed financial requirement is imbalanced in that it gives no consideration for railroads that operate at speeds of less than 45 mph. Tacoma Rail operates at maximum speeds of 10 mph and the corresponding kinetic energy encountered during a potential derailment would likely result in a significantly more modest work case.</w:t>
            </w:r>
            <w:r w:rsidR="00EF1150" w:rsidRPr="00AB16AE">
              <w:rPr>
                <w:rFonts w:ascii="Times New Roman" w:hAnsi="Times New Roman" w:cs="Times New Roman"/>
                <w:sz w:val="24"/>
                <w:szCs w:val="24"/>
              </w:rPr>
              <w:t xml:space="preserve"> </w:t>
            </w:r>
          </w:p>
          <w:p w14:paraId="48482B0C" w14:textId="77777777" w:rsidR="005413E7" w:rsidRPr="00AB16AE" w:rsidRDefault="005413E7" w:rsidP="005413E7">
            <w:pPr>
              <w:pStyle w:val="ListParagraph"/>
              <w:numPr>
                <w:ilvl w:val="0"/>
                <w:numId w:val="13"/>
              </w:numPr>
              <w:spacing w:line="240" w:lineRule="auto"/>
              <w:rPr>
                <w:rFonts w:ascii="Times New Roman" w:hAnsi="Times New Roman" w:cs="Times New Roman"/>
                <w:sz w:val="24"/>
                <w:szCs w:val="24"/>
              </w:rPr>
            </w:pPr>
            <w:r w:rsidRPr="00AB16AE">
              <w:rPr>
                <w:rFonts w:ascii="Times New Roman" w:hAnsi="Times New Roman" w:cs="Times New Roman"/>
                <w:sz w:val="24"/>
                <w:szCs w:val="24"/>
              </w:rPr>
              <w:t>Tacoma Rail current carrier insurance of $50/$100 million per occurrence. Proposed language would increase this to a required $570 million, which would be unnecessary.</w:t>
            </w:r>
          </w:p>
        </w:tc>
        <w:tc>
          <w:tcPr>
            <w:tcW w:w="1619" w:type="pct"/>
            <w:tcBorders>
              <w:top w:val="single" w:sz="4" w:space="0" w:color="000000"/>
              <w:left w:val="single" w:sz="4" w:space="0" w:color="000000"/>
              <w:bottom w:val="single" w:sz="4" w:space="0" w:color="000000"/>
              <w:right w:val="single" w:sz="4" w:space="0" w:color="000000"/>
            </w:tcBorders>
          </w:tcPr>
          <w:p w14:paraId="13A83D69" w14:textId="77777777" w:rsidR="0004124F" w:rsidRPr="00AB16AE" w:rsidRDefault="00F51299" w:rsidP="008E375E">
            <w:pPr>
              <w:pStyle w:val="ListParagraph"/>
              <w:numPr>
                <w:ilvl w:val="0"/>
                <w:numId w:val="21"/>
              </w:numPr>
              <w:autoSpaceDE w:val="0"/>
              <w:autoSpaceDN w:val="0"/>
              <w:spacing w:line="240" w:lineRule="atLeast"/>
              <w:ind w:left="359"/>
              <w:rPr>
                <w:rFonts w:ascii="Times New Roman" w:hAnsi="Times New Roman" w:cs="Times New Roman"/>
                <w:sz w:val="24"/>
                <w:szCs w:val="24"/>
              </w:rPr>
            </w:pPr>
            <w:r w:rsidRPr="00AB16AE">
              <w:rPr>
                <w:rFonts w:ascii="Times New Roman" w:hAnsi="Times New Roman" w:cs="Times New Roman"/>
                <w:sz w:val="24"/>
                <w:szCs w:val="24"/>
              </w:rPr>
              <w:t>The note section of draft language contained both the percentage of train used to calculate reasonable worst case and the scaled down amount from the Lac-Megantic tragedy.</w:t>
            </w:r>
          </w:p>
          <w:p w14:paraId="384894A6" w14:textId="77777777" w:rsidR="00004D72" w:rsidRPr="00AB16AE" w:rsidRDefault="00004D72" w:rsidP="00AB16AE">
            <w:pPr>
              <w:pStyle w:val="ListParagraph"/>
              <w:autoSpaceDE w:val="0"/>
              <w:autoSpaceDN w:val="0"/>
              <w:spacing w:line="240" w:lineRule="atLeast"/>
              <w:ind w:left="359"/>
              <w:rPr>
                <w:rFonts w:ascii="Times New Roman" w:hAnsi="Times New Roman" w:cs="Times New Roman"/>
                <w:sz w:val="24"/>
                <w:szCs w:val="24"/>
              </w:rPr>
            </w:pPr>
          </w:p>
          <w:p w14:paraId="537B8449" w14:textId="77777777" w:rsidR="00004D72" w:rsidRPr="00AB16AE" w:rsidRDefault="00004D72" w:rsidP="00AB16AE">
            <w:pPr>
              <w:pStyle w:val="ListParagraph"/>
              <w:autoSpaceDE w:val="0"/>
              <w:autoSpaceDN w:val="0"/>
              <w:spacing w:line="240" w:lineRule="atLeast"/>
              <w:ind w:left="359"/>
              <w:rPr>
                <w:rFonts w:ascii="Times New Roman" w:hAnsi="Times New Roman" w:cs="Times New Roman"/>
                <w:sz w:val="24"/>
                <w:szCs w:val="24"/>
              </w:rPr>
            </w:pPr>
          </w:p>
          <w:p w14:paraId="448ED882" w14:textId="77777777" w:rsidR="00004D72" w:rsidRPr="00AB16AE" w:rsidRDefault="00004D72" w:rsidP="00AB16AE">
            <w:pPr>
              <w:pStyle w:val="ListParagraph"/>
              <w:autoSpaceDE w:val="0"/>
              <w:autoSpaceDN w:val="0"/>
              <w:spacing w:line="240" w:lineRule="atLeast"/>
              <w:ind w:left="359"/>
              <w:rPr>
                <w:rFonts w:ascii="Times New Roman" w:hAnsi="Times New Roman" w:cs="Times New Roman"/>
                <w:sz w:val="24"/>
                <w:szCs w:val="24"/>
              </w:rPr>
            </w:pPr>
          </w:p>
          <w:p w14:paraId="3714D3F6" w14:textId="77777777" w:rsidR="00004D72" w:rsidRPr="00AB16AE" w:rsidRDefault="00004D72" w:rsidP="00AB16AE">
            <w:pPr>
              <w:pStyle w:val="ListParagraph"/>
              <w:autoSpaceDE w:val="0"/>
              <w:autoSpaceDN w:val="0"/>
              <w:spacing w:line="240" w:lineRule="atLeast"/>
              <w:ind w:left="359"/>
              <w:rPr>
                <w:rFonts w:ascii="Times New Roman" w:hAnsi="Times New Roman" w:cs="Times New Roman"/>
                <w:sz w:val="24"/>
                <w:szCs w:val="24"/>
              </w:rPr>
            </w:pPr>
          </w:p>
          <w:p w14:paraId="35144AF3" w14:textId="77777777" w:rsidR="00004D72" w:rsidRPr="00AB16AE" w:rsidRDefault="00004D72" w:rsidP="00AB16AE">
            <w:pPr>
              <w:pStyle w:val="ListParagraph"/>
              <w:autoSpaceDE w:val="0"/>
              <w:autoSpaceDN w:val="0"/>
              <w:spacing w:line="240" w:lineRule="atLeast"/>
              <w:ind w:left="359"/>
              <w:rPr>
                <w:rFonts w:ascii="Times New Roman" w:hAnsi="Times New Roman" w:cs="Times New Roman"/>
                <w:sz w:val="24"/>
                <w:szCs w:val="24"/>
              </w:rPr>
            </w:pPr>
          </w:p>
          <w:p w14:paraId="668C2A29" w14:textId="77777777" w:rsidR="00004D72" w:rsidRPr="00AB16AE" w:rsidRDefault="00004D72" w:rsidP="00AB16AE">
            <w:pPr>
              <w:pStyle w:val="ListParagraph"/>
              <w:autoSpaceDE w:val="0"/>
              <w:autoSpaceDN w:val="0"/>
              <w:spacing w:line="240" w:lineRule="atLeast"/>
              <w:ind w:left="359"/>
              <w:rPr>
                <w:rFonts w:ascii="Times New Roman" w:hAnsi="Times New Roman" w:cs="Times New Roman"/>
                <w:sz w:val="24"/>
                <w:szCs w:val="24"/>
              </w:rPr>
            </w:pPr>
          </w:p>
          <w:p w14:paraId="2A3A5797" w14:textId="77777777" w:rsidR="00F51299" w:rsidRPr="00AB16AE" w:rsidRDefault="00F51299" w:rsidP="008E375E">
            <w:pPr>
              <w:pStyle w:val="ListParagraph"/>
              <w:numPr>
                <w:ilvl w:val="0"/>
                <w:numId w:val="21"/>
              </w:numPr>
              <w:autoSpaceDE w:val="0"/>
              <w:autoSpaceDN w:val="0"/>
              <w:spacing w:line="240" w:lineRule="atLeast"/>
              <w:ind w:left="359"/>
              <w:rPr>
                <w:rFonts w:ascii="Times New Roman" w:hAnsi="Times New Roman" w:cs="Times New Roman"/>
                <w:sz w:val="24"/>
                <w:szCs w:val="24"/>
              </w:rPr>
            </w:pPr>
            <w:r w:rsidRPr="00AB16AE">
              <w:rPr>
                <w:rFonts w:ascii="Times New Roman" w:hAnsi="Times New Roman" w:cs="Times New Roman"/>
                <w:sz w:val="24"/>
                <w:szCs w:val="24"/>
              </w:rPr>
              <w:t>The latest draft language allows for a sliding scale based on train speed.</w:t>
            </w:r>
          </w:p>
          <w:p w14:paraId="1B3EF687" w14:textId="77777777" w:rsidR="00004D72" w:rsidRPr="00AB16AE" w:rsidRDefault="00004D72" w:rsidP="00AB16AE">
            <w:pPr>
              <w:pStyle w:val="ListParagraph"/>
              <w:autoSpaceDE w:val="0"/>
              <w:autoSpaceDN w:val="0"/>
              <w:spacing w:line="240" w:lineRule="atLeast"/>
              <w:ind w:left="359"/>
              <w:rPr>
                <w:rFonts w:ascii="Times New Roman" w:hAnsi="Times New Roman" w:cs="Times New Roman"/>
                <w:sz w:val="24"/>
                <w:szCs w:val="24"/>
              </w:rPr>
            </w:pPr>
          </w:p>
          <w:p w14:paraId="59845522" w14:textId="77777777" w:rsidR="00004D72" w:rsidRPr="00AB16AE" w:rsidRDefault="00004D72" w:rsidP="00AB16AE">
            <w:pPr>
              <w:pStyle w:val="ListParagraph"/>
              <w:autoSpaceDE w:val="0"/>
              <w:autoSpaceDN w:val="0"/>
              <w:spacing w:line="240" w:lineRule="atLeast"/>
              <w:ind w:left="359"/>
              <w:rPr>
                <w:rFonts w:ascii="Times New Roman" w:hAnsi="Times New Roman" w:cs="Times New Roman"/>
                <w:sz w:val="24"/>
                <w:szCs w:val="24"/>
              </w:rPr>
            </w:pPr>
          </w:p>
          <w:p w14:paraId="44C2ED1E" w14:textId="77777777" w:rsidR="00004D72" w:rsidRPr="00AB16AE" w:rsidRDefault="00004D72" w:rsidP="00AB16AE">
            <w:pPr>
              <w:pStyle w:val="ListParagraph"/>
              <w:autoSpaceDE w:val="0"/>
              <w:autoSpaceDN w:val="0"/>
              <w:spacing w:line="240" w:lineRule="atLeast"/>
              <w:ind w:left="359"/>
              <w:rPr>
                <w:rFonts w:ascii="Times New Roman" w:hAnsi="Times New Roman" w:cs="Times New Roman"/>
                <w:sz w:val="24"/>
                <w:szCs w:val="24"/>
              </w:rPr>
            </w:pPr>
          </w:p>
          <w:p w14:paraId="050F63BB" w14:textId="77777777" w:rsidR="00004D72" w:rsidRPr="00AB16AE" w:rsidRDefault="00004D72" w:rsidP="00AB16AE">
            <w:pPr>
              <w:pStyle w:val="ListParagraph"/>
              <w:autoSpaceDE w:val="0"/>
              <w:autoSpaceDN w:val="0"/>
              <w:spacing w:line="240" w:lineRule="atLeast"/>
              <w:ind w:left="359"/>
              <w:rPr>
                <w:rFonts w:ascii="Times New Roman" w:hAnsi="Times New Roman" w:cs="Times New Roman"/>
                <w:sz w:val="24"/>
                <w:szCs w:val="24"/>
              </w:rPr>
            </w:pPr>
          </w:p>
          <w:p w14:paraId="3A71A984" w14:textId="77777777" w:rsidR="00F51299" w:rsidRPr="00AB16AE" w:rsidRDefault="00F51299" w:rsidP="008E375E">
            <w:pPr>
              <w:pStyle w:val="ListParagraph"/>
              <w:numPr>
                <w:ilvl w:val="0"/>
                <w:numId w:val="21"/>
              </w:numPr>
              <w:autoSpaceDE w:val="0"/>
              <w:autoSpaceDN w:val="0"/>
              <w:spacing w:line="240" w:lineRule="atLeast"/>
              <w:ind w:left="359"/>
              <w:rPr>
                <w:rFonts w:ascii="Times New Roman" w:hAnsi="Times New Roman" w:cs="Times New Roman"/>
                <w:sz w:val="24"/>
                <w:szCs w:val="24"/>
              </w:rPr>
            </w:pPr>
            <w:r w:rsidRPr="00AB16AE">
              <w:rPr>
                <w:rFonts w:ascii="Times New Roman" w:hAnsi="Times New Roman" w:cs="Times New Roman"/>
                <w:sz w:val="24"/>
                <w:szCs w:val="24"/>
              </w:rPr>
              <w:t>The latest draft language allows for a sliding scale based on train speed.</w:t>
            </w:r>
          </w:p>
        </w:tc>
      </w:tr>
      <w:tr w:rsidR="00B96A55" w:rsidRPr="00AB16AE" w14:paraId="69CE2043" w14:textId="77777777" w:rsidTr="0090335E">
        <w:trPr>
          <w:trHeight w:val="368"/>
        </w:trPr>
        <w:tc>
          <w:tcPr>
            <w:tcW w:w="689" w:type="pct"/>
            <w:tcBorders>
              <w:top w:val="single" w:sz="4" w:space="0" w:color="000000"/>
              <w:left w:val="single" w:sz="4" w:space="0" w:color="000000"/>
              <w:bottom w:val="single" w:sz="4" w:space="0" w:color="000000"/>
              <w:right w:val="single" w:sz="4" w:space="0" w:color="000000"/>
            </w:tcBorders>
          </w:tcPr>
          <w:p w14:paraId="325E8660" w14:textId="77777777" w:rsidR="00B96A55" w:rsidRPr="00AB16AE" w:rsidRDefault="00B96A55" w:rsidP="00B96A55">
            <w:pPr>
              <w:spacing w:line="240" w:lineRule="auto"/>
              <w:rPr>
                <w:rFonts w:ascii="Times New Roman" w:hAnsi="Times New Roman"/>
                <w:sz w:val="24"/>
                <w:szCs w:val="24"/>
              </w:rPr>
            </w:pPr>
            <w:r w:rsidRPr="00AB16AE">
              <w:rPr>
                <w:rFonts w:ascii="Times New Roman" w:hAnsi="Times New Roman"/>
                <w:sz w:val="24"/>
                <w:szCs w:val="24"/>
              </w:rPr>
              <w:t>WAC 480-62-300(2)(d)</w:t>
            </w:r>
          </w:p>
          <w:p w14:paraId="6F55E2FE" w14:textId="77777777" w:rsidR="00B96A55" w:rsidRPr="00AB16AE" w:rsidRDefault="00B96A55">
            <w:pPr>
              <w:spacing w:line="240" w:lineRule="auto"/>
              <w:rPr>
                <w:rFonts w:ascii="Times New Roman" w:hAnsi="Times New Roman"/>
                <w:sz w:val="24"/>
                <w:szCs w:val="24"/>
              </w:rPr>
            </w:pPr>
            <w:r w:rsidRPr="00AB16AE">
              <w:rPr>
                <w:rFonts w:ascii="Times New Roman" w:hAnsi="Times New Roman"/>
                <w:sz w:val="24"/>
                <w:szCs w:val="24"/>
              </w:rPr>
              <w:t>Reporting ability to pay clean up costs in case of a spill</w:t>
            </w:r>
          </w:p>
        </w:tc>
        <w:tc>
          <w:tcPr>
            <w:tcW w:w="643" w:type="pct"/>
            <w:tcBorders>
              <w:top w:val="single" w:sz="4" w:space="0" w:color="000000"/>
              <w:left w:val="single" w:sz="4" w:space="0" w:color="000000"/>
              <w:bottom w:val="single" w:sz="4" w:space="0" w:color="000000"/>
              <w:right w:val="single" w:sz="4" w:space="0" w:color="000000"/>
            </w:tcBorders>
          </w:tcPr>
          <w:p w14:paraId="4CF22D79" w14:textId="77777777" w:rsidR="00B96A55" w:rsidRPr="00AB16AE" w:rsidRDefault="00B96A55">
            <w:pPr>
              <w:spacing w:line="240" w:lineRule="auto"/>
              <w:rPr>
                <w:rFonts w:ascii="Times New Roman" w:hAnsi="Times New Roman"/>
                <w:sz w:val="24"/>
                <w:szCs w:val="24"/>
              </w:rPr>
            </w:pPr>
            <w:r w:rsidRPr="00AB16AE">
              <w:rPr>
                <w:rFonts w:ascii="Times New Roman" w:hAnsi="Times New Roman"/>
                <w:sz w:val="24"/>
                <w:szCs w:val="24"/>
              </w:rPr>
              <w:t>Johan Hellman,</w:t>
            </w:r>
          </w:p>
          <w:p w14:paraId="01C756E6" w14:textId="77777777" w:rsidR="00B96A55" w:rsidRPr="00AB16AE" w:rsidRDefault="00B96A55">
            <w:pPr>
              <w:spacing w:line="240" w:lineRule="auto"/>
              <w:rPr>
                <w:rFonts w:ascii="Times New Roman" w:hAnsi="Times New Roman"/>
                <w:sz w:val="24"/>
                <w:szCs w:val="24"/>
              </w:rPr>
            </w:pPr>
            <w:r w:rsidRPr="00AB16AE">
              <w:rPr>
                <w:rFonts w:ascii="Times New Roman" w:hAnsi="Times New Roman"/>
                <w:sz w:val="24"/>
                <w:szCs w:val="24"/>
              </w:rPr>
              <w:t>BNSF Railway</w:t>
            </w:r>
          </w:p>
        </w:tc>
        <w:tc>
          <w:tcPr>
            <w:tcW w:w="2048" w:type="pct"/>
            <w:tcBorders>
              <w:top w:val="single" w:sz="4" w:space="0" w:color="000000"/>
              <w:left w:val="single" w:sz="4" w:space="0" w:color="000000"/>
              <w:bottom w:val="single" w:sz="4" w:space="0" w:color="000000"/>
              <w:right w:val="single" w:sz="4" w:space="0" w:color="000000"/>
            </w:tcBorders>
          </w:tcPr>
          <w:p w14:paraId="575D6429" w14:textId="77777777" w:rsidR="00B96A55" w:rsidRPr="00AB16AE" w:rsidRDefault="00B96A55" w:rsidP="00D72849">
            <w:pPr>
              <w:spacing w:line="240" w:lineRule="auto"/>
              <w:rPr>
                <w:rFonts w:ascii="Times New Roman" w:hAnsi="Times New Roman"/>
                <w:sz w:val="24"/>
                <w:szCs w:val="24"/>
              </w:rPr>
            </w:pPr>
            <w:r w:rsidRPr="00AB16AE">
              <w:rPr>
                <w:rFonts w:ascii="Times New Roman" w:hAnsi="Times New Roman"/>
                <w:sz w:val="24"/>
                <w:szCs w:val="24"/>
              </w:rPr>
              <w:t xml:space="preserve">BNSF’s comments are focused on the definition of a spill and why the formula UTC used is </w:t>
            </w:r>
            <w:r w:rsidR="005F1C26" w:rsidRPr="00AB16AE">
              <w:rPr>
                <w:rFonts w:ascii="Times New Roman" w:hAnsi="Times New Roman"/>
                <w:sz w:val="24"/>
                <w:szCs w:val="24"/>
              </w:rPr>
              <w:t>unreasonable</w:t>
            </w:r>
            <w:r w:rsidRPr="00AB16AE">
              <w:rPr>
                <w:rFonts w:ascii="Times New Roman" w:hAnsi="Times New Roman"/>
                <w:sz w:val="24"/>
                <w:szCs w:val="24"/>
              </w:rPr>
              <w:t xml:space="preserve">. </w:t>
            </w:r>
            <w:r w:rsidR="00D72849" w:rsidRPr="00AB16AE">
              <w:rPr>
                <w:rFonts w:ascii="Times New Roman" w:hAnsi="Times New Roman"/>
                <w:sz w:val="24"/>
                <w:szCs w:val="24"/>
              </w:rPr>
              <w:t xml:space="preserve">BNSF directed the UTC to use the PHMSA </w:t>
            </w:r>
            <w:r w:rsidR="008E375E" w:rsidRPr="00AB16AE">
              <w:rPr>
                <w:rFonts w:ascii="Times New Roman" w:hAnsi="Times New Roman"/>
                <w:sz w:val="24"/>
                <w:szCs w:val="24"/>
              </w:rPr>
              <w:t>federal enhanced tank car rule final regulatory impact analysis methodology on most probable number of cars punctured</w:t>
            </w:r>
            <w:r w:rsidR="00DD7F11" w:rsidRPr="00AB16AE">
              <w:rPr>
                <w:rFonts w:ascii="Times New Roman" w:hAnsi="Times New Roman"/>
                <w:sz w:val="24"/>
                <w:szCs w:val="24"/>
              </w:rPr>
              <w:t>.</w:t>
            </w:r>
          </w:p>
        </w:tc>
        <w:tc>
          <w:tcPr>
            <w:tcW w:w="1619" w:type="pct"/>
            <w:tcBorders>
              <w:top w:val="single" w:sz="4" w:space="0" w:color="000000"/>
              <w:left w:val="single" w:sz="4" w:space="0" w:color="000000"/>
              <w:bottom w:val="single" w:sz="4" w:space="0" w:color="000000"/>
              <w:right w:val="single" w:sz="4" w:space="0" w:color="000000"/>
            </w:tcBorders>
          </w:tcPr>
          <w:p w14:paraId="34D851FD" w14:textId="77777777" w:rsidR="00B96A55" w:rsidRPr="00AB16AE" w:rsidRDefault="008E375E" w:rsidP="00062BB5">
            <w:pPr>
              <w:autoSpaceDE w:val="0"/>
              <w:autoSpaceDN w:val="0"/>
              <w:spacing w:line="240" w:lineRule="atLeast"/>
              <w:rPr>
                <w:rFonts w:ascii="Times New Roman" w:hAnsi="Times New Roman"/>
                <w:sz w:val="24"/>
                <w:szCs w:val="24"/>
              </w:rPr>
            </w:pPr>
            <w:r w:rsidRPr="00AB16AE">
              <w:rPr>
                <w:rFonts w:ascii="Times New Roman" w:hAnsi="Times New Roman"/>
                <w:sz w:val="24"/>
                <w:szCs w:val="24"/>
              </w:rPr>
              <w:t>HB 1449 requires the UTC to collect information on “reasonable worst case spill.”  The PHMSA enhanced tank car rule regulatory impact analysis that BNSF directed the UTC to use is for “most probable” number of cars punctured</w:t>
            </w:r>
            <w:r w:rsidR="00004D72" w:rsidRPr="00AB16AE">
              <w:rPr>
                <w:rFonts w:ascii="Times New Roman" w:hAnsi="Times New Roman"/>
                <w:sz w:val="24"/>
                <w:szCs w:val="24"/>
              </w:rPr>
              <w:t xml:space="preserve">, </w:t>
            </w:r>
            <w:r w:rsidR="00571321" w:rsidRPr="00AB16AE">
              <w:rPr>
                <w:rFonts w:ascii="Times New Roman" w:hAnsi="Times New Roman"/>
                <w:sz w:val="24"/>
                <w:szCs w:val="24"/>
              </w:rPr>
              <w:t>A</w:t>
            </w:r>
            <w:r w:rsidR="00004D72" w:rsidRPr="00AB16AE">
              <w:rPr>
                <w:rFonts w:ascii="Times New Roman" w:hAnsi="Times New Roman"/>
                <w:sz w:val="24"/>
                <w:szCs w:val="24"/>
              </w:rPr>
              <w:t>ppendix E: Cost Effectiveness Calculations and Methodologies</w:t>
            </w:r>
            <w:r w:rsidRPr="00AB16AE">
              <w:rPr>
                <w:rFonts w:ascii="Times New Roman" w:hAnsi="Times New Roman"/>
                <w:sz w:val="24"/>
                <w:szCs w:val="24"/>
              </w:rPr>
              <w:t xml:space="preserve">.  </w:t>
            </w:r>
            <w:r w:rsidR="00004D72" w:rsidRPr="00AB16AE">
              <w:rPr>
                <w:rFonts w:ascii="Times New Roman" w:hAnsi="Times New Roman"/>
                <w:sz w:val="24"/>
                <w:szCs w:val="24"/>
              </w:rPr>
              <w:t xml:space="preserve">Appendix E is the calculation that PHMSA used to calculate savings </w:t>
            </w:r>
            <w:r w:rsidR="00C051B2" w:rsidRPr="00AB16AE">
              <w:rPr>
                <w:rFonts w:ascii="Times New Roman" w:hAnsi="Times New Roman"/>
                <w:sz w:val="24"/>
                <w:szCs w:val="24"/>
              </w:rPr>
              <w:t xml:space="preserve">from the increased safety standards adopted in the Federal Enhanced Tank Car Rule (Docket No. PHMSA-2012-0082).  The safety enhancements contained with the final Enhanced Tank Car Rule will be implemented over the next ten years (January 2018 – May, 2025).  PHMSA calculated the most probable number of cars derailed, based on all safety measures contained in the </w:t>
            </w:r>
            <w:r w:rsidR="00C051B2" w:rsidRPr="00AB16AE">
              <w:rPr>
                <w:rFonts w:ascii="Times New Roman" w:hAnsi="Times New Roman"/>
                <w:sz w:val="24"/>
                <w:szCs w:val="24"/>
              </w:rPr>
              <w:lastRenderedPageBreak/>
              <w:t>rule being in place.  There is currently litigation against the federal enhanced tank car rule challenging, among other things, the enhanced braking system that was adopted.  Given that the enhanced braking system is a significant variable in calculating the most probable number of cars derailed, the litigation could have a dramatic impact on the derailment and puncture numbers.  Additionally, s</w:t>
            </w:r>
            <w:r w:rsidRPr="00AB16AE">
              <w:rPr>
                <w:rFonts w:ascii="Times New Roman" w:hAnsi="Times New Roman"/>
                <w:sz w:val="24"/>
                <w:szCs w:val="24"/>
              </w:rPr>
              <w:t>taff believes that reasonable worst case is a greater threshold than most probable number of cars punctured</w:t>
            </w:r>
            <w:r w:rsidR="00C051B2" w:rsidRPr="00AB16AE">
              <w:rPr>
                <w:rFonts w:ascii="Times New Roman" w:hAnsi="Times New Roman"/>
                <w:sz w:val="24"/>
                <w:szCs w:val="24"/>
              </w:rPr>
              <w:t xml:space="preserve"> and believe the intent of the </w:t>
            </w:r>
            <w:r w:rsidR="00881507" w:rsidRPr="00AB16AE">
              <w:rPr>
                <w:rFonts w:ascii="Times New Roman" w:hAnsi="Times New Roman"/>
                <w:sz w:val="24"/>
                <w:szCs w:val="24"/>
              </w:rPr>
              <w:t>L</w:t>
            </w:r>
            <w:r w:rsidR="00C051B2" w:rsidRPr="00AB16AE">
              <w:rPr>
                <w:rFonts w:ascii="Times New Roman" w:hAnsi="Times New Roman"/>
                <w:sz w:val="24"/>
                <w:szCs w:val="24"/>
              </w:rPr>
              <w:t>egislature is to include a calculation that would represent something more than a “likely” number of cars being derailed.</w:t>
            </w:r>
          </w:p>
        </w:tc>
      </w:tr>
      <w:tr w:rsidR="00BD4B3E" w:rsidRPr="00AB16AE" w14:paraId="67AA9756" w14:textId="77777777" w:rsidTr="0090335E">
        <w:trPr>
          <w:trHeight w:val="368"/>
        </w:trPr>
        <w:tc>
          <w:tcPr>
            <w:tcW w:w="689" w:type="pct"/>
            <w:tcBorders>
              <w:top w:val="single" w:sz="4" w:space="0" w:color="000000"/>
              <w:left w:val="single" w:sz="4" w:space="0" w:color="000000"/>
              <w:bottom w:val="single" w:sz="4" w:space="0" w:color="000000"/>
              <w:right w:val="single" w:sz="4" w:space="0" w:color="000000"/>
            </w:tcBorders>
          </w:tcPr>
          <w:p w14:paraId="23B8A3E0" w14:textId="77777777" w:rsidR="00625B64" w:rsidRPr="00AB16AE" w:rsidRDefault="00CE2BCD">
            <w:pPr>
              <w:spacing w:line="240" w:lineRule="auto"/>
              <w:rPr>
                <w:rFonts w:ascii="Times New Roman" w:hAnsi="Times New Roman"/>
                <w:sz w:val="24"/>
                <w:szCs w:val="24"/>
              </w:rPr>
            </w:pPr>
            <w:r w:rsidRPr="00AB16AE">
              <w:rPr>
                <w:rFonts w:ascii="Times New Roman" w:hAnsi="Times New Roman"/>
                <w:sz w:val="24"/>
                <w:szCs w:val="24"/>
              </w:rPr>
              <w:lastRenderedPageBreak/>
              <w:t>General comments</w:t>
            </w:r>
          </w:p>
        </w:tc>
        <w:tc>
          <w:tcPr>
            <w:tcW w:w="643" w:type="pct"/>
            <w:tcBorders>
              <w:top w:val="single" w:sz="4" w:space="0" w:color="000000"/>
              <w:left w:val="single" w:sz="4" w:space="0" w:color="000000"/>
              <w:bottom w:val="single" w:sz="4" w:space="0" w:color="000000"/>
              <w:right w:val="single" w:sz="4" w:space="0" w:color="000000"/>
            </w:tcBorders>
          </w:tcPr>
          <w:p w14:paraId="7D7393AD" w14:textId="77777777" w:rsidR="00625B64" w:rsidRPr="00AB16AE" w:rsidRDefault="00CE2BCD">
            <w:pPr>
              <w:spacing w:line="240" w:lineRule="auto"/>
              <w:rPr>
                <w:rFonts w:ascii="Times New Roman" w:hAnsi="Times New Roman"/>
                <w:sz w:val="24"/>
                <w:szCs w:val="24"/>
              </w:rPr>
            </w:pPr>
            <w:r w:rsidRPr="00AB16AE">
              <w:rPr>
                <w:rFonts w:ascii="Times New Roman" w:hAnsi="Times New Roman"/>
                <w:sz w:val="24"/>
                <w:szCs w:val="24"/>
              </w:rPr>
              <w:t>Jeanne Poirier</w:t>
            </w:r>
          </w:p>
        </w:tc>
        <w:tc>
          <w:tcPr>
            <w:tcW w:w="2048" w:type="pct"/>
            <w:tcBorders>
              <w:top w:val="single" w:sz="4" w:space="0" w:color="000000"/>
              <w:left w:val="single" w:sz="4" w:space="0" w:color="000000"/>
              <w:bottom w:val="single" w:sz="4" w:space="0" w:color="000000"/>
              <w:right w:val="single" w:sz="4" w:space="0" w:color="000000"/>
            </w:tcBorders>
          </w:tcPr>
          <w:p w14:paraId="55F542BE" w14:textId="77777777" w:rsidR="00625B64" w:rsidRPr="00AB16AE" w:rsidRDefault="00CE2BCD" w:rsidP="00CE2BCD">
            <w:pPr>
              <w:spacing w:line="240" w:lineRule="auto"/>
              <w:rPr>
                <w:rFonts w:ascii="Times New Roman" w:hAnsi="Times New Roman"/>
                <w:sz w:val="24"/>
                <w:szCs w:val="24"/>
              </w:rPr>
            </w:pPr>
            <w:r w:rsidRPr="00AB16AE">
              <w:rPr>
                <w:rFonts w:ascii="Times New Roman" w:hAnsi="Times New Roman"/>
                <w:sz w:val="24"/>
                <w:szCs w:val="24"/>
              </w:rPr>
              <w:t>The commenter believes “TR-151079 does not go nearly far enough.”</w:t>
            </w:r>
          </w:p>
        </w:tc>
        <w:tc>
          <w:tcPr>
            <w:tcW w:w="1619" w:type="pct"/>
            <w:tcBorders>
              <w:top w:val="single" w:sz="4" w:space="0" w:color="000000"/>
              <w:left w:val="single" w:sz="4" w:space="0" w:color="000000"/>
              <w:bottom w:val="single" w:sz="4" w:space="0" w:color="000000"/>
              <w:right w:val="single" w:sz="4" w:space="0" w:color="000000"/>
            </w:tcBorders>
          </w:tcPr>
          <w:p w14:paraId="3D0E4645" w14:textId="77777777" w:rsidR="00625B64" w:rsidRPr="00AB16AE" w:rsidRDefault="00CE2BCD" w:rsidP="00CE2BCD">
            <w:pPr>
              <w:autoSpaceDE w:val="0"/>
              <w:autoSpaceDN w:val="0"/>
              <w:spacing w:line="240" w:lineRule="atLeast"/>
              <w:rPr>
                <w:rFonts w:ascii="Times New Roman" w:hAnsi="Times New Roman"/>
                <w:sz w:val="24"/>
                <w:szCs w:val="24"/>
              </w:rPr>
            </w:pPr>
            <w:r w:rsidRPr="00AB16AE">
              <w:rPr>
                <w:rFonts w:ascii="Times New Roman" w:hAnsi="Times New Roman"/>
                <w:sz w:val="24"/>
                <w:szCs w:val="24"/>
              </w:rPr>
              <w:t>Staff believes it has gone as far as allowed under the law.</w:t>
            </w:r>
          </w:p>
        </w:tc>
      </w:tr>
      <w:tr w:rsidR="009A6F40" w:rsidRPr="00AB16AE" w14:paraId="506DCAC0" w14:textId="77777777" w:rsidTr="0090335E">
        <w:trPr>
          <w:trHeight w:val="368"/>
        </w:trPr>
        <w:tc>
          <w:tcPr>
            <w:tcW w:w="689" w:type="pct"/>
            <w:tcBorders>
              <w:top w:val="single" w:sz="4" w:space="0" w:color="000000"/>
              <w:left w:val="single" w:sz="4" w:space="0" w:color="000000"/>
              <w:bottom w:val="single" w:sz="4" w:space="0" w:color="000000"/>
              <w:right w:val="single" w:sz="4" w:space="0" w:color="000000"/>
            </w:tcBorders>
          </w:tcPr>
          <w:p w14:paraId="167CA905" w14:textId="77777777" w:rsidR="009A6F40" w:rsidRPr="00AB16AE" w:rsidRDefault="009A6F40">
            <w:pPr>
              <w:spacing w:line="240" w:lineRule="auto"/>
              <w:rPr>
                <w:rFonts w:ascii="Times New Roman" w:hAnsi="Times New Roman"/>
                <w:sz w:val="24"/>
                <w:szCs w:val="24"/>
              </w:rPr>
            </w:pPr>
            <w:r w:rsidRPr="00AB16AE">
              <w:rPr>
                <w:rFonts w:ascii="Times New Roman" w:hAnsi="Times New Roman"/>
                <w:sz w:val="24"/>
                <w:szCs w:val="24"/>
              </w:rPr>
              <w:t>General comments</w:t>
            </w:r>
          </w:p>
        </w:tc>
        <w:tc>
          <w:tcPr>
            <w:tcW w:w="643" w:type="pct"/>
            <w:tcBorders>
              <w:top w:val="single" w:sz="4" w:space="0" w:color="000000"/>
              <w:left w:val="single" w:sz="4" w:space="0" w:color="000000"/>
              <w:bottom w:val="single" w:sz="4" w:space="0" w:color="000000"/>
              <w:right w:val="single" w:sz="4" w:space="0" w:color="000000"/>
            </w:tcBorders>
          </w:tcPr>
          <w:p w14:paraId="476CD213" w14:textId="77777777" w:rsidR="009A6F40" w:rsidRPr="00AB16AE" w:rsidRDefault="009A6F40">
            <w:pPr>
              <w:spacing w:line="240" w:lineRule="auto"/>
              <w:rPr>
                <w:rFonts w:ascii="Times New Roman" w:hAnsi="Times New Roman"/>
                <w:sz w:val="24"/>
                <w:szCs w:val="24"/>
              </w:rPr>
            </w:pPr>
            <w:r w:rsidRPr="00AB16AE">
              <w:rPr>
                <w:rFonts w:ascii="Times New Roman" w:hAnsi="Times New Roman"/>
                <w:sz w:val="24"/>
                <w:szCs w:val="24"/>
              </w:rPr>
              <w:t>Richard and Sharon Erspamer</w:t>
            </w:r>
          </w:p>
        </w:tc>
        <w:tc>
          <w:tcPr>
            <w:tcW w:w="2048" w:type="pct"/>
            <w:tcBorders>
              <w:top w:val="single" w:sz="4" w:space="0" w:color="000000"/>
              <w:left w:val="single" w:sz="4" w:space="0" w:color="000000"/>
              <w:bottom w:val="single" w:sz="4" w:space="0" w:color="000000"/>
              <w:right w:val="single" w:sz="4" w:space="0" w:color="000000"/>
            </w:tcBorders>
          </w:tcPr>
          <w:p w14:paraId="34C3F1A7" w14:textId="77777777" w:rsidR="009A6F40" w:rsidRPr="00AB16AE" w:rsidRDefault="009A6F40" w:rsidP="009A6F40">
            <w:pPr>
              <w:spacing w:line="240" w:lineRule="auto"/>
              <w:rPr>
                <w:rFonts w:ascii="Times New Roman" w:hAnsi="Times New Roman"/>
                <w:sz w:val="24"/>
                <w:szCs w:val="24"/>
              </w:rPr>
            </w:pPr>
            <w:r w:rsidRPr="00AB16AE">
              <w:rPr>
                <w:rFonts w:ascii="Times New Roman" w:hAnsi="Times New Roman"/>
                <w:sz w:val="24"/>
                <w:szCs w:val="24"/>
              </w:rPr>
              <w:t>The commenters oppose an oil transfer terminal sited in Vancouver because:</w:t>
            </w:r>
          </w:p>
          <w:p w14:paraId="5C1A69D6" w14:textId="77777777" w:rsidR="009A6F40" w:rsidRPr="00AB16AE" w:rsidRDefault="009A6F40" w:rsidP="009A6F40">
            <w:pPr>
              <w:pStyle w:val="ListParagraph"/>
              <w:numPr>
                <w:ilvl w:val="0"/>
                <w:numId w:val="9"/>
              </w:numPr>
              <w:spacing w:line="240" w:lineRule="auto"/>
              <w:rPr>
                <w:rFonts w:ascii="Times New Roman" w:hAnsi="Times New Roman" w:cs="Times New Roman"/>
                <w:sz w:val="24"/>
                <w:szCs w:val="24"/>
              </w:rPr>
            </w:pPr>
            <w:r w:rsidRPr="00AB16AE">
              <w:rPr>
                <w:rFonts w:ascii="Times New Roman" w:hAnsi="Times New Roman" w:cs="Times New Roman"/>
                <w:sz w:val="24"/>
                <w:szCs w:val="24"/>
              </w:rPr>
              <w:t>The tracks in their area may have an inherent problem requiring constant maintenance.</w:t>
            </w:r>
          </w:p>
          <w:p w14:paraId="7C5B0C3B" w14:textId="77777777" w:rsidR="009A6F40" w:rsidRPr="00AB16AE" w:rsidRDefault="009A6F40" w:rsidP="009A6F40">
            <w:pPr>
              <w:pStyle w:val="ListParagraph"/>
              <w:numPr>
                <w:ilvl w:val="0"/>
                <w:numId w:val="9"/>
              </w:numPr>
              <w:spacing w:line="240" w:lineRule="auto"/>
              <w:rPr>
                <w:rFonts w:ascii="Times New Roman" w:hAnsi="Times New Roman" w:cs="Times New Roman"/>
                <w:sz w:val="24"/>
                <w:szCs w:val="24"/>
              </w:rPr>
            </w:pPr>
            <w:r w:rsidRPr="00AB16AE">
              <w:rPr>
                <w:rFonts w:ascii="Times New Roman" w:hAnsi="Times New Roman" w:cs="Times New Roman"/>
                <w:sz w:val="24"/>
                <w:szCs w:val="24"/>
              </w:rPr>
              <w:t>It will increase train traffic and noise.</w:t>
            </w:r>
          </w:p>
          <w:p w14:paraId="4BF13D4D" w14:textId="77777777" w:rsidR="009A6F40" w:rsidRPr="00AB16AE" w:rsidRDefault="009A6F40" w:rsidP="009A6F40">
            <w:pPr>
              <w:pStyle w:val="ListParagraph"/>
              <w:numPr>
                <w:ilvl w:val="0"/>
                <w:numId w:val="9"/>
              </w:numPr>
              <w:spacing w:line="240" w:lineRule="auto"/>
              <w:rPr>
                <w:rFonts w:ascii="Times New Roman" w:hAnsi="Times New Roman" w:cs="Times New Roman"/>
                <w:sz w:val="24"/>
                <w:szCs w:val="24"/>
              </w:rPr>
            </w:pPr>
            <w:r w:rsidRPr="00AB16AE">
              <w:rPr>
                <w:rFonts w:ascii="Times New Roman" w:hAnsi="Times New Roman" w:cs="Times New Roman"/>
                <w:sz w:val="24"/>
                <w:szCs w:val="24"/>
              </w:rPr>
              <w:t>It will cause long term damage.</w:t>
            </w:r>
          </w:p>
        </w:tc>
        <w:tc>
          <w:tcPr>
            <w:tcW w:w="1619" w:type="pct"/>
            <w:tcBorders>
              <w:top w:val="single" w:sz="4" w:space="0" w:color="000000"/>
              <w:left w:val="single" w:sz="4" w:space="0" w:color="000000"/>
              <w:bottom w:val="single" w:sz="4" w:space="0" w:color="000000"/>
              <w:right w:val="single" w:sz="4" w:space="0" w:color="000000"/>
            </w:tcBorders>
          </w:tcPr>
          <w:p w14:paraId="00C99535" w14:textId="77777777" w:rsidR="009A6F40" w:rsidRPr="00AB16AE" w:rsidRDefault="00EF1150" w:rsidP="004026A5">
            <w:pPr>
              <w:autoSpaceDE w:val="0"/>
              <w:autoSpaceDN w:val="0"/>
              <w:spacing w:line="240" w:lineRule="atLeast"/>
              <w:rPr>
                <w:rFonts w:ascii="Times New Roman" w:hAnsi="Times New Roman"/>
                <w:sz w:val="24"/>
                <w:szCs w:val="24"/>
              </w:rPr>
            </w:pPr>
            <w:r w:rsidRPr="00AB16AE">
              <w:rPr>
                <w:rFonts w:ascii="Times New Roman" w:hAnsi="Times New Roman"/>
                <w:sz w:val="24"/>
                <w:szCs w:val="24"/>
              </w:rPr>
              <w:t>The comments relate to construction of an oil transfer terminal in Vancouver, Washington</w:t>
            </w:r>
            <w:r w:rsidR="00881507" w:rsidRPr="00AB16AE">
              <w:rPr>
                <w:rFonts w:ascii="Times New Roman" w:hAnsi="Times New Roman"/>
                <w:sz w:val="24"/>
                <w:szCs w:val="24"/>
              </w:rPr>
              <w:t>,</w:t>
            </w:r>
            <w:r w:rsidRPr="00AB16AE">
              <w:rPr>
                <w:rFonts w:ascii="Times New Roman" w:hAnsi="Times New Roman"/>
                <w:sz w:val="24"/>
                <w:szCs w:val="24"/>
              </w:rPr>
              <w:t xml:space="preserve"> and do not apply to the rules proposed in </w:t>
            </w:r>
            <w:r w:rsidR="004026A5" w:rsidRPr="00AB16AE">
              <w:rPr>
                <w:rFonts w:ascii="Times New Roman" w:hAnsi="Times New Roman"/>
                <w:sz w:val="24"/>
                <w:szCs w:val="24"/>
              </w:rPr>
              <w:t>this docket</w:t>
            </w:r>
            <w:r w:rsidRPr="00AB16AE">
              <w:rPr>
                <w:rFonts w:ascii="Times New Roman" w:hAnsi="Times New Roman"/>
                <w:sz w:val="24"/>
                <w:szCs w:val="24"/>
              </w:rPr>
              <w:t>.</w:t>
            </w:r>
          </w:p>
        </w:tc>
      </w:tr>
    </w:tbl>
    <w:p w14:paraId="1F07FFF2" w14:textId="77777777" w:rsidR="00932C57" w:rsidRDefault="00932C57">
      <w:pPr>
        <w:rPr>
          <w:rFonts w:ascii="Times New Roman" w:hAnsi="Times New Roman"/>
          <w:sz w:val="24"/>
          <w:szCs w:val="24"/>
        </w:rPr>
        <w:sectPr w:rsidR="00932C57" w:rsidSect="0090335E">
          <w:footerReference w:type="default" r:id="rId11"/>
          <w:pgSz w:w="20160" w:h="12240" w:orient="landscape" w:code="5"/>
          <w:pgMar w:top="1440" w:right="1440" w:bottom="1440" w:left="1440" w:header="720" w:footer="720" w:gutter="0"/>
          <w:cols w:space="720"/>
          <w:docGrid w:linePitch="360"/>
        </w:sectPr>
      </w:pPr>
      <w:r>
        <w:rPr>
          <w:rFonts w:ascii="Times New Roman" w:hAnsi="Times New Roman"/>
          <w:sz w:val="24"/>
          <w:szCs w:val="24"/>
        </w:rPr>
        <w:br w:type="page"/>
      </w:r>
    </w:p>
    <w:p w14:paraId="10F29DD7" w14:textId="77777777" w:rsidR="00932C57" w:rsidRDefault="00932C57">
      <w:pPr>
        <w:rPr>
          <w:rFonts w:ascii="Times New Roman" w:hAnsi="Times New Roman"/>
          <w:sz w:val="24"/>
          <w:szCs w:val="24"/>
        </w:rPr>
      </w:pPr>
    </w:p>
    <w:p w14:paraId="469DFA0D" w14:textId="77777777" w:rsidR="00932C57" w:rsidRPr="00932C57" w:rsidRDefault="00932C57" w:rsidP="00932C57">
      <w:pPr>
        <w:spacing w:after="160" w:line="259" w:lineRule="auto"/>
        <w:rPr>
          <w:rFonts w:ascii="Times New Roman" w:eastAsiaTheme="minorHAnsi" w:hAnsi="Times New Roman"/>
          <w:b/>
          <w:sz w:val="24"/>
          <w:szCs w:val="24"/>
        </w:rPr>
      </w:pPr>
      <w:r w:rsidRPr="00932C57">
        <w:rPr>
          <w:rFonts w:ascii="Times New Roman" w:eastAsiaTheme="minorHAnsi" w:hAnsi="Times New Roman"/>
          <w:b/>
          <w:sz w:val="24"/>
          <w:szCs w:val="24"/>
        </w:rPr>
        <w:t>Staff Note for Financial Responsibility and Clean-up Costs:</w:t>
      </w:r>
    </w:p>
    <w:p w14:paraId="358EA05C" w14:textId="77777777" w:rsidR="00932C57" w:rsidRPr="00932C57" w:rsidRDefault="00932C57" w:rsidP="00932C57">
      <w:pPr>
        <w:spacing w:after="160" w:line="259" w:lineRule="auto"/>
        <w:rPr>
          <w:rFonts w:ascii="Times New Roman" w:eastAsiaTheme="minorHAnsi" w:hAnsi="Times New Roman"/>
          <w:sz w:val="24"/>
          <w:szCs w:val="24"/>
        </w:rPr>
      </w:pPr>
      <w:r w:rsidRPr="00932C57">
        <w:rPr>
          <w:rFonts w:ascii="Times New Roman" w:eastAsiaTheme="minorHAnsi" w:hAnsi="Times New Roman"/>
          <w:sz w:val="24"/>
          <w:szCs w:val="24"/>
        </w:rPr>
        <w:t xml:space="preserve">The commission determined that a “reasonable worst case” that takes the maximum operating speed of the railroad moving crude oil should be used to determine the financial responsibility.  The commission relied on the federal enhanced tank car rule, Docket No. PHMSA-2012-0082 to determine “reasonable worst case” spill of oil and the associated clean-up costs.  For example, a railroad that operates crude oil trains at a maximum speed of 45 mph would have a reasonable worst case spill of approximately 48%.  There were a number of factors the commission also weighed in the evaluation of the definition of “reasonable.” These include comments received (Dow Constantine, Confederated Tribes of the Warms Springs Reservation, Tacoma Rail and BNSF), history of derailments, safety measures in place to prevent or reduce derailment impacts, damages of largest crude oil train, tribal impacts, implementation of the federal Enhanced Tank Car Rule, environmental impacts of a spill, consistency with federal and state standards, and regulatory authority of the commission.  </w:t>
      </w:r>
    </w:p>
    <w:p w14:paraId="3BAAC8E2" w14:textId="77777777" w:rsidR="00932C57" w:rsidRPr="00932C57" w:rsidRDefault="00932C57" w:rsidP="00932C57">
      <w:pPr>
        <w:spacing w:after="160" w:line="259" w:lineRule="auto"/>
        <w:rPr>
          <w:rFonts w:ascii="Times New Roman" w:eastAsiaTheme="minorHAnsi" w:hAnsi="Times New Roman"/>
          <w:sz w:val="24"/>
          <w:szCs w:val="24"/>
        </w:rPr>
      </w:pPr>
      <w:r w:rsidRPr="00932C57">
        <w:rPr>
          <w:rFonts w:ascii="Times New Roman" w:eastAsiaTheme="minorHAnsi" w:hAnsi="Times New Roman"/>
          <w:sz w:val="24"/>
          <w:szCs w:val="24"/>
        </w:rPr>
        <w:t>In the United States, historical evidence of derailments show an average derailment of 9 cars.</w:t>
      </w:r>
      <w:r w:rsidRPr="00932C57">
        <w:rPr>
          <w:rFonts w:ascii="Times New Roman" w:eastAsiaTheme="minorHAnsi" w:hAnsi="Times New Roman"/>
          <w:sz w:val="24"/>
          <w:szCs w:val="24"/>
          <w:vertAlign w:val="superscript"/>
        </w:rPr>
        <w:footnoteReference w:id="1"/>
      </w:r>
      <w:r w:rsidRPr="00932C57">
        <w:rPr>
          <w:rFonts w:ascii="Times New Roman" w:eastAsiaTheme="minorHAnsi" w:hAnsi="Times New Roman"/>
          <w:sz w:val="24"/>
          <w:szCs w:val="24"/>
        </w:rPr>
        <w:t xml:space="preserve">  The largest derailment of crude and ethanol in the U.S. is 31 cars.</w:t>
      </w:r>
      <w:r w:rsidRPr="00932C57">
        <w:rPr>
          <w:rFonts w:ascii="Times New Roman" w:eastAsiaTheme="minorHAnsi" w:hAnsi="Times New Roman"/>
          <w:sz w:val="24"/>
          <w:szCs w:val="24"/>
          <w:vertAlign w:val="superscript"/>
        </w:rPr>
        <w:footnoteReference w:id="2"/>
      </w:r>
      <w:r w:rsidRPr="00932C57">
        <w:rPr>
          <w:rFonts w:ascii="Times New Roman" w:eastAsiaTheme="minorHAnsi" w:hAnsi="Times New Roman"/>
          <w:sz w:val="24"/>
          <w:szCs w:val="24"/>
        </w:rPr>
        <w:t xml:space="preserve">  In looking for a comparison of “reasonable worst case,” the commission noted that it is similar but not synonymous with the Pipeline and Hazardous Materials Safety Administration (PHMSA) analysis of High Consequence Event.  </w:t>
      </w:r>
    </w:p>
    <w:p w14:paraId="21E94950" w14:textId="77777777" w:rsidR="00932C57" w:rsidRPr="00932C57" w:rsidRDefault="00932C57" w:rsidP="00932C57">
      <w:pPr>
        <w:spacing w:after="160" w:line="259" w:lineRule="auto"/>
        <w:rPr>
          <w:rFonts w:ascii="Times New Roman" w:eastAsiaTheme="minorHAnsi" w:hAnsi="Times New Roman"/>
          <w:sz w:val="24"/>
          <w:szCs w:val="24"/>
        </w:rPr>
      </w:pPr>
      <w:r w:rsidRPr="00932C57">
        <w:rPr>
          <w:rFonts w:ascii="Times New Roman" w:eastAsiaTheme="minorHAnsi" w:hAnsi="Times New Roman"/>
          <w:sz w:val="24"/>
          <w:szCs w:val="24"/>
        </w:rPr>
        <w:t>PHMSA determined that High Consequence Events are “events exceed the “typical” derailment event because they would result either in multiple fatalities or injuries, or would cause greater environmental damages than a typical derailment.”</w:t>
      </w:r>
      <w:r w:rsidRPr="00932C57">
        <w:rPr>
          <w:rFonts w:ascii="Times New Roman" w:eastAsiaTheme="minorHAnsi" w:hAnsi="Times New Roman"/>
          <w:sz w:val="24"/>
          <w:szCs w:val="24"/>
          <w:vertAlign w:val="superscript"/>
        </w:rPr>
        <w:footnoteReference w:id="3"/>
      </w:r>
      <w:r w:rsidRPr="00932C57">
        <w:rPr>
          <w:rFonts w:ascii="Times New Roman" w:eastAsiaTheme="minorHAnsi" w:hAnsi="Times New Roman"/>
          <w:sz w:val="24"/>
          <w:szCs w:val="24"/>
        </w:rPr>
        <w:t xml:space="preserve">  There was also a definition of “reasonable worst case” used in California for its contingency planning standards.  In California, reasonable worst case is defined as “Twenty percent (20%) of the maximum volume of oil cargo that a railroad may transport by a single train within the state, based on 714 barrels per tank car” (817.04 Inland Facilities).  </w:t>
      </w:r>
    </w:p>
    <w:p w14:paraId="0DAE5948" w14:textId="77777777" w:rsidR="00932C57" w:rsidRPr="00932C57" w:rsidRDefault="00932C57" w:rsidP="00932C57">
      <w:pPr>
        <w:spacing w:after="160" w:line="259" w:lineRule="auto"/>
        <w:rPr>
          <w:rFonts w:ascii="Times New Roman" w:eastAsiaTheme="minorHAnsi" w:hAnsi="Times New Roman"/>
          <w:sz w:val="24"/>
          <w:szCs w:val="24"/>
        </w:rPr>
      </w:pPr>
      <w:r w:rsidRPr="00932C57">
        <w:rPr>
          <w:rFonts w:ascii="Times New Roman" w:eastAsiaTheme="minorHAnsi" w:hAnsi="Times New Roman"/>
          <w:sz w:val="24"/>
          <w:szCs w:val="24"/>
        </w:rPr>
        <w:t xml:space="preserve">In its evaluation of criteria for calculating costs of a reasonable worst case spill, the commission elected to utilize the PHMSA scale down methodology that was used in the federal Enhanced Tank Car Rule.  The analysis in determining California’s definition of reasonable worst case was not available. The emergency rule was adopted in September 2015, and the commission believes some of the determining factors used in the rule process, which are not available publicly, may have included the recently adopted, but not phased-in, mitigation measures in the federal Enhanced Tank Car rule.  The PHMSA approach was applied, in determining reasonable worst case, primarily for two reasons.  First, the tragedy in </w:t>
      </w:r>
      <w:r w:rsidRPr="00932C57">
        <w:rPr>
          <w:rFonts w:ascii="Times New Roman" w:eastAsiaTheme="minorHAnsi" w:hAnsi="Times New Roman"/>
          <w:spacing w:val="-3"/>
          <w:sz w:val="24"/>
          <w:szCs w:val="24"/>
        </w:rPr>
        <w:t>L</w:t>
      </w:r>
      <w:r w:rsidRPr="00932C57">
        <w:rPr>
          <w:rFonts w:ascii="Times New Roman" w:eastAsiaTheme="minorHAnsi" w:hAnsi="Times New Roman"/>
          <w:spacing w:val="-1"/>
          <w:sz w:val="24"/>
          <w:szCs w:val="24"/>
        </w:rPr>
        <w:t>a</w:t>
      </w:r>
      <w:r w:rsidRPr="00932C57">
        <w:rPr>
          <w:rFonts w:ascii="Times New Roman" w:eastAsiaTheme="minorHAnsi" w:hAnsi="Times New Roman"/>
          <w:sz w:val="24"/>
          <w:szCs w:val="24"/>
        </w:rPr>
        <w:t>c</w:t>
      </w:r>
      <w:r w:rsidRPr="00932C57">
        <w:rPr>
          <w:rFonts w:ascii="Times New Roman" w:eastAsiaTheme="minorHAnsi" w:hAnsi="Times New Roman"/>
          <w:spacing w:val="-1"/>
          <w:sz w:val="24"/>
          <w:szCs w:val="24"/>
        </w:rPr>
        <w:t xml:space="preserve"> </w:t>
      </w:r>
      <w:r w:rsidRPr="00932C57">
        <w:rPr>
          <w:rFonts w:ascii="Times New Roman" w:eastAsiaTheme="minorHAnsi" w:hAnsi="Times New Roman"/>
          <w:spacing w:val="2"/>
          <w:sz w:val="24"/>
          <w:szCs w:val="24"/>
        </w:rPr>
        <w:t>M</w:t>
      </w:r>
      <w:r w:rsidRPr="00932C57">
        <w:rPr>
          <w:rFonts w:ascii="Times New Roman" w:eastAsiaTheme="minorHAnsi" w:hAnsi="Times New Roman"/>
          <w:spacing w:val="1"/>
          <w:sz w:val="24"/>
          <w:szCs w:val="24"/>
        </w:rPr>
        <w:t>é</w:t>
      </w:r>
      <w:r w:rsidRPr="00932C57">
        <w:rPr>
          <w:rFonts w:ascii="Times New Roman" w:eastAsiaTheme="minorHAnsi" w:hAnsi="Times New Roman"/>
          <w:spacing w:val="-3"/>
          <w:sz w:val="24"/>
          <w:szCs w:val="24"/>
        </w:rPr>
        <w:t>g</w:t>
      </w:r>
      <w:r w:rsidRPr="00932C57">
        <w:rPr>
          <w:rFonts w:ascii="Times New Roman" w:eastAsiaTheme="minorHAnsi" w:hAnsi="Times New Roman"/>
          <w:spacing w:val="-1"/>
          <w:sz w:val="24"/>
          <w:szCs w:val="24"/>
        </w:rPr>
        <w:t>a</w:t>
      </w:r>
      <w:r w:rsidRPr="00932C57">
        <w:rPr>
          <w:rFonts w:ascii="Times New Roman" w:eastAsiaTheme="minorHAnsi" w:hAnsi="Times New Roman"/>
          <w:sz w:val="24"/>
          <w:szCs w:val="24"/>
        </w:rPr>
        <w:t>nti</w:t>
      </w:r>
      <w:r w:rsidRPr="00932C57">
        <w:rPr>
          <w:rFonts w:ascii="Times New Roman" w:eastAsiaTheme="minorHAnsi" w:hAnsi="Times New Roman"/>
          <w:spacing w:val="-1"/>
          <w:sz w:val="24"/>
          <w:szCs w:val="24"/>
        </w:rPr>
        <w:t>c</w:t>
      </w:r>
      <w:r w:rsidRPr="00932C57">
        <w:rPr>
          <w:rFonts w:ascii="Times New Roman" w:eastAsiaTheme="minorHAnsi" w:hAnsi="Times New Roman"/>
          <w:sz w:val="24"/>
          <w:szCs w:val="24"/>
        </w:rPr>
        <w:t xml:space="preserve">, Quebec is to-date the worst case example of a catastrophic derailment in North America involving crude oil.  Scaling down from </w:t>
      </w:r>
      <w:r w:rsidRPr="00932C57">
        <w:rPr>
          <w:rFonts w:ascii="Times New Roman" w:eastAsiaTheme="minorHAnsi" w:hAnsi="Times New Roman"/>
          <w:spacing w:val="-3"/>
          <w:sz w:val="24"/>
          <w:szCs w:val="24"/>
        </w:rPr>
        <w:t>L</w:t>
      </w:r>
      <w:r w:rsidRPr="00932C57">
        <w:rPr>
          <w:rFonts w:ascii="Times New Roman" w:eastAsiaTheme="minorHAnsi" w:hAnsi="Times New Roman"/>
          <w:spacing w:val="-1"/>
          <w:sz w:val="24"/>
          <w:szCs w:val="24"/>
        </w:rPr>
        <w:t>a</w:t>
      </w:r>
      <w:r w:rsidRPr="00932C57">
        <w:rPr>
          <w:rFonts w:ascii="Times New Roman" w:eastAsiaTheme="minorHAnsi" w:hAnsi="Times New Roman"/>
          <w:sz w:val="24"/>
          <w:szCs w:val="24"/>
        </w:rPr>
        <w:t>c</w:t>
      </w:r>
      <w:r w:rsidRPr="00932C57">
        <w:rPr>
          <w:rFonts w:ascii="Times New Roman" w:eastAsiaTheme="minorHAnsi" w:hAnsi="Times New Roman"/>
          <w:spacing w:val="-1"/>
          <w:sz w:val="24"/>
          <w:szCs w:val="24"/>
        </w:rPr>
        <w:t xml:space="preserve"> </w:t>
      </w:r>
      <w:r w:rsidRPr="00932C57">
        <w:rPr>
          <w:rFonts w:ascii="Times New Roman" w:eastAsiaTheme="minorHAnsi" w:hAnsi="Times New Roman"/>
          <w:spacing w:val="2"/>
          <w:sz w:val="24"/>
          <w:szCs w:val="24"/>
        </w:rPr>
        <w:t>M</w:t>
      </w:r>
      <w:r w:rsidRPr="00932C57">
        <w:rPr>
          <w:rFonts w:ascii="Times New Roman" w:eastAsiaTheme="minorHAnsi" w:hAnsi="Times New Roman"/>
          <w:spacing w:val="1"/>
          <w:sz w:val="24"/>
          <w:szCs w:val="24"/>
        </w:rPr>
        <w:t>é</w:t>
      </w:r>
      <w:r w:rsidRPr="00932C57">
        <w:rPr>
          <w:rFonts w:ascii="Times New Roman" w:eastAsiaTheme="minorHAnsi" w:hAnsi="Times New Roman"/>
          <w:spacing w:val="-3"/>
          <w:sz w:val="24"/>
          <w:szCs w:val="24"/>
        </w:rPr>
        <w:t>g</w:t>
      </w:r>
      <w:r w:rsidRPr="00932C57">
        <w:rPr>
          <w:rFonts w:ascii="Times New Roman" w:eastAsiaTheme="minorHAnsi" w:hAnsi="Times New Roman"/>
          <w:spacing w:val="-1"/>
          <w:sz w:val="24"/>
          <w:szCs w:val="24"/>
        </w:rPr>
        <w:t>a</w:t>
      </w:r>
      <w:r w:rsidRPr="00932C57">
        <w:rPr>
          <w:rFonts w:ascii="Times New Roman" w:eastAsiaTheme="minorHAnsi" w:hAnsi="Times New Roman"/>
          <w:sz w:val="24"/>
          <w:szCs w:val="24"/>
        </w:rPr>
        <w:t>nti</w:t>
      </w:r>
      <w:r w:rsidRPr="00932C57">
        <w:rPr>
          <w:rFonts w:ascii="Times New Roman" w:eastAsiaTheme="minorHAnsi" w:hAnsi="Times New Roman"/>
          <w:spacing w:val="-1"/>
          <w:sz w:val="24"/>
          <w:szCs w:val="24"/>
        </w:rPr>
        <w:t>c, therefore seems appropriate in determining a reasonable worst case. This is a similar approach that PHMSA took on high consequence events.  Second, the mitigation and safety measures contained in the federal Enhanced Tank Car Rule will not be fully implemented for ten years.</w:t>
      </w:r>
    </w:p>
    <w:p w14:paraId="74A3E31D" w14:textId="77777777" w:rsidR="00932C57" w:rsidRPr="00932C57" w:rsidRDefault="00932C57" w:rsidP="00932C57">
      <w:pPr>
        <w:spacing w:after="160" w:line="259" w:lineRule="auto"/>
        <w:rPr>
          <w:rFonts w:ascii="Times New Roman" w:eastAsiaTheme="minorHAnsi" w:hAnsi="Times New Roman"/>
          <w:sz w:val="24"/>
          <w:szCs w:val="24"/>
        </w:rPr>
      </w:pPr>
      <w:r w:rsidRPr="00932C57">
        <w:rPr>
          <w:rFonts w:ascii="Times New Roman" w:eastAsiaTheme="minorHAnsi" w:hAnsi="Times New Roman"/>
          <w:sz w:val="24"/>
          <w:szCs w:val="24"/>
        </w:rPr>
        <w:t xml:space="preserve">In applying the scale down calculation, the commission assumes that kinetic energy varies directly with the square of speed.  In </w:t>
      </w:r>
      <w:r w:rsidRPr="00932C57">
        <w:rPr>
          <w:rFonts w:ascii="Times New Roman" w:eastAsiaTheme="minorHAnsi" w:hAnsi="Times New Roman"/>
          <w:spacing w:val="-3"/>
          <w:sz w:val="24"/>
          <w:szCs w:val="24"/>
        </w:rPr>
        <w:t>L</w:t>
      </w:r>
      <w:r w:rsidRPr="00932C57">
        <w:rPr>
          <w:rFonts w:ascii="Times New Roman" w:eastAsiaTheme="minorHAnsi" w:hAnsi="Times New Roman"/>
          <w:spacing w:val="-1"/>
          <w:sz w:val="24"/>
          <w:szCs w:val="24"/>
        </w:rPr>
        <w:t>a</w:t>
      </w:r>
      <w:r w:rsidRPr="00932C57">
        <w:rPr>
          <w:rFonts w:ascii="Times New Roman" w:eastAsiaTheme="minorHAnsi" w:hAnsi="Times New Roman"/>
          <w:sz w:val="24"/>
          <w:szCs w:val="24"/>
        </w:rPr>
        <w:t>c</w:t>
      </w:r>
      <w:r w:rsidRPr="00932C57">
        <w:rPr>
          <w:rFonts w:ascii="Times New Roman" w:eastAsiaTheme="minorHAnsi" w:hAnsi="Times New Roman"/>
          <w:spacing w:val="-1"/>
          <w:sz w:val="24"/>
          <w:szCs w:val="24"/>
        </w:rPr>
        <w:t xml:space="preserve"> </w:t>
      </w:r>
      <w:r w:rsidRPr="00932C57">
        <w:rPr>
          <w:rFonts w:ascii="Times New Roman" w:eastAsiaTheme="minorHAnsi" w:hAnsi="Times New Roman"/>
          <w:spacing w:val="2"/>
          <w:sz w:val="24"/>
          <w:szCs w:val="24"/>
        </w:rPr>
        <w:t>M</w:t>
      </w:r>
      <w:r w:rsidRPr="00932C57">
        <w:rPr>
          <w:rFonts w:ascii="Times New Roman" w:eastAsiaTheme="minorHAnsi" w:hAnsi="Times New Roman"/>
          <w:spacing w:val="1"/>
          <w:sz w:val="24"/>
          <w:szCs w:val="24"/>
        </w:rPr>
        <w:t>é</w:t>
      </w:r>
      <w:r w:rsidRPr="00932C57">
        <w:rPr>
          <w:rFonts w:ascii="Times New Roman" w:eastAsiaTheme="minorHAnsi" w:hAnsi="Times New Roman"/>
          <w:spacing w:val="-3"/>
          <w:sz w:val="24"/>
          <w:szCs w:val="24"/>
        </w:rPr>
        <w:t>g</w:t>
      </w:r>
      <w:r w:rsidRPr="00932C57">
        <w:rPr>
          <w:rFonts w:ascii="Times New Roman" w:eastAsiaTheme="minorHAnsi" w:hAnsi="Times New Roman"/>
          <w:spacing w:val="-1"/>
          <w:sz w:val="24"/>
          <w:szCs w:val="24"/>
        </w:rPr>
        <w:t>a</w:t>
      </w:r>
      <w:r w:rsidRPr="00932C57">
        <w:rPr>
          <w:rFonts w:ascii="Times New Roman" w:eastAsiaTheme="minorHAnsi" w:hAnsi="Times New Roman"/>
          <w:sz w:val="24"/>
          <w:szCs w:val="24"/>
        </w:rPr>
        <w:t>nti</w:t>
      </w:r>
      <w:r w:rsidRPr="00932C57">
        <w:rPr>
          <w:rFonts w:ascii="Times New Roman" w:eastAsiaTheme="minorHAnsi" w:hAnsi="Times New Roman"/>
          <w:spacing w:val="-1"/>
          <w:sz w:val="24"/>
          <w:szCs w:val="24"/>
        </w:rPr>
        <w:t>c</w:t>
      </w:r>
      <w:r w:rsidRPr="00932C57">
        <w:rPr>
          <w:rFonts w:ascii="Times New Roman" w:eastAsiaTheme="minorHAnsi" w:hAnsi="Times New Roman"/>
          <w:sz w:val="24"/>
          <w:szCs w:val="24"/>
        </w:rPr>
        <w:t>, the train in question was travelling at a rate of 65mph</w:t>
      </w:r>
      <w:r w:rsidRPr="00932C57">
        <w:rPr>
          <w:rFonts w:ascii="Times New Roman" w:eastAsiaTheme="minorHAnsi" w:hAnsi="Times New Roman"/>
          <w:sz w:val="24"/>
          <w:szCs w:val="24"/>
          <w:vertAlign w:val="superscript"/>
        </w:rPr>
        <w:footnoteReference w:id="4"/>
      </w:r>
      <w:r w:rsidRPr="00932C57">
        <w:rPr>
          <w:rFonts w:ascii="Times New Roman" w:eastAsiaTheme="minorHAnsi" w:hAnsi="Times New Roman"/>
          <w:sz w:val="24"/>
          <w:szCs w:val="24"/>
        </w:rPr>
        <w:t xml:space="preserve"> and resulted in the loss of approximately 78% of its crude oil cargo or 1.59 million gallons.  PHMSA calculations on average train derailments in the U.S. use an average speed of 41 mph in determining a “scale down” calculation of </w:t>
      </w:r>
      <w:r w:rsidRPr="00932C57">
        <w:rPr>
          <w:rFonts w:ascii="Times New Roman" w:eastAsiaTheme="minorHAnsi" w:hAnsi="Times New Roman"/>
          <w:spacing w:val="-3"/>
          <w:sz w:val="24"/>
          <w:szCs w:val="24"/>
        </w:rPr>
        <w:t>L</w:t>
      </w:r>
      <w:r w:rsidRPr="00932C57">
        <w:rPr>
          <w:rFonts w:ascii="Times New Roman" w:eastAsiaTheme="minorHAnsi" w:hAnsi="Times New Roman"/>
          <w:spacing w:val="-1"/>
          <w:sz w:val="24"/>
          <w:szCs w:val="24"/>
        </w:rPr>
        <w:t>a</w:t>
      </w:r>
      <w:r w:rsidRPr="00932C57">
        <w:rPr>
          <w:rFonts w:ascii="Times New Roman" w:eastAsiaTheme="minorHAnsi" w:hAnsi="Times New Roman"/>
          <w:sz w:val="24"/>
          <w:szCs w:val="24"/>
        </w:rPr>
        <w:t>c</w:t>
      </w:r>
      <w:r w:rsidRPr="00932C57">
        <w:rPr>
          <w:rFonts w:ascii="Times New Roman" w:eastAsiaTheme="minorHAnsi" w:hAnsi="Times New Roman"/>
          <w:spacing w:val="-1"/>
          <w:sz w:val="24"/>
          <w:szCs w:val="24"/>
        </w:rPr>
        <w:t xml:space="preserve"> </w:t>
      </w:r>
      <w:r w:rsidRPr="00932C57">
        <w:rPr>
          <w:rFonts w:ascii="Times New Roman" w:eastAsiaTheme="minorHAnsi" w:hAnsi="Times New Roman"/>
          <w:spacing w:val="2"/>
          <w:sz w:val="24"/>
          <w:szCs w:val="24"/>
        </w:rPr>
        <w:t>M</w:t>
      </w:r>
      <w:r w:rsidRPr="00932C57">
        <w:rPr>
          <w:rFonts w:ascii="Times New Roman" w:eastAsiaTheme="minorHAnsi" w:hAnsi="Times New Roman"/>
          <w:spacing w:val="1"/>
          <w:sz w:val="24"/>
          <w:szCs w:val="24"/>
        </w:rPr>
        <w:t>é</w:t>
      </w:r>
      <w:r w:rsidRPr="00932C57">
        <w:rPr>
          <w:rFonts w:ascii="Times New Roman" w:eastAsiaTheme="minorHAnsi" w:hAnsi="Times New Roman"/>
          <w:spacing w:val="-3"/>
          <w:sz w:val="24"/>
          <w:szCs w:val="24"/>
        </w:rPr>
        <w:t>g</w:t>
      </w:r>
      <w:r w:rsidRPr="00932C57">
        <w:rPr>
          <w:rFonts w:ascii="Times New Roman" w:eastAsiaTheme="minorHAnsi" w:hAnsi="Times New Roman"/>
          <w:spacing w:val="-1"/>
          <w:sz w:val="24"/>
          <w:szCs w:val="24"/>
        </w:rPr>
        <w:t>a</w:t>
      </w:r>
      <w:r w:rsidRPr="00932C57">
        <w:rPr>
          <w:rFonts w:ascii="Times New Roman" w:eastAsiaTheme="minorHAnsi" w:hAnsi="Times New Roman"/>
          <w:sz w:val="24"/>
          <w:szCs w:val="24"/>
        </w:rPr>
        <w:t>nti</w:t>
      </w:r>
      <w:r w:rsidRPr="00932C57">
        <w:rPr>
          <w:rFonts w:ascii="Times New Roman" w:eastAsiaTheme="minorHAnsi" w:hAnsi="Times New Roman"/>
          <w:spacing w:val="-1"/>
          <w:sz w:val="24"/>
          <w:szCs w:val="24"/>
        </w:rPr>
        <w:t>c</w:t>
      </w:r>
      <w:r w:rsidRPr="00932C57">
        <w:rPr>
          <w:rFonts w:ascii="Times New Roman" w:eastAsiaTheme="minorHAnsi" w:hAnsi="Times New Roman"/>
          <w:sz w:val="24"/>
          <w:szCs w:val="24"/>
        </w:rPr>
        <w:t>.  While this is used to illustrate monetary assumptions, an assumption on damage should be calculated using the operating speeds in the state.  Kinetic energy = ½ Mass x (Velocity)</w:t>
      </w:r>
      <w:r w:rsidRPr="00932C57">
        <w:rPr>
          <w:rFonts w:ascii="Times New Roman" w:eastAsiaTheme="minorHAnsi" w:hAnsi="Times New Roman"/>
          <w:sz w:val="24"/>
          <w:szCs w:val="24"/>
          <w:vertAlign w:val="superscript"/>
        </w:rPr>
        <w:t>2</w:t>
      </w:r>
      <w:r w:rsidRPr="00932C57">
        <w:rPr>
          <w:rFonts w:ascii="Times New Roman" w:eastAsiaTheme="minorHAnsi" w:hAnsi="Times New Roman"/>
          <w:sz w:val="24"/>
          <w:szCs w:val="24"/>
        </w:rPr>
        <w:t xml:space="preserve">.  PHMSA assumes loaded high hazard flammable trains are of equal mass.  The purpose of the kinetic force scale down calculation in the federal Enhanced Tank Car Rule was to show the projected number of high </w:t>
      </w:r>
      <w:r w:rsidRPr="00932C57">
        <w:rPr>
          <w:rFonts w:ascii="Times New Roman" w:eastAsiaTheme="minorHAnsi" w:hAnsi="Times New Roman"/>
          <w:sz w:val="24"/>
          <w:szCs w:val="24"/>
        </w:rPr>
        <w:lastRenderedPageBreak/>
        <w:t xml:space="preserve">consequence events over the next 20 years in the absence of the federal Enhanced Tank Car Rule.  Since there is a ten year phase out of older DOT-111 tank cars, the commission believes the safety measures outlined in the federal Enhanced Tank Car Rule do not mitigate potential damages and costs of such an event and still need to be factored into the definition of “reasonable worst case.”  </w:t>
      </w:r>
    </w:p>
    <w:p w14:paraId="4E4CC612" w14:textId="77777777" w:rsidR="00932C57" w:rsidRPr="00932C57" w:rsidRDefault="00932C57" w:rsidP="00932C57">
      <w:pPr>
        <w:spacing w:after="160" w:line="259" w:lineRule="auto"/>
        <w:rPr>
          <w:rFonts w:ascii="Times New Roman" w:eastAsiaTheme="minorHAnsi" w:hAnsi="Times New Roman"/>
          <w:sz w:val="24"/>
          <w:szCs w:val="24"/>
        </w:rPr>
      </w:pPr>
      <w:r w:rsidRPr="00932C57">
        <w:rPr>
          <w:rFonts w:ascii="Times New Roman" w:eastAsiaTheme="minorHAnsi" w:hAnsi="Times New Roman"/>
          <w:sz w:val="24"/>
          <w:szCs w:val="24"/>
        </w:rPr>
        <w:t xml:space="preserve">The commission determined that a clean-up cost of $400 per gallon should be used.  In determining the clean-up costs associated with a “reasonable worse case” spill, the commission looked at costs associated with the spill and did not extrapolate into other potential cost factors.  A straight clean-up cost linked with the costs associated with </w:t>
      </w:r>
      <w:r w:rsidRPr="00932C57">
        <w:rPr>
          <w:rFonts w:ascii="Times New Roman" w:eastAsiaTheme="minorHAnsi" w:hAnsi="Times New Roman"/>
          <w:spacing w:val="-3"/>
          <w:sz w:val="24"/>
          <w:szCs w:val="24"/>
        </w:rPr>
        <w:t>L</w:t>
      </w:r>
      <w:r w:rsidRPr="00932C57">
        <w:rPr>
          <w:rFonts w:ascii="Times New Roman" w:eastAsiaTheme="minorHAnsi" w:hAnsi="Times New Roman"/>
          <w:spacing w:val="-1"/>
          <w:sz w:val="24"/>
          <w:szCs w:val="24"/>
        </w:rPr>
        <w:t>a</w:t>
      </w:r>
      <w:r w:rsidRPr="00932C57">
        <w:rPr>
          <w:rFonts w:ascii="Times New Roman" w:eastAsiaTheme="minorHAnsi" w:hAnsi="Times New Roman"/>
          <w:sz w:val="24"/>
          <w:szCs w:val="24"/>
        </w:rPr>
        <w:t>c</w:t>
      </w:r>
      <w:r w:rsidRPr="00932C57">
        <w:rPr>
          <w:rFonts w:ascii="Times New Roman" w:eastAsiaTheme="minorHAnsi" w:hAnsi="Times New Roman"/>
          <w:spacing w:val="-1"/>
          <w:sz w:val="24"/>
          <w:szCs w:val="24"/>
        </w:rPr>
        <w:t xml:space="preserve"> </w:t>
      </w:r>
      <w:r w:rsidRPr="00932C57">
        <w:rPr>
          <w:rFonts w:ascii="Times New Roman" w:eastAsiaTheme="minorHAnsi" w:hAnsi="Times New Roman"/>
          <w:spacing w:val="2"/>
          <w:sz w:val="24"/>
          <w:szCs w:val="24"/>
        </w:rPr>
        <w:t>M</w:t>
      </w:r>
      <w:r w:rsidRPr="00932C57">
        <w:rPr>
          <w:rFonts w:ascii="Times New Roman" w:eastAsiaTheme="minorHAnsi" w:hAnsi="Times New Roman"/>
          <w:spacing w:val="1"/>
          <w:sz w:val="24"/>
          <w:szCs w:val="24"/>
        </w:rPr>
        <w:t>é</w:t>
      </w:r>
      <w:r w:rsidRPr="00932C57">
        <w:rPr>
          <w:rFonts w:ascii="Times New Roman" w:eastAsiaTheme="minorHAnsi" w:hAnsi="Times New Roman"/>
          <w:spacing w:val="-3"/>
          <w:sz w:val="24"/>
          <w:szCs w:val="24"/>
        </w:rPr>
        <w:t>g</w:t>
      </w:r>
      <w:r w:rsidRPr="00932C57">
        <w:rPr>
          <w:rFonts w:ascii="Times New Roman" w:eastAsiaTheme="minorHAnsi" w:hAnsi="Times New Roman"/>
          <w:spacing w:val="-1"/>
          <w:sz w:val="24"/>
          <w:szCs w:val="24"/>
        </w:rPr>
        <w:t>a</w:t>
      </w:r>
      <w:r w:rsidRPr="00932C57">
        <w:rPr>
          <w:rFonts w:ascii="Times New Roman" w:eastAsiaTheme="minorHAnsi" w:hAnsi="Times New Roman"/>
          <w:sz w:val="24"/>
          <w:szCs w:val="24"/>
        </w:rPr>
        <w:t>nti</w:t>
      </w:r>
      <w:r w:rsidRPr="00932C57">
        <w:rPr>
          <w:rFonts w:ascii="Times New Roman" w:eastAsiaTheme="minorHAnsi" w:hAnsi="Times New Roman"/>
          <w:spacing w:val="-1"/>
          <w:sz w:val="24"/>
          <w:szCs w:val="24"/>
        </w:rPr>
        <w:t>c</w:t>
      </w:r>
      <w:r w:rsidRPr="00932C57">
        <w:rPr>
          <w:rFonts w:ascii="Times New Roman" w:eastAsiaTheme="minorHAnsi" w:hAnsi="Times New Roman"/>
          <w:sz w:val="24"/>
          <w:szCs w:val="24"/>
        </w:rPr>
        <w:t xml:space="preserve"> were not factored into the calculation, in part because the costs were not all associated with the clean-up of oil. In addition, the commission looked towards the PHMSA enhanced tank car regulation where the federal government determined that an event like </w:t>
      </w:r>
      <w:r w:rsidRPr="00932C57">
        <w:rPr>
          <w:rFonts w:ascii="Times New Roman" w:eastAsiaTheme="minorHAnsi" w:hAnsi="Times New Roman"/>
          <w:spacing w:val="-3"/>
          <w:sz w:val="24"/>
          <w:szCs w:val="24"/>
        </w:rPr>
        <w:t>L</w:t>
      </w:r>
      <w:r w:rsidRPr="00932C57">
        <w:rPr>
          <w:rFonts w:ascii="Times New Roman" w:eastAsiaTheme="minorHAnsi" w:hAnsi="Times New Roman"/>
          <w:spacing w:val="-1"/>
          <w:sz w:val="24"/>
          <w:szCs w:val="24"/>
        </w:rPr>
        <w:t>a</w:t>
      </w:r>
      <w:r w:rsidRPr="00932C57">
        <w:rPr>
          <w:rFonts w:ascii="Times New Roman" w:eastAsiaTheme="minorHAnsi" w:hAnsi="Times New Roman"/>
          <w:sz w:val="24"/>
          <w:szCs w:val="24"/>
        </w:rPr>
        <w:t>c</w:t>
      </w:r>
      <w:r w:rsidRPr="00932C57">
        <w:rPr>
          <w:rFonts w:ascii="Times New Roman" w:eastAsiaTheme="minorHAnsi" w:hAnsi="Times New Roman"/>
          <w:spacing w:val="-1"/>
          <w:sz w:val="24"/>
          <w:szCs w:val="24"/>
        </w:rPr>
        <w:t xml:space="preserve"> </w:t>
      </w:r>
      <w:r w:rsidRPr="00932C57">
        <w:rPr>
          <w:rFonts w:ascii="Times New Roman" w:eastAsiaTheme="minorHAnsi" w:hAnsi="Times New Roman"/>
          <w:spacing w:val="2"/>
          <w:sz w:val="24"/>
          <w:szCs w:val="24"/>
        </w:rPr>
        <w:t>M</w:t>
      </w:r>
      <w:r w:rsidRPr="00932C57">
        <w:rPr>
          <w:rFonts w:ascii="Times New Roman" w:eastAsiaTheme="minorHAnsi" w:hAnsi="Times New Roman"/>
          <w:spacing w:val="1"/>
          <w:sz w:val="24"/>
          <w:szCs w:val="24"/>
        </w:rPr>
        <w:t>é</w:t>
      </w:r>
      <w:r w:rsidRPr="00932C57">
        <w:rPr>
          <w:rFonts w:ascii="Times New Roman" w:eastAsiaTheme="minorHAnsi" w:hAnsi="Times New Roman"/>
          <w:spacing w:val="-3"/>
          <w:sz w:val="24"/>
          <w:szCs w:val="24"/>
        </w:rPr>
        <w:t>g</w:t>
      </w:r>
      <w:r w:rsidRPr="00932C57">
        <w:rPr>
          <w:rFonts w:ascii="Times New Roman" w:eastAsiaTheme="minorHAnsi" w:hAnsi="Times New Roman"/>
          <w:spacing w:val="-1"/>
          <w:sz w:val="24"/>
          <w:szCs w:val="24"/>
        </w:rPr>
        <w:t>a</w:t>
      </w:r>
      <w:r w:rsidRPr="00932C57">
        <w:rPr>
          <w:rFonts w:ascii="Times New Roman" w:eastAsiaTheme="minorHAnsi" w:hAnsi="Times New Roman"/>
          <w:sz w:val="24"/>
          <w:szCs w:val="24"/>
        </w:rPr>
        <w:t>nti</w:t>
      </w:r>
      <w:r w:rsidRPr="00932C57">
        <w:rPr>
          <w:rFonts w:ascii="Times New Roman" w:eastAsiaTheme="minorHAnsi" w:hAnsi="Times New Roman"/>
          <w:spacing w:val="-1"/>
          <w:sz w:val="24"/>
          <w:szCs w:val="24"/>
        </w:rPr>
        <w:t>c “would not be representative of damages from a typical accident or even a high consequence accident.”</w:t>
      </w:r>
      <w:r w:rsidRPr="00932C57">
        <w:rPr>
          <w:rFonts w:ascii="Times New Roman" w:eastAsiaTheme="minorHAnsi" w:hAnsi="Times New Roman"/>
          <w:spacing w:val="-1"/>
          <w:sz w:val="24"/>
          <w:szCs w:val="24"/>
          <w:vertAlign w:val="superscript"/>
        </w:rPr>
        <w:footnoteReference w:id="5"/>
      </w:r>
      <w:r w:rsidRPr="00932C57">
        <w:rPr>
          <w:rFonts w:ascii="Times New Roman" w:eastAsiaTheme="minorHAnsi" w:hAnsi="Times New Roman"/>
          <w:spacing w:val="-1"/>
          <w:sz w:val="24"/>
          <w:szCs w:val="24"/>
        </w:rPr>
        <w:t xml:space="preserve">  One recent higher consequence event was the </w:t>
      </w:r>
      <w:r w:rsidRPr="00932C57">
        <w:rPr>
          <w:rFonts w:ascii="Times New Roman" w:eastAsiaTheme="minorHAnsi" w:hAnsi="Times New Roman"/>
          <w:sz w:val="24"/>
          <w:szCs w:val="24"/>
        </w:rPr>
        <w:t>Lynchburg, Virginia incident which resulted in 30,000 gallons spilled. The emergency response and cleanup costs for that incident were reported to the FRA by CSX as $8.99 million. Of this $8.99 million cost, an estimated $5 million was due to environmental damage. The CSX estimate of the costs of Lynchburg results in a cost per gallon of crude of about $300.</w:t>
      </w:r>
      <w:r w:rsidRPr="00932C57">
        <w:rPr>
          <w:rFonts w:ascii="Times New Roman" w:eastAsiaTheme="minorHAnsi" w:hAnsi="Times New Roman"/>
          <w:sz w:val="24"/>
          <w:szCs w:val="24"/>
          <w:vertAlign w:val="superscript"/>
        </w:rPr>
        <w:footnoteReference w:id="6"/>
      </w:r>
      <w:r w:rsidRPr="00932C57">
        <w:rPr>
          <w:rFonts w:ascii="Times New Roman" w:eastAsiaTheme="minorHAnsi" w:hAnsi="Times New Roman"/>
          <w:sz w:val="24"/>
          <w:szCs w:val="24"/>
        </w:rPr>
        <w:t xml:space="preserve">  </w:t>
      </w:r>
    </w:p>
    <w:p w14:paraId="7257882A" w14:textId="77777777" w:rsidR="00932C57" w:rsidRPr="00932C57" w:rsidRDefault="00932C57" w:rsidP="00932C57">
      <w:pPr>
        <w:spacing w:after="160" w:line="259" w:lineRule="auto"/>
        <w:rPr>
          <w:rFonts w:ascii="Times New Roman" w:eastAsiaTheme="minorHAnsi" w:hAnsi="Times New Roman"/>
          <w:sz w:val="24"/>
          <w:szCs w:val="24"/>
        </w:rPr>
      </w:pPr>
      <w:r w:rsidRPr="00932C57">
        <w:rPr>
          <w:rFonts w:ascii="Times New Roman" w:eastAsiaTheme="minorHAnsi" w:hAnsi="Times New Roman"/>
          <w:sz w:val="24"/>
          <w:szCs w:val="24"/>
        </w:rPr>
        <w:t>The weighted average of the per gallon estimates from all the federal Enhanced Tank Car Rule listed literature, including marine, pipeline and rail, is between $ 407 to $415 per gallon spilled of crude oil or ethanol. It is unlikely that any of these estimates capture the full comprehensive societal damages that result from these incidents.</w:t>
      </w:r>
      <w:r w:rsidRPr="00932C57">
        <w:rPr>
          <w:rFonts w:ascii="Times New Roman" w:eastAsiaTheme="minorHAnsi" w:hAnsi="Times New Roman"/>
          <w:sz w:val="24"/>
          <w:szCs w:val="24"/>
          <w:vertAlign w:val="superscript"/>
        </w:rPr>
        <w:footnoteReference w:id="7"/>
      </w:r>
      <w:r w:rsidRPr="00932C57">
        <w:rPr>
          <w:rFonts w:ascii="Times New Roman" w:eastAsiaTheme="minorHAnsi" w:hAnsi="Times New Roman"/>
          <w:sz w:val="24"/>
          <w:szCs w:val="24"/>
        </w:rPr>
        <w:t xml:space="preserve">  The PHMSA Final Regulatory Impact Analysis for the Federal Enhanced Tank Car rule stated that costs for crude oil for rail carriers was estimated at $200 per gallon but “the review found that damages could be as high as twice that amount for crude oil spills.”</w:t>
      </w:r>
      <w:r w:rsidRPr="00932C57">
        <w:rPr>
          <w:rFonts w:ascii="Times New Roman" w:eastAsiaTheme="minorHAnsi" w:hAnsi="Times New Roman"/>
          <w:sz w:val="24"/>
          <w:szCs w:val="24"/>
          <w:vertAlign w:val="superscript"/>
        </w:rPr>
        <w:footnoteReference w:id="8"/>
      </w:r>
      <w:r w:rsidRPr="00932C57">
        <w:rPr>
          <w:rFonts w:ascii="Times New Roman" w:eastAsiaTheme="minorHAnsi" w:hAnsi="Times New Roman"/>
          <w:sz w:val="24"/>
          <w:szCs w:val="24"/>
        </w:rPr>
        <w:t xml:space="preserve">  Further, the 1999 Etkin</w:t>
      </w:r>
      <w:r w:rsidRPr="00932C57">
        <w:rPr>
          <w:rFonts w:ascii="Times New Roman" w:eastAsiaTheme="minorHAnsi" w:hAnsi="Times New Roman"/>
          <w:sz w:val="24"/>
          <w:szCs w:val="24"/>
          <w:vertAlign w:val="superscript"/>
        </w:rPr>
        <w:footnoteReference w:id="9"/>
      </w:r>
      <w:r w:rsidRPr="00932C57">
        <w:rPr>
          <w:rFonts w:ascii="Times New Roman" w:eastAsiaTheme="minorHAnsi" w:hAnsi="Times New Roman"/>
          <w:sz w:val="24"/>
          <w:szCs w:val="24"/>
        </w:rPr>
        <w:t xml:space="preserve"> crude oil study had a cost of $326 per gallon for cleanup and the 2012 Marruffo study</w:t>
      </w:r>
      <w:r w:rsidRPr="00932C57">
        <w:rPr>
          <w:rFonts w:ascii="Times New Roman" w:eastAsiaTheme="minorHAnsi" w:hAnsi="Times New Roman"/>
          <w:sz w:val="24"/>
          <w:szCs w:val="24"/>
          <w:vertAlign w:val="superscript"/>
        </w:rPr>
        <w:footnoteReference w:id="10"/>
      </w:r>
      <w:r w:rsidRPr="00932C57">
        <w:rPr>
          <w:rFonts w:ascii="Times New Roman" w:eastAsiaTheme="minorHAnsi" w:hAnsi="Times New Roman"/>
          <w:sz w:val="24"/>
          <w:szCs w:val="24"/>
        </w:rPr>
        <w:t xml:space="preserve"> showed a cleanup cost of $378.34 for crude oil by rail.</w:t>
      </w:r>
      <w:r w:rsidRPr="00932C57">
        <w:rPr>
          <w:rFonts w:ascii="Times New Roman" w:eastAsiaTheme="minorHAnsi" w:hAnsi="Times New Roman"/>
          <w:sz w:val="24"/>
          <w:szCs w:val="24"/>
          <w:vertAlign w:val="superscript"/>
        </w:rPr>
        <w:footnoteReference w:id="11"/>
      </w:r>
    </w:p>
    <w:p w14:paraId="230F951E" w14:textId="77777777" w:rsidR="00932C57" w:rsidRPr="00932C57" w:rsidRDefault="00932C57" w:rsidP="00932C57">
      <w:pPr>
        <w:spacing w:after="160" w:line="259" w:lineRule="auto"/>
        <w:rPr>
          <w:rFonts w:ascii="Times New Roman" w:eastAsiaTheme="minorHAnsi" w:hAnsi="Times New Roman"/>
          <w:sz w:val="24"/>
          <w:szCs w:val="24"/>
        </w:rPr>
      </w:pPr>
      <w:r w:rsidRPr="00932C57">
        <w:rPr>
          <w:rFonts w:ascii="Times New Roman" w:eastAsiaTheme="minorHAnsi" w:hAnsi="Times New Roman"/>
          <w:sz w:val="24"/>
          <w:szCs w:val="24"/>
        </w:rPr>
        <w:t>For the above reasons the commission has elected to propose a reasonable worst case definition that would utilize the kinetic force scale down formula, using the railroads maximum operating speed for a train moving oil.  The clean-up cost that must be applied to the reasonable worst case spill is $16,800 per barrel or $400 per gallon.</w:t>
      </w:r>
    </w:p>
    <w:p w14:paraId="27D85C11" w14:textId="77777777" w:rsidR="00D85C7B" w:rsidRPr="00AB16AE" w:rsidRDefault="00D85C7B">
      <w:pPr>
        <w:rPr>
          <w:rFonts w:ascii="Times New Roman" w:hAnsi="Times New Roman"/>
          <w:sz w:val="24"/>
          <w:szCs w:val="24"/>
        </w:rPr>
      </w:pPr>
    </w:p>
    <w:sectPr w:rsidR="00D85C7B" w:rsidRPr="00AB16AE" w:rsidSect="00932C5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F0CC0" w14:textId="77777777" w:rsidR="00B569C4" w:rsidRDefault="00B569C4" w:rsidP="00714565">
      <w:pPr>
        <w:spacing w:line="240" w:lineRule="auto"/>
      </w:pPr>
      <w:r>
        <w:separator/>
      </w:r>
    </w:p>
  </w:endnote>
  <w:endnote w:type="continuationSeparator" w:id="0">
    <w:p w14:paraId="7DFA88A3" w14:textId="77777777" w:rsidR="00B569C4" w:rsidRDefault="00B569C4" w:rsidP="007145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147550"/>
      <w:docPartObj>
        <w:docPartGallery w:val="Page Numbers (Bottom of Page)"/>
        <w:docPartUnique/>
      </w:docPartObj>
    </w:sdtPr>
    <w:sdtEndPr>
      <w:rPr>
        <w:noProof/>
      </w:rPr>
    </w:sdtEndPr>
    <w:sdtContent>
      <w:p w14:paraId="5D67E28C" w14:textId="77777777" w:rsidR="00714565" w:rsidRDefault="00714565">
        <w:pPr>
          <w:pStyle w:val="Footer"/>
          <w:jc w:val="center"/>
        </w:pPr>
        <w:r>
          <w:fldChar w:fldCharType="begin"/>
        </w:r>
        <w:r>
          <w:instrText xml:space="preserve"> PAGE   \* MERGEFORMAT </w:instrText>
        </w:r>
        <w:r>
          <w:fldChar w:fldCharType="separate"/>
        </w:r>
        <w:r w:rsidR="007A7B3B">
          <w:rPr>
            <w:noProof/>
          </w:rPr>
          <w:t>7</w:t>
        </w:r>
        <w:r>
          <w:rPr>
            <w:noProof/>
          </w:rPr>
          <w:fldChar w:fldCharType="end"/>
        </w:r>
      </w:p>
    </w:sdtContent>
  </w:sdt>
  <w:p w14:paraId="756AF06B" w14:textId="77777777" w:rsidR="00714565" w:rsidRDefault="00714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B3438" w14:textId="77777777" w:rsidR="00B569C4" w:rsidRDefault="00B569C4" w:rsidP="00714565">
      <w:pPr>
        <w:spacing w:line="240" w:lineRule="auto"/>
      </w:pPr>
      <w:r>
        <w:separator/>
      </w:r>
    </w:p>
  </w:footnote>
  <w:footnote w:type="continuationSeparator" w:id="0">
    <w:p w14:paraId="73124220" w14:textId="77777777" w:rsidR="00B569C4" w:rsidRDefault="00B569C4" w:rsidP="00714565">
      <w:pPr>
        <w:spacing w:line="240" w:lineRule="auto"/>
      </w:pPr>
      <w:r>
        <w:continuationSeparator/>
      </w:r>
    </w:p>
  </w:footnote>
  <w:footnote w:id="1">
    <w:p w14:paraId="1926D1A2" w14:textId="77777777" w:rsidR="00932C57" w:rsidRPr="00B9567C" w:rsidRDefault="00932C57" w:rsidP="00932C57">
      <w:pPr>
        <w:pStyle w:val="FootnoteText"/>
        <w:rPr>
          <w:rFonts w:ascii="Times New Roman" w:hAnsi="Times New Roman" w:cs="Times New Roman"/>
        </w:rPr>
      </w:pPr>
      <w:r w:rsidRPr="00B9567C">
        <w:rPr>
          <w:rStyle w:val="FootnoteReference"/>
          <w:rFonts w:ascii="Times New Roman" w:hAnsi="Times New Roman" w:cs="Times New Roman"/>
        </w:rPr>
        <w:footnoteRef/>
      </w:r>
      <w:r w:rsidRPr="00B9567C">
        <w:rPr>
          <w:rFonts w:ascii="Times New Roman" w:hAnsi="Times New Roman" w:cs="Times New Roman"/>
        </w:rPr>
        <w:t xml:space="preserve"> Journal of Hazardous Materials 276 (2014) 442-451, </w:t>
      </w:r>
      <w:hyperlink r:id="rId1" w:history="1">
        <w:r w:rsidRPr="00B9567C">
          <w:rPr>
            <w:rStyle w:val="Hyperlink"/>
            <w:rFonts w:ascii="Times New Roman" w:hAnsi="Times New Roman"/>
          </w:rPr>
          <w:t>http://railtec.illinois.edu/articles/Files/Journal%20Articles/2014/Liu%20et%20al%202014%20JHM%20Multiple%20Car%20Release.pdf</w:t>
        </w:r>
      </w:hyperlink>
      <w:r w:rsidRPr="00B9567C">
        <w:rPr>
          <w:rFonts w:ascii="Times New Roman" w:hAnsi="Times New Roman" w:cs="Times New Roman"/>
        </w:rPr>
        <w:t xml:space="preserve">. </w:t>
      </w:r>
    </w:p>
  </w:footnote>
  <w:footnote w:id="2">
    <w:p w14:paraId="0144F737" w14:textId="77777777" w:rsidR="00932C57" w:rsidRPr="00B9567C" w:rsidRDefault="00932C57" w:rsidP="00932C57">
      <w:pPr>
        <w:pStyle w:val="FootnoteText"/>
        <w:rPr>
          <w:rFonts w:ascii="Times New Roman" w:hAnsi="Times New Roman" w:cs="Times New Roman"/>
        </w:rPr>
      </w:pPr>
      <w:r w:rsidRPr="00B9567C">
        <w:rPr>
          <w:rStyle w:val="FootnoteReference"/>
          <w:rFonts w:ascii="Times New Roman" w:hAnsi="Times New Roman" w:cs="Times New Roman"/>
        </w:rPr>
        <w:footnoteRef/>
      </w:r>
      <w:r w:rsidRPr="00B9567C">
        <w:rPr>
          <w:rFonts w:ascii="Times New Roman" w:hAnsi="Times New Roman" w:cs="Times New Roman"/>
        </w:rPr>
        <w:t xml:space="preserve"> Final Regulatory Impact Analysis, Docket No. PHMSA-2012-0082, at 98.</w:t>
      </w:r>
    </w:p>
  </w:footnote>
  <w:footnote w:id="3">
    <w:p w14:paraId="4DCCB7C5" w14:textId="77777777" w:rsidR="00932C57" w:rsidRPr="00B9567C" w:rsidRDefault="00932C57" w:rsidP="00932C57">
      <w:pPr>
        <w:pStyle w:val="FootnoteText"/>
        <w:rPr>
          <w:rFonts w:ascii="Times New Roman" w:hAnsi="Times New Roman" w:cs="Times New Roman"/>
        </w:rPr>
      </w:pPr>
      <w:r w:rsidRPr="00B9567C">
        <w:rPr>
          <w:rStyle w:val="FootnoteReference"/>
          <w:rFonts w:ascii="Times New Roman" w:hAnsi="Times New Roman" w:cs="Times New Roman"/>
        </w:rPr>
        <w:footnoteRef/>
      </w:r>
      <w:r w:rsidRPr="00B9567C">
        <w:rPr>
          <w:rFonts w:ascii="Times New Roman" w:hAnsi="Times New Roman" w:cs="Times New Roman"/>
        </w:rPr>
        <w:t xml:space="preserve"> Final Regulatory Impact Analysis, Docket No. PHMSA-2012-0082, at 52</w:t>
      </w:r>
    </w:p>
  </w:footnote>
  <w:footnote w:id="4">
    <w:p w14:paraId="41B2E2A6" w14:textId="77777777" w:rsidR="00932C57" w:rsidRPr="00B9567C" w:rsidRDefault="00932C57" w:rsidP="00932C57">
      <w:pPr>
        <w:pStyle w:val="FootnoteText"/>
        <w:rPr>
          <w:rFonts w:ascii="Times New Roman" w:hAnsi="Times New Roman" w:cs="Times New Roman"/>
        </w:rPr>
      </w:pPr>
      <w:r w:rsidRPr="00B9567C">
        <w:rPr>
          <w:rStyle w:val="FootnoteReference"/>
          <w:rFonts w:ascii="Times New Roman" w:hAnsi="Times New Roman" w:cs="Times New Roman"/>
        </w:rPr>
        <w:footnoteRef/>
      </w:r>
      <w:r w:rsidRPr="00B9567C">
        <w:rPr>
          <w:rFonts w:ascii="Times New Roman" w:hAnsi="Times New Roman" w:cs="Times New Roman"/>
        </w:rPr>
        <w:t xml:space="preserve"> Railway Investigation Report R13D0054, </w:t>
      </w:r>
      <w:hyperlink r:id="rId2" w:history="1">
        <w:r w:rsidRPr="00B9567C">
          <w:rPr>
            <w:rStyle w:val="Hyperlink"/>
            <w:rFonts w:ascii="Times New Roman" w:hAnsi="Times New Roman"/>
          </w:rPr>
          <w:t>http://www.tsb.gc.ca/eng/rapports-reports/rail/2013/R13D0054/R13D0054.pdf</w:t>
        </w:r>
      </w:hyperlink>
      <w:r w:rsidRPr="00B9567C">
        <w:rPr>
          <w:rFonts w:ascii="Times New Roman" w:hAnsi="Times New Roman" w:cs="Times New Roman"/>
        </w:rPr>
        <w:t xml:space="preserve">. </w:t>
      </w:r>
    </w:p>
  </w:footnote>
  <w:footnote w:id="5">
    <w:p w14:paraId="06ADD6B2" w14:textId="77777777" w:rsidR="00932C57" w:rsidRPr="00B9567C" w:rsidRDefault="00932C57" w:rsidP="00932C57">
      <w:pPr>
        <w:pStyle w:val="FootnoteText"/>
        <w:rPr>
          <w:rFonts w:ascii="Times New Roman" w:hAnsi="Times New Roman" w:cs="Times New Roman"/>
        </w:rPr>
      </w:pPr>
      <w:r w:rsidRPr="00B9567C">
        <w:rPr>
          <w:rStyle w:val="FootnoteReference"/>
          <w:rFonts w:ascii="Times New Roman" w:hAnsi="Times New Roman" w:cs="Times New Roman"/>
        </w:rPr>
        <w:footnoteRef/>
      </w:r>
      <w:r w:rsidRPr="00B9567C">
        <w:rPr>
          <w:rFonts w:ascii="Times New Roman" w:hAnsi="Times New Roman" w:cs="Times New Roman"/>
        </w:rPr>
        <w:t xml:space="preserve"> Final Regulatory Impact Analysis, Docket No. PHMSA-2012-0082, at 87</w:t>
      </w:r>
    </w:p>
  </w:footnote>
  <w:footnote w:id="6">
    <w:p w14:paraId="56121CB7" w14:textId="77777777" w:rsidR="00932C57" w:rsidRPr="00B9567C" w:rsidRDefault="00932C57" w:rsidP="00932C57">
      <w:pPr>
        <w:pStyle w:val="FootnoteText"/>
        <w:rPr>
          <w:rFonts w:ascii="Times New Roman" w:hAnsi="Times New Roman" w:cs="Times New Roman"/>
        </w:rPr>
      </w:pPr>
      <w:r w:rsidRPr="00B9567C">
        <w:rPr>
          <w:rStyle w:val="FootnoteReference"/>
          <w:rFonts w:ascii="Times New Roman" w:hAnsi="Times New Roman" w:cs="Times New Roman"/>
        </w:rPr>
        <w:footnoteRef/>
      </w:r>
      <w:r w:rsidRPr="00B9567C">
        <w:rPr>
          <w:rFonts w:ascii="Times New Roman" w:hAnsi="Times New Roman" w:cs="Times New Roman"/>
        </w:rPr>
        <w:t xml:space="preserve"> Final Regulatory Impact Analysis, Docket No. PHMSA-2012-0082, at 87</w:t>
      </w:r>
    </w:p>
  </w:footnote>
  <w:footnote w:id="7">
    <w:p w14:paraId="0FE47F36" w14:textId="77777777" w:rsidR="00932C57" w:rsidRPr="00B9567C" w:rsidRDefault="00932C57" w:rsidP="00932C57">
      <w:pPr>
        <w:pStyle w:val="FootnoteText"/>
        <w:rPr>
          <w:rFonts w:ascii="Times New Roman" w:hAnsi="Times New Roman" w:cs="Times New Roman"/>
        </w:rPr>
      </w:pPr>
      <w:r w:rsidRPr="00B9567C">
        <w:rPr>
          <w:rStyle w:val="FootnoteReference"/>
          <w:rFonts w:ascii="Times New Roman" w:hAnsi="Times New Roman" w:cs="Times New Roman"/>
        </w:rPr>
        <w:footnoteRef/>
      </w:r>
      <w:r w:rsidRPr="00B9567C">
        <w:rPr>
          <w:rFonts w:ascii="Times New Roman" w:hAnsi="Times New Roman" w:cs="Times New Roman"/>
        </w:rPr>
        <w:t xml:space="preserve"> Final Regulatory Impact Analysis, Docket No. PHMSA-2012-0082, at 115</w:t>
      </w:r>
    </w:p>
  </w:footnote>
  <w:footnote w:id="8">
    <w:p w14:paraId="4BF0EF37" w14:textId="77777777" w:rsidR="00932C57" w:rsidRPr="00B9567C" w:rsidRDefault="00932C57" w:rsidP="00932C57">
      <w:pPr>
        <w:pStyle w:val="FootnoteText"/>
        <w:rPr>
          <w:rFonts w:ascii="Times New Roman" w:hAnsi="Times New Roman" w:cs="Times New Roman"/>
        </w:rPr>
      </w:pPr>
      <w:r>
        <w:rPr>
          <w:rStyle w:val="FootnoteReference"/>
        </w:rPr>
        <w:footnoteRef/>
      </w:r>
      <w:r>
        <w:t xml:space="preserve"> </w:t>
      </w:r>
      <w:r w:rsidRPr="003B4D6F">
        <w:rPr>
          <w:rFonts w:ascii="Times New Roman" w:hAnsi="Times New Roman" w:cs="Times New Roman"/>
        </w:rPr>
        <w:t>Final Regulatory Impact Analysis, D</w:t>
      </w:r>
      <w:r>
        <w:rPr>
          <w:rFonts w:ascii="Times New Roman" w:hAnsi="Times New Roman" w:cs="Times New Roman"/>
        </w:rPr>
        <w:t>ocket No. PHMSA-2012-0082, at 86</w:t>
      </w:r>
    </w:p>
  </w:footnote>
  <w:footnote w:id="9">
    <w:p w14:paraId="7515FE73" w14:textId="77777777" w:rsidR="00932C57" w:rsidRPr="00CB41AD" w:rsidRDefault="00932C57" w:rsidP="00932C57">
      <w:pPr>
        <w:pStyle w:val="FootnoteText"/>
        <w:rPr>
          <w:rFonts w:ascii="Times New Roman" w:hAnsi="Times New Roman" w:cs="Times New Roman"/>
        </w:rPr>
      </w:pPr>
      <w:r w:rsidRPr="00CB41AD">
        <w:rPr>
          <w:rStyle w:val="FootnoteReference"/>
          <w:rFonts w:ascii="Times New Roman" w:hAnsi="Times New Roman" w:cs="Times New Roman"/>
        </w:rPr>
        <w:footnoteRef/>
      </w:r>
      <w:r w:rsidRPr="00CB41AD">
        <w:rPr>
          <w:rFonts w:ascii="Times New Roman" w:hAnsi="Times New Roman" w:cs="Times New Roman"/>
        </w:rPr>
        <w:t xml:space="preserve"> Etkin, D.S. “Estimating Clean-up Costs for Oil Spills.” Proceedings, International Oil Spill Conference, 1999</w:t>
      </w:r>
    </w:p>
  </w:footnote>
  <w:footnote w:id="10">
    <w:p w14:paraId="67CF6A13" w14:textId="77777777" w:rsidR="00932C57" w:rsidRPr="00CB41AD" w:rsidRDefault="00932C57" w:rsidP="00932C57">
      <w:pPr>
        <w:pStyle w:val="FootnoteText"/>
        <w:rPr>
          <w:rFonts w:ascii="Times New Roman" w:hAnsi="Times New Roman" w:cs="Times New Roman"/>
        </w:rPr>
      </w:pPr>
      <w:r w:rsidRPr="00CB41AD">
        <w:rPr>
          <w:rStyle w:val="FootnoteReference"/>
          <w:rFonts w:ascii="Times New Roman" w:hAnsi="Times New Roman" w:cs="Times New Roman"/>
        </w:rPr>
        <w:footnoteRef/>
      </w:r>
      <w:r w:rsidRPr="00CB41AD">
        <w:rPr>
          <w:rFonts w:ascii="Times New Roman" w:hAnsi="Times New Roman" w:cs="Times New Roman"/>
        </w:rPr>
        <w:t xml:space="preserve"> Marruffo, Amanda, Hongkyu Yoon, David J. Schaeffer, Christopher P. L. Barkan, Mohd Rapik Saat, and Charles J. Werth. “NAPL Source Zone Depletion Model and Its Application to Railroad-Tank-Car Spills.” Groundwater 50, no. 4 (2012): 627–632</w:t>
      </w:r>
    </w:p>
  </w:footnote>
  <w:footnote w:id="11">
    <w:p w14:paraId="1B25551D" w14:textId="77777777" w:rsidR="00932C57" w:rsidRPr="00CB41AD" w:rsidRDefault="00932C57" w:rsidP="00932C57">
      <w:pPr>
        <w:pStyle w:val="FootnoteText"/>
        <w:rPr>
          <w:rFonts w:ascii="Times New Roman" w:hAnsi="Times New Roman" w:cs="Times New Roman"/>
        </w:rPr>
      </w:pPr>
      <w:r w:rsidRPr="00CB41AD">
        <w:rPr>
          <w:rStyle w:val="FootnoteReference"/>
          <w:rFonts w:ascii="Times New Roman" w:hAnsi="Times New Roman" w:cs="Times New Roman"/>
        </w:rPr>
        <w:footnoteRef/>
      </w:r>
      <w:r w:rsidRPr="00CB41AD">
        <w:rPr>
          <w:rFonts w:ascii="Times New Roman" w:hAnsi="Times New Roman" w:cs="Times New Roman"/>
        </w:rPr>
        <w:t xml:space="preserve"> The model described in Marruffo (2012) model is used to predict the relative impact of crude oil or ethanol released from railroad-tank car accidents on soil and groundwater contamination and cleanup times, but no monetized costs are presented. (page 115)</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C7222"/>
    <w:multiLevelType w:val="hybridMultilevel"/>
    <w:tmpl w:val="6408F0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2A6DE0"/>
    <w:multiLevelType w:val="hybridMultilevel"/>
    <w:tmpl w:val="C654F6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A76B6E"/>
    <w:multiLevelType w:val="hybridMultilevel"/>
    <w:tmpl w:val="461641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2A61E2"/>
    <w:multiLevelType w:val="hybridMultilevel"/>
    <w:tmpl w:val="3BD0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E3D18"/>
    <w:multiLevelType w:val="hybridMultilevel"/>
    <w:tmpl w:val="5350A8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385682F"/>
    <w:multiLevelType w:val="hybridMultilevel"/>
    <w:tmpl w:val="BD8C3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B4B15"/>
    <w:multiLevelType w:val="hybridMultilevel"/>
    <w:tmpl w:val="5FFE00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78E3BAE"/>
    <w:multiLevelType w:val="hybridMultilevel"/>
    <w:tmpl w:val="6A34B1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8870657"/>
    <w:multiLevelType w:val="hybridMultilevel"/>
    <w:tmpl w:val="3EE8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B5C70"/>
    <w:multiLevelType w:val="hybridMultilevel"/>
    <w:tmpl w:val="F13AD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7552D"/>
    <w:multiLevelType w:val="hybridMultilevel"/>
    <w:tmpl w:val="BEDE017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312151"/>
    <w:multiLevelType w:val="hybridMultilevel"/>
    <w:tmpl w:val="F6F6DA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0E5B00"/>
    <w:multiLevelType w:val="hybridMultilevel"/>
    <w:tmpl w:val="DA825C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3BB25170"/>
    <w:multiLevelType w:val="hybridMultilevel"/>
    <w:tmpl w:val="CBD4FD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6A5389"/>
    <w:multiLevelType w:val="hybridMultilevel"/>
    <w:tmpl w:val="A5F63B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C44827"/>
    <w:multiLevelType w:val="hybridMultilevel"/>
    <w:tmpl w:val="59F0A4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6B620E"/>
    <w:multiLevelType w:val="hybridMultilevel"/>
    <w:tmpl w:val="4D1EE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A0C52"/>
    <w:multiLevelType w:val="hybridMultilevel"/>
    <w:tmpl w:val="0B88B3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752353"/>
    <w:multiLevelType w:val="hybridMultilevel"/>
    <w:tmpl w:val="DE9E05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5"/>
  </w:num>
  <w:num w:numId="6">
    <w:abstractNumId w:val="4"/>
  </w:num>
  <w:num w:numId="7">
    <w:abstractNumId w:val="13"/>
  </w:num>
  <w:num w:numId="8">
    <w:abstractNumId w:val="18"/>
  </w:num>
  <w:num w:numId="9">
    <w:abstractNumId w:val="10"/>
  </w:num>
  <w:num w:numId="10">
    <w:abstractNumId w:val="7"/>
  </w:num>
  <w:num w:numId="11">
    <w:abstractNumId w:val="0"/>
  </w:num>
  <w:num w:numId="12">
    <w:abstractNumId w:val="1"/>
  </w:num>
  <w:num w:numId="13">
    <w:abstractNumId w:val="14"/>
  </w:num>
  <w:num w:numId="14">
    <w:abstractNumId w:val="2"/>
  </w:num>
  <w:num w:numId="15">
    <w:abstractNumId w:val="17"/>
  </w:num>
  <w:num w:numId="16">
    <w:abstractNumId w:val="11"/>
  </w:num>
  <w:num w:numId="17">
    <w:abstractNumId w:val="16"/>
  </w:num>
  <w:num w:numId="18">
    <w:abstractNumId w:val="8"/>
  </w:num>
  <w:num w:numId="19">
    <w:abstractNumId w:val="9"/>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B64"/>
    <w:rsid w:val="00004D72"/>
    <w:rsid w:val="000314F6"/>
    <w:rsid w:val="0004124F"/>
    <w:rsid w:val="00062BB5"/>
    <w:rsid w:val="0009133D"/>
    <w:rsid w:val="000E19E4"/>
    <w:rsid w:val="000F2867"/>
    <w:rsid w:val="001C3836"/>
    <w:rsid w:val="002102A5"/>
    <w:rsid w:val="00261EE9"/>
    <w:rsid w:val="00281458"/>
    <w:rsid w:val="002D0038"/>
    <w:rsid w:val="004026A5"/>
    <w:rsid w:val="00407872"/>
    <w:rsid w:val="00494848"/>
    <w:rsid w:val="004D3BB6"/>
    <w:rsid w:val="005413E7"/>
    <w:rsid w:val="00571321"/>
    <w:rsid w:val="005E7F22"/>
    <w:rsid w:val="005F1C26"/>
    <w:rsid w:val="00624C62"/>
    <w:rsid w:val="00625B64"/>
    <w:rsid w:val="0063621B"/>
    <w:rsid w:val="00714565"/>
    <w:rsid w:val="007A7B3B"/>
    <w:rsid w:val="00820606"/>
    <w:rsid w:val="00832D1F"/>
    <w:rsid w:val="00881507"/>
    <w:rsid w:val="008B5330"/>
    <w:rsid w:val="008E375E"/>
    <w:rsid w:val="0090335E"/>
    <w:rsid w:val="0090691B"/>
    <w:rsid w:val="00932C57"/>
    <w:rsid w:val="009A6F40"/>
    <w:rsid w:val="009D4EFF"/>
    <w:rsid w:val="009E282A"/>
    <w:rsid w:val="00AB16AE"/>
    <w:rsid w:val="00AF12FE"/>
    <w:rsid w:val="00B569C4"/>
    <w:rsid w:val="00B60112"/>
    <w:rsid w:val="00B96A55"/>
    <w:rsid w:val="00BD4B3E"/>
    <w:rsid w:val="00C051B2"/>
    <w:rsid w:val="00C60098"/>
    <w:rsid w:val="00CA44C8"/>
    <w:rsid w:val="00CB41AD"/>
    <w:rsid w:val="00CD537A"/>
    <w:rsid w:val="00CE2BCD"/>
    <w:rsid w:val="00CF732C"/>
    <w:rsid w:val="00D40150"/>
    <w:rsid w:val="00D72849"/>
    <w:rsid w:val="00D85C7B"/>
    <w:rsid w:val="00DB54D5"/>
    <w:rsid w:val="00DD0A6B"/>
    <w:rsid w:val="00DD7F11"/>
    <w:rsid w:val="00E34F5C"/>
    <w:rsid w:val="00EF1150"/>
    <w:rsid w:val="00F51299"/>
    <w:rsid w:val="00FA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0AE8"/>
  <w15:chartTrackingRefBased/>
  <w15:docId w15:val="{3A04B643-9ABD-4C91-8D0E-6C00BFA9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B64"/>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B64"/>
    <w:pPr>
      <w:spacing w:after="160" w:line="256" w:lineRule="auto"/>
      <w:ind w:left="720"/>
      <w:contextualSpacing/>
    </w:pPr>
    <w:rPr>
      <w:rFonts w:asciiTheme="minorHAnsi" w:eastAsiaTheme="minorHAnsi" w:hAnsiTheme="minorHAnsi" w:cstheme="minorBidi"/>
    </w:rPr>
  </w:style>
  <w:style w:type="paragraph" w:customStyle="1" w:styleId="Default">
    <w:name w:val="Default"/>
    <w:rsid w:val="00625B6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714565"/>
    <w:pPr>
      <w:tabs>
        <w:tab w:val="center" w:pos="4680"/>
        <w:tab w:val="right" w:pos="9360"/>
      </w:tabs>
      <w:spacing w:line="240" w:lineRule="auto"/>
    </w:pPr>
  </w:style>
  <w:style w:type="character" w:customStyle="1" w:styleId="HeaderChar">
    <w:name w:val="Header Char"/>
    <w:basedOn w:val="DefaultParagraphFont"/>
    <w:link w:val="Header"/>
    <w:uiPriority w:val="99"/>
    <w:rsid w:val="00714565"/>
    <w:rPr>
      <w:rFonts w:ascii="Calibri" w:eastAsia="Calibri" w:hAnsi="Calibri" w:cs="Times New Roman"/>
    </w:rPr>
  </w:style>
  <w:style w:type="paragraph" w:styleId="Footer">
    <w:name w:val="footer"/>
    <w:basedOn w:val="Normal"/>
    <w:link w:val="FooterChar"/>
    <w:uiPriority w:val="99"/>
    <w:unhideWhenUsed/>
    <w:rsid w:val="00714565"/>
    <w:pPr>
      <w:tabs>
        <w:tab w:val="center" w:pos="4680"/>
        <w:tab w:val="right" w:pos="9360"/>
      </w:tabs>
      <w:spacing w:line="240" w:lineRule="auto"/>
    </w:pPr>
  </w:style>
  <w:style w:type="character" w:customStyle="1" w:styleId="FooterChar">
    <w:name w:val="Footer Char"/>
    <w:basedOn w:val="DefaultParagraphFont"/>
    <w:link w:val="Footer"/>
    <w:uiPriority w:val="99"/>
    <w:rsid w:val="00714565"/>
    <w:rPr>
      <w:rFonts w:ascii="Calibri" w:eastAsia="Calibri" w:hAnsi="Calibri" w:cs="Times New Roman"/>
    </w:rPr>
  </w:style>
  <w:style w:type="paragraph" w:styleId="BalloonText">
    <w:name w:val="Balloon Text"/>
    <w:basedOn w:val="Normal"/>
    <w:link w:val="BalloonTextChar"/>
    <w:uiPriority w:val="99"/>
    <w:semiHidden/>
    <w:unhideWhenUsed/>
    <w:rsid w:val="0090335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35E"/>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932C57"/>
    <w:pPr>
      <w:spacing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32C57"/>
    <w:rPr>
      <w:sz w:val="20"/>
      <w:szCs w:val="20"/>
    </w:rPr>
  </w:style>
  <w:style w:type="character" w:styleId="FootnoteReference">
    <w:name w:val="footnote reference"/>
    <w:basedOn w:val="DefaultParagraphFont"/>
    <w:uiPriority w:val="99"/>
    <w:semiHidden/>
    <w:unhideWhenUsed/>
    <w:rsid w:val="00932C57"/>
    <w:rPr>
      <w:vertAlign w:val="superscript"/>
    </w:rPr>
  </w:style>
  <w:style w:type="character" w:styleId="Hyperlink">
    <w:name w:val="Hyperlink"/>
    <w:basedOn w:val="DefaultParagraphFont"/>
    <w:uiPriority w:val="99"/>
    <w:unhideWhenUsed/>
    <w:rsid w:val="00932C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2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2" Type="http://schemas.openxmlformats.org/officeDocument/2006/relationships/hyperlink" Target="http://www.tsb.gc.ca/eng/rapports-reports/rail/2013/R13D0054/R13D0054.pdf" TargetMode="External"/><Relationship Id="rId1" Type="http://schemas.openxmlformats.org/officeDocument/2006/relationships/hyperlink" Target="http://railtec.illinois.edu/articles/Files/Journal%20Articles/2014/Liu%20et%20al%202014%20JHM%20Multiple%20Car%20Relea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ketNumber xmlns="dc463f71-b30c-4ab2-9473-d307f9d35888">151079</DocketNumber>
    <IndustryCode xmlns="dc463f71-b30c-4ab2-9473-d307f9d35888">210</IndustryCode>
    <Prefix xmlns="dc463f71-b30c-4ab2-9473-d307f9d35888">TR</Prefix>
    <DocumentSetType xmlns="dc463f71-b30c-4ab2-9473-d307f9d35888">CR-102</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2015-05-18T07:00:00+00:00</OpenedDate>
    <Date1 xmlns="dc463f71-b30c-4ab2-9473-d307f9d35888">2015-11-06T19:05:48+00:00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CDF645382F984785B6116308A6C1D8" ma:contentTypeVersion="119" ma:contentTypeDescription="" ma:contentTypeScope="" ma:versionID="b779533370709dec30baffbd44913ad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48F7A2C-FDAB-4191-9C02-D2A0737C5A66}"/>
</file>

<file path=customXml/itemProps2.xml><?xml version="1.0" encoding="utf-8"?>
<ds:datastoreItem xmlns:ds="http://schemas.openxmlformats.org/officeDocument/2006/customXml" ds:itemID="{7A69B115-1CF1-45CF-9C53-AC83A06A682D}"/>
</file>

<file path=customXml/itemProps3.xml><?xml version="1.0" encoding="utf-8"?>
<ds:datastoreItem xmlns:ds="http://schemas.openxmlformats.org/officeDocument/2006/customXml" ds:itemID="{DA356780-DF73-4C5A-98B0-5315B2DBB5A7}"/>
</file>

<file path=customXml/itemProps4.xml><?xml version="1.0" encoding="utf-8"?>
<ds:datastoreItem xmlns:ds="http://schemas.openxmlformats.org/officeDocument/2006/customXml" ds:itemID="{FD1C8171-5710-4FE7-8068-D4ADFDEC5AE4}"/>
</file>

<file path=customXml/itemProps5.xml><?xml version="1.0" encoding="utf-8"?>
<ds:datastoreItem xmlns:ds="http://schemas.openxmlformats.org/officeDocument/2006/customXml" ds:itemID="{3E4127CB-423D-47F5-85A3-B86F5CDAAD50}"/>
</file>

<file path=docProps/app.xml><?xml version="1.0" encoding="utf-8"?>
<Properties xmlns="http://schemas.openxmlformats.org/officeDocument/2006/extended-properties" xmlns:vt="http://schemas.openxmlformats.org/officeDocument/2006/docPropsVTypes">
  <Template>Normal</Template>
  <TotalTime>0</TotalTime>
  <Pages>7</Pages>
  <Words>2703</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Vicki (UTC)</dc:creator>
  <cp:keywords/>
  <dc:description/>
  <cp:lastModifiedBy>Walker, Kippi (UTC)</cp:lastModifiedBy>
  <cp:revision>2</cp:revision>
  <cp:lastPrinted>2015-10-14T17:58:00Z</cp:lastPrinted>
  <dcterms:created xsi:type="dcterms:W3CDTF">2015-11-05T21:46:00Z</dcterms:created>
  <dcterms:modified xsi:type="dcterms:W3CDTF">2015-11-05T21:46:00Z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0x0101006E56B4D1795A2E4DB2F0B01679ED314A00A9CDF645382F984785B6116308A6C1D8</vt:lpwstr>
  </property>
  <property fmtid="{D5CDD505-2E9C-101B-9397-08002B2CF9AE}" pid="3" name="_docset_NoMedatataSyncRequired">
    <vt:lpwstr>False</vt:lpwstr>
  </property>
</Properties>
</file>