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1079"/>
        </w:tabs>
      </w:pPr>
      <w:r>
        <w:rPr>
          <w:color w:val="800000"/>
          <w:sz w:val="40"/>
          <w:szCs w:val="40"/>
          <w:u w:color="800000"/>
          <w:rtl w:val="0"/>
          <w:lang w:val="en-US"/>
        </w:rPr>
        <w:t>Citizens for Sane Eastside Energy (CSEE)</w:t>
      </w:r>
      <w:r>
        <w:rPr>
          <w:color w:val="800000"/>
          <w:sz w:val="40"/>
          <w:szCs w:val="40"/>
          <w:u w:color="800000"/>
        </w:rPr>
        <w:drawing>
          <wp:anchor distT="152400" distB="152400" distL="152400" distR="152400" simplePos="0" relativeHeight="251661312" behindDoc="0" locked="0" layoutInCell="1" allowOverlap="1">
            <wp:simplePos x="0" y="0"/>
            <wp:positionH relativeFrom="page">
              <wp:posOffset>5615663</wp:posOffset>
            </wp:positionH>
            <wp:positionV relativeFrom="line">
              <wp:posOffset>208491</wp:posOffset>
            </wp:positionV>
            <wp:extent cx="1733827" cy="657113"/>
            <wp:effectExtent l="0" t="0" r="0" b="0"/>
            <wp:wrapThrough wrapText="bothSides" distL="152400" distR="152400">
              <wp:wrapPolygon edited="1">
                <wp:start x="0" y="0"/>
                <wp:lineTo x="21600" y="0"/>
                <wp:lineTo x="21600" y="21600"/>
                <wp:lineTo x="0" y="21600"/>
                <wp:lineTo x="0" y="0"/>
              </wp:wrapPolygon>
            </wp:wrapThrough>
            <wp:docPr id="1073741825" name="officeArt object" descr="Screen Shot 2017-05-31 at 3.36.27 PM.png"/>
            <wp:cNvGraphicFramePr/>
            <a:graphic xmlns:a="http://schemas.openxmlformats.org/drawingml/2006/main">
              <a:graphicData uri="http://schemas.openxmlformats.org/drawingml/2006/picture">
                <pic:pic xmlns:pic="http://schemas.openxmlformats.org/drawingml/2006/picture">
                  <pic:nvPicPr>
                    <pic:cNvPr id="1073741825" name="Screen Shot 2017-05-31 at 3.36.27 PM.png" descr="Screen Shot 2017-05-31 at 3.36.27 PM.png"/>
                    <pic:cNvPicPr>
                      <a:picLocks noChangeAspect="1"/>
                    </pic:cNvPicPr>
                  </pic:nvPicPr>
                  <pic:blipFill>
                    <a:blip r:embed="rId4">
                      <a:extLst/>
                    </a:blip>
                    <a:stretch>
                      <a:fillRect/>
                    </a:stretch>
                  </pic:blipFill>
                  <pic:spPr>
                    <a:xfrm>
                      <a:off x="0" y="0"/>
                      <a:ext cx="1733827" cy="657113"/>
                    </a:xfrm>
                    <a:prstGeom prst="rect">
                      <a:avLst/>
                    </a:prstGeom>
                    <a:ln w="12700" cap="flat">
                      <a:noFill/>
                      <a:miter lim="400000"/>
                    </a:ln>
                    <a:effectLst/>
                  </pic:spPr>
                </pic:pic>
              </a:graphicData>
            </a:graphic>
          </wp:anchor>
        </w:drawing>
      </w:r>
      <w:r>
        <w:rPr>
          <w:color w:val="800000"/>
          <w:sz w:val="40"/>
          <w:szCs w:val="40"/>
          <w:u w:color="800000"/>
          <w:rtl w:val="0"/>
          <w:lang w:val="en-US"/>
        </w:rPr>
        <w:t xml:space="preserve"> </w:t>
      </w:r>
    </w:p>
    <w:p>
      <w:pPr>
        <w:pStyle w:val="Default"/>
        <w:tabs>
          <w:tab w:val="left" w:pos="8860"/>
        </w:tabs>
        <w:ind w:left="1440" w:firstLine="0"/>
        <w:jc w:val="right"/>
        <w:rPr>
          <w:rFonts w:ascii="Arial Unicode MS" w:cs="Arial Unicode MS" w:hAnsi="Arial Unicode MS" w:eastAsia="Arial Unicode MS"/>
          <w:sz w:val="10"/>
          <w:szCs w:val="10"/>
        </w:rPr>
      </w:pPr>
      <w:r>
        <w:rPr>
          <w:sz w:val="10"/>
          <w:szCs w:val="10"/>
        </w:rPr>
        <mc:AlternateContent>
          <mc:Choice Requires="wps">
            <w:drawing>
              <wp:anchor distT="0" distB="0" distL="0" distR="0" simplePos="0" relativeHeight="251659264" behindDoc="0" locked="0" layoutInCell="1" allowOverlap="1">
                <wp:simplePos x="0" y="0"/>
                <wp:positionH relativeFrom="column">
                  <wp:posOffset>5067</wp:posOffset>
                </wp:positionH>
                <wp:positionV relativeFrom="line">
                  <wp:posOffset>10160</wp:posOffset>
                </wp:positionV>
                <wp:extent cx="6362701" cy="889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362701" cy="8890"/>
                        </a:xfrm>
                        <a:prstGeom prst="line">
                          <a:avLst/>
                        </a:prstGeom>
                        <a:noFill/>
                        <a:ln w="17780" cap="flat">
                          <a:solidFill>
                            <a:srgbClr val="94006B"/>
                          </a:solidFill>
                          <a:prstDash val="solid"/>
                          <a:round/>
                        </a:ln>
                        <a:effectLst/>
                      </wps:spPr>
                      <wps:bodyPr/>
                    </wps:wsp>
                  </a:graphicData>
                </a:graphic>
              </wp:anchor>
            </w:drawing>
          </mc:Choice>
          <mc:Fallback>
            <w:pict>
              <v:line id="_x0000_s1026" style="visibility:visible;position:absolute;margin-left:0.4pt;margin-top:0.8pt;width:501.0pt;height:0.7pt;z-index:251659264;mso-position-horizontal:absolute;mso-position-horizontal-relative:text;mso-position-vertical:absolute;mso-position-vertical-relative:line;mso-wrap-distance-left:0.0pt;mso-wrap-distance-top:0.0pt;mso-wrap-distance-right:0.0pt;mso-wrap-distance-bottom:0.0pt;">
                <v:fill on="f"/>
                <v:stroke filltype="solid" color="#94006B" opacity="100.0%" weight="1.4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Unicode MS" w:cs="Arial Unicode MS" w:hAnsi="Arial Unicode MS" w:eastAsia="Arial Unicode MS"/>
          <w:sz w:val="10"/>
          <w:szCs w:val="10"/>
        </w:rPr>
        <w:br w:type="textWrapping"/>
      </w:r>
    </w:p>
    <w:p>
      <w:pPr>
        <w:pStyle w:val="Default"/>
        <w:tabs>
          <w:tab w:val="left" w:pos="8860"/>
        </w:tabs>
        <w:ind w:left="1440" w:firstLine="0"/>
        <w:jc w:val="right"/>
        <w:rPr>
          <w:rFonts w:ascii="Arial Unicode MS" w:cs="Arial Unicode MS" w:hAnsi="Arial Unicode MS" w:eastAsia="Arial Unicode MS"/>
          <w:sz w:val="10"/>
          <w:szCs w:val="10"/>
        </w:rPr>
      </w:pPr>
    </w:p>
    <w:p>
      <w:pPr>
        <w:pStyle w:val="Default"/>
        <w:tabs>
          <w:tab w:val="left" w:pos="8860"/>
        </w:tabs>
        <w:ind w:left="1440" w:firstLine="0"/>
        <w:jc w:val="right"/>
        <w:rPr>
          <w:rFonts w:ascii="Arial Unicode MS" w:cs="Arial Unicode MS" w:hAnsi="Arial Unicode MS" w:eastAsia="Arial Unicode MS"/>
          <w:sz w:val="10"/>
          <w:szCs w:val="10"/>
        </w:rPr>
      </w:pPr>
    </w:p>
    <w:p>
      <w:pPr>
        <w:pStyle w:val="Default"/>
        <w:tabs>
          <w:tab w:val="left" w:pos="8860"/>
        </w:tabs>
        <w:ind w:left="1440" w:firstLine="0"/>
        <w:jc w:val="right"/>
        <w:rPr>
          <w:rFonts w:ascii="Arial Unicode MS" w:cs="Arial Unicode MS" w:hAnsi="Arial Unicode MS" w:eastAsia="Arial Unicode MS"/>
          <w:sz w:val="10"/>
          <w:szCs w:val="10"/>
        </w:rPr>
      </w:pPr>
    </w:p>
    <w:p>
      <w:pPr>
        <w:pStyle w:val="Default"/>
        <w:tabs>
          <w:tab w:val="left" w:pos="8860"/>
        </w:tabs>
        <w:ind w:left="1440" w:firstLine="0"/>
        <w:jc w:val="right"/>
        <w:rPr>
          <w:rFonts w:ascii="Arial Unicode MS" w:cs="Arial Unicode MS" w:hAnsi="Arial Unicode MS" w:eastAsia="Arial Unicode MS"/>
          <w:sz w:val="10"/>
          <w:szCs w:val="10"/>
        </w:rPr>
      </w:pPr>
    </w:p>
    <w:p>
      <w:pPr>
        <w:pStyle w:val="Default"/>
        <w:tabs>
          <w:tab w:val="left" w:pos="8860"/>
        </w:tabs>
        <w:ind w:left="1440" w:firstLine="0"/>
        <w:jc w:val="right"/>
        <w:rPr>
          <w:rFonts w:ascii="Arial Unicode MS" w:cs="Arial Unicode MS" w:hAnsi="Arial Unicode MS" w:eastAsia="Arial Unicode MS"/>
          <w:sz w:val="10"/>
          <w:szCs w:val="10"/>
        </w:rPr>
      </w:pPr>
    </w:p>
    <w:p>
      <w:pPr>
        <w:pStyle w:val="Default"/>
        <w:tabs>
          <w:tab w:val="left" w:pos="8860"/>
        </w:tabs>
        <w:ind w:left="1440" w:firstLine="0"/>
        <w:jc w:val="right"/>
      </w:pPr>
    </w:p>
    <w:p>
      <w:pPr>
        <w:pStyle w:val="Default"/>
        <w:jc w:val="center"/>
        <w:rPr>
          <w:sz w:val="23"/>
          <w:szCs w:val="23"/>
        </w:rPr>
      </w:pPr>
    </w:p>
    <w:p>
      <w:pPr>
        <w:pStyle w:val="Default"/>
        <w:jc w:val="center"/>
        <w:rPr>
          <w:sz w:val="23"/>
          <w:szCs w:val="23"/>
        </w:rPr>
      </w:pPr>
    </w:p>
    <w:p>
      <w:pPr>
        <w:pStyle w:val="Default"/>
        <w:jc w:val="center"/>
        <w:rPr>
          <w:sz w:val="23"/>
          <w:szCs w:val="23"/>
        </w:rPr>
      </w:pPr>
      <w:r>
        <w:rPr>
          <w:sz w:val="23"/>
          <w:szCs w:val="23"/>
          <w:rtl w:val="0"/>
          <w:lang w:val="en-US"/>
        </w:rPr>
        <w:t>October 17, 2018</w:t>
      </w:r>
    </w:p>
    <w:p>
      <w:pPr>
        <w:pStyle w:val="Default"/>
        <w:tabs>
          <w:tab w:val="left" w:pos="9360"/>
        </w:tabs>
        <w:rPr>
          <w:sz w:val="23"/>
          <w:szCs w:val="23"/>
        </w:rPr>
      </w:pPr>
    </w:p>
    <w:p>
      <w:pPr>
        <w:pStyle w:val="Default"/>
        <w:tabs>
          <w:tab w:val="left" w:pos="9360"/>
        </w:tabs>
        <w:spacing w:line="264" w:lineRule="auto"/>
        <w:rPr>
          <w:sz w:val="23"/>
          <w:szCs w:val="23"/>
        </w:rPr>
      </w:pPr>
    </w:p>
    <w:p>
      <w:pPr>
        <w:pStyle w:val="Default"/>
        <w:tabs>
          <w:tab w:val="left" w:pos="9360"/>
        </w:tabs>
        <w:spacing w:line="264" w:lineRule="auto"/>
        <w:rPr>
          <w:sz w:val="23"/>
          <w:szCs w:val="23"/>
        </w:rPr>
      </w:pPr>
    </w:p>
    <w:p>
      <w:pPr>
        <w:pStyle w:val="Default"/>
        <w:tabs>
          <w:tab w:val="left" w:pos="9360"/>
        </w:tabs>
        <w:spacing w:line="264" w:lineRule="auto"/>
        <w:rPr>
          <w:sz w:val="23"/>
          <w:szCs w:val="23"/>
        </w:rPr>
      </w:pPr>
      <w:r>
        <w:rPr>
          <w:sz w:val="23"/>
          <w:szCs w:val="23"/>
          <w:rtl w:val="0"/>
          <w:lang w:val="en-US"/>
        </w:rPr>
        <w:t>Executive Director and Secretary</w:t>
      </w:r>
      <w:r>
        <w:rPr>
          <w:rFonts w:ascii="Arial Unicode MS" w:cs="Arial Unicode MS" w:hAnsi="Arial Unicode MS" w:eastAsia="Arial Unicode MS"/>
          <w:b w:val="0"/>
          <w:bCs w:val="0"/>
          <w:i w:val="0"/>
          <w:iCs w:val="0"/>
          <w:sz w:val="23"/>
          <w:szCs w:val="23"/>
        </w:rPr>
        <w:br w:type="textWrapping"/>
      </w:r>
      <w:r>
        <w:rPr>
          <w:sz w:val="23"/>
          <w:szCs w:val="23"/>
          <w:rtl w:val="0"/>
          <w:lang w:val="en-US"/>
        </w:rPr>
        <w:t xml:space="preserve">Washington Utilities and Transportation Commission </w:t>
      </w:r>
    </w:p>
    <w:p>
      <w:pPr>
        <w:pStyle w:val="Default"/>
        <w:tabs>
          <w:tab w:val="left" w:pos="9360"/>
        </w:tabs>
        <w:spacing w:line="264" w:lineRule="auto"/>
        <w:rPr>
          <w:sz w:val="23"/>
          <w:szCs w:val="23"/>
          <w:u w:val="single"/>
        </w:rPr>
      </w:pPr>
      <w:r>
        <w:rPr>
          <w:sz w:val="23"/>
          <w:szCs w:val="23"/>
          <w:rtl w:val="0"/>
          <w:lang w:val="en-US"/>
        </w:rPr>
        <w:t>1300 S. Evergreen Park Drive S.W.</w:t>
      </w:r>
      <w:r>
        <w:rPr>
          <w:rFonts w:ascii="Arial Unicode MS" w:cs="Arial Unicode MS" w:hAnsi="Arial Unicode MS" w:eastAsia="Arial Unicode MS"/>
          <w:b w:val="0"/>
          <w:bCs w:val="0"/>
          <w:i w:val="0"/>
          <w:iCs w:val="0"/>
          <w:sz w:val="23"/>
          <w:szCs w:val="23"/>
        </w:rPr>
        <w:br w:type="textWrapping"/>
      </w:r>
      <w:r>
        <w:rPr>
          <w:sz w:val="23"/>
          <w:szCs w:val="23"/>
          <w:rtl w:val="0"/>
          <w:lang w:val="en-US"/>
        </w:rPr>
        <w:t>P.O. Box 47250</w:t>
      </w:r>
      <w:r>
        <w:rPr>
          <w:rFonts w:ascii="Arial Unicode MS" w:cs="Arial Unicode MS" w:hAnsi="Arial Unicode MS" w:eastAsia="Arial Unicode MS"/>
          <w:b w:val="0"/>
          <w:bCs w:val="0"/>
          <w:i w:val="0"/>
          <w:iCs w:val="0"/>
          <w:sz w:val="23"/>
          <w:szCs w:val="23"/>
        </w:rPr>
        <w:br w:type="textWrapping"/>
      </w:r>
      <w:r>
        <w:rPr>
          <w:sz w:val="23"/>
          <w:szCs w:val="23"/>
          <w:rtl w:val="0"/>
          <w:lang w:val="en-US"/>
        </w:rPr>
        <w:t xml:space="preserve">Olympia, WA 98504-7250 </w:t>
      </w:r>
      <w:r>
        <w:rPr>
          <w:sz w:val="23"/>
          <w:szCs w:val="23"/>
          <w:rtl w:val="0"/>
          <w:lang w:val="en-US"/>
        </w:rPr>
        <w:t xml:space="preserve">                               </w:t>
      </w:r>
      <w:r>
        <w:rPr>
          <w:sz w:val="23"/>
          <w:szCs w:val="23"/>
          <w:rtl w:val="0"/>
          <w:lang w:val="en-US"/>
        </w:rPr>
        <w:t xml:space="preserve"> </w:t>
      </w:r>
      <w:r>
        <w:rPr>
          <w:sz w:val="23"/>
          <w:szCs w:val="23"/>
          <w:rtl w:val="0"/>
          <w:lang w:val="en-US"/>
        </w:rPr>
        <w:t xml:space="preserve">                  </w:t>
      </w:r>
      <w:r>
        <w:rPr>
          <w:sz w:val="23"/>
          <w:szCs w:val="23"/>
          <w:u w:val="single"/>
          <w:rtl w:val="0"/>
          <w:lang w:val="en-US"/>
        </w:rPr>
        <w:t>submitted by email to records@utc.wa.gov</w:t>
      </w:r>
      <w:r>
        <w:rPr>
          <w:rFonts w:ascii="Arial Unicode MS" w:cs="Arial Unicode MS" w:hAnsi="Arial Unicode MS" w:eastAsia="Arial Unicode MS"/>
          <w:b w:val="0"/>
          <w:bCs w:val="0"/>
          <w:i w:val="0"/>
          <w:iCs w:val="0"/>
          <w:sz w:val="23"/>
          <w:szCs w:val="23"/>
          <w:u w:val="single"/>
        </w:rPr>
        <w:br w:type="textWrapping"/>
      </w:r>
    </w:p>
    <w:p>
      <w:pPr>
        <w:pStyle w:val="Default"/>
        <w:tabs>
          <w:tab w:val="left" w:pos="9360"/>
        </w:tabs>
        <w:spacing w:line="264" w:lineRule="auto"/>
        <w:rPr>
          <w:sz w:val="23"/>
          <w:szCs w:val="23"/>
        </w:rPr>
      </w:pPr>
      <w:r>
        <w:rPr>
          <w:sz w:val="23"/>
          <w:szCs w:val="23"/>
        </w:rPr>
        <w:tab/>
      </w:r>
    </w:p>
    <w:p>
      <w:pPr>
        <w:pStyle w:val="Default"/>
        <w:tabs>
          <w:tab w:val="left" w:pos="9360"/>
        </w:tabs>
        <w:spacing w:line="264" w:lineRule="auto"/>
        <w:rPr>
          <w:sz w:val="23"/>
          <w:szCs w:val="23"/>
        </w:rPr>
      </w:pPr>
      <w:r>
        <w:rPr>
          <w:sz w:val="23"/>
          <w:szCs w:val="23"/>
          <w:rtl w:val="0"/>
          <w:lang w:val="en-US"/>
        </w:rPr>
        <w:t>Re: Puget Sound Energy</w:t>
      </w:r>
      <w:r>
        <w:rPr>
          <w:sz w:val="23"/>
          <w:szCs w:val="23"/>
          <w:rtl w:val="0"/>
          <w:lang w:val="en-US"/>
        </w:rPr>
        <w:t>’</w:t>
      </w:r>
      <w:r>
        <w:rPr>
          <w:sz w:val="23"/>
          <w:szCs w:val="23"/>
          <w:rtl w:val="0"/>
          <w:lang w:val="en-US"/>
        </w:rPr>
        <w:t>s Proposed Sale of Non-Controlling Interest in Puget Holdings LLC</w:t>
      </w:r>
    </w:p>
    <w:p>
      <w:pPr>
        <w:pStyle w:val="Default"/>
        <w:tabs>
          <w:tab w:val="left" w:pos="9360"/>
        </w:tabs>
        <w:spacing w:line="264" w:lineRule="auto"/>
        <w:rPr>
          <w:sz w:val="23"/>
          <w:szCs w:val="23"/>
        </w:rPr>
      </w:pPr>
      <w:r>
        <w:rPr>
          <w:sz w:val="23"/>
          <w:szCs w:val="23"/>
          <w:u w:val="single"/>
          <w:rtl w:val="0"/>
          <w:lang w:val="en-US"/>
        </w:rPr>
        <w:t xml:space="preserve">Docket </w:t>
      </w:r>
      <w:r>
        <w:rPr>
          <w:sz w:val="23"/>
          <w:szCs w:val="23"/>
          <w:u w:val="single"/>
          <w:rtl w:val="0"/>
          <w:lang w:val="en-US"/>
        </w:rPr>
        <w:t>U-</w:t>
      </w:r>
      <w:r>
        <w:rPr>
          <w:sz w:val="23"/>
          <w:szCs w:val="23"/>
          <w:u w:val="single"/>
          <w:rtl w:val="0"/>
          <w:lang w:val="en-US"/>
        </w:rPr>
        <w:t>180680</w:t>
      </w:r>
      <w:r>
        <w:rPr>
          <w:sz w:val="23"/>
          <w:szCs w:val="23"/>
          <w:rtl w:val="0"/>
          <w:lang w:val="en-US"/>
        </w:rPr>
        <w:t xml:space="preserve"> </w:t>
      </w:r>
    </w:p>
    <w:p>
      <w:pPr>
        <w:pStyle w:val="Default"/>
        <w:spacing w:line="264" w:lineRule="auto"/>
        <w:rPr>
          <w:sz w:val="23"/>
          <w:szCs w:val="23"/>
        </w:rPr>
      </w:pPr>
    </w:p>
    <w:p>
      <w:pPr>
        <w:pStyle w:val="Default"/>
        <w:spacing w:line="264" w:lineRule="auto"/>
        <w:rPr>
          <w:sz w:val="23"/>
          <w:szCs w:val="23"/>
        </w:rPr>
      </w:pPr>
      <w:r>
        <w:rPr>
          <w:sz w:val="23"/>
          <w:szCs w:val="23"/>
          <w:rtl w:val="0"/>
          <w:lang w:val="en-US"/>
        </w:rPr>
        <w:t>To the Commission:</w:t>
        <w:tab/>
      </w:r>
    </w:p>
    <w:p>
      <w:pPr>
        <w:pStyle w:val="Default"/>
        <w:spacing w:line="264" w:lineRule="auto"/>
        <w:rPr>
          <w:sz w:val="23"/>
          <w:szCs w:val="23"/>
        </w:rPr>
      </w:pPr>
    </w:p>
    <w:p>
      <w:pPr>
        <w:pStyle w:val="Default"/>
        <w:spacing w:line="264" w:lineRule="auto"/>
        <w:rPr>
          <w:kern w:val="0"/>
          <w:sz w:val="23"/>
          <w:szCs w:val="23"/>
        </w:rPr>
      </w:pPr>
      <w:r>
        <w:rPr>
          <w:sz w:val="23"/>
          <w:szCs w:val="23"/>
        </w:rPr>
        <w:tab/>
      </w:r>
      <w:r>
        <w:rPr>
          <w:kern w:val="0"/>
          <w:sz w:val="23"/>
          <w:szCs w:val="23"/>
          <w:rtl w:val="0"/>
          <w:lang w:val="en-US"/>
        </w:rPr>
        <w:t>Citizens for Sane Eastside Energy (CSEE)</w:t>
      </w:r>
      <w:r>
        <w:rPr>
          <w:kern w:val="0"/>
          <w:sz w:val="23"/>
          <w:szCs w:val="23"/>
          <w:rtl w:val="0"/>
          <w:lang w:val="en-US"/>
        </w:rPr>
        <w:t xml:space="preserve"> is an Eastside citizen</w:t>
      </w:r>
      <w:r>
        <w:rPr>
          <w:kern w:val="0"/>
          <w:sz w:val="23"/>
          <w:szCs w:val="23"/>
          <w:rtl w:val="0"/>
          <w:lang w:val="en-US"/>
        </w:rPr>
        <w:t>’</w:t>
      </w:r>
      <w:r>
        <w:rPr>
          <w:kern w:val="0"/>
          <w:sz w:val="23"/>
          <w:szCs w:val="23"/>
          <w:rtl w:val="0"/>
          <w:lang w:val="en-US"/>
        </w:rPr>
        <w:t>s action group committed to safe and sound Washington energy policies. Unfortunately, as evidenced by PSE</w:t>
      </w:r>
      <w:r>
        <w:rPr>
          <w:kern w:val="0"/>
          <w:sz w:val="23"/>
          <w:szCs w:val="23"/>
          <w:rtl w:val="0"/>
          <w:lang w:val="en-US"/>
        </w:rPr>
        <w:t>’</w:t>
      </w:r>
      <w:r>
        <w:rPr>
          <w:kern w:val="0"/>
          <w:sz w:val="23"/>
          <w:szCs w:val="23"/>
          <w:rtl w:val="0"/>
          <w:lang w:val="en-US"/>
        </w:rPr>
        <w:t>s persistent foot-dragging in providing the WUTC a long-overdue, transparent and meaningful IRP as repeatedly requested by the WUTC, PSE has not been serving the public interest. This irresponsible resistance is primarily motivated by and connected to PSE</w:t>
      </w:r>
      <w:r>
        <w:rPr>
          <w:kern w:val="0"/>
          <w:sz w:val="23"/>
          <w:szCs w:val="23"/>
          <w:rtl w:val="0"/>
          <w:lang w:val="en-US"/>
        </w:rPr>
        <w:t>’</w:t>
      </w:r>
      <w:r>
        <w:rPr>
          <w:kern w:val="0"/>
          <w:sz w:val="23"/>
          <w:szCs w:val="23"/>
          <w:rtl w:val="0"/>
          <w:lang w:val="en-US"/>
        </w:rPr>
        <w:t>s proposed Energize Eastside project. If PSE ever comes clean with the substantial amounts of data it has managed to hide regarding this project and as demanded by the WUTC to be included in PSE</w:t>
      </w:r>
      <w:r>
        <w:rPr>
          <w:kern w:val="0"/>
          <w:sz w:val="23"/>
          <w:szCs w:val="23"/>
          <w:rtl w:val="0"/>
          <w:lang w:val="en-US"/>
        </w:rPr>
        <w:t>’</w:t>
      </w:r>
      <w:r>
        <w:rPr>
          <w:kern w:val="0"/>
          <w:sz w:val="23"/>
          <w:szCs w:val="23"/>
          <w:rtl w:val="0"/>
          <w:lang w:val="en-US"/>
        </w:rPr>
        <w:t>s IRP, it would become crystal clear that there is no need for it, and in any event there are far better least-cost alternatives.</w:t>
      </w:r>
    </w:p>
    <w:p>
      <w:pPr>
        <w:pStyle w:val="Default"/>
        <w:spacing w:line="264" w:lineRule="auto"/>
        <w:rPr>
          <w:kern w:val="0"/>
          <w:sz w:val="23"/>
          <w:szCs w:val="23"/>
        </w:rPr>
      </w:pPr>
    </w:p>
    <w:p>
      <w:pPr>
        <w:pStyle w:val="Default"/>
        <w:spacing w:line="264" w:lineRule="auto"/>
        <w:rPr>
          <w:kern w:val="0"/>
          <w:sz w:val="23"/>
          <w:szCs w:val="23"/>
        </w:rPr>
      </w:pPr>
      <w:r>
        <w:rPr>
          <w:kern w:val="0"/>
          <w:sz w:val="23"/>
          <w:szCs w:val="23"/>
          <w:rtl w:val="0"/>
        </w:rPr>
        <w:tab/>
        <w:t>For further technical and historical detail regarding much of the information PSE has kept hidden about this project, CSEE refers you to and endorses the comments submitted in this Docket by retired former PSE Vice President for Power Planning, Richard Lauckhart, attached hereto for your convenience.</w:t>
      </w:r>
    </w:p>
    <w:p>
      <w:pPr>
        <w:pStyle w:val="Default"/>
        <w:spacing w:line="264" w:lineRule="auto"/>
        <w:rPr>
          <w:kern w:val="0"/>
          <w:sz w:val="23"/>
          <w:szCs w:val="23"/>
        </w:rPr>
      </w:pPr>
    </w:p>
    <w:p>
      <w:pPr>
        <w:pStyle w:val="Default"/>
        <w:spacing w:line="264" w:lineRule="auto"/>
        <w:rPr>
          <w:sz w:val="23"/>
          <w:szCs w:val="23"/>
        </w:rPr>
      </w:pPr>
      <w:r>
        <w:rPr>
          <w:kern w:val="0"/>
          <w:sz w:val="23"/>
          <w:szCs w:val="23"/>
          <w:rtl w:val="0"/>
        </w:rPr>
        <w:tab/>
        <w:t xml:space="preserve">For numerous reasons outlined at our web site at </w:t>
      </w:r>
      <w:r>
        <w:rPr>
          <w:rStyle w:val="Hyperlink.0"/>
          <w:sz w:val="23"/>
          <w:szCs w:val="23"/>
        </w:rPr>
        <w:fldChar w:fldCharType="begin" w:fldLock="0"/>
      </w:r>
      <w:r>
        <w:rPr>
          <w:rStyle w:val="Hyperlink.0"/>
          <w:sz w:val="23"/>
          <w:szCs w:val="23"/>
        </w:rPr>
        <w:instrText xml:space="preserve"> HYPERLINK "http://www.sane-eastside-energy.org"</w:instrText>
      </w:r>
      <w:r>
        <w:rPr>
          <w:rStyle w:val="Hyperlink.0"/>
          <w:sz w:val="23"/>
          <w:szCs w:val="23"/>
        </w:rPr>
        <w:fldChar w:fldCharType="separate" w:fldLock="0"/>
      </w:r>
      <w:r>
        <w:rPr>
          <w:rStyle w:val="Hyperlink.0"/>
          <w:sz w:val="23"/>
          <w:szCs w:val="23"/>
          <w:rtl w:val="0"/>
          <w:lang w:val="en-US"/>
        </w:rPr>
        <w:t>www.sane-eastside-energy.</w:t>
      </w:r>
      <w:r>
        <w:rPr>
          <w:rStyle w:val="Hyperlink.0"/>
          <w:sz w:val="23"/>
          <w:szCs w:val="23"/>
          <w:rtl w:val="0"/>
          <w:lang w:val="en-US"/>
        </w:rPr>
        <w:t>org</w:t>
      </w:r>
      <w:r>
        <w:rPr>
          <w:sz w:val="23"/>
          <w:szCs w:val="23"/>
        </w:rPr>
        <w:fldChar w:fldCharType="end" w:fldLock="0"/>
      </w:r>
      <w:r>
        <w:rPr>
          <w:sz w:val="23"/>
          <w:szCs w:val="23"/>
          <w:rtl w:val="0"/>
          <w:lang w:val="en-US"/>
        </w:rPr>
        <w:t xml:space="preserve">, CSEE submits </w:t>
      </w:r>
      <w:r>
        <w:rPr>
          <w:kern w:val="0"/>
          <w:sz w:val="23"/>
          <w:szCs w:val="23"/>
          <w:rtl w:val="0"/>
          <w:lang w:val="en-US"/>
        </w:rPr>
        <w:t>Energize Eastside</w:t>
      </w:r>
      <w:r>
        <w:rPr>
          <w:sz w:val="23"/>
          <w:szCs w:val="23"/>
          <w:rtl w:val="0"/>
          <w:lang w:val="en-US"/>
        </w:rPr>
        <w:t xml:space="preserve"> is a massive fraud, driven solely for the purpose of maximizing profits for PSE</w:t>
      </w:r>
      <w:r>
        <w:rPr>
          <w:sz w:val="23"/>
          <w:szCs w:val="23"/>
          <w:rtl w:val="0"/>
          <w:lang w:val="en-US"/>
        </w:rPr>
        <w:t>’</w:t>
      </w:r>
      <w:r>
        <w:rPr>
          <w:sz w:val="23"/>
          <w:szCs w:val="23"/>
          <w:rtl w:val="0"/>
          <w:lang w:val="en-US"/>
        </w:rPr>
        <w:t>s foreign owners. It does not serve the public interest for its Washington ratepayers.</w:t>
      </w:r>
    </w:p>
    <w:p>
      <w:pPr>
        <w:pStyle w:val="Default"/>
        <w:spacing w:line="264" w:lineRule="auto"/>
        <w:rPr>
          <w:sz w:val="23"/>
          <w:szCs w:val="23"/>
        </w:rPr>
      </w:pPr>
    </w:p>
    <w:p>
      <w:pPr>
        <w:pStyle w:val="Default"/>
        <w:spacing w:line="264" w:lineRule="auto"/>
        <w:rPr>
          <w:sz w:val="23"/>
          <w:szCs w:val="23"/>
        </w:rPr>
      </w:pPr>
      <w:r>
        <w:rPr>
          <w:sz w:val="23"/>
          <w:szCs w:val="23"/>
        </w:rPr>
        <w:tab/>
      </w:r>
      <w:r>
        <w:rPr>
          <w:sz w:val="23"/>
          <w:szCs w:val="23"/>
          <w:rtl w:val="0"/>
          <w:lang w:val="en-US"/>
        </w:rPr>
        <w:t xml:space="preserve">WAC 480-100-238 - </w:t>
      </w:r>
      <w:r>
        <w:rPr>
          <w:sz w:val="23"/>
          <w:szCs w:val="23"/>
          <w:rtl w:val="0"/>
          <w:lang w:val="en-US"/>
        </w:rPr>
        <w:t>“</w:t>
      </w:r>
      <w:r>
        <w:rPr>
          <w:sz w:val="23"/>
          <w:szCs w:val="23"/>
          <w:rtl w:val="0"/>
          <w:lang w:val="en-US"/>
        </w:rPr>
        <w:t>Integrated resource planning</w:t>
      </w:r>
      <w:r>
        <w:rPr>
          <w:sz w:val="23"/>
          <w:szCs w:val="23"/>
          <w:rtl w:val="0"/>
          <w:lang w:val="en-US"/>
        </w:rPr>
        <w:t>,</w:t>
      </w:r>
      <w:r>
        <w:rPr>
          <w:sz w:val="23"/>
          <w:szCs w:val="23"/>
          <w:rtl w:val="0"/>
          <w:lang w:val="en-US"/>
        </w:rPr>
        <w:t>”</w:t>
      </w:r>
      <w:r>
        <w:rPr>
          <w:sz w:val="23"/>
          <w:szCs w:val="23"/>
          <w:rtl w:val="0"/>
          <w:lang w:val="en-US"/>
        </w:rPr>
        <w:t xml:space="preserve"> provides </w:t>
      </w:r>
      <w:r>
        <w:rPr>
          <w:i w:val="1"/>
          <w:iCs w:val="1"/>
          <w:sz w:val="23"/>
          <w:szCs w:val="23"/>
          <w:rtl w:val="0"/>
          <w:lang w:val="en-US"/>
        </w:rPr>
        <w:t>inter alia</w:t>
      </w:r>
      <w:r>
        <w:rPr>
          <w:sz w:val="23"/>
          <w:szCs w:val="23"/>
          <w:rtl w:val="0"/>
          <w:lang w:val="en-US"/>
        </w:rPr>
        <w:t xml:space="preserve"> the following</w:t>
      </w:r>
      <w:r>
        <w:rPr>
          <w:sz w:val="23"/>
          <w:szCs w:val="23"/>
          <w:rtl w:val="0"/>
          <w:lang w:val="en-US"/>
        </w:rPr>
        <w:t>:</w:t>
      </w:r>
    </w:p>
    <w:p>
      <w:pPr>
        <w:pStyle w:val="Default"/>
        <w:spacing w:line="264" w:lineRule="auto"/>
        <w:rPr>
          <w:sz w:val="23"/>
          <w:szCs w:val="23"/>
        </w:rPr>
      </w:pPr>
    </w:p>
    <w:p>
      <w:pPr>
        <w:pStyle w:val="Default"/>
        <w:tabs>
          <w:tab w:val="left" w:pos="9360"/>
        </w:tabs>
        <w:spacing w:line="264" w:lineRule="auto"/>
        <w:ind w:left="720" w:right="270" w:firstLine="0"/>
        <w:rPr>
          <w:sz w:val="23"/>
          <w:szCs w:val="23"/>
        </w:rPr>
      </w:pPr>
      <w:r>
        <w:rPr>
          <w:sz w:val="23"/>
          <w:szCs w:val="23"/>
          <w:rtl w:val="0"/>
          <w:lang w:val="en-US"/>
        </w:rPr>
        <w:t>“</w:t>
      </w:r>
      <w:r>
        <w:rPr>
          <w:sz w:val="23"/>
          <w:szCs w:val="23"/>
          <w:rtl w:val="0"/>
          <w:lang w:val="en-US"/>
        </w:rPr>
        <w:t xml:space="preserve">(6) The commission will consider the information reported in the integrated resource plan when it evaluates the performance of the utility in rate </w:t>
      </w:r>
      <w:r>
        <w:rPr>
          <w:b w:val="1"/>
          <w:bCs w:val="1"/>
          <w:i w:val="1"/>
          <w:iCs w:val="1"/>
          <w:sz w:val="23"/>
          <w:szCs w:val="23"/>
          <w:rtl w:val="0"/>
          <w:lang w:val="en-US"/>
        </w:rPr>
        <w:t>and other</w:t>
      </w:r>
      <w:r>
        <w:rPr>
          <w:b w:val="1"/>
          <w:bCs w:val="1"/>
          <w:i w:val="1"/>
          <w:iCs w:val="1"/>
          <w:sz w:val="23"/>
          <w:szCs w:val="23"/>
          <w:rtl w:val="0"/>
          <w:lang w:val="en-US"/>
        </w:rPr>
        <w:t xml:space="preserve"> </w:t>
      </w:r>
      <w:r>
        <w:rPr>
          <w:b w:val="1"/>
          <w:bCs w:val="1"/>
          <w:i w:val="1"/>
          <w:iCs w:val="1"/>
          <w:sz w:val="23"/>
          <w:szCs w:val="23"/>
          <w:rtl w:val="0"/>
          <w:lang w:val="en-US"/>
        </w:rPr>
        <w:t>proceedings</w:t>
      </w:r>
      <w:r>
        <w:rPr>
          <w:sz w:val="23"/>
          <w:szCs w:val="23"/>
          <w:rtl w:val="0"/>
          <w:lang w:val="en-US"/>
        </w:rPr>
        <w:t>.</w:t>
      </w:r>
      <w:r>
        <w:rPr>
          <w:sz w:val="23"/>
          <w:szCs w:val="23"/>
          <w:rtl w:val="0"/>
          <w:lang w:val="en-US"/>
        </w:rPr>
        <w:t xml:space="preserve">” </w:t>
      </w:r>
      <w:r>
        <w:rPr>
          <w:sz w:val="23"/>
          <w:szCs w:val="23"/>
          <w:rtl w:val="0"/>
          <w:lang w:val="en-US"/>
        </w:rPr>
        <w:t>(emphasis added).</w:t>
      </w:r>
    </w:p>
    <w:p>
      <w:pPr>
        <w:pStyle w:val="Default"/>
        <w:spacing w:line="264" w:lineRule="auto"/>
        <w:rPr>
          <w:sz w:val="23"/>
          <w:szCs w:val="23"/>
        </w:rPr>
      </w:pPr>
    </w:p>
    <w:p>
      <w:pPr>
        <w:pStyle w:val="Default"/>
        <w:spacing w:line="264" w:lineRule="auto"/>
        <w:rPr>
          <w:sz w:val="23"/>
          <w:szCs w:val="23"/>
        </w:rPr>
      </w:pPr>
      <w:r>
        <w:rPr>
          <w:sz w:val="23"/>
          <w:szCs w:val="23"/>
          <w:rtl w:val="0"/>
        </w:rPr>
        <w:tab/>
        <w:t xml:space="preserve">This Docket is such an </w:t>
      </w:r>
      <w:r>
        <w:rPr>
          <w:sz w:val="23"/>
          <w:szCs w:val="23"/>
          <w:rtl w:val="0"/>
          <w:lang w:val="en-US"/>
        </w:rPr>
        <w:t>“</w:t>
      </w:r>
      <w:r>
        <w:rPr>
          <w:sz w:val="23"/>
          <w:szCs w:val="23"/>
          <w:rtl w:val="0"/>
          <w:lang w:val="en-US"/>
        </w:rPr>
        <w:t>other proceeding.</w:t>
      </w:r>
      <w:r>
        <w:rPr>
          <w:sz w:val="23"/>
          <w:szCs w:val="23"/>
          <w:rtl w:val="0"/>
          <w:lang w:val="en-US"/>
        </w:rPr>
        <w:t xml:space="preserve">” </w:t>
      </w:r>
      <w:r>
        <w:rPr>
          <w:sz w:val="23"/>
          <w:szCs w:val="23"/>
          <w:rtl w:val="0"/>
          <w:lang w:val="en-US"/>
        </w:rPr>
        <w:t xml:space="preserve">Clearly implicit in </w:t>
      </w:r>
      <w:r>
        <w:rPr>
          <w:sz w:val="23"/>
          <w:szCs w:val="23"/>
          <w:rtl w:val="0"/>
          <w:lang w:val="en-US"/>
        </w:rPr>
        <w:t>s</w:t>
      </w:r>
      <w:r>
        <w:rPr>
          <w:sz w:val="23"/>
          <w:szCs w:val="23"/>
          <w:rtl w:val="0"/>
          <w:lang w:val="en-US"/>
        </w:rPr>
        <w:t xml:space="preserve">ubsection </w:t>
      </w:r>
      <w:r>
        <w:rPr>
          <w:sz w:val="23"/>
          <w:szCs w:val="23"/>
          <w:rtl w:val="0"/>
          <w:lang w:val="en-US"/>
        </w:rPr>
        <w:t xml:space="preserve">(6) </w:t>
      </w:r>
      <w:r>
        <w:rPr>
          <w:sz w:val="23"/>
          <w:szCs w:val="23"/>
          <w:rtl w:val="0"/>
          <w:lang w:val="en-US"/>
        </w:rPr>
        <w:t xml:space="preserve">is the obvious fact that WUTC can </w:t>
      </w:r>
      <w:r>
        <w:rPr>
          <w:sz w:val="23"/>
          <w:szCs w:val="23"/>
          <w:rtl w:val="0"/>
          <w:lang w:val="en-US"/>
        </w:rPr>
        <w:t xml:space="preserve">and should </w:t>
      </w:r>
      <w:r>
        <w:rPr>
          <w:sz w:val="23"/>
          <w:szCs w:val="23"/>
          <w:rtl w:val="0"/>
          <w:lang w:val="en-US"/>
        </w:rPr>
        <w:t xml:space="preserve">impose consequences and conditions </w:t>
      </w:r>
      <w:r>
        <w:rPr>
          <w:i w:val="1"/>
          <w:iCs w:val="1"/>
          <w:sz w:val="23"/>
          <w:szCs w:val="23"/>
          <w:rtl w:val="0"/>
          <w:lang w:val="en-US"/>
        </w:rPr>
        <w:t>if insufficient information exists</w:t>
      </w:r>
      <w:r>
        <w:rPr>
          <w:sz w:val="23"/>
          <w:szCs w:val="23"/>
          <w:rtl w:val="0"/>
          <w:lang w:val="en-US"/>
        </w:rPr>
        <w:t xml:space="preserve"> in a </w:t>
      </w:r>
      <w:r>
        <w:rPr>
          <w:sz w:val="23"/>
          <w:szCs w:val="23"/>
          <w:rtl w:val="0"/>
          <w:lang w:val="en-US"/>
        </w:rPr>
        <w:t>regulated utility</w:t>
      </w:r>
      <w:r>
        <w:rPr>
          <w:sz w:val="23"/>
          <w:szCs w:val="23"/>
          <w:rtl w:val="0"/>
          <w:lang w:val="en-US"/>
        </w:rPr>
        <w:t>’</w:t>
      </w:r>
      <w:r>
        <w:rPr>
          <w:sz w:val="23"/>
          <w:szCs w:val="23"/>
          <w:rtl w:val="0"/>
          <w:lang w:val="en-US"/>
        </w:rPr>
        <w:t xml:space="preserve">s </w:t>
      </w:r>
      <w:r>
        <w:rPr>
          <w:sz w:val="23"/>
          <w:szCs w:val="23"/>
          <w:rtl w:val="0"/>
          <w:lang w:val="en-US"/>
        </w:rPr>
        <w:t>defective IRP</w:t>
      </w:r>
      <w:r>
        <w:rPr>
          <w:sz w:val="23"/>
          <w:szCs w:val="23"/>
          <w:rtl w:val="0"/>
          <w:lang w:val="en-US"/>
        </w:rPr>
        <w:t>, such as is the case with PSE</w:t>
      </w:r>
      <w:r>
        <w:rPr>
          <w:sz w:val="23"/>
          <w:szCs w:val="23"/>
          <w:rtl w:val="0"/>
          <w:lang w:val="en-US"/>
        </w:rPr>
        <w:t xml:space="preserve">. The WUTC should condition its approval of the sale </w:t>
      </w:r>
      <w:r>
        <w:rPr>
          <w:sz w:val="23"/>
          <w:szCs w:val="23"/>
          <w:rtl w:val="0"/>
          <w:lang w:val="en-US"/>
        </w:rPr>
        <w:t xml:space="preserve">subject to approval in this Docket </w:t>
      </w:r>
      <w:r>
        <w:rPr>
          <w:sz w:val="23"/>
          <w:szCs w:val="23"/>
          <w:rtl w:val="0"/>
          <w:lang w:val="en-US"/>
        </w:rPr>
        <w:t xml:space="preserve">on </w:t>
      </w:r>
      <w:r>
        <w:rPr>
          <w:sz w:val="23"/>
          <w:szCs w:val="23"/>
          <w:rtl w:val="0"/>
          <w:lang w:val="en-US"/>
        </w:rPr>
        <w:t xml:space="preserve">receiving </w:t>
      </w:r>
      <w:r>
        <w:rPr>
          <w:sz w:val="23"/>
          <w:szCs w:val="23"/>
          <w:rtl w:val="0"/>
          <w:lang w:val="en-US"/>
        </w:rPr>
        <w:t>a complete, overdue, and transparent PSE IRP.</w:t>
      </w:r>
      <w:r>
        <w:rPr>
          <w:sz w:val="23"/>
          <w:szCs w:val="23"/>
          <w:rtl w:val="0"/>
          <w:lang w:val="en-US"/>
        </w:rPr>
        <w:t> </w:t>
      </w:r>
    </w:p>
    <w:p>
      <w:pPr>
        <w:pStyle w:val="Default"/>
        <w:spacing w:line="264" w:lineRule="auto"/>
        <w:rPr>
          <w:sz w:val="23"/>
          <w:szCs w:val="23"/>
        </w:rPr>
      </w:pPr>
    </w:p>
    <w:p>
      <w:pPr>
        <w:pStyle w:val="Default"/>
        <w:spacing w:line="264" w:lineRule="auto"/>
        <w:rPr>
          <w:sz w:val="23"/>
          <w:szCs w:val="23"/>
        </w:rPr>
      </w:pPr>
      <w:r>
        <w:rPr>
          <w:sz w:val="23"/>
          <w:szCs w:val="23"/>
        </w:rPr>
        <w:tab/>
      </w:r>
    </w:p>
    <w:p>
      <w:pPr>
        <w:pStyle w:val="Default"/>
        <w:spacing w:line="264" w:lineRule="auto"/>
        <w:rPr>
          <w:sz w:val="23"/>
          <w:szCs w:val="23"/>
        </w:rPr>
      </w:pPr>
    </w:p>
    <w:p>
      <w:pPr>
        <w:pStyle w:val="Default"/>
        <w:spacing w:line="264" w:lineRule="auto"/>
        <w:rPr>
          <w:sz w:val="23"/>
          <w:szCs w:val="23"/>
        </w:rPr>
      </w:pPr>
      <w:r>
        <w:rPr>
          <w:sz w:val="23"/>
          <w:szCs w:val="23"/>
        </w:rPr>
        <w:tab/>
      </w:r>
      <w:r>
        <w:rPr>
          <w:sz w:val="23"/>
          <w:szCs w:val="23"/>
          <w:rtl w:val="0"/>
          <w:lang w:val="en-US"/>
        </w:rPr>
        <w:t xml:space="preserve">The WUTC </w:t>
      </w:r>
      <w:r>
        <w:rPr>
          <w:sz w:val="23"/>
          <w:szCs w:val="23"/>
          <w:rtl w:val="0"/>
          <w:lang w:val="en-US"/>
        </w:rPr>
        <w:t>has now the rare opportunity to exercise</w:t>
      </w:r>
      <w:r>
        <w:rPr>
          <w:sz w:val="23"/>
          <w:szCs w:val="23"/>
          <w:rtl w:val="0"/>
          <w:lang w:val="en-US"/>
        </w:rPr>
        <w:t xml:space="preserve"> </w:t>
      </w:r>
      <w:r>
        <w:rPr>
          <w:sz w:val="23"/>
          <w:szCs w:val="23"/>
          <w:rtl w:val="0"/>
          <w:lang w:val="en-US"/>
        </w:rPr>
        <w:t>meaningful regulation</w:t>
      </w:r>
      <w:r>
        <w:rPr>
          <w:sz w:val="23"/>
          <w:szCs w:val="23"/>
          <w:rtl w:val="0"/>
          <w:lang w:val="en-US"/>
        </w:rPr>
        <w:t xml:space="preserve"> to </w:t>
      </w:r>
      <w:r>
        <w:rPr>
          <w:sz w:val="23"/>
          <w:szCs w:val="23"/>
          <w:rtl w:val="0"/>
          <w:lang w:val="en-US"/>
        </w:rPr>
        <w:t xml:space="preserve">exact IRP </w:t>
      </w:r>
      <w:r>
        <w:rPr>
          <w:sz w:val="23"/>
          <w:szCs w:val="23"/>
          <w:rtl w:val="0"/>
          <w:lang w:val="en-US"/>
        </w:rPr>
        <w:t>compliance</w:t>
      </w:r>
      <w:r>
        <w:rPr>
          <w:sz w:val="23"/>
          <w:szCs w:val="23"/>
          <w:rtl w:val="0"/>
          <w:lang w:val="en-US"/>
        </w:rPr>
        <w:t xml:space="preserve"> from a rogue utility </w:t>
      </w:r>
      <w:r>
        <w:rPr>
          <w:i w:val="1"/>
          <w:iCs w:val="1"/>
          <w:sz w:val="23"/>
          <w:szCs w:val="23"/>
          <w:rtl w:val="0"/>
          <w:lang w:val="en-US"/>
        </w:rPr>
        <w:t>before</w:t>
      </w:r>
      <w:r>
        <w:rPr>
          <w:sz w:val="23"/>
          <w:szCs w:val="23"/>
          <w:rtl w:val="0"/>
          <w:lang w:val="en-US"/>
        </w:rPr>
        <w:t xml:space="preserve"> its disastrous project is built</w:t>
      </w:r>
      <w:r>
        <w:rPr>
          <w:sz w:val="23"/>
          <w:szCs w:val="23"/>
          <w:rtl w:val="0"/>
          <w:lang w:val="en-US"/>
        </w:rPr>
        <w:t>. If there is to be a successor to Macquarie</w:t>
      </w:r>
      <w:r>
        <w:rPr>
          <w:sz w:val="23"/>
          <w:szCs w:val="23"/>
          <w:rtl w:val="0"/>
          <w:lang w:val="en-US"/>
        </w:rPr>
        <w:t xml:space="preserve"> as a major investor in PSE</w:t>
      </w:r>
      <w:r>
        <w:rPr>
          <w:sz w:val="23"/>
          <w:szCs w:val="23"/>
          <w:rtl w:val="0"/>
          <w:lang w:val="en-US"/>
        </w:rPr>
        <w:t xml:space="preserve">, then it </w:t>
      </w:r>
      <w:r>
        <w:rPr>
          <w:sz w:val="23"/>
          <w:szCs w:val="23"/>
          <w:rtl w:val="0"/>
          <w:lang w:val="en-US"/>
        </w:rPr>
        <w:t>should not</w:t>
      </w:r>
      <w:r>
        <w:rPr>
          <w:sz w:val="23"/>
          <w:szCs w:val="23"/>
          <w:rtl w:val="0"/>
          <w:lang w:val="en-US"/>
        </w:rPr>
        <w:t xml:space="preserve"> get entry into Washington State without </w:t>
      </w:r>
      <w:r>
        <w:rPr>
          <w:sz w:val="23"/>
          <w:szCs w:val="23"/>
          <w:rtl w:val="0"/>
          <w:lang w:val="en-US"/>
        </w:rPr>
        <w:t>the WUTC</w:t>
      </w:r>
      <w:r>
        <w:rPr>
          <w:sz w:val="23"/>
          <w:szCs w:val="23"/>
          <w:rtl w:val="0"/>
          <w:lang w:val="en-US"/>
        </w:rPr>
        <w:t>’</w:t>
      </w:r>
      <w:r>
        <w:rPr>
          <w:sz w:val="23"/>
          <w:szCs w:val="23"/>
          <w:rtl w:val="0"/>
          <w:lang w:val="en-US"/>
        </w:rPr>
        <w:t>s first obtaining from</w:t>
      </w:r>
      <w:r>
        <w:rPr>
          <w:sz w:val="23"/>
          <w:szCs w:val="23"/>
          <w:rtl w:val="0"/>
          <w:lang w:val="en-US"/>
        </w:rPr>
        <w:t xml:space="preserve"> PSE</w:t>
      </w:r>
      <w:r>
        <w:rPr>
          <w:sz w:val="23"/>
          <w:szCs w:val="23"/>
          <w:rtl w:val="0"/>
          <w:lang w:val="en-US"/>
        </w:rPr>
        <w:t xml:space="preserve"> a compliant</w:t>
      </w:r>
      <w:r>
        <w:rPr>
          <w:sz w:val="23"/>
          <w:szCs w:val="23"/>
          <w:rtl w:val="0"/>
          <w:lang w:val="en-US"/>
        </w:rPr>
        <w:t xml:space="preserve"> IRP.</w:t>
      </w:r>
      <w:r>
        <w:rPr>
          <w:sz w:val="23"/>
          <w:szCs w:val="23"/>
          <w:rtl w:val="0"/>
          <w:lang w:val="en-US"/>
        </w:rPr>
        <w:t> </w:t>
      </w:r>
    </w:p>
    <w:p>
      <w:pPr>
        <w:pStyle w:val="Default"/>
        <w:rPr>
          <w:sz w:val="23"/>
          <w:szCs w:val="23"/>
        </w:rPr>
      </w:pP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kern w:val="0"/>
          <w:sz w:val="23"/>
          <w:szCs w:val="23"/>
        </w:rPr>
      </w:pPr>
      <w:r>
        <w:rPr>
          <w:kern w:val="0"/>
          <w:sz w:val="23"/>
          <w:szCs w:val="23"/>
        </w:rPr>
        <w:drawing>
          <wp:anchor distT="0" distB="0" distL="0" distR="0" simplePos="0" relativeHeight="251660288" behindDoc="0" locked="0" layoutInCell="1" allowOverlap="1">
            <wp:simplePos x="0" y="0"/>
            <wp:positionH relativeFrom="margin">
              <wp:posOffset>-6349</wp:posOffset>
            </wp:positionH>
            <wp:positionV relativeFrom="line">
              <wp:posOffset>230630</wp:posOffset>
            </wp:positionV>
            <wp:extent cx="1561332" cy="749440"/>
            <wp:effectExtent l="0" t="0" r="0" b="0"/>
            <wp:wrapNone/>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5">
                      <a:extLst/>
                    </a:blip>
                    <a:stretch>
                      <a:fillRect/>
                    </a:stretch>
                  </pic:blipFill>
                  <pic:spPr>
                    <a:xfrm>
                      <a:off x="0" y="0"/>
                      <a:ext cx="1561332" cy="749440"/>
                    </a:xfrm>
                    <a:prstGeom prst="rect">
                      <a:avLst/>
                    </a:prstGeom>
                    <a:ln w="12700" cap="flat">
                      <a:noFill/>
                      <a:miter lim="400000"/>
                    </a:ln>
                    <a:effectLst/>
                  </pic:spPr>
                </pic:pic>
              </a:graphicData>
            </a:graphic>
          </wp:anchor>
        </w:drawing>
      </w:r>
      <w:r>
        <w:rPr>
          <w:kern w:val="0"/>
          <w:sz w:val="23"/>
          <w:szCs w:val="23"/>
        </w:rPr>
        <w:tab/>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Sincerely,</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39" w:right="189" w:firstLine="0"/>
        <w:rPr>
          <w:kern w:val="0"/>
          <w:sz w:val="23"/>
          <w:szCs w:val="23"/>
        </w:rPr>
      </w:pP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39" w:right="189" w:firstLine="0"/>
        <w:rPr>
          <w:kern w:val="0"/>
          <w:sz w:val="23"/>
          <w:szCs w:val="23"/>
        </w:rPr>
      </w:pP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Larry G. Johnson</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Attorney at Law, WSBA #5682</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Citizens for Sane Eastside Energy (CSEE), www.sane-eastside-energy.</w:t>
      </w:r>
      <w:r>
        <w:rPr>
          <w:kern w:val="0"/>
          <w:sz w:val="23"/>
          <w:szCs w:val="23"/>
          <w:rtl w:val="0"/>
          <w:lang w:val="en-US"/>
        </w:rPr>
        <w:t>org</w:t>
      </w:r>
    </w:p>
    <w:p>
      <w:pPr>
        <w:pStyle w:val="Default"/>
        <w:rPr>
          <w:kern w:val="0"/>
          <w:sz w:val="23"/>
          <w:szCs w:val="23"/>
        </w:rPr>
      </w:pPr>
      <w:r>
        <w:rPr>
          <w:kern w:val="0"/>
          <w:sz w:val="23"/>
          <w:szCs w:val="23"/>
          <w:rtl w:val="0"/>
          <w:lang w:val="en-US"/>
        </w:rPr>
        <w:t>8505 129th Ave. SE</w:t>
      </w:r>
    </w:p>
    <w:p>
      <w:pPr>
        <w:pStyle w:val="Default"/>
        <w:rPr>
          <w:kern w:val="0"/>
          <w:sz w:val="23"/>
          <w:szCs w:val="23"/>
        </w:rPr>
      </w:pPr>
      <w:r>
        <w:rPr>
          <w:kern w:val="0"/>
          <w:sz w:val="23"/>
          <w:szCs w:val="23"/>
          <w:rtl w:val="0"/>
          <w:lang w:val="en-US"/>
        </w:rPr>
        <w:t>Newcastle, WA 98056</w:t>
      </w:r>
    </w:p>
    <w:p>
      <w:pPr>
        <w:pStyle w:val="Default"/>
        <w:rPr>
          <w:kern w:val="0"/>
          <w:sz w:val="23"/>
          <w:szCs w:val="23"/>
        </w:rPr>
      </w:pPr>
      <w:r>
        <w:rPr>
          <w:kern w:val="0"/>
          <w:sz w:val="23"/>
          <w:szCs w:val="23"/>
          <w:rtl w:val="0"/>
          <w:lang w:val="en-US"/>
        </w:rPr>
        <w:t>tel.: 425 227-3352</w:t>
      </w:r>
    </w:p>
    <w:p>
      <w:pPr>
        <w:pStyle w:val="Default"/>
        <w:rPr>
          <w:sz w:val="23"/>
          <w:szCs w:val="23"/>
        </w:rPr>
      </w:pPr>
      <w:r>
        <w:rPr>
          <w:kern w:val="0"/>
          <w:sz w:val="23"/>
          <w:szCs w:val="23"/>
          <w:rtl w:val="0"/>
          <w:lang w:val="en-US"/>
        </w:rPr>
        <w:t xml:space="preserve">larry.ede@gmail.com </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 xml:space="preserve"> </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rPr>
          <w:kern w:val="0"/>
          <w:sz w:val="23"/>
          <w:szCs w:val="23"/>
        </w:rPr>
      </w:pPr>
      <w:r>
        <w:rPr>
          <w:kern w:val="0"/>
          <w:sz w:val="23"/>
          <w:szCs w:val="23"/>
          <w:rtl w:val="0"/>
          <w:lang w:val="en-US"/>
        </w:rPr>
        <w:t>cc: CENSE</w:t>
      </w:r>
    </w:p>
    <w:p>
      <w:pPr>
        <w:pStyle w:val="Defaul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right="189"/>
      </w:pPr>
      <w:r>
        <w:rPr>
          <w:kern w:val="0"/>
          <w:sz w:val="23"/>
          <w:szCs w:val="23"/>
          <w:rtl w:val="0"/>
          <w:lang w:val="en-US"/>
        </w:rPr>
        <w:t xml:space="preserve">     </w:t>
      </w:r>
    </w:p>
    <w:sectPr>
      <w:headerReference w:type="default" r:id="rId6"/>
      <w:footerReference w:type="default" r:id="rId7"/>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DE58B8F0371546857BB08AABDFA2A8" ma:contentTypeVersion="76" ma:contentTypeDescription="" ma:contentTypeScope="" ma:versionID="1af4b740adbc1b1b9032d2901aaa9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2018-08-08T07:00:00+00:00</OpenedDate>
    <SignificantOrder xmlns="dc463f71-b30c-4ab2-9473-d307f9d35888">false</SignificantOrder>
    <Date1 xmlns="dc463f71-b30c-4ab2-9473-d307f9d35888">2018-10-18T07:00:00+00:00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180680</DocketNumber>
    <DelegatedOrder xmlns="dc463f71-b30c-4ab2-9473-d307f9d35888">false</DelegatedOrder>
  </documentManagement>
</p:properties>
</file>

<file path=customXml/itemProps1.xml><?xml version="1.0" encoding="utf-8"?>
<ds:datastoreItem xmlns:ds="http://schemas.openxmlformats.org/officeDocument/2006/customXml" ds:itemID="{2B9F9C02-09AC-4E59-A5F7-ECB6981A948F}"/>
</file>

<file path=customXml/itemProps2.xml><?xml version="1.0" encoding="utf-8"?>
<ds:datastoreItem xmlns:ds="http://schemas.openxmlformats.org/officeDocument/2006/customXml" ds:itemID="{AE885115-3D70-43D0-9885-8784B3DB9C7F}"/>
</file>

<file path=customXml/itemProps3.xml><?xml version="1.0" encoding="utf-8"?>
<ds:datastoreItem xmlns:ds="http://schemas.openxmlformats.org/officeDocument/2006/customXml" ds:itemID="{438EC60C-857A-4C01-BD46-76565D251FCD}"/>
</file>

<file path=customXml/itemProps4.xml><?xml version="1.0" encoding="utf-8"?>
<ds:datastoreItem xmlns:ds="http://schemas.openxmlformats.org/officeDocument/2006/customXml" ds:itemID="{88C642C3-5F21-4A18-8EB0-EEFC7840DD8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0x0101006E56B4D1795A2E4DB2F0B01679ED314A0066DE58B8F0371546857BB08AABDFA2A8</vt:lpwstr>
  </property>
  <property fmtid="{D5CDD505-2E9C-101B-9397-08002B2CF9AE}" pid="3" name="_docset_NoMedatataSyncRequired">
    <vt:lpwstr>False</vt:lpwstr>
  </property>
  <property fmtid="{D5CDD505-2E9C-101B-9397-08002B2CF9AE}" pid="4" name="IsEFSEC">
    <vt:bool>false</vt:bool>
  </property>
</Properties>
</file>