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0A" w:rsidRDefault="00B2380A" w:rsidP="007D5470">
      <w:pPr>
        <w:spacing w:line="480" w:lineRule="auto"/>
        <w:ind w:left="720" w:hanging="720"/>
        <w:rPr>
          <w:b/>
          <w:bCs/>
          <w:sz w:val="24"/>
        </w:rPr>
      </w:pPr>
      <w:r>
        <w:rPr>
          <w:b/>
          <w:bCs/>
          <w:sz w:val="24"/>
        </w:rPr>
        <w:t>Q.</w:t>
      </w:r>
      <w:r>
        <w:rPr>
          <w:b/>
          <w:bCs/>
          <w:sz w:val="24"/>
        </w:rPr>
        <w:tab/>
      </w:r>
      <w:r w:rsidRPr="00B2380A">
        <w:rPr>
          <w:b/>
          <w:bCs/>
          <w:sz w:val="24"/>
        </w:rPr>
        <w:t>Please state your name, business address, and present position with PacifiCorp</w:t>
      </w:r>
      <w:r w:rsidR="00DE0E35">
        <w:rPr>
          <w:b/>
          <w:bCs/>
          <w:sz w:val="24"/>
        </w:rPr>
        <w:t xml:space="preserve"> d/b/a Pacific Power &amp; Light Company</w:t>
      </w:r>
      <w:r w:rsidRPr="00B2380A">
        <w:rPr>
          <w:b/>
          <w:bCs/>
          <w:sz w:val="24"/>
        </w:rPr>
        <w:t xml:space="preserve"> (</w:t>
      </w:r>
      <w:r w:rsidR="00171D93">
        <w:rPr>
          <w:b/>
          <w:bCs/>
          <w:sz w:val="24"/>
        </w:rPr>
        <w:t xml:space="preserve">PacifiCorp or </w:t>
      </w:r>
      <w:r w:rsidRPr="00B2380A">
        <w:rPr>
          <w:b/>
          <w:bCs/>
          <w:sz w:val="24"/>
        </w:rPr>
        <w:t>Company).</w:t>
      </w:r>
    </w:p>
    <w:p w:rsidR="00B2380A" w:rsidRDefault="00B2380A" w:rsidP="007D5470">
      <w:pPr>
        <w:spacing w:line="480" w:lineRule="auto"/>
        <w:ind w:left="720" w:hanging="720"/>
        <w:rPr>
          <w:bCs/>
          <w:sz w:val="24"/>
        </w:rPr>
      </w:pPr>
      <w:r>
        <w:rPr>
          <w:bCs/>
          <w:sz w:val="24"/>
        </w:rPr>
        <w:t>A.</w:t>
      </w:r>
      <w:r>
        <w:rPr>
          <w:bCs/>
          <w:sz w:val="24"/>
        </w:rPr>
        <w:tab/>
        <w:t xml:space="preserve">My name is Kelcey </w:t>
      </w:r>
      <w:r w:rsidR="003F6737">
        <w:rPr>
          <w:bCs/>
          <w:sz w:val="24"/>
        </w:rPr>
        <w:t xml:space="preserve">A. </w:t>
      </w:r>
      <w:r>
        <w:rPr>
          <w:bCs/>
          <w:sz w:val="24"/>
        </w:rPr>
        <w:t>Brown.  My business address is 825 NE Multnomah</w:t>
      </w:r>
      <w:r w:rsidR="008F255E">
        <w:rPr>
          <w:bCs/>
          <w:sz w:val="24"/>
        </w:rPr>
        <w:t xml:space="preserve"> Street</w:t>
      </w:r>
      <w:r>
        <w:rPr>
          <w:bCs/>
          <w:sz w:val="24"/>
        </w:rPr>
        <w:t xml:space="preserve">, Suite 600, Portland, Oregon 97232.  My </w:t>
      </w:r>
      <w:r w:rsidR="00690130">
        <w:rPr>
          <w:bCs/>
          <w:sz w:val="24"/>
        </w:rPr>
        <w:t>present position</w:t>
      </w:r>
      <w:r>
        <w:rPr>
          <w:bCs/>
          <w:sz w:val="24"/>
        </w:rPr>
        <w:t xml:space="preserve"> is Manager, Load Forecasting.</w:t>
      </w:r>
    </w:p>
    <w:p w:rsidR="00B2380A" w:rsidRDefault="00B2380A" w:rsidP="007D5470">
      <w:pPr>
        <w:spacing w:line="480" w:lineRule="auto"/>
        <w:ind w:left="720" w:hanging="720"/>
        <w:rPr>
          <w:b/>
          <w:bCs/>
          <w:sz w:val="24"/>
        </w:rPr>
      </w:pPr>
      <w:r>
        <w:rPr>
          <w:b/>
          <w:bCs/>
          <w:sz w:val="24"/>
        </w:rPr>
        <w:t>Qualifications</w:t>
      </w:r>
    </w:p>
    <w:p w:rsidR="00B2380A" w:rsidRDefault="00B2380A" w:rsidP="007D5470">
      <w:pPr>
        <w:spacing w:line="480" w:lineRule="auto"/>
        <w:ind w:left="720" w:hanging="720"/>
        <w:rPr>
          <w:b/>
          <w:bCs/>
          <w:sz w:val="24"/>
        </w:rPr>
      </w:pPr>
      <w:r>
        <w:rPr>
          <w:b/>
          <w:bCs/>
          <w:sz w:val="24"/>
        </w:rPr>
        <w:t>Q.</w:t>
      </w:r>
      <w:r>
        <w:rPr>
          <w:b/>
          <w:bCs/>
          <w:sz w:val="24"/>
        </w:rPr>
        <w:tab/>
      </w:r>
      <w:r w:rsidR="007D5470">
        <w:rPr>
          <w:b/>
          <w:bCs/>
          <w:sz w:val="24"/>
        </w:rPr>
        <w:t>B</w:t>
      </w:r>
      <w:r>
        <w:rPr>
          <w:b/>
          <w:bCs/>
          <w:sz w:val="24"/>
        </w:rPr>
        <w:t xml:space="preserve">riefly describe your education and </w:t>
      </w:r>
      <w:r w:rsidR="00720E99">
        <w:rPr>
          <w:b/>
          <w:bCs/>
          <w:sz w:val="24"/>
        </w:rPr>
        <w:t>professional</w:t>
      </w:r>
      <w:r>
        <w:rPr>
          <w:b/>
          <w:bCs/>
          <w:sz w:val="24"/>
        </w:rPr>
        <w:t xml:space="preserve"> experience.</w:t>
      </w:r>
    </w:p>
    <w:p w:rsidR="00B2380A" w:rsidRPr="00D60B5B" w:rsidRDefault="00B2380A" w:rsidP="007D5470">
      <w:pPr>
        <w:pStyle w:val="TestimonyQ"/>
        <w:tabs>
          <w:tab w:val="clear" w:pos="864"/>
        </w:tabs>
        <w:ind w:left="720" w:hanging="720"/>
        <w:jc w:val="left"/>
        <w:rPr>
          <w:b w:val="0"/>
        </w:rPr>
      </w:pPr>
      <w:r w:rsidRPr="00B5130E">
        <w:rPr>
          <w:b w:val="0"/>
          <w:bCs/>
        </w:rPr>
        <w:t>A.</w:t>
      </w:r>
      <w:r>
        <w:rPr>
          <w:bCs/>
        </w:rPr>
        <w:tab/>
      </w:r>
      <w:r>
        <w:rPr>
          <w:b w:val="0"/>
        </w:rPr>
        <w:t>I have been employed by PacifiCorp since May</w:t>
      </w:r>
      <w:r w:rsidR="00690130">
        <w:rPr>
          <w:b w:val="0"/>
        </w:rPr>
        <w:t xml:space="preserve"> 2011.  I have been the Manager, </w:t>
      </w:r>
      <w:r>
        <w:rPr>
          <w:b w:val="0"/>
        </w:rPr>
        <w:t>Load Forecast</w:t>
      </w:r>
      <w:r w:rsidR="004A2D47">
        <w:rPr>
          <w:b w:val="0"/>
        </w:rPr>
        <w:t>ing</w:t>
      </w:r>
      <w:r w:rsidR="00690130">
        <w:rPr>
          <w:b w:val="0"/>
        </w:rPr>
        <w:t>,</w:t>
      </w:r>
      <w:r>
        <w:rPr>
          <w:b w:val="0"/>
        </w:rPr>
        <w:t xml:space="preserve"> since </w:t>
      </w:r>
      <w:r w:rsidR="004A2D47">
        <w:rPr>
          <w:b w:val="0"/>
        </w:rPr>
        <w:t>June</w:t>
      </w:r>
      <w:r>
        <w:rPr>
          <w:b w:val="0"/>
        </w:rPr>
        <w:t xml:space="preserve"> 2012</w:t>
      </w:r>
      <w:r w:rsidR="00DE0E35">
        <w:rPr>
          <w:b w:val="0"/>
        </w:rPr>
        <w:t>.</w:t>
      </w:r>
      <w:r>
        <w:rPr>
          <w:b w:val="0"/>
        </w:rPr>
        <w:t xml:space="preserve"> </w:t>
      </w:r>
      <w:r w:rsidR="00DE0E35">
        <w:rPr>
          <w:b w:val="0"/>
        </w:rPr>
        <w:t xml:space="preserve"> </w:t>
      </w:r>
      <w:r w:rsidR="00B76B54">
        <w:rPr>
          <w:b w:val="0"/>
        </w:rPr>
        <w:t>Before</w:t>
      </w:r>
      <w:r>
        <w:rPr>
          <w:b w:val="0"/>
        </w:rPr>
        <w:t xml:space="preserve"> that time</w:t>
      </w:r>
      <w:r w:rsidR="00690130">
        <w:rPr>
          <w:b w:val="0"/>
        </w:rPr>
        <w:t>,</w:t>
      </w:r>
      <w:r>
        <w:rPr>
          <w:b w:val="0"/>
        </w:rPr>
        <w:t xml:space="preserve"> I worked as a Senior Consultant in the Regulatory Net Power Costs Department.</w:t>
      </w:r>
      <w:r w:rsidR="004A2D47">
        <w:rPr>
          <w:b w:val="0"/>
        </w:rPr>
        <w:t xml:space="preserve">  </w:t>
      </w:r>
      <w:r w:rsidR="00733529">
        <w:rPr>
          <w:b w:val="0"/>
        </w:rPr>
        <w:t>Before</w:t>
      </w:r>
      <w:r w:rsidR="004A2D47" w:rsidRPr="004A2D47">
        <w:rPr>
          <w:b w:val="0"/>
        </w:rPr>
        <w:t xml:space="preserve"> joining PacifiCorp, I worked at the Public Utility Commission of Oregon</w:t>
      </w:r>
      <w:r w:rsidR="00DE0E35">
        <w:rPr>
          <w:b w:val="0"/>
        </w:rPr>
        <w:t xml:space="preserve"> </w:t>
      </w:r>
      <w:r w:rsidR="004A2D47" w:rsidRPr="004A2D47">
        <w:rPr>
          <w:b w:val="0"/>
        </w:rPr>
        <w:t>from 2007 through May 2011</w:t>
      </w:r>
      <w:r w:rsidR="00B76B54">
        <w:rPr>
          <w:b w:val="0"/>
        </w:rPr>
        <w:t>, where</w:t>
      </w:r>
      <w:r w:rsidR="004A2D47" w:rsidRPr="004A2D47">
        <w:rPr>
          <w:b w:val="0"/>
        </w:rPr>
        <w:t xml:space="preserve"> I sponsored testimony in several dockets involving net power costs, integrated resource planning, and various revenue and policy issues.</w:t>
      </w:r>
      <w:r>
        <w:rPr>
          <w:b w:val="0"/>
        </w:rPr>
        <w:t xml:space="preserve">  From 2003 through 2007, I was the Economic Analyst with Blackfoot Telecommunications Group, where I was </w:t>
      </w:r>
      <w:r w:rsidRPr="001D66BB">
        <w:rPr>
          <w:b w:val="0"/>
        </w:rPr>
        <w:t>responsible for revenue forecasts, resource acquisition analysis, pricing, and regulatory support.</w:t>
      </w:r>
      <w:r>
        <w:rPr>
          <w:b w:val="0"/>
        </w:rPr>
        <w:t xml:space="preserve">  </w:t>
      </w:r>
      <w:r w:rsidRPr="001D66BB">
        <w:rPr>
          <w:b w:val="0"/>
        </w:rPr>
        <w:t>I have a B</w:t>
      </w:r>
      <w:r w:rsidR="00B76B54">
        <w:rPr>
          <w:b w:val="0"/>
        </w:rPr>
        <w:t xml:space="preserve">achelor of </w:t>
      </w:r>
      <w:r w:rsidRPr="001D66BB">
        <w:rPr>
          <w:b w:val="0"/>
        </w:rPr>
        <w:t>S</w:t>
      </w:r>
      <w:r w:rsidR="00B76B54">
        <w:rPr>
          <w:b w:val="0"/>
        </w:rPr>
        <w:t>cience</w:t>
      </w:r>
      <w:r w:rsidRPr="001D66BB">
        <w:rPr>
          <w:b w:val="0"/>
        </w:rPr>
        <w:t xml:space="preserve"> </w:t>
      </w:r>
      <w:r w:rsidR="00B76B54">
        <w:rPr>
          <w:b w:val="0"/>
        </w:rPr>
        <w:t xml:space="preserve">degree </w:t>
      </w:r>
      <w:r w:rsidRPr="001D66BB">
        <w:rPr>
          <w:b w:val="0"/>
        </w:rPr>
        <w:t>in Business Economics from the University of Wyoming</w:t>
      </w:r>
      <w:r w:rsidR="00B76B54">
        <w:rPr>
          <w:b w:val="0"/>
        </w:rPr>
        <w:t>,</w:t>
      </w:r>
      <w:r w:rsidR="00D96CB3">
        <w:rPr>
          <w:b w:val="0"/>
        </w:rPr>
        <w:t xml:space="preserve"> and I </w:t>
      </w:r>
      <w:r w:rsidR="00DE0E35">
        <w:rPr>
          <w:b w:val="0"/>
        </w:rPr>
        <w:t xml:space="preserve">have </w:t>
      </w:r>
      <w:r w:rsidRPr="001D66BB">
        <w:rPr>
          <w:b w:val="0"/>
        </w:rPr>
        <w:t>completed all course work towards a Master</w:t>
      </w:r>
      <w:r w:rsidR="00B76B54">
        <w:rPr>
          <w:b w:val="0"/>
        </w:rPr>
        <w:t xml:space="preserve"> of Science</w:t>
      </w:r>
      <w:r w:rsidRPr="001D66BB">
        <w:rPr>
          <w:b w:val="0"/>
        </w:rPr>
        <w:t xml:space="preserve"> degree in Economics f</w:t>
      </w:r>
      <w:r w:rsidR="00D96CB3">
        <w:rPr>
          <w:b w:val="0"/>
        </w:rPr>
        <w:t>rom the University of Wyoming.</w:t>
      </w:r>
    </w:p>
    <w:p w:rsidR="00FB71B0" w:rsidRDefault="00B76B54" w:rsidP="007D5470">
      <w:pPr>
        <w:pStyle w:val="Heading2"/>
      </w:pPr>
      <w:r>
        <w:t xml:space="preserve">Purpose </w:t>
      </w:r>
      <w:r w:rsidR="00FB71B0">
        <w:t>of Testimony</w:t>
      </w:r>
    </w:p>
    <w:p w:rsidR="00FB71B0" w:rsidRDefault="00FB71B0" w:rsidP="007D5470">
      <w:pPr>
        <w:widowControl w:val="0"/>
        <w:tabs>
          <w:tab w:val="left" w:pos="720"/>
        </w:tabs>
        <w:spacing w:line="480" w:lineRule="auto"/>
        <w:rPr>
          <w:b/>
          <w:sz w:val="24"/>
        </w:rPr>
      </w:pPr>
      <w:r>
        <w:rPr>
          <w:b/>
          <w:sz w:val="24"/>
        </w:rPr>
        <w:t>Q.</w:t>
      </w:r>
      <w:r>
        <w:rPr>
          <w:b/>
          <w:sz w:val="24"/>
        </w:rPr>
        <w:tab/>
      </w:r>
      <w:r w:rsidR="004A2D47">
        <w:rPr>
          <w:b/>
          <w:sz w:val="24"/>
        </w:rPr>
        <w:t>What is the purpose of your testimony?</w:t>
      </w:r>
    </w:p>
    <w:p w:rsidR="00F832AF" w:rsidRDefault="00FB71B0" w:rsidP="007D5470">
      <w:pPr>
        <w:pStyle w:val="BodyText2"/>
        <w:widowControl w:val="0"/>
        <w:tabs>
          <w:tab w:val="clear" w:pos="720"/>
        </w:tabs>
        <w:ind w:left="720" w:hanging="720"/>
      </w:pPr>
      <w:r>
        <w:t>A.</w:t>
      </w:r>
      <w:r>
        <w:tab/>
        <w:t xml:space="preserve">The purpose of </w:t>
      </w:r>
      <w:r w:rsidR="0076021E">
        <w:t>my</w:t>
      </w:r>
      <w:r>
        <w:t xml:space="preserve"> testimony is </w:t>
      </w:r>
      <w:r w:rsidR="004A2D47">
        <w:t xml:space="preserve">to provide information on </w:t>
      </w:r>
      <w:r w:rsidR="00AA5441">
        <w:t xml:space="preserve">PacifiCorp’s </w:t>
      </w:r>
      <w:r w:rsidR="0076021E">
        <w:t xml:space="preserve">historical </w:t>
      </w:r>
      <w:r w:rsidR="0058641A">
        <w:t>sales (at the customer meter) for the</w:t>
      </w:r>
      <w:r w:rsidR="0076021E">
        <w:t xml:space="preserve"> </w:t>
      </w:r>
      <w:r w:rsidR="00B76B54">
        <w:t>12</w:t>
      </w:r>
      <w:r w:rsidR="0076021E">
        <w:t xml:space="preserve"> months </w:t>
      </w:r>
      <w:r w:rsidR="00DE0E35">
        <w:t xml:space="preserve">ended </w:t>
      </w:r>
      <w:r w:rsidR="008F255E">
        <w:t>June 2012</w:t>
      </w:r>
      <w:r w:rsidR="0076021E">
        <w:t xml:space="preserve"> </w:t>
      </w:r>
      <w:r w:rsidR="00F832AF">
        <w:t>and forecast load</w:t>
      </w:r>
      <w:r w:rsidR="0058641A">
        <w:t xml:space="preserve"> </w:t>
      </w:r>
      <w:r w:rsidR="0058641A">
        <w:lastRenderedPageBreak/>
        <w:t>(at system input) for the</w:t>
      </w:r>
      <w:r w:rsidR="00627A86">
        <w:t xml:space="preserve"> </w:t>
      </w:r>
      <w:r w:rsidR="00B76B54">
        <w:t>12</w:t>
      </w:r>
      <w:r w:rsidR="00627A86">
        <w:t xml:space="preserve"> months ending</w:t>
      </w:r>
      <w:r w:rsidR="008F255E">
        <w:t xml:space="preserve"> December 2014.</w:t>
      </w:r>
      <w:r w:rsidR="004A2D47">
        <w:t xml:space="preserve">  </w:t>
      </w:r>
      <w:r w:rsidR="00AA5441">
        <w:t xml:space="preserve">In addition, </w:t>
      </w:r>
      <w:r w:rsidR="0076021E">
        <w:t>I will</w:t>
      </w:r>
      <w:r w:rsidR="009D7DAD">
        <w:t xml:space="preserve"> </w:t>
      </w:r>
      <w:r w:rsidR="00AA5441">
        <w:t xml:space="preserve">discuss the Company’s inclusion of </w:t>
      </w:r>
      <w:r w:rsidR="00496E33">
        <w:t xml:space="preserve">temperature normalization </w:t>
      </w:r>
      <w:r w:rsidR="00627A86">
        <w:t xml:space="preserve">of </w:t>
      </w:r>
      <w:r w:rsidR="00496E33">
        <w:t xml:space="preserve">the </w:t>
      </w:r>
      <w:r w:rsidR="00AA5441">
        <w:t>commercial</w:t>
      </w:r>
      <w:r w:rsidR="00496E33">
        <w:t xml:space="preserve"> class</w:t>
      </w:r>
      <w:r w:rsidR="00AA5441">
        <w:t xml:space="preserve"> </w:t>
      </w:r>
      <w:r w:rsidR="0058641A">
        <w:t xml:space="preserve">for the </w:t>
      </w:r>
      <w:r w:rsidR="00690130">
        <w:t>July</w:t>
      </w:r>
      <w:r w:rsidR="0058641A">
        <w:t xml:space="preserve"> 2011 through June 2012</w:t>
      </w:r>
      <w:r w:rsidR="00ED2FBE">
        <w:t xml:space="preserve"> </w:t>
      </w:r>
      <w:r w:rsidR="00B76B54">
        <w:t>t</w:t>
      </w:r>
      <w:r w:rsidR="00ED2FBE">
        <w:t xml:space="preserve">est </w:t>
      </w:r>
      <w:r w:rsidR="00B76B54">
        <w:t>p</w:t>
      </w:r>
      <w:r w:rsidR="00ED2FBE">
        <w:t>eriod</w:t>
      </w:r>
      <w:r w:rsidR="00D96CB3">
        <w:t>.</w:t>
      </w:r>
    </w:p>
    <w:p w:rsidR="001D019E" w:rsidRPr="000E7541" w:rsidRDefault="001D019E" w:rsidP="007D5470">
      <w:pPr>
        <w:pStyle w:val="BodyText2"/>
        <w:tabs>
          <w:tab w:val="clear" w:pos="720"/>
        </w:tabs>
        <w:ind w:left="720" w:hanging="720"/>
        <w:rPr>
          <w:b/>
        </w:rPr>
      </w:pPr>
      <w:r w:rsidRPr="000E7541">
        <w:rPr>
          <w:b/>
        </w:rPr>
        <w:t>Summary of Changes in Sales and Load</w:t>
      </w:r>
    </w:p>
    <w:p w:rsidR="00AA5441" w:rsidRDefault="00AA5441" w:rsidP="007D5470">
      <w:pPr>
        <w:pStyle w:val="BodyText2"/>
        <w:tabs>
          <w:tab w:val="clear" w:pos="720"/>
        </w:tabs>
        <w:ind w:left="720" w:hanging="720"/>
        <w:rPr>
          <w:b/>
        </w:rPr>
      </w:pPr>
      <w:r>
        <w:rPr>
          <w:b/>
        </w:rPr>
        <w:t>Q.</w:t>
      </w:r>
      <w:r>
        <w:rPr>
          <w:b/>
        </w:rPr>
        <w:tab/>
        <w:t xml:space="preserve">Please summarize the changes in </w:t>
      </w:r>
      <w:r w:rsidR="003071D1">
        <w:rPr>
          <w:b/>
        </w:rPr>
        <w:t xml:space="preserve">Washington </w:t>
      </w:r>
      <w:r w:rsidR="00605AA3">
        <w:rPr>
          <w:b/>
        </w:rPr>
        <w:t>sales</w:t>
      </w:r>
      <w:r>
        <w:rPr>
          <w:b/>
        </w:rPr>
        <w:t xml:space="preserve"> in the current filing as compared to the </w:t>
      </w:r>
      <w:r w:rsidR="0058641A">
        <w:rPr>
          <w:b/>
        </w:rPr>
        <w:t xml:space="preserve">Washington sales included in the </w:t>
      </w:r>
      <w:r>
        <w:rPr>
          <w:b/>
        </w:rPr>
        <w:t xml:space="preserve">Company’s 2011 </w:t>
      </w:r>
      <w:r w:rsidR="006A4F32">
        <w:rPr>
          <w:b/>
        </w:rPr>
        <w:t>general r</w:t>
      </w:r>
      <w:r w:rsidR="008C6FB8">
        <w:rPr>
          <w:b/>
        </w:rPr>
        <w:t xml:space="preserve">ate </w:t>
      </w:r>
      <w:r w:rsidR="006A4F32">
        <w:rPr>
          <w:b/>
        </w:rPr>
        <w:t>c</w:t>
      </w:r>
      <w:r w:rsidR="008C6FB8">
        <w:rPr>
          <w:b/>
        </w:rPr>
        <w:t>ase</w:t>
      </w:r>
      <w:r w:rsidR="007D5470">
        <w:rPr>
          <w:b/>
        </w:rPr>
        <w:t>, docket UE-111190</w:t>
      </w:r>
      <w:r>
        <w:rPr>
          <w:b/>
        </w:rPr>
        <w:t xml:space="preserve"> </w:t>
      </w:r>
      <w:r w:rsidR="006A4F32">
        <w:rPr>
          <w:b/>
        </w:rPr>
        <w:t>(2011 Rate Case)</w:t>
      </w:r>
      <w:r>
        <w:rPr>
          <w:b/>
        </w:rPr>
        <w:t>.</w:t>
      </w:r>
    </w:p>
    <w:p w:rsidR="00561886" w:rsidRDefault="00AA5441" w:rsidP="007D5470">
      <w:pPr>
        <w:pStyle w:val="BodyText2"/>
        <w:tabs>
          <w:tab w:val="clear" w:pos="720"/>
        </w:tabs>
        <w:ind w:left="720" w:hanging="720"/>
      </w:pPr>
      <w:r w:rsidRPr="00AA5441">
        <w:t>A.</w:t>
      </w:r>
      <w:r w:rsidRPr="00AA5441">
        <w:tab/>
      </w:r>
      <w:r w:rsidR="009046F9">
        <w:t>As shown in Table 1 below, t</w:t>
      </w:r>
      <w:r>
        <w:t xml:space="preserve">he Company’s Washington </w:t>
      </w:r>
      <w:r w:rsidR="00605AA3">
        <w:t>sales</w:t>
      </w:r>
      <w:r>
        <w:t xml:space="preserve"> </w:t>
      </w:r>
      <w:r w:rsidR="0058641A">
        <w:t xml:space="preserve">in the </w:t>
      </w:r>
      <w:r w:rsidR="00B76B54">
        <w:t>t</w:t>
      </w:r>
      <w:r w:rsidR="0058641A">
        <w:t xml:space="preserve">est </w:t>
      </w:r>
      <w:r w:rsidR="00B76B54">
        <w:t>p</w:t>
      </w:r>
      <w:r w:rsidR="0058641A">
        <w:t>eriod</w:t>
      </w:r>
      <w:r w:rsidR="003071D1">
        <w:t xml:space="preserve"> w</w:t>
      </w:r>
      <w:r w:rsidR="0058641A">
        <w:t>ere</w:t>
      </w:r>
      <w:r w:rsidR="009046F9">
        <w:t xml:space="preserve"> </w:t>
      </w:r>
      <w:r w:rsidR="001F2537">
        <w:t xml:space="preserve">25,118 </w:t>
      </w:r>
      <w:r w:rsidR="00B76B54">
        <w:t>m</w:t>
      </w:r>
      <w:r w:rsidR="001F2537">
        <w:t xml:space="preserve">egawatt-hours (MWh), or </w:t>
      </w:r>
      <w:r w:rsidR="009046F9">
        <w:t>0.</w:t>
      </w:r>
      <w:r w:rsidR="001F2537">
        <w:t>6 percent lower</w:t>
      </w:r>
      <w:r w:rsidR="009046F9">
        <w:t xml:space="preserve"> than the </w:t>
      </w:r>
      <w:r w:rsidR="0058641A">
        <w:t xml:space="preserve">sales included in </w:t>
      </w:r>
      <w:r w:rsidR="00DE0E35">
        <w:t xml:space="preserve">the 2011 </w:t>
      </w:r>
      <w:r w:rsidR="006A4F32">
        <w:t>R</w:t>
      </w:r>
      <w:r w:rsidR="00DE0E35">
        <w:t xml:space="preserve">ate </w:t>
      </w:r>
      <w:r w:rsidR="006A4F32">
        <w:t>C</w:t>
      </w:r>
      <w:r w:rsidR="00DE0E35">
        <w:t xml:space="preserve">ase </w:t>
      </w:r>
      <w:r w:rsidR="009046F9">
        <w:t>on a weather normalized basis.</w:t>
      </w:r>
      <w:r w:rsidR="00250F58">
        <w:rPr>
          <w:rStyle w:val="FootnoteReference"/>
        </w:rPr>
        <w:footnoteReference w:id="1"/>
      </w:r>
      <w:r w:rsidR="009046F9">
        <w:t xml:space="preserve">  The decrease in sales is </w:t>
      </w:r>
      <w:r w:rsidR="00E25773">
        <w:t xml:space="preserve">largely driven by lower sales </w:t>
      </w:r>
      <w:r w:rsidR="00496E33">
        <w:t xml:space="preserve">to </w:t>
      </w:r>
      <w:r w:rsidR="009046F9">
        <w:t>the residential class</w:t>
      </w:r>
      <w:r w:rsidR="00496E33">
        <w:t xml:space="preserve"> and is</w:t>
      </w:r>
      <w:r w:rsidR="009046F9">
        <w:t xml:space="preserve"> offset </w:t>
      </w:r>
      <w:r w:rsidR="0058641A">
        <w:t xml:space="preserve">in part </w:t>
      </w:r>
      <w:r w:rsidR="009046F9">
        <w:t xml:space="preserve">by increases in </w:t>
      </w:r>
      <w:r w:rsidR="00496E33">
        <w:t xml:space="preserve">sales to the </w:t>
      </w:r>
      <w:r w:rsidR="009046F9">
        <w:t>commercial</w:t>
      </w:r>
      <w:r w:rsidR="00B76B54">
        <w:t xml:space="preserve"> and</w:t>
      </w:r>
      <w:r w:rsidR="009046F9">
        <w:t xml:space="preserve"> industrial </w:t>
      </w:r>
      <w:r w:rsidR="00627A86">
        <w:t>class</w:t>
      </w:r>
      <w:r w:rsidR="00B76B54">
        <w:t>es</w:t>
      </w:r>
      <w:r w:rsidR="00D96CB3">
        <w:t>.</w:t>
      </w:r>
    </w:p>
    <w:p w:rsidR="009046F9" w:rsidRDefault="009046F9" w:rsidP="007D5470">
      <w:pPr>
        <w:pStyle w:val="BodyText2"/>
        <w:suppressLineNumbers/>
        <w:tabs>
          <w:tab w:val="clear" w:pos="720"/>
        </w:tabs>
        <w:ind w:left="720" w:hanging="720"/>
        <w:jc w:val="center"/>
        <w:rPr>
          <w:b/>
        </w:rPr>
      </w:pPr>
      <w:r w:rsidRPr="00604467">
        <w:rPr>
          <w:b/>
        </w:rPr>
        <w:t>Table 1</w:t>
      </w:r>
    </w:p>
    <w:p w:rsidR="001F2537" w:rsidRPr="00604467" w:rsidRDefault="00B76B54" w:rsidP="007D5470">
      <w:pPr>
        <w:pStyle w:val="BodyText2"/>
        <w:suppressLineNumbers/>
        <w:tabs>
          <w:tab w:val="clear" w:pos="720"/>
        </w:tabs>
        <w:ind w:left="720" w:hanging="720"/>
        <w:jc w:val="center"/>
        <w:rPr>
          <w:b/>
        </w:rPr>
      </w:pPr>
      <w:r w:rsidRPr="00B76B54">
        <w:rPr>
          <w:noProof/>
        </w:rPr>
        <w:drawing>
          <wp:inline distT="0" distB="0" distL="0" distR="0">
            <wp:extent cx="5486400" cy="24090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409092"/>
                    </a:xfrm>
                    <a:prstGeom prst="rect">
                      <a:avLst/>
                    </a:prstGeom>
                    <a:noFill/>
                    <a:ln>
                      <a:noFill/>
                    </a:ln>
                  </pic:spPr>
                </pic:pic>
              </a:graphicData>
            </a:graphic>
          </wp:inline>
        </w:drawing>
      </w:r>
    </w:p>
    <w:p w:rsidR="009D7DAD" w:rsidRPr="00D30318" w:rsidRDefault="00D30318" w:rsidP="007D5470">
      <w:pPr>
        <w:pStyle w:val="BodyText2"/>
        <w:tabs>
          <w:tab w:val="clear" w:pos="720"/>
        </w:tabs>
        <w:ind w:left="720" w:hanging="720"/>
        <w:rPr>
          <w:b/>
        </w:rPr>
      </w:pPr>
      <w:r>
        <w:rPr>
          <w:b/>
        </w:rPr>
        <w:lastRenderedPageBreak/>
        <w:t>Q.</w:t>
      </w:r>
      <w:r>
        <w:rPr>
          <w:b/>
        </w:rPr>
        <w:tab/>
        <w:t xml:space="preserve">How </w:t>
      </w:r>
      <w:r w:rsidR="00E25773">
        <w:rPr>
          <w:b/>
        </w:rPr>
        <w:t>are</w:t>
      </w:r>
      <w:r w:rsidR="009D7DAD" w:rsidRPr="00D30318">
        <w:rPr>
          <w:b/>
        </w:rPr>
        <w:t xml:space="preserve"> the temperature normalized sales </w:t>
      </w:r>
      <w:r w:rsidR="00E83C28">
        <w:rPr>
          <w:b/>
        </w:rPr>
        <w:t xml:space="preserve">and load </w:t>
      </w:r>
      <w:r w:rsidR="009D7DAD" w:rsidRPr="00D30318">
        <w:rPr>
          <w:b/>
        </w:rPr>
        <w:t xml:space="preserve">for the </w:t>
      </w:r>
      <w:r w:rsidR="000C7881">
        <w:rPr>
          <w:b/>
        </w:rPr>
        <w:t>t</w:t>
      </w:r>
      <w:r w:rsidR="009D7DAD" w:rsidRPr="00D30318">
        <w:rPr>
          <w:b/>
        </w:rPr>
        <w:t xml:space="preserve">est </w:t>
      </w:r>
      <w:r w:rsidR="000C7881">
        <w:rPr>
          <w:b/>
        </w:rPr>
        <w:t>p</w:t>
      </w:r>
      <w:r w:rsidR="009D7DAD" w:rsidRPr="00D30318">
        <w:rPr>
          <w:b/>
        </w:rPr>
        <w:t xml:space="preserve">eriod </w:t>
      </w:r>
      <w:r w:rsidR="000C7881">
        <w:rPr>
          <w:b/>
        </w:rPr>
        <w:t>used</w:t>
      </w:r>
      <w:r w:rsidR="000C7881" w:rsidRPr="00D30318">
        <w:rPr>
          <w:b/>
        </w:rPr>
        <w:t xml:space="preserve"> </w:t>
      </w:r>
      <w:r w:rsidR="009D7DAD" w:rsidRPr="00D30318">
        <w:rPr>
          <w:b/>
        </w:rPr>
        <w:t xml:space="preserve">in </w:t>
      </w:r>
      <w:r w:rsidRPr="00D30318">
        <w:rPr>
          <w:b/>
        </w:rPr>
        <w:t xml:space="preserve">the preparation of </w:t>
      </w:r>
      <w:r w:rsidR="000C7881">
        <w:rPr>
          <w:b/>
        </w:rPr>
        <w:t>this case</w:t>
      </w:r>
      <w:r w:rsidR="009D7DAD" w:rsidRPr="00D30318">
        <w:rPr>
          <w:b/>
        </w:rPr>
        <w:t>?</w:t>
      </w:r>
    </w:p>
    <w:p w:rsidR="00273CEC" w:rsidRDefault="009D7DAD" w:rsidP="007D5470">
      <w:pPr>
        <w:pStyle w:val="BodyText2"/>
        <w:tabs>
          <w:tab w:val="clear" w:pos="720"/>
        </w:tabs>
        <w:ind w:left="720" w:hanging="720"/>
      </w:pPr>
      <w:r>
        <w:t>A.</w:t>
      </w:r>
      <w:r>
        <w:tab/>
      </w:r>
      <w:r w:rsidR="00D30318">
        <w:t xml:space="preserve">The temperature normalized retail sales for the </w:t>
      </w:r>
      <w:r w:rsidR="000C7881">
        <w:t>t</w:t>
      </w:r>
      <w:r w:rsidR="00D30318">
        <w:t xml:space="preserve">est </w:t>
      </w:r>
      <w:r w:rsidR="000C7881">
        <w:t>p</w:t>
      </w:r>
      <w:r w:rsidR="00D30318">
        <w:t xml:space="preserve">eriod </w:t>
      </w:r>
      <w:r w:rsidR="008C6FB8">
        <w:t>are</w:t>
      </w:r>
      <w:r w:rsidR="00D30318">
        <w:t xml:space="preserve"> used by </w:t>
      </w:r>
      <w:r w:rsidR="00213254">
        <w:t>M</w:t>
      </w:r>
      <w:r w:rsidR="008C6FB8">
        <w:t>s.</w:t>
      </w:r>
      <w:r w:rsidR="00213254">
        <w:t xml:space="preserve"> </w:t>
      </w:r>
      <w:r w:rsidR="008C6FB8">
        <w:t xml:space="preserve">Joelle </w:t>
      </w:r>
      <w:r w:rsidR="007D5470">
        <w:t xml:space="preserve">R. </w:t>
      </w:r>
      <w:r w:rsidR="008C6FB8">
        <w:t>Steward</w:t>
      </w:r>
      <w:r w:rsidR="00D30318">
        <w:t xml:space="preserve"> to develop present revenues</w:t>
      </w:r>
      <w:r w:rsidR="001F42D2">
        <w:t xml:space="preserve"> and proposed rates</w:t>
      </w:r>
      <w:r w:rsidR="00D96CB3">
        <w:t>,</w:t>
      </w:r>
      <w:r w:rsidR="00C67719">
        <w:t xml:space="preserve"> and</w:t>
      </w:r>
      <w:r w:rsidR="00D30318">
        <w:t xml:space="preserve"> </w:t>
      </w:r>
      <w:r w:rsidR="00213254">
        <w:t xml:space="preserve">Mr. </w:t>
      </w:r>
      <w:r w:rsidR="00495780">
        <w:t xml:space="preserve">Steven </w:t>
      </w:r>
      <w:r w:rsidR="007D5470">
        <w:t xml:space="preserve">R. </w:t>
      </w:r>
      <w:r w:rsidR="00495780">
        <w:t>McDougal</w:t>
      </w:r>
      <w:r w:rsidR="00D30318">
        <w:t xml:space="preserve"> </w:t>
      </w:r>
      <w:r w:rsidR="00E83C28">
        <w:t xml:space="preserve">uses the </w:t>
      </w:r>
      <w:r w:rsidR="000C7881">
        <w:t>t</w:t>
      </w:r>
      <w:r w:rsidR="00E83C28">
        <w:t xml:space="preserve">est </w:t>
      </w:r>
      <w:r w:rsidR="000C7881">
        <w:t>p</w:t>
      </w:r>
      <w:r w:rsidR="00E83C28">
        <w:t xml:space="preserve">eriod temperature normalized loads </w:t>
      </w:r>
      <w:r w:rsidR="00D30318">
        <w:t xml:space="preserve">to calculate </w:t>
      </w:r>
      <w:r w:rsidR="00690130">
        <w:t>W</w:t>
      </w:r>
      <w:r w:rsidR="00496E33">
        <w:t xml:space="preserve">est </w:t>
      </w:r>
      <w:r w:rsidR="000C7881">
        <w:t>C</w:t>
      </w:r>
      <w:r w:rsidR="00496E33">
        <w:t xml:space="preserve">ontrol </w:t>
      </w:r>
      <w:r w:rsidR="000C7881">
        <w:t>A</w:t>
      </w:r>
      <w:r w:rsidR="00496E33">
        <w:t>rea</w:t>
      </w:r>
      <w:r w:rsidR="00D30318">
        <w:t xml:space="preserve"> </w:t>
      </w:r>
      <w:r w:rsidR="000C7881">
        <w:t xml:space="preserve">inter-jurisdictional </w:t>
      </w:r>
      <w:r w:rsidR="00D96CB3">
        <w:t xml:space="preserve">allocation </w:t>
      </w:r>
      <w:r w:rsidR="00690130">
        <w:t>factors</w:t>
      </w:r>
      <w:r w:rsidR="00D96CB3">
        <w:t>.</w:t>
      </w:r>
    </w:p>
    <w:p w:rsidR="00F832AF" w:rsidRPr="00C67719" w:rsidRDefault="00F832AF" w:rsidP="007D5470">
      <w:pPr>
        <w:pStyle w:val="BodyText2"/>
        <w:tabs>
          <w:tab w:val="clear" w:pos="720"/>
        </w:tabs>
        <w:ind w:left="720" w:hanging="720"/>
        <w:rPr>
          <w:b/>
        </w:rPr>
      </w:pPr>
      <w:r w:rsidRPr="00C67719">
        <w:rPr>
          <w:b/>
        </w:rPr>
        <w:t>Q.</w:t>
      </w:r>
      <w:r w:rsidRPr="00C67719">
        <w:rPr>
          <w:b/>
        </w:rPr>
        <w:tab/>
        <w:t>Please summarize the changes in forecasted load c</w:t>
      </w:r>
      <w:r w:rsidR="00690130">
        <w:rPr>
          <w:b/>
        </w:rPr>
        <w:t>ompared to the 2011 Rate Case.</w:t>
      </w:r>
    </w:p>
    <w:p w:rsidR="00B5130E" w:rsidRDefault="00F832AF" w:rsidP="007D5470">
      <w:pPr>
        <w:pStyle w:val="BodyText2"/>
        <w:tabs>
          <w:tab w:val="clear" w:pos="720"/>
        </w:tabs>
        <w:ind w:left="720" w:hanging="720"/>
      </w:pPr>
      <w:r>
        <w:t>A.</w:t>
      </w:r>
      <w:r>
        <w:tab/>
        <w:t xml:space="preserve">As shown in Table 2 below, the temperature normalized forecasted load for </w:t>
      </w:r>
      <w:r w:rsidR="00022B06">
        <w:t xml:space="preserve">the </w:t>
      </w:r>
      <w:r w:rsidR="000C7881">
        <w:t>12</w:t>
      </w:r>
      <w:r w:rsidR="00D96CB3">
        <w:t> </w:t>
      </w:r>
      <w:r w:rsidR="00E83C28">
        <w:t xml:space="preserve">months ending December 2014 are lower than forecasted loads </w:t>
      </w:r>
      <w:r w:rsidR="00022B06">
        <w:t xml:space="preserve">for both the state of Washington and the west control area from </w:t>
      </w:r>
      <w:r w:rsidR="00E83C28">
        <w:t>the 2011 Rate Case</w:t>
      </w:r>
      <w:r w:rsidR="000C7881">
        <w:t>,</w:t>
      </w:r>
      <w:r w:rsidR="00022B06">
        <w:t xml:space="preserve"> which were based on the</w:t>
      </w:r>
      <w:r w:rsidR="00E83C28">
        <w:t xml:space="preserve"> 12 months ending May 2013</w:t>
      </w:r>
      <w:r w:rsidR="00C67719">
        <w:t>.</w:t>
      </w:r>
    </w:p>
    <w:p w:rsidR="00C67719" w:rsidRPr="002F68F1" w:rsidRDefault="007D0861" w:rsidP="007D5470">
      <w:pPr>
        <w:pStyle w:val="BodyText2"/>
        <w:suppressLineNumbers/>
        <w:tabs>
          <w:tab w:val="clear" w:pos="720"/>
        </w:tabs>
        <w:ind w:left="720" w:hanging="720"/>
        <w:jc w:val="center"/>
        <w:rPr>
          <w:b/>
        </w:rPr>
      </w:pPr>
      <w:r>
        <w:rPr>
          <w:b/>
        </w:rPr>
        <w:t>T</w:t>
      </w:r>
      <w:r w:rsidR="00C67719" w:rsidRPr="002F68F1">
        <w:rPr>
          <w:b/>
        </w:rPr>
        <w:t>able 2</w:t>
      </w:r>
    </w:p>
    <w:p w:rsidR="00C67719" w:rsidRPr="001C35D3" w:rsidRDefault="000C7881" w:rsidP="007D5470">
      <w:pPr>
        <w:pStyle w:val="BodyText2"/>
        <w:suppressLineNumbers/>
        <w:tabs>
          <w:tab w:val="clear" w:pos="720"/>
        </w:tabs>
        <w:ind w:left="720" w:hanging="720"/>
        <w:jc w:val="center"/>
      </w:pPr>
      <w:r w:rsidRPr="000C7881">
        <w:rPr>
          <w:noProof/>
        </w:rPr>
        <w:drawing>
          <wp:inline distT="0" distB="0" distL="0" distR="0">
            <wp:extent cx="461010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0" cy="2209800"/>
                    </a:xfrm>
                    <a:prstGeom prst="rect">
                      <a:avLst/>
                    </a:prstGeom>
                    <a:noFill/>
                    <a:ln>
                      <a:noFill/>
                    </a:ln>
                  </pic:spPr>
                </pic:pic>
              </a:graphicData>
            </a:graphic>
          </wp:inline>
        </w:drawing>
      </w:r>
    </w:p>
    <w:p w:rsidR="001F185C" w:rsidRPr="001F185C" w:rsidRDefault="00C67719" w:rsidP="007D5470">
      <w:pPr>
        <w:pStyle w:val="BodyTextIndent2"/>
      </w:pPr>
      <w:r>
        <w:rPr>
          <w:b/>
        </w:rPr>
        <w:tab/>
      </w:r>
      <w:r>
        <w:t>The decrease in the</w:t>
      </w:r>
      <w:r w:rsidR="007521F0">
        <w:t xml:space="preserve"> </w:t>
      </w:r>
      <w:r>
        <w:t>load forecast</w:t>
      </w:r>
      <w:r w:rsidR="003C1EE1">
        <w:t xml:space="preserve"> </w:t>
      </w:r>
      <w:r w:rsidR="000C7881">
        <w:t xml:space="preserve">in this case </w:t>
      </w:r>
      <w:r>
        <w:t>is driven by prolonged recessionary impacts</w:t>
      </w:r>
      <w:r w:rsidR="0099472E">
        <w:t xml:space="preserve"> in all states</w:t>
      </w:r>
      <w:r w:rsidR="00E83C28">
        <w:t xml:space="preserve"> and</w:t>
      </w:r>
      <w:r>
        <w:t xml:space="preserve"> </w:t>
      </w:r>
      <w:r w:rsidR="0099472E">
        <w:t xml:space="preserve">growth in </w:t>
      </w:r>
      <w:r>
        <w:t>energy efficiency</w:t>
      </w:r>
      <w:r w:rsidR="0099472E">
        <w:t xml:space="preserve"> and conservation programs</w:t>
      </w:r>
      <w:r w:rsidR="007D5470">
        <w:t>.</w:t>
      </w:r>
    </w:p>
    <w:p w:rsidR="007B3EE5" w:rsidRDefault="00100465" w:rsidP="00690130">
      <w:pPr>
        <w:pStyle w:val="BodyTextIndent2"/>
        <w:keepNext/>
        <w:rPr>
          <w:b/>
        </w:rPr>
      </w:pPr>
      <w:r>
        <w:rPr>
          <w:b/>
        </w:rPr>
        <w:t>Q.</w:t>
      </w:r>
      <w:r>
        <w:rPr>
          <w:b/>
        </w:rPr>
        <w:tab/>
        <w:t xml:space="preserve">How are the forecasted loads for the </w:t>
      </w:r>
      <w:r w:rsidR="00627A86">
        <w:rPr>
          <w:b/>
        </w:rPr>
        <w:t>west control area</w:t>
      </w:r>
      <w:r>
        <w:rPr>
          <w:b/>
        </w:rPr>
        <w:t xml:space="preserve"> </w:t>
      </w:r>
      <w:r w:rsidR="000C7881">
        <w:rPr>
          <w:b/>
        </w:rPr>
        <w:t xml:space="preserve">used </w:t>
      </w:r>
      <w:r>
        <w:rPr>
          <w:b/>
        </w:rPr>
        <w:t>in prepar</w:t>
      </w:r>
      <w:r w:rsidR="000C7881">
        <w:rPr>
          <w:b/>
        </w:rPr>
        <w:t>ing</w:t>
      </w:r>
      <w:r w:rsidR="007B3EE5">
        <w:rPr>
          <w:b/>
        </w:rPr>
        <w:t xml:space="preserve"> </w:t>
      </w:r>
      <w:r w:rsidR="000C7881">
        <w:rPr>
          <w:b/>
        </w:rPr>
        <w:t>this c</w:t>
      </w:r>
      <w:r w:rsidR="007B3EE5">
        <w:rPr>
          <w:b/>
        </w:rPr>
        <w:t>ase?</w:t>
      </w:r>
    </w:p>
    <w:p w:rsidR="007B3EE5" w:rsidRDefault="007B3EE5" w:rsidP="007D5470">
      <w:pPr>
        <w:pStyle w:val="BodyTextIndent2"/>
      </w:pPr>
      <w:r>
        <w:t>A.</w:t>
      </w:r>
      <w:r>
        <w:tab/>
        <w:t xml:space="preserve">The forecasted loads for the </w:t>
      </w:r>
      <w:r w:rsidR="00627A86">
        <w:t xml:space="preserve">west control area </w:t>
      </w:r>
      <w:r>
        <w:t xml:space="preserve">are used by </w:t>
      </w:r>
      <w:r w:rsidR="009168D4">
        <w:t xml:space="preserve">Mr. </w:t>
      </w:r>
      <w:r>
        <w:t>Greg</w:t>
      </w:r>
      <w:r w:rsidR="006A4F32">
        <w:t>ory N.</w:t>
      </w:r>
      <w:r>
        <w:t xml:space="preserve"> Duvall</w:t>
      </w:r>
      <w:r w:rsidR="00D96CB3">
        <w:t xml:space="preserve"> to calculate net power costs.</w:t>
      </w:r>
    </w:p>
    <w:p w:rsidR="00100465" w:rsidRDefault="007B3EE5" w:rsidP="007D5470">
      <w:pPr>
        <w:pStyle w:val="BodyTextIndent2"/>
        <w:rPr>
          <w:b/>
        </w:rPr>
      </w:pPr>
      <w:r>
        <w:rPr>
          <w:b/>
        </w:rPr>
        <w:t xml:space="preserve">Temperature </w:t>
      </w:r>
      <w:r w:rsidR="00C41025">
        <w:rPr>
          <w:b/>
        </w:rPr>
        <w:t>Normalization</w:t>
      </w:r>
      <w:r>
        <w:rPr>
          <w:b/>
        </w:rPr>
        <w:t xml:space="preserve"> of Historical Sales</w:t>
      </w:r>
    </w:p>
    <w:p w:rsidR="0034155F" w:rsidRDefault="0034155F" w:rsidP="007D5470">
      <w:pPr>
        <w:pStyle w:val="BodyTextIndent2"/>
        <w:rPr>
          <w:b/>
        </w:rPr>
      </w:pPr>
      <w:r>
        <w:rPr>
          <w:b/>
        </w:rPr>
        <w:t>Q.</w:t>
      </w:r>
      <w:r>
        <w:rPr>
          <w:b/>
        </w:rPr>
        <w:tab/>
      </w:r>
      <w:r w:rsidR="009168D4">
        <w:rPr>
          <w:b/>
        </w:rPr>
        <w:t>Please explain</w:t>
      </w:r>
      <w:r w:rsidR="00C41025">
        <w:rPr>
          <w:b/>
        </w:rPr>
        <w:t xml:space="preserve"> temperature normalization and how i</w:t>
      </w:r>
      <w:r w:rsidR="00720E99">
        <w:rPr>
          <w:b/>
        </w:rPr>
        <w:t>t is</w:t>
      </w:r>
      <w:r w:rsidR="00C41025">
        <w:rPr>
          <w:b/>
        </w:rPr>
        <w:t xml:space="preserve"> used in ratemaking</w:t>
      </w:r>
      <w:r w:rsidR="009168D4">
        <w:rPr>
          <w:b/>
        </w:rPr>
        <w:t>.</w:t>
      </w:r>
    </w:p>
    <w:p w:rsidR="00DF53B1" w:rsidRDefault="00C41025" w:rsidP="007D5470">
      <w:pPr>
        <w:pStyle w:val="BodyTextIndent2"/>
      </w:pPr>
      <w:r>
        <w:t>A.</w:t>
      </w:r>
      <w:r>
        <w:tab/>
      </w:r>
      <w:r w:rsidR="007C1739">
        <w:t>Temperature normalization is the process of removing variances in sales due to temperature</w:t>
      </w:r>
      <w:r w:rsidR="005D7C7B">
        <w:t xml:space="preserve"> variances</w:t>
      </w:r>
      <w:r w:rsidR="007C1739">
        <w:t xml:space="preserve"> and restating the sales that would have occurred under </w:t>
      </w:r>
      <w:r w:rsidR="005D7C7B">
        <w:t>“</w:t>
      </w:r>
      <w:r w:rsidR="007C1739">
        <w:t>normal</w:t>
      </w:r>
      <w:r w:rsidR="005D7C7B">
        <w:t>”</w:t>
      </w:r>
      <w:r w:rsidR="007C1739">
        <w:t xml:space="preserve"> temperatures. </w:t>
      </w:r>
      <w:r w:rsidR="000C7881">
        <w:t xml:space="preserve"> </w:t>
      </w:r>
      <w:r w:rsidR="00800417">
        <w:t>The Company uses a 20-year rolling average to establish normal temperatures.</w:t>
      </w:r>
      <w:r w:rsidR="006A4F32">
        <w:t xml:space="preserve"> </w:t>
      </w:r>
      <w:r w:rsidR="000C7881">
        <w:t xml:space="preserve"> </w:t>
      </w:r>
      <w:r w:rsidR="00800417">
        <w:t>Using normal temperatures to determine sales and loads avoids setting rates on sales and loads that occur under extreme weather conditions.</w:t>
      </w:r>
    </w:p>
    <w:p w:rsidR="007B3EE5" w:rsidRDefault="007B3EE5" w:rsidP="007D5470">
      <w:pPr>
        <w:pStyle w:val="BodyTextIndent2"/>
        <w:rPr>
          <w:b/>
        </w:rPr>
      </w:pPr>
      <w:r>
        <w:rPr>
          <w:b/>
        </w:rPr>
        <w:t>Q.</w:t>
      </w:r>
      <w:r>
        <w:rPr>
          <w:b/>
        </w:rPr>
        <w:tab/>
        <w:t>What is the Company’s framework for temperature normalization of historic</w:t>
      </w:r>
      <w:r w:rsidR="000C7881">
        <w:rPr>
          <w:b/>
        </w:rPr>
        <w:t>al</w:t>
      </w:r>
      <w:r>
        <w:rPr>
          <w:b/>
        </w:rPr>
        <w:t xml:space="preserve"> sales in Washington?</w:t>
      </w:r>
    </w:p>
    <w:p w:rsidR="007B3EE5" w:rsidRDefault="007B3EE5" w:rsidP="007D5470">
      <w:pPr>
        <w:pStyle w:val="BodyTextIndent2"/>
      </w:pPr>
      <w:r>
        <w:t>A.</w:t>
      </w:r>
      <w:r>
        <w:tab/>
      </w:r>
      <w:r w:rsidRPr="00502404">
        <w:t xml:space="preserve">In </w:t>
      </w:r>
      <w:r w:rsidR="00D96CB3">
        <w:t>the 2005 Rate Case</w:t>
      </w:r>
      <w:r w:rsidRPr="00502404">
        <w:t xml:space="preserve">, the Commission approved </w:t>
      </w:r>
      <w:r>
        <w:t>a</w:t>
      </w:r>
      <w:r w:rsidRPr="00502404">
        <w:t xml:space="preserve"> </w:t>
      </w:r>
      <w:r w:rsidR="000C7881">
        <w:t>s</w:t>
      </w:r>
      <w:r w:rsidRPr="00502404">
        <w:t xml:space="preserve">tipulation </w:t>
      </w:r>
      <w:r w:rsidR="000C7881">
        <w:t>that</w:t>
      </w:r>
      <w:r w:rsidRPr="00502404">
        <w:t xml:space="preserve"> set forth an interim approach to temperature normalization </w:t>
      </w:r>
      <w:r w:rsidR="000C7881">
        <w:t>(used</w:t>
      </w:r>
      <w:r w:rsidRPr="00502404">
        <w:t xml:space="preserve"> in </w:t>
      </w:r>
      <w:r w:rsidR="00D96CB3">
        <w:t>the 2006 Rate Case</w:t>
      </w:r>
      <w:r w:rsidR="000C7881">
        <w:t>)</w:t>
      </w:r>
      <w:r w:rsidRPr="00502404">
        <w:t xml:space="preserve">, and an agreement to develop a long-term approach. </w:t>
      </w:r>
      <w:r w:rsidR="006A4F32">
        <w:t xml:space="preserve"> </w:t>
      </w:r>
      <w:r w:rsidRPr="00502404">
        <w:t xml:space="preserve">This </w:t>
      </w:r>
      <w:r>
        <w:t xml:space="preserve">long-term approach was </w:t>
      </w:r>
      <w:r w:rsidR="000C7881">
        <w:t>established</w:t>
      </w:r>
      <w:r>
        <w:t xml:space="preserve"> in “T</w:t>
      </w:r>
      <w:r w:rsidRPr="00502404">
        <w:t>he Company’s Plan for a Long-Term Temperature Normalization Solution in Washington</w:t>
      </w:r>
      <w:r w:rsidR="000C7881">
        <w:t>,</w:t>
      </w:r>
      <w:r>
        <w:t>”</w:t>
      </w:r>
      <w:r w:rsidRPr="00502404">
        <w:t xml:space="preserve"> dated J</w:t>
      </w:r>
      <w:r w:rsidR="00033003">
        <w:t>anuary 22, 2007 (</w:t>
      </w:r>
      <w:r w:rsidR="00D96CB3">
        <w:t>the </w:t>
      </w:r>
      <w:r w:rsidRPr="00502404">
        <w:t>Plan).</w:t>
      </w:r>
    </w:p>
    <w:p w:rsidR="0034155F" w:rsidRPr="0034155F" w:rsidRDefault="007B3EE5" w:rsidP="007D5470">
      <w:pPr>
        <w:pStyle w:val="BodyTextIndent2"/>
        <w:widowControl w:val="0"/>
        <w:rPr>
          <w:b/>
        </w:rPr>
      </w:pPr>
      <w:r w:rsidRPr="0034155F">
        <w:rPr>
          <w:b/>
        </w:rPr>
        <w:t>Q.</w:t>
      </w:r>
      <w:r w:rsidRPr="0034155F">
        <w:rPr>
          <w:b/>
        </w:rPr>
        <w:tab/>
        <w:t xml:space="preserve">Has the Company changed </w:t>
      </w:r>
      <w:r w:rsidR="0034155F" w:rsidRPr="0034155F">
        <w:rPr>
          <w:b/>
        </w:rPr>
        <w:t xml:space="preserve">or refined </w:t>
      </w:r>
      <w:r w:rsidRPr="0034155F">
        <w:rPr>
          <w:b/>
        </w:rPr>
        <w:t>its temperature normalization methodology since</w:t>
      </w:r>
      <w:r w:rsidR="0034155F" w:rsidRPr="0034155F">
        <w:rPr>
          <w:b/>
        </w:rPr>
        <w:t xml:space="preserve"> the Plan was agreed to in 2007?</w:t>
      </w:r>
    </w:p>
    <w:p w:rsidR="0034155F" w:rsidRDefault="0034155F" w:rsidP="007D5470">
      <w:pPr>
        <w:pStyle w:val="BodyTextIndent2"/>
        <w:widowControl w:val="0"/>
      </w:pPr>
      <w:r>
        <w:t>A.</w:t>
      </w:r>
      <w:r>
        <w:tab/>
        <w:t xml:space="preserve">Yes.  </w:t>
      </w:r>
      <w:r w:rsidR="007B3EE5">
        <w:t xml:space="preserve">Since the </w:t>
      </w:r>
      <w:r w:rsidR="005D7C7B">
        <w:t>P</w:t>
      </w:r>
      <w:r w:rsidR="007B3EE5">
        <w:t xml:space="preserve">lan </w:t>
      </w:r>
      <w:r w:rsidR="00FE4EF0">
        <w:t>was adopted by the Commission</w:t>
      </w:r>
      <w:r w:rsidR="007B3EE5">
        <w:t xml:space="preserve">, the Company modified the methodology to use daily temperature records over a </w:t>
      </w:r>
      <w:r w:rsidR="000C7881">
        <w:t>20</w:t>
      </w:r>
      <w:r w:rsidR="007B3EE5">
        <w:t xml:space="preserve">-year period rather than </w:t>
      </w:r>
      <w:r w:rsidR="00FE4EF0">
        <w:t xml:space="preserve">a </w:t>
      </w:r>
      <w:r w:rsidR="000C7881">
        <w:t>30</w:t>
      </w:r>
      <w:r w:rsidR="007B3EE5">
        <w:t xml:space="preserve">-year period, and modified its </w:t>
      </w:r>
      <w:r w:rsidR="008F0A3E">
        <w:t xml:space="preserve">calculation </w:t>
      </w:r>
      <w:r w:rsidR="007B3EE5">
        <w:t xml:space="preserve">of peak load to include </w:t>
      </w:r>
      <w:r w:rsidR="008F0A3E">
        <w:t xml:space="preserve">temperature data two days ahead, for a total of </w:t>
      </w:r>
      <w:r w:rsidR="007B3EE5">
        <w:t>three days of data</w:t>
      </w:r>
      <w:r w:rsidR="008F0A3E">
        <w:t>,</w:t>
      </w:r>
      <w:r w:rsidR="007B3EE5">
        <w:t xml:space="preserve"> rather than </w:t>
      </w:r>
      <w:r w:rsidR="008F0A3E">
        <w:t xml:space="preserve">only </w:t>
      </w:r>
      <w:r w:rsidR="00800417">
        <w:t xml:space="preserve">using </w:t>
      </w:r>
      <w:r w:rsidR="008F0A3E">
        <w:t xml:space="preserve">the </w:t>
      </w:r>
      <w:r w:rsidR="00800417">
        <w:t xml:space="preserve">temperature data on the day of the </w:t>
      </w:r>
      <w:r w:rsidR="008F0A3E">
        <w:t>peak load</w:t>
      </w:r>
      <w:r w:rsidR="007B3EE5">
        <w:t>.  Th</w:t>
      </w:r>
      <w:r w:rsidR="00FE4EF0">
        <w:t>ese</w:t>
      </w:r>
      <w:r w:rsidR="007B3EE5">
        <w:t xml:space="preserve"> change</w:t>
      </w:r>
      <w:r w:rsidR="00FE4EF0">
        <w:t>s</w:t>
      </w:r>
      <w:r w:rsidR="007B3EE5">
        <w:t xml:space="preserve"> </w:t>
      </w:r>
      <w:r w:rsidR="00FE4EF0">
        <w:t xml:space="preserve">were </w:t>
      </w:r>
      <w:r w:rsidR="007B3EE5">
        <w:t xml:space="preserve">agreed to by </w:t>
      </w:r>
      <w:r w:rsidR="00EA0169">
        <w:t xml:space="preserve">Commission </w:t>
      </w:r>
      <w:r w:rsidR="007B3EE5">
        <w:t xml:space="preserve">Staff and adopted by the Commission </w:t>
      </w:r>
      <w:r w:rsidR="007D5470">
        <w:t>in the Company’s 2009 general rate case, d</w:t>
      </w:r>
      <w:r>
        <w:t>ocket UE-090205.</w:t>
      </w:r>
      <w:r w:rsidR="007B3EE5">
        <w:t xml:space="preserve">  In the </w:t>
      </w:r>
      <w:r w:rsidR="007D5470">
        <w:t xml:space="preserve">Company’s </w:t>
      </w:r>
      <w:r w:rsidR="007B3EE5">
        <w:t>2010</w:t>
      </w:r>
      <w:r w:rsidR="007D5470">
        <w:t xml:space="preserve"> general rate case, docket UE-100749 (2010 Rate Case)</w:t>
      </w:r>
      <w:r w:rsidR="008F255E">
        <w:t>,</w:t>
      </w:r>
      <w:r w:rsidR="000C7881">
        <w:t xml:space="preserve"> and</w:t>
      </w:r>
      <w:r>
        <w:t xml:space="preserve"> </w:t>
      </w:r>
      <w:r w:rsidR="007D5470">
        <w:t>the 2011 Rate Case</w:t>
      </w:r>
      <w:r w:rsidR="008D6E97">
        <w:t>,</w:t>
      </w:r>
      <w:r w:rsidR="007B3EE5">
        <w:t xml:space="preserve"> the Company updated temperature data as it </w:t>
      </w:r>
      <w:r w:rsidR="00E87343">
        <w:t>became</w:t>
      </w:r>
      <w:r w:rsidR="007B3EE5">
        <w:t xml:space="preserve"> available</w:t>
      </w:r>
      <w:r w:rsidR="00CD66DB">
        <w:t xml:space="preserve"> and has done the same in this case</w:t>
      </w:r>
      <w:r w:rsidR="00D96CB3">
        <w:t>.</w:t>
      </w:r>
    </w:p>
    <w:p w:rsidR="0034155F" w:rsidRPr="0034155F" w:rsidRDefault="0034155F" w:rsidP="007D5470">
      <w:pPr>
        <w:pStyle w:val="BodyTextIndent2"/>
        <w:rPr>
          <w:b/>
        </w:rPr>
      </w:pPr>
      <w:r w:rsidRPr="0034155F">
        <w:rPr>
          <w:b/>
        </w:rPr>
        <w:t>Q.</w:t>
      </w:r>
      <w:r w:rsidRPr="0034155F">
        <w:rPr>
          <w:b/>
        </w:rPr>
        <w:tab/>
        <w:t xml:space="preserve">Has the Company made any adjustments to its temperature normalization methodology in </w:t>
      </w:r>
      <w:r w:rsidR="00CD66DB">
        <w:rPr>
          <w:b/>
        </w:rPr>
        <w:t>this case</w:t>
      </w:r>
      <w:r w:rsidR="00D96CB3">
        <w:rPr>
          <w:b/>
        </w:rPr>
        <w:t>?</w:t>
      </w:r>
    </w:p>
    <w:p w:rsidR="0034155F" w:rsidRDefault="00D96CB3" w:rsidP="007D5470">
      <w:pPr>
        <w:pStyle w:val="BodyTextIndent2"/>
      </w:pPr>
      <w:r>
        <w:t>A.</w:t>
      </w:r>
      <w:r>
        <w:tab/>
        <w:t>No.</w:t>
      </w:r>
    </w:p>
    <w:p w:rsidR="0058744D" w:rsidRDefault="0058744D" w:rsidP="007D5470">
      <w:pPr>
        <w:pStyle w:val="BodyTextIndent2"/>
        <w:rPr>
          <w:b/>
        </w:rPr>
      </w:pPr>
      <w:r>
        <w:rPr>
          <w:b/>
        </w:rPr>
        <w:t>Q.</w:t>
      </w:r>
      <w:r>
        <w:rPr>
          <w:b/>
        </w:rPr>
        <w:tab/>
      </w:r>
      <w:r w:rsidR="004550C8">
        <w:rPr>
          <w:b/>
        </w:rPr>
        <w:t>W</w:t>
      </w:r>
      <w:r w:rsidR="0034155F">
        <w:rPr>
          <w:b/>
        </w:rPr>
        <w:t>hich class of customers include</w:t>
      </w:r>
      <w:r w:rsidR="00B5130E">
        <w:rPr>
          <w:b/>
        </w:rPr>
        <w:t>s</w:t>
      </w:r>
      <w:r w:rsidR="0034155F">
        <w:rPr>
          <w:b/>
        </w:rPr>
        <w:t xml:space="preserve"> a </w:t>
      </w:r>
      <w:r w:rsidR="00033003">
        <w:rPr>
          <w:b/>
        </w:rPr>
        <w:t xml:space="preserve">temperature </w:t>
      </w:r>
      <w:r w:rsidR="00DF53B1">
        <w:rPr>
          <w:b/>
        </w:rPr>
        <w:t xml:space="preserve">normalizing </w:t>
      </w:r>
      <w:r w:rsidR="006C62A2">
        <w:rPr>
          <w:b/>
        </w:rPr>
        <w:t>adjustment</w:t>
      </w:r>
      <w:r w:rsidR="0034155F">
        <w:rPr>
          <w:b/>
        </w:rPr>
        <w:t xml:space="preserve"> in the current filing</w:t>
      </w:r>
      <w:r w:rsidR="004550C8">
        <w:rPr>
          <w:b/>
        </w:rPr>
        <w:t>?</w:t>
      </w:r>
    </w:p>
    <w:p w:rsidR="00BC1BA0" w:rsidRDefault="00C37768" w:rsidP="007D5470">
      <w:pPr>
        <w:pStyle w:val="BodyText2"/>
        <w:tabs>
          <w:tab w:val="clear" w:pos="720"/>
        </w:tabs>
        <w:ind w:left="720" w:hanging="720"/>
      </w:pPr>
      <w:r w:rsidRPr="00502404">
        <w:t>A.</w:t>
      </w:r>
      <w:r w:rsidRPr="00502404">
        <w:tab/>
      </w:r>
      <w:r w:rsidR="0034155F">
        <w:t>The residential, commercial</w:t>
      </w:r>
      <w:r w:rsidR="008F255E">
        <w:t>,</w:t>
      </w:r>
      <w:r w:rsidR="0034155F">
        <w:t xml:space="preserve"> and irrigation customers</w:t>
      </w:r>
      <w:r w:rsidR="00D23150" w:rsidRPr="00D23150">
        <w:t xml:space="preserve"> </w:t>
      </w:r>
      <w:r w:rsidR="00D23150">
        <w:t>include a temperature normalization adjustment in this filing</w:t>
      </w:r>
      <w:r w:rsidR="00D96CB3">
        <w:t>.</w:t>
      </w:r>
    </w:p>
    <w:p w:rsidR="001B0FD7" w:rsidRPr="001B0FD7" w:rsidRDefault="00033003" w:rsidP="007D5470">
      <w:pPr>
        <w:pStyle w:val="BodyText2"/>
        <w:tabs>
          <w:tab w:val="clear" w:pos="720"/>
        </w:tabs>
        <w:ind w:left="720" w:hanging="720"/>
        <w:rPr>
          <w:b/>
        </w:rPr>
      </w:pPr>
      <w:r>
        <w:rPr>
          <w:b/>
        </w:rPr>
        <w:t>Q.</w:t>
      </w:r>
      <w:r>
        <w:rPr>
          <w:b/>
        </w:rPr>
        <w:tab/>
        <w:t xml:space="preserve">What is the </w:t>
      </w:r>
      <w:r w:rsidR="00D23150">
        <w:rPr>
          <w:b/>
        </w:rPr>
        <w:t xml:space="preserve">magnitude of the </w:t>
      </w:r>
      <w:r>
        <w:rPr>
          <w:b/>
        </w:rPr>
        <w:t>temperature</w:t>
      </w:r>
      <w:r w:rsidR="001B0FD7" w:rsidRPr="001B0FD7">
        <w:rPr>
          <w:b/>
        </w:rPr>
        <w:t xml:space="preserve"> normalizing adjustment for the commercial class</w:t>
      </w:r>
      <w:r w:rsidR="00D23150">
        <w:rPr>
          <w:b/>
        </w:rPr>
        <w:t xml:space="preserve"> in the </w:t>
      </w:r>
      <w:r w:rsidR="00CD66DB">
        <w:rPr>
          <w:b/>
        </w:rPr>
        <w:t>t</w:t>
      </w:r>
      <w:r w:rsidR="00D23150">
        <w:rPr>
          <w:b/>
        </w:rPr>
        <w:t xml:space="preserve">est </w:t>
      </w:r>
      <w:r w:rsidR="00CD66DB">
        <w:rPr>
          <w:b/>
        </w:rPr>
        <w:t>p</w:t>
      </w:r>
      <w:r w:rsidR="00D23150">
        <w:rPr>
          <w:b/>
        </w:rPr>
        <w:t>eriod</w:t>
      </w:r>
      <w:r w:rsidR="001B0FD7" w:rsidRPr="001B0FD7">
        <w:rPr>
          <w:b/>
        </w:rPr>
        <w:t>?</w:t>
      </w:r>
    </w:p>
    <w:p w:rsidR="00370A34" w:rsidRDefault="001B0FD7" w:rsidP="00370A34">
      <w:pPr>
        <w:pStyle w:val="BodyText2"/>
        <w:widowControl w:val="0"/>
        <w:tabs>
          <w:tab w:val="clear" w:pos="720"/>
        </w:tabs>
        <w:ind w:left="720" w:hanging="720"/>
        <w:rPr>
          <w:b/>
        </w:rPr>
      </w:pPr>
      <w:r>
        <w:t>A.</w:t>
      </w:r>
      <w:r>
        <w:tab/>
        <w:t xml:space="preserve">The </w:t>
      </w:r>
      <w:r w:rsidR="00033003">
        <w:t xml:space="preserve">temperature </w:t>
      </w:r>
      <w:r>
        <w:t xml:space="preserve">normalizing adjustment </w:t>
      </w:r>
      <w:r w:rsidR="00D23150">
        <w:t xml:space="preserve">for </w:t>
      </w:r>
      <w:r w:rsidR="00D0129E">
        <w:t xml:space="preserve">the commercial </w:t>
      </w:r>
      <w:r w:rsidR="00D23150">
        <w:t xml:space="preserve">class </w:t>
      </w:r>
      <w:r w:rsidR="008F255E">
        <w:t>in</w:t>
      </w:r>
      <w:r>
        <w:t xml:space="preserve"> the </w:t>
      </w:r>
      <w:r w:rsidR="00CD66DB">
        <w:t>t</w:t>
      </w:r>
      <w:r w:rsidR="00D23150">
        <w:t xml:space="preserve">est </w:t>
      </w:r>
      <w:r w:rsidR="00CD66DB">
        <w:t>p</w:t>
      </w:r>
      <w:r>
        <w:t xml:space="preserve">eriod is a reduction in sales of </w:t>
      </w:r>
      <w:r w:rsidR="00FA68DA">
        <w:t>4,579</w:t>
      </w:r>
      <w:r>
        <w:t xml:space="preserve"> MWh or 0.1 percent of total Washington sales.</w:t>
      </w:r>
    </w:p>
    <w:p w:rsidR="002F239F" w:rsidRDefault="002F239F" w:rsidP="00370A34">
      <w:pPr>
        <w:pStyle w:val="BodyText2"/>
        <w:widowControl w:val="0"/>
        <w:tabs>
          <w:tab w:val="clear" w:pos="720"/>
        </w:tabs>
        <w:ind w:left="720" w:hanging="720"/>
        <w:rPr>
          <w:b/>
        </w:rPr>
      </w:pPr>
      <w:r>
        <w:rPr>
          <w:b/>
        </w:rPr>
        <w:t>Q.</w:t>
      </w:r>
      <w:r>
        <w:rPr>
          <w:b/>
        </w:rPr>
        <w:tab/>
        <w:t xml:space="preserve">Why is it important for the Company to include temperature normalization of the commercial class in </w:t>
      </w:r>
      <w:r w:rsidR="00CD66DB">
        <w:rPr>
          <w:b/>
        </w:rPr>
        <w:t>this case</w:t>
      </w:r>
      <w:r>
        <w:rPr>
          <w:b/>
        </w:rPr>
        <w:t>?</w:t>
      </w:r>
    </w:p>
    <w:p w:rsidR="00447ACE" w:rsidRDefault="002F239F" w:rsidP="00370A34">
      <w:pPr>
        <w:pStyle w:val="BodyTextIndent2"/>
        <w:widowControl w:val="0"/>
      </w:pPr>
      <w:r>
        <w:t>A.</w:t>
      </w:r>
      <w:r>
        <w:tab/>
      </w:r>
      <w:r w:rsidR="00627A86">
        <w:t xml:space="preserve">It is important because the Company seeks to avoid fluctuations in </w:t>
      </w:r>
      <w:r w:rsidR="004550C8">
        <w:t xml:space="preserve">commercial </w:t>
      </w:r>
      <w:r w:rsidR="00627A86">
        <w:t>rates due to temperature variations</w:t>
      </w:r>
      <w:r w:rsidR="004550C8">
        <w:t xml:space="preserve">.  The Company’s goal </w:t>
      </w:r>
      <w:r w:rsidR="00627A86">
        <w:t xml:space="preserve">is consistent with the </w:t>
      </w:r>
      <w:r w:rsidR="00214AD4">
        <w:t>Commiss</w:t>
      </w:r>
      <w:r w:rsidR="00627A86">
        <w:t xml:space="preserve">ion’s </w:t>
      </w:r>
      <w:r w:rsidR="00CD66DB">
        <w:t>statement</w:t>
      </w:r>
      <w:r w:rsidR="00627A86">
        <w:t xml:space="preserve"> </w:t>
      </w:r>
      <w:r w:rsidR="00214AD4">
        <w:t>regard</w:t>
      </w:r>
      <w:r w:rsidR="00CD66DB">
        <w:t>ing</w:t>
      </w:r>
      <w:r w:rsidR="00214AD4">
        <w:t xml:space="preserve"> residential temperature normalization</w:t>
      </w:r>
      <w:r w:rsidR="00CD66DB">
        <w:t xml:space="preserve"> in the order in the 2010 Rate Case:</w:t>
      </w:r>
      <w:r w:rsidR="00214AD4">
        <w:t xml:space="preserve"> “Simply put, the Joint Parties’ proposed adjustment creates exactly the situation we seek to avoid: </w:t>
      </w:r>
      <w:r w:rsidR="008A4DB3">
        <w:t xml:space="preserve"> </w:t>
      </w:r>
      <w:r w:rsidR="00214AD4">
        <w:t>significant fluctuations in rates due to temperature differences.”</w:t>
      </w:r>
      <w:r w:rsidR="00214AD4">
        <w:rPr>
          <w:rStyle w:val="FootnoteReference"/>
        </w:rPr>
        <w:footnoteReference w:id="2"/>
      </w:r>
    </w:p>
    <w:p w:rsidR="00447ACE" w:rsidRPr="00447ACE" w:rsidRDefault="00447ACE" w:rsidP="007D5470">
      <w:pPr>
        <w:pStyle w:val="BodyTextIndent2"/>
        <w:rPr>
          <w:b/>
        </w:rPr>
      </w:pPr>
      <w:r w:rsidRPr="00447ACE">
        <w:rPr>
          <w:b/>
        </w:rPr>
        <w:t>Q.</w:t>
      </w:r>
      <w:r w:rsidRPr="00447ACE">
        <w:rPr>
          <w:b/>
        </w:rPr>
        <w:tab/>
        <w:t>Is the commercial class electricity usage sensitive to temperature?</w:t>
      </w:r>
    </w:p>
    <w:p w:rsidR="00447ACE" w:rsidRDefault="00447ACE" w:rsidP="007D5470">
      <w:pPr>
        <w:pStyle w:val="BodyTextIndent2"/>
      </w:pPr>
      <w:r>
        <w:t>A.</w:t>
      </w:r>
      <w:r>
        <w:tab/>
        <w:t xml:space="preserve">Yes.  The </w:t>
      </w:r>
      <w:r w:rsidR="00CD66DB">
        <w:t>c</w:t>
      </w:r>
      <w:r>
        <w:t>ommercial class</w:t>
      </w:r>
      <w:r w:rsidR="002F239F">
        <w:t xml:space="preserve"> is sensitive to temperature</w:t>
      </w:r>
      <w:r>
        <w:t>, and it is appropriate to include a temperature normalizing adjustment in the current rate case and in future rate cases</w:t>
      </w:r>
      <w:r w:rsidR="002F239F">
        <w:t xml:space="preserve">.  </w:t>
      </w:r>
      <w:r w:rsidR="00627A86">
        <w:t>While t</w:t>
      </w:r>
      <w:r w:rsidR="002F239F">
        <w:t>he current test period requires a small temperature normalizing adjustment</w:t>
      </w:r>
      <w:r w:rsidR="00627A86">
        <w:t xml:space="preserve"> to reflect normal weather</w:t>
      </w:r>
      <w:r w:rsidR="002F239F">
        <w:t xml:space="preserve">, a future rate case period that </w:t>
      </w:r>
      <w:r w:rsidR="00627A86">
        <w:t>includes</w:t>
      </w:r>
      <w:r w:rsidR="002F239F">
        <w:t xml:space="preserve"> more extreme weather can introduce volatility in rates that is not in the best interest of customers</w:t>
      </w:r>
      <w:r w:rsidR="00D96CB3">
        <w:t>.</w:t>
      </w:r>
    </w:p>
    <w:p w:rsidR="00BC1BA0" w:rsidRDefault="00BC1BA0" w:rsidP="007D5470">
      <w:pPr>
        <w:pStyle w:val="BodyTextIndent2"/>
        <w:rPr>
          <w:b/>
        </w:rPr>
      </w:pPr>
      <w:r>
        <w:rPr>
          <w:b/>
        </w:rPr>
        <w:t>Q.</w:t>
      </w:r>
      <w:r>
        <w:rPr>
          <w:b/>
        </w:rPr>
        <w:tab/>
      </w:r>
      <w:r w:rsidR="0034155F">
        <w:rPr>
          <w:b/>
        </w:rPr>
        <w:t>Please summarize the</w:t>
      </w:r>
      <w:r w:rsidR="00E74DA9">
        <w:rPr>
          <w:b/>
        </w:rPr>
        <w:t xml:space="preserve"> Commission’s findings regarding temperature normalization </w:t>
      </w:r>
      <w:r w:rsidR="005572E9">
        <w:rPr>
          <w:b/>
        </w:rPr>
        <w:t xml:space="preserve">for </w:t>
      </w:r>
      <w:r w:rsidR="00DF53B1">
        <w:rPr>
          <w:b/>
        </w:rPr>
        <w:t xml:space="preserve">the commercial class </w:t>
      </w:r>
      <w:r w:rsidR="00E74DA9">
        <w:rPr>
          <w:b/>
        </w:rPr>
        <w:t xml:space="preserve">in </w:t>
      </w:r>
      <w:r w:rsidR="008D6E97">
        <w:rPr>
          <w:b/>
        </w:rPr>
        <w:t>the 2010 Rate Case.</w:t>
      </w:r>
    </w:p>
    <w:p w:rsidR="0058744D" w:rsidRDefault="00BC1BA0" w:rsidP="007D5470">
      <w:pPr>
        <w:pStyle w:val="BodyText2"/>
        <w:tabs>
          <w:tab w:val="clear" w:pos="720"/>
        </w:tabs>
        <w:ind w:left="720" w:hanging="720"/>
      </w:pPr>
      <w:r w:rsidRPr="00502404">
        <w:t>A.</w:t>
      </w:r>
      <w:r w:rsidRPr="00502404">
        <w:tab/>
      </w:r>
      <w:r w:rsidR="006B0107">
        <w:t>In</w:t>
      </w:r>
      <w:r w:rsidR="008D6E97">
        <w:t xml:space="preserve"> the 2010 Rate Case</w:t>
      </w:r>
      <w:r w:rsidR="00CD66DB">
        <w:t>,</w:t>
      </w:r>
      <w:r w:rsidR="00E9769E">
        <w:t xml:space="preserve"> </w:t>
      </w:r>
      <w:r w:rsidR="0034155F">
        <w:t xml:space="preserve">the </w:t>
      </w:r>
      <w:r w:rsidR="00E9769E">
        <w:t xml:space="preserve">Commission found </w:t>
      </w:r>
      <w:r w:rsidR="00895E81">
        <w:t xml:space="preserve">“that the Company did not demonstrate a </w:t>
      </w:r>
      <w:r w:rsidR="00D96CB3">
        <w:t>‘</w:t>
      </w:r>
      <w:r w:rsidR="00895E81">
        <w:t>proximate relationship between temperature and electricity consumption</w:t>
      </w:r>
      <w:r w:rsidR="00CD66DB">
        <w:t>’</w:t>
      </w:r>
      <w:r w:rsidR="008A4DB3">
        <w:t>”</w:t>
      </w:r>
      <w:r w:rsidR="00895E81">
        <w:rPr>
          <w:rStyle w:val="FootnoteReference"/>
        </w:rPr>
        <w:footnoteReference w:id="3"/>
      </w:r>
      <w:r w:rsidR="00895E81">
        <w:t xml:space="preserve"> </w:t>
      </w:r>
      <w:r w:rsidR="00FE4EF0">
        <w:t>for the commercial class in Washington.</w:t>
      </w:r>
      <w:r w:rsidR="006A4F32">
        <w:t xml:space="preserve"> </w:t>
      </w:r>
      <w:r w:rsidR="00895E81">
        <w:t xml:space="preserve"> </w:t>
      </w:r>
      <w:r w:rsidR="008F255E">
        <w:t>T</w:t>
      </w:r>
      <w:r w:rsidR="00895E81">
        <w:t>he Commission suggested</w:t>
      </w:r>
      <w:r w:rsidR="008F255E">
        <w:t xml:space="preserve">, however, </w:t>
      </w:r>
      <w:r w:rsidR="00895E81">
        <w:t xml:space="preserve"> that other analyses of the commercial data could be performed to examine cause</w:t>
      </w:r>
      <w:r w:rsidR="008F255E">
        <w:t>s of the variability in results</w:t>
      </w:r>
      <w:r w:rsidR="00895E81">
        <w:t xml:space="preserve"> and </w:t>
      </w:r>
      <w:r w:rsidR="00FE4EF0">
        <w:t xml:space="preserve">the Company </w:t>
      </w:r>
      <w:r w:rsidR="00895E81">
        <w:t>could pursue that as an option in a future rate case.</w:t>
      </w:r>
      <w:r w:rsidR="00033003">
        <w:rPr>
          <w:rStyle w:val="FootnoteReference"/>
        </w:rPr>
        <w:footnoteReference w:id="4"/>
      </w:r>
    </w:p>
    <w:p w:rsidR="008F0A3E" w:rsidRPr="009E30FE" w:rsidRDefault="008F0A3E" w:rsidP="007D5470">
      <w:pPr>
        <w:pStyle w:val="BodyText2"/>
        <w:tabs>
          <w:tab w:val="clear" w:pos="720"/>
        </w:tabs>
        <w:ind w:left="720" w:hanging="720"/>
        <w:rPr>
          <w:b/>
        </w:rPr>
      </w:pPr>
      <w:r w:rsidRPr="009E30FE">
        <w:rPr>
          <w:b/>
        </w:rPr>
        <w:t>Q.</w:t>
      </w:r>
      <w:r w:rsidRPr="009E30FE">
        <w:rPr>
          <w:b/>
        </w:rPr>
        <w:tab/>
      </w:r>
      <w:r w:rsidR="007F30A5" w:rsidRPr="009E30FE">
        <w:rPr>
          <w:b/>
        </w:rPr>
        <w:t>What was the basis of Staff</w:t>
      </w:r>
      <w:r w:rsidR="005326A8">
        <w:rPr>
          <w:b/>
        </w:rPr>
        <w:t>’s</w:t>
      </w:r>
      <w:r w:rsidR="007F30A5" w:rsidRPr="009E30FE">
        <w:rPr>
          <w:b/>
        </w:rPr>
        <w:t xml:space="preserve"> and the Commission’s determination that </w:t>
      </w:r>
      <w:r w:rsidR="006A4F32" w:rsidRPr="009E30FE">
        <w:rPr>
          <w:b/>
        </w:rPr>
        <w:t xml:space="preserve">the </w:t>
      </w:r>
      <w:r w:rsidR="006A4F32">
        <w:rPr>
          <w:b/>
        </w:rPr>
        <w:t>commercial</w:t>
      </w:r>
      <w:r w:rsidR="007F30A5" w:rsidRPr="009E30FE">
        <w:rPr>
          <w:b/>
        </w:rPr>
        <w:t xml:space="preserve"> class did not show a “proximate relationship”</w:t>
      </w:r>
      <w:r w:rsidR="007F30A5" w:rsidRPr="009E30FE">
        <w:rPr>
          <w:rStyle w:val="FootnoteReference"/>
          <w:b/>
        </w:rPr>
        <w:footnoteReference w:id="5"/>
      </w:r>
      <w:r w:rsidR="007F30A5" w:rsidRPr="009E30FE">
        <w:rPr>
          <w:b/>
        </w:rPr>
        <w:t xml:space="preserve"> between temperature and electricity</w:t>
      </w:r>
      <w:r w:rsidRPr="009E30FE">
        <w:rPr>
          <w:b/>
        </w:rPr>
        <w:t>?</w:t>
      </w:r>
    </w:p>
    <w:p w:rsidR="007F30A5" w:rsidRDefault="008F0A3E" w:rsidP="007D5470">
      <w:pPr>
        <w:pStyle w:val="BodyText2"/>
        <w:tabs>
          <w:tab w:val="clear" w:pos="720"/>
        </w:tabs>
        <w:ind w:left="720" w:hanging="720"/>
      </w:pPr>
      <w:r>
        <w:t>A.</w:t>
      </w:r>
      <w:r>
        <w:tab/>
      </w:r>
      <w:r w:rsidR="007F30A5">
        <w:t xml:space="preserve">Staff asserted that the commercial class model statistics, specifically the </w:t>
      </w:r>
      <w:r w:rsidR="00D96CB3">
        <w:br/>
      </w:r>
      <w:r w:rsidR="007F30A5">
        <w:t>R-</w:t>
      </w:r>
      <w:r w:rsidR="00A03659">
        <w:t>squared</w:t>
      </w:r>
      <w:r w:rsidR="00B5130E">
        <w:t>, was too low at 0.64</w:t>
      </w:r>
      <w:r w:rsidR="007F30A5">
        <w:t xml:space="preserve"> and therefore</w:t>
      </w:r>
      <w:r w:rsidR="00CD66DB">
        <w:t xml:space="preserve"> the model</w:t>
      </w:r>
      <w:r w:rsidR="007F30A5">
        <w:t xml:space="preserve"> did not explain 36 percent of the variation between temperature and load.</w:t>
      </w:r>
      <w:r w:rsidR="002F68F1">
        <w:rPr>
          <w:rStyle w:val="FootnoteReference"/>
        </w:rPr>
        <w:footnoteReference w:id="6"/>
      </w:r>
    </w:p>
    <w:p w:rsidR="007F30A5" w:rsidRPr="009E30FE" w:rsidRDefault="007F30A5" w:rsidP="007D5470">
      <w:pPr>
        <w:pStyle w:val="BodyText2"/>
        <w:tabs>
          <w:tab w:val="clear" w:pos="720"/>
        </w:tabs>
        <w:ind w:left="720" w:hanging="720"/>
        <w:rPr>
          <w:b/>
        </w:rPr>
      </w:pPr>
      <w:r w:rsidRPr="007F30A5">
        <w:rPr>
          <w:b/>
        </w:rPr>
        <w:t>Q.</w:t>
      </w:r>
      <w:r w:rsidRPr="007F30A5">
        <w:rPr>
          <w:b/>
        </w:rPr>
        <w:tab/>
        <w:t>Ha</w:t>
      </w:r>
      <w:r w:rsidR="005572E9">
        <w:rPr>
          <w:b/>
        </w:rPr>
        <w:t>ve</w:t>
      </w:r>
      <w:r w:rsidRPr="009E30FE">
        <w:rPr>
          <w:b/>
        </w:rPr>
        <w:t xml:space="preserve"> the statistics of the commercial class model changed in </w:t>
      </w:r>
      <w:r w:rsidR="00984D29">
        <w:rPr>
          <w:b/>
        </w:rPr>
        <w:t>this case</w:t>
      </w:r>
      <w:r w:rsidRPr="009E30FE">
        <w:rPr>
          <w:b/>
        </w:rPr>
        <w:t>?</w:t>
      </w:r>
    </w:p>
    <w:p w:rsidR="008F0A3E" w:rsidRDefault="007F30A5" w:rsidP="007D5470">
      <w:pPr>
        <w:pStyle w:val="BodyText2"/>
        <w:tabs>
          <w:tab w:val="clear" w:pos="720"/>
        </w:tabs>
        <w:ind w:left="720" w:hanging="720"/>
      </w:pPr>
      <w:r>
        <w:t>A.</w:t>
      </w:r>
      <w:r>
        <w:tab/>
        <w:t>Yes.  While the Company continues to believe that use of the R-</w:t>
      </w:r>
      <w:r w:rsidR="00A03659">
        <w:t>squared</w:t>
      </w:r>
      <w:r w:rsidR="0065350B">
        <w:t xml:space="preserve"> value is </w:t>
      </w:r>
      <w:r w:rsidR="00D96CB3">
        <w:t>a </w:t>
      </w:r>
      <w:r>
        <w:t xml:space="preserve">limited analysis, </w:t>
      </w:r>
      <w:r w:rsidR="008F0A3E">
        <w:t xml:space="preserve">the model statistics of the commercial class have improved </w:t>
      </w:r>
      <w:r w:rsidR="0065350B">
        <w:t>by </w:t>
      </w:r>
      <w:r w:rsidR="00984D29">
        <w:t>0</w:t>
      </w:r>
      <w:r w:rsidR="00FB7A1D">
        <w:t>.1</w:t>
      </w:r>
      <w:r w:rsidR="00B5130E">
        <w:t>9</w:t>
      </w:r>
      <w:r w:rsidR="00FB7A1D">
        <w:t xml:space="preserve"> points</w:t>
      </w:r>
      <w:r w:rsidR="008F0A3E">
        <w:t xml:space="preserve"> from </w:t>
      </w:r>
      <w:r w:rsidR="007D0861">
        <w:t>a</w:t>
      </w:r>
      <w:r w:rsidR="00B5130E">
        <w:t>n</w:t>
      </w:r>
      <w:r w:rsidR="008F0A3E">
        <w:t xml:space="preserve"> R-</w:t>
      </w:r>
      <w:r w:rsidR="00A03659">
        <w:t>squared</w:t>
      </w:r>
      <w:r w:rsidR="008F0A3E">
        <w:t xml:space="preserve"> value in the 2010 Rate Case of 0.6</w:t>
      </w:r>
      <w:r w:rsidR="007D0861">
        <w:t>4</w:t>
      </w:r>
      <w:r w:rsidR="008F0A3E">
        <w:t xml:space="preserve"> to a</w:t>
      </w:r>
      <w:r w:rsidR="00B5130E">
        <w:t>n</w:t>
      </w:r>
      <w:r w:rsidR="008F0A3E">
        <w:t xml:space="preserve"> </w:t>
      </w:r>
      <w:r w:rsidR="0065350B">
        <w:br/>
      </w:r>
      <w:r w:rsidR="008F0A3E">
        <w:t>R-</w:t>
      </w:r>
      <w:r w:rsidR="00A03659">
        <w:t>squared</w:t>
      </w:r>
      <w:r w:rsidR="008F0A3E">
        <w:t xml:space="preserve"> value of 0.</w:t>
      </w:r>
      <w:r w:rsidR="00FB7A1D">
        <w:t>8</w:t>
      </w:r>
      <w:r w:rsidR="007D0861">
        <w:t>3</w:t>
      </w:r>
      <w:r w:rsidR="00FB7A1D">
        <w:t xml:space="preserve"> in this case</w:t>
      </w:r>
      <w:r w:rsidR="0065350B">
        <w:t>.</w:t>
      </w:r>
    </w:p>
    <w:p w:rsidR="00EA0169" w:rsidRDefault="00EA0169" w:rsidP="007D5470">
      <w:pPr>
        <w:pStyle w:val="BodyText2"/>
        <w:tabs>
          <w:tab w:val="clear" w:pos="720"/>
        </w:tabs>
        <w:ind w:left="720" w:hanging="720"/>
        <w:rPr>
          <w:b/>
        </w:rPr>
      </w:pPr>
      <w:r>
        <w:rPr>
          <w:b/>
        </w:rPr>
        <w:t>Q.</w:t>
      </w:r>
      <w:r>
        <w:rPr>
          <w:b/>
        </w:rPr>
        <w:tab/>
        <w:t>Did Staff consider an R-</w:t>
      </w:r>
      <w:r w:rsidR="00A03659">
        <w:rPr>
          <w:b/>
        </w:rPr>
        <w:t>squared</w:t>
      </w:r>
      <w:r>
        <w:rPr>
          <w:b/>
        </w:rPr>
        <w:t xml:space="preserve"> statistic of greater than 0.8</w:t>
      </w:r>
      <w:r w:rsidR="00FB7A1D">
        <w:rPr>
          <w:b/>
        </w:rPr>
        <w:t>0</w:t>
      </w:r>
      <w:r>
        <w:rPr>
          <w:b/>
        </w:rPr>
        <w:t xml:space="preserve"> to be a good measure of the model</w:t>
      </w:r>
      <w:r w:rsidR="005326A8">
        <w:rPr>
          <w:b/>
        </w:rPr>
        <w:t>’</w:t>
      </w:r>
      <w:r>
        <w:rPr>
          <w:b/>
        </w:rPr>
        <w:t>s ability to explain the relationship of temperature and load?</w:t>
      </w:r>
    </w:p>
    <w:p w:rsidR="00EA0169" w:rsidRDefault="00EA0169" w:rsidP="007D5470">
      <w:pPr>
        <w:pStyle w:val="BodyText2"/>
        <w:tabs>
          <w:tab w:val="clear" w:pos="720"/>
        </w:tabs>
        <w:ind w:left="720" w:hanging="720"/>
      </w:pPr>
      <w:r w:rsidRPr="00105E4B">
        <w:t>A.</w:t>
      </w:r>
      <w:r w:rsidRPr="00105E4B">
        <w:tab/>
        <w:t>Yes.  In testimony</w:t>
      </w:r>
      <w:r w:rsidR="00984D29">
        <w:t>,</w:t>
      </w:r>
      <w:r w:rsidRPr="00105E4B">
        <w:t xml:space="preserve"> </w:t>
      </w:r>
      <w:r w:rsidR="00984D29">
        <w:t>Staff</w:t>
      </w:r>
      <w:r w:rsidR="00984D29" w:rsidRPr="00105E4B">
        <w:t xml:space="preserve"> </w:t>
      </w:r>
      <w:r w:rsidRPr="00105E4B">
        <w:t xml:space="preserve">stated that </w:t>
      </w:r>
      <w:r w:rsidR="008A4DB3">
        <w:t xml:space="preserve">the </w:t>
      </w:r>
      <w:r w:rsidRPr="00105E4B">
        <w:t>“R-</w:t>
      </w:r>
      <w:r w:rsidR="00A03659">
        <w:t>squared</w:t>
      </w:r>
      <w:r w:rsidRPr="00105E4B">
        <w:t xml:space="preserve"> value for the commercial class from the study conducted by Avista was over 0.8.”</w:t>
      </w:r>
      <w:r w:rsidRPr="00105E4B">
        <w:rPr>
          <w:rStyle w:val="FootnoteReference"/>
        </w:rPr>
        <w:footnoteReference w:id="7"/>
      </w:r>
      <w:r>
        <w:t xml:space="preserve">  However, as stated previously, the</w:t>
      </w:r>
      <w:r>
        <w:rPr>
          <w:szCs w:val="24"/>
        </w:rPr>
        <w:t xml:space="preserve"> statistical analytics of a model, such as an R-</w:t>
      </w:r>
      <w:r w:rsidR="00A03659">
        <w:rPr>
          <w:szCs w:val="24"/>
        </w:rPr>
        <w:t>squared</w:t>
      </w:r>
      <w:r>
        <w:rPr>
          <w:szCs w:val="24"/>
        </w:rPr>
        <w:t xml:space="preserve"> analysis, can provide important information, but it is not appropriate to use it as the </w:t>
      </w:r>
      <w:r w:rsidRPr="005146A8">
        <w:rPr>
          <w:szCs w:val="24"/>
        </w:rPr>
        <w:t xml:space="preserve">single measure of </w:t>
      </w:r>
      <w:r>
        <w:rPr>
          <w:szCs w:val="24"/>
        </w:rPr>
        <w:t>the</w:t>
      </w:r>
      <w:r w:rsidRPr="005146A8">
        <w:rPr>
          <w:szCs w:val="24"/>
        </w:rPr>
        <w:t xml:space="preserve"> model. </w:t>
      </w:r>
      <w:r>
        <w:rPr>
          <w:szCs w:val="24"/>
        </w:rPr>
        <w:t xml:space="preserve"> </w:t>
      </w:r>
      <w:r w:rsidRPr="005146A8">
        <w:rPr>
          <w:szCs w:val="24"/>
        </w:rPr>
        <w:t xml:space="preserve">Proper model selection </w:t>
      </w:r>
      <w:r>
        <w:rPr>
          <w:szCs w:val="24"/>
        </w:rPr>
        <w:t>should be</w:t>
      </w:r>
      <w:r w:rsidRPr="005146A8">
        <w:rPr>
          <w:szCs w:val="24"/>
        </w:rPr>
        <w:t xml:space="preserve"> based on several criteria</w:t>
      </w:r>
      <w:r w:rsidR="00984D29">
        <w:rPr>
          <w:szCs w:val="24"/>
        </w:rPr>
        <w:t>,</w:t>
      </w:r>
      <w:r>
        <w:rPr>
          <w:szCs w:val="24"/>
        </w:rPr>
        <w:t xml:space="preserve"> and </w:t>
      </w:r>
      <w:r w:rsidR="00DE02B2">
        <w:rPr>
          <w:szCs w:val="24"/>
        </w:rPr>
        <w:t>focusing on R-</w:t>
      </w:r>
      <w:r w:rsidR="00A03659">
        <w:rPr>
          <w:szCs w:val="24"/>
        </w:rPr>
        <w:t>squared</w:t>
      </w:r>
      <w:r w:rsidRPr="005146A8">
        <w:rPr>
          <w:szCs w:val="24"/>
          <w:vertAlign w:val="superscript"/>
        </w:rPr>
        <w:t xml:space="preserve"> </w:t>
      </w:r>
      <w:r w:rsidRPr="005146A8">
        <w:rPr>
          <w:szCs w:val="24"/>
        </w:rPr>
        <w:t xml:space="preserve">alone </w:t>
      </w:r>
      <w:r>
        <w:rPr>
          <w:szCs w:val="24"/>
        </w:rPr>
        <w:t xml:space="preserve">can </w:t>
      </w:r>
      <w:r w:rsidRPr="005146A8">
        <w:rPr>
          <w:szCs w:val="24"/>
        </w:rPr>
        <w:t>give an incomplete picture.</w:t>
      </w:r>
    </w:p>
    <w:p w:rsidR="00895E81" w:rsidRPr="00895E81" w:rsidRDefault="00895E81" w:rsidP="007D5470">
      <w:pPr>
        <w:pStyle w:val="BodyText2"/>
        <w:tabs>
          <w:tab w:val="clear" w:pos="720"/>
        </w:tabs>
        <w:ind w:left="720" w:hanging="720"/>
        <w:rPr>
          <w:b/>
        </w:rPr>
      </w:pPr>
      <w:r w:rsidRPr="00895E81">
        <w:rPr>
          <w:b/>
        </w:rPr>
        <w:t>Q.</w:t>
      </w:r>
      <w:r w:rsidRPr="00895E81">
        <w:rPr>
          <w:b/>
        </w:rPr>
        <w:tab/>
        <w:t xml:space="preserve">Has the Company performed additional analyses of the </w:t>
      </w:r>
      <w:r w:rsidR="005572E9">
        <w:rPr>
          <w:b/>
        </w:rPr>
        <w:t>c</w:t>
      </w:r>
      <w:r w:rsidRPr="00895E81">
        <w:rPr>
          <w:b/>
        </w:rPr>
        <w:t xml:space="preserve">ommercial class that explains the variability in </w:t>
      </w:r>
      <w:r>
        <w:rPr>
          <w:b/>
        </w:rPr>
        <w:t>the relationship of temperature and load</w:t>
      </w:r>
      <w:r w:rsidRPr="00895E81">
        <w:rPr>
          <w:b/>
        </w:rPr>
        <w:t xml:space="preserve"> as suggested by Staff </w:t>
      </w:r>
      <w:r w:rsidR="001D019E">
        <w:rPr>
          <w:b/>
        </w:rPr>
        <w:t xml:space="preserve">and the Commission </w:t>
      </w:r>
      <w:r w:rsidRPr="00895E81">
        <w:rPr>
          <w:b/>
        </w:rPr>
        <w:t>in the 2010 Rate Case?</w:t>
      </w:r>
    </w:p>
    <w:p w:rsidR="001B0FD7" w:rsidRDefault="00895E81" w:rsidP="007D5470">
      <w:pPr>
        <w:pStyle w:val="BodyText2"/>
        <w:tabs>
          <w:tab w:val="clear" w:pos="720"/>
        </w:tabs>
        <w:ind w:left="720" w:hanging="720"/>
      </w:pPr>
      <w:r>
        <w:t>A.</w:t>
      </w:r>
      <w:r>
        <w:tab/>
        <w:t>Yes.  As stated by the Company in the 2010 Rate Case</w:t>
      </w:r>
      <w:r w:rsidR="00147ED0">
        <w:t>,</w:t>
      </w:r>
      <w:r>
        <w:t xml:space="preserve"> the commercial class is made up of a </w:t>
      </w:r>
      <w:r w:rsidR="00B65E78">
        <w:t>heterogeneous</w:t>
      </w:r>
      <w:r>
        <w:t xml:space="preserve"> mix of customers.  </w:t>
      </w:r>
      <w:r w:rsidR="001B0FD7">
        <w:t>T</w:t>
      </w:r>
      <w:r>
        <w:t xml:space="preserve">he </w:t>
      </w:r>
      <w:r w:rsidR="001B0FD7">
        <w:t>types</w:t>
      </w:r>
      <w:r>
        <w:t xml:space="preserve"> of customers in </w:t>
      </w:r>
      <w:r w:rsidR="001B0FD7">
        <w:t xml:space="preserve">the </w:t>
      </w:r>
      <w:r w:rsidR="00147ED0">
        <w:t>commercial clas</w:t>
      </w:r>
      <w:r w:rsidR="001B0FD7">
        <w:t>s include refrigerated warehousing</w:t>
      </w:r>
      <w:r w:rsidR="00147ED0">
        <w:t xml:space="preserve">, </w:t>
      </w:r>
      <w:r w:rsidR="001B0FD7">
        <w:t xml:space="preserve">food manufacturing or processing, department stores, grocery stores, schools, </w:t>
      </w:r>
      <w:r w:rsidR="00FE4EF0">
        <w:t xml:space="preserve">a </w:t>
      </w:r>
      <w:r w:rsidR="00E33CD8">
        <w:t xml:space="preserve">state </w:t>
      </w:r>
      <w:r w:rsidR="001B0FD7">
        <w:t xml:space="preserve">prison, and restaurants.  The majority of these customers exhibit a </w:t>
      </w:r>
      <w:r w:rsidR="002F68F1">
        <w:t>strong</w:t>
      </w:r>
      <w:r w:rsidR="001B0FD7">
        <w:t xml:space="preserve"> relationship to temperature; however, refrigerated warehousing does not and makes up </w:t>
      </w:r>
      <w:r w:rsidR="00FB7A1D">
        <w:t>approximately 1</w:t>
      </w:r>
      <w:r w:rsidR="00DF61F2">
        <w:t>5</w:t>
      </w:r>
      <w:r w:rsidR="00FB7A1D">
        <w:t xml:space="preserve"> percent</w:t>
      </w:r>
      <w:r w:rsidR="001B0FD7">
        <w:t xml:space="preserve"> of the class.</w:t>
      </w:r>
      <w:r w:rsidR="008D679C">
        <w:rPr>
          <w:rStyle w:val="FootnoteReference"/>
        </w:rPr>
        <w:footnoteReference w:id="8"/>
      </w:r>
    </w:p>
    <w:p w:rsidR="003D7136" w:rsidRPr="003379AD" w:rsidRDefault="003D7136" w:rsidP="007D5470">
      <w:pPr>
        <w:pStyle w:val="BodyText2"/>
        <w:tabs>
          <w:tab w:val="clear" w:pos="720"/>
        </w:tabs>
        <w:ind w:left="720" w:hanging="720"/>
        <w:rPr>
          <w:b/>
        </w:rPr>
      </w:pPr>
      <w:r w:rsidRPr="003379AD">
        <w:rPr>
          <w:b/>
        </w:rPr>
        <w:t>Q.</w:t>
      </w:r>
      <w:r w:rsidRPr="003379AD">
        <w:rPr>
          <w:b/>
        </w:rPr>
        <w:tab/>
      </w:r>
      <w:r w:rsidR="002A1EBD" w:rsidRPr="003379AD">
        <w:rPr>
          <w:b/>
        </w:rPr>
        <w:t xml:space="preserve">Did </w:t>
      </w:r>
      <w:r w:rsidR="00EA0169">
        <w:rPr>
          <w:b/>
        </w:rPr>
        <w:t>the Company</w:t>
      </w:r>
      <w:r w:rsidR="00EA0169" w:rsidRPr="003379AD">
        <w:rPr>
          <w:b/>
        </w:rPr>
        <w:t xml:space="preserve"> </w:t>
      </w:r>
      <w:r w:rsidR="00EA0169">
        <w:rPr>
          <w:b/>
        </w:rPr>
        <w:t>analyze</w:t>
      </w:r>
      <w:r w:rsidR="00EA0169" w:rsidRPr="003379AD">
        <w:rPr>
          <w:b/>
        </w:rPr>
        <w:t xml:space="preserve"> </w:t>
      </w:r>
      <w:r w:rsidR="002A1EBD" w:rsidRPr="003379AD">
        <w:rPr>
          <w:b/>
        </w:rPr>
        <w:t xml:space="preserve">the </w:t>
      </w:r>
      <w:r w:rsidR="00554587">
        <w:rPr>
          <w:b/>
        </w:rPr>
        <w:t>temperature</w:t>
      </w:r>
      <w:r w:rsidR="002A1EBD" w:rsidRPr="003379AD">
        <w:rPr>
          <w:b/>
        </w:rPr>
        <w:t xml:space="preserve"> sensitivity of the commercial class excluding the</w:t>
      </w:r>
      <w:r w:rsidR="0065350B">
        <w:rPr>
          <w:b/>
        </w:rPr>
        <w:t xml:space="preserve"> refrigerated warehousing load?</w:t>
      </w:r>
    </w:p>
    <w:p w:rsidR="00EA0169" w:rsidRDefault="002A1EBD" w:rsidP="007D5470">
      <w:pPr>
        <w:pStyle w:val="BodyText2"/>
        <w:tabs>
          <w:tab w:val="clear" w:pos="720"/>
        </w:tabs>
        <w:ind w:left="720" w:hanging="720"/>
      </w:pPr>
      <w:r>
        <w:t>A.</w:t>
      </w:r>
      <w:r>
        <w:tab/>
        <w:t xml:space="preserve">Yes.  </w:t>
      </w:r>
      <w:r w:rsidR="00EA0169">
        <w:t xml:space="preserve">The Company analyzed historical commercial load and historical temperatures.  Graphs 1 and 2 below show the commercial class electricity usage </w:t>
      </w:r>
      <w:r w:rsidR="00FE3CE8">
        <w:t xml:space="preserve">and its relationship </w:t>
      </w:r>
      <w:r w:rsidR="00EA0169">
        <w:t>to hot and cold temperatures on a monthly ba</w:t>
      </w:r>
      <w:r w:rsidR="008F255E">
        <w:t xml:space="preserve">sis using Heating Degree Day </w:t>
      </w:r>
      <w:r w:rsidR="00EA0169">
        <w:t xml:space="preserve">(HDD) </w:t>
      </w:r>
      <w:r w:rsidR="008F255E">
        <w:t xml:space="preserve">50 </w:t>
      </w:r>
      <w:r w:rsidR="00EA0169">
        <w:t>and Cooling Degree Day (CDD) 60 (the temperature variables that are used in the commercial model) to show historical temperatures.</w:t>
      </w:r>
    </w:p>
    <w:p w:rsidR="00F15D13" w:rsidRDefault="00F15D13" w:rsidP="007D5470">
      <w:pPr>
        <w:pStyle w:val="BodyText2"/>
        <w:suppressLineNumbers/>
        <w:tabs>
          <w:tab w:val="clear" w:pos="720"/>
        </w:tabs>
        <w:ind w:left="720" w:hanging="720"/>
        <w:jc w:val="center"/>
      </w:pPr>
    </w:p>
    <w:p w:rsidR="00F15D13" w:rsidRDefault="00F15D13" w:rsidP="007D5470">
      <w:pPr>
        <w:pStyle w:val="BodyText2"/>
        <w:suppressLineNumbers/>
        <w:tabs>
          <w:tab w:val="clear" w:pos="720"/>
        </w:tabs>
        <w:ind w:left="720" w:hanging="720"/>
        <w:jc w:val="center"/>
      </w:pPr>
    </w:p>
    <w:p w:rsidR="00F15D13" w:rsidRDefault="00F15D13" w:rsidP="007D5470">
      <w:pPr>
        <w:pStyle w:val="BodyText2"/>
        <w:suppressLineNumbers/>
        <w:tabs>
          <w:tab w:val="clear" w:pos="720"/>
        </w:tabs>
        <w:ind w:left="720" w:hanging="720"/>
        <w:jc w:val="center"/>
      </w:pPr>
    </w:p>
    <w:p w:rsidR="00370A34" w:rsidRDefault="00370A34" w:rsidP="007D5470">
      <w:pPr>
        <w:pStyle w:val="BodyText2"/>
        <w:suppressLineNumbers/>
        <w:tabs>
          <w:tab w:val="clear" w:pos="720"/>
        </w:tabs>
        <w:ind w:left="720" w:hanging="720"/>
        <w:jc w:val="center"/>
        <w:rPr>
          <w:b/>
        </w:rPr>
      </w:pPr>
    </w:p>
    <w:p w:rsidR="00370A34" w:rsidRDefault="00370A34" w:rsidP="007D5470">
      <w:pPr>
        <w:pStyle w:val="BodyText2"/>
        <w:suppressLineNumbers/>
        <w:tabs>
          <w:tab w:val="clear" w:pos="720"/>
        </w:tabs>
        <w:ind w:left="720" w:hanging="720"/>
        <w:jc w:val="center"/>
        <w:rPr>
          <w:b/>
        </w:rPr>
      </w:pPr>
    </w:p>
    <w:p w:rsidR="00EA0169" w:rsidRPr="007730E5" w:rsidRDefault="00EA0169" w:rsidP="007D5470">
      <w:pPr>
        <w:pStyle w:val="BodyText2"/>
        <w:suppressLineNumbers/>
        <w:tabs>
          <w:tab w:val="clear" w:pos="720"/>
        </w:tabs>
        <w:ind w:left="720" w:hanging="720"/>
        <w:jc w:val="center"/>
        <w:rPr>
          <w:b/>
        </w:rPr>
      </w:pPr>
      <w:r w:rsidRPr="007730E5">
        <w:rPr>
          <w:b/>
        </w:rPr>
        <w:t>Graph 1</w:t>
      </w:r>
    </w:p>
    <w:p w:rsidR="00EA0169" w:rsidRDefault="002F6424" w:rsidP="007730E5">
      <w:pPr>
        <w:pStyle w:val="BodyText2"/>
        <w:suppressLineNumbers/>
        <w:tabs>
          <w:tab w:val="clear" w:pos="720"/>
        </w:tabs>
        <w:jc w:val="center"/>
      </w:pPr>
      <w:r>
        <w:rPr>
          <w:noProof/>
        </w:rPr>
        <w:drawing>
          <wp:inline distT="0" distB="0" distL="0" distR="0">
            <wp:extent cx="5886450" cy="3552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3552825"/>
                    </a:xfrm>
                    <a:prstGeom prst="rect">
                      <a:avLst/>
                    </a:prstGeom>
                    <a:noFill/>
                  </pic:spPr>
                </pic:pic>
              </a:graphicData>
            </a:graphic>
          </wp:inline>
        </w:drawing>
      </w:r>
    </w:p>
    <w:p w:rsidR="00EA0169" w:rsidRPr="007730E5" w:rsidRDefault="00EA0169" w:rsidP="007D5470">
      <w:pPr>
        <w:pStyle w:val="BodyText2"/>
        <w:suppressLineNumbers/>
        <w:tabs>
          <w:tab w:val="clear" w:pos="720"/>
        </w:tabs>
        <w:ind w:left="720" w:hanging="720"/>
        <w:jc w:val="center"/>
        <w:rPr>
          <w:b/>
        </w:rPr>
      </w:pPr>
      <w:r w:rsidRPr="007730E5">
        <w:rPr>
          <w:b/>
        </w:rPr>
        <w:t>Graph 2</w:t>
      </w:r>
    </w:p>
    <w:p w:rsidR="00EA0169" w:rsidRDefault="002F6424" w:rsidP="007730E5">
      <w:pPr>
        <w:pStyle w:val="BodyText2"/>
        <w:suppressLineNumbers/>
        <w:tabs>
          <w:tab w:val="clear" w:pos="720"/>
        </w:tabs>
        <w:jc w:val="center"/>
      </w:pPr>
      <w:r>
        <w:rPr>
          <w:noProof/>
        </w:rPr>
        <w:drawing>
          <wp:inline distT="0" distB="0" distL="0" distR="0">
            <wp:extent cx="5886450" cy="3448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8957" cy="3455376"/>
                    </a:xfrm>
                    <a:prstGeom prst="rect">
                      <a:avLst/>
                    </a:prstGeom>
                    <a:noFill/>
                  </pic:spPr>
                </pic:pic>
              </a:graphicData>
            </a:graphic>
          </wp:inline>
        </w:drawing>
      </w:r>
    </w:p>
    <w:p w:rsidR="00FD02C9" w:rsidRDefault="00FD02C9" w:rsidP="0065350B">
      <w:pPr>
        <w:pStyle w:val="BodyText2"/>
        <w:keepNext/>
        <w:tabs>
          <w:tab w:val="clear" w:pos="720"/>
        </w:tabs>
        <w:ind w:left="720" w:hanging="720"/>
        <w:rPr>
          <w:b/>
        </w:rPr>
      </w:pPr>
      <w:r>
        <w:rPr>
          <w:b/>
        </w:rPr>
        <w:t>Q.</w:t>
      </w:r>
      <w:r>
        <w:rPr>
          <w:b/>
        </w:rPr>
        <w:tab/>
        <w:t>Please explain what Graphs 1 and 2 are illustrating.</w:t>
      </w:r>
    </w:p>
    <w:p w:rsidR="00CA1D87" w:rsidRDefault="00FD02C9" w:rsidP="007D5470">
      <w:pPr>
        <w:pStyle w:val="BodyText2"/>
        <w:tabs>
          <w:tab w:val="clear" w:pos="720"/>
        </w:tabs>
        <w:ind w:left="720" w:hanging="720"/>
      </w:pPr>
      <w:r>
        <w:t>A.</w:t>
      </w:r>
      <w:r>
        <w:tab/>
        <w:t xml:space="preserve">The dark solid line in Graph 1 </w:t>
      </w:r>
      <w:r w:rsidR="008A4DB3">
        <w:t>(read from the left</w:t>
      </w:r>
      <w:r w:rsidR="00CA1D87">
        <w:t xml:space="preserve"> </w:t>
      </w:r>
      <w:r w:rsidR="002F6424">
        <w:t>axis</w:t>
      </w:r>
      <w:r w:rsidR="00CA1D87">
        <w:t xml:space="preserve">) </w:t>
      </w:r>
      <w:r>
        <w:t>show</w:t>
      </w:r>
      <w:r w:rsidR="004A600E">
        <w:t>s</w:t>
      </w:r>
      <w:r>
        <w:t xml:space="preserve"> electricity usage of the commercial class</w:t>
      </w:r>
      <w:r w:rsidR="009B4D75">
        <w:t xml:space="preserve"> without refrigerated warehousing load</w:t>
      </w:r>
      <w:r>
        <w:t xml:space="preserve"> from January 2006 through June 2012 by month.  The </w:t>
      </w:r>
      <w:r w:rsidR="00CA1D87">
        <w:t>dashed</w:t>
      </w:r>
      <w:r>
        <w:t xml:space="preserve"> line, </w:t>
      </w:r>
      <w:r w:rsidR="008A4DB3">
        <w:t>which</w:t>
      </w:r>
      <w:r>
        <w:t xml:space="preserve"> reaches its peak of approximately 850</w:t>
      </w:r>
      <w:r w:rsidR="00CA1D87">
        <w:t xml:space="preserve"> </w:t>
      </w:r>
      <w:r>
        <w:t>in January 2009</w:t>
      </w:r>
      <w:r w:rsidR="00CA1D87">
        <w:t xml:space="preserve"> (read from the right </w:t>
      </w:r>
      <w:r w:rsidR="002F6424">
        <w:t>axis</w:t>
      </w:r>
      <w:r w:rsidR="00CA1D87">
        <w:t>)</w:t>
      </w:r>
      <w:r>
        <w:t>, is the degree days per month for HDD 50</w:t>
      </w:r>
      <w:r w:rsidR="008A4DB3">
        <w:t>,</w:t>
      </w:r>
      <w:r>
        <w:t xml:space="preserve"> and the </w:t>
      </w:r>
      <w:r w:rsidR="004A600E">
        <w:t>grey solid</w:t>
      </w:r>
      <w:r w:rsidR="008A4DB3">
        <w:t xml:space="preserve"> line, which </w:t>
      </w:r>
      <w:r>
        <w:t>reaches a peak of approximately 500</w:t>
      </w:r>
      <w:r w:rsidR="00CA1D87">
        <w:t xml:space="preserve"> </w:t>
      </w:r>
      <w:r>
        <w:t>in August 2009</w:t>
      </w:r>
      <w:r w:rsidR="00CA1D87">
        <w:t xml:space="preserve"> (read from the right </w:t>
      </w:r>
      <w:r w:rsidR="002F6424">
        <w:t>axis</w:t>
      </w:r>
      <w:r w:rsidR="00CA1D87">
        <w:t>)</w:t>
      </w:r>
      <w:r>
        <w:t>, is</w:t>
      </w:r>
      <w:r w:rsidR="00CA1D87">
        <w:t xml:space="preserve"> the degree days per month for</w:t>
      </w:r>
      <w:r w:rsidR="008A4DB3">
        <w:t xml:space="preserve"> CDD 60.  </w:t>
      </w:r>
      <w:r>
        <w:t xml:space="preserve">As temperatures in the winter and summer </w:t>
      </w:r>
      <w:r w:rsidR="004A600E">
        <w:t>are at their peaks</w:t>
      </w:r>
      <w:r>
        <w:t>, such as in January 2009 and August 2009, the commercial electricity usage increa</w:t>
      </w:r>
      <w:r w:rsidR="0065350B">
        <w:t>ses in a corresponding manner.</w:t>
      </w:r>
    </w:p>
    <w:p w:rsidR="00FD02C9" w:rsidRPr="00FD02C9" w:rsidRDefault="00FD02C9" w:rsidP="007D5470">
      <w:pPr>
        <w:pStyle w:val="BodyText2"/>
        <w:tabs>
          <w:tab w:val="clear" w:pos="720"/>
        </w:tabs>
        <w:ind w:left="720" w:firstLine="720"/>
      </w:pPr>
      <w:r>
        <w:t>The dark solid line in Graph 2 is the electricity usage of refrigerated warehousing from January 2006 through June 2012 by month</w:t>
      </w:r>
      <w:r w:rsidR="00CA1D87">
        <w:t xml:space="preserve"> (read from the left </w:t>
      </w:r>
      <w:r w:rsidR="002F6424">
        <w:t>axis</w:t>
      </w:r>
      <w:r w:rsidR="00CA1D87">
        <w:t>)</w:t>
      </w:r>
      <w:r>
        <w:t xml:space="preserve"> and the HDD 50 and CDD 60 </w:t>
      </w:r>
      <w:r w:rsidR="00CA1D87">
        <w:t>are</w:t>
      </w:r>
      <w:r>
        <w:t xml:space="preserve"> the same as in Graph 1.</w:t>
      </w:r>
    </w:p>
    <w:p w:rsidR="007C5D15" w:rsidRPr="002C3376" w:rsidRDefault="007C5D15" w:rsidP="007D5470">
      <w:pPr>
        <w:pStyle w:val="BodyText2"/>
        <w:tabs>
          <w:tab w:val="clear" w:pos="720"/>
        </w:tabs>
        <w:ind w:left="720" w:hanging="720"/>
        <w:rPr>
          <w:b/>
        </w:rPr>
      </w:pPr>
      <w:r w:rsidRPr="002C3376">
        <w:rPr>
          <w:b/>
        </w:rPr>
        <w:t>Q.</w:t>
      </w:r>
      <w:r w:rsidRPr="002C3376">
        <w:rPr>
          <w:b/>
        </w:rPr>
        <w:tab/>
        <w:t xml:space="preserve">What </w:t>
      </w:r>
      <w:r w:rsidR="00CA1D87" w:rsidRPr="002C3376">
        <w:rPr>
          <w:b/>
        </w:rPr>
        <w:t>are</w:t>
      </w:r>
      <w:r w:rsidRPr="002C3376">
        <w:rPr>
          <w:b/>
        </w:rPr>
        <w:t xml:space="preserve"> HDD 50 and CDD 60</w:t>
      </w:r>
      <w:r w:rsidR="005326A8">
        <w:rPr>
          <w:b/>
        </w:rPr>
        <w:t>,</w:t>
      </w:r>
      <w:r>
        <w:rPr>
          <w:b/>
        </w:rPr>
        <w:t xml:space="preserve"> and how </w:t>
      </w:r>
      <w:r w:rsidR="00CA1D87">
        <w:rPr>
          <w:b/>
        </w:rPr>
        <w:t>are they</w:t>
      </w:r>
      <w:r>
        <w:rPr>
          <w:b/>
        </w:rPr>
        <w:t xml:space="preserve"> used to temperature normalize the commercial class</w:t>
      </w:r>
      <w:r w:rsidRPr="002C3376">
        <w:rPr>
          <w:b/>
        </w:rPr>
        <w:t>?</w:t>
      </w:r>
    </w:p>
    <w:p w:rsidR="007C5D15" w:rsidRDefault="007C5D15" w:rsidP="007D5470">
      <w:pPr>
        <w:pStyle w:val="BodyText2"/>
        <w:tabs>
          <w:tab w:val="clear" w:pos="720"/>
        </w:tabs>
        <w:ind w:left="720" w:hanging="720"/>
      </w:pPr>
      <w:r>
        <w:t>A.</w:t>
      </w:r>
      <w:r>
        <w:tab/>
        <w:t>HDD 50 reflects the number of degrees that a day’s average temperature is below 50 degrees Fahrenheit and is highest in December, January</w:t>
      </w:r>
      <w:r w:rsidR="005326A8">
        <w:t>,</w:t>
      </w:r>
      <w:r>
        <w:t xml:space="preserve"> and February.  For example, if the average temperature in a day is 30 degrees, the HDD 50 value for that day is 20.  The Company then sums each day’s HDD 50 value for a monthly HDD 50 that is used in the model to reflect the daily average temperature for the month.  CDD 60 is calculated similarly, but reflects daily average temperatures that are greater than 60 degrees Fahrenheit.  Both the HDD 50 and CDD 60 variables are used to capture the weather sensitive component of load and are used to adjust historical electricity usage to reflect normal weather.</w:t>
      </w:r>
    </w:p>
    <w:p w:rsidR="00EA0169" w:rsidRPr="002C3376" w:rsidRDefault="00EA0169" w:rsidP="007D5470">
      <w:pPr>
        <w:pStyle w:val="BodyText2"/>
        <w:tabs>
          <w:tab w:val="clear" w:pos="720"/>
        </w:tabs>
        <w:ind w:left="720" w:hanging="720"/>
        <w:rPr>
          <w:b/>
        </w:rPr>
      </w:pPr>
      <w:r w:rsidRPr="002C3376">
        <w:rPr>
          <w:b/>
        </w:rPr>
        <w:t>Q.</w:t>
      </w:r>
      <w:r w:rsidRPr="002C3376">
        <w:rPr>
          <w:b/>
        </w:rPr>
        <w:tab/>
      </w:r>
      <w:r>
        <w:rPr>
          <w:b/>
        </w:rPr>
        <w:t xml:space="preserve">What does Graph 1 show </w:t>
      </w:r>
      <w:r w:rsidR="005326A8">
        <w:rPr>
          <w:b/>
        </w:rPr>
        <w:t>regarding</w:t>
      </w:r>
      <w:r>
        <w:rPr>
          <w:b/>
        </w:rPr>
        <w:t xml:space="preserve"> temperature sensitivity of the commercial class?</w:t>
      </w:r>
    </w:p>
    <w:p w:rsidR="00EA0169" w:rsidRDefault="00EA0169" w:rsidP="007D5470">
      <w:pPr>
        <w:pStyle w:val="BodyText2"/>
        <w:tabs>
          <w:tab w:val="clear" w:pos="720"/>
        </w:tabs>
        <w:ind w:left="720" w:hanging="720"/>
      </w:pPr>
      <w:r>
        <w:t>A.</w:t>
      </w:r>
      <w:r>
        <w:tab/>
        <w:t xml:space="preserve">Graph 1 shows </w:t>
      </w:r>
      <w:r w:rsidR="009B4D75">
        <w:t xml:space="preserve">that </w:t>
      </w:r>
      <w:r w:rsidR="004A600E">
        <w:t>the majority of the commercial class is weather sensitive</w:t>
      </w:r>
      <w:r w:rsidR="006A01DA">
        <w:t>. When it is cold (high HDDs) and when it is hot (high CDDs), loads a</w:t>
      </w:r>
      <w:r w:rsidR="005326A8">
        <w:t>re at their highest.  When it i</w:t>
      </w:r>
      <w:r w:rsidR="006A01DA">
        <w:t>s mild (low HDDs and CDDs), loads are at their lowest</w:t>
      </w:r>
      <w:r w:rsidR="0065350B">
        <w:t>.</w:t>
      </w:r>
    </w:p>
    <w:p w:rsidR="00EA0169" w:rsidRPr="009B0579" w:rsidRDefault="00EA0169" w:rsidP="007D5470">
      <w:pPr>
        <w:pStyle w:val="BodyText2"/>
        <w:tabs>
          <w:tab w:val="clear" w:pos="720"/>
        </w:tabs>
        <w:ind w:left="720" w:hanging="720"/>
        <w:rPr>
          <w:b/>
        </w:rPr>
      </w:pPr>
      <w:r w:rsidRPr="009B0579">
        <w:rPr>
          <w:b/>
        </w:rPr>
        <w:t>Q.</w:t>
      </w:r>
      <w:r w:rsidRPr="009B0579">
        <w:rPr>
          <w:b/>
        </w:rPr>
        <w:tab/>
        <w:t xml:space="preserve">What does Graph 2 show </w:t>
      </w:r>
      <w:r w:rsidR="009B4D75">
        <w:rPr>
          <w:b/>
        </w:rPr>
        <w:t>regarding</w:t>
      </w:r>
      <w:r w:rsidRPr="009B0579">
        <w:rPr>
          <w:b/>
        </w:rPr>
        <w:t xml:space="preserve"> temperature sensitivity of refrigerated warehousing usage?</w:t>
      </w:r>
    </w:p>
    <w:p w:rsidR="00EA0169" w:rsidRDefault="00EA0169" w:rsidP="007D5470">
      <w:pPr>
        <w:pStyle w:val="BodyText2"/>
        <w:tabs>
          <w:tab w:val="clear" w:pos="720"/>
        </w:tabs>
        <w:ind w:left="720" w:hanging="720"/>
        <w:rPr>
          <w:b/>
        </w:rPr>
      </w:pPr>
      <w:r>
        <w:t>A.</w:t>
      </w:r>
      <w:r>
        <w:tab/>
        <w:t xml:space="preserve">Graph 2 shows that refrigerated warehousing electricity </w:t>
      </w:r>
      <w:r w:rsidR="004A600E">
        <w:t xml:space="preserve">usage </w:t>
      </w:r>
      <w:r>
        <w:t xml:space="preserve">is not temperature sensitive to colder temperatures and has its highest usage in the fall as </w:t>
      </w:r>
      <w:r w:rsidR="00FE3CE8">
        <w:t>various</w:t>
      </w:r>
      <w:r>
        <w:t xml:space="preserve"> crops are harvested and put into cold storage.</w:t>
      </w:r>
      <w:r w:rsidR="004A600E">
        <w:t xml:space="preserve">  However, the commercial class model includes variables other than weather, such as employment, and inclusion of the refrigerated warehousing load is important to the model</w:t>
      </w:r>
      <w:r w:rsidR="005326A8">
        <w:t>’</w:t>
      </w:r>
      <w:bookmarkStart w:id="0" w:name="_GoBack"/>
      <w:bookmarkEnd w:id="0"/>
      <w:r w:rsidR="004A600E">
        <w:t xml:space="preserve">s ability to forecast and adequately capture the characteristics of </w:t>
      </w:r>
      <w:r w:rsidR="007C5D15">
        <w:t xml:space="preserve">the </w:t>
      </w:r>
      <w:r w:rsidR="004A600E">
        <w:t>commercial class that are sensitive to variables other than temperature.</w:t>
      </w:r>
    </w:p>
    <w:p w:rsidR="00EA0169" w:rsidRPr="00B6522C" w:rsidRDefault="00EA0169" w:rsidP="007D5470">
      <w:pPr>
        <w:pStyle w:val="BodyText2"/>
        <w:tabs>
          <w:tab w:val="clear" w:pos="720"/>
        </w:tabs>
        <w:ind w:left="720" w:hanging="720"/>
        <w:rPr>
          <w:b/>
        </w:rPr>
      </w:pPr>
      <w:r w:rsidRPr="00B6522C">
        <w:rPr>
          <w:b/>
        </w:rPr>
        <w:t>Q.</w:t>
      </w:r>
      <w:r w:rsidRPr="00B6522C">
        <w:rPr>
          <w:b/>
        </w:rPr>
        <w:tab/>
        <w:t>Does the Company’s current commercial temperature normalization model capture the weather sensitive portion of the commercial load, regardless of the refrigerated warehousing load that is not weather sensitive?</w:t>
      </w:r>
    </w:p>
    <w:p w:rsidR="00CD35D1" w:rsidRDefault="00EA0169" w:rsidP="007D5470">
      <w:pPr>
        <w:pStyle w:val="BodyText2"/>
        <w:tabs>
          <w:tab w:val="clear" w:pos="720"/>
        </w:tabs>
        <w:ind w:left="720" w:hanging="720"/>
      </w:pPr>
      <w:r>
        <w:t>A.</w:t>
      </w:r>
      <w:r>
        <w:tab/>
        <w:t xml:space="preserve">Yes.  The model differentiates the relationship of electricity usage to temperature for the appropriate portion of the commercial load. </w:t>
      </w:r>
      <w:r w:rsidR="006A01DA">
        <w:t xml:space="preserve"> I</w:t>
      </w:r>
      <w:r>
        <w:t>t does not diminish the model</w:t>
      </w:r>
      <w:r w:rsidR="006902B8">
        <w:t>’</w:t>
      </w:r>
      <w:r>
        <w:t>s ability to capture the weather sensitive load of the remaining commercial class</w:t>
      </w:r>
      <w:r w:rsidR="006A01DA">
        <w:t xml:space="preserve"> by including the refrigerated warehousing load.  Including temperature variables in the commercial model </w:t>
      </w:r>
      <w:r>
        <w:t>provide</w:t>
      </w:r>
      <w:r w:rsidR="00817DE9">
        <w:t>s</w:t>
      </w:r>
      <w:r>
        <w:t xml:space="preserve"> an accurate temperature normalizing adjustment to historical sales while also providing an accurate forecast model for the total commercial class.</w:t>
      </w:r>
    </w:p>
    <w:p w:rsidR="00F027B4" w:rsidRPr="00646F76" w:rsidRDefault="001B0FD7" w:rsidP="007D5470">
      <w:pPr>
        <w:pStyle w:val="BodyText2"/>
        <w:tabs>
          <w:tab w:val="clear" w:pos="720"/>
        </w:tabs>
        <w:ind w:left="720" w:hanging="720"/>
        <w:rPr>
          <w:b/>
        </w:rPr>
      </w:pPr>
      <w:r w:rsidRPr="00646F76">
        <w:rPr>
          <w:b/>
        </w:rPr>
        <w:t>Q.</w:t>
      </w:r>
      <w:r w:rsidRPr="00646F76">
        <w:rPr>
          <w:b/>
        </w:rPr>
        <w:tab/>
      </w:r>
      <w:r w:rsidR="001D019E">
        <w:rPr>
          <w:b/>
        </w:rPr>
        <w:t>Do the residential and i</w:t>
      </w:r>
      <w:r w:rsidR="00102317">
        <w:rPr>
          <w:b/>
        </w:rPr>
        <w:t>rrigation class of customers reflect a consistent relationship between temperature and load</w:t>
      </w:r>
      <w:r w:rsidR="00F027B4" w:rsidRPr="00646F76">
        <w:rPr>
          <w:b/>
        </w:rPr>
        <w:t>?</w:t>
      </w:r>
    </w:p>
    <w:p w:rsidR="00895E81" w:rsidRDefault="00F027B4" w:rsidP="007D5470">
      <w:pPr>
        <w:pStyle w:val="BodyText2"/>
        <w:tabs>
          <w:tab w:val="clear" w:pos="720"/>
        </w:tabs>
        <w:ind w:left="720" w:hanging="720"/>
      </w:pPr>
      <w:r>
        <w:t>A.</w:t>
      </w:r>
      <w:r>
        <w:tab/>
        <w:t>Yes</w:t>
      </w:r>
      <w:r w:rsidR="00646F76">
        <w:t xml:space="preserve">.  </w:t>
      </w:r>
      <w:r w:rsidR="00102317">
        <w:t>Residential and irrigation electricity use is strongly correlated to daily average temperatures.</w:t>
      </w:r>
    </w:p>
    <w:p w:rsidR="00646F76" w:rsidRPr="003C697E" w:rsidRDefault="00646F76" w:rsidP="007D5470">
      <w:pPr>
        <w:pStyle w:val="BodyText2"/>
        <w:tabs>
          <w:tab w:val="clear" w:pos="720"/>
        </w:tabs>
        <w:ind w:left="720" w:hanging="720"/>
        <w:rPr>
          <w:b/>
        </w:rPr>
      </w:pPr>
      <w:r w:rsidRPr="003C697E">
        <w:rPr>
          <w:b/>
        </w:rPr>
        <w:t>Q.</w:t>
      </w:r>
      <w:r w:rsidRPr="003C697E">
        <w:rPr>
          <w:b/>
        </w:rPr>
        <w:tab/>
      </w:r>
      <w:r w:rsidR="003D7136">
        <w:rPr>
          <w:b/>
        </w:rPr>
        <w:t xml:space="preserve">Did the Company include a </w:t>
      </w:r>
      <w:r w:rsidR="00A840CA">
        <w:rPr>
          <w:b/>
        </w:rPr>
        <w:t>temperature normalization</w:t>
      </w:r>
      <w:r w:rsidR="003D7136">
        <w:rPr>
          <w:b/>
        </w:rPr>
        <w:t xml:space="preserve"> adjustment for the irrigation customer class in the 2011 Rate Case</w:t>
      </w:r>
      <w:r w:rsidRPr="003C697E">
        <w:rPr>
          <w:b/>
        </w:rPr>
        <w:t>?</w:t>
      </w:r>
    </w:p>
    <w:p w:rsidR="003D7136" w:rsidRDefault="00646F76" w:rsidP="007D5470">
      <w:pPr>
        <w:pStyle w:val="BodyText2"/>
        <w:tabs>
          <w:tab w:val="clear" w:pos="720"/>
        </w:tabs>
        <w:ind w:left="720" w:hanging="720"/>
      </w:pPr>
      <w:r>
        <w:t>A.</w:t>
      </w:r>
      <w:r>
        <w:tab/>
      </w:r>
      <w:r w:rsidR="003D7136">
        <w:t xml:space="preserve">No.  </w:t>
      </w:r>
      <w:r w:rsidR="00A840CA">
        <w:t>The Company investigated including a temperature normalization adjustment in t</w:t>
      </w:r>
      <w:r w:rsidR="003D7136">
        <w:t>he 2011 Rate Case</w:t>
      </w:r>
      <w:r w:rsidR="00A840CA">
        <w:t xml:space="preserve">, but </w:t>
      </w:r>
      <w:r w:rsidR="00817DE9">
        <w:t>because</w:t>
      </w:r>
      <w:r w:rsidR="00A840CA">
        <w:t xml:space="preserve"> it </w:t>
      </w:r>
      <w:r w:rsidR="003D7136">
        <w:t>was a “make-whole” case</w:t>
      </w:r>
      <w:r w:rsidR="00A840CA">
        <w:t>, t</w:t>
      </w:r>
      <w:r w:rsidR="0065350B">
        <w:t>he Company did not include it.</w:t>
      </w:r>
    </w:p>
    <w:p w:rsidR="001D019E" w:rsidRPr="00554587" w:rsidRDefault="00554587" w:rsidP="007D5470">
      <w:pPr>
        <w:pStyle w:val="BodyText2"/>
        <w:tabs>
          <w:tab w:val="clear" w:pos="720"/>
        </w:tabs>
        <w:ind w:left="720" w:hanging="720"/>
        <w:rPr>
          <w:b/>
        </w:rPr>
      </w:pPr>
      <w:r w:rsidRPr="00554587">
        <w:rPr>
          <w:b/>
        </w:rPr>
        <w:t xml:space="preserve">Updates to </w:t>
      </w:r>
      <w:r w:rsidR="001D019E" w:rsidRPr="00554587">
        <w:rPr>
          <w:b/>
        </w:rPr>
        <w:t>the 2014 Load Forecast</w:t>
      </w:r>
    </w:p>
    <w:p w:rsidR="001D019E" w:rsidRPr="00393B0B" w:rsidRDefault="001D019E" w:rsidP="007D5470">
      <w:pPr>
        <w:tabs>
          <w:tab w:val="left" w:pos="720"/>
        </w:tabs>
        <w:spacing w:line="480" w:lineRule="auto"/>
        <w:ind w:left="720" w:hanging="720"/>
        <w:rPr>
          <w:b/>
          <w:sz w:val="24"/>
        </w:rPr>
      </w:pPr>
      <w:r w:rsidRPr="00393B0B">
        <w:rPr>
          <w:b/>
          <w:sz w:val="24"/>
        </w:rPr>
        <w:t>Q.</w:t>
      </w:r>
      <w:r w:rsidRPr="00393B0B">
        <w:rPr>
          <w:b/>
          <w:sz w:val="24"/>
        </w:rPr>
        <w:tab/>
        <w:t>Please list the assumptions and updates to the current load forecast.</w:t>
      </w:r>
    </w:p>
    <w:p w:rsidR="001D019E" w:rsidRDefault="001D019E" w:rsidP="007D5470">
      <w:pPr>
        <w:tabs>
          <w:tab w:val="left" w:pos="720"/>
        </w:tabs>
        <w:spacing w:line="480" w:lineRule="auto"/>
        <w:ind w:left="720" w:hanging="720"/>
        <w:rPr>
          <w:sz w:val="24"/>
        </w:rPr>
      </w:pPr>
      <w:r>
        <w:rPr>
          <w:sz w:val="24"/>
        </w:rPr>
        <w:t>A.</w:t>
      </w:r>
      <w:r>
        <w:rPr>
          <w:sz w:val="24"/>
        </w:rPr>
        <w:tab/>
        <w:t>The Company update</w:t>
      </w:r>
      <w:r w:rsidR="00554587">
        <w:rPr>
          <w:sz w:val="24"/>
        </w:rPr>
        <w:t>d</w:t>
      </w:r>
      <w:r>
        <w:rPr>
          <w:sz w:val="24"/>
        </w:rPr>
        <w:t xml:space="preserve"> the following information</w:t>
      </w:r>
      <w:r w:rsidR="00554587">
        <w:rPr>
          <w:sz w:val="24"/>
        </w:rPr>
        <w:t xml:space="preserve"> in the current load forecast</w:t>
      </w:r>
      <w:r>
        <w:rPr>
          <w:sz w:val="24"/>
        </w:rPr>
        <w:t>:</w:t>
      </w:r>
    </w:p>
    <w:p w:rsidR="001D019E" w:rsidRPr="00393B0B" w:rsidRDefault="001D019E" w:rsidP="0065350B">
      <w:pPr>
        <w:pStyle w:val="ListParagraph"/>
        <w:numPr>
          <w:ilvl w:val="0"/>
          <w:numId w:val="15"/>
        </w:numPr>
        <w:tabs>
          <w:tab w:val="left" w:pos="720"/>
        </w:tabs>
        <w:spacing w:line="480" w:lineRule="auto"/>
        <w:ind w:left="1080"/>
        <w:rPr>
          <w:sz w:val="24"/>
          <w:szCs w:val="24"/>
        </w:rPr>
      </w:pPr>
      <w:r w:rsidRPr="00393B0B">
        <w:rPr>
          <w:sz w:val="24"/>
          <w:szCs w:val="24"/>
        </w:rPr>
        <w:t>Actual sales January 1997 through March 2012</w:t>
      </w:r>
      <w:r w:rsidR="00817DE9">
        <w:rPr>
          <w:sz w:val="24"/>
          <w:szCs w:val="24"/>
        </w:rPr>
        <w:t>.</w:t>
      </w:r>
    </w:p>
    <w:p w:rsidR="00554587" w:rsidRDefault="001D019E" w:rsidP="0065350B">
      <w:pPr>
        <w:pStyle w:val="ListParagraph"/>
        <w:numPr>
          <w:ilvl w:val="0"/>
          <w:numId w:val="15"/>
        </w:numPr>
        <w:tabs>
          <w:tab w:val="left" w:pos="720"/>
        </w:tabs>
        <w:spacing w:line="480" w:lineRule="auto"/>
        <w:ind w:left="1080"/>
        <w:rPr>
          <w:sz w:val="24"/>
          <w:szCs w:val="24"/>
        </w:rPr>
      </w:pPr>
      <w:r w:rsidRPr="00554587">
        <w:rPr>
          <w:sz w:val="24"/>
          <w:szCs w:val="24"/>
        </w:rPr>
        <w:t xml:space="preserve">Load research data </w:t>
      </w:r>
      <w:r w:rsidR="00554587" w:rsidRPr="00554587">
        <w:rPr>
          <w:sz w:val="24"/>
          <w:szCs w:val="24"/>
        </w:rPr>
        <w:t xml:space="preserve">through </w:t>
      </w:r>
      <w:r w:rsidR="004550C8">
        <w:rPr>
          <w:sz w:val="24"/>
          <w:szCs w:val="24"/>
        </w:rPr>
        <w:t>December</w:t>
      </w:r>
      <w:r w:rsidRPr="00554587">
        <w:rPr>
          <w:sz w:val="24"/>
          <w:szCs w:val="24"/>
        </w:rPr>
        <w:t xml:space="preserve"> 2011 </w:t>
      </w:r>
      <w:r w:rsidR="00DE627E" w:rsidRPr="00554587">
        <w:rPr>
          <w:sz w:val="24"/>
          <w:szCs w:val="24"/>
        </w:rPr>
        <w:t>updated in the temperature normalization model</w:t>
      </w:r>
      <w:r w:rsidR="00817DE9">
        <w:rPr>
          <w:sz w:val="24"/>
          <w:szCs w:val="24"/>
        </w:rPr>
        <w:t>.</w:t>
      </w:r>
    </w:p>
    <w:p w:rsidR="00DE627E" w:rsidRPr="00554587" w:rsidRDefault="00DE627E" w:rsidP="0065350B">
      <w:pPr>
        <w:pStyle w:val="ListParagraph"/>
        <w:numPr>
          <w:ilvl w:val="0"/>
          <w:numId w:val="15"/>
        </w:numPr>
        <w:tabs>
          <w:tab w:val="left" w:pos="720"/>
        </w:tabs>
        <w:spacing w:line="480" w:lineRule="auto"/>
        <w:ind w:left="1080"/>
        <w:rPr>
          <w:sz w:val="24"/>
          <w:szCs w:val="24"/>
        </w:rPr>
      </w:pPr>
      <w:r w:rsidRPr="00554587">
        <w:rPr>
          <w:sz w:val="24"/>
          <w:szCs w:val="24"/>
        </w:rPr>
        <w:t xml:space="preserve">Actual weather was </w:t>
      </w:r>
      <w:r w:rsidR="00554587">
        <w:rPr>
          <w:sz w:val="24"/>
          <w:szCs w:val="24"/>
        </w:rPr>
        <w:t xml:space="preserve">rolled forward one year </w:t>
      </w:r>
      <w:r w:rsidRPr="00554587">
        <w:rPr>
          <w:sz w:val="24"/>
          <w:szCs w:val="24"/>
        </w:rPr>
        <w:t xml:space="preserve">to the </w:t>
      </w:r>
      <w:r w:rsidR="0065350B" w:rsidRPr="00554587">
        <w:rPr>
          <w:sz w:val="24"/>
          <w:szCs w:val="24"/>
        </w:rPr>
        <w:t>1992</w:t>
      </w:r>
      <w:r w:rsidR="002155E1">
        <w:rPr>
          <w:sz w:val="24"/>
          <w:szCs w:val="24"/>
        </w:rPr>
        <w:t>—</w:t>
      </w:r>
      <w:r w:rsidR="0065350B" w:rsidRPr="00554587">
        <w:rPr>
          <w:sz w:val="24"/>
          <w:szCs w:val="24"/>
        </w:rPr>
        <w:t>2011</w:t>
      </w:r>
      <w:r w:rsidR="0065350B">
        <w:rPr>
          <w:sz w:val="24"/>
          <w:szCs w:val="24"/>
        </w:rPr>
        <w:t xml:space="preserve"> </w:t>
      </w:r>
      <w:r w:rsidRPr="00554587">
        <w:rPr>
          <w:sz w:val="24"/>
          <w:szCs w:val="24"/>
        </w:rPr>
        <w:t xml:space="preserve">time period </w:t>
      </w:r>
      <w:r w:rsidR="00817DE9">
        <w:rPr>
          <w:sz w:val="24"/>
          <w:szCs w:val="24"/>
        </w:rPr>
        <w:t>(measured at Yakima).</w:t>
      </w:r>
    </w:p>
    <w:p w:rsidR="00DE627E" w:rsidRPr="008F255E" w:rsidRDefault="00554587" w:rsidP="0065350B">
      <w:pPr>
        <w:pStyle w:val="ListParagraph"/>
        <w:numPr>
          <w:ilvl w:val="0"/>
          <w:numId w:val="15"/>
        </w:numPr>
        <w:tabs>
          <w:tab w:val="left" w:pos="720"/>
        </w:tabs>
        <w:spacing w:line="480" w:lineRule="auto"/>
        <w:ind w:left="1080"/>
      </w:pPr>
      <w:r>
        <w:rPr>
          <w:sz w:val="24"/>
          <w:szCs w:val="24"/>
        </w:rPr>
        <w:t xml:space="preserve">February 2012 release from </w:t>
      </w:r>
      <w:r w:rsidRPr="00554587">
        <w:rPr>
          <w:sz w:val="24"/>
          <w:szCs w:val="24"/>
        </w:rPr>
        <w:t xml:space="preserve">IHS Global Insight </w:t>
      </w:r>
      <w:r>
        <w:rPr>
          <w:sz w:val="24"/>
          <w:szCs w:val="24"/>
        </w:rPr>
        <w:t>of e</w:t>
      </w:r>
      <w:r w:rsidRPr="00554587">
        <w:rPr>
          <w:sz w:val="24"/>
          <w:szCs w:val="24"/>
        </w:rPr>
        <w:t>conomic data</w:t>
      </w:r>
      <w:r w:rsidR="0065350B">
        <w:rPr>
          <w:sz w:val="24"/>
          <w:szCs w:val="24"/>
        </w:rPr>
        <w:t>,</w:t>
      </w:r>
      <w:r w:rsidRPr="00554587">
        <w:rPr>
          <w:sz w:val="24"/>
          <w:szCs w:val="24"/>
        </w:rPr>
        <w:t xml:space="preserve"> such as households, population, and employment figures</w:t>
      </w:r>
      <w:r w:rsidR="00817DE9">
        <w:rPr>
          <w:sz w:val="24"/>
          <w:szCs w:val="24"/>
        </w:rPr>
        <w:t>.</w:t>
      </w:r>
    </w:p>
    <w:p w:rsidR="008F255E" w:rsidRDefault="008F255E" w:rsidP="008F255E">
      <w:pPr>
        <w:pStyle w:val="ListParagraph"/>
        <w:suppressLineNumbers/>
        <w:tabs>
          <w:tab w:val="left" w:pos="720"/>
        </w:tabs>
        <w:spacing w:line="480" w:lineRule="auto"/>
        <w:ind w:left="1080"/>
        <w:rPr>
          <w:sz w:val="24"/>
          <w:szCs w:val="24"/>
        </w:rPr>
      </w:pPr>
    </w:p>
    <w:p w:rsidR="00A86B04" w:rsidRDefault="00A86B04" w:rsidP="008F255E">
      <w:pPr>
        <w:spacing w:line="480" w:lineRule="auto"/>
        <w:rPr>
          <w:b/>
          <w:sz w:val="24"/>
        </w:rPr>
      </w:pPr>
      <w:r>
        <w:rPr>
          <w:b/>
          <w:sz w:val="24"/>
        </w:rPr>
        <w:t>Q.</w:t>
      </w:r>
      <w:r>
        <w:rPr>
          <w:b/>
          <w:sz w:val="24"/>
        </w:rPr>
        <w:tab/>
        <w:t xml:space="preserve">Does this conclude your </w:t>
      </w:r>
      <w:r w:rsidR="005C0EFD">
        <w:rPr>
          <w:b/>
          <w:sz w:val="24"/>
        </w:rPr>
        <w:t xml:space="preserve">direct </w:t>
      </w:r>
      <w:r>
        <w:rPr>
          <w:b/>
          <w:sz w:val="24"/>
        </w:rPr>
        <w:t>testimony?</w:t>
      </w:r>
    </w:p>
    <w:p w:rsidR="005E68A9" w:rsidRPr="007A3ECA" w:rsidRDefault="00A86B04" w:rsidP="007D5470">
      <w:pPr>
        <w:tabs>
          <w:tab w:val="num" w:pos="720"/>
        </w:tabs>
        <w:spacing w:line="480" w:lineRule="auto"/>
        <w:ind w:left="720" w:hanging="720"/>
      </w:pPr>
      <w:r>
        <w:rPr>
          <w:sz w:val="24"/>
        </w:rPr>
        <w:t>A.</w:t>
      </w:r>
      <w:r>
        <w:rPr>
          <w:sz w:val="24"/>
        </w:rPr>
        <w:tab/>
        <w:t>Yes.</w:t>
      </w:r>
    </w:p>
    <w:sectPr w:rsidR="005E68A9" w:rsidRPr="007A3ECA" w:rsidSect="00243A4D">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lnNumType w:countBy="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5E" w:rsidRDefault="008F255E">
      <w:r>
        <w:separator/>
      </w:r>
    </w:p>
  </w:endnote>
  <w:endnote w:type="continuationSeparator" w:id="0">
    <w:p w:rsidR="008F255E" w:rsidRDefault="008F2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5E" w:rsidRDefault="002B3633">
    <w:pPr>
      <w:pStyle w:val="Footer"/>
      <w:framePr w:wrap="around" w:vAnchor="text" w:hAnchor="margin" w:xAlign="right" w:y="1"/>
      <w:rPr>
        <w:rStyle w:val="PageNumber"/>
      </w:rPr>
    </w:pPr>
    <w:r>
      <w:rPr>
        <w:rStyle w:val="PageNumber"/>
      </w:rPr>
      <w:fldChar w:fldCharType="begin"/>
    </w:r>
    <w:r w:rsidR="008F255E">
      <w:rPr>
        <w:rStyle w:val="PageNumber"/>
      </w:rPr>
      <w:instrText xml:space="preserve">PAGE  </w:instrText>
    </w:r>
    <w:r>
      <w:rPr>
        <w:rStyle w:val="PageNumber"/>
      </w:rPr>
      <w:fldChar w:fldCharType="separate"/>
    </w:r>
    <w:r w:rsidR="008F255E">
      <w:rPr>
        <w:rStyle w:val="PageNumber"/>
        <w:noProof/>
      </w:rPr>
      <w:t>10</w:t>
    </w:r>
    <w:r>
      <w:rPr>
        <w:rStyle w:val="PageNumber"/>
      </w:rPr>
      <w:fldChar w:fldCharType="end"/>
    </w:r>
  </w:p>
  <w:p w:rsidR="008F255E" w:rsidRDefault="008F25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5E" w:rsidRPr="00B5130E" w:rsidRDefault="008F255E" w:rsidP="005A617A">
    <w:pPr>
      <w:pStyle w:val="Footer"/>
      <w:rPr>
        <w:rStyle w:val="PageNumber"/>
        <w:sz w:val="24"/>
        <w:szCs w:val="24"/>
      </w:rPr>
    </w:pPr>
    <w:r w:rsidRPr="00B5130E">
      <w:rPr>
        <w:rStyle w:val="PageNumber"/>
        <w:sz w:val="24"/>
        <w:szCs w:val="24"/>
      </w:rPr>
      <w:t>Direct Testimony of Kelcey A. Brown</w:t>
    </w:r>
    <w:r w:rsidRPr="00B5130E">
      <w:rPr>
        <w:rStyle w:val="PageNumber"/>
        <w:sz w:val="24"/>
        <w:szCs w:val="24"/>
      </w:rPr>
      <w:tab/>
    </w:r>
    <w:r w:rsidRPr="00B5130E">
      <w:rPr>
        <w:rStyle w:val="PageNumber"/>
        <w:sz w:val="24"/>
        <w:szCs w:val="24"/>
      </w:rPr>
      <w:tab/>
      <w:t>Exhibit No.___(KAB-1T)</w:t>
    </w:r>
  </w:p>
  <w:p w:rsidR="008F255E" w:rsidRPr="00561886" w:rsidRDefault="008F255E" w:rsidP="00B5130E">
    <w:pPr>
      <w:pStyle w:val="Footer"/>
      <w:tabs>
        <w:tab w:val="clear" w:pos="4320"/>
      </w:tabs>
      <w:rPr>
        <w:sz w:val="24"/>
        <w:szCs w:val="24"/>
      </w:rPr>
    </w:pPr>
    <w:r w:rsidRPr="00B5130E">
      <w:rPr>
        <w:rStyle w:val="PageNumber"/>
        <w:sz w:val="24"/>
        <w:szCs w:val="24"/>
      </w:rPr>
      <w:tab/>
      <w:t xml:space="preserve">Page </w:t>
    </w:r>
    <w:r w:rsidR="002B3633" w:rsidRPr="00B5130E">
      <w:rPr>
        <w:rStyle w:val="PageNumber"/>
        <w:sz w:val="24"/>
        <w:szCs w:val="24"/>
      </w:rPr>
      <w:fldChar w:fldCharType="begin"/>
    </w:r>
    <w:r w:rsidRPr="00B5130E">
      <w:rPr>
        <w:rStyle w:val="PageNumber"/>
        <w:sz w:val="24"/>
        <w:szCs w:val="24"/>
      </w:rPr>
      <w:instrText xml:space="preserve"> PAGE </w:instrText>
    </w:r>
    <w:r w:rsidR="002B3633" w:rsidRPr="00B5130E">
      <w:rPr>
        <w:rStyle w:val="PageNumber"/>
        <w:sz w:val="24"/>
        <w:szCs w:val="24"/>
      </w:rPr>
      <w:fldChar w:fldCharType="separate"/>
    </w:r>
    <w:r w:rsidR="00CA54CA">
      <w:rPr>
        <w:rStyle w:val="PageNumber"/>
        <w:noProof/>
        <w:sz w:val="24"/>
        <w:szCs w:val="24"/>
      </w:rPr>
      <w:t>1</w:t>
    </w:r>
    <w:r w:rsidR="002B3633" w:rsidRPr="00B5130E">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CA" w:rsidRDefault="00CA5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5E" w:rsidRDefault="008F255E">
      <w:r>
        <w:separator/>
      </w:r>
    </w:p>
  </w:footnote>
  <w:footnote w:type="continuationSeparator" w:id="0">
    <w:p w:rsidR="008F255E" w:rsidRDefault="008F255E">
      <w:r>
        <w:continuationSeparator/>
      </w:r>
    </w:p>
  </w:footnote>
  <w:footnote w:id="1">
    <w:p w:rsidR="008F255E" w:rsidRDefault="008F255E">
      <w:pPr>
        <w:pStyle w:val="FootnoteText"/>
      </w:pPr>
      <w:r>
        <w:rPr>
          <w:rStyle w:val="FootnoteReference"/>
        </w:rPr>
        <w:footnoteRef/>
      </w:r>
      <w:r>
        <w:t xml:space="preserve"> In this case, the Company calculated temperature normalization for the residential, commercial, and irrigation customers consistently with the methodology approved by the Washington Utilities and Transportation Commission (Commission) in the Company’s 2005 general rate case, docket </w:t>
      </w:r>
      <w:r>
        <w:br/>
        <w:t>UE-050684 (2005 Rate Case), and 2006 general rate case, docket UE-090205 (2006 Rate Case).</w:t>
      </w:r>
    </w:p>
  </w:footnote>
  <w:footnote w:id="2">
    <w:p w:rsidR="008F255E" w:rsidRDefault="008F255E">
      <w:pPr>
        <w:pStyle w:val="FootnoteText"/>
      </w:pPr>
      <w:r>
        <w:rPr>
          <w:rStyle w:val="FootnoteReference"/>
        </w:rPr>
        <w:footnoteRef/>
      </w:r>
      <w:r>
        <w:t xml:space="preserve"> Docket UE-100749, Commission Order 06, ¶ 219.</w:t>
      </w:r>
    </w:p>
  </w:footnote>
  <w:footnote w:id="3">
    <w:p w:rsidR="008F255E" w:rsidRDefault="008F255E">
      <w:pPr>
        <w:pStyle w:val="FootnoteText"/>
      </w:pPr>
      <w:r>
        <w:rPr>
          <w:rStyle w:val="FootnoteReference"/>
        </w:rPr>
        <w:footnoteRef/>
      </w:r>
      <w:r>
        <w:t xml:space="preserve"> </w:t>
      </w:r>
      <w:r w:rsidRPr="00214AD4">
        <w:rPr>
          <w:i/>
        </w:rPr>
        <w:t>Id</w:t>
      </w:r>
      <w:r>
        <w:t>., ¶ 225.</w:t>
      </w:r>
    </w:p>
  </w:footnote>
  <w:footnote w:id="4">
    <w:p w:rsidR="008F255E" w:rsidRDefault="008F255E">
      <w:pPr>
        <w:pStyle w:val="FootnoteText"/>
      </w:pPr>
      <w:r>
        <w:rPr>
          <w:rStyle w:val="FootnoteReference"/>
        </w:rPr>
        <w:footnoteRef/>
      </w:r>
      <w:r>
        <w:t xml:space="preserve"> </w:t>
      </w:r>
      <w:r w:rsidRPr="00033003">
        <w:rPr>
          <w:i/>
        </w:rPr>
        <w:t>Id.</w:t>
      </w:r>
    </w:p>
  </w:footnote>
  <w:footnote w:id="5">
    <w:p w:rsidR="008F255E" w:rsidRPr="009E30FE" w:rsidRDefault="008F255E">
      <w:pPr>
        <w:pStyle w:val="FootnoteText"/>
        <w:rPr>
          <w:i/>
        </w:rPr>
      </w:pPr>
      <w:r>
        <w:rPr>
          <w:rStyle w:val="FootnoteReference"/>
        </w:rPr>
        <w:footnoteRef/>
      </w:r>
      <w:r>
        <w:t xml:space="preserve"> </w:t>
      </w:r>
      <w:r>
        <w:rPr>
          <w:i/>
        </w:rPr>
        <w:t>Id.</w:t>
      </w:r>
    </w:p>
  </w:footnote>
  <w:footnote w:id="6">
    <w:p w:rsidR="008F255E" w:rsidRPr="002F68F1" w:rsidRDefault="008F255E">
      <w:pPr>
        <w:pStyle w:val="FootnoteText"/>
      </w:pPr>
      <w:r>
        <w:rPr>
          <w:rStyle w:val="FootnoteReference"/>
        </w:rPr>
        <w:footnoteRef/>
      </w:r>
      <w:r>
        <w:t xml:space="preserve"> </w:t>
      </w:r>
      <w:r>
        <w:rPr>
          <w:i/>
        </w:rPr>
        <w:t>Id.</w:t>
      </w:r>
      <w:r w:rsidRPr="005326A8">
        <w:t>,</w:t>
      </w:r>
      <w:r>
        <w:t xml:space="preserve"> ¶ 223.</w:t>
      </w:r>
    </w:p>
  </w:footnote>
  <w:footnote w:id="7">
    <w:p w:rsidR="008F255E" w:rsidRDefault="008F255E" w:rsidP="00EA0169">
      <w:pPr>
        <w:pStyle w:val="FootnoteText"/>
      </w:pPr>
      <w:r>
        <w:rPr>
          <w:rStyle w:val="FootnoteReference"/>
        </w:rPr>
        <w:footnoteRef/>
      </w:r>
      <w:r>
        <w:t xml:space="preserve"> Docket UE-100749, Redacted Exhibit No.__CT(VN-1CT) at 9, lines 5-6.</w:t>
      </w:r>
    </w:p>
  </w:footnote>
  <w:footnote w:id="8">
    <w:p w:rsidR="008F255E" w:rsidRDefault="008F255E">
      <w:pPr>
        <w:pStyle w:val="FootnoteText"/>
      </w:pPr>
      <w:r>
        <w:rPr>
          <w:rStyle w:val="FootnoteReference"/>
        </w:rPr>
        <w:footnoteRef/>
      </w:r>
      <w:r>
        <w:t xml:space="preserve"> The Company classifies its customers within the commercial class by a Standard Industrial Code (SIC).  There are approximately 700 SIC codes in the commercial class.  Refrigerated warehousing constitutes approximately 15 percent of the commercial class’s annual sales.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CA" w:rsidRDefault="00CA5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CA" w:rsidRDefault="00CA54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CA" w:rsidRDefault="00CA54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7D1"/>
    <w:multiLevelType w:val="hybridMultilevel"/>
    <w:tmpl w:val="8146EBDE"/>
    <w:lvl w:ilvl="0" w:tplc="9B06E1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4A63A7"/>
    <w:multiLevelType w:val="hybridMultilevel"/>
    <w:tmpl w:val="74B0E1CA"/>
    <w:lvl w:ilvl="0" w:tplc="7E3898E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35EBC"/>
    <w:multiLevelType w:val="singleLevel"/>
    <w:tmpl w:val="4A4CA5D4"/>
    <w:lvl w:ilvl="0">
      <w:start w:val="1"/>
      <w:numFmt w:val="upperLetter"/>
      <w:pStyle w:val="Heading1"/>
      <w:lvlText w:val="%1."/>
      <w:lvlJc w:val="left"/>
      <w:pPr>
        <w:tabs>
          <w:tab w:val="num" w:pos="360"/>
        </w:tabs>
        <w:ind w:left="360" w:hanging="360"/>
      </w:pPr>
      <w:rPr>
        <w:rFonts w:hint="default"/>
      </w:rPr>
    </w:lvl>
  </w:abstractNum>
  <w:abstractNum w:abstractNumId="3">
    <w:nsid w:val="148B3E6A"/>
    <w:multiLevelType w:val="hybridMultilevel"/>
    <w:tmpl w:val="E6C23802"/>
    <w:lvl w:ilvl="0" w:tplc="8A6862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95534"/>
    <w:multiLevelType w:val="singleLevel"/>
    <w:tmpl w:val="0748C1AE"/>
    <w:lvl w:ilvl="0">
      <w:start w:val="17"/>
      <w:numFmt w:val="upperLetter"/>
      <w:lvlText w:val="%1."/>
      <w:lvlJc w:val="left"/>
      <w:pPr>
        <w:tabs>
          <w:tab w:val="num" w:pos="720"/>
        </w:tabs>
        <w:ind w:left="720" w:hanging="720"/>
      </w:pPr>
      <w:rPr>
        <w:rFonts w:hint="default"/>
      </w:rPr>
    </w:lvl>
  </w:abstractNum>
  <w:abstractNum w:abstractNumId="5">
    <w:nsid w:val="25DE6FA5"/>
    <w:multiLevelType w:val="hybridMultilevel"/>
    <w:tmpl w:val="A1EC4582"/>
    <w:lvl w:ilvl="0" w:tplc="FFFFFFFF">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5B64966"/>
    <w:multiLevelType w:val="singleLevel"/>
    <w:tmpl w:val="385EFBFE"/>
    <w:lvl w:ilvl="0">
      <w:start w:val="17"/>
      <w:numFmt w:val="upperLetter"/>
      <w:lvlText w:val="%1."/>
      <w:lvlJc w:val="left"/>
      <w:pPr>
        <w:tabs>
          <w:tab w:val="num" w:pos="720"/>
        </w:tabs>
        <w:ind w:left="720" w:hanging="720"/>
      </w:pPr>
      <w:rPr>
        <w:rFonts w:hint="default"/>
      </w:rPr>
    </w:lvl>
  </w:abstractNum>
  <w:abstractNum w:abstractNumId="7">
    <w:nsid w:val="37101BA1"/>
    <w:multiLevelType w:val="hybridMultilevel"/>
    <w:tmpl w:val="CAAA688A"/>
    <w:lvl w:ilvl="0" w:tplc="3D462FA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50147"/>
    <w:multiLevelType w:val="hybridMultilevel"/>
    <w:tmpl w:val="D9868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5922CD3"/>
    <w:multiLevelType w:val="hybridMultilevel"/>
    <w:tmpl w:val="0C8A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82E9F"/>
    <w:multiLevelType w:val="hybridMultilevel"/>
    <w:tmpl w:val="9D9ACA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551C5566"/>
    <w:multiLevelType w:val="hybridMultilevel"/>
    <w:tmpl w:val="55F86750"/>
    <w:lvl w:ilvl="0" w:tplc="0409000F">
      <w:start w:val="3"/>
      <w:numFmt w:val="decimal"/>
      <w:lvlText w:val="%1."/>
      <w:lvlJc w:val="left"/>
      <w:pPr>
        <w:tabs>
          <w:tab w:val="num" w:pos="720"/>
        </w:tabs>
        <w:ind w:left="720" w:hanging="360"/>
      </w:pPr>
      <w:rPr>
        <w:rFonts w:hint="default"/>
      </w:rPr>
    </w:lvl>
    <w:lvl w:ilvl="1" w:tplc="C10A54EE">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B7514C"/>
    <w:multiLevelType w:val="hybridMultilevel"/>
    <w:tmpl w:val="EEC6AA6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FD724E"/>
    <w:multiLevelType w:val="hybridMultilevel"/>
    <w:tmpl w:val="5C269BBC"/>
    <w:lvl w:ilvl="0" w:tplc="0409001B">
      <w:start w:val="1"/>
      <w:numFmt w:val="lowerRoman"/>
      <w:lvlText w:val="%1."/>
      <w:lvlJc w:val="right"/>
      <w:pPr>
        <w:tabs>
          <w:tab w:val="num" w:pos="720"/>
        </w:tabs>
        <w:ind w:left="720" w:hanging="360"/>
      </w:pPr>
      <w:rPr>
        <w:rFonts w:hint="default"/>
      </w:rPr>
    </w:lvl>
    <w:lvl w:ilvl="1" w:tplc="13D8C628">
      <w:start w:val="1"/>
      <w:numFmt w:val="upperLetter"/>
      <w:lvlText w:val="%2."/>
      <w:lvlJc w:val="left"/>
      <w:pPr>
        <w:tabs>
          <w:tab w:val="num" w:pos="540"/>
        </w:tabs>
        <w:ind w:left="540" w:hanging="360"/>
      </w:pPr>
      <w:rPr>
        <w:rFonts w:hint="default"/>
        <w:b w:val="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8C06D95"/>
    <w:multiLevelType w:val="singleLevel"/>
    <w:tmpl w:val="52888202"/>
    <w:lvl w:ilvl="0">
      <w:start w:val="17"/>
      <w:numFmt w:val="upperLetter"/>
      <w:lvlText w:val="%1."/>
      <w:lvlJc w:val="left"/>
      <w:pPr>
        <w:tabs>
          <w:tab w:val="num" w:pos="720"/>
        </w:tabs>
        <w:ind w:left="720" w:hanging="720"/>
      </w:pPr>
      <w:rPr>
        <w:rFonts w:hint="default"/>
      </w:rPr>
    </w:lvl>
  </w:abstractNum>
  <w:num w:numId="1">
    <w:abstractNumId w:val="2"/>
  </w:num>
  <w:num w:numId="2">
    <w:abstractNumId w:val="4"/>
  </w:num>
  <w:num w:numId="3">
    <w:abstractNumId w:val="14"/>
  </w:num>
  <w:num w:numId="4">
    <w:abstractNumId w:val="6"/>
  </w:num>
  <w:num w:numId="5">
    <w:abstractNumId w:val="5"/>
  </w:num>
  <w:num w:numId="6">
    <w:abstractNumId w:val="13"/>
  </w:num>
  <w:num w:numId="7">
    <w:abstractNumId w:val="0"/>
  </w:num>
  <w:num w:numId="8">
    <w:abstractNumId w:val="7"/>
  </w:num>
  <w:num w:numId="9">
    <w:abstractNumId w:val="3"/>
  </w:num>
  <w:num w:numId="10">
    <w:abstractNumId w:val="1"/>
  </w:num>
  <w:num w:numId="11">
    <w:abstractNumId w:val="12"/>
  </w:num>
  <w:num w:numId="12">
    <w:abstractNumId w:val="11"/>
  </w:num>
  <w:num w:numId="13">
    <w:abstractNumId w:val="8"/>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B56575"/>
    <w:rsid w:val="000037F2"/>
    <w:rsid w:val="00005521"/>
    <w:rsid w:val="00011553"/>
    <w:rsid w:val="00013628"/>
    <w:rsid w:val="00015C34"/>
    <w:rsid w:val="00017301"/>
    <w:rsid w:val="00021B7D"/>
    <w:rsid w:val="00022B06"/>
    <w:rsid w:val="000247E5"/>
    <w:rsid w:val="00027AF5"/>
    <w:rsid w:val="00030256"/>
    <w:rsid w:val="00033003"/>
    <w:rsid w:val="00034666"/>
    <w:rsid w:val="000348B5"/>
    <w:rsid w:val="00037E64"/>
    <w:rsid w:val="0004095E"/>
    <w:rsid w:val="000434BE"/>
    <w:rsid w:val="000447AF"/>
    <w:rsid w:val="0005018C"/>
    <w:rsid w:val="000541B1"/>
    <w:rsid w:val="0005707C"/>
    <w:rsid w:val="00061782"/>
    <w:rsid w:val="00062B73"/>
    <w:rsid w:val="00062CA1"/>
    <w:rsid w:val="00063349"/>
    <w:rsid w:val="00063386"/>
    <w:rsid w:val="000636F5"/>
    <w:rsid w:val="00070A76"/>
    <w:rsid w:val="000714F5"/>
    <w:rsid w:val="000728EE"/>
    <w:rsid w:val="00073008"/>
    <w:rsid w:val="0007320D"/>
    <w:rsid w:val="000763F2"/>
    <w:rsid w:val="000801E6"/>
    <w:rsid w:val="00081155"/>
    <w:rsid w:val="0008204B"/>
    <w:rsid w:val="00085D3A"/>
    <w:rsid w:val="00093816"/>
    <w:rsid w:val="000A00C8"/>
    <w:rsid w:val="000A3AA5"/>
    <w:rsid w:val="000A4D4D"/>
    <w:rsid w:val="000A5C0F"/>
    <w:rsid w:val="000A7541"/>
    <w:rsid w:val="000A79D7"/>
    <w:rsid w:val="000B1F60"/>
    <w:rsid w:val="000B3FF5"/>
    <w:rsid w:val="000B46CD"/>
    <w:rsid w:val="000B5183"/>
    <w:rsid w:val="000B5A3F"/>
    <w:rsid w:val="000B7F6F"/>
    <w:rsid w:val="000C005A"/>
    <w:rsid w:val="000C0C2A"/>
    <w:rsid w:val="000C3162"/>
    <w:rsid w:val="000C5B63"/>
    <w:rsid w:val="000C7881"/>
    <w:rsid w:val="000D1749"/>
    <w:rsid w:val="000D1A5F"/>
    <w:rsid w:val="000D43C9"/>
    <w:rsid w:val="000E1294"/>
    <w:rsid w:val="000E2EB2"/>
    <w:rsid w:val="000E41E2"/>
    <w:rsid w:val="000E63BF"/>
    <w:rsid w:val="000E73AF"/>
    <w:rsid w:val="000E7541"/>
    <w:rsid w:val="000F6B34"/>
    <w:rsid w:val="00100465"/>
    <w:rsid w:val="00100642"/>
    <w:rsid w:val="00102317"/>
    <w:rsid w:val="00105E27"/>
    <w:rsid w:val="0010661A"/>
    <w:rsid w:val="00107D51"/>
    <w:rsid w:val="00110113"/>
    <w:rsid w:val="0011735B"/>
    <w:rsid w:val="00120EC3"/>
    <w:rsid w:val="001213AE"/>
    <w:rsid w:val="00121844"/>
    <w:rsid w:val="001248CD"/>
    <w:rsid w:val="00126231"/>
    <w:rsid w:val="001277B7"/>
    <w:rsid w:val="00127C1F"/>
    <w:rsid w:val="00132778"/>
    <w:rsid w:val="001350CF"/>
    <w:rsid w:val="00135AA6"/>
    <w:rsid w:val="00142A22"/>
    <w:rsid w:val="00142EA3"/>
    <w:rsid w:val="001454BC"/>
    <w:rsid w:val="00147CD6"/>
    <w:rsid w:val="00147ED0"/>
    <w:rsid w:val="001505FA"/>
    <w:rsid w:val="00150928"/>
    <w:rsid w:val="0015468A"/>
    <w:rsid w:val="00154E38"/>
    <w:rsid w:val="00155A90"/>
    <w:rsid w:val="00156E59"/>
    <w:rsid w:val="001577C5"/>
    <w:rsid w:val="00157B9F"/>
    <w:rsid w:val="00157CCD"/>
    <w:rsid w:val="00161832"/>
    <w:rsid w:val="00162A05"/>
    <w:rsid w:val="00162C72"/>
    <w:rsid w:val="00171D93"/>
    <w:rsid w:val="00176A49"/>
    <w:rsid w:val="00183463"/>
    <w:rsid w:val="0018356B"/>
    <w:rsid w:val="00183A7B"/>
    <w:rsid w:val="001855F1"/>
    <w:rsid w:val="001879AD"/>
    <w:rsid w:val="00190A6E"/>
    <w:rsid w:val="0019148D"/>
    <w:rsid w:val="00191967"/>
    <w:rsid w:val="0019228B"/>
    <w:rsid w:val="0019334C"/>
    <w:rsid w:val="001960DC"/>
    <w:rsid w:val="00197206"/>
    <w:rsid w:val="001A0858"/>
    <w:rsid w:val="001B0D29"/>
    <w:rsid w:val="001B0FD7"/>
    <w:rsid w:val="001B5353"/>
    <w:rsid w:val="001B5F1D"/>
    <w:rsid w:val="001C2A38"/>
    <w:rsid w:val="001C35D3"/>
    <w:rsid w:val="001C401E"/>
    <w:rsid w:val="001C5BDF"/>
    <w:rsid w:val="001C5D6D"/>
    <w:rsid w:val="001C60D0"/>
    <w:rsid w:val="001D019E"/>
    <w:rsid w:val="001D1F01"/>
    <w:rsid w:val="001D46E9"/>
    <w:rsid w:val="001D716B"/>
    <w:rsid w:val="001E25DF"/>
    <w:rsid w:val="001E3F48"/>
    <w:rsid w:val="001E776C"/>
    <w:rsid w:val="001F1063"/>
    <w:rsid w:val="001F185C"/>
    <w:rsid w:val="001F2537"/>
    <w:rsid w:val="001F3D67"/>
    <w:rsid w:val="001F3E46"/>
    <w:rsid w:val="001F41AF"/>
    <w:rsid w:val="001F42D2"/>
    <w:rsid w:val="001F5B6A"/>
    <w:rsid w:val="002022B9"/>
    <w:rsid w:val="002037B5"/>
    <w:rsid w:val="00205821"/>
    <w:rsid w:val="00213254"/>
    <w:rsid w:val="00214AD4"/>
    <w:rsid w:val="002155E1"/>
    <w:rsid w:val="002216A3"/>
    <w:rsid w:val="002222E4"/>
    <w:rsid w:val="00223B78"/>
    <w:rsid w:val="0022667E"/>
    <w:rsid w:val="00230322"/>
    <w:rsid w:val="0023119E"/>
    <w:rsid w:val="00237C60"/>
    <w:rsid w:val="00240673"/>
    <w:rsid w:val="00240EB3"/>
    <w:rsid w:val="00243854"/>
    <w:rsid w:val="00243A4D"/>
    <w:rsid w:val="00250F58"/>
    <w:rsid w:val="002518E4"/>
    <w:rsid w:val="00253D4F"/>
    <w:rsid w:val="00262F88"/>
    <w:rsid w:val="00271706"/>
    <w:rsid w:val="00272891"/>
    <w:rsid w:val="002732A1"/>
    <w:rsid w:val="00273CEC"/>
    <w:rsid w:val="002748B9"/>
    <w:rsid w:val="0027751D"/>
    <w:rsid w:val="00277703"/>
    <w:rsid w:val="00280BA8"/>
    <w:rsid w:val="00282C30"/>
    <w:rsid w:val="00287104"/>
    <w:rsid w:val="00287393"/>
    <w:rsid w:val="00287A70"/>
    <w:rsid w:val="00290FBA"/>
    <w:rsid w:val="00291665"/>
    <w:rsid w:val="002922B5"/>
    <w:rsid w:val="002934C4"/>
    <w:rsid w:val="002962BE"/>
    <w:rsid w:val="00297751"/>
    <w:rsid w:val="002A1EBD"/>
    <w:rsid w:val="002A27D4"/>
    <w:rsid w:val="002A320D"/>
    <w:rsid w:val="002A3A62"/>
    <w:rsid w:val="002A4612"/>
    <w:rsid w:val="002A50F5"/>
    <w:rsid w:val="002B1B6C"/>
    <w:rsid w:val="002B3633"/>
    <w:rsid w:val="002B41C5"/>
    <w:rsid w:val="002B53BC"/>
    <w:rsid w:val="002B7135"/>
    <w:rsid w:val="002C5143"/>
    <w:rsid w:val="002C64B8"/>
    <w:rsid w:val="002C67E4"/>
    <w:rsid w:val="002C6E8F"/>
    <w:rsid w:val="002D5BD9"/>
    <w:rsid w:val="002E0384"/>
    <w:rsid w:val="002E0735"/>
    <w:rsid w:val="002E1F9C"/>
    <w:rsid w:val="002E312B"/>
    <w:rsid w:val="002E3C5E"/>
    <w:rsid w:val="002E4C72"/>
    <w:rsid w:val="002E51BD"/>
    <w:rsid w:val="002F239F"/>
    <w:rsid w:val="002F4E1B"/>
    <w:rsid w:val="002F5CA4"/>
    <w:rsid w:val="002F6424"/>
    <w:rsid w:val="002F68F1"/>
    <w:rsid w:val="00301203"/>
    <w:rsid w:val="003013C4"/>
    <w:rsid w:val="003071D1"/>
    <w:rsid w:val="00310BE6"/>
    <w:rsid w:val="00314E6A"/>
    <w:rsid w:val="00321B14"/>
    <w:rsid w:val="00321D20"/>
    <w:rsid w:val="0032247A"/>
    <w:rsid w:val="003228BF"/>
    <w:rsid w:val="0032352E"/>
    <w:rsid w:val="0032429C"/>
    <w:rsid w:val="00324B75"/>
    <w:rsid w:val="00324BC6"/>
    <w:rsid w:val="0032601E"/>
    <w:rsid w:val="00327A58"/>
    <w:rsid w:val="003329BF"/>
    <w:rsid w:val="00333A63"/>
    <w:rsid w:val="003379AD"/>
    <w:rsid w:val="0034155F"/>
    <w:rsid w:val="0034329F"/>
    <w:rsid w:val="00344064"/>
    <w:rsid w:val="00354A5D"/>
    <w:rsid w:val="003568A1"/>
    <w:rsid w:val="00362109"/>
    <w:rsid w:val="00363406"/>
    <w:rsid w:val="003654D5"/>
    <w:rsid w:val="00366758"/>
    <w:rsid w:val="003701BC"/>
    <w:rsid w:val="00370A34"/>
    <w:rsid w:val="00370C12"/>
    <w:rsid w:val="00371B61"/>
    <w:rsid w:val="00376C28"/>
    <w:rsid w:val="00376C5A"/>
    <w:rsid w:val="003806A4"/>
    <w:rsid w:val="00380B97"/>
    <w:rsid w:val="00382963"/>
    <w:rsid w:val="00384B64"/>
    <w:rsid w:val="00384FC7"/>
    <w:rsid w:val="00385376"/>
    <w:rsid w:val="003854CB"/>
    <w:rsid w:val="00386D2D"/>
    <w:rsid w:val="00392857"/>
    <w:rsid w:val="00393B0B"/>
    <w:rsid w:val="003959E4"/>
    <w:rsid w:val="00396ED0"/>
    <w:rsid w:val="003A0C08"/>
    <w:rsid w:val="003A3D33"/>
    <w:rsid w:val="003A422E"/>
    <w:rsid w:val="003A5BFB"/>
    <w:rsid w:val="003A5E42"/>
    <w:rsid w:val="003A7005"/>
    <w:rsid w:val="003B5E8F"/>
    <w:rsid w:val="003C1643"/>
    <w:rsid w:val="003C1EE1"/>
    <w:rsid w:val="003C38EC"/>
    <w:rsid w:val="003C697E"/>
    <w:rsid w:val="003D0724"/>
    <w:rsid w:val="003D1DC9"/>
    <w:rsid w:val="003D2037"/>
    <w:rsid w:val="003D334D"/>
    <w:rsid w:val="003D6687"/>
    <w:rsid w:val="003D7136"/>
    <w:rsid w:val="003E05D9"/>
    <w:rsid w:val="003E1028"/>
    <w:rsid w:val="003F358D"/>
    <w:rsid w:val="003F552F"/>
    <w:rsid w:val="003F6737"/>
    <w:rsid w:val="003F770F"/>
    <w:rsid w:val="003F7915"/>
    <w:rsid w:val="004000A1"/>
    <w:rsid w:val="0040133F"/>
    <w:rsid w:val="00401BA4"/>
    <w:rsid w:val="00401BF1"/>
    <w:rsid w:val="00402E18"/>
    <w:rsid w:val="00405E04"/>
    <w:rsid w:val="00410A3F"/>
    <w:rsid w:val="00416EC7"/>
    <w:rsid w:val="0042248F"/>
    <w:rsid w:val="00422CB8"/>
    <w:rsid w:val="00427678"/>
    <w:rsid w:val="004314CD"/>
    <w:rsid w:val="004314D7"/>
    <w:rsid w:val="00432CFD"/>
    <w:rsid w:val="00435D87"/>
    <w:rsid w:val="004369C6"/>
    <w:rsid w:val="00436B9B"/>
    <w:rsid w:val="00444FD9"/>
    <w:rsid w:val="00445879"/>
    <w:rsid w:val="004469B0"/>
    <w:rsid w:val="004474C2"/>
    <w:rsid w:val="00447ACE"/>
    <w:rsid w:val="004550C8"/>
    <w:rsid w:val="0045635D"/>
    <w:rsid w:val="00456763"/>
    <w:rsid w:val="00466D5A"/>
    <w:rsid w:val="00467BE0"/>
    <w:rsid w:val="00471E66"/>
    <w:rsid w:val="00472C6C"/>
    <w:rsid w:val="004758ED"/>
    <w:rsid w:val="00477FDA"/>
    <w:rsid w:val="00481398"/>
    <w:rsid w:val="00482284"/>
    <w:rsid w:val="00482872"/>
    <w:rsid w:val="00482999"/>
    <w:rsid w:val="00484EA1"/>
    <w:rsid w:val="00490F59"/>
    <w:rsid w:val="004917F7"/>
    <w:rsid w:val="00491AE2"/>
    <w:rsid w:val="00494238"/>
    <w:rsid w:val="00495780"/>
    <w:rsid w:val="00496E33"/>
    <w:rsid w:val="004A1AEE"/>
    <w:rsid w:val="004A242A"/>
    <w:rsid w:val="004A2D47"/>
    <w:rsid w:val="004A2DB5"/>
    <w:rsid w:val="004A600E"/>
    <w:rsid w:val="004B12BC"/>
    <w:rsid w:val="004B160B"/>
    <w:rsid w:val="004C086E"/>
    <w:rsid w:val="004C0EAB"/>
    <w:rsid w:val="004C188B"/>
    <w:rsid w:val="004C1C2E"/>
    <w:rsid w:val="004C21AE"/>
    <w:rsid w:val="004C6C08"/>
    <w:rsid w:val="004C776A"/>
    <w:rsid w:val="004D0732"/>
    <w:rsid w:val="004D1DF3"/>
    <w:rsid w:val="004E0681"/>
    <w:rsid w:val="004F12D4"/>
    <w:rsid w:val="004F17D5"/>
    <w:rsid w:val="004F20AA"/>
    <w:rsid w:val="004F3451"/>
    <w:rsid w:val="004F7715"/>
    <w:rsid w:val="00502404"/>
    <w:rsid w:val="005025A9"/>
    <w:rsid w:val="00507CDE"/>
    <w:rsid w:val="00513309"/>
    <w:rsid w:val="005142C9"/>
    <w:rsid w:val="0051453F"/>
    <w:rsid w:val="005171A0"/>
    <w:rsid w:val="00522DCF"/>
    <w:rsid w:val="00524C54"/>
    <w:rsid w:val="005324AA"/>
    <w:rsid w:val="005326A8"/>
    <w:rsid w:val="00534704"/>
    <w:rsid w:val="00534942"/>
    <w:rsid w:val="005371B9"/>
    <w:rsid w:val="0054125E"/>
    <w:rsid w:val="00541C43"/>
    <w:rsid w:val="00544483"/>
    <w:rsid w:val="005444C6"/>
    <w:rsid w:val="0054679C"/>
    <w:rsid w:val="0054781C"/>
    <w:rsid w:val="00547A15"/>
    <w:rsid w:val="005508EC"/>
    <w:rsid w:val="00554587"/>
    <w:rsid w:val="005572E9"/>
    <w:rsid w:val="00560E09"/>
    <w:rsid w:val="00561886"/>
    <w:rsid w:val="005707BF"/>
    <w:rsid w:val="00572AE5"/>
    <w:rsid w:val="00574571"/>
    <w:rsid w:val="00576D52"/>
    <w:rsid w:val="005771EF"/>
    <w:rsid w:val="00582260"/>
    <w:rsid w:val="0058262E"/>
    <w:rsid w:val="005829A1"/>
    <w:rsid w:val="0058641A"/>
    <w:rsid w:val="0058744D"/>
    <w:rsid w:val="005876DE"/>
    <w:rsid w:val="00587B2C"/>
    <w:rsid w:val="00590849"/>
    <w:rsid w:val="00590AF1"/>
    <w:rsid w:val="005967EE"/>
    <w:rsid w:val="005A0C35"/>
    <w:rsid w:val="005A1A20"/>
    <w:rsid w:val="005A1C84"/>
    <w:rsid w:val="005A40A5"/>
    <w:rsid w:val="005A410E"/>
    <w:rsid w:val="005A446D"/>
    <w:rsid w:val="005A617A"/>
    <w:rsid w:val="005B2BC2"/>
    <w:rsid w:val="005B7D38"/>
    <w:rsid w:val="005C0EFD"/>
    <w:rsid w:val="005C2397"/>
    <w:rsid w:val="005C2C4F"/>
    <w:rsid w:val="005C5951"/>
    <w:rsid w:val="005C60F5"/>
    <w:rsid w:val="005C77CA"/>
    <w:rsid w:val="005D2BD7"/>
    <w:rsid w:val="005D6700"/>
    <w:rsid w:val="005D7C7B"/>
    <w:rsid w:val="005E3B10"/>
    <w:rsid w:val="005E5C22"/>
    <w:rsid w:val="005E68A9"/>
    <w:rsid w:val="005F08CD"/>
    <w:rsid w:val="005F0B2F"/>
    <w:rsid w:val="005F179A"/>
    <w:rsid w:val="005F5276"/>
    <w:rsid w:val="005F745E"/>
    <w:rsid w:val="00600136"/>
    <w:rsid w:val="00600F26"/>
    <w:rsid w:val="006031D0"/>
    <w:rsid w:val="006042C4"/>
    <w:rsid w:val="00604467"/>
    <w:rsid w:val="00605AA3"/>
    <w:rsid w:val="006060CD"/>
    <w:rsid w:val="00610023"/>
    <w:rsid w:val="00616F1E"/>
    <w:rsid w:val="006219FB"/>
    <w:rsid w:val="00622ADA"/>
    <w:rsid w:val="00625DD9"/>
    <w:rsid w:val="006279D7"/>
    <w:rsid w:val="00627A86"/>
    <w:rsid w:val="006317BA"/>
    <w:rsid w:val="006318F5"/>
    <w:rsid w:val="0063251F"/>
    <w:rsid w:val="006338C6"/>
    <w:rsid w:val="00633BF2"/>
    <w:rsid w:val="0064118E"/>
    <w:rsid w:val="006438B7"/>
    <w:rsid w:val="00644D78"/>
    <w:rsid w:val="00646030"/>
    <w:rsid w:val="00646F76"/>
    <w:rsid w:val="00650DC4"/>
    <w:rsid w:val="0065350B"/>
    <w:rsid w:val="00654F58"/>
    <w:rsid w:val="00655631"/>
    <w:rsid w:val="00660771"/>
    <w:rsid w:val="00661C29"/>
    <w:rsid w:val="00666529"/>
    <w:rsid w:val="00667487"/>
    <w:rsid w:val="00671953"/>
    <w:rsid w:val="006757EC"/>
    <w:rsid w:val="0068205B"/>
    <w:rsid w:val="00690130"/>
    <w:rsid w:val="006902B8"/>
    <w:rsid w:val="00691758"/>
    <w:rsid w:val="006A01DA"/>
    <w:rsid w:val="006A135C"/>
    <w:rsid w:val="006A1AA5"/>
    <w:rsid w:val="006A2274"/>
    <w:rsid w:val="006A308D"/>
    <w:rsid w:val="006A3718"/>
    <w:rsid w:val="006A4F32"/>
    <w:rsid w:val="006A72CA"/>
    <w:rsid w:val="006B0107"/>
    <w:rsid w:val="006B07B7"/>
    <w:rsid w:val="006B2628"/>
    <w:rsid w:val="006B3715"/>
    <w:rsid w:val="006B48A6"/>
    <w:rsid w:val="006B61F6"/>
    <w:rsid w:val="006C34BA"/>
    <w:rsid w:val="006C62A2"/>
    <w:rsid w:val="006D0673"/>
    <w:rsid w:val="006D27CA"/>
    <w:rsid w:val="006D438B"/>
    <w:rsid w:val="006D4FB6"/>
    <w:rsid w:val="006D579A"/>
    <w:rsid w:val="006D70FA"/>
    <w:rsid w:val="006E2DB4"/>
    <w:rsid w:val="006E2E2B"/>
    <w:rsid w:val="006E44C4"/>
    <w:rsid w:val="006E495A"/>
    <w:rsid w:val="006E5A95"/>
    <w:rsid w:val="006E749C"/>
    <w:rsid w:val="006E75AC"/>
    <w:rsid w:val="006F0F83"/>
    <w:rsid w:val="006F22B9"/>
    <w:rsid w:val="006F2B13"/>
    <w:rsid w:val="00705623"/>
    <w:rsid w:val="00705AF1"/>
    <w:rsid w:val="00706E38"/>
    <w:rsid w:val="00711CA6"/>
    <w:rsid w:val="0071289F"/>
    <w:rsid w:val="0071329B"/>
    <w:rsid w:val="00716C5D"/>
    <w:rsid w:val="00720E99"/>
    <w:rsid w:val="00726429"/>
    <w:rsid w:val="007278B1"/>
    <w:rsid w:val="0073078F"/>
    <w:rsid w:val="00730FC8"/>
    <w:rsid w:val="00733529"/>
    <w:rsid w:val="00734BCF"/>
    <w:rsid w:val="00734EDD"/>
    <w:rsid w:val="0073509F"/>
    <w:rsid w:val="00735D93"/>
    <w:rsid w:val="0074024A"/>
    <w:rsid w:val="00740301"/>
    <w:rsid w:val="00743E9A"/>
    <w:rsid w:val="00747087"/>
    <w:rsid w:val="00751666"/>
    <w:rsid w:val="007521F0"/>
    <w:rsid w:val="0076021E"/>
    <w:rsid w:val="00760234"/>
    <w:rsid w:val="0076098C"/>
    <w:rsid w:val="00761F75"/>
    <w:rsid w:val="0076463E"/>
    <w:rsid w:val="00770D0B"/>
    <w:rsid w:val="00772C51"/>
    <w:rsid w:val="00772EA7"/>
    <w:rsid w:val="007730E5"/>
    <w:rsid w:val="007750A0"/>
    <w:rsid w:val="00775BFC"/>
    <w:rsid w:val="00775D25"/>
    <w:rsid w:val="00777B52"/>
    <w:rsid w:val="00782F37"/>
    <w:rsid w:val="007837FF"/>
    <w:rsid w:val="00784BA5"/>
    <w:rsid w:val="0078517F"/>
    <w:rsid w:val="00794402"/>
    <w:rsid w:val="007A1666"/>
    <w:rsid w:val="007A1880"/>
    <w:rsid w:val="007A2903"/>
    <w:rsid w:val="007A3ECA"/>
    <w:rsid w:val="007A5E77"/>
    <w:rsid w:val="007A7555"/>
    <w:rsid w:val="007B3EE5"/>
    <w:rsid w:val="007B4FEA"/>
    <w:rsid w:val="007B580A"/>
    <w:rsid w:val="007B772A"/>
    <w:rsid w:val="007C0518"/>
    <w:rsid w:val="007C1739"/>
    <w:rsid w:val="007C26FE"/>
    <w:rsid w:val="007C32AA"/>
    <w:rsid w:val="007C4895"/>
    <w:rsid w:val="007C58CD"/>
    <w:rsid w:val="007C5D15"/>
    <w:rsid w:val="007D0741"/>
    <w:rsid w:val="007D0861"/>
    <w:rsid w:val="007D0B78"/>
    <w:rsid w:val="007D2D4A"/>
    <w:rsid w:val="007D356D"/>
    <w:rsid w:val="007D5470"/>
    <w:rsid w:val="007D6AB8"/>
    <w:rsid w:val="007E34C4"/>
    <w:rsid w:val="007E548C"/>
    <w:rsid w:val="007E7964"/>
    <w:rsid w:val="007F02EC"/>
    <w:rsid w:val="007F1919"/>
    <w:rsid w:val="007F230B"/>
    <w:rsid w:val="007F30A5"/>
    <w:rsid w:val="007F5EA4"/>
    <w:rsid w:val="007F7720"/>
    <w:rsid w:val="007F7FE1"/>
    <w:rsid w:val="00800417"/>
    <w:rsid w:val="00805216"/>
    <w:rsid w:val="0080580A"/>
    <w:rsid w:val="00806BE0"/>
    <w:rsid w:val="0081070A"/>
    <w:rsid w:val="00813CE9"/>
    <w:rsid w:val="008159F3"/>
    <w:rsid w:val="00817DE9"/>
    <w:rsid w:val="00821A7A"/>
    <w:rsid w:val="00824C98"/>
    <w:rsid w:val="00825307"/>
    <w:rsid w:val="00832BD0"/>
    <w:rsid w:val="00834612"/>
    <w:rsid w:val="008349D8"/>
    <w:rsid w:val="00835970"/>
    <w:rsid w:val="00837B09"/>
    <w:rsid w:val="00840DEA"/>
    <w:rsid w:val="008437D0"/>
    <w:rsid w:val="00844673"/>
    <w:rsid w:val="00846373"/>
    <w:rsid w:val="0085196A"/>
    <w:rsid w:val="00851F30"/>
    <w:rsid w:val="00853E04"/>
    <w:rsid w:val="00855022"/>
    <w:rsid w:val="00860EB6"/>
    <w:rsid w:val="00862E21"/>
    <w:rsid w:val="008644D3"/>
    <w:rsid w:val="008652B3"/>
    <w:rsid w:val="008728C0"/>
    <w:rsid w:val="00872D79"/>
    <w:rsid w:val="00873639"/>
    <w:rsid w:val="0087416B"/>
    <w:rsid w:val="00875B33"/>
    <w:rsid w:val="008832C1"/>
    <w:rsid w:val="0088390B"/>
    <w:rsid w:val="00884347"/>
    <w:rsid w:val="0088453A"/>
    <w:rsid w:val="00884541"/>
    <w:rsid w:val="00891159"/>
    <w:rsid w:val="0089520B"/>
    <w:rsid w:val="00895D20"/>
    <w:rsid w:val="00895E81"/>
    <w:rsid w:val="008A4DB3"/>
    <w:rsid w:val="008B259B"/>
    <w:rsid w:val="008C348B"/>
    <w:rsid w:val="008C3CC1"/>
    <w:rsid w:val="008C3FC3"/>
    <w:rsid w:val="008C5852"/>
    <w:rsid w:val="008C6FB8"/>
    <w:rsid w:val="008D281A"/>
    <w:rsid w:val="008D3452"/>
    <w:rsid w:val="008D3D91"/>
    <w:rsid w:val="008D3E3C"/>
    <w:rsid w:val="008D672A"/>
    <w:rsid w:val="008D679C"/>
    <w:rsid w:val="008D6E97"/>
    <w:rsid w:val="008E40E0"/>
    <w:rsid w:val="008E7F72"/>
    <w:rsid w:val="008F0766"/>
    <w:rsid w:val="008F0A3E"/>
    <w:rsid w:val="008F0B73"/>
    <w:rsid w:val="008F24DB"/>
    <w:rsid w:val="008F255E"/>
    <w:rsid w:val="008F26D2"/>
    <w:rsid w:val="008F34B9"/>
    <w:rsid w:val="008F49DB"/>
    <w:rsid w:val="008F566F"/>
    <w:rsid w:val="008F589B"/>
    <w:rsid w:val="00900139"/>
    <w:rsid w:val="00901574"/>
    <w:rsid w:val="00901997"/>
    <w:rsid w:val="00902E43"/>
    <w:rsid w:val="00902FFE"/>
    <w:rsid w:val="009046F9"/>
    <w:rsid w:val="00904973"/>
    <w:rsid w:val="009052AC"/>
    <w:rsid w:val="009056C8"/>
    <w:rsid w:val="0090572C"/>
    <w:rsid w:val="00906B45"/>
    <w:rsid w:val="009168D4"/>
    <w:rsid w:val="00925307"/>
    <w:rsid w:val="00926151"/>
    <w:rsid w:val="009325A3"/>
    <w:rsid w:val="00933F94"/>
    <w:rsid w:val="00942BF4"/>
    <w:rsid w:val="009457C5"/>
    <w:rsid w:val="009472A1"/>
    <w:rsid w:val="00951E32"/>
    <w:rsid w:val="00952DFB"/>
    <w:rsid w:val="0095474B"/>
    <w:rsid w:val="00955D3D"/>
    <w:rsid w:val="0096340B"/>
    <w:rsid w:val="00963A2C"/>
    <w:rsid w:val="00963AE5"/>
    <w:rsid w:val="0096793C"/>
    <w:rsid w:val="009708CA"/>
    <w:rsid w:val="009726CE"/>
    <w:rsid w:val="00973224"/>
    <w:rsid w:val="00973477"/>
    <w:rsid w:val="00973D99"/>
    <w:rsid w:val="00980405"/>
    <w:rsid w:val="009812FD"/>
    <w:rsid w:val="0098287E"/>
    <w:rsid w:val="00983712"/>
    <w:rsid w:val="00984D29"/>
    <w:rsid w:val="009877C4"/>
    <w:rsid w:val="00987824"/>
    <w:rsid w:val="00990694"/>
    <w:rsid w:val="0099472E"/>
    <w:rsid w:val="0099501F"/>
    <w:rsid w:val="00997405"/>
    <w:rsid w:val="009A2F55"/>
    <w:rsid w:val="009A342C"/>
    <w:rsid w:val="009B2B49"/>
    <w:rsid w:val="009B2C68"/>
    <w:rsid w:val="009B4B66"/>
    <w:rsid w:val="009B4D75"/>
    <w:rsid w:val="009B56F4"/>
    <w:rsid w:val="009B59ED"/>
    <w:rsid w:val="009B6069"/>
    <w:rsid w:val="009B7F3D"/>
    <w:rsid w:val="009C1D12"/>
    <w:rsid w:val="009D1897"/>
    <w:rsid w:val="009D19CC"/>
    <w:rsid w:val="009D1B42"/>
    <w:rsid w:val="009D3626"/>
    <w:rsid w:val="009D7DAD"/>
    <w:rsid w:val="009E229A"/>
    <w:rsid w:val="009E241B"/>
    <w:rsid w:val="009E30FE"/>
    <w:rsid w:val="009E37EB"/>
    <w:rsid w:val="009E6F99"/>
    <w:rsid w:val="009E783B"/>
    <w:rsid w:val="009E79FD"/>
    <w:rsid w:val="009F5EAC"/>
    <w:rsid w:val="009F702E"/>
    <w:rsid w:val="00A011E2"/>
    <w:rsid w:val="00A02F37"/>
    <w:rsid w:val="00A03659"/>
    <w:rsid w:val="00A05F32"/>
    <w:rsid w:val="00A066DD"/>
    <w:rsid w:val="00A10E92"/>
    <w:rsid w:val="00A11E99"/>
    <w:rsid w:val="00A149B5"/>
    <w:rsid w:val="00A2231B"/>
    <w:rsid w:val="00A23515"/>
    <w:rsid w:val="00A25B5F"/>
    <w:rsid w:val="00A26BE1"/>
    <w:rsid w:val="00A2734F"/>
    <w:rsid w:val="00A32C44"/>
    <w:rsid w:val="00A34CAD"/>
    <w:rsid w:val="00A363E4"/>
    <w:rsid w:val="00A379C6"/>
    <w:rsid w:val="00A43304"/>
    <w:rsid w:val="00A44A8A"/>
    <w:rsid w:val="00A45641"/>
    <w:rsid w:val="00A5041E"/>
    <w:rsid w:val="00A519F7"/>
    <w:rsid w:val="00A62A00"/>
    <w:rsid w:val="00A6364D"/>
    <w:rsid w:val="00A63E42"/>
    <w:rsid w:val="00A64CDF"/>
    <w:rsid w:val="00A71FAE"/>
    <w:rsid w:val="00A82D98"/>
    <w:rsid w:val="00A840CA"/>
    <w:rsid w:val="00A86B04"/>
    <w:rsid w:val="00A870DB"/>
    <w:rsid w:val="00A92C08"/>
    <w:rsid w:val="00A94FD2"/>
    <w:rsid w:val="00A9635C"/>
    <w:rsid w:val="00A9689B"/>
    <w:rsid w:val="00AA0BE5"/>
    <w:rsid w:val="00AA5441"/>
    <w:rsid w:val="00AA6219"/>
    <w:rsid w:val="00AA750E"/>
    <w:rsid w:val="00AA7AFA"/>
    <w:rsid w:val="00AB61D5"/>
    <w:rsid w:val="00AB70D0"/>
    <w:rsid w:val="00AB7D3D"/>
    <w:rsid w:val="00AC02F8"/>
    <w:rsid w:val="00AC20A8"/>
    <w:rsid w:val="00AC2F83"/>
    <w:rsid w:val="00AC30F1"/>
    <w:rsid w:val="00AC45CF"/>
    <w:rsid w:val="00AC60FB"/>
    <w:rsid w:val="00AC6274"/>
    <w:rsid w:val="00AD32D5"/>
    <w:rsid w:val="00AD3D2D"/>
    <w:rsid w:val="00AE125D"/>
    <w:rsid w:val="00AE2CFD"/>
    <w:rsid w:val="00AF15C8"/>
    <w:rsid w:val="00AF7384"/>
    <w:rsid w:val="00B0096E"/>
    <w:rsid w:val="00B06245"/>
    <w:rsid w:val="00B10BBB"/>
    <w:rsid w:val="00B11150"/>
    <w:rsid w:val="00B12F94"/>
    <w:rsid w:val="00B15DA6"/>
    <w:rsid w:val="00B1612F"/>
    <w:rsid w:val="00B2380A"/>
    <w:rsid w:val="00B240D7"/>
    <w:rsid w:val="00B27680"/>
    <w:rsid w:val="00B30D7E"/>
    <w:rsid w:val="00B30FAA"/>
    <w:rsid w:val="00B3103B"/>
    <w:rsid w:val="00B336CC"/>
    <w:rsid w:val="00B3462F"/>
    <w:rsid w:val="00B358A6"/>
    <w:rsid w:val="00B40525"/>
    <w:rsid w:val="00B41216"/>
    <w:rsid w:val="00B430AC"/>
    <w:rsid w:val="00B44C44"/>
    <w:rsid w:val="00B5130E"/>
    <w:rsid w:val="00B54AB3"/>
    <w:rsid w:val="00B56575"/>
    <w:rsid w:val="00B578DA"/>
    <w:rsid w:val="00B62B7A"/>
    <w:rsid w:val="00B64294"/>
    <w:rsid w:val="00B65E78"/>
    <w:rsid w:val="00B7147A"/>
    <w:rsid w:val="00B72DDB"/>
    <w:rsid w:val="00B76B54"/>
    <w:rsid w:val="00B774AE"/>
    <w:rsid w:val="00B82067"/>
    <w:rsid w:val="00B83AC7"/>
    <w:rsid w:val="00B86317"/>
    <w:rsid w:val="00B878E7"/>
    <w:rsid w:val="00B9264E"/>
    <w:rsid w:val="00B93A66"/>
    <w:rsid w:val="00B94C54"/>
    <w:rsid w:val="00B97254"/>
    <w:rsid w:val="00BA1575"/>
    <w:rsid w:val="00BA62CB"/>
    <w:rsid w:val="00BA7E14"/>
    <w:rsid w:val="00BB58E1"/>
    <w:rsid w:val="00BC1BA0"/>
    <w:rsid w:val="00BC4DB7"/>
    <w:rsid w:val="00BC5FE5"/>
    <w:rsid w:val="00BC78C8"/>
    <w:rsid w:val="00BD295C"/>
    <w:rsid w:val="00BD32CE"/>
    <w:rsid w:val="00BD5FB6"/>
    <w:rsid w:val="00BE129F"/>
    <w:rsid w:val="00BE1DF4"/>
    <w:rsid w:val="00BE3AA7"/>
    <w:rsid w:val="00BF2658"/>
    <w:rsid w:val="00BF6936"/>
    <w:rsid w:val="00C009B1"/>
    <w:rsid w:val="00C01376"/>
    <w:rsid w:val="00C02208"/>
    <w:rsid w:val="00C03B0B"/>
    <w:rsid w:val="00C1229E"/>
    <w:rsid w:val="00C132D0"/>
    <w:rsid w:val="00C24DE9"/>
    <w:rsid w:val="00C26363"/>
    <w:rsid w:val="00C30AAC"/>
    <w:rsid w:val="00C3254F"/>
    <w:rsid w:val="00C34692"/>
    <w:rsid w:val="00C366DD"/>
    <w:rsid w:val="00C37768"/>
    <w:rsid w:val="00C37F76"/>
    <w:rsid w:val="00C41025"/>
    <w:rsid w:val="00C41196"/>
    <w:rsid w:val="00C41E38"/>
    <w:rsid w:val="00C43FC2"/>
    <w:rsid w:val="00C441EA"/>
    <w:rsid w:val="00C462EF"/>
    <w:rsid w:val="00C46FBB"/>
    <w:rsid w:val="00C5524A"/>
    <w:rsid w:val="00C55D8D"/>
    <w:rsid w:val="00C57419"/>
    <w:rsid w:val="00C57AE7"/>
    <w:rsid w:val="00C60D6F"/>
    <w:rsid w:val="00C6287E"/>
    <w:rsid w:val="00C62F82"/>
    <w:rsid w:val="00C63A00"/>
    <w:rsid w:val="00C673B1"/>
    <w:rsid w:val="00C67719"/>
    <w:rsid w:val="00C707E8"/>
    <w:rsid w:val="00C73949"/>
    <w:rsid w:val="00C73B45"/>
    <w:rsid w:val="00C86667"/>
    <w:rsid w:val="00C9009F"/>
    <w:rsid w:val="00C92513"/>
    <w:rsid w:val="00C93709"/>
    <w:rsid w:val="00C97A21"/>
    <w:rsid w:val="00CA1D87"/>
    <w:rsid w:val="00CA2626"/>
    <w:rsid w:val="00CA54CA"/>
    <w:rsid w:val="00CB0198"/>
    <w:rsid w:val="00CB083E"/>
    <w:rsid w:val="00CB0C04"/>
    <w:rsid w:val="00CB3DBF"/>
    <w:rsid w:val="00CB42D0"/>
    <w:rsid w:val="00CB65C2"/>
    <w:rsid w:val="00CB7E57"/>
    <w:rsid w:val="00CC1AC0"/>
    <w:rsid w:val="00CC24F3"/>
    <w:rsid w:val="00CC4164"/>
    <w:rsid w:val="00CC7CDA"/>
    <w:rsid w:val="00CC7DF5"/>
    <w:rsid w:val="00CD15D7"/>
    <w:rsid w:val="00CD35D1"/>
    <w:rsid w:val="00CD66DB"/>
    <w:rsid w:val="00CE2A46"/>
    <w:rsid w:val="00CE51B4"/>
    <w:rsid w:val="00CE6F4A"/>
    <w:rsid w:val="00CE7D07"/>
    <w:rsid w:val="00CF77D5"/>
    <w:rsid w:val="00D0129E"/>
    <w:rsid w:val="00D10EE7"/>
    <w:rsid w:val="00D163DE"/>
    <w:rsid w:val="00D201B8"/>
    <w:rsid w:val="00D20FC0"/>
    <w:rsid w:val="00D22CB8"/>
    <w:rsid w:val="00D23150"/>
    <w:rsid w:val="00D23708"/>
    <w:rsid w:val="00D25F65"/>
    <w:rsid w:val="00D261D2"/>
    <w:rsid w:val="00D2692E"/>
    <w:rsid w:val="00D27A0F"/>
    <w:rsid w:val="00D30318"/>
    <w:rsid w:val="00D3210F"/>
    <w:rsid w:val="00D3545A"/>
    <w:rsid w:val="00D45A45"/>
    <w:rsid w:val="00D528B6"/>
    <w:rsid w:val="00D55BFB"/>
    <w:rsid w:val="00D5669F"/>
    <w:rsid w:val="00D57B36"/>
    <w:rsid w:val="00D66E1A"/>
    <w:rsid w:val="00D73816"/>
    <w:rsid w:val="00D74CA9"/>
    <w:rsid w:val="00D759D0"/>
    <w:rsid w:val="00D76443"/>
    <w:rsid w:val="00D80AB8"/>
    <w:rsid w:val="00D84476"/>
    <w:rsid w:val="00D852C8"/>
    <w:rsid w:val="00D91155"/>
    <w:rsid w:val="00D93732"/>
    <w:rsid w:val="00D96CB3"/>
    <w:rsid w:val="00DA4B03"/>
    <w:rsid w:val="00DA6AC2"/>
    <w:rsid w:val="00DA79CD"/>
    <w:rsid w:val="00DB067C"/>
    <w:rsid w:val="00DB1F6C"/>
    <w:rsid w:val="00DB4113"/>
    <w:rsid w:val="00DB43A4"/>
    <w:rsid w:val="00DB6819"/>
    <w:rsid w:val="00DC02C4"/>
    <w:rsid w:val="00DC0AAC"/>
    <w:rsid w:val="00DC27BA"/>
    <w:rsid w:val="00DC2C59"/>
    <w:rsid w:val="00DC59E6"/>
    <w:rsid w:val="00DC5CB6"/>
    <w:rsid w:val="00DC67F9"/>
    <w:rsid w:val="00DC6FD6"/>
    <w:rsid w:val="00DC74D6"/>
    <w:rsid w:val="00DD02B2"/>
    <w:rsid w:val="00DD0DD7"/>
    <w:rsid w:val="00DD0F4A"/>
    <w:rsid w:val="00DD4DB5"/>
    <w:rsid w:val="00DE02B2"/>
    <w:rsid w:val="00DE0545"/>
    <w:rsid w:val="00DE08A1"/>
    <w:rsid w:val="00DE0E35"/>
    <w:rsid w:val="00DE241F"/>
    <w:rsid w:val="00DE24AC"/>
    <w:rsid w:val="00DE627E"/>
    <w:rsid w:val="00DE709F"/>
    <w:rsid w:val="00DF1898"/>
    <w:rsid w:val="00DF1901"/>
    <w:rsid w:val="00DF21B0"/>
    <w:rsid w:val="00DF34B0"/>
    <w:rsid w:val="00DF53B1"/>
    <w:rsid w:val="00DF61F2"/>
    <w:rsid w:val="00E009C5"/>
    <w:rsid w:val="00E0600C"/>
    <w:rsid w:val="00E077DF"/>
    <w:rsid w:val="00E11319"/>
    <w:rsid w:val="00E156D7"/>
    <w:rsid w:val="00E2350D"/>
    <w:rsid w:val="00E24D71"/>
    <w:rsid w:val="00E25773"/>
    <w:rsid w:val="00E311BC"/>
    <w:rsid w:val="00E31309"/>
    <w:rsid w:val="00E33CD8"/>
    <w:rsid w:val="00E37670"/>
    <w:rsid w:val="00E43DB8"/>
    <w:rsid w:val="00E51CE6"/>
    <w:rsid w:val="00E51D3C"/>
    <w:rsid w:val="00E56BE5"/>
    <w:rsid w:val="00E61270"/>
    <w:rsid w:val="00E627C4"/>
    <w:rsid w:val="00E635C8"/>
    <w:rsid w:val="00E6370E"/>
    <w:rsid w:val="00E652FA"/>
    <w:rsid w:val="00E734A0"/>
    <w:rsid w:val="00E73551"/>
    <w:rsid w:val="00E73D25"/>
    <w:rsid w:val="00E74DA9"/>
    <w:rsid w:val="00E75066"/>
    <w:rsid w:val="00E800C0"/>
    <w:rsid w:val="00E83C28"/>
    <w:rsid w:val="00E87343"/>
    <w:rsid w:val="00E925C9"/>
    <w:rsid w:val="00E9402E"/>
    <w:rsid w:val="00E9769E"/>
    <w:rsid w:val="00E97917"/>
    <w:rsid w:val="00EA0169"/>
    <w:rsid w:val="00EA0C23"/>
    <w:rsid w:val="00EA288A"/>
    <w:rsid w:val="00EA6736"/>
    <w:rsid w:val="00EA73A3"/>
    <w:rsid w:val="00EC03B2"/>
    <w:rsid w:val="00EC327D"/>
    <w:rsid w:val="00EC62D6"/>
    <w:rsid w:val="00ED0907"/>
    <w:rsid w:val="00ED2FBE"/>
    <w:rsid w:val="00ED72D8"/>
    <w:rsid w:val="00ED7EEA"/>
    <w:rsid w:val="00EE5211"/>
    <w:rsid w:val="00EE5295"/>
    <w:rsid w:val="00EF0D4B"/>
    <w:rsid w:val="00EF0F6F"/>
    <w:rsid w:val="00EF30C8"/>
    <w:rsid w:val="00EF334F"/>
    <w:rsid w:val="00EF45BE"/>
    <w:rsid w:val="00EF55BA"/>
    <w:rsid w:val="00F005C2"/>
    <w:rsid w:val="00F009E9"/>
    <w:rsid w:val="00F018CD"/>
    <w:rsid w:val="00F01E4B"/>
    <w:rsid w:val="00F026A1"/>
    <w:rsid w:val="00F027B4"/>
    <w:rsid w:val="00F039AE"/>
    <w:rsid w:val="00F0568F"/>
    <w:rsid w:val="00F0593D"/>
    <w:rsid w:val="00F06C2C"/>
    <w:rsid w:val="00F11BB3"/>
    <w:rsid w:val="00F15D13"/>
    <w:rsid w:val="00F16F35"/>
    <w:rsid w:val="00F227CF"/>
    <w:rsid w:val="00F24AF9"/>
    <w:rsid w:val="00F26446"/>
    <w:rsid w:val="00F3150F"/>
    <w:rsid w:val="00F40E89"/>
    <w:rsid w:val="00F42ACE"/>
    <w:rsid w:val="00F44F97"/>
    <w:rsid w:val="00F47191"/>
    <w:rsid w:val="00F545D4"/>
    <w:rsid w:val="00F55F25"/>
    <w:rsid w:val="00F60197"/>
    <w:rsid w:val="00F631BE"/>
    <w:rsid w:val="00F63E11"/>
    <w:rsid w:val="00F6590A"/>
    <w:rsid w:val="00F6754B"/>
    <w:rsid w:val="00F70F35"/>
    <w:rsid w:val="00F72664"/>
    <w:rsid w:val="00F76058"/>
    <w:rsid w:val="00F7786A"/>
    <w:rsid w:val="00F8016E"/>
    <w:rsid w:val="00F82ED8"/>
    <w:rsid w:val="00F832AF"/>
    <w:rsid w:val="00F858E2"/>
    <w:rsid w:val="00F90D32"/>
    <w:rsid w:val="00F914CA"/>
    <w:rsid w:val="00F95E55"/>
    <w:rsid w:val="00F9662D"/>
    <w:rsid w:val="00FA202B"/>
    <w:rsid w:val="00FA4772"/>
    <w:rsid w:val="00FA68DA"/>
    <w:rsid w:val="00FA6A98"/>
    <w:rsid w:val="00FB0398"/>
    <w:rsid w:val="00FB0E03"/>
    <w:rsid w:val="00FB454E"/>
    <w:rsid w:val="00FB5B2D"/>
    <w:rsid w:val="00FB71B0"/>
    <w:rsid w:val="00FB7A1D"/>
    <w:rsid w:val="00FC3A27"/>
    <w:rsid w:val="00FD02C9"/>
    <w:rsid w:val="00FD4068"/>
    <w:rsid w:val="00FE0084"/>
    <w:rsid w:val="00FE37AB"/>
    <w:rsid w:val="00FE3CE8"/>
    <w:rsid w:val="00FE4EF0"/>
    <w:rsid w:val="00FF1B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B8"/>
  </w:style>
  <w:style w:type="paragraph" w:styleId="Heading1">
    <w:name w:val="heading 1"/>
    <w:basedOn w:val="Normal"/>
    <w:next w:val="Normal"/>
    <w:qFormat/>
    <w:rsid w:val="00D22CB8"/>
    <w:pPr>
      <w:keepNext/>
      <w:numPr>
        <w:numId w:val="1"/>
      </w:numPr>
      <w:tabs>
        <w:tab w:val="clear" w:pos="360"/>
        <w:tab w:val="left" w:pos="720"/>
      </w:tabs>
      <w:spacing w:line="480" w:lineRule="auto"/>
      <w:ind w:left="720" w:hanging="720"/>
      <w:outlineLvl w:val="0"/>
    </w:pPr>
    <w:rPr>
      <w:sz w:val="24"/>
    </w:rPr>
  </w:style>
  <w:style w:type="paragraph" w:styleId="Heading2">
    <w:name w:val="heading 2"/>
    <w:basedOn w:val="Normal"/>
    <w:next w:val="Normal"/>
    <w:qFormat/>
    <w:rsid w:val="00D22CB8"/>
    <w:pPr>
      <w:keepNext/>
      <w:tabs>
        <w:tab w:val="left" w:pos="720"/>
      </w:tabs>
      <w:spacing w:line="480" w:lineRule="auto"/>
      <w:outlineLvl w:val="1"/>
    </w:pPr>
    <w:rPr>
      <w:b/>
      <w:sz w:val="24"/>
    </w:rPr>
  </w:style>
  <w:style w:type="paragraph" w:styleId="Heading3">
    <w:name w:val="heading 3"/>
    <w:basedOn w:val="Normal"/>
    <w:next w:val="Normal"/>
    <w:qFormat/>
    <w:rsid w:val="00D22CB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D22CB8"/>
    <w:rPr>
      <w:rFonts w:ascii="Times New Roman" w:hAnsi="Times New Roman"/>
      <w:sz w:val="24"/>
    </w:rPr>
  </w:style>
  <w:style w:type="paragraph" w:styleId="Header">
    <w:name w:val="header"/>
    <w:basedOn w:val="Normal"/>
    <w:rsid w:val="00D22CB8"/>
    <w:pPr>
      <w:tabs>
        <w:tab w:val="center" w:pos="4320"/>
        <w:tab w:val="right" w:pos="8640"/>
      </w:tabs>
    </w:pPr>
  </w:style>
  <w:style w:type="paragraph" w:styleId="Footer">
    <w:name w:val="footer"/>
    <w:basedOn w:val="Normal"/>
    <w:link w:val="FooterChar"/>
    <w:rsid w:val="00D22CB8"/>
    <w:pPr>
      <w:tabs>
        <w:tab w:val="center" w:pos="4320"/>
        <w:tab w:val="right" w:pos="8640"/>
      </w:tabs>
    </w:pPr>
  </w:style>
  <w:style w:type="character" w:styleId="PageNumber">
    <w:name w:val="page number"/>
    <w:basedOn w:val="DefaultParagraphFont"/>
    <w:rsid w:val="00D22CB8"/>
  </w:style>
  <w:style w:type="paragraph" w:styleId="BodyTextIndent">
    <w:name w:val="Body Text Indent"/>
    <w:basedOn w:val="Normal"/>
    <w:rsid w:val="00D22CB8"/>
    <w:pPr>
      <w:tabs>
        <w:tab w:val="left" w:pos="720"/>
      </w:tabs>
      <w:spacing w:line="480" w:lineRule="auto"/>
      <w:ind w:left="720" w:hanging="720"/>
      <w:jc w:val="both"/>
    </w:pPr>
    <w:rPr>
      <w:sz w:val="24"/>
    </w:rPr>
  </w:style>
  <w:style w:type="paragraph" w:styleId="BodyText">
    <w:name w:val="Body Text"/>
    <w:basedOn w:val="Normal"/>
    <w:rsid w:val="00D22CB8"/>
    <w:pPr>
      <w:tabs>
        <w:tab w:val="left" w:pos="720"/>
      </w:tabs>
      <w:spacing w:line="480" w:lineRule="auto"/>
      <w:jc w:val="both"/>
    </w:pPr>
    <w:rPr>
      <w:sz w:val="24"/>
    </w:rPr>
  </w:style>
  <w:style w:type="paragraph" w:styleId="BodyText2">
    <w:name w:val="Body Text 2"/>
    <w:basedOn w:val="Normal"/>
    <w:rsid w:val="00D22CB8"/>
    <w:pPr>
      <w:tabs>
        <w:tab w:val="left" w:pos="720"/>
      </w:tabs>
      <w:spacing w:line="480" w:lineRule="auto"/>
    </w:pPr>
    <w:rPr>
      <w:sz w:val="24"/>
    </w:rPr>
  </w:style>
  <w:style w:type="paragraph" w:styleId="BodyTextIndent2">
    <w:name w:val="Body Text Indent 2"/>
    <w:basedOn w:val="Normal"/>
    <w:rsid w:val="00D22CB8"/>
    <w:pPr>
      <w:tabs>
        <w:tab w:val="left" w:pos="720"/>
      </w:tabs>
      <w:spacing w:line="480" w:lineRule="auto"/>
      <w:ind w:left="720" w:hanging="720"/>
    </w:pPr>
    <w:rPr>
      <w:sz w:val="24"/>
    </w:rPr>
  </w:style>
  <w:style w:type="paragraph" w:styleId="DocumentMap">
    <w:name w:val="Document Map"/>
    <w:basedOn w:val="Normal"/>
    <w:semiHidden/>
    <w:rsid w:val="00D22CB8"/>
    <w:pPr>
      <w:shd w:val="clear" w:color="auto" w:fill="000080"/>
    </w:pPr>
    <w:rPr>
      <w:rFonts w:ascii="Tahoma" w:hAnsi="Tahoma"/>
    </w:rPr>
  </w:style>
  <w:style w:type="paragraph" w:styleId="BodyTextIndent3">
    <w:name w:val="Body Text Indent 3"/>
    <w:basedOn w:val="Normal"/>
    <w:rsid w:val="00D22CB8"/>
    <w:pPr>
      <w:spacing w:line="480" w:lineRule="auto"/>
      <w:ind w:left="720" w:hanging="720"/>
    </w:pPr>
  </w:style>
  <w:style w:type="character" w:styleId="CommentReference">
    <w:name w:val="annotation reference"/>
    <w:semiHidden/>
    <w:rsid w:val="00D22CB8"/>
    <w:rPr>
      <w:sz w:val="16"/>
    </w:rPr>
  </w:style>
  <w:style w:type="paragraph" w:styleId="CommentText">
    <w:name w:val="annotation text"/>
    <w:basedOn w:val="Normal"/>
    <w:link w:val="CommentTextChar"/>
    <w:semiHidden/>
    <w:rsid w:val="00D22CB8"/>
  </w:style>
  <w:style w:type="paragraph" w:styleId="BalloonText">
    <w:name w:val="Balloon Text"/>
    <w:basedOn w:val="Normal"/>
    <w:semiHidden/>
    <w:rsid w:val="00B56575"/>
    <w:rPr>
      <w:rFonts w:ascii="Tahoma" w:hAnsi="Tahoma" w:cs="Tahoma"/>
      <w:sz w:val="16"/>
      <w:szCs w:val="16"/>
    </w:rPr>
  </w:style>
  <w:style w:type="paragraph" w:styleId="NormalWeb">
    <w:name w:val="Normal (Web)"/>
    <w:basedOn w:val="Normal"/>
    <w:rsid w:val="00534704"/>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0434BE"/>
    <w:rPr>
      <w:b/>
      <w:bCs/>
    </w:rPr>
  </w:style>
  <w:style w:type="character" w:customStyle="1" w:styleId="CommentTextChar">
    <w:name w:val="Comment Text Char"/>
    <w:basedOn w:val="DefaultParagraphFont"/>
    <w:link w:val="CommentText"/>
    <w:semiHidden/>
    <w:rsid w:val="000434BE"/>
  </w:style>
  <w:style w:type="character" w:customStyle="1" w:styleId="CommentSubjectChar">
    <w:name w:val="Comment Subject Char"/>
    <w:basedOn w:val="CommentTextChar"/>
    <w:link w:val="CommentSubject"/>
    <w:rsid w:val="000434BE"/>
  </w:style>
  <w:style w:type="paragraph" w:customStyle="1" w:styleId="CharChar3">
    <w:name w:val="Char Char3"/>
    <w:basedOn w:val="Normal"/>
    <w:rsid w:val="00D759D0"/>
    <w:pPr>
      <w:spacing w:after="160" w:line="240" w:lineRule="exact"/>
    </w:pPr>
    <w:rPr>
      <w:rFonts w:ascii="Verdana" w:hAnsi="Verdana"/>
    </w:rPr>
  </w:style>
  <w:style w:type="paragraph" w:customStyle="1" w:styleId="CharChar">
    <w:name w:val="Char Char"/>
    <w:basedOn w:val="Normal"/>
    <w:rsid w:val="00CC7CDA"/>
    <w:pPr>
      <w:spacing w:after="160" w:line="240" w:lineRule="exact"/>
    </w:pPr>
    <w:rPr>
      <w:rFonts w:ascii="Verdana" w:hAnsi="Verdana"/>
    </w:rPr>
  </w:style>
  <w:style w:type="character" w:styleId="Emphasis">
    <w:name w:val="Emphasis"/>
    <w:qFormat/>
    <w:rsid w:val="004A242A"/>
    <w:rPr>
      <w:i/>
      <w:iCs/>
    </w:rPr>
  </w:style>
  <w:style w:type="paragraph" w:styleId="FootnoteText">
    <w:name w:val="footnote text"/>
    <w:basedOn w:val="Normal"/>
    <w:semiHidden/>
    <w:rsid w:val="00C55D8D"/>
  </w:style>
  <w:style w:type="character" w:styleId="FootnoteReference">
    <w:name w:val="footnote reference"/>
    <w:semiHidden/>
    <w:rsid w:val="00C55D8D"/>
    <w:rPr>
      <w:vertAlign w:val="superscript"/>
    </w:rPr>
  </w:style>
  <w:style w:type="paragraph" w:styleId="Revision">
    <w:name w:val="Revision"/>
    <w:hidden/>
    <w:uiPriority w:val="99"/>
    <w:semiHidden/>
    <w:rsid w:val="00F26446"/>
  </w:style>
  <w:style w:type="paragraph" w:customStyle="1" w:styleId="TestimonyQ">
    <w:name w:val="Testimony Q."/>
    <w:basedOn w:val="Normal"/>
    <w:link w:val="TestimonyQChar"/>
    <w:rsid w:val="00B2380A"/>
    <w:pPr>
      <w:tabs>
        <w:tab w:val="left" w:pos="864"/>
      </w:tabs>
      <w:spacing w:line="480" w:lineRule="auto"/>
      <w:ind w:left="432" w:hanging="432"/>
      <w:jc w:val="both"/>
    </w:pPr>
    <w:rPr>
      <w:b/>
      <w:sz w:val="24"/>
      <w:szCs w:val="24"/>
    </w:rPr>
  </w:style>
  <w:style w:type="character" w:customStyle="1" w:styleId="TestimonyQChar">
    <w:name w:val="Testimony Q. Char"/>
    <w:link w:val="TestimonyQ"/>
    <w:rsid w:val="00B2380A"/>
    <w:rPr>
      <w:b/>
      <w:sz w:val="24"/>
      <w:szCs w:val="24"/>
    </w:rPr>
  </w:style>
  <w:style w:type="paragraph" w:styleId="ListParagraph">
    <w:name w:val="List Paragraph"/>
    <w:basedOn w:val="Normal"/>
    <w:uiPriority w:val="34"/>
    <w:qFormat/>
    <w:rsid w:val="001D019E"/>
    <w:pPr>
      <w:ind w:left="720"/>
      <w:contextualSpacing/>
    </w:pPr>
  </w:style>
  <w:style w:type="character" w:customStyle="1" w:styleId="FooterChar">
    <w:name w:val="Footer Char"/>
    <w:basedOn w:val="DefaultParagraphFont"/>
    <w:link w:val="Footer"/>
    <w:uiPriority w:val="99"/>
    <w:rsid w:val="00E97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
      </w:numPr>
      <w:tabs>
        <w:tab w:val="clear" w:pos="360"/>
        <w:tab w:val="left" w:pos="720"/>
      </w:tabs>
      <w:spacing w:line="480" w:lineRule="auto"/>
      <w:ind w:left="720" w:hanging="720"/>
      <w:outlineLvl w:val="0"/>
    </w:pPr>
    <w:rPr>
      <w:sz w:val="24"/>
    </w:rPr>
  </w:style>
  <w:style w:type="paragraph" w:styleId="Heading2">
    <w:name w:val="heading 2"/>
    <w:basedOn w:val="Normal"/>
    <w:next w:val="Normal"/>
    <w:qFormat/>
    <w:pPr>
      <w:keepNext/>
      <w:tabs>
        <w:tab w:val="left" w:pos="720"/>
      </w:tabs>
      <w:spacing w:line="480" w:lineRule="auto"/>
      <w:outlineLvl w:val="1"/>
    </w:pPr>
    <w:rPr>
      <w:b/>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pacing w:line="480" w:lineRule="auto"/>
      <w:ind w:left="720" w:hanging="720"/>
      <w:jc w:val="both"/>
    </w:pPr>
    <w:rPr>
      <w:sz w:val="24"/>
    </w:rPr>
  </w:style>
  <w:style w:type="paragraph" w:styleId="BodyText">
    <w:name w:val="Body Text"/>
    <w:basedOn w:val="Normal"/>
    <w:pPr>
      <w:tabs>
        <w:tab w:val="left" w:pos="720"/>
      </w:tabs>
      <w:spacing w:line="480" w:lineRule="auto"/>
      <w:jc w:val="both"/>
    </w:pPr>
    <w:rPr>
      <w:sz w:val="24"/>
    </w:rPr>
  </w:style>
  <w:style w:type="paragraph" w:styleId="BodyText2">
    <w:name w:val="Body Text 2"/>
    <w:basedOn w:val="Normal"/>
    <w:pPr>
      <w:tabs>
        <w:tab w:val="left" w:pos="720"/>
      </w:tabs>
      <w:spacing w:line="480" w:lineRule="auto"/>
    </w:pPr>
    <w:rPr>
      <w:sz w:val="24"/>
    </w:rPr>
  </w:style>
  <w:style w:type="paragraph" w:styleId="BodyTextIndent2">
    <w:name w:val="Body Text Indent 2"/>
    <w:basedOn w:val="Normal"/>
    <w:pPr>
      <w:tabs>
        <w:tab w:val="left" w:pos="720"/>
      </w:tabs>
      <w:spacing w:line="480" w:lineRule="auto"/>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line="480" w:lineRule="auto"/>
      <w:ind w:left="720" w:hanging="720"/>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B56575"/>
    <w:rPr>
      <w:rFonts w:ascii="Tahoma" w:hAnsi="Tahoma" w:cs="Tahoma"/>
      <w:sz w:val="16"/>
      <w:szCs w:val="16"/>
    </w:rPr>
  </w:style>
  <w:style w:type="paragraph" w:styleId="NormalWeb">
    <w:name w:val="Normal (Web)"/>
    <w:basedOn w:val="Normal"/>
    <w:rsid w:val="00534704"/>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0434BE"/>
    <w:rPr>
      <w:b/>
      <w:bCs/>
    </w:rPr>
  </w:style>
  <w:style w:type="character" w:customStyle="1" w:styleId="CommentTextChar">
    <w:name w:val="Comment Text Char"/>
    <w:basedOn w:val="DefaultParagraphFont"/>
    <w:link w:val="CommentText"/>
    <w:semiHidden/>
    <w:rsid w:val="000434BE"/>
  </w:style>
  <w:style w:type="character" w:customStyle="1" w:styleId="CommentSubjectChar">
    <w:name w:val="Comment Subject Char"/>
    <w:basedOn w:val="CommentTextChar"/>
    <w:link w:val="CommentSubject"/>
    <w:rsid w:val="000434BE"/>
  </w:style>
  <w:style w:type="paragraph" w:customStyle="1" w:styleId="CharChar3">
    <w:name w:val="Char Char3"/>
    <w:basedOn w:val="Normal"/>
    <w:rsid w:val="00D759D0"/>
    <w:pPr>
      <w:spacing w:after="160" w:line="240" w:lineRule="exact"/>
    </w:pPr>
    <w:rPr>
      <w:rFonts w:ascii="Verdana" w:hAnsi="Verdana"/>
    </w:rPr>
  </w:style>
  <w:style w:type="paragraph" w:customStyle="1" w:styleId="CharChar">
    <w:name w:val="Char Char"/>
    <w:basedOn w:val="Normal"/>
    <w:rsid w:val="00CC7CDA"/>
    <w:pPr>
      <w:spacing w:after="160" w:line="240" w:lineRule="exact"/>
    </w:pPr>
    <w:rPr>
      <w:rFonts w:ascii="Verdana" w:hAnsi="Verdana"/>
    </w:rPr>
  </w:style>
  <w:style w:type="character" w:styleId="Emphasis">
    <w:name w:val="Emphasis"/>
    <w:qFormat/>
    <w:rsid w:val="004A242A"/>
    <w:rPr>
      <w:i/>
      <w:iCs/>
    </w:rPr>
  </w:style>
  <w:style w:type="paragraph" w:styleId="FootnoteText">
    <w:name w:val="footnote text"/>
    <w:basedOn w:val="Normal"/>
    <w:semiHidden/>
    <w:rsid w:val="00C55D8D"/>
  </w:style>
  <w:style w:type="character" w:styleId="FootnoteReference">
    <w:name w:val="footnote reference"/>
    <w:semiHidden/>
    <w:rsid w:val="00C55D8D"/>
    <w:rPr>
      <w:vertAlign w:val="superscript"/>
    </w:rPr>
  </w:style>
  <w:style w:type="paragraph" w:styleId="Revision">
    <w:name w:val="Revision"/>
    <w:hidden/>
    <w:uiPriority w:val="99"/>
    <w:semiHidden/>
    <w:rsid w:val="00F26446"/>
  </w:style>
  <w:style w:type="paragraph" w:customStyle="1" w:styleId="TestimonyQ">
    <w:name w:val="Testimony Q."/>
    <w:basedOn w:val="Normal"/>
    <w:link w:val="TestimonyQChar"/>
    <w:rsid w:val="00B2380A"/>
    <w:pPr>
      <w:tabs>
        <w:tab w:val="left" w:pos="864"/>
      </w:tabs>
      <w:spacing w:line="480" w:lineRule="auto"/>
      <w:ind w:left="432" w:hanging="432"/>
      <w:jc w:val="both"/>
    </w:pPr>
    <w:rPr>
      <w:b/>
      <w:sz w:val="24"/>
      <w:szCs w:val="24"/>
    </w:rPr>
  </w:style>
  <w:style w:type="character" w:customStyle="1" w:styleId="TestimonyQChar">
    <w:name w:val="Testimony Q. Char"/>
    <w:link w:val="TestimonyQ"/>
    <w:rsid w:val="00B2380A"/>
    <w:rPr>
      <w:b/>
      <w:sz w:val="24"/>
      <w:szCs w:val="24"/>
    </w:rPr>
  </w:style>
  <w:style w:type="paragraph" w:styleId="ListParagraph">
    <w:name w:val="List Paragraph"/>
    <w:basedOn w:val="Normal"/>
    <w:uiPriority w:val="34"/>
    <w:qFormat/>
    <w:rsid w:val="001D019E"/>
    <w:pPr>
      <w:ind w:left="720"/>
      <w:contextualSpacing/>
    </w:pPr>
  </w:style>
  <w:style w:type="character" w:customStyle="1" w:styleId="FooterChar">
    <w:name w:val="Footer Char"/>
    <w:basedOn w:val="DefaultParagraphFont"/>
    <w:link w:val="Footer"/>
    <w:uiPriority w:val="99"/>
    <w:rsid w:val="00E97917"/>
  </w:style>
</w:styles>
</file>

<file path=word/webSettings.xml><?xml version="1.0" encoding="utf-8"?>
<w:webSettings xmlns:r="http://schemas.openxmlformats.org/officeDocument/2006/relationships" xmlns:w="http://schemas.openxmlformats.org/wordprocessingml/2006/main">
  <w:divs>
    <w:div w:id="419371021">
      <w:bodyDiv w:val="1"/>
      <w:marLeft w:val="0"/>
      <w:marRight w:val="0"/>
      <w:marTop w:val="0"/>
      <w:marBottom w:val="0"/>
      <w:divBdr>
        <w:top w:val="none" w:sz="0" w:space="0" w:color="auto"/>
        <w:left w:val="none" w:sz="0" w:space="0" w:color="auto"/>
        <w:bottom w:val="none" w:sz="0" w:space="0" w:color="auto"/>
        <w:right w:val="none" w:sz="0" w:space="0" w:color="auto"/>
      </w:divBdr>
      <w:divsChild>
        <w:div w:id="343094039">
          <w:marLeft w:val="0"/>
          <w:marRight w:val="0"/>
          <w:marTop w:val="0"/>
          <w:marBottom w:val="0"/>
          <w:divBdr>
            <w:top w:val="none" w:sz="0" w:space="0" w:color="auto"/>
            <w:left w:val="none" w:sz="0" w:space="0" w:color="auto"/>
            <w:bottom w:val="none" w:sz="0" w:space="0" w:color="auto"/>
            <w:right w:val="none" w:sz="0" w:space="0" w:color="auto"/>
          </w:divBdr>
          <w:divsChild>
            <w:div w:id="644243482">
              <w:marLeft w:val="0"/>
              <w:marRight w:val="0"/>
              <w:marTop w:val="0"/>
              <w:marBottom w:val="0"/>
              <w:divBdr>
                <w:top w:val="none" w:sz="0" w:space="0" w:color="auto"/>
                <w:left w:val="none" w:sz="0" w:space="0" w:color="auto"/>
                <w:bottom w:val="none" w:sz="0" w:space="0" w:color="auto"/>
                <w:right w:val="none" w:sz="0" w:space="0" w:color="auto"/>
              </w:divBdr>
            </w:div>
            <w:div w:id="1492477235">
              <w:marLeft w:val="0"/>
              <w:marRight w:val="0"/>
              <w:marTop w:val="0"/>
              <w:marBottom w:val="0"/>
              <w:divBdr>
                <w:top w:val="none" w:sz="0" w:space="0" w:color="auto"/>
                <w:left w:val="none" w:sz="0" w:space="0" w:color="auto"/>
                <w:bottom w:val="none" w:sz="0" w:space="0" w:color="auto"/>
                <w:right w:val="none" w:sz="0" w:space="0" w:color="auto"/>
              </w:divBdr>
            </w:div>
            <w:div w:id="1508979092">
              <w:marLeft w:val="0"/>
              <w:marRight w:val="0"/>
              <w:marTop w:val="0"/>
              <w:marBottom w:val="0"/>
              <w:divBdr>
                <w:top w:val="none" w:sz="0" w:space="0" w:color="auto"/>
                <w:left w:val="none" w:sz="0" w:space="0" w:color="auto"/>
                <w:bottom w:val="none" w:sz="0" w:space="0" w:color="auto"/>
                <w:right w:val="none" w:sz="0" w:space="0" w:color="auto"/>
              </w:divBdr>
            </w:div>
            <w:div w:id="19476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6241">
      <w:bodyDiv w:val="1"/>
      <w:marLeft w:val="0"/>
      <w:marRight w:val="0"/>
      <w:marTop w:val="0"/>
      <w:marBottom w:val="0"/>
      <w:divBdr>
        <w:top w:val="none" w:sz="0" w:space="0" w:color="auto"/>
        <w:left w:val="none" w:sz="0" w:space="0" w:color="auto"/>
        <w:bottom w:val="none" w:sz="0" w:space="0" w:color="auto"/>
        <w:right w:val="none" w:sz="0" w:space="0" w:color="auto"/>
      </w:divBdr>
    </w:div>
    <w:div w:id="651324695">
      <w:bodyDiv w:val="1"/>
      <w:marLeft w:val="0"/>
      <w:marRight w:val="0"/>
      <w:marTop w:val="0"/>
      <w:marBottom w:val="0"/>
      <w:divBdr>
        <w:top w:val="none" w:sz="0" w:space="0" w:color="auto"/>
        <w:left w:val="none" w:sz="0" w:space="0" w:color="auto"/>
        <w:bottom w:val="none" w:sz="0" w:space="0" w:color="auto"/>
        <w:right w:val="none" w:sz="0" w:space="0" w:color="auto"/>
      </w:divBdr>
    </w:div>
    <w:div w:id="799687983">
      <w:bodyDiv w:val="1"/>
      <w:marLeft w:val="0"/>
      <w:marRight w:val="0"/>
      <w:marTop w:val="0"/>
      <w:marBottom w:val="0"/>
      <w:divBdr>
        <w:top w:val="none" w:sz="0" w:space="0" w:color="auto"/>
        <w:left w:val="none" w:sz="0" w:space="0" w:color="auto"/>
        <w:bottom w:val="none" w:sz="0" w:space="0" w:color="auto"/>
        <w:right w:val="none" w:sz="0" w:space="0" w:color="auto"/>
      </w:divBdr>
      <w:divsChild>
        <w:div w:id="846095248">
          <w:marLeft w:val="0"/>
          <w:marRight w:val="0"/>
          <w:marTop w:val="0"/>
          <w:marBottom w:val="0"/>
          <w:divBdr>
            <w:top w:val="none" w:sz="0" w:space="0" w:color="auto"/>
            <w:left w:val="none" w:sz="0" w:space="0" w:color="auto"/>
            <w:bottom w:val="none" w:sz="0" w:space="0" w:color="auto"/>
            <w:right w:val="none" w:sz="0" w:space="0" w:color="auto"/>
          </w:divBdr>
          <w:divsChild>
            <w:div w:id="369035379">
              <w:marLeft w:val="0"/>
              <w:marRight w:val="0"/>
              <w:marTop w:val="0"/>
              <w:marBottom w:val="0"/>
              <w:divBdr>
                <w:top w:val="none" w:sz="0" w:space="0" w:color="auto"/>
                <w:left w:val="none" w:sz="0" w:space="0" w:color="auto"/>
                <w:bottom w:val="none" w:sz="0" w:space="0" w:color="auto"/>
                <w:right w:val="none" w:sz="0" w:space="0" w:color="auto"/>
              </w:divBdr>
            </w:div>
            <w:div w:id="1039160922">
              <w:marLeft w:val="0"/>
              <w:marRight w:val="0"/>
              <w:marTop w:val="0"/>
              <w:marBottom w:val="0"/>
              <w:divBdr>
                <w:top w:val="none" w:sz="0" w:space="0" w:color="auto"/>
                <w:left w:val="none" w:sz="0" w:space="0" w:color="auto"/>
                <w:bottom w:val="none" w:sz="0" w:space="0" w:color="auto"/>
                <w:right w:val="none" w:sz="0" w:space="0" w:color="auto"/>
              </w:divBdr>
            </w:div>
            <w:div w:id="1190949328">
              <w:marLeft w:val="0"/>
              <w:marRight w:val="0"/>
              <w:marTop w:val="0"/>
              <w:marBottom w:val="0"/>
              <w:divBdr>
                <w:top w:val="none" w:sz="0" w:space="0" w:color="auto"/>
                <w:left w:val="none" w:sz="0" w:space="0" w:color="auto"/>
                <w:bottom w:val="none" w:sz="0" w:space="0" w:color="auto"/>
                <w:right w:val="none" w:sz="0" w:space="0" w:color="auto"/>
              </w:divBdr>
            </w:div>
            <w:div w:id="1419596451">
              <w:marLeft w:val="0"/>
              <w:marRight w:val="0"/>
              <w:marTop w:val="0"/>
              <w:marBottom w:val="0"/>
              <w:divBdr>
                <w:top w:val="none" w:sz="0" w:space="0" w:color="auto"/>
                <w:left w:val="none" w:sz="0" w:space="0" w:color="auto"/>
                <w:bottom w:val="none" w:sz="0" w:space="0" w:color="auto"/>
                <w:right w:val="none" w:sz="0" w:space="0" w:color="auto"/>
              </w:divBdr>
            </w:div>
            <w:div w:id="1480540466">
              <w:marLeft w:val="0"/>
              <w:marRight w:val="0"/>
              <w:marTop w:val="0"/>
              <w:marBottom w:val="0"/>
              <w:divBdr>
                <w:top w:val="none" w:sz="0" w:space="0" w:color="auto"/>
                <w:left w:val="none" w:sz="0" w:space="0" w:color="auto"/>
                <w:bottom w:val="none" w:sz="0" w:space="0" w:color="auto"/>
                <w:right w:val="none" w:sz="0" w:space="0" w:color="auto"/>
              </w:divBdr>
            </w:div>
            <w:div w:id="1583490069">
              <w:marLeft w:val="0"/>
              <w:marRight w:val="0"/>
              <w:marTop w:val="0"/>
              <w:marBottom w:val="0"/>
              <w:divBdr>
                <w:top w:val="none" w:sz="0" w:space="0" w:color="auto"/>
                <w:left w:val="none" w:sz="0" w:space="0" w:color="auto"/>
                <w:bottom w:val="none" w:sz="0" w:space="0" w:color="auto"/>
                <w:right w:val="none" w:sz="0" w:space="0" w:color="auto"/>
              </w:divBdr>
            </w:div>
            <w:div w:id="1750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8938">
      <w:bodyDiv w:val="1"/>
      <w:marLeft w:val="0"/>
      <w:marRight w:val="0"/>
      <w:marTop w:val="0"/>
      <w:marBottom w:val="0"/>
      <w:divBdr>
        <w:top w:val="none" w:sz="0" w:space="0" w:color="auto"/>
        <w:left w:val="none" w:sz="0" w:space="0" w:color="auto"/>
        <w:bottom w:val="none" w:sz="0" w:space="0" w:color="auto"/>
        <w:right w:val="none" w:sz="0" w:space="0" w:color="auto"/>
      </w:divBdr>
    </w:div>
    <w:div w:id="990138193">
      <w:bodyDiv w:val="1"/>
      <w:marLeft w:val="0"/>
      <w:marRight w:val="0"/>
      <w:marTop w:val="0"/>
      <w:marBottom w:val="0"/>
      <w:divBdr>
        <w:top w:val="none" w:sz="0" w:space="0" w:color="auto"/>
        <w:left w:val="none" w:sz="0" w:space="0" w:color="auto"/>
        <w:bottom w:val="none" w:sz="0" w:space="0" w:color="auto"/>
        <w:right w:val="none" w:sz="0" w:space="0" w:color="auto"/>
      </w:divBdr>
    </w:div>
    <w:div w:id="1014499439">
      <w:bodyDiv w:val="1"/>
      <w:marLeft w:val="0"/>
      <w:marRight w:val="0"/>
      <w:marTop w:val="0"/>
      <w:marBottom w:val="0"/>
      <w:divBdr>
        <w:top w:val="none" w:sz="0" w:space="0" w:color="auto"/>
        <w:left w:val="none" w:sz="0" w:space="0" w:color="auto"/>
        <w:bottom w:val="none" w:sz="0" w:space="0" w:color="auto"/>
        <w:right w:val="none" w:sz="0" w:space="0" w:color="auto"/>
      </w:divBdr>
      <w:divsChild>
        <w:div w:id="2024163114">
          <w:marLeft w:val="0"/>
          <w:marRight w:val="0"/>
          <w:marTop w:val="0"/>
          <w:marBottom w:val="0"/>
          <w:divBdr>
            <w:top w:val="none" w:sz="0" w:space="0" w:color="auto"/>
            <w:left w:val="none" w:sz="0" w:space="0" w:color="auto"/>
            <w:bottom w:val="none" w:sz="0" w:space="0" w:color="auto"/>
            <w:right w:val="none" w:sz="0" w:space="0" w:color="auto"/>
          </w:divBdr>
          <w:divsChild>
            <w:div w:id="207645238">
              <w:marLeft w:val="0"/>
              <w:marRight w:val="0"/>
              <w:marTop w:val="0"/>
              <w:marBottom w:val="0"/>
              <w:divBdr>
                <w:top w:val="none" w:sz="0" w:space="0" w:color="auto"/>
                <w:left w:val="none" w:sz="0" w:space="0" w:color="auto"/>
                <w:bottom w:val="none" w:sz="0" w:space="0" w:color="auto"/>
                <w:right w:val="none" w:sz="0" w:space="0" w:color="auto"/>
              </w:divBdr>
            </w:div>
            <w:div w:id="235089404">
              <w:marLeft w:val="0"/>
              <w:marRight w:val="0"/>
              <w:marTop w:val="0"/>
              <w:marBottom w:val="0"/>
              <w:divBdr>
                <w:top w:val="none" w:sz="0" w:space="0" w:color="auto"/>
                <w:left w:val="none" w:sz="0" w:space="0" w:color="auto"/>
                <w:bottom w:val="none" w:sz="0" w:space="0" w:color="auto"/>
                <w:right w:val="none" w:sz="0" w:space="0" w:color="auto"/>
              </w:divBdr>
            </w:div>
            <w:div w:id="703217630">
              <w:marLeft w:val="0"/>
              <w:marRight w:val="0"/>
              <w:marTop w:val="0"/>
              <w:marBottom w:val="0"/>
              <w:divBdr>
                <w:top w:val="none" w:sz="0" w:space="0" w:color="auto"/>
                <w:left w:val="none" w:sz="0" w:space="0" w:color="auto"/>
                <w:bottom w:val="none" w:sz="0" w:space="0" w:color="auto"/>
                <w:right w:val="none" w:sz="0" w:space="0" w:color="auto"/>
              </w:divBdr>
            </w:div>
            <w:div w:id="838890097">
              <w:marLeft w:val="0"/>
              <w:marRight w:val="0"/>
              <w:marTop w:val="0"/>
              <w:marBottom w:val="0"/>
              <w:divBdr>
                <w:top w:val="none" w:sz="0" w:space="0" w:color="auto"/>
                <w:left w:val="none" w:sz="0" w:space="0" w:color="auto"/>
                <w:bottom w:val="none" w:sz="0" w:space="0" w:color="auto"/>
                <w:right w:val="none" w:sz="0" w:space="0" w:color="auto"/>
              </w:divBdr>
            </w:div>
            <w:div w:id="9861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981">
      <w:bodyDiv w:val="1"/>
      <w:marLeft w:val="0"/>
      <w:marRight w:val="0"/>
      <w:marTop w:val="0"/>
      <w:marBottom w:val="0"/>
      <w:divBdr>
        <w:top w:val="none" w:sz="0" w:space="0" w:color="auto"/>
        <w:left w:val="none" w:sz="0" w:space="0" w:color="auto"/>
        <w:bottom w:val="none" w:sz="0" w:space="0" w:color="auto"/>
        <w:right w:val="none" w:sz="0" w:space="0" w:color="auto"/>
      </w:divBdr>
    </w:div>
    <w:div w:id="1666787907">
      <w:bodyDiv w:val="1"/>
      <w:marLeft w:val="0"/>
      <w:marRight w:val="0"/>
      <w:marTop w:val="0"/>
      <w:marBottom w:val="0"/>
      <w:divBdr>
        <w:top w:val="none" w:sz="0" w:space="0" w:color="auto"/>
        <w:left w:val="none" w:sz="0" w:space="0" w:color="auto"/>
        <w:bottom w:val="none" w:sz="0" w:space="0" w:color="auto"/>
        <w:right w:val="none" w:sz="0" w:space="0" w:color="auto"/>
      </w:divBdr>
      <w:divsChild>
        <w:div w:id="536353643">
          <w:marLeft w:val="0"/>
          <w:marRight w:val="0"/>
          <w:marTop w:val="0"/>
          <w:marBottom w:val="0"/>
          <w:divBdr>
            <w:top w:val="none" w:sz="0" w:space="0" w:color="auto"/>
            <w:left w:val="none" w:sz="0" w:space="0" w:color="auto"/>
            <w:bottom w:val="none" w:sz="0" w:space="0" w:color="auto"/>
            <w:right w:val="none" w:sz="0" w:space="0" w:color="auto"/>
          </w:divBdr>
          <w:divsChild>
            <w:div w:id="35087193">
              <w:marLeft w:val="0"/>
              <w:marRight w:val="0"/>
              <w:marTop w:val="0"/>
              <w:marBottom w:val="0"/>
              <w:divBdr>
                <w:top w:val="none" w:sz="0" w:space="0" w:color="auto"/>
                <w:left w:val="none" w:sz="0" w:space="0" w:color="auto"/>
                <w:bottom w:val="none" w:sz="0" w:space="0" w:color="auto"/>
                <w:right w:val="none" w:sz="0" w:space="0" w:color="auto"/>
              </w:divBdr>
            </w:div>
            <w:div w:id="256325293">
              <w:marLeft w:val="0"/>
              <w:marRight w:val="0"/>
              <w:marTop w:val="0"/>
              <w:marBottom w:val="0"/>
              <w:divBdr>
                <w:top w:val="none" w:sz="0" w:space="0" w:color="auto"/>
                <w:left w:val="none" w:sz="0" w:space="0" w:color="auto"/>
                <w:bottom w:val="none" w:sz="0" w:space="0" w:color="auto"/>
                <w:right w:val="none" w:sz="0" w:space="0" w:color="auto"/>
              </w:divBdr>
            </w:div>
            <w:div w:id="634070350">
              <w:marLeft w:val="0"/>
              <w:marRight w:val="0"/>
              <w:marTop w:val="0"/>
              <w:marBottom w:val="0"/>
              <w:divBdr>
                <w:top w:val="none" w:sz="0" w:space="0" w:color="auto"/>
                <w:left w:val="none" w:sz="0" w:space="0" w:color="auto"/>
                <w:bottom w:val="none" w:sz="0" w:space="0" w:color="auto"/>
                <w:right w:val="none" w:sz="0" w:space="0" w:color="auto"/>
              </w:divBdr>
            </w:div>
            <w:div w:id="959846648">
              <w:marLeft w:val="0"/>
              <w:marRight w:val="0"/>
              <w:marTop w:val="0"/>
              <w:marBottom w:val="0"/>
              <w:divBdr>
                <w:top w:val="none" w:sz="0" w:space="0" w:color="auto"/>
                <w:left w:val="none" w:sz="0" w:space="0" w:color="auto"/>
                <w:bottom w:val="none" w:sz="0" w:space="0" w:color="auto"/>
                <w:right w:val="none" w:sz="0" w:space="0" w:color="auto"/>
              </w:divBdr>
            </w:div>
            <w:div w:id="1807114974">
              <w:marLeft w:val="0"/>
              <w:marRight w:val="0"/>
              <w:marTop w:val="0"/>
              <w:marBottom w:val="0"/>
              <w:divBdr>
                <w:top w:val="none" w:sz="0" w:space="0" w:color="auto"/>
                <w:left w:val="none" w:sz="0" w:space="0" w:color="auto"/>
                <w:bottom w:val="none" w:sz="0" w:space="0" w:color="auto"/>
                <w:right w:val="none" w:sz="0" w:space="0" w:color="auto"/>
              </w:divBdr>
            </w:div>
            <w:div w:id="1912696015">
              <w:marLeft w:val="0"/>
              <w:marRight w:val="0"/>
              <w:marTop w:val="0"/>
              <w:marBottom w:val="0"/>
              <w:divBdr>
                <w:top w:val="none" w:sz="0" w:space="0" w:color="auto"/>
                <w:left w:val="none" w:sz="0" w:space="0" w:color="auto"/>
                <w:bottom w:val="none" w:sz="0" w:space="0" w:color="auto"/>
                <w:right w:val="none" w:sz="0" w:space="0" w:color="auto"/>
              </w:divBdr>
            </w:div>
            <w:div w:id="2070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B60B-6957-46CA-B0B8-446A22A75290}"/>
</file>

<file path=customXml/itemProps2.xml><?xml version="1.0" encoding="utf-8"?>
<ds:datastoreItem xmlns:ds="http://schemas.openxmlformats.org/officeDocument/2006/customXml" ds:itemID="{8E409193-B241-4927-BBC5-E9D3A6560512}"/>
</file>

<file path=customXml/itemProps3.xml><?xml version="1.0" encoding="utf-8"?>
<ds:datastoreItem xmlns:ds="http://schemas.openxmlformats.org/officeDocument/2006/customXml" ds:itemID="{3A7AAB47-251D-47F4-BFEB-5B8CEBC77D3B}"/>
</file>

<file path=customXml/itemProps4.xml><?xml version="1.0" encoding="utf-8"?>
<ds:datastoreItem xmlns:ds="http://schemas.openxmlformats.org/officeDocument/2006/customXml" ds:itemID="{66371F7C-20D7-43DC-9D56-D0123D36BE77}"/>
</file>

<file path=docProps/app.xml><?xml version="1.0" encoding="utf-8"?>
<Properties xmlns="http://schemas.openxmlformats.org/officeDocument/2006/extended-properties" xmlns:vt="http://schemas.openxmlformats.org/officeDocument/2006/docPropsVTypes">
  <Template>Normal.dotm</Template>
  <TotalTime>0</TotalTime>
  <Pages>13</Pages>
  <Words>2331</Words>
  <Characters>12293</Characters>
  <Application>Microsoft Office Word</Application>
  <DocSecurity>0</DocSecurity>
  <Lines>102</Lines>
  <Paragraphs>29</Paragraphs>
  <ScaleCrop>false</ScaleCrop>
  <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2013-01-09T21:37:00Z</dcterms:created>
  <dcterms:modified xsi:type="dcterms:W3CDTF">2013-01-09T21:37:00Z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