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AA" w:rsidRPr="003961EC" w:rsidRDefault="00F731AA" w:rsidP="00F731AA">
      <w:pPr>
        <w:jc w:val="center"/>
        <w:rPr>
          <w:sz w:val="28"/>
          <w:szCs w:val="28"/>
        </w:rPr>
      </w:pPr>
      <w:r w:rsidRPr="003961EC">
        <w:rPr>
          <w:sz w:val="28"/>
          <w:szCs w:val="28"/>
        </w:rPr>
        <w:t>Cascade Natural Gas Corporation</w:t>
      </w:r>
    </w:p>
    <w:p w:rsidR="00F731AA" w:rsidRPr="003961EC" w:rsidRDefault="00F731AA" w:rsidP="00F731AA">
      <w:pPr>
        <w:jc w:val="center"/>
        <w:rPr>
          <w:sz w:val="28"/>
          <w:szCs w:val="28"/>
        </w:rPr>
      </w:pPr>
      <w:r w:rsidRPr="003961EC">
        <w:rPr>
          <w:sz w:val="28"/>
          <w:szCs w:val="28"/>
        </w:rPr>
        <w:t xml:space="preserve">Annual </w:t>
      </w:r>
      <w:r w:rsidR="00997187" w:rsidRPr="003961EC">
        <w:rPr>
          <w:sz w:val="28"/>
          <w:szCs w:val="28"/>
        </w:rPr>
        <w:t>Conservation Achievement Report</w:t>
      </w:r>
    </w:p>
    <w:p w:rsidR="00F731AA" w:rsidRPr="003961EC" w:rsidRDefault="00F731AA" w:rsidP="00F731AA">
      <w:pPr>
        <w:pBdr>
          <w:bottom w:val="single" w:sz="12" w:space="1" w:color="auto"/>
        </w:pBdr>
        <w:jc w:val="center"/>
        <w:rPr>
          <w:sz w:val="28"/>
          <w:szCs w:val="28"/>
        </w:rPr>
      </w:pPr>
      <w:r w:rsidRPr="003961EC">
        <w:rPr>
          <w:sz w:val="28"/>
          <w:szCs w:val="28"/>
        </w:rPr>
        <w:t xml:space="preserve">Calendar Year </w:t>
      </w:r>
      <w:r w:rsidR="00FF27D4" w:rsidRPr="003961EC">
        <w:rPr>
          <w:sz w:val="28"/>
          <w:szCs w:val="28"/>
        </w:rPr>
        <w:t>201</w:t>
      </w:r>
      <w:r w:rsidR="00833633">
        <w:rPr>
          <w:sz w:val="28"/>
          <w:szCs w:val="28"/>
        </w:rPr>
        <w:t>4</w:t>
      </w:r>
    </w:p>
    <w:p w:rsidR="00245F43" w:rsidRPr="008E549B" w:rsidRDefault="00245F43" w:rsidP="00F731AA">
      <w:pPr>
        <w:pBdr>
          <w:bottom w:val="single" w:sz="12" w:space="1" w:color="auto"/>
        </w:pBdr>
        <w:jc w:val="center"/>
        <w:rPr>
          <w:sz w:val="22"/>
          <w:szCs w:val="22"/>
        </w:rPr>
      </w:pPr>
    </w:p>
    <w:p w:rsidR="001059CB" w:rsidRDefault="001059CB">
      <w:pPr>
        <w:rPr>
          <w:b/>
          <w:sz w:val="22"/>
          <w:szCs w:val="22"/>
        </w:rPr>
      </w:pPr>
    </w:p>
    <w:p w:rsidR="0029719F" w:rsidRPr="00955B55" w:rsidRDefault="0029719F">
      <w:pPr>
        <w:rPr>
          <w:b/>
          <w:sz w:val="22"/>
          <w:szCs w:val="22"/>
        </w:rPr>
      </w:pPr>
      <w:r w:rsidRPr="00955B55">
        <w:rPr>
          <w:b/>
          <w:sz w:val="22"/>
          <w:szCs w:val="22"/>
        </w:rPr>
        <w:t>Background</w:t>
      </w:r>
    </w:p>
    <w:p w:rsidR="0029719F" w:rsidRPr="00955B55" w:rsidRDefault="0029719F">
      <w:pPr>
        <w:rPr>
          <w:sz w:val="22"/>
          <w:szCs w:val="22"/>
        </w:rPr>
      </w:pPr>
    </w:p>
    <w:p w:rsidR="00341D10" w:rsidRPr="00955B55" w:rsidRDefault="004E6AA5" w:rsidP="0041631C">
      <w:pPr>
        <w:autoSpaceDE w:val="0"/>
        <w:autoSpaceDN w:val="0"/>
        <w:adjustRightInd w:val="0"/>
        <w:rPr>
          <w:sz w:val="22"/>
          <w:szCs w:val="22"/>
        </w:rPr>
      </w:pPr>
      <w:r w:rsidRPr="00955B55">
        <w:rPr>
          <w:sz w:val="22"/>
          <w:szCs w:val="22"/>
        </w:rPr>
        <w:t>On October 1, 2007 the Washington Utilities and Transportation Commission (WUTC) approved</w:t>
      </w:r>
      <w:r w:rsidR="0011459A" w:rsidRPr="00955B55">
        <w:rPr>
          <w:sz w:val="22"/>
          <w:szCs w:val="22"/>
        </w:rPr>
        <w:t xml:space="preserve"> </w:t>
      </w:r>
      <w:r w:rsidRPr="00955B55">
        <w:rPr>
          <w:sz w:val="22"/>
          <w:szCs w:val="22"/>
        </w:rPr>
        <w:t xml:space="preserve">an addendum to Cascade Natural Gas’s Conservation Alliance Plan (CAP) and associated Decoupling Pilot, which was developed in compliance with the Commission’s Order 06 in Docket UG-060256. As part of this addendum, the Company agreed to submit “an annual report to the Commission on the achievement of the Calendar </w:t>
      </w:r>
      <w:r w:rsidR="00AD7C69">
        <w:rPr>
          <w:sz w:val="22"/>
          <w:szCs w:val="22"/>
        </w:rPr>
        <w:t>Y</w:t>
      </w:r>
      <w:r w:rsidRPr="00955B55">
        <w:rPr>
          <w:sz w:val="22"/>
          <w:szCs w:val="22"/>
        </w:rPr>
        <w:t>ear</w:t>
      </w:r>
      <w:r w:rsidR="00AD7C69">
        <w:rPr>
          <w:sz w:val="22"/>
          <w:szCs w:val="22"/>
        </w:rPr>
        <w:t xml:space="preserve"> (CY)</w:t>
      </w:r>
      <w:r w:rsidRPr="00955B55">
        <w:rPr>
          <w:sz w:val="22"/>
          <w:szCs w:val="22"/>
        </w:rPr>
        <w:t xml:space="preserve"> </w:t>
      </w:r>
      <w:proofErr w:type="spellStart"/>
      <w:r w:rsidRPr="00955B55">
        <w:rPr>
          <w:sz w:val="22"/>
          <w:szCs w:val="22"/>
        </w:rPr>
        <w:t>therm</w:t>
      </w:r>
      <w:proofErr w:type="spellEnd"/>
      <w:r w:rsidRPr="00955B55">
        <w:rPr>
          <w:sz w:val="22"/>
          <w:szCs w:val="22"/>
        </w:rPr>
        <w:t xml:space="preserve"> savings target, along with its Commission Basis results of operations report”. </w:t>
      </w:r>
      <w:r w:rsidR="00C613A0">
        <w:rPr>
          <w:sz w:val="22"/>
          <w:szCs w:val="22"/>
        </w:rPr>
        <w:t xml:space="preserve"> </w:t>
      </w:r>
      <w:r w:rsidRPr="00955B55">
        <w:rPr>
          <w:sz w:val="22"/>
          <w:szCs w:val="22"/>
        </w:rPr>
        <w:t xml:space="preserve">Since that time, the </w:t>
      </w:r>
      <w:r w:rsidR="00FF752C" w:rsidRPr="00955B55">
        <w:rPr>
          <w:sz w:val="22"/>
          <w:szCs w:val="22"/>
        </w:rPr>
        <w:t>C</w:t>
      </w:r>
      <w:r w:rsidRPr="00955B55">
        <w:rPr>
          <w:sz w:val="22"/>
          <w:szCs w:val="22"/>
        </w:rPr>
        <w:t>ompany submitted an annual report no later than March 31</w:t>
      </w:r>
      <w:r w:rsidR="00FF752C" w:rsidRPr="00955B55">
        <w:rPr>
          <w:sz w:val="22"/>
          <w:szCs w:val="22"/>
        </w:rPr>
        <w:t xml:space="preserve"> of each year</w:t>
      </w:r>
      <w:r w:rsidRPr="00955B55">
        <w:rPr>
          <w:sz w:val="22"/>
          <w:szCs w:val="22"/>
        </w:rPr>
        <w:t>, to report prior years’ conservation achievements and associated CAP deferrals.</w:t>
      </w:r>
      <w:r w:rsidR="0041631C" w:rsidRPr="00955B55">
        <w:rPr>
          <w:sz w:val="22"/>
          <w:szCs w:val="22"/>
        </w:rPr>
        <w:t xml:space="preserve">  </w:t>
      </w:r>
      <w:r w:rsidR="000C0D54" w:rsidRPr="00955B55">
        <w:rPr>
          <w:sz w:val="22"/>
          <w:szCs w:val="22"/>
        </w:rPr>
        <w:t>As of October 1, 2010, the Pilot Decoupling Mechanism and accompanying Conservation Plan, approved by the WUTC on October</w:t>
      </w:r>
      <w:r w:rsidR="00973106" w:rsidRPr="00955B55">
        <w:rPr>
          <w:sz w:val="22"/>
          <w:szCs w:val="22"/>
        </w:rPr>
        <w:t xml:space="preserve"> 1, 2007, are</w:t>
      </w:r>
      <w:r w:rsidR="000C0D54" w:rsidRPr="00955B55">
        <w:rPr>
          <w:sz w:val="22"/>
          <w:szCs w:val="22"/>
        </w:rPr>
        <w:t xml:space="preserve"> no longer in effect.  </w:t>
      </w:r>
      <w:r w:rsidR="0030398E" w:rsidRPr="00955B55">
        <w:rPr>
          <w:sz w:val="22"/>
          <w:szCs w:val="22"/>
        </w:rPr>
        <w:t>Per its commitment in the</w:t>
      </w:r>
      <w:r w:rsidR="0041631C" w:rsidRPr="00955B55">
        <w:rPr>
          <w:sz w:val="22"/>
          <w:szCs w:val="22"/>
        </w:rPr>
        <w:t xml:space="preserve"> </w:t>
      </w:r>
      <w:r w:rsidR="00E47DFF" w:rsidRPr="00955B55">
        <w:rPr>
          <w:sz w:val="22"/>
          <w:szCs w:val="22"/>
        </w:rPr>
        <w:t xml:space="preserve">2010 Annual Conservation Report, </w:t>
      </w:r>
      <w:r w:rsidR="00486F25">
        <w:rPr>
          <w:sz w:val="22"/>
          <w:szCs w:val="22"/>
        </w:rPr>
        <w:t>the Company has voluntarily</w:t>
      </w:r>
      <w:bookmarkStart w:id="0" w:name="_GoBack"/>
      <w:bookmarkEnd w:id="0"/>
      <w:r w:rsidR="0030398E" w:rsidRPr="00955B55">
        <w:rPr>
          <w:sz w:val="22"/>
          <w:szCs w:val="22"/>
        </w:rPr>
        <w:t xml:space="preserve"> </w:t>
      </w:r>
      <w:r w:rsidR="0041631C" w:rsidRPr="00955B55">
        <w:rPr>
          <w:sz w:val="22"/>
          <w:szCs w:val="22"/>
        </w:rPr>
        <w:t>continue</w:t>
      </w:r>
      <w:r w:rsidR="0030398E" w:rsidRPr="00955B55">
        <w:rPr>
          <w:sz w:val="22"/>
          <w:szCs w:val="22"/>
        </w:rPr>
        <w:t>d</w:t>
      </w:r>
      <w:r w:rsidR="0041631C" w:rsidRPr="00955B55">
        <w:rPr>
          <w:sz w:val="22"/>
          <w:szCs w:val="22"/>
        </w:rPr>
        <w:t xml:space="preserve"> this reporting</w:t>
      </w:r>
      <w:r w:rsidR="00E47DFF" w:rsidRPr="00955B55">
        <w:rPr>
          <w:sz w:val="22"/>
          <w:szCs w:val="22"/>
        </w:rPr>
        <w:t xml:space="preserve"> with the WUTC</w:t>
      </w:r>
      <w:r w:rsidR="0030398E" w:rsidRPr="00955B55">
        <w:rPr>
          <w:sz w:val="22"/>
          <w:szCs w:val="22"/>
        </w:rPr>
        <w:t>, submitting its conservation achievements</w:t>
      </w:r>
      <w:r w:rsidR="000D610B" w:rsidRPr="00955B55">
        <w:rPr>
          <w:sz w:val="22"/>
          <w:szCs w:val="22"/>
        </w:rPr>
        <w:t xml:space="preserve"> </w:t>
      </w:r>
      <w:r w:rsidR="008A6A1F" w:rsidRPr="00955B55">
        <w:rPr>
          <w:sz w:val="22"/>
          <w:szCs w:val="22"/>
        </w:rPr>
        <w:t>by</w:t>
      </w:r>
      <w:r w:rsidR="000D610B" w:rsidRPr="00955B55">
        <w:rPr>
          <w:sz w:val="22"/>
          <w:szCs w:val="22"/>
        </w:rPr>
        <w:t xml:space="preserve"> </w:t>
      </w:r>
      <w:r w:rsidR="00D6314F" w:rsidRPr="00955B55">
        <w:rPr>
          <w:sz w:val="22"/>
          <w:szCs w:val="22"/>
        </w:rPr>
        <w:t>July 1</w:t>
      </w:r>
      <w:r w:rsidR="00D6314F" w:rsidRPr="00955B55">
        <w:rPr>
          <w:sz w:val="22"/>
          <w:szCs w:val="22"/>
          <w:vertAlign w:val="superscript"/>
        </w:rPr>
        <w:t>st</w:t>
      </w:r>
      <w:r w:rsidR="00D6314F" w:rsidRPr="00955B55">
        <w:rPr>
          <w:sz w:val="22"/>
          <w:szCs w:val="22"/>
        </w:rPr>
        <w:t xml:space="preserve"> </w:t>
      </w:r>
      <w:r w:rsidR="000D610B" w:rsidRPr="00955B55">
        <w:rPr>
          <w:sz w:val="22"/>
          <w:szCs w:val="22"/>
        </w:rPr>
        <w:t xml:space="preserve">of the following program year. </w:t>
      </w:r>
      <w:r w:rsidR="004F181C" w:rsidRPr="00955B55">
        <w:rPr>
          <w:sz w:val="22"/>
          <w:szCs w:val="22"/>
        </w:rPr>
        <w:t xml:space="preserve"> </w:t>
      </w:r>
      <w:r w:rsidR="0049420B" w:rsidRPr="00955B55">
        <w:rPr>
          <w:sz w:val="22"/>
          <w:szCs w:val="22"/>
        </w:rPr>
        <w:t>I</w:t>
      </w:r>
      <w:r w:rsidR="004F181C" w:rsidRPr="00955B55">
        <w:rPr>
          <w:sz w:val="22"/>
          <w:szCs w:val="22"/>
        </w:rPr>
        <w:t>n the event the reporting format</w:t>
      </w:r>
      <w:r w:rsidR="0049420B" w:rsidRPr="00955B55">
        <w:rPr>
          <w:sz w:val="22"/>
          <w:szCs w:val="22"/>
        </w:rPr>
        <w:t xml:space="preserve"> or timing needs to be adjusted, the Company will notify Commission Staff prior to filing.</w:t>
      </w:r>
    </w:p>
    <w:p w:rsidR="00341D10" w:rsidRPr="00955B55" w:rsidRDefault="00341D10" w:rsidP="000C0D54">
      <w:pPr>
        <w:rPr>
          <w:sz w:val="22"/>
          <w:szCs w:val="22"/>
        </w:rPr>
      </w:pPr>
    </w:p>
    <w:p w:rsidR="000C0D54" w:rsidRDefault="00E47DFF" w:rsidP="000C0D54">
      <w:pPr>
        <w:rPr>
          <w:sz w:val="22"/>
          <w:szCs w:val="22"/>
        </w:rPr>
      </w:pPr>
      <w:r w:rsidRPr="00955B55">
        <w:rPr>
          <w:sz w:val="22"/>
          <w:szCs w:val="22"/>
        </w:rPr>
        <w:t xml:space="preserve">All other </w:t>
      </w:r>
      <w:r w:rsidR="000C0D54" w:rsidRPr="00955B55">
        <w:rPr>
          <w:sz w:val="22"/>
          <w:szCs w:val="22"/>
        </w:rPr>
        <w:t>planning</w:t>
      </w:r>
      <w:r w:rsidR="0097675E" w:rsidRPr="00955B55">
        <w:rPr>
          <w:sz w:val="22"/>
          <w:szCs w:val="22"/>
        </w:rPr>
        <w:t xml:space="preserve"> associated with the Company’s Conservation P</w:t>
      </w:r>
      <w:r w:rsidR="000C0D54" w:rsidRPr="00955B55">
        <w:rPr>
          <w:sz w:val="22"/>
          <w:szCs w:val="22"/>
        </w:rPr>
        <w:t xml:space="preserve">rograms </w:t>
      </w:r>
      <w:r w:rsidRPr="00955B55">
        <w:rPr>
          <w:sz w:val="22"/>
          <w:szCs w:val="22"/>
        </w:rPr>
        <w:t>can be found within</w:t>
      </w:r>
      <w:r w:rsidR="000C0D54" w:rsidRPr="00955B55">
        <w:rPr>
          <w:sz w:val="22"/>
          <w:szCs w:val="22"/>
        </w:rPr>
        <w:t xml:space="preserve"> </w:t>
      </w:r>
      <w:r w:rsidR="00FC41FC" w:rsidRPr="00955B55">
        <w:rPr>
          <w:sz w:val="22"/>
          <w:szCs w:val="22"/>
        </w:rPr>
        <w:t xml:space="preserve">the Demand Side Management (DSM) section of </w:t>
      </w:r>
      <w:r w:rsidRPr="00955B55">
        <w:rPr>
          <w:sz w:val="22"/>
          <w:szCs w:val="22"/>
        </w:rPr>
        <w:t xml:space="preserve">our </w:t>
      </w:r>
      <w:r w:rsidR="008D1062" w:rsidRPr="00955B55">
        <w:rPr>
          <w:sz w:val="22"/>
          <w:szCs w:val="22"/>
        </w:rPr>
        <w:t>Integrated Resource Plan (IRP)</w:t>
      </w:r>
      <w:r w:rsidR="00FC41FC" w:rsidRPr="00955B55">
        <w:rPr>
          <w:sz w:val="22"/>
          <w:szCs w:val="22"/>
        </w:rPr>
        <w:t>, the tradition</w:t>
      </w:r>
      <w:r w:rsidR="00341D10" w:rsidRPr="00955B55">
        <w:rPr>
          <w:sz w:val="22"/>
          <w:szCs w:val="22"/>
        </w:rPr>
        <w:t xml:space="preserve">al vehicle for such planning.  </w:t>
      </w:r>
      <w:r w:rsidR="00795A5B" w:rsidRPr="00955B55">
        <w:rPr>
          <w:sz w:val="22"/>
          <w:szCs w:val="22"/>
        </w:rPr>
        <w:t xml:space="preserve">The IRP includes </w:t>
      </w:r>
      <w:r w:rsidR="00B00C4B" w:rsidRPr="00955B55">
        <w:rPr>
          <w:sz w:val="22"/>
          <w:szCs w:val="22"/>
        </w:rPr>
        <w:t xml:space="preserve">a full </w:t>
      </w:r>
      <w:r w:rsidR="008D1062" w:rsidRPr="00955B55">
        <w:rPr>
          <w:sz w:val="22"/>
          <w:szCs w:val="22"/>
        </w:rPr>
        <w:t>assessment of</w:t>
      </w:r>
      <w:r w:rsidR="00CD21D9" w:rsidRPr="00955B55">
        <w:rPr>
          <w:sz w:val="22"/>
          <w:szCs w:val="22"/>
        </w:rPr>
        <w:t xml:space="preserve"> the Company’s</w:t>
      </w:r>
      <w:r w:rsidR="008D1062" w:rsidRPr="00955B55">
        <w:rPr>
          <w:sz w:val="22"/>
          <w:szCs w:val="22"/>
        </w:rPr>
        <w:t xml:space="preserve"> DSM</w:t>
      </w:r>
      <w:r w:rsidR="00795A5B" w:rsidRPr="00955B55">
        <w:rPr>
          <w:sz w:val="22"/>
          <w:szCs w:val="22"/>
        </w:rPr>
        <w:t xml:space="preserve">/Conservation potential, </w:t>
      </w:r>
      <w:r w:rsidR="002E2622" w:rsidRPr="00955B55">
        <w:rPr>
          <w:sz w:val="22"/>
          <w:szCs w:val="22"/>
        </w:rPr>
        <w:t>a description/summary of</w:t>
      </w:r>
      <w:r w:rsidR="00FC41FC" w:rsidRPr="00955B55">
        <w:rPr>
          <w:sz w:val="22"/>
          <w:szCs w:val="22"/>
        </w:rPr>
        <w:t xml:space="preserve"> </w:t>
      </w:r>
      <w:r w:rsidR="008D1062" w:rsidRPr="00955B55">
        <w:rPr>
          <w:sz w:val="22"/>
          <w:szCs w:val="22"/>
        </w:rPr>
        <w:t>targets and mea</w:t>
      </w:r>
      <w:r w:rsidR="00F27F83" w:rsidRPr="00955B55">
        <w:rPr>
          <w:sz w:val="22"/>
          <w:szCs w:val="22"/>
        </w:rPr>
        <w:t xml:space="preserve">sures to achieve </w:t>
      </w:r>
      <w:r w:rsidR="00795A5B" w:rsidRPr="00955B55">
        <w:rPr>
          <w:sz w:val="22"/>
          <w:szCs w:val="22"/>
        </w:rPr>
        <w:t>these potential</w:t>
      </w:r>
      <w:r w:rsidR="000D2688">
        <w:rPr>
          <w:sz w:val="22"/>
          <w:szCs w:val="22"/>
        </w:rPr>
        <w:t>s</w:t>
      </w:r>
      <w:r w:rsidR="00795A5B" w:rsidRPr="00955B55">
        <w:rPr>
          <w:sz w:val="22"/>
          <w:szCs w:val="22"/>
        </w:rPr>
        <w:t>, as well as all additional details</w:t>
      </w:r>
      <w:r w:rsidR="00F27F83" w:rsidRPr="00955B55">
        <w:rPr>
          <w:sz w:val="22"/>
          <w:szCs w:val="22"/>
        </w:rPr>
        <w:t xml:space="preserve"> </w:t>
      </w:r>
      <w:r w:rsidR="00E9461F" w:rsidRPr="00955B55">
        <w:rPr>
          <w:sz w:val="22"/>
          <w:szCs w:val="22"/>
        </w:rPr>
        <w:t>described</w:t>
      </w:r>
      <w:r w:rsidR="007D1EB0">
        <w:rPr>
          <w:sz w:val="22"/>
          <w:szCs w:val="22"/>
        </w:rPr>
        <w:t xml:space="preserve"> in the Company’s </w:t>
      </w:r>
      <w:r w:rsidR="00F27F83" w:rsidRPr="00955B55">
        <w:rPr>
          <w:sz w:val="22"/>
          <w:szCs w:val="22"/>
        </w:rPr>
        <w:t>IRP Action Plan.</w:t>
      </w:r>
      <w:r w:rsidR="00833633">
        <w:rPr>
          <w:sz w:val="22"/>
          <w:szCs w:val="22"/>
        </w:rPr>
        <w:t xml:space="preserve"> </w:t>
      </w:r>
      <w:r w:rsidR="00C613A0">
        <w:rPr>
          <w:sz w:val="22"/>
          <w:szCs w:val="22"/>
        </w:rPr>
        <w:t xml:space="preserve"> </w:t>
      </w:r>
      <w:r w:rsidR="00833633">
        <w:rPr>
          <w:sz w:val="22"/>
          <w:szCs w:val="22"/>
        </w:rPr>
        <w:t xml:space="preserve">After the 2014 IRP is released the Company will transition to a </w:t>
      </w:r>
      <w:r w:rsidR="000A3A1F">
        <w:rPr>
          <w:sz w:val="22"/>
          <w:szCs w:val="22"/>
        </w:rPr>
        <w:t>separate</w:t>
      </w:r>
      <w:r w:rsidR="00833633">
        <w:rPr>
          <w:sz w:val="22"/>
          <w:szCs w:val="22"/>
        </w:rPr>
        <w:t xml:space="preserve"> Conservation Plan for its conservation planning purposes. </w:t>
      </w:r>
      <w:r w:rsidR="00C613A0">
        <w:rPr>
          <w:sz w:val="22"/>
          <w:szCs w:val="22"/>
        </w:rPr>
        <w:t xml:space="preserve"> </w:t>
      </w:r>
      <w:r w:rsidR="00833633">
        <w:rPr>
          <w:sz w:val="22"/>
          <w:szCs w:val="22"/>
        </w:rPr>
        <w:t>The first iteration of this plan will be released in the end of C</w:t>
      </w:r>
      <w:r w:rsidR="00A75171">
        <w:rPr>
          <w:sz w:val="22"/>
          <w:szCs w:val="22"/>
        </w:rPr>
        <w:t xml:space="preserve">alendar </w:t>
      </w:r>
      <w:r w:rsidR="00833633">
        <w:rPr>
          <w:sz w:val="22"/>
          <w:szCs w:val="22"/>
        </w:rPr>
        <w:t>Y</w:t>
      </w:r>
      <w:r w:rsidR="00A75171">
        <w:rPr>
          <w:sz w:val="22"/>
          <w:szCs w:val="22"/>
        </w:rPr>
        <w:t>ear</w:t>
      </w:r>
      <w:r w:rsidR="00833633">
        <w:rPr>
          <w:sz w:val="22"/>
          <w:szCs w:val="22"/>
        </w:rPr>
        <w:t xml:space="preserve"> 2015 as a reiteration of the data contained in the 2014 IRP. </w:t>
      </w:r>
      <w:r w:rsidR="00C613A0">
        <w:rPr>
          <w:sz w:val="22"/>
          <w:szCs w:val="22"/>
        </w:rPr>
        <w:t xml:space="preserve"> </w:t>
      </w:r>
      <w:r w:rsidR="00833633">
        <w:rPr>
          <w:sz w:val="22"/>
          <w:szCs w:val="22"/>
        </w:rPr>
        <w:t xml:space="preserve">Future DSM sections of the IRP will contain a brief synopsis of the Company’s Conservation Programs with the planning mechanism transitioning to the standalone Conservation Plan.   </w:t>
      </w:r>
    </w:p>
    <w:p w:rsidR="00812C7F" w:rsidRDefault="00812C7F" w:rsidP="000C0D54">
      <w:pPr>
        <w:rPr>
          <w:sz w:val="22"/>
          <w:szCs w:val="22"/>
        </w:rPr>
      </w:pPr>
    </w:p>
    <w:p w:rsidR="00812C7F" w:rsidRPr="00955B55" w:rsidRDefault="00812C7F" w:rsidP="000C0D54">
      <w:pPr>
        <w:rPr>
          <w:sz w:val="22"/>
          <w:szCs w:val="22"/>
        </w:rPr>
      </w:pPr>
      <w:r>
        <w:rPr>
          <w:sz w:val="22"/>
          <w:szCs w:val="22"/>
        </w:rPr>
        <w:t xml:space="preserve">Please </w:t>
      </w:r>
      <w:r w:rsidR="00404401">
        <w:rPr>
          <w:sz w:val="22"/>
          <w:szCs w:val="22"/>
        </w:rPr>
        <w:t>Note: P</w:t>
      </w:r>
      <w:r>
        <w:rPr>
          <w:sz w:val="22"/>
          <w:szCs w:val="22"/>
        </w:rPr>
        <w:t>r</w:t>
      </w:r>
      <w:r w:rsidR="00E071A4">
        <w:rPr>
          <w:sz w:val="22"/>
          <w:szCs w:val="22"/>
        </w:rPr>
        <w:t>ogram achievements for 201</w:t>
      </w:r>
      <w:r w:rsidR="000A3A1F">
        <w:rPr>
          <w:sz w:val="22"/>
          <w:szCs w:val="22"/>
        </w:rPr>
        <w:t>4</w:t>
      </w:r>
      <w:r w:rsidR="00E071A4">
        <w:rPr>
          <w:sz w:val="22"/>
          <w:szCs w:val="22"/>
        </w:rPr>
        <w:t xml:space="preserve"> have been assessed based </w:t>
      </w:r>
      <w:r>
        <w:rPr>
          <w:sz w:val="22"/>
          <w:szCs w:val="22"/>
        </w:rPr>
        <w:t>on a lon</w:t>
      </w:r>
      <w:r w:rsidR="007C7F01">
        <w:rPr>
          <w:sz w:val="22"/>
          <w:szCs w:val="22"/>
        </w:rPr>
        <w:t xml:space="preserve">g term discount rate of 4.17%.  </w:t>
      </w:r>
      <w:r>
        <w:rPr>
          <w:sz w:val="22"/>
          <w:szCs w:val="22"/>
        </w:rPr>
        <w:t xml:space="preserve">This is the standard </w:t>
      </w:r>
      <w:r w:rsidR="00E071A4">
        <w:rPr>
          <w:sz w:val="22"/>
          <w:szCs w:val="22"/>
        </w:rPr>
        <w:t>that has consistently</w:t>
      </w:r>
      <w:r>
        <w:rPr>
          <w:sz w:val="22"/>
          <w:szCs w:val="22"/>
        </w:rPr>
        <w:t xml:space="preserve"> </w:t>
      </w:r>
      <w:r w:rsidR="000A3A1F">
        <w:rPr>
          <w:sz w:val="22"/>
          <w:szCs w:val="22"/>
        </w:rPr>
        <w:t xml:space="preserve">been </w:t>
      </w:r>
      <w:r>
        <w:rPr>
          <w:sz w:val="22"/>
          <w:szCs w:val="22"/>
        </w:rPr>
        <w:t>used by Cascade for the purposes of program reporting.</w:t>
      </w:r>
      <w:r w:rsidR="00A75171">
        <w:rPr>
          <w:sz w:val="22"/>
          <w:szCs w:val="22"/>
        </w:rPr>
        <w:t xml:space="preserve"> </w:t>
      </w:r>
      <w:r w:rsidR="00C613A0">
        <w:rPr>
          <w:sz w:val="22"/>
          <w:szCs w:val="22"/>
        </w:rPr>
        <w:t xml:space="preserve"> </w:t>
      </w:r>
      <w:r w:rsidR="007C7F01">
        <w:rPr>
          <w:sz w:val="22"/>
          <w:szCs w:val="22"/>
        </w:rPr>
        <w:t>A</w:t>
      </w:r>
      <w:r w:rsidR="000A3A1F">
        <w:rPr>
          <w:sz w:val="22"/>
          <w:szCs w:val="22"/>
        </w:rPr>
        <w:t>s occurred last year</w:t>
      </w:r>
      <w:r w:rsidR="004540C6">
        <w:rPr>
          <w:sz w:val="22"/>
          <w:szCs w:val="22"/>
        </w:rPr>
        <w:t xml:space="preserve">, this year’s report includes discrete non-energy benefits in an attempt to </w:t>
      </w:r>
      <w:r w:rsidR="0053523E">
        <w:rPr>
          <w:sz w:val="22"/>
          <w:szCs w:val="22"/>
        </w:rPr>
        <w:t xml:space="preserve">approach the value of energy efficiency measures in a more nuanced manner </w:t>
      </w:r>
      <w:r w:rsidR="0027015A">
        <w:rPr>
          <w:sz w:val="22"/>
          <w:szCs w:val="22"/>
        </w:rPr>
        <w:t>for our residential programs</w:t>
      </w:r>
      <w:r w:rsidR="000A3A1F">
        <w:rPr>
          <w:sz w:val="22"/>
          <w:szCs w:val="22"/>
        </w:rPr>
        <w:t xml:space="preserve">. </w:t>
      </w:r>
      <w:r w:rsidR="007C7F01">
        <w:rPr>
          <w:sz w:val="22"/>
          <w:szCs w:val="22"/>
        </w:rPr>
        <w:t xml:space="preserve"> </w:t>
      </w:r>
      <w:r w:rsidR="00D8174F">
        <w:rPr>
          <w:sz w:val="22"/>
          <w:szCs w:val="22"/>
        </w:rPr>
        <w:t xml:space="preserve">After performing a </w:t>
      </w:r>
      <w:r w:rsidR="001B4F5B">
        <w:rPr>
          <w:sz w:val="22"/>
          <w:szCs w:val="22"/>
        </w:rPr>
        <w:t xml:space="preserve">non-energy benefits analysis for the Company’s Commercial programs </w:t>
      </w:r>
      <w:r w:rsidR="00464625">
        <w:rPr>
          <w:sz w:val="22"/>
          <w:szCs w:val="22"/>
        </w:rPr>
        <w:t>the Company has</w:t>
      </w:r>
      <w:r w:rsidR="001B4F5B">
        <w:rPr>
          <w:sz w:val="22"/>
          <w:szCs w:val="22"/>
        </w:rPr>
        <w:t xml:space="preserve"> </w:t>
      </w:r>
      <w:r w:rsidR="00464625">
        <w:rPr>
          <w:sz w:val="22"/>
          <w:szCs w:val="22"/>
        </w:rPr>
        <w:t>further</w:t>
      </w:r>
      <w:r w:rsidR="001B4F5B">
        <w:rPr>
          <w:sz w:val="22"/>
          <w:szCs w:val="22"/>
        </w:rPr>
        <w:t xml:space="preserve"> </w:t>
      </w:r>
      <w:r w:rsidR="000A3A1F">
        <w:rPr>
          <w:sz w:val="22"/>
          <w:szCs w:val="22"/>
        </w:rPr>
        <w:t xml:space="preserve">integrated this approach for </w:t>
      </w:r>
      <w:r w:rsidR="001B4F5B">
        <w:rPr>
          <w:sz w:val="22"/>
          <w:szCs w:val="22"/>
        </w:rPr>
        <w:t>the</w:t>
      </w:r>
      <w:r w:rsidR="000A3A1F">
        <w:rPr>
          <w:sz w:val="22"/>
          <w:szCs w:val="22"/>
        </w:rPr>
        <w:t xml:space="preserve"> commercial </w:t>
      </w:r>
      <w:proofErr w:type="gramStart"/>
      <w:r w:rsidR="000A3A1F">
        <w:rPr>
          <w:sz w:val="22"/>
          <w:szCs w:val="22"/>
        </w:rPr>
        <w:t>sector</w:t>
      </w:r>
      <w:proofErr w:type="gramEnd"/>
      <w:r w:rsidR="000A3A1F">
        <w:rPr>
          <w:sz w:val="22"/>
          <w:szCs w:val="22"/>
        </w:rPr>
        <w:t xml:space="preserve"> in </w:t>
      </w:r>
      <w:r w:rsidR="001B4F5B">
        <w:rPr>
          <w:sz w:val="22"/>
          <w:szCs w:val="22"/>
        </w:rPr>
        <w:t xml:space="preserve">the </w:t>
      </w:r>
      <w:r w:rsidR="000A3A1F">
        <w:rPr>
          <w:sz w:val="22"/>
          <w:szCs w:val="22"/>
        </w:rPr>
        <w:t xml:space="preserve">2014 </w:t>
      </w:r>
      <w:r w:rsidR="001B4F5B">
        <w:rPr>
          <w:sz w:val="22"/>
          <w:szCs w:val="22"/>
        </w:rPr>
        <w:t>report</w:t>
      </w:r>
      <w:r w:rsidR="0053523E">
        <w:rPr>
          <w:sz w:val="22"/>
          <w:szCs w:val="22"/>
        </w:rPr>
        <w:t xml:space="preserve"> as opposed to a simple 10% across-the-board adder</w:t>
      </w:r>
      <w:r w:rsidR="00464625">
        <w:rPr>
          <w:sz w:val="22"/>
          <w:szCs w:val="22"/>
        </w:rPr>
        <w:t xml:space="preserve"> (as is still in place for the Low Income program)</w:t>
      </w:r>
      <w:r w:rsidR="0053523E">
        <w:rPr>
          <w:sz w:val="22"/>
          <w:szCs w:val="22"/>
        </w:rPr>
        <w:t xml:space="preserve">.  These </w:t>
      </w:r>
      <w:r w:rsidR="00A75171">
        <w:rPr>
          <w:sz w:val="22"/>
          <w:szCs w:val="22"/>
        </w:rPr>
        <w:t xml:space="preserve">non-energy </w:t>
      </w:r>
      <w:r w:rsidR="0053523E">
        <w:rPr>
          <w:sz w:val="22"/>
          <w:szCs w:val="22"/>
        </w:rPr>
        <w:t xml:space="preserve">benefits </w:t>
      </w:r>
      <w:r w:rsidR="00A75171">
        <w:rPr>
          <w:sz w:val="22"/>
          <w:szCs w:val="22"/>
        </w:rPr>
        <w:t xml:space="preserve">traditionally </w:t>
      </w:r>
      <w:r w:rsidR="0053523E">
        <w:rPr>
          <w:sz w:val="22"/>
          <w:szCs w:val="22"/>
        </w:rPr>
        <w:t>have the greatest impact on the T</w:t>
      </w:r>
      <w:r w:rsidR="00A75171">
        <w:rPr>
          <w:sz w:val="22"/>
          <w:szCs w:val="22"/>
        </w:rPr>
        <w:t xml:space="preserve">otal </w:t>
      </w:r>
      <w:r w:rsidR="0053523E">
        <w:rPr>
          <w:sz w:val="22"/>
          <w:szCs w:val="22"/>
        </w:rPr>
        <w:t>R</w:t>
      </w:r>
      <w:r w:rsidR="00A75171">
        <w:rPr>
          <w:sz w:val="22"/>
          <w:szCs w:val="22"/>
        </w:rPr>
        <w:t xml:space="preserve">esource </w:t>
      </w:r>
      <w:r w:rsidR="0053523E">
        <w:rPr>
          <w:sz w:val="22"/>
          <w:szCs w:val="22"/>
        </w:rPr>
        <w:t>C</w:t>
      </w:r>
      <w:r w:rsidR="00A75171">
        <w:rPr>
          <w:sz w:val="22"/>
          <w:szCs w:val="22"/>
        </w:rPr>
        <w:t>ost Test</w:t>
      </w:r>
      <w:r w:rsidR="0053523E">
        <w:rPr>
          <w:sz w:val="22"/>
          <w:szCs w:val="22"/>
        </w:rPr>
        <w:t xml:space="preserve">.  For the purposes of program valuation and the continuation of robust, multi-faceted energy conservation programs, Cascade </w:t>
      </w:r>
      <w:r w:rsidR="000A3A1F">
        <w:rPr>
          <w:sz w:val="22"/>
          <w:szCs w:val="22"/>
        </w:rPr>
        <w:t>continues to utilize</w:t>
      </w:r>
      <w:r w:rsidR="0053523E">
        <w:rPr>
          <w:sz w:val="22"/>
          <w:szCs w:val="22"/>
        </w:rPr>
        <w:t xml:space="preserve"> the Utility Cost/Program Administrator Cost test as is allowed under UG-121207</w:t>
      </w:r>
      <w:r w:rsidR="000A3A1F">
        <w:rPr>
          <w:sz w:val="22"/>
          <w:szCs w:val="22"/>
        </w:rPr>
        <w:t xml:space="preserve"> in </w:t>
      </w:r>
      <w:r w:rsidR="00464625">
        <w:rPr>
          <w:sz w:val="22"/>
          <w:szCs w:val="22"/>
        </w:rPr>
        <w:t>accordance</w:t>
      </w:r>
      <w:r w:rsidR="000A3A1F">
        <w:rPr>
          <w:sz w:val="22"/>
          <w:szCs w:val="22"/>
        </w:rPr>
        <w:t xml:space="preserve"> with </w:t>
      </w:r>
      <w:r w:rsidR="00A75171">
        <w:rPr>
          <w:sz w:val="22"/>
          <w:szCs w:val="22"/>
        </w:rPr>
        <w:t xml:space="preserve">guidance from </w:t>
      </w:r>
      <w:r w:rsidR="000A3A1F">
        <w:rPr>
          <w:sz w:val="22"/>
          <w:szCs w:val="22"/>
        </w:rPr>
        <w:t>our Conservation Advisory Group</w:t>
      </w:r>
      <w:r w:rsidR="0053523E">
        <w:rPr>
          <w:sz w:val="22"/>
          <w:szCs w:val="22"/>
        </w:rPr>
        <w:t>.</w:t>
      </w:r>
    </w:p>
    <w:p w:rsidR="00C80292" w:rsidRPr="00955B55" w:rsidRDefault="00C80292" w:rsidP="000C0D54">
      <w:pPr>
        <w:rPr>
          <w:sz w:val="22"/>
          <w:szCs w:val="22"/>
        </w:rPr>
      </w:pPr>
    </w:p>
    <w:p w:rsidR="00924525" w:rsidRPr="00955B55" w:rsidRDefault="00245F43" w:rsidP="00924525">
      <w:pPr>
        <w:rPr>
          <w:b/>
          <w:sz w:val="22"/>
          <w:szCs w:val="22"/>
        </w:rPr>
      </w:pPr>
      <w:r w:rsidRPr="00955B55">
        <w:rPr>
          <w:b/>
          <w:sz w:val="22"/>
          <w:szCs w:val="22"/>
        </w:rPr>
        <w:t>Summary</w:t>
      </w:r>
      <w:r w:rsidR="0029719F" w:rsidRPr="00955B55">
        <w:rPr>
          <w:b/>
          <w:sz w:val="22"/>
          <w:szCs w:val="22"/>
        </w:rPr>
        <w:t xml:space="preserve"> of</w:t>
      </w:r>
      <w:r w:rsidR="001059CB" w:rsidRPr="00955B55">
        <w:rPr>
          <w:b/>
          <w:sz w:val="22"/>
          <w:szCs w:val="22"/>
        </w:rPr>
        <w:t xml:space="preserve"> </w:t>
      </w:r>
      <w:r w:rsidR="00F33845" w:rsidRPr="00955B55">
        <w:rPr>
          <w:b/>
          <w:sz w:val="22"/>
          <w:szCs w:val="22"/>
        </w:rPr>
        <w:t>201</w:t>
      </w:r>
      <w:r w:rsidR="000A3A1F">
        <w:rPr>
          <w:b/>
          <w:sz w:val="22"/>
          <w:szCs w:val="22"/>
        </w:rPr>
        <w:t>4</w:t>
      </w:r>
      <w:r w:rsidR="00F33845" w:rsidRPr="00955B55">
        <w:rPr>
          <w:b/>
          <w:sz w:val="22"/>
          <w:szCs w:val="22"/>
        </w:rPr>
        <w:t xml:space="preserve"> </w:t>
      </w:r>
      <w:r w:rsidR="00D9013E" w:rsidRPr="00955B55">
        <w:rPr>
          <w:b/>
          <w:sz w:val="22"/>
          <w:szCs w:val="22"/>
        </w:rPr>
        <w:t>Program</w:t>
      </w:r>
      <w:r w:rsidR="001059CB" w:rsidRPr="00955B55">
        <w:rPr>
          <w:b/>
          <w:sz w:val="22"/>
          <w:szCs w:val="22"/>
        </w:rPr>
        <w:t xml:space="preserve"> </w:t>
      </w:r>
      <w:r w:rsidR="0029719F" w:rsidRPr="00955B55">
        <w:rPr>
          <w:b/>
          <w:sz w:val="22"/>
          <w:szCs w:val="22"/>
        </w:rPr>
        <w:t>Achievements</w:t>
      </w:r>
    </w:p>
    <w:p w:rsidR="0041631C" w:rsidRPr="00955B55" w:rsidRDefault="0041631C" w:rsidP="00924525">
      <w:pPr>
        <w:rPr>
          <w:b/>
          <w:sz w:val="22"/>
          <w:szCs w:val="22"/>
        </w:rPr>
      </w:pPr>
    </w:p>
    <w:p w:rsidR="0041631C" w:rsidRPr="00955B55" w:rsidRDefault="0041631C" w:rsidP="0041631C">
      <w:pPr>
        <w:rPr>
          <w:i/>
          <w:sz w:val="22"/>
          <w:szCs w:val="22"/>
        </w:rPr>
      </w:pPr>
      <w:r w:rsidRPr="00955B55">
        <w:rPr>
          <w:i/>
          <w:sz w:val="22"/>
          <w:szCs w:val="22"/>
        </w:rPr>
        <w:t xml:space="preserve">Residential and Commercial </w:t>
      </w:r>
    </w:p>
    <w:p w:rsidR="0041631C" w:rsidRPr="00955B55" w:rsidRDefault="0041631C" w:rsidP="0041631C">
      <w:pPr>
        <w:rPr>
          <w:i/>
          <w:sz w:val="22"/>
          <w:szCs w:val="22"/>
        </w:rPr>
      </w:pPr>
    </w:p>
    <w:p w:rsidR="00E97EFB" w:rsidRDefault="00B77385" w:rsidP="006A1401">
      <w:pPr>
        <w:rPr>
          <w:sz w:val="22"/>
          <w:szCs w:val="22"/>
        </w:rPr>
      </w:pPr>
      <w:r w:rsidRPr="00955B55">
        <w:rPr>
          <w:sz w:val="22"/>
          <w:szCs w:val="22"/>
        </w:rPr>
        <w:t xml:space="preserve">In Calendar Year </w:t>
      </w:r>
      <w:r w:rsidR="008F7E66" w:rsidRPr="00955B55">
        <w:rPr>
          <w:sz w:val="22"/>
          <w:szCs w:val="22"/>
        </w:rPr>
        <w:t>201</w:t>
      </w:r>
      <w:r w:rsidR="00464625">
        <w:rPr>
          <w:sz w:val="22"/>
          <w:szCs w:val="22"/>
        </w:rPr>
        <w:t>4</w:t>
      </w:r>
      <w:r w:rsidRPr="00955B55">
        <w:rPr>
          <w:sz w:val="22"/>
          <w:szCs w:val="22"/>
        </w:rPr>
        <w:t xml:space="preserve">, </w:t>
      </w:r>
      <w:r w:rsidR="0041631C" w:rsidRPr="00955B55">
        <w:rPr>
          <w:sz w:val="22"/>
          <w:szCs w:val="22"/>
        </w:rPr>
        <w:t xml:space="preserve">Cascade Natural Gas Corporation </w:t>
      </w:r>
      <w:r w:rsidR="00480800" w:rsidRPr="00955B55">
        <w:rPr>
          <w:sz w:val="22"/>
          <w:szCs w:val="22"/>
        </w:rPr>
        <w:t xml:space="preserve">has achieved a deemed </w:t>
      </w:r>
      <w:proofErr w:type="spellStart"/>
      <w:r w:rsidR="0041631C" w:rsidRPr="00955B55">
        <w:rPr>
          <w:sz w:val="22"/>
          <w:szCs w:val="22"/>
        </w:rPr>
        <w:t>therm</w:t>
      </w:r>
      <w:proofErr w:type="spellEnd"/>
      <w:r w:rsidR="0041631C" w:rsidRPr="00955B55">
        <w:rPr>
          <w:sz w:val="22"/>
          <w:szCs w:val="22"/>
        </w:rPr>
        <w:t xml:space="preserve"> savings of</w:t>
      </w:r>
      <w:r w:rsidR="0041631C" w:rsidRPr="00955B55">
        <w:rPr>
          <w:b/>
          <w:sz w:val="22"/>
          <w:szCs w:val="22"/>
        </w:rPr>
        <w:t xml:space="preserve"> </w:t>
      </w:r>
      <w:r w:rsidR="00B217E3">
        <w:rPr>
          <w:b/>
          <w:sz w:val="22"/>
          <w:szCs w:val="22"/>
        </w:rPr>
        <w:t>167,234</w:t>
      </w:r>
      <w:r w:rsidR="007D0583" w:rsidRPr="00955B55">
        <w:rPr>
          <w:b/>
          <w:sz w:val="22"/>
          <w:szCs w:val="22"/>
        </w:rPr>
        <w:t xml:space="preserve"> </w:t>
      </w:r>
      <w:r w:rsidR="00BF5004" w:rsidRPr="00955B55">
        <w:rPr>
          <w:sz w:val="22"/>
          <w:szCs w:val="22"/>
        </w:rPr>
        <w:t xml:space="preserve">in its </w:t>
      </w:r>
      <w:r w:rsidR="00BF5004" w:rsidRPr="00955B55">
        <w:rPr>
          <w:b/>
          <w:sz w:val="22"/>
          <w:szCs w:val="22"/>
        </w:rPr>
        <w:t>residential</w:t>
      </w:r>
      <w:r w:rsidR="00BF5004" w:rsidRPr="00955B55">
        <w:rPr>
          <w:sz w:val="22"/>
          <w:szCs w:val="22"/>
        </w:rPr>
        <w:t xml:space="preserve"> program</w:t>
      </w:r>
      <w:r w:rsidR="00B944F6">
        <w:rPr>
          <w:sz w:val="22"/>
          <w:szCs w:val="22"/>
        </w:rPr>
        <w:t>.</w:t>
      </w:r>
      <w:r w:rsidR="00BF5004" w:rsidRPr="00955B55">
        <w:rPr>
          <w:sz w:val="22"/>
          <w:szCs w:val="22"/>
        </w:rPr>
        <w:t xml:space="preserve"> </w:t>
      </w:r>
      <w:r w:rsidR="00B944F6">
        <w:rPr>
          <w:sz w:val="22"/>
          <w:szCs w:val="22"/>
        </w:rPr>
        <w:t xml:space="preserve">This is </w:t>
      </w:r>
      <w:r w:rsidR="006D5B0D">
        <w:rPr>
          <w:sz w:val="22"/>
          <w:szCs w:val="22"/>
        </w:rPr>
        <w:t>74</w:t>
      </w:r>
      <w:r w:rsidR="00B944F6">
        <w:rPr>
          <w:sz w:val="22"/>
          <w:szCs w:val="22"/>
        </w:rPr>
        <w:t>% of the Company’s</w:t>
      </w:r>
      <w:r w:rsidR="006D5B0D">
        <w:rPr>
          <w:sz w:val="22"/>
          <w:szCs w:val="22"/>
        </w:rPr>
        <w:t xml:space="preserve"> </w:t>
      </w:r>
      <w:r w:rsidR="00B944F6">
        <w:rPr>
          <w:sz w:val="22"/>
          <w:szCs w:val="22"/>
        </w:rPr>
        <w:t xml:space="preserve">projected </w:t>
      </w:r>
      <w:r w:rsidR="00A75171">
        <w:rPr>
          <w:sz w:val="22"/>
          <w:szCs w:val="22"/>
        </w:rPr>
        <w:t xml:space="preserve">aggressive </w:t>
      </w:r>
      <w:r w:rsidR="00B944F6">
        <w:rPr>
          <w:sz w:val="22"/>
          <w:szCs w:val="22"/>
        </w:rPr>
        <w:t>savings</w:t>
      </w:r>
      <w:r w:rsidR="00A75171">
        <w:rPr>
          <w:sz w:val="22"/>
          <w:szCs w:val="22"/>
        </w:rPr>
        <w:t xml:space="preserve"> goal</w:t>
      </w:r>
      <w:r w:rsidR="00220132">
        <w:rPr>
          <w:sz w:val="22"/>
          <w:szCs w:val="22"/>
        </w:rPr>
        <w:t xml:space="preserve"> </w:t>
      </w:r>
      <w:r w:rsidR="002E4F0D">
        <w:rPr>
          <w:sz w:val="22"/>
          <w:szCs w:val="22"/>
        </w:rPr>
        <w:t xml:space="preserve">of 226,382 </w:t>
      </w:r>
      <w:proofErr w:type="spellStart"/>
      <w:r w:rsidR="002E4F0D">
        <w:rPr>
          <w:sz w:val="22"/>
          <w:szCs w:val="22"/>
        </w:rPr>
        <w:t>therms</w:t>
      </w:r>
      <w:proofErr w:type="spellEnd"/>
      <w:r w:rsidR="002E4F0D">
        <w:rPr>
          <w:sz w:val="22"/>
          <w:szCs w:val="22"/>
        </w:rPr>
        <w:t xml:space="preserve"> </w:t>
      </w:r>
      <w:r w:rsidR="00220132">
        <w:rPr>
          <w:sz w:val="22"/>
          <w:szCs w:val="22"/>
        </w:rPr>
        <w:t>and</w:t>
      </w:r>
      <w:r w:rsidR="00324704">
        <w:rPr>
          <w:sz w:val="22"/>
          <w:szCs w:val="22"/>
        </w:rPr>
        <w:t xml:space="preserve"> a</w:t>
      </w:r>
      <w:r w:rsidR="001A41D4">
        <w:rPr>
          <w:sz w:val="22"/>
          <w:szCs w:val="22"/>
        </w:rPr>
        <w:t xml:space="preserve"> </w:t>
      </w:r>
      <w:r w:rsidR="00FA1636">
        <w:rPr>
          <w:sz w:val="22"/>
          <w:szCs w:val="22"/>
        </w:rPr>
        <w:t xml:space="preserve">decrease of approximately </w:t>
      </w:r>
      <w:r w:rsidR="006D5B0D">
        <w:rPr>
          <w:sz w:val="22"/>
          <w:szCs w:val="22"/>
        </w:rPr>
        <w:t>16,000</w:t>
      </w:r>
      <w:r w:rsidR="00324704">
        <w:rPr>
          <w:sz w:val="22"/>
          <w:szCs w:val="22"/>
        </w:rPr>
        <w:t xml:space="preserve"> </w:t>
      </w:r>
      <w:proofErr w:type="spellStart"/>
      <w:r w:rsidR="00324704">
        <w:rPr>
          <w:sz w:val="22"/>
          <w:szCs w:val="22"/>
        </w:rPr>
        <w:t>therms</w:t>
      </w:r>
      <w:proofErr w:type="spellEnd"/>
      <w:r w:rsidR="00324704">
        <w:rPr>
          <w:sz w:val="22"/>
          <w:szCs w:val="22"/>
        </w:rPr>
        <w:t xml:space="preserve"> from the </w:t>
      </w:r>
      <w:r w:rsidR="007C7F01">
        <w:rPr>
          <w:sz w:val="22"/>
          <w:szCs w:val="22"/>
        </w:rPr>
        <w:t>previous</w:t>
      </w:r>
      <w:r w:rsidR="00E97EFB">
        <w:rPr>
          <w:sz w:val="22"/>
          <w:szCs w:val="22"/>
        </w:rPr>
        <w:t xml:space="preserve"> </w:t>
      </w:r>
      <w:r w:rsidR="00324704">
        <w:rPr>
          <w:sz w:val="22"/>
          <w:szCs w:val="22"/>
        </w:rPr>
        <w:lastRenderedPageBreak/>
        <w:t>year</w:t>
      </w:r>
      <w:r w:rsidR="00E97EFB">
        <w:rPr>
          <w:sz w:val="22"/>
          <w:szCs w:val="22"/>
        </w:rPr>
        <w:t xml:space="preserve"> as reflected for Calendar Year 2013</w:t>
      </w:r>
      <w:r w:rsidR="00FA1636">
        <w:rPr>
          <w:sz w:val="22"/>
          <w:szCs w:val="22"/>
        </w:rPr>
        <w:t xml:space="preserve"> </w:t>
      </w:r>
      <w:r w:rsidR="00E97EFB">
        <w:rPr>
          <w:sz w:val="22"/>
          <w:szCs w:val="22"/>
        </w:rPr>
        <w:t>program savings and accomplishments which have been updated at the end of this report.</w:t>
      </w:r>
      <w:r w:rsidR="00324704">
        <w:rPr>
          <w:sz w:val="22"/>
          <w:szCs w:val="22"/>
        </w:rPr>
        <w:t xml:space="preserve"> </w:t>
      </w:r>
    </w:p>
    <w:p w:rsidR="00E97EFB" w:rsidRDefault="00E97EFB" w:rsidP="006A1401">
      <w:pPr>
        <w:rPr>
          <w:sz w:val="22"/>
          <w:szCs w:val="22"/>
        </w:rPr>
      </w:pPr>
    </w:p>
    <w:p w:rsidR="00AD7C69" w:rsidRDefault="00324704" w:rsidP="006A1401">
      <w:pPr>
        <w:rPr>
          <w:sz w:val="22"/>
          <w:szCs w:val="22"/>
        </w:rPr>
      </w:pPr>
      <w:r>
        <w:rPr>
          <w:sz w:val="22"/>
          <w:szCs w:val="22"/>
        </w:rPr>
        <w:t xml:space="preserve">Cascade achieved a deemed </w:t>
      </w:r>
      <w:proofErr w:type="spellStart"/>
      <w:r>
        <w:rPr>
          <w:sz w:val="22"/>
          <w:szCs w:val="22"/>
        </w:rPr>
        <w:t>therm</w:t>
      </w:r>
      <w:proofErr w:type="spellEnd"/>
      <w:r>
        <w:rPr>
          <w:sz w:val="22"/>
          <w:szCs w:val="22"/>
        </w:rPr>
        <w:t xml:space="preserve"> savings of</w:t>
      </w:r>
      <w:r w:rsidR="00BF5004" w:rsidRPr="00955B55">
        <w:rPr>
          <w:sz w:val="22"/>
          <w:szCs w:val="22"/>
        </w:rPr>
        <w:t xml:space="preserve"> </w:t>
      </w:r>
      <w:r w:rsidR="006D5B0D">
        <w:rPr>
          <w:b/>
          <w:sz w:val="22"/>
          <w:szCs w:val="22"/>
        </w:rPr>
        <w:t>465,176</w:t>
      </w:r>
      <w:r w:rsidR="003A10DF" w:rsidRPr="00955B55">
        <w:rPr>
          <w:b/>
          <w:sz w:val="22"/>
          <w:szCs w:val="22"/>
        </w:rPr>
        <w:t xml:space="preserve"> </w:t>
      </w:r>
      <w:r w:rsidR="00BF5004" w:rsidRPr="00955B55">
        <w:rPr>
          <w:sz w:val="22"/>
          <w:szCs w:val="22"/>
        </w:rPr>
        <w:t xml:space="preserve">in its </w:t>
      </w:r>
      <w:r w:rsidR="00BF5004" w:rsidRPr="00955B55">
        <w:rPr>
          <w:b/>
          <w:sz w:val="22"/>
          <w:szCs w:val="22"/>
        </w:rPr>
        <w:t>commercial</w:t>
      </w:r>
      <w:r w:rsidR="00BF5004" w:rsidRPr="00955B55">
        <w:rPr>
          <w:sz w:val="22"/>
          <w:szCs w:val="22"/>
        </w:rPr>
        <w:t xml:space="preserve"> program. </w:t>
      </w:r>
      <w:r w:rsidR="00C613A0">
        <w:rPr>
          <w:sz w:val="22"/>
          <w:szCs w:val="22"/>
        </w:rPr>
        <w:t xml:space="preserve"> </w:t>
      </w:r>
      <w:r w:rsidR="009B1C5A">
        <w:rPr>
          <w:sz w:val="22"/>
          <w:szCs w:val="22"/>
        </w:rPr>
        <w:t xml:space="preserve">This is </w:t>
      </w:r>
      <w:r w:rsidR="006D5B0D">
        <w:rPr>
          <w:sz w:val="22"/>
          <w:szCs w:val="22"/>
        </w:rPr>
        <w:t>137</w:t>
      </w:r>
      <w:r w:rsidR="009B1C5A">
        <w:rPr>
          <w:sz w:val="22"/>
          <w:szCs w:val="22"/>
        </w:rPr>
        <w:t xml:space="preserve">% of the Company’s projected savings </w:t>
      </w:r>
      <w:r w:rsidR="006D5B0D">
        <w:rPr>
          <w:sz w:val="22"/>
          <w:szCs w:val="22"/>
        </w:rPr>
        <w:t xml:space="preserve">(339,768 for CY 2014) </w:t>
      </w:r>
      <w:r w:rsidR="009B1C5A">
        <w:rPr>
          <w:sz w:val="22"/>
          <w:szCs w:val="22"/>
        </w:rPr>
        <w:t>and a</w:t>
      </w:r>
      <w:r w:rsidR="006D5B0D">
        <w:rPr>
          <w:sz w:val="22"/>
          <w:szCs w:val="22"/>
        </w:rPr>
        <w:t>n increase</w:t>
      </w:r>
      <w:r w:rsidR="009B1C5A">
        <w:rPr>
          <w:sz w:val="22"/>
          <w:szCs w:val="22"/>
        </w:rPr>
        <w:t xml:space="preserve"> of approximately </w:t>
      </w:r>
      <w:r w:rsidR="006D5B0D">
        <w:rPr>
          <w:sz w:val="22"/>
          <w:szCs w:val="22"/>
        </w:rPr>
        <w:t>177,000</w:t>
      </w:r>
      <w:r w:rsidR="009B1C5A">
        <w:rPr>
          <w:sz w:val="22"/>
          <w:szCs w:val="22"/>
        </w:rPr>
        <w:t xml:space="preserve"> </w:t>
      </w:r>
      <w:proofErr w:type="spellStart"/>
      <w:r w:rsidR="009B1C5A">
        <w:rPr>
          <w:sz w:val="22"/>
          <w:szCs w:val="22"/>
        </w:rPr>
        <w:t>therms</w:t>
      </w:r>
      <w:proofErr w:type="spellEnd"/>
      <w:r w:rsidR="009B1C5A">
        <w:rPr>
          <w:sz w:val="22"/>
          <w:szCs w:val="22"/>
        </w:rPr>
        <w:t xml:space="preserve"> </w:t>
      </w:r>
      <w:r w:rsidR="006D5B0D">
        <w:rPr>
          <w:sz w:val="22"/>
          <w:szCs w:val="22"/>
        </w:rPr>
        <w:t xml:space="preserve">above </w:t>
      </w:r>
      <w:r w:rsidR="00B71830">
        <w:rPr>
          <w:sz w:val="22"/>
          <w:szCs w:val="22"/>
        </w:rPr>
        <w:t>the level from</w:t>
      </w:r>
      <w:r w:rsidR="009B1C5A">
        <w:rPr>
          <w:sz w:val="22"/>
          <w:szCs w:val="22"/>
        </w:rPr>
        <w:t xml:space="preserve"> the prior year.</w:t>
      </w:r>
      <w:r w:rsidR="00A344AD">
        <w:rPr>
          <w:sz w:val="22"/>
          <w:szCs w:val="22"/>
        </w:rPr>
        <w:t xml:space="preserve"> </w:t>
      </w:r>
    </w:p>
    <w:p w:rsidR="00AD7C69" w:rsidRDefault="00AD7C69" w:rsidP="006A1401">
      <w:pPr>
        <w:rPr>
          <w:sz w:val="22"/>
          <w:szCs w:val="22"/>
        </w:rPr>
      </w:pPr>
    </w:p>
    <w:p w:rsidR="00AD7C69" w:rsidRPr="0061638E" w:rsidRDefault="00AD7C69" w:rsidP="006A1401">
      <w:pPr>
        <w:rPr>
          <w:sz w:val="22"/>
          <w:szCs w:val="22"/>
        </w:rPr>
      </w:pPr>
      <w:r>
        <w:rPr>
          <w:sz w:val="22"/>
          <w:szCs w:val="22"/>
        </w:rPr>
        <w:t xml:space="preserve">On a portfolio level the projected savings total between Residential, Commercial and Low Income for Calendar Year </w:t>
      </w:r>
      <w:r w:rsidR="00FA6116">
        <w:rPr>
          <w:sz w:val="22"/>
          <w:szCs w:val="22"/>
        </w:rPr>
        <w:t xml:space="preserve">2014 </w:t>
      </w:r>
      <w:r>
        <w:rPr>
          <w:sz w:val="22"/>
          <w:szCs w:val="22"/>
        </w:rPr>
        <w:t xml:space="preserve">was </w:t>
      </w:r>
      <w:r w:rsidRPr="00FA6116">
        <w:rPr>
          <w:sz w:val="22"/>
          <w:szCs w:val="22"/>
        </w:rPr>
        <w:t>588,650</w:t>
      </w:r>
      <w:r>
        <w:rPr>
          <w:sz w:val="22"/>
          <w:szCs w:val="22"/>
        </w:rPr>
        <w:t xml:space="preserve"> </w:t>
      </w:r>
      <w:proofErr w:type="spellStart"/>
      <w:r>
        <w:rPr>
          <w:sz w:val="22"/>
          <w:szCs w:val="22"/>
        </w:rPr>
        <w:t>therms</w:t>
      </w:r>
      <w:proofErr w:type="spellEnd"/>
      <w:r>
        <w:rPr>
          <w:sz w:val="22"/>
          <w:szCs w:val="22"/>
        </w:rPr>
        <w:t xml:space="preserve">.  </w:t>
      </w:r>
      <w:r w:rsidR="00FA6116">
        <w:rPr>
          <w:sz w:val="22"/>
          <w:szCs w:val="22"/>
        </w:rPr>
        <w:t>W</w:t>
      </w:r>
      <w:r>
        <w:rPr>
          <w:sz w:val="22"/>
          <w:szCs w:val="22"/>
        </w:rPr>
        <w:t xml:space="preserve">hile the Residential program did not meet the projected savings goal the portfolio </w:t>
      </w:r>
      <w:r w:rsidR="00FA6116">
        <w:rPr>
          <w:sz w:val="22"/>
          <w:szCs w:val="22"/>
        </w:rPr>
        <w:t xml:space="preserve">as a whole </w:t>
      </w:r>
      <w:r>
        <w:rPr>
          <w:sz w:val="22"/>
          <w:szCs w:val="22"/>
        </w:rPr>
        <w:t xml:space="preserve">exceeded the </w:t>
      </w:r>
      <w:r w:rsidR="00FA6116">
        <w:rPr>
          <w:sz w:val="22"/>
          <w:szCs w:val="22"/>
        </w:rPr>
        <w:t xml:space="preserve">combined </w:t>
      </w:r>
      <w:r>
        <w:rPr>
          <w:sz w:val="22"/>
          <w:szCs w:val="22"/>
        </w:rPr>
        <w:t xml:space="preserve">goal with </w:t>
      </w:r>
      <w:r>
        <w:rPr>
          <w:b/>
          <w:sz w:val="22"/>
          <w:szCs w:val="22"/>
        </w:rPr>
        <w:t>632,410</w:t>
      </w:r>
      <w:r w:rsidR="00FA6116">
        <w:rPr>
          <w:b/>
          <w:sz w:val="22"/>
          <w:szCs w:val="22"/>
        </w:rPr>
        <w:t xml:space="preserve"> </w:t>
      </w:r>
      <w:proofErr w:type="spellStart"/>
      <w:r w:rsidR="00FA6116" w:rsidRPr="0071582B">
        <w:rPr>
          <w:sz w:val="22"/>
          <w:szCs w:val="22"/>
        </w:rPr>
        <w:t>therms</w:t>
      </w:r>
      <w:proofErr w:type="spellEnd"/>
      <w:r w:rsidR="00FA6116" w:rsidRPr="00FA6116">
        <w:rPr>
          <w:sz w:val="22"/>
          <w:szCs w:val="22"/>
        </w:rPr>
        <w:t xml:space="preserve"> achieved</w:t>
      </w:r>
      <w:r w:rsidR="00FA6116" w:rsidRPr="0071582B">
        <w:rPr>
          <w:sz w:val="22"/>
          <w:szCs w:val="22"/>
        </w:rPr>
        <w:t>.</w:t>
      </w:r>
      <w:r w:rsidR="00FA6116">
        <w:rPr>
          <w:b/>
          <w:sz w:val="22"/>
          <w:szCs w:val="22"/>
        </w:rPr>
        <w:t xml:space="preserve"> </w:t>
      </w:r>
      <w:r w:rsidR="0061638E">
        <w:rPr>
          <w:b/>
          <w:sz w:val="22"/>
          <w:szCs w:val="22"/>
        </w:rPr>
        <w:t xml:space="preserve"> </w:t>
      </w:r>
      <w:r w:rsidR="0061638E">
        <w:rPr>
          <w:sz w:val="22"/>
          <w:szCs w:val="22"/>
        </w:rPr>
        <w:t xml:space="preserve">The program’s total portfolio also proved cost effective under the Utility Cost Test and the Total Resource Cost Test. The later achievement can be attributed to the Commercial/Industrial program’s success in relation to its </w:t>
      </w:r>
      <w:proofErr w:type="spellStart"/>
      <w:r w:rsidR="0061638E">
        <w:rPr>
          <w:sz w:val="22"/>
          <w:szCs w:val="22"/>
        </w:rPr>
        <w:t>levelized</w:t>
      </w:r>
      <w:proofErr w:type="spellEnd"/>
      <w:r w:rsidR="0061638E">
        <w:rPr>
          <w:sz w:val="22"/>
          <w:szCs w:val="22"/>
        </w:rPr>
        <w:t xml:space="preserve"> cost per </w:t>
      </w:r>
      <w:proofErr w:type="spellStart"/>
      <w:r w:rsidR="0061638E">
        <w:rPr>
          <w:sz w:val="22"/>
          <w:szCs w:val="22"/>
        </w:rPr>
        <w:t>therm</w:t>
      </w:r>
      <w:proofErr w:type="spellEnd"/>
      <w:r w:rsidR="0061638E">
        <w:rPr>
          <w:sz w:val="22"/>
          <w:szCs w:val="22"/>
        </w:rPr>
        <w:t xml:space="preserve"> and the program </w:t>
      </w:r>
      <w:proofErr w:type="spellStart"/>
      <w:r w:rsidR="0061638E">
        <w:rPr>
          <w:sz w:val="22"/>
          <w:szCs w:val="22"/>
        </w:rPr>
        <w:t>therm</w:t>
      </w:r>
      <w:proofErr w:type="spellEnd"/>
      <w:r w:rsidR="0061638E">
        <w:rPr>
          <w:sz w:val="22"/>
          <w:szCs w:val="22"/>
        </w:rPr>
        <w:t xml:space="preserve"> savings exceeding the annual goal. This level of achievement is a-typical considering the current cost of gas and</w:t>
      </w:r>
      <w:r w:rsidR="007C7F01">
        <w:rPr>
          <w:sz w:val="22"/>
          <w:szCs w:val="22"/>
        </w:rPr>
        <w:t xml:space="preserve"> </w:t>
      </w:r>
      <w:r w:rsidR="00C613A0">
        <w:rPr>
          <w:sz w:val="22"/>
          <w:szCs w:val="22"/>
        </w:rPr>
        <w:t xml:space="preserve">it </w:t>
      </w:r>
      <w:r w:rsidR="007C7F01">
        <w:rPr>
          <w:sz w:val="22"/>
          <w:szCs w:val="22"/>
        </w:rPr>
        <w:t>should be noted</w:t>
      </w:r>
      <w:r w:rsidR="0061638E">
        <w:rPr>
          <w:sz w:val="22"/>
          <w:szCs w:val="22"/>
        </w:rPr>
        <w:t xml:space="preserve"> fluctuates greatly from year to year.      </w:t>
      </w:r>
    </w:p>
    <w:p w:rsidR="00567FC2" w:rsidRDefault="00567FC2" w:rsidP="006A1401">
      <w:pPr>
        <w:rPr>
          <w:sz w:val="22"/>
          <w:szCs w:val="22"/>
        </w:rPr>
      </w:pPr>
    </w:p>
    <w:p w:rsidR="00E87A08" w:rsidRDefault="00EC2C25" w:rsidP="006A1401">
      <w:pPr>
        <w:rPr>
          <w:sz w:val="22"/>
          <w:szCs w:val="22"/>
        </w:rPr>
      </w:pPr>
      <w:r>
        <w:rPr>
          <w:sz w:val="22"/>
          <w:szCs w:val="22"/>
        </w:rPr>
        <w:t>As holds true from past years, p</w:t>
      </w:r>
      <w:r w:rsidR="00A344AD">
        <w:rPr>
          <w:sz w:val="22"/>
          <w:szCs w:val="22"/>
        </w:rPr>
        <w:t>rogrammatic achievements in the C</w:t>
      </w:r>
      <w:r>
        <w:rPr>
          <w:sz w:val="22"/>
          <w:szCs w:val="22"/>
        </w:rPr>
        <w:t xml:space="preserve">ommercial and </w:t>
      </w:r>
      <w:r w:rsidR="007C7F01">
        <w:rPr>
          <w:sz w:val="22"/>
          <w:szCs w:val="22"/>
        </w:rPr>
        <w:t>Industrial sector</w:t>
      </w:r>
      <w:r w:rsidR="0075567A">
        <w:rPr>
          <w:sz w:val="22"/>
          <w:szCs w:val="22"/>
        </w:rPr>
        <w:t>s</w:t>
      </w:r>
      <w:r w:rsidR="00A344AD">
        <w:rPr>
          <w:sz w:val="22"/>
          <w:szCs w:val="22"/>
        </w:rPr>
        <w:t xml:space="preserve"> are dependent upon </w:t>
      </w:r>
      <w:r w:rsidR="0084763E">
        <w:rPr>
          <w:sz w:val="22"/>
          <w:szCs w:val="22"/>
        </w:rPr>
        <w:t xml:space="preserve">a </w:t>
      </w:r>
      <w:r>
        <w:rPr>
          <w:sz w:val="22"/>
          <w:szCs w:val="22"/>
        </w:rPr>
        <w:t>few</w:t>
      </w:r>
      <w:r w:rsidR="006A1401">
        <w:rPr>
          <w:sz w:val="22"/>
          <w:szCs w:val="22"/>
        </w:rPr>
        <w:t xml:space="preserve"> critical </w:t>
      </w:r>
      <w:r w:rsidR="0084763E">
        <w:rPr>
          <w:sz w:val="22"/>
          <w:szCs w:val="22"/>
        </w:rPr>
        <w:t xml:space="preserve">deep </w:t>
      </w:r>
      <w:proofErr w:type="spellStart"/>
      <w:r w:rsidR="0084763E">
        <w:rPr>
          <w:sz w:val="22"/>
          <w:szCs w:val="22"/>
        </w:rPr>
        <w:t>therm</w:t>
      </w:r>
      <w:proofErr w:type="spellEnd"/>
      <w:r w:rsidR="0084763E">
        <w:rPr>
          <w:sz w:val="22"/>
          <w:szCs w:val="22"/>
        </w:rPr>
        <w:t xml:space="preserve">-savings </w:t>
      </w:r>
      <w:r w:rsidR="006A1401">
        <w:rPr>
          <w:sz w:val="22"/>
          <w:szCs w:val="22"/>
        </w:rPr>
        <w:t>projects</w:t>
      </w:r>
      <w:r w:rsidR="0084763E">
        <w:rPr>
          <w:sz w:val="22"/>
          <w:szCs w:val="22"/>
        </w:rPr>
        <w:t>.</w:t>
      </w:r>
      <w:r w:rsidR="00682A8D">
        <w:rPr>
          <w:sz w:val="22"/>
          <w:szCs w:val="22"/>
        </w:rPr>
        <w:t xml:space="preserve">  The </w:t>
      </w:r>
      <w:r>
        <w:rPr>
          <w:sz w:val="22"/>
          <w:szCs w:val="22"/>
        </w:rPr>
        <w:t>Company’s</w:t>
      </w:r>
      <w:r w:rsidR="00682A8D">
        <w:rPr>
          <w:sz w:val="22"/>
          <w:szCs w:val="22"/>
        </w:rPr>
        <w:t xml:space="preserve"> conservation team has become </w:t>
      </w:r>
      <w:r>
        <w:rPr>
          <w:sz w:val="22"/>
          <w:szCs w:val="22"/>
        </w:rPr>
        <w:t>adept at i</w:t>
      </w:r>
      <w:r w:rsidR="00C17EFB">
        <w:rPr>
          <w:sz w:val="22"/>
          <w:szCs w:val="22"/>
        </w:rPr>
        <w:t xml:space="preserve">dentifying </w:t>
      </w:r>
      <w:r>
        <w:rPr>
          <w:sz w:val="22"/>
          <w:szCs w:val="22"/>
        </w:rPr>
        <w:t xml:space="preserve">key Commercial and Industrial project </w:t>
      </w:r>
      <w:r w:rsidR="00C17EFB">
        <w:rPr>
          <w:sz w:val="22"/>
          <w:szCs w:val="22"/>
        </w:rPr>
        <w:t xml:space="preserve">opportunities and </w:t>
      </w:r>
      <w:r w:rsidR="00043029">
        <w:rPr>
          <w:sz w:val="22"/>
          <w:szCs w:val="22"/>
        </w:rPr>
        <w:t xml:space="preserve">aggressively </w:t>
      </w:r>
      <w:r>
        <w:rPr>
          <w:sz w:val="22"/>
          <w:szCs w:val="22"/>
        </w:rPr>
        <w:t xml:space="preserve">aiding </w:t>
      </w:r>
      <w:r w:rsidR="00C17EFB">
        <w:rPr>
          <w:sz w:val="22"/>
          <w:szCs w:val="22"/>
        </w:rPr>
        <w:t xml:space="preserve">customers </w:t>
      </w:r>
      <w:r>
        <w:rPr>
          <w:sz w:val="22"/>
          <w:szCs w:val="22"/>
        </w:rPr>
        <w:t>in reducing their energy</w:t>
      </w:r>
      <w:r w:rsidR="00043029">
        <w:rPr>
          <w:sz w:val="22"/>
          <w:szCs w:val="22"/>
        </w:rPr>
        <w:t xml:space="preserve"> consumption </w:t>
      </w:r>
      <w:r>
        <w:rPr>
          <w:sz w:val="22"/>
          <w:szCs w:val="22"/>
        </w:rPr>
        <w:t xml:space="preserve">by </w:t>
      </w:r>
      <w:r w:rsidR="00043029">
        <w:rPr>
          <w:sz w:val="22"/>
          <w:szCs w:val="22"/>
        </w:rPr>
        <w:t xml:space="preserve">pursuing </w:t>
      </w:r>
      <w:r w:rsidR="00C17EFB">
        <w:rPr>
          <w:sz w:val="22"/>
          <w:szCs w:val="22"/>
        </w:rPr>
        <w:t xml:space="preserve">conservation projects in partnership with </w:t>
      </w:r>
      <w:r w:rsidR="007C7F01">
        <w:rPr>
          <w:sz w:val="22"/>
          <w:szCs w:val="22"/>
        </w:rPr>
        <w:t>local energy services companies and</w:t>
      </w:r>
      <w:r w:rsidR="00C17EFB">
        <w:rPr>
          <w:sz w:val="22"/>
          <w:szCs w:val="22"/>
        </w:rPr>
        <w:t xml:space="preserve"> </w:t>
      </w:r>
      <w:r w:rsidR="00043029">
        <w:rPr>
          <w:sz w:val="22"/>
          <w:szCs w:val="22"/>
        </w:rPr>
        <w:t>the Cascade Natural Gas Conservation Incentive Program (CIP)</w:t>
      </w:r>
      <w:r w:rsidR="007C7F01">
        <w:rPr>
          <w:sz w:val="22"/>
          <w:szCs w:val="22"/>
        </w:rPr>
        <w:t>.  The Company</w:t>
      </w:r>
      <w:r w:rsidR="00043029">
        <w:rPr>
          <w:sz w:val="22"/>
          <w:szCs w:val="22"/>
        </w:rPr>
        <w:t xml:space="preserve"> </w:t>
      </w:r>
      <w:r w:rsidR="00E97EFB">
        <w:rPr>
          <w:sz w:val="22"/>
          <w:szCs w:val="22"/>
        </w:rPr>
        <w:t>assist</w:t>
      </w:r>
      <w:r w:rsidR="007C7F01">
        <w:rPr>
          <w:sz w:val="22"/>
          <w:szCs w:val="22"/>
        </w:rPr>
        <w:t>s</w:t>
      </w:r>
      <w:r w:rsidR="00E97EFB">
        <w:rPr>
          <w:sz w:val="22"/>
          <w:szCs w:val="22"/>
        </w:rPr>
        <w:t xml:space="preserve"> customers with </w:t>
      </w:r>
      <w:r w:rsidR="00043029">
        <w:rPr>
          <w:sz w:val="22"/>
          <w:szCs w:val="22"/>
        </w:rPr>
        <w:t>capitalizing on other</w:t>
      </w:r>
      <w:r w:rsidR="00C17EFB">
        <w:rPr>
          <w:sz w:val="22"/>
          <w:szCs w:val="22"/>
        </w:rPr>
        <w:t xml:space="preserve"> program</w:t>
      </w:r>
      <w:r w:rsidR="007C7F01">
        <w:rPr>
          <w:sz w:val="22"/>
          <w:szCs w:val="22"/>
        </w:rPr>
        <w:t>s’</w:t>
      </w:r>
      <w:r w:rsidR="00E97EFB">
        <w:rPr>
          <w:sz w:val="22"/>
          <w:szCs w:val="22"/>
        </w:rPr>
        <w:t xml:space="preserve"> offerings as </w:t>
      </w:r>
      <w:r w:rsidR="007C7F01">
        <w:rPr>
          <w:sz w:val="22"/>
          <w:szCs w:val="22"/>
        </w:rPr>
        <w:t xml:space="preserve">available. </w:t>
      </w:r>
      <w:r w:rsidR="00043029">
        <w:rPr>
          <w:sz w:val="22"/>
          <w:szCs w:val="22"/>
        </w:rPr>
        <w:t>At some point it is out of the program’s hands and u</w:t>
      </w:r>
      <w:r w:rsidR="00083139">
        <w:rPr>
          <w:sz w:val="22"/>
          <w:szCs w:val="22"/>
        </w:rPr>
        <w:t xml:space="preserve">ltimately </w:t>
      </w:r>
      <w:r w:rsidR="00043029">
        <w:rPr>
          <w:sz w:val="22"/>
          <w:szCs w:val="22"/>
        </w:rPr>
        <w:t>up to the c</w:t>
      </w:r>
      <w:r w:rsidR="00083139">
        <w:rPr>
          <w:sz w:val="22"/>
          <w:szCs w:val="22"/>
        </w:rPr>
        <w:t xml:space="preserve">ustomer as to whether or not </w:t>
      </w:r>
      <w:r w:rsidR="00043029">
        <w:rPr>
          <w:sz w:val="22"/>
          <w:szCs w:val="22"/>
        </w:rPr>
        <w:t>he/she</w:t>
      </w:r>
      <w:r w:rsidR="00083139">
        <w:rPr>
          <w:sz w:val="22"/>
          <w:szCs w:val="22"/>
        </w:rPr>
        <w:t xml:space="preserve"> will move forward with a project.</w:t>
      </w:r>
      <w:r w:rsidR="00EB3FF8">
        <w:rPr>
          <w:sz w:val="22"/>
          <w:szCs w:val="22"/>
        </w:rPr>
        <w:t xml:space="preserve">  </w:t>
      </w:r>
      <w:r w:rsidR="00043029">
        <w:rPr>
          <w:sz w:val="22"/>
          <w:szCs w:val="22"/>
        </w:rPr>
        <w:t xml:space="preserve">It is also common for commercial and industrial </w:t>
      </w:r>
      <w:r w:rsidR="00EB3FF8">
        <w:rPr>
          <w:sz w:val="22"/>
          <w:szCs w:val="22"/>
        </w:rPr>
        <w:t xml:space="preserve">projects </w:t>
      </w:r>
      <w:r w:rsidR="00043029">
        <w:rPr>
          <w:sz w:val="22"/>
          <w:szCs w:val="22"/>
        </w:rPr>
        <w:t xml:space="preserve">to </w:t>
      </w:r>
      <w:r w:rsidR="00EB3FF8">
        <w:rPr>
          <w:sz w:val="22"/>
          <w:szCs w:val="22"/>
        </w:rPr>
        <w:t xml:space="preserve">stretch beyond the program year in which they were </w:t>
      </w:r>
      <w:r w:rsidR="00043029">
        <w:rPr>
          <w:sz w:val="22"/>
          <w:szCs w:val="22"/>
        </w:rPr>
        <w:t>initiated</w:t>
      </w:r>
      <w:r w:rsidR="00EB3FF8">
        <w:rPr>
          <w:sz w:val="22"/>
          <w:szCs w:val="22"/>
        </w:rPr>
        <w:t xml:space="preserve">.  In such cases, the Company ends up building a </w:t>
      </w:r>
      <w:r w:rsidR="00C87D53">
        <w:rPr>
          <w:sz w:val="22"/>
          <w:szCs w:val="22"/>
        </w:rPr>
        <w:t>queue</w:t>
      </w:r>
      <w:r w:rsidR="00043029">
        <w:rPr>
          <w:sz w:val="22"/>
          <w:szCs w:val="22"/>
        </w:rPr>
        <w:t>,</w:t>
      </w:r>
      <w:r w:rsidR="00C87D53">
        <w:rPr>
          <w:sz w:val="22"/>
          <w:szCs w:val="22"/>
        </w:rPr>
        <w:t xml:space="preserve"> </w:t>
      </w:r>
      <w:r w:rsidR="00043029">
        <w:rPr>
          <w:sz w:val="22"/>
          <w:szCs w:val="22"/>
        </w:rPr>
        <w:t xml:space="preserve">or pipeline of </w:t>
      </w:r>
      <w:r w:rsidR="00A5528A">
        <w:rPr>
          <w:sz w:val="22"/>
          <w:szCs w:val="22"/>
        </w:rPr>
        <w:t xml:space="preserve">projects with deep energy savings </w:t>
      </w:r>
      <w:r w:rsidR="00E97EFB">
        <w:rPr>
          <w:sz w:val="22"/>
          <w:szCs w:val="22"/>
        </w:rPr>
        <w:t>potential in future years</w:t>
      </w:r>
      <w:r w:rsidR="00A5528A">
        <w:rPr>
          <w:sz w:val="22"/>
          <w:szCs w:val="22"/>
        </w:rPr>
        <w:t>.</w:t>
      </w:r>
      <w:r w:rsidR="00CD35A6">
        <w:rPr>
          <w:sz w:val="22"/>
          <w:szCs w:val="22"/>
        </w:rPr>
        <w:t xml:space="preserve">  </w:t>
      </w:r>
    </w:p>
    <w:p w:rsidR="00E87A08" w:rsidRDefault="00E87A08">
      <w:pPr>
        <w:rPr>
          <w:sz w:val="22"/>
          <w:szCs w:val="22"/>
        </w:rPr>
      </w:pPr>
    </w:p>
    <w:p w:rsidR="00BF5004" w:rsidRDefault="00043029">
      <w:pPr>
        <w:rPr>
          <w:sz w:val="22"/>
          <w:szCs w:val="22"/>
        </w:rPr>
      </w:pPr>
      <w:r>
        <w:rPr>
          <w:sz w:val="22"/>
          <w:szCs w:val="22"/>
        </w:rPr>
        <w:t xml:space="preserve">As was </w:t>
      </w:r>
      <w:r w:rsidR="007C7F01">
        <w:rPr>
          <w:sz w:val="22"/>
          <w:szCs w:val="22"/>
        </w:rPr>
        <w:t>forecasted</w:t>
      </w:r>
      <w:r>
        <w:rPr>
          <w:sz w:val="22"/>
          <w:szCs w:val="22"/>
        </w:rPr>
        <w:t xml:space="preserve"> in last year’s report, the </w:t>
      </w:r>
      <w:r w:rsidR="00CD35A6">
        <w:rPr>
          <w:sz w:val="22"/>
          <w:szCs w:val="22"/>
        </w:rPr>
        <w:t xml:space="preserve">2014 </w:t>
      </w:r>
      <w:r>
        <w:rPr>
          <w:sz w:val="22"/>
          <w:szCs w:val="22"/>
        </w:rPr>
        <w:t xml:space="preserve">program year </w:t>
      </w:r>
      <w:r w:rsidR="00CD35A6">
        <w:rPr>
          <w:sz w:val="22"/>
          <w:szCs w:val="22"/>
        </w:rPr>
        <w:t>yield</w:t>
      </w:r>
      <w:r>
        <w:rPr>
          <w:sz w:val="22"/>
          <w:szCs w:val="22"/>
        </w:rPr>
        <w:t>ed</w:t>
      </w:r>
      <w:r w:rsidR="00CD35A6">
        <w:rPr>
          <w:sz w:val="22"/>
          <w:szCs w:val="22"/>
        </w:rPr>
        <w:t xml:space="preserve"> significantly higher savings in the C&amp;I sector </w:t>
      </w:r>
      <w:r>
        <w:rPr>
          <w:sz w:val="22"/>
          <w:szCs w:val="22"/>
        </w:rPr>
        <w:t xml:space="preserve">than in 2013 </w:t>
      </w:r>
      <w:r w:rsidR="00CD35A6">
        <w:rPr>
          <w:sz w:val="22"/>
          <w:szCs w:val="22"/>
        </w:rPr>
        <w:t xml:space="preserve">with </w:t>
      </w:r>
      <w:r w:rsidR="00EB237D">
        <w:rPr>
          <w:sz w:val="22"/>
          <w:szCs w:val="22"/>
        </w:rPr>
        <w:t>several major projects</w:t>
      </w:r>
      <w:r w:rsidR="00567FC2">
        <w:rPr>
          <w:sz w:val="22"/>
          <w:szCs w:val="22"/>
        </w:rPr>
        <w:t xml:space="preserve"> </w:t>
      </w:r>
      <w:r>
        <w:rPr>
          <w:sz w:val="22"/>
          <w:szCs w:val="22"/>
        </w:rPr>
        <w:t>concluding</w:t>
      </w:r>
      <w:r w:rsidR="00567FC2">
        <w:rPr>
          <w:sz w:val="22"/>
          <w:szCs w:val="22"/>
        </w:rPr>
        <w:t xml:space="preserve">.  </w:t>
      </w:r>
      <w:r w:rsidR="00EB237D">
        <w:rPr>
          <w:sz w:val="22"/>
          <w:szCs w:val="22"/>
        </w:rPr>
        <w:t>Th</w:t>
      </w:r>
      <w:r w:rsidR="00567FC2">
        <w:rPr>
          <w:sz w:val="22"/>
          <w:szCs w:val="22"/>
        </w:rPr>
        <w:t>ese</w:t>
      </w:r>
      <w:r w:rsidR="00EB237D">
        <w:rPr>
          <w:sz w:val="22"/>
          <w:szCs w:val="22"/>
        </w:rPr>
        <w:t xml:space="preserve"> </w:t>
      </w:r>
      <w:r w:rsidR="00A97047">
        <w:rPr>
          <w:sz w:val="22"/>
          <w:szCs w:val="22"/>
        </w:rPr>
        <w:t xml:space="preserve">savings </w:t>
      </w:r>
      <w:r w:rsidR="003734AB">
        <w:rPr>
          <w:sz w:val="22"/>
          <w:szCs w:val="22"/>
        </w:rPr>
        <w:t xml:space="preserve">were </w:t>
      </w:r>
      <w:r w:rsidR="00A97047">
        <w:rPr>
          <w:sz w:val="22"/>
          <w:szCs w:val="22"/>
        </w:rPr>
        <w:t xml:space="preserve">achieved </w:t>
      </w:r>
      <w:r w:rsidR="00EB237D">
        <w:rPr>
          <w:sz w:val="22"/>
          <w:szCs w:val="22"/>
        </w:rPr>
        <w:t xml:space="preserve">in addition to </w:t>
      </w:r>
      <w:r w:rsidR="003734AB">
        <w:rPr>
          <w:sz w:val="22"/>
          <w:szCs w:val="22"/>
        </w:rPr>
        <w:t>standard</w:t>
      </w:r>
      <w:r w:rsidR="00EB237D">
        <w:rPr>
          <w:sz w:val="22"/>
          <w:szCs w:val="22"/>
        </w:rPr>
        <w:t xml:space="preserve"> prescriptive projects throughout the course of the year.</w:t>
      </w:r>
      <w:r w:rsidR="000A19F7">
        <w:rPr>
          <w:sz w:val="22"/>
          <w:szCs w:val="22"/>
        </w:rPr>
        <w:t xml:space="preserve">  </w:t>
      </w:r>
      <w:r w:rsidR="00DF2839">
        <w:rPr>
          <w:sz w:val="22"/>
          <w:szCs w:val="22"/>
        </w:rPr>
        <w:t>It is important to recognize the</w:t>
      </w:r>
      <w:r w:rsidR="000A19F7">
        <w:rPr>
          <w:sz w:val="22"/>
          <w:szCs w:val="22"/>
        </w:rPr>
        <w:t xml:space="preserve"> number and impact generated by custom conservation projects </w:t>
      </w:r>
      <w:r w:rsidR="00E97EFB">
        <w:rPr>
          <w:sz w:val="22"/>
          <w:szCs w:val="22"/>
        </w:rPr>
        <w:t>are variable from year to year</w:t>
      </w:r>
      <w:r w:rsidR="00A96020">
        <w:rPr>
          <w:sz w:val="22"/>
          <w:szCs w:val="22"/>
        </w:rPr>
        <w:t>,</w:t>
      </w:r>
      <w:r w:rsidR="003734AB">
        <w:rPr>
          <w:sz w:val="22"/>
          <w:szCs w:val="22"/>
        </w:rPr>
        <w:t xml:space="preserve"> meaning the numbers achieved </w:t>
      </w:r>
      <w:r w:rsidR="00E97EFB">
        <w:rPr>
          <w:sz w:val="22"/>
          <w:szCs w:val="22"/>
        </w:rPr>
        <w:t>in following years will vary in an ebb and flow pattern.  Th</w:t>
      </w:r>
      <w:r w:rsidR="00A96020">
        <w:rPr>
          <w:sz w:val="22"/>
          <w:szCs w:val="22"/>
        </w:rPr>
        <w:t xml:space="preserve">e Company remains committed to </w:t>
      </w:r>
      <w:r w:rsidR="00E97EFB">
        <w:rPr>
          <w:sz w:val="22"/>
          <w:szCs w:val="22"/>
        </w:rPr>
        <w:t xml:space="preserve">pursuing </w:t>
      </w:r>
      <w:r w:rsidR="00A96020">
        <w:rPr>
          <w:sz w:val="22"/>
          <w:szCs w:val="22"/>
        </w:rPr>
        <w:t>all possible opportunities for deeper energy savings throughout our service area</w:t>
      </w:r>
      <w:r w:rsidR="00E97EFB">
        <w:rPr>
          <w:sz w:val="22"/>
          <w:szCs w:val="22"/>
        </w:rPr>
        <w:t xml:space="preserve"> and </w:t>
      </w:r>
      <w:r w:rsidR="0075567A">
        <w:rPr>
          <w:sz w:val="22"/>
          <w:szCs w:val="22"/>
        </w:rPr>
        <w:t xml:space="preserve">will continue to </w:t>
      </w:r>
      <w:r w:rsidR="00E97EFB">
        <w:rPr>
          <w:sz w:val="22"/>
          <w:szCs w:val="22"/>
        </w:rPr>
        <w:t xml:space="preserve">solicit projects from customers to drive rebate participation for </w:t>
      </w:r>
      <w:r w:rsidR="007C7F01">
        <w:rPr>
          <w:sz w:val="22"/>
          <w:szCs w:val="22"/>
        </w:rPr>
        <w:t>reducing</w:t>
      </w:r>
      <w:r w:rsidR="00E97EFB">
        <w:rPr>
          <w:sz w:val="22"/>
          <w:szCs w:val="22"/>
        </w:rPr>
        <w:t xml:space="preserve"> natural gas consumption. </w:t>
      </w:r>
    </w:p>
    <w:p w:rsidR="00C40241" w:rsidRDefault="00C40241">
      <w:pPr>
        <w:rPr>
          <w:sz w:val="22"/>
          <w:szCs w:val="22"/>
        </w:rPr>
      </w:pPr>
    </w:p>
    <w:p w:rsidR="00C40241" w:rsidRPr="00955B55" w:rsidRDefault="00C40241" w:rsidP="0084160D">
      <w:pPr>
        <w:jc w:val="center"/>
        <w:rPr>
          <w:b/>
          <w:sz w:val="22"/>
          <w:szCs w:val="22"/>
        </w:rPr>
      </w:pPr>
      <w:r w:rsidRPr="00955B55">
        <w:rPr>
          <w:b/>
          <w:sz w:val="22"/>
          <w:szCs w:val="22"/>
        </w:rPr>
        <w:t xml:space="preserve">Table A:  </w:t>
      </w:r>
      <w:r w:rsidRPr="00955B55">
        <w:rPr>
          <w:sz w:val="22"/>
          <w:szCs w:val="22"/>
          <w:u w:val="single"/>
        </w:rPr>
        <w:t>201</w:t>
      </w:r>
      <w:r w:rsidR="00201FFA">
        <w:rPr>
          <w:sz w:val="22"/>
          <w:szCs w:val="22"/>
          <w:u w:val="single"/>
        </w:rPr>
        <w:t>4</w:t>
      </w:r>
      <w:r w:rsidRPr="00955B55">
        <w:rPr>
          <w:sz w:val="22"/>
          <w:szCs w:val="22"/>
          <w:u w:val="single"/>
        </w:rPr>
        <w:t xml:space="preserve"> Program Achievements</w:t>
      </w:r>
    </w:p>
    <w:p w:rsidR="00C40241" w:rsidRPr="00955B55" w:rsidRDefault="00C40241" w:rsidP="00C40241">
      <w:pPr>
        <w:rPr>
          <w:b/>
          <w:sz w:val="22"/>
          <w:szCs w:val="22"/>
          <w:u w:val="single"/>
        </w:rPr>
      </w:pPr>
    </w:p>
    <w:tbl>
      <w:tblPr>
        <w:tblW w:w="9442"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1440"/>
        <w:gridCol w:w="1366"/>
        <w:gridCol w:w="1440"/>
        <w:gridCol w:w="1440"/>
        <w:gridCol w:w="1440"/>
      </w:tblGrid>
      <w:tr w:rsidR="003B5723" w:rsidRPr="00955B55" w:rsidTr="006B4539">
        <w:trPr>
          <w:trHeight w:val="475"/>
          <w:jc w:val="center"/>
        </w:trPr>
        <w:tc>
          <w:tcPr>
            <w:tcW w:w="2316" w:type="dxa"/>
            <w:vAlign w:val="center"/>
          </w:tcPr>
          <w:p w:rsidR="003B5723" w:rsidRPr="00955B55" w:rsidRDefault="003B5723" w:rsidP="006B4539">
            <w:pPr>
              <w:jc w:val="right"/>
              <w:rPr>
                <w:i/>
                <w:sz w:val="22"/>
                <w:szCs w:val="22"/>
              </w:rPr>
            </w:pPr>
            <w:r w:rsidRPr="00955B55">
              <w:rPr>
                <w:i/>
                <w:sz w:val="22"/>
                <w:szCs w:val="22"/>
              </w:rPr>
              <w:t>Totals</w:t>
            </w:r>
          </w:p>
        </w:tc>
        <w:tc>
          <w:tcPr>
            <w:tcW w:w="1440" w:type="dxa"/>
            <w:vAlign w:val="center"/>
          </w:tcPr>
          <w:p w:rsidR="003B5723" w:rsidRPr="00955B55" w:rsidRDefault="003B5723" w:rsidP="006B4539">
            <w:pPr>
              <w:jc w:val="center"/>
              <w:rPr>
                <w:b/>
                <w:sz w:val="22"/>
                <w:szCs w:val="22"/>
              </w:rPr>
            </w:pPr>
            <w:r w:rsidRPr="00955B55">
              <w:rPr>
                <w:b/>
                <w:sz w:val="22"/>
                <w:szCs w:val="22"/>
              </w:rPr>
              <w:t>Residential</w:t>
            </w:r>
          </w:p>
        </w:tc>
        <w:tc>
          <w:tcPr>
            <w:tcW w:w="1366" w:type="dxa"/>
            <w:vAlign w:val="center"/>
          </w:tcPr>
          <w:p w:rsidR="003B5723" w:rsidRDefault="003B5723" w:rsidP="006B4539">
            <w:pPr>
              <w:jc w:val="center"/>
              <w:rPr>
                <w:b/>
                <w:sz w:val="22"/>
                <w:szCs w:val="22"/>
              </w:rPr>
            </w:pPr>
            <w:r w:rsidRPr="00955B55">
              <w:rPr>
                <w:b/>
                <w:sz w:val="22"/>
                <w:szCs w:val="22"/>
              </w:rPr>
              <w:t>Energy Kits</w:t>
            </w:r>
          </w:p>
          <w:p w:rsidR="003B5723" w:rsidRPr="00955B55" w:rsidRDefault="003B5723" w:rsidP="006B4539">
            <w:pPr>
              <w:jc w:val="center"/>
              <w:rPr>
                <w:b/>
                <w:sz w:val="22"/>
                <w:szCs w:val="22"/>
              </w:rPr>
            </w:pPr>
            <w:r w:rsidRPr="0071582B">
              <w:rPr>
                <w:b/>
                <w:sz w:val="18"/>
                <w:szCs w:val="22"/>
              </w:rPr>
              <w:t>(Residential)</w:t>
            </w:r>
          </w:p>
        </w:tc>
        <w:tc>
          <w:tcPr>
            <w:tcW w:w="1440" w:type="dxa"/>
            <w:vAlign w:val="center"/>
          </w:tcPr>
          <w:p w:rsidR="003B5723" w:rsidRPr="00955B55" w:rsidRDefault="003B5723" w:rsidP="006B4539">
            <w:pPr>
              <w:jc w:val="center"/>
              <w:rPr>
                <w:b/>
                <w:sz w:val="22"/>
                <w:szCs w:val="22"/>
              </w:rPr>
            </w:pPr>
            <w:r w:rsidRPr="00955B55">
              <w:rPr>
                <w:b/>
                <w:sz w:val="22"/>
                <w:szCs w:val="22"/>
              </w:rPr>
              <w:t>Commercial</w:t>
            </w:r>
          </w:p>
        </w:tc>
        <w:tc>
          <w:tcPr>
            <w:tcW w:w="1440" w:type="dxa"/>
            <w:vAlign w:val="center"/>
          </w:tcPr>
          <w:p w:rsidR="003B5723" w:rsidRDefault="003B5723" w:rsidP="006B4539">
            <w:pPr>
              <w:jc w:val="center"/>
              <w:rPr>
                <w:b/>
                <w:sz w:val="22"/>
                <w:szCs w:val="22"/>
              </w:rPr>
            </w:pPr>
            <w:r w:rsidRPr="00955B55">
              <w:rPr>
                <w:b/>
                <w:sz w:val="22"/>
                <w:szCs w:val="22"/>
              </w:rPr>
              <w:t>Energy Kits</w:t>
            </w:r>
          </w:p>
          <w:p w:rsidR="003B5723" w:rsidRPr="00955B55" w:rsidRDefault="003B5723" w:rsidP="006B4539">
            <w:pPr>
              <w:jc w:val="center"/>
              <w:rPr>
                <w:b/>
                <w:sz w:val="22"/>
                <w:szCs w:val="22"/>
              </w:rPr>
            </w:pPr>
            <w:r w:rsidRPr="00C67272">
              <w:rPr>
                <w:b/>
                <w:sz w:val="18"/>
                <w:szCs w:val="22"/>
              </w:rPr>
              <w:t>(</w:t>
            </w:r>
            <w:r>
              <w:rPr>
                <w:b/>
                <w:sz w:val="18"/>
                <w:szCs w:val="22"/>
              </w:rPr>
              <w:t>Commercial</w:t>
            </w:r>
            <w:r w:rsidRPr="00C67272">
              <w:rPr>
                <w:b/>
                <w:sz w:val="18"/>
                <w:szCs w:val="22"/>
              </w:rPr>
              <w:t>)</w:t>
            </w:r>
          </w:p>
        </w:tc>
        <w:tc>
          <w:tcPr>
            <w:tcW w:w="1440" w:type="dxa"/>
            <w:vAlign w:val="center"/>
          </w:tcPr>
          <w:p w:rsidR="003B5723" w:rsidRPr="00955B55" w:rsidRDefault="003B5723" w:rsidP="006B4539">
            <w:pPr>
              <w:jc w:val="center"/>
              <w:rPr>
                <w:b/>
                <w:sz w:val="22"/>
                <w:szCs w:val="22"/>
              </w:rPr>
            </w:pPr>
            <w:r w:rsidRPr="00955B55">
              <w:rPr>
                <w:b/>
                <w:sz w:val="22"/>
                <w:szCs w:val="22"/>
              </w:rPr>
              <w:t>Total</w:t>
            </w:r>
          </w:p>
        </w:tc>
      </w:tr>
      <w:tr w:rsidR="003B5723" w:rsidRPr="00955B55" w:rsidTr="006B4539">
        <w:trPr>
          <w:trHeight w:val="231"/>
          <w:jc w:val="center"/>
        </w:trPr>
        <w:tc>
          <w:tcPr>
            <w:tcW w:w="2316" w:type="dxa"/>
            <w:vAlign w:val="center"/>
          </w:tcPr>
          <w:p w:rsidR="003B5723" w:rsidRPr="00955B55" w:rsidRDefault="003B5723" w:rsidP="006B4539">
            <w:pPr>
              <w:jc w:val="right"/>
              <w:rPr>
                <w:b/>
                <w:sz w:val="22"/>
                <w:szCs w:val="22"/>
              </w:rPr>
            </w:pPr>
            <w:proofErr w:type="spellStart"/>
            <w:r w:rsidRPr="00955B55">
              <w:rPr>
                <w:b/>
                <w:sz w:val="22"/>
                <w:szCs w:val="22"/>
              </w:rPr>
              <w:t>Therms</w:t>
            </w:r>
            <w:proofErr w:type="spellEnd"/>
            <w:r w:rsidRPr="00955B55">
              <w:rPr>
                <w:b/>
                <w:sz w:val="22"/>
                <w:szCs w:val="22"/>
              </w:rPr>
              <w:t xml:space="preserve"> Achieved</w:t>
            </w:r>
          </w:p>
        </w:tc>
        <w:tc>
          <w:tcPr>
            <w:tcW w:w="1440" w:type="dxa"/>
            <w:vAlign w:val="center"/>
          </w:tcPr>
          <w:p w:rsidR="003B5723" w:rsidRPr="001A41D4" w:rsidRDefault="003B5723" w:rsidP="006B4539">
            <w:pPr>
              <w:jc w:val="center"/>
              <w:rPr>
                <w:b/>
                <w:sz w:val="22"/>
                <w:szCs w:val="22"/>
              </w:rPr>
            </w:pPr>
            <w:r>
              <w:rPr>
                <w:b/>
                <w:sz w:val="22"/>
                <w:szCs w:val="22"/>
              </w:rPr>
              <w:t>160,061</w:t>
            </w:r>
          </w:p>
        </w:tc>
        <w:tc>
          <w:tcPr>
            <w:tcW w:w="1366" w:type="dxa"/>
            <w:vAlign w:val="center"/>
          </w:tcPr>
          <w:p w:rsidR="003B5723" w:rsidRPr="001A41D4" w:rsidRDefault="003B5723" w:rsidP="006B4539">
            <w:pPr>
              <w:jc w:val="center"/>
              <w:rPr>
                <w:b/>
                <w:sz w:val="22"/>
                <w:szCs w:val="22"/>
              </w:rPr>
            </w:pPr>
            <w:r>
              <w:rPr>
                <w:b/>
                <w:sz w:val="22"/>
                <w:szCs w:val="22"/>
              </w:rPr>
              <w:t>7,173</w:t>
            </w:r>
          </w:p>
        </w:tc>
        <w:tc>
          <w:tcPr>
            <w:tcW w:w="1440" w:type="dxa"/>
            <w:vAlign w:val="center"/>
          </w:tcPr>
          <w:p w:rsidR="003B5723" w:rsidRPr="001A41D4" w:rsidRDefault="003B5723" w:rsidP="006B4539">
            <w:pPr>
              <w:jc w:val="center"/>
              <w:rPr>
                <w:b/>
                <w:sz w:val="22"/>
                <w:szCs w:val="22"/>
              </w:rPr>
            </w:pPr>
            <w:r>
              <w:rPr>
                <w:b/>
                <w:sz w:val="22"/>
                <w:szCs w:val="22"/>
              </w:rPr>
              <w:t>464,916</w:t>
            </w:r>
          </w:p>
        </w:tc>
        <w:tc>
          <w:tcPr>
            <w:tcW w:w="1440" w:type="dxa"/>
            <w:vAlign w:val="center"/>
          </w:tcPr>
          <w:p w:rsidR="003B5723" w:rsidRPr="001A41D4" w:rsidDel="00201FFA" w:rsidRDefault="003B5723" w:rsidP="006B4539">
            <w:pPr>
              <w:jc w:val="center"/>
              <w:rPr>
                <w:b/>
                <w:sz w:val="22"/>
                <w:szCs w:val="22"/>
              </w:rPr>
            </w:pPr>
            <w:r>
              <w:rPr>
                <w:b/>
                <w:sz w:val="22"/>
                <w:szCs w:val="22"/>
              </w:rPr>
              <w:t>260</w:t>
            </w:r>
          </w:p>
        </w:tc>
        <w:tc>
          <w:tcPr>
            <w:tcW w:w="1440" w:type="dxa"/>
            <w:vAlign w:val="center"/>
          </w:tcPr>
          <w:p w:rsidR="003B5723" w:rsidRPr="001A41D4" w:rsidRDefault="003B5723" w:rsidP="006B4539">
            <w:pPr>
              <w:jc w:val="center"/>
              <w:rPr>
                <w:b/>
                <w:sz w:val="22"/>
                <w:szCs w:val="22"/>
              </w:rPr>
            </w:pPr>
            <w:r>
              <w:rPr>
                <w:b/>
                <w:sz w:val="22"/>
                <w:szCs w:val="22"/>
              </w:rPr>
              <w:t>632,410</w:t>
            </w:r>
          </w:p>
        </w:tc>
      </w:tr>
      <w:tr w:rsidR="003B5723" w:rsidRPr="00955B55" w:rsidTr="006B4539">
        <w:trPr>
          <w:trHeight w:val="287"/>
          <w:jc w:val="center"/>
        </w:trPr>
        <w:tc>
          <w:tcPr>
            <w:tcW w:w="2316" w:type="dxa"/>
            <w:vAlign w:val="center"/>
          </w:tcPr>
          <w:p w:rsidR="003B5723" w:rsidRDefault="003B5723" w:rsidP="006B4539">
            <w:pPr>
              <w:jc w:val="right"/>
              <w:rPr>
                <w:b/>
                <w:sz w:val="22"/>
                <w:szCs w:val="22"/>
              </w:rPr>
            </w:pPr>
            <w:r w:rsidRPr="00955B55">
              <w:rPr>
                <w:b/>
                <w:sz w:val="22"/>
                <w:szCs w:val="22"/>
              </w:rPr>
              <w:t>Measures Installed</w:t>
            </w:r>
          </w:p>
          <w:p w:rsidR="003B5723" w:rsidRPr="00955B55" w:rsidRDefault="003B5723" w:rsidP="006B4539">
            <w:pPr>
              <w:jc w:val="right"/>
              <w:rPr>
                <w:b/>
                <w:sz w:val="22"/>
                <w:szCs w:val="22"/>
              </w:rPr>
            </w:pPr>
          </w:p>
        </w:tc>
        <w:tc>
          <w:tcPr>
            <w:tcW w:w="1440" w:type="dxa"/>
            <w:vAlign w:val="center"/>
          </w:tcPr>
          <w:p w:rsidR="003B5723" w:rsidRPr="00955B55" w:rsidRDefault="003B5723" w:rsidP="006B4539">
            <w:pPr>
              <w:jc w:val="center"/>
              <w:rPr>
                <w:sz w:val="22"/>
                <w:szCs w:val="22"/>
              </w:rPr>
            </w:pPr>
            <w:r>
              <w:rPr>
                <w:sz w:val="22"/>
                <w:szCs w:val="22"/>
              </w:rPr>
              <w:t>563,561</w:t>
            </w:r>
            <w:r w:rsidR="00B7244A">
              <w:rPr>
                <w:sz w:val="22"/>
                <w:szCs w:val="22"/>
              </w:rPr>
              <w:br/>
            </w:r>
            <w:r w:rsidR="001B735A" w:rsidRPr="001B735A">
              <w:rPr>
                <w:i/>
                <w:sz w:val="18"/>
                <w:szCs w:val="22"/>
              </w:rPr>
              <w:t>(includ</w:t>
            </w:r>
            <w:r w:rsidR="001B735A">
              <w:rPr>
                <w:i/>
                <w:sz w:val="18"/>
                <w:szCs w:val="22"/>
              </w:rPr>
              <w:t>es</w:t>
            </w:r>
            <w:r w:rsidR="00B7244A" w:rsidRPr="0071582B">
              <w:rPr>
                <w:i/>
                <w:sz w:val="18"/>
                <w:szCs w:val="22"/>
              </w:rPr>
              <w:t xml:space="preserve"> units of insulation)</w:t>
            </w:r>
          </w:p>
        </w:tc>
        <w:tc>
          <w:tcPr>
            <w:tcW w:w="1366" w:type="dxa"/>
            <w:vAlign w:val="center"/>
          </w:tcPr>
          <w:p w:rsidR="003B5723" w:rsidRPr="00955B55" w:rsidRDefault="003B5723" w:rsidP="006B4539">
            <w:pPr>
              <w:jc w:val="center"/>
              <w:rPr>
                <w:sz w:val="22"/>
                <w:szCs w:val="22"/>
              </w:rPr>
            </w:pPr>
            <w:r>
              <w:rPr>
                <w:sz w:val="22"/>
                <w:szCs w:val="22"/>
              </w:rPr>
              <w:t>249</w:t>
            </w:r>
          </w:p>
        </w:tc>
        <w:tc>
          <w:tcPr>
            <w:tcW w:w="1440" w:type="dxa"/>
            <w:vAlign w:val="center"/>
          </w:tcPr>
          <w:p w:rsidR="003B5723" w:rsidRPr="00955B55" w:rsidRDefault="00B7244A" w:rsidP="006B4539">
            <w:pPr>
              <w:jc w:val="center"/>
              <w:rPr>
                <w:sz w:val="22"/>
                <w:szCs w:val="22"/>
              </w:rPr>
            </w:pPr>
            <w:r>
              <w:rPr>
                <w:sz w:val="22"/>
                <w:szCs w:val="22"/>
              </w:rPr>
              <w:t>207</w:t>
            </w:r>
          </w:p>
        </w:tc>
        <w:tc>
          <w:tcPr>
            <w:tcW w:w="1440" w:type="dxa"/>
            <w:vAlign w:val="center"/>
          </w:tcPr>
          <w:p w:rsidR="003B5723" w:rsidDel="00201FFA" w:rsidRDefault="00B7244A" w:rsidP="006B4539">
            <w:pPr>
              <w:jc w:val="center"/>
              <w:rPr>
                <w:sz w:val="22"/>
                <w:szCs w:val="22"/>
              </w:rPr>
            </w:pPr>
            <w:r>
              <w:rPr>
                <w:sz w:val="22"/>
                <w:szCs w:val="22"/>
              </w:rPr>
              <w:t>5</w:t>
            </w:r>
          </w:p>
        </w:tc>
        <w:tc>
          <w:tcPr>
            <w:tcW w:w="1440" w:type="dxa"/>
            <w:vAlign w:val="center"/>
          </w:tcPr>
          <w:p w:rsidR="003B5723" w:rsidRPr="00955B55" w:rsidRDefault="00B7244A" w:rsidP="006B4539">
            <w:pPr>
              <w:jc w:val="center"/>
              <w:rPr>
                <w:sz w:val="22"/>
                <w:szCs w:val="22"/>
              </w:rPr>
            </w:pPr>
            <w:r>
              <w:rPr>
                <w:sz w:val="22"/>
                <w:szCs w:val="22"/>
              </w:rPr>
              <w:t>564,022</w:t>
            </w:r>
          </w:p>
        </w:tc>
      </w:tr>
      <w:tr w:rsidR="003B5723" w:rsidRPr="00955B55" w:rsidTr="006B4539">
        <w:trPr>
          <w:trHeight w:val="231"/>
          <w:jc w:val="center"/>
        </w:trPr>
        <w:tc>
          <w:tcPr>
            <w:tcW w:w="2316" w:type="dxa"/>
            <w:vAlign w:val="center"/>
          </w:tcPr>
          <w:p w:rsidR="003B5723" w:rsidRPr="00955B55" w:rsidRDefault="003B5723" w:rsidP="006B4539">
            <w:pPr>
              <w:jc w:val="right"/>
              <w:rPr>
                <w:b/>
                <w:sz w:val="22"/>
                <w:szCs w:val="22"/>
              </w:rPr>
            </w:pPr>
            <w:r w:rsidRPr="00955B55">
              <w:rPr>
                <w:b/>
                <w:sz w:val="22"/>
                <w:szCs w:val="22"/>
              </w:rPr>
              <w:t>Customers Served</w:t>
            </w:r>
          </w:p>
        </w:tc>
        <w:tc>
          <w:tcPr>
            <w:tcW w:w="1440" w:type="dxa"/>
            <w:vAlign w:val="center"/>
          </w:tcPr>
          <w:p w:rsidR="003B5723" w:rsidRPr="00955B55" w:rsidRDefault="00B7244A" w:rsidP="006B4539">
            <w:pPr>
              <w:jc w:val="center"/>
              <w:rPr>
                <w:sz w:val="22"/>
                <w:szCs w:val="22"/>
              </w:rPr>
            </w:pPr>
            <w:r>
              <w:rPr>
                <w:sz w:val="22"/>
                <w:szCs w:val="22"/>
              </w:rPr>
              <w:t>1675</w:t>
            </w:r>
          </w:p>
        </w:tc>
        <w:tc>
          <w:tcPr>
            <w:tcW w:w="1366" w:type="dxa"/>
            <w:vAlign w:val="center"/>
          </w:tcPr>
          <w:p w:rsidR="003B5723" w:rsidRPr="00955B55" w:rsidRDefault="00B7244A" w:rsidP="006B4539">
            <w:pPr>
              <w:jc w:val="center"/>
              <w:rPr>
                <w:sz w:val="22"/>
                <w:szCs w:val="22"/>
              </w:rPr>
            </w:pPr>
            <w:r>
              <w:rPr>
                <w:sz w:val="22"/>
                <w:szCs w:val="22"/>
              </w:rPr>
              <w:t>249</w:t>
            </w:r>
          </w:p>
        </w:tc>
        <w:tc>
          <w:tcPr>
            <w:tcW w:w="1440" w:type="dxa"/>
            <w:vAlign w:val="center"/>
          </w:tcPr>
          <w:p w:rsidR="003B5723" w:rsidRPr="00955B55" w:rsidRDefault="006B4539" w:rsidP="006B4539">
            <w:pPr>
              <w:jc w:val="center"/>
              <w:rPr>
                <w:sz w:val="22"/>
                <w:szCs w:val="22"/>
              </w:rPr>
            </w:pPr>
            <w:r>
              <w:rPr>
                <w:sz w:val="22"/>
                <w:szCs w:val="22"/>
              </w:rPr>
              <w:t>92</w:t>
            </w:r>
          </w:p>
        </w:tc>
        <w:tc>
          <w:tcPr>
            <w:tcW w:w="1440" w:type="dxa"/>
            <w:vAlign w:val="center"/>
          </w:tcPr>
          <w:p w:rsidR="003B5723" w:rsidDel="00201FFA" w:rsidRDefault="002B578C" w:rsidP="006B4539">
            <w:pPr>
              <w:jc w:val="center"/>
              <w:rPr>
                <w:sz w:val="22"/>
                <w:szCs w:val="22"/>
              </w:rPr>
            </w:pPr>
            <w:r>
              <w:rPr>
                <w:sz w:val="22"/>
                <w:szCs w:val="22"/>
              </w:rPr>
              <w:t>2</w:t>
            </w:r>
          </w:p>
        </w:tc>
        <w:tc>
          <w:tcPr>
            <w:tcW w:w="1440" w:type="dxa"/>
            <w:vAlign w:val="center"/>
          </w:tcPr>
          <w:p w:rsidR="003B5723" w:rsidRPr="0071582B" w:rsidRDefault="006B4539" w:rsidP="006B4539">
            <w:pPr>
              <w:tabs>
                <w:tab w:val="left" w:pos="340"/>
                <w:tab w:val="center" w:pos="514"/>
                <w:tab w:val="left" w:pos="978"/>
              </w:tabs>
              <w:jc w:val="center"/>
              <w:rPr>
                <w:color w:val="FFFF00"/>
                <w:sz w:val="22"/>
                <w:szCs w:val="22"/>
              </w:rPr>
            </w:pPr>
            <w:r>
              <w:rPr>
                <w:sz w:val="22"/>
                <w:szCs w:val="22"/>
              </w:rPr>
              <w:t>2018</w:t>
            </w:r>
          </w:p>
        </w:tc>
      </w:tr>
      <w:tr w:rsidR="003B5723" w:rsidRPr="00955B55" w:rsidTr="006B4539">
        <w:trPr>
          <w:trHeight w:val="705"/>
          <w:jc w:val="center"/>
        </w:trPr>
        <w:tc>
          <w:tcPr>
            <w:tcW w:w="2316" w:type="dxa"/>
            <w:vAlign w:val="center"/>
          </w:tcPr>
          <w:p w:rsidR="003B5723" w:rsidRPr="00955B55" w:rsidRDefault="003B5723" w:rsidP="006B4539">
            <w:pPr>
              <w:jc w:val="right"/>
              <w:rPr>
                <w:b/>
                <w:sz w:val="22"/>
                <w:szCs w:val="22"/>
              </w:rPr>
            </w:pPr>
            <w:r w:rsidRPr="00955B55">
              <w:rPr>
                <w:b/>
                <w:sz w:val="22"/>
                <w:szCs w:val="22"/>
              </w:rPr>
              <w:t xml:space="preserve">Carbon Offset </w:t>
            </w:r>
          </w:p>
          <w:p w:rsidR="003B5723" w:rsidRPr="00955B55" w:rsidRDefault="003B5723" w:rsidP="006B4539">
            <w:pPr>
              <w:jc w:val="right"/>
              <w:rPr>
                <w:b/>
                <w:sz w:val="22"/>
                <w:szCs w:val="22"/>
              </w:rPr>
            </w:pPr>
            <w:r w:rsidRPr="00955B55">
              <w:rPr>
                <w:b/>
                <w:sz w:val="22"/>
                <w:szCs w:val="22"/>
              </w:rPr>
              <w:t>(CO</w:t>
            </w:r>
            <w:r w:rsidRPr="0075567A">
              <w:rPr>
                <w:b/>
                <w:sz w:val="22"/>
                <w:szCs w:val="22"/>
                <w:vertAlign w:val="superscript"/>
              </w:rPr>
              <w:t>2</w:t>
            </w:r>
            <w:r w:rsidRPr="00955B55">
              <w:rPr>
                <w:b/>
                <w:sz w:val="22"/>
                <w:szCs w:val="22"/>
              </w:rPr>
              <w:t xml:space="preserve"> avoided) </w:t>
            </w:r>
          </w:p>
          <w:p w:rsidR="003B5723" w:rsidRPr="00955B55" w:rsidRDefault="003B5723" w:rsidP="006B4539">
            <w:pPr>
              <w:jc w:val="right"/>
              <w:rPr>
                <w:b/>
                <w:sz w:val="22"/>
                <w:szCs w:val="22"/>
              </w:rPr>
            </w:pPr>
            <w:r w:rsidRPr="00955B55">
              <w:rPr>
                <w:i/>
                <w:sz w:val="22"/>
                <w:szCs w:val="22"/>
              </w:rPr>
              <w:t xml:space="preserve">  </w:t>
            </w:r>
          </w:p>
        </w:tc>
        <w:tc>
          <w:tcPr>
            <w:tcW w:w="1440" w:type="dxa"/>
            <w:vAlign w:val="center"/>
          </w:tcPr>
          <w:p w:rsidR="003B5723" w:rsidRPr="00955B55" w:rsidRDefault="001B735A" w:rsidP="006B4539">
            <w:pPr>
              <w:jc w:val="center"/>
              <w:rPr>
                <w:sz w:val="22"/>
                <w:szCs w:val="22"/>
              </w:rPr>
            </w:pPr>
            <w:r>
              <w:rPr>
                <w:sz w:val="22"/>
                <w:szCs w:val="22"/>
              </w:rPr>
              <w:t xml:space="preserve">1,863,094 </w:t>
            </w:r>
            <w:proofErr w:type="spellStart"/>
            <w:r w:rsidR="003B5723">
              <w:rPr>
                <w:sz w:val="22"/>
                <w:szCs w:val="22"/>
              </w:rPr>
              <w:t>lbs</w:t>
            </w:r>
            <w:proofErr w:type="spellEnd"/>
          </w:p>
        </w:tc>
        <w:tc>
          <w:tcPr>
            <w:tcW w:w="1366" w:type="dxa"/>
            <w:vAlign w:val="center"/>
          </w:tcPr>
          <w:p w:rsidR="003B5723" w:rsidRPr="00955B55" w:rsidRDefault="001B735A" w:rsidP="006B4539">
            <w:pPr>
              <w:jc w:val="center"/>
              <w:rPr>
                <w:sz w:val="22"/>
                <w:szCs w:val="22"/>
              </w:rPr>
            </w:pPr>
            <w:r>
              <w:rPr>
                <w:sz w:val="22"/>
                <w:szCs w:val="22"/>
              </w:rPr>
              <w:t>83,493</w:t>
            </w:r>
            <w:r w:rsidR="0075567A">
              <w:rPr>
                <w:sz w:val="22"/>
                <w:szCs w:val="22"/>
              </w:rPr>
              <w:t xml:space="preserve"> </w:t>
            </w:r>
            <w:proofErr w:type="spellStart"/>
            <w:r w:rsidR="003B5723">
              <w:rPr>
                <w:sz w:val="22"/>
                <w:szCs w:val="22"/>
              </w:rPr>
              <w:t>lbs</w:t>
            </w:r>
            <w:proofErr w:type="spellEnd"/>
          </w:p>
        </w:tc>
        <w:tc>
          <w:tcPr>
            <w:tcW w:w="1440" w:type="dxa"/>
            <w:vAlign w:val="center"/>
          </w:tcPr>
          <w:p w:rsidR="003B5723" w:rsidRPr="00955B55" w:rsidRDefault="001B735A" w:rsidP="006B4539">
            <w:pPr>
              <w:jc w:val="center"/>
              <w:rPr>
                <w:sz w:val="22"/>
                <w:szCs w:val="22"/>
              </w:rPr>
            </w:pPr>
            <w:r>
              <w:rPr>
                <w:sz w:val="22"/>
                <w:szCs w:val="22"/>
              </w:rPr>
              <w:t xml:space="preserve">5,411,576 </w:t>
            </w:r>
            <w:proofErr w:type="spellStart"/>
            <w:r w:rsidR="003B5723">
              <w:rPr>
                <w:sz w:val="22"/>
                <w:szCs w:val="22"/>
              </w:rPr>
              <w:t>lbs</w:t>
            </w:r>
            <w:proofErr w:type="spellEnd"/>
          </w:p>
        </w:tc>
        <w:tc>
          <w:tcPr>
            <w:tcW w:w="1440" w:type="dxa"/>
            <w:vAlign w:val="center"/>
          </w:tcPr>
          <w:p w:rsidR="003B5723" w:rsidDel="003B5723" w:rsidRDefault="001B735A" w:rsidP="006B4539">
            <w:pPr>
              <w:jc w:val="center"/>
              <w:rPr>
                <w:sz w:val="22"/>
                <w:szCs w:val="22"/>
              </w:rPr>
            </w:pPr>
            <w:r>
              <w:rPr>
                <w:sz w:val="22"/>
                <w:szCs w:val="22"/>
              </w:rPr>
              <w:t>3,026</w:t>
            </w:r>
            <w:r w:rsidR="0075567A">
              <w:rPr>
                <w:sz w:val="22"/>
                <w:szCs w:val="22"/>
              </w:rPr>
              <w:t xml:space="preserve"> </w:t>
            </w:r>
            <w:proofErr w:type="spellStart"/>
            <w:r w:rsidR="0075567A">
              <w:rPr>
                <w:sz w:val="22"/>
                <w:szCs w:val="22"/>
              </w:rPr>
              <w:t>lbs</w:t>
            </w:r>
            <w:proofErr w:type="spellEnd"/>
          </w:p>
        </w:tc>
        <w:tc>
          <w:tcPr>
            <w:tcW w:w="1440" w:type="dxa"/>
            <w:vAlign w:val="center"/>
          </w:tcPr>
          <w:p w:rsidR="003B5723" w:rsidRPr="00955B55" w:rsidRDefault="001B735A" w:rsidP="006B4539">
            <w:pPr>
              <w:jc w:val="center"/>
              <w:rPr>
                <w:sz w:val="22"/>
                <w:szCs w:val="22"/>
              </w:rPr>
            </w:pPr>
            <w:r>
              <w:rPr>
                <w:sz w:val="22"/>
                <w:szCs w:val="22"/>
              </w:rPr>
              <w:t xml:space="preserve">7,361,189 </w:t>
            </w:r>
            <w:proofErr w:type="spellStart"/>
            <w:r w:rsidR="003B5723">
              <w:rPr>
                <w:sz w:val="22"/>
                <w:szCs w:val="22"/>
              </w:rPr>
              <w:t>lbs</w:t>
            </w:r>
            <w:proofErr w:type="spellEnd"/>
          </w:p>
        </w:tc>
      </w:tr>
    </w:tbl>
    <w:p w:rsidR="00C40241" w:rsidRPr="00955B55" w:rsidRDefault="00C40241" w:rsidP="00C40241">
      <w:pPr>
        <w:rPr>
          <w:sz w:val="22"/>
          <w:szCs w:val="22"/>
        </w:rPr>
      </w:pPr>
    </w:p>
    <w:p w:rsidR="00C40241" w:rsidRPr="00955B55" w:rsidRDefault="00C40241" w:rsidP="00C40241">
      <w:pPr>
        <w:rPr>
          <w:sz w:val="22"/>
          <w:szCs w:val="22"/>
        </w:rPr>
      </w:pPr>
    </w:p>
    <w:p w:rsidR="00CA37BF" w:rsidRDefault="00CA37BF">
      <w:pPr>
        <w:rPr>
          <w:b/>
          <w:sz w:val="22"/>
          <w:szCs w:val="22"/>
        </w:rPr>
      </w:pPr>
      <w:r>
        <w:rPr>
          <w:b/>
          <w:sz w:val="22"/>
          <w:szCs w:val="22"/>
        </w:rPr>
        <w:br w:type="page"/>
      </w:r>
    </w:p>
    <w:p w:rsidR="00C40241" w:rsidRPr="00955B55" w:rsidRDefault="00C40241" w:rsidP="00C40241">
      <w:pPr>
        <w:jc w:val="center"/>
        <w:rPr>
          <w:sz w:val="22"/>
          <w:szCs w:val="22"/>
        </w:rPr>
      </w:pPr>
      <w:r w:rsidRPr="00955B55">
        <w:rPr>
          <w:b/>
          <w:sz w:val="22"/>
          <w:szCs w:val="22"/>
        </w:rPr>
        <w:lastRenderedPageBreak/>
        <w:t xml:space="preserve">Table B: </w:t>
      </w:r>
      <w:r w:rsidRPr="00955B55">
        <w:rPr>
          <w:sz w:val="22"/>
          <w:szCs w:val="22"/>
        </w:rPr>
        <w:t xml:space="preserve"> </w:t>
      </w:r>
      <w:r w:rsidRPr="00955B55">
        <w:rPr>
          <w:sz w:val="22"/>
          <w:szCs w:val="22"/>
          <w:u w:val="single"/>
        </w:rPr>
        <w:t>201</w:t>
      </w:r>
      <w:r w:rsidR="00201FFA">
        <w:rPr>
          <w:sz w:val="22"/>
          <w:szCs w:val="22"/>
          <w:u w:val="single"/>
        </w:rPr>
        <w:t>4</w:t>
      </w:r>
      <w:r w:rsidRPr="00955B55">
        <w:rPr>
          <w:sz w:val="22"/>
          <w:szCs w:val="22"/>
          <w:u w:val="single"/>
        </w:rPr>
        <w:t xml:space="preserve"> Residential/Commercial Programmatic Costs and Rebates </w:t>
      </w:r>
    </w:p>
    <w:p w:rsidR="00C40241" w:rsidRPr="00955B55" w:rsidRDefault="00C40241" w:rsidP="00C40241">
      <w:pPr>
        <w:jc w:val="center"/>
        <w:rPr>
          <w:b/>
          <w:sz w:val="22"/>
          <w:szCs w:val="22"/>
        </w:rPr>
      </w:pPr>
    </w:p>
    <w:tbl>
      <w:tblPr>
        <w:tblW w:w="6587"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764"/>
        <w:gridCol w:w="2297"/>
      </w:tblGrid>
      <w:tr w:rsidR="001B735A" w:rsidRPr="00955B55" w:rsidTr="00CA37BF">
        <w:trPr>
          <w:trHeight w:val="70"/>
          <w:jc w:val="center"/>
        </w:trPr>
        <w:tc>
          <w:tcPr>
            <w:tcW w:w="2526" w:type="dxa"/>
            <w:vAlign w:val="center"/>
          </w:tcPr>
          <w:p w:rsidR="00C40241" w:rsidRPr="00955B55" w:rsidRDefault="00C40241" w:rsidP="00CA37BF">
            <w:pPr>
              <w:jc w:val="right"/>
              <w:rPr>
                <w:i/>
                <w:sz w:val="22"/>
                <w:szCs w:val="22"/>
              </w:rPr>
            </w:pPr>
            <w:r w:rsidRPr="00955B55">
              <w:rPr>
                <w:i/>
                <w:sz w:val="22"/>
                <w:szCs w:val="22"/>
              </w:rPr>
              <w:t>Total Costs</w:t>
            </w:r>
          </w:p>
        </w:tc>
        <w:tc>
          <w:tcPr>
            <w:tcW w:w="1764" w:type="dxa"/>
            <w:vAlign w:val="center"/>
          </w:tcPr>
          <w:p w:rsidR="00C40241" w:rsidRPr="00955B55" w:rsidRDefault="00C40241" w:rsidP="00CA37BF">
            <w:pPr>
              <w:jc w:val="center"/>
              <w:rPr>
                <w:b/>
                <w:sz w:val="22"/>
                <w:szCs w:val="22"/>
              </w:rPr>
            </w:pPr>
            <w:r w:rsidRPr="00955B55">
              <w:rPr>
                <w:b/>
                <w:sz w:val="22"/>
                <w:szCs w:val="22"/>
              </w:rPr>
              <w:t>Residential</w:t>
            </w:r>
          </w:p>
        </w:tc>
        <w:tc>
          <w:tcPr>
            <w:tcW w:w="2297" w:type="dxa"/>
            <w:vAlign w:val="center"/>
          </w:tcPr>
          <w:p w:rsidR="00C40241" w:rsidRPr="00955B55" w:rsidRDefault="00C40241" w:rsidP="00CA37BF">
            <w:pPr>
              <w:jc w:val="center"/>
              <w:rPr>
                <w:b/>
                <w:sz w:val="22"/>
                <w:szCs w:val="22"/>
              </w:rPr>
            </w:pPr>
            <w:r w:rsidRPr="00955B55">
              <w:rPr>
                <w:b/>
                <w:sz w:val="22"/>
                <w:szCs w:val="22"/>
              </w:rPr>
              <w:t>Commercial</w:t>
            </w:r>
          </w:p>
        </w:tc>
      </w:tr>
      <w:tr w:rsidR="001B735A" w:rsidRPr="00955B55" w:rsidTr="00CA37BF">
        <w:trPr>
          <w:jc w:val="center"/>
        </w:trPr>
        <w:tc>
          <w:tcPr>
            <w:tcW w:w="2526" w:type="dxa"/>
            <w:vAlign w:val="center"/>
          </w:tcPr>
          <w:p w:rsidR="00C40241" w:rsidRPr="00955B55" w:rsidRDefault="00C40241" w:rsidP="00CA37BF">
            <w:pPr>
              <w:jc w:val="right"/>
              <w:rPr>
                <w:b/>
                <w:sz w:val="22"/>
                <w:szCs w:val="22"/>
              </w:rPr>
            </w:pPr>
            <w:r w:rsidRPr="00955B55">
              <w:rPr>
                <w:b/>
                <w:sz w:val="22"/>
                <w:szCs w:val="22"/>
              </w:rPr>
              <w:t>Incentives Paid</w:t>
            </w:r>
          </w:p>
        </w:tc>
        <w:tc>
          <w:tcPr>
            <w:tcW w:w="1764" w:type="dxa"/>
            <w:vAlign w:val="center"/>
          </w:tcPr>
          <w:p w:rsidR="00C40241" w:rsidRPr="00955B55" w:rsidRDefault="001B735A" w:rsidP="00CA37BF">
            <w:pPr>
              <w:jc w:val="center"/>
              <w:rPr>
                <w:sz w:val="22"/>
                <w:szCs w:val="22"/>
              </w:rPr>
            </w:pPr>
            <w:r>
              <w:rPr>
                <w:sz w:val="22"/>
                <w:szCs w:val="22"/>
              </w:rPr>
              <w:t>$489,060.40</w:t>
            </w:r>
          </w:p>
        </w:tc>
        <w:tc>
          <w:tcPr>
            <w:tcW w:w="2297" w:type="dxa"/>
            <w:vAlign w:val="center"/>
          </w:tcPr>
          <w:p w:rsidR="00C40241" w:rsidRPr="00955B55" w:rsidRDefault="001B735A" w:rsidP="00CA37BF">
            <w:pPr>
              <w:jc w:val="center"/>
              <w:rPr>
                <w:sz w:val="22"/>
                <w:szCs w:val="22"/>
              </w:rPr>
            </w:pPr>
            <w:r>
              <w:rPr>
                <w:sz w:val="22"/>
                <w:szCs w:val="22"/>
              </w:rPr>
              <w:t>$544,569.00</w:t>
            </w:r>
          </w:p>
        </w:tc>
      </w:tr>
      <w:tr w:rsidR="001B735A" w:rsidRPr="00955B55" w:rsidTr="00CA37BF">
        <w:trPr>
          <w:jc w:val="center"/>
        </w:trPr>
        <w:tc>
          <w:tcPr>
            <w:tcW w:w="2526" w:type="dxa"/>
            <w:vAlign w:val="center"/>
          </w:tcPr>
          <w:p w:rsidR="00C40241" w:rsidRPr="00955B55" w:rsidRDefault="00C40241" w:rsidP="00CA37BF">
            <w:pPr>
              <w:jc w:val="right"/>
              <w:rPr>
                <w:b/>
                <w:sz w:val="22"/>
                <w:szCs w:val="22"/>
              </w:rPr>
            </w:pPr>
            <w:r w:rsidRPr="00955B55">
              <w:rPr>
                <w:b/>
                <w:sz w:val="22"/>
                <w:szCs w:val="22"/>
              </w:rPr>
              <w:t>Programmatic Costs</w:t>
            </w:r>
          </w:p>
        </w:tc>
        <w:tc>
          <w:tcPr>
            <w:tcW w:w="1764" w:type="dxa"/>
            <w:vAlign w:val="center"/>
          </w:tcPr>
          <w:p w:rsidR="00C40241" w:rsidRPr="00955B55" w:rsidRDefault="001B735A" w:rsidP="00CA37BF">
            <w:pPr>
              <w:jc w:val="center"/>
              <w:rPr>
                <w:sz w:val="22"/>
                <w:szCs w:val="22"/>
              </w:rPr>
            </w:pPr>
            <w:r>
              <w:rPr>
                <w:sz w:val="22"/>
                <w:szCs w:val="22"/>
              </w:rPr>
              <w:t>$335,394.11</w:t>
            </w:r>
          </w:p>
        </w:tc>
        <w:tc>
          <w:tcPr>
            <w:tcW w:w="2297" w:type="dxa"/>
            <w:vAlign w:val="center"/>
          </w:tcPr>
          <w:p w:rsidR="00C40241" w:rsidRPr="00955B55" w:rsidRDefault="001B735A" w:rsidP="00CA37BF">
            <w:pPr>
              <w:jc w:val="center"/>
              <w:rPr>
                <w:sz w:val="22"/>
                <w:szCs w:val="22"/>
              </w:rPr>
            </w:pPr>
            <w:r>
              <w:rPr>
                <w:sz w:val="22"/>
                <w:szCs w:val="22"/>
              </w:rPr>
              <w:t>$736,781.03</w:t>
            </w:r>
          </w:p>
        </w:tc>
      </w:tr>
      <w:tr w:rsidR="00C40241" w:rsidRPr="00955B55" w:rsidTr="00CA37BF">
        <w:trPr>
          <w:jc w:val="center"/>
        </w:trPr>
        <w:tc>
          <w:tcPr>
            <w:tcW w:w="2526" w:type="dxa"/>
            <w:vAlign w:val="center"/>
          </w:tcPr>
          <w:p w:rsidR="00C40241" w:rsidRPr="00955B55" w:rsidRDefault="00C40241" w:rsidP="00CA37BF">
            <w:pPr>
              <w:jc w:val="right"/>
              <w:rPr>
                <w:b/>
                <w:sz w:val="22"/>
                <w:szCs w:val="22"/>
              </w:rPr>
            </w:pPr>
            <w:r>
              <w:rPr>
                <w:b/>
                <w:sz w:val="22"/>
                <w:szCs w:val="22"/>
              </w:rPr>
              <w:t>EM&amp;V/</w:t>
            </w:r>
            <w:proofErr w:type="spellStart"/>
            <w:r>
              <w:rPr>
                <w:b/>
                <w:sz w:val="22"/>
                <w:szCs w:val="22"/>
              </w:rPr>
              <w:t>Nexant</w:t>
            </w:r>
            <w:proofErr w:type="spellEnd"/>
            <w:r>
              <w:rPr>
                <w:b/>
                <w:sz w:val="22"/>
                <w:szCs w:val="22"/>
              </w:rPr>
              <w:t xml:space="preserve"> Study</w:t>
            </w:r>
          </w:p>
        </w:tc>
        <w:tc>
          <w:tcPr>
            <w:tcW w:w="4061" w:type="dxa"/>
            <w:gridSpan w:val="2"/>
            <w:vAlign w:val="center"/>
          </w:tcPr>
          <w:p w:rsidR="00C40241" w:rsidRPr="00955B55" w:rsidRDefault="001B735A" w:rsidP="00CA37BF">
            <w:pPr>
              <w:jc w:val="center"/>
              <w:rPr>
                <w:sz w:val="22"/>
                <w:szCs w:val="22"/>
              </w:rPr>
            </w:pPr>
            <w:r>
              <w:rPr>
                <w:sz w:val="22"/>
                <w:szCs w:val="22"/>
              </w:rPr>
              <w:t>$14,679.07</w:t>
            </w:r>
          </w:p>
        </w:tc>
      </w:tr>
    </w:tbl>
    <w:p w:rsidR="00915A4C" w:rsidRDefault="00915A4C">
      <w:pPr>
        <w:rPr>
          <w:sz w:val="22"/>
          <w:szCs w:val="22"/>
        </w:rPr>
      </w:pPr>
    </w:p>
    <w:p w:rsidR="00723F25" w:rsidRDefault="00723F25">
      <w:pPr>
        <w:rPr>
          <w:sz w:val="22"/>
          <w:szCs w:val="22"/>
        </w:rPr>
      </w:pPr>
      <w:r>
        <w:rPr>
          <w:sz w:val="22"/>
          <w:szCs w:val="22"/>
        </w:rPr>
        <w:t xml:space="preserve">Costs </w:t>
      </w:r>
      <w:r w:rsidR="0075567A">
        <w:rPr>
          <w:sz w:val="22"/>
          <w:szCs w:val="22"/>
        </w:rPr>
        <w:t>associated with</w:t>
      </w:r>
      <w:r>
        <w:rPr>
          <w:sz w:val="22"/>
          <w:szCs w:val="22"/>
        </w:rPr>
        <w:t xml:space="preserve"> the </w:t>
      </w:r>
      <w:proofErr w:type="spellStart"/>
      <w:r>
        <w:rPr>
          <w:sz w:val="22"/>
          <w:szCs w:val="22"/>
        </w:rPr>
        <w:t>Nexant</w:t>
      </w:r>
      <w:proofErr w:type="spellEnd"/>
      <w:r>
        <w:rPr>
          <w:sz w:val="22"/>
          <w:szCs w:val="22"/>
        </w:rPr>
        <w:t xml:space="preserve"> study have been separated out from Programmatic Costs for the purposes of assessing program cost-effectiveness for CY 201</w:t>
      </w:r>
      <w:r w:rsidR="00201FFA">
        <w:rPr>
          <w:sz w:val="22"/>
          <w:szCs w:val="22"/>
        </w:rPr>
        <w:t>4</w:t>
      </w:r>
      <w:r>
        <w:rPr>
          <w:sz w:val="22"/>
          <w:szCs w:val="22"/>
        </w:rPr>
        <w:t>.</w:t>
      </w:r>
      <w:r w:rsidR="00201FFA">
        <w:rPr>
          <w:sz w:val="22"/>
          <w:szCs w:val="22"/>
        </w:rPr>
        <w:t xml:space="preserve"> </w:t>
      </w:r>
      <w:r w:rsidR="00C613A0">
        <w:rPr>
          <w:sz w:val="22"/>
          <w:szCs w:val="22"/>
        </w:rPr>
        <w:t xml:space="preserve"> </w:t>
      </w:r>
      <w:r w:rsidR="00201FFA">
        <w:rPr>
          <w:sz w:val="22"/>
          <w:szCs w:val="22"/>
        </w:rPr>
        <w:t xml:space="preserve">A second calculation </w:t>
      </w:r>
      <w:r w:rsidR="006D48A5">
        <w:rPr>
          <w:sz w:val="22"/>
          <w:szCs w:val="22"/>
        </w:rPr>
        <w:t xml:space="preserve">in Appendix A </w:t>
      </w:r>
      <w:r w:rsidR="00201FFA">
        <w:rPr>
          <w:sz w:val="22"/>
          <w:szCs w:val="22"/>
        </w:rPr>
        <w:t xml:space="preserve">can be viewed to assess cost-effectiveness of the program with the </w:t>
      </w:r>
      <w:r w:rsidR="006D48A5">
        <w:rPr>
          <w:sz w:val="22"/>
          <w:szCs w:val="22"/>
        </w:rPr>
        <w:t xml:space="preserve">remainder of the </w:t>
      </w:r>
      <w:proofErr w:type="spellStart"/>
      <w:r w:rsidR="00201FFA">
        <w:rPr>
          <w:sz w:val="22"/>
          <w:szCs w:val="22"/>
        </w:rPr>
        <w:t>Nexant</w:t>
      </w:r>
      <w:proofErr w:type="spellEnd"/>
      <w:r w:rsidR="00201FFA">
        <w:rPr>
          <w:sz w:val="22"/>
          <w:szCs w:val="22"/>
        </w:rPr>
        <w:t xml:space="preserve"> study expenses </w:t>
      </w:r>
      <w:r w:rsidR="006D48A5">
        <w:rPr>
          <w:sz w:val="22"/>
          <w:szCs w:val="22"/>
        </w:rPr>
        <w:t xml:space="preserve">that occurred in 2014 </w:t>
      </w:r>
      <w:r w:rsidR="00201FFA">
        <w:rPr>
          <w:sz w:val="22"/>
          <w:szCs w:val="22"/>
        </w:rPr>
        <w:t xml:space="preserve">included in the </w:t>
      </w:r>
      <w:r w:rsidR="00B85100">
        <w:rPr>
          <w:sz w:val="22"/>
          <w:szCs w:val="22"/>
        </w:rPr>
        <w:t xml:space="preserve">summary </w:t>
      </w:r>
      <w:r w:rsidR="00201FFA">
        <w:rPr>
          <w:sz w:val="22"/>
          <w:szCs w:val="22"/>
        </w:rPr>
        <w:t xml:space="preserve">portfolio calculations. </w:t>
      </w:r>
      <w:r w:rsidR="006D48A5">
        <w:rPr>
          <w:sz w:val="22"/>
          <w:szCs w:val="22"/>
        </w:rPr>
        <w:br/>
      </w:r>
    </w:p>
    <w:p w:rsidR="00723F25" w:rsidRPr="00955B55" w:rsidRDefault="00723F25">
      <w:pPr>
        <w:rPr>
          <w:sz w:val="22"/>
          <w:szCs w:val="22"/>
        </w:rPr>
      </w:pPr>
    </w:p>
    <w:p w:rsidR="00480DAA" w:rsidRPr="00955B55" w:rsidRDefault="00480DAA" w:rsidP="00480DAA">
      <w:pPr>
        <w:rPr>
          <w:sz w:val="22"/>
          <w:szCs w:val="22"/>
        </w:rPr>
      </w:pPr>
      <w:r w:rsidRPr="00955B55">
        <w:rPr>
          <w:i/>
          <w:sz w:val="22"/>
          <w:szCs w:val="22"/>
        </w:rPr>
        <w:t>Low Income</w:t>
      </w:r>
    </w:p>
    <w:p w:rsidR="00480DAA" w:rsidRPr="00955B55" w:rsidRDefault="00480DAA" w:rsidP="00480DAA">
      <w:pPr>
        <w:rPr>
          <w:sz w:val="22"/>
          <w:szCs w:val="22"/>
        </w:rPr>
      </w:pPr>
    </w:p>
    <w:p w:rsidR="00F858A4" w:rsidRPr="00955B55" w:rsidRDefault="00F858A4" w:rsidP="00F858A4">
      <w:pPr>
        <w:rPr>
          <w:sz w:val="22"/>
          <w:szCs w:val="22"/>
        </w:rPr>
      </w:pPr>
      <w:r w:rsidRPr="00955B55">
        <w:rPr>
          <w:sz w:val="22"/>
          <w:szCs w:val="22"/>
        </w:rPr>
        <w:t xml:space="preserve">The Company’s Low Income Conservation Program </w:t>
      </w:r>
      <w:r>
        <w:rPr>
          <w:sz w:val="22"/>
          <w:szCs w:val="22"/>
        </w:rPr>
        <w:t xml:space="preserve">experienced a further decline in </w:t>
      </w:r>
      <w:proofErr w:type="spellStart"/>
      <w:r w:rsidRPr="00955B55">
        <w:rPr>
          <w:sz w:val="22"/>
          <w:szCs w:val="22"/>
        </w:rPr>
        <w:t>therm</w:t>
      </w:r>
      <w:proofErr w:type="spellEnd"/>
      <w:r w:rsidRPr="00955B55">
        <w:rPr>
          <w:sz w:val="22"/>
          <w:szCs w:val="22"/>
        </w:rPr>
        <w:t xml:space="preserve"> achievements and number of customers </w:t>
      </w:r>
      <w:r w:rsidR="007C7F01" w:rsidRPr="00955B55">
        <w:rPr>
          <w:sz w:val="22"/>
          <w:szCs w:val="22"/>
        </w:rPr>
        <w:t xml:space="preserve">served </w:t>
      </w:r>
      <w:r w:rsidR="007C7F01">
        <w:rPr>
          <w:sz w:val="22"/>
          <w:szCs w:val="22"/>
        </w:rPr>
        <w:t>as</w:t>
      </w:r>
      <w:r>
        <w:rPr>
          <w:sz w:val="22"/>
          <w:szCs w:val="22"/>
        </w:rPr>
        <w:t xml:space="preserve"> compared to the accomplishments noted </w:t>
      </w:r>
      <w:r w:rsidRPr="00955B55">
        <w:rPr>
          <w:sz w:val="22"/>
          <w:szCs w:val="22"/>
        </w:rPr>
        <w:t xml:space="preserve">in our </w:t>
      </w:r>
      <w:r>
        <w:rPr>
          <w:sz w:val="22"/>
          <w:szCs w:val="22"/>
        </w:rPr>
        <w:t>2013</w:t>
      </w:r>
      <w:r w:rsidRPr="00955B55">
        <w:rPr>
          <w:sz w:val="22"/>
          <w:szCs w:val="22"/>
        </w:rPr>
        <w:t xml:space="preserve"> Conservation Achievement Report.  In 201</w:t>
      </w:r>
      <w:r>
        <w:rPr>
          <w:sz w:val="22"/>
          <w:szCs w:val="22"/>
        </w:rPr>
        <w:t>4</w:t>
      </w:r>
      <w:r w:rsidRPr="00955B55">
        <w:rPr>
          <w:sz w:val="22"/>
          <w:szCs w:val="22"/>
        </w:rPr>
        <w:t xml:space="preserve"> the program achieved </w:t>
      </w:r>
      <w:r w:rsidRPr="007C7F01">
        <w:rPr>
          <w:b/>
          <w:sz w:val="22"/>
          <w:szCs w:val="22"/>
        </w:rPr>
        <w:t>7,338</w:t>
      </w:r>
      <w:r>
        <w:rPr>
          <w:sz w:val="22"/>
          <w:szCs w:val="22"/>
        </w:rPr>
        <w:t xml:space="preserve"> </w:t>
      </w:r>
      <w:proofErr w:type="spellStart"/>
      <w:r w:rsidRPr="00955B55">
        <w:rPr>
          <w:sz w:val="22"/>
          <w:szCs w:val="22"/>
        </w:rPr>
        <w:t>therms</w:t>
      </w:r>
      <w:proofErr w:type="spellEnd"/>
      <w:r w:rsidRPr="00955B55">
        <w:rPr>
          <w:sz w:val="22"/>
          <w:szCs w:val="22"/>
        </w:rPr>
        <w:t xml:space="preserve"> saved with a total of </w:t>
      </w:r>
      <w:r>
        <w:rPr>
          <w:sz w:val="22"/>
          <w:szCs w:val="22"/>
        </w:rPr>
        <w:t>21</w:t>
      </w:r>
      <w:r w:rsidRPr="00955B55">
        <w:rPr>
          <w:sz w:val="22"/>
          <w:szCs w:val="22"/>
        </w:rPr>
        <w:t xml:space="preserve"> homes served.  </w:t>
      </w:r>
      <w:r>
        <w:rPr>
          <w:sz w:val="22"/>
          <w:szCs w:val="22"/>
        </w:rPr>
        <w:t xml:space="preserve">This unanticipated decline is the direct result of the CAP agencies required adherence to increasingly stringent </w:t>
      </w:r>
      <w:r w:rsidR="007C7F01">
        <w:rPr>
          <w:sz w:val="22"/>
          <w:szCs w:val="22"/>
        </w:rPr>
        <w:t>United States Department of Energy Weatherization Assistance Program (</w:t>
      </w:r>
      <w:r>
        <w:rPr>
          <w:sz w:val="22"/>
          <w:szCs w:val="22"/>
        </w:rPr>
        <w:t>USDOE WAP</w:t>
      </w:r>
      <w:r w:rsidR="007C7F01">
        <w:rPr>
          <w:sz w:val="22"/>
          <w:szCs w:val="22"/>
        </w:rPr>
        <w:t>)</w:t>
      </w:r>
      <w:r>
        <w:rPr>
          <w:sz w:val="22"/>
          <w:szCs w:val="22"/>
        </w:rPr>
        <w:t xml:space="preserve"> household prioritization rules which results in natural gas-heated homes being left off of agency weatherization waiting lists in the absence of other prioritization elements such as the elderly, and households with young children or disabled individuals.  </w:t>
      </w:r>
      <w:r w:rsidR="002A345F">
        <w:rPr>
          <w:sz w:val="22"/>
          <w:szCs w:val="22"/>
        </w:rPr>
        <w:t>The Company’s</w:t>
      </w:r>
      <w:r w:rsidRPr="00955B55">
        <w:rPr>
          <w:sz w:val="22"/>
          <w:szCs w:val="22"/>
        </w:rPr>
        <w:t xml:space="preserve"> challenge </w:t>
      </w:r>
      <w:r w:rsidR="002A345F">
        <w:rPr>
          <w:sz w:val="22"/>
          <w:szCs w:val="22"/>
        </w:rPr>
        <w:t>for</w:t>
      </w:r>
      <w:r w:rsidRPr="00955B55">
        <w:rPr>
          <w:sz w:val="22"/>
          <w:szCs w:val="22"/>
        </w:rPr>
        <w:t xml:space="preserve"> 201</w:t>
      </w:r>
      <w:r>
        <w:rPr>
          <w:sz w:val="22"/>
          <w:szCs w:val="22"/>
        </w:rPr>
        <w:t>5</w:t>
      </w:r>
      <w:r w:rsidRPr="00955B55">
        <w:rPr>
          <w:sz w:val="22"/>
          <w:szCs w:val="22"/>
        </w:rPr>
        <w:t xml:space="preserve"> will be to </w:t>
      </w:r>
      <w:r>
        <w:rPr>
          <w:sz w:val="22"/>
          <w:szCs w:val="22"/>
        </w:rPr>
        <w:t xml:space="preserve">help maintain program </w:t>
      </w:r>
      <w:r w:rsidRPr="00955B55">
        <w:rPr>
          <w:sz w:val="22"/>
          <w:szCs w:val="22"/>
        </w:rPr>
        <w:t>momentum in light of the reduction of available federal funding, primarily USDOE WAP funds, and the</w:t>
      </w:r>
      <w:r>
        <w:rPr>
          <w:sz w:val="22"/>
          <w:szCs w:val="22"/>
        </w:rPr>
        <w:t xml:space="preserve"> CAP agencies reliance upon USDOE WAP household prioritization rules which are tilted in </w:t>
      </w:r>
      <w:r w:rsidR="002A345F">
        <w:rPr>
          <w:sz w:val="22"/>
          <w:szCs w:val="22"/>
        </w:rPr>
        <w:t>favor of non-natural gas heated homes</w:t>
      </w:r>
      <w:r>
        <w:rPr>
          <w:sz w:val="22"/>
          <w:szCs w:val="22"/>
        </w:rPr>
        <w:t>.</w:t>
      </w:r>
      <w:r w:rsidRPr="00955B55">
        <w:rPr>
          <w:sz w:val="22"/>
          <w:szCs w:val="22"/>
        </w:rPr>
        <w:t xml:space="preserve">  </w:t>
      </w:r>
      <w:r>
        <w:rPr>
          <w:sz w:val="22"/>
          <w:szCs w:val="22"/>
        </w:rPr>
        <w:t>Cascade remains a supporter of the Low Income Weatherization Assistance Program and will be examining alternative models to allow greater flexibility in program funding moving forward.  These changes will likely be based from the CNGC Conservation Achievement Tariff, a Company pilot currently operating in the State of Oregon.  The CAT was designed in consultation with low income agencies and advocates to bridge the gap between what can be funded under traditional energy efficiency cost-effectiveness parameters and the total installed and administrative costs of weatherization work performed.</w:t>
      </w:r>
    </w:p>
    <w:p w:rsidR="00915A4C" w:rsidRPr="00955B55" w:rsidRDefault="00915A4C" w:rsidP="00480DAA">
      <w:pPr>
        <w:rPr>
          <w:sz w:val="22"/>
          <w:szCs w:val="22"/>
        </w:rPr>
      </w:pPr>
    </w:p>
    <w:p w:rsidR="00915A4C" w:rsidRDefault="00915A4C" w:rsidP="006A0EF8">
      <w:pPr>
        <w:jc w:val="center"/>
        <w:rPr>
          <w:sz w:val="22"/>
          <w:szCs w:val="22"/>
          <w:u w:val="single"/>
        </w:rPr>
      </w:pPr>
      <w:r>
        <w:rPr>
          <w:b/>
          <w:sz w:val="22"/>
          <w:szCs w:val="22"/>
        </w:rPr>
        <w:t>Table C</w:t>
      </w:r>
      <w:r w:rsidRPr="00955B55">
        <w:rPr>
          <w:b/>
          <w:sz w:val="22"/>
          <w:szCs w:val="22"/>
        </w:rPr>
        <w:t xml:space="preserve">: </w:t>
      </w:r>
      <w:r w:rsidRPr="00955B55">
        <w:rPr>
          <w:sz w:val="22"/>
          <w:szCs w:val="22"/>
        </w:rPr>
        <w:t xml:space="preserve"> </w:t>
      </w:r>
      <w:r w:rsidRPr="00955B55">
        <w:rPr>
          <w:sz w:val="22"/>
          <w:szCs w:val="22"/>
          <w:u w:val="single"/>
        </w:rPr>
        <w:t>201</w:t>
      </w:r>
      <w:r w:rsidR="00201FFA">
        <w:rPr>
          <w:sz w:val="22"/>
          <w:szCs w:val="22"/>
          <w:u w:val="single"/>
        </w:rPr>
        <w:t>4</w:t>
      </w:r>
      <w:r w:rsidRPr="00955B55">
        <w:rPr>
          <w:sz w:val="22"/>
          <w:szCs w:val="22"/>
          <w:u w:val="single"/>
        </w:rPr>
        <w:t xml:space="preserve"> </w:t>
      </w:r>
      <w:r>
        <w:rPr>
          <w:sz w:val="22"/>
          <w:szCs w:val="22"/>
          <w:u w:val="single"/>
        </w:rPr>
        <w:t>Low Income</w:t>
      </w:r>
      <w:r w:rsidRPr="00955B55">
        <w:rPr>
          <w:sz w:val="22"/>
          <w:szCs w:val="22"/>
          <w:u w:val="single"/>
        </w:rPr>
        <w:t xml:space="preserve"> Programmatic </w:t>
      </w:r>
      <w:r>
        <w:rPr>
          <w:sz w:val="22"/>
          <w:szCs w:val="22"/>
          <w:u w:val="single"/>
        </w:rPr>
        <w:t>Achievements</w:t>
      </w:r>
    </w:p>
    <w:p w:rsidR="0084160D" w:rsidRPr="00955B55" w:rsidRDefault="0084160D" w:rsidP="006A0EF8">
      <w:pPr>
        <w:jc w:val="center"/>
        <w:rPr>
          <w:sz w:val="22"/>
          <w:szCs w:val="22"/>
        </w:rPr>
      </w:pPr>
    </w:p>
    <w:tbl>
      <w:tblPr>
        <w:tblW w:w="3429"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431"/>
      </w:tblGrid>
      <w:tr w:rsidR="00480DAA" w:rsidRPr="00955B55" w:rsidTr="00CA37BF">
        <w:trPr>
          <w:trHeight w:val="475"/>
          <w:jc w:val="center"/>
        </w:trPr>
        <w:tc>
          <w:tcPr>
            <w:tcW w:w="1998" w:type="dxa"/>
            <w:vAlign w:val="center"/>
          </w:tcPr>
          <w:p w:rsidR="00480DAA" w:rsidRPr="00955B55" w:rsidRDefault="00480DAA" w:rsidP="007C7F01">
            <w:pPr>
              <w:jc w:val="right"/>
              <w:rPr>
                <w:i/>
                <w:sz w:val="22"/>
                <w:szCs w:val="22"/>
              </w:rPr>
            </w:pPr>
            <w:r w:rsidRPr="00955B55">
              <w:rPr>
                <w:i/>
                <w:sz w:val="22"/>
                <w:szCs w:val="22"/>
              </w:rPr>
              <w:t>Totals</w:t>
            </w:r>
          </w:p>
        </w:tc>
        <w:tc>
          <w:tcPr>
            <w:tcW w:w="1431" w:type="dxa"/>
            <w:vAlign w:val="center"/>
          </w:tcPr>
          <w:p w:rsidR="00480DAA" w:rsidRPr="00955B55" w:rsidRDefault="00480DAA" w:rsidP="00CA37BF">
            <w:pPr>
              <w:rPr>
                <w:b/>
                <w:sz w:val="22"/>
                <w:szCs w:val="22"/>
              </w:rPr>
            </w:pPr>
            <w:r w:rsidRPr="00955B55">
              <w:rPr>
                <w:b/>
                <w:sz w:val="22"/>
                <w:szCs w:val="22"/>
              </w:rPr>
              <w:t>Low Income</w:t>
            </w:r>
          </w:p>
        </w:tc>
      </w:tr>
      <w:tr w:rsidR="00480DAA" w:rsidRPr="00955B55" w:rsidTr="00CA37BF">
        <w:trPr>
          <w:trHeight w:val="287"/>
          <w:jc w:val="center"/>
        </w:trPr>
        <w:tc>
          <w:tcPr>
            <w:tcW w:w="1998" w:type="dxa"/>
            <w:vAlign w:val="center"/>
          </w:tcPr>
          <w:p w:rsidR="00480DAA" w:rsidRPr="00955B55" w:rsidRDefault="00480DAA" w:rsidP="007C7F01">
            <w:pPr>
              <w:jc w:val="right"/>
              <w:rPr>
                <w:b/>
                <w:sz w:val="22"/>
                <w:szCs w:val="22"/>
              </w:rPr>
            </w:pPr>
            <w:proofErr w:type="spellStart"/>
            <w:r w:rsidRPr="00955B55">
              <w:rPr>
                <w:b/>
                <w:sz w:val="22"/>
                <w:szCs w:val="22"/>
              </w:rPr>
              <w:t>Therms</w:t>
            </w:r>
            <w:proofErr w:type="spellEnd"/>
            <w:r w:rsidRPr="00955B55">
              <w:rPr>
                <w:b/>
                <w:sz w:val="22"/>
                <w:szCs w:val="22"/>
              </w:rPr>
              <w:t xml:space="preserve"> Achieved</w:t>
            </w:r>
          </w:p>
        </w:tc>
        <w:tc>
          <w:tcPr>
            <w:tcW w:w="1431" w:type="dxa"/>
            <w:vAlign w:val="center"/>
          </w:tcPr>
          <w:p w:rsidR="00480DAA" w:rsidRPr="007C7F01" w:rsidRDefault="00F858A4" w:rsidP="007C7F01">
            <w:pPr>
              <w:jc w:val="center"/>
              <w:rPr>
                <w:b/>
                <w:sz w:val="22"/>
                <w:szCs w:val="22"/>
              </w:rPr>
            </w:pPr>
            <w:r w:rsidRPr="007C7F01">
              <w:rPr>
                <w:b/>
                <w:sz w:val="22"/>
                <w:szCs w:val="22"/>
              </w:rPr>
              <w:t>7,338</w:t>
            </w:r>
          </w:p>
        </w:tc>
      </w:tr>
      <w:tr w:rsidR="00480DAA" w:rsidRPr="00955B55" w:rsidTr="00CA37BF">
        <w:trPr>
          <w:trHeight w:val="231"/>
          <w:jc w:val="center"/>
        </w:trPr>
        <w:tc>
          <w:tcPr>
            <w:tcW w:w="1998" w:type="dxa"/>
            <w:vAlign w:val="center"/>
          </w:tcPr>
          <w:p w:rsidR="00480DAA" w:rsidRPr="00955B55" w:rsidRDefault="00480DAA" w:rsidP="007C7F01">
            <w:pPr>
              <w:jc w:val="right"/>
              <w:rPr>
                <w:b/>
                <w:sz w:val="22"/>
                <w:szCs w:val="22"/>
              </w:rPr>
            </w:pPr>
            <w:r w:rsidRPr="00955B55">
              <w:rPr>
                <w:b/>
                <w:sz w:val="22"/>
                <w:szCs w:val="22"/>
              </w:rPr>
              <w:t>Measures Installed</w:t>
            </w:r>
          </w:p>
        </w:tc>
        <w:tc>
          <w:tcPr>
            <w:tcW w:w="1431" w:type="dxa"/>
            <w:vAlign w:val="center"/>
          </w:tcPr>
          <w:p w:rsidR="00480DAA" w:rsidRPr="00955B55" w:rsidRDefault="00F858A4" w:rsidP="007C7F01">
            <w:pPr>
              <w:jc w:val="center"/>
              <w:rPr>
                <w:sz w:val="22"/>
                <w:szCs w:val="22"/>
              </w:rPr>
            </w:pPr>
            <w:r>
              <w:rPr>
                <w:sz w:val="22"/>
                <w:szCs w:val="22"/>
              </w:rPr>
              <w:t>66</w:t>
            </w:r>
          </w:p>
        </w:tc>
      </w:tr>
      <w:tr w:rsidR="00480DAA" w:rsidRPr="00955B55" w:rsidTr="00CA37BF">
        <w:trPr>
          <w:trHeight w:val="287"/>
          <w:jc w:val="center"/>
        </w:trPr>
        <w:tc>
          <w:tcPr>
            <w:tcW w:w="1998" w:type="dxa"/>
            <w:vAlign w:val="center"/>
          </w:tcPr>
          <w:p w:rsidR="00480DAA" w:rsidRPr="00955B55" w:rsidRDefault="00480DAA" w:rsidP="007C7F01">
            <w:pPr>
              <w:jc w:val="right"/>
              <w:rPr>
                <w:b/>
                <w:sz w:val="22"/>
                <w:szCs w:val="22"/>
              </w:rPr>
            </w:pPr>
            <w:r w:rsidRPr="00955B55">
              <w:rPr>
                <w:b/>
                <w:sz w:val="22"/>
                <w:szCs w:val="22"/>
              </w:rPr>
              <w:t>Customers Served</w:t>
            </w:r>
          </w:p>
        </w:tc>
        <w:tc>
          <w:tcPr>
            <w:tcW w:w="1431" w:type="dxa"/>
            <w:vAlign w:val="center"/>
          </w:tcPr>
          <w:p w:rsidR="00480DAA" w:rsidRPr="00955B55" w:rsidRDefault="00F858A4" w:rsidP="007C7F01">
            <w:pPr>
              <w:jc w:val="center"/>
              <w:rPr>
                <w:sz w:val="22"/>
                <w:szCs w:val="22"/>
              </w:rPr>
            </w:pPr>
            <w:r>
              <w:rPr>
                <w:sz w:val="22"/>
                <w:szCs w:val="22"/>
              </w:rPr>
              <w:t>21</w:t>
            </w:r>
          </w:p>
        </w:tc>
      </w:tr>
      <w:tr w:rsidR="00480DAA" w:rsidRPr="00955B55" w:rsidTr="00CA37BF">
        <w:trPr>
          <w:trHeight w:val="287"/>
          <w:jc w:val="center"/>
        </w:trPr>
        <w:tc>
          <w:tcPr>
            <w:tcW w:w="1998" w:type="dxa"/>
            <w:vAlign w:val="center"/>
          </w:tcPr>
          <w:p w:rsidR="00480DAA" w:rsidRPr="00955B55" w:rsidRDefault="00480DAA" w:rsidP="0075567A">
            <w:pPr>
              <w:jc w:val="right"/>
              <w:rPr>
                <w:b/>
                <w:sz w:val="22"/>
                <w:szCs w:val="22"/>
              </w:rPr>
            </w:pPr>
            <w:r w:rsidRPr="00955B55">
              <w:rPr>
                <w:b/>
                <w:sz w:val="22"/>
                <w:szCs w:val="22"/>
              </w:rPr>
              <w:t>Carbon Offset (C</w:t>
            </w:r>
            <w:r w:rsidR="0075567A">
              <w:rPr>
                <w:b/>
                <w:sz w:val="22"/>
                <w:szCs w:val="22"/>
              </w:rPr>
              <w:t>O</w:t>
            </w:r>
            <w:r w:rsidRPr="0075567A">
              <w:rPr>
                <w:b/>
                <w:sz w:val="22"/>
                <w:szCs w:val="22"/>
                <w:vertAlign w:val="superscript"/>
              </w:rPr>
              <w:t>2</w:t>
            </w:r>
            <w:r w:rsidRPr="00955B55">
              <w:rPr>
                <w:b/>
                <w:sz w:val="22"/>
                <w:szCs w:val="22"/>
              </w:rPr>
              <w:t xml:space="preserve"> Avoided)</w:t>
            </w:r>
          </w:p>
        </w:tc>
        <w:tc>
          <w:tcPr>
            <w:tcW w:w="1431" w:type="dxa"/>
            <w:vAlign w:val="center"/>
          </w:tcPr>
          <w:p w:rsidR="00480DAA" w:rsidRPr="00955B55" w:rsidRDefault="00F858A4" w:rsidP="007C7F01">
            <w:pPr>
              <w:jc w:val="center"/>
              <w:rPr>
                <w:sz w:val="22"/>
                <w:szCs w:val="22"/>
              </w:rPr>
            </w:pPr>
            <w:r>
              <w:rPr>
                <w:sz w:val="22"/>
                <w:szCs w:val="22"/>
              </w:rPr>
              <w:t xml:space="preserve">85,414 </w:t>
            </w:r>
            <w:proofErr w:type="spellStart"/>
            <w:r>
              <w:rPr>
                <w:sz w:val="22"/>
                <w:szCs w:val="22"/>
              </w:rPr>
              <w:t>lbs</w:t>
            </w:r>
            <w:proofErr w:type="spellEnd"/>
          </w:p>
        </w:tc>
      </w:tr>
    </w:tbl>
    <w:p w:rsidR="00480DAA" w:rsidRDefault="00480DAA" w:rsidP="00364087">
      <w:pPr>
        <w:jc w:val="center"/>
        <w:rPr>
          <w:sz w:val="22"/>
          <w:szCs w:val="22"/>
        </w:rPr>
      </w:pPr>
    </w:p>
    <w:p w:rsidR="00915A4C" w:rsidRPr="00955B55" w:rsidRDefault="00915A4C" w:rsidP="006A0EF8">
      <w:pPr>
        <w:jc w:val="center"/>
        <w:rPr>
          <w:sz w:val="22"/>
          <w:szCs w:val="22"/>
        </w:rPr>
      </w:pPr>
      <w:r>
        <w:rPr>
          <w:b/>
          <w:sz w:val="22"/>
          <w:szCs w:val="22"/>
        </w:rPr>
        <w:t>Table D</w:t>
      </w:r>
      <w:r w:rsidRPr="00955B55">
        <w:rPr>
          <w:b/>
          <w:sz w:val="22"/>
          <w:szCs w:val="22"/>
        </w:rPr>
        <w:t xml:space="preserve">: </w:t>
      </w:r>
      <w:r w:rsidRPr="00955B55">
        <w:rPr>
          <w:sz w:val="22"/>
          <w:szCs w:val="22"/>
        </w:rPr>
        <w:t xml:space="preserve"> </w:t>
      </w:r>
      <w:r w:rsidRPr="00955B55">
        <w:rPr>
          <w:sz w:val="22"/>
          <w:szCs w:val="22"/>
          <w:u w:val="single"/>
        </w:rPr>
        <w:t>201</w:t>
      </w:r>
      <w:r w:rsidR="00201FFA">
        <w:rPr>
          <w:sz w:val="22"/>
          <w:szCs w:val="22"/>
          <w:u w:val="single"/>
        </w:rPr>
        <w:t>4</w:t>
      </w:r>
      <w:r w:rsidRPr="00955B55">
        <w:rPr>
          <w:sz w:val="22"/>
          <w:szCs w:val="22"/>
          <w:u w:val="single"/>
        </w:rPr>
        <w:t xml:space="preserve"> </w:t>
      </w:r>
      <w:r>
        <w:rPr>
          <w:sz w:val="22"/>
          <w:szCs w:val="22"/>
          <w:u w:val="single"/>
        </w:rPr>
        <w:t>Low Income</w:t>
      </w:r>
      <w:r w:rsidRPr="00955B55">
        <w:rPr>
          <w:sz w:val="22"/>
          <w:szCs w:val="22"/>
          <w:u w:val="single"/>
        </w:rPr>
        <w:t xml:space="preserve"> Programmatic </w:t>
      </w:r>
      <w:r>
        <w:rPr>
          <w:sz w:val="22"/>
          <w:szCs w:val="22"/>
          <w:u w:val="single"/>
        </w:rPr>
        <w:t>Costs</w:t>
      </w:r>
    </w:p>
    <w:p w:rsidR="00915A4C" w:rsidRPr="00955B55" w:rsidRDefault="00915A4C" w:rsidP="00364087">
      <w:pPr>
        <w:jc w:val="center"/>
        <w:rPr>
          <w:sz w:val="22"/>
          <w:szCs w:val="22"/>
        </w:rPr>
      </w:pPr>
    </w:p>
    <w:tbl>
      <w:tblPr>
        <w:tblW w:w="3510"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646"/>
      </w:tblGrid>
      <w:tr w:rsidR="00480DAA" w:rsidRPr="00955B55" w:rsidTr="00CA37BF">
        <w:trPr>
          <w:trHeight w:val="314"/>
          <w:jc w:val="center"/>
        </w:trPr>
        <w:tc>
          <w:tcPr>
            <w:tcW w:w="1864" w:type="dxa"/>
            <w:vAlign w:val="center"/>
          </w:tcPr>
          <w:p w:rsidR="00480DAA" w:rsidRPr="00955B55" w:rsidRDefault="00480DAA" w:rsidP="00CA37BF">
            <w:pPr>
              <w:jc w:val="right"/>
              <w:rPr>
                <w:i/>
                <w:sz w:val="22"/>
                <w:szCs w:val="22"/>
              </w:rPr>
            </w:pPr>
            <w:r w:rsidRPr="00955B55">
              <w:rPr>
                <w:i/>
                <w:sz w:val="22"/>
                <w:szCs w:val="22"/>
              </w:rPr>
              <w:t>Total Costs</w:t>
            </w:r>
          </w:p>
        </w:tc>
        <w:tc>
          <w:tcPr>
            <w:tcW w:w="1646" w:type="dxa"/>
            <w:vAlign w:val="center"/>
          </w:tcPr>
          <w:p w:rsidR="00480DAA" w:rsidRPr="00955B55" w:rsidRDefault="00480DAA" w:rsidP="00CA37BF">
            <w:pPr>
              <w:rPr>
                <w:b/>
                <w:sz w:val="22"/>
                <w:szCs w:val="22"/>
              </w:rPr>
            </w:pPr>
            <w:r w:rsidRPr="00955B55">
              <w:rPr>
                <w:b/>
                <w:sz w:val="22"/>
                <w:szCs w:val="22"/>
              </w:rPr>
              <w:t>Low Income</w:t>
            </w:r>
          </w:p>
        </w:tc>
      </w:tr>
      <w:tr w:rsidR="00480DAA" w:rsidRPr="00955B55" w:rsidTr="00CA37BF">
        <w:trPr>
          <w:jc w:val="center"/>
        </w:trPr>
        <w:tc>
          <w:tcPr>
            <w:tcW w:w="1864" w:type="dxa"/>
            <w:vAlign w:val="center"/>
          </w:tcPr>
          <w:p w:rsidR="00480DAA" w:rsidRPr="00955B55" w:rsidRDefault="00480DAA" w:rsidP="00CA37BF">
            <w:pPr>
              <w:jc w:val="right"/>
              <w:rPr>
                <w:b/>
                <w:sz w:val="22"/>
                <w:szCs w:val="22"/>
              </w:rPr>
            </w:pPr>
            <w:r w:rsidRPr="00955B55">
              <w:rPr>
                <w:b/>
                <w:sz w:val="22"/>
                <w:szCs w:val="22"/>
              </w:rPr>
              <w:t>Incentives Paid</w:t>
            </w:r>
          </w:p>
        </w:tc>
        <w:tc>
          <w:tcPr>
            <w:tcW w:w="1646" w:type="dxa"/>
            <w:vAlign w:val="center"/>
          </w:tcPr>
          <w:p w:rsidR="00480DAA" w:rsidRPr="00955B55" w:rsidRDefault="00F858A4" w:rsidP="007C7F01">
            <w:pPr>
              <w:jc w:val="center"/>
              <w:rPr>
                <w:sz w:val="22"/>
                <w:szCs w:val="22"/>
              </w:rPr>
            </w:pPr>
            <w:r>
              <w:rPr>
                <w:sz w:val="22"/>
                <w:szCs w:val="22"/>
              </w:rPr>
              <w:t>$54,374</w:t>
            </w:r>
          </w:p>
        </w:tc>
      </w:tr>
      <w:tr w:rsidR="00480DAA" w:rsidRPr="00955B55" w:rsidTr="00CA37BF">
        <w:trPr>
          <w:jc w:val="center"/>
        </w:trPr>
        <w:tc>
          <w:tcPr>
            <w:tcW w:w="1864" w:type="dxa"/>
            <w:vAlign w:val="center"/>
          </w:tcPr>
          <w:p w:rsidR="00480DAA" w:rsidRPr="00955B55" w:rsidRDefault="00480DAA" w:rsidP="00CA37BF">
            <w:pPr>
              <w:jc w:val="right"/>
              <w:rPr>
                <w:b/>
                <w:sz w:val="22"/>
                <w:szCs w:val="22"/>
              </w:rPr>
            </w:pPr>
            <w:r w:rsidRPr="00955B55">
              <w:rPr>
                <w:b/>
                <w:sz w:val="22"/>
                <w:szCs w:val="22"/>
              </w:rPr>
              <w:t>Programmatic Costs</w:t>
            </w:r>
          </w:p>
        </w:tc>
        <w:tc>
          <w:tcPr>
            <w:tcW w:w="1646" w:type="dxa"/>
            <w:vAlign w:val="center"/>
          </w:tcPr>
          <w:p w:rsidR="00480DAA" w:rsidRPr="00955B55" w:rsidRDefault="00F858A4" w:rsidP="007C7F01">
            <w:pPr>
              <w:jc w:val="center"/>
              <w:rPr>
                <w:sz w:val="22"/>
                <w:szCs w:val="22"/>
              </w:rPr>
            </w:pPr>
            <w:r>
              <w:rPr>
                <w:sz w:val="22"/>
                <w:szCs w:val="22"/>
              </w:rPr>
              <w:t>$15,000</w:t>
            </w:r>
          </w:p>
        </w:tc>
      </w:tr>
    </w:tbl>
    <w:p w:rsidR="00480DAA" w:rsidRPr="00955B55" w:rsidRDefault="00480DAA" w:rsidP="00480DAA">
      <w:pPr>
        <w:rPr>
          <w:sz w:val="22"/>
          <w:szCs w:val="22"/>
        </w:rPr>
      </w:pPr>
    </w:p>
    <w:p w:rsidR="00BF5004" w:rsidRPr="00955B55" w:rsidRDefault="00BF5004" w:rsidP="0041631C">
      <w:pPr>
        <w:rPr>
          <w:sz w:val="22"/>
          <w:szCs w:val="22"/>
        </w:rPr>
      </w:pPr>
    </w:p>
    <w:p w:rsidR="00CA37BF" w:rsidRDefault="00CA37BF">
      <w:pPr>
        <w:rPr>
          <w:b/>
          <w:sz w:val="22"/>
          <w:szCs w:val="22"/>
        </w:rPr>
      </w:pPr>
      <w:r>
        <w:rPr>
          <w:b/>
          <w:sz w:val="22"/>
          <w:szCs w:val="22"/>
        </w:rPr>
        <w:br w:type="page"/>
      </w:r>
    </w:p>
    <w:p w:rsidR="001C2812" w:rsidRPr="00955B55" w:rsidRDefault="00567FC2" w:rsidP="00C40241">
      <w:pPr>
        <w:rPr>
          <w:sz w:val="22"/>
          <w:szCs w:val="22"/>
        </w:rPr>
      </w:pPr>
      <w:r w:rsidRPr="00C46009">
        <w:rPr>
          <w:b/>
          <w:sz w:val="22"/>
          <w:szCs w:val="22"/>
        </w:rPr>
        <w:lastRenderedPageBreak/>
        <w:t>Potential Assessment Update for Residential and Commercial Programs</w:t>
      </w:r>
      <w:r w:rsidR="0027338D" w:rsidRPr="00C46009">
        <w:rPr>
          <w:b/>
          <w:i/>
          <w:sz w:val="22"/>
          <w:szCs w:val="22"/>
        </w:rPr>
        <w:br/>
      </w:r>
    </w:p>
    <w:p w:rsidR="00327502" w:rsidRDefault="00CD2D5B" w:rsidP="00924525">
      <w:pPr>
        <w:rPr>
          <w:sz w:val="22"/>
          <w:szCs w:val="22"/>
        </w:rPr>
      </w:pPr>
      <w:r>
        <w:rPr>
          <w:sz w:val="22"/>
          <w:szCs w:val="22"/>
        </w:rPr>
        <w:t xml:space="preserve">In 2013/14 Cascade hired </w:t>
      </w:r>
      <w:proofErr w:type="spellStart"/>
      <w:r>
        <w:rPr>
          <w:sz w:val="22"/>
          <w:szCs w:val="22"/>
        </w:rPr>
        <w:t>Nexant</w:t>
      </w:r>
      <w:proofErr w:type="spellEnd"/>
      <w:r>
        <w:rPr>
          <w:sz w:val="22"/>
          <w:szCs w:val="22"/>
        </w:rPr>
        <w:t xml:space="preserve"> to perform a comprehensive reassessment of its conservation program potential </w:t>
      </w:r>
      <w:r w:rsidR="0067594F">
        <w:rPr>
          <w:sz w:val="22"/>
          <w:szCs w:val="22"/>
        </w:rPr>
        <w:t xml:space="preserve">in the state of Washington.  </w:t>
      </w:r>
      <w:r w:rsidR="006C1E6C">
        <w:rPr>
          <w:sz w:val="22"/>
          <w:szCs w:val="22"/>
        </w:rPr>
        <w:t xml:space="preserve">The primary goal of the </w:t>
      </w:r>
      <w:r w:rsidR="00334129">
        <w:rPr>
          <w:sz w:val="22"/>
          <w:szCs w:val="22"/>
        </w:rPr>
        <w:t xml:space="preserve">study </w:t>
      </w:r>
      <w:r w:rsidR="006C1E6C">
        <w:rPr>
          <w:sz w:val="22"/>
          <w:szCs w:val="22"/>
        </w:rPr>
        <w:t xml:space="preserve">was to develop a comprehensive assessment of technical and achievable potential for natural gas energy efficiency within Cascade’s Washington service territory for customers on Rate Schedules 503, 504, 505, 511, 570 &amp; 577.  </w:t>
      </w:r>
      <w:r w:rsidR="008A5E44">
        <w:rPr>
          <w:sz w:val="22"/>
          <w:szCs w:val="22"/>
        </w:rPr>
        <w:t xml:space="preserve">The </w:t>
      </w:r>
      <w:proofErr w:type="spellStart"/>
      <w:r w:rsidR="008A5E44">
        <w:rPr>
          <w:sz w:val="22"/>
          <w:szCs w:val="22"/>
        </w:rPr>
        <w:t>Nexant</w:t>
      </w:r>
      <w:proofErr w:type="spellEnd"/>
      <w:r w:rsidR="008A5E44">
        <w:rPr>
          <w:sz w:val="22"/>
          <w:szCs w:val="22"/>
        </w:rPr>
        <w:t xml:space="preserve"> study performed in 2013/14 also integrated a detailed evaluation and measure savings review of Cascade’s conservation portfolio.  </w:t>
      </w:r>
      <w:r w:rsidR="006C1E6C">
        <w:rPr>
          <w:sz w:val="22"/>
          <w:szCs w:val="22"/>
        </w:rPr>
        <w:t xml:space="preserve">The study did not address program potential directly, but </w:t>
      </w:r>
      <w:proofErr w:type="spellStart"/>
      <w:r w:rsidR="006C1E6C">
        <w:rPr>
          <w:sz w:val="22"/>
          <w:szCs w:val="22"/>
        </w:rPr>
        <w:t>Nexant</w:t>
      </w:r>
      <w:proofErr w:type="spellEnd"/>
      <w:r w:rsidR="006C1E6C">
        <w:rPr>
          <w:sz w:val="22"/>
          <w:szCs w:val="22"/>
        </w:rPr>
        <w:t xml:space="preserve"> did provide the Company with a comprehensive potential calculation tool—the TEAPOT (Technical, Economic, </w:t>
      </w:r>
      <w:proofErr w:type="gramStart"/>
      <w:r w:rsidR="006C1E6C">
        <w:rPr>
          <w:sz w:val="22"/>
          <w:szCs w:val="22"/>
        </w:rPr>
        <w:t>Achievable</w:t>
      </w:r>
      <w:proofErr w:type="gramEnd"/>
      <w:r w:rsidR="006C1E6C">
        <w:rPr>
          <w:sz w:val="22"/>
          <w:szCs w:val="22"/>
        </w:rPr>
        <w:t xml:space="preserve"> Potential) model through which portfolios and targets can be developed </w:t>
      </w:r>
      <w:r w:rsidR="00E97CF2">
        <w:rPr>
          <w:sz w:val="22"/>
          <w:szCs w:val="22"/>
        </w:rPr>
        <w:t xml:space="preserve">by the Company </w:t>
      </w:r>
      <w:r w:rsidR="006C1E6C">
        <w:rPr>
          <w:sz w:val="22"/>
          <w:szCs w:val="22"/>
        </w:rPr>
        <w:t xml:space="preserve">and narrowed down </w:t>
      </w:r>
      <w:r w:rsidR="00016B6B">
        <w:rPr>
          <w:sz w:val="22"/>
          <w:szCs w:val="22"/>
        </w:rPr>
        <w:t xml:space="preserve">to </w:t>
      </w:r>
      <w:r w:rsidR="00E97CF2">
        <w:rPr>
          <w:sz w:val="22"/>
          <w:szCs w:val="22"/>
        </w:rPr>
        <w:t>programmatically viable portfolios.</w:t>
      </w:r>
      <w:r w:rsidR="008A5E44">
        <w:rPr>
          <w:sz w:val="22"/>
          <w:szCs w:val="22"/>
        </w:rPr>
        <w:t xml:space="preserve"> </w:t>
      </w:r>
      <w:r w:rsidR="00C613A0">
        <w:rPr>
          <w:sz w:val="22"/>
          <w:szCs w:val="22"/>
        </w:rPr>
        <w:t xml:space="preserve"> </w:t>
      </w:r>
      <w:r w:rsidR="008A5E44">
        <w:rPr>
          <w:sz w:val="22"/>
          <w:szCs w:val="22"/>
        </w:rPr>
        <w:t>Portfolios are then screened against the Company’s cost-effectiveness calculation and program planning tools.</w:t>
      </w:r>
    </w:p>
    <w:p w:rsidR="008A5E44" w:rsidRDefault="008A5E44" w:rsidP="00924525">
      <w:pPr>
        <w:rPr>
          <w:sz w:val="22"/>
          <w:szCs w:val="22"/>
        </w:rPr>
      </w:pPr>
    </w:p>
    <w:p w:rsidR="008A5E44" w:rsidRDefault="008A5E44" w:rsidP="00924525">
      <w:pPr>
        <w:rPr>
          <w:sz w:val="22"/>
          <w:szCs w:val="22"/>
        </w:rPr>
      </w:pPr>
      <w:r>
        <w:rPr>
          <w:sz w:val="22"/>
          <w:szCs w:val="22"/>
        </w:rPr>
        <w:t>Key objectives of this study included:</w:t>
      </w:r>
    </w:p>
    <w:p w:rsidR="00CD2D5B" w:rsidRDefault="00CD2D5B" w:rsidP="00924525">
      <w:pPr>
        <w:rPr>
          <w:sz w:val="22"/>
          <w:szCs w:val="22"/>
        </w:rPr>
      </w:pPr>
    </w:p>
    <w:p w:rsidR="008A5E44" w:rsidRDefault="008A5E44" w:rsidP="00C46009">
      <w:pPr>
        <w:pStyle w:val="ListParagraph"/>
        <w:numPr>
          <w:ilvl w:val="0"/>
          <w:numId w:val="8"/>
        </w:numPr>
        <w:rPr>
          <w:sz w:val="22"/>
          <w:szCs w:val="22"/>
        </w:rPr>
      </w:pPr>
      <w:r>
        <w:rPr>
          <w:sz w:val="22"/>
          <w:szCs w:val="22"/>
        </w:rPr>
        <w:t>Providing credible and transparent estimations of the technical and achievable energy efficiency potential by year over the next 21 year</w:t>
      </w:r>
      <w:r w:rsidR="00334129">
        <w:rPr>
          <w:sz w:val="22"/>
          <w:szCs w:val="22"/>
        </w:rPr>
        <w:t>s</w:t>
      </w:r>
      <w:r>
        <w:rPr>
          <w:sz w:val="22"/>
          <w:szCs w:val="22"/>
        </w:rPr>
        <w:t xml:space="preserve"> (2014-2034) within Cascade’s Washington service territory;</w:t>
      </w:r>
    </w:p>
    <w:p w:rsidR="008A5E44" w:rsidRDefault="008A5E44" w:rsidP="00C46009">
      <w:pPr>
        <w:pStyle w:val="ListParagraph"/>
        <w:numPr>
          <w:ilvl w:val="0"/>
          <w:numId w:val="8"/>
        </w:numPr>
        <w:rPr>
          <w:sz w:val="22"/>
          <w:szCs w:val="22"/>
        </w:rPr>
      </w:pPr>
      <w:r>
        <w:rPr>
          <w:sz w:val="22"/>
          <w:szCs w:val="22"/>
        </w:rPr>
        <w:t xml:space="preserve">Assessing and validating </w:t>
      </w:r>
      <w:proofErr w:type="spellStart"/>
      <w:r>
        <w:rPr>
          <w:sz w:val="22"/>
          <w:szCs w:val="22"/>
        </w:rPr>
        <w:t>therm</w:t>
      </w:r>
      <w:proofErr w:type="spellEnd"/>
      <w:r>
        <w:rPr>
          <w:sz w:val="22"/>
          <w:szCs w:val="22"/>
        </w:rPr>
        <w:t xml:space="preserve"> savings associated with the key measures that qualified for, and received, a conservation incentive in the 2012 program year, and apply</w:t>
      </w:r>
      <w:r w:rsidR="00771E30">
        <w:rPr>
          <w:sz w:val="22"/>
          <w:szCs w:val="22"/>
        </w:rPr>
        <w:t>ing</w:t>
      </w:r>
      <w:r>
        <w:rPr>
          <w:sz w:val="22"/>
          <w:szCs w:val="22"/>
        </w:rPr>
        <w:t xml:space="preserve"> findings to determine realistic </w:t>
      </w:r>
      <w:proofErr w:type="spellStart"/>
      <w:r>
        <w:rPr>
          <w:sz w:val="22"/>
          <w:szCs w:val="22"/>
        </w:rPr>
        <w:t>therm</w:t>
      </w:r>
      <w:proofErr w:type="spellEnd"/>
      <w:r>
        <w:rPr>
          <w:sz w:val="22"/>
          <w:szCs w:val="22"/>
        </w:rPr>
        <w:t xml:space="preserve"> savings potential in Cascade’s Washington service area;</w:t>
      </w:r>
    </w:p>
    <w:p w:rsidR="008A5E44" w:rsidRDefault="00771E30" w:rsidP="00C46009">
      <w:pPr>
        <w:pStyle w:val="ListParagraph"/>
        <w:numPr>
          <w:ilvl w:val="0"/>
          <w:numId w:val="8"/>
        </w:numPr>
        <w:rPr>
          <w:sz w:val="22"/>
          <w:szCs w:val="22"/>
        </w:rPr>
      </w:pPr>
      <w:r>
        <w:rPr>
          <w:sz w:val="22"/>
          <w:szCs w:val="22"/>
        </w:rPr>
        <w:t xml:space="preserve">Providing a user friendly, executable dynamic model </w:t>
      </w:r>
      <w:r w:rsidR="00EF7B31">
        <w:rPr>
          <w:sz w:val="22"/>
          <w:szCs w:val="22"/>
        </w:rPr>
        <w:t>to</w:t>
      </w:r>
      <w:r>
        <w:rPr>
          <w:sz w:val="22"/>
          <w:szCs w:val="22"/>
        </w:rPr>
        <w:t xml:space="preserve"> support the potential assessment and allow for testing of sensitivity of all model inputs and assumptions;</w:t>
      </w:r>
    </w:p>
    <w:p w:rsidR="00771E30" w:rsidRPr="00C46009" w:rsidRDefault="00771E30" w:rsidP="00C46009">
      <w:pPr>
        <w:pStyle w:val="ListParagraph"/>
        <w:numPr>
          <w:ilvl w:val="0"/>
          <w:numId w:val="8"/>
        </w:numPr>
        <w:rPr>
          <w:sz w:val="22"/>
          <w:szCs w:val="22"/>
        </w:rPr>
      </w:pPr>
      <w:r>
        <w:rPr>
          <w:sz w:val="22"/>
          <w:szCs w:val="22"/>
        </w:rPr>
        <w:t>Developing a final report including summary data tables and graphs reporting incremental and cumulative potential by year from 2014 through 2034.</w:t>
      </w:r>
    </w:p>
    <w:p w:rsidR="008A5E44" w:rsidRDefault="008A5E44" w:rsidP="00B54273">
      <w:pPr>
        <w:pStyle w:val="ListParagraph"/>
        <w:rPr>
          <w:sz w:val="22"/>
          <w:szCs w:val="22"/>
        </w:rPr>
      </w:pPr>
    </w:p>
    <w:p w:rsidR="008A5E44" w:rsidRPr="00C46009" w:rsidRDefault="007443D2" w:rsidP="00EF0DAD">
      <w:pPr>
        <w:rPr>
          <w:sz w:val="22"/>
          <w:szCs w:val="22"/>
        </w:rPr>
      </w:pPr>
      <w:r>
        <w:rPr>
          <w:sz w:val="22"/>
          <w:szCs w:val="22"/>
        </w:rPr>
        <w:t xml:space="preserve">A thorough review of Cascade’s past evaluated </w:t>
      </w:r>
      <w:proofErr w:type="spellStart"/>
      <w:r>
        <w:rPr>
          <w:sz w:val="22"/>
          <w:szCs w:val="22"/>
        </w:rPr>
        <w:t>therm</w:t>
      </w:r>
      <w:proofErr w:type="spellEnd"/>
      <w:r>
        <w:rPr>
          <w:sz w:val="22"/>
          <w:szCs w:val="22"/>
        </w:rPr>
        <w:t xml:space="preserve"> savings associated with its DSM programs provided critical feedback to Cascade’s DSM team and helped provide important baseline savings and participation data </w:t>
      </w:r>
      <w:r w:rsidR="00EF0DAD">
        <w:rPr>
          <w:sz w:val="22"/>
          <w:szCs w:val="22"/>
        </w:rPr>
        <w:t>to</w:t>
      </w:r>
      <w:r>
        <w:rPr>
          <w:sz w:val="22"/>
          <w:szCs w:val="22"/>
        </w:rPr>
        <w:t xml:space="preserve"> inform our conservation efforts moving forward.  </w:t>
      </w:r>
      <w:r w:rsidR="00EF0DAD">
        <w:rPr>
          <w:sz w:val="22"/>
          <w:szCs w:val="22"/>
        </w:rPr>
        <w:t>As a result of the potential study, and Cascade’s assessment of current program offerings</w:t>
      </w:r>
      <w:r w:rsidR="004E35D7">
        <w:rPr>
          <w:sz w:val="22"/>
          <w:szCs w:val="22"/>
        </w:rPr>
        <w:t>,</w:t>
      </w:r>
      <w:r w:rsidR="00EF0DAD">
        <w:rPr>
          <w:sz w:val="22"/>
          <w:szCs w:val="22"/>
        </w:rPr>
        <w:t xml:space="preserve"> the Company filed for a revised residential and commercial portfolio in September of 2014 </w:t>
      </w:r>
      <w:r w:rsidR="00334129">
        <w:rPr>
          <w:sz w:val="22"/>
          <w:szCs w:val="22"/>
        </w:rPr>
        <w:t xml:space="preserve">to </w:t>
      </w:r>
      <w:r w:rsidR="004B39EF">
        <w:rPr>
          <w:sz w:val="22"/>
          <w:szCs w:val="22"/>
        </w:rPr>
        <w:t xml:space="preserve">the WUTC to continue to grow its conservation portfolio and </w:t>
      </w:r>
      <w:r w:rsidR="003504DE">
        <w:rPr>
          <w:sz w:val="22"/>
          <w:szCs w:val="22"/>
        </w:rPr>
        <w:t xml:space="preserve">to move towards more aggressive </w:t>
      </w:r>
      <w:r w:rsidR="00075CDB">
        <w:rPr>
          <w:sz w:val="22"/>
          <w:szCs w:val="22"/>
        </w:rPr>
        <w:t xml:space="preserve">equipment </w:t>
      </w:r>
      <w:r w:rsidR="003504DE">
        <w:rPr>
          <w:sz w:val="22"/>
          <w:szCs w:val="22"/>
        </w:rPr>
        <w:t>standards</w:t>
      </w:r>
      <w:r w:rsidR="00EF0DAD">
        <w:rPr>
          <w:sz w:val="22"/>
          <w:szCs w:val="22"/>
        </w:rPr>
        <w:t xml:space="preserve"> (namely for water heaters and furnaces)</w:t>
      </w:r>
      <w:r w:rsidR="00075CDB">
        <w:rPr>
          <w:sz w:val="22"/>
          <w:szCs w:val="22"/>
        </w:rPr>
        <w:t>.</w:t>
      </w:r>
      <w:r w:rsidR="003504DE">
        <w:rPr>
          <w:sz w:val="22"/>
          <w:szCs w:val="22"/>
        </w:rPr>
        <w:t xml:space="preserve"> </w:t>
      </w:r>
      <w:r w:rsidR="0061638E">
        <w:rPr>
          <w:sz w:val="22"/>
          <w:szCs w:val="22"/>
        </w:rPr>
        <w:t xml:space="preserve">In line with our potential study Cascade also adjusted </w:t>
      </w:r>
      <w:r w:rsidR="007C7F01">
        <w:rPr>
          <w:sz w:val="22"/>
          <w:szCs w:val="22"/>
        </w:rPr>
        <w:t>select</w:t>
      </w:r>
      <w:r w:rsidR="0061638E">
        <w:rPr>
          <w:sz w:val="22"/>
          <w:szCs w:val="22"/>
        </w:rPr>
        <w:t xml:space="preserve"> deemed savings and measure lives to </w:t>
      </w:r>
      <w:r w:rsidR="000A77A1">
        <w:rPr>
          <w:sz w:val="22"/>
          <w:szCs w:val="22"/>
        </w:rPr>
        <w:t xml:space="preserve">correlate with the </w:t>
      </w:r>
      <w:proofErr w:type="spellStart"/>
      <w:r w:rsidR="000A77A1">
        <w:rPr>
          <w:sz w:val="22"/>
          <w:szCs w:val="22"/>
        </w:rPr>
        <w:t>Nexant</w:t>
      </w:r>
      <w:proofErr w:type="spellEnd"/>
      <w:r w:rsidR="000A77A1">
        <w:rPr>
          <w:sz w:val="22"/>
          <w:szCs w:val="22"/>
        </w:rPr>
        <w:t xml:space="preserve"> r</w:t>
      </w:r>
      <w:r w:rsidR="004E35D7">
        <w:rPr>
          <w:sz w:val="22"/>
          <w:szCs w:val="22"/>
        </w:rPr>
        <w:t>ecommendations for rebate</w:t>
      </w:r>
      <w:r w:rsidR="000A77A1">
        <w:rPr>
          <w:sz w:val="22"/>
          <w:szCs w:val="22"/>
        </w:rPr>
        <w:t xml:space="preserve"> eligible measures installed during the 2014 program year. </w:t>
      </w:r>
    </w:p>
    <w:p w:rsidR="00B54273" w:rsidRPr="00955B55" w:rsidRDefault="00B54273" w:rsidP="00B54273">
      <w:pPr>
        <w:pStyle w:val="ListParagraph"/>
        <w:rPr>
          <w:sz w:val="22"/>
          <w:szCs w:val="22"/>
        </w:rPr>
      </w:pPr>
    </w:p>
    <w:p w:rsidR="00135A60" w:rsidRPr="00955B55" w:rsidRDefault="00EF0DAD" w:rsidP="00924525">
      <w:pPr>
        <w:rPr>
          <w:sz w:val="22"/>
          <w:szCs w:val="22"/>
        </w:rPr>
      </w:pPr>
      <w:r>
        <w:rPr>
          <w:sz w:val="22"/>
          <w:szCs w:val="22"/>
        </w:rPr>
        <w:t>Our p</w:t>
      </w:r>
      <w:r w:rsidR="0083112A" w:rsidRPr="00955B55">
        <w:rPr>
          <w:sz w:val="22"/>
          <w:szCs w:val="22"/>
        </w:rPr>
        <w:t xml:space="preserve">rograms </w:t>
      </w:r>
      <w:r>
        <w:rPr>
          <w:sz w:val="22"/>
          <w:szCs w:val="22"/>
        </w:rPr>
        <w:t xml:space="preserve">will continually be evaluated and updated as necessary </w:t>
      </w:r>
      <w:r w:rsidR="0083112A" w:rsidRPr="00955B55">
        <w:rPr>
          <w:sz w:val="22"/>
          <w:szCs w:val="22"/>
        </w:rPr>
        <w:t>in order to balance cost-effectiveness</w:t>
      </w:r>
      <w:r>
        <w:rPr>
          <w:sz w:val="22"/>
          <w:szCs w:val="22"/>
        </w:rPr>
        <w:t>,</w:t>
      </w:r>
      <w:r w:rsidR="0083112A" w:rsidRPr="00955B55">
        <w:rPr>
          <w:sz w:val="22"/>
          <w:szCs w:val="22"/>
        </w:rPr>
        <w:t xml:space="preserve"> participation outcomes</w:t>
      </w:r>
      <w:r>
        <w:rPr>
          <w:sz w:val="22"/>
          <w:szCs w:val="22"/>
        </w:rPr>
        <w:t xml:space="preserve"> and updated building codes.  The Company </w:t>
      </w:r>
      <w:r w:rsidR="0083112A" w:rsidRPr="00955B55">
        <w:rPr>
          <w:sz w:val="22"/>
          <w:szCs w:val="22"/>
        </w:rPr>
        <w:t xml:space="preserve">will </w:t>
      </w:r>
      <w:r>
        <w:rPr>
          <w:sz w:val="22"/>
          <w:szCs w:val="22"/>
        </w:rPr>
        <w:t xml:space="preserve">also continue to </w:t>
      </w:r>
      <w:r w:rsidR="00815DC0" w:rsidRPr="00955B55">
        <w:rPr>
          <w:sz w:val="22"/>
          <w:szCs w:val="22"/>
        </w:rPr>
        <w:t xml:space="preserve">confer with our Conservation Advisory Group </w:t>
      </w:r>
      <w:r w:rsidR="0083112A" w:rsidRPr="00955B55">
        <w:rPr>
          <w:sz w:val="22"/>
          <w:szCs w:val="22"/>
        </w:rPr>
        <w:t>as appropriate.</w:t>
      </w:r>
    </w:p>
    <w:p w:rsidR="00326B7F" w:rsidRPr="00955B55" w:rsidRDefault="00326B7F" w:rsidP="00924525">
      <w:pPr>
        <w:rPr>
          <w:b/>
          <w:sz w:val="22"/>
          <w:szCs w:val="22"/>
        </w:rPr>
      </w:pPr>
    </w:p>
    <w:p w:rsidR="00D664E1" w:rsidRPr="00955B55" w:rsidRDefault="00D664E1" w:rsidP="00906F21">
      <w:pPr>
        <w:rPr>
          <w:sz w:val="22"/>
          <w:szCs w:val="22"/>
        </w:rPr>
      </w:pPr>
    </w:p>
    <w:p w:rsidR="006B7581" w:rsidRPr="00955B55" w:rsidRDefault="006B7581" w:rsidP="006B7581">
      <w:pPr>
        <w:rPr>
          <w:b/>
          <w:sz w:val="22"/>
          <w:szCs w:val="22"/>
        </w:rPr>
      </w:pPr>
      <w:r w:rsidRPr="00955B55">
        <w:rPr>
          <w:b/>
          <w:sz w:val="22"/>
          <w:szCs w:val="22"/>
        </w:rPr>
        <w:t>Participation Summary</w:t>
      </w:r>
    </w:p>
    <w:p w:rsidR="006B7581" w:rsidRPr="00955B55" w:rsidRDefault="006B7581" w:rsidP="006B7581">
      <w:pPr>
        <w:rPr>
          <w:b/>
          <w:sz w:val="22"/>
          <w:szCs w:val="22"/>
        </w:rPr>
      </w:pPr>
    </w:p>
    <w:p w:rsidR="004E35D7" w:rsidRDefault="006B7581" w:rsidP="006B7581">
      <w:pPr>
        <w:rPr>
          <w:sz w:val="22"/>
          <w:szCs w:val="22"/>
        </w:rPr>
      </w:pPr>
      <w:r w:rsidRPr="00955B55">
        <w:rPr>
          <w:sz w:val="22"/>
          <w:szCs w:val="22"/>
        </w:rPr>
        <w:t xml:space="preserve">A full breakdown of </w:t>
      </w:r>
      <w:proofErr w:type="spellStart"/>
      <w:r w:rsidRPr="00955B55">
        <w:rPr>
          <w:sz w:val="22"/>
          <w:szCs w:val="22"/>
        </w:rPr>
        <w:t>therm</w:t>
      </w:r>
      <w:proofErr w:type="spellEnd"/>
      <w:r w:rsidRPr="00955B55">
        <w:rPr>
          <w:sz w:val="22"/>
          <w:szCs w:val="22"/>
        </w:rPr>
        <w:t xml:space="preserve"> savings, utility costs </w:t>
      </w:r>
      <w:r w:rsidR="00EF0DAD">
        <w:rPr>
          <w:sz w:val="22"/>
          <w:szCs w:val="22"/>
        </w:rPr>
        <w:t xml:space="preserve">and total resource costs </w:t>
      </w:r>
      <w:r w:rsidRPr="00955B55">
        <w:rPr>
          <w:sz w:val="22"/>
          <w:szCs w:val="22"/>
        </w:rPr>
        <w:t xml:space="preserve">by all measures and programs for the </w:t>
      </w:r>
      <w:r w:rsidR="003F2ADB" w:rsidRPr="00955B55">
        <w:rPr>
          <w:sz w:val="22"/>
          <w:szCs w:val="22"/>
        </w:rPr>
        <w:t>201</w:t>
      </w:r>
      <w:r w:rsidR="00201FFA">
        <w:rPr>
          <w:sz w:val="22"/>
          <w:szCs w:val="22"/>
        </w:rPr>
        <w:t>4</w:t>
      </w:r>
      <w:r w:rsidR="003F2ADB" w:rsidRPr="00955B55">
        <w:rPr>
          <w:sz w:val="22"/>
          <w:szCs w:val="22"/>
        </w:rPr>
        <w:t xml:space="preserve"> </w:t>
      </w:r>
      <w:r w:rsidRPr="00955B55">
        <w:rPr>
          <w:sz w:val="22"/>
          <w:szCs w:val="22"/>
        </w:rPr>
        <w:t>program year can be found in Appendix A.</w:t>
      </w:r>
      <w:r w:rsidR="004E35D7">
        <w:rPr>
          <w:sz w:val="22"/>
          <w:szCs w:val="22"/>
        </w:rPr>
        <w:br/>
      </w:r>
    </w:p>
    <w:p w:rsidR="004E35D7" w:rsidRDefault="004E35D7">
      <w:pPr>
        <w:rPr>
          <w:sz w:val="22"/>
          <w:szCs w:val="22"/>
        </w:rPr>
      </w:pPr>
      <w:r>
        <w:rPr>
          <w:sz w:val="22"/>
          <w:szCs w:val="22"/>
        </w:rPr>
        <w:br w:type="page"/>
      </w:r>
    </w:p>
    <w:p w:rsidR="005F2CEA" w:rsidRPr="00955B55" w:rsidRDefault="005F2CEA" w:rsidP="00474258">
      <w:pPr>
        <w:rPr>
          <w:b/>
          <w:sz w:val="22"/>
          <w:szCs w:val="22"/>
        </w:rPr>
      </w:pPr>
      <w:r w:rsidRPr="00955B55">
        <w:rPr>
          <w:b/>
          <w:sz w:val="22"/>
          <w:szCs w:val="22"/>
        </w:rPr>
        <w:lastRenderedPageBreak/>
        <w:t xml:space="preserve">Updates to </w:t>
      </w:r>
      <w:r w:rsidR="0030209A" w:rsidRPr="00955B55">
        <w:rPr>
          <w:b/>
          <w:sz w:val="22"/>
          <w:szCs w:val="22"/>
        </w:rPr>
        <w:t>CY1</w:t>
      </w:r>
      <w:r w:rsidR="00201FFA">
        <w:rPr>
          <w:b/>
          <w:sz w:val="22"/>
          <w:szCs w:val="22"/>
        </w:rPr>
        <w:t>3</w:t>
      </w:r>
      <w:r w:rsidR="0030209A" w:rsidRPr="00955B55">
        <w:rPr>
          <w:b/>
          <w:sz w:val="22"/>
          <w:szCs w:val="22"/>
        </w:rPr>
        <w:t xml:space="preserve"> </w:t>
      </w:r>
      <w:r w:rsidRPr="00955B55">
        <w:rPr>
          <w:b/>
          <w:sz w:val="22"/>
          <w:szCs w:val="22"/>
        </w:rPr>
        <w:t>Program Achievements</w:t>
      </w:r>
    </w:p>
    <w:p w:rsidR="005F2CEA" w:rsidRDefault="005F2CEA" w:rsidP="00474258">
      <w:pPr>
        <w:rPr>
          <w:b/>
          <w:sz w:val="22"/>
          <w:szCs w:val="22"/>
        </w:rPr>
      </w:pPr>
    </w:p>
    <w:p w:rsidR="00C007D2" w:rsidRDefault="008313AC" w:rsidP="00C007D2">
      <w:pPr>
        <w:rPr>
          <w:sz w:val="22"/>
          <w:szCs w:val="22"/>
        </w:rPr>
      </w:pPr>
      <w:r>
        <w:rPr>
          <w:sz w:val="22"/>
          <w:szCs w:val="22"/>
        </w:rPr>
        <w:t xml:space="preserve">Cascade has included a true-up of the Company’s previous year’s report to capture outlying measures and </w:t>
      </w:r>
      <w:r w:rsidR="00201FFA">
        <w:rPr>
          <w:sz w:val="22"/>
          <w:szCs w:val="22"/>
        </w:rPr>
        <w:t xml:space="preserve">customer </w:t>
      </w:r>
      <w:r>
        <w:rPr>
          <w:sz w:val="22"/>
          <w:szCs w:val="22"/>
        </w:rPr>
        <w:t>applications</w:t>
      </w:r>
      <w:r w:rsidR="005A4D16">
        <w:rPr>
          <w:sz w:val="22"/>
          <w:szCs w:val="22"/>
        </w:rPr>
        <w:t xml:space="preserve"> from the residential program</w:t>
      </w:r>
      <w:r>
        <w:rPr>
          <w:sz w:val="22"/>
          <w:szCs w:val="22"/>
        </w:rPr>
        <w:t xml:space="preserve">. </w:t>
      </w:r>
      <w:r w:rsidR="004E35D7">
        <w:rPr>
          <w:sz w:val="22"/>
          <w:szCs w:val="22"/>
        </w:rPr>
        <w:t xml:space="preserve"> </w:t>
      </w:r>
      <w:r>
        <w:rPr>
          <w:sz w:val="22"/>
          <w:szCs w:val="22"/>
        </w:rPr>
        <w:t>These additional measures were installed in CY 2013 with application processing completing in 2014.</w:t>
      </w:r>
      <w:r w:rsidR="00AD7C69">
        <w:rPr>
          <w:sz w:val="22"/>
          <w:szCs w:val="22"/>
        </w:rPr>
        <w:t xml:space="preserve"> </w:t>
      </w:r>
      <w:r w:rsidR="004E35D7">
        <w:rPr>
          <w:sz w:val="22"/>
          <w:szCs w:val="22"/>
        </w:rPr>
        <w:t xml:space="preserve"> </w:t>
      </w:r>
      <w:r w:rsidR="00AD7C69">
        <w:rPr>
          <w:sz w:val="22"/>
          <w:szCs w:val="22"/>
        </w:rPr>
        <w:t xml:space="preserve">The Company </w:t>
      </w:r>
      <w:r w:rsidR="007C7F01">
        <w:rPr>
          <w:sz w:val="22"/>
          <w:szCs w:val="22"/>
        </w:rPr>
        <w:t>elected</w:t>
      </w:r>
      <w:r w:rsidR="00AD7C69">
        <w:rPr>
          <w:sz w:val="22"/>
          <w:szCs w:val="22"/>
        </w:rPr>
        <w:t xml:space="preserve"> to capture all savings associated with installs from the 2013 calendar year to allow customers time to follow-up on their pending application inquiries</w:t>
      </w:r>
      <w:r w:rsidR="0061638E">
        <w:rPr>
          <w:sz w:val="22"/>
          <w:szCs w:val="22"/>
        </w:rPr>
        <w:t xml:space="preserve"> as well as acclimate the new residential program delivery vendor to the Cascade program</w:t>
      </w:r>
      <w:r w:rsidR="00AD7C69">
        <w:rPr>
          <w:sz w:val="22"/>
          <w:szCs w:val="22"/>
        </w:rPr>
        <w:t>.</w:t>
      </w:r>
      <w:r w:rsidR="0061638E">
        <w:rPr>
          <w:sz w:val="22"/>
          <w:szCs w:val="22"/>
        </w:rPr>
        <w:t xml:space="preserve"> </w:t>
      </w:r>
      <w:r w:rsidR="004E35D7">
        <w:rPr>
          <w:sz w:val="22"/>
          <w:szCs w:val="22"/>
        </w:rPr>
        <w:t xml:space="preserve"> </w:t>
      </w:r>
      <w:r w:rsidR="0061638E">
        <w:rPr>
          <w:sz w:val="22"/>
          <w:szCs w:val="22"/>
        </w:rPr>
        <w:t>The Company</w:t>
      </w:r>
      <w:r w:rsidR="0030209A">
        <w:rPr>
          <w:sz w:val="22"/>
          <w:szCs w:val="22"/>
        </w:rPr>
        <w:t xml:space="preserve"> has made the adjustments to its claimed </w:t>
      </w:r>
      <w:proofErr w:type="spellStart"/>
      <w:r w:rsidR="0030209A">
        <w:rPr>
          <w:sz w:val="22"/>
          <w:szCs w:val="22"/>
        </w:rPr>
        <w:t>therm</w:t>
      </w:r>
      <w:proofErr w:type="spellEnd"/>
      <w:r w:rsidR="0030209A">
        <w:rPr>
          <w:sz w:val="22"/>
          <w:szCs w:val="22"/>
        </w:rPr>
        <w:t xml:space="preserve"> savings </w:t>
      </w:r>
      <w:r w:rsidR="00B03105">
        <w:rPr>
          <w:sz w:val="22"/>
          <w:szCs w:val="22"/>
        </w:rPr>
        <w:t xml:space="preserve">in the residential sector </w:t>
      </w:r>
      <w:r w:rsidR="0030209A">
        <w:rPr>
          <w:sz w:val="22"/>
          <w:szCs w:val="22"/>
        </w:rPr>
        <w:t>for Calendar Year 201</w:t>
      </w:r>
      <w:r w:rsidR="00201FFA">
        <w:rPr>
          <w:sz w:val="22"/>
          <w:szCs w:val="22"/>
        </w:rPr>
        <w:t>3</w:t>
      </w:r>
      <w:r w:rsidR="005A4D16">
        <w:rPr>
          <w:sz w:val="22"/>
          <w:szCs w:val="22"/>
        </w:rPr>
        <w:t xml:space="preserve"> to include the additional ac</w:t>
      </w:r>
      <w:r w:rsidR="00AD7C69">
        <w:rPr>
          <w:sz w:val="22"/>
          <w:szCs w:val="22"/>
        </w:rPr>
        <w:t xml:space="preserve">hieved savings as well as </w:t>
      </w:r>
      <w:r w:rsidR="00175023">
        <w:rPr>
          <w:sz w:val="22"/>
          <w:szCs w:val="22"/>
        </w:rPr>
        <w:t>remove a payment</w:t>
      </w:r>
      <w:r w:rsidR="00AD7C69">
        <w:rPr>
          <w:sz w:val="22"/>
          <w:szCs w:val="22"/>
        </w:rPr>
        <w:t xml:space="preserve"> of $33,025.93</w:t>
      </w:r>
      <w:r w:rsidR="00175023">
        <w:rPr>
          <w:sz w:val="22"/>
          <w:szCs w:val="22"/>
        </w:rPr>
        <w:t xml:space="preserve"> that was miss</w:t>
      </w:r>
      <w:r w:rsidR="0061638E">
        <w:rPr>
          <w:sz w:val="22"/>
          <w:szCs w:val="22"/>
        </w:rPr>
        <w:t>-</w:t>
      </w:r>
      <w:r w:rsidR="00175023">
        <w:rPr>
          <w:sz w:val="22"/>
          <w:szCs w:val="22"/>
        </w:rPr>
        <w:t>categorized as an administrative expense</w:t>
      </w:r>
      <w:r w:rsidR="00AD7C69">
        <w:rPr>
          <w:sz w:val="22"/>
          <w:szCs w:val="22"/>
        </w:rPr>
        <w:t xml:space="preserve"> to the portfolio</w:t>
      </w:r>
      <w:r w:rsidR="00175023">
        <w:rPr>
          <w:sz w:val="22"/>
          <w:szCs w:val="22"/>
        </w:rPr>
        <w:t xml:space="preserve">. </w:t>
      </w:r>
      <w:r w:rsidR="004E35D7">
        <w:rPr>
          <w:sz w:val="22"/>
          <w:szCs w:val="22"/>
        </w:rPr>
        <w:t xml:space="preserve"> </w:t>
      </w:r>
      <w:r w:rsidR="00016B6B">
        <w:rPr>
          <w:sz w:val="22"/>
          <w:szCs w:val="22"/>
        </w:rPr>
        <w:t xml:space="preserve">The additional measures </w:t>
      </w:r>
      <w:r w:rsidR="00175023">
        <w:rPr>
          <w:sz w:val="22"/>
          <w:szCs w:val="22"/>
        </w:rPr>
        <w:t>add</w:t>
      </w:r>
      <w:r w:rsidR="00AD7C69">
        <w:rPr>
          <w:sz w:val="22"/>
          <w:szCs w:val="22"/>
        </w:rPr>
        <w:t>ed to the report can be viewed i</w:t>
      </w:r>
      <w:r w:rsidR="00175023">
        <w:rPr>
          <w:sz w:val="22"/>
          <w:szCs w:val="22"/>
        </w:rPr>
        <w:t xml:space="preserve">n Appendix B and are represented by the </w:t>
      </w:r>
      <w:r w:rsidR="00AD7C69">
        <w:rPr>
          <w:sz w:val="22"/>
          <w:szCs w:val="22"/>
        </w:rPr>
        <w:t>highlighted lines in the P</w:t>
      </w:r>
      <w:r w:rsidR="00175023">
        <w:rPr>
          <w:sz w:val="22"/>
          <w:szCs w:val="22"/>
        </w:rPr>
        <w:t xml:space="preserve">articipants and </w:t>
      </w:r>
      <w:r w:rsidR="00AD7C69">
        <w:rPr>
          <w:sz w:val="22"/>
          <w:szCs w:val="22"/>
        </w:rPr>
        <w:t>M</w:t>
      </w:r>
      <w:r w:rsidR="00175023">
        <w:rPr>
          <w:sz w:val="22"/>
          <w:szCs w:val="22"/>
        </w:rPr>
        <w:t xml:space="preserve">easures installed columns. </w:t>
      </w:r>
    </w:p>
    <w:p w:rsidR="007C7F01" w:rsidRDefault="007C7F01" w:rsidP="00C007D2">
      <w:pPr>
        <w:rPr>
          <w:sz w:val="22"/>
          <w:szCs w:val="22"/>
        </w:rPr>
      </w:pPr>
    </w:p>
    <w:p w:rsidR="007C7F01" w:rsidRPr="00955B55" w:rsidRDefault="007C7F01" w:rsidP="007C7F01">
      <w:pPr>
        <w:jc w:val="center"/>
        <w:rPr>
          <w:sz w:val="22"/>
          <w:szCs w:val="22"/>
        </w:rPr>
      </w:pPr>
      <w:r>
        <w:rPr>
          <w:b/>
          <w:sz w:val="22"/>
          <w:szCs w:val="22"/>
        </w:rPr>
        <w:t>Table E</w:t>
      </w:r>
      <w:r w:rsidRPr="00955B55">
        <w:rPr>
          <w:b/>
          <w:sz w:val="22"/>
          <w:szCs w:val="22"/>
        </w:rPr>
        <w:t xml:space="preserve">: </w:t>
      </w:r>
      <w:r w:rsidRPr="00955B55">
        <w:rPr>
          <w:sz w:val="22"/>
          <w:szCs w:val="22"/>
        </w:rPr>
        <w:t xml:space="preserve"> </w:t>
      </w:r>
      <w:r w:rsidRPr="00955B55">
        <w:rPr>
          <w:sz w:val="22"/>
          <w:szCs w:val="22"/>
          <w:u w:val="single"/>
        </w:rPr>
        <w:t>201</w:t>
      </w:r>
      <w:r>
        <w:rPr>
          <w:sz w:val="22"/>
          <w:szCs w:val="22"/>
          <w:u w:val="single"/>
        </w:rPr>
        <w:t>3</w:t>
      </w:r>
      <w:r w:rsidRPr="00955B55">
        <w:rPr>
          <w:sz w:val="22"/>
          <w:szCs w:val="22"/>
          <w:u w:val="single"/>
        </w:rPr>
        <w:t xml:space="preserve"> Residential/Commercia</w:t>
      </w:r>
      <w:r>
        <w:rPr>
          <w:sz w:val="22"/>
          <w:szCs w:val="22"/>
          <w:u w:val="single"/>
        </w:rPr>
        <w:t xml:space="preserve">l </w:t>
      </w:r>
      <w:proofErr w:type="spellStart"/>
      <w:r>
        <w:rPr>
          <w:sz w:val="22"/>
          <w:szCs w:val="22"/>
          <w:u w:val="single"/>
        </w:rPr>
        <w:t>Therm</w:t>
      </w:r>
      <w:proofErr w:type="spellEnd"/>
      <w:r>
        <w:rPr>
          <w:sz w:val="22"/>
          <w:szCs w:val="22"/>
          <w:u w:val="single"/>
        </w:rPr>
        <w:t xml:space="preserve"> Savings True-up</w:t>
      </w:r>
      <w:r w:rsidRPr="00955B55">
        <w:rPr>
          <w:sz w:val="22"/>
          <w:szCs w:val="22"/>
          <w:u w:val="single"/>
        </w:rPr>
        <w:t xml:space="preserve"> </w:t>
      </w:r>
    </w:p>
    <w:p w:rsidR="00296698" w:rsidRPr="00955B55" w:rsidRDefault="00296698" w:rsidP="00C007D2">
      <w:pPr>
        <w:rPr>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620"/>
        <w:gridCol w:w="1350"/>
        <w:gridCol w:w="1800"/>
        <w:gridCol w:w="1800"/>
      </w:tblGrid>
      <w:tr w:rsidR="00296698" w:rsidRPr="00955B55" w:rsidTr="00CA37BF">
        <w:trPr>
          <w:trHeight w:val="475"/>
        </w:trPr>
        <w:tc>
          <w:tcPr>
            <w:tcW w:w="1998" w:type="dxa"/>
            <w:vAlign w:val="center"/>
          </w:tcPr>
          <w:p w:rsidR="00296698" w:rsidRPr="00955B55" w:rsidRDefault="00296698" w:rsidP="00CA37BF">
            <w:pPr>
              <w:jc w:val="right"/>
              <w:rPr>
                <w:i/>
                <w:sz w:val="22"/>
                <w:szCs w:val="22"/>
              </w:rPr>
            </w:pPr>
            <w:r w:rsidRPr="00955B55">
              <w:rPr>
                <w:i/>
                <w:sz w:val="22"/>
                <w:szCs w:val="22"/>
              </w:rPr>
              <w:t>Totals</w:t>
            </w:r>
          </w:p>
        </w:tc>
        <w:tc>
          <w:tcPr>
            <w:tcW w:w="1620" w:type="dxa"/>
            <w:vAlign w:val="center"/>
          </w:tcPr>
          <w:p w:rsidR="00296698" w:rsidRPr="00955B55" w:rsidRDefault="00296698" w:rsidP="00CA37BF">
            <w:pPr>
              <w:jc w:val="center"/>
              <w:rPr>
                <w:b/>
                <w:sz w:val="22"/>
                <w:szCs w:val="22"/>
              </w:rPr>
            </w:pPr>
            <w:r w:rsidRPr="00955B55">
              <w:rPr>
                <w:b/>
                <w:sz w:val="22"/>
                <w:szCs w:val="22"/>
              </w:rPr>
              <w:t>Residential</w:t>
            </w:r>
          </w:p>
        </w:tc>
        <w:tc>
          <w:tcPr>
            <w:tcW w:w="1350" w:type="dxa"/>
            <w:vAlign w:val="center"/>
          </w:tcPr>
          <w:p w:rsidR="00296698" w:rsidRPr="00955B55" w:rsidRDefault="00296698" w:rsidP="00CA37BF">
            <w:pPr>
              <w:jc w:val="center"/>
              <w:rPr>
                <w:b/>
                <w:sz w:val="22"/>
                <w:szCs w:val="22"/>
              </w:rPr>
            </w:pPr>
            <w:r w:rsidRPr="00955B55">
              <w:rPr>
                <w:b/>
                <w:sz w:val="22"/>
                <w:szCs w:val="22"/>
              </w:rPr>
              <w:t>Energy Kits</w:t>
            </w:r>
          </w:p>
        </w:tc>
        <w:tc>
          <w:tcPr>
            <w:tcW w:w="1800" w:type="dxa"/>
            <w:vAlign w:val="center"/>
          </w:tcPr>
          <w:p w:rsidR="00296698" w:rsidRPr="00955B55" w:rsidRDefault="00296698" w:rsidP="00CA37BF">
            <w:pPr>
              <w:jc w:val="center"/>
              <w:rPr>
                <w:b/>
                <w:sz w:val="22"/>
                <w:szCs w:val="22"/>
              </w:rPr>
            </w:pPr>
            <w:r w:rsidRPr="00955B55">
              <w:rPr>
                <w:b/>
                <w:sz w:val="22"/>
                <w:szCs w:val="22"/>
              </w:rPr>
              <w:t>Commercial</w:t>
            </w:r>
          </w:p>
        </w:tc>
        <w:tc>
          <w:tcPr>
            <w:tcW w:w="1800" w:type="dxa"/>
            <w:vAlign w:val="center"/>
          </w:tcPr>
          <w:p w:rsidR="00296698" w:rsidRPr="00955B55" w:rsidRDefault="00296698" w:rsidP="00CA37BF">
            <w:pPr>
              <w:jc w:val="center"/>
              <w:rPr>
                <w:b/>
                <w:sz w:val="22"/>
                <w:szCs w:val="22"/>
              </w:rPr>
            </w:pPr>
            <w:r w:rsidRPr="00955B55">
              <w:rPr>
                <w:b/>
                <w:sz w:val="22"/>
                <w:szCs w:val="22"/>
              </w:rPr>
              <w:t>Total</w:t>
            </w:r>
          </w:p>
        </w:tc>
      </w:tr>
      <w:tr w:rsidR="00296698" w:rsidRPr="00955B55" w:rsidTr="00CA37BF">
        <w:trPr>
          <w:trHeight w:val="231"/>
        </w:trPr>
        <w:tc>
          <w:tcPr>
            <w:tcW w:w="1998" w:type="dxa"/>
            <w:vAlign w:val="center"/>
          </w:tcPr>
          <w:p w:rsidR="00296698" w:rsidRPr="00955B55" w:rsidRDefault="00296698" w:rsidP="00CA37BF">
            <w:pPr>
              <w:jc w:val="right"/>
              <w:rPr>
                <w:b/>
                <w:sz w:val="22"/>
                <w:szCs w:val="22"/>
              </w:rPr>
            </w:pPr>
            <w:proofErr w:type="spellStart"/>
            <w:r w:rsidRPr="00955B55">
              <w:rPr>
                <w:b/>
                <w:sz w:val="22"/>
                <w:szCs w:val="22"/>
              </w:rPr>
              <w:t>Therms</w:t>
            </w:r>
            <w:proofErr w:type="spellEnd"/>
            <w:r w:rsidRPr="00955B55">
              <w:rPr>
                <w:b/>
                <w:sz w:val="22"/>
                <w:szCs w:val="22"/>
              </w:rPr>
              <w:t xml:space="preserve"> Achieved</w:t>
            </w:r>
          </w:p>
        </w:tc>
        <w:tc>
          <w:tcPr>
            <w:tcW w:w="1620" w:type="dxa"/>
            <w:vAlign w:val="center"/>
          </w:tcPr>
          <w:p w:rsidR="00296698" w:rsidRPr="0084160D" w:rsidRDefault="0040428C" w:rsidP="00CA37BF">
            <w:pPr>
              <w:jc w:val="center"/>
              <w:rPr>
                <w:b/>
                <w:sz w:val="22"/>
                <w:szCs w:val="22"/>
              </w:rPr>
            </w:pPr>
            <w:r>
              <w:rPr>
                <w:b/>
                <w:sz w:val="22"/>
                <w:szCs w:val="22"/>
              </w:rPr>
              <w:t>178,441</w:t>
            </w:r>
          </w:p>
        </w:tc>
        <w:tc>
          <w:tcPr>
            <w:tcW w:w="1350" w:type="dxa"/>
            <w:vAlign w:val="center"/>
          </w:tcPr>
          <w:p w:rsidR="00296698" w:rsidRPr="0084160D" w:rsidRDefault="0040428C" w:rsidP="00CA37BF">
            <w:pPr>
              <w:jc w:val="center"/>
              <w:rPr>
                <w:b/>
                <w:sz w:val="22"/>
                <w:szCs w:val="22"/>
              </w:rPr>
            </w:pPr>
            <w:r>
              <w:rPr>
                <w:b/>
                <w:sz w:val="22"/>
                <w:szCs w:val="22"/>
              </w:rPr>
              <w:t>4,911</w:t>
            </w:r>
          </w:p>
        </w:tc>
        <w:tc>
          <w:tcPr>
            <w:tcW w:w="1800" w:type="dxa"/>
            <w:vAlign w:val="center"/>
          </w:tcPr>
          <w:p w:rsidR="00296698" w:rsidRPr="0084160D" w:rsidRDefault="00175023" w:rsidP="00CA37BF">
            <w:pPr>
              <w:jc w:val="center"/>
              <w:rPr>
                <w:b/>
                <w:sz w:val="22"/>
                <w:szCs w:val="22"/>
              </w:rPr>
            </w:pPr>
            <w:r>
              <w:rPr>
                <w:b/>
                <w:sz w:val="22"/>
                <w:szCs w:val="22"/>
              </w:rPr>
              <w:t>288,079</w:t>
            </w:r>
          </w:p>
        </w:tc>
        <w:tc>
          <w:tcPr>
            <w:tcW w:w="1800" w:type="dxa"/>
            <w:vAlign w:val="center"/>
          </w:tcPr>
          <w:p w:rsidR="00296698" w:rsidRPr="0084160D" w:rsidRDefault="001E3699" w:rsidP="00CA37BF">
            <w:pPr>
              <w:jc w:val="center"/>
              <w:rPr>
                <w:b/>
                <w:sz w:val="22"/>
                <w:szCs w:val="22"/>
              </w:rPr>
            </w:pPr>
            <w:r>
              <w:rPr>
                <w:b/>
                <w:sz w:val="22"/>
                <w:szCs w:val="22"/>
              </w:rPr>
              <w:t>471,431</w:t>
            </w:r>
          </w:p>
        </w:tc>
      </w:tr>
      <w:tr w:rsidR="00296698" w:rsidRPr="00955B55" w:rsidTr="00CA37BF">
        <w:trPr>
          <w:trHeight w:val="287"/>
        </w:trPr>
        <w:tc>
          <w:tcPr>
            <w:tcW w:w="1998" w:type="dxa"/>
            <w:vAlign w:val="center"/>
          </w:tcPr>
          <w:p w:rsidR="00296698" w:rsidRPr="00955B55" w:rsidRDefault="00296698" w:rsidP="00CA37BF">
            <w:pPr>
              <w:jc w:val="right"/>
              <w:rPr>
                <w:b/>
                <w:sz w:val="22"/>
                <w:szCs w:val="22"/>
              </w:rPr>
            </w:pPr>
            <w:r w:rsidRPr="00955B55">
              <w:rPr>
                <w:b/>
                <w:sz w:val="22"/>
                <w:szCs w:val="22"/>
              </w:rPr>
              <w:t>Measures Installed</w:t>
            </w:r>
          </w:p>
        </w:tc>
        <w:tc>
          <w:tcPr>
            <w:tcW w:w="1620" w:type="dxa"/>
            <w:vAlign w:val="center"/>
          </w:tcPr>
          <w:p w:rsidR="00296698" w:rsidRPr="00955B55" w:rsidRDefault="00362CDD" w:rsidP="00CA37BF">
            <w:pPr>
              <w:jc w:val="center"/>
              <w:rPr>
                <w:sz w:val="22"/>
                <w:szCs w:val="22"/>
              </w:rPr>
            </w:pPr>
            <w:r>
              <w:rPr>
                <w:sz w:val="22"/>
                <w:szCs w:val="22"/>
              </w:rPr>
              <w:t>703,840</w:t>
            </w:r>
            <w:r w:rsidR="00781327">
              <w:rPr>
                <w:sz w:val="22"/>
                <w:szCs w:val="22"/>
              </w:rPr>
              <w:t xml:space="preserve"> </w:t>
            </w:r>
            <w:r w:rsidR="00296698" w:rsidRPr="00955B55">
              <w:rPr>
                <w:i/>
                <w:sz w:val="22"/>
                <w:szCs w:val="22"/>
              </w:rPr>
              <w:t>(including units of insulation)</w:t>
            </w:r>
          </w:p>
        </w:tc>
        <w:tc>
          <w:tcPr>
            <w:tcW w:w="1350" w:type="dxa"/>
            <w:vAlign w:val="center"/>
          </w:tcPr>
          <w:p w:rsidR="00296698" w:rsidRPr="00955B55" w:rsidRDefault="00362CDD" w:rsidP="00CA37BF">
            <w:pPr>
              <w:jc w:val="center"/>
              <w:rPr>
                <w:sz w:val="22"/>
                <w:szCs w:val="22"/>
              </w:rPr>
            </w:pPr>
            <w:r>
              <w:rPr>
                <w:sz w:val="22"/>
                <w:szCs w:val="22"/>
              </w:rPr>
              <w:t>195</w:t>
            </w:r>
          </w:p>
        </w:tc>
        <w:tc>
          <w:tcPr>
            <w:tcW w:w="1800" w:type="dxa"/>
            <w:vAlign w:val="center"/>
          </w:tcPr>
          <w:p w:rsidR="00296698" w:rsidRPr="00955B55" w:rsidRDefault="00175023" w:rsidP="00CA37BF">
            <w:pPr>
              <w:jc w:val="center"/>
              <w:rPr>
                <w:sz w:val="22"/>
                <w:szCs w:val="22"/>
              </w:rPr>
            </w:pPr>
            <w:r>
              <w:rPr>
                <w:sz w:val="22"/>
                <w:szCs w:val="22"/>
              </w:rPr>
              <w:t>149</w:t>
            </w:r>
          </w:p>
        </w:tc>
        <w:tc>
          <w:tcPr>
            <w:tcW w:w="1800" w:type="dxa"/>
            <w:vAlign w:val="center"/>
          </w:tcPr>
          <w:p w:rsidR="00296698" w:rsidRPr="00955B55" w:rsidRDefault="001E3699" w:rsidP="00CA37BF">
            <w:pPr>
              <w:jc w:val="center"/>
              <w:rPr>
                <w:sz w:val="22"/>
                <w:szCs w:val="22"/>
              </w:rPr>
            </w:pPr>
            <w:r>
              <w:rPr>
                <w:sz w:val="22"/>
                <w:szCs w:val="22"/>
              </w:rPr>
              <w:t>704,184</w:t>
            </w:r>
          </w:p>
        </w:tc>
      </w:tr>
      <w:tr w:rsidR="00296698" w:rsidRPr="00955B55" w:rsidTr="00CA37BF">
        <w:trPr>
          <w:trHeight w:val="231"/>
        </w:trPr>
        <w:tc>
          <w:tcPr>
            <w:tcW w:w="1998" w:type="dxa"/>
            <w:vAlign w:val="center"/>
          </w:tcPr>
          <w:p w:rsidR="00296698" w:rsidRPr="00955B55" w:rsidRDefault="00296698" w:rsidP="00CA37BF">
            <w:pPr>
              <w:jc w:val="right"/>
              <w:rPr>
                <w:b/>
                <w:sz w:val="22"/>
                <w:szCs w:val="22"/>
              </w:rPr>
            </w:pPr>
            <w:r w:rsidRPr="00955B55">
              <w:rPr>
                <w:b/>
                <w:sz w:val="22"/>
                <w:szCs w:val="22"/>
              </w:rPr>
              <w:t>Customers Served</w:t>
            </w:r>
          </w:p>
        </w:tc>
        <w:tc>
          <w:tcPr>
            <w:tcW w:w="1620" w:type="dxa"/>
            <w:vAlign w:val="center"/>
          </w:tcPr>
          <w:p w:rsidR="00296698" w:rsidRPr="00955B55" w:rsidRDefault="00362CDD" w:rsidP="00CA37BF">
            <w:pPr>
              <w:jc w:val="center"/>
              <w:rPr>
                <w:sz w:val="22"/>
                <w:szCs w:val="22"/>
              </w:rPr>
            </w:pPr>
            <w:r>
              <w:rPr>
                <w:sz w:val="22"/>
                <w:szCs w:val="22"/>
              </w:rPr>
              <w:t>1884</w:t>
            </w:r>
          </w:p>
        </w:tc>
        <w:tc>
          <w:tcPr>
            <w:tcW w:w="1350" w:type="dxa"/>
            <w:vAlign w:val="center"/>
          </w:tcPr>
          <w:p w:rsidR="00296698" w:rsidRPr="00955B55" w:rsidRDefault="00362CDD" w:rsidP="00CA37BF">
            <w:pPr>
              <w:jc w:val="center"/>
              <w:rPr>
                <w:sz w:val="22"/>
                <w:szCs w:val="22"/>
              </w:rPr>
            </w:pPr>
            <w:r>
              <w:rPr>
                <w:sz w:val="22"/>
                <w:szCs w:val="22"/>
              </w:rPr>
              <w:t>195</w:t>
            </w:r>
          </w:p>
        </w:tc>
        <w:tc>
          <w:tcPr>
            <w:tcW w:w="1800" w:type="dxa"/>
            <w:vAlign w:val="center"/>
          </w:tcPr>
          <w:p w:rsidR="00296698" w:rsidRPr="00955B55" w:rsidRDefault="00694981" w:rsidP="00CA37BF">
            <w:pPr>
              <w:jc w:val="center"/>
              <w:rPr>
                <w:sz w:val="22"/>
                <w:szCs w:val="22"/>
              </w:rPr>
            </w:pPr>
            <w:r>
              <w:rPr>
                <w:sz w:val="22"/>
                <w:szCs w:val="22"/>
              </w:rPr>
              <w:t>11</w:t>
            </w:r>
            <w:r w:rsidR="00175023">
              <w:rPr>
                <w:sz w:val="22"/>
                <w:szCs w:val="22"/>
              </w:rPr>
              <w:t>8</w:t>
            </w:r>
          </w:p>
        </w:tc>
        <w:tc>
          <w:tcPr>
            <w:tcW w:w="1800" w:type="dxa"/>
            <w:vAlign w:val="center"/>
          </w:tcPr>
          <w:p w:rsidR="00296698" w:rsidRPr="00955B55" w:rsidRDefault="001E3699" w:rsidP="00CA37BF">
            <w:pPr>
              <w:jc w:val="center"/>
              <w:rPr>
                <w:sz w:val="22"/>
                <w:szCs w:val="22"/>
              </w:rPr>
            </w:pPr>
            <w:r>
              <w:rPr>
                <w:sz w:val="22"/>
                <w:szCs w:val="22"/>
              </w:rPr>
              <w:t>2197</w:t>
            </w:r>
          </w:p>
        </w:tc>
      </w:tr>
      <w:tr w:rsidR="00296698" w:rsidRPr="00955B55" w:rsidTr="00CA37BF">
        <w:trPr>
          <w:trHeight w:val="705"/>
        </w:trPr>
        <w:tc>
          <w:tcPr>
            <w:tcW w:w="1998" w:type="dxa"/>
            <w:vAlign w:val="center"/>
          </w:tcPr>
          <w:p w:rsidR="00296698" w:rsidRPr="00955B55" w:rsidRDefault="00296698" w:rsidP="00CA37BF">
            <w:pPr>
              <w:jc w:val="right"/>
              <w:rPr>
                <w:b/>
                <w:sz w:val="22"/>
                <w:szCs w:val="22"/>
              </w:rPr>
            </w:pPr>
            <w:r w:rsidRPr="00955B55">
              <w:rPr>
                <w:b/>
                <w:sz w:val="22"/>
                <w:szCs w:val="22"/>
              </w:rPr>
              <w:t xml:space="preserve">Carbon Offset </w:t>
            </w:r>
          </w:p>
          <w:p w:rsidR="00296698" w:rsidRPr="00955B55" w:rsidRDefault="00296698" w:rsidP="00CA37BF">
            <w:pPr>
              <w:jc w:val="right"/>
              <w:rPr>
                <w:b/>
                <w:sz w:val="22"/>
                <w:szCs w:val="22"/>
              </w:rPr>
            </w:pPr>
            <w:r w:rsidRPr="00955B55">
              <w:rPr>
                <w:b/>
                <w:sz w:val="22"/>
                <w:szCs w:val="22"/>
              </w:rPr>
              <w:t>(CO</w:t>
            </w:r>
            <w:r w:rsidRPr="0075567A">
              <w:rPr>
                <w:b/>
                <w:sz w:val="22"/>
                <w:szCs w:val="22"/>
                <w:vertAlign w:val="superscript"/>
              </w:rPr>
              <w:t>2</w:t>
            </w:r>
            <w:r w:rsidRPr="00955B55">
              <w:rPr>
                <w:b/>
                <w:sz w:val="22"/>
                <w:szCs w:val="22"/>
              </w:rPr>
              <w:t xml:space="preserve"> avoided) </w:t>
            </w:r>
          </w:p>
          <w:p w:rsidR="00296698" w:rsidRPr="00955B55" w:rsidRDefault="00296698" w:rsidP="00CA37BF">
            <w:pPr>
              <w:jc w:val="right"/>
              <w:rPr>
                <w:b/>
                <w:sz w:val="22"/>
                <w:szCs w:val="22"/>
              </w:rPr>
            </w:pPr>
            <w:r w:rsidRPr="00955B55">
              <w:rPr>
                <w:i/>
                <w:sz w:val="22"/>
                <w:szCs w:val="22"/>
              </w:rPr>
              <w:t xml:space="preserve">  </w:t>
            </w:r>
          </w:p>
        </w:tc>
        <w:tc>
          <w:tcPr>
            <w:tcW w:w="1620" w:type="dxa"/>
            <w:vAlign w:val="center"/>
          </w:tcPr>
          <w:p w:rsidR="00296698" w:rsidRPr="00955B55" w:rsidRDefault="00175023" w:rsidP="00CA37BF">
            <w:pPr>
              <w:jc w:val="center"/>
              <w:rPr>
                <w:sz w:val="22"/>
                <w:szCs w:val="22"/>
              </w:rPr>
            </w:pPr>
            <w:r>
              <w:rPr>
                <w:sz w:val="22"/>
                <w:szCs w:val="22"/>
              </w:rPr>
              <w:t xml:space="preserve">2,077,035 </w:t>
            </w:r>
            <w:proofErr w:type="spellStart"/>
            <w:r w:rsidR="00694981">
              <w:rPr>
                <w:sz w:val="22"/>
                <w:szCs w:val="22"/>
              </w:rPr>
              <w:t>lbs</w:t>
            </w:r>
            <w:proofErr w:type="spellEnd"/>
          </w:p>
        </w:tc>
        <w:tc>
          <w:tcPr>
            <w:tcW w:w="1350" w:type="dxa"/>
            <w:vAlign w:val="center"/>
          </w:tcPr>
          <w:p w:rsidR="00296698" w:rsidRPr="00955B55" w:rsidRDefault="00175023" w:rsidP="00CA37BF">
            <w:pPr>
              <w:jc w:val="center"/>
              <w:rPr>
                <w:sz w:val="22"/>
                <w:szCs w:val="22"/>
              </w:rPr>
            </w:pPr>
            <w:r>
              <w:rPr>
                <w:sz w:val="22"/>
                <w:szCs w:val="22"/>
              </w:rPr>
              <w:t xml:space="preserve">57,164 </w:t>
            </w:r>
            <w:proofErr w:type="spellStart"/>
            <w:r w:rsidR="00694981">
              <w:rPr>
                <w:sz w:val="22"/>
                <w:szCs w:val="22"/>
              </w:rPr>
              <w:t>lbs</w:t>
            </w:r>
            <w:proofErr w:type="spellEnd"/>
          </w:p>
        </w:tc>
        <w:tc>
          <w:tcPr>
            <w:tcW w:w="1800" w:type="dxa"/>
            <w:vAlign w:val="center"/>
          </w:tcPr>
          <w:p w:rsidR="00296698" w:rsidRPr="00955B55" w:rsidRDefault="00175023" w:rsidP="00CA37BF">
            <w:pPr>
              <w:jc w:val="center"/>
              <w:rPr>
                <w:sz w:val="22"/>
                <w:szCs w:val="22"/>
              </w:rPr>
            </w:pPr>
            <w:r>
              <w:rPr>
                <w:sz w:val="22"/>
                <w:szCs w:val="22"/>
              </w:rPr>
              <w:t xml:space="preserve">3,353,211 </w:t>
            </w:r>
            <w:proofErr w:type="spellStart"/>
            <w:r w:rsidR="00694981">
              <w:rPr>
                <w:sz w:val="22"/>
                <w:szCs w:val="22"/>
              </w:rPr>
              <w:t>lbs</w:t>
            </w:r>
            <w:proofErr w:type="spellEnd"/>
          </w:p>
        </w:tc>
        <w:tc>
          <w:tcPr>
            <w:tcW w:w="1800" w:type="dxa"/>
            <w:vAlign w:val="center"/>
          </w:tcPr>
          <w:p w:rsidR="00296698" w:rsidRPr="00955B55" w:rsidRDefault="00175023" w:rsidP="00CA37BF">
            <w:pPr>
              <w:jc w:val="center"/>
              <w:rPr>
                <w:sz w:val="22"/>
                <w:szCs w:val="22"/>
              </w:rPr>
            </w:pPr>
            <w:r>
              <w:rPr>
                <w:sz w:val="22"/>
                <w:szCs w:val="22"/>
              </w:rPr>
              <w:t xml:space="preserve">5,487,410 </w:t>
            </w:r>
            <w:proofErr w:type="spellStart"/>
            <w:r w:rsidR="004B23E7">
              <w:rPr>
                <w:sz w:val="22"/>
                <w:szCs w:val="22"/>
              </w:rPr>
              <w:t>lbs</w:t>
            </w:r>
            <w:proofErr w:type="spellEnd"/>
          </w:p>
        </w:tc>
      </w:tr>
    </w:tbl>
    <w:p w:rsidR="00F731AA" w:rsidRDefault="00F731AA">
      <w:pPr>
        <w:rPr>
          <w:sz w:val="22"/>
          <w:szCs w:val="22"/>
        </w:rPr>
      </w:pPr>
    </w:p>
    <w:p w:rsidR="00016B6B" w:rsidRPr="00955B55" w:rsidRDefault="00016B6B">
      <w:pPr>
        <w:rPr>
          <w:sz w:val="22"/>
          <w:szCs w:val="22"/>
        </w:rPr>
      </w:pPr>
      <w:r>
        <w:rPr>
          <w:sz w:val="22"/>
          <w:szCs w:val="22"/>
        </w:rPr>
        <w:t xml:space="preserve">Appendix B provides the updated </w:t>
      </w:r>
      <w:proofErr w:type="spellStart"/>
      <w:r>
        <w:rPr>
          <w:sz w:val="22"/>
          <w:szCs w:val="22"/>
        </w:rPr>
        <w:t>therm</w:t>
      </w:r>
      <w:proofErr w:type="spellEnd"/>
      <w:r>
        <w:rPr>
          <w:sz w:val="22"/>
          <w:szCs w:val="22"/>
        </w:rPr>
        <w:t xml:space="preserve"> savings, total resource costs and utility costs by measure</w:t>
      </w:r>
      <w:r w:rsidR="003B62B2">
        <w:rPr>
          <w:sz w:val="22"/>
          <w:szCs w:val="22"/>
        </w:rPr>
        <w:t xml:space="preserve"> for the residential program </w:t>
      </w:r>
      <w:r w:rsidR="00EF0DAD">
        <w:rPr>
          <w:sz w:val="22"/>
          <w:szCs w:val="22"/>
        </w:rPr>
        <w:t>(the only program to require an update)</w:t>
      </w:r>
      <w:r w:rsidR="00175023">
        <w:rPr>
          <w:sz w:val="22"/>
          <w:szCs w:val="22"/>
        </w:rPr>
        <w:t xml:space="preserve"> for</w:t>
      </w:r>
      <w:r w:rsidR="00EF0DAD">
        <w:rPr>
          <w:sz w:val="22"/>
          <w:szCs w:val="22"/>
        </w:rPr>
        <w:t xml:space="preserve"> </w:t>
      </w:r>
      <w:r w:rsidR="003B62B2">
        <w:rPr>
          <w:sz w:val="22"/>
          <w:szCs w:val="22"/>
        </w:rPr>
        <w:t>calendar year 201</w:t>
      </w:r>
      <w:r w:rsidR="00EF0DAD">
        <w:rPr>
          <w:sz w:val="22"/>
          <w:szCs w:val="22"/>
        </w:rPr>
        <w:t>3</w:t>
      </w:r>
      <w:r w:rsidR="00175023">
        <w:rPr>
          <w:sz w:val="22"/>
          <w:szCs w:val="22"/>
        </w:rPr>
        <w:t xml:space="preserve">. It also provides a summary for the </w:t>
      </w:r>
      <w:r w:rsidR="003B62B2">
        <w:rPr>
          <w:sz w:val="22"/>
          <w:szCs w:val="22"/>
        </w:rPr>
        <w:t xml:space="preserve">full portfolio </w:t>
      </w:r>
      <w:r w:rsidR="00175023">
        <w:rPr>
          <w:sz w:val="22"/>
          <w:szCs w:val="22"/>
        </w:rPr>
        <w:t xml:space="preserve">both </w:t>
      </w:r>
      <w:r w:rsidR="007C7F01">
        <w:rPr>
          <w:sz w:val="22"/>
          <w:szCs w:val="22"/>
        </w:rPr>
        <w:t>including</w:t>
      </w:r>
      <w:r w:rsidR="00175023">
        <w:rPr>
          <w:sz w:val="22"/>
          <w:szCs w:val="22"/>
        </w:rPr>
        <w:t xml:space="preserve"> and </w:t>
      </w:r>
      <w:r w:rsidR="007C7F01">
        <w:rPr>
          <w:sz w:val="22"/>
          <w:szCs w:val="22"/>
        </w:rPr>
        <w:t>excluding</w:t>
      </w:r>
      <w:r w:rsidR="00175023">
        <w:rPr>
          <w:sz w:val="22"/>
          <w:szCs w:val="22"/>
        </w:rPr>
        <w:t xml:space="preserve"> the </w:t>
      </w:r>
      <w:proofErr w:type="spellStart"/>
      <w:r w:rsidR="00175023">
        <w:rPr>
          <w:sz w:val="22"/>
          <w:szCs w:val="22"/>
        </w:rPr>
        <w:t>Nexant</w:t>
      </w:r>
      <w:proofErr w:type="spellEnd"/>
      <w:r w:rsidR="00175023">
        <w:rPr>
          <w:sz w:val="22"/>
          <w:szCs w:val="22"/>
        </w:rPr>
        <w:t xml:space="preserve"> Potential Study costs in the </w:t>
      </w:r>
      <w:r w:rsidR="007C7F01">
        <w:rPr>
          <w:sz w:val="22"/>
          <w:szCs w:val="22"/>
        </w:rPr>
        <w:t xml:space="preserve">cost-effectiveness </w:t>
      </w:r>
      <w:r w:rsidR="00175023">
        <w:rPr>
          <w:sz w:val="22"/>
          <w:szCs w:val="22"/>
        </w:rPr>
        <w:t>calculations</w:t>
      </w:r>
      <w:r w:rsidR="003B62B2">
        <w:rPr>
          <w:sz w:val="22"/>
          <w:szCs w:val="22"/>
        </w:rPr>
        <w:t xml:space="preserve">. </w:t>
      </w:r>
    </w:p>
    <w:sectPr w:rsidR="00016B6B" w:rsidRPr="00955B55" w:rsidSect="001059CB">
      <w:footerReference w:type="even" r:id="rId9"/>
      <w:footerReference w:type="default" r:id="rId10"/>
      <w:pgSz w:w="12240" w:h="15840"/>
      <w:pgMar w:top="108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2E" w:rsidRDefault="00EB342E">
      <w:r>
        <w:separator/>
      </w:r>
    </w:p>
  </w:endnote>
  <w:endnote w:type="continuationSeparator" w:id="0">
    <w:p w:rsidR="00EB342E" w:rsidRDefault="00EB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8F" w:rsidRDefault="00A579EA" w:rsidP="00C27D3D">
    <w:pPr>
      <w:pStyle w:val="Footer"/>
      <w:framePr w:wrap="around" w:vAnchor="text" w:hAnchor="margin" w:xAlign="center" w:y="1"/>
      <w:rPr>
        <w:rStyle w:val="PageNumber"/>
      </w:rPr>
    </w:pPr>
    <w:r>
      <w:rPr>
        <w:rStyle w:val="PageNumber"/>
      </w:rPr>
      <w:fldChar w:fldCharType="begin"/>
    </w:r>
    <w:r w:rsidR="0031658F">
      <w:rPr>
        <w:rStyle w:val="PageNumber"/>
      </w:rPr>
      <w:instrText xml:space="preserve">PAGE  </w:instrText>
    </w:r>
    <w:r>
      <w:rPr>
        <w:rStyle w:val="PageNumber"/>
      </w:rPr>
      <w:fldChar w:fldCharType="end"/>
    </w:r>
  </w:p>
  <w:p w:rsidR="0031658F" w:rsidRDefault="00316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8F" w:rsidRDefault="00A579EA" w:rsidP="00C27D3D">
    <w:pPr>
      <w:pStyle w:val="Footer"/>
      <w:framePr w:wrap="around" w:vAnchor="text" w:hAnchor="margin" w:xAlign="center" w:y="1"/>
      <w:rPr>
        <w:rStyle w:val="PageNumber"/>
      </w:rPr>
    </w:pPr>
    <w:r>
      <w:rPr>
        <w:rStyle w:val="PageNumber"/>
      </w:rPr>
      <w:fldChar w:fldCharType="begin"/>
    </w:r>
    <w:r w:rsidR="0031658F">
      <w:rPr>
        <w:rStyle w:val="PageNumber"/>
      </w:rPr>
      <w:instrText xml:space="preserve">PAGE  </w:instrText>
    </w:r>
    <w:r>
      <w:rPr>
        <w:rStyle w:val="PageNumber"/>
      </w:rPr>
      <w:fldChar w:fldCharType="separate"/>
    </w:r>
    <w:r w:rsidR="00486F25">
      <w:rPr>
        <w:rStyle w:val="PageNumber"/>
        <w:noProof/>
      </w:rPr>
      <w:t>1</w:t>
    </w:r>
    <w:r>
      <w:rPr>
        <w:rStyle w:val="PageNumber"/>
      </w:rPr>
      <w:fldChar w:fldCharType="end"/>
    </w:r>
  </w:p>
  <w:p w:rsidR="0031658F" w:rsidRDefault="00316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2E" w:rsidRDefault="00EB342E">
      <w:r>
        <w:separator/>
      </w:r>
    </w:p>
  </w:footnote>
  <w:footnote w:type="continuationSeparator" w:id="0">
    <w:p w:rsidR="00EB342E" w:rsidRDefault="00EB3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24F7"/>
    <w:multiLevelType w:val="hybridMultilevel"/>
    <w:tmpl w:val="A1CED828"/>
    <w:lvl w:ilvl="0" w:tplc="95240B8E">
      <w:start w:val="200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1F1920"/>
    <w:multiLevelType w:val="multilevel"/>
    <w:tmpl w:val="3124A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0739FA"/>
    <w:multiLevelType w:val="hybridMultilevel"/>
    <w:tmpl w:val="4D4A7AF0"/>
    <w:lvl w:ilvl="0" w:tplc="04090001">
      <w:start w:val="2009"/>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1C626B8"/>
    <w:multiLevelType w:val="hybridMultilevel"/>
    <w:tmpl w:val="B618259E"/>
    <w:lvl w:ilvl="0" w:tplc="04090001">
      <w:start w:val="12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85550C"/>
    <w:multiLevelType w:val="hybridMultilevel"/>
    <w:tmpl w:val="7F185436"/>
    <w:lvl w:ilvl="0" w:tplc="75E2D2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C6F83"/>
    <w:multiLevelType w:val="hybridMultilevel"/>
    <w:tmpl w:val="78D64188"/>
    <w:lvl w:ilvl="0" w:tplc="04090001">
      <w:start w:val="12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032CB9"/>
    <w:multiLevelType w:val="hybridMultilevel"/>
    <w:tmpl w:val="AD30A61A"/>
    <w:lvl w:ilvl="0" w:tplc="FCA61F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74575"/>
    <w:multiLevelType w:val="multilevel"/>
    <w:tmpl w:val="B978A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58"/>
    <w:rsid w:val="00003AB3"/>
    <w:rsid w:val="00013AB0"/>
    <w:rsid w:val="00013F28"/>
    <w:rsid w:val="00015C49"/>
    <w:rsid w:val="00016B6B"/>
    <w:rsid w:val="00017B48"/>
    <w:rsid w:val="00020FDB"/>
    <w:rsid w:val="00021177"/>
    <w:rsid w:val="0002561C"/>
    <w:rsid w:val="00030EE2"/>
    <w:rsid w:val="00034B90"/>
    <w:rsid w:val="00043029"/>
    <w:rsid w:val="000460A9"/>
    <w:rsid w:val="000464C8"/>
    <w:rsid w:val="0004739A"/>
    <w:rsid w:val="000501D9"/>
    <w:rsid w:val="000513B0"/>
    <w:rsid w:val="0005256F"/>
    <w:rsid w:val="000535B2"/>
    <w:rsid w:val="00055A45"/>
    <w:rsid w:val="00055D0F"/>
    <w:rsid w:val="00056D1A"/>
    <w:rsid w:val="00057D4B"/>
    <w:rsid w:val="00060C60"/>
    <w:rsid w:val="000616EE"/>
    <w:rsid w:val="00071A19"/>
    <w:rsid w:val="00075CDB"/>
    <w:rsid w:val="000825FE"/>
    <w:rsid w:val="00083139"/>
    <w:rsid w:val="00085FFB"/>
    <w:rsid w:val="000872E1"/>
    <w:rsid w:val="00090C21"/>
    <w:rsid w:val="000938AE"/>
    <w:rsid w:val="000A19F7"/>
    <w:rsid w:val="000A232E"/>
    <w:rsid w:val="000A273E"/>
    <w:rsid w:val="000A33CE"/>
    <w:rsid w:val="000A37B4"/>
    <w:rsid w:val="000A38E9"/>
    <w:rsid w:val="000A3A1F"/>
    <w:rsid w:val="000A436C"/>
    <w:rsid w:val="000A7594"/>
    <w:rsid w:val="000A75CA"/>
    <w:rsid w:val="000A773D"/>
    <w:rsid w:val="000A77A1"/>
    <w:rsid w:val="000B0A30"/>
    <w:rsid w:val="000B20CD"/>
    <w:rsid w:val="000B2510"/>
    <w:rsid w:val="000B5598"/>
    <w:rsid w:val="000B5C8A"/>
    <w:rsid w:val="000B780A"/>
    <w:rsid w:val="000B792C"/>
    <w:rsid w:val="000C0D54"/>
    <w:rsid w:val="000C54E2"/>
    <w:rsid w:val="000C5A35"/>
    <w:rsid w:val="000C5F45"/>
    <w:rsid w:val="000D22AE"/>
    <w:rsid w:val="000D2688"/>
    <w:rsid w:val="000D3B06"/>
    <w:rsid w:val="000D610B"/>
    <w:rsid w:val="000E07E1"/>
    <w:rsid w:val="000E0867"/>
    <w:rsid w:val="000E3B6A"/>
    <w:rsid w:val="000E7215"/>
    <w:rsid w:val="000E7E87"/>
    <w:rsid w:val="000F3E04"/>
    <w:rsid w:val="000F40BA"/>
    <w:rsid w:val="001059CB"/>
    <w:rsid w:val="00106D24"/>
    <w:rsid w:val="00111B29"/>
    <w:rsid w:val="001133B1"/>
    <w:rsid w:val="0011459A"/>
    <w:rsid w:val="00120F9E"/>
    <w:rsid w:val="00122AD5"/>
    <w:rsid w:val="001230F0"/>
    <w:rsid w:val="00124475"/>
    <w:rsid w:val="001258E5"/>
    <w:rsid w:val="00131D94"/>
    <w:rsid w:val="00135A60"/>
    <w:rsid w:val="00136A0F"/>
    <w:rsid w:val="0013777C"/>
    <w:rsid w:val="001436CE"/>
    <w:rsid w:val="001439DB"/>
    <w:rsid w:val="00147657"/>
    <w:rsid w:val="0014785A"/>
    <w:rsid w:val="001547F4"/>
    <w:rsid w:val="00156201"/>
    <w:rsid w:val="00156FF9"/>
    <w:rsid w:val="00161819"/>
    <w:rsid w:val="00161EEF"/>
    <w:rsid w:val="001623DA"/>
    <w:rsid w:val="00165BD5"/>
    <w:rsid w:val="001667AA"/>
    <w:rsid w:val="00173C9A"/>
    <w:rsid w:val="00175023"/>
    <w:rsid w:val="00175FEA"/>
    <w:rsid w:val="00177736"/>
    <w:rsid w:val="001803D2"/>
    <w:rsid w:val="001804D9"/>
    <w:rsid w:val="00184318"/>
    <w:rsid w:val="001901C6"/>
    <w:rsid w:val="001A1FF5"/>
    <w:rsid w:val="001A258E"/>
    <w:rsid w:val="001A26E4"/>
    <w:rsid w:val="001A38C7"/>
    <w:rsid w:val="001A41D4"/>
    <w:rsid w:val="001B00B2"/>
    <w:rsid w:val="001B306F"/>
    <w:rsid w:val="001B4F5B"/>
    <w:rsid w:val="001B58D5"/>
    <w:rsid w:val="001B735A"/>
    <w:rsid w:val="001C2812"/>
    <w:rsid w:val="001C5901"/>
    <w:rsid w:val="001C7D01"/>
    <w:rsid w:val="001D088D"/>
    <w:rsid w:val="001D0E75"/>
    <w:rsid w:val="001D3822"/>
    <w:rsid w:val="001D3D3D"/>
    <w:rsid w:val="001D3F30"/>
    <w:rsid w:val="001E3699"/>
    <w:rsid w:val="001F2520"/>
    <w:rsid w:val="001F3F16"/>
    <w:rsid w:val="001F58D4"/>
    <w:rsid w:val="001F7CA1"/>
    <w:rsid w:val="00201FFA"/>
    <w:rsid w:val="00204CEB"/>
    <w:rsid w:val="00216226"/>
    <w:rsid w:val="00216FAF"/>
    <w:rsid w:val="00217C01"/>
    <w:rsid w:val="00220132"/>
    <w:rsid w:val="0023170D"/>
    <w:rsid w:val="0023777F"/>
    <w:rsid w:val="00237BB2"/>
    <w:rsid w:val="002428EF"/>
    <w:rsid w:val="00243A4E"/>
    <w:rsid w:val="00244DF7"/>
    <w:rsid w:val="00245F43"/>
    <w:rsid w:val="00246CF4"/>
    <w:rsid w:val="002513DC"/>
    <w:rsid w:val="00254BA2"/>
    <w:rsid w:val="0026247C"/>
    <w:rsid w:val="0027015A"/>
    <w:rsid w:val="00272AD7"/>
    <w:rsid w:val="0027338D"/>
    <w:rsid w:val="00280E44"/>
    <w:rsid w:val="00281A8A"/>
    <w:rsid w:val="0029193F"/>
    <w:rsid w:val="00295CEC"/>
    <w:rsid w:val="00296698"/>
    <w:rsid w:val="0029719F"/>
    <w:rsid w:val="002A24FB"/>
    <w:rsid w:val="002A3383"/>
    <w:rsid w:val="002A345F"/>
    <w:rsid w:val="002A458B"/>
    <w:rsid w:val="002A48A7"/>
    <w:rsid w:val="002A4E8D"/>
    <w:rsid w:val="002A6CCF"/>
    <w:rsid w:val="002B578C"/>
    <w:rsid w:val="002B7EC3"/>
    <w:rsid w:val="002C0409"/>
    <w:rsid w:val="002C0A83"/>
    <w:rsid w:val="002C28C2"/>
    <w:rsid w:val="002C3098"/>
    <w:rsid w:val="002C34F9"/>
    <w:rsid w:val="002C3A94"/>
    <w:rsid w:val="002C42F9"/>
    <w:rsid w:val="002C6ECB"/>
    <w:rsid w:val="002D29A7"/>
    <w:rsid w:val="002D2F1C"/>
    <w:rsid w:val="002D4D0A"/>
    <w:rsid w:val="002E0857"/>
    <w:rsid w:val="002E1FF7"/>
    <w:rsid w:val="002E2622"/>
    <w:rsid w:val="002E459E"/>
    <w:rsid w:val="002E4775"/>
    <w:rsid w:val="002E4F0D"/>
    <w:rsid w:val="002E7CD9"/>
    <w:rsid w:val="002F0A41"/>
    <w:rsid w:val="002F418A"/>
    <w:rsid w:val="002F58D4"/>
    <w:rsid w:val="00300E7C"/>
    <w:rsid w:val="0030209A"/>
    <w:rsid w:val="0030398E"/>
    <w:rsid w:val="00306512"/>
    <w:rsid w:val="0030679E"/>
    <w:rsid w:val="00311964"/>
    <w:rsid w:val="00312294"/>
    <w:rsid w:val="00312A46"/>
    <w:rsid w:val="0031658F"/>
    <w:rsid w:val="00317771"/>
    <w:rsid w:val="00317A98"/>
    <w:rsid w:val="00317B19"/>
    <w:rsid w:val="003204EC"/>
    <w:rsid w:val="003214EE"/>
    <w:rsid w:val="003222E6"/>
    <w:rsid w:val="0032442A"/>
    <w:rsid w:val="00324704"/>
    <w:rsid w:val="00326B7F"/>
    <w:rsid w:val="00326BB4"/>
    <w:rsid w:val="00327502"/>
    <w:rsid w:val="0033001E"/>
    <w:rsid w:val="00330988"/>
    <w:rsid w:val="0033199D"/>
    <w:rsid w:val="00334129"/>
    <w:rsid w:val="00334E45"/>
    <w:rsid w:val="00341D10"/>
    <w:rsid w:val="0034217A"/>
    <w:rsid w:val="003449A1"/>
    <w:rsid w:val="003465B3"/>
    <w:rsid w:val="00350306"/>
    <w:rsid w:val="003504DE"/>
    <w:rsid w:val="00351997"/>
    <w:rsid w:val="00352F45"/>
    <w:rsid w:val="00353739"/>
    <w:rsid w:val="00356567"/>
    <w:rsid w:val="00356831"/>
    <w:rsid w:val="00357582"/>
    <w:rsid w:val="00361D6B"/>
    <w:rsid w:val="00362CDD"/>
    <w:rsid w:val="00363D4D"/>
    <w:rsid w:val="00364087"/>
    <w:rsid w:val="003660C0"/>
    <w:rsid w:val="0036794C"/>
    <w:rsid w:val="00367B78"/>
    <w:rsid w:val="003734AB"/>
    <w:rsid w:val="003739E0"/>
    <w:rsid w:val="0037463A"/>
    <w:rsid w:val="00380563"/>
    <w:rsid w:val="003829AE"/>
    <w:rsid w:val="00385BF6"/>
    <w:rsid w:val="003936CA"/>
    <w:rsid w:val="0039372A"/>
    <w:rsid w:val="003961EC"/>
    <w:rsid w:val="003970DE"/>
    <w:rsid w:val="00397C64"/>
    <w:rsid w:val="003A10DF"/>
    <w:rsid w:val="003A4204"/>
    <w:rsid w:val="003A49B4"/>
    <w:rsid w:val="003A4E28"/>
    <w:rsid w:val="003B23DB"/>
    <w:rsid w:val="003B5656"/>
    <w:rsid w:val="003B5723"/>
    <w:rsid w:val="003B62B2"/>
    <w:rsid w:val="003C1E15"/>
    <w:rsid w:val="003C297B"/>
    <w:rsid w:val="003C31F8"/>
    <w:rsid w:val="003C3D53"/>
    <w:rsid w:val="003C4593"/>
    <w:rsid w:val="003D1424"/>
    <w:rsid w:val="003D2F5A"/>
    <w:rsid w:val="003D4034"/>
    <w:rsid w:val="003D68F9"/>
    <w:rsid w:val="003E2FD3"/>
    <w:rsid w:val="003E3020"/>
    <w:rsid w:val="003E38B2"/>
    <w:rsid w:val="003F05DD"/>
    <w:rsid w:val="003F0EDC"/>
    <w:rsid w:val="003F0F4C"/>
    <w:rsid w:val="003F2ADB"/>
    <w:rsid w:val="0040007D"/>
    <w:rsid w:val="00400888"/>
    <w:rsid w:val="00402D2D"/>
    <w:rsid w:val="0040387E"/>
    <w:rsid w:val="0040428C"/>
    <w:rsid w:val="00404401"/>
    <w:rsid w:val="00404D88"/>
    <w:rsid w:val="00406982"/>
    <w:rsid w:val="004129D9"/>
    <w:rsid w:val="00413013"/>
    <w:rsid w:val="004147AB"/>
    <w:rsid w:val="0041557B"/>
    <w:rsid w:val="0041631C"/>
    <w:rsid w:val="00435A46"/>
    <w:rsid w:val="00441FFF"/>
    <w:rsid w:val="004435AC"/>
    <w:rsid w:val="00445925"/>
    <w:rsid w:val="0044719D"/>
    <w:rsid w:val="00450D40"/>
    <w:rsid w:val="00451C93"/>
    <w:rsid w:val="004540C6"/>
    <w:rsid w:val="00454E9F"/>
    <w:rsid w:val="00461DEE"/>
    <w:rsid w:val="004630B3"/>
    <w:rsid w:val="00463536"/>
    <w:rsid w:val="00464625"/>
    <w:rsid w:val="004717C0"/>
    <w:rsid w:val="00471CE6"/>
    <w:rsid w:val="00474258"/>
    <w:rsid w:val="00475ACA"/>
    <w:rsid w:val="004760A6"/>
    <w:rsid w:val="00476D1C"/>
    <w:rsid w:val="00480800"/>
    <w:rsid w:val="004808EA"/>
    <w:rsid w:val="00480DAA"/>
    <w:rsid w:val="004841BC"/>
    <w:rsid w:val="00485531"/>
    <w:rsid w:val="00485D67"/>
    <w:rsid w:val="00486184"/>
    <w:rsid w:val="00486F25"/>
    <w:rsid w:val="004870E7"/>
    <w:rsid w:val="00490A41"/>
    <w:rsid w:val="0049420B"/>
    <w:rsid w:val="004956C4"/>
    <w:rsid w:val="004A2D45"/>
    <w:rsid w:val="004A2D58"/>
    <w:rsid w:val="004A2D96"/>
    <w:rsid w:val="004A3C7B"/>
    <w:rsid w:val="004A7B05"/>
    <w:rsid w:val="004B23E7"/>
    <w:rsid w:val="004B39EF"/>
    <w:rsid w:val="004C1A87"/>
    <w:rsid w:val="004C3391"/>
    <w:rsid w:val="004C47EC"/>
    <w:rsid w:val="004C4A5C"/>
    <w:rsid w:val="004C5BEE"/>
    <w:rsid w:val="004D03FC"/>
    <w:rsid w:val="004D1026"/>
    <w:rsid w:val="004D21EF"/>
    <w:rsid w:val="004D55C8"/>
    <w:rsid w:val="004D5F3D"/>
    <w:rsid w:val="004E0915"/>
    <w:rsid w:val="004E0C0A"/>
    <w:rsid w:val="004E18B2"/>
    <w:rsid w:val="004E35D7"/>
    <w:rsid w:val="004E387E"/>
    <w:rsid w:val="004E44A0"/>
    <w:rsid w:val="004E6AA5"/>
    <w:rsid w:val="004F181C"/>
    <w:rsid w:val="004F4BDE"/>
    <w:rsid w:val="004F6EBD"/>
    <w:rsid w:val="004F7773"/>
    <w:rsid w:val="0050421E"/>
    <w:rsid w:val="0050548C"/>
    <w:rsid w:val="00506E3D"/>
    <w:rsid w:val="00507E61"/>
    <w:rsid w:val="00507F68"/>
    <w:rsid w:val="005107F5"/>
    <w:rsid w:val="005124F8"/>
    <w:rsid w:val="0051398E"/>
    <w:rsid w:val="0052029D"/>
    <w:rsid w:val="00524231"/>
    <w:rsid w:val="00525573"/>
    <w:rsid w:val="00525980"/>
    <w:rsid w:val="0052655F"/>
    <w:rsid w:val="00530589"/>
    <w:rsid w:val="00530C7E"/>
    <w:rsid w:val="00530CD2"/>
    <w:rsid w:val="00532650"/>
    <w:rsid w:val="00534099"/>
    <w:rsid w:val="0053523E"/>
    <w:rsid w:val="005412F8"/>
    <w:rsid w:val="00541928"/>
    <w:rsid w:val="00543953"/>
    <w:rsid w:val="00545C5E"/>
    <w:rsid w:val="00546811"/>
    <w:rsid w:val="0055081B"/>
    <w:rsid w:val="005519CB"/>
    <w:rsid w:val="005549DF"/>
    <w:rsid w:val="00560EC5"/>
    <w:rsid w:val="0056323E"/>
    <w:rsid w:val="00563D76"/>
    <w:rsid w:val="00564686"/>
    <w:rsid w:val="005647E3"/>
    <w:rsid w:val="00564B0E"/>
    <w:rsid w:val="00566AD7"/>
    <w:rsid w:val="00567060"/>
    <w:rsid w:val="00567FC2"/>
    <w:rsid w:val="00572BC6"/>
    <w:rsid w:val="00583B25"/>
    <w:rsid w:val="00583DF8"/>
    <w:rsid w:val="0059157B"/>
    <w:rsid w:val="005A0209"/>
    <w:rsid w:val="005A0C13"/>
    <w:rsid w:val="005A0F4A"/>
    <w:rsid w:val="005A4D16"/>
    <w:rsid w:val="005A70B0"/>
    <w:rsid w:val="005B2812"/>
    <w:rsid w:val="005B42AB"/>
    <w:rsid w:val="005B7078"/>
    <w:rsid w:val="005B7C16"/>
    <w:rsid w:val="005C03FB"/>
    <w:rsid w:val="005C110F"/>
    <w:rsid w:val="005C250F"/>
    <w:rsid w:val="005C3302"/>
    <w:rsid w:val="005C4F70"/>
    <w:rsid w:val="005C5FE3"/>
    <w:rsid w:val="005C62DC"/>
    <w:rsid w:val="005D2F76"/>
    <w:rsid w:val="005D3D85"/>
    <w:rsid w:val="005D6916"/>
    <w:rsid w:val="005E0236"/>
    <w:rsid w:val="005E1885"/>
    <w:rsid w:val="005E30CC"/>
    <w:rsid w:val="005E51CF"/>
    <w:rsid w:val="005E594A"/>
    <w:rsid w:val="005F2CEA"/>
    <w:rsid w:val="005F35CB"/>
    <w:rsid w:val="00600538"/>
    <w:rsid w:val="0060408D"/>
    <w:rsid w:val="0060600E"/>
    <w:rsid w:val="00606A0E"/>
    <w:rsid w:val="0061068C"/>
    <w:rsid w:val="00610E36"/>
    <w:rsid w:val="006146D5"/>
    <w:rsid w:val="0061638E"/>
    <w:rsid w:val="00617E0C"/>
    <w:rsid w:val="006201C2"/>
    <w:rsid w:val="00621C5D"/>
    <w:rsid w:val="0062405F"/>
    <w:rsid w:val="00625856"/>
    <w:rsid w:val="00625D27"/>
    <w:rsid w:val="006261D7"/>
    <w:rsid w:val="0063178A"/>
    <w:rsid w:val="00631E6A"/>
    <w:rsid w:val="00633432"/>
    <w:rsid w:val="006347DF"/>
    <w:rsid w:val="00635BB2"/>
    <w:rsid w:val="00637360"/>
    <w:rsid w:val="00642C69"/>
    <w:rsid w:val="006516BD"/>
    <w:rsid w:val="00661069"/>
    <w:rsid w:val="006621C3"/>
    <w:rsid w:val="00662809"/>
    <w:rsid w:val="00663A22"/>
    <w:rsid w:val="00665BD9"/>
    <w:rsid w:val="00671C1A"/>
    <w:rsid w:val="00673173"/>
    <w:rsid w:val="006745B2"/>
    <w:rsid w:val="0067594F"/>
    <w:rsid w:val="00676080"/>
    <w:rsid w:val="0068086F"/>
    <w:rsid w:val="00681E42"/>
    <w:rsid w:val="00682A8D"/>
    <w:rsid w:val="006840CF"/>
    <w:rsid w:val="00692603"/>
    <w:rsid w:val="00694981"/>
    <w:rsid w:val="00694CD5"/>
    <w:rsid w:val="00695CA2"/>
    <w:rsid w:val="00696148"/>
    <w:rsid w:val="006A0EF8"/>
    <w:rsid w:val="006A1401"/>
    <w:rsid w:val="006A50F5"/>
    <w:rsid w:val="006A7EAD"/>
    <w:rsid w:val="006B0747"/>
    <w:rsid w:val="006B0F80"/>
    <w:rsid w:val="006B42D4"/>
    <w:rsid w:val="006B4539"/>
    <w:rsid w:val="006B73B8"/>
    <w:rsid w:val="006B7581"/>
    <w:rsid w:val="006C0FE9"/>
    <w:rsid w:val="006C11EC"/>
    <w:rsid w:val="006C1E6C"/>
    <w:rsid w:val="006C764A"/>
    <w:rsid w:val="006D0958"/>
    <w:rsid w:val="006D3D88"/>
    <w:rsid w:val="006D48A5"/>
    <w:rsid w:val="006D557F"/>
    <w:rsid w:val="006D5B0D"/>
    <w:rsid w:val="006D63F4"/>
    <w:rsid w:val="006E5927"/>
    <w:rsid w:val="006E7BA2"/>
    <w:rsid w:val="006F0561"/>
    <w:rsid w:val="006F31E2"/>
    <w:rsid w:val="006F6065"/>
    <w:rsid w:val="006F7350"/>
    <w:rsid w:val="006F7B9D"/>
    <w:rsid w:val="00700AE4"/>
    <w:rsid w:val="007022A2"/>
    <w:rsid w:val="0070523A"/>
    <w:rsid w:val="0070524D"/>
    <w:rsid w:val="007062EF"/>
    <w:rsid w:val="00706B53"/>
    <w:rsid w:val="00712D02"/>
    <w:rsid w:val="0071582B"/>
    <w:rsid w:val="00717B33"/>
    <w:rsid w:val="007211F9"/>
    <w:rsid w:val="00723F25"/>
    <w:rsid w:val="007250E7"/>
    <w:rsid w:val="0072531C"/>
    <w:rsid w:val="007274C5"/>
    <w:rsid w:val="00736977"/>
    <w:rsid w:val="007443D2"/>
    <w:rsid w:val="0074458E"/>
    <w:rsid w:val="00747765"/>
    <w:rsid w:val="00747D77"/>
    <w:rsid w:val="00752CE1"/>
    <w:rsid w:val="0075567A"/>
    <w:rsid w:val="00763898"/>
    <w:rsid w:val="00765E26"/>
    <w:rsid w:val="00770C01"/>
    <w:rsid w:val="00771E30"/>
    <w:rsid w:val="007723E4"/>
    <w:rsid w:val="00775492"/>
    <w:rsid w:val="00781327"/>
    <w:rsid w:val="0078152A"/>
    <w:rsid w:val="007818A4"/>
    <w:rsid w:val="00781E59"/>
    <w:rsid w:val="00782BB3"/>
    <w:rsid w:val="00783295"/>
    <w:rsid w:val="0078344B"/>
    <w:rsid w:val="007862F9"/>
    <w:rsid w:val="00787587"/>
    <w:rsid w:val="00793A22"/>
    <w:rsid w:val="00794A02"/>
    <w:rsid w:val="0079551A"/>
    <w:rsid w:val="00795A5B"/>
    <w:rsid w:val="007A55B4"/>
    <w:rsid w:val="007A66ED"/>
    <w:rsid w:val="007B1056"/>
    <w:rsid w:val="007B3019"/>
    <w:rsid w:val="007B780C"/>
    <w:rsid w:val="007C01AE"/>
    <w:rsid w:val="007C0FE6"/>
    <w:rsid w:val="007C34E5"/>
    <w:rsid w:val="007C4450"/>
    <w:rsid w:val="007C64B2"/>
    <w:rsid w:val="007C7C8F"/>
    <w:rsid w:val="007C7F01"/>
    <w:rsid w:val="007D0583"/>
    <w:rsid w:val="007D0715"/>
    <w:rsid w:val="007D1EB0"/>
    <w:rsid w:val="007D308C"/>
    <w:rsid w:val="007D506C"/>
    <w:rsid w:val="007E0C14"/>
    <w:rsid w:val="007E1B58"/>
    <w:rsid w:val="007E6072"/>
    <w:rsid w:val="007E6119"/>
    <w:rsid w:val="007E799C"/>
    <w:rsid w:val="007F153A"/>
    <w:rsid w:val="007F5347"/>
    <w:rsid w:val="007F5B81"/>
    <w:rsid w:val="00803731"/>
    <w:rsid w:val="008041E9"/>
    <w:rsid w:val="00804A46"/>
    <w:rsid w:val="00805062"/>
    <w:rsid w:val="008069BD"/>
    <w:rsid w:val="00811DE8"/>
    <w:rsid w:val="00812C7F"/>
    <w:rsid w:val="008145DC"/>
    <w:rsid w:val="00815DC0"/>
    <w:rsid w:val="00826871"/>
    <w:rsid w:val="0083112A"/>
    <w:rsid w:val="008313AC"/>
    <w:rsid w:val="00833633"/>
    <w:rsid w:val="0083396A"/>
    <w:rsid w:val="00833B51"/>
    <w:rsid w:val="00836E4F"/>
    <w:rsid w:val="00840C51"/>
    <w:rsid w:val="0084160D"/>
    <w:rsid w:val="00842FBF"/>
    <w:rsid w:val="00845A37"/>
    <w:rsid w:val="00845DAC"/>
    <w:rsid w:val="0084763E"/>
    <w:rsid w:val="008507F1"/>
    <w:rsid w:val="00854970"/>
    <w:rsid w:val="0086120C"/>
    <w:rsid w:val="00862904"/>
    <w:rsid w:val="00864285"/>
    <w:rsid w:val="008663DA"/>
    <w:rsid w:val="008707D7"/>
    <w:rsid w:val="00870D9C"/>
    <w:rsid w:val="008715D9"/>
    <w:rsid w:val="00871CB2"/>
    <w:rsid w:val="008725DF"/>
    <w:rsid w:val="00875270"/>
    <w:rsid w:val="0087579B"/>
    <w:rsid w:val="00876861"/>
    <w:rsid w:val="0087747E"/>
    <w:rsid w:val="00877B55"/>
    <w:rsid w:val="0088195F"/>
    <w:rsid w:val="008836E9"/>
    <w:rsid w:val="00886C78"/>
    <w:rsid w:val="008871ED"/>
    <w:rsid w:val="00890144"/>
    <w:rsid w:val="00890C14"/>
    <w:rsid w:val="00892484"/>
    <w:rsid w:val="00893BD8"/>
    <w:rsid w:val="00897EEE"/>
    <w:rsid w:val="008A5E44"/>
    <w:rsid w:val="008A6A1F"/>
    <w:rsid w:val="008B01A7"/>
    <w:rsid w:val="008B034A"/>
    <w:rsid w:val="008B473D"/>
    <w:rsid w:val="008B7487"/>
    <w:rsid w:val="008B7C83"/>
    <w:rsid w:val="008C33BC"/>
    <w:rsid w:val="008C4967"/>
    <w:rsid w:val="008C78DB"/>
    <w:rsid w:val="008D0ADF"/>
    <w:rsid w:val="008D1062"/>
    <w:rsid w:val="008D2262"/>
    <w:rsid w:val="008D2CF9"/>
    <w:rsid w:val="008D63F6"/>
    <w:rsid w:val="008D67EF"/>
    <w:rsid w:val="008D7994"/>
    <w:rsid w:val="008E00AF"/>
    <w:rsid w:val="008E549B"/>
    <w:rsid w:val="008F173E"/>
    <w:rsid w:val="008F1E4A"/>
    <w:rsid w:val="008F6261"/>
    <w:rsid w:val="008F63BF"/>
    <w:rsid w:val="008F75D5"/>
    <w:rsid w:val="008F7A32"/>
    <w:rsid w:val="008F7E66"/>
    <w:rsid w:val="0090052A"/>
    <w:rsid w:val="0090106A"/>
    <w:rsid w:val="00902F5A"/>
    <w:rsid w:val="009065B7"/>
    <w:rsid w:val="00906884"/>
    <w:rsid w:val="00906F21"/>
    <w:rsid w:val="00914FFC"/>
    <w:rsid w:val="0091578B"/>
    <w:rsid w:val="00915A4C"/>
    <w:rsid w:val="00917CE6"/>
    <w:rsid w:val="00917EAE"/>
    <w:rsid w:val="0092097C"/>
    <w:rsid w:val="00920DCC"/>
    <w:rsid w:val="00921060"/>
    <w:rsid w:val="009244C5"/>
    <w:rsid w:val="00924525"/>
    <w:rsid w:val="00924DE3"/>
    <w:rsid w:val="009336E2"/>
    <w:rsid w:val="00942263"/>
    <w:rsid w:val="0094329C"/>
    <w:rsid w:val="00945364"/>
    <w:rsid w:val="00951D7E"/>
    <w:rsid w:val="00954472"/>
    <w:rsid w:val="0095466E"/>
    <w:rsid w:val="00954A71"/>
    <w:rsid w:val="00955B55"/>
    <w:rsid w:val="00955C51"/>
    <w:rsid w:val="0096112C"/>
    <w:rsid w:val="0097035B"/>
    <w:rsid w:val="00973106"/>
    <w:rsid w:val="00974FB9"/>
    <w:rsid w:val="0097675E"/>
    <w:rsid w:val="0098392C"/>
    <w:rsid w:val="00984BA2"/>
    <w:rsid w:val="009877B2"/>
    <w:rsid w:val="0099076F"/>
    <w:rsid w:val="00992EE5"/>
    <w:rsid w:val="0099462E"/>
    <w:rsid w:val="00995FD9"/>
    <w:rsid w:val="00997187"/>
    <w:rsid w:val="00997675"/>
    <w:rsid w:val="009A0522"/>
    <w:rsid w:val="009A4358"/>
    <w:rsid w:val="009A6976"/>
    <w:rsid w:val="009A6A02"/>
    <w:rsid w:val="009A7A37"/>
    <w:rsid w:val="009B1C5A"/>
    <w:rsid w:val="009B1EC7"/>
    <w:rsid w:val="009B2AD3"/>
    <w:rsid w:val="009B2D51"/>
    <w:rsid w:val="009B3422"/>
    <w:rsid w:val="009C5B26"/>
    <w:rsid w:val="009C644B"/>
    <w:rsid w:val="009C72A8"/>
    <w:rsid w:val="009C7BD7"/>
    <w:rsid w:val="009D1D8F"/>
    <w:rsid w:val="009D2F2B"/>
    <w:rsid w:val="009D2FE6"/>
    <w:rsid w:val="009D3DC6"/>
    <w:rsid w:val="009D4153"/>
    <w:rsid w:val="009D440B"/>
    <w:rsid w:val="009E1BFF"/>
    <w:rsid w:val="009E28CB"/>
    <w:rsid w:val="009E2B8F"/>
    <w:rsid w:val="009E3493"/>
    <w:rsid w:val="009E5750"/>
    <w:rsid w:val="009E5F97"/>
    <w:rsid w:val="009E5FD9"/>
    <w:rsid w:val="009E75EB"/>
    <w:rsid w:val="009F1E4D"/>
    <w:rsid w:val="009F2911"/>
    <w:rsid w:val="00A0080D"/>
    <w:rsid w:val="00A02CB8"/>
    <w:rsid w:val="00A02E05"/>
    <w:rsid w:val="00A02E06"/>
    <w:rsid w:val="00A040AC"/>
    <w:rsid w:val="00A04410"/>
    <w:rsid w:val="00A11432"/>
    <w:rsid w:val="00A1237E"/>
    <w:rsid w:val="00A141C8"/>
    <w:rsid w:val="00A14ADD"/>
    <w:rsid w:val="00A15780"/>
    <w:rsid w:val="00A16781"/>
    <w:rsid w:val="00A1681B"/>
    <w:rsid w:val="00A16895"/>
    <w:rsid w:val="00A20261"/>
    <w:rsid w:val="00A32827"/>
    <w:rsid w:val="00A344AD"/>
    <w:rsid w:val="00A42E45"/>
    <w:rsid w:val="00A43193"/>
    <w:rsid w:val="00A466D8"/>
    <w:rsid w:val="00A500F7"/>
    <w:rsid w:val="00A5528A"/>
    <w:rsid w:val="00A579EA"/>
    <w:rsid w:val="00A60CAC"/>
    <w:rsid w:val="00A635AE"/>
    <w:rsid w:val="00A640D4"/>
    <w:rsid w:val="00A64F30"/>
    <w:rsid w:val="00A71CA7"/>
    <w:rsid w:val="00A72EAA"/>
    <w:rsid w:val="00A75171"/>
    <w:rsid w:val="00A80983"/>
    <w:rsid w:val="00A82483"/>
    <w:rsid w:val="00A92784"/>
    <w:rsid w:val="00A93BBD"/>
    <w:rsid w:val="00A95E27"/>
    <w:rsid w:val="00A96020"/>
    <w:rsid w:val="00A97047"/>
    <w:rsid w:val="00A97F57"/>
    <w:rsid w:val="00AA0FA6"/>
    <w:rsid w:val="00AA309F"/>
    <w:rsid w:val="00AA4174"/>
    <w:rsid w:val="00AA449D"/>
    <w:rsid w:val="00AA44E8"/>
    <w:rsid w:val="00AA4CD8"/>
    <w:rsid w:val="00AA7B42"/>
    <w:rsid w:val="00AA7E65"/>
    <w:rsid w:val="00AB13ED"/>
    <w:rsid w:val="00AB205D"/>
    <w:rsid w:val="00AB25E5"/>
    <w:rsid w:val="00AB629C"/>
    <w:rsid w:val="00AB6892"/>
    <w:rsid w:val="00AC02F4"/>
    <w:rsid w:val="00AD1BC5"/>
    <w:rsid w:val="00AD7C69"/>
    <w:rsid w:val="00AE2898"/>
    <w:rsid w:val="00AE547C"/>
    <w:rsid w:val="00AF7DD8"/>
    <w:rsid w:val="00B00530"/>
    <w:rsid w:val="00B00C4B"/>
    <w:rsid w:val="00B01A6A"/>
    <w:rsid w:val="00B03105"/>
    <w:rsid w:val="00B063C3"/>
    <w:rsid w:val="00B12EE5"/>
    <w:rsid w:val="00B136AA"/>
    <w:rsid w:val="00B21665"/>
    <w:rsid w:val="00B217E3"/>
    <w:rsid w:val="00B2376D"/>
    <w:rsid w:val="00B24D83"/>
    <w:rsid w:val="00B2588D"/>
    <w:rsid w:val="00B2596C"/>
    <w:rsid w:val="00B25D0E"/>
    <w:rsid w:val="00B30B37"/>
    <w:rsid w:val="00B3367E"/>
    <w:rsid w:val="00B35CB2"/>
    <w:rsid w:val="00B374A4"/>
    <w:rsid w:val="00B45172"/>
    <w:rsid w:val="00B46EBE"/>
    <w:rsid w:val="00B538DA"/>
    <w:rsid w:val="00B54235"/>
    <w:rsid w:val="00B54273"/>
    <w:rsid w:val="00B5568D"/>
    <w:rsid w:val="00B55737"/>
    <w:rsid w:val="00B616C0"/>
    <w:rsid w:val="00B71830"/>
    <w:rsid w:val="00B7244A"/>
    <w:rsid w:val="00B729E6"/>
    <w:rsid w:val="00B741EC"/>
    <w:rsid w:val="00B75FB4"/>
    <w:rsid w:val="00B77385"/>
    <w:rsid w:val="00B80839"/>
    <w:rsid w:val="00B80C5F"/>
    <w:rsid w:val="00B82761"/>
    <w:rsid w:val="00B85100"/>
    <w:rsid w:val="00B91A86"/>
    <w:rsid w:val="00B92975"/>
    <w:rsid w:val="00B944F6"/>
    <w:rsid w:val="00B96351"/>
    <w:rsid w:val="00BA2CD7"/>
    <w:rsid w:val="00BA3809"/>
    <w:rsid w:val="00BA38DD"/>
    <w:rsid w:val="00BA593F"/>
    <w:rsid w:val="00BA6BEA"/>
    <w:rsid w:val="00BA6DC1"/>
    <w:rsid w:val="00BB07D9"/>
    <w:rsid w:val="00BC07D2"/>
    <w:rsid w:val="00BC5987"/>
    <w:rsid w:val="00BC6EF8"/>
    <w:rsid w:val="00BD411B"/>
    <w:rsid w:val="00BD5E5A"/>
    <w:rsid w:val="00BD6C28"/>
    <w:rsid w:val="00BD79C4"/>
    <w:rsid w:val="00BE16C8"/>
    <w:rsid w:val="00BE19E0"/>
    <w:rsid w:val="00BE2BB3"/>
    <w:rsid w:val="00BF2010"/>
    <w:rsid w:val="00BF2BE4"/>
    <w:rsid w:val="00BF5004"/>
    <w:rsid w:val="00C007D2"/>
    <w:rsid w:val="00C0261F"/>
    <w:rsid w:val="00C02AE4"/>
    <w:rsid w:val="00C038A6"/>
    <w:rsid w:val="00C03CB5"/>
    <w:rsid w:val="00C05EDA"/>
    <w:rsid w:val="00C121E2"/>
    <w:rsid w:val="00C13482"/>
    <w:rsid w:val="00C17EFB"/>
    <w:rsid w:val="00C22E70"/>
    <w:rsid w:val="00C23410"/>
    <w:rsid w:val="00C27811"/>
    <w:rsid w:val="00C27D3D"/>
    <w:rsid w:val="00C27EA2"/>
    <w:rsid w:val="00C33E53"/>
    <w:rsid w:val="00C34271"/>
    <w:rsid w:val="00C3541C"/>
    <w:rsid w:val="00C40241"/>
    <w:rsid w:val="00C45BBB"/>
    <w:rsid w:val="00C46009"/>
    <w:rsid w:val="00C51283"/>
    <w:rsid w:val="00C54163"/>
    <w:rsid w:val="00C613A0"/>
    <w:rsid w:val="00C61FE1"/>
    <w:rsid w:val="00C63E77"/>
    <w:rsid w:val="00C65244"/>
    <w:rsid w:val="00C71279"/>
    <w:rsid w:val="00C747C0"/>
    <w:rsid w:val="00C747DC"/>
    <w:rsid w:val="00C74E0D"/>
    <w:rsid w:val="00C758CF"/>
    <w:rsid w:val="00C80292"/>
    <w:rsid w:val="00C840BD"/>
    <w:rsid w:val="00C87D53"/>
    <w:rsid w:val="00C9568A"/>
    <w:rsid w:val="00CA0389"/>
    <w:rsid w:val="00CA1E2C"/>
    <w:rsid w:val="00CA263D"/>
    <w:rsid w:val="00CA37BF"/>
    <w:rsid w:val="00CA5362"/>
    <w:rsid w:val="00CA57A0"/>
    <w:rsid w:val="00CB221B"/>
    <w:rsid w:val="00CB2B81"/>
    <w:rsid w:val="00CB2F0B"/>
    <w:rsid w:val="00CB4F58"/>
    <w:rsid w:val="00CB602D"/>
    <w:rsid w:val="00CB645D"/>
    <w:rsid w:val="00CB7B19"/>
    <w:rsid w:val="00CC1930"/>
    <w:rsid w:val="00CC1AD5"/>
    <w:rsid w:val="00CC231F"/>
    <w:rsid w:val="00CC2602"/>
    <w:rsid w:val="00CC6018"/>
    <w:rsid w:val="00CC6F8C"/>
    <w:rsid w:val="00CD011C"/>
    <w:rsid w:val="00CD03E6"/>
    <w:rsid w:val="00CD21D9"/>
    <w:rsid w:val="00CD2D5B"/>
    <w:rsid w:val="00CD2F2F"/>
    <w:rsid w:val="00CD35A6"/>
    <w:rsid w:val="00CD49B2"/>
    <w:rsid w:val="00CD55C0"/>
    <w:rsid w:val="00CD794C"/>
    <w:rsid w:val="00CE1B7A"/>
    <w:rsid w:val="00CE5AA3"/>
    <w:rsid w:val="00CF0E7E"/>
    <w:rsid w:val="00CF3AA5"/>
    <w:rsid w:val="00CF6C46"/>
    <w:rsid w:val="00CF7572"/>
    <w:rsid w:val="00CF7604"/>
    <w:rsid w:val="00D01680"/>
    <w:rsid w:val="00D049C5"/>
    <w:rsid w:val="00D07E90"/>
    <w:rsid w:val="00D07FD5"/>
    <w:rsid w:val="00D1251A"/>
    <w:rsid w:val="00D12E93"/>
    <w:rsid w:val="00D131F5"/>
    <w:rsid w:val="00D16CAA"/>
    <w:rsid w:val="00D21574"/>
    <w:rsid w:val="00D22955"/>
    <w:rsid w:val="00D22AE5"/>
    <w:rsid w:val="00D23F4B"/>
    <w:rsid w:val="00D258AA"/>
    <w:rsid w:val="00D25C6B"/>
    <w:rsid w:val="00D30C35"/>
    <w:rsid w:val="00D32957"/>
    <w:rsid w:val="00D349AC"/>
    <w:rsid w:val="00D433D6"/>
    <w:rsid w:val="00D4349E"/>
    <w:rsid w:val="00D43ABB"/>
    <w:rsid w:val="00D47534"/>
    <w:rsid w:val="00D47B58"/>
    <w:rsid w:val="00D50EAD"/>
    <w:rsid w:val="00D524BD"/>
    <w:rsid w:val="00D5425A"/>
    <w:rsid w:val="00D54260"/>
    <w:rsid w:val="00D54C29"/>
    <w:rsid w:val="00D552F7"/>
    <w:rsid w:val="00D6314F"/>
    <w:rsid w:val="00D664E1"/>
    <w:rsid w:val="00D72CB8"/>
    <w:rsid w:val="00D74890"/>
    <w:rsid w:val="00D8174F"/>
    <w:rsid w:val="00D82D77"/>
    <w:rsid w:val="00D87665"/>
    <w:rsid w:val="00D9013E"/>
    <w:rsid w:val="00D9089D"/>
    <w:rsid w:val="00D930E8"/>
    <w:rsid w:val="00D9335F"/>
    <w:rsid w:val="00D9673F"/>
    <w:rsid w:val="00D97AD9"/>
    <w:rsid w:val="00DA3925"/>
    <w:rsid w:val="00DA4BEF"/>
    <w:rsid w:val="00DA7F50"/>
    <w:rsid w:val="00DB3BB1"/>
    <w:rsid w:val="00DB4218"/>
    <w:rsid w:val="00DB5249"/>
    <w:rsid w:val="00DB6AA3"/>
    <w:rsid w:val="00DC2520"/>
    <w:rsid w:val="00DC293D"/>
    <w:rsid w:val="00DD30BA"/>
    <w:rsid w:val="00DD4838"/>
    <w:rsid w:val="00DD633D"/>
    <w:rsid w:val="00DE1FC4"/>
    <w:rsid w:val="00DE2DBE"/>
    <w:rsid w:val="00DE3CC1"/>
    <w:rsid w:val="00DE715E"/>
    <w:rsid w:val="00DF1E91"/>
    <w:rsid w:val="00DF2839"/>
    <w:rsid w:val="00DF4139"/>
    <w:rsid w:val="00DF4CB1"/>
    <w:rsid w:val="00DF586F"/>
    <w:rsid w:val="00DF5C0A"/>
    <w:rsid w:val="00DF6C52"/>
    <w:rsid w:val="00E03667"/>
    <w:rsid w:val="00E03A9A"/>
    <w:rsid w:val="00E057CE"/>
    <w:rsid w:val="00E061F0"/>
    <w:rsid w:val="00E071A4"/>
    <w:rsid w:val="00E07B82"/>
    <w:rsid w:val="00E10DAB"/>
    <w:rsid w:val="00E12172"/>
    <w:rsid w:val="00E12F48"/>
    <w:rsid w:val="00E13487"/>
    <w:rsid w:val="00E14F77"/>
    <w:rsid w:val="00E15C48"/>
    <w:rsid w:val="00E23E75"/>
    <w:rsid w:val="00E26FB7"/>
    <w:rsid w:val="00E27FC4"/>
    <w:rsid w:val="00E3157B"/>
    <w:rsid w:val="00E34D1B"/>
    <w:rsid w:val="00E35820"/>
    <w:rsid w:val="00E35D0B"/>
    <w:rsid w:val="00E35DB0"/>
    <w:rsid w:val="00E40C41"/>
    <w:rsid w:val="00E4375E"/>
    <w:rsid w:val="00E46207"/>
    <w:rsid w:val="00E47DFF"/>
    <w:rsid w:val="00E50B90"/>
    <w:rsid w:val="00E563AD"/>
    <w:rsid w:val="00E56C3D"/>
    <w:rsid w:val="00E573B4"/>
    <w:rsid w:val="00E6254F"/>
    <w:rsid w:val="00E626C9"/>
    <w:rsid w:val="00E635BB"/>
    <w:rsid w:val="00E65694"/>
    <w:rsid w:val="00E717FC"/>
    <w:rsid w:val="00E72D44"/>
    <w:rsid w:val="00E7348D"/>
    <w:rsid w:val="00E7437B"/>
    <w:rsid w:val="00E7528B"/>
    <w:rsid w:val="00E8080D"/>
    <w:rsid w:val="00E82889"/>
    <w:rsid w:val="00E83693"/>
    <w:rsid w:val="00E87A08"/>
    <w:rsid w:val="00E87C47"/>
    <w:rsid w:val="00E90653"/>
    <w:rsid w:val="00E90950"/>
    <w:rsid w:val="00E92ABE"/>
    <w:rsid w:val="00E9461F"/>
    <w:rsid w:val="00E950B3"/>
    <w:rsid w:val="00E97CF2"/>
    <w:rsid w:val="00E97EFB"/>
    <w:rsid w:val="00EA1D93"/>
    <w:rsid w:val="00EA4E30"/>
    <w:rsid w:val="00EA699F"/>
    <w:rsid w:val="00EA7E12"/>
    <w:rsid w:val="00EB1827"/>
    <w:rsid w:val="00EB237D"/>
    <w:rsid w:val="00EB342E"/>
    <w:rsid w:val="00EB3FF8"/>
    <w:rsid w:val="00EC1A5D"/>
    <w:rsid w:val="00EC2C25"/>
    <w:rsid w:val="00EC3621"/>
    <w:rsid w:val="00EC7CD7"/>
    <w:rsid w:val="00ED0200"/>
    <w:rsid w:val="00ED17A5"/>
    <w:rsid w:val="00ED17F3"/>
    <w:rsid w:val="00ED29ED"/>
    <w:rsid w:val="00ED4244"/>
    <w:rsid w:val="00ED51D1"/>
    <w:rsid w:val="00ED669A"/>
    <w:rsid w:val="00ED718F"/>
    <w:rsid w:val="00EE0CE8"/>
    <w:rsid w:val="00EE4BE1"/>
    <w:rsid w:val="00EE7482"/>
    <w:rsid w:val="00EF057E"/>
    <w:rsid w:val="00EF0DAD"/>
    <w:rsid w:val="00EF192D"/>
    <w:rsid w:val="00EF7B31"/>
    <w:rsid w:val="00F0461B"/>
    <w:rsid w:val="00F04B38"/>
    <w:rsid w:val="00F06605"/>
    <w:rsid w:val="00F0675A"/>
    <w:rsid w:val="00F116BE"/>
    <w:rsid w:val="00F13CCF"/>
    <w:rsid w:val="00F142AD"/>
    <w:rsid w:val="00F146BE"/>
    <w:rsid w:val="00F20608"/>
    <w:rsid w:val="00F22FF9"/>
    <w:rsid w:val="00F27AA1"/>
    <w:rsid w:val="00F27F83"/>
    <w:rsid w:val="00F311DE"/>
    <w:rsid w:val="00F33845"/>
    <w:rsid w:val="00F341F3"/>
    <w:rsid w:val="00F34BC6"/>
    <w:rsid w:val="00F36167"/>
    <w:rsid w:val="00F36897"/>
    <w:rsid w:val="00F374E1"/>
    <w:rsid w:val="00F421BC"/>
    <w:rsid w:val="00F44AF6"/>
    <w:rsid w:val="00F4585E"/>
    <w:rsid w:val="00F5299D"/>
    <w:rsid w:val="00F54116"/>
    <w:rsid w:val="00F56649"/>
    <w:rsid w:val="00F65968"/>
    <w:rsid w:val="00F66F1C"/>
    <w:rsid w:val="00F70CF3"/>
    <w:rsid w:val="00F7311A"/>
    <w:rsid w:val="00F731AA"/>
    <w:rsid w:val="00F75297"/>
    <w:rsid w:val="00F7534C"/>
    <w:rsid w:val="00F75E65"/>
    <w:rsid w:val="00F7624D"/>
    <w:rsid w:val="00F804F7"/>
    <w:rsid w:val="00F80D66"/>
    <w:rsid w:val="00F82F74"/>
    <w:rsid w:val="00F83B40"/>
    <w:rsid w:val="00F83EB3"/>
    <w:rsid w:val="00F858A4"/>
    <w:rsid w:val="00F861A2"/>
    <w:rsid w:val="00F9581C"/>
    <w:rsid w:val="00FA07B7"/>
    <w:rsid w:val="00FA0C63"/>
    <w:rsid w:val="00FA1636"/>
    <w:rsid w:val="00FA2D9D"/>
    <w:rsid w:val="00FA3286"/>
    <w:rsid w:val="00FA4C42"/>
    <w:rsid w:val="00FA6009"/>
    <w:rsid w:val="00FA6116"/>
    <w:rsid w:val="00FB3312"/>
    <w:rsid w:val="00FB401F"/>
    <w:rsid w:val="00FB46E2"/>
    <w:rsid w:val="00FC2B9B"/>
    <w:rsid w:val="00FC41FC"/>
    <w:rsid w:val="00FC602C"/>
    <w:rsid w:val="00FD0867"/>
    <w:rsid w:val="00FD573D"/>
    <w:rsid w:val="00FE03D6"/>
    <w:rsid w:val="00FE0529"/>
    <w:rsid w:val="00FE05A6"/>
    <w:rsid w:val="00FE165F"/>
    <w:rsid w:val="00FF0110"/>
    <w:rsid w:val="00FF17AF"/>
    <w:rsid w:val="00FF2558"/>
    <w:rsid w:val="00FF27D4"/>
    <w:rsid w:val="00FF44F6"/>
    <w:rsid w:val="00FF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B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3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F43"/>
    <w:rPr>
      <w:color w:val="0000FF"/>
      <w:u w:val="single"/>
    </w:rPr>
  </w:style>
  <w:style w:type="paragraph" w:styleId="Footer">
    <w:name w:val="footer"/>
    <w:basedOn w:val="Normal"/>
    <w:rsid w:val="00245F43"/>
    <w:pPr>
      <w:tabs>
        <w:tab w:val="center" w:pos="4320"/>
        <w:tab w:val="right" w:pos="8640"/>
      </w:tabs>
    </w:pPr>
  </w:style>
  <w:style w:type="character" w:styleId="PageNumber">
    <w:name w:val="page number"/>
    <w:basedOn w:val="DefaultParagraphFont"/>
    <w:rsid w:val="00245F43"/>
  </w:style>
  <w:style w:type="paragraph" w:styleId="BalloonText">
    <w:name w:val="Balloon Text"/>
    <w:basedOn w:val="Normal"/>
    <w:semiHidden/>
    <w:rsid w:val="00F7624D"/>
    <w:rPr>
      <w:rFonts w:ascii="Tahoma" w:hAnsi="Tahoma" w:cs="Tahoma"/>
      <w:sz w:val="16"/>
      <w:szCs w:val="16"/>
    </w:rPr>
  </w:style>
  <w:style w:type="character" w:styleId="CommentReference">
    <w:name w:val="annotation reference"/>
    <w:semiHidden/>
    <w:rsid w:val="004956C4"/>
    <w:rPr>
      <w:sz w:val="16"/>
      <w:szCs w:val="16"/>
    </w:rPr>
  </w:style>
  <w:style w:type="paragraph" w:styleId="CommentText">
    <w:name w:val="annotation text"/>
    <w:basedOn w:val="Normal"/>
    <w:semiHidden/>
    <w:rsid w:val="004956C4"/>
    <w:rPr>
      <w:sz w:val="20"/>
      <w:szCs w:val="20"/>
    </w:rPr>
  </w:style>
  <w:style w:type="paragraph" w:styleId="CommentSubject">
    <w:name w:val="annotation subject"/>
    <w:basedOn w:val="CommentText"/>
    <w:next w:val="CommentText"/>
    <w:semiHidden/>
    <w:rsid w:val="004956C4"/>
    <w:rPr>
      <w:b/>
      <w:bCs/>
    </w:rPr>
  </w:style>
  <w:style w:type="paragraph" w:styleId="Revision">
    <w:name w:val="Revision"/>
    <w:hidden/>
    <w:uiPriority w:val="99"/>
    <w:semiHidden/>
    <w:rsid w:val="007F5B81"/>
    <w:rPr>
      <w:sz w:val="24"/>
      <w:szCs w:val="24"/>
    </w:rPr>
  </w:style>
  <w:style w:type="paragraph" w:styleId="Header">
    <w:name w:val="header"/>
    <w:basedOn w:val="Normal"/>
    <w:link w:val="HeaderChar"/>
    <w:rsid w:val="006B7581"/>
    <w:pPr>
      <w:tabs>
        <w:tab w:val="center" w:pos="4680"/>
        <w:tab w:val="right" w:pos="9360"/>
      </w:tabs>
    </w:pPr>
  </w:style>
  <w:style w:type="character" w:customStyle="1" w:styleId="HeaderChar">
    <w:name w:val="Header Char"/>
    <w:basedOn w:val="DefaultParagraphFont"/>
    <w:link w:val="Header"/>
    <w:rsid w:val="006B7581"/>
    <w:rPr>
      <w:sz w:val="24"/>
      <w:szCs w:val="24"/>
    </w:rPr>
  </w:style>
  <w:style w:type="paragraph" w:styleId="FootnoteText">
    <w:name w:val="footnote text"/>
    <w:basedOn w:val="Normal"/>
    <w:link w:val="FootnoteTextChar"/>
    <w:rsid w:val="00DF586F"/>
    <w:rPr>
      <w:sz w:val="20"/>
      <w:szCs w:val="20"/>
    </w:rPr>
  </w:style>
  <w:style w:type="character" w:customStyle="1" w:styleId="FootnoteTextChar">
    <w:name w:val="Footnote Text Char"/>
    <w:basedOn w:val="DefaultParagraphFont"/>
    <w:link w:val="FootnoteText"/>
    <w:rsid w:val="00DF586F"/>
  </w:style>
  <w:style w:type="character" w:styleId="FootnoteReference">
    <w:name w:val="footnote reference"/>
    <w:basedOn w:val="DefaultParagraphFont"/>
    <w:rsid w:val="00DF586F"/>
    <w:rPr>
      <w:vertAlign w:val="superscript"/>
    </w:rPr>
  </w:style>
  <w:style w:type="paragraph" w:styleId="ListParagraph">
    <w:name w:val="List Paragraph"/>
    <w:basedOn w:val="Normal"/>
    <w:uiPriority w:val="34"/>
    <w:qFormat/>
    <w:rsid w:val="00327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B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3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F43"/>
    <w:rPr>
      <w:color w:val="0000FF"/>
      <w:u w:val="single"/>
    </w:rPr>
  </w:style>
  <w:style w:type="paragraph" w:styleId="Footer">
    <w:name w:val="footer"/>
    <w:basedOn w:val="Normal"/>
    <w:rsid w:val="00245F43"/>
    <w:pPr>
      <w:tabs>
        <w:tab w:val="center" w:pos="4320"/>
        <w:tab w:val="right" w:pos="8640"/>
      </w:tabs>
    </w:pPr>
  </w:style>
  <w:style w:type="character" w:styleId="PageNumber">
    <w:name w:val="page number"/>
    <w:basedOn w:val="DefaultParagraphFont"/>
    <w:rsid w:val="00245F43"/>
  </w:style>
  <w:style w:type="paragraph" w:styleId="BalloonText">
    <w:name w:val="Balloon Text"/>
    <w:basedOn w:val="Normal"/>
    <w:semiHidden/>
    <w:rsid w:val="00F7624D"/>
    <w:rPr>
      <w:rFonts w:ascii="Tahoma" w:hAnsi="Tahoma" w:cs="Tahoma"/>
      <w:sz w:val="16"/>
      <w:szCs w:val="16"/>
    </w:rPr>
  </w:style>
  <w:style w:type="character" w:styleId="CommentReference">
    <w:name w:val="annotation reference"/>
    <w:semiHidden/>
    <w:rsid w:val="004956C4"/>
    <w:rPr>
      <w:sz w:val="16"/>
      <w:szCs w:val="16"/>
    </w:rPr>
  </w:style>
  <w:style w:type="paragraph" w:styleId="CommentText">
    <w:name w:val="annotation text"/>
    <w:basedOn w:val="Normal"/>
    <w:semiHidden/>
    <w:rsid w:val="004956C4"/>
    <w:rPr>
      <w:sz w:val="20"/>
      <w:szCs w:val="20"/>
    </w:rPr>
  </w:style>
  <w:style w:type="paragraph" w:styleId="CommentSubject">
    <w:name w:val="annotation subject"/>
    <w:basedOn w:val="CommentText"/>
    <w:next w:val="CommentText"/>
    <w:semiHidden/>
    <w:rsid w:val="004956C4"/>
    <w:rPr>
      <w:b/>
      <w:bCs/>
    </w:rPr>
  </w:style>
  <w:style w:type="paragraph" w:styleId="Revision">
    <w:name w:val="Revision"/>
    <w:hidden/>
    <w:uiPriority w:val="99"/>
    <w:semiHidden/>
    <w:rsid w:val="007F5B81"/>
    <w:rPr>
      <w:sz w:val="24"/>
      <w:szCs w:val="24"/>
    </w:rPr>
  </w:style>
  <w:style w:type="paragraph" w:styleId="Header">
    <w:name w:val="header"/>
    <w:basedOn w:val="Normal"/>
    <w:link w:val="HeaderChar"/>
    <w:rsid w:val="006B7581"/>
    <w:pPr>
      <w:tabs>
        <w:tab w:val="center" w:pos="4680"/>
        <w:tab w:val="right" w:pos="9360"/>
      </w:tabs>
    </w:pPr>
  </w:style>
  <w:style w:type="character" w:customStyle="1" w:styleId="HeaderChar">
    <w:name w:val="Header Char"/>
    <w:basedOn w:val="DefaultParagraphFont"/>
    <w:link w:val="Header"/>
    <w:rsid w:val="006B7581"/>
    <w:rPr>
      <w:sz w:val="24"/>
      <w:szCs w:val="24"/>
    </w:rPr>
  </w:style>
  <w:style w:type="paragraph" w:styleId="FootnoteText">
    <w:name w:val="footnote text"/>
    <w:basedOn w:val="Normal"/>
    <w:link w:val="FootnoteTextChar"/>
    <w:rsid w:val="00DF586F"/>
    <w:rPr>
      <w:sz w:val="20"/>
      <w:szCs w:val="20"/>
    </w:rPr>
  </w:style>
  <w:style w:type="character" w:customStyle="1" w:styleId="FootnoteTextChar">
    <w:name w:val="Footnote Text Char"/>
    <w:basedOn w:val="DefaultParagraphFont"/>
    <w:link w:val="FootnoteText"/>
    <w:rsid w:val="00DF586F"/>
  </w:style>
  <w:style w:type="character" w:styleId="FootnoteReference">
    <w:name w:val="footnote reference"/>
    <w:basedOn w:val="DefaultParagraphFont"/>
    <w:rsid w:val="00DF586F"/>
    <w:rPr>
      <w:vertAlign w:val="superscript"/>
    </w:rPr>
  </w:style>
  <w:style w:type="paragraph" w:styleId="ListParagraph">
    <w:name w:val="List Paragraph"/>
    <w:basedOn w:val="Normal"/>
    <w:uiPriority w:val="34"/>
    <w:qFormat/>
    <w:rsid w:val="00327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5430">
      <w:bodyDiv w:val="1"/>
      <w:marLeft w:val="0"/>
      <w:marRight w:val="0"/>
      <w:marTop w:val="0"/>
      <w:marBottom w:val="0"/>
      <w:divBdr>
        <w:top w:val="none" w:sz="0" w:space="0" w:color="auto"/>
        <w:left w:val="none" w:sz="0" w:space="0" w:color="auto"/>
        <w:bottom w:val="none" w:sz="0" w:space="0" w:color="auto"/>
        <w:right w:val="none" w:sz="0" w:space="0" w:color="auto"/>
      </w:divBdr>
    </w:div>
    <w:div w:id="648749970">
      <w:bodyDiv w:val="1"/>
      <w:marLeft w:val="0"/>
      <w:marRight w:val="0"/>
      <w:marTop w:val="0"/>
      <w:marBottom w:val="0"/>
      <w:divBdr>
        <w:top w:val="none" w:sz="0" w:space="0" w:color="auto"/>
        <w:left w:val="none" w:sz="0" w:space="0" w:color="auto"/>
        <w:bottom w:val="none" w:sz="0" w:space="0" w:color="auto"/>
        <w:right w:val="none" w:sz="0" w:space="0" w:color="auto"/>
      </w:divBdr>
    </w:div>
    <w:div w:id="1191185197">
      <w:bodyDiv w:val="1"/>
      <w:marLeft w:val="0"/>
      <w:marRight w:val="0"/>
      <w:marTop w:val="0"/>
      <w:marBottom w:val="0"/>
      <w:divBdr>
        <w:top w:val="none" w:sz="0" w:space="0" w:color="auto"/>
        <w:left w:val="none" w:sz="0" w:space="0" w:color="auto"/>
        <w:bottom w:val="none" w:sz="0" w:space="0" w:color="auto"/>
        <w:right w:val="none" w:sz="0" w:space="0" w:color="auto"/>
      </w:divBdr>
    </w:div>
    <w:div w:id="1292591867">
      <w:bodyDiv w:val="1"/>
      <w:marLeft w:val="0"/>
      <w:marRight w:val="0"/>
      <w:marTop w:val="0"/>
      <w:marBottom w:val="0"/>
      <w:divBdr>
        <w:top w:val="none" w:sz="0" w:space="0" w:color="auto"/>
        <w:left w:val="none" w:sz="0" w:space="0" w:color="auto"/>
        <w:bottom w:val="none" w:sz="0" w:space="0" w:color="auto"/>
        <w:right w:val="none" w:sz="0" w:space="0" w:color="auto"/>
      </w:divBdr>
    </w:div>
    <w:div w:id="1618878437">
      <w:bodyDiv w:val="1"/>
      <w:marLeft w:val="0"/>
      <w:marRight w:val="0"/>
      <w:marTop w:val="0"/>
      <w:marBottom w:val="0"/>
      <w:divBdr>
        <w:top w:val="none" w:sz="0" w:space="0" w:color="auto"/>
        <w:left w:val="none" w:sz="0" w:space="0" w:color="auto"/>
        <w:bottom w:val="none" w:sz="0" w:space="0" w:color="auto"/>
        <w:right w:val="none" w:sz="0" w:space="0" w:color="auto"/>
      </w:divBdr>
    </w:div>
    <w:div w:id="19259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D1770CD4E948428A47386109E9F12D" ma:contentTypeVersion="136" ma:contentTypeDescription="" ma:contentTypeScope="" ma:versionID="7953deac624321aa5f7e7794a01be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2006-02-14T08:00:00+00:00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060256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B2E8F5-C2BC-4AB4-93BD-8B2FBE62046A}"/>
</file>

<file path=customXml/itemProps2.xml><?xml version="1.0" encoding="utf-8"?>
<ds:datastoreItem xmlns:ds="http://schemas.openxmlformats.org/officeDocument/2006/customXml" ds:itemID="{520E6EFB-084E-4240-AF63-C4EDF1CB1737}"/>
</file>

<file path=customXml/itemProps3.xml><?xml version="1.0" encoding="utf-8"?>
<ds:datastoreItem xmlns:ds="http://schemas.openxmlformats.org/officeDocument/2006/customXml" ds:itemID="{B53F0346-8F7C-4D6C-B127-1E576DD4048A}"/>
</file>

<file path=customXml/itemProps4.xml><?xml version="1.0" encoding="utf-8"?>
<ds:datastoreItem xmlns:ds="http://schemas.openxmlformats.org/officeDocument/2006/customXml" ds:itemID="{6661E1D1-CAD1-4558-A109-4A4EA357E43F}"/>
</file>

<file path=customXml/itemProps5.xml><?xml version="1.0" encoding="utf-8"?>
<ds:datastoreItem xmlns:ds="http://schemas.openxmlformats.org/officeDocument/2006/customXml" ds:itemID="{8C2D92E1-15AD-4308-9D6E-B6B6A2F5DEEE}"/>
</file>

<file path=docProps/app.xml><?xml version="1.0" encoding="utf-8"?>
<Properties xmlns="http://schemas.openxmlformats.org/officeDocument/2006/extended-properties" xmlns:vt="http://schemas.openxmlformats.org/officeDocument/2006/docPropsVTypes">
  <Template>Normal.dotm</Template>
  <TotalTime>1</TotalTime>
  <Pages>5</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Attached for filing with the Commission is an electronic copy of the Annual Decoupling Mechanism Report for the period January through December 2008</vt:lpstr>
    </vt:vector>
  </TitlesOfParts>
  <Company>An MDU Resources Company</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filing with the Commission is an electronic copy of the Annual Decoupling Mechanism Report for the period January through December 2008</dc:title>
  <dc:creator>Cascade Natural Gas</dc:creator>
  <cp:lastModifiedBy>Cascade Natural Gas</cp:lastModifiedBy>
  <cp:revision>3</cp:revision>
  <cp:lastPrinted>2015-06-29T22:14:00Z</cp:lastPrinted>
  <dcterms:created xsi:type="dcterms:W3CDTF">2015-06-30T17:40:00Z</dcterms:created>
  <dcterms:modified xsi:type="dcterms:W3CDTF">2015-07-01T22:02:00Z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0x0101006E56B4D1795A2E4DB2F0B01679ED314A00C1D1770CD4E948428A47386109E9F12D</vt:lpwstr>
  </property>
  <property fmtid="{D5CDD505-2E9C-101B-9397-08002B2CF9AE}" pid="3" name="_docset_NoMedatataSyncRequired">
    <vt:lpwstr>False</vt:lpwstr>
  </property>
</Properties>
</file>