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A9" w:rsidRPr="006649D0" w:rsidRDefault="006649D0" w:rsidP="006649D0">
      <w:pPr>
        <w:spacing w:after="0"/>
        <w:jc w:val="center"/>
        <w:rPr>
          <w:b/>
        </w:rPr>
      </w:pPr>
      <w:r w:rsidRPr="006649D0">
        <w:rPr>
          <w:b/>
        </w:rPr>
        <w:t>BEFORE THE</w:t>
      </w:r>
    </w:p>
    <w:p w:rsidR="006649D0" w:rsidRDefault="006649D0" w:rsidP="006649D0">
      <w:pPr>
        <w:jc w:val="center"/>
        <w:rPr>
          <w:b/>
        </w:rPr>
      </w:pPr>
      <w:r w:rsidRPr="006649D0">
        <w:rPr>
          <w:b/>
        </w:rPr>
        <w:t>WASHINGTON UTILITIES AND TRANSPORTATION COMMISSION</w:t>
      </w:r>
    </w:p>
    <w:p w:rsidR="001A3621" w:rsidRPr="006649D0" w:rsidRDefault="001A3621" w:rsidP="006649D0">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270"/>
        <w:gridCol w:w="4158"/>
      </w:tblGrid>
      <w:tr w:rsidR="00A82A0D" w:rsidTr="001A3621">
        <w:tc>
          <w:tcPr>
            <w:tcW w:w="5148" w:type="dxa"/>
          </w:tcPr>
          <w:p w:rsidR="00FA3318" w:rsidRPr="00FA3318" w:rsidRDefault="00FA3318" w:rsidP="00FA3318">
            <w:r w:rsidRPr="00FA3318">
              <w:t>In the Matter of the Petition of</w:t>
            </w:r>
            <w:r w:rsidRPr="00FA3318">
              <w:br/>
            </w:r>
            <w:r w:rsidRPr="00FA3318">
              <w:br/>
              <w:t xml:space="preserve">PUGET SOUND ENERGY, INC., </w:t>
            </w:r>
            <w:r w:rsidRPr="00FA3318">
              <w:br/>
              <w:t>and NORTHWEST ENERGY COALITION</w:t>
            </w:r>
            <w:r w:rsidRPr="00FA3318">
              <w:br/>
            </w:r>
            <w:r w:rsidRPr="00FA3318">
              <w:br/>
              <w:t>For an Order Authorizing PSE To Implement Electric and Natural Gas Decoupling Mechanisms and To Record Accounting Entries Associated With the Mechanisms</w:t>
            </w:r>
          </w:p>
          <w:p w:rsidR="00FA3318" w:rsidRDefault="00FA3318" w:rsidP="00A82A0D"/>
          <w:p w:rsidR="003E02FD" w:rsidRDefault="00D91D7A" w:rsidP="00A82A0D">
            <w:r>
              <w:t>____________________________________________</w:t>
            </w:r>
          </w:p>
          <w:p w:rsidR="00FA3318" w:rsidRDefault="00FA3318" w:rsidP="00A82A0D"/>
          <w:p w:rsidR="00A82A0D" w:rsidRDefault="00A82A0D" w:rsidP="00A82A0D">
            <w:r>
              <w:t>WASHINGTON UTILITIES AND</w:t>
            </w:r>
          </w:p>
          <w:p w:rsidR="00A82A0D" w:rsidRDefault="00A82A0D" w:rsidP="00A82A0D">
            <w:r>
              <w:t>TRANSPORTATION COMMISSION</w:t>
            </w:r>
            <w:r w:rsidR="002B01FC">
              <w:t>,</w:t>
            </w:r>
          </w:p>
          <w:p w:rsidR="00A82A0D" w:rsidRDefault="00A82A0D" w:rsidP="00A82A0D"/>
          <w:p w:rsidR="00A82A0D" w:rsidRDefault="00A82A0D" w:rsidP="00A82A0D">
            <w:pPr>
              <w:jc w:val="right"/>
            </w:pPr>
            <w:r>
              <w:t>Complainant,</w:t>
            </w:r>
          </w:p>
          <w:p w:rsidR="00A82A0D" w:rsidRDefault="00A82A0D" w:rsidP="00A82A0D"/>
          <w:p w:rsidR="00A82A0D" w:rsidRDefault="00A82A0D" w:rsidP="00A82A0D">
            <w:r>
              <w:t xml:space="preserve">v. </w:t>
            </w:r>
          </w:p>
          <w:p w:rsidR="00A82A0D" w:rsidRDefault="00A82A0D" w:rsidP="00A82A0D"/>
          <w:p w:rsidR="00A82A0D" w:rsidRDefault="00A82A0D" w:rsidP="00A82A0D">
            <w:r>
              <w:t>PUGET SOUND ENERGY, INC.,</w:t>
            </w:r>
          </w:p>
          <w:p w:rsidR="00A82A0D" w:rsidRDefault="00A82A0D" w:rsidP="00A82A0D"/>
          <w:p w:rsidR="00A82A0D" w:rsidRDefault="00A82A0D" w:rsidP="00A82A0D">
            <w:pPr>
              <w:jc w:val="right"/>
            </w:pPr>
            <w:r>
              <w:t>Respondent.</w:t>
            </w:r>
          </w:p>
          <w:p w:rsidR="001A3621" w:rsidRDefault="00166106" w:rsidP="00A82A0D">
            <w:pPr>
              <w:jc w:val="right"/>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25pt;margin-top:8.3pt;width:259.2pt;height:0;z-index:251659264" o:connectortype="straight"/>
              </w:pict>
            </w:r>
          </w:p>
        </w:tc>
        <w:tc>
          <w:tcPr>
            <w:tcW w:w="270" w:type="dxa"/>
          </w:tcPr>
          <w:p w:rsidR="00A82A0D" w:rsidRDefault="00166106" w:rsidP="006649D0">
            <w:pPr>
              <w:jc w:val="center"/>
            </w:pPr>
            <w:r>
              <w:rPr>
                <w:noProof/>
              </w:rPr>
              <w:pict>
                <v:shape id="_x0000_s1026" type="#_x0000_t32" style="position:absolute;left:0;text-align:left;margin-left:.6pt;margin-top:11.25pt;width:.05pt;height:275.35pt;z-index:251658240;mso-position-horizontal-relative:text;mso-position-vertical-relative:text" o:connectortype="straight"/>
              </w:pict>
            </w:r>
          </w:p>
        </w:tc>
        <w:tc>
          <w:tcPr>
            <w:tcW w:w="4158" w:type="dxa"/>
          </w:tcPr>
          <w:p w:rsidR="00FA3318" w:rsidRDefault="00FA3318" w:rsidP="00FA3318">
            <w:pPr>
              <w:ind w:left="882"/>
            </w:pPr>
            <w:r>
              <w:t>Docket No</w:t>
            </w:r>
            <w:r w:rsidR="00F11A7B">
              <w:t>s</w:t>
            </w:r>
            <w:r>
              <w:t>. UE-121697</w:t>
            </w:r>
            <w:r w:rsidR="00F11A7B">
              <w:t xml:space="preserve"> and</w:t>
            </w:r>
          </w:p>
          <w:p w:rsidR="00FA3318" w:rsidRDefault="00FA3318" w:rsidP="00FA3318">
            <w:pPr>
              <w:ind w:left="882"/>
            </w:pPr>
            <w:r>
              <w:t>UG-121705</w:t>
            </w:r>
            <w:r w:rsidR="00F11A7B">
              <w:t xml:space="preserve"> (consolidated)</w:t>
            </w:r>
          </w:p>
          <w:p w:rsidR="00A82A0D" w:rsidRDefault="00A82A0D" w:rsidP="006649D0">
            <w:pPr>
              <w:jc w:val="center"/>
            </w:pPr>
          </w:p>
          <w:p w:rsidR="001A3621" w:rsidRDefault="001A3621" w:rsidP="006649D0">
            <w:pPr>
              <w:jc w:val="center"/>
            </w:pPr>
          </w:p>
          <w:p w:rsidR="001A3621" w:rsidRDefault="001A3621" w:rsidP="006649D0">
            <w:pPr>
              <w:jc w:val="center"/>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1A3621" w:rsidRDefault="001A3621" w:rsidP="001A3621">
            <w:pPr>
              <w:ind w:left="882"/>
            </w:pPr>
            <w:r>
              <w:t>Docket No</w:t>
            </w:r>
            <w:r w:rsidR="00FA3318">
              <w:t>s</w:t>
            </w:r>
            <w:r>
              <w:t>. UE-130137</w:t>
            </w:r>
            <w:r w:rsidR="00FA3318">
              <w:t xml:space="preserve"> and</w:t>
            </w:r>
          </w:p>
          <w:p w:rsidR="001A3621" w:rsidRDefault="001A3621" w:rsidP="001A3621">
            <w:pPr>
              <w:ind w:left="882"/>
            </w:pPr>
            <w:r>
              <w:t>UG-130138</w:t>
            </w:r>
            <w:r w:rsidR="00FA3318">
              <w:t xml:space="preserve"> (</w:t>
            </w:r>
            <w:r w:rsidR="00F11A7B">
              <w:t>consolidated)</w:t>
            </w:r>
          </w:p>
          <w:p w:rsidR="001A3621" w:rsidRDefault="001A3621" w:rsidP="00FA3318">
            <w:pPr>
              <w:ind w:left="882"/>
            </w:pPr>
          </w:p>
        </w:tc>
      </w:tr>
    </w:tbl>
    <w:p w:rsidR="001A3621" w:rsidRDefault="001A3621" w:rsidP="006649D0">
      <w:pPr>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Pr="001A3621" w:rsidRDefault="00175B3C" w:rsidP="001A3621">
      <w:pPr>
        <w:tabs>
          <w:tab w:val="left" w:pos="1703"/>
        </w:tabs>
        <w:spacing w:after="0"/>
        <w:jc w:val="center"/>
        <w:rPr>
          <w:b/>
        </w:rPr>
      </w:pPr>
      <w:r>
        <w:rPr>
          <w:b/>
        </w:rPr>
        <w:t xml:space="preserve">PETITION FOR RECONSIDERATION </w:t>
      </w:r>
      <w:r w:rsidR="001A3621" w:rsidRPr="001A3621">
        <w:rPr>
          <w:b/>
        </w:rPr>
        <w:t xml:space="preserve">OF </w:t>
      </w:r>
    </w:p>
    <w:p w:rsidR="001A3621" w:rsidRPr="001A3621" w:rsidRDefault="001A3621" w:rsidP="001A3621">
      <w:pPr>
        <w:tabs>
          <w:tab w:val="left" w:pos="1703"/>
        </w:tabs>
        <w:jc w:val="center"/>
        <w:rPr>
          <w:b/>
        </w:rPr>
      </w:pPr>
      <w:r w:rsidRPr="001A3621">
        <w:rPr>
          <w:b/>
        </w:rPr>
        <w:t>NUCOR STEEL SEATTLE, INC.</w:t>
      </w:r>
    </w:p>
    <w:p w:rsidR="001A3621" w:rsidRDefault="001A3621" w:rsidP="001A3621">
      <w:pPr>
        <w:tabs>
          <w:tab w:val="left" w:pos="1703"/>
        </w:tabs>
        <w:jc w:val="center"/>
      </w:pPr>
    </w:p>
    <w:p w:rsidR="001A3621" w:rsidRDefault="001A3621" w:rsidP="001A3621">
      <w:pPr>
        <w:tabs>
          <w:tab w:val="left" w:pos="1703"/>
        </w:tabs>
        <w:jc w:val="center"/>
      </w:pPr>
    </w:p>
    <w:p w:rsidR="001A3621" w:rsidRDefault="00175B3C" w:rsidP="001A3621">
      <w:pPr>
        <w:tabs>
          <w:tab w:val="left" w:pos="1703"/>
        </w:tabs>
        <w:jc w:val="center"/>
      </w:pPr>
      <w:r w:rsidRPr="004C4E29">
        <w:t>July</w:t>
      </w:r>
      <w:r w:rsidR="001A3621" w:rsidRPr="004C4E29">
        <w:t xml:space="preserve"> </w:t>
      </w:r>
      <w:r w:rsidR="002E149F" w:rsidRPr="004C4E29">
        <w:t>5</w:t>
      </w:r>
      <w:r w:rsidR="001A3621" w:rsidRPr="004C4E29">
        <w:t>, 2013</w:t>
      </w:r>
    </w:p>
    <w:p w:rsidR="00620AC0" w:rsidRDefault="00620AC0">
      <w:r>
        <w:br w:type="page"/>
      </w:r>
    </w:p>
    <w:p w:rsidR="00B5077E" w:rsidRDefault="00B5077E" w:rsidP="009D4C3D">
      <w:pPr>
        <w:spacing w:after="0" w:line="480" w:lineRule="auto"/>
        <w:rPr>
          <w:b/>
        </w:rPr>
      </w:pPr>
    </w:p>
    <w:p w:rsidR="00620AC0" w:rsidRPr="008D7684" w:rsidRDefault="00620AC0" w:rsidP="007D0FBF">
      <w:pPr>
        <w:spacing w:after="0" w:line="480" w:lineRule="auto"/>
        <w:jc w:val="center"/>
        <w:rPr>
          <w:b/>
        </w:rPr>
      </w:pPr>
      <w:r w:rsidRPr="008D7684">
        <w:rPr>
          <w:b/>
        </w:rPr>
        <w:t xml:space="preserve">I. </w:t>
      </w:r>
      <w:r w:rsidR="0091640F">
        <w:rPr>
          <w:b/>
        </w:rPr>
        <w:t xml:space="preserve">  </w:t>
      </w:r>
      <w:r w:rsidR="009D4C3D" w:rsidRPr="008D7684">
        <w:rPr>
          <w:b/>
        </w:rPr>
        <w:t>INTRODUCTION</w:t>
      </w:r>
    </w:p>
    <w:p w:rsidR="00AA5EAC" w:rsidRDefault="00620202" w:rsidP="00584928">
      <w:pPr>
        <w:spacing w:before="120" w:after="120" w:line="480" w:lineRule="auto"/>
        <w:ind w:firstLine="720"/>
        <w:jc w:val="both"/>
        <w:rPr>
          <w:color w:val="000000"/>
        </w:rPr>
      </w:pPr>
      <w:r w:rsidRPr="00F92A2A">
        <w:rPr>
          <w:color w:val="000000"/>
        </w:rPr>
        <w:t xml:space="preserve">Pursuant to WAC </w:t>
      </w:r>
      <w:r w:rsidRPr="00F92A2A">
        <w:rPr>
          <w:rFonts w:cs="Arial"/>
          <w:color w:val="000000"/>
        </w:rPr>
        <w:t>480-07-850</w:t>
      </w:r>
      <w:r w:rsidRPr="00F92A2A">
        <w:rPr>
          <w:color w:val="000000"/>
        </w:rPr>
        <w:t xml:space="preserve">, </w:t>
      </w:r>
      <w:r>
        <w:rPr>
          <w:color w:val="000000"/>
        </w:rPr>
        <w:t xml:space="preserve">Nucor Steel Seattle, Inc. (“Nucor”) </w:t>
      </w:r>
      <w:r w:rsidRPr="00F92A2A">
        <w:rPr>
          <w:color w:val="000000"/>
        </w:rPr>
        <w:t xml:space="preserve">respectfully requests that the Washington Utility and Transportation Commission (the </w:t>
      </w:r>
      <w:r>
        <w:rPr>
          <w:color w:val="000000"/>
        </w:rPr>
        <w:t>“</w:t>
      </w:r>
      <w:r w:rsidRPr="00F92A2A">
        <w:rPr>
          <w:color w:val="000000"/>
        </w:rPr>
        <w:t>Commission</w:t>
      </w:r>
      <w:r>
        <w:rPr>
          <w:color w:val="000000"/>
        </w:rPr>
        <w:t>”</w:t>
      </w:r>
      <w:r w:rsidRPr="00F92A2A">
        <w:rPr>
          <w:color w:val="000000"/>
        </w:rPr>
        <w:t>) reconsider the Commission’s Order No. </w:t>
      </w:r>
      <w:r>
        <w:rPr>
          <w:color w:val="000000"/>
        </w:rPr>
        <w:t>7</w:t>
      </w:r>
      <w:r w:rsidRPr="00F92A2A">
        <w:rPr>
          <w:color w:val="000000"/>
        </w:rPr>
        <w:t xml:space="preserve">, entered </w:t>
      </w:r>
      <w:r>
        <w:rPr>
          <w:color w:val="000000"/>
        </w:rPr>
        <w:t>June</w:t>
      </w:r>
      <w:r w:rsidRPr="00F92A2A">
        <w:rPr>
          <w:color w:val="000000"/>
        </w:rPr>
        <w:t> 2</w:t>
      </w:r>
      <w:r>
        <w:rPr>
          <w:color w:val="000000"/>
        </w:rPr>
        <w:t>5</w:t>
      </w:r>
      <w:r w:rsidRPr="00F92A2A">
        <w:rPr>
          <w:color w:val="000000"/>
        </w:rPr>
        <w:t>, 201</w:t>
      </w:r>
      <w:r>
        <w:rPr>
          <w:color w:val="000000"/>
        </w:rPr>
        <w:t>3</w:t>
      </w:r>
      <w:r w:rsidRPr="00F92A2A">
        <w:rPr>
          <w:color w:val="000000"/>
        </w:rPr>
        <w:t>, in these consolidated dockets (</w:t>
      </w:r>
      <w:r>
        <w:rPr>
          <w:color w:val="000000"/>
        </w:rPr>
        <w:t>“</w:t>
      </w:r>
      <w:r w:rsidRPr="00F92A2A">
        <w:rPr>
          <w:color w:val="000000"/>
        </w:rPr>
        <w:t>Order No. </w:t>
      </w:r>
      <w:r>
        <w:rPr>
          <w:color w:val="000000"/>
        </w:rPr>
        <w:t>7”</w:t>
      </w:r>
      <w:r w:rsidRPr="00F92A2A">
        <w:rPr>
          <w:color w:val="000000"/>
        </w:rPr>
        <w:t>) with respect to</w:t>
      </w:r>
      <w:r w:rsidRPr="009C0627">
        <w:rPr>
          <w:color w:val="000000"/>
        </w:rPr>
        <w:t xml:space="preserve"> </w:t>
      </w:r>
      <w:r w:rsidRPr="00F92A2A">
        <w:rPr>
          <w:color w:val="000000"/>
        </w:rPr>
        <w:t>Puget Sound Energy, Inc. (</w:t>
      </w:r>
      <w:r>
        <w:rPr>
          <w:color w:val="000000"/>
        </w:rPr>
        <w:t>“</w:t>
      </w:r>
      <w:r w:rsidRPr="00F92A2A">
        <w:rPr>
          <w:color w:val="000000"/>
        </w:rPr>
        <w:t>PSE</w:t>
      </w:r>
      <w:r>
        <w:rPr>
          <w:color w:val="000000"/>
        </w:rPr>
        <w:t>” or “the Company”</w:t>
      </w:r>
      <w:r w:rsidRPr="00F92A2A">
        <w:rPr>
          <w:color w:val="000000"/>
        </w:rPr>
        <w:t>)</w:t>
      </w:r>
      <w:r>
        <w:rPr>
          <w:color w:val="000000"/>
        </w:rPr>
        <w:t>.</w:t>
      </w:r>
    </w:p>
    <w:p w:rsidR="00574795" w:rsidRDefault="001631DF" w:rsidP="00584928">
      <w:pPr>
        <w:spacing w:before="120" w:after="120" w:line="480" w:lineRule="auto"/>
        <w:ind w:firstLine="720"/>
        <w:jc w:val="both"/>
      </w:pPr>
      <w:r>
        <w:rPr>
          <w:color w:val="000000"/>
        </w:rPr>
        <w:t>Order No. 7</w:t>
      </w:r>
      <w:r w:rsidR="007D0FBF" w:rsidRPr="00F92A2A">
        <w:rPr>
          <w:color w:val="000000"/>
        </w:rPr>
        <w:t xml:space="preserve"> concern</w:t>
      </w:r>
      <w:r>
        <w:rPr>
          <w:color w:val="000000"/>
        </w:rPr>
        <w:t>s</w:t>
      </w:r>
      <w:r w:rsidR="007D0FBF" w:rsidRPr="00F92A2A">
        <w:rPr>
          <w:color w:val="000000"/>
        </w:rPr>
        <w:t xml:space="preserve"> PSE's </w:t>
      </w:r>
      <w:r w:rsidR="00B81817" w:rsidRPr="007D0FBF">
        <w:rPr>
          <w:color w:val="000000"/>
        </w:rPr>
        <w:t>Expedited Rate Filing (</w:t>
      </w:r>
      <w:r w:rsidR="00B81817">
        <w:rPr>
          <w:color w:val="000000"/>
        </w:rPr>
        <w:t>“</w:t>
      </w:r>
      <w:r w:rsidR="00B81817" w:rsidRPr="007D0FBF">
        <w:rPr>
          <w:color w:val="000000"/>
        </w:rPr>
        <w:t>ERF</w:t>
      </w:r>
      <w:r w:rsidR="00B81817">
        <w:rPr>
          <w:color w:val="000000"/>
        </w:rPr>
        <w:t>”</w:t>
      </w:r>
      <w:r w:rsidR="00B81817" w:rsidRPr="007D0FBF">
        <w:rPr>
          <w:color w:val="000000"/>
        </w:rPr>
        <w:t>) in Dockets UE-130137 and UG-130138</w:t>
      </w:r>
      <w:r w:rsidR="00B81817">
        <w:rPr>
          <w:color w:val="000000"/>
        </w:rPr>
        <w:t xml:space="preserve"> (consolidated) and </w:t>
      </w:r>
      <w:r w:rsidR="005C77F2">
        <w:rPr>
          <w:color w:val="000000"/>
        </w:rPr>
        <w:t xml:space="preserve">the Amended Decoupling Petition filed by </w:t>
      </w:r>
      <w:r w:rsidR="00B81817" w:rsidRPr="00B81817">
        <w:rPr>
          <w:color w:val="000000"/>
        </w:rPr>
        <w:t>PSE and the Northwest Energy Coalition (</w:t>
      </w:r>
      <w:r>
        <w:rPr>
          <w:color w:val="000000"/>
        </w:rPr>
        <w:t>“</w:t>
      </w:r>
      <w:r w:rsidR="00B81817" w:rsidRPr="00B81817">
        <w:rPr>
          <w:color w:val="000000"/>
        </w:rPr>
        <w:t>NWEC</w:t>
      </w:r>
      <w:r>
        <w:rPr>
          <w:color w:val="000000"/>
        </w:rPr>
        <w:t>”</w:t>
      </w:r>
      <w:r w:rsidR="00B81817" w:rsidRPr="00B81817">
        <w:rPr>
          <w:color w:val="000000"/>
        </w:rPr>
        <w:t>)</w:t>
      </w:r>
      <w:r>
        <w:rPr>
          <w:color w:val="000000"/>
        </w:rPr>
        <w:t xml:space="preserve"> in Dockets </w:t>
      </w:r>
      <w:r w:rsidRPr="001631DF">
        <w:rPr>
          <w:color w:val="000000"/>
        </w:rPr>
        <w:t>UE-121697 and UG-121705</w:t>
      </w:r>
      <w:r>
        <w:rPr>
          <w:color w:val="000000"/>
        </w:rPr>
        <w:t xml:space="preserve"> (consolidated)</w:t>
      </w:r>
      <w:r w:rsidR="005C77F2">
        <w:rPr>
          <w:color w:val="000000"/>
        </w:rPr>
        <w:t>, which sought</w:t>
      </w:r>
      <w:r w:rsidR="005C77F2" w:rsidRPr="00B81817">
        <w:rPr>
          <w:color w:val="000000"/>
        </w:rPr>
        <w:t xml:space="preserve"> </w:t>
      </w:r>
      <w:r w:rsidR="00AA5EAC" w:rsidRPr="00AA5EAC">
        <w:rPr>
          <w:i/>
          <w:color w:val="000000"/>
        </w:rPr>
        <w:t xml:space="preserve">inter alia </w:t>
      </w:r>
      <w:r w:rsidR="005C77F2" w:rsidRPr="00B81817">
        <w:rPr>
          <w:color w:val="000000"/>
        </w:rPr>
        <w:t xml:space="preserve">approval of revenue decoupling mechanisms for </w:t>
      </w:r>
      <w:r w:rsidR="005C77F2" w:rsidRPr="00975643">
        <w:rPr>
          <w:color w:val="000000"/>
        </w:rPr>
        <w:t>PSE’s electric and natural gas operations</w:t>
      </w:r>
      <w:r w:rsidRPr="00975643">
        <w:rPr>
          <w:color w:val="000000"/>
        </w:rPr>
        <w:t xml:space="preserve">.  </w:t>
      </w:r>
      <w:r w:rsidR="007D0FBF" w:rsidRPr="00975643">
        <w:rPr>
          <w:color w:val="000000"/>
        </w:rPr>
        <w:t xml:space="preserve">Reconsideration of Order No. </w:t>
      </w:r>
      <w:r w:rsidRPr="00975643">
        <w:rPr>
          <w:color w:val="000000"/>
        </w:rPr>
        <w:t>7</w:t>
      </w:r>
      <w:r w:rsidR="007D0FBF" w:rsidRPr="00975643">
        <w:rPr>
          <w:color w:val="000000"/>
        </w:rPr>
        <w:t xml:space="preserve"> is necessary </w:t>
      </w:r>
      <w:r w:rsidR="00D415A8">
        <w:rPr>
          <w:color w:val="000000"/>
        </w:rPr>
        <w:t>for the following two independent reasons: (i)</w:t>
      </w:r>
      <w:r w:rsidR="00975643" w:rsidRPr="00975643">
        <w:t xml:space="preserve"> the Commission failed to consider on its merit</w:t>
      </w:r>
      <w:r w:rsidR="00443BCC">
        <w:t>s</w:t>
      </w:r>
      <w:r w:rsidR="00975643" w:rsidRPr="00975643">
        <w:t xml:space="preserve"> the evidence supporting the exclusion of Schedules 85, 85T, 87, and 87T from the revenue decoupling mechanism</w:t>
      </w:r>
      <w:r w:rsidR="00443BCC">
        <w:t>,</w:t>
      </w:r>
      <w:r w:rsidR="00975643">
        <w:t xml:space="preserve"> and </w:t>
      </w:r>
      <w:r w:rsidR="00443BCC">
        <w:t xml:space="preserve">(ii) </w:t>
      </w:r>
      <w:r w:rsidR="00D415A8">
        <w:t xml:space="preserve">the Commission </w:t>
      </w:r>
      <w:r w:rsidR="006203E2">
        <w:t xml:space="preserve">appears </w:t>
      </w:r>
      <w:r w:rsidR="00975643">
        <w:t xml:space="preserve">not </w:t>
      </w:r>
      <w:r w:rsidR="006203E2">
        <w:t xml:space="preserve">to have </w:t>
      </w:r>
      <w:r w:rsidR="00975643">
        <w:t>consider</w:t>
      </w:r>
      <w:r w:rsidR="006203E2">
        <w:t>ed</w:t>
      </w:r>
      <w:r w:rsidR="00975643">
        <w:t xml:space="preserve"> the totality of the evidence supporting a reduction in PSE’s return on equity (“ROE”)</w:t>
      </w:r>
      <w:r w:rsidR="00D415A8">
        <w:t xml:space="preserve"> that is warranted on account of decoupling</w:t>
      </w:r>
      <w:r w:rsidR="00975643" w:rsidRPr="00975643">
        <w:t xml:space="preserve">.  </w:t>
      </w:r>
    </w:p>
    <w:p w:rsidR="00B670AF" w:rsidRDefault="005C77F2" w:rsidP="00584928">
      <w:pPr>
        <w:spacing w:before="120" w:after="120" w:line="480" w:lineRule="auto"/>
        <w:ind w:firstLine="720"/>
        <w:jc w:val="both"/>
      </w:pPr>
      <w:r>
        <w:rPr>
          <w:color w:val="000000"/>
        </w:rPr>
        <w:t>Nucor</w:t>
      </w:r>
      <w:r w:rsidR="007D0FBF" w:rsidRPr="00F92A2A">
        <w:rPr>
          <w:color w:val="000000"/>
        </w:rPr>
        <w:t xml:space="preserve"> respectfully requests that the Commission reconsider </w:t>
      </w:r>
      <w:r w:rsidR="007D0FBF">
        <w:rPr>
          <w:color w:val="000000"/>
        </w:rPr>
        <w:t xml:space="preserve">Order No. </w:t>
      </w:r>
      <w:r>
        <w:rPr>
          <w:color w:val="000000"/>
        </w:rPr>
        <w:t>7</w:t>
      </w:r>
      <w:r w:rsidR="00D04173">
        <w:rPr>
          <w:color w:val="000000"/>
        </w:rPr>
        <w:t xml:space="preserve"> with respect to its </w:t>
      </w:r>
      <w:r w:rsidR="00975643">
        <w:rPr>
          <w:color w:val="000000"/>
        </w:rPr>
        <w:t>decision</w:t>
      </w:r>
      <w:r w:rsidR="00CE6A78">
        <w:rPr>
          <w:color w:val="000000"/>
        </w:rPr>
        <w:t>s</w:t>
      </w:r>
      <w:r w:rsidR="00975643">
        <w:rPr>
          <w:color w:val="000000"/>
        </w:rPr>
        <w:t xml:space="preserve"> to include </w:t>
      </w:r>
      <w:r w:rsidR="00975643" w:rsidRPr="00975643">
        <w:t>Schedules 85, 85T, 87, and 87T</w:t>
      </w:r>
      <w:r w:rsidR="00975643">
        <w:t xml:space="preserve"> in the revenue decoupling mechanism and not to reduce PSE’s ROE to reflect the reduction in risk attributable to the adoption of revenue decoupling.</w:t>
      </w:r>
    </w:p>
    <w:p w:rsidR="00B670AF" w:rsidRDefault="00B670AF">
      <w:r>
        <w:br w:type="page"/>
      </w:r>
    </w:p>
    <w:p w:rsidR="002E32A6" w:rsidRPr="008D7684" w:rsidRDefault="00D04173" w:rsidP="00D04173">
      <w:pPr>
        <w:spacing w:after="0" w:line="480" w:lineRule="auto"/>
        <w:jc w:val="center"/>
        <w:rPr>
          <w:b/>
        </w:rPr>
      </w:pPr>
      <w:r>
        <w:rPr>
          <w:b/>
        </w:rPr>
        <w:lastRenderedPageBreak/>
        <w:t>I</w:t>
      </w:r>
      <w:r w:rsidR="009D4C3D" w:rsidRPr="008D7684">
        <w:rPr>
          <w:b/>
        </w:rPr>
        <w:t xml:space="preserve">I. </w:t>
      </w:r>
      <w:r w:rsidR="00EB1C72">
        <w:rPr>
          <w:b/>
        </w:rPr>
        <w:t xml:space="preserve">  </w:t>
      </w:r>
      <w:r w:rsidR="009D4C3D" w:rsidRPr="008D7684">
        <w:rPr>
          <w:b/>
        </w:rPr>
        <w:t>ARGUMENT</w:t>
      </w:r>
    </w:p>
    <w:p w:rsidR="00AA5EAC" w:rsidRDefault="00241C00" w:rsidP="00822630">
      <w:pPr>
        <w:spacing w:after="0" w:line="240" w:lineRule="auto"/>
        <w:ind w:left="1440" w:hanging="720"/>
        <w:rPr>
          <w:b/>
        </w:rPr>
      </w:pPr>
      <w:r>
        <w:rPr>
          <w:b/>
        </w:rPr>
        <w:t>A.</w:t>
      </w:r>
      <w:r>
        <w:rPr>
          <w:b/>
        </w:rPr>
        <w:tab/>
      </w:r>
      <w:r w:rsidR="004B1FCE" w:rsidRPr="00E443A8">
        <w:rPr>
          <w:b/>
        </w:rPr>
        <w:t xml:space="preserve">The Commission Failed </w:t>
      </w:r>
      <w:r w:rsidR="00A250BD">
        <w:rPr>
          <w:b/>
        </w:rPr>
        <w:t>t</w:t>
      </w:r>
      <w:r w:rsidR="004B1FCE" w:rsidRPr="00E443A8">
        <w:rPr>
          <w:b/>
        </w:rPr>
        <w:t xml:space="preserve">o Consider </w:t>
      </w:r>
      <w:r w:rsidR="001E3C36">
        <w:rPr>
          <w:b/>
        </w:rPr>
        <w:t>o</w:t>
      </w:r>
      <w:r w:rsidR="004B1FCE" w:rsidRPr="00E443A8">
        <w:rPr>
          <w:b/>
        </w:rPr>
        <w:t xml:space="preserve">n </w:t>
      </w:r>
      <w:r w:rsidR="001E3C36">
        <w:rPr>
          <w:b/>
        </w:rPr>
        <w:t>i</w:t>
      </w:r>
      <w:r w:rsidR="004B1FCE" w:rsidRPr="00E443A8">
        <w:rPr>
          <w:b/>
        </w:rPr>
        <w:t>ts Merit</w:t>
      </w:r>
      <w:r w:rsidR="00A250BD">
        <w:rPr>
          <w:b/>
        </w:rPr>
        <w:t>s</w:t>
      </w:r>
      <w:r w:rsidR="004B1FCE" w:rsidRPr="00E443A8">
        <w:rPr>
          <w:b/>
        </w:rPr>
        <w:t xml:space="preserve"> </w:t>
      </w:r>
      <w:r w:rsidR="00A250BD">
        <w:rPr>
          <w:b/>
        </w:rPr>
        <w:t>t</w:t>
      </w:r>
      <w:r w:rsidR="004B1FCE" w:rsidRPr="00E443A8">
        <w:rPr>
          <w:b/>
        </w:rPr>
        <w:t xml:space="preserve">he Evidence </w:t>
      </w:r>
      <w:r w:rsidR="00E443A8" w:rsidRPr="00E443A8">
        <w:rPr>
          <w:b/>
        </w:rPr>
        <w:t xml:space="preserve">Supporting </w:t>
      </w:r>
      <w:r w:rsidR="00A250BD">
        <w:rPr>
          <w:b/>
        </w:rPr>
        <w:t>t</w:t>
      </w:r>
      <w:r w:rsidR="00E443A8" w:rsidRPr="00E443A8">
        <w:rPr>
          <w:b/>
        </w:rPr>
        <w:t>he</w:t>
      </w:r>
      <w:r w:rsidR="00C30F01">
        <w:rPr>
          <w:b/>
        </w:rPr>
        <w:t xml:space="preserve"> </w:t>
      </w:r>
      <w:r w:rsidR="004B1FCE" w:rsidRPr="00E443A8">
        <w:rPr>
          <w:b/>
        </w:rPr>
        <w:t>Exclu</w:t>
      </w:r>
      <w:r w:rsidR="00E443A8" w:rsidRPr="00E443A8">
        <w:rPr>
          <w:b/>
        </w:rPr>
        <w:t xml:space="preserve">sion </w:t>
      </w:r>
      <w:r w:rsidR="00A250BD">
        <w:rPr>
          <w:b/>
        </w:rPr>
        <w:t>o</w:t>
      </w:r>
      <w:r w:rsidR="00E443A8" w:rsidRPr="00E443A8">
        <w:rPr>
          <w:b/>
        </w:rPr>
        <w:t>f</w:t>
      </w:r>
      <w:r w:rsidR="004B1FCE" w:rsidRPr="00E443A8">
        <w:rPr>
          <w:b/>
        </w:rPr>
        <w:t xml:space="preserve"> Schedules 85, 85T, 87, and 87T</w:t>
      </w:r>
      <w:r w:rsidR="00E443A8" w:rsidRPr="00E443A8">
        <w:rPr>
          <w:b/>
        </w:rPr>
        <w:t xml:space="preserve"> From </w:t>
      </w:r>
      <w:r w:rsidR="00A250BD">
        <w:rPr>
          <w:b/>
        </w:rPr>
        <w:t>t</w:t>
      </w:r>
      <w:r w:rsidR="00E443A8" w:rsidRPr="00E443A8">
        <w:rPr>
          <w:b/>
        </w:rPr>
        <w:t>he Revenue Decoupling Mechanism.</w:t>
      </w:r>
    </w:p>
    <w:p w:rsidR="00AA5EAC" w:rsidRDefault="004B1FCE" w:rsidP="00AA5EAC">
      <w:pPr>
        <w:spacing w:after="0" w:line="240" w:lineRule="auto"/>
        <w:jc w:val="both"/>
        <w:rPr>
          <w:b/>
        </w:rPr>
      </w:pPr>
      <w:r w:rsidRPr="00E443A8">
        <w:rPr>
          <w:b/>
        </w:rPr>
        <w:t xml:space="preserve">  </w:t>
      </w:r>
    </w:p>
    <w:p w:rsidR="00C114ED" w:rsidRDefault="008875DE" w:rsidP="00822630">
      <w:pPr>
        <w:pStyle w:val="Default"/>
        <w:spacing w:line="480" w:lineRule="auto"/>
        <w:ind w:firstLine="720"/>
      </w:pPr>
      <w:r>
        <w:t xml:space="preserve">In paragraphs 117-129, Order No. 7 addresses </w:t>
      </w:r>
      <w:r w:rsidRPr="008875DE">
        <w:rPr>
          <w:i/>
        </w:rPr>
        <w:t>inter alia</w:t>
      </w:r>
      <w:r>
        <w:t xml:space="preserve"> Nucor’s argument that gas transportation service customers should be excluded from the decoupling mechanism.  </w:t>
      </w:r>
      <w:r w:rsidR="00C114ED">
        <w:t xml:space="preserve">Nucor contends that gas transportation service customers are comparable to PSE’s electric retail wheeling customers, who are properly excluded from the Joint Parties’ </w:t>
      </w:r>
      <w:r w:rsidR="00F34E41">
        <w:t>a</w:t>
      </w:r>
      <w:r w:rsidR="004312AE" w:rsidRPr="00F34E41">
        <w:t>mended</w:t>
      </w:r>
      <w:r w:rsidR="004312AE">
        <w:t xml:space="preserve"> </w:t>
      </w:r>
      <w:r w:rsidR="00F34E41">
        <w:t>decoupling proposal submitted March 4, 2013</w:t>
      </w:r>
      <w:r w:rsidR="00C114ED">
        <w:t>.</w:t>
      </w:r>
      <w:r w:rsidR="00C114ED">
        <w:rPr>
          <w:rStyle w:val="FootnoteReference"/>
        </w:rPr>
        <w:footnoteReference w:id="1"/>
      </w:r>
      <w:r w:rsidR="00C114ED">
        <w:t xml:space="preserve"> </w:t>
      </w:r>
      <w:r w:rsidR="004312AE">
        <w:t xml:space="preserve"> </w:t>
      </w:r>
      <w:r w:rsidR="00C114ED">
        <w:t xml:space="preserve">Nucor also points to the fact </w:t>
      </w:r>
      <w:r w:rsidR="00C114ED" w:rsidRPr="00C114ED">
        <w:t>that gas transportation customers are not even eligible to participate in PSE’s energy efficiency programs</w:t>
      </w:r>
      <w:r w:rsidR="00C114ED">
        <w:t xml:space="preserve">, rendering </w:t>
      </w:r>
      <w:r w:rsidR="001D377A">
        <w:t>irrelevant</w:t>
      </w:r>
      <w:r w:rsidR="00C114ED">
        <w:t xml:space="preserve"> the </w:t>
      </w:r>
      <w:r w:rsidR="00976BAE">
        <w:t xml:space="preserve">Commission’s </w:t>
      </w:r>
      <w:r w:rsidR="004312AE">
        <w:t xml:space="preserve">justification that </w:t>
      </w:r>
      <w:r w:rsidR="0062046D">
        <w:t xml:space="preserve">decoupling </w:t>
      </w:r>
      <w:r w:rsidR="004312AE">
        <w:t>would remove</w:t>
      </w:r>
      <w:r w:rsidR="00C114ED">
        <w:t xml:space="preserve"> PSE’s disincentive to support energy efficiency.</w:t>
      </w:r>
      <w:r w:rsidR="00C114ED">
        <w:rPr>
          <w:rStyle w:val="FootnoteReference"/>
        </w:rPr>
        <w:footnoteReference w:id="2"/>
      </w:r>
    </w:p>
    <w:p w:rsidR="00923690" w:rsidRDefault="00866667" w:rsidP="009D4C3D">
      <w:pPr>
        <w:spacing w:after="0" w:line="480" w:lineRule="auto"/>
        <w:ind w:firstLine="720"/>
        <w:jc w:val="both"/>
      </w:pPr>
      <w:r>
        <w:t xml:space="preserve">In rejecting Nucor’s argument, the Commission </w:t>
      </w:r>
      <w:r w:rsidR="004312AE">
        <w:t xml:space="preserve">disputes Nucor’s contention that gas transportation customers are comparable to PSE’s electric wheeling customers and </w:t>
      </w:r>
      <w:r w:rsidR="00B7618A">
        <w:t xml:space="preserve">cites </w:t>
      </w:r>
      <w:r w:rsidR="000657C6">
        <w:t>as</w:t>
      </w:r>
      <w:r w:rsidR="004312AE">
        <w:t xml:space="preserve"> support </w:t>
      </w:r>
      <w:r w:rsidR="00B7618A">
        <w:t xml:space="preserve">PSE’s </w:t>
      </w:r>
      <w:r w:rsidR="00C114ED">
        <w:t xml:space="preserve">supplemental </w:t>
      </w:r>
      <w:r w:rsidR="00B7618A">
        <w:t>rebuttal</w:t>
      </w:r>
      <w:r w:rsidR="00C114ED">
        <w:t xml:space="preserve"> testimony</w:t>
      </w:r>
      <w:r w:rsidR="004312AE">
        <w:t>:</w:t>
      </w:r>
      <w:r w:rsidR="00B7618A">
        <w:t xml:space="preserve"> </w:t>
      </w:r>
      <w:r>
        <w:t xml:space="preserve"> </w:t>
      </w:r>
    </w:p>
    <w:p w:rsidR="00AA5EAC" w:rsidRDefault="004312AE" w:rsidP="00584928">
      <w:pPr>
        <w:pStyle w:val="Default"/>
        <w:spacing w:after="240"/>
        <w:ind w:left="720"/>
      </w:pPr>
      <w:r w:rsidRPr="00854DE3">
        <w:t xml:space="preserve">There is not a parallel situation [to </w:t>
      </w:r>
      <w:r w:rsidR="00854DE3" w:rsidRPr="00854DE3">
        <w:t xml:space="preserve">electric </w:t>
      </w:r>
      <w:r w:rsidRPr="00854DE3">
        <w:t xml:space="preserve">retail </w:t>
      </w:r>
      <w:r w:rsidR="00854DE3" w:rsidRPr="00854DE3">
        <w:t>wheeling] on</w:t>
      </w:r>
      <w:r w:rsidRPr="00854DE3">
        <w:t xml:space="preserve"> the natural gas side of PSE’s operations. Mr. Piliaris testifies for PSE that the Company has the same throughput incentive with gas transportation customers as it does with its gas sales customers. [Exhibit No. JAP-24T at 14:19-15:5.]  This is because the rates charged to transportation customers for gas delivery mirrors the rates charged to similar sales customers and recovers fixed delivery costs through variable charges. Therefore, PSE has the same motivation for increased energy consumption by transportation customers as it does for sales customers.</w:t>
      </w:r>
      <w:r w:rsidR="005F6FD1">
        <w:rPr>
          <w:rStyle w:val="FootnoteReference"/>
        </w:rPr>
        <w:footnoteReference w:id="3"/>
      </w:r>
      <w:r w:rsidR="005F6FD1">
        <w:t xml:space="preserve">  </w:t>
      </w:r>
    </w:p>
    <w:p w:rsidR="00854DE3" w:rsidRDefault="00854DE3" w:rsidP="00854DE3">
      <w:pPr>
        <w:spacing w:after="0" w:line="480" w:lineRule="auto"/>
        <w:ind w:firstLine="720"/>
        <w:jc w:val="both"/>
      </w:pPr>
      <w:r w:rsidRPr="00854DE3">
        <w:rPr>
          <w:szCs w:val="24"/>
        </w:rPr>
        <w:t>The Commission also expresses concern that excluding gas transportation customers from decoupling would introduce the potential for customers to migrate between sale</w:t>
      </w:r>
      <w:r>
        <w:rPr>
          <w:szCs w:val="24"/>
        </w:rPr>
        <w:t>s</w:t>
      </w:r>
      <w:r w:rsidRPr="00854DE3">
        <w:rPr>
          <w:szCs w:val="24"/>
        </w:rPr>
        <w:t xml:space="preserve"> and transportation schedules simply to avoid decoupling surcharges or to benefit from decoupling rate rebates.</w:t>
      </w:r>
      <w:r w:rsidR="00C6152A">
        <w:rPr>
          <w:rStyle w:val="FootnoteReference"/>
          <w:szCs w:val="24"/>
        </w:rPr>
        <w:footnoteReference w:id="4"/>
      </w:r>
      <w:r w:rsidRPr="00854DE3">
        <w:rPr>
          <w:szCs w:val="24"/>
        </w:rPr>
        <w:t xml:space="preserve">  The Commission again cites to </w:t>
      </w:r>
      <w:r>
        <w:t xml:space="preserve">PSE’s supplemental rebuttal testimony </w:t>
      </w:r>
      <w:r w:rsidR="000657C6">
        <w:t>as</w:t>
      </w:r>
      <w:r>
        <w:t xml:space="preserve"> support f</w:t>
      </w:r>
      <w:r w:rsidR="000657C6">
        <w:t>or</w:t>
      </w:r>
      <w:r>
        <w:t xml:space="preserve"> this </w:t>
      </w:r>
      <w:r w:rsidR="000657C6">
        <w:t>concern</w:t>
      </w:r>
      <w:r>
        <w:t>.</w:t>
      </w:r>
      <w:r w:rsidR="003B67BF">
        <w:rPr>
          <w:rStyle w:val="FootnoteReference"/>
        </w:rPr>
        <w:footnoteReference w:id="5"/>
      </w:r>
    </w:p>
    <w:p w:rsidR="003B67BF" w:rsidRDefault="00E443A8" w:rsidP="005B5AC9">
      <w:pPr>
        <w:spacing w:after="0" w:line="480" w:lineRule="auto"/>
        <w:ind w:firstLine="720"/>
        <w:jc w:val="both"/>
      </w:pPr>
      <w:r>
        <w:t>However, i</w:t>
      </w:r>
      <w:r w:rsidR="003B67BF">
        <w:t xml:space="preserve">n rejecting Nucor’s argument, the Commission overlooks the evidence provided by the same PSE witness in offering an alternative approach that would have fully resolved Nucor’s concerns about exemption, namely, the concurrence of PSE and NWEC in the exclusion of </w:t>
      </w:r>
      <w:r w:rsidR="001D377A">
        <w:t xml:space="preserve">Schedules 85, 85T, 87 and 87T from </w:t>
      </w:r>
      <w:r w:rsidR="00AA136D">
        <w:t xml:space="preserve">the </w:t>
      </w:r>
      <w:r w:rsidR="001D377A">
        <w:t>decoupling</w:t>
      </w:r>
      <w:r w:rsidR="00AA136D">
        <w:t xml:space="preserve"> mechanism</w:t>
      </w:r>
      <w:r w:rsidR="001D377A">
        <w:t xml:space="preserve">.  </w:t>
      </w:r>
      <w:r w:rsidR="00F34E41">
        <w:t>PSE witness</w:t>
      </w:r>
      <w:r w:rsidR="001D377A">
        <w:t xml:space="preserve"> Piliaris testifies that exempting these rate schedules, as initially proposed by </w:t>
      </w:r>
      <w:r w:rsidR="00F34E41">
        <w:t>Northwest Industrial Gas Users (“</w:t>
      </w:r>
      <w:r w:rsidR="001D377A" w:rsidRPr="00F34E41">
        <w:t>NWIGU</w:t>
      </w:r>
      <w:r w:rsidR="00F34E41">
        <w:t>”)</w:t>
      </w:r>
      <w:r w:rsidR="001D377A">
        <w:t>, is a reasonable approach:</w:t>
      </w:r>
    </w:p>
    <w:p w:rsidR="001D377A" w:rsidRPr="00C27038" w:rsidRDefault="001D377A" w:rsidP="005B5AC9">
      <w:pPr>
        <w:pStyle w:val="Answer"/>
        <w:spacing w:before="0" w:after="240" w:line="240" w:lineRule="auto"/>
        <w:ind w:firstLine="0"/>
      </w:pPr>
      <w:r>
        <w:rPr>
          <w:rFonts w:eastAsia="SimSun"/>
        </w:rPr>
        <w:t>These schedules all have a steeply declining block rate structure.  As such, the “marginal” throughput incentive is quite modest for large customers facing the tail block rates on these schedules (i.e., additional sales lead to very little incremental revenue for the Company).  Given this weakened throughput incentive, removing these customers from the decoupling mechanism appears appropriate.</w:t>
      </w:r>
      <w:r>
        <w:rPr>
          <w:rStyle w:val="FootnoteReference"/>
          <w:rFonts w:eastAsia="SimSun"/>
        </w:rPr>
        <w:footnoteReference w:id="6"/>
      </w:r>
    </w:p>
    <w:p w:rsidR="00FA1FD6" w:rsidRDefault="00FA1FD6" w:rsidP="005B5AC9">
      <w:pPr>
        <w:pStyle w:val="BodyText"/>
        <w:spacing w:after="120"/>
      </w:pPr>
      <w:r w:rsidRPr="00FA1FD6">
        <w:t>Th</w:t>
      </w:r>
      <w:r w:rsidR="00E443A8">
        <w:t>e</w:t>
      </w:r>
      <w:r w:rsidRPr="00FA1FD6">
        <w:t xml:space="preserve"> </w:t>
      </w:r>
      <w:r>
        <w:t xml:space="preserve">revision to the amended proposal </w:t>
      </w:r>
      <w:r w:rsidR="00E443A8">
        <w:t xml:space="preserve">to exclude these rate schedules </w:t>
      </w:r>
      <w:r>
        <w:t>was also supported by NWEC witness Cavanaugh:</w:t>
      </w:r>
    </w:p>
    <w:p w:rsidR="00FA1FD6" w:rsidRPr="00FA1FD6" w:rsidRDefault="00FA1FD6" w:rsidP="00E443A8">
      <w:pPr>
        <w:pStyle w:val="BodyText"/>
        <w:spacing w:line="240" w:lineRule="auto"/>
        <w:ind w:left="720"/>
      </w:pPr>
      <w:r w:rsidRPr="00FA1FD6">
        <w:t>Q.</w:t>
      </w:r>
      <w:r w:rsidRPr="00FA1FD6">
        <w:tab/>
        <w:t>Do you support witnesses Finklea’s and Higgins’s proposal to remove natural gas transport and interruptible service customers from inclusion in the proposed decoupling mechanism (Exhibit No. ____ (EAF-1T), pp. 6-8 and Exhibit No. ____ (KCH</w:t>
      </w:r>
      <w:r w:rsidRPr="00FA1FD6">
        <w:noBreakHyphen/>
        <w:t>5T), pp. 13-14)?</w:t>
      </w:r>
    </w:p>
    <w:p w:rsidR="001D377A" w:rsidRDefault="001D377A" w:rsidP="00E443A8">
      <w:pPr>
        <w:spacing w:after="0" w:line="240" w:lineRule="auto"/>
        <w:ind w:left="720"/>
        <w:jc w:val="both"/>
        <w:rPr>
          <w:szCs w:val="24"/>
        </w:rPr>
      </w:pPr>
    </w:p>
    <w:p w:rsidR="00FA1FD6" w:rsidRPr="00F34A3B" w:rsidRDefault="00FA1FD6" w:rsidP="005B5AC9">
      <w:pPr>
        <w:pStyle w:val="BodyText"/>
        <w:spacing w:after="240" w:line="240" w:lineRule="auto"/>
        <w:ind w:left="720"/>
      </w:pPr>
      <w:r>
        <w:t xml:space="preserve">A. </w:t>
      </w:r>
      <w:r>
        <w:tab/>
        <w:t>Given the evidence on how little these customers contribute to non-fuel cost recovery in variable charges, I support removing schedules 85, 85T, 87 and 87T from the joint decoupling proposal.</w:t>
      </w:r>
      <w:r>
        <w:rPr>
          <w:rStyle w:val="FootnoteReference"/>
        </w:rPr>
        <w:footnoteReference w:id="7"/>
      </w:r>
    </w:p>
    <w:p w:rsidR="001D377A" w:rsidRDefault="001D377A" w:rsidP="00E443A8">
      <w:pPr>
        <w:spacing w:after="0" w:line="480" w:lineRule="auto"/>
        <w:ind w:firstLine="720"/>
        <w:jc w:val="both"/>
        <w:rPr>
          <w:szCs w:val="24"/>
        </w:rPr>
      </w:pPr>
      <w:r>
        <w:rPr>
          <w:szCs w:val="24"/>
        </w:rPr>
        <w:t>This evidence</w:t>
      </w:r>
      <w:r w:rsidR="00627C2F">
        <w:rPr>
          <w:szCs w:val="24"/>
        </w:rPr>
        <w:t xml:space="preserve"> demonstrates that, contrary to the Commission’s finding in paragraph 119, the circumstances of the </w:t>
      </w:r>
      <w:r w:rsidR="00627C2F" w:rsidRPr="00627C2F">
        <w:rPr>
          <w:i/>
          <w:szCs w:val="24"/>
        </w:rPr>
        <w:t>largest</w:t>
      </w:r>
      <w:r w:rsidR="00627C2F">
        <w:rPr>
          <w:szCs w:val="24"/>
        </w:rPr>
        <w:t xml:space="preserve"> gas transportation customers are indeed comparable to electric retail wheeling customers – and these </w:t>
      </w:r>
      <w:r w:rsidR="002E7275">
        <w:rPr>
          <w:szCs w:val="24"/>
        </w:rPr>
        <w:t xml:space="preserve">gas </w:t>
      </w:r>
      <w:r w:rsidR="00627C2F">
        <w:rPr>
          <w:szCs w:val="24"/>
        </w:rPr>
        <w:t xml:space="preserve">customers also </w:t>
      </w:r>
      <w:r w:rsidR="001E3C36">
        <w:rPr>
          <w:szCs w:val="24"/>
        </w:rPr>
        <w:t>warrant</w:t>
      </w:r>
      <w:r w:rsidR="00627C2F">
        <w:rPr>
          <w:szCs w:val="24"/>
        </w:rPr>
        <w:t xml:space="preserve"> exclusion from the decoupling mechanism.  As noted by Mr. Piliaris, the rate design for </w:t>
      </w:r>
      <w:r w:rsidR="00AA5EAC" w:rsidRPr="00AA5EAC">
        <w:rPr>
          <w:i/>
          <w:szCs w:val="24"/>
        </w:rPr>
        <w:t>sales</w:t>
      </w:r>
      <w:r w:rsidR="00627C2F">
        <w:rPr>
          <w:szCs w:val="24"/>
        </w:rPr>
        <w:t xml:space="preserve"> rate schedules 85 and 87 warrant exclusion as well.   Moreover, excluding </w:t>
      </w:r>
      <w:r w:rsidR="009B26E9">
        <w:rPr>
          <w:szCs w:val="24"/>
        </w:rPr>
        <w:t xml:space="preserve">both the sales and transportation variants of the 85/87 rate schedules fully resolves any concerns about large gas customers “gaming” the system by switching between sales and transportation service solely to avoid or benefit from the annual effects of decoupling. </w:t>
      </w:r>
    </w:p>
    <w:p w:rsidR="00A77CEF" w:rsidRDefault="00E443A8" w:rsidP="00E443A8">
      <w:pPr>
        <w:spacing w:after="0" w:line="480" w:lineRule="auto"/>
        <w:ind w:firstLine="720"/>
        <w:jc w:val="both"/>
      </w:pPr>
      <w:r>
        <w:rPr>
          <w:szCs w:val="24"/>
        </w:rPr>
        <w:t xml:space="preserve">Order No. 7 fails to adopt this solution and ignores the evidence supporting it.  </w:t>
      </w:r>
      <w:r w:rsidR="00AA136D">
        <w:rPr>
          <w:szCs w:val="24"/>
        </w:rPr>
        <w:t>The Commission’s decision not to exclude S</w:t>
      </w:r>
      <w:r w:rsidR="00AA136D">
        <w:t>chedules 85, 85T, 87 and 87T from the decoupling mechanism derive</w:t>
      </w:r>
      <w:r>
        <w:t>s</w:t>
      </w:r>
      <w:r w:rsidR="00AA136D">
        <w:t xml:space="preserve"> solely from its decision to reject the Multiparty Settlement that revised the amended proposal to provide for this exclusion.</w:t>
      </w:r>
      <w:r>
        <w:rPr>
          <w:rStyle w:val="FootnoteReference"/>
        </w:rPr>
        <w:footnoteReference w:id="8"/>
      </w:r>
      <w:r w:rsidR="00AA136D">
        <w:t xml:space="preserve">  However, </w:t>
      </w:r>
      <w:r w:rsidR="0014774E">
        <w:t xml:space="preserve">the </w:t>
      </w:r>
      <w:r w:rsidR="00AA136D">
        <w:t xml:space="preserve">evidence in the record </w:t>
      </w:r>
      <w:r w:rsidR="0014774E">
        <w:t xml:space="preserve">overwhelmingly </w:t>
      </w:r>
      <w:r w:rsidR="00AA136D">
        <w:t>support</w:t>
      </w:r>
      <w:r w:rsidR="0014774E">
        <w:t>s</w:t>
      </w:r>
      <w:r w:rsidR="00AA136D">
        <w:t xml:space="preserve"> the </w:t>
      </w:r>
      <w:r w:rsidR="0014774E">
        <w:t>exclusion of</w:t>
      </w:r>
      <w:r w:rsidR="00AA136D">
        <w:t xml:space="preserve"> these rate schedules from the decoupling mechanism.</w:t>
      </w:r>
    </w:p>
    <w:p w:rsidR="00AA136D" w:rsidRPr="00854DE3" w:rsidRDefault="00AA136D" w:rsidP="00B76138">
      <w:pPr>
        <w:spacing w:after="120" w:line="480" w:lineRule="auto"/>
        <w:ind w:firstLine="720"/>
        <w:jc w:val="both"/>
        <w:rPr>
          <w:szCs w:val="24"/>
        </w:rPr>
      </w:pPr>
      <w:r>
        <w:t xml:space="preserve">Just as the Commission considered the </w:t>
      </w:r>
      <w:r w:rsidRPr="00F34E41">
        <w:t>“innovative rate</w:t>
      </w:r>
      <w:r w:rsidR="00F34E41" w:rsidRPr="00F34E41">
        <w:t>making</w:t>
      </w:r>
      <w:r w:rsidRPr="00F34E41">
        <w:t xml:space="preserve"> mechanisms”</w:t>
      </w:r>
      <w:r>
        <w:t xml:space="preserve"> at issue in this case on their merit</w:t>
      </w:r>
      <w:r w:rsidR="00F34E41">
        <w:t>s</w:t>
      </w:r>
      <w:r>
        <w:t xml:space="preserve"> irrespective of the rejection of the Multiparty Settlement, so must the exclusion of </w:t>
      </w:r>
      <w:r>
        <w:rPr>
          <w:szCs w:val="24"/>
        </w:rPr>
        <w:t>S</w:t>
      </w:r>
      <w:r>
        <w:t>chedules 85, 85T, 87 and 87T be considered on its merit</w:t>
      </w:r>
      <w:r w:rsidR="00A77CEF">
        <w:t>s</w:t>
      </w:r>
      <w:r>
        <w:t xml:space="preserve"> irrespective of the rejection of the Multiparty Settlement.  </w:t>
      </w:r>
      <w:r w:rsidR="00713884">
        <w:t>With regard to</w:t>
      </w:r>
      <w:r>
        <w:t xml:space="preserve"> this </w:t>
      </w:r>
      <w:r w:rsidR="00713884">
        <w:t xml:space="preserve">latter </w:t>
      </w:r>
      <w:r>
        <w:t xml:space="preserve">point, there is no competent evidence </w:t>
      </w:r>
      <w:r w:rsidR="004B1FCE">
        <w:t xml:space="preserve">supporting inclusion of these rate schedules in the </w:t>
      </w:r>
      <w:r w:rsidR="00E443A8">
        <w:t xml:space="preserve">decoupling </w:t>
      </w:r>
      <w:r w:rsidR="004B1FCE">
        <w:t xml:space="preserve">mechanism.  Indeed, the parties that at one time supported the inclusion of these rate schedules revised their positions </w:t>
      </w:r>
      <w:r w:rsidR="004B1FCE" w:rsidRPr="00E443A8">
        <w:rPr>
          <w:i/>
        </w:rPr>
        <w:t>in light of the evidence</w:t>
      </w:r>
      <w:r w:rsidR="004B1FCE">
        <w:t xml:space="preserve"> and testified in support of </w:t>
      </w:r>
      <w:r w:rsidR="00AA5EAC" w:rsidRPr="00AA5EAC">
        <w:rPr>
          <w:i/>
        </w:rPr>
        <w:t>exclusion</w:t>
      </w:r>
      <w:r w:rsidR="004B1FCE">
        <w:t xml:space="preserve"> on its </w:t>
      </w:r>
      <w:r w:rsidR="004B1FCE" w:rsidRPr="004B1FCE">
        <w:rPr>
          <w:i/>
        </w:rPr>
        <w:t>merit</w:t>
      </w:r>
      <w:r w:rsidR="00A77CEF">
        <w:rPr>
          <w:i/>
        </w:rPr>
        <w:t>s</w:t>
      </w:r>
      <w:r w:rsidR="004B1FCE">
        <w:t xml:space="preserve">. </w:t>
      </w:r>
      <w:r w:rsidR="00F848D0">
        <w:t xml:space="preserve">The testimony supporting the revision should not be disregarded simply because it was accompanied by an expanded list of settling parties.  Rather, the Commission should look to the substance of the testimony supporting exclusion and recognize that parties may become better informed through the course of a proceeding and revise their positions accordingly. </w:t>
      </w:r>
      <w:r w:rsidR="004B1FCE">
        <w:t xml:space="preserve"> </w:t>
      </w:r>
      <w:r w:rsidR="0014774E">
        <w:t xml:space="preserve">The record </w:t>
      </w:r>
      <w:r w:rsidR="004C4E29">
        <w:t xml:space="preserve">simply </w:t>
      </w:r>
      <w:r w:rsidR="0014774E">
        <w:t xml:space="preserve">does not support including rate schedules </w:t>
      </w:r>
      <w:r w:rsidR="00F848D0">
        <w:t xml:space="preserve">85, 85T, 87 and 87T </w:t>
      </w:r>
      <w:r w:rsidR="0014774E">
        <w:t xml:space="preserve">in the decoupling mechanism. </w:t>
      </w:r>
      <w:r w:rsidR="004C4E29">
        <w:t xml:space="preserve"> </w:t>
      </w:r>
      <w:r w:rsidR="0014774E">
        <w:t xml:space="preserve">Accordingly, the Commission should reconsider and revise its decision to </w:t>
      </w:r>
      <w:r w:rsidR="00F848D0">
        <w:t>subject</w:t>
      </w:r>
      <w:r w:rsidR="0014774E">
        <w:t xml:space="preserve"> </w:t>
      </w:r>
      <w:r w:rsidR="00F848D0">
        <w:t xml:space="preserve">these </w:t>
      </w:r>
      <w:r w:rsidR="0014774E">
        <w:t xml:space="preserve">rate schedules </w:t>
      </w:r>
      <w:r w:rsidR="00F848D0">
        <w:t>to</w:t>
      </w:r>
      <w:r w:rsidR="0014774E">
        <w:t xml:space="preserve"> </w:t>
      </w:r>
      <w:r w:rsidR="00486A46">
        <w:t>decoupling</w:t>
      </w:r>
      <w:r w:rsidR="00F848D0">
        <w:t>.</w:t>
      </w:r>
      <w:r w:rsidR="004B1FCE">
        <w:t xml:space="preserve">  </w:t>
      </w:r>
    </w:p>
    <w:p w:rsidR="00AA5EAC" w:rsidRDefault="00241C00" w:rsidP="00B76138">
      <w:pPr>
        <w:spacing w:after="0" w:line="240" w:lineRule="auto"/>
        <w:ind w:left="1440" w:hanging="720"/>
        <w:rPr>
          <w:b/>
        </w:rPr>
      </w:pPr>
      <w:r>
        <w:rPr>
          <w:b/>
        </w:rPr>
        <w:t>B.</w:t>
      </w:r>
      <w:r>
        <w:rPr>
          <w:b/>
        </w:rPr>
        <w:tab/>
      </w:r>
      <w:r w:rsidR="008C5AC9" w:rsidRPr="008C5AC9">
        <w:rPr>
          <w:b/>
        </w:rPr>
        <w:t xml:space="preserve">The Commission </w:t>
      </w:r>
      <w:r w:rsidR="00A46A8A">
        <w:rPr>
          <w:b/>
        </w:rPr>
        <w:t xml:space="preserve">Should </w:t>
      </w:r>
      <w:r w:rsidR="008C5AC9" w:rsidRPr="008C5AC9">
        <w:rPr>
          <w:b/>
        </w:rPr>
        <w:t xml:space="preserve">Consider </w:t>
      </w:r>
      <w:r>
        <w:rPr>
          <w:b/>
        </w:rPr>
        <w:t>t</w:t>
      </w:r>
      <w:r w:rsidR="008C5AC9" w:rsidRPr="008C5AC9">
        <w:rPr>
          <w:b/>
        </w:rPr>
        <w:t xml:space="preserve">he Totality </w:t>
      </w:r>
      <w:r>
        <w:rPr>
          <w:b/>
        </w:rPr>
        <w:t>o</w:t>
      </w:r>
      <w:r w:rsidR="008C5AC9" w:rsidRPr="008C5AC9">
        <w:rPr>
          <w:b/>
        </w:rPr>
        <w:t xml:space="preserve">f </w:t>
      </w:r>
      <w:r>
        <w:rPr>
          <w:b/>
        </w:rPr>
        <w:t>t</w:t>
      </w:r>
      <w:r w:rsidR="008C5AC9" w:rsidRPr="008C5AC9">
        <w:rPr>
          <w:b/>
        </w:rPr>
        <w:t xml:space="preserve">he Evidence Supporting </w:t>
      </w:r>
      <w:r>
        <w:rPr>
          <w:b/>
        </w:rPr>
        <w:t>a</w:t>
      </w:r>
      <w:r w:rsidR="008C5AC9" w:rsidRPr="008C5AC9">
        <w:rPr>
          <w:b/>
        </w:rPr>
        <w:t xml:space="preserve"> Reduction in PSE’s Return </w:t>
      </w:r>
      <w:r>
        <w:rPr>
          <w:b/>
        </w:rPr>
        <w:t>o</w:t>
      </w:r>
      <w:r w:rsidR="008C5AC9" w:rsidRPr="008C5AC9">
        <w:rPr>
          <w:b/>
        </w:rPr>
        <w:t>n Equity</w:t>
      </w:r>
    </w:p>
    <w:p w:rsidR="008C5AC9" w:rsidRDefault="008C5AC9" w:rsidP="008C5AC9">
      <w:pPr>
        <w:pStyle w:val="Default"/>
      </w:pPr>
    </w:p>
    <w:p w:rsidR="008C5AC9" w:rsidRDefault="008C5AC9" w:rsidP="00822630">
      <w:pPr>
        <w:pStyle w:val="Default"/>
        <w:spacing w:line="480" w:lineRule="auto"/>
        <w:ind w:firstLine="720"/>
      </w:pPr>
      <w:r w:rsidRPr="008C5AC9">
        <w:t>The Commission determined that the record in this proceeding does n</w:t>
      </w:r>
      <w:r>
        <w:t>ot support an adjustment to PSE’</w:t>
      </w:r>
      <w:r w:rsidRPr="008C5AC9">
        <w:t>s equity return.</w:t>
      </w:r>
      <w:r>
        <w:rPr>
          <w:rStyle w:val="FootnoteReference"/>
        </w:rPr>
        <w:footnoteReference w:id="9"/>
      </w:r>
      <w:r>
        <w:t xml:space="preserve">  In reaching this </w:t>
      </w:r>
      <w:r w:rsidRPr="008C5AC9">
        <w:t xml:space="preserve">determination, Chairman Danner and Commissioner Goltz </w:t>
      </w:r>
      <w:r>
        <w:t xml:space="preserve">state they while they </w:t>
      </w:r>
      <w:r w:rsidRPr="008C5AC9">
        <w:t xml:space="preserve">do not disagree with certain of the conceptual underpinnings of </w:t>
      </w:r>
      <w:r>
        <w:t>Commissioner Jones’</w:t>
      </w:r>
      <w:r w:rsidRPr="008C5AC9">
        <w:t xml:space="preserve"> proposal</w:t>
      </w:r>
      <w:r>
        <w:t xml:space="preserve"> to reduce PSE’</w:t>
      </w:r>
      <w:r w:rsidR="00A00B81">
        <w:t>s</w:t>
      </w:r>
      <w:r>
        <w:t xml:space="preserve"> allowed </w:t>
      </w:r>
      <w:r w:rsidR="00684C1E">
        <w:t>ROE</w:t>
      </w:r>
      <w:r>
        <w:t xml:space="preserve"> by 30 basis points</w:t>
      </w:r>
      <w:r w:rsidRPr="008C5AC9">
        <w:t xml:space="preserve">, they are not willing to extrapolate a percentage reduction from the evidence presented. </w:t>
      </w:r>
      <w:r>
        <w:t xml:space="preserve"> </w:t>
      </w:r>
      <w:r w:rsidRPr="008C5AC9">
        <w:t xml:space="preserve">They </w:t>
      </w:r>
      <w:r>
        <w:t xml:space="preserve">further </w:t>
      </w:r>
      <w:r w:rsidRPr="008C5AC9">
        <w:t xml:space="preserve">note that the </w:t>
      </w:r>
      <w:r>
        <w:t>p</w:t>
      </w:r>
      <w:r w:rsidRPr="008C5AC9">
        <w:t xml:space="preserve">roposals for a risk reduction adjustment by three witnesses </w:t>
      </w:r>
      <w:r w:rsidR="00A00B81">
        <w:t>are</w:t>
      </w:r>
      <w:r w:rsidRPr="008C5AC9">
        <w:t xml:space="preserve"> </w:t>
      </w:r>
      <w:r w:rsidR="00A00B81">
        <w:t>“</w:t>
      </w:r>
      <w:r w:rsidRPr="008C5AC9">
        <w:t>not supported by empirical evidence or, indeed, any evidence that meets the substantial competent evidence standard.</w:t>
      </w:r>
      <w:r>
        <w:t>”</w:t>
      </w:r>
      <w:r>
        <w:rPr>
          <w:rStyle w:val="FootnoteReference"/>
        </w:rPr>
        <w:footnoteReference w:id="10"/>
      </w:r>
      <w:r>
        <w:t xml:space="preserve"> </w:t>
      </w:r>
      <w:r w:rsidRPr="008C5AC9">
        <w:t xml:space="preserve">  </w:t>
      </w:r>
    </w:p>
    <w:p w:rsidR="00684C1E" w:rsidRPr="00713884" w:rsidRDefault="008C5AC9" w:rsidP="00684C1E">
      <w:pPr>
        <w:pStyle w:val="Default"/>
        <w:spacing w:line="480" w:lineRule="auto"/>
        <w:ind w:firstLine="720"/>
      </w:pPr>
      <w:r w:rsidRPr="00713884">
        <w:t xml:space="preserve">Order No. 7 characterizes the recommendation by Nucor and Kroger </w:t>
      </w:r>
      <w:r w:rsidR="00B249B1">
        <w:t>that the Commission make</w:t>
      </w:r>
      <w:r w:rsidRPr="00713884">
        <w:t xml:space="preserve"> a 25 basis point </w:t>
      </w:r>
      <w:r w:rsidR="00713884" w:rsidRPr="00713884">
        <w:t xml:space="preserve">ROE </w:t>
      </w:r>
      <w:r w:rsidRPr="00713884">
        <w:t xml:space="preserve">reduction as </w:t>
      </w:r>
      <w:r w:rsidR="00B249B1">
        <w:t xml:space="preserve">if that recommendation were </w:t>
      </w:r>
      <w:r w:rsidRPr="00713884">
        <w:t xml:space="preserve">based </w:t>
      </w:r>
      <w:r w:rsidR="00684C1E" w:rsidRPr="00713884">
        <w:t xml:space="preserve">solely </w:t>
      </w:r>
      <w:r w:rsidRPr="00713884">
        <w:t xml:space="preserve">on the fact that </w:t>
      </w:r>
      <w:r w:rsidR="00F34E41" w:rsidRPr="00713884">
        <w:t>such an</w:t>
      </w:r>
      <w:r w:rsidR="00C30F01">
        <w:t xml:space="preserve"> </w:t>
      </w:r>
      <w:r w:rsidR="00F34E41" w:rsidRPr="00713884">
        <w:t>adjustment</w:t>
      </w:r>
      <w:r w:rsidRPr="00713884">
        <w:t xml:space="preserve"> </w:t>
      </w:r>
      <w:r w:rsidR="00865CF8">
        <w:t>would be</w:t>
      </w:r>
      <w:r w:rsidRPr="00713884">
        <w:t xml:space="preserve"> consistent with reductions in </w:t>
      </w:r>
      <w:r w:rsidR="00A00B81">
        <w:t>the</w:t>
      </w:r>
      <w:r w:rsidRPr="00713884">
        <w:t xml:space="preserve"> range of 10 to 50 basis points</w:t>
      </w:r>
      <w:r w:rsidR="00865CF8">
        <w:t xml:space="preserve"> that have been ordered by other state commissions</w:t>
      </w:r>
      <w:r w:rsidR="00684C1E" w:rsidRPr="00713884">
        <w:t>.</w:t>
      </w:r>
      <w:r w:rsidR="005F6FD1" w:rsidRPr="00713884">
        <w:rPr>
          <w:rStyle w:val="FootnoteReference"/>
        </w:rPr>
        <w:footnoteReference w:id="11"/>
      </w:r>
      <w:r w:rsidR="00684C1E" w:rsidRPr="00713884">
        <w:t xml:space="preserve">  While there is no question that Nucor and Kroger offer</w:t>
      </w:r>
      <w:r w:rsidR="00B249B1">
        <w:t>ed</w:t>
      </w:r>
      <w:r w:rsidR="00684C1E" w:rsidRPr="00713884">
        <w:t xml:space="preserve"> the decisions of the cited commissions as useful guidance, Kroger also submitted evidence that specifically evaluated the volatility of PSE’s usage per customer over the period 2002-2011 and measured the ROE impact of this volatility using the ERF volumetric delivery revenue applied to PSE’s ERF rate base for electric and gas delivery services.</w:t>
      </w:r>
      <w:r w:rsidR="00684C1E" w:rsidRPr="00713884">
        <w:rPr>
          <w:rStyle w:val="FootnoteReference"/>
        </w:rPr>
        <w:footnoteReference w:id="12"/>
      </w:r>
      <w:r w:rsidR="00684C1E" w:rsidRPr="00713884">
        <w:t xml:space="preserve">  </w:t>
      </w:r>
      <w:r w:rsidR="00A46A8A" w:rsidRPr="00713884">
        <w:t xml:space="preserve">This analysis is not addressed in Order No. 7 and appears to have been </w:t>
      </w:r>
      <w:r w:rsidR="00491E97">
        <w:t xml:space="preserve">overlooked </w:t>
      </w:r>
      <w:r w:rsidR="00A46A8A" w:rsidRPr="00713884">
        <w:t xml:space="preserve">by the majority in reaching its decision.  </w:t>
      </w:r>
      <w:r w:rsidR="00684C1E" w:rsidRPr="00713884">
        <w:t xml:space="preserve">This analysis is squarely on point, as it </w:t>
      </w:r>
      <w:r w:rsidR="00F34E41" w:rsidRPr="00713884">
        <w:t>measures</w:t>
      </w:r>
      <w:r w:rsidR="00684C1E" w:rsidRPr="00713884">
        <w:t xml:space="preserve"> the </w:t>
      </w:r>
      <w:r w:rsidR="00F34E41" w:rsidRPr="00713884">
        <w:t xml:space="preserve">PSE </w:t>
      </w:r>
      <w:r w:rsidR="00684C1E" w:rsidRPr="00713884">
        <w:t>earnings volatility attributable to historical changes in usage per customer</w:t>
      </w:r>
      <w:r w:rsidR="00A46A8A" w:rsidRPr="00713884">
        <w:t xml:space="preserve"> – volatility that is eliminated by PSE’s decoupling proposal</w:t>
      </w:r>
      <w:r w:rsidR="00684C1E" w:rsidRPr="00713884">
        <w:t>.  Th</w:t>
      </w:r>
      <w:r w:rsidR="00A46A8A" w:rsidRPr="00713884">
        <w:t>e</w:t>
      </w:r>
      <w:r w:rsidR="00684C1E" w:rsidRPr="00713884">
        <w:t xml:space="preserve"> analysis shows that the deviations in PSE’s usage per customer over this period produce impacts of up to 75 basis points (with an average of 33 basis points absolute value) for the electric delivery system and up to 167 basis points (with an average of 84 basis points absolute value) for the gas delivery system.  </w:t>
      </w:r>
      <w:r w:rsidR="00A46A8A" w:rsidRPr="00713884">
        <w:t>The analysis demonstrates that t</w:t>
      </w:r>
      <w:r w:rsidR="00684C1E" w:rsidRPr="00713884">
        <w:t xml:space="preserve">he 25 basis point ROE adjustment recommended by Nucor and Kroger lies well within this range of earnings volatility and is a reasonable adjustment </w:t>
      </w:r>
      <w:r w:rsidR="00491E97">
        <w:t xml:space="preserve">in light of the Company’s reduced </w:t>
      </w:r>
      <w:r w:rsidR="00684C1E" w:rsidRPr="00713884">
        <w:t>earnings volatility.</w:t>
      </w:r>
      <w:r w:rsidR="00684C1E" w:rsidRPr="00713884">
        <w:rPr>
          <w:rStyle w:val="FootnoteReference"/>
        </w:rPr>
        <w:footnoteReference w:id="13"/>
      </w:r>
      <w:r w:rsidR="00684C1E" w:rsidRPr="00713884">
        <w:t xml:space="preserve">  </w:t>
      </w:r>
    </w:p>
    <w:p w:rsidR="00684C1E" w:rsidRDefault="00684C1E" w:rsidP="00B76138">
      <w:pPr>
        <w:pStyle w:val="Default"/>
        <w:spacing w:after="120" w:line="480" w:lineRule="auto"/>
        <w:ind w:firstLine="720"/>
      </w:pPr>
      <w:r w:rsidRPr="00713884">
        <w:t>PSE offered no rebuttal testimony address</w:t>
      </w:r>
      <w:r w:rsidR="00A46A8A" w:rsidRPr="00713884">
        <w:t>ing</w:t>
      </w:r>
      <w:r w:rsidRPr="00713884">
        <w:t xml:space="preserve"> </w:t>
      </w:r>
      <w:r w:rsidR="00491E97">
        <w:t>Kroger’s empirical</w:t>
      </w:r>
      <w:r w:rsidRPr="00713884">
        <w:t xml:space="preserve"> analysis and waived cross examination of witness Higgins who presented it.</w:t>
      </w:r>
      <w:r w:rsidR="00A46A8A" w:rsidRPr="00713884">
        <w:t xml:space="preserve">  The Commission should reconsider its decision not to adjust </w:t>
      </w:r>
      <w:r w:rsidR="00975643" w:rsidRPr="00713884">
        <w:t xml:space="preserve">PSE’s ROE in light of this evidence </w:t>
      </w:r>
      <w:r w:rsidR="008970E0">
        <w:t>taken in combination with the evidence presented by Public Counsel witness Hill and ICNU witness Gorman.</w:t>
      </w:r>
      <w:r w:rsidR="008F6474">
        <w:rPr>
          <w:rStyle w:val="FootnoteReference"/>
        </w:rPr>
        <w:footnoteReference w:id="14"/>
      </w:r>
      <w:r w:rsidR="008970E0">
        <w:t xml:space="preserve"> </w:t>
      </w:r>
      <w:r w:rsidR="000448C4">
        <w:t xml:space="preserve"> </w:t>
      </w:r>
      <w:r w:rsidR="008970E0">
        <w:t xml:space="preserve">Accordingly, the Commission </w:t>
      </w:r>
      <w:r w:rsidR="000448C4">
        <w:t xml:space="preserve">should </w:t>
      </w:r>
      <w:r w:rsidR="00975643" w:rsidRPr="00713884">
        <w:t>reduce</w:t>
      </w:r>
      <w:r w:rsidR="00A46A8A" w:rsidRPr="00713884">
        <w:t xml:space="preserve"> PSE’s ROE </w:t>
      </w:r>
      <w:r w:rsidR="00975643" w:rsidRPr="00713884">
        <w:t xml:space="preserve">by 25 basis points </w:t>
      </w:r>
      <w:r w:rsidR="008970E0">
        <w:t xml:space="preserve">for the functions subject to the decoupling mechanism </w:t>
      </w:r>
      <w:r w:rsidR="00A46A8A" w:rsidRPr="00713884">
        <w:t>to account for the reduction in risk attributable to adoption of revenue decoupling</w:t>
      </w:r>
      <w:r w:rsidR="00A46A8A">
        <w:t>.</w:t>
      </w:r>
    </w:p>
    <w:p w:rsidR="00923690" w:rsidRPr="008D7684" w:rsidRDefault="00FE680E" w:rsidP="00D04173">
      <w:pPr>
        <w:spacing w:after="0" w:line="480" w:lineRule="auto"/>
        <w:jc w:val="center"/>
        <w:rPr>
          <w:b/>
        </w:rPr>
      </w:pPr>
      <w:r w:rsidRPr="008D7684">
        <w:rPr>
          <w:b/>
        </w:rPr>
        <w:t>I</w:t>
      </w:r>
      <w:r w:rsidR="001E3C36">
        <w:rPr>
          <w:b/>
        </w:rPr>
        <w:t>II</w:t>
      </w:r>
      <w:r w:rsidRPr="008D7684">
        <w:rPr>
          <w:b/>
        </w:rPr>
        <w:t xml:space="preserve">. </w:t>
      </w:r>
      <w:r w:rsidR="00EB1C72">
        <w:rPr>
          <w:b/>
        </w:rPr>
        <w:t xml:space="preserve">  </w:t>
      </w:r>
      <w:r w:rsidR="009D4C3D" w:rsidRPr="008D7684">
        <w:rPr>
          <w:b/>
        </w:rPr>
        <w:t>CONCLUSION</w:t>
      </w:r>
    </w:p>
    <w:p w:rsidR="008D7684" w:rsidRDefault="00DB2AD5" w:rsidP="00B76138">
      <w:pPr>
        <w:spacing w:after="0" w:line="480" w:lineRule="auto"/>
        <w:ind w:firstLine="720"/>
        <w:jc w:val="both"/>
      </w:pPr>
      <w:r>
        <w:t>Based upon the foregoing, Nucor respectfully requests that the Commission reconsider Order No. 7 and</w:t>
      </w:r>
      <w:r w:rsidR="000448C4">
        <w:t xml:space="preserve"> for the reasons set forth above: (i)</w:t>
      </w:r>
      <w:r>
        <w:t xml:space="preserve"> issue an order </w:t>
      </w:r>
      <w:r w:rsidR="00975643">
        <w:t>excluding Schedules 85, 85T, 87 and 87T from the revenue decoupling mechanism</w:t>
      </w:r>
      <w:r w:rsidR="000448C4">
        <w:t>,</w:t>
      </w:r>
      <w:r w:rsidR="00975643">
        <w:t xml:space="preserve"> and </w:t>
      </w:r>
      <w:r w:rsidR="000448C4">
        <w:t xml:space="preserve">(ii) </w:t>
      </w:r>
      <w:r w:rsidR="00975643">
        <w:t>reduce PSE’s ROE by 25 basis points</w:t>
      </w:r>
      <w:r w:rsidR="006623D1" w:rsidRPr="006623D1">
        <w:t xml:space="preserve"> </w:t>
      </w:r>
      <w:r w:rsidR="006623D1">
        <w:t>for the functions subject to the decoupling mechanism</w:t>
      </w:r>
      <w:r>
        <w:t>.</w:t>
      </w:r>
    </w:p>
    <w:p w:rsidR="00D260A4" w:rsidRDefault="00D260A4">
      <w:r>
        <w:br w:type="page"/>
      </w:r>
    </w:p>
    <w:p w:rsidR="006B02E7" w:rsidRDefault="006B02E7" w:rsidP="004219A7">
      <w:pPr>
        <w:spacing w:after="0" w:line="240" w:lineRule="auto"/>
        <w:ind w:left="5040"/>
        <w:jc w:val="both"/>
      </w:pPr>
      <w:r>
        <w:t>Respectfully submitted,</w:t>
      </w:r>
    </w:p>
    <w:p w:rsidR="000E5BB9" w:rsidRDefault="000E5BB9" w:rsidP="004219A7">
      <w:pPr>
        <w:spacing w:after="0" w:line="240" w:lineRule="auto"/>
        <w:ind w:left="5040"/>
        <w:jc w:val="both"/>
      </w:pPr>
    </w:p>
    <w:p w:rsidR="00D260A4" w:rsidRDefault="00D260A4" w:rsidP="004219A7">
      <w:pPr>
        <w:spacing w:after="0" w:line="240" w:lineRule="auto"/>
        <w:ind w:left="5040"/>
        <w:jc w:val="both"/>
      </w:pPr>
    </w:p>
    <w:p w:rsidR="006B02E7" w:rsidRDefault="004219A7" w:rsidP="004219A7">
      <w:pPr>
        <w:spacing w:after="0" w:line="240" w:lineRule="auto"/>
        <w:ind w:left="5040"/>
        <w:jc w:val="both"/>
      </w:pPr>
      <w:r>
        <w:t>____________________</w:t>
      </w:r>
      <w:r w:rsidR="00B378A4">
        <w:t>__</w:t>
      </w:r>
      <w:r>
        <w:t>_</w:t>
      </w:r>
    </w:p>
    <w:p w:rsidR="004219A7" w:rsidRDefault="004219A7" w:rsidP="004219A7">
      <w:pPr>
        <w:spacing w:after="0" w:line="240" w:lineRule="auto"/>
        <w:ind w:left="5040"/>
        <w:jc w:val="both"/>
      </w:pPr>
      <w:r>
        <w:t>Damon E. Xenopoulos, Esq.</w:t>
      </w:r>
    </w:p>
    <w:p w:rsidR="004219A7" w:rsidRDefault="004219A7" w:rsidP="004219A7">
      <w:pPr>
        <w:spacing w:after="0" w:line="240" w:lineRule="auto"/>
        <w:ind w:left="5040"/>
        <w:jc w:val="both"/>
      </w:pPr>
      <w:r>
        <w:t>Shaun C. Mohler, Esq.</w:t>
      </w:r>
    </w:p>
    <w:p w:rsidR="004219A7" w:rsidRDefault="004219A7" w:rsidP="004219A7">
      <w:pPr>
        <w:spacing w:after="0" w:line="240" w:lineRule="auto"/>
        <w:ind w:left="5040"/>
        <w:jc w:val="both"/>
      </w:pPr>
      <w:r>
        <w:t>Brickfield, Burchette, Ritts &amp; Stone, P.C.</w:t>
      </w:r>
    </w:p>
    <w:p w:rsidR="004219A7" w:rsidRDefault="004219A7" w:rsidP="004219A7">
      <w:pPr>
        <w:spacing w:after="0" w:line="240" w:lineRule="auto"/>
        <w:ind w:left="5040"/>
        <w:jc w:val="both"/>
      </w:pPr>
      <w:r>
        <w:t>1025 Thomas Jefferson Street, N.W.</w:t>
      </w:r>
    </w:p>
    <w:p w:rsidR="004219A7" w:rsidRDefault="004219A7" w:rsidP="004219A7">
      <w:pPr>
        <w:spacing w:after="0" w:line="240" w:lineRule="auto"/>
        <w:ind w:left="5040"/>
        <w:jc w:val="both"/>
      </w:pPr>
      <w:r>
        <w:t>8th Floor, West Tower</w:t>
      </w:r>
    </w:p>
    <w:p w:rsidR="004219A7" w:rsidRDefault="004219A7" w:rsidP="004219A7">
      <w:pPr>
        <w:spacing w:after="0" w:line="240" w:lineRule="auto"/>
        <w:ind w:left="5040"/>
        <w:jc w:val="both"/>
      </w:pPr>
      <w:r>
        <w:t>Washington, D.C. 20007</w:t>
      </w:r>
    </w:p>
    <w:p w:rsidR="004219A7" w:rsidRDefault="004219A7" w:rsidP="004219A7">
      <w:pPr>
        <w:spacing w:after="0" w:line="240" w:lineRule="auto"/>
        <w:ind w:left="5040"/>
        <w:jc w:val="both"/>
      </w:pPr>
      <w:r>
        <w:t>Phone: (202) 342-0800</w:t>
      </w:r>
    </w:p>
    <w:p w:rsidR="004219A7" w:rsidRDefault="004219A7" w:rsidP="004219A7">
      <w:pPr>
        <w:spacing w:after="0" w:line="240" w:lineRule="auto"/>
        <w:ind w:left="5040"/>
        <w:jc w:val="both"/>
      </w:pPr>
      <w:r>
        <w:t>Facsimile: (202) 342-0807</w:t>
      </w:r>
    </w:p>
    <w:p w:rsidR="004219A7" w:rsidRPr="00181958" w:rsidRDefault="001E5847" w:rsidP="004219A7">
      <w:pPr>
        <w:spacing w:after="0" w:line="240" w:lineRule="auto"/>
        <w:ind w:left="5040"/>
        <w:jc w:val="both"/>
        <w:rPr>
          <w:u w:val="single"/>
        </w:rPr>
      </w:pPr>
      <w:r w:rsidRPr="001E5847">
        <w:rPr>
          <w:u w:val="single"/>
        </w:rPr>
        <w:t>dex@bbrslaw.com</w:t>
      </w:r>
    </w:p>
    <w:p w:rsidR="004219A7" w:rsidRPr="00181958" w:rsidRDefault="001E5847" w:rsidP="004219A7">
      <w:pPr>
        <w:spacing w:after="0" w:line="240" w:lineRule="auto"/>
        <w:ind w:left="5040"/>
        <w:jc w:val="both"/>
        <w:rPr>
          <w:u w:val="single"/>
        </w:rPr>
      </w:pPr>
      <w:r w:rsidRPr="001E5847">
        <w:rPr>
          <w:u w:val="single"/>
        </w:rPr>
        <w:t>scm@bbrslaw.com</w:t>
      </w:r>
    </w:p>
    <w:p w:rsidR="004219A7" w:rsidRDefault="004219A7" w:rsidP="004219A7">
      <w:pPr>
        <w:spacing w:after="0" w:line="240" w:lineRule="auto"/>
        <w:ind w:left="5040"/>
        <w:jc w:val="both"/>
      </w:pPr>
    </w:p>
    <w:p w:rsidR="004219A7" w:rsidRDefault="004219A7" w:rsidP="004219A7">
      <w:pPr>
        <w:spacing w:after="0" w:line="240" w:lineRule="auto"/>
        <w:ind w:left="5040"/>
        <w:jc w:val="both"/>
      </w:pPr>
    </w:p>
    <w:p w:rsidR="004219A7" w:rsidRDefault="00DB2AD5" w:rsidP="004219A7">
      <w:pPr>
        <w:spacing w:after="0" w:line="240" w:lineRule="auto"/>
      </w:pPr>
      <w:r w:rsidRPr="004C4E29">
        <w:t>July</w:t>
      </w:r>
      <w:r w:rsidR="002E149F" w:rsidRPr="004C4E29">
        <w:t xml:space="preserve"> 5</w:t>
      </w:r>
      <w:r w:rsidR="004219A7" w:rsidRPr="004C4E29">
        <w:t>, 2013</w:t>
      </w:r>
    </w:p>
    <w:p w:rsidR="006B02E7" w:rsidRPr="00FE680E" w:rsidRDefault="006B02E7" w:rsidP="004219A7">
      <w:pPr>
        <w:spacing w:after="0" w:line="240" w:lineRule="auto"/>
        <w:ind w:left="5040"/>
        <w:jc w:val="both"/>
      </w:pPr>
    </w:p>
    <w:sectPr w:rsidR="006B02E7" w:rsidRPr="00FE680E" w:rsidSect="00263D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43" w:rsidRDefault="00D76C43" w:rsidP="005E5EA5">
      <w:pPr>
        <w:spacing w:after="0" w:line="240" w:lineRule="auto"/>
      </w:pPr>
      <w:r>
        <w:separator/>
      </w:r>
    </w:p>
  </w:endnote>
  <w:endnote w:type="continuationSeparator" w:id="0">
    <w:p w:rsidR="00D76C43" w:rsidRDefault="00D76C43" w:rsidP="005E5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73247"/>
      <w:docPartObj>
        <w:docPartGallery w:val="Page Numbers (Bottom of Page)"/>
        <w:docPartUnique/>
      </w:docPartObj>
    </w:sdtPr>
    <w:sdtContent>
      <w:p w:rsidR="00263DF9" w:rsidRDefault="000C687F">
        <w:pPr>
          <w:pStyle w:val="Footer"/>
          <w:jc w:val="center"/>
        </w:pPr>
        <w:r>
          <w:rPr>
            <w:noProof/>
          </w:rPr>
          <w:t>1</w:t>
        </w:r>
      </w:p>
    </w:sdtContent>
  </w:sdt>
  <w:p w:rsidR="006623D1" w:rsidRDefault="00662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43" w:rsidRDefault="00D76C43" w:rsidP="005E5EA5">
      <w:pPr>
        <w:spacing w:after="0" w:line="240" w:lineRule="auto"/>
      </w:pPr>
      <w:r>
        <w:separator/>
      </w:r>
    </w:p>
  </w:footnote>
  <w:footnote w:type="continuationSeparator" w:id="0">
    <w:p w:rsidR="00D76C43" w:rsidRDefault="00D76C43" w:rsidP="005E5EA5">
      <w:pPr>
        <w:spacing w:after="0" w:line="240" w:lineRule="auto"/>
      </w:pPr>
      <w:r>
        <w:continuationSeparator/>
      </w:r>
    </w:p>
  </w:footnote>
  <w:footnote w:id="1">
    <w:p w:rsidR="006623D1" w:rsidRDefault="006623D1">
      <w:pPr>
        <w:pStyle w:val="FootnoteText"/>
      </w:pPr>
      <w:r>
        <w:rPr>
          <w:rStyle w:val="FootnoteReference"/>
        </w:rPr>
        <w:footnoteRef/>
      </w:r>
      <w:r>
        <w:t xml:space="preserve"> Exhibit No. KCH-5</w:t>
      </w:r>
      <w:r w:rsidR="00295B03">
        <w:t>T</w:t>
      </w:r>
      <w:r>
        <w:t xml:space="preserve"> </w:t>
      </w:r>
      <w:r w:rsidR="00295B03">
        <w:t xml:space="preserve">(Higgins’ </w:t>
      </w:r>
      <w:r w:rsidR="00F014E2">
        <w:t>p</w:t>
      </w:r>
      <w:r w:rsidR="00295B03">
        <w:t xml:space="preserve">refiled </w:t>
      </w:r>
      <w:r w:rsidR="00F014E2">
        <w:t>response</w:t>
      </w:r>
      <w:r w:rsidR="00295B03">
        <w:t xml:space="preserve"> </w:t>
      </w:r>
      <w:r w:rsidR="00F014E2">
        <w:t>t</w:t>
      </w:r>
      <w:r w:rsidR="00295B03">
        <w:t xml:space="preserve">estimony on behalf of Nucor Steel Seattle, Inc.) </w:t>
      </w:r>
      <w:r>
        <w:t>at 14:</w:t>
      </w:r>
      <w:r w:rsidR="0081445D">
        <w:t>8</w:t>
      </w:r>
      <w:r>
        <w:t>-16.</w:t>
      </w:r>
    </w:p>
  </w:footnote>
  <w:footnote w:id="2">
    <w:p w:rsidR="006623D1" w:rsidRDefault="006623D1" w:rsidP="00C114ED">
      <w:pPr>
        <w:pStyle w:val="FootnoteText"/>
      </w:pPr>
      <w:r>
        <w:rPr>
          <w:rStyle w:val="FootnoteReference"/>
        </w:rPr>
        <w:footnoteRef/>
      </w:r>
      <w:r>
        <w:t xml:space="preserve"> </w:t>
      </w:r>
      <w:r w:rsidRPr="00AA5EAC">
        <w:rPr>
          <w:i/>
        </w:rPr>
        <w:t>Id</w:t>
      </w:r>
      <w:r>
        <w:t xml:space="preserve">. at 14:17-20. </w:t>
      </w:r>
    </w:p>
  </w:footnote>
  <w:footnote w:id="3">
    <w:p w:rsidR="006623D1" w:rsidRDefault="006623D1">
      <w:pPr>
        <w:pStyle w:val="FootnoteText"/>
      </w:pPr>
      <w:r>
        <w:rPr>
          <w:rStyle w:val="FootnoteReference"/>
        </w:rPr>
        <w:footnoteRef/>
      </w:r>
      <w:r>
        <w:t xml:space="preserve"> </w:t>
      </w:r>
      <w:r w:rsidRPr="00854DE3">
        <w:t xml:space="preserve">Order at </w:t>
      </w:r>
      <w:r>
        <w:t>P</w:t>
      </w:r>
      <w:r w:rsidRPr="00854DE3">
        <w:t>aragraph 119</w:t>
      </w:r>
      <w:r>
        <w:t>.</w:t>
      </w:r>
    </w:p>
  </w:footnote>
  <w:footnote w:id="4">
    <w:p w:rsidR="006623D1" w:rsidRDefault="006623D1">
      <w:pPr>
        <w:pStyle w:val="FootnoteText"/>
      </w:pPr>
      <w:r>
        <w:rPr>
          <w:rStyle w:val="FootnoteReference"/>
        </w:rPr>
        <w:footnoteRef/>
      </w:r>
      <w:r>
        <w:t xml:space="preserve"> Order at Paragraph 120.</w:t>
      </w:r>
    </w:p>
  </w:footnote>
  <w:footnote w:id="5">
    <w:p w:rsidR="006623D1" w:rsidRDefault="006623D1">
      <w:pPr>
        <w:pStyle w:val="FootnoteText"/>
      </w:pPr>
      <w:r>
        <w:rPr>
          <w:rStyle w:val="FootnoteReference"/>
        </w:rPr>
        <w:footnoteRef/>
      </w:r>
      <w:r>
        <w:t xml:space="preserve"> </w:t>
      </w:r>
      <w:r w:rsidRPr="00854DE3">
        <w:t>Exhibit No. JAP-24T at</w:t>
      </w:r>
      <w:r>
        <w:t xml:space="preserve"> 16:12-19.</w:t>
      </w:r>
    </w:p>
  </w:footnote>
  <w:footnote w:id="6">
    <w:p w:rsidR="006623D1" w:rsidRDefault="006623D1">
      <w:pPr>
        <w:pStyle w:val="FootnoteText"/>
      </w:pPr>
      <w:r>
        <w:rPr>
          <w:rStyle w:val="FootnoteReference"/>
        </w:rPr>
        <w:footnoteRef/>
      </w:r>
      <w:r>
        <w:t xml:space="preserve"> </w:t>
      </w:r>
      <w:r w:rsidRPr="00AA5EAC">
        <w:rPr>
          <w:i/>
        </w:rPr>
        <w:t>Id</w:t>
      </w:r>
      <w:r>
        <w:t>. at 15:6-14.</w:t>
      </w:r>
    </w:p>
  </w:footnote>
  <w:footnote w:id="7">
    <w:p w:rsidR="006623D1" w:rsidRDefault="006623D1">
      <w:pPr>
        <w:pStyle w:val="FootnoteText"/>
      </w:pPr>
      <w:r>
        <w:rPr>
          <w:rStyle w:val="FootnoteReference"/>
        </w:rPr>
        <w:footnoteRef/>
      </w:r>
      <w:r>
        <w:t xml:space="preserve"> Exhibit No. RCC-4T.</w:t>
      </w:r>
    </w:p>
  </w:footnote>
  <w:footnote w:id="8">
    <w:p w:rsidR="006623D1" w:rsidRDefault="006623D1">
      <w:pPr>
        <w:pStyle w:val="FootnoteText"/>
      </w:pPr>
      <w:r>
        <w:rPr>
          <w:rStyle w:val="FootnoteReference"/>
        </w:rPr>
        <w:footnoteRef/>
      </w:r>
      <w:r>
        <w:t xml:space="preserve"> Order at Paragraph 126.</w:t>
      </w:r>
    </w:p>
    <w:p w:rsidR="006623D1" w:rsidRDefault="006623D1">
      <w:pPr>
        <w:pStyle w:val="FootnoteText"/>
      </w:pPr>
    </w:p>
  </w:footnote>
  <w:footnote w:id="9">
    <w:p w:rsidR="006623D1" w:rsidRDefault="006623D1">
      <w:pPr>
        <w:pStyle w:val="FootnoteText"/>
      </w:pPr>
      <w:r>
        <w:rPr>
          <w:rStyle w:val="FootnoteReference"/>
        </w:rPr>
        <w:footnoteRef/>
      </w:r>
      <w:r>
        <w:t xml:space="preserve"> Order at Paragraph 107.</w:t>
      </w:r>
    </w:p>
  </w:footnote>
  <w:footnote w:id="10">
    <w:p w:rsidR="006623D1" w:rsidRDefault="006623D1">
      <w:pPr>
        <w:pStyle w:val="FootnoteText"/>
      </w:pPr>
      <w:r>
        <w:rPr>
          <w:rStyle w:val="FootnoteReference"/>
        </w:rPr>
        <w:footnoteRef/>
      </w:r>
      <w:r>
        <w:t xml:space="preserve"> Order at </w:t>
      </w:r>
      <w:r w:rsidR="00E06DE2">
        <w:t>49 n.</w:t>
      </w:r>
      <w:r>
        <w:t xml:space="preserve"> 162.</w:t>
      </w:r>
    </w:p>
  </w:footnote>
  <w:footnote w:id="11">
    <w:p w:rsidR="006623D1" w:rsidRDefault="006623D1">
      <w:pPr>
        <w:pStyle w:val="FootnoteText"/>
      </w:pPr>
      <w:r>
        <w:rPr>
          <w:rStyle w:val="FootnoteReference"/>
        </w:rPr>
        <w:footnoteRef/>
      </w:r>
      <w:r>
        <w:t xml:space="preserve"> Order at Paragraph </w:t>
      </w:r>
      <w:r w:rsidR="0091640F">
        <w:t>101</w:t>
      </w:r>
      <w:r>
        <w:t>.</w:t>
      </w:r>
    </w:p>
  </w:footnote>
  <w:footnote w:id="12">
    <w:p w:rsidR="006623D1" w:rsidRDefault="006623D1">
      <w:pPr>
        <w:pStyle w:val="FootnoteText"/>
      </w:pPr>
      <w:r>
        <w:rPr>
          <w:rStyle w:val="FootnoteReference"/>
        </w:rPr>
        <w:footnoteRef/>
      </w:r>
      <w:r>
        <w:t xml:space="preserve"> Exhibit </w:t>
      </w:r>
      <w:r w:rsidR="009418C8">
        <w:t xml:space="preserve">No. </w:t>
      </w:r>
      <w:r>
        <w:t xml:space="preserve">KCH-3 </w:t>
      </w:r>
      <w:r w:rsidR="00295B03">
        <w:t xml:space="preserve">(Exhibit </w:t>
      </w:r>
      <w:r w:rsidR="00F014E2">
        <w:t xml:space="preserve">3 </w:t>
      </w:r>
      <w:r w:rsidR="00295B03">
        <w:t xml:space="preserve">to Higgins’ </w:t>
      </w:r>
      <w:r w:rsidR="00F014E2">
        <w:t xml:space="preserve">prefiled response </w:t>
      </w:r>
      <w:r w:rsidR="00295B03">
        <w:t xml:space="preserve">testimony on behalf of </w:t>
      </w:r>
      <w:r w:rsidR="00F014E2">
        <w:t>T</w:t>
      </w:r>
      <w:r w:rsidR="00295B03">
        <w:t xml:space="preserve">he Kroger Company) </w:t>
      </w:r>
      <w:r>
        <w:t xml:space="preserve">at 4-7.  Nucor referenced the analysis at Exhibit </w:t>
      </w:r>
      <w:r w:rsidR="009418C8">
        <w:t xml:space="preserve">No. </w:t>
      </w:r>
      <w:r>
        <w:t>KCH-5T at 12:3-11.</w:t>
      </w:r>
    </w:p>
  </w:footnote>
  <w:footnote w:id="13">
    <w:p w:rsidR="006623D1" w:rsidRDefault="006623D1">
      <w:pPr>
        <w:pStyle w:val="FootnoteText"/>
      </w:pPr>
      <w:r>
        <w:rPr>
          <w:rStyle w:val="FootnoteReference"/>
        </w:rPr>
        <w:footnoteRef/>
      </w:r>
      <w:r>
        <w:t xml:space="preserve"> Exhibit </w:t>
      </w:r>
      <w:r w:rsidR="009418C8">
        <w:t xml:space="preserve">No. </w:t>
      </w:r>
      <w:r>
        <w:t xml:space="preserve">KCH-1T </w:t>
      </w:r>
      <w:r w:rsidR="00F014E2">
        <w:t xml:space="preserve">(Higgins’ prefiled response testimony on behalf of The Kroger Company) </w:t>
      </w:r>
      <w:r>
        <w:t>at 20:17-21:7.</w:t>
      </w:r>
    </w:p>
  </w:footnote>
  <w:footnote w:id="14">
    <w:p w:rsidR="006623D1" w:rsidRDefault="006623D1">
      <w:pPr>
        <w:pStyle w:val="FootnoteText"/>
      </w:pPr>
      <w:r>
        <w:rPr>
          <w:rStyle w:val="FootnoteReference"/>
        </w:rPr>
        <w:footnoteRef/>
      </w:r>
      <w:r>
        <w:t xml:space="preserve"> Exhibit </w:t>
      </w:r>
      <w:r w:rsidR="009418C8">
        <w:t xml:space="preserve">No. </w:t>
      </w:r>
      <w:r>
        <w:t>SGH</w:t>
      </w:r>
      <w:r w:rsidR="00E06DE2">
        <w:t>-</w:t>
      </w:r>
      <w:r>
        <w:t>1T at 3:19-18:11</w:t>
      </w:r>
      <w:r w:rsidR="002F4197">
        <w:t>;</w:t>
      </w:r>
      <w:r>
        <w:t xml:space="preserve"> </w:t>
      </w:r>
      <w:r w:rsidR="002F4197">
        <w:t xml:space="preserve">Exhibit </w:t>
      </w:r>
      <w:r w:rsidR="009418C8">
        <w:t xml:space="preserve">No. </w:t>
      </w:r>
      <w:r w:rsidR="002F4197">
        <w:t>MPG-1T at 11:22-14:2 and 28:1-15.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7F" w:rsidRDefault="000C68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A6D"/>
    <w:multiLevelType w:val="singleLevel"/>
    <w:tmpl w:val="2F5EA23E"/>
    <w:lvl w:ilvl="0">
      <w:start w:val="2"/>
      <w:numFmt w:val="upperRoman"/>
      <w:lvlText w:val="%1."/>
      <w:lvlJc w:val="left"/>
      <w:pPr>
        <w:tabs>
          <w:tab w:val="num" w:pos="1440"/>
        </w:tabs>
        <w:ind w:left="1440" w:hanging="720"/>
      </w:pPr>
      <w:rPr>
        <w:rFonts w:hint="default"/>
      </w:rPr>
    </w:lvl>
  </w:abstractNum>
  <w:abstractNum w:abstractNumId="1">
    <w:nsid w:val="3C7B75C1"/>
    <w:multiLevelType w:val="hybridMultilevel"/>
    <w:tmpl w:val="3202EBA6"/>
    <w:lvl w:ilvl="0" w:tplc="2D465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649D0"/>
    <w:rsid w:val="000007A8"/>
    <w:rsid w:val="00001701"/>
    <w:rsid w:val="00002A58"/>
    <w:rsid w:val="00005C2F"/>
    <w:rsid w:val="000108B5"/>
    <w:rsid w:val="000109CD"/>
    <w:rsid w:val="000114A5"/>
    <w:rsid w:val="00020479"/>
    <w:rsid w:val="00026CDB"/>
    <w:rsid w:val="00027DC2"/>
    <w:rsid w:val="0003087C"/>
    <w:rsid w:val="000308CF"/>
    <w:rsid w:val="00036BA7"/>
    <w:rsid w:val="00043325"/>
    <w:rsid w:val="0004367E"/>
    <w:rsid w:val="000448C4"/>
    <w:rsid w:val="00055F2D"/>
    <w:rsid w:val="00062C54"/>
    <w:rsid w:val="00063DA1"/>
    <w:rsid w:val="000657C6"/>
    <w:rsid w:val="00066C00"/>
    <w:rsid w:val="0007043C"/>
    <w:rsid w:val="0007391D"/>
    <w:rsid w:val="0007541F"/>
    <w:rsid w:val="00076717"/>
    <w:rsid w:val="000812D0"/>
    <w:rsid w:val="000815AC"/>
    <w:rsid w:val="000905DA"/>
    <w:rsid w:val="00091BB4"/>
    <w:rsid w:val="0009362D"/>
    <w:rsid w:val="00093B25"/>
    <w:rsid w:val="00094D9F"/>
    <w:rsid w:val="00096C21"/>
    <w:rsid w:val="0009763B"/>
    <w:rsid w:val="000A307D"/>
    <w:rsid w:val="000B1DAD"/>
    <w:rsid w:val="000B5A98"/>
    <w:rsid w:val="000C2394"/>
    <w:rsid w:val="000C49D3"/>
    <w:rsid w:val="000C687F"/>
    <w:rsid w:val="000C6BE3"/>
    <w:rsid w:val="000D1366"/>
    <w:rsid w:val="000D684F"/>
    <w:rsid w:val="000E3DF9"/>
    <w:rsid w:val="000E5B2F"/>
    <w:rsid w:val="000E5BB9"/>
    <w:rsid w:val="000F73A7"/>
    <w:rsid w:val="001113CD"/>
    <w:rsid w:val="001128BA"/>
    <w:rsid w:val="001157B4"/>
    <w:rsid w:val="00115CBE"/>
    <w:rsid w:val="001212BA"/>
    <w:rsid w:val="00124FF7"/>
    <w:rsid w:val="00127D56"/>
    <w:rsid w:val="001379E0"/>
    <w:rsid w:val="00141F3A"/>
    <w:rsid w:val="0014774E"/>
    <w:rsid w:val="00152861"/>
    <w:rsid w:val="00153400"/>
    <w:rsid w:val="00155ABF"/>
    <w:rsid w:val="00156E33"/>
    <w:rsid w:val="001613A6"/>
    <w:rsid w:val="001615EC"/>
    <w:rsid w:val="001631DF"/>
    <w:rsid w:val="00166106"/>
    <w:rsid w:val="00167408"/>
    <w:rsid w:val="0016750D"/>
    <w:rsid w:val="00167BC6"/>
    <w:rsid w:val="00170834"/>
    <w:rsid w:val="00170A8C"/>
    <w:rsid w:val="00175B3C"/>
    <w:rsid w:val="00181958"/>
    <w:rsid w:val="00187982"/>
    <w:rsid w:val="00192D2F"/>
    <w:rsid w:val="001A3621"/>
    <w:rsid w:val="001A39EA"/>
    <w:rsid w:val="001B10E4"/>
    <w:rsid w:val="001B34FE"/>
    <w:rsid w:val="001B575D"/>
    <w:rsid w:val="001C01DE"/>
    <w:rsid w:val="001C5FF0"/>
    <w:rsid w:val="001D0594"/>
    <w:rsid w:val="001D1391"/>
    <w:rsid w:val="001D23FC"/>
    <w:rsid w:val="001D2692"/>
    <w:rsid w:val="001D377A"/>
    <w:rsid w:val="001D6AC7"/>
    <w:rsid w:val="001E3AD8"/>
    <w:rsid w:val="001E3C36"/>
    <w:rsid w:val="001E516F"/>
    <w:rsid w:val="001E5847"/>
    <w:rsid w:val="001F1F65"/>
    <w:rsid w:val="001F6A08"/>
    <w:rsid w:val="001F7D1A"/>
    <w:rsid w:val="002037F5"/>
    <w:rsid w:val="0020600B"/>
    <w:rsid w:val="0020744E"/>
    <w:rsid w:val="00214B82"/>
    <w:rsid w:val="00223EE7"/>
    <w:rsid w:val="00225575"/>
    <w:rsid w:val="002268A4"/>
    <w:rsid w:val="00236843"/>
    <w:rsid w:val="00241C00"/>
    <w:rsid w:val="002421B8"/>
    <w:rsid w:val="0024702C"/>
    <w:rsid w:val="0025252A"/>
    <w:rsid w:val="00256247"/>
    <w:rsid w:val="002568BB"/>
    <w:rsid w:val="00263DF9"/>
    <w:rsid w:val="00265BFE"/>
    <w:rsid w:val="0027159D"/>
    <w:rsid w:val="00274F40"/>
    <w:rsid w:val="00276788"/>
    <w:rsid w:val="002852B6"/>
    <w:rsid w:val="00290AF7"/>
    <w:rsid w:val="00291BC5"/>
    <w:rsid w:val="0029208A"/>
    <w:rsid w:val="00292A2E"/>
    <w:rsid w:val="002938C8"/>
    <w:rsid w:val="00293FAC"/>
    <w:rsid w:val="00295B03"/>
    <w:rsid w:val="002A0649"/>
    <w:rsid w:val="002A1044"/>
    <w:rsid w:val="002A1DD4"/>
    <w:rsid w:val="002A5967"/>
    <w:rsid w:val="002B01FC"/>
    <w:rsid w:val="002B6A42"/>
    <w:rsid w:val="002B73DA"/>
    <w:rsid w:val="002C2693"/>
    <w:rsid w:val="002C622A"/>
    <w:rsid w:val="002D07AA"/>
    <w:rsid w:val="002D2687"/>
    <w:rsid w:val="002D487A"/>
    <w:rsid w:val="002D79FC"/>
    <w:rsid w:val="002E149F"/>
    <w:rsid w:val="002E1B86"/>
    <w:rsid w:val="002E32A6"/>
    <w:rsid w:val="002E7275"/>
    <w:rsid w:val="002F26E9"/>
    <w:rsid w:val="002F4197"/>
    <w:rsid w:val="003111FC"/>
    <w:rsid w:val="00316A21"/>
    <w:rsid w:val="00323B44"/>
    <w:rsid w:val="0032429C"/>
    <w:rsid w:val="003263C3"/>
    <w:rsid w:val="00332CED"/>
    <w:rsid w:val="00335B87"/>
    <w:rsid w:val="00337767"/>
    <w:rsid w:val="003439DA"/>
    <w:rsid w:val="00344C2D"/>
    <w:rsid w:val="00346770"/>
    <w:rsid w:val="00346AF8"/>
    <w:rsid w:val="003511A8"/>
    <w:rsid w:val="00356226"/>
    <w:rsid w:val="0035669E"/>
    <w:rsid w:val="0036089D"/>
    <w:rsid w:val="00375BAD"/>
    <w:rsid w:val="00381E4F"/>
    <w:rsid w:val="00385501"/>
    <w:rsid w:val="00386986"/>
    <w:rsid w:val="00387311"/>
    <w:rsid w:val="00390207"/>
    <w:rsid w:val="00391648"/>
    <w:rsid w:val="00395A93"/>
    <w:rsid w:val="003A2195"/>
    <w:rsid w:val="003A2979"/>
    <w:rsid w:val="003A3FD8"/>
    <w:rsid w:val="003A63C6"/>
    <w:rsid w:val="003A722B"/>
    <w:rsid w:val="003B16B8"/>
    <w:rsid w:val="003B17F2"/>
    <w:rsid w:val="003B4BF2"/>
    <w:rsid w:val="003B5037"/>
    <w:rsid w:val="003B50E6"/>
    <w:rsid w:val="003B67BF"/>
    <w:rsid w:val="003C4278"/>
    <w:rsid w:val="003D0EF0"/>
    <w:rsid w:val="003D2D5E"/>
    <w:rsid w:val="003D4F63"/>
    <w:rsid w:val="003D4FB6"/>
    <w:rsid w:val="003E02FD"/>
    <w:rsid w:val="003E0787"/>
    <w:rsid w:val="003E0DF0"/>
    <w:rsid w:val="003E30FF"/>
    <w:rsid w:val="003E4736"/>
    <w:rsid w:val="003E74FD"/>
    <w:rsid w:val="003F32C7"/>
    <w:rsid w:val="0040094D"/>
    <w:rsid w:val="00403973"/>
    <w:rsid w:val="00406897"/>
    <w:rsid w:val="00406EC2"/>
    <w:rsid w:val="00410EF2"/>
    <w:rsid w:val="004117C6"/>
    <w:rsid w:val="0042132D"/>
    <w:rsid w:val="004219A7"/>
    <w:rsid w:val="004271EE"/>
    <w:rsid w:val="004274C1"/>
    <w:rsid w:val="00430D6B"/>
    <w:rsid w:val="004312AE"/>
    <w:rsid w:val="00435610"/>
    <w:rsid w:val="00435F4F"/>
    <w:rsid w:val="00443BCC"/>
    <w:rsid w:val="004454DE"/>
    <w:rsid w:val="004526A3"/>
    <w:rsid w:val="00456638"/>
    <w:rsid w:val="00457E9B"/>
    <w:rsid w:val="004609FD"/>
    <w:rsid w:val="00465121"/>
    <w:rsid w:val="00466405"/>
    <w:rsid w:val="00466E3A"/>
    <w:rsid w:val="00473EE1"/>
    <w:rsid w:val="00486A46"/>
    <w:rsid w:val="00490B7D"/>
    <w:rsid w:val="00491E97"/>
    <w:rsid w:val="00493658"/>
    <w:rsid w:val="004A453C"/>
    <w:rsid w:val="004A49D0"/>
    <w:rsid w:val="004A65F5"/>
    <w:rsid w:val="004B1FCE"/>
    <w:rsid w:val="004B485E"/>
    <w:rsid w:val="004B49C7"/>
    <w:rsid w:val="004C0F6D"/>
    <w:rsid w:val="004C2E6D"/>
    <w:rsid w:val="004C3145"/>
    <w:rsid w:val="004C3945"/>
    <w:rsid w:val="004C4E29"/>
    <w:rsid w:val="004C729D"/>
    <w:rsid w:val="004D1D10"/>
    <w:rsid w:val="004D3D51"/>
    <w:rsid w:val="004E5485"/>
    <w:rsid w:val="004F00A3"/>
    <w:rsid w:val="004F750A"/>
    <w:rsid w:val="00500C14"/>
    <w:rsid w:val="005048F8"/>
    <w:rsid w:val="005057CA"/>
    <w:rsid w:val="00507102"/>
    <w:rsid w:val="0050733E"/>
    <w:rsid w:val="00510683"/>
    <w:rsid w:val="0051139B"/>
    <w:rsid w:val="0051262E"/>
    <w:rsid w:val="0051594A"/>
    <w:rsid w:val="00515D8D"/>
    <w:rsid w:val="0051619A"/>
    <w:rsid w:val="0052104A"/>
    <w:rsid w:val="005239F3"/>
    <w:rsid w:val="005263A1"/>
    <w:rsid w:val="00527422"/>
    <w:rsid w:val="00532D21"/>
    <w:rsid w:val="00533B3F"/>
    <w:rsid w:val="00535683"/>
    <w:rsid w:val="00537514"/>
    <w:rsid w:val="00541B21"/>
    <w:rsid w:val="00546871"/>
    <w:rsid w:val="00546FE0"/>
    <w:rsid w:val="00547FA4"/>
    <w:rsid w:val="005539A9"/>
    <w:rsid w:val="00553A66"/>
    <w:rsid w:val="005553EA"/>
    <w:rsid w:val="00563638"/>
    <w:rsid w:val="00564110"/>
    <w:rsid w:val="005642E8"/>
    <w:rsid w:val="00564645"/>
    <w:rsid w:val="0056670A"/>
    <w:rsid w:val="005744FA"/>
    <w:rsid w:val="00574795"/>
    <w:rsid w:val="005829F5"/>
    <w:rsid w:val="00584928"/>
    <w:rsid w:val="00585268"/>
    <w:rsid w:val="00586500"/>
    <w:rsid w:val="005940B4"/>
    <w:rsid w:val="005945F6"/>
    <w:rsid w:val="005966E3"/>
    <w:rsid w:val="005A2456"/>
    <w:rsid w:val="005A5376"/>
    <w:rsid w:val="005A64BD"/>
    <w:rsid w:val="005A74EC"/>
    <w:rsid w:val="005B23E0"/>
    <w:rsid w:val="005B5AC9"/>
    <w:rsid w:val="005B6E0E"/>
    <w:rsid w:val="005C00F8"/>
    <w:rsid w:val="005C015D"/>
    <w:rsid w:val="005C1487"/>
    <w:rsid w:val="005C1B48"/>
    <w:rsid w:val="005C64E6"/>
    <w:rsid w:val="005C6D92"/>
    <w:rsid w:val="005C77F2"/>
    <w:rsid w:val="005D6156"/>
    <w:rsid w:val="005D72EE"/>
    <w:rsid w:val="005E2B58"/>
    <w:rsid w:val="005E57A5"/>
    <w:rsid w:val="005E5EA5"/>
    <w:rsid w:val="005F0F3B"/>
    <w:rsid w:val="005F11B8"/>
    <w:rsid w:val="005F2F69"/>
    <w:rsid w:val="005F6FD1"/>
    <w:rsid w:val="005F7163"/>
    <w:rsid w:val="005F77AC"/>
    <w:rsid w:val="005F7D15"/>
    <w:rsid w:val="006051A1"/>
    <w:rsid w:val="00606E53"/>
    <w:rsid w:val="006079C2"/>
    <w:rsid w:val="00610365"/>
    <w:rsid w:val="006164CA"/>
    <w:rsid w:val="00620202"/>
    <w:rsid w:val="006203E2"/>
    <w:rsid w:val="0062046D"/>
    <w:rsid w:val="00620AC0"/>
    <w:rsid w:val="00625AF0"/>
    <w:rsid w:val="00626C49"/>
    <w:rsid w:val="00627C2F"/>
    <w:rsid w:val="00630046"/>
    <w:rsid w:val="006319AE"/>
    <w:rsid w:val="006340FC"/>
    <w:rsid w:val="00635F3E"/>
    <w:rsid w:val="00636513"/>
    <w:rsid w:val="006403D5"/>
    <w:rsid w:val="00643C8E"/>
    <w:rsid w:val="0064415E"/>
    <w:rsid w:val="00645932"/>
    <w:rsid w:val="00646FE9"/>
    <w:rsid w:val="006470B2"/>
    <w:rsid w:val="006504EB"/>
    <w:rsid w:val="006530E0"/>
    <w:rsid w:val="006623D1"/>
    <w:rsid w:val="006649D0"/>
    <w:rsid w:val="00667962"/>
    <w:rsid w:val="00670043"/>
    <w:rsid w:val="006702E9"/>
    <w:rsid w:val="006716D5"/>
    <w:rsid w:val="00677C76"/>
    <w:rsid w:val="00682A36"/>
    <w:rsid w:val="00684C1E"/>
    <w:rsid w:val="00687739"/>
    <w:rsid w:val="00690ADC"/>
    <w:rsid w:val="00694030"/>
    <w:rsid w:val="00694F99"/>
    <w:rsid w:val="006957E9"/>
    <w:rsid w:val="0069597C"/>
    <w:rsid w:val="006A3892"/>
    <w:rsid w:val="006B02E7"/>
    <w:rsid w:val="006C08A8"/>
    <w:rsid w:val="006D3F40"/>
    <w:rsid w:val="006D4136"/>
    <w:rsid w:val="006D7CDB"/>
    <w:rsid w:val="006E4276"/>
    <w:rsid w:val="006E43F4"/>
    <w:rsid w:val="006F51E2"/>
    <w:rsid w:val="006F6D89"/>
    <w:rsid w:val="00700F5C"/>
    <w:rsid w:val="00702B93"/>
    <w:rsid w:val="007049B5"/>
    <w:rsid w:val="00705DB0"/>
    <w:rsid w:val="00707807"/>
    <w:rsid w:val="00713884"/>
    <w:rsid w:val="0071479D"/>
    <w:rsid w:val="00716A92"/>
    <w:rsid w:val="00720696"/>
    <w:rsid w:val="00722664"/>
    <w:rsid w:val="007238F1"/>
    <w:rsid w:val="00724568"/>
    <w:rsid w:val="007264CC"/>
    <w:rsid w:val="0073578A"/>
    <w:rsid w:val="00735999"/>
    <w:rsid w:val="00735A69"/>
    <w:rsid w:val="007369E6"/>
    <w:rsid w:val="00745EEA"/>
    <w:rsid w:val="007473AA"/>
    <w:rsid w:val="00750907"/>
    <w:rsid w:val="00751C1F"/>
    <w:rsid w:val="00753720"/>
    <w:rsid w:val="00763A4F"/>
    <w:rsid w:val="007768EE"/>
    <w:rsid w:val="00776FD2"/>
    <w:rsid w:val="007828C3"/>
    <w:rsid w:val="0078555B"/>
    <w:rsid w:val="00790A52"/>
    <w:rsid w:val="007975C0"/>
    <w:rsid w:val="007A1C5A"/>
    <w:rsid w:val="007A2D9D"/>
    <w:rsid w:val="007C79AB"/>
    <w:rsid w:val="007D0FBF"/>
    <w:rsid w:val="007D1028"/>
    <w:rsid w:val="007D27ED"/>
    <w:rsid w:val="007D34BD"/>
    <w:rsid w:val="007D6E57"/>
    <w:rsid w:val="007E5558"/>
    <w:rsid w:val="007E593A"/>
    <w:rsid w:val="007F0EA0"/>
    <w:rsid w:val="007F2258"/>
    <w:rsid w:val="008005B7"/>
    <w:rsid w:val="00803C59"/>
    <w:rsid w:val="00805223"/>
    <w:rsid w:val="0080767A"/>
    <w:rsid w:val="0081445D"/>
    <w:rsid w:val="00814DB8"/>
    <w:rsid w:val="0081689C"/>
    <w:rsid w:val="008177D0"/>
    <w:rsid w:val="00821629"/>
    <w:rsid w:val="00822243"/>
    <w:rsid w:val="00822630"/>
    <w:rsid w:val="00840005"/>
    <w:rsid w:val="008502AA"/>
    <w:rsid w:val="008505BA"/>
    <w:rsid w:val="0085135C"/>
    <w:rsid w:val="00854DE3"/>
    <w:rsid w:val="00857D14"/>
    <w:rsid w:val="00861994"/>
    <w:rsid w:val="0086463F"/>
    <w:rsid w:val="00865CF8"/>
    <w:rsid w:val="00866667"/>
    <w:rsid w:val="00866AC3"/>
    <w:rsid w:val="008672FF"/>
    <w:rsid w:val="00867C14"/>
    <w:rsid w:val="00870039"/>
    <w:rsid w:val="00873C43"/>
    <w:rsid w:val="0087761E"/>
    <w:rsid w:val="008801B1"/>
    <w:rsid w:val="008807C1"/>
    <w:rsid w:val="008819AF"/>
    <w:rsid w:val="008875DE"/>
    <w:rsid w:val="008956B6"/>
    <w:rsid w:val="008959DE"/>
    <w:rsid w:val="008967C7"/>
    <w:rsid w:val="008970E0"/>
    <w:rsid w:val="008A0F71"/>
    <w:rsid w:val="008A3CE4"/>
    <w:rsid w:val="008A7C84"/>
    <w:rsid w:val="008B5DE9"/>
    <w:rsid w:val="008B61F0"/>
    <w:rsid w:val="008C1B68"/>
    <w:rsid w:val="008C2C4A"/>
    <w:rsid w:val="008C5AC9"/>
    <w:rsid w:val="008C6B9F"/>
    <w:rsid w:val="008C785C"/>
    <w:rsid w:val="008D10BA"/>
    <w:rsid w:val="008D58FA"/>
    <w:rsid w:val="008D7684"/>
    <w:rsid w:val="008E2B53"/>
    <w:rsid w:val="008E5062"/>
    <w:rsid w:val="008E5E08"/>
    <w:rsid w:val="008E7141"/>
    <w:rsid w:val="008F0DBC"/>
    <w:rsid w:val="008F0F0A"/>
    <w:rsid w:val="008F5025"/>
    <w:rsid w:val="008F6474"/>
    <w:rsid w:val="009019D0"/>
    <w:rsid w:val="009028AB"/>
    <w:rsid w:val="00904FBE"/>
    <w:rsid w:val="00905588"/>
    <w:rsid w:val="00910611"/>
    <w:rsid w:val="0091640F"/>
    <w:rsid w:val="009210C0"/>
    <w:rsid w:val="00923690"/>
    <w:rsid w:val="00924545"/>
    <w:rsid w:val="00930DAE"/>
    <w:rsid w:val="009310EB"/>
    <w:rsid w:val="009315FB"/>
    <w:rsid w:val="009418C8"/>
    <w:rsid w:val="009455AF"/>
    <w:rsid w:val="00945E2A"/>
    <w:rsid w:val="0094610E"/>
    <w:rsid w:val="00947402"/>
    <w:rsid w:val="00952FE7"/>
    <w:rsid w:val="00967C64"/>
    <w:rsid w:val="00971165"/>
    <w:rsid w:val="009750FA"/>
    <w:rsid w:val="00975643"/>
    <w:rsid w:val="009762FB"/>
    <w:rsid w:val="00976BAE"/>
    <w:rsid w:val="00982884"/>
    <w:rsid w:val="00987105"/>
    <w:rsid w:val="009935F8"/>
    <w:rsid w:val="00997CE1"/>
    <w:rsid w:val="009A5A14"/>
    <w:rsid w:val="009B1026"/>
    <w:rsid w:val="009B26E9"/>
    <w:rsid w:val="009B3A0B"/>
    <w:rsid w:val="009C0627"/>
    <w:rsid w:val="009C1894"/>
    <w:rsid w:val="009C438B"/>
    <w:rsid w:val="009D21E6"/>
    <w:rsid w:val="009D4C3D"/>
    <w:rsid w:val="009E02FF"/>
    <w:rsid w:val="009E08E2"/>
    <w:rsid w:val="009E1C24"/>
    <w:rsid w:val="009F09BC"/>
    <w:rsid w:val="009F2342"/>
    <w:rsid w:val="009F323E"/>
    <w:rsid w:val="009F3658"/>
    <w:rsid w:val="009F3EA3"/>
    <w:rsid w:val="009F7C19"/>
    <w:rsid w:val="00A00B81"/>
    <w:rsid w:val="00A011D1"/>
    <w:rsid w:val="00A06713"/>
    <w:rsid w:val="00A15621"/>
    <w:rsid w:val="00A20617"/>
    <w:rsid w:val="00A212C7"/>
    <w:rsid w:val="00A250BD"/>
    <w:rsid w:val="00A25C26"/>
    <w:rsid w:val="00A25EDB"/>
    <w:rsid w:val="00A27104"/>
    <w:rsid w:val="00A275AE"/>
    <w:rsid w:val="00A32172"/>
    <w:rsid w:val="00A330E2"/>
    <w:rsid w:val="00A353BA"/>
    <w:rsid w:val="00A37B15"/>
    <w:rsid w:val="00A44BB4"/>
    <w:rsid w:val="00A44F85"/>
    <w:rsid w:val="00A46A8A"/>
    <w:rsid w:val="00A53B50"/>
    <w:rsid w:val="00A5507F"/>
    <w:rsid w:val="00A71A44"/>
    <w:rsid w:val="00A73336"/>
    <w:rsid w:val="00A752F8"/>
    <w:rsid w:val="00A76ECE"/>
    <w:rsid w:val="00A77611"/>
    <w:rsid w:val="00A77CEF"/>
    <w:rsid w:val="00A815C0"/>
    <w:rsid w:val="00A82952"/>
    <w:rsid w:val="00A82A0D"/>
    <w:rsid w:val="00A84C1C"/>
    <w:rsid w:val="00AA136D"/>
    <w:rsid w:val="00AA346C"/>
    <w:rsid w:val="00AA5EAC"/>
    <w:rsid w:val="00AA620B"/>
    <w:rsid w:val="00AB19A9"/>
    <w:rsid w:val="00AB4724"/>
    <w:rsid w:val="00AB5CAF"/>
    <w:rsid w:val="00AB66D8"/>
    <w:rsid w:val="00AC0B54"/>
    <w:rsid w:val="00AC1426"/>
    <w:rsid w:val="00AC4FF3"/>
    <w:rsid w:val="00AD538C"/>
    <w:rsid w:val="00AD74EA"/>
    <w:rsid w:val="00AF0B57"/>
    <w:rsid w:val="00AF310F"/>
    <w:rsid w:val="00AF4899"/>
    <w:rsid w:val="00AF5205"/>
    <w:rsid w:val="00AF5614"/>
    <w:rsid w:val="00AF6C27"/>
    <w:rsid w:val="00B15C02"/>
    <w:rsid w:val="00B1725D"/>
    <w:rsid w:val="00B17C29"/>
    <w:rsid w:val="00B2460B"/>
    <w:rsid w:val="00B249B1"/>
    <w:rsid w:val="00B268D8"/>
    <w:rsid w:val="00B378A4"/>
    <w:rsid w:val="00B4051C"/>
    <w:rsid w:val="00B44532"/>
    <w:rsid w:val="00B44B95"/>
    <w:rsid w:val="00B5077E"/>
    <w:rsid w:val="00B53BC7"/>
    <w:rsid w:val="00B54AFB"/>
    <w:rsid w:val="00B55B9A"/>
    <w:rsid w:val="00B63651"/>
    <w:rsid w:val="00B670AF"/>
    <w:rsid w:val="00B6798E"/>
    <w:rsid w:val="00B76138"/>
    <w:rsid w:val="00B7618A"/>
    <w:rsid w:val="00B76973"/>
    <w:rsid w:val="00B81817"/>
    <w:rsid w:val="00BA2DF7"/>
    <w:rsid w:val="00BB07F1"/>
    <w:rsid w:val="00BB2CF7"/>
    <w:rsid w:val="00BB2D49"/>
    <w:rsid w:val="00BB372C"/>
    <w:rsid w:val="00BB3C47"/>
    <w:rsid w:val="00BB47E9"/>
    <w:rsid w:val="00BC2006"/>
    <w:rsid w:val="00BC50EA"/>
    <w:rsid w:val="00BD4D1A"/>
    <w:rsid w:val="00BE54E9"/>
    <w:rsid w:val="00BF4E61"/>
    <w:rsid w:val="00BF767A"/>
    <w:rsid w:val="00C053F0"/>
    <w:rsid w:val="00C10AF6"/>
    <w:rsid w:val="00C114ED"/>
    <w:rsid w:val="00C20FA3"/>
    <w:rsid w:val="00C23D97"/>
    <w:rsid w:val="00C23E28"/>
    <w:rsid w:val="00C30F01"/>
    <w:rsid w:val="00C31B3D"/>
    <w:rsid w:val="00C331B6"/>
    <w:rsid w:val="00C360C7"/>
    <w:rsid w:val="00C41340"/>
    <w:rsid w:val="00C4544B"/>
    <w:rsid w:val="00C45A0E"/>
    <w:rsid w:val="00C45BA7"/>
    <w:rsid w:val="00C53D87"/>
    <w:rsid w:val="00C6152A"/>
    <w:rsid w:val="00C62CBF"/>
    <w:rsid w:val="00C65B20"/>
    <w:rsid w:val="00C729B1"/>
    <w:rsid w:val="00C83FBE"/>
    <w:rsid w:val="00C87413"/>
    <w:rsid w:val="00C87EC1"/>
    <w:rsid w:val="00C95439"/>
    <w:rsid w:val="00C95A03"/>
    <w:rsid w:val="00C960BA"/>
    <w:rsid w:val="00C96EA8"/>
    <w:rsid w:val="00CA11DC"/>
    <w:rsid w:val="00CA1B32"/>
    <w:rsid w:val="00CA344E"/>
    <w:rsid w:val="00CA795E"/>
    <w:rsid w:val="00CB0E80"/>
    <w:rsid w:val="00CB764B"/>
    <w:rsid w:val="00CC348C"/>
    <w:rsid w:val="00CD40EC"/>
    <w:rsid w:val="00CD44E0"/>
    <w:rsid w:val="00CE1474"/>
    <w:rsid w:val="00CE14A9"/>
    <w:rsid w:val="00CE23D8"/>
    <w:rsid w:val="00CE3031"/>
    <w:rsid w:val="00CE4921"/>
    <w:rsid w:val="00CE6752"/>
    <w:rsid w:val="00CE6A78"/>
    <w:rsid w:val="00D04173"/>
    <w:rsid w:val="00D04B20"/>
    <w:rsid w:val="00D05B8A"/>
    <w:rsid w:val="00D06DBF"/>
    <w:rsid w:val="00D11D01"/>
    <w:rsid w:val="00D12243"/>
    <w:rsid w:val="00D15E0D"/>
    <w:rsid w:val="00D16C19"/>
    <w:rsid w:val="00D210DD"/>
    <w:rsid w:val="00D21101"/>
    <w:rsid w:val="00D24981"/>
    <w:rsid w:val="00D25275"/>
    <w:rsid w:val="00D260A4"/>
    <w:rsid w:val="00D27BE7"/>
    <w:rsid w:val="00D3659E"/>
    <w:rsid w:val="00D3773C"/>
    <w:rsid w:val="00D415A8"/>
    <w:rsid w:val="00D4269E"/>
    <w:rsid w:val="00D4355A"/>
    <w:rsid w:val="00D44389"/>
    <w:rsid w:val="00D708B8"/>
    <w:rsid w:val="00D71FFA"/>
    <w:rsid w:val="00D732D4"/>
    <w:rsid w:val="00D756C4"/>
    <w:rsid w:val="00D76C43"/>
    <w:rsid w:val="00D823C5"/>
    <w:rsid w:val="00D8265D"/>
    <w:rsid w:val="00D83D73"/>
    <w:rsid w:val="00D85B3F"/>
    <w:rsid w:val="00D91D7A"/>
    <w:rsid w:val="00D9447D"/>
    <w:rsid w:val="00D97690"/>
    <w:rsid w:val="00DA1DF3"/>
    <w:rsid w:val="00DA20E0"/>
    <w:rsid w:val="00DA2917"/>
    <w:rsid w:val="00DA4577"/>
    <w:rsid w:val="00DA73F7"/>
    <w:rsid w:val="00DB1034"/>
    <w:rsid w:val="00DB2AD5"/>
    <w:rsid w:val="00DB670A"/>
    <w:rsid w:val="00DB74F5"/>
    <w:rsid w:val="00DB782E"/>
    <w:rsid w:val="00DC43F6"/>
    <w:rsid w:val="00DC4EC6"/>
    <w:rsid w:val="00DC52B4"/>
    <w:rsid w:val="00DD2F43"/>
    <w:rsid w:val="00DD4056"/>
    <w:rsid w:val="00DD6A4B"/>
    <w:rsid w:val="00DD6B18"/>
    <w:rsid w:val="00DF40DE"/>
    <w:rsid w:val="00E02E6F"/>
    <w:rsid w:val="00E06DE2"/>
    <w:rsid w:val="00E12661"/>
    <w:rsid w:val="00E1370F"/>
    <w:rsid w:val="00E13BA7"/>
    <w:rsid w:val="00E163A8"/>
    <w:rsid w:val="00E16859"/>
    <w:rsid w:val="00E25089"/>
    <w:rsid w:val="00E25D87"/>
    <w:rsid w:val="00E26EC6"/>
    <w:rsid w:val="00E3128D"/>
    <w:rsid w:val="00E334B7"/>
    <w:rsid w:val="00E34411"/>
    <w:rsid w:val="00E443A8"/>
    <w:rsid w:val="00E47503"/>
    <w:rsid w:val="00E51ACF"/>
    <w:rsid w:val="00E55294"/>
    <w:rsid w:val="00E56EEE"/>
    <w:rsid w:val="00E6166C"/>
    <w:rsid w:val="00E624B6"/>
    <w:rsid w:val="00E650A7"/>
    <w:rsid w:val="00E65A3B"/>
    <w:rsid w:val="00E74192"/>
    <w:rsid w:val="00E76585"/>
    <w:rsid w:val="00E814DE"/>
    <w:rsid w:val="00E829CB"/>
    <w:rsid w:val="00E832CD"/>
    <w:rsid w:val="00E8741A"/>
    <w:rsid w:val="00E94686"/>
    <w:rsid w:val="00EA3879"/>
    <w:rsid w:val="00EA41CB"/>
    <w:rsid w:val="00EA6100"/>
    <w:rsid w:val="00EB1C72"/>
    <w:rsid w:val="00EB245D"/>
    <w:rsid w:val="00EB35E8"/>
    <w:rsid w:val="00EC20A6"/>
    <w:rsid w:val="00EC444F"/>
    <w:rsid w:val="00EC6295"/>
    <w:rsid w:val="00ED14BE"/>
    <w:rsid w:val="00ED2015"/>
    <w:rsid w:val="00ED3691"/>
    <w:rsid w:val="00ED36E9"/>
    <w:rsid w:val="00ED58B0"/>
    <w:rsid w:val="00ED69F9"/>
    <w:rsid w:val="00ED6CBE"/>
    <w:rsid w:val="00EE3173"/>
    <w:rsid w:val="00EE7290"/>
    <w:rsid w:val="00EE7FEB"/>
    <w:rsid w:val="00EF556C"/>
    <w:rsid w:val="00F014E2"/>
    <w:rsid w:val="00F0155A"/>
    <w:rsid w:val="00F062CD"/>
    <w:rsid w:val="00F0641F"/>
    <w:rsid w:val="00F11A7B"/>
    <w:rsid w:val="00F12EE8"/>
    <w:rsid w:val="00F1458C"/>
    <w:rsid w:val="00F2260E"/>
    <w:rsid w:val="00F25B8E"/>
    <w:rsid w:val="00F32BDF"/>
    <w:rsid w:val="00F34E41"/>
    <w:rsid w:val="00F42CE2"/>
    <w:rsid w:val="00F4567C"/>
    <w:rsid w:val="00F50EDD"/>
    <w:rsid w:val="00F51DF9"/>
    <w:rsid w:val="00F570A9"/>
    <w:rsid w:val="00F606BA"/>
    <w:rsid w:val="00F61B8A"/>
    <w:rsid w:val="00F630EA"/>
    <w:rsid w:val="00F63DF1"/>
    <w:rsid w:val="00F648A2"/>
    <w:rsid w:val="00F71BF8"/>
    <w:rsid w:val="00F72286"/>
    <w:rsid w:val="00F7773B"/>
    <w:rsid w:val="00F77C75"/>
    <w:rsid w:val="00F80D84"/>
    <w:rsid w:val="00F848D0"/>
    <w:rsid w:val="00F86A3A"/>
    <w:rsid w:val="00F907AB"/>
    <w:rsid w:val="00F957C4"/>
    <w:rsid w:val="00F96335"/>
    <w:rsid w:val="00F971E8"/>
    <w:rsid w:val="00F97C42"/>
    <w:rsid w:val="00FA1FD6"/>
    <w:rsid w:val="00FA3318"/>
    <w:rsid w:val="00FA363E"/>
    <w:rsid w:val="00FB131C"/>
    <w:rsid w:val="00FB175C"/>
    <w:rsid w:val="00FB1ECA"/>
    <w:rsid w:val="00FB51F4"/>
    <w:rsid w:val="00FB6605"/>
    <w:rsid w:val="00FC2E03"/>
    <w:rsid w:val="00FC6F58"/>
    <w:rsid w:val="00FC7401"/>
    <w:rsid w:val="00FD451C"/>
    <w:rsid w:val="00FE0607"/>
    <w:rsid w:val="00FE321C"/>
    <w:rsid w:val="00FE3902"/>
    <w:rsid w:val="00FE552F"/>
    <w:rsid w:val="00FE640C"/>
    <w:rsid w:val="00FE680E"/>
    <w:rsid w:val="00FF267D"/>
    <w:rsid w:val="00FF420B"/>
    <w:rsid w:val="00FF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AB"/>
    <w:rPr>
      <w:rFonts w:ascii="Times New Roman" w:hAnsi="Times New Roman"/>
      <w:sz w:val="24"/>
    </w:rPr>
  </w:style>
  <w:style w:type="paragraph" w:styleId="Heading1">
    <w:name w:val="heading 1"/>
    <w:basedOn w:val="Heading2"/>
    <w:next w:val="Normal"/>
    <w:link w:val="Heading1Char"/>
    <w:qFormat/>
    <w:rsid w:val="007D0FBF"/>
    <w:pPr>
      <w:spacing w:before="240" w:line="240" w:lineRule="atLeast"/>
      <w:ind w:left="720" w:right="720"/>
      <w:jc w:val="center"/>
      <w:outlineLvl w:val="0"/>
    </w:pPr>
    <w:rPr>
      <w:rFonts w:ascii="Times New Roman" w:eastAsia="Times New Roman" w:hAnsi="Times New Roman" w:cs="Times New Roman"/>
      <w:bCs w:val="0"/>
      <w:color w:val="auto"/>
      <w:sz w:val="24"/>
      <w:szCs w:val="20"/>
      <w:lang w:eastAsia="ja-JP"/>
    </w:rPr>
  </w:style>
  <w:style w:type="paragraph" w:styleId="Heading2">
    <w:name w:val="heading 2"/>
    <w:basedOn w:val="Normal"/>
    <w:next w:val="Normal"/>
    <w:link w:val="Heading2Char"/>
    <w:uiPriority w:val="9"/>
    <w:semiHidden/>
    <w:unhideWhenUsed/>
    <w:qFormat/>
    <w:rsid w:val="007D0F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7AB"/>
    <w:pPr>
      <w:spacing w:after="0" w:line="240" w:lineRule="auto"/>
    </w:pPr>
    <w:rPr>
      <w:rFonts w:ascii="Times New Roman" w:hAnsi="Times New Roman"/>
      <w:sz w:val="24"/>
    </w:rPr>
  </w:style>
  <w:style w:type="table" w:styleId="TableGrid">
    <w:name w:val="Table Grid"/>
    <w:basedOn w:val="TableNormal"/>
    <w:uiPriority w:val="59"/>
    <w:rsid w:val="00A8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E5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EA5"/>
    <w:rPr>
      <w:rFonts w:ascii="Times New Roman" w:hAnsi="Times New Roman"/>
      <w:sz w:val="20"/>
      <w:szCs w:val="20"/>
    </w:rPr>
  </w:style>
  <w:style w:type="character" w:styleId="FootnoteReference">
    <w:name w:val="footnote reference"/>
    <w:basedOn w:val="DefaultParagraphFont"/>
    <w:uiPriority w:val="99"/>
    <w:semiHidden/>
    <w:unhideWhenUsed/>
    <w:rsid w:val="005E5EA5"/>
    <w:rPr>
      <w:vertAlign w:val="superscript"/>
    </w:rPr>
  </w:style>
  <w:style w:type="paragraph" w:styleId="TOC1">
    <w:name w:val="toc 1"/>
    <w:basedOn w:val="Normal"/>
    <w:next w:val="Normal"/>
    <w:autoRedefine/>
    <w:uiPriority w:val="39"/>
    <w:unhideWhenUsed/>
    <w:rsid w:val="004D1D10"/>
    <w:pPr>
      <w:tabs>
        <w:tab w:val="right" w:leader="dot" w:pos="9350"/>
      </w:tabs>
      <w:spacing w:after="100"/>
      <w:ind w:left="720" w:hanging="720"/>
    </w:pPr>
  </w:style>
  <w:style w:type="paragraph" w:styleId="TOC2">
    <w:name w:val="toc 2"/>
    <w:basedOn w:val="Normal"/>
    <w:next w:val="Normal"/>
    <w:autoRedefine/>
    <w:uiPriority w:val="39"/>
    <w:unhideWhenUsed/>
    <w:rsid w:val="00E6166C"/>
    <w:pPr>
      <w:spacing w:after="100"/>
      <w:ind w:left="240"/>
    </w:pPr>
  </w:style>
  <w:style w:type="character" w:styleId="Hyperlink">
    <w:name w:val="Hyperlink"/>
    <w:basedOn w:val="DefaultParagraphFont"/>
    <w:uiPriority w:val="99"/>
    <w:unhideWhenUsed/>
    <w:rsid w:val="00E6166C"/>
    <w:rPr>
      <w:color w:val="0000FF" w:themeColor="hyperlink"/>
      <w:u w:val="single"/>
    </w:rPr>
  </w:style>
  <w:style w:type="paragraph" w:styleId="ListParagraph">
    <w:name w:val="List Paragraph"/>
    <w:basedOn w:val="Normal"/>
    <w:uiPriority w:val="34"/>
    <w:qFormat/>
    <w:rsid w:val="007F2258"/>
    <w:pPr>
      <w:ind w:left="720"/>
      <w:contextualSpacing/>
    </w:pPr>
  </w:style>
  <w:style w:type="paragraph" w:styleId="TOC3">
    <w:name w:val="toc 3"/>
    <w:basedOn w:val="Normal"/>
    <w:next w:val="Normal"/>
    <w:autoRedefine/>
    <w:uiPriority w:val="39"/>
    <w:unhideWhenUsed/>
    <w:rsid w:val="004D1D10"/>
    <w:pPr>
      <w:spacing w:after="100"/>
      <w:ind w:left="480"/>
    </w:pPr>
  </w:style>
  <w:style w:type="paragraph" w:styleId="Header">
    <w:name w:val="header"/>
    <w:basedOn w:val="Normal"/>
    <w:link w:val="HeaderChar"/>
    <w:uiPriority w:val="99"/>
    <w:semiHidden/>
    <w:unhideWhenUsed/>
    <w:rsid w:val="00D05B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B8A"/>
    <w:rPr>
      <w:rFonts w:ascii="Times New Roman" w:hAnsi="Times New Roman"/>
      <w:sz w:val="24"/>
    </w:rPr>
  </w:style>
  <w:style w:type="paragraph" w:styleId="Footer">
    <w:name w:val="footer"/>
    <w:basedOn w:val="Normal"/>
    <w:link w:val="FooterChar"/>
    <w:uiPriority w:val="99"/>
    <w:unhideWhenUsed/>
    <w:rsid w:val="00D0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8A"/>
    <w:rPr>
      <w:rFonts w:ascii="Times New Roman" w:hAnsi="Times New Roman"/>
      <w:sz w:val="24"/>
    </w:rPr>
  </w:style>
  <w:style w:type="paragraph" w:styleId="BalloonText">
    <w:name w:val="Balloon Text"/>
    <w:basedOn w:val="Normal"/>
    <w:link w:val="BalloonTextChar"/>
    <w:uiPriority w:val="99"/>
    <w:semiHidden/>
    <w:unhideWhenUsed/>
    <w:rsid w:val="00FA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18"/>
    <w:rPr>
      <w:rFonts w:ascii="Tahoma" w:hAnsi="Tahoma" w:cs="Tahoma"/>
      <w:sz w:val="16"/>
      <w:szCs w:val="16"/>
    </w:rPr>
  </w:style>
  <w:style w:type="character" w:styleId="CommentReference">
    <w:name w:val="annotation reference"/>
    <w:basedOn w:val="DefaultParagraphFont"/>
    <w:uiPriority w:val="99"/>
    <w:semiHidden/>
    <w:unhideWhenUsed/>
    <w:rsid w:val="005D6156"/>
    <w:rPr>
      <w:sz w:val="16"/>
      <w:szCs w:val="16"/>
    </w:rPr>
  </w:style>
  <w:style w:type="paragraph" w:styleId="CommentText">
    <w:name w:val="annotation text"/>
    <w:basedOn w:val="Normal"/>
    <w:link w:val="CommentTextChar"/>
    <w:uiPriority w:val="99"/>
    <w:semiHidden/>
    <w:unhideWhenUsed/>
    <w:rsid w:val="005D6156"/>
    <w:pPr>
      <w:spacing w:line="240" w:lineRule="auto"/>
    </w:pPr>
    <w:rPr>
      <w:sz w:val="20"/>
      <w:szCs w:val="20"/>
    </w:rPr>
  </w:style>
  <w:style w:type="character" w:customStyle="1" w:styleId="CommentTextChar">
    <w:name w:val="Comment Text Char"/>
    <w:basedOn w:val="DefaultParagraphFont"/>
    <w:link w:val="CommentText"/>
    <w:uiPriority w:val="99"/>
    <w:semiHidden/>
    <w:rsid w:val="005D61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6156"/>
    <w:rPr>
      <w:b/>
      <w:bCs/>
    </w:rPr>
  </w:style>
  <w:style w:type="character" w:customStyle="1" w:styleId="CommentSubjectChar">
    <w:name w:val="Comment Subject Char"/>
    <w:basedOn w:val="CommentTextChar"/>
    <w:link w:val="CommentSubject"/>
    <w:uiPriority w:val="99"/>
    <w:semiHidden/>
    <w:rsid w:val="005D6156"/>
    <w:rPr>
      <w:b/>
      <w:bCs/>
    </w:rPr>
  </w:style>
  <w:style w:type="character" w:customStyle="1" w:styleId="Heading1Char">
    <w:name w:val="Heading 1 Char"/>
    <w:basedOn w:val="DefaultParagraphFont"/>
    <w:link w:val="Heading1"/>
    <w:rsid w:val="007D0FBF"/>
    <w:rPr>
      <w:rFonts w:ascii="Times New Roman" w:eastAsia="Times New Roman" w:hAnsi="Times New Roman" w:cs="Times New Roman"/>
      <w:b/>
      <w:sz w:val="24"/>
      <w:szCs w:val="20"/>
      <w:lang w:eastAsia="ja-JP"/>
    </w:rPr>
  </w:style>
  <w:style w:type="character" w:customStyle="1" w:styleId="Heading2Char">
    <w:name w:val="Heading 2 Char"/>
    <w:basedOn w:val="DefaultParagraphFont"/>
    <w:link w:val="Heading2"/>
    <w:uiPriority w:val="9"/>
    <w:semiHidden/>
    <w:rsid w:val="007D0FBF"/>
    <w:rPr>
      <w:rFonts w:asciiTheme="majorHAnsi" w:eastAsiaTheme="majorEastAsia" w:hAnsiTheme="majorHAnsi" w:cstheme="majorBidi"/>
      <w:b/>
      <w:bCs/>
      <w:color w:val="4F81BD" w:themeColor="accent1"/>
      <w:sz w:val="26"/>
      <w:szCs w:val="26"/>
    </w:rPr>
  </w:style>
  <w:style w:type="paragraph" w:customStyle="1" w:styleId="Default">
    <w:name w:val="Default"/>
    <w:rsid w:val="007D0F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nswer">
    <w:name w:val="Answer"/>
    <w:basedOn w:val="Normal"/>
    <w:uiPriority w:val="99"/>
    <w:rsid w:val="001D377A"/>
    <w:pPr>
      <w:spacing w:before="120" w:after="120" w:line="480" w:lineRule="auto"/>
      <w:ind w:left="720" w:hanging="720"/>
    </w:pPr>
    <w:rPr>
      <w:rFonts w:eastAsia="Times New Roman" w:cs="Times New Roman"/>
      <w:szCs w:val="20"/>
      <w:lang w:eastAsia="zh-CN"/>
    </w:rPr>
  </w:style>
  <w:style w:type="paragraph" w:styleId="BodyText">
    <w:name w:val="Body Text"/>
    <w:basedOn w:val="Normal"/>
    <w:link w:val="BodyTextChar"/>
    <w:qFormat/>
    <w:rsid w:val="00FA1FD6"/>
    <w:pPr>
      <w:widowControl w:val="0"/>
      <w:spacing w:after="0" w:line="480" w:lineRule="auto"/>
    </w:pPr>
    <w:rPr>
      <w:rFonts w:eastAsia="Times New Roman" w:cs="Times New Roman"/>
      <w:szCs w:val="20"/>
    </w:rPr>
  </w:style>
  <w:style w:type="character" w:customStyle="1" w:styleId="BodyTextChar">
    <w:name w:val="Body Text Char"/>
    <w:basedOn w:val="DefaultParagraphFont"/>
    <w:link w:val="BodyText"/>
    <w:rsid w:val="00FA1FD6"/>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684C1E"/>
    <w:pPr>
      <w:spacing w:after="120"/>
      <w:ind w:left="360"/>
    </w:pPr>
  </w:style>
  <w:style w:type="character" w:customStyle="1" w:styleId="BodyTextIndentChar">
    <w:name w:val="Body Text Indent Char"/>
    <w:basedOn w:val="DefaultParagraphFont"/>
    <w:link w:val="BodyTextIndent"/>
    <w:uiPriority w:val="99"/>
    <w:semiHidden/>
    <w:rsid w:val="00684C1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2013-07-05T07:00:00+00:00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D22BAE1-3C37-4B83-9D39-BED52BCABAEB}"/>
</file>

<file path=customXml/itemProps2.xml><?xml version="1.0" encoding="utf-8"?>
<ds:datastoreItem xmlns:ds="http://schemas.openxmlformats.org/officeDocument/2006/customXml" ds:itemID="{64AE49E0-4DDA-48A8-B367-9782C431B6AC}"/>
</file>

<file path=customXml/itemProps3.xml><?xml version="1.0" encoding="utf-8"?>
<ds:datastoreItem xmlns:ds="http://schemas.openxmlformats.org/officeDocument/2006/customXml" ds:itemID="{95A3B76F-A49A-4FF4-82A2-2DFF2441C52D}"/>
</file>

<file path=customXml/itemProps4.xml><?xml version="1.0" encoding="utf-8"?>
<ds:datastoreItem xmlns:ds="http://schemas.openxmlformats.org/officeDocument/2006/customXml" ds:itemID="{E1436850-FA80-49F5-9751-04A795D6D820}"/>
</file>

<file path=customXml/itemProps5.xml><?xml version="1.0" encoding="utf-8"?>
<ds:datastoreItem xmlns:ds="http://schemas.openxmlformats.org/officeDocument/2006/customXml" ds:itemID="{D3CF12F0-6F3E-427B-A871-CB9F3B62D85A}"/>
</file>

<file path=docProps/app.xml><?xml version="1.0" encoding="utf-8"?>
<Properties xmlns="http://schemas.openxmlformats.org/officeDocument/2006/extended-properties" xmlns:vt="http://schemas.openxmlformats.org/officeDocument/2006/docPropsVTypes">
  <Pages>3</Pages>
  <Words>1719</Words>
  <Characters>9807</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ABAAVOAfoSrQoyzUORAbd1NiDaezXjI8LkLK43SP7q7Pl1paPQJXkkq/P/FQqrmyaclr</vt:lpwstr>
  </property>
  <property fmtid="{D5CDD505-2E9C-101B-9397-08002B2CF9AE}" pid="3" name="MAIL_MSG_ID2">
    <vt:lpwstr>1C2orj8E9JV1gVU2hJ9oaG2hJ4/k1Ns3pmEqsUmP3TijbDDI6TNtzYV2Qs3
8GWNcBjI9mezYzLB</vt:lpwstr>
  </property>
  <property fmtid="{D5CDD505-2E9C-101B-9397-08002B2CF9AE}" pid="4" name="RESPONSE_SENDER_NAME">
    <vt:lpwstr>gAAAdya76B99d4hLGUR1rQ+8TxTv0GGEPdix</vt:lpwstr>
  </property>
  <property fmtid="{D5CDD505-2E9C-101B-9397-08002B2CF9AE}" pid="5" name="EMAIL_OWNER_ADDRESS">
    <vt:lpwstr>ABAAv4tRYjpfjUvTs6v67apWpDPfAB+rQCyKswkn/FHcbJ0KS6VNzUQULXztO5Rd80Lp</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