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F8CE" w14:textId="77777777" w:rsidR="000A1236" w:rsidRPr="00C923D6" w:rsidRDefault="000A1236" w:rsidP="00B804B8">
      <w:pPr>
        <w:pStyle w:val="BodyText"/>
        <w:spacing w:line="264" w:lineRule="auto"/>
        <w:rPr>
          <w:b/>
          <w:bCs/>
        </w:rPr>
      </w:pPr>
      <w:bookmarkStart w:id="0" w:name="_GoBack"/>
      <w:bookmarkEnd w:id="0"/>
      <w:r w:rsidRPr="00C923D6">
        <w:rPr>
          <w:b/>
          <w:bCs/>
        </w:rPr>
        <w:t>BEFORE THE WASHINGTON</w:t>
      </w:r>
    </w:p>
    <w:p w14:paraId="1CECF8CF" w14:textId="77777777" w:rsidR="000A1236" w:rsidRPr="00C923D6" w:rsidRDefault="000A1236" w:rsidP="00B804B8">
      <w:pPr>
        <w:pStyle w:val="BodyText"/>
        <w:spacing w:line="264" w:lineRule="auto"/>
        <w:rPr>
          <w:b/>
          <w:bCs/>
        </w:rPr>
      </w:pPr>
      <w:r w:rsidRPr="00C923D6">
        <w:rPr>
          <w:b/>
          <w:bCs/>
        </w:rPr>
        <w:t xml:space="preserve">UTILITIES AND TRANSPORTATION </w:t>
      </w:r>
      <w:r w:rsidR="00FA1C7D">
        <w:rPr>
          <w:b/>
          <w:bCs/>
        </w:rPr>
        <w:t>COMMISSION</w:t>
      </w:r>
    </w:p>
    <w:p w14:paraId="79B298DC" w14:textId="77777777" w:rsidR="00B804B8" w:rsidRPr="00C923D6" w:rsidRDefault="00B804B8" w:rsidP="00B804B8">
      <w:pPr>
        <w:spacing w:line="264" w:lineRule="auto"/>
        <w:jc w:val="center"/>
      </w:pPr>
    </w:p>
    <w:tbl>
      <w:tblPr>
        <w:tblW w:w="8886" w:type="dxa"/>
        <w:tblLook w:val="0000" w:firstRow="0" w:lastRow="0" w:firstColumn="0" w:lastColumn="0" w:noHBand="0" w:noVBand="0"/>
      </w:tblPr>
      <w:tblGrid>
        <w:gridCol w:w="4428"/>
        <w:gridCol w:w="270"/>
        <w:gridCol w:w="4188"/>
      </w:tblGrid>
      <w:tr w:rsidR="000A1236" w:rsidRPr="00C923D6" w14:paraId="1CECF8E0" w14:textId="77777777" w:rsidTr="00516BE6">
        <w:tc>
          <w:tcPr>
            <w:tcW w:w="4428" w:type="dxa"/>
            <w:tcBorders>
              <w:bottom w:val="single" w:sz="4" w:space="0" w:color="auto"/>
              <w:right w:val="single" w:sz="4" w:space="0" w:color="auto"/>
            </w:tcBorders>
          </w:tcPr>
          <w:p w14:paraId="1CECF8D1" w14:textId="77777777" w:rsidR="000A1236" w:rsidRPr="00C923D6" w:rsidRDefault="000A1236" w:rsidP="00B804B8">
            <w:pPr>
              <w:pStyle w:val="Header"/>
              <w:tabs>
                <w:tab w:val="clear" w:pos="4320"/>
                <w:tab w:val="clear" w:pos="8640"/>
              </w:tabs>
              <w:spacing w:line="264" w:lineRule="auto"/>
            </w:pPr>
            <w:r w:rsidRPr="00C923D6">
              <w:t xml:space="preserve">In the Matter of the Petition of </w:t>
            </w:r>
          </w:p>
          <w:p w14:paraId="1CECF8D2" w14:textId="77777777" w:rsidR="000A1236" w:rsidRPr="00C923D6" w:rsidRDefault="000A1236" w:rsidP="00B804B8">
            <w:pPr>
              <w:spacing w:line="264" w:lineRule="auto"/>
            </w:pPr>
          </w:p>
          <w:p w14:paraId="1CECF8D3" w14:textId="77777777" w:rsidR="007308FD" w:rsidRDefault="00B20DE1" w:rsidP="00B804B8">
            <w:pPr>
              <w:spacing w:line="264" w:lineRule="auto"/>
            </w:pPr>
            <w:r>
              <w:t>AVISTA CORPORATION</w:t>
            </w:r>
            <w:r w:rsidR="000A1236" w:rsidRPr="00C923D6">
              <w:t>,</w:t>
            </w:r>
          </w:p>
          <w:p w14:paraId="1CECF8D4" w14:textId="77777777" w:rsidR="000A1236" w:rsidRPr="00C923D6" w:rsidRDefault="000A1236" w:rsidP="00B804B8">
            <w:pPr>
              <w:spacing w:line="264" w:lineRule="auto"/>
            </w:pPr>
          </w:p>
          <w:p w14:paraId="1CECF8D5" w14:textId="77777777" w:rsidR="000A1236" w:rsidRPr="00C923D6" w:rsidRDefault="000A1236" w:rsidP="00B804B8">
            <w:pPr>
              <w:spacing w:line="264" w:lineRule="auto"/>
              <w:jc w:val="center"/>
            </w:pPr>
            <w:r w:rsidRPr="00C923D6">
              <w:t>Petitioner,</w:t>
            </w:r>
          </w:p>
          <w:p w14:paraId="1CECF8D6" w14:textId="77777777" w:rsidR="000A1236" w:rsidRPr="00C923D6" w:rsidRDefault="000A1236" w:rsidP="00B804B8">
            <w:pPr>
              <w:spacing w:line="264" w:lineRule="auto"/>
            </w:pPr>
          </w:p>
          <w:p w14:paraId="1CECF8D7" w14:textId="77777777" w:rsidR="000A1236" w:rsidRPr="00C923D6" w:rsidRDefault="000A1236" w:rsidP="00B804B8">
            <w:pPr>
              <w:spacing w:line="264" w:lineRule="auto"/>
            </w:pPr>
            <w:r w:rsidRPr="00C923D6">
              <w:t xml:space="preserve">For An Accounting Order </w:t>
            </w:r>
            <w:r w:rsidR="00905891" w:rsidRPr="00905891">
              <w:t>Authorizing Deferred Accounting Treatment related to the Undepreciated Net Book Value of the Company</w:t>
            </w:r>
            <w:r w:rsidR="00FA1C7D">
              <w:t>’</w:t>
            </w:r>
            <w:r w:rsidR="00905891" w:rsidRPr="00905891">
              <w:t>s Existing Electric Meters</w:t>
            </w:r>
          </w:p>
          <w:p w14:paraId="1CECF8D8" w14:textId="77777777" w:rsidR="000A1236" w:rsidRPr="00C923D6" w:rsidRDefault="000A1236" w:rsidP="00B804B8">
            <w:pPr>
              <w:spacing w:line="264" w:lineRule="auto"/>
            </w:pPr>
          </w:p>
        </w:tc>
        <w:tc>
          <w:tcPr>
            <w:tcW w:w="270" w:type="dxa"/>
            <w:tcBorders>
              <w:left w:val="single" w:sz="4" w:space="0" w:color="auto"/>
            </w:tcBorders>
          </w:tcPr>
          <w:p w14:paraId="1CECF8D9" w14:textId="77777777" w:rsidR="000A1236" w:rsidRPr="00C923D6" w:rsidRDefault="000A1236" w:rsidP="00B804B8">
            <w:pPr>
              <w:spacing w:line="264" w:lineRule="auto"/>
              <w:jc w:val="center"/>
            </w:pPr>
          </w:p>
        </w:tc>
        <w:tc>
          <w:tcPr>
            <w:tcW w:w="4188" w:type="dxa"/>
          </w:tcPr>
          <w:p w14:paraId="1CECF8DA" w14:textId="77777777" w:rsidR="000A1236" w:rsidRPr="00C923D6" w:rsidRDefault="00491C72" w:rsidP="00B804B8">
            <w:pPr>
              <w:spacing w:line="264" w:lineRule="auto"/>
            </w:pPr>
            <w:r>
              <w:t>DOCKET</w:t>
            </w:r>
            <w:r w:rsidR="00AC1794">
              <w:t xml:space="preserve"> </w:t>
            </w:r>
            <w:r w:rsidR="00B20DE1">
              <w:t>UE-160100</w:t>
            </w:r>
          </w:p>
          <w:p w14:paraId="1CECF8DB" w14:textId="77777777" w:rsidR="000A1236" w:rsidRPr="00C923D6" w:rsidRDefault="000A1236" w:rsidP="00B804B8">
            <w:pPr>
              <w:spacing w:line="264" w:lineRule="auto"/>
            </w:pPr>
          </w:p>
          <w:p w14:paraId="1CECF8DC" w14:textId="77777777" w:rsidR="000A1236" w:rsidRPr="00C923D6" w:rsidRDefault="00491C72" w:rsidP="00B804B8">
            <w:pPr>
              <w:spacing w:line="264" w:lineRule="auto"/>
            </w:pPr>
            <w:r>
              <w:t>ORDER</w:t>
            </w:r>
            <w:r w:rsidR="000A1236" w:rsidRPr="00C923D6">
              <w:t xml:space="preserve"> </w:t>
            </w:r>
            <w:r w:rsidR="00B20DE1">
              <w:t>01</w:t>
            </w:r>
          </w:p>
          <w:p w14:paraId="1CECF8DD" w14:textId="77777777" w:rsidR="000A1236" w:rsidRPr="00C923D6" w:rsidRDefault="000A1236" w:rsidP="00B804B8">
            <w:pPr>
              <w:spacing w:line="264" w:lineRule="auto"/>
              <w:rPr>
                <w:b/>
                <w:bCs/>
              </w:rPr>
            </w:pPr>
          </w:p>
          <w:p w14:paraId="1CECF8DE" w14:textId="77777777" w:rsidR="000A1236" w:rsidRPr="00C923D6" w:rsidRDefault="000A1236" w:rsidP="00B804B8">
            <w:pPr>
              <w:spacing w:line="264" w:lineRule="auto"/>
              <w:rPr>
                <w:b/>
                <w:bCs/>
              </w:rPr>
            </w:pPr>
          </w:p>
          <w:p w14:paraId="1CECF8DF" w14:textId="7D5C45F3" w:rsidR="000A1236" w:rsidRPr="00C923D6" w:rsidRDefault="000A1236" w:rsidP="00B804B8">
            <w:pPr>
              <w:pStyle w:val="Header"/>
              <w:tabs>
                <w:tab w:val="clear" w:pos="4320"/>
                <w:tab w:val="clear" w:pos="8640"/>
              </w:tabs>
              <w:spacing w:line="264" w:lineRule="auto"/>
            </w:pPr>
            <w:r w:rsidRPr="00C923D6">
              <w:t xml:space="preserve">ORDER </w:t>
            </w:r>
            <w:r w:rsidR="001E31D2">
              <w:t>GRANTING</w:t>
            </w:r>
            <w:r w:rsidR="00516BE6">
              <w:t xml:space="preserve"> </w:t>
            </w:r>
            <w:r w:rsidR="00905891">
              <w:t xml:space="preserve">AMENDED </w:t>
            </w:r>
            <w:r w:rsidR="00516BE6">
              <w:t xml:space="preserve">ACCOUNTING PETITION </w:t>
            </w:r>
            <w:r w:rsidR="00DA5958">
              <w:t>SUBJECT TO CONDITION</w:t>
            </w:r>
            <w:r w:rsidR="00464B1F">
              <w:t>S</w:t>
            </w:r>
          </w:p>
        </w:tc>
      </w:tr>
    </w:tbl>
    <w:p w14:paraId="1CECF8E1" w14:textId="77777777" w:rsidR="000A1236" w:rsidRDefault="000A1236" w:rsidP="00B804B8">
      <w:pPr>
        <w:spacing w:line="264" w:lineRule="auto"/>
        <w:jc w:val="center"/>
      </w:pPr>
    </w:p>
    <w:p w14:paraId="0F83643A" w14:textId="77777777" w:rsidR="002B4F56" w:rsidRPr="00C923D6" w:rsidRDefault="002B4F56" w:rsidP="00B804B8">
      <w:pPr>
        <w:pStyle w:val="Heading1"/>
        <w:spacing w:line="264" w:lineRule="auto"/>
      </w:pPr>
      <w:r w:rsidRPr="00C923D6">
        <w:t>BACKGROUND</w:t>
      </w:r>
    </w:p>
    <w:p w14:paraId="3EA8CF06" w14:textId="77777777" w:rsidR="002B4F56" w:rsidRPr="00C923D6" w:rsidRDefault="002B4F56" w:rsidP="00B804B8">
      <w:pPr>
        <w:spacing w:line="264" w:lineRule="auto"/>
        <w:jc w:val="center"/>
      </w:pPr>
    </w:p>
    <w:p w14:paraId="6D1AFDBB" w14:textId="0607F757" w:rsidR="002B4F56" w:rsidRDefault="002B4F56" w:rsidP="00B804B8">
      <w:pPr>
        <w:numPr>
          <w:ilvl w:val="0"/>
          <w:numId w:val="1"/>
        </w:numPr>
        <w:spacing w:line="264" w:lineRule="auto"/>
      </w:pPr>
      <w:r w:rsidRPr="00C923D6">
        <w:t>On</w:t>
      </w:r>
      <w:r>
        <w:t xml:space="preserve"> January 20, 2016</w:t>
      </w:r>
      <w:r w:rsidRPr="00C923D6">
        <w:t>,</w:t>
      </w:r>
      <w:r w:rsidRPr="004F3814">
        <w:rPr>
          <w:b/>
          <w:bCs/>
        </w:rPr>
        <w:t xml:space="preserve"> </w:t>
      </w:r>
      <w:r>
        <w:t>Avista Corporation</w:t>
      </w:r>
      <w:r w:rsidRPr="00C923D6">
        <w:t>, (</w:t>
      </w:r>
      <w:r>
        <w:t>Avista or Company</w:t>
      </w:r>
      <w:r w:rsidRPr="00C923D6">
        <w:t>)</w:t>
      </w:r>
      <w:r w:rsidRPr="004F3814">
        <w:rPr>
          <w:b/>
          <w:bCs/>
        </w:rPr>
        <w:t xml:space="preserve"> </w:t>
      </w:r>
      <w:r>
        <w:t xml:space="preserve">filed with the </w:t>
      </w:r>
      <w:r w:rsidRPr="00C923D6">
        <w:t xml:space="preserve">Washington Utilities and Transportation </w:t>
      </w:r>
      <w:r>
        <w:t>Commission</w:t>
      </w:r>
      <w:r w:rsidRPr="00C923D6">
        <w:t xml:space="preserve"> </w:t>
      </w:r>
      <w:r>
        <w:t xml:space="preserve">(Commission) a </w:t>
      </w:r>
      <w:r w:rsidRPr="000A1F1E">
        <w:t xml:space="preserve">petition </w:t>
      </w:r>
      <w:r>
        <w:t>requesting</w:t>
      </w:r>
      <w:r w:rsidRPr="000A1F1E">
        <w:t xml:space="preserve"> an order authorizing deferred accounting treatment </w:t>
      </w:r>
      <w:r>
        <w:t>of its</w:t>
      </w:r>
      <w:r w:rsidRPr="000A1F1E">
        <w:t xml:space="preserve"> </w:t>
      </w:r>
      <w:r>
        <w:t xml:space="preserve">remaining </w:t>
      </w:r>
      <w:r w:rsidRPr="000A1F1E">
        <w:t xml:space="preserve">undepreciated net book value </w:t>
      </w:r>
      <w:r>
        <w:t xml:space="preserve">of its </w:t>
      </w:r>
      <w:r w:rsidRPr="000A1F1E">
        <w:t>existing</w:t>
      </w:r>
      <w:r>
        <w:t xml:space="preserve"> electric</w:t>
      </w:r>
      <w:r w:rsidRPr="000A1F1E">
        <w:t xml:space="preserve"> meters</w:t>
      </w:r>
      <w:r>
        <w:t xml:space="preserve"> (Petition)</w:t>
      </w:r>
      <w:r w:rsidRPr="004F3814">
        <w:rPr>
          <w:color w:val="000000"/>
        </w:rPr>
        <w:t>.</w:t>
      </w:r>
      <w:r w:rsidRPr="007B5B43">
        <w:rPr>
          <w:rStyle w:val="CommentReference"/>
        </w:rPr>
        <w:t xml:space="preserve"> </w:t>
      </w:r>
      <w:r>
        <w:t>The C</w:t>
      </w:r>
      <w:r w:rsidRPr="001D05AF">
        <w:t xml:space="preserve">ompany </w:t>
      </w:r>
      <w:r>
        <w:t xml:space="preserve">proposes an investment </w:t>
      </w:r>
      <w:r w:rsidRPr="001D05AF">
        <w:t xml:space="preserve">project </w:t>
      </w:r>
      <w:r>
        <w:t>that would</w:t>
      </w:r>
      <w:r w:rsidRPr="001D05AF">
        <w:t xml:space="preserve"> retire and replace existing electric meters with new Advanced Metering Infrastructure (AMI) meters.</w:t>
      </w:r>
      <w:r>
        <w:rPr>
          <w:rStyle w:val="FootnoteReference"/>
        </w:rPr>
        <w:footnoteReference w:id="1"/>
      </w:r>
      <w:r w:rsidRPr="001D05AF">
        <w:t xml:space="preserve"> </w:t>
      </w:r>
      <w:r>
        <w:t>Under the Company’s proposal, a</w:t>
      </w:r>
      <w:r w:rsidRPr="001D05AF">
        <w:t>pproximately 253,000 electric customers in the state of Washington w</w:t>
      </w:r>
      <w:r>
        <w:t>ould</w:t>
      </w:r>
      <w:r w:rsidRPr="001D05AF">
        <w:t xml:space="preserve"> receive new meters.</w:t>
      </w:r>
      <w:r>
        <w:t xml:space="preserve"> The C</w:t>
      </w:r>
      <w:r w:rsidRPr="001D05AF">
        <w:t xml:space="preserve">ompany </w:t>
      </w:r>
      <w:r>
        <w:t>also plans</w:t>
      </w:r>
      <w:r w:rsidRPr="001D05AF">
        <w:t xml:space="preserve"> to upgrade </w:t>
      </w:r>
      <w:r>
        <w:t xml:space="preserve">its </w:t>
      </w:r>
      <w:r w:rsidRPr="001D05AF">
        <w:t>existing natural gas meters with digital communication modules.</w:t>
      </w:r>
      <w:r>
        <w:t xml:space="preserve"> </w:t>
      </w:r>
    </w:p>
    <w:p w14:paraId="7AA867E5" w14:textId="77777777" w:rsidR="00B804B8" w:rsidRDefault="00B804B8" w:rsidP="00B804B8">
      <w:pPr>
        <w:spacing w:line="264" w:lineRule="auto"/>
        <w:ind w:left="-720"/>
      </w:pPr>
    </w:p>
    <w:p w14:paraId="3F84E5FF" w14:textId="77777777" w:rsidR="002B4F56" w:rsidRDefault="002B4F56" w:rsidP="00B804B8">
      <w:pPr>
        <w:numPr>
          <w:ilvl w:val="0"/>
          <w:numId w:val="1"/>
        </w:numPr>
        <w:spacing w:line="264" w:lineRule="auto"/>
      </w:pPr>
      <w:r w:rsidRPr="00905891">
        <w:t xml:space="preserve">On </w:t>
      </w:r>
      <w:r>
        <w:t>March 4</w:t>
      </w:r>
      <w:r w:rsidRPr="00905891">
        <w:t xml:space="preserve">, 2016, Avista filed with the </w:t>
      </w:r>
      <w:r>
        <w:t>Commission</w:t>
      </w:r>
      <w:r w:rsidRPr="00905891">
        <w:t xml:space="preserve"> a</w:t>
      </w:r>
      <w:r>
        <w:t>n amended</w:t>
      </w:r>
      <w:r w:rsidRPr="00905891">
        <w:t xml:space="preserve"> petition seeking an </w:t>
      </w:r>
      <w:r>
        <w:t>accounting order</w:t>
      </w:r>
      <w:r w:rsidRPr="00C923D6">
        <w:t xml:space="preserve"> </w:t>
      </w:r>
      <w:r w:rsidRPr="001B5182">
        <w:t xml:space="preserve">authorizing </w:t>
      </w:r>
      <w:r>
        <w:t>deferral of the remaining net book value of its existing electric meters</w:t>
      </w:r>
      <w:r w:rsidRPr="00B109E7">
        <w:t xml:space="preserve"> </w:t>
      </w:r>
      <w:r>
        <w:t xml:space="preserve">as the meters are removed from service, rather than immediately, to a regulatory asset account, </w:t>
      </w:r>
      <w:r w:rsidRPr="00B109E7">
        <w:t>Other Regulatory Assets – 182.3</w:t>
      </w:r>
      <w:r>
        <w:t>.</w:t>
      </w:r>
      <w:r w:rsidRPr="003C6B68">
        <w:rPr>
          <w:rStyle w:val="FootnoteReference"/>
        </w:rPr>
        <w:footnoteReference w:id="2"/>
      </w:r>
      <w:r>
        <w:t xml:space="preserve"> (Amended Petition). If the Amended Petition is approved, the Company intends to execute contracts with its selected AMI vendors for the advanced meters and supporting software. In its Amended Petition, Avista states that if the Company’s Petition is granted, the installation of advanced meters and related infrastructure to support AMI will begin immediately on a four or five year schedule commencing in early 2017.</w:t>
      </w:r>
      <w:r>
        <w:rPr>
          <w:rStyle w:val="FootnoteReference"/>
        </w:rPr>
        <w:footnoteReference w:id="3"/>
      </w:r>
    </w:p>
    <w:p w14:paraId="6878333D" w14:textId="77777777" w:rsidR="002B4F56" w:rsidRDefault="002B4F56" w:rsidP="00B804B8">
      <w:pPr>
        <w:spacing w:line="264" w:lineRule="auto"/>
      </w:pPr>
    </w:p>
    <w:p w14:paraId="66528F90" w14:textId="77777777" w:rsidR="002B4F56" w:rsidRDefault="002B4F56" w:rsidP="00B804B8">
      <w:pPr>
        <w:numPr>
          <w:ilvl w:val="0"/>
          <w:numId w:val="1"/>
        </w:numPr>
        <w:spacing w:line="264" w:lineRule="auto"/>
      </w:pPr>
      <w:r>
        <w:lastRenderedPageBreak/>
        <w:t xml:space="preserve">On February 10, 2016, Public Counsel and the Energy Project filed comments in this docket. Both parties expressed concerns that the Petition is not ripe for Commission decision because Avista has not yet executed contracts with its selected AMI vendors. Public Counsel argues that the lack of contracts shows that Avista is not committed to an AMI investment, and that the Commission should deny the Petition. </w:t>
      </w:r>
      <w:r>
        <w:br/>
      </w:r>
    </w:p>
    <w:p w14:paraId="085A7071" w14:textId="77777777" w:rsidR="002B4F56" w:rsidRDefault="002B4F56" w:rsidP="00B804B8">
      <w:pPr>
        <w:numPr>
          <w:ilvl w:val="0"/>
          <w:numId w:val="1"/>
        </w:numPr>
        <w:spacing w:line="264" w:lineRule="auto"/>
      </w:pPr>
      <w:r>
        <w:t>Public Counsel filed additional comments on March 7, 2016, in response to the Amended Petition. Public Counsel continues to recommend the Commission deny the Petition, but requests that any approval be conditioned on the Company’s execution of contracts with its selected AMI vendors. Public Counsel further recommends the Commission clarify that any approval of the Petition is not intended to provide guidance on the Company’s decision to move forward with its AMI investment. Public Counsel notes that while Avista provided cursory information regarding what it believes will be the benefits of AMI deployment, questions about the benefits and costs of the project should be thoroughly vetted in a future general rate case (</w:t>
      </w:r>
      <w:proofErr w:type="spellStart"/>
      <w:r>
        <w:t>GRC</w:t>
      </w:r>
      <w:proofErr w:type="spellEnd"/>
      <w:r>
        <w:t>) proceeding where the Company will bear the burden of proof to substantiate the reasonableness of the proposed investment.</w:t>
      </w:r>
    </w:p>
    <w:p w14:paraId="10984C76" w14:textId="77777777" w:rsidR="002B4F56" w:rsidRDefault="002B4F56" w:rsidP="00B804B8">
      <w:pPr>
        <w:pStyle w:val="ListParagraph"/>
        <w:spacing w:line="264" w:lineRule="auto"/>
      </w:pPr>
    </w:p>
    <w:p w14:paraId="3DBA0131" w14:textId="77777777" w:rsidR="002B4F56" w:rsidRDefault="002B4F56" w:rsidP="00B804B8">
      <w:pPr>
        <w:numPr>
          <w:ilvl w:val="0"/>
          <w:numId w:val="1"/>
        </w:numPr>
        <w:spacing w:line="264" w:lineRule="auto"/>
      </w:pPr>
      <w:r>
        <w:t xml:space="preserve">Commission staff (Staff) reviewed the Company’s Amended Petition and recommends the Commission grant the Petition subject to the condition that Avista executes contracts with its AMI vendors and moves forward with its AMI investment. </w:t>
      </w:r>
    </w:p>
    <w:p w14:paraId="23CC82BA" w14:textId="77777777" w:rsidR="002B4F56" w:rsidRDefault="002B4F56" w:rsidP="00B804B8">
      <w:pPr>
        <w:pStyle w:val="ListParagraph"/>
        <w:spacing w:line="264" w:lineRule="auto"/>
      </w:pPr>
    </w:p>
    <w:p w14:paraId="77BFEFCF" w14:textId="77777777" w:rsidR="002B4F56" w:rsidRPr="00D34FDB" w:rsidRDefault="002B4F56" w:rsidP="00B804B8">
      <w:pPr>
        <w:spacing w:line="264" w:lineRule="auto"/>
        <w:jc w:val="center"/>
        <w:rPr>
          <w:b/>
        </w:rPr>
      </w:pPr>
      <w:r>
        <w:rPr>
          <w:b/>
        </w:rPr>
        <w:t>DISCUSSION</w:t>
      </w:r>
    </w:p>
    <w:p w14:paraId="195FDB07" w14:textId="77777777" w:rsidR="002B4F56" w:rsidRDefault="002B4F56" w:rsidP="00B804B8">
      <w:pPr>
        <w:pStyle w:val="ListParagraph"/>
        <w:spacing w:line="264" w:lineRule="auto"/>
      </w:pPr>
    </w:p>
    <w:p w14:paraId="0D6254B7" w14:textId="5D23845E" w:rsidR="002B4F56" w:rsidRDefault="002B4F56" w:rsidP="00B804B8">
      <w:pPr>
        <w:numPr>
          <w:ilvl w:val="0"/>
          <w:numId w:val="1"/>
        </w:numPr>
        <w:spacing w:line="264" w:lineRule="auto"/>
      </w:pPr>
      <w:r>
        <w:t>We grant the Company’s Amended Petition subject to several conditions, set forth below</w:t>
      </w:r>
      <w:r w:rsidRPr="00464B1F">
        <w:t xml:space="preserve">. We </w:t>
      </w:r>
      <w:r>
        <w:t>agree with Staff and Public Counsel that the Petition’s approval should be conditioned on the Company executing vendor contracts, such that this Order is not effective until Avista executes the contracts. Accordingly, any proposed transfer of meter-related assets from the plant-in-service account to the regulatory asset account (182.3) would not take place until the date the contracts are executed. Attaching this condition addresses concerns about whether the Petition is ripe for Commission consideration by ensuring that the requested accounting treatment will only be allowed if and when the Company commits to make the proposed investment. This condition is also consistent with our decision in Order 05 in Docket UE-150204, in which we explained that “[</w:t>
      </w:r>
      <w:proofErr w:type="spellStart"/>
      <w:r>
        <w:t>i</w:t>
      </w:r>
      <w:proofErr w:type="spellEnd"/>
      <w:r>
        <w:t>]f the Company chooses to acquire new meters, it may file an accounting petition that requests the Commission issue an order determining whether the Company is allowed to defer the undepreciated amounts related to the replaced meters in a regulatory asset account.”</w:t>
      </w:r>
      <w:r>
        <w:rPr>
          <w:rStyle w:val="FootnoteReference"/>
        </w:rPr>
        <w:footnoteReference w:id="4"/>
      </w:r>
      <w:r>
        <w:t xml:space="preserve"> </w:t>
      </w:r>
    </w:p>
    <w:p w14:paraId="3699F0FD" w14:textId="77777777" w:rsidR="00B804B8" w:rsidRDefault="00B804B8" w:rsidP="00B804B8">
      <w:pPr>
        <w:spacing w:line="264" w:lineRule="auto"/>
        <w:ind w:left="-720"/>
      </w:pPr>
    </w:p>
    <w:p w14:paraId="1058BAAA" w14:textId="29A6AB3D" w:rsidR="002B4F56" w:rsidRDefault="002B4F56" w:rsidP="00B804B8">
      <w:pPr>
        <w:numPr>
          <w:ilvl w:val="0"/>
          <w:numId w:val="1"/>
        </w:numPr>
        <w:spacing w:line="264" w:lineRule="auto"/>
      </w:pPr>
      <w:r w:rsidRPr="00464B1F">
        <w:lastRenderedPageBreak/>
        <w:t>As Avista notes in its Amended Petition, however, the Federal Energy</w:t>
      </w:r>
      <w:r>
        <w:t xml:space="preserve"> Regulatory Commission’s </w:t>
      </w:r>
      <w:r w:rsidRPr="00464B1F">
        <w:t xml:space="preserve">Uniform System of Accounts guidance on the recording of “regulatory assets” does not provide any </w:t>
      </w:r>
      <w:r>
        <w:t>guarantee</w:t>
      </w:r>
      <w:r w:rsidRPr="00464B1F">
        <w:t xml:space="preserve"> that amounts recorded in a regulatory asset account will be recoverable in a future period.</w:t>
      </w:r>
      <w:r>
        <w:rPr>
          <w:rStyle w:val="FootnoteReference"/>
        </w:rPr>
        <w:footnoteReference w:id="5"/>
      </w:r>
      <w:r w:rsidRPr="00464B1F">
        <w:t xml:space="preserve"> Accordingly, the Company should not interpret our decision here to imply that undepreciated amounts related to the meters</w:t>
      </w:r>
      <w:r>
        <w:t xml:space="preserve"> that are changed out</w:t>
      </w:r>
      <w:r w:rsidRPr="00464B1F">
        <w:t xml:space="preserve"> will be </w:t>
      </w:r>
      <w:r>
        <w:t xml:space="preserve">granted full cost recovery </w:t>
      </w:r>
      <w:r w:rsidRPr="00464B1F">
        <w:t xml:space="preserve">in a future </w:t>
      </w:r>
      <w:proofErr w:type="spellStart"/>
      <w:r w:rsidRPr="00464B1F">
        <w:t>GRC</w:t>
      </w:r>
      <w:proofErr w:type="spellEnd"/>
      <w:r w:rsidRPr="00464B1F">
        <w:t xml:space="preserve">. Moreover, we note that our guidance in </w:t>
      </w:r>
      <w:r>
        <w:t>this Order</w:t>
      </w:r>
      <w:r w:rsidRPr="00464B1F">
        <w:t xml:space="preserve"> should not be construed as precedential or in any way binding on the Commission with respect to accounting petitions generally.</w:t>
      </w:r>
    </w:p>
    <w:p w14:paraId="06390FF5" w14:textId="77777777" w:rsidR="00B804B8" w:rsidRDefault="00B804B8" w:rsidP="00B804B8">
      <w:pPr>
        <w:pStyle w:val="ListParagraph"/>
      </w:pPr>
    </w:p>
    <w:p w14:paraId="36FDB87E" w14:textId="77777777" w:rsidR="002B4F56" w:rsidRDefault="002B4F56" w:rsidP="00B804B8">
      <w:pPr>
        <w:numPr>
          <w:ilvl w:val="0"/>
          <w:numId w:val="1"/>
        </w:numPr>
        <w:spacing w:line="264" w:lineRule="auto"/>
      </w:pPr>
      <w:r>
        <w:t>While we appreciate Public Counsel’s concerns about whether the Company seeks premature guidance from the Commission about the prudency of replacing existing meters or the proposed investment in AMI, we believe the Company has adequately addressed those concerns. In its Amended Petition, Avista unequivocally states that: “[t]he decision to move forward with the AMI Project rests solely with the Company.”</w:t>
      </w:r>
      <w:r>
        <w:rPr>
          <w:rStyle w:val="FootnoteReference"/>
        </w:rPr>
        <w:footnoteReference w:id="6"/>
      </w:r>
      <w:r>
        <w:t xml:space="preserve"> We concur. The decision to move forward with an investment rests solely with the Company’s management. That decision was not made by virtue of the Company filing its Petition, nor is it made by virtue of the Commission issuing this Order. When the Company decides to execute contracts with vendors, this Order simply provides the accounting treatment the Company may use to defer undepreciated costs associated with the removed meters. </w:t>
      </w:r>
    </w:p>
    <w:p w14:paraId="3E9B7E1C" w14:textId="77777777" w:rsidR="002B4F56" w:rsidRDefault="002B4F56" w:rsidP="00B804B8">
      <w:pPr>
        <w:spacing w:line="264" w:lineRule="auto"/>
      </w:pPr>
    </w:p>
    <w:p w14:paraId="6E41C4D2" w14:textId="77777777" w:rsidR="002B4F56" w:rsidRDefault="002B4F56" w:rsidP="00B804B8">
      <w:pPr>
        <w:numPr>
          <w:ilvl w:val="0"/>
          <w:numId w:val="1"/>
        </w:numPr>
        <w:spacing w:line="264" w:lineRule="auto"/>
      </w:pPr>
      <w:r>
        <w:t>Further, our decision in no way constitutes a preapproval of the Company’s AMI investment, and the Commission makes no finding regarding the prudency of the investment. Avista recognizes that a determination of prudence and the eligibility for recovery of any costs associated with the Company’s AMI investment will be addressed in a future regulatory proceeding. As the Company noted in its Amended Petition, “[w]e also agree the obligation to demonstrate both that the decision to move forward was prudent, and the costs of installation are prudent, rest solely with the Company, and we will proceed on that basis.”</w:t>
      </w:r>
      <w:r>
        <w:rPr>
          <w:rStyle w:val="FootnoteReference"/>
        </w:rPr>
        <w:footnoteReference w:id="7"/>
      </w:r>
    </w:p>
    <w:p w14:paraId="6C28A585" w14:textId="77777777" w:rsidR="002B4F56" w:rsidRPr="00D002D2" w:rsidRDefault="002B4F56" w:rsidP="00B804B8">
      <w:pPr>
        <w:spacing w:line="264" w:lineRule="auto"/>
      </w:pPr>
    </w:p>
    <w:p w14:paraId="6E62DB9F" w14:textId="77777777" w:rsidR="002B4F56" w:rsidRPr="00525321" w:rsidRDefault="002B4F56" w:rsidP="00B804B8">
      <w:pPr>
        <w:numPr>
          <w:ilvl w:val="0"/>
          <w:numId w:val="1"/>
        </w:numPr>
        <w:spacing w:line="264" w:lineRule="auto"/>
      </w:pPr>
      <w:r>
        <w:t xml:space="preserve">Accordingly, we grant Avista’s Petition subject to the following conditions: 1) this Order is not effective until the Company executes contracts with vendors and moves forward with its AMI investment as outlined in its Amended Petition, and 2) for the duration of the project, the Company must file with the Commission an annual report by January 31 of each year, beginning January 31, 2017, documenting the actual number of meters </w:t>
      </w:r>
      <w:r>
        <w:lastRenderedPageBreak/>
        <w:t xml:space="preserve">retired in the previous calendar year and the net book value of those meters at the time of retirement. </w:t>
      </w:r>
    </w:p>
    <w:p w14:paraId="619049C9" w14:textId="77777777" w:rsidR="002B4F56" w:rsidRPr="00B804B8" w:rsidRDefault="002B4F56" w:rsidP="00B804B8">
      <w:pPr>
        <w:pStyle w:val="Heading1"/>
        <w:spacing w:line="264" w:lineRule="auto"/>
        <w:rPr>
          <w:b w:val="0"/>
        </w:rPr>
      </w:pPr>
    </w:p>
    <w:p w14:paraId="776B9AED" w14:textId="77777777" w:rsidR="002B4F56" w:rsidRPr="00C923D6" w:rsidRDefault="002B4F56" w:rsidP="00B804B8">
      <w:pPr>
        <w:pStyle w:val="Heading1"/>
        <w:spacing w:line="264" w:lineRule="auto"/>
      </w:pPr>
      <w:r w:rsidRPr="00C923D6">
        <w:t>FINDINGS AND CONCLUSIONS</w:t>
      </w:r>
    </w:p>
    <w:p w14:paraId="7623806A" w14:textId="77777777" w:rsidR="002B4F56" w:rsidRPr="00C923D6" w:rsidRDefault="002B4F56" w:rsidP="00B804B8">
      <w:pPr>
        <w:spacing w:line="264" w:lineRule="auto"/>
        <w:ind w:left="-1080"/>
      </w:pPr>
    </w:p>
    <w:p w14:paraId="4B024856" w14:textId="77777777" w:rsidR="002B4F56" w:rsidRPr="00C923D6" w:rsidRDefault="002B4F56" w:rsidP="00B804B8">
      <w:pPr>
        <w:numPr>
          <w:ilvl w:val="0"/>
          <w:numId w:val="1"/>
        </w:numPr>
        <w:spacing w:line="264" w:lineRule="auto"/>
        <w:ind w:left="720" w:hanging="1440"/>
        <w:rPr>
          <w:i/>
          <w:iCs/>
        </w:rPr>
      </w:pPr>
      <w:r w:rsidRPr="00C923D6">
        <w:t>(1)</w:t>
      </w:r>
      <w:r w:rsidRPr="00C923D6">
        <w:tab/>
        <w:t xml:space="preserve">The Washington Utilities and Transportation </w:t>
      </w:r>
      <w:r>
        <w:t>Commission</w:t>
      </w:r>
      <w:r w:rsidRPr="00C923D6">
        <w:t xml:space="preserve"> is an agency of the </w:t>
      </w:r>
      <w:r>
        <w:t>S</w:t>
      </w:r>
      <w:r w:rsidRPr="00C923D6">
        <w:t xml:space="preserve">tate of Washington vested by statute with the authority to regulate </w:t>
      </w:r>
      <w:r>
        <w:t xml:space="preserve">the </w:t>
      </w:r>
      <w:r w:rsidRPr="00C923D6">
        <w:t xml:space="preserve">rates, rules, regulations, practices, accounts, </w:t>
      </w:r>
      <w:proofErr w:type="gramStart"/>
      <w:r w:rsidRPr="00C923D6">
        <w:t>securities</w:t>
      </w:r>
      <w:proofErr w:type="gramEnd"/>
      <w:r w:rsidRPr="00C923D6">
        <w:t xml:space="preserve">, transfers of </w:t>
      </w:r>
      <w:r>
        <w:t xml:space="preserve">property and affiliated interests of </w:t>
      </w:r>
      <w:r w:rsidRPr="00C923D6">
        <w:t xml:space="preserve">public service companies, including </w:t>
      </w:r>
      <w:r>
        <w:t>electric</w:t>
      </w:r>
      <w:r w:rsidRPr="00C923D6">
        <w:rPr>
          <w:b/>
          <w:bCs/>
        </w:rPr>
        <w:t xml:space="preserve"> </w:t>
      </w:r>
      <w:r w:rsidRPr="00C923D6">
        <w:t xml:space="preserve">companies. </w:t>
      </w:r>
    </w:p>
    <w:p w14:paraId="319DDF63" w14:textId="77777777" w:rsidR="002B4F56" w:rsidRPr="00C923D6" w:rsidRDefault="002B4F56" w:rsidP="00B804B8">
      <w:pPr>
        <w:spacing w:line="264" w:lineRule="auto"/>
      </w:pPr>
    </w:p>
    <w:p w14:paraId="108FB222" w14:textId="77777777" w:rsidR="002B4F56" w:rsidRPr="00C923D6" w:rsidRDefault="002B4F56" w:rsidP="00B804B8">
      <w:pPr>
        <w:numPr>
          <w:ilvl w:val="0"/>
          <w:numId w:val="1"/>
        </w:numPr>
        <w:spacing w:line="264" w:lineRule="auto"/>
        <w:ind w:left="720" w:hanging="1440"/>
      </w:pPr>
      <w:r w:rsidRPr="00C923D6">
        <w:t>(2)</w:t>
      </w:r>
      <w:r w:rsidRPr="00C923D6">
        <w:tab/>
      </w:r>
      <w:r>
        <w:t xml:space="preserve">Avista </w:t>
      </w:r>
      <w:r w:rsidRPr="00C923D6">
        <w:t xml:space="preserve">is </w:t>
      </w:r>
      <w:r>
        <w:rPr>
          <w:noProof/>
        </w:rPr>
        <w:t>an electric</w:t>
      </w:r>
      <w:r w:rsidRPr="00C923D6">
        <w:t xml:space="preserve"> company and a public service company subject to </w:t>
      </w:r>
      <w:r>
        <w:t xml:space="preserve">Commission </w:t>
      </w:r>
      <w:r w:rsidRPr="00C923D6">
        <w:t>jurisdiction.</w:t>
      </w:r>
    </w:p>
    <w:p w14:paraId="73B17BAB" w14:textId="77777777" w:rsidR="002B4F56" w:rsidRPr="00C923D6" w:rsidRDefault="002B4F56" w:rsidP="00B804B8">
      <w:pPr>
        <w:spacing w:line="264" w:lineRule="auto"/>
      </w:pPr>
    </w:p>
    <w:p w14:paraId="7AE24D99" w14:textId="77777777" w:rsidR="002B4F56" w:rsidRPr="00C923D6" w:rsidRDefault="002B4F56" w:rsidP="00B804B8">
      <w:pPr>
        <w:numPr>
          <w:ilvl w:val="0"/>
          <w:numId w:val="1"/>
        </w:numPr>
        <w:spacing w:line="264" w:lineRule="auto"/>
        <w:ind w:left="720" w:hanging="1440"/>
      </w:pPr>
      <w:r w:rsidRPr="00C923D6">
        <w:t>(3)</w:t>
      </w:r>
      <w:r w:rsidRPr="00C923D6">
        <w:tab/>
      </w:r>
      <w:r w:rsidRPr="00FA1C7D">
        <w:t>WAC 480-07-370(1</w:t>
      </w:r>
      <w:proofErr w:type="gramStart"/>
      <w:r w:rsidRPr="00FA1C7D">
        <w:t>)(</w:t>
      </w:r>
      <w:proofErr w:type="gramEnd"/>
      <w:r w:rsidRPr="00FA1C7D">
        <w:t>b)</w:t>
      </w:r>
      <w:r w:rsidRPr="00C923D6">
        <w:t>, allows companies to file petition</w:t>
      </w:r>
      <w:r>
        <w:t>s,</w:t>
      </w:r>
      <w:r w:rsidRPr="00C923D6">
        <w:t xml:space="preserve"> including </w:t>
      </w:r>
      <w:r>
        <w:t>the Petition and Amended Petition</w:t>
      </w:r>
      <w:r w:rsidRPr="00C923D6">
        <w:t xml:space="preserve"> </w:t>
      </w:r>
      <w:r>
        <w:t>Avista</w:t>
      </w:r>
      <w:r w:rsidRPr="00C923D6">
        <w:rPr>
          <w:b/>
          <w:bCs/>
        </w:rPr>
        <w:t xml:space="preserve"> </w:t>
      </w:r>
      <w:r>
        <w:t>filed in this docket</w:t>
      </w:r>
      <w:r w:rsidRPr="00C923D6">
        <w:t>.</w:t>
      </w:r>
    </w:p>
    <w:p w14:paraId="56C7D7CC" w14:textId="77777777" w:rsidR="002B4F56" w:rsidRPr="00C923D6" w:rsidRDefault="002B4F56" w:rsidP="00B804B8">
      <w:pPr>
        <w:spacing w:line="264" w:lineRule="auto"/>
      </w:pPr>
    </w:p>
    <w:p w14:paraId="4BAE98A2" w14:textId="77777777" w:rsidR="002B4F56" w:rsidRDefault="002B4F56" w:rsidP="00B804B8">
      <w:pPr>
        <w:numPr>
          <w:ilvl w:val="0"/>
          <w:numId w:val="1"/>
        </w:numPr>
        <w:spacing w:line="264" w:lineRule="auto"/>
        <w:ind w:left="720" w:hanging="1440"/>
      </w:pPr>
      <w:r w:rsidRPr="00C923D6">
        <w:t>(4)</w:t>
      </w:r>
      <w:r w:rsidRPr="00C923D6">
        <w:tab/>
      </w:r>
      <w:r>
        <w:t>Staff</w:t>
      </w:r>
      <w:r w:rsidRPr="00C923D6">
        <w:t xml:space="preserve"> has reviewed the </w:t>
      </w:r>
      <w:r>
        <w:t>Petition and the Amended P</w:t>
      </w:r>
      <w:r w:rsidRPr="00C923D6">
        <w:t xml:space="preserve">etition in Docket </w:t>
      </w:r>
      <w:r>
        <w:t>UE-160100,</w:t>
      </w:r>
      <w:r w:rsidRPr="00C923D6">
        <w:t xml:space="preserve"> including related work</w:t>
      </w:r>
      <w:r>
        <w:t xml:space="preserve"> papers. </w:t>
      </w:r>
    </w:p>
    <w:p w14:paraId="04224B6F" w14:textId="77777777" w:rsidR="002B4F56" w:rsidRDefault="002B4F56" w:rsidP="00B804B8">
      <w:pPr>
        <w:spacing w:line="264" w:lineRule="auto"/>
      </w:pPr>
    </w:p>
    <w:p w14:paraId="32B486DD" w14:textId="77777777" w:rsidR="002B4F56" w:rsidRPr="003C2211" w:rsidRDefault="002B4F56" w:rsidP="00B804B8">
      <w:pPr>
        <w:numPr>
          <w:ilvl w:val="0"/>
          <w:numId w:val="1"/>
        </w:numPr>
        <w:spacing w:line="264" w:lineRule="auto"/>
        <w:ind w:left="720" w:hanging="1440"/>
      </w:pPr>
      <w:r>
        <w:t>(5)</w:t>
      </w:r>
      <w:r>
        <w:tab/>
        <w:t>Staff</w:t>
      </w:r>
      <w:r w:rsidRPr="00C923D6">
        <w:t xml:space="preserve"> </w:t>
      </w:r>
      <w:r>
        <w:t xml:space="preserve">finds that Avista’s Amended Petition </w:t>
      </w:r>
      <w:r w:rsidRPr="00C923D6">
        <w:t xml:space="preserve">is reasonable and should be </w:t>
      </w:r>
      <w:r>
        <w:t>granted</w:t>
      </w:r>
      <w:r w:rsidRPr="00C923D6">
        <w:t>, subject to</w:t>
      </w:r>
      <w:r>
        <w:t xml:space="preserve"> the condition that Avista execute contracts with its selected AMI vendors and move forward with its AMI investment as outlined in its Amended Petition</w:t>
      </w:r>
      <w:r w:rsidRPr="00C923D6">
        <w:t>.</w:t>
      </w:r>
    </w:p>
    <w:p w14:paraId="52A6A633" w14:textId="77777777" w:rsidR="002B4F56" w:rsidRPr="003C2211" w:rsidRDefault="002B4F56" w:rsidP="00B804B8">
      <w:pPr>
        <w:spacing w:line="264" w:lineRule="auto"/>
      </w:pPr>
    </w:p>
    <w:p w14:paraId="5E42CB2A" w14:textId="77777777" w:rsidR="002B4F56" w:rsidRPr="00C923D6" w:rsidRDefault="002B4F56" w:rsidP="00B804B8">
      <w:pPr>
        <w:numPr>
          <w:ilvl w:val="0"/>
          <w:numId w:val="1"/>
        </w:numPr>
        <w:spacing w:line="264" w:lineRule="auto"/>
        <w:ind w:left="720" w:hanging="1440"/>
      </w:pPr>
      <w:r w:rsidRPr="00C923D6">
        <w:t>(</w:t>
      </w:r>
      <w:r>
        <w:t>6</w:t>
      </w:r>
      <w:r w:rsidRPr="00C923D6">
        <w:t>)</w:t>
      </w:r>
      <w:r w:rsidRPr="00C923D6">
        <w:tab/>
        <w:t xml:space="preserve">This matter </w:t>
      </w:r>
      <w:r>
        <w:t>came</w:t>
      </w:r>
      <w:r w:rsidRPr="00C923D6">
        <w:t xml:space="preserve"> before the </w:t>
      </w:r>
      <w:r>
        <w:t>Commission</w:t>
      </w:r>
      <w:r w:rsidRPr="00C923D6">
        <w:t xml:space="preserve"> at its regularly scheduled meeting on</w:t>
      </w:r>
      <w:r>
        <w:t xml:space="preserve"> March 10, 2016.</w:t>
      </w:r>
    </w:p>
    <w:p w14:paraId="437905E4" w14:textId="77777777" w:rsidR="002B4F56" w:rsidRPr="00C923D6" w:rsidRDefault="002B4F56" w:rsidP="00B804B8">
      <w:pPr>
        <w:spacing w:line="264" w:lineRule="auto"/>
      </w:pPr>
    </w:p>
    <w:p w14:paraId="14E3CA6E" w14:textId="77777777" w:rsidR="002B4F56" w:rsidRPr="00B804B8" w:rsidRDefault="002B4F56" w:rsidP="00B804B8">
      <w:pPr>
        <w:numPr>
          <w:ilvl w:val="0"/>
          <w:numId w:val="1"/>
        </w:numPr>
        <w:spacing w:line="264" w:lineRule="auto"/>
        <w:ind w:left="720" w:hanging="1440"/>
      </w:pPr>
      <w:r w:rsidRPr="00C923D6">
        <w:t>(</w:t>
      </w:r>
      <w:r>
        <w:t>7</w:t>
      </w:r>
      <w:r w:rsidRPr="00C923D6">
        <w:t>)</w:t>
      </w:r>
      <w:r w:rsidRPr="00C923D6">
        <w:tab/>
        <w:t xml:space="preserve">After </w:t>
      </w:r>
      <w:r>
        <w:t>reviewing Avista’s</w:t>
      </w:r>
      <w:r w:rsidRPr="00C923D6">
        <w:rPr>
          <w:b/>
          <w:bCs/>
        </w:rPr>
        <w:t xml:space="preserve"> </w:t>
      </w:r>
      <w:r w:rsidRPr="00873F50">
        <w:rPr>
          <w:bCs/>
        </w:rPr>
        <w:t>A</w:t>
      </w:r>
      <w:r>
        <w:rPr>
          <w:bCs/>
        </w:rPr>
        <w:t>mended P</w:t>
      </w:r>
      <w:r w:rsidRPr="00C923D6">
        <w:t xml:space="preserve">etition filed in Docket </w:t>
      </w:r>
      <w:r>
        <w:t>UE-160100</w:t>
      </w:r>
      <w:r w:rsidRPr="00C923D6">
        <w:t xml:space="preserve"> on </w:t>
      </w:r>
      <w:r>
        <w:t xml:space="preserve">March 4, 2016, </w:t>
      </w:r>
      <w:r w:rsidRPr="00C923D6">
        <w:t xml:space="preserve">and giving due consideration to all relevant matters and for good cause shown, the </w:t>
      </w:r>
      <w:r>
        <w:t>Commission</w:t>
      </w:r>
      <w:r w:rsidRPr="00C923D6">
        <w:t xml:space="preserve"> finds that the </w:t>
      </w:r>
      <w:r>
        <w:t xml:space="preserve">Amended </w:t>
      </w:r>
      <w:r w:rsidRPr="00C923D6">
        <w:t xml:space="preserve">Petition should be </w:t>
      </w:r>
      <w:r>
        <w:t>granted subject to the following conditions:</w:t>
      </w:r>
      <w:r w:rsidRPr="00464B1F">
        <w:t xml:space="preserve"> </w:t>
      </w:r>
      <w:r>
        <w:t>1) this Order is not effective until Avista executes contracts with vendors and moves forward with its AMI investment as outlined in its Amended Petition, and 2) for the duration of the project, Avista must file with the Commission an annual report by January 31 of each year, beginning January 31, 2017, documenting the actual number of meters retired in the previous calendar year and the net book value of those meters at the time of retirement.</w:t>
      </w:r>
    </w:p>
    <w:p w14:paraId="01D9A632" w14:textId="77777777" w:rsidR="002B4F56" w:rsidRDefault="002B4F56" w:rsidP="00B804B8"/>
    <w:p w14:paraId="69ACB83C" w14:textId="77777777" w:rsidR="00B804B8" w:rsidRDefault="00B804B8" w:rsidP="00B804B8"/>
    <w:p w14:paraId="2224D853" w14:textId="77777777" w:rsidR="00B804B8" w:rsidRDefault="00B804B8" w:rsidP="00B804B8"/>
    <w:p w14:paraId="7A8BABA9" w14:textId="77777777" w:rsidR="00B804B8" w:rsidRDefault="00B804B8" w:rsidP="00B804B8"/>
    <w:p w14:paraId="15C9838A" w14:textId="77777777" w:rsidR="002B4F56" w:rsidRPr="00C923D6" w:rsidRDefault="002B4F56" w:rsidP="00B804B8">
      <w:pPr>
        <w:pStyle w:val="Heading1"/>
      </w:pPr>
      <w:r w:rsidRPr="00C923D6">
        <w:lastRenderedPageBreak/>
        <w:t>ORDER</w:t>
      </w:r>
    </w:p>
    <w:p w14:paraId="6EC80186" w14:textId="77777777" w:rsidR="002B4F56" w:rsidRPr="00C923D6" w:rsidRDefault="002B4F56" w:rsidP="00B804B8"/>
    <w:p w14:paraId="09EF71F6" w14:textId="77777777" w:rsidR="002B4F56" w:rsidRPr="004E41FF" w:rsidRDefault="002B4F56" w:rsidP="00B804B8">
      <w:pPr>
        <w:spacing w:line="264" w:lineRule="auto"/>
        <w:rPr>
          <w:b/>
        </w:rPr>
      </w:pPr>
      <w:r w:rsidRPr="004E41FF">
        <w:rPr>
          <w:b/>
        </w:rPr>
        <w:t xml:space="preserve">THE </w:t>
      </w:r>
      <w:r>
        <w:rPr>
          <w:b/>
        </w:rPr>
        <w:t>COMMISSION</w:t>
      </w:r>
      <w:r w:rsidRPr="004E41FF">
        <w:rPr>
          <w:b/>
        </w:rPr>
        <w:t xml:space="preserve"> ORDERS:</w:t>
      </w:r>
    </w:p>
    <w:p w14:paraId="41F39CA5" w14:textId="77777777" w:rsidR="002B4F56" w:rsidRPr="00C923D6" w:rsidRDefault="002B4F56" w:rsidP="00B804B8">
      <w:pPr>
        <w:spacing w:line="264" w:lineRule="auto"/>
      </w:pPr>
    </w:p>
    <w:p w14:paraId="39CD3B36" w14:textId="77777777" w:rsidR="002B4F56" w:rsidRPr="00C923D6" w:rsidRDefault="002B4F56" w:rsidP="00B804B8">
      <w:pPr>
        <w:numPr>
          <w:ilvl w:val="0"/>
          <w:numId w:val="1"/>
        </w:numPr>
        <w:spacing w:line="264" w:lineRule="auto"/>
        <w:ind w:left="720" w:hanging="1440"/>
      </w:pPr>
      <w:r w:rsidRPr="00C923D6">
        <w:t>(1)</w:t>
      </w:r>
      <w:r w:rsidRPr="00C923D6">
        <w:tab/>
      </w:r>
      <w:r>
        <w:t>Avista Corporation’</w:t>
      </w:r>
      <w:r w:rsidRPr="00C923D6">
        <w:t xml:space="preserve">s </w:t>
      </w:r>
      <w:r>
        <w:t>Amended Petition</w:t>
      </w:r>
      <w:r w:rsidRPr="00C923D6">
        <w:t xml:space="preserve"> to </w:t>
      </w:r>
      <w:r w:rsidRPr="00E82696">
        <w:t>defer accounting the remaining net book value of its existing electric meters as the meters are removed from service</w:t>
      </w:r>
      <w:r>
        <w:t xml:space="preserve"> </w:t>
      </w:r>
      <w:r w:rsidRPr="00023C9E">
        <w:t xml:space="preserve">to a regulatory asset account, Other Regulatory Assets – 182.3 </w:t>
      </w:r>
      <w:r>
        <w:t>is granted, subject to the condition that this Order is effective on the date Avista Corporation executes contracts with vendors and moves forward with its AMI investment as outlined in its Amended Petition</w:t>
      </w:r>
      <w:r w:rsidRPr="00C923D6">
        <w:t>.</w:t>
      </w:r>
    </w:p>
    <w:p w14:paraId="11655538" w14:textId="77777777" w:rsidR="002B4F56" w:rsidRPr="00C923D6" w:rsidRDefault="002B4F56" w:rsidP="00B804B8">
      <w:pPr>
        <w:spacing w:line="264" w:lineRule="auto"/>
      </w:pPr>
    </w:p>
    <w:p w14:paraId="77830D92" w14:textId="77777777" w:rsidR="002B4F56" w:rsidRPr="00C923D6" w:rsidRDefault="002B4F56" w:rsidP="00B804B8">
      <w:pPr>
        <w:numPr>
          <w:ilvl w:val="0"/>
          <w:numId w:val="1"/>
        </w:numPr>
        <w:spacing w:line="264" w:lineRule="auto"/>
        <w:ind w:left="720" w:hanging="1440"/>
      </w:pPr>
      <w:r w:rsidRPr="00C923D6">
        <w:t>(2)</w:t>
      </w:r>
      <w:r w:rsidRPr="00C923D6">
        <w:tab/>
      </w:r>
      <w:r>
        <w:t>Avista Corporation must file with the Commission an annual report by January 31 of each year, beginning January 31, 2017, documenting the actual number of meters retired in the previous calendar year and the net book value of those meters at the time of retirement.</w:t>
      </w:r>
    </w:p>
    <w:p w14:paraId="79AC9E22" w14:textId="77777777" w:rsidR="002B4F56" w:rsidRPr="00C923D6" w:rsidRDefault="002B4F56" w:rsidP="00B804B8">
      <w:pPr>
        <w:spacing w:line="264" w:lineRule="auto"/>
      </w:pPr>
    </w:p>
    <w:p w14:paraId="6E3B878B" w14:textId="77777777" w:rsidR="002B4F56" w:rsidRDefault="002B4F56" w:rsidP="00B804B8">
      <w:pPr>
        <w:numPr>
          <w:ilvl w:val="0"/>
          <w:numId w:val="1"/>
        </w:numPr>
        <w:spacing w:line="264" w:lineRule="auto"/>
        <w:ind w:left="720" w:hanging="1440"/>
      </w:pPr>
      <w:r>
        <w:t>(3)</w:t>
      </w:r>
      <w:r>
        <w:tab/>
        <w:t>This Order shall not</w:t>
      </w:r>
      <w:r w:rsidRPr="00C923D6">
        <w:t xml:space="preserve"> affect the </w:t>
      </w:r>
      <w:r>
        <w:t xml:space="preserve">Commission’s </w:t>
      </w:r>
      <w:r w:rsidRPr="00C923D6">
        <w:t>authority over rates, services, accounts, valuations, estima</w:t>
      </w:r>
      <w:r>
        <w:t xml:space="preserve">tes, or determination of costs on any matters </w:t>
      </w:r>
      <w:r w:rsidRPr="00C923D6">
        <w:t>that may come before it</w:t>
      </w:r>
      <w:r>
        <w:t xml:space="preserve">. Nor shall this Order granting Petition </w:t>
      </w:r>
      <w:r w:rsidRPr="00C923D6">
        <w:t xml:space="preserve">be construed </w:t>
      </w:r>
      <w:r>
        <w:t>as an agreement to any estimate,</w:t>
      </w:r>
      <w:r w:rsidRPr="00C923D6">
        <w:t xml:space="preserve"> determination of costs</w:t>
      </w:r>
      <w:r>
        <w:t>, valuation of property</w:t>
      </w:r>
      <w:r w:rsidRPr="00C923D6">
        <w:t xml:space="preserve"> claimed or asserted</w:t>
      </w:r>
      <w:r>
        <w:t xml:space="preserve"> or</w:t>
      </w:r>
      <w:r w:rsidRPr="008F2CB1">
        <w:t xml:space="preserve"> </w:t>
      </w:r>
      <w:r>
        <w:t>to the possible recovery of, or return on, the amounts deferred to the regulatory asset</w:t>
      </w:r>
      <w:r w:rsidRPr="00C923D6">
        <w:t>.</w:t>
      </w:r>
    </w:p>
    <w:p w14:paraId="7CCBCFCF" w14:textId="77777777" w:rsidR="002B4F56" w:rsidRDefault="002B4F56" w:rsidP="00B804B8">
      <w:pPr>
        <w:spacing w:line="264" w:lineRule="auto"/>
      </w:pPr>
    </w:p>
    <w:p w14:paraId="31F04331" w14:textId="77777777" w:rsidR="002B4F56" w:rsidRPr="00C923D6" w:rsidRDefault="002B4F56" w:rsidP="00B804B8">
      <w:pPr>
        <w:numPr>
          <w:ilvl w:val="0"/>
          <w:numId w:val="1"/>
        </w:numPr>
        <w:spacing w:line="264" w:lineRule="auto"/>
        <w:ind w:left="720" w:hanging="1440"/>
      </w:pPr>
      <w:r w:rsidRPr="00C923D6">
        <w:t>(4)</w:t>
      </w:r>
      <w:r w:rsidRPr="00C923D6">
        <w:tab/>
        <w:t xml:space="preserve">The </w:t>
      </w:r>
      <w:r>
        <w:t>Commission</w:t>
      </w:r>
      <w:r w:rsidRPr="00C923D6">
        <w:t xml:space="preserve"> retains jurisdiction over the subject matter and </w:t>
      </w:r>
      <w:r>
        <w:t>Avista Corporation</w:t>
      </w:r>
      <w:r w:rsidRPr="00C923D6">
        <w:rPr>
          <w:b/>
          <w:bCs/>
        </w:rPr>
        <w:t xml:space="preserve"> </w:t>
      </w:r>
      <w:r w:rsidRPr="00C923D6">
        <w:t>to effectuate the provisions of this Order.</w:t>
      </w:r>
    </w:p>
    <w:p w14:paraId="694E868A" w14:textId="77777777" w:rsidR="002B4F56" w:rsidRDefault="002B4F56" w:rsidP="00B804B8">
      <w:pPr>
        <w:spacing w:line="264" w:lineRule="auto"/>
      </w:pPr>
    </w:p>
    <w:p w14:paraId="32494121" w14:textId="78661B9E" w:rsidR="002B4F56" w:rsidRPr="00AC1794" w:rsidRDefault="002B4F56" w:rsidP="00B804B8">
      <w:pPr>
        <w:spacing w:line="264" w:lineRule="auto"/>
      </w:pPr>
      <w:r w:rsidRPr="00C923D6">
        <w:t xml:space="preserve">DATED at Olympia, Washington, and effective </w:t>
      </w:r>
      <w:r>
        <w:rPr>
          <w:bCs/>
        </w:rPr>
        <w:t>March 1</w:t>
      </w:r>
      <w:r w:rsidR="00B804B8">
        <w:rPr>
          <w:bCs/>
        </w:rPr>
        <w:t>5</w:t>
      </w:r>
      <w:r w:rsidRPr="00B20DE1">
        <w:rPr>
          <w:bCs/>
        </w:rPr>
        <w:t>, 2016</w:t>
      </w:r>
      <w:r w:rsidRPr="00AC1794">
        <w:t>.</w:t>
      </w:r>
    </w:p>
    <w:p w14:paraId="3F544A42" w14:textId="77777777" w:rsidR="002B4F56" w:rsidRPr="00C923D6" w:rsidRDefault="002B4F56" w:rsidP="00B804B8">
      <w:pPr>
        <w:spacing w:line="264" w:lineRule="auto"/>
      </w:pPr>
    </w:p>
    <w:p w14:paraId="1FB19374" w14:textId="77777777" w:rsidR="002B4F56" w:rsidRPr="00C923D6" w:rsidRDefault="002B4F56" w:rsidP="00B804B8">
      <w:pPr>
        <w:spacing w:line="264"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t>COMMISSION</w:t>
      </w:r>
    </w:p>
    <w:p w14:paraId="7A729BEF" w14:textId="77777777" w:rsidR="002B4F56" w:rsidRPr="00C923D6" w:rsidRDefault="002B4F56" w:rsidP="00B804B8">
      <w:pPr>
        <w:spacing w:line="288" w:lineRule="auto"/>
      </w:pPr>
    </w:p>
    <w:p w14:paraId="1E93F13A" w14:textId="77777777" w:rsidR="002B4F56" w:rsidRDefault="002B4F56" w:rsidP="00B804B8">
      <w:pPr>
        <w:spacing w:line="288" w:lineRule="auto"/>
      </w:pPr>
    </w:p>
    <w:p w14:paraId="5B45657C" w14:textId="77777777" w:rsidR="00B804B8" w:rsidRPr="00C923D6" w:rsidRDefault="00B804B8" w:rsidP="00B804B8">
      <w:pPr>
        <w:spacing w:line="288" w:lineRule="auto"/>
      </w:pPr>
    </w:p>
    <w:p w14:paraId="2D4F45EF" w14:textId="3ACF36E7" w:rsidR="002B4F56" w:rsidRDefault="002B4F56" w:rsidP="00B804B8">
      <w:pPr>
        <w:spacing w:line="288" w:lineRule="auto"/>
      </w:pPr>
      <w:r>
        <w:tab/>
      </w:r>
      <w:r>
        <w:tab/>
      </w:r>
      <w:r>
        <w:tab/>
      </w:r>
      <w:r w:rsidR="00B804B8">
        <w:tab/>
      </w:r>
      <w:r>
        <w:tab/>
        <w:t>DAVID W. DANNER, Chairman</w:t>
      </w:r>
    </w:p>
    <w:p w14:paraId="553A9A2B" w14:textId="77777777" w:rsidR="002B4F56" w:rsidRDefault="002B4F56" w:rsidP="00B804B8">
      <w:pPr>
        <w:spacing w:line="288" w:lineRule="auto"/>
      </w:pPr>
    </w:p>
    <w:p w14:paraId="10531FE4" w14:textId="77777777" w:rsidR="00B804B8" w:rsidRDefault="00B804B8" w:rsidP="00B804B8">
      <w:pPr>
        <w:spacing w:line="288" w:lineRule="auto"/>
      </w:pPr>
    </w:p>
    <w:p w14:paraId="66618239" w14:textId="77777777" w:rsidR="002B4F56" w:rsidRDefault="002B4F56" w:rsidP="00B804B8">
      <w:pPr>
        <w:spacing w:line="288" w:lineRule="auto"/>
      </w:pPr>
    </w:p>
    <w:p w14:paraId="45CDAB49" w14:textId="3A7A1CE0" w:rsidR="002B4F56" w:rsidRDefault="002B4F56" w:rsidP="00B804B8">
      <w:pPr>
        <w:spacing w:line="288" w:lineRule="auto"/>
      </w:pPr>
      <w:r>
        <w:tab/>
      </w:r>
      <w:r>
        <w:tab/>
      </w:r>
      <w:r>
        <w:tab/>
      </w:r>
      <w:r w:rsidR="00B804B8">
        <w:tab/>
      </w:r>
      <w:r>
        <w:tab/>
        <w:t>PHILIP B. JONES, Commissioner</w:t>
      </w:r>
    </w:p>
    <w:p w14:paraId="3389B636" w14:textId="77777777" w:rsidR="002B4F56" w:rsidRDefault="002B4F56" w:rsidP="00B804B8">
      <w:pPr>
        <w:spacing w:line="288" w:lineRule="auto"/>
        <w:ind w:left="2160" w:firstLine="720"/>
      </w:pPr>
    </w:p>
    <w:p w14:paraId="451FF6E1" w14:textId="77777777" w:rsidR="002B4F56" w:rsidRDefault="002B4F56" w:rsidP="00B804B8">
      <w:pPr>
        <w:spacing w:line="288" w:lineRule="auto"/>
        <w:ind w:left="2160" w:firstLine="720"/>
      </w:pPr>
    </w:p>
    <w:p w14:paraId="5FFB1923" w14:textId="77777777" w:rsidR="00B804B8" w:rsidRDefault="00B804B8" w:rsidP="00B804B8">
      <w:pPr>
        <w:spacing w:line="288" w:lineRule="auto"/>
        <w:ind w:left="2160" w:firstLine="720"/>
      </w:pPr>
    </w:p>
    <w:p w14:paraId="1CECF91D" w14:textId="2FD5DEC0" w:rsidR="007D62FB" w:rsidRPr="00C923D6" w:rsidRDefault="002B4F56" w:rsidP="00B804B8">
      <w:pPr>
        <w:spacing w:line="288" w:lineRule="auto"/>
        <w:ind w:left="2880" w:firstLine="720"/>
      </w:pPr>
      <w:r>
        <w:t>ANN E. RENDAHL, Commissioner</w:t>
      </w:r>
    </w:p>
    <w:sectPr w:rsidR="007D62FB" w:rsidRPr="00C923D6" w:rsidSect="00B804B8">
      <w:headerReference w:type="default" r:id="rId8"/>
      <w:headerReference w:type="first" r:id="rId9"/>
      <w:type w:val="continuous"/>
      <w:pgSz w:w="12240" w:h="15840" w:code="1"/>
      <w:pgMar w:top="1440" w:right="1440" w:bottom="135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CF920" w14:textId="77777777" w:rsidR="005E1629" w:rsidRDefault="005E1629">
      <w:r>
        <w:separator/>
      </w:r>
    </w:p>
  </w:endnote>
  <w:endnote w:type="continuationSeparator" w:id="0">
    <w:p w14:paraId="1CECF921" w14:textId="77777777" w:rsidR="005E1629" w:rsidRDefault="005E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F91E" w14:textId="77777777" w:rsidR="005E1629" w:rsidRDefault="005E1629">
      <w:r>
        <w:separator/>
      </w:r>
    </w:p>
  </w:footnote>
  <w:footnote w:type="continuationSeparator" w:id="0">
    <w:p w14:paraId="1CECF91F" w14:textId="77777777" w:rsidR="005E1629" w:rsidRDefault="005E1629">
      <w:r>
        <w:continuationSeparator/>
      </w:r>
    </w:p>
  </w:footnote>
  <w:footnote w:id="1">
    <w:p w14:paraId="18C7EF0F" w14:textId="609B64FD" w:rsidR="002B4F56" w:rsidRDefault="002B4F56" w:rsidP="00B804B8">
      <w:pPr>
        <w:spacing w:after="120"/>
      </w:pPr>
      <w:r w:rsidRPr="004F3814">
        <w:rPr>
          <w:rStyle w:val="FootnoteReference"/>
          <w:sz w:val="22"/>
          <w:szCs w:val="22"/>
        </w:rPr>
        <w:footnoteRef/>
      </w:r>
      <w:r w:rsidRPr="004F3814">
        <w:rPr>
          <w:sz w:val="22"/>
          <w:szCs w:val="22"/>
        </w:rPr>
        <w:t xml:space="preserve"> As of December 31, 2015, the remaining net book value of the existing electric meters is approximately $21 million. </w:t>
      </w:r>
    </w:p>
  </w:footnote>
  <w:footnote w:id="2">
    <w:p w14:paraId="492AE0E6" w14:textId="77777777" w:rsidR="002B4F56" w:rsidRPr="00290213" w:rsidRDefault="002B4F56" w:rsidP="00B804B8">
      <w:pPr>
        <w:spacing w:after="120"/>
        <w:rPr>
          <w:sz w:val="22"/>
          <w:szCs w:val="22"/>
        </w:rPr>
      </w:pPr>
      <w:r w:rsidRPr="00290213">
        <w:rPr>
          <w:rStyle w:val="FootnoteReference"/>
          <w:sz w:val="22"/>
          <w:szCs w:val="22"/>
        </w:rPr>
        <w:footnoteRef/>
      </w:r>
      <w:r w:rsidRPr="00290213">
        <w:rPr>
          <w:sz w:val="22"/>
          <w:szCs w:val="22"/>
        </w:rPr>
        <w:t xml:space="preserve"> See Attachment A to Commission Staff’s Memo for a complete list of Avista’s requests</w:t>
      </w:r>
      <w:r>
        <w:rPr>
          <w:sz w:val="22"/>
          <w:szCs w:val="22"/>
        </w:rPr>
        <w:t xml:space="preserve"> (March 4, 2016)</w:t>
      </w:r>
      <w:r w:rsidRPr="00290213">
        <w:rPr>
          <w:sz w:val="22"/>
          <w:szCs w:val="22"/>
        </w:rPr>
        <w:t>.</w:t>
      </w:r>
    </w:p>
  </w:footnote>
  <w:footnote w:id="3">
    <w:p w14:paraId="0D02B837" w14:textId="02FD4FC5" w:rsidR="002B4F56" w:rsidRPr="00C550D3" w:rsidRDefault="002B4F56" w:rsidP="002B4F56">
      <w:pPr>
        <w:pStyle w:val="FootnoteText"/>
        <w:rPr>
          <w:rFonts w:ascii="Times New Roman" w:hAnsi="Times New Roman"/>
          <w:sz w:val="22"/>
          <w:szCs w:val="22"/>
        </w:rPr>
      </w:pPr>
      <w:r w:rsidRPr="00E56EFE">
        <w:rPr>
          <w:rStyle w:val="FootnoteReference"/>
          <w:rFonts w:ascii="Times New Roman" w:hAnsi="Times New Roman"/>
          <w:sz w:val="22"/>
          <w:szCs w:val="22"/>
        </w:rPr>
        <w:footnoteRef/>
      </w:r>
      <w:r w:rsidRPr="00E56EFE">
        <w:rPr>
          <w:rFonts w:ascii="Times New Roman" w:hAnsi="Times New Roman"/>
          <w:sz w:val="22"/>
          <w:szCs w:val="22"/>
        </w:rPr>
        <w:t xml:space="preserve"> </w:t>
      </w:r>
      <w:r w:rsidRPr="00E56EFE">
        <w:rPr>
          <w:rFonts w:ascii="Times New Roman" w:hAnsi="Times New Roman"/>
          <w:i/>
          <w:sz w:val="22"/>
          <w:szCs w:val="22"/>
        </w:rPr>
        <w:t>Id.</w:t>
      </w:r>
      <w:r w:rsidRPr="00E56EFE">
        <w:rPr>
          <w:rFonts w:ascii="Times New Roman" w:hAnsi="Times New Roman"/>
          <w:sz w:val="22"/>
          <w:szCs w:val="22"/>
        </w:rPr>
        <w:t xml:space="preserve"> at ¶</w:t>
      </w:r>
      <w:r w:rsidR="00B804B8">
        <w:rPr>
          <w:rFonts w:ascii="Times New Roman" w:hAnsi="Times New Roman"/>
          <w:sz w:val="22"/>
          <w:szCs w:val="22"/>
        </w:rPr>
        <w:t xml:space="preserve"> </w:t>
      </w:r>
      <w:r w:rsidRPr="00E56EFE">
        <w:rPr>
          <w:rFonts w:ascii="Times New Roman" w:hAnsi="Times New Roman"/>
          <w:sz w:val="22"/>
          <w:szCs w:val="22"/>
        </w:rPr>
        <w:t>11.</w:t>
      </w:r>
    </w:p>
  </w:footnote>
  <w:footnote w:id="4">
    <w:p w14:paraId="3C61D598" w14:textId="19876493" w:rsidR="002B4F56" w:rsidRPr="00F27160" w:rsidRDefault="002B4F56" w:rsidP="00B804B8">
      <w:pPr>
        <w:pStyle w:val="FootnoteText"/>
        <w:spacing w:after="120"/>
        <w:rPr>
          <w:rFonts w:ascii="Times New Roman" w:hAnsi="Times New Roman"/>
          <w:sz w:val="22"/>
          <w:szCs w:val="22"/>
        </w:rPr>
      </w:pPr>
      <w:r w:rsidRPr="00E56EFE">
        <w:rPr>
          <w:rStyle w:val="FootnoteReference"/>
          <w:rFonts w:ascii="Times New Roman" w:hAnsi="Times New Roman"/>
          <w:sz w:val="22"/>
          <w:szCs w:val="22"/>
        </w:rPr>
        <w:footnoteRef/>
      </w:r>
      <w:r w:rsidRPr="00E56EFE">
        <w:rPr>
          <w:rFonts w:ascii="Times New Roman" w:hAnsi="Times New Roman"/>
          <w:sz w:val="22"/>
          <w:szCs w:val="22"/>
        </w:rPr>
        <w:t xml:space="preserve"> </w:t>
      </w:r>
      <w:r w:rsidRPr="00E56EFE">
        <w:rPr>
          <w:rFonts w:ascii="Times New Roman" w:hAnsi="Times New Roman"/>
          <w:i/>
          <w:sz w:val="22"/>
          <w:szCs w:val="22"/>
        </w:rPr>
        <w:t>Washington Utilities and Transportation Commission v. Avista Corporation d/b/a Avista Utilities</w:t>
      </w:r>
      <w:r w:rsidRPr="00E56EFE">
        <w:rPr>
          <w:rFonts w:ascii="Times New Roman" w:hAnsi="Times New Roman"/>
          <w:sz w:val="22"/>
          <w:szCs w:val="22"/>
        </w:rPr>
        <w:t>, Dockets UE-150204 and UG-150205 (</w:t>
      </w:r>
      <w:r w:rsidRPr="00E56EFE">
        <w:rPr>
          <w:rFonts w:ascii="Times New Roman" w:hAnsi="Times New Roman"/>
          <w:i/>
          <w:sz w:val="22"/>
          <w:szCs w:val="22"/>
        </w:rPr>
        <w:t>Consolidated</w:t>
      </w:r>
      <w:r w:rsidRPr="00E56EFE">
        <w:rPr>
          <w:rFonts w:ascii="Times New Roman" w:hAnsi="Times New Roman"/>
          <w:sz w:val="22"/>
          <w:szCs w:val="22"/>
        </w:rPr>
        <w:t>), Order 05 ¶</w:t>
      </w:r>
      <w:r w:rsidR="00B804B8">
        <w:rPr>
          <w:rFonts w:ascii="Times New Roman" w:hAnsi="Times New Roman"/>
          <w:sz w:val="22"/>
          <w:szCs w:val="22"/>
        </w:rPr>
        <w:t xml:space="preserve"> </w:t>
      </w:r>
      <w:r w:rsidRPr="00E56EFE">
        <w:rPr>
          <w:rFonts w:ascii="Times New Roman" w:hAnsi="Times New Roman"/>
          <w:sz w:val="22"/>
          <w:szCs w:val="22"/>
        </w:rPr>
        <w:t>197 (January 6, 2016).</w:t>
      </w:r>
    </w:p>
  </w:footnote>
  <w:footnote w:id="5">
    <w:p w14:paraId="104C0A3A" w14:textId="77777777" w:rsidR="002B4F56" w:rsidRPr="005E1ADB" w:rsidRDefault="002B4F56" w:rsidP="00B804B8">
      <w:pPr>
        <w:pStyle w:val="FootnoteText"/>
        <w:spacing w:after="120"/>
        <w:rPr>
          <w:rFonts w:ascii="Times New Roman" w:hAnsi="Times New Roman"/>
          <w:sz w:val="22"/>
          <w:szCs w:val="22"/>
        </w:rPr>
      </w:pPr>
      <w:r w:rsidRPr="005E1ADB">
        <w:rPr>
          <w:rStyle w:val="FootnoteReference"/>
          <w:rFonts w:ascii="Times New Roman" w:hAnsi="Times New Roman"/>
          <w:sz w:val="22"/>
          <w:szCs w:val="22"/>
        </w:rPr>
        <w:footnoteRef/>
      </w:r>
      <w:r w:rsidRPr="005E1ADB">
        <w:rPr>
          <w:rFonts w:ascii="Times New Roman" w:hAnsi="Times New Roman"/>
          <w:sz w:val="22"/>
          <w:szCs w:val="22"/>
        </w:rPr>
        <w:t xml:space="preserve"> </w:t>
      </w:r>
      <w:r w:rsidRPr="005E1ADB">
        <w:rPr>
          <w:rFonts w:ascii="Times New Roman" w:hAnsi="Times New Roman"/>
          <w:i/>
          <w:sz w:val="22"/>
          <w:szCs w:val="22"/>
        </w:rPr>
        <w:t xml:space="preserve">See </w:t>
      </w:r>
      <w:r w:rsidRPr="005E1ADB">
        <w:rPr>
          <w:rFonts w:ascii="Times New Roman" w:hAnsi="Times New Roman"/>
          <w:noProof/>
          <w:sz w:val="22"/>
          <w:szCs w:val="22"/>
        </w:rPr>
        <w:t>18 C.F.R. Part 101 – Uniform System of Accounts Prescribed for Public Utilities and Licensees Subject to the Provisions of the Federal Power Act.</w:t>
      </w:r>
    </w:p>
  </w:footnote>
  <w:footnote w:id="6">
    <w:p w14:paraId="50311D06" w14:textId="69D13266" w:rsidR="002B4F56" w:rsidRPr="003C7E16" w:rsidRDefault="002B4F56" w:rsidP="00B804B8">
      <w:pPr>
        <w:pStyle w:val="FootnoteText"/>
        <w:spacing w:after="120"/>
        <w:rPr>
          <w:rFonts w:ascii="Times New Roman" w:hAnsi="Times New Roman"/>
        </w:rPr>
      </w:pPr>
      <w:r w:rsidRPr="003C7E16">
        <w:rPr>
          <w:rStyle w:val="FootnoteReference"/>
          <w:rFonts w:ascii="Times New Roman" w:hAnsi="Times New Roman"/>
        </w:rPr>
        <w:footnoteRef/>
      </w:r>
      <w:r w:rsidRPr="003C7E16">
        <w:rPr>
          <w:rFonts w:ascii="Times New Roman" w:hAnsi="Times New Roman"/>
        </w:rPr>
        <w:t xml:space="preserve"> Amended </w:t>
      </w:r>
      <w:r w:rsidRPr="00B804B8">
        <w:rPr>
          <w:rFonts w:ascii="Times New Roman" w:hAnsi="Times New Roman"/>
          <w:i/>
          <w:sz w:val="22"/>
          <w:szCs w:val="22"/>
        </w:rPr>
        <w:t>Petition</w:t>
      </w:r>
      <w:r w:rsidRPr="003C7E16">
        <w:rPr>
          <w:rFonts w:ascii="Times New Roman" w:hAnsi="Times New Roman"/>
        </w:rPr>
        <w:t xml:space="preserve"> of </w:t>
      </w:r>
      <w:proofErr w:type="spellStart"/>
      <w:r w:rsidRPr="003C7E16">
        <w:rPr>
          <w:rFonts w:ascii="Times New Roman" w:hAnsi="Times New Roman"/>
        </w:rPr>
        <w:t>Avista</w:t>
      </w:r>
      <w:proofErr w:type="spellEnd"/>
      <w:r w:rsidRPr="003C7E16">
        <w:rPr>
          <w:rFonts w:ascii="Times New Roman" w:hAnsi="Times New Roman"/>
        </w:rPr>
        <w:t xml:space="preserve"> Corporation, Docket </w:t>
      </w:r>
      <w:proofErr w:type="spellStart"/>
      <w:r w:rsidRPr="003C7E16">
        <w:rPr>
          <w:rFonts w:ascii="Times New Roman" w:hAnsi="Times New Roman"/>
        </w:rPr>
        <w:t>UE</w:t>
      </w:r>
      <w:proofErr w:type="spellEnd"/>
      <w:r w:rsidRPr="003C7E16">
        <w:rPr>
          <w:rFonts w:ascii="Times New Roman" w:hAnsi="Times New Roman"/>
        </w:rPr>
        <w:t xml:space="preserve"> 160100, ¶</w:t>
      </w:r>
      <w:r w:rsidR="00B804B8">
        <w:rPr>
          <w:rFonts w:ascii="Times New Roman" w:hAnsi="Times New Roman"/>
        </w:rPr>
        <w:t xml:space="preserve"> </w:t>
      </w:r>
      <w:r w:rsidRPr="003C7E16">
        <w:rPr>
          <w:rFonts w:ascii="Times New Roman" w:hAnsi="Times New Roman"/>
        </w:rPr>
        <w:t>13.</w:t>
      </w:r>
    </w:p>
  </w:footnote>
  <w:footnote w:id="7">
    <w:p w14:paraId="073353BD" w14:textId="77777777" w:rsidR="002B4F56" w:rsidRPr="003C7E16" w:rsidRDefault="002B4F56" w:rsidP="00B804B8">
      <w:pPr>
        <w:pStyle w:val="FootnoteText"/>
        <w:spacing w:after="120"/>
        <w:rPr>
          <w:rFonts w:ascii="Times New Roman" w:hAnsi="Times New Roman"/>
        </w:rPr>
      </w:pPr>
      <w:r w:rsidRPr="003C7E16">
        <w:rPr>
          <w:rStyle w:val="FootnoteReference"/>
          <w:rFonts w:ascii="Times New Roman" w:hAnsi="Times New Roman"/>
        </w:rPr>
        <w:footnoteRef/>
      </w:r>
      <w:r w:rsidRPr="003C7E16">
        <w:rPr>
          <w:rFonts w:ascii="Times New Roman" w:hAnsi="Times New Roman"/>
        </w:rPr>
        <w:t xml:space="preserve"> </w:t>
      </w:r>
      <w:r w:rsidRPr="003C7E16">
        <w:rPr>
          <w:rFonts w:ascii="Times New Roman" w:hAnsi="Times New Roman"/>
          <w:i/>
        </w:rPr>
        <w:t>Id</w:t>
      </w:r>
      <w:r w:rsidRPr="003C7E16">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F923" w14:textId="77777777" w:rsidR="00F23EAE" w:rsidRPr="00A748CC" w:rsidRDefault="00F23EAE" w:rsidP="00516BE6">
    <w:pPr>
      <w:pStyle w:val="Header"/>
      <w:tabs>
        <w:tab w:val="clear" w:pos="8640"/>
        <w:tab w:val="left" w:pos="7000"/>
        <w:tab w:val="right" w:pos="8460"/>
      </w:tabs>
      <w:rPr>
        <w:rStyle w:val="PageNumber"/>
        <w:b/>
        <w:sz w:val="20"/>
      </w:rPr>
    </w:pPr>
    <w:r w:rsidRPr="00A748CC">
      <w:rPr>
        <w:b/>
        <w:sz w:val="20"/>
      </w:rPr>
      <w:t xml:space="preserve">DOCKET </w:t>
    </w:r>
    <w:proofErr w:type="spellStart"/>
    <w:r w:rsidR="00B20DE1" w:rsidRPr="00B20DE1">
      <w:rPr>
        <w:b/>
        <w:sz w:val="20"/>
      </w:rPr>
      <w:t>UE</w:t>
    </w:r>
    <w:proofErr w:type="spellEnd"/>
    <w:r w:rsidR="00B20DE1" w:rsidRPr="00B20DE1">
      <w:rPr>
        <w:b/>
        <w:sz w:val="20"/>
      </w:rPr>
      <w:t>-160100</w:t>
    </w:r>
    <w:r w:rsidRPr="00A748CC">
      <w:rPr>
        <w:b/>
        <w:sz w:val="20"/>
      </w:rPr>
      <w:tab/>
    </w:r>
    <w:r w:rsidRPr="00A748CC">
      <w:rPr>
        <w:b/>
        <w:sz w:val="20"/>
      </w:rPr>
      <w:tab/>
    </w:r>
    <w:r w:rsidR="00516BE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86211">
      <w:rPr>
        <w:rStyle w:val="PageNumber"/>
        <w:b/>
        <w:noProof/>
        <w:sz w:val="20"/>
      </w:rPr>
      <w:t>5</w:t>
    </w:r>
    <w:r w:rsidRPr="00A748CC">
      <w:rPr>
        <w:rStyle w:val="PageNumber"/>
        <w:b/>
        <w:sz w:val="20"/>
      </w:rPr>
      <w:fldChar w:fldCharType="end"/>
    </w:r>
  </w:p>
  <w:p w14:paraId="1CECF924" w14:textId="77777777"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20DE1" w:rsidRPr="00B20DE1">
      <w:rPr>
        <w:b/>
        <w:sz w:val="20"/>
      </w:rPr>
      <w:t>01</w:t>
    </w:r>
  </w:p>
  <w:p w14:paraId="1CECF926" w14:textId="77777777" w:rsidR="00F23EAE" w:rsidRPr="00C923D6" w:rsidRDefault="00F23EAE">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638E" w14:textId="228D3316" w:rsidR="00D43A74" w:rsidRPr="00D43A74" w:rsidRDefault="00D43A74" w:rsidP="00D43A74">
    <w:pPr>
      <w:pStyle w:val="Header"/>
      <w:tabs>
        <w:tab w:val="clear" w:pos="4320"/>
      </w:tabs>
      <w:rPr>
        <w:b/>
        <w:sz w:val="20"/>
        <w:szCs w:val="20"/>
      </w:rPr>
    </w:pPr>
    <w:r>
      <w:tab/>
    </w:r>
    <w:r w:rsidRPr="00D43A74">
      <w:rPr>
        <w:b/>
        <w:sz w:val="20"/>
        <w:szCs w:val="20"/>
      </w:rPr>
      <w:t>[Service Date March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D6978"/>
    <w:multiLevelType w:val="hybridMultilevel"/>
    <w:tmpl w:val="A2B46692"/>
    <w:lvl w:ilvl="0" w:tplc="BF84DC0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0C2B7D"/>
    <w:multiLevelType w:val="hybridMultilevel"/>
    <w:tmpl w:val="3738F0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36"/>
    <w:rsid w:val="00002219"/>
    <w:rsid w:val="00003776"/>
    <w:rsid w:val="00020192"/>
    <w:rsid w:val="00023C9E"/>
    <w:rsid w:val="00037C22"/>
    <w:rsid w:val="00045705"/>
    <w:rsid w:val="00050C2A"/>
    <w:rsid w:val="00057A7C"/>
    <w:rsid w:val="00057BB3"/>
    <w:rsid w:val="000670DB"/>
    <w:rsid w:val="000A1236"/>
    <w:rsid w:val="000B2415"/>
    <w:rsid w:val="000C0449"/>
    <w:rsid w:val="000C06F4"/>
    <w:rsid w:val="000C1EB1"/>
    <w:rsid w:val="000E0FD7"/>
    <w:rsid w:val="000E3146"/>
    <w:rsid w:val="000E3ECF"/>
    <w:rsid w:val="000F378C"/>
    <w:rsid w:val="00103788"/>
    <w:rsid w:val="001223E6"/>
    <w:rsid w:val="00136461"/>
    <w:rsid w:val="00137B5D"/>
    <w:rsid w:val="00156783"/>
    <w:rsid w:val="00163E45"/>
    <w:rsid w:val="00184D11"/>
    <w:rsid w:val="00191FEF"/>
    <w:rsid w:val="001A2CF4"/>
    <w:rsid w:val="001C3CFC"/>
    <w:rsid w:val="001D05AF"/>
    <w:rsid w:val="001E31D2"/>
    <w:rsid w:val="001F3B0C"/>
    <w:rsid w:val="001F3B92"/>
    <w:rsid w:val="00207552"/>
    <w:rsid w:val="00210528"/>
    <w:rsid w:val="0021323F"/>
    <w:rsid w:val="00217507"/>
    <w:rsid w:val="00256D8F"/>
    <w:rsid w:val="00267B11"/>
    <w:rsid w:val="00290213"/>
    <w:rsid w:val="002A00FC"/>
    <w:rsid w:val="002A2164"/>
    <w:rsid w:val="002A288F"/>
    <w:rsid w:val="002A391C"/>
    <w:rsid w:val="002B2DA3"/>
    <w:rsid w:val="002B4F56"/>
    <w:rsid w:val="002E53B8"/>
    <w:rsid w:val="00304BB0"/>
    <w:rsid w:val="0030610C"/>
    <w:rsid w:val="003603C6"/>
    <w:rsid w:val="00374E9D"/>
    <w:rsid w:val="0037519F"/>
    <w:rsid w:val="00377CDA"/>
    <w:rsid w:val="003864F6"/>
    <w:rsid w:val="003919D4"/>
    <w:rsid w:val="0039735B"/>
    <w:rsid w:val="003C0A5B"/>
    <w:rsid w:val="003C2211"/>
    <w:rsid w:val="003C2270"/>
    <w:rsid w:val="003C35D0"/>
    <w:rsid w:val="003F0F55"/>
    <w:rsid w:val="0040179C"/>
    <w:rsid w:val="00406621"/>
    <w:rsid w:val="00406766"/>
    <w:rsid w:val="00412541"/>
    <w:rsid w:val="00420751"/>
    <w:rsid w:val="0043185D"/>
    <w:rsid w:val="00435481"/>
    <w:rsid w:val="004376D1"/>
    <w:rsid w:val="00446310"/>
    <w:rsid w:val="00464B1F"/>
    <w:rsid w:val="00491C72"/>
    <w:rsid w:val="004C0556"/>
    <w:rsid w:val="004E41FF"/>
    <w:rsid w:val="004E7207"/>
    <w:rsid w:val="004F3814"/>
    <w:rsid w:val="005024C1"/>
    <w:rsid w:val="00512EC6"/>
    <w:rsid w:val="00516BE6"/>
    <w:rsid w:val="00525321"/>
    <w:rsid w:val="00537A6E"/>
    <w:rsid w:val="00544C45"/>
    <w:rsid w:val="0054782A"/>
    <w:rsid w:val="005579E7"/>
    <w:rsid w:val="00560A2A"/>
    <w:rsid w:val="005728CE"/>
    <w:rsid w:val="00572F55"/>
    <w:rsid w:val="00583678"/>
    <w:rsid w:val="005A0FF8"/>
    <w:rsid w:val="005A1E76"/>
    <w:rsid w:val="005E1629"/>
    <w:rsid w:val="00603F5F"/>
    <w:rsid w:val="006262B3"/>
    <w:rsid w:val="006279C0"/>
    <w:rsid w:val="006641CB"/>
    <w:rsid w:val="00680D48"/>
    <w:rsid w:val="00681D8A"/>
    <w:rsid w:val="006B795F"/>
    <w:rsid w:val="006C4048"/>
    <w:rsid w:val="007027C1"/>
    <w:rsid w:val="00706D7A"/>
    <w:rsid w:val="007133EB"/>
    <w:rsid w:val="007147E9"/>
    <w:rsid w:val="007308FD"/>
    <w:rsid w:val="007454F4"/>
    <w:rsid w:val="00750293"/>
    <w:rsid w:val="0076326D"/>
    <w:rsid w:val="00796FE4"/>
    <w:rsid w:val="007A49DF"/>
    <w:rsid w:val="007D4C59"/>
    <w:rsid w:val="007D62FB"/>
    <w:rsid w:val="007E6159"/>
    <w:rsid w:val="007F7266"/>
    <w:rsid w:val="0080664E"/>
    <w:rsid w:val="008246C9"/>
    <w:rsid w:val="00830EB3"/>
    <w:rsid w:val="00840ABC"/>
    <w:rsid w:val="00845BCE"/>
    <w:rsid w:val="00873F50"/>
    <w:rsid w:val="00883B8B"/>
    <w:rsid w:val="00887761"/>
    <w:rsid w:val="008A5BDE"/>
    <w:rsid w:val="008A75BB"/>
    <w:rsid w:val="008B6F84"/>
    <w:rsid w:val="008D148C"/>
    <w:rsid w:val="008D6469"/>
    <w:rsid w:val="008D700F"/>
    <w:rsid w:val="008F2CB1"/>
    <w:rsid w:val="008F66CE"/>
    <w:rsid w:val="00905891"/>
    <w:rsid w:val="00922662"/>
    <w:rsid w:val="0092543D"/>
    <w:rsid w:val="00940E71"/>
    <w:rsid w:val="00952ED4"/>
    <w:rsid w:val="00990F85"/>
    <w:rsid w:val="009B3E4E"/>
    <w:rsid w:val="009C74CE"/>
    <w:rsid w:val="009D5E0A"/>
    <w:rsid w:val="009E6BBD"/>
    <w:rsid w:val="00A2102B"/>
    <w:rsid w:val="00A2131C"/>
    <w:rsid w:val="00A26256"/>
    <w:rsid w:val="00A26911"/>
    <w:rsid w:val="00A272E7"/>
    <w:rsid w:val="00A32948"/>
    <w:rsid w:val="00A34118"/>
    <w:rsid w:val="00A3599C"/>
    <w:rsid w:val="00A4134E"/>
    <w:rsid w:val="00A43DD7"/>
    <w:rsid w:val="00A6402D"/>
    <w:rsid w:val="00A710A2"/>
    <w:rsid w:val="00AA6C3F"/>
    <w:rsid w:val="00AC1794"/>
    <w:rsid w:val="00AD405A"/>
    <w:rsid w:val="00B109E7"/>
    <w:rsid w:val="00B20DE1"/>
    <w:rsid w:val="00B40357"/>
    <w:rsid w:val="00B7132A"/>
    <w:rsid w:val="00B804B8"/>
    <w:rsid w:val="00BA627E"/>
    <w:rsid w:val="00BB0385"/>
    <w:rsid w:val="00BB6432"/>
    <w:rsid w:val="00BD5323"/>
    <w:rsid w:val="00BD6086"/>
    <w:rsid w:val="00C40733"/>
    <w:rsid w:val="00C47D0C"/>
    <w:rsid w:val="00C550D3"/>
    <w:rsid w:val="00C622F6"/>
    <w:rsid w:val="00C62862"/>
    <w:rsid w:val="00C823A7"/>
    <w:rsid w:val="00C87791"/>
    <w:rsid w:val="00C923D6"/>
    <w:rsid w:val="00C94CC6"/>
    <w:rsid w:val="00C96BE9"/>
    <w:rsid w:val="00C979BD"/>
    <w:rsid w:val="00CD75FE"/>
    <w:rsid w:val="00D002D2"/>
    <w:rsid w:val="00D15422"/>
    <w:rsid w:val="00D30CD1"/>
    <w:rsid w:val="00D34FDB"/>
    <w:rsid w:val="00D365AA"/>
    <w:rsid w:val="00D37AE6"/>
    <w:rsid w:val="00D43A74"/>
    <w:rsid w:val="00D564C0"/>
    <w:rsid w:val="00D75862"/>
    <w:rsid w:val="00D8358F"/>
    <w:rsid w:val="00D842FB"/>
    <w:rsid w:val="00D86211"/>
    <w:rsid w:val="00D938E7"/>
    <w:rsid w:val="00DA0056"/>
    <w:rsid w:val="00DA34C3"/>
    <w:rsid w:val="00DA5958"/>
    <w:rsid w:val="00DD589F"/>
    <w:rsid w:val="00DE0C02"/>
    <w:rsid w:val="00DE12EB"/>
    <w:rsid w:val="00DE6413"/>
    <w:rsid w:val="00DF6DED"/>
    <w:rsid w:val="00E013DE"/>
    <w:rsid w:val="00E02724"/>
    <w:rsid w:val="00E36BC8"/>
    <w:rsid w:val="00E464AB"/>
    <w:rsid w:val="00E4683D"/>
    <w:rsid w:val="00E56EFE"/>
    <w:rsid w:val="00E66798"/>
    <w:rsid w:val="00E67931"/>
    <w:rsid w:val="00E708AA"/>
    <w:rsid w:val="00E70E2C"/>
    <w:rsid w:val="00E82696"/>
    <w:rsid w:val="00E8335A"/>
    <w:rsid w:val="00EB66E9"/>
    <w:rsid w:val="00EE6A09"/>
    <w:rsid w:val="00F03613"/>
    <w:rsid w:val="00F23EAE"/>
    <w:rsid w:val="00F27160"/>
    <w:rsid w:val="00F54B0B"/>
    <w:rsid w:val="00F75266"/>
    <w:rsid w:val="00F84F91"/>
    <w:rsid w:val="00FA1C7D"/>
    <w:rsid w:val="00FC0341"/>
    <w:rsid w:val="00FC27F2"/>
    <w:rsid w:val="00FC6244"/>
    <w:rsid w:val="00FE2919"/>
    <w:rsid w:val="00FE3B8E"/>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CECF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905891"/>
    <w:pPr>
      <w:ind w:left="720"/>
      <w:contextualSpacing/>
    </w:pPr>
  </w:style>
  <w:style w:type="paragraph" w:styleId="FootnoteText">
    <w:name w:val="footnote text"/>
    <w:basedOn w:val="Normal"/>
    <w:link w:val="FootnoteTextChar"/>
    <w:unhideWhenUsed/>
    <w:rsid w:val="00B109E7"/>
    <w:rPr>
      <w:rFonts w:ascii="Palatino Linotype" w:hAnsi="Palatino Linotype"/>
      <w:sz w:val="20"/>
      <w:szCs w:val="20"/>
    </w:rPr>
  </w:style>
  <w:style w:type="character" w:customStyle="1" w:styleId="FootnoteTextChar">
    <w:name w:val="Footnote Text Char"/>
    <w:basedOn w:val="DefaultParagraphFont"/>
    <w:link w:val="FootnoteText"/>
    <w:rsid w:val="00B109E7"/>
    <w:rPr>
      <w:rFonts w:ascii="Palatino Linotype" w:hAnsi="Palatino Linotype"/>
    </w:rPr>
  </w:style>
  <w:style w:type="character" w:styleId="FootnoteReference">
    <w:name w:val="footnote reference"/>
    <w:basedOn w:val="DefaultParagraphFont"/>
    <w:uiPriority w:val="99"/>
    <w:unhideWhenUsed/>
    <w:rsid w:val="00B109E7"/>
    <w:rPr>
      <w:vertAlign w:val="superscript"/>
    </w:rPr>
  </w:style>
  <w:style w:type="character" w:styleId="CommentReference">
    <w:name w:val="annotation reference"/>
    <w:basedOn w:val="DefaultParagraphFont"/>
    <w:rsid w:val="00C96BE9"/>
    <w:rPr>
      <w:sz w:val="16"/>
      <w:szCs w:val="16"/>
    </w:rPr>
  </w:style>
  <w:style w:type="paragraph" w:styleId="CommentText">
    <w:name w:val="annotation text"/>
    <w:basedOn w:val="Normal"/>
    <w:link w:val="CommentTextChar"/>
    <w:rsid w:val="00C96BE9"/>
    <w:rPr>
      <w:sz w:val="20"/>
      <w:szCs w:val="20"/>
    </w:rPr>
  </w:style>
  <w:style w:type="character" w:customStyle="1" w:styleId="CommentTextChar">
    <w:name w:val="Comment Text Char"/>
    <w:basedOn w:val="DefaultParagraphFont"/>
    <w:link w:val="CommentText"/>
    <w:rsid w:val="00C96BE9"/>
  </w:style>
  <w:style w:type="paragraph" w:styleId="CommentSubject">
    <w:name w:val="annotation subject"/>
    <w:basedOn w:val="CommentText"/>
    <w:next w:val="CommentText"/>
    <w:link w:val="CommentSubjectChar"/>
    <w:rsid w:val="00C96BE9"/>
    <w:rPr>
      <w:b/>
      <w:bCs/>
    </w:rPr>
  </w:style>
  <w:style w:type="character" w:customStyle="1" w:styleId="CommentSubjectChar">
    <w:name w:val="Comment Subject Char"/>
    <w:basedOn w:val="CommentTextChar"/>
    <w:link w:val="CommentSubject"/>
    <w:rsid w:val="00C96BE9"/>
    <w:rPr>
      <w:b/>
      <w:bCs/>
    </w:rPr>
  </w:style>
  <w:style w:type="character" w:customStyle="1" w:styleId="HeaderChar">
    <w:name w:val="Header Char"/>
    <w:basedOn w:val="DefaultParagraphFont"/>
    <w:link w:val="Header"/>
    <w:uiPriority w:val="99"/>
    <w:rsid w:val="00D43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903">
      <w:bodyDiv w:val="1"/>
      <w:marLeft w:val="0"/>
      <w:marRight w:val="0"/>
      <w:marTop w:val="0"/>
      <w:marBottom w:val="0"/>
      <w:divBdr>
        <w:top w:val="none" w:sz="0" w:space="0" w:color="auto"/>
        <w:left w:val="none" w:sz="0" w:space="0" w:color="auto"/>
        <w:bottom w:val="none" w:sz="0" w:space="0" w:color="auto"/>
        <w:right w:val="none" w:sz="0" w:space="0" w:color="auto"/>
      </w:divBdr>
    </w:div>
    <w:div w:id="6838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2016-03-15T07:00:00+00:00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1327F-3444-44AC-9A86-BADBFB1E78A7}"/>
</file>

<file path=customXml/itemProps2.xml><?xml version="1.0" encoding="utf-8"?>
<ds:datastoreItem xmlns:ds="http://schemas.openxmlformats.org/officeDocument/2006/customXml" ds:itemID="{8C671616-CD0D-48AE-8B39-C4D11E65F428}"/>
</file>

<file path=customXml/itemProps3.xml><?xml version="1.0" encoding="utf-8"?>
<ds:datastoreItem xmlns:ds="http://schemas.openxmlformats.org/officeDocument/2006/customXml" ds:itemID="{64A43446-5B67-45E5-8A60-2B8825FCE4D2}"/>
</file>

<file path=customXml/itemProps4.xml><?xml version="1.0" encoding="utf-8"?>
<ds:datastoreItem xmlns:ds="http://schemas.openxmlformats.org/officeDocument/2006/customXml" ds:itemID="{5372E126-AB7D-4BF1-BB58-C15AFE1BD7B8}"/>
</file>

<file path=customXml/itemProps5.xml><?xml version="1.0" encoding="utf-8"?>
<ds:datastoreItem xmlns:ds="http://schemas.openxmlformats.org/officeDocument/2006/customXml" ds:itemID="{39BF7D8D-3724-40F1-9B68-4AE031607FA1}"/>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8799</Characters>
  <Application>Microsoft Office Word</Application>
  <DocSecurity>0</DocSecurity>
  <Lines>73</Lines>
  <Paragraphs>20</Paragraphs>
  <ScaleCrop>false</ScaleCrop>
  <Company/>
  <LinksUpToDate>false</LinksUpToDate>
  <CharactersWithSpaces>10379</CharactersWithSpaces>
  <SharedDoc>false</SharedDoc>
  <HLinks>
    <vt:vector size="48" baseType="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2016-03-15T17:15:00Z</dcterms:created>
  <dcterms:modified xsi:type="dcterms:W3CDTF">2016-03-15T17:15:00Z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