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614322447"/>
        <w:docPartObj>
          <w:docPartGallery w:val="Table of Contents"/>
          <w:docPartUnique/>
        </w:docPartObj>
      </w:sdtPr>
      <w:sdtEndPr>
        <w:rPr>
          <w:rFonts w:ascii="Garamond" w:hAnsi="Garamond"/>
          <w:noProof/>
          <w:szCs w:val="20"/>
        </w:rPr>
      </w:sdtEndPr>
      <w:sdtContent>
        <w:p w:rsidR="0082295E" w:rsidRPr="003F156A" w:rsidRDefault="0082295E" w:rsidP="00D276F6">
          <w:pPr>
            <w:pStyle w:val="TOCHeading"/>
            <w:suppressLineNumbers/>
            <w:spacing w:before="0" w:line="480" w:lineRule="auto"/>
            <w:jc w:val="center"/>
            <w:rPr>
              <w:rFonts w:ascii="Times New Roman" w:hAnsi="Times New Roman" w:cs="Times New Roman"/>
              <w:color w:val="auto"/>
              <w:sz w:val="24"/>
              <w:szCs w:val="24"/>
            </w:rPr>
          </w:pPr>
          <w:r w:rsidRPr="003F156A">
            <w:rPr>
              <w:rFonts w:ascii="Times New Roman" w:hAnsi="Times New Roman" w:cs="Times New Roman"/>
              <w:color w:val="auto"/>
              <w:sz w:val="24"/>
              <w:szCs w:val="24"/>
            </w:rPr>
            <w:t>TABLE OF CONTENTS</w:t>
          </w:r>
        </w:p>
        <w:p w:rsidR="007F4AFF" w:rsidRPr="00C31441" w:rsidRDefault="0082295E" w:rsidP="00C31441">
          <w:pPr>
            <w:pStyle w:val="TOC1"/>
            <w:rPr>
              <w:rFonts w:ascii="Times New Roman" w:eastAsiaTheme="minorEastAsia" w:hAnsi="Times New Roman"/>
              <w:noProof/>
              <w:sz w:val="22"/>
              <w:szCs w:val="22"/>
            </w:rPr>
          </w:pPr>
          <w:r w:rsidRPr="00C31441">
            <w:rPr>
              <w:rFonts w:ascii="Times New Roman" w:hAnsi="Times New Roman"/>
            </w:rPr>
            <w:fldChar w:fldCharType="begin"/>
          </w:r>
          <w:r w:rsidRPr="00C31441">
            <w:rPr>
              <w:rFonts w:ascii="Times New Roman" w:hAnsi="Times New Roman"/>
            </w:rPr>
            <w:instrText xml:space="preserve"> TOC \o "1-3" \h \z \u </w:instrText>
          </w:r>
          <w:r w:rsidRPr="00C31441">
            <w:rPr>
              <w:rFonts w:ascii="Times New Roman" w:hAnsi="Times New Roman"/>
            </w:rPr>
            <w:fldChar w:fldCharType="separate"/>
          </w:r>
          <w:hyperlink w:anchor="_Toc435729875" w:history="1">
            <w:r w:rsidR="007F4AFF" w:rsidRPr="00C31441">
              <w:rPr>
                <w:rStyle w:val="Hyperlink"/>
                <w:rFonts w:ascii="Times New Roman" w:hAnsi="Times New Roman"/>
                <w:noProof/>
              </w:rPr>
              <w:t>QUALIFICATIONS</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_Toc435729875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1</w:t>
            </w:r>
            <w:r w:rsidR="007F4AFF" w:rsidRPr="00C31441">
              <w:rPr>
                <w:rFonts w:ascii="Times New Roman" w:hAnsi="Times New Roman"/>
                <w:noProof/>
                <w:webHidden/>
              </w:rPr>
              <w:fldChar w:fldCharType="end"/>
            </w:r>
          </w:hyperlink>
        </w:p>
        <w:p w:rsidR="007F4AFF" w:rsidRPr="00C31441" w:rsidRDefault="003840D8" w:rsidP="00C31441">
          <w:pPr>
            <w:pStyle w:val="TOC1"/>
            <w:rPr>
              <w:rFonts w:ascii="Times New Roman" w:eastAsiaTheme="minorEastAsia" w:hAnsi="Times New Roman"/>
              <w:noProof/>
              <w:sz w:val="22"/>
              <w:szCs w:val="22"/>
            </w:rPr>
          </w:pPr>
          <w:hyperlink w:anchor="_Toc435729876" w:history="1">
            <w:r w:rsidR="007F4AFF" w:rsidRPr="00C31441">
              <w:rPr>
                <w:rStyle w:val="Hyperlink"/>
                <w:rFonts w:ascii="Times New Roman" w:hAnsi="Times New Roman"/>
                <w:noProof/>
              </w:rPr>
              <w:t>PURPOSE OF TESTIMONY</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_Toc435729876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1</w:t>
            </w:r>
            <w:r w:rsidR="007F4AFF" w:rsidRPr="00C31441">
              <w:rPr>
                <w:rFonts w:ascii="Times New Roman" w:hAnsi="Times New Roman"/>
                <w:noProof/>
                <w:webHidden/>
              </w:rPr>
              <w:fldChar w:fldCharType="end"/>
            </w:r>
          </w:hyperlink>
        </w:p>
        <w:p w:rsidR="007F4AFF" w:rsidRPr="00C31441" w:rsidRDefault="003840D8" w:rsidP="00C31441">
          <w:pPr>
            <w:pStyle w:val="TOC1"/>
            <w:rPr>
              <w:rFonts w:ascii="Times New Roman" w:eastAsiaTheme="minorEastAsia" w:hAnsi="Times New Roman"/>
              <w:noProof/>
              <w:sz w:val="22"/>
              <w:szCs w:val="22"/>
            </w:rPr>
          </w:pPr>
          <w:hyperlink w:anchor="_Toc435729877" w:history="1">
            <w:r w:rsidR="007F4AFF" w:rsidRPr="00C31441">
              <w:rPr>
                <w:rStyle w:val="Hyperlink"/>
                <w:rFonts w:ascii="Times New Roman" w:hAnsi="Times New Roman"/>
                <w:noProof/>
              </w:rPr>
              <w:t>RATE SPREAD</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_Toc435729877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4</w:t>
            </w:r>
            <w:r w:rsidR="007F4AFF" w:rsidRPr="00C31441">
              <w:rPr>
                <w:rFonts w:ascii="Times New Roman" w:hAnsi="Times New Roman"/>
                <w:noProof/>
                <w:webHidden/>
              </w:rPr>
              <w:fldChar w:fldCharType="end"/>
            </w:r>
          </w:hyperlink>
        </w:p>
        <w:p w:rsidR="007F4AFF" w:rsidRPr="00C31441" w:rsidRDefault="003840D8" w:rsidP="00C31441">
          <w:pPr>
            <w:pStyle w:val="TOC1"/>
            <w:rPr>
              <w:rFonts w:ascii="Times New Roman" w:eastAsiaTheme="minorEastAsia" w:hAnsi="Times New Roman"/>
              <w:noProof/>
              <w:sz w:val="22"/>
              <w:szCs w:val="22"/>
            </w:rPr>
          </w:pPr>
          <w:hyperlink w:anchor="_Toc435729878" w:history="1">
            <w:r w:rsidR="007F4AFF" w:rsidRPr="00C31441">
              <w:rPr>
                <w:rStyle w:val="Hyperlink"/>
                <w:rFonts w:ascii="Times New Roman" w:hAnsi="Times New Roman"/>
                <w:noProof/>
              </w:rPr>
              <w:t>RATE DESIGN</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_Toc435729878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6</w:t>
            </w:r>
            <w:r w:rsidR="007F4AFF" w:rsidRPr="00C31441">
              <w:rPr>
                <w:rFonts w:ascii="Times New Roman" w:hAnsi="Times New Roman"/>
                <w:noProof/>
                <w:webHidden/>
              </w:rPr>
              <w:fldChar w:fldCharType="end"/>
            </w:r>
          </w:hyperlink>
        </w:p>
        <w:p w:rsidR="007F4AFF" w:rsidRPr="00C31441" w:rsidRDefault="003840D8" w:rsidP="00C31441">
          <w:pPr>
            <w:pStyle w:val="TOC1"/>
            <w:rPr>
              <w:rFonts w:ascii="Times New Roman" w:eastAsiaTheme="minorEastAsia" w:hAnsi="Times New Roman"/>
              <w:noProof/>
              <w:sz w:val="22"/>
              <w:szCs w:val="22"/>
            </w:rPr>
          </w:pPr>
          <w:hyperlink w:anchor="_Toc435729879" w:history="1">
            <w:r w:rsidR="007F4AFF" w:rsidRPr="00C31441">
              <w:rPr>
                <w:rStyle w:val="Hyperlink"/>
                <w:rFonts w:ascii="Times New Roman" w:hAnsi="Times New Roman"/>
                <w:noProof/>
              </w:rPr>
              <w:t>LOW-INCOME CUSTOMERS</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_Toc435729879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8</w:t>
            </w:r>
            <w:r w:rsidR="007F4AFF" w:rsidRPr="00C31441">
              <w:rPr>
                <w:rFonts w:ascii="Times New Roman" w:hAnsi="Times New Roman"/>
                <w:noProof/>
                <w:webHidden/>
              </w:rPr>
              <w:fldChar w:fldCharType="end"/>
            </w:r>
          </w:hyperlink>
        </w:p>
        <w:p w:rsidR="007F4AFF" w:rsidRPr="00C31441" w:rsidRDefault="003840D8" w:rsidP="00C31441">
          <w:pPr>
            <w:pStyle w:val="TOC1"/>
            <w:rPr>
              <w:rFonts w:ascii="Times New Roman" w:eastAsiaTheme="minorEastAsia" w:hAnsi="Times New Roman"/>
              <w:noProof/>
              <w:sz w:val="22"/>
              <w:szCs w:val="22"/>
            </w:rPr>
          </w:pPr>
          <w:hyperlink w:anchor="_Toc435729880" w:history="1">
            <w:r w:rsidR="007F4AFF" w:rsidRPr="00C31441">
              <w:rPr>
                <w:rStyle w:val="Hyperlink"/>
                <w:rFonts w:ascii="Times New Roman" w:hAnsi="Times New Roman"/>
                <w:noProof/>
              </w:rPr>
              <w:t>DECOUPLING MECHANISM</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_Toc435729880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9</w:t>
            </w:r>
            <w:r w:rsidR="007F4AFF" w:rsidRPr="00C31441">
              <w:rPr>
                <w:rFonts w:ascii="Times New Roman" w:hAnsi="Times New Roman"/>
                <w:noProof/>
                <w:webHidden/>
              </w:rPr>
              <w:fldChar w:fldCharType="end"/>
            </w:r>
          </w:hyperlink>
        </w:p>
        <w:p w:rsidR="007F4AFF" w:rsidRPr="00C31441" w:rsidRDefault="003840D8" w:rsidP="00C31441">
          <w:pPr>
            <w:pStyle w:val="TOC2"/>
            <w:rPr>
              <w:rFonts w:ascii="Times New Roman" w:eastAsiaTheme="minorEastAsia" w:hAnsi="Times New Roman"/>
              <w:noProof/>
              <w:sz w:val="22"/>
              <w:szCs w:val="22"/>
            </w:rPr>
          </w:pPr>
          <w:hyperlink w:anchor="_Toc435729881" w:history="1">
            <w:r w:rsidR="007F4AFF" w:rsidRPr="00C31441">
              <w:rPr>
                <w:rStyle w:val="Hyperlink"/>
                <w:rFonts w:ascii="Times New Roman" w:hAnsi="Times New Roman"/>
                <w:noProof/>
              </w:rPr>
              <w:t>PROPOSED TARIFFS</w:t>
            </w:r>
            <w:r w:rsidR="007F4AFF" w:rsidRPr="00C31441">
              <w:rPr>
                <w:rFonts w:ascii="Times New Roman" w:hAnsi="Times New Roman"/>
                <w:noProof/>
                <w:webHidden/>
              </w:rPr>
              <w:tab/>
            </w:r>
            <w:r w:rsidR="007F4AFF" w:rsidRPr="00C31441">
              <w:rPr>
                <w:rFonts w:ascii="Times New Roman" w:hAnsi="Times New Roman"/>
                <w:noProof/>
                <w:webHidden/>
              </w:rPr>
              <w:fldChar w:fldCharType="begin"/>
            </w:r>
            <w:r w:rsidR="007F4AFF" w:rsidRPr="00C31441">
              <w:rPr>
                <w:rFonts w:ascii="Times New Roman" w:hAnsi="Times New Roman"/>
                <w:noProof/>
                <w:webHidden/>
              </w:rPr>
              <w:instrText xml:space="preserve"> PAGEREF _Toc435729881 \h </w:instrText>
            </w:r>
            <w:r w:rsidR="007F4AFF" w:rsidRPr="00C31441">
              <w:rPr>
                <w:rFonts w:ascii="Times New Roman" w:hAnsi="Times New Roman"/>
                <w:noProof/>
                <w:webHidden/>
              </w:rPr>
            </w:r>
            <w:r w:rsidR="007F4AFF" w:rsidRPr="00C31441">
              <w:rPr>
                <w:rFonts w:ascii="Times New Roman" w:hAnsi="Times New Roman"/>
                <w:noProof/>
                <w:webHidden/>
              </w:rPr>
              <w:fldChar w:fldCharType="separate"/>
            </w:r>
            <w:r w:rsidR="009F19EF">
              <w:rPr>
                <w:rFonts w:ascii="Times New Roman" w:hAnsi="Times New Roman"/>
                <w:noProof/>
                <w:webHidden/>
              </w:rPr>
              <w:t>21</w:t>
            </w:r>
            <w:r w:rsidR="007F4AFF" w:rsidRPr="00C31441">
              <w:rPr>
                <w:rFonts w:ascii="Times New Roman" w:hAnsi="Times New Roman"/>
                <w:noProof/>
                <w:webHidden/>
              </w:rPr>
              <w:fldChar w:fldCharType="end"/>
            </w:r>
          </w:hyperlink>
        </w:p>
        <w:p w:rsidR="0082295E" w:rsidRPr="0082295E" w:rsidRDefault="0082295E" w:rsidP="00C31441">
          <w:pPr>
            <w:pStyle w:val="TOC1"/>
          </w:pPr>
          <w:r w:rsidRPr="00C31441">
            <w:rPr>
              <w:rFonts w:ascii="Times New Roman" w:hAnsi="Times New Roman"/>
              <w:b/>
              <w:bCs/>
              <w:noProof/>
            </w:rPr>
            <w:fldChar w:fldCharType="end"/>
          </w:r>
        </w:p>
      </w:sdtContent>
    </w:sdt>
    <w:p w:rsidR="00A66631" w:rsidRDefault="00A66631" w:rsidP="006F50C1">
      <w:pPr>
        <w:suppressLineNumbers/>
        <w:jc w:val="center"/>
        <w:rPr>
          <w:rFonts w:ascii="Times New Roman" w:hAnsi="Times New Roman"/>
          <w:b/>
          <w:szCs w:val="24"/>
        </w:rPr>
      </w:pPr>
    </w:p>
    <w:p w:rsidR="0082295E" w:rsidRDefault="006F50C1" w:rsidP="00D276F6">
      <w:pPr>
        <w:suppressLineNumbers/>
        <w:jc w:val="center"/>
        <w:rPr>
          <w:rFonts w:ascii="Times New Roman" w:hAnsi="Times New Roman"/>
          <w:b/>
          <w:szCs w:val="24"/>
        </w:rPr>
      </w:pPr>
      <w:r>
        <w:rPr>
          <w:rFonts w:ascii="Times New Roman" w:hAnsi="Times New Roman"/>
          <w:b/>
          <w:szCs w:val="24"/>
        </w:rPr>
        <w:t>ATTACHED EXHIBITS</w:t>
      </w:r>
    </w:p>
    <w:p w:rsidR="006F50C1" w:rsidRPr="006F50C1" w:rsidRDefault="006F50C1"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2</w:t>
      </w:r>
      <w:r w:rsidRPr="006F50C1">
        <w:rPr>
          <w:rFonts w:ascii="Times New Roman" w:hAnsi="Times New Roman"/>
          <w:szCs w:val="24"/>
        </w:rPr>
        <w:t>—</w:t>
      </w:r>
      <w:r>
        <w:rPr>
          <w:rFonts w:ascii="Times New Roman" w:hAnsi="Times New Roman"/>
          <w:szCs w:val="24"/>
        </w:rPr>
        <w:t>Proposed Allocation of Revenue Requirement Increase</w:t>
      </w:r>
      <w:r w:rsidR="00166472">
        <w:rPr>
          <w:rFonts w:ascii="Times New Roman" w:hAnsi="Times New Roman"/>
          <w:szCs w:val="24"/>
        </w:rPr>
        <w:t>s</w:t>
      </w:r>
    </w:p>
    <w:p w:rsidR="006F50C1" w:rsidRPr="006F50C1" w:rsidRDefault="006F50C1"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3</w:t>
      </w:r>
      <w:r w:rsidRPr="006F50C1">
        <w:rPr>
          <w:rFonts w:ascii="Times New Roman" w:hAnsi="Times New Roman"/>
          <w:szCs w:val="24"/>
        </w:rPr>
        <w:t>—</w:t>
      </w:r>
      <w:r w:rsidR="003F156A">
        <w:rPr>
          <w:rFonts w:ascii="Times New Roman" w:hAnsi="Times New Roman"/>
          <w:szCs w:val="24"/>
        </w:rPr>
        <w:t>Proposed Pricing</w:t>
      </w:r>
      <w:r>
        <w:rPr>
          <w:rFonts w:ascii="Times New Roman" w:hAnsi="Times New Roman"/>
          <w:szCs w:val="24"/>
        </w:rPr>
        <w:t xml:space="preserve"> and Billing Determinants</w:t>
      </w:r>
      <w:r w:rsidR="009E3EE2">
        <w:rPr>
          <w:rFonts w:ascii="Times New Roman" w:hAnsi="Times New Roman"/>
          <w:szCs w:val="24"/>
        </w:rPr>
        <w:t xml:space="preserve"> effective 05/1/16</w:t>
      </w:r>
    </w:p>
    <w:p w:rsidR="009E3EE2" w:rsidRPr="006F50C1" w:rsidRDefault="009E3EE2"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4</w:t>
      </w:r>
      <w:r w:rsidRPr="006F50C1">
        <w:rPr>
          <w:rFonts w:ascii="Times New Roman" w:hAnsi="Times New Roman"/>
          <w:szCs w:val="24"/>
        </w:rPr>
        <w:t>—</w:t>
      </w:r>
      <w:r>
        <w:rPr>
          <w:rFonts w:ascii="Times New Roman" w:hAnsi="Times New Roman"/>
          <w:szCs w:val="24"/>
        </w:rPr>
        <w:t>Proposed Pricing and Billing Determinants effective 05/1/17</w:t>
      </w:r>
    </w:p>
    <w:p w:rsidR="006F50C1" w:rsidRPr="006F50C1" w:rsidRDefault="006F50C1"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5</w:t>
      </w:r>
      <w:r w:rsidRPr="006F50C1">
        <w:rPr>
          <w:rFonts w:ascii="Times New Roman" w:hAnsi="Times New Roman"/>
          <w:szCs w:val="24"/>
        </w:rPr>
        <w:t>—</w:t>
      </w:r>
      <w:r>
        <w:rPr>
          <w:rFonts w:ascii="Times New Roman" w:hAnsi="Times New Roman"/>
          <w:szCs w:val="24"/>
        </w:rPr>
        <w:t>Monthly Billing Comparisons</w:t>
      </w:r>
      <w:r w:rsidR="009E3EE2">
        <w:rPr>
          <w:rFonts w:ascii="Times New Roman" w:hAnsi="Times New Roman"/>
          <w:szCs w:val="24"/>
        </w:rPr>
        <w:t xml:space="preserve"> effective 05/1/16</w:t>
      </w:r>
    </w:p>
    <w:p w:rsidR="009E3EE2" w:rsidRDefault="009E3EE2"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6</w:t>
      </w:r>
      <w:r w:rsidRPr="006F50C1">
        <w:rPr>
          <w:rFonts w:ascii="Times New Roman" w:hAnsi="Times New Roman"/>
          <w:szCs w:val="24"/>
        </w:rPr>
        <w:t>—</w:t>
      </w:r>
      <w:r>
        <w:rPr>
          <w:rFonts w:ascii="Times New Roman" w:hAnsi="Times New Roman"/>
          <w:szCs w:val="24"/>
        </w:rPr>
        <w:t>Monthly Billing Comparisons effective 05/1/17</w:t>
      </w:r>
    </w:p>
    <w:p w:rsidR="0077458D" w:rsidRPr="006F50C1" w:rsidRDefault="0077458D" w:rsidP="00D276F6">
      <w:pPr>
        <w:suppressLineNumbers/>
        <w:rPr>
          <w:rFonts w:ascii="Times New Roman" w:hAnsi="Times New Roman"/>
          <w:szCs w:val="24"/>
        </w:rPr>
      </w:pPr>
      <w:r>
        <w:rPr>
          <w:rFonts w:ascii="Times New Roman" w:hAnsi="Times New Roman"/>
          <w:szCs w:val="24"/>
        </w:rPr>
        <w:t>Exhibit No.</w:t>
      </w:r>
      <w:r w:rsidR="00F813FB">
        <w:rPr>
          <w:rFonts w:ascii="Times New Roman" w:hAnsi="Times New Roman"/>
          <w:szCs w:val="24"/>
        </w:rPr>
        <w:t xml:space="preserve"> </w:t>
      </w:r>
      <w:r>
        <w:rPr>
          <w:rFonts w:ascii="Times New Roman" w:hAnsi="Times New Roman"/>
          <w:szCs w:val="24"/>
        </w:rPr>
        <w:t>JRS-</w:t>
      </w:r>
      <w:r w:rsidR="00F13512">
        <w:rPr>
          <w:rFonts w:ascii="Times New Roman" w:hAnsi="Times New Roman"/>
          <w:szCs w:val="24"/>
        </w:rPr>
        <w:t>7</w:t>
      </w:r>
      <w:r>
        <w:rPr>
          <w:rFonts w:ascii="Times New Roman" w:hAnsi="Times New Roman"/>
          <w:szCs w:val="24"/>
        </w:rPr>
        <w:t xml:space="preserve">__Decoupling Mechanism Deferral </w:t>
      </w:r>
    </w:p>
    <w:p w:rsidR="006F50C1" w:rsidRDefault="006F50C1" w:rsidP="00D276F6">
      <w:pPr>
        <w:suppressLineNumbers/>
        <w:rPr>
          <w:rFonts w:ascii="Times New Roman" w:hAnsi="Times New Roman"/>
          <w:szCs w:val="24"/>
        </w:rPr>
      </w:pPr>
      <w:r w:rsidRPr="006F50C1">
        <w:rPr>
          <w:rFonts w:ascii="Times New Roman" w:hAnsi="Times New Roman"/>
          <w:szCs w:val="24"/>
        </w:rPr>
        <w:t>Exhibit No.</w:t>
      </w:r>
      <w:r w:rsidR="00F813FB">
        <w:rPr>
          <w:rFonts w:ascii="Times New Roman" w:hAnsi="Times New Roman"/>
          <w:szCs w:val="24"/>
        </w:rPr>
        <w:t xml:space="preserve"> </w:t>
      </w:r>
      <w:r w:rsidRPr="006F50C1">
        <w:rPr>
          <w:rFonts w:ascii="Times New Roman" w:hAnsi="Times New Roman"/>
          <w:szCs w:val="24"/>
        </w:rPr>
        <w:t>JRS-</w:t>
      </w:r>
      <w:r w:rsidR="00F13512">
        <w:rPr>
          <w:rFonts w:ascii="Times New Roman" w:hAnsi="Times New Roman"/>
          <w:szCs w:val="24"/>
        </w:rPr>
        <w:t>8</w:t>
      </w:r>
      <w:r w:rsidRPr="006F50C1">
        <w:rPr>
          <w:rFonts w:ascii="Times New Roman" w:hAnsi="Times New Roman"/>
          <w:szCs w:val="24"/>
        </w:rPr>
        <w:t>—</w:t>
      </w:r>
      <w:r>
        <w:rPr>
          <w:rFonts w:ascii="Times New Roman" w:hAnsi="Times New Roman"/>
          <w:szCs w:val="24"/>
        </w:rPr>
        <w:t>Revised Tariff Pages</w:t>
      </w:r>
    </w:p>
    <w:p w:rsidR="0077458D" w:rsidRPr="006F50C1" w:rsidRDefault="0077458D" w:rsidP="00937280">
      <w:pPr>
        <w:suppressLineNumbers/>
        <w:spacing w:line="240" w:lineRule="auto"/>
        <w:rPr>
          <w:rFonts w:ascii="Times New Roman" w:hAnsi="Times New Roman"/>
          <w:szCs w:val="24"/>
        </w:rPr>
      </w:pPr>
    </w:p>
    <w:p w:rsidR="0082295E" w:rsidRPr="0082295E" w:rsidRDefault="0082295E" w:rsidP="0082295E">
      <w:pPr>
        <w:suppressLineNumbers/>
        <w:spacing w:line="240" w:lineRule="auto"/>
        <w:ind w:left="0" w:firstLine="0"/>
        <w:rPr>
          <w:rFonts w:ascii="Times New Roman" w:hAnsi="Times New Roman"/>
          <w:b/>
          <w:szCs w:val="24"/>
        </w:rPr>
      </w:pPr>
      <w:r w:rsidRPr="0082295E">
        <w:rPr>
          <w:rFonts w:ascii="Times New Roman" w:hAnsi="Times New Roman"/>
          <w:b/>
          <w:szCs w:val="24"/>
        </w:rPr>
        <w:br w:type="page"/>
      </w:r>
    </w:p>
    <w:p w:rsidR="0082295E" w:rsidRDefault="0082295E" w:rsidP="00D269DA">
      <w:pPr>
        <w:rPr>
          <w:rFonts w:ascii="Times New Roman" w:hAnsi="Times New Roman"/>
          <w:b/>
          <w:szCs w:val="24"/>
        </w:rPr>
        <w:sectPr w:rsidR="0082295E" w:rsidSect="00293B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26"/>
        </w:sectPr>
      </w:pPr>
    </w:p>
    <w:p w:rsidR="005D093B" w:rsidRPr="0065292F" w:rsidRDefault="005D093B" w:rsidP="00D269DA">
      <w:pPr>
        <w:rPr>
          <w:rFonts w:ascii="Times New Roman" w:hAnsi="Times New Roman"/>
          <w:b/>
          <w:szCs w:val="24"/>
        </w:rPr>
      </w:pPr>
      <w:r w:rsidRPr="0065292F">
        <w:rPr>
          <w:rFonts w:ascii="Times New Roman" w:hAnsi="Times New Roman"/>
          <w:b/>
          <w:szCs w:val="24"/>
        </w:rPr>
        <w:lastRenderedPageBreak/>
        <w:t>Q.</w:t>
      </w:r>
      <w:r w:rsidRPr="0065292F">
        <w:rPr>
          <w:rFonts w:ascii="Times New Roman" w:hAnsi="Times New Roman"/>
          <w:b/>
          <w:szCs w:val="24"/>
        </w:rPr>
        <w:tab/>
        <w:t>Please state your name, business address</w:t>
      </w:r>
      <w:r w:rsidR="00A06A87" w:rsidRPr="0065292F">
        <w:rPr>
          <w:rFonts w:ascii="Times New Roman" w:hAnsi="Times New Roman"/>
          <w:b/>
          <w:szCs w:val="24"/>
        </w:rPr>
        <w:t>,</w:t>
      </w:r>
      <w:r w:rsidRPr="0065292F">
        <w:rPr>
          <w:rFonts w:ascii="Times New Roman" w:hAnsi="Times New Roman"/>
          <w:b/>
          <w:szCs w:val="24"/>
        </w:rPr>
        <w:t xml:space="preserve"> and p</w:t>
      </w:r>
      <w:r w:rsidR="007654B5" w:rsidRPr="0065292F">
        <w:rPr>
          <w:rFonts w:ascii="Times New Roman" w:hAnsi="Times New Roman"/>
          <w:b/>
          <w:szCs w:val="24"/>
        </w:rPr>
        <w:t>resent position</w:t>
      </w:r>
      <w:r w:rsidR="001F79DB">
        <w:rPr>
          <w:rFonts w:ascii="Times New Roman" w:hAnsi="Times New Roman"/>
          <w:b/>
          <w:szCs w:val="24"/>
        </w:rPr>
        <w:t xml:space="preserve"> with PacifiCorp</w:t>
      </w:r>
      <w:r w:rsidRPr="0065292F">
        <w:rPr>
          <w:rFonts w:ascii="Times New Roman" w:hAnsi="Times New Roman"/>
          <w:b/>
          <w:szCs w:val="24"/>
        </w:rPr>
        <w:t>.</w:t>
      </w:r>
    </w:p>
    <w:p w:rsidR="005D093B" w:rsidRDefault="005D093B" w:rsidP="005D093B">
      <w:pPr>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3B51D5">
        <w:rPr>
          <w:rFonts w:ascii="Times New Roman" w:hAnsi="Times New Roman"/>
          <w:szCs w:val="24"/>
        </w:rPr>
        <w:t xml:space="preserve">My name is </w:t>
      </w:r>
      <w:r w:rsidR="006B1996">
        <w:rPr>
          <w:rFonts w:ascii="Times New Roman" w:hAnsi="Times New Roman"/>
          <w:szCs w:val="24"/>
        </w:rPr>
        <w:t>Joelle R. Steward</w:t>
      </w:r>
      <w:r w:rsidRPr="003B51D5">
        <w:rPr>
          <w:rFonts w:ascii="Times New Roman" w:hAnsi="Times New Roman"/>
          <w:szCs w:val="24"/>
        </w:rPr>
        <w:t xml:space="preserve">.  My business address is </w:t>
      </w:r>
      <w:r w:rsidR="00DC3D15">
        <w:rPr>
          <w:rFonts w:ascii="Times New Roman" w:hAnsi="Times New Roman"/>
          <w:szCs w:val="24"/>
        </w:rPr>
        <w:t>1407 West North Temple, Salt Lake City, Utah 84116</w:t>
      </w:r>
      <w:r w:rsidRPr="003B51D5">
        <w:rPr>
          <w:rFonts w:ascii="Times New Roman" w:hAnsi="Times New Roman"/>
          <w:szCs w:val="24"/>
        </w:rPr>
        <w:t xml:space="preserve">.  My present position is Director, </w:t>
      </w:r>
      <w:r w:rsidR="00DC3D15">
        <w:rPr>
          <w:rFonts w:ascii="Times New Roman" w:hAnsi="Times New Roman"/>
          <w:szCs w:val="24"/>
        </w:rPr>
        <w:t>Rates &amp; Regulatory Affairs</w:t>
      </w:r>
      <w:r w:rsidR="007C2D6B">
        <w:rPr>
          <w:rFonts w:ascii="Times New Roman" w:hAnsi="Times New Roman"/>
          <w:szCs w:val="24"/>
        </w:rPr>
        <w:t>.</w:t>
      </w:r>
      <w:r w:rsidR="001F79DB">
        <w:rPr>
          <w:rFonts w:ascii="Times New Roman" w:hAnsi="Times New Roman"/>
          <w:szCs w:val="24"/>
        </w:rPr>
        <w:t xml:space="preserve">  I am testifying for Pacific Power &amp; Light Company (Pacific Power or Company), a division of PacifiCorp.</w:t>
      </w:r>
    </w:p>
    <w:p w:rsidR="00A72474" w:rsidRPr="002C1F29" w:rsidRDefault="00866F64" w:rsidP="002C1F29">
      <w:pPr>
        <w:pStyle w:val="Heading1"/>
      </w:pPr>
      <w:bookmarkStart w:id="1" w:name="_Toc435729875"/>
      <w:r w:rsidRPr="002C1F29">
        <w:t>QUALIFICATIONS</w:t>
      </w:r>
      <w:bookmarkEnd w:id="1"/>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023E29">
        <w:rPr>
          <w:rFonts w:ascii="Times New Roman" w:hAnsi="Times New Roman"/>
          <w:b/>
          <w:szCs w:val="24"/>
        </w:rPr>
        <w:t>Please</w:t>
      </w:r>
      <w:r w:rsidR="00A06A87">
        <w:rPr>
          <w:rFonts w:ascii="Times New Roman" w:hAnsi="Times New Roman"/>
          <w:b/>
          <w:szCs w:val="24"/>
        </w:rPr>
        <w:t xml:space="preserve"> d</w:t>
      </w:r>
      <w:r w:rsidR="00236976" w:rsidRPr="003B51D5">
        <w:rPr>
          <w:rFonts w:ascii="Times New Roman" w:hAnsi="Times New Roman"/>
          <w:b/>
          <w:szCs w:val="24"/>
        </w:rPr>
        <w:t>escribe your education</w:t>
      </w:r>
      <w:r w:rsidR="00A06A87">
        <w:rPr>
          <w:rFonts w:ascii="Times New Roman" w:hAnsi="Times New Roman"/>
          <w:b/>
          <w:szCs w:val="24"/>
        </w:rPr>
        <w:t xml:space="preserve"> </w:t>
      </w:r>
      <w:r w:rsidRPr="003B51D5">
        <w:rPr>
          <w:rFonts w:ascii="Times New Roman" w:hAnsi="Times New Roman"/>
          <w:b/>
          <w:szCs w:val="24"/>
        </w:rPr>
        <w:t xml:space="preserve">and professional </w:t>
      </w:r>
      <w:r w:rsidR="00A06A87">
        <w:rPr>
          <w:rFonts w:ascii="Times New Roman" w:hAnsi="Times New Roman"/>
          <w:b/>
          <w:szCs w:val="24"/>
        </w:rPr>
        <w:t>experience</w:t>
      </w:r>
      <w:r w:rsidRPr="003B51D5">
        <w:rPr>
          <w:rFonts w:ascii="Times New Roman" w:hAnsi="Times New Roman"/>
          <w:b/>
          <w:szCs w:val="24"/>
        </w:rPr>
        <w:t>.</w:t>
      </w:r>
    </w:p>
    <w:p w:rsidR="005D093B" w:rsidRPr="003B51D5" w:rsidRDefault="005D093B" w:rsidP="005D093B">
      <w:pPr>
        <w:tabs>
          <w:tab w:val="left" w:pos="-720"/>
          <w:tab w:val="left" w:pos="0"/>
        </w:tabs>
        <w:suppressAutoHyphens/>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780F23">
        <w:rPr>
          <w:rFonts w:ascii="Times New Roman" w:hAnsi="Times New Roman"/>
          <w:szCs w:val="24"/>
        </w:rPr>
        <w:t>I have a B</w:t>
      </w:r>
      <w:r w:rsidR="007C2D6B">
        <w:rPr>
          <w:rFonts w:ascii="Times New Roman" w:hAnsi="Times New Roman"/>
          <w:szCs w:val="24"/>
        </w:rPr>
        <w:t>achelor of Arts</w:t>
      </w:r>
      <w:r w:rsidRPr="00780F23">
        <w:rPr>
          <w:rFonts w:ascii="Times New Roman" w:hAnsi="Times New Roman"/>
          <w:szCs w:val="24"/>
        </w:rPr>
        <w:t xml:space="preserve"> degree </w:t>
      </w:r>
      <w:r w:rsidR="00784EE0" w:rsidRPr="00780F23">
        <w:rPr>
          <w:rFonts w:ascii="Times New Roman" w:hAnsi="Times New Roman"/>
          <w:szCs w:val="24"/>
        </w:rPr>
        <w:t>in Political Science from th</w:t>
      </w:r>
      <w:r w:rsidR="007C2D6B">
        <w:rPr>
          <w:rFonts w:ascii="Times New Roman" w:hAnsi="Times New Roman"/>
          <w:szCs w:val="24"/>
        </w:rPr>
        <w:t xml:space="preserve">e University of Oregon and a Masters of </w:t>
      </w:r>
      <w:r w:rsidR="00784EE0" w:rsidRPr="00780F23">
        <w:rPr>
          <w:rFonts w:ascii="Times New Roman" w:hAnsi="Times New Roman"/>
          <w:szCs w:val="24"/>
        </w:rPr>
        <w:t>Public Affairs from the Hubert Humphrey Institute of Public Policy at the University of Minnesota.</w:t>
      </w:r>
      <w:r w:rsidRPr="00780F23">
        <w:rPr>
          <w:rFonts w:ascii="Times New Roman" w:hAnsi="Times New Roman"/>
          <w:szCs w:val="24"/>
        </w:rPr>
        <w:t xml:space="preserve">  </w:t>
      </w:r>
      <w:r w:rsidR="00C95F88" w:rsidRPr="00780F23">
        <w:rPr>
          <w:rFonts w:ascii="Times New Roman" w:hAnsi="Times New Roman"/>
          <w:szCs w:val="24"/>
        </w:rPr>
        <w:t>Between 1999 and March 2007, I</w:t>
      </w:r>
      <w:r w:rsidR="00CA7A79">
        <w:rPr>
          <w:rFonts w:ascii="Times New Roman" w:hAnsi="Times New Roman"/>
          <w:szCs w:val="24"/>
        </w:rPr>
        <w:t> </w:t>
      </w:r>
      <w:r w:rsidR="00C95F88" w:rsidRPr="00780F23">
        <w:rPr>
          <w:rFonts w:ascii="Times New Roman" w:hAnsi="Times New Roman"/>
          <w:szCs w:val="24"/>
        </w:rPr>
        <w:t xml:space="preserve">was employed as a Regulatory Analyst with the Washington Utilities and Transportation Commission. </w:t>
      </w:r>
      <w:r w:rsidR="00CA7A79">
        <w:rPr>
          <w:rFonts w:ascii="Times New Roman" w:hAnsi="Times New Roman"/>
          <w:szCs w:val="24"/>
        </w:rPr>
        <w:t xml:space="preserve"> </w:t>
      </w:r>
      <w:r w:rsidRPr="00780F23">
        <w:rPr>
          <w:rFonts w:ascii="Times New Roman" w:hAnsi="Times New Roman"/>
          <w:szCs w:val="24"/>
        </w:rPr>
        <w:t>I</w:t>
      </w:r>
      <w:r w:rsidR="00CA7A79">
        <w:rPr>
          <w:rFonts w:ascii="Times New Roman" w:hAnsi="Times New Roman"/>
          <w:szCs w:val="24"/>
        </w:rPr>
        <w:t> </w:t>
      </w:r>
      <w:r w:rsidRPr="00780F23">
        <w:rPr>
          <w:rFonts w:ascii="Times New Roman" w:hAnsi="Times New Roman"/>
          <w:szCs w:val="24"/>
        </w:rPr>
        <w:t xml:space="preserve">joined the Company in </w:t>
      </w:r>
      <w:r w:rsidR="00780F23" w:rsidRPr="00780F23">
        <w:rPr>
          <w:rFonts w:ascii="Times New Roman" w:hAnsi="Times New Roman"/>
          <w:szCs w:val="24"/>
        </w:rPr>
        <w:t xml:space="preserve">March 2007 as Regulatory Manager, responsible for all regulatory filings and proceedings in Oregon. </w:t>
      </w:r>
      <w:r w:rsidR="007C2D6B">
        <w:rPr>
          <w:rFonts w:ascii="Times New Roman" w:hAnsi="Times New Roman"/>
          <w:szCs w:val="24"/>
        </w:rPr>
        <w:t xml:space="preserve"> </w:t>
      </w:r>
      <w:r w:rsidR="00807573">
        <w:rPr>
          <w:rFonts w:ascii="Times New Roman" w:hAnsi="Times New Roman"/>
          <w:szCs w:val="24"/>
        </w:rPr>
        <w:t xml:space="preserve">In </w:t>
      </w:r>
      <w:r w:rsidR="00617A22">
        <w:rPr>
          <w:rFonts w:ascii="Times New Roman" w:hAnsi="Times New Roman"/>
          <w:szCs w:val="24"/>
        </w:rPr>
        <w:t>February 2011</w:t>
      </w:r>
      <w:r w:rsidR="001B1BF0">
        <w:rPr>
          <w:rFonts w:ascii="Times New Roman" w:hAnsi="Times New Roman"/>
          <w:szCs w:val="24"/>
        </w:rPr>
        <w:t xml:space="preserve">, </w:t>
      </w:r>
      <w:r w:rsidR="00780F23" w:rsidRPr="00780F23">
        <w:rPr>
          <w:rFonts w:ascii="Times New Roman" w:hAnsi="Times New Roman"/>
          <w:szCs w:val="24"/>
        </w:rPr>
        <w:t>I</w:t>
      </w:r>
      <w:r w:rsidR="00CA7A79">
        <w:rPr>
          <w:rFonts w:ascii="Times New Roman" w:hAnsi="Times New Roman"/>
          <w:szCs w:val="24"/>
        </w:rPr>
        <w:t> </w:t>
      </w:r>
      <w:r w:rsidR="00780F23" w:rsidRPr="00780F23">
        <w:rPr>
          <w:rFonts w:ascii="Times New Roman" w:hAnsi="Times New Roman"/>
          <w:szCs w:val="24"/>
        </w:rPr>
        <w:t xml:space="preserve">assumed my current </w:t>
      </w:r>
      <w:r w:rsidR="001B1BF0">
        <w:rPr>
          <w:rFonts w:ascii="Times New Roman" w:hAnsi="Times New Roman"/>
          <w:szCs w:val="24"/>
        </w:rPr>
        <w:t xml:space="preserve">responsibilities overseeing </w:t>
      </w:r>
      <w:r w:rsidR="00A05C92">
        <w:rPr>
          <w:rFonts w:ascii="Times New Roman" w:hAnsi="Times New Roman"/>
          <w:szCs w:val="24"/>
        </w:rPr>
        <w:t>cost of service</w:t>
      </w:r>
      <w:r w:rsidR="001B1BF0">
        <w:rPr>
          <w:rFonts w:ascii="Times New Roman" w:hAnsi="Times New Roman"/>
          <w:szCs w:val="24"/>
        </w:rPr>
        <w:t xml:space="preserve"> and p</w:t>
      </w:r>
      <w:r w:rsidR="00A05C92">
        <w:rPr>
          <w:rFonts w:ascii="Times New Roman" w:hAnsi="Times New Roman"/>
          <w:szCs w:val="24"/>
        </w:rPr>
        <w:t>ricing</w:t>
      </w:r>
      <w:r w:rsidR="001B1BF0">
        <w:rPr>
          <w:rFonts w:ascii="Times New Roman" w:hAnsi="Times New Roman"/>
          <w:szCs w:val="24"/>
        </w:rPr>
        <w:t xml:space="preserve"> for PacifiCorp.</w:t>
      </w:r>
      <w:r w:rsidR="00C94C66">
        <w:rPr>
          <w:rFonts w:ascii="Times New Roman" w:hAnsi="Times New Roman"/>
          <w:szCs w:val="24"/>
        </w:rPr>
        <w:t xml:space="preserve">   In May 2015, I assumed my current position, with broader oversight over the Company’s state regulatory affairs.</w:t>
      </w:r>
    </w:p>
    <w:p w:rsidR="00146F77" w:rsidRPr="002C1F29" w:rsidRDefault="00866F64" w:rsidP="002C1F29">
      <w:pPr>
        <w:pStyle w:val="Heading1"/>
      </w:pPr>
      <w:bookmarkStart w:id="2" w:name="_Toc435729876"/>
      <w:r w:rsidRPr="002C1F29">
        <w:t>PURPOSE OF TESTIMONY</w:t>
      </w:r>
      <w:bookmarkEnd w:id="2"/>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What is </w:t>
      </w:r>
      <w:r w:rsidR="007C2D6B">
        <w:rPr>
          <w:rFonts w:ascii="Times New Roman" w:hAnsi="Times New Roman"/>
          <w:b/>
          <w:szCs w:val="24"/>
        </w:rPr>
        <w:t>the purpose of your testimony?</w:t>
      </w:r>
    </w:p>
    <w:p w:rsidR="00D11F98" w:rsidRDefault="005D093B" w:rsidP="00EE5F21">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Th</w:t>
      </w:r>
      <w:r w:rsidR="00C21759" w:rsidRPr="003B51D5">
        <w:rPr>
          <w:rFonts w:ascii="Times New Roman" w:hAnsi="Times New Roman"/>
          <w:szCs w:val="24"/>
        </w:rPr>
        <w:t>e purpose of my testimony is to p</w:t>
      </w:r>
      <w:r w:rsidRPr="003B51D5">
        <w:rPr>
          <w:rFonts w:ascii="Times New Roman" w:hAnsi="Times New Roman"/>
          <w:szCs w:val="24"/>
        </w:rPr>
        <w:t xml:space="preserve">resent </w:t>
      </w:r>
      <w:r w:rsidR="00F703CE">
        <w:rPr>
          <w:rFonts w:ascii="Times New Roman" w:hAnsi="Times New Roman"/>
          <w:szCs w:val="24"/>
        </w:rPr>
        <w:t xml:space="preserve">(1) </w:t>
      </w:r>
      <w:r w:rsidRPr="003B51D5">
        <w:rPr>
          <w:rFonts w:ascii="Times New Roman" w:hAnsi="Times New Roman"/>
          <w:szCs w:val="24"/>
        </w:rPr>
        <w:t>the Company’</w:t>
      </w:r>
      <w:r w:rsidR="00C21759" w:rsidRPr="003B51D5">
        <w:rPr>
          <w:rFonts w:ascii="Times New Roman" w:hAnsi="Times New Roman"/>
          <w:szCs w:val="24"/>
        </w:rPr>
        <w:t>s</w:t>
      </w:r>
      <w:r w:rsidR="00F25843">
        <w:rPr>
          <w:rFonts w:ascii="Times New Roman" w:hAnsi="Times New Roman"/>
          <w:szCs w:val="24"/>
        </w:rPr>
        <w:t xml:space="preserve"> </w:t>
      </w:r>
      <w:r w:rsidR="00C21759" w:rsidRPr="003B51D5">
        <w:rPr>
          <w:rFonts w:ascii="Times New Roman" w:hAnsi="Times New Roman"/>
          <w:szCs w:val="24"/>
        </w:rPr>
        <w:t xml:space="preserve">proposed </w:t>
      </w:r>
      <w:r w:rsidR="005356D0">
        <w:rPr>
          <w:rFonts w:ascii="Times New Roman" w:hAnsi="Times New Roman"/>
          <w:szCs w:val="24"/>
        </w:rPr>
        <w:t xml:space="preserve">allocation </w:t>
      </w:r>
      <w:r w:rsidR="00285B1A">
        <w:rPr>
          <w:rFonts w:ascii="Times New Roman" w:hAnsi="Times New Roman"/>
          <w:szCs w:val="24"/>
        </w:rPr>
        <w:t xml:space="preserve">to rate schedules </w:t>
      </w:r>
      <w:r w:rsidR="00AA77C0">
        <w:rPr>
          <w:rFonts w:ascii="Times New Roman" w:hAnsi="Times New Roman"/>
          <w:szCs w:val="24"/>
        </w:rPr>
        <w:t xml:space="preserve">for the </w:t>
      </w:r>
      <w:r w:rsidR="00515336">
        <w:rPr>
          <w:rFonts w:ascii="Times New Roman" w:hAnsi="Times New Roman"/>
          <w:szCs w:val="24"/>
        </w:rPr>
        <w:t>requested revenue increase</w:t>
      </w:r>
      <w:r w:rsidR="00690EA2">
        <w:rPr>
          <w:rFonts w:ascii="Times New Roman" w:hAnsi="Times New Roman"/>
          <w:szCs w:val="24"/>
        </w:rPr>
        <w:t>s</w:t>
      </w:r>
      <w:r w:rsidR="00F703CE">
        <w:rPr>
          <w:rFonts w:ascii="Times New Roman" w:hAnsi="Times New Roman"/>
          <w:szCs w:val="24"/>
        </w:rPr>
        <w:t xml:space="preserve"> in the two-year rate plan supported in this </w:t>
      </w:r>
      <w:r w:rsidR="001B1BF0">
        <w:rPr>
          <w:rFonts w:ascii="Times New Roman" w:hAnsi="Times New Roman"/>
          <w:szCs w:val="24"/>
        </w:rPr>
        <w:t>petition</w:t>
      </w:r>
      <w:r w:rsidR="00816732">
        <w:rPr>
          <w:rFonts w:ascii="Times New Roman" w:hAnsi="Times New Roman"/>
          <w:szCs w:val="24"/>
        </w:rPr>
        <w:t>,</w:t>
      </w:r>
      <w:r w:rsidR="00F75D7A" w:rsidRPr="003B51D5">
        <w:rPr>
          <w:rFonts w:ascii="Times New Roman" w:hAnsi="Times New Roman"/>
          <w:szCs w:val="24"/>
        </w:rPr>
        <w:t xml:space="preserve"> </w:t>
      </w:r>
      <w:r w:rsidR="00F703CE">
        <w:rPr>
          <w:rFonts w:ascii="Times New Roman" w:hAnsi="Times New Roman"/>
          <w:szCs w:val="24"/>
        </w:rPr>
        <w:t xml:space="preserve">(2) </w:t>
      </w:r>
      <w:r w:rsidR="00AA77C0">
        <w:rPr>
          <w:rFonts w:ascii="Times New Roman" w:hAnsi="Times New Roman"/>
          <w:szCs w:val="24"/>
        </w:rPr>
        <w:t xml:space="preserve">the proposed rates for </w:t>
      </w:r>
      <w:r w:rsidR="00285B1A">
        <w:rPr>
          <w:rFonts w:ascii="Times New Roman" w:hAnsi="Times New Roman"/>
          <w:szCs w:val="24"/>
        </w:rPr>
        <w:t xml:space="preserve">each of the rate changes in </w:t>
      </w:r>
      <w:r w:rsidR="001B1BF0">
        <w:rPr>
          <w:rFonts w:ascii="Times New Roman" w:hAnsi="Times New Roman"/>
          <w:szCs w:val="24"/>
        </w:rPr>
        <w:t xml:space="preserve">the </w:t>
      </w:r>
      <w:r w:rsidR="00F703CE">
        <w:rPr>
          <w:rFonts w:ascii="Times New Roman" w:hAnsi="Times New Roman"/>
          <w:szCs w:val="24"/>
        </w:rPr>
        <w:t xml:space="preserve">two-year rate plan, and (3) </w:t>
      </w:r>
      <w:r w:rsidR="00C21759" w:rsidRPr="003B51D5">
        <w:rPr>
          <w:rFonts w:ascii="Times New Roman" w:hAnsi="Times New Roman"/>
          <w:szCs w:val="24"/>
        </w:rPr>
        <w:t xml:space="preserve">the </w:t>
      </w:r>
      <w:r w:rsidR="00F703CE">
        <w:rPr>
          <w:rFonts w:ascii="Times New Roman" w:hAnsi="Times New Roman"/>
          <w:szCs w:val="24"/>
        </w:rPr>
        <w:t xml:space="preserve">Company’s </w:t>
      </w:r>
      <w:r w:rsidR="00C21759" w:rsidRPr="003B51D5">
        <w:rPr>
          <w:rFonts w:ascii="Times New Roman" w:hAnsi="Times New Roman"/>
          <w:szCs w:val="24"/>
        </w:rPr>
        <w:t xml:space="preserve">proposed </w:t>
      </w:r>
      <w:r w:rsidR="00AA77C0">
        <w:rPr>
          <w:rFonts w:ascii="Times New Roman" w:hAnsi="Times New Roman"/>
          <w:szCs w:val="24"/>
        </w:rPr>
        <w:t>decoupling mechanism</w:t>
      </w:r>
      <w:r w:rsidR="000A3BC2">
        <w:rPr>
          <w:rFonts w:ascii="Times New Roman" w:hAnsi="Times New Roman"/>
          <w:szCs w:val="24"/>
        </w:rPr>
        <w:t>.</w:t>
      </w:r>
    </w:p>
    <w:p w:rsidR="009F19EF" w:rsidRDefault="009F19EF" w:rsidP="009F19EF">
      <w:pPr>
        <w:suppressLineNumbers/>
        <w:rPr>
          <w:rFonts w:ascii="Times New Roman" w:hAnsi="Times New Roman"/>
          <w:szCs w:val="24"/>
        </w:rPr>
      </w:pPr>
    </w:p>
    <w:p w:rsidR="005356D0" w:rsidRPr="005356D0" w:rsidRDefault="00CA7A79" w:rsidP="005356D0">
      <w:pPr>
        <w:jc w:val="both"/>
        <w:rPr>
          <w:rFonts w:ascii="Times New Roman" w:hAnsi="Times New Roman"/>
        </w:rPr>
      </w:pPr>
      <w:r>
        <w:rPr>
          <w:rFonts w:ascii="Times New Roman" w:hAnsi="Times New Roman"/>
          <w:b/>
        </w:rPr>
        <w:lastRenderedPageBreak/>
        <w:t>Q.</w:t>
      </w:r>
      <w:r w:rsidR="005356D0" w:rsidRPr="005356D0">
        <w:rPr>
          <w:rFonts w:ascii="Times New Roman" w:hAnsi="Times New Roman"/>
          <w:b/>
        </w:rPr>
        <w:tab/>
        <w:t>How is your testimony organized?</w:t>
      </w:r>
    </w:p>
    <w:p w:rsidR="005356D0" w:rsidRPr="005356D0" w:rsidRDefault="005356D0" w:rsidP="005356D0">
      <w:pPr>
        <w:widowControl w:val="0"/>
        <w:jc w:val="both"/>
        <w:rPr>
          <w:rFonts w:ascii="Times New Roman" w:hAnsi="Times New Roman"/>
        </w:rPr>
      </w:pPr>
      <w:r w:rsidRPr="005356D0">
        <w:rPr>
          <w:rFonts w:ascii="Times New Roman" w:hAnsi="Times New Roman"/>
        </w:rPr>
        <w:t>A.</w:t>
      </w:r>
      <w:r w:rsidRPr="005356D0">
        <w:rPr>
          <w:rFonts w:ascii="Times New Roman" w:hAnsi="Times New Roman"/>
        </w:rPr>
        <w:tab/>
        <w:t>My testimony is organized as follows:</w:t>
      </w:r>
    </w:p>
    <w:p w:rsidR="005356D0" w:rsidRPr="003A2C73" w:rsidRDefault="00AA77C0" w:rsidP="003A2C73">
      <w:pPr>
        <w:pStyle w:val="ListParagraph"/>
        <w:widowControl w:val="0"/>
        <w:numPr>
          <w:ilvl w:val="0"/>
          <w:numId w:val="34"/>
        </w:numPr>
        <w:spacing w:line="240" w:lineRule="auto"/>
        <w:ind w:left="1440"/>
        <w:rPr>
          <w:rFonts w:ascii="Times New Roman" w:hAnsi="Times New Roman"/>
          <w:sz w:val="20"/>
        </w:rPr>
      </w:pPr>
      <w:r>
        <w:rPr>
          <w:rFonts w:ascii="Times New Roman" w:hAnsi="Times New Roman"/>
        </w:rPr>
        <w:t>First</w:t>
      </w:r>
      <w:r w:rsidR="005356D0" w:rsidRPr="005356D0">
        <w:rPr>
          <w:rFonts w:ascii="Times New Roman" w:hAnsi="Times New Roman"/>
        </w:rPr>
        <w:t>, I present the Company’s proposed rate spread</w:t>
      </w:r>
      <w:r w:rsidR="00690EA2">
        <w:rPr>
          <w:rFonts w:ascii="Times New Roman" w:hAnsi="Times New Roman"/>
        </w:rPr>
        <w:t xml:space="preserve"> </w:t>
      </w:r>
      <w:r>
        <w:rPr>
          <w:rFonts w:ascii="Times New Roman" w:hAnsi="Times New Roman"/>
        </w:rPr>
        <w:t xml:space="preserve">for </w:t>
      </w:r>
      <w:r w:rsidR="00500390">
        <w:rPr>
          <w:rFonts w:ascii="Times New Roman" w:hAnsi="Times New Roman"/>
        </w:rPr>
        <w:t xml:space="preserve">the </w:t>
      </w:r>
      <w:r w:rsidR="00A14F01">
        <w:rPr>
          <w:rFonts w:ascii="Times New Roman" w:hAnsi="Times New Roman"/>
        </w:rPr>
        <w:t xml:space="preserve">requested </w:t>
      </w:r>
      <w:r w:rsidR="00500390">
        <w:rPr>
          <w:rFonts w:ascii="Times New Roman" w:hAnsi="Times New Roman"/>
        </w:rPr>
        <w:t xml:space="preserve">increases </w:t>
      </w:r>
      <w:r>
        <w:rPr>
          <w:rFonts w:ascii="Times New Roman" w:hAnsi="Times New Roman"/>
        </w:rPr>
        <w:t>effective May 1, 2016</w:t>
      </w:r>
      <w:r w:rsidR="00500390">
        <w:rPr>
          <w:rFonts w:ascii="Times New Roman" w:hAnsi="Times New Roman"/>
        </w:rPr>
        <w:t>,</w:t>
      </w:r>
      <w:r>
        <w:rPr>
          <w:rFonts w:ascii="Times New Roman" w:hAnsi="Times New Roman"/>
        </w:rPr>
        <w:t xml:space="preserve"> and May 1, 2017</w:t>
      </w:r>
      <w:r w:rsidR="005356D0" w:rsidRPr="005356D0">
        <w:rPr>
          <w:rFonts w:ascii="Times New Roman" w:hAnsi="Times New Roman"/>
        </w:rPr>
        <w:t>.</w:t>
      </w:r>
    </w:p>
    <w:p w:rsidR="003A2C73" w:rsidRPr="005356D0" w:rsidRDefault="003A2C73" w:rsidP="003A2C73">
      <w:pPr>
        <w:pStyle w:val="ListParagraph"/>
        <w:widowControl w:val="0"/>
        <w:suppressLineNumbers/>
        <w:spacing w:line="240" w:lineRule="auto"/>
        <w:ind w:left="1440" w:firstLine="0"/>
        <w:rPr>
          <w:rFonts w:ascii="Times New Roman" w:hAnsi="Times New Roman"/>
          <w:sz w:val="20"/>
        </w:rPr>
      </w:pPr>
    </w:p>
    <w:p w:rsidR="00EF1546" w:rsidRPr="003A2C73" w:rsidRDefault="00AA77C0" w:rsidP="003A2C73">
      <w:pPr>
        <w:pStyle w:val="ListParagraph"/>
        <w:widowControl w:val="0"/>
        <w:numPr>
          <w:ilvl w:val="0"/>
          <w:numId w:val="34"/>
        </w:numPr>
        <w:spacing w:line="240" w:lineRule="auto"/>
        <w:ind w:left="1440"/>
        <w:rPr>
          <w:rFonts w:ascii="Times New Roman" w:hAnsi="Times New Roman"/>
          <w:sz w:val="20"/>
        </w:rPr>
      </w:pPr>
      <w:r>
        <w:rPr>
          <w:rFonts w:ascii="Times New Roman" w:hAnsi="Times New Roman"/>
        </w:rPr>
        <w:t>Second</w:t>
      </w:r>
      <w:r w:rsidR="005356D0" w:rsidRPr="003134BA">
        <w:rPr>
          <w:rFonts w:ascii="Times New Roman" w:hAnsi="Times New Roman"/>
        </w:rPr>
        <w:t xml:space="preserve">, I describe and present the Company’s </w:t>
      </w:r>
      <w:r w:rsidR="00881E73" w:rsidRPr="003134BA">
        <w:rPr>
          <w:rFonts w:ascii="Times New Roman" w:hAnsi="Times New Roman"/>
        </w:rPr>
        <w:t>propos</w:t>
      </w:r>
      <w:r w:rsidR="00AC39A0">
        <w:rPr>
          <w:rFonts w:ascii="Times New Roman" w:hAnsi="Times New Roman"/>
        </w:rPr>
        <w:t xml:space="preserve">ed </w:t>
      </w:r>
      <w:r w:rsidR="00500390">
        <w:rPr>
          <w:rFonts w:ascii="Times New Roman" w:hAnsi="Times New Roman"/>
        </w:rPr>
        <w:t xml:space="preserve">base </w:t>
      </w:r>
      <w:r w:rsidR="00881E73" w:rsidRPr="003134BA">
        <w:rPr>
          <w:rFonts w:ascii="Times New Roman" w:hAnsi="Times New Roman"/>
        </w:rPr>
        <w:t xml:space="preserve">rates </w:t>
      </w:r>
      <w:r w:rsidR="00500390">
        <w:rPr>
          <w:rFonts w:ascii="Times New Roman" w:hAnsi="Times New Roman"/>
        </w:rPr>
        <w:t xml:space="preserve">to be </w:t>
      </w:r>
      <w:r>
        <w:rPr>
          <w:rFonts w:ascii="Times New Roman" w:hAnsi="Times New Roman"/>
        </w:rPr>
        <w:t>effective May 1, 2016</w:t>
      </w:r>
      <w:r w:rsidR="00500390">
        <w:rPr>
          <w:rFonts w:ascii="Times New Roman" w:hAnsi="Times New Roman"/>
        </w:rPr>
        <w:t>,</w:t>
      </w:r>
      <w:r>
        <w:rPr>
          <w:rFonts w:ascii="Times New Roman" w:hAnsi="Times New Roman"/>
        </w:rPr>
        <w:t xml:space="preserve"> and May 1, 2017</w:t>
      </w:r>
      <w:r w:rsidR="00500390">
        <w:rPr>
          <w:rFonts w:ascii="Times New Roman" w:hAnsi="Times New Roman"/>
        </w:rPr>
        <w:t>,</w:t>
      </w:r>
      <w:r>
        <w:rPr>
          <w:rFonts w:ascii="Times New Roman" w:hAnsi="Times New Roman"/>
        </w:rPr>
        <w:t xml:space="preserve"> </w:t>
      </w:r>
      <w:r w:rsidR="005356D0" w:rsidRPr="003134BA">
        <w:rPr>
          <w:rFonts w:ascii="Times New Roman" w:hAnsi="Times New Roman"/>
        </w:rPr>
        <w:t>for the customer rate schedules</w:t>
      </w:r>
      <w:r w:rsidR="003134BA">
        <w:rPr>
          <w:rFonts w:ascii="Times New Roman" w:hAnsi="Times New Roman"/>
        </w:rPr>
        <w:t>.</w:t>
      </w:r>
    </w:p>
    <w:p w:rsidR="003A2C73" w:rsidRPr="005941F0" w:rsidRDefault="003A2C73" w:rsidP="003A2C73">
      <w:pPr>
        <w:pStyle w:val="ListParagraph"/>
        <w:widowControl w:val="0"/>
        <w:suppressLineNumbers/>
        <w:spacing w:line="240" w:lineRule="auto"/>
        <w:ind w:left="1440" w:firstLine="0"/>
        <w:rPr>
          <w:rFonts w:ascii="Times New Roman" w:hAnsi="Times New Roman"/>
          <w:sz w:val="20"/>
        </w:rPr>
      </w:pPr>
    </w:p>
    <w:p w:rsidR="006C10E9" w:rsidRPr="003A2C73" w:rsidRDefault="005941F0" w:rsidP="003A2C73">
      <w:pPr>
        <w:pStyle w:val="ListParagraph"/>
        <w:widowControl w:val="0"/>
        <w:numPr>
          <w:ilvl w:val="0"/>
          <w:numId w:val="34"/>
        </w:numPr>
        <w:spacing w:line="240" w:lineRule="auto"/>
        <w:ind w:left="1440"/>
        <w:rPr>
          <w:rFonts w:ascii="Times New Roman" w:hAnsi="Times New Roman"/>
          <w:sz w:val="20"/>
        </w:rPr>
      </w:pPr>
      <w:r w:rsidRPr="006C10E9">
        <w:rPr>
          <w:rFonts w:ascii="Times New Roman" w:hAnsi="Times New Roman"/>
        </w:rPr>
        <w:t xml:space="preserve">Third, I explain the Company’s proposal to increase the credits for the Low Income Bill Assistance program (LIBA), consistent with </w:t>
      </w:r>
      <w:r w:rsidR="00C94C66" w:rsidRPr="00A14F01">
        <w:rPr>
          <w:rFonts w:ascii="Times New Roman" w:hAnsi="Times New Roman"/>
        </w:rPr>
        <w:t>stipulated</w:t>
      </w:r>
      <w:r w:rsidRPr="00A14F01">
        <w:rPr>
          <w:rFonts w:ascii="Times New Roman" w:hAnsi="Times New Roman"/>
        </w:rPr>
        <w:t xml:space="preserve"> five-</w:t>
      </w:r>
      <w:r w:rsidR="001B1BF0" w:rsidRPr="00A14F01">
        <w:rPr>
          <w:rFonts w:ascii="Times New Roman" w:hAnsi="Times New Roman"/>
        </w:rPr>
        <w:t xml:space="preserve">year </w:t>
      </w:r>
      <w:r w:rsidRPr="00A14F01">
        <w:rPr>
          <w:rFonts w:ascii="Times New Roman" w:hAnsi="Times New Roman"/>
        </w:rPr>
        <w:t xml:space="preserve">plan </w:t>
      </w:r>
      <w:r w:rsidR="00C94C66" w:rsidRPr="00A14F01">
        <w:rPr>
          <w:rFonts w:ascii="Times New Roman" w:hAnsi="Times New Roman"/>
        </w:rPr>
        <w:t xml:space="preserve">approved by the Commission </w:t>
      </w:r>
      <w:r w:rsidR="00A14F01">
        <w:rPr>
          <w:rFonts w:ascii="Times New Roman" w:hAnsi="Times New Roman"/>
        </w:rPr>
        <w:t xml:space="preserve">in Order 07 </w:t>
      </w:r>
      <w:r w:rsidRPr="00A14F01">
        <w:rPr>
          <w:rFonts w:ascii="Times New Roman" w:hAnsi="Times New Roman"/>
        </w:rPr>
        <w:t>in Docket UE-111190.</w:t>
      </w:r>
      <w:r w:rsidR="006C10E9" w:rsidRPr="002541E9">
        <w:rPr>
          <w:rStyle w:val="FootnoteReference"/>
          <w:rFonts w:ascii="Times New Roman" w:hAnsi="Times New Roman"/>
          <w:szCs w:val="24"/>
          <w:vertAlign w:val="superscript"/>
        </w:rPr>
        <w:footnoteReference w:id="1"/>
      </w:r>
      <w:r w:rsidR="006C10E9" w:rsidRPr="006C10E9">
        <w:rPr>
          <w:rStyle w:val="FootnoteReference"/>
          <w:vertAlign w:val="superscript"/>
        </w:rPr>
        <w:t xml:space="preserve"> </w:t>
      </w:r>
      <w:r w:rsidR="006C10E9" w:rsidRPr="006C10E9">
        <w:rPr>
          <w:rFonts w:ascii="Times New Roman" w:hAnsi="Times New Roman"/>
          <w:szCs w:val="24"/>
        </w:rPr>
        <w:t xml:space="preserve"> </w:t>
      </w:r>
    </w:p>
    <w:p w:rsidR="003A2C73" w:rsidRPr="006C10E9" w:rsidRDefault="003A2C73" w:rsidP="003A2C73">
      <w:pPr>
        <w:pStyle w:val="ListParagraph"/>
        <w:widowControl w:val="0"/>
        <w:suppressLineNumbers/>
        <w:spacing w:line="240" w:lineRule="auto"/>
        <w:ind w:left="1440" w:firstLine="0"/>
        <w:rPr>
          <w:rFonts w:ascii="Times New Roman" w:hAnsi="Times New Roman"/>
          <w:sz w:val="20"/>
        </w:rPr>
      </w:pPr>
    </w:p>
    <w:p w:rsidR="00C95F88" w:rsidRPr="006A2881" w:rsidRDefault="005941F0" w:rsidP="003A2C73">
      <w:pPr>
        <w:pStyle w:val="ListParagraph"/>
        <w:widowControl w:val="0"/>
        <w:numPr>
          <w:ilvl w:val="0"/>
          <w:numId w:val="34"/>
        </w:numPr>
        <w:spacing w:line="240" w:lineRule="auto"/>
        <w:ind w:left="1440"/>
        <w:rPr>
          <w:rFonts w:ascii="Times New Roman" w:hAnsi="Times New Roman"/>
          <w:sz w:val="20"/>
        </w:rPr>
      </w:pPr>
      <w:r>
        <w:rPr>
          <w:rFonts w:ascii="Times New Roman" w:hAnsi="Times New Roman"/>
        </w:rPr>
        <w:t>Fourth</w:t>
      </w:r>
      <w:r w:rsidR="00C95F88">
        <w:rPr>
          <w:rFonts w:ascii="Times New Roman" w:hAnsi="Times New Roman"/>
        </w:rPr>
        <w:t xml:space="preserve">, I introduce the </w:t>
      </w:r>
      <w:r w:rsidR="00500390">
        <w:rPr>
          <w:rFonts w:ascii="Times New Roman" w:hAnsi="Times New Roman"/>
        </w:rPr>
        <w:t xml:space="preserve">Company’s </w:t>
      </w:r>
      <w:r w:rsidR="00C95F88">
        <w:rPr>
          <w:rFonts w:ascii="Times New Roman" w:hAnsi="Times New Roman"/>
        </w:rPr>
        <w:t xml:space="preserve">proposed </w:t>
      </w:r>
      <w:r w:rsidR="006D18D7">
        <w:rPr>
          <w:rFonts w:ascii="Times New Roman" w:hAnsi="Times New Roman"/>
        </w:rPr>
        <w:t>decoupling mechanism</w:t>
      </w:r>
      <w:r w:rsidR="00C94C66">
        <w:rPr>
          <w:rFonts w:ascii="Times New Roman" w:hAnsi="Times New Roman"/>
        </w:rPr>
        <w:t>, and sponsor the tariffs to implement that mechanism and the rate changes proposed in this filing</w:t>
      </w:r>
      <w:r w:rsidR="00C95F88">
        <w:rPr>
          <w:rFonts w:ascii="Times New Roman" w:hAnsi="Times New Roman"/>
        </w:rPr>
        <w:t>.</w:t>
      </w:r>
    </w:p>
    <w:p w:rsidR="006A2881" w:rsidRPr="00891715" w:rsidRDefault="006A2881" w:rsidP="006A2881">
      <w:pPr>
        <w:pStyle w:val="ListParagraph"/>
        <w:widowControl w:val="0"/>
        <w:suppressLineNumbers/>
        <w:spacing w:line="240" w:lineRule="auto"/>
        <w:ind w:left="1440" w:firstLine="0"/>
        <w:rPr>
          <w:rFonts w:ascii="Times New Roman" w:hAnsi="Times New Roman"/>
          <w:sz w:val="20"/>
        </w:rPr>
      </w:pPr>
    </w:p>
    <w:p w:rsidR="0094071C" w:rsidRPr="009B0B3D" w:rsidRDefault="0094071C" w:rsidP="00961BC3">
      <w:pPr>
        <w:rPr>
          <w:rFonts w:ascii="Times New Roman" w:hAnsi="Times New Roman"/>
          <w:b/>
        </w:rPr>
      </w:pPr>
      <w:r w:rsidRPr="009B0B3D">
        <w:rPr>
          <w:rFonts w:ascii="Times New Roman" w:hAnsi="Times New Roman"/>
          <w:b/>
        </w:rPr>
        <w:t>Q.</w:t>
      </w:r>
      <w:r w:rsidRPr="009B0B3D">
        <w:rPr>
          <w:rFonts w:ascii="Times New Roman" w:hAnsi="Times New Roman"/>
          <w:b/>
        </w:rPr>
        <w:tab/>
      </w:r>
      <w:r w:rsidR="00A917D2" w:rsidRPr="009B0B3D">
        <w:rPr>
          <w:rFonts w:ascii="Times New Roman" w:hAnsi="Times New Roman"/>
          <w:b/>
        </w:rPr>
        <w:t xml:space="preserve">Please summarize </w:t>
      </w:r>
      <w:r w:rsidR="00237E9F" w:rsidRPr="009B0B3D">
        <w:rPr>
          <w:rFonts w:ascii="Times New Roman" w:hAnsi="Times New Roman"/>
          <w:b/>
        </w:rPr>
        <w:t xml:space="preserve">the Company’s </w:t>
      </w:r>
      <w:r w:rsidR="00A917D2" w:rsidRPr="009B0B3D">
        <w:rPr>
          <w:rFonts w:ascii="Times New Roman" w:hAnsi="Times New Roman"/>
          <w:b/>
        </w:rPr>
        <w:t xml:space="preserve">rate spread and </w:t>
      </w:r>
      <w:r w:rsidR="00237E9F" w:rsidRPr="009B0B3D">
        <w:rPr>
          <w:rFonts w:ascii="Times New Roman" w:hAnsi="Times New Roman"/>
          <w:b/>
        </w:rPr>
        <w:t xml:space="preserve">pricing proposals in this </w:t>
      </w:r>
      <w:r w:rsidR="005A4AB4">
        <w:rPr>
          <w:rFonts w:ascii="Times New Roman" w:hAnsi="Times New Roman"/>
          <w:b/>
        </w:rPr>
        <w:t>filing</w:t>
      </w:r>
      <w:r w:rsidR="00A917D2" w:rsidRPr="009B0B3D">
        <w:rPr>
          <w:rFonts w:ascii="Times New Roman" w:hAnsi="Times New Roman"/>
          <w:b/>
        </w:rPr>
        <w:t>.</w:t>
      </w:r>
    </w:p>
    <w:p w:rsidR="00F852BA" w:rsidRDefault="0094071C" w:rsidP="00BC0DEA">
      <w:pPr>
        <w:rPr>
          <w:rFonts w:ascii="Times New Roman" w:hAnsi="Times New Roman"/>
          <w:szCs w:val="24"/>
        </w:rPr>
      </w:pPr>
      <w:r w:rsidRPr="009B0B3D">
        <w:rPr>
          <w:rFonts w:ascii="Times New Roman" w:hAnsi="Times New Roman"/>
        </w:rPr>
        <w:t>A.</w:t>
      </w:r>
      <w:r w:rsidRPr="009B0B3D">
        <w:rPr>
          <w:rFonts w:ascii="Times New Roman" w:hAnsi="Times New Roman"/>
          <w:b/>
        </w:rPr>
        <w:tab/>
      </w:r>
      <w:r w:rsidR="005A4AB4">
        <w:rPr>
          <w:rFonts w:ascii="Times New Roman" w:hAnsi="Times New Roman"/>
        </w:rPr>
        <w:t>T</w:t>
      </w:r>
      <w:r w:rsidR="00500390">
        <w:rPr>
          <w:rFonts w:ascii="Times New Roman" w:hAnsi="Times New Roman"/>
        </w:rPr>
        <w:t xml:space="preserve">he Company is requesting </w:t>
      </w:r>
      <w:r w:rsidR="00C20F59">
        <w:rPr>
          <w:rFonts w:ascii="Times New Roman" w:hAnsi="Times New Roman"/>
        </w:rPr>
        <w:t xml:space="preserve">an </w:t>
      </w:r>
      <w:r w:rsidR="00500390">
        <w:rPr>
          <w:rFonts w:ascii="Times New Roman" w:hAnsi="Times New Roman"/>
        </w:rPr>
        <w:t xml:space="preserve">expedited </w:t>
      </w:r>
      <w:r w:rsidR="00C20F59">
        <w:rPr>
          <w:rFonts w:ascii="Times New Roman" w:hAnsi="Times New Roman"/>
        </w:rPr>
        <w:t xml:space="preserve">rate filing </w:t>
      </w:r>
      <w:r w:rsidR="005A4AB4">
        <w:rPr>
          <w:rFonts w:ascii="Times New Roman" w:hAnsi="Times New Roman"/>
        </w:rPr>
        <w:t xml:space="preserve">(ERF) and rate plan </w:t>
      </w:r>
      <w:r w:rsidR="00C20F59">
        <w:rPr>
          <w:rFonts w:ascii="Times New Roman" w:hAnsi="Times New Roman"/>
        </w:rPr>
        <w:t>with</w:t>
      </w:r>
      <w:r w:rsidR="005A4AB4">
        <w:rPr>
          <w:rFonts w:ascii="Times New Roman" w:hAnsi="Times New Roman"/>
        </w:rPr>
        <w:t xml:space="preserve"> annual increases of less than three percent, which </w:t>
      </w:r>
      <w:r w:rsidR="00A70756">
        <w:rPr>
          <w:rFonts w:ascii="Times New Roman" w:hAnsi="Times New Roman"/>
        </w:rPr>
        <w:t xml:space="preserve">does </w:t>
      </w:r>
      <w:r w:rsidR="005A4AB4">
        <w:rPr>
          <w:rFonts w:ascii="Times New Roman" w:hAnsi="Times New Roman"/>
        </w:rPr>
        <w:t xml:space="preserve">not </w:t>
      </w:r>
      <w:r w:rsidR="00A70756">
        <w:rPr>
          <w:rFonts w:ascii="Times New Roman" w:hAnsi="Times New Roman"/>
        </w:rPr>
        <w:t xml:space="preserve">constitute </w:t>
      </w:r>
      <w:r w:rsidR="005A4AB4">
        <w:rPr>
          <w:rFonts w:ascii="Times New Roman" w:hAnsi="Times New Roman"/>
        </w:rPr>
        <w:t>a general rate case under WAC 480-</w:t>
      </w:r>
      <w:r w:rsidR="006C10E9">
        <w:rPr>
          <w:rFonts w:ascii="Times New Roman" w:hAnsi="Times New Roman"/>
        </w:rPr>
        <w:t>07-505(1)(a</w:t>
      </w:r>
      <w:r w:rsidR="005A4AB4">
        <w:rPr>
          <w:rFonts w:ascii="Times New Roman" w:hAnsi="Times New Roman"/>
        </w:rPr>
        <w:t>).  Because of the</w:t>
      </w:r>
      <w:r w:rsidR="00C20F59">
        <w:rPr>
          <w:rFonts w:ascii="Times New Roman" w:hAnsi="Times New Roman"/>
        </w:rPr>
        <w:t xml:space="preserve"> limited issues </w:t>
      </w:r>
      <w:r w:rsidR="005A4AB4">
        <w:rPr>
          <w:rFonts w:ascii="Times New Roman" w:hAnsi="Times New Roman"/>
        </w:rPr>
        <w:t xml:space="preserve">raised </w:t>
      </w:r>
      <w:r w:rsidR="00C20F59">
        <w:rPr>
          <w:rFonts w:ascii="Times New Roman" w:hAnsi="Times New Roman"/>
        </w:rPr>
        <w:t xml:space="preserve">in this </w:t>
      </w:r>
      <w:r w:rsidR="005A4AB4">
        <w:rPr>
          <w:rFonts w:ascii="Times New Roman" w:hAnsi="Times New Roman"/>
        </w:rPr>
        <w:t>filing, and to adhere to the three percent rate cap for individual customer classes under WAC 480-07-505(1)(b)</w:t>
      </w:r>
      <w:r w:rsidR="00C20F59">
        <w:rPr>
          <w:rFonts w:ascii="Times New Roman" w:hAnsi="Times New Roman"/>
        </w:rPr>
        <w:t>, t</w:t>
      </w:r>
      <w:r w:rsidR="00237E9F" w:rsidRPr="009B0B3D">
        <w:rPr>
          <w:rFonts w:ascii="Times New Roman" w:hAnsi="Times New Roman"/>
        </w:rPr>
        <w:t xml:space="preserve">he Company </w:t>
      </w:r>
      <w:r w:rsidR="00C20F59">
        <w:rPr>
          <w:rFonts w:ascii="Times New Roman" w:hAnsi="Times New Roman"/>
        </w:rPr>
        <w:t xml:space="preserve">is </w:t>
      </w:r>
      <w:r w:rsidR="006D10DF">
        <w:rPr>
          <w:rFonts w:ascii="Times New Roman" w:hAnsi="Times New Roman"/>
        </w:rPr>
        <w:t xml:space="preserve">generally </w:t>
      </w:r>
      <w:r w:rsidR="00C20F59">
        <w:rPr>
          <w:rFonts w:ascii="Times New Roman" w:hAnsi="Times New Roman"/>
        </w:rPr>
        <w:t xml:space="preserve">not proposing </w:t>
      </w:r>
      <w:r w:rsidR="00404E74">
        <w:rPr>
          <w:rFonts w:ascii="Times New Roman" w:hAnsi="Times New Roman"/>
        </w:rPr>
        <w:t>changes in</w:t>
      </w:r>
      <w:r w:rsidR="006D10DF">
        <w:rPr>
          <w:rFonts w:ascii="Times New Roman" w:hAnsi="Times New Roman"/>
        </w:rPr>
        <w:t xml:space="preserve"> cost of service, </w:t>
      </w:r>
      <w:r w:rsidR="00512B36">
        <w:rPr>
          <w:rFonts w:ascii="Times New Roman" w:hAnsi="Times New Roman"/>
        </w:rPr>
        <w:t xml:space="preserve">rate spread, or rate design.  The Company </w:t>
      </w:r>
      <w:r w:rsidR="00237E9F" w:rsidRPr="009B0B3D">
        <w:rPr>
          <w:rFonts w:ascii="Times New Roman" w:hAnsi="Times New Roman"/>
        </w:rPr>
        <w:t xml:space="preserve">proposes </w:t>
      </w:r>
      <w:r w:rsidR="006D18D7">
        <w:rPr>
          <w:rFonts w:ascii="Times New Roman" w:hAnsi="Times New Roman"/>
        </w:rPr>
        <w:t xml:space="preserve">to </w:t>
      </w:r>
      <w:r w:rsidR="00AC39A0">
        <w:rPr>
          <w:rFonts w:ascii="Times New Roman" w:hAnsi="Times New Roman"/>
        </w:rPr>
        <w:t xml:space="preserve">apply </w:t>
      </w:r>
      <w:r w:rsidR="00512B36">
        <w:rPr>
          <w:rFonts w:ascii="Times New Roman" w:hAnsi="Times New Roman"/>
        </w:rPr>
        <w:t xml:space="preserve">the requested increases on </w:t>
      </w:r>
      <w:r w:rsidR="007A0956">
        <w:rPr>
          <w:rFonts w:ascii="Times New Roman" w:hAnsi="Times New Roman"/>
        </w:rPr>
        <w:t>an equal percent</w:t>
      </w:r>
      <w:r w:rsidR="00512B36">
        <w:rPr>
          <w:rFonts w:ascii="Times New Roman" w:hAnsi="Times New Roman"/>
        </w:rPr>
        <w:t xml:space="preserve">age basis </w:t>
      </w:r>
      <w:r w:rsidR="007B012D">
        <w:rPr>
          <w:rFonts w:ascii="Times New Roman" w:hAnsi="Times New Roman"/>
        </w:rPr>
        <w:t>of 2.9</w:t>
      </w:r>
      <w:r w:rsidR="005941F0">
        <w:rPr>
          <w:rFonts w:ascii="Times New Roman" w:hAnsi="Times New Roman"/>
        </w:rPr>
        <w:t>9</w:t>
      </w:r>
      <w:r w:rsidR="007B012D">
        <w:rPr>
          <w:rFonts w:ascii="Times New Roman" w:hAnsi="Times New Roman"/>
        </w:rPr>
        <w:t xml:space="preserve"> percent </w:t>
      </w:r>
      <w:r w:rsidR="00A4518D">
        <w:rPr>
          <w:rFonts w:ascii="Times New Roman" w:hAnsi="Times New Roman"/>
        </w:rPr>
        <w:t xml:space="preserve">to </w:t>
      </w:r>
      <w:r w:rsidR="007B012D">
        <w:rPr>
          <w:rFonts w:ascii="Times New Roman" w:hAnsi="Times New Roman"/>
        </w:rPr>
        <w:t xml:space="preserve">each </w:t>
      </w:r>
      <w:r w:rsidR="00FB29FC">
        <w:rPr>
          <w:rFonts w:ascii="Times New Roman" w:hAnsi="Times New Roman"/>
        </w:rPr>
        <w:t>rate schedule</w:t>
      </w:r>
      <w:r w:rsidR="007B012D">
        <w:rPr>
          <w:rFonts w:ascii="Times New Roman" w:hAnsi="Times New Roman"/>
        </w:rPr>
        <w:t xml:space="preserve"> </w:t>
      </w:r>
      <w:r w:rsidR="00404E74">
        <w:rPr>
          <w:rFonts w:ascii="Times New Roman" w:hAnsi="Times New Roman"/>
        </w:rPr>
        <w:t xml:space="preserve">on </w:t>
      </w:r>
      <w:r w:rsidR="007B012D">
        <w:rPr>
          <w:rFonts w:ascii="Times New Roman" w:hAnsi="Times New Roman"/>
        </w:rPr>
        <w:t>both May 1, 2016, and May 1, 2017</w:t>
      </w:r>
      <w:r w:rsidR="006D18D7">
        <w:rPr>
          <w:rFonts w:ascii="Times New Roman" w:hAnsi="Times New Roman"/>
        </w:rPr>
        <w:t xml:space="preserve">. </w:t>
      </w:r>
      <w:r w:rsidR="00404E74">
        <w:rPr>
          <w:rFonts w:ascii="Times New Roman" w:hAnsi="Times New Roman"/>
        </w:rPr>
        <w:t xml:space="preserve"> </w:t>
      </w:r>
      <w:r w:rsidR="004E6083">
        <w:rPr>
          <w:rFonts w:ascii="Times New Roman" w:hAnsi="Times New Roman"/>
        </w:rPr>
        <w:t>For</w:t>
      </w:r>
      <w:r w:rsidR="007B012D">
        <w:rPr>
          <w:rFonts w:ascii="Times New Roman" w:hAnsi="Times New Roman"/>
        </w:rPr>
        <w:t xml:space="preserve"> residential</w:t>
      </w:r>
      <w:r w:rsidR="004E6083">
        <w:rPr>
          <w:rFonts w:ascii="Times New Roman" w:hAnsi="Times New Roman"/>
        </w:rPr>
        <w:t xml:space="preserve"> rate</w:t>
      </w:r>
      <w:r w:rsidR="007B012D">
        <w:rPr>
          <w:rFonts w:ascii="Times New Roman" w:hAnsi="Times New Roman"/>
        </w:rPr>
        <w:t>s</w:t>
      </w:r>
      <w:r w:rsidR="004E6083">
        <w:rPr>
          <w:rFonts w:ascii="Times New Roman" w:hAnsi="Times New Roman"/>
        </w:rPr>
        <w:t xml:space="preserve">, the </w:t>
      </w:r>
      <w:r w:rsidR="007B012D">
        <w:rPr>
          <w:rFonts w:ascii="Times New Roman" w:hAnsi="Times New Roman"/>
        </w:rPr>
        <w:t xml:space="preserve">Company proposes </w:t>
      </w:r>
      <w:r w:rsidR="00BC0DEA">
        <w:rPr>
          <w:rFonts w:ascii="Times New Roman" w:hAnsi="Times New Roman"/>
        </w:rPr>
        <w:t xml:space="preserve">no </w:t>
      </w:r>
      <w:r w:rsidR="00690EA2" w:rsidRPr="00690EA2">
        <w:rPr>
          <w:rFonts w:ascii="Times New Roman" w:hAnsi="Times New Roman"/>
          <w:szCs w:val="24"/>
        </w:rPr>
        <w:t xml:space="preserve">change </w:t>
      </w:r>
      <w:r w:rsidR="00590F65" w:rsidRPr="00690EA2">
        <w:rPr>
          <w:rFonts w:ascii="Times New Roman" w:hAnsi="Times New Roman"/>
          <w:szCs w:val="24"/>
        </w:rPr>
        <w:t xml:space="preserve">to the residential basic charge </w:t>
      </w:r>
      <w:r w:rsidR="00690EA2" w:rsidRPr="00690EA2">
        <w:rPr>
          <w:rFonts w:ascii="Times New Roman" w:hAnsi="Times New Roman"/>
          <w:szCs w:val="24"/>
        </w:rPr>
        <w:t xml:space="preserve">of </w:t>
      </w:r>
      <w:r w:rsidR="00590F65" w:rsidRPr="00690EA2">
        <w:rPr>
          <w:rFonts w:ascii="Times New Roman" w:hAnsi="Times New Roman"/>
          <w:szCs w:val="24"/>
        </w:rPr>
        <w:t>$7.75</w:t>
      </w:r>
      <w:r w:rsidR="00203FED">
        <w:rPr>
          <w:rFonts w:ascii="Times New Roman" w:hAnsi="Times New Roman"/>
          <w:szCs w:val="24"/>
        </w:rPr>
        <w:t xml:space="preserve"> </w:t>
      </w:r>
      <w:r w:rsidR="007B012D">
        <w:rPr>
          <w:rFonts w:ascii="Times New Roman" w:hAnsi="Times New Roman"/>
          <w:szCs w:val="24"/>
        </w:rPr>
        <w:t>and applies the allocated increases to the current energy rates</w:t>
      </w:r>
      <w:r w:rsidR="00AC39A0" w:rsidRPr="00690EA2">
        <w:rPr>
          <w:rFonts w:ascii="Times New Roman" w:hAnsi="Times New Roman"/>
          <w:szCs w:val="24"/>
        </w:rPr>
        <w:t>.</w:t>
      </w:r>
      <w:r w:rsidR="00F813FB">
        <w:rPr>
          <w:rFonts w:ascii="Times New Roman" w:hAnsi="Times New Roman"/>
          <w:szCs w:val="24"/>
        </w:rPr>
        <w:t xml:space="preserve"> </w:t>
      </w:r>
      <w:r w:rsidR="00590F65" w:rsidRPr="00690EA2">
        <w:rPr>
          <w:rFonts w:ascii="Times New Roman" w:hAnsi="Times New Roman"/>
          <w:szCs w:val="24"/>
        </w:rPr>
        <w:t xml:space="preserve"> </w:t>
      </w:r>
      <w:r w:rsidR="00BC0DEA">
        <w:rPr>
          <w:rFonts w:ascii="Times New Roman" w:hAnsi="Times New Roman"/>
          <w:szCs w:val="24"/>
        </w:rPr>
        <w:t xml:space="preserve">For </w:t>
      </w:r>
      <w:r w:rsidR="00404E74">
        <w:rPr>
          <w:rFonts w:ascii="Times New Roman" w:hAnsi="Times New Roman"/>
          <w:szCs w:val="24"/>
        </w:rPr>
        <w:t xml:space="preserve">the non-residential rate schedules, </w:t>
      </w:r>
      <w:r w:rsidR="00E850D2" w:rsidRPr="00690EA2">
        <w:rPr>
          <w:rFonts w:ascii="Times New Roman" w:hAnsi="Times New Roman"/>
          <w:szCs w:val="24"/>
        </w:rPr>
        <w:t>the</w:t>
      </w:r>
      <w:r w:rsidR="00E850D2">
        <w:rPr>
          <w:rFonts w:ascii="Times New Roman" w:hAnsi="Times New Roman"/>
          <w:szCs w:val="24"/>
        </w:rPr>
        <w:t xml:space="preserve"> Company is proposing </w:t>
      </w:r>
      <w:r w:rsidR="00EB6EBF">
        <w:rPr>
          <w:rFonts w:ascii="Times New Roman" w:hAnsi="Times New Roman"/>
          <w:szCs w:val="24"/>
        </w:rPr>
        <w:t xml:space="preserve">an equal percentage increase to the </w:t>
      </w:r>
      <w:r w:rsidR="00AB2DD6">
        <w:rPr>
          <w:rFonts w:ascii="Times New Roman" w:hAnsi="Times New Roman"/>
          <w:szCs w:val="24"/>
        </w:rPr>
        <w:t>basic charges</w:t>
      </w:r>
      <w:r w:rsidR="00A4518D">
        <w:rPr>
          <w:rFonts w:ascii="Times New Roman" w:hAnsi="Times New Roman"/>
          <w:szCs w:val="24"/>
        </w:rPr>
        <w:t xml:space="preserve">, </w:t>
      </w:r>
      <w:r w:rsidR="00AB2DD6">
        <w:rPr>
          <w:rFonts w:ascii="Times New Roman" w:hAnsi="Times New Roman"/>
          <w:szCs w:val="24"/>
        </w:rPr>
        <w:t>load size</w:t>
      </w:r>
      <w:r w:rsidR="00A4518D">
        <w:rPr>
          <w:rFonts w:ascii="Times New Roman" w:hAnsi="Times New Roman"/>
          <w:szCs w:val="24"/>
        </w:rPr>
        <w:t xml:space="preserve"> charges</w:t>
      </w:r>
      <w:r w:rsidR="00AB2DD6">
        <w:rPr>
          <w:rFonts w:ascii="Times New Roman" w:hAnsi="Times New Roman"/>
          <w:szCs w:val="24"/>
        </w:rPr>
        <w:t xml:space="preserve">, </w:t>
      </w:r>
      <w:r w:rsidR="00FC066D">
        <w:rPr>
          <w:rFonts w:ascii="Times New Roman" w:hAnsi="Times New Roman"/>
          <w:szCs w:val="24"/>
        </w:rPr>
        <w:t>reactive power</w:t>
      </w:r>
      <w:r w:rsidR="00A4518D">
        <w:rPr>
          <w:rFonts w:ascii="Times New Roman" w:hAnsi="Times New Roman"/>
          <w:szCs w:val="24"/>
        </w:rPr>
        <w:t xml:space="preserve"> charges</w:t>
      </w:r>
      <w:r w:rsidR="00404E74">
        <w:rPr>
          <w:rFonts w:ascii="Times New Roman" w:hAnsi="Times New Roman"/>
          <w:szCs w:val="24"/>
        </w:rPr>
        <w:t>,</w:t>
      </w:r>
      <w:r w:rsidR="00A4518D">
        <w:rPr>
          <w:rFonts w:ascii="Times New Roman" w:hAnsi="Times New Roman"/>
          <w:szCs w:val="24"/>
        </w:rPr>
        <w:t xml:space="preserve"> </w:t>
      </w:r>
      <w:r w:rsidR="00A917D2" w:rsidRPr="009B0B3D">
        <w:rPr>
          <w:rFonts w:ascii="Times New Roman" w:hAnsi="Times New Roman"/>
          <w:szCs w:val="24"/>
        </w:rPr>
        <w:t>demand</w:t>
      </w:r>
      <w:r w:rsidR="00A4518D">
        <w:rPr>
          <w:rFonts w:ascii="Times New Roman" w:hAnsi="Times New Roman"/>
          <w:szCs w:val="24"/>
        </w:rPr>
        <w:t xml:space="preserve"> charges </w:t>
      </w:r>
      <w:r w:rsidR="00EB6EBF">
        <w:rPr>
          <w:rFonts w:ascii="Times New Roman" w:hAnsi="Times New Roman"/>
          <w:szCs w:val="24"/>
        </w:rPr>
        <w:t xml:space="preserve">and energy </w:t>
      </w:r>
      <w:r w:rsidR="00A917D2" w:rsidRPr="009B0B3D">
        <w:rPr>
          <w:rFonts w:ascii="Times New Roman" w:hAnsi="Times New Roman"/>
          <w:szCs w:val="24"/>
        </w:rPr>
        <w:t>charges</w:t>
      </w:r>
      <w:r w:rsidR="006D10DF">
        <w:rPr>
          <w:rFonts w:ascii="Times New Roman" w:hAnsi="Times New Roman"/>
          <w:szCs w:val="24"/>
        </w:rPr>
        <w:t xml:space="preserve"> to most rate schedules</w:t>
      </w:r>
      <w:r w:rsidR="00A917D2" w:rsidRPr="009B0B3D">
        <w:rPr>
          <w:rFonts w:ascii="Times New Roman" w:hAnsi="Times New Roman"/>
          <w:szCs w:val="24"/>
        </w:rPr>
        <w:t>.</w:t>
      </w:r>
      <w:r w:rsidR="006D10DF">
        <w:rPr>
          <w:rFonts w:ascii="Times New Roman" w:hAnsi="Times New Roman"/>
          <w:szCs w:val="24"/>
        </w:rPr>
        <w:t xml:space="preserve">  For Schedule 48 </w:t>
      </w:r>
      <w:r w:rsidR="006D10DF">
        <w:rPr>
          <w:rFonts w:ascii="Times New Roman" w:hAnsi="Times New Roman"/>
          <w:szCs w:val="24"/>
        </w:rPr>
        <w:lastRenderedPageBreak/>
        <w:t>Dedicated Facilities rates, however, the Company is proposing to apply a higher increase to demand charges to better reflect cost of service and provide better fixed cost recovery.</w:t>
      </w:r>
      <w:r w:rsidR="005941F0">
        <w:rPr>
          <w:rFonts w:ascii="Times New Roman" w:hAnsi="Times New Roman"/>
          <w:szCs w:val="24"/>
        </w:rPr>
        <w:t xml:space="preserve">  The Company is also proposing to increase credits to LIBA participants by two times the average residential increase, or 5.98 percent, on May 1, 2016, and May 1, 2017</w:t>
      </w:r>
      <w:r w:rsidR="006C10E9">
        <w:rPr>
          <w:rFonts w:ascii="Times New Roman" w:hAnsi="Times New Roman"/>
          <w:szCs w:val="24"/>
        </w:rPr>
        <w:t xml:space="preserve">, the same level required under the five-year LIBA plan for </w:t>
      </w:r>
      <w:r w:rsidR="00142451">
        <w:rPr>
          <w:rFonts w:ascii="Times New Roman" w:hAnsi="Times New Roman"/>
          <w:szCs w:val="24"/>
        </w:rPr>
        <w:t>general rate case</w:t>
      </w:r>
      <w:r w:rsidR="006C10E9">
        <w:rPr>
          <w:rFonts w:ascii="Times New Roman" w:hAnsi="Times New Roman"/>
          <w:szCs w:val="24"/>
        </w:rPr>
        <w:t xml:space="preserve"> increases</w:t>
      </w:r>
      <w:r w:rsidR="005941F0">
        <w:rPr>
          <w:rFonts w:ascii="Times New Roman" w:hAnsi="Times New Roman"/>
          <w:szCs w:val="24"/>
        </w:rPr>
        <w:t xml:space="preserve">.  </w:t>
      </w:r>
    </w:p>
    <w:p w:rsidR="00404E74" w:rsidRPr="009B0B3D" w:rsidRDefault="00404E74" w:rsidP="00DC4B5D">
      <w:pPr>
        <w:widowControl w:val="0"/>
        <w:rPr>
          <w:rFonts w:ascii="Times New Roman" w:hAnsi="Times New Roman"/>
          <w:b/>
        </w:rPr>
      </w:pPr>
      <w:r w:rsidRPr="009B0B3D">
        <w:rPr>
          <w:rFonts w:ascii="Times New Roman" w:hAnsi="Times New Roman"/>
          <w:b/>
        </w:rPr>
        <w:t>Q.</w:t>
      </w:r>
      <w:r w:rsidRPr="009B0B3D">
        <w:rPr>
          <w:rFonts w:ascii="Times New Roman" w:hAnsi="Times New Roman"/>
          <w:b/>
        </w:rPr>
        <w:tab/>
        <w:t xml:space="preserve">Please summarize the Company’s </w:t>
      </w:r>
      <w:r>
        <w:rPr>
          <w:rFonts w:ascii="Times New Roman" w:hAnsi="Times New Roman"/>
          <w:b/>
        </w:rPr>
        <w:t>proposed decoupling mechanism</w:t>
      </w:r>
      <w:r w:rsidRPr="009B0B3D">
        <w:rPr>
          <w:rFonts w:ascii="Times New Roman" w:hAnsi="Times New Roman"/>
          <w:b/>
        </w:rPr>
        <w:t>.</w:t>
      </w:r>
    </w:p>
    <w:p w:rsidR="002C1F29" w:rsidRPr="002C1F29" w:rsidRDefault="00404E74" w:rsidP="002C1F29">
      <w:pPr>
        <w:widowControl w:val="0"/>
        <w:rPr>
          <w:rFonts w:ascii="Times New Roman" w:hAnsi="Times New Roman"/>
          <w:szCs w:val="24"/>
        </w:rPr>
      </w:pPr>
      <w:r w:rsidRPr="009B0B3D">
        <w:rPr>
          <w:rFonts w:ascii="Times New Roman" w:hAnsi="Times New Roman"/>
        </w:rPr>
        <w:t>A.</w:t>
      </w:r>
      <w:r w:rsidRPr="009B0B3D">
        <w:rPr>
          <w:rFonts w:ascii="Times New Roman" w:hAnsi="Times New Roman"/>
          <w:b/>
        </w:rPr>
        <w:tab/>
      </w:r>
      <w:r w:rsidR="000E1CDF">
        <w:rPr>
          <w:rFonts w:ascii="Times New Roman" w:hAnsi="Times New Roman"/>
        </w:rPr>
        <w:t xml:space="preserve">The Company is proposing a decoupling mechanism in Schedule </w:t>
      </w:r>
      <w:r w:rsidR="009E3A41">
        <w:rPr>
          <w:rFonts w:ascii="Times New Roman" w:hAnsi="Times New Roman"/>
        </w:rPr>
        <w:t>93</w:t>
      </w:r>
      <w:r w:rsidR="000E1CDF">
        <w:rPr>
          <w:rFonts w:ascii="Times New Roman" w:hAnsi="Times New Roman"/>
        </w:rPr>
        <w:t xml:space="preserve">, Decoupling Revenue Adjustment.  The decoupling mechanism is consistent with previous direction given by the Commission and is similar </w:t>
      </w:r>
      <w:r w:rsidR="001320A4">
        <w:rPr>
          <w:rFonts w:ascii="Times New Roman" w:hAnsi="Times New Roman"/>
        </w:rPr>
        <w:t xml:space="preserve">in design </w:t>
      </w:r>
      <w:r w:rsidR="000E1CDF">
        <w:rPr>
          <w:rFonts w:ascii="Times New Roman" w:hAnsi="Times New Roman"/>
        </w:rPr>
        <w:t>to the mechanisms approved for Puget Sound Energy (PSE) and Avista</w:t>
      </w:r>
      <w:r w:rsidR="00F813FB">
        <w:rPr>
          <w:rFonts w:ascii="Times New Roman" w:hAnsi="Times New Roman"/>
        </w:rPr>
        <w:t xml:space="preserve"> Corporation (Avista)</w:t>
      </w:r>
      <w:r w:rsidR="000E1CDF">
        <w:rPr>
          <w:rFonts w:ascii="Times New Roman" w:hAnsi="Times New Roman"/>
        </w:rPr>
        <w:t>.  The mechanism will track and defer the difference between allowed revenue, calculated on a per customer basis, and actual revenue during the 12-month deferral period ending June 30 each year.  Specifically, the mechanism tracks all revenue excluding basic charges and net power costs for the residential (Schedules 16, 17, and 18), small general service (Schedule 24), large general service (Schedule 36), and irrigation (Schedule 40)</w:t>
      </w:r>
      <w:r w:rsidR="00E92E23">
        <w:rPr>
          <w:rFonts w:ascii="Times New Roman" w:hAnsi="Times New Roman"/>
        </w:rPr>
        <w:t xml:space="preserve"> classes</w:t>
      </w:r>
      <w:r w:rsidR="000E1CDF">
        <w:rPr>
          <w:rFonts w:ascii="Times New Roman" w:hAnsi="Times New Roman"/>
        </w:rPr>
        <w:t>.  Similar to the PSE and Avista mechanism</w:t>
      </w:r>
      <w:r w:rsidR="00E92E23">
        <w:rPr>
          <w:rFonts w:ascii="Times New Roman" w:hAnsi="Times New Roman"/>
        </w:rPr>
        <w:t>s</w:t>
      </w:r>
      <w:r w:rsidR="000E1CDF">
        <w:rPr>
          <w:rFonts w:ascii="Times New Roman" w:hAnsi="Times New Roman"/>
        </w:rPr>
        <w:t>, it includes an earnings test and a three percent annual cap on surcharges</w:t>
      </w:r>
      <w:r w:rsidR="001320A4">
        <w:rPr>
          <w:rFonts w:ascii="Times New Roman" w:hAnsi="Times New Roman"/>
        </w:rPr>
        <w:t>, which benefits customers by creating predictable and limited rate increases</w:t>
      </w:r>
      <w:r w:rsidR="000E1CDF">
        <w:rPr>
          <w:rFonts w:ascii="Times New Roman" w:hAnsi="Times New Roman"/>
        </w:rPr>
        <w:t>.</w:t>
      </w:r>
      <w:bookmarkStart w:id="3" w:name="_Toc435729877"/>
    </w:p>
    <w:p w:rsidR="002C1F29" w:rsidRDefault="002C1F29" w:rsidP="002C1F29">
      <w:pPr>
        <w:suppressLineNumbers/>
        <w:spacing w:line="240" w:lineRule="auto"/>
        <w:ind w:left="0" w:firstLine="0"/>
        <w:rPr>
          <w:rFonts w:ascii="Times New Roman" w:hAnsi="Times New Roman"/>
          <w:b/>
          <w:caps/>
        </w:rPr>
      </w:pPr>
      <w:r>
        <w:br w:type="page"/>
      </w:r>
    </w:p>
    <w:p w:rsidR="00173476" w:rsidRPr="002C1F29" w:rsidRDefault="0030662E" w:rsidP="002C1F29">
      <w:pPr>
        <w:pStyle w:val="Heading1"/>
      </w:pPr>
      <w:r w:rsidRPr="002C1F29">
        <w:lastRenderedPageBreak/>
        <w:t>RATE SPREAD</w:t>
      </w:r>
      <w:bookmarkEnd w:id="3"/>
    </w:p>
    <w:p w:rsidR="005D093B" w:rsidRPr="003B51D5" w:rsidRDefault="005D093B" w:rsidP="00173476">
      <w:pPr>
        <w:numPr>
          <w:ilvl w:val="0"/>
          <w:numId w:val="15"/>
        </w:numPr>
        <w:tabs>
          <w:tab w:val="left" w:pos="720"/>
        </w:tabs>
        <w:ind w:left="720"/>
        <w:rPr>
          <w:rFonts w:ascii="Times New Roman" w:hAnsi="Times New Roman"/>
          <w:b/>
          <w:szCs w:val="24"/>
        </w:rPr>
      </w:pPr>
      <w:r w:rsidRPr="003B51D5">
        <w:rPr>
          <w:rFonts w:ascii="Times New Roman" w:hAnsi="Times New Roman"/>
          <w:b/>
          <w:szCs w:val="24"/>
        </w:rPr>
        <w:t>How is the Company proposing to allocate the revenue increase to customer classes?</w:t>
      </w:r>
    </w:p>
    <w:p w:rsidR="00A4518D" w:rsidRDefault="00A70756" w:rsidP="00A70756">
      <w:pPr>
        <w:widowControl w:val="0"/>
        <w:rPr>
          <w:rFonts w:ascii="Times New Roman" w:hAnsi="Times New Roman"/>
          <w:bCs/>
          <w:szCs w:val="24"/>
        </w:rPr>
      </w:pPr>
      <w:r>
        <w:rPr>
          <w:rFonts w:ascii="Times New Roman" w:hAnsi="Times New Roman"/>
          <w:bCs/>
          <w:szCs w:val="24"/>
        </w:rPr>
        <w:t>A.</w:t>
      </w:r>
      <w:r>
        <w:rPr>
          <w:rFonts w:ascii="Times New Roman" w:hAnsi="Times New Roman"/>
          <w:bCs/>
          <w:szCs w:val="24"/>
        </w:rPr>
        <w:tab/>
      </w:r>
      <w:r w:rsidR="00404E74">
        <w:rPr>
          <w:rFonts w:ascii="Times New Roman" w:hAnsi="Times New Roman"/>
          <w:bCs/>
          <w:szCs w:val="24"/>
        </w:rPr>
        <w:t xml:space="preserve">For the </w:t>
      </w:r>
      <w:r w:rsidR="001320A4">
        <w:rPr>
          <w:rFonts w:ascii="Times New Roman" w:hAnsi="Times New Roman"/>
          <w:bCs/>
          <w:szCs w:val="24"/>
        </w:rPr>
        <w:t xml:space="preserve">2.99 percent rate </w:t>
      </w:r>
      <w:r w:rsidR="00404E74">
        <w:rPr>
          <w:rFonts w:ascii="Times New Roman" w:hAnsi="Times New Roman"/>
          <w:bCs/>
          <w:szCs w:val="24"/>
        </w:rPr>
        <w:t xml:space="preserve">increases </w:t>
      </w:r>
      <w:r w:rsidR="001320A4">
        <w:rPr>
          <w:rFonts w:ascii="Times New Roman" w:hAnsi="Times New Roman"/>
          <w:bCs/>
          <w:szCs w:val="24"/>
        </w:rPr>
        <w:t>with requested</w:t>
      </w:r>
      <w:r w:rsidR="00404E74">
        <w:rPr>
          <w:rFonts w:ascii="Times New Roman" w:hAnsi="Times New Roman"/>
          <w:bCs/>
          <w:szCs w:val="24"/>
        </w:rPr>
        <w:t xml:space="preserve"> effective </w:t>
      </w:r>
      <w:r w:rsidR="001320A4">
        <w:rPr>
          <w:rFonts w:ascii="Times New Roman" w:hAnsi="Times New Roman"/>
          <w:bCs/>
          <w:szCs w:val="24"/>
        </w:rPr>
        <w:t xml:space="preserve">dates of </w:t>
      </w:r>
      <w:r w:rsidR="00404E74">
        <w:rPr>
          <w:rFonts w:ascii="Times New Roman" w:hAnsi="Times New Roman"/>
          <w:bCs/>
          <w:szCs w:val="24"/>
        </w:rPr>
        <w:t>May 1, 2016</w:t>
      </w:r>
      <w:r w:rsidR="00F813FB">
        <w:rPr>
          <w:rFonts w:ascii="Times New Roman" w:hAnsi="Times New Roman"/>
          <w:bCs/>
          <w:szCs w:val="24"/>
        </w:rPr>
        <w:t>,</w:t>
      </w:r>
      <w:r w:rsidR="002C1F29">
        <w:rPr>
          <w:rFonts w:ascii="Times New Roman" w:hAnsi="Times New Roman"/>
          <w:bCs/>
          <w:szCs w:val="24"/>
        </w:rPr>
        <w:t xml:space="preserve"> and May 1, 2017, </w:t>
      </w:r>
      <w:r w:rsidR="00404E74">
        <w:rPr>
          <w:rFonts w:ascii="Times New Roman" w:hAnsi="Times New Roman"/>
          <w:bCs/>
          <w:szCs w:val="24"/>
        </w:rPr>
        <w:t>t</w:t>
      </w:r>
      <w:r w:rsidR="00F95985" w:rsidRPr="005A070C">
        <w:rPr>
          <w:rFonts w:ascii="Times New Roman" w:hAnsi="Times New Roman"/>
          <w:bCs/>
          <w:szCs w:val="24"/>
        </w:rPr>
        <w:t>h</w:t>
      </w:r>
      <w:r w:rsidR="00237E9F" w:rsidRPr="005A070C">
        <w:rPr>
          <w:rFonts w:ascii="Times New Roman" w:hAnsi="Times New Roman"/>
          <w:szCs w:val="24"/>
        </w:rPr>
        <w:t xml:space="preserve">e </w:t>
      </w:r>
      <w:r w:rsidR="00237E9F" w:rsidRPr="005A070C">
        <w:rPr>
          <w:rFonts w:ascii="Times New Roman" w:hAnsi="Times New Roman"/>
          <w:bCs/>
          <w:szCs w:val="24"/>
        </w:rPr>
        <w:t>Company</w:t>
      </w:r>
      <w:r w:rsidR="00F95985" w:rsidRPr="005A070C">
        <w:rPr>
          <w:rFonts w:ascii="Times New Roman" w:hAnsi="Times New Roman"/>
          <w:bCs/>
          <w:szCs w:val="24"/>
        </w:rPr>
        <w:t xml:space="preserve"> p</w:t>
      </w:r>
      <w:r w:rsidR="00237E9F" w:rsidRPr="005A070C">
        <w:rPr>
          <w:rFonts w:ascii="Times New Roman" w:hAnsi="Times New Roman"/>
          <w:bCs/>
          <w:szCs w:val="24"/>
        </w:rPr>
        <w:t>ropos</w:t>
      </w:r>
      <w:r w:rsidR="00B81F9A">
        <w:rPr>
          <w:rFonts w:ascii="Times New Roman" w:hAnsi="Times New Roman"/>
          <w:bCs/>
          <w:szCs w:val="24"/>
        </w:rPr>
        <w:t>es</w:t>
      </w:r>
      <w:r w:rsidR="00F95985" w:rsidRPr="005A070C">
        <w:rPr>
          <w:rFonts w:ascii="Times New Roman" w:hAnsi="Times New Roman"/>
          <w:bCs/>
          <w:szCs w:val="24"/>
        </w:rPr>
        <w:t xml:space="preserve"> a</w:t>
      </w:r>
      <w:r w:rsidR="00237E9F" w:rsidRPr="005A070C">
        <w:rPr>
          <w:rFonts w:ascii="Times New Roman" w:hAnsi="Times New Roman"/>
          <w:bCs/>
          <w:szCs w:val="24"/>
        </w:rPr>
        <w:t xml:space="preserve"> rate spread </w:t>
      </w:r>
      <w:r w:rsidR="00F95985" w:rsidRPr="005A070C">
        <w:rPr>
          <w:rFonts w:ascii="Times New Roman" w:hAnsi="Times New Roman"/>
          <w:bCs/>
          <w:szCs w:val="24"/>
        </w:rPr>
        <w:t xml:space="preserve">that </w:t>
      </w:r>
      <w:r w:rsidR="00237E9F" w:rsidRPr="005A070C">
        <w:rPr>
          <w:rFonts w:ascii="Times New Roman" w:hAnsi="Times New Roman"/>
          <w:bCs/>
          <w:szCs w:val="24"/>
        </w:rPr>
        <w:t xml:space="preserve">allocates the revenue requirement change </w:t>
      </w:r>
      <w:r w:rsidR="00853818" w:rsidRPr="005A070C">
        <w:rPr>
          <w:rFonts w:ascii="Times New Roman" w:hAnsi="Times New Roman"/>
          <w:bCs/>
          <w:szCs w:val="24"/>
        </w:rPr>
        <w:t xml:space="preserve">to </w:t>
      </w:r>
      <w:r w:rsidR="00956B8B" w:rsidRPr="005A070C">
        <w:rPr>
          <w:rFonts w:ascii="Times New Roman" w:hAnsi="Times New Roman"/>
          <w:bCs/>
          <w:szCs w:val="24"/>
        </w:rPr>
        <w:t xml:space="preserve">rate schedule </w:t>
      </w:r>
      <w:r w:rsidR="00983E60" w:rsidRPr="005A070C">
        <w:rPr>
          <w:rFonts w:ascii="Times New Roman" w:hAnsi="Times New Roman"/>
          <w:bCs/>
          <w:szCs w:val="24"/>
        </w:rPr>
        <w:t xml:space="preserve">classes </w:t>
      </w:r>
      <w:r w:rsidR="00E96325">
        <w:rPr>
          <w:rFonts w:ascii="Times New Roman" w:hAnsi="Times New Roman"/>
          <w:bCs/>
          <w:szCs w:val="24"/>
        </w:rPr>
        <w:t xml:space="preserve">based on </w:t>
      </w:r>
      <w:r w:rsidR="00C76D49">
        <w:rPr>
          <w:rFonts w:ascii="Times New Roman" w:hAnsi="Times New Roman"/>
          <w:bCs/>
          <w:szCs w:val="24"/>
        </w:rPr>
        <w:t xml:space="preserve">an equal percent. </w:t>
      </w:r>
      <w:r w:rsidR="007150DA" w:rsidRPr="005A070C">
        <w:rPr>
          <w:rFonts w:ascii="Times New Roman" w:hAnsi="Times New Roman"/>
          <w:bCs/>
          <w:szCs w:val="24"/>
        </w:rPr>
        <w:t xml:space="preserve"> </w:t>
      </w:r>
    </w:p>
    <w:p w:rsidR="00465EC9" w:rsidRDefault="00465EC9" w:rsidP="00465EC9">
      <w:pPr>
        <w:rPr>
          <w:rFonts w:ascii="Times New Roman" w:hAnsi="Times New Roman"/>
          <w:b/>
        </w:rPr>
      </w:pPr>
      <w:r w:rsidRPr="009B0B3D">
        <w:rPr>
          <w:rFonts w:ascii="Times New Roman" w:hAnsi="Times New Roman"/>
          <w:b/>
        </w:rPr>
        <w:t>Q.</w:t>
      </w:r>
      <w:r w:rsidRPr="009B0B3D">
        <w:rPr>
          <w:rFonts w:ascii="Times New Roman" w:hAnsi="Times New Roman"/>
          <w:b/>
        </w:rPr>
        <w:tab/>
      </w:r>
      <w:r>
        <w:rPr>
          <w:rFonts w:ascii="Times New Roman" w:hAnsi="Times New Roman"/>
          <w:b/>
        </w:rPr>
        <w:t xml:space="preserve">Why is the Company proposing an </w:t>
      </w:r>
      <w:r w:rsidR="00720B4E">
        <w:rPr>
          <w:rFonts w:ascii="Times New Roman" w:hAnsi="Times New Roman"/>
          <w:b/>
        </w:rPr>
        <w:t>equal percent</w:t>
      </w:r>
      <w:r w:rsidR="006D10DF">
        <w:rPr>
          <w:rFonts w:ascii="Times New Roman" w:hAnsi="Times New Roman"/>
          <w:b/>
        </w:rPr>
        <w:t>age</w:t>
      </w:r>
      <w:r w:rsidR="00720B4E">
        <w:rPr>
          <w:rFonts w:ascii="Times New Roman" w:hAnsi="Times New Roman"/>
          <w:b/>
        </w:rPr>
        <w:t xml:space="preserve"> rate spread</w:t>
      </w:r>
      <w:r>
        <w:rPr>
          <w:rFonts w:ascii="Times New Roman" w:hAnsi="Times New Roman"/>
          <w:b/>
        </w:rPr>
        <w:t xml:space="preserve">? </w:t>
      </w:r>
    </w:p>
    <w:p w:rsidR="00404E74" w:rsidRDefault="00404E74" w:rsidP="00316793">
      <w:pPr>
        <w:widowControl w:val="0"/>
        <w:rPr>
          <w:rFonts w:ascii="Times New Roman" w:hAnsi="Times New Roman"/>
          <w:szCs w:val="24"/>
        </w:rPr>
      </w:pPr>
      <w:r>
        <w:rPr>
          <w:rFonts w:ascii="Times New Roman" w:hAnsi="Times New Roman"/>
          <w:bCs/>
          <w:szCs w:val="24"/>
        </w:rPr>
        <w:t>A.</w:t>
      </w:r>
      <w:r>
        <w:rPr>
          <w:rFonts w:ascii="Times New Roman" w:hAnsi="Times New Roman"/>
          <w:bCs/>
          <w:szCs w:val="24"/>
        </w:rPr>
        <w:tab/>
      </w:r>
      <w:r w:rsidR="00316793">
        <w:rPr>
          <w:rFonts w:ascii="Times New Roman" w:hAnsi="Times New Roman"/>
          <w:bCs/>
          <w:szCs w:val="24"/>
        </w:rPr>
        <w:t>In the last general rate case</w:t>
      </w:r>
      <w:r w:rsidR="001320A4">
        <w:rPr>
          <w:rFonts w:ascii="Times New Roman" w:hAnsi="Times New Roman"/>
          <w:bCs/>
          <w:szCs w:val="24"/>
        </w:rPr>
        <w:t xml:space="preserve">, </w:t>
      </w:r>
      <w:r w:rsidR="00316793">
        <w:rPr>
          <w:rFonts w:ascii="Times New Roman" w:hAnsi="Times New Roman"/>
          <w:bCs/>
          <w:szCs w:val="24"/>
        </w:rPr>
        <w:t xml:space="preserve"> Docket UE-140762 (</w:t>
      </w:r>
      <w:r w:rsidR="00F813FB">
        <w:rPr>
          <w:rFonts w:ascii="Times New Roman" w:hAnsi="Times New Roman"/>
          <w:bCs/>
          <w:szCs w:val="24"/>
        </w:rPr>
        <w:t>2014 Rate Case</w:t>
      </w:r>
      <w:r w:rsidR="00316793">
        <w:rPr>
          <w:rFonts w:ascii="Times New Roman" w:hAnsi="Times New Roman"/>
          <w:bCs/>
          <w:szCs w:val="24"/>
        </w:rPr>
        <w:t>), the Commission approved a rate spread to move classes to greater parity with cost of service, while balancing ratemaking principles of fairness, perceptions of equity, economic conditions, gradualism, and rate stability</w:t>
      </w:r>
      <w:r w:rsidR="00316793" w:rsidRPr="00316793">
        <w:rPr>
          <w:rFonts w:ascii="Times New Roman" w:hAnsi="Times New Roman"/>
          <w:bCs/>
          <w:szCs w:val="24"/>
        </w:rPr>
        <w:t>.</w:t>
      </w:r>
      <w:r w:rsidR="00316793" w:rsidRPr="00316793">
        <w:rPr>
          <w:rStyle w:val="FootnoteReference"/>
          <w:rFonts w:ascii="Times New Roman" w:hAnsi="Times New Roman"/>
          <w:szCs w:val="24"/>
          <w:vertAlign w:val="superscript"/>
        </w:rPr>
        <w:footnoteReference w:id="2"/>
      </w:r>
      <w:r w:rsidR="00316793">
        <w:rPr>
          <w:rFonts w:ascii="Times New Roman" w:hAnsi="Times New Roman"/>
          <w:szCs w:val="24"/>
        </w:rPr>
        <w:t xml:space="preserve"> </w:t>
      </w:r>
      <w:r w:rsidR="001320A4">
        <w:rPr>
          <w:rFonts w:ascii="Times New Roman" w:hAnsi="Times New Roman"/>
          <w:szCs w:val="24"/>
        </w:rPr>
        <w:t xml:space="preserve"> </w:t>
      </w:r>
      <w:r w:rsidR="002804E1">
        <w:rPr>
          <w:rFonts w:ascii="Times New Roman" w:hAnsi="Times New Roman"/>
          <w:szCs w:val="24"/>
        </w:rPr>
        <w:t xml:space="preserve">The result of the rate spread </w:t>
      </w:r>
      <w:r w:rsidR="0071726E">
        <w:rPr>
          <w:rFonts w:ascii="Times New Roman" w:hAnsi="Times New Roman"/>
          <w:szCs w:val="24"/>
        </w:rPr>
        <w:t xml:space="preserve">approved in the </w:t>
      </w:r>
      <w:r w:rsidR="00F813FB">
        <w:rPr>
          <w:rFonts w:ascii="Times New Roman" w:hAnsi="Times New Roman"/>
          <w:szCs w:val="24"/>
        </w:rPr>
        <w:t>2014 Rate Case</w:t>
      </w:r>
      <w:r w:rsidR="0071726E">
        <w:rPr>
          <w:rFonts w:ascii="Times New Roman" w:hAnsi="Times New Roman"/>
          <w:szCs w:val="24"/>
        </w:rPr>
        <w:t xml:space="preserve"> and the subsequent parity to cost of service is shown in Table 1.  </w:t>
      </w:r>
      <w:r w:rsidR="001320A4">
        <w:rPr>
          <w:rFonts w:ascii="Times New Roman" w:hAnsi="Times New Roman"/>
          <w:szCs w:val="24"/>
        </w:rPr>
        <w:t>T</w:t>
      </w:r>
      <w:r w:rsidR="0071726E">
        <w:rPr>
          <w:rFonts w:ascii="Times New Roman" w:hAnsi="Times New Roman"/>
          <w:szCs w:val="24"/>
        </w:rPr>
        <w:t xml:space="preserve">he </w:t>
      </w:r>
      <w:r w:rsidR="00F813FB">
        <w:rPr>
          <w:rFonts w:ascii="Times New Roman" w:hAnsi="Times New Roman"/>
          <w:szCs w:val="24"/>
        </w:rPr>
        <w:t>2014 Rate Case</w:t>
      </w:r>
      <w:r w:rsidR="0071726E">
        <w:rPr>
          <w:rFonts w:ascii="Times New Roman" w:hAnsi="Times New Roman"/>
          <w:szCs w:val="24"/>
        </w:rPr>
        <w:t xml:space="preserve"> brought all classes </w:t>
      </w:r>
      <w:r w:rsidR="006D10DF">
        <w:rPr>
          <w:rFonts w:ascii="Times New Roman" w:hAnsi="Times New Roman"/>
          <w:szCs w:val="24"/>
        </w:rPr>
        <w:t xml:space="preserve">to </w:t>
      </w:r>
      <w:r w:rsidR="0071726E">
        <w:rPr>
          <w:rFonts w:ascii="Times New Roman" w:hAnsi="Times New Roman"/>
          <w:szCs w:val="24"/>
        </w:rPr>
        <w:t xml:space="preserve">within a reasonable range of parity (10 percent) of cost of service.  Accordingly, for the increases requested in this </w:t>
      </w:r>
      <w:r w:rsidR="004651B1">
        <w:rPr>
          <w:rFonts w:ascii="Times New Roman" w:hAnsi="Times New Roman"/>
          <w:szCs w:val="24"/>
        </w:rPr>
        <w:t>filing</w:t>
      </w:r>
      <w:r w:rsidR="0071726E">
        <w:rPr>
          <w:rFonts w:ascii="Times New Roman" w:hAnsi="Times New Roman"/>
          <w:szCs w:val="24"/>
        </w:rPr>
        <w:t xml:space="preserve">, the Company believes an equal percentage increase </w:t>
      </w:r>
      <w:r w:rsidR="00562FA9">
        <w:rPr>
          <w:rFonts w:ascii="Times New Roman" w:hAnsi="Times New Roman"/>
          <w:szCs w:val="24"/>
        </w:rPr>
        <w:t xml:space="preserve">is </w:t>
      </w:r>
      <w:r w:rsidR="0021687B">
        <w:rPr>
          <w:rFonts w:ascii="Times New Roman" w:hAnsi="Times New Roman"/>
          <w:szCs w:val="24"/>
        </w:rPr>
        <w:t xml:space="preserve">equitable </w:t>
      </w:r>
      <w:r w:rsidR="00562FA9">
        <w:rPr>
          <w:rFonts w:ascii="Times New Roman" w:hAnsi="Times New Roman"/>
          <w:szCs w:val="24"/>
        </w:rPr>
        <w:t xml:space="preserve">in light of </w:t>
      </w:r>
      <w:r w:rsidR="006D10DF">
        <w:rPr>
          <w:rFonts w:ascii="Times New Roman" w:hAnsi="Times New Roman"/>
          <w:szCs w:val="24"/>
        </w:rPr>
        <w:t xml:space="preserve">all classes being within this reasonable range based on </w:t>
      </w:r>
      <w:r w:rsidR="00562FA9">
        <w:rPr>
          <w:rFonts w:ascii="Times New Roman" w:hAnsi="Times New Roman"/>
          <w:szCs w:val="24"/>
        </w:rPr>
        <w:t xml:space="preserve">the outcome </w:t>
      </w:r>
      <w:r w:rsidR="001320A4">
        <w:rPr>
          <w:rFonts w:ascii="Times New Roman" w:hAnsi="Times New Roman"/>
          <w:szCs w:val="24"/>
        </w:rPr>
        <w:t>of</w:t>
      </w:r>
      <w:r w:rsidR="00562FA9">
        <w:rPr>
          <w:rFonts w:ascii="Times New Roman" w:hAnsi="Times New Roman"/>
          <w:szCs w:val="24"/>
        </w:rPr>
        <w:t xml:space="preserve"> the </w:t>
      </w:r>
      <w:r w:rsidR="00F813FB">
        <w:rPr>
          <w:rFonts w:ascii="Times New Roman" w:hAnsi="Times New Roman"/>
          <w:szCs w:val="24"/>
        </w:rPr>
        <w:t>2014 Rate Case</w:t>
      </w:r>
      <w:r w:rsidR="00562FA9">
        <w:rPr>
          <w:rFonts w:ascii="Times New Roman" w:hAnsi="Times New Roman"/>
          <w:szCs w:val="24"/>
        </w:rPr>
        <w:t xml:space="preserve">.  </w:t>
      </w:r>
    </w:p>
    <w:p w:rsidR="0071726E" w:rsidRPr="00316793" w:rsidRDefault="00774A31" w:rsidP="00DC4B5D">
      <w:pPr>
        <w:widowControl w:val="0"/>
        <w:suppressLineNumbers/>
        <w:jc w:val="center"/>
        <w:rPr>
          <w:rFonts w:ascii="Times New Roman" w:hAnsi="Times New Roman"/>
          <w:bCs/>
          <w:szCs w:val="24"/>
        </w:rPr>
      </w:pPr>
      <w:r w:rsidRPr="00774A31">
        <w:rPr>
          <w:noProof/>
        </w:rPr>
        <w:lastRenderedPageBreak/>
        <w:drawing>
          <wp:inline distT="0" distB="0" distL="0" distR="0" wp14:anchorId="6BF7BD14" wp14:editId="1A1D8A33">
            <wp:extent cx="4571644" cy="257993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26" cy="2580154"/>
                    </a:xfrm>
                    <a:prstGeom prst="rect">
                      <a:avLst/>
                    </a:prstGeom>
                    <a:noFill/>
                    <a:ln>
                      <a:noFill/>
                    </a:ln>
                  </pic:spPr>
                </pic:pic>
              </a:graphicData>
            </a:graphic>
          </wp:inline>
        </w:drawing>
      </w:r>
    </w:p>
    <w:p w:rsidR="00FF66F2" w:rsidRDefault="00FF66F2" w:rsidP="00FF66F2">
      <w:pPr>
        <w:rPr>
          <w:rFonts w:ascii="Times New Roman" w:hAnsi="Times New Roman"/>
          <w:b/>
        </w:rPr>
      </w:pPr>
      <w:r>
        <w:rPr>
          <w:rFonts w:ascii="Times New Roman" w:hAnsi="Times New Roman"/>
          <w:b/>
        </w:rPr>
        <w:t>Q</w:t>
      </w:r>
      <w:r w:rsidRPr="009B0B3D">
        <w:rPr>
          <w:rFonts w:ascii="Times New Roman" w:hAnsi="Times New Roman"/>
          <w:b/>
        </w:rPr>
        <w:t>.</w:t>
      </w:r>
      <w:r w:rsidRPr="009B0B3D">
        <w:rPr>
          <w:rFonts w:ascii="Times New Roman" w:hAnsi="Times New Roman"/>
          <w:b/>
        </w:rPr>
        <w:tab/>
      </w:r>
      <w:r>
        <w:rPr>
          <w:rFonts w:ascii="Times New Roman" w:hAnsi="Times New Roman"/>
          <w:b/>
        </w:rPr>
        <w:t>Is the Company proposing a new cost of service study for this proceeding?</w:t>
      </w:r>
    </w:p>
    <w:p w:rsidR="00FF66F2" w:rsidRDefault="00FF66F2" w:rsidP="00030D2C">
      <w:pPr>
        <w:widowControl w:val="0"/>
        <w:rPr>
          <w:rFonts w:ascii="Times New Roman" w:hAnsi="Times New Roman"/>
          <w:b/>
          <w:bCs/>
          <w:szCs w:val="24"/>
        </w:rPr>
      </w:pPr>
      <w:r>
        <w:rPr>
          <w:rFonts w:ascii="Times New Roman" w:hAnsi="Times New Roman"/>
          <w:bCs/>
          <w:szCs w:val="24"/>
        </w:rPr>
        <w:t>A.</w:t>
      </w:r>
      <w:r>
        <w:rPr>
          <w:rFonts w:ascii="Times New Roman" w:hAnsi="Times New Roman"/>
          <w:bCs/>
          <w:szCs w:val="24"/>
        </w:rPr>
        <w:tab/>
        <w:t xml:space="preserve">No. </w:t>
      </w:r>
      <w:r w:rsidR="001320A4">
        <w:rPr>
          <w:rFonts w:ascii="Times New Roman" w:hAnsi="Times New Roman"/>
          <w:bCs/>
          <w:szCs w:val="24"/>
        </w:rPr>
        <w:t xml:space="preserve"> </w:t>
      </w:r>
      <w:r w:rsidR="00D67B66">
        <w:rPr>
          <w:rFonts w:ascii="Times New Roman" w:hAnsi="Times New Roman"/>
          <w:bCs/>
          <w:szCs w:val="24"/>
        </w:rPr>
        <w:t>Given</w:t>
      </w:r>
      <w:r>
        <w:rPr>
          <w:rFonts w:ascii="Times New Roman" w:hAnsi="Times New Roman"/>
          <w:bCs/>
          <w:szCs w:val="24"/>
        </w:rPr>
        <w:t xml:space="preserve"> the expedited and limited nature of the </w:t>
      </w:r>
      <w:r w:rsidR="004651B1">
        <w:rPr>
          <w:rFonts w:ascii="Times New Roman" w:hAnsi="Times New Roman"/>
          <w:bCs/>
          <w:szCs w:val="24"/>
        </w:rPr>
        <w:t>filing</w:t>
      </w:r>
      <w:r>
        <w:rPr>
          <w:rFonts w:ascii="Times New Roman" w:hAnsi="Times New Roman"/>
          <w:bCs/>
          <w:szCs w:val="24"/>
        </w:rPr>
        <w:t xml:space="preserve">, the Company is not proposing a new cost of service study for this proceeding.  The cost of service study was litigated in the </w:t>
      </w:r>
      <w:r w:rsidR="00F813FB">
        <w:rPr>
          <w:rFonts w:ascii="Times New Roman" w:hAnsi="Times New Roman"/>
          <w:bCs/>
          <w:szCs w:val="24"/>
        </w:rPr>
        <w:t>2014 Rate Case</w:t>
      </w:r>
      <w:r>
        <w:rPr>
          <w:rFonts w:ascii="Times New Roman" w:hAnsi="Times New Roman"/>
          <w:bCs/>
          <w:szCs w:val="24"/>
        </w:rPr>
        <w:t xml:space="preserve">.  While the Commission retained the previously accepted methodologies for that case, it ordered the Company to </w:t>
      </w:r>
      <w:r w:rsidR="007E493A">
        <w:rPr>
          <w:rFonts w:ascii="Times New Roman" w:hAnsi="Times New Roman"/>
          <w:bCs/>
          <w:szCs w:val="24"/>
        </w:rPr>
        <w:t>return to</w:t>
      </w:r>
      <w:r>
        <w:rPr>
          <w:rFonts w:ascii="Times New Roman" w:hAnsi="Times New Roman"/>
          <w:bCs/>
          <w:szCs w:val="24"/>
        </w:rPr>
        <w:t xml:space="preserve"> </w:t>
      </w:r>
      <w:r w:rsidR="007E493A">
        <w:rPr>
          <w:rFonts w:ascii="Times New Roman" w:hAnsi="Times New Roman"/>
          <w:bCs/>
          <w:szCs w:val="24"/>
        </w:rPr>
        <w:t xml:space="preserve">the </w:t>
      </w:r>
      <w:r>
        <w:rPr>
          <w:rFonts w:ascii="Times New Roman" w:hAnsi="Times New Roman"/>
          <w:bCs/>
          <w:szCs w:val="24"/>
        </w:rPr>
        <w:t xml:space="preserve">peak credit approach or </w:t>
      </w:r>
      <w:r w:rsidR="007E493A">
        <w:rPr>
          <w:rFonts w:ascii="Times New Roman" w:hAnsi="Times New Roman"/>
          <w:bCs/>
          <w:szCs w:val="24"/>
        </w:rPr>
        <w:t xml:space="preserve">provide </w:t>
      </w:r>
      <w:r>
        <w:rPr>
          <w:rFonts w:ascii="Times New Roman" w:hAnsi="Times New Roman"/>
          <w:bCs/>
          <w:szCs w:val="24"/>
        </w:rPr>
        <w:t>more justification for an alternative approach in its next case.</w:t>
      </w:r>
      <w:r w:rsidRPr="00FF66F2">
        <w:rPr>
          <w:rStyle w:val="FootnoteReference"/>
          <w:rFonts w:ascii="Times New Roman" w:hAnsi="Times New Roman"/>
          <w:bCs/>
          <w:szCs w:val="24"/>
          <w:vertAlign w:val="superscript"/>
        </w:rPr>
        <w:footnoteReference w:id="3"/>
      </w:r>
      <w:r w:rsidR="00445C8F">
        <w:rPr>
          <w:rFonts w:ascii="Times New Roman" w:hAnsi="Times New Roman"/>
          <w:bCs/>
          <w:szCs w:val="24"/>
        </w:rPr>
        <w:t xml:space="preserve">  The Company intends to present this information in its next </w:t>
      </w:r>
      <w:r w:rsidR="00142451">
        <w:rPr>
          <w:rFonts w:ascii="Times New Roman" w:hAnsi="Times New Roman"/>
          <w:bCs/>
          <w:szCs w:val="24"/>
        </w:rPr>
        <w:t>general rate case</w:t>
      </w:r>
      <w:r w:rsidR="005E12BE">
        <w:rPr>
          <w:rFonts w:ascii="Times New Roman" w:hAnsi="Times New Roman"/>
          <w:bCs/>
          <w:szCs w:val="24"/>
        </w:rPr>
        <w:t xml:space="preserve">.  For this filing, </w:t>
      </w:r>
      <w:r w:rsidR="00445C8F">
        <w:rPr>
          <w:rFonts w:ascii="Times New Roman" w:hAnsi="Times New Roman"/>
          <w:bCs/>
          <w:szCs w:val="24"/>
        </w:rPr>
        <w:t xml:space="preserve">the outcome of the </w:t>
      </w:r>
      <w:r w:rsidR="00F813FB">
        <w:rPr>
          <w:rFonts w:ascii="Times New Roman" w:hAnsi="Times New Roman"/>
          <w:bCs/>
          <w:szCs w:val="24"/>
        </w:rPr>
        <w:t>2014 Rate Case</w:t>
      </w:r>
      <w:r w:rsidR="00445C8F">
        <w:rPr>
          <w:rFonts w:ascii="Times New Roman" w:hAnsi="Times New Roman"/>
          <w:bCs/>
          <w:szCs w:val="24"/>
        </w:rPr>
        <w:t xml:space="preserve">, as shown in Table 1, </w:t>
      </w:r>
      <w:r w:rsidR="004637A4">
        <w:rPr>
          <w:rFonts w:ascii="Times New Roman" w:hAnsi="Times New Roman"/>
          <w:bCs/>
          <w:szCs w:val="24"/>
        </w:rPr>
        <w:t xml:space="preserve">along with the limited </w:t>
      </w:r>
      <w:r w:rsidR="005E12BE">
        <w:rPr>
          <w:rFonts w:ascii="Times New Roman" w:hAnsi="Times New Roman"/>
          <w:bCs/>
          <w:szCs w:val="24"/>
        </w:rPr>
        <w:t>issues in</w:t>
      </w:r>
      <w:r w:rsidR="004637A4">
        <w:rPr>
          <w:rFonts w:ascii="Times New Roman" w:hAnsi="Times New Roman"/>
          <w:bCs/>
          <w:szCs w:val="24"/>
        </w:rPr>
        <w:t xml:space="preserve"> this </w:t>
      </w:r>
      <w:r w:rsidR="005E12BE">
        <w:rPr>
          <w:rFonts w:ascii="Times New Roman" w:hAnsi="Times New Roman"/>
          <w:bCs/>
          <w:szCs w:val="24"/>
        </w:rPr>
        <w:t>case</w:t>
      </w:r>
      <w:r w:rsidR="004637A4">
        <w:rPr>
          <w:rFonts w:ascii="Times New Roman" w:hAnsi="Times New Roman"/>
          <w:bCs/>
          <w:szCs w:val="24"/>
        </w:rPr>
        <w:t xml:space="preserve">, </w:t>
      </w:r>
      <w:r w:rsidR="005428A0">
        <w:rPr>
          <w:rFonts w:ascii="Times New Roman" w:hAnsi="Times New Roman"/>
          <w:bCs/>
          <w:szCs w:val="24"/>
        </w:rPr>
        <w:t>supports an equal percentage rate spread.</w:t>
      </w:r>
      <w:r w:rsidR="005E12BE">
        <w:rPr>
          <w:rFonts w:ascii="Times New Roman" w:hAnsi="Times New Roman"/>
          <w:bCs/>
          <w:szCs w:val="24"/>
        </w:rPr>
        <w:t xml:space="preserve">  The presentation of a </w:t>
      </w:r>
      <w:r w:rsidR="007F4AFF">
        <w:rPr>
          <w:rFonts w:ascii="Times New Roman" w:hAnsi="Times New Roman"/>
          <w:bCs/>
          <w:szCs w:val="24"/>
        </w:rPr>
        <w:t>new</w:t>
      </w:r>
      <w:r w:rsidR="005E12BE">
        <w:rPr>
          <w:rFonts w:ascii="Times New Roman" w:hAnsi="Times New Roman"/>
          <w:bCs/>
          <w:szCs w:val="24"/>
        </w:rPr>
        <w:t xml:space="preserve"> cost of service study here would undermine the purpose of an ERF, which </w:t>
      </w:r>
      <w:r w:rsidR="007F4AFF">
        <w:rPr>
          <w:rFonts w:ascii="Times New Roman" w:hAnsi="Times New Roman"/>
          <w:bCs/>
          <w:szCs w:val="24"/>
        </w:rPr>
        <w:t xml:space="preserve">is designed to avoid annual litigation of </w:t>
      </w:r>
      <w:r w:rsidR="00D67B66">
        <w:rPr>
          <w:rFonts w:ascii="Times New Roman" w:hAnsi="Times New Roman"/>
          <w:bCs/>
          <w:szCs w:val="24"/>
        </w:rPr>
        <w:t xml:space="preserve">all issues in a </w:t>
      </w:r>
      <w:r w:rsidR="007F4AFF">
        <w:rPr>
          <w:rFonts w:ascii="Times New Roman" w:hAnsi="Times New Roman"/>
          <w:bCs/>
          <w:szCs w:val="24"/>
        </w:rPr>
        <w:t xml:space="preserve">full </w:t>
      </w:r>
      <w:r w:rsidR="00142451">
        <w:rPr>
          <w:rFonts w:ascii="Times New Roman" w:hAnsi="Times New Roman"/>
          <w:bCs/>
          <w:szCs w:val="24"/>
        </w:rPr>
        <w:t>general rate case</w:t>
      </w:r>
      <w:r w:rsidR="005E12BE">
        <w:rPr>
          <w:rFonts w:ascii="Times New Roman" w:hAnsi="Times New Roman"/>
          <w:bCs/>
          <w:szCs w:val="24"/>
        </w:rPr>
        <w:t xml:space="preserve">. </w:t>
      </w:r>
    </w:p>
    <w:p w:rsidR="005D093B" w:rsidRPr="00032FEA" w:rsidRDefault="005D093B" w:rsidP="00030D2C">
      <w:pPr>
        <w:widowControl w:val="0"/>
        <w:rPr>
          <w:rFonts w:ascii="Times New Roman" w:hAnsi="Times New Roman"/>
          <w:b/>
          <w:szCs w:val="24"/>
        </w:rPr>
      </w:pPr>
      <w:r w:rsidRPr="003B51D5">
        <w:rPr>
          <w:rFonts w:ascii="Times New Roman" w:hAnsi="Times New Roman"/>
          <w:b/>
          <w:bCs/>
          <w:szCs w:val="24"/>
        </w:rPr>
        <w:t>Q.</w:t>
      </w:r>
      <w:r w:rsidRPr="003B51D5">
        <w:rPr>
          <w:rFonts w:ascii="Times New Roman" w:hAnsi="Times New Roman"/>
          <w:b/>
          <w:bCs/>
          <w:szCs w:val="24"/>
        </w:rPr>
        <w:tab/>
      </w:r>
      <w:r w:rsidRPr="003B51D5">
        <w:rPr>
          <w:rFonts w:ascii="Times New Roman" w:hAnsi="Times New Roman"/>
          <w:b/>
          <w:szCs w:val="24"/>
        </w:rPr>
        <w:t>Please explain Exhibit No</w:t>
      </w:r>
      <w:r w:rsidRPr="00032FEA">
        <w:rPr>
          <w:rFonts w:ascii="Times New Roman" w:hAnsi="Times New Roman"/>
          <w:b/>
          <w:szCs w:val="24"/>
        </w:rPr>
        <w:t>.</w:t>
      </w:r>
      <w:r w:rsidR="00444BD8">
        <w:rPr>
          <w:rFonts w:ascii="Times New Roman" w:hAnsi="Times New Roman"/>
          <w:b/>
          <w:szCs w:val="24"/>
        </w:rPr>
        <w:t xml:space="preserve"> </w:t>
      </w:r>
      <w:r w:rsidR="0088407B" w:rsidRPr="00D234EF">
        <w:rPr>
          <w:rFonts w:ascii="Times New Roman" w:hAnsi="Times New Roman"/>
          <w:b/>
          <w:szCs w:val="24"/>
        </w:rPr>
        <w:t>JRS</w:t>
      </w:r>
      <w:r w:rsidRPr="00D234EF">
        <w:rPr>
          <w:rFonts w:ascii="Times New Roman" w:hAnsi="Times New Roman"/>
          <w:b/>
          <w:szCs w:val="24"/>
        </w:rPr>
        <w:t>-</w:t>
      </w:r>
      <w:r w:rsidR="00254A00">
        <w:rPr>
          <w:rFonts w:ascii="Times New Roman" w:hAnsi="Times New Roman"/>
          <w:b/>
          <w:szCs w:val="24"/>
        </w:rPr>
        <w:t>1</w:t>
      </w:r>
      <w:r w:rsidRPr="00032FEA">
        <w:rPr>
          <w:rFonts w:ascii="Times New Roman" w:hAnsi="Times New Roman"/>
          <w:b/>
          <w:szCs w:val="24"/>
        </w:rPr>
        <w:t>.</w:t>
      </w:r>
    </w:p>
    <w:p w:rsidR="003F1660" w:rsidRPr="003B51D5" w:rsidRDefault="005D093B" w:rsidP="00254A00">
      <w:pPr>
        <w:widowControl w:val="0"/>
        <w:rPr>
          <w:rFonts w:ascii="Times New Roman" w:hAnsi="Times New Roman"/>
          <w:szCs w:val="24"/>
        </w:rPr>
      </w:pPr>
      <w:r w:rsidRPr="00032FEA">
        <w:rPr>
          <w:rFonts w:ascii="Times New Roman" w:hAnsi="Times New Roman"/>
          <w:szCs w:val="24"/>
        </w:rPr>
        <w:t>A.</w:t>
      </w:r>
      <w:r w:rsidRPr="00032FEA">
        <w:rPr>
          <w:rFonts w:ascii="Times New Roman" w:hAnsi="Times New Roman"/>
          <w:szCs w:val="24"/>
        </w:rPr>
        <w:tab/>
      </w:r>
      <w:r w:rsidRPr="00940A1C">
        <w:rPr>
          <w:rFonts w:ascii="Times New Roman" w:hAnsi="Times New Roman"/>
          <w:szCs w:val="24"/>
        </w:rPr>
        <w:t>Exhibit No.</w:t>
      </w:r>
      <w:r w:rsidR="00444BD8">
        <w:rPr>
          <w:rFonts w:ascii="Times New Roman" w:hAnsi="Times New Roman"/>
          <w:szCs w:val="24"/>
        </w:rPr>
        <w:t xml:space="preserve"> </w:t>
      </w:r>
      <w:r w:rsidR="00BE60D3" w:rsidRPr="00940A1C">
        <w:rPr>
          <w:rFonts w:ascii="Times New Roman" w:hAnsi="Times New Roman"/>
          <w:szCs w:val="24"/>
        </w:rPr>
        <w:t>JRS</w:t>
      </w:r>
      <w:r w:rsidRPr="00940A1C">
        <w:rPr>
          <w:rFonts w:ascii="Times New Roman" w:hAnsi="Times New Roman"/>
          <w:szCs w:val="24"/>
        </w:rPr>
        <w:t>-</w:t>
      </w:r>
      <w:r w:rsidR="00254A00" w:rsidRPr="00940A1C">
        <w:rPr>
          <w:rFonts w:ascii="Times New Roman" w:hAnsi="Times New Roman"/>
          <w:szCs w:val="24"/>
        </w:rPr>
        <w:t>1</w:t>
      </w:r>
      <w:r w:rsidR="004168FE" w:rsidRPr="00940A1C">
        <w:rPr>
          <w:rFonts w:ascii="Times New Roman" w:hAnsi="Times New Roman"/>
          <w:szCs w:val="24"/>
        </w:rPr>
        <w:t>,</w:t>
      </w:r>
      <w:r w:rsidR="005E506B" w:rsidRPr="00940A1C">
        <w:rPr>
          <w:rFonts w:ascii="Times New Roman" w:hAnsi="Times New Roman"/>
          <w:szCs w:val="24"/>
        </w:rPr>
        <w:t xml:space="preserve"> </w:t>
      </w:r>
      <w:r w:rsidR="00994EF5" w:rsidRPr="00940A1C">
        <w:rPr>
          <w:rFonts w:ascii="Times New Roman" w:hAnsi="Times New Roman"/>
          <w:szCs w:val="24"/>
        </w:rPr>
        <w:t>Table A</w:t>
      </w:r>
      <w:r w:rsidR="007C2D6B" w:rsidRPr="00940A1C">
        <w:rPr>
          <w:rFonts w:ascii="Times New Roman" w:hAnsi="Times New Roman"/>
          <w:szCs w:val="24"/>
        </w:rPr>
        <w:t>,</w:t>
      </w:r>
      <w:r w:rsidR="00994EF5" w:rsidRPr="00940A1C">
        <w:rPr>
          <w:rFonts w:ascii="Times New Roman" w:hAnsi="Times New Roman"/>
          <w:szCs w:val="24"/>
        </w:rPr>
        <w:t xml:space="preserve"> shows the effect of the proposed </w:t>
      </w:r>
      <w:r w:rsidR="00617C2F" w:rsidRPr="00940A1C">
        <w:rPr>
          <w:rFonts w:ascii="Times New Roman" w:hAnsi="Times New Roman"/>
          <w:szCs w:val="24"/>
        </w:rPr>
        <w:t xml:space="preserve">base </w:t>
      </w:r>
      <w:r w:rsidR="00994EF5" w:rsidRPr="00940A1C">
        <w:rPr>
          <w:rFonts w:ascii="Times New Roman" w:hAnsi="Times New Roman"/>
          <w:szCs w:val="24"/>
        </w:rPr>
        <w:t>rate increase</w:t>
      </w:r>
      <w:r w:rsidR="00940A1C" w:rsidRPr="00940A1C">
        <w:rPr>
          <w:rFonts w:ascii="Times New Roman" w:hAnsi="Times New Roman"/>
          <w:szCs w:val="24"/>
        </w:rPr>
        <w:t>s</w:t>
      </w:r>
      <w:r w:rsidR="00994EF5" w:rsidRPr="00940A1C">
        <w:rPr>
          <w:rFonts w:ascii="Times New Roman" w:hAnsi="Times New Roman"/>
          <w:szCs w:val="24"/>
        </w:rPr>
        <w:t xml:space="preserve">.  </w:t>
      </w:r>
      <w:r w:rsidR="005E506B" w:rsidRPr="00940A1C">
        <w:rPr>
          <w:rFonts w:ascii="Times New Roman" w:hAnsi="Times New Roman"/>
          <w:szCs w:val="24"/>
        </w:rPr>
        <w:t xml:space="preserve">In </w:t>
      </w:r>
      <w:r w:rsidR="00617C2F" w:rsidRPr="00940A1C">
        <w:rPr>
          <w:rFonts w:ascii="Times New Roman" w:hAnsi="Times New Roman"/>
          <w:szCs w:val="24"/>
        </w:rPr>
        <w:t>Table A</w:t>
      </w:r>
      <w:r w:rsidR="005E506B" w:rsidRPr="00940A1C">
        <w:rPr>
          <w:rFonts w:ascii="Times New Roman" w:hAnsi="Times New Roman"/>
          <w:szCs w:val="24"/>
        </w:rPr>
        <w:t>, c</w:t>
      </w:r>
      <w:r w:rsidRPr="00940A1C">
        <w:rPr>
          <w:rFonts w:ascii="Times New Roman" w:hAnsi="Times New Roman"/>
          <w:szCs w:val="24"/>
        </w:rPr>
        <w:t xml:space="preserve">urrent rate schedule numbers, the number of customers during the </w:t>
      </w:r>
      <w:r w:rsidR="00F84551" w:rsidRPr="00940A1C">
        <w:rPr>
          <w:rFonts w:ascii="Times New Roman" w:hAnsi="Times New Roman"/>
          <w:szCs w:val="24"/>
        </w:rPr>
        <w:t>test</w:t>
      </w:r>
      <w:r w:rsidR="007654B5" w:rsidRPr="00940A1C">
        <w:rPr>
          <w:rFonts w:ascii="Times New Roman" w:hAnsi="Times New Roman"/>
          <w:szCs w:val="24"/>
        </w:rPr>
        <w:t xml:space="preserve"> year</w:t>
      </w:r>
      <w:r w:rsidR="007C2D6B" w:rsidRPr="00940A1C">
        <w:rPr>
          <w:rFonts w:ascii="Times New Roman" w:hAnsi="Times New Roman"/>
          <w:szCs w:val="24"/>
        </w:rPr>
        <w:t>,</w:t>
      </w:r>
      <w:r w:rsidR="007654B5" w:rsidRPr="00940A1C">
        <w:rPr>
          <w:rFonts w:ascii="Times New Roman" w:hAnsi="Times New Roman"/>
          <w:szCs w:val="24"/>
        </w:rPr>
        <w:t xml:space="preserve"> </w:t>
      </w:r>
      <w:r w:rsidR="007654B5" w:rsidRPr="00940A1C">
        <w:rPr>
          <w:rFonts w:ascii="Times New Roman" w:hAnsi="Times New Roman"/>
          <w:szCs w:val="24"/>
        </w:rPr>
        <w:lastRenderedPageBreak/>
        <w:t xml:space="preserve">and the </w:t>
      </w:r>
      <w:r w:rsidR="006A2881">
        <w:rPr>
          <w:rFonts w:ascii="Times New Roman" w:hAnsi="Times New Roman"/>
          <w:szCs w:val="24"/>
        </w:rPr>
        <w:t xml:space="preserve">megawatt-hour (MWh) </w:t>
      </w:r>
      <w:r w:rsidRPr="00940A1C">
        <w:rPr>
          <w:rFonts w:ascii="Times New Roman" w:hAnsi="Times New Roman"/>
          <w:szCs w:val="24"/>
        </w:rPr>
        <w:t xml:space="preserve">of energy consumption </w:t>
      </w:r>
      <w:r w:rsidR="00EC4F97" w:rsidRPr="00940A1C">
        <w:rPr>
          <w:rFonts w:ascii="Times New Roman" w:hAnsi="Times New Roman"/>
          <w:szCs w:val="24"/>
        </w:rPr>
        <w:t xml:space="preserve">during the </w:t>
      </w:r>
      <w:r w:rsidR="00F84551" w:rsidRPr="00940A1C">
        <w:rPr>
          <w:rFonts w:ascii="Times New Roman" w:hAnsi="Times New Roman"/>
          <w:szCs w:val="24"/>
        </w:rPr>
        <w:t>test</w:t>
      </w:r>
      <w:r w:rsidR="00EC4F97" w:rsidRPr="00940A1C">
        <w:rPr>
          <w:rFonts w:ascii="Times New Roman" w:hAnsi="Times New Roman"/>
          <w:szCs w:val="24"/>
        </w:rPr>
        <w:t xml:space="preserve"> year </w:t>
      </w:r>
      <w:r w:rsidRPr="00940A1C">
        <w:rPr>
          <w:rFonts w:ascii="Times New Roman" w:hAnsi="Times New Roman"/>
          <w:szCs w:val="24"/>
        </w:rPr>
        <w:t xml:space="preserve">are displayed in columns two through four.  Normalized </w:t>
      </w:r>
      <w:r w:rsidR="00EC4F97" w:rsidRPr="00940A1C">
        <w:rPr>
          <w:rFonts w:ascii="Times New Roman" w:hAnsi="Times New Roman"/>
          <w:szCs w:val="24"/>
        </w:rPr>
        <w:t xml:space="preserve">base </w:t>
      </w:r>
      <w:r w:rsidRPr="00940A1C">
        <w:rPr>
          <w:rFonts w:ascii="Times New Roman" w:hAnsi="Times New Roman"/>
          <w:szCs w:val="24"/>
        </w:rPr>
        <w:t xml:space="preserve">revenues for the </w:t>
      </w:r>
      <w:r w:rsidR="004168FE" w:rsidRPr="00940A1C">
        <w:rPr>
          <w:rFonts w:ascii="Times New Roman" w:hAnsi="Times New Roman"/>
          <w:szCs w:val="24"/>
        </w:rPr>
        <w:t>test</w:t>
      </w:r>
      <w:r w:rsidR="00F84551" w:rsidRPr="00940A1C">
        <w:rPr>
          <w:rFonts w:ascii="Times New Roman" w:hAnsi="Times New Roman"/>
          <w:szCs w:val="24"/>
        </w:rPr>
        <w:t xml:space="preserve"> </w:t>
      </w:r>
      <w:r w:rsidRPr="00940A1C">
        <w:rPr>
          <w:rFonts w:ascii="Times New Roman" w:hAnsi="Times New Roman"/>
          <w:szCs w:val="24"/>
        </w:rPr>
        <w:t xml:space="preserve">period are displayed in column five. </w:t>
      </w:r>
      <w:r w:rsidR="007C2D6B" w:rsidRPr="00940A1C">
        <w:rPr>
          <w:rFonts w:ascii="Times New Roman" w:hAnsi="Times New Roman"/>
          <w:szCs w:val="24"/>
        </w:rPr>
        <w:t xml:space="preserve"> </w:t>
      </w:r>
      <w:r w:rsidR="00774A31">
        <w:rPr>
          <w:rFonts w:ascii="Times New Roman" w:hAnsi="Times New Roman"/>
          <w:szCs w:val="24"/>
        </w:rPr>
        <w:t>The p</w:t>
      </w:r>
      <w:r w:rsidR="001B4612" w:rsidRPr="00940A1C">
        <w:rPr>
          <w:rFonts w:ascii="Times New Roman" w:hAnsi="Times New Roman"/>
          <w:szCs w:val="24"/>
        </w:rPr>
        <w:t>roposed revenue</w:t>
      </w:r>
      <w:r w:rsidR="00774A31">
        <w:rPr>
          <w:rFonts w:ascii="Times New Roman" w:hAnsi="Times New Roman"/>
          <w:szCs w:val="24"/>
        </w:rPr>
        <w:t xml:space="preserve"> increase of $10.0 million </w:t>
      </w:r>
      <w:r w:rsidR="00940A1C" w:rsidRPr="00940A1C">
        <w:rPr>
          <w:rFonts w:ascii="Times New Roman" w:hAnsi="Times New Roman"/>
          <w:szCs w:val="24"/>
        </w:rPr>
        <w:t>for rates effective May</w:t>
      </w:r>
      <w:r w:rsidR="00444BD8">
        <w:rPr>
          <w:rFonts w:ascii="Times New Roman" w:hAnsi="Times New Roman"/>
          <w:szCs w:val="24"/>
        </w:rPr>
        <w:t> </w:t>
      </w:r>
      <w:r w:rsidR="00940A1C" w:rsidRPr="00940A1C">
        <w:rPr>
          <w:rFonts w:ascii="Times New Roman" w:hAnsi="Times New Roman"/>
          <w:szCs w:val="24"/>
        </w:rPr>
        <w:t>1, 2016</w:t>
      </w:r>
      <w:r w:rsidR="00444BD8">
        <w:rPr>
          <w:rFonts w:ascii="Times New Roman" w:hAnsi="Times New Roman"/>
          <w:szCs w:val="24"/>
        </w:rPr>
        <w:t>,</w:t>
      </w:r>
      <w:r w:rsidR="00940A1C" w:rsidRPr="00940A1C">
        <w:rPr>
          <w:rFonts w:ascii="Times New Roman" w:hAnsi="Times New Roman"/>
          <w:szCs w:val="24"/>
        </w:rPr>
        <w:t xml:space="preserve"> </w:t>
      </w:r>
      <w:r w:rsidR="0021687B">
        <w:rPr>
          <w:rFonts w:ascii="Times New Roman" w:hAnsi="Times New Roman"/>
          <w:szCs w:val="24"/>
        </w:rPr>
        <w:t>is</w:t>
      </w:r>
      <w:r w:rsidR="001B4612" w:rsidRPr="00940A1C">
        <w:rPr>
          <w:rFonts w:ascii="Times New Roman" w:hAnsi="Times New Roman"/>
          <w:szCs w:val="24"/>
        </w:rPr>
        <w:t xml:space="preserve"> displayed in column</w:t>
      </w:r>
      <w:r w:rsidR="00774A31">
        <w:rPr>
          <w:rFonts w:ascii="Times New Roman" w:hAnsi="Times New Roman"/>
          <w:szCs w:val="24"/>
        </w:rPr>
        <w:t>s</w:t>
      </w:r>
      <w:r w:rsidR="001B4612" w:rsidRPr="00940A1C">
        <w:rPr>
          <w:rFonts w:ascii="Times New Roman" w:hAnsi="Times New Roman"/>
          <w:szCs w:val="24"/>
        </w:rPr>
        <w:t xml:space="preserve"> six</w:t>
      </w:r>
      <w:r w:rsidR="00774A31">
        <w:rPr>
          <w:rFonts w:ascii="Times New Roman" w:hAnsi="Times New Roman"/>
          <w:szCs w:val="24"/>
        </w:rPr>
        <w:t xml:space="preserve"> through eight</w:t>
      </w:r>
      <w:r w:rsidR="00962B17" w:rsidRPr="00940A1C">
        <w:rPr>
          <w:rFonts w:ascii="Times New Roman" w:hAnsi="Times New Roman"/>
          <w:szCs w:val="24"/>
        </w:rPr>
        <w:t>.</w:t>
      </w:r>
      <w:r w:rsidR="001B4612" w:rsidRPr="00940A1C">
        <w:rPr>
          <w:rFonts w:ascii="Times New Roman" w:hAnsi="Times New Roman"/>
          <w:szCs w:val="24"/>
        </w:rPr>
        <w:t xml:space="preserve"> </w:t>
      </w:r>
      <w:r w:rsidR="00FF33F3" w:rsidRPr="00940A1C">
        <w:rPr>
          <w:rFonts w:ascii="Times New Roman" w:hAnsi="Times New Roman"/>
          <w:szCs w:val="24"/>
        </w:rPr>
        <w:t xml:space="preserve"> </w:t>
      </w:r>
      <w:r w:rsidR="00774A31">
        <w:rPr>
          <w:rFonts w:ascii="Times New Roman" w:hAnsi="Times New Roman"/>
          <w:szCs w:val="24"/>
        </w:rPr>
        <w:t>The p</w:t>
      </w:r>
      <w:r w:rsidR="00940A1C" w:rsidRPr="00940A1C">
        <w:rPr>
          <w:rFonts w:ascii="Times New Roman" w:hAnsi="Times New Roman"/>
          <w:szCs w:val="24"/>
        </w:rPr>
        <w:t>roposed revenue</w:t>
      </w:r>
      <w:r w:rsidR="00774A31">
        <w:rPr>
          <w:rFonts w:ascii="Times New Roman" w:hAnsi="Times New Roman"/>
          <w:szCs w:val="24"/>
        </w:rPr>
        <w:t xml:space="preserve"> change of $10.3 million</w:t>
      </w:r>
      <w:r w:rsidR="00940A1C" w:rsidRPr="00940A1C">
        <w:rPr>
          <w:rFonts w:ascii="Times New Roman" w:hAnsi="Times New Roman"/>
          <w:szCs w:val="24"/>
        </w:rPr>
        <w:t xml:space="preserve"> for rates effective May 1, 2017</w:t>
      </w:r>
      <w:r w:rsidR="00444BD8">
        <w:rPr>
          <w:rFonts w:ascii="Times New Roman" w:hAnsi="Times New Roman"/>
          <w:szCs w:val="24"/>
        </w:rPr>
        <w:t>,</w:t>
      </w:r>
      <w:r w:rsidR="00940A1C" w:rsidRPr="00940A1C">
        <w:rPr>
          <w:rFonts w:ascii="Times New Roman" w:hAnsi="Times New Roman"/>
          <w:szCs w:val="24"/>
        </w:rPr>
        <w:t xml:space="preserve"> </w:t>
      </w:r>
      <w:r w:rsidR="0021687B">
        <w:rPr>
          <w:rFonts w:ascii="Times New Roman" w:hAnsi="Times New Roman"/>
          <w:szCs w:val="24"/>
        </w:rPr>
        <w:t>is</w:t>
      </w:r>
      <w:r w:rsidR="00940A1C" w:rsidRPr="00940A1C">
        <w:rPr>
          <w:rFonts w:ascii="Times New Roman" w:hAnsi="Times New Roman"/>
          <w:szCs w:val="24"/>
        </w:rPr>
        <w:t xml:space="preserve"> displayed in column</w:t>
      </w:r>
      <w:r w:rsidR="005E12BE">
        <w:rPr>
          <w:rFonts w:ascii="Times New Roman" w:hAnsi="Times New Roman"/>
          <w:szCs w:val="24"/>
        </w:rPr>
        <w:t>s</w:t>
      </w:r>
      <w:r w:rsidR="00940A1C" w:rsidRPr="00940A1C">
        <w:rPr>
          <w:rFonts w:ascii="Times New Roman" w:hAnsi="Times New Roman"/>
          <w:szCs w:val="24"/>
        </w:rPr>
        <w:t xml:space="preserve"> nine</w:t>
      </w:r>
      <w:r w:rsidR="00774A31">
        <w:rPr>
          <w:rFonts w:ascii="Times New Roman" w:hAnsi="Times New Roman"/>
          <w:szCs w:val="24"/>
        </w:rPr>
        <w:t xml:space="preserve"> through 11</w:t>
      </w:r>
      <w:r w:rsidR="00940A1C" w:rsidRPr="00940A1C">
        <w:rPr>
          <w:rFonts w:ascii="Times New Roman" w:hAnsi="Times New Roman"/>
          <w:szCs w:val="24"/>
        </w:rPr>
        <w:t xml:space="preserve">.  </w:t>
      </w:r>
      <w:r w:rsidR="00E93947">
        <w:rPr>
          <w:rFonts w:ascii="Times New Roman" w:hAnsi="Times New Roman"/>
          <w:szCs w:val="24"/>
        </w:rPr>
        <w:tab/>
      </w:r>
      <w:r w:rsidR="00174AE7">
        <w:rPr>
          <w:rFonts w:ascii="Times New Roman" w:hAnsi="Times New Roman"/>
          <w:szCs w:val="24"/>
        </w:rPr>
        <w:tab/>
      </w:r>
    </w:p>
    <w:p w:rsidR="005D093B" w:rsidRPr="002C1F29" w:rsidRDefault="009A4713" w:rsidP="002C1F29">
      <w:pPr>
        <w:pStyle w:val="Heading1"/>
      </w:pPr>
      <w:bookmarkStart w:id="4" w:name="_Toc435729878"/>
      <w:r w:rsidRPr="002C1F29">
        <w:t>RATE DESIGN</w:t>
      </w:r>
      <w:bookmarkEnd w:id="4"/>
    </w:p>
    <w:p w:rsidR="005D093B" w:rsidRDefault="005D093B" w:rsidP="00961BC3">
      <w:pPr>
        <w:widowControl w:val="0"/>
        <w:numPr>
          <w:ilvl w:val="0"/>
          <w:numId w:val="16"/>
        </w:numPr>
        <w:tabs>
          <w:tab w:val="clear" w:pos="1440"/>
        </w:tabs>
        <w:ind w:left="720"/>
        <w:rPr>
          <w:rFonts w:ascii="Times New Roman" w:hAnsi="Times New Roman"/>
          <w:b/>
          <w:szCs w:val="24"/>
        </w:rPr>
      </w:pPr>
      <w:r w:rsidRPr="003B51D5">
        <w:rPr>
          <w:rFonts w:ascii="Times New Roman" w:hAnsi="Times New Roman"/>
          <w:b/>
          <w:szCs w:val="24"/>
        </w:rPr>
        <w:t xml:space="preserve">How does the Company propose to design rates to implement the </w:t>
      </w:r>
      <w:r w:rsidR="005E12BE">
        <w:rPr>
          <w:rFonts w:ascii="Times New Roman" w:hAnsi="Times New Roman"/>
          <w:b/>
          <w:szCs w:val="24"/>
        </w:rPr>
        <w:t>requested</w:t>
      </w:r>
      <w:r w:rsidRPr="003B51D5">
        <w:rPr>
          <w:rFonts w:ascii="Times New Roman" w:hAnsi="Times New Roman"/>
          <w:b/>
          <w:szCs w:val="24"/>
        </w:rPr>
        <w:t xml:space="preserve"> revenue increase</w:t>
      </w:r>
      <w:r w:rsidR="00774A31">
        <w:rPr>
          <w:rFonts w:ascii="Times New Roman" w:hAnsi="Times New Roman"/>
          <w:b/>
          <w:szCs w:val="24"/>
        </w:rPr>
        <w:t>s</w:t>
      </w:r>
      <w:r w:rsidRPr="003B51D5">
        <w:rPr>
          <w:rFonts w:ascii="Times New Roman" w:hAnsi="Times New Roman"/>
          <w:b/>
          <w:szCs w:val="24"/>
        </w:rPr>
        <w:t>?</w:t>
      </w:r>
    </w:p>
    <w:p w:rsidR="00353EDF" w:rsidRPr="0021289D" w:rsidRDefault="007A23C5" w:rsidP="0021289D">
      <w:pPr>
        <w:widowControl w:val="0"/>
        <w:rPr>
          <w:rFonts w:ascii="Times New Roman" w:hAnsi="Times New Roman"/>
          <w:szCs w:val="24"/>
        </w:rPr>
      </w:pPr>
      <w:r w:rsidRPr="005428A0">
        <w:rPr>
          <w:rFonts w:ascii="Times New Roman" w:hAnsi="Times New Roman"/>
          <w:szCs w:val="24"/>
        </w:rPr>
        <w:t>A.</w:t>
      </w:r>
      <w:r w:rsidRPr="007A23C5">
        <w:rPr>
          <w:rFonts w:ascii="Times New Roman" w:hAnsi="Times New Roman"/>
          <w:b/>
          <w:szCs w:val="24"/>
        </w:rPr>
        <w:tab/>
      </w:r>
      <w:r w:rsidR="006D10DF" w:rsidRPr="000E1CDF">
        <w:rPr>
          <w:rFonts w:ascii="Times New Roman" w:hAnsi="Times New Roman"/>
          <w:szCs w:val="24"/>
        </w:rPr>
        <w:t>T</w:t>
      </w:r>
      <w:r w:rsidR="00862A6C" w:rsidRPr="00FC066D">
        <w:rPr>
          <w:rFonts w:ascii="Times New Roman" w:hAnsi="Times New Roman"/>
          <w:szCs w:val="24"/>
        </w:rPr>
        <w:t>he Company</w:t>
      </w:r>
      <w:r w:rsidR="00CB156D">
        <w:rPr>
          <w:rFonts w:ascii="Times New Roman" w:hAnsi="Times New Roman"/>
          <w:szCs w:val="24"/>
        </w:rPr>
        <w:t xml:space="preserve"> </w:t>
      </w:r>
      <w:r w:rsidR="006D10DF">
        <w:rPr>
          <w:rFonts w:ascii="Times New Roman" w:hAnsi="Times New Roman"/>
          <w:szCs w:val="24"/>
        </w:rPr>
        <w:t xml:space="preserve">generally </w:t>
      </w:r>
      <w:r w:rsidR="00CB156D">
        <w:rPr>
          <w:rFonts w:ascii="Times New Roman" w:hAnsi="Times New Roman"/>
          <w:szCs w:val="24"/>
        </w:rPr>
        <w:t>proposes no change to rate design for this filing</w:t>
      </w:r>
      <w:r w:rsidR="006D10DF">
        <w:rPr>
          <w:rFonts w:ascii="Times New Roman" w:hAnsi="Times New Roman"/>
          <w:szCs w:val="24"/>
        </w:rPr>
        <w:t>, with the exception of Schedule 48 Dedicated Facilities</w:t>
      </w:r>
      <w:r w:rsidR="00CB156D">
        <w:rPr>
          <w:rFonts w:ascii="Times New Roman" w:hAnsi="Times New Roman"/>
          <w:szCs w:val="24"/>
        </w:rPr>
        <w:t xml:space="preserve">.  Instead, as discussed later, the Company proposes to implement a decoupling mechanism to be applicable to most rate schedules.  </w:t>
      </w:r>
      <w:r w:rsidR="005D093B" w:rsidRPr="00FC066D">
        <w:rPr>
          <w:rFonts w:ascii="Times New Roman" w:hAnsi="Times New Roman"/>
          <w:szCs w:val="24"/>
        </w:rPr>
        <w:t>Exhibit No.</w:t>
      </w:r>
      <w:r w:rsidR="00444BD8">
        <w:rPr>
          <w:rFonts w:ascii="Times New Roman" w:hAnsi="Times New Roman"/>
          <w:szCs w:val="24"/>
        </w:rPr>
        <w:t xml:space="preserve"> </w:t>
      </w:r>
      <w:r w:rsidR="00BE60D3" w:rsidRPr="00FC066D">
        <w:rPr>
          <w:rFonts w:ascii="Times New Roman" w:hAnsi="Times New Roman"/>
          <w:szCs w:val="24"/>
        </w:rPr>
        <w:t>JRS</w:t>
      </w:r>
      <w:r w:rsidR="005D093B" w:rsidRPr="00FC066D">
        <w:rPr>
          <w:rFonts w:ascii="Times New Roman" w:hAnsi="Times New Roman"/>
          <w:szCs w:val="24"/>
        </w:rPr>
        <w:t>-</w:t>
      </w:r>
      <w:r w:rsidR="00203FED" w:rsidRPr="00FC066D">
        <w:rPr>
          <w:rFonts w:ascii="Times New Roman" w:hAnsi="Times New Roman"/>
          <w:szCs w:val="24"/>
        </w:rPr>
        <w:t>2</w:t>
      </w:r>
      <w:r w:rsidR="005D093B" w:rsidRPr="00FC066D">
        <w:rPr>
          <w:rFonts w:ascii="Times New Roman" w:hAnsi="Times New Roman"/>
          <w:szCs w:val="24"/>
        </w:rPr>
        <w:t xml:space="preserve"> contains the proposed prices and the billing determinants used in calculating </w:t>
      </w:r>
      <w:r w:rsidR="00BE6899" w:rsidRPr="00FC066D">
        <w:rPr>
          <w:rFonts w:ascii="Times New Roman" w:hAnsi="Times New Roman"/>
          <w:szCs w:val="24"/>
        </w:rPr>
        <w:t>rate</w:t>
      </w:r>
      <w:r w:rsidR="00535C07" w:rsidRPr="00FC066D">
        <w:rPr>
          <w:rFonts w:ascii="Times New Roman" w:hAnsi="Times New Roman"/>
          <w:szCs w:val="24"/>
        </w:rPr>
        <w:t>s</w:t>
      </w:r>
      <w:r w:rsidR="00BE6899" w:rsidRPr="00FC066D">
        <w:rPr>
          <w:rFonts w:ascii="Times New Roman" w:hAnsi="Times New Roman"/>
          <w:szCs w:val="24"/>
        </w:rPr>
        <w:t xml:space="preserve"> effective May 1, 2016</w:t>
      </w:r>
      <w:r w:rsidR="005D093B" w:rsidRPr="00FC066D">
        <w:rPr>
          <w:rFonts w:ascii="Times New Roman" w:hAnsi="Times New Roman"/>
          <w:szCs w:val="24"/>
        </w:rPr>
        <w:t>.</w:t>
      </w:r>
      <w:r w:rsidR="001B4612" w:rsidRPr="00FC066D">
        <w:rPr>
          <w:rFonts w:ascii="Times New Roman" w:hAnsi="Times New Roman"/>
          <w:szCs w:val="24"/>
        </w:rPr>
        <w:t xml:space="preserve"> </w:t>
      </w:r>
      <w:r w:rsidR="00444BD8">
        <w:rPr>
          <w:rFonts w:ascii="Times New Roman" w:hAnsi="Times New Roman"/>
          <w:szCs w:val="24"/>
        </w:rPr>
        <w:t xml:space="preserve"> </w:t>
      </w:r>
      <w:r w:rsidR="00BE6899" w:rsidRPr="00FC066D">
        <w:rPr>
          <w:rFonts w:ascii="Times New Roman" w:hAnsi="Times New Roman"/>
          <w:szCs w:val="24"/>
        </w:rPr>
        <w:t>Exhibit No.</w:t>
      </w:r>
      <w:r w:rsidR="00444BD8">
        <w:rPr>
          <w:rFonts w:ascii="Times New Roman" w:hAnsi="Times New Roman"/>
          <w:szCs w:val="24"/>
        </w:rPr>
        <w:t xml:space="preserve"> </w:t>
      </w:r>
      <w:r w:rsidR="00BE6899" w:rsidRPr="00FC066D">
        <w:rPr>
          <w:rFonts w:ascii="Times New Roman" w:hAnsi="Times New Roman"/>
          <w:szCs w:val="24"/>
        </w:rPr>
        <w:t>JRS</w:t>
      </w:r>
      <w:r w:rsidR="002C1F29" w:rsidRPr="00D234EF">
        <w:rPr>
          <w:rFonts w:ascii="Times New Roman" w:hAnsi="Times New Roman"/>
          <w:b/>
          <w:szCs w:val="24"/>
        </w:rPr>
        <w:t>-</w:t>
      </w:r>
      <w:r w:rsidR="00535C07" w:rsidRPr="00FC066D">
        <w:rPr>
          <w:rFonts w:ascii="Times New Roman" w:hAnsi="Times New Roman"/>
          <w:szCs w:val="24"/>
        </w:rPr>
        <w:t>3</w:t>
      </w:r>
      <w:r w:rsidR="00BE6899" w:rsidRPr="00FC066D">
        <w:rPr>
          <w:rFonts w:ascii="Times New Roman" w:hAnsi="Times New Roman"/>
          <w:szCs w:val="24"/>
        </w:rPr>
        <w:t xml:space="preserve"> contains the proposed prices and the billing determinants used in calculating rate</w:t>
      </w:r>
      <w:r w:rsidR="00535C07" w:rsidRPr="00FC066D">
        <w:rPr>
          <w:rFonts w:ascii="Times New Roman" w:hAnsi="Times New Roman"/>
          <w:szCs w:val="24"/>
        </w:rPr>
        <w:t>s</w:t>
      </w:r>
      <w:r w:rsidR="00BE6899" w:rsidRPr="00FC066D">
        <w:rPr>
          <w:rFonts w:ascii="Times New Roman" w:hAnsi="Times New Roman"/>
          <w:szCs w:val="24"/>
        </w:rPr>
        <w:t xml:space="preserve"> effective May 1, 201</w:t>
      </w:r>
      <w:r w:rsidR="00535C07" w:rsidRPr="00FC066D">
        <w:rPr>
          <w:rFonts w:ascii="Times New Roman" w:hAnsi="Times New Roman"/>
          <w:szCs w:val="24"/>
        </w:rPr>
        <w:t>7</w:t>
      </w:r>
      <w:r w:rsidR="00BE6899" w:rsidRPr="00FC066D">
        <w:rPr>
          <w:rFonts w:ascii="Times New Roman" w:hAnsi="Times New Roman"/>
          <w:szCs w:val="24"/>
        </w:rPr>
        <w:t xml:space="preserve">.  </w:t>
      </w:r>
      <w:r w:rsidR="0021289D" w:rsidRPr="005221E7">
        <w:rPr>
          <w:rFonts w:ascii="Times New Roman" w:hAnsi="Times New Roman"/>
          <w:szCs w:val="24"/>
        </w:rPr>
        <w:t>Exhibit No.</w:t>
      </w:r>
      <w:r w:rsidR="00444BD8">
        <w:rPr>
          <w:rFonts w:ascii="Times New Roman" w:hAnsi="Times New Roman"/>
          <w:szCs w:val="24"/>
        </w:rPr>
        <w:t xml:space="preserve"> </w:t>
      </w:r>
      <w:r w:rsidR="0021289D" w:rsidRPr="009A4713">
        <w:rPr>
          <w:rFonts w:ascii="Times New Roman" w:hAnsi="Times New Roman"/>
          <w:szCs w:val="24"/>
        </w:rPr>
        <w:t>JRS</w:t>
      </w:r>
      <w:r w:rsidR="0021289D" w:rsidRPr="009A4713">
        <w:rPr>
          <w:rFonts w:ascii="Times New Roman" w:hAnsi="Times New Roman"/>
          <w:szCs w:val="24"/>
        </w:rPr>
        <w:noBreakHyphen/>
      </w:r>
      <w:r w:rsidR="00535C07">
        <w:rPr>
          <w:rFonts w:ascii="Times New Roman" w:hAnsi="Times New Roman"/>
          <w:szCs w:val="24"/>
        </w:rPr>
        <w:t>4</w:t>
      </w:r>
      <w:r w:rsidR="0021289D" w:rsidRPr="005221E7">
        <w:rPr>
          <w:rFonts w:ascii="Times New Roman" w:hAnsi="Times New Roman"/>
          <w:szCs w:val="24"/>
        </w:rPr>
        <w:t xml:space="preserve"> contains monthly billing comparisons for </w:t>
      </w:r>
      <w:r w:rsidR="00E56D86">
        <w:rPr>
          <w:rFonts w:ascii="Times New Roman" w:hAnsi="Times New Roman"/>
          <w:szCs w:val="24"/>
        </w:rPr>
        <w:t xml:space="preserve">customers with different consumption levels </w:t>
      </w:r>
      <w:r w:rsidR="0021289D" w:rsidRPr="005221E7">
        <w:rPr>
          <w:rFonts w:ascii="Times New Roman" w:hAnsi="Times New Roman"/>
          <w:szCs w:val="24"/>
        </w:rPr>
        <w:t>for each rate schedule</w:t>
      </w:r>
      <w:r w:rsidR="004651B1">
        <w:rPr>
          <w:rFonts w:ascii="Times New Roman" w:hAnsi="Times New Roman"/>
          <w:szCs w:val="24"/>
        </w:rPr>
        <w:t xml:space="preserve"> for rates effective May 1, 2016</w:t>
      </w:r>
      <w:r w:rsidR="0021289D" w:rsidRPr="005221E7">
        <w:rPr>
          <w:rFonts w:ascii="Times New Roman" w:hAnsi="Times New Roman"/>
          <w:szCs w:val="24"/>
        </w:rPr>
        <w:t>.</w:t>
      </w:r>
      <w:r w:rsidR="009A4713">
        <w:rPr>
          <w:rFonts w:ascii="Times New Roman" w:hAnsi="Times New Roman"/>
          <w:szCs w:val="24"/>
        </w:rPr>
        <w:t xml:space="preserve">  </w:t>
      </w:r>
      <w:r w:rsidR="004651B1">
        <w:rPr>
          <w:rFonts w:ascii="Times New Roman" w:hAnsi="Times New Roman"/>
          <w:szCs w:val="24"/>
        </w:rPr>
        <w:t>Exhibit No.</w:t>
      </w:r>
      <w:r w:rsidR="00444BD8">
        <w:rPr>
          <w:rFonts w:ascii="Times New Roman" w:hAnsi="Times New Roman"/>
          <w:szCs w:val="24"/>
        </w:rPr>
        <w:t xml:space="preserve"> </w:t>
      </w:r>
      <w:r w:rsidR="004651B1">
        <w:rPr>
          <w:rFonts w:ascii="Times New Roman" w:hAnsi="Times New Roman"/>
          <w:szCs w:val="24"/>
        </w:rPr>
        <w:t>JRS</w:t>
      </w:r>
      <w:r w:rsidR="002C1F29" w:rsidRPr="00D234EF">
        <w:rPr>
          <w:rFonts w:ascii="Times New Roman" w:hAnsi="Times New Roman"/>
          <w:b/>
          <w:szCs w:val="24"/>
        </w:rPr>
        <w:t>-</w:t>
      </w:r>
      <w:r w:rsidR="004651B1">
        <w:rPr>
          <w:rFonts w:ascii="Times New Roman" w:hAnsi="Times New Roman"/>
          <w:szCs w:val="24"/>
        </w:rPr>
        <w:t>5 contains monthly billing comparisons for customers with different consumption levels for each rate schedule for rates effective May 1, 2017.</w:t>
      </w:r>
    </w:p>
    <w:p w:rsidR="005D093B" w:rsidRPr="00E56D86" w:rsidRDefault="00C758A1" w:rsidP="00E56D86">
      <w:pPr>
        <w:pStyle w:val="ListParagraph"/>
        <w:numPr>
          <w:ilvl w:val="0"/>
          <w:numId w:val="44"/>
        </w:numPr>
        <w:ind w:hanging="720"/>
        <w:rPr>
          <w:rFonts w:ascii="Times New Roman" w:hAnsi="Times New Roman"/>
          <w:b/>
          <w:szCs w:val="24"/>
        </w:rPr>
      </w:pPr>
      <w:r>
        <w:rPr>
          <w:rFonts w:ascii="Times New Roman" w:hAnsi="Times New Roman"/>
          <w:b/>
          <w:szCs w:val="24"/>
        </w:rPr>
        <w:t>P</w:t>
      </w:r>
      <w:r w:rsidR="005D093B" w:rsidRPr="00E56D86">
        <w:rPr>
          <w:rFonts w:ascii="Times New Roman" w:hAnsi="Times New Roman"/>
          <w:b/>
          <w:szCs w:val="24"/>
        </w:rPr>
        <w:t>lease</w:t>
      </w:r>
      <w:r w:rsidR="002F0EAE" w:rsidRPr="00E56D86">
        <w:rPr>
          <w:rFonts w:ascii="Times New Roman" w:hAnsi="Times New Roman"/>
          <w:b/>
          <w:szCs w:val="24"/>
        </w:rPr>
        <w:t xml:space="preserve"> </w:t>
      </w:r>
      <w:r w:rsidR="00456892" w:rsidRPr="00E56D86">
        <w:rPr>
          <w:rFonts w:ascii="Times New Roman" w:hAnsi="Times New Roman"/>
          <w:b/>
          <w:szCs w:val="24"/>
        </w:rPr>
        <w:t>describe the Company’s proposed</w:t>
      </w:r>
      <w:r w:rsidR="005D093B" w:rsidRPr="00E56D86">
        <w:rPr>
          <w:rFonts w:ascii="Times New Roman" w:hAnsi="Times New Roman"/>
          <w:b/>
          <w:szCs w:val="24"/>
        </w:rPr>
        <w:t xml:space="preserve"> rate design for residential </w:t>
      </w:r>
      <w:r w:rsidR="0021687B">
        <w:rPr>
          <w:rFonts w:ascii="Times New Roman" w:hAnsi="Times New Roman"/>
          <w:b/>
          <w:szCs w:val="24"/>
        </w:rPr>
        <w:t>customers</w:t>
      </w:r>
      <w:r w:rsidR="005D093B" w:rsidRPr="00E56D86">
        <w:rPr>
          <w:rFonts w:ascii="Times New Roman" w:hAnsi="Times New Roman"/>
          <w:b/>
          <w:szCs w:val="24"/>
        </w:rPr>
        <w:t>.</w:t>
      </w:r>
    </w:p>
    <w:p w:rsidR="007A2305" w:rsidRPr="003B51D5" w:rsidRDefault="005D093B" w:rsidP="007A2305">
      <w:pPr>
        <w:numPr>
          <w:ilvl w:val="0"/>
          <w:numId w:val="20"/>
        </w:numPr>
        <w:tabs>
          <w:tab w:val="clear" w:pos="360"/>
          <w:tab w:val="num" w:pos="720"/>
        </w:tabs>
        <w:ind w:left="720" w:hanging="720"/>
        <w:rPr>
          <w:rFonts w:ascii="Times New Roman" w:hAnsi="Times New Roman"/>
          <w:b/>
          <w:szCs w:val="24"/>
        </w:rPr>
      </w:pPr>
      <w:r w:rsidRPr="003B51D5">
        <w:rPr>
          <w:rFonts w:ascii="Times New Roman" w:hAnsi="Times New Roman"/>
          <w:szCs w:val="24"/>
        </w:rPr>
        <w:t xml:space="preserve">For the monthly </w:t>
      </w:r>
      <w:r w:rsidR="009F5CEE" w:rsidRPr="003B51D5">
        <w:rPr>
          <w:rFonts w:ascii="Times New Roman" w:hAnsi="Times New Roman"/>
          <w:szCs w:val="24"/>
        </w:rPr>
        <w:t xml:space="preserve">residential </w:t>
      </w:r>
      <w:r w:rsidRPr="003B51D5">
        <w:rPr>
          <w:rFonts w:ascii="Times New Roman" w:hAnsi="Times New Roman"/>
          <w:szCs w:val="24"/>
        </w:rPr>
        <w:t xml:space="preserve">basic charge, the Company proposes </w:t>
      </w:r>
      <w:r w:rsidR="00C758A1">
        <w:rPr>
          <w:rFonts w:ascii="Times New Roman" w:hAnsi="Times New Roman"/>
          <w:szCs w:val="24"/>
        </w:rPr>
        <w:t>to retain</w:t>
      </w:r>
      <w:r w:rsidR="00535C07">
        <w:rPr>
          <w:rFonts w:ascii="Times New Roman" w:hAnsi="Times New Roman"/>
          <w:szCs w:val="24"/>
        </w:rPr>
        <w:t xml:space="preserve"> the </w:t>
      </w:r>
      <w:r w:rsidR="00FC066D">
        <w:rPr>
          <w:rFonts w:ascii="Times New Roman" w:hAnsi="Times New Roman"/>
          <w:szCs w:val="24"/>
        </w:rPr>
        <w:t xml:space="preserve">current </w:t>
      </w:r>
      <w:r w:rsidRPr="003B51D5">
        <w:rPr>
          <w:rFonts w:ascii="Times New Roman" w:hAnsi="Times New Roman"/>
          <w:szCs w:val="24"/>
        </w:rPr>
        <w:t>$</w:t>
      </w:r>
      <w:r w:rsidR="00D52351">
        <w:rPr>
          <w:rFonts w:ascii="Times New Roman" w:hAnsi="Times New Roman"/>
          <w:szCs w:val="24"/>
        </w:rPr>
        <w:t>7.75</w:t>
      </w:r>
      <w:r w:rsidRPr="003B51D5">
        <w:rPr>
          <w:rFonts w:ascii="Times New Roman" w:hAnsi="Times New Roman"/>
          <w:szCs w:val="24"/>
        </w:rPr>
        <w:t xml:space="preserve"> per month</w:t>
      </w:r>
      <w:r w:rsidR="00C758A1">
        <w:rPr>
          <w:rFonts w:ascii="Times New Roman" w:hAnsi="Times New Roman"/>
          <w:szCs w:val="24"/>
        </w:rPr>
        <w:t xml:space="preserve"> basic charge in this filing</w:t>
      </w:r>
      <w:r w:rsidR="00ED49D6" w:rsidRPr="003B51D5">
        <w:rPr>
          <w:rFonts w:ascii="Times New Roman" w:hAnsi="Times New Roman"/>
          <w:szCs w:val="24"/>
        </w:rPr>
        <w:t xml:space="preserve">.  </w:t>
      </w:r>
      <w:r w:rsidR="00535C07">
        <w:rPr>
          <w:rFonts w:ascii="Times New Roman" w:hAnsi="Times New Roman"/>
          <w:szCs w:val="24"/>
        </w:rPr>
        <w:t>T</w:t>
      </w:r>
      <w:r w:rsidR="003D2B73" w:rsidRPr="003B51D5">
        <w:rPr>
          <w:rFonts w:ascii="Times New Roman" w:hAnsi="Times New Roman"/>
          <w:szCs w:val="24"/>
        </w:rPr>
        <w:t xml:space="preserve">he Company </w:t>
      </w:r>
      <w:r w:rsidR="00C758A1">
        <w:rPr>
          <w:rFonts w:ascii="Times New Roman" w:hAnsi="Times New Roman"/>
          <w:szCs w:val="24"/>
        </w:rPr>
        <w:t xml:space="preserve">also </w:t>
      </w:r>
      <w:r w:rsidR="003D2B73" w:rsidRPr="003B51D5">
        <w:rPr>
          <w:rFonts w:ascii="Times New Roman" w:hAnsi="Times New Roman"/>
          <w:szCs w:val="24"/>
        </w:rPr>
        <w:t xml:space="preserve">proposes to retain the </w:t>
      </w:r>
      <w:r w:rsidR="003D2B73" w:rsidRPr="003B51D5">
        <w:rPr>
          <w:rFonts w:ascii="Times New Roman" w:hAnsi="Times New Roman"/>
          <w:szCs w:val="24"/>
        </w:rPr>
        <w:lastRenderedPageBreak/>
        <w:t xml:space="preserve">existing inverted </w:t>
      </w:r>
      <w:r w:rsidR="00D1082F">
        <w:rPr>
          <w:rFonts w:ascii="Times New Roman" w:hAnsi="Times New Roman"/>
          <w:szCs w:val="24"/>
        </w:rPr>
        <w:t>energy charge</w:t>
      </w:r>
      <w:r w:rsidR="001451CD">
        <w:rPr>
          <w:rFonts w:ascii="Times New Roman" w:hAnsi="Times New Roman"/>
          <w:szCs w:val="24"/>
        </w:rPr>
        <w:t xml:space="preserve"> </w:t>
      </w:r>
      <w:r w:rsidR="003D2B73" w:rsidRPr="003B51D5">
        <w:rPr>
          <w:rFonts w:ascii="Times New Roman" w:hAnsi="Times New Roman"/>
          <w:szCs w:val="24"/>
        </w:rPr>
        <w:t xml:space="preserve">rate </w:t>
      </w:r>
      <w:r w:rsidR="009F5CEE" w:rsidRPr="003B51D5">
        <w:rPr>
          <w:rFonts w:ascii="Times New Roman" w:hAnsi="Times New Roman"/>
          <w:szCs w:val="24"/>
        </w:rPr>
        <w:t>structure</w:t>
      </w:r>
      <w:r w:rsidR="00716CEF">
        <w:rPr>
          <w:rFonts w:ascii="Times New Roman" w:hAnsi="Times New Roman"/>
          <w:szCs w:val="24"/>
        </w:rPr>
        <w:t xml:space="preserve"> </w:t>
      </w:r>
      <w:r w:rsidR="00B21D05">
        <w:rPr>
          <w:rFonts w:ascii="Times New Roman" w:hAnsi="Times New Roman"/>
          <w:szCs w:val="24"/>
        </w:rPr>
        <w:t>with</w:t>
      </w:r>
      <w:r w:rsidR="003D2B73" w:rsidRPr="003B51D5">
        <w:rPr>
          <w:rFonts w:ascii="Times New Roman" w:hAnsi="Times New Roman"/>
          <w:szCs w:val="24"/>
        </w:rPr>
        <w:t xml:space="preserve"> the </w:t>
      </w:r>
      <w:r w:rsidR="00456892">
        <w:rPr>
          <w:rFonts w:ascii="Times New Roman" w:hAnsi="Times New Roman"/>
          <w:szCs w:val="24"/>
        </w:rPr>
        <w:t xml:space="preserve">second </w:t>
      </w:r>
      <w:r w:rsidR="003D2B73" w:rsidRPr="003B51D5">
        <w:rPr>
          <w:rFonts w:ascii="Times New Roman" w:hAnsi="Times New Roman"/>
          <w:szCs w:val="24"/>
        </w:rPr>
        <w:t>block</w:t>
      </w:r>
      <w:r w:rsidR="00456892">
        <w:rPr>
          <w:rFonts w:ascii="Times New Roman" w:hAnsi="Times New Roman"/>
          <w:szCs w:val="24"/>
        </w:rPr>
        <w:t xml:space="preserve"> for usage over 600 </w:t>
      </w:r>
      <w:r w:rsidR="006A2881">
        <w:rPr>
          <w:rFonts w:ascii="Times New Roman" w:hAnsi="Times New Roman"/>
          <w:szCs w:val="24"/>
        </w:rPr>
        <w:t>kilowatt-hours</w:t>
      </w:r>
      <w:r w:rsidR="00456892">
        <w:rPr>
          <w:rFonts w:ascii="Times New Roman" w:hAnsi="Times New Roman"/>
          <w:szCs w:val="24"/>
        </w:rPr>
        <w:t xml:space="preserve"> </w:t>
      </w:r>
      <w:r w:rsidR="006A2881">
        <w:rPr>
          <w:rFonts w:ascii="Times New Roman" w:hAnsi="Times New Roman"/>
          <w:szCs w:val="24"/>
        </w:rPr>
        <w:t xml:space="preserve">(kWh) </w:t>
      </w:r>
      <w:r w:rsidR="00456892">
        <w:rPr>
          <w:rFonts w:ascii="Times New Roman" w:hAnsi="Times New Roman"/>
          <w:szCs w:val="24"/>
        </w:rPr>
        <w:t>per month</w:t>
      </w:r>
      <w:r w:rsidR="003D2B73" w:rsidRPr="003B51D5">
        <w:rPr>
          <w:rFonts w:ascii="Times New Roman" w:hAnsi="Times New Roman"/>
          <w:szCs w:val="24"/>
        </w:rPr>
        <w:t>.</w:t>
      </w:r>
      <w:r w:rsidR="00C758A1">
        <w:rPr>
          <w:rFonts w:ascii="Times New Roman" w:hAnsi="Times New Roman"/>
          <w:szCs w:val="24"/>
        </w:rPr>
        <w:t xml:space="preserve">  The allocated increases will be recovered on an equal percentage basis to </w:t>
      </w:r>
      <w:r w:rsidR="00C758A1" w:rsidRPr="003B51D5">
        <w:rPr>
          <w:rFonts w:ascii="Times New Roman" w:hAnsi="Times New Roman"/>
          <w:szCs w:val="24"/>
        </w:rPr>
        <w:t>energy charges</w:t>
      </w:r>
      <w:r w:rsidR="00C758A1">
        <w:rPr>
          <w:rFonts w:ascii="Times New Roman" w:hAnsi="Times New Roman"/>
          <w:szCs w:val="24"/>
        </w:rPr>
        <w:t xml:space="preserve">.  </w:t>
      </w:r>
    </w:p>
    <w:p w:rsidR="00E532F4" w:rsidRPr="003B51D5" w:rsidRDefault="00E532F4" w:rsidP="00F72985">
      <w:pPr>
        <w:keepNext/>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5B7A4C">
        <w:rPr>
          <w:rFonts w:ascii="Times New Roman" w:hAnsi="Times New Roman"/>
          <w:b/>
          <w:szCs w:val="24"/>
        </w:rPr>
        <w:t>How is the Company proposing to apply the allocated increase to the non-residential rate schedules?</w:t>
      </w:r>
    </w:p>
    <w:p w:rsidR="005B7A4C" w:rsidRDefault="00E532F4" w:rsidP="00C10392">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496319">
        <w:rPr>
          <w:rFonts w:ascii="Times New Roman" w:hAnsi="Times New Roman"/>
          <w:bCs/>
          <w:szCs w:val="24"/>
        </w:rPr>
        <w:t>T</w:t>
      </w:r>
      <w:r w:rsidR="005B7A4C">
        <w:rPr>
          <w:rFonts w:ascii="Times New Roman" w:hAnsi="Times New Roman"/>
          <w:bCs/>
          <w:szCs w:val="24"/>
        </w:rPr>
        <w:t>he Company proposes to apply the increases on an equal percentage basis to all billing elements</w:t>
      </w:r>
      <w:r w:rsidR="00496319">
        <w:rPr>
          <w:rFonts w:ascii="Times New Roman" w:hAnsi="Times New Roman"/>
          <w:bCs/>
          <w:szCs w:val="24"/>
        </w:rPr>
        <w:t>, with the exception of Schedule 48 Dedicated Facilities</w:t>
      </w:r>
      <w:r w:rsidR="005B7A4C">
        <w:rPr>
          <w:rFonts w:ascii="Times New Roman" w:hAnsi="Times New Roman"/>
          <w:bCs/>
          <w:szCs w:val="24"/>
        </w:rPr>
        <w:t xml:space="preserve">.  </w:t>
      </w:r>
    </w:p>
    <w:p w:rsidR="00ED4CA8" w:rsidRDefault="002053E6" w:rsidP="006A2881">
      <w:pPr>
        <w:pStyle w:val="ListParagraph"/>
        <w:numPr>
          <w:ilvl w:val="0"/>
          <w:numId w:val="55"/>
        </w:numPr>
        <w:spacing w:line="240" w:lineRule="auto"/>
        <w:rPr>
          <w:rFonts w:ascii="Times New Roman" w:hAnsi="Times New Roman"/>
          <w:bCs/>
          <w:szCs w:val="24"/>
        </w:rPr>
      </w:pPr>
      <w:r w:rsidRPr="005B7A4C">
        <w:rPr>
          <w:rFonts w:ascii="Times New Roman" w:hAnsi="Times New Roman"/>
          <w:bCs/>
          <w:szCs w:val="24"/>
        </w:rPr>
        <w:t>For General Service Schedule 24</w:t>
      </w:r>
      <w:r w:rsidR="002E26D4" w:rsidRPr="005B7A4C">
        <w:rPr>
          <w:rFonts w:ascii="Times New Roman" w:hAnsi="Times New Roman"/>
          <w:bCs/>
          <w:szCs w:val="24"/>
        </w:rPr>
        <w:t>,</w:t>
      </w:r>
      <w:r w:rsidRPr="005B7A4C">
        <w:rPr>
          <w:rFonts w:ascii="Times New Roman" w:hAnsi="Times New Roman"/>
          <w:bCs/>
          <w:szCs w:val="24"/>
        </w:rPr>
        <w:t xml:space="preserve"> </w:t>
      </w:r>
      <w:r w:rsidR="00BC0DEA" w:rsidRPr="005B7A4C">
        <w:rPr>
          <w:rFonts w:ascii="Times New Roman" w:hAnsi="Times New Roman"/>
          <w:bCs/>
          <w:szCs w:val="24"/>
        </w:rPr>
        <w:t xml:space="preserve">for each year </w:t>
      </w:r>
      <w:r w:rsidR="006028F1" w:rsidRPr="005B7A4C">
        <w:rPr>
          <w:rFonts w:ascii="Times New Roman" w:hAnsi="Times New Roman"/>
          <w:bCs/>
          <w:szCs w:val="24"/>
        </w:rPr>
        <w:t xml:space="preserve">the </w:t>
      </w:r>
      <w:r w:rsidR="004E5B0C" w:rsidRPr="005B7A4C">
        <w:rPr>
          <w:rFonts w:ascii="Times New Roman" w:hAnsi="Times New Roman"/>
          <w:bCs/>
          <w:szCs w:val="24"/>
        </w:rPr>
        <w:t>Company proposes to increase</w:t>
      </w:r>
      <w:r w:rsidR="006862F1" w:rsidRPr="005B7A4C">
        <w:rPr>
          <w:rFonts w:ascii="Times New Roman" w:hAnsi="Times New Roman"/>
          <w:bCs/>
          <w:szCs w:val="24"/>
        </w:rPr>
        <w:t xml:space="preserve"> </w:t>
      </w:r>
      <w:r w:rsidR="00E53B96" w:rsidRPr="005B7A4C">
        <w:rPr>
          <w:rFonts w:ascii="Times New Roman" w:hAnsi="Times New Roman"/>
          <w:bCs/>
          <w:szCs w:val="24"/>
        </w:rPr>
        <w:t xml:space="preserve">on an </w:t>
      </w:r>
      <w:r w:rsidR="00E66F91" w:rsidRPr="005B7A4C">
        <w:rPr>
          <w:rFonts w:ascii="Times New Roman" w:hAnsi="Times New Roman"/>
          <w:bCs/>
          <w:szCs w:val="24"/>
        </w:rPr>
        <w:t xml:space="preserve">equal percentage </w:t>
      </w:r>
      <w:r w:rsidR="00E53B96" w:rsidRPr="005B7A4C">
        <w:rPr>
          <w:rFonts w:ascii="Times New Roman" w:hAnsi="Times New Roman"/>
          <w:bCs/>
          <w:szCs w:val="24"/>
        </w:rPr>
        <w:t xml:space="preserve">basis </w:t>
      </w:r>
      <w:r w:rsidR="00E66F91" w:rsidRPr="005B7A4C">
        <w:rPr>
          <w:rFonts w:ascii="Times New Roman" w:hAnsi="Times New Roman"/>
          <w:bCs/>
          <w:szCs w:val="24"/>
        </w:rPr>
        <w:t xml:space="preserve">the </w:t>
      </w:r>
      <w:r w:rsidR="00C10392" w:rsidRPr="005B7A4C">
        <w:rPr>
          <w:rFonts w:ascii="Times New Roman" w:hAnsi="Times New Roman"/>
          <w:bCs/>
          <w:szCs w:val="24"/>
        </w:rPr>
        <w:t>basic</w:t>
      </w:r>
      <w:r w:rsidR="006862F1" w:rsidRPr="005B7A4C">
        <w:rPr>
          <w:rFonts w:ascii="Times New Roman" w:hAnsi="Times New Roman"/>
          <w:bCs/>
          <w:szCs w:val="24"/>
        </w:rPr>
        <w:t xml:space="preserve"> charge</w:t>
      </w:r>
      <w:r w:rsidR="00FC066D" w:rsidRPr="005B7A4C">
        <w:rPr>
          <w:rFonts w:ascii="Times New Roman" w:hAnsi="Times New Roman"/>
          <w:bCs/>
          <w:szCs w:val="24"/>
        </w:rPr>
        <w:t xml:space="preserve">, the demand charge, the energy charge </w:t>
      </w:r>
      <w:r w:rsidR="00E66F91" w:rsidRPr="005B7A4C">
        <w:rPr>
          <w:rFonts w:ascii="Times New Roman" w:hAnsi="Times New Roman"/>
          <w:bCs/>
          <w:szCs w:val="24"/>
        </w:rPr>
        <w:t xml:space="preserve">and the </w:t>
      </w:r>
      <w:r w:rsidR="00FC066D" w:rsidRPr="005B7A4C">
        <w:rPr>
          <w:rFonts w:ascii="Times New Roman" w:hAnsi="Times New Roman"/>
          <w:bCs/>
          <w:szCs w:val="24"/>
        </w:rPr>
        <w:t>reactive power charge</w:t>
      </w:r>
      <w:r w:rsidR="00E66F91" w:rsidRPr="005B7A4C">
        <w:rPr>
          <w:rFonts w:ascii="Times New Roman" w:hAnsi="Times New Roman"/>
          <w:bCs/>
          <w:szCs w:val="24"/>
        </w:rPr>
        <w:t xml:space="preserve">. </w:t>
      </w:r>
      <w:r w:rsidR="006862F1" w:rsidRPr="005B7A4C">
        <w:rPr>
          <w:rFonts w:ascii="Times New Roman" w:hAnsi="Times New Roman"/>
          <w:bCs/>
          <w:szCs w:val="24"/>
        </w:rPr>
        <w:t xml:space="preserve"> </w:t>
      </w:r>
    </w:p>
    <w:p w:rsidR="006A2881" w:rsidRPr="005B7A4C" w:rsidRDefault="006A2881" w:rsidP="006A2881">
      <w:pPr>
        <w:pStyle w:val="ListParagraph"/>
        <w:suppressLineNumbers/>
        <w:spacing w:line="240" w:lineRule="auto"/>
        <w:ind w:left="1440" w:firstLine="0"/>
        <w:rPr>
          <w:rFonts w:ascii="Times New Roman" w:hAnsi="Times New Roman"/>
          <w:bCs/>
          <w:szCs w:val="24"/>
        </w:rPr>
      </w:pPr>
    </w:p>
    <w:p w:rsidR="00CB2114" w:rsidRDefault="00CB2114" w:rsidP="006A2881">
      <w:pPr>
        <w:pStyle w:val="ListParagraph"/>
        <w:numPr>
          <w:ilvl w:val="0"/>
          <w:numId w:val="55"/>
        </w:numPr>
        <w:spacing w:line="240" w:lineRule="auto"/>
        <w:rPr>
          <w:rFonts w:ascii="Times New Roman" w:hAnsi="Times New Roman"/>
          <w:bCs/>
          <w:szCs w:val="24"/>
        </w:rPr>
      </w:pPr>
      <w:r w:rsidRPr="005B7A4C">
        <w:rPr>
          <w:rFonts w:ascii="Times New Roman" w:hAnsi="Times New Roman"/>
          <w:bCs/>
          <w:szCs w:val="24"/>
        </w:rPr>
        <w:t xml:space="preserve">For General Service Schedules 36, </w:t>
      </w:r>
      <w:r w:rsidR="00BC0DEA" w:rsidRPr="005B7A4C">
        <w:rPr>
          <w:rFonts w:ascii="Times New Roman" w:hAnsi="Times New Roman"/>
          <w:bCs/>
          <w:szCs w:val="24"/>
        </w:rPr>
        <w:t xml:space="preserve">for each year </w:t>
      </w:r>
      <w:r w:rsidRPr="005B7A4C">
        <w:rPr>
          <w:rFonts w:ascii="Times New Roman" w:hAnsi="Times New Roman"/>
          <w:bCs/>
          <w:szCs w:val="24"/>
        </w:rPr>
        <w:t xml:space="preserve">the Company has applied </w:t>
      </w:r>
      <w:r w:rsidR="006309A5" w:rsidRPr="005B7A4C">
        <w:rPr>
          <w:rFonts w:ascii="Times New Roman" w:hAnsi="Times New Roman"/>
          <w:bCs/>
          <w:szCs w:val="24"/>
        </w:rPr>
        <w:t xml:space="preserve">the class average increase to </w:t>
      </w:r>
      <w:r w:rsidR="00E53B96" w:rsidRPr="005B7A4C">
        <w:rPr>
          <w:rFonts w:ascii="Times New Roman" w:hAnsi="Times New Roman"/>
          <w:bCs/>
          <w:szCs w:val="24"/>
        </w:rPr>
        <w:t xml:space="preserve">all billing charges including </w:t>
      </w:r>
      <w:r w:rsidR="006309A5" w:rsidRPr="005B7A4C">
        <w:rPr>
          <w:rFonts w:ascii="Times New Roman" w:hAnsi="Times New Roman"/>
          <w:bCs/>
          <w:szCs w:val="24"/>
        </w:rPr>
        <w:t xml:space="preserve">the </w:t>
      </w:r>
      <w:r w:rsidR="00E53B96" w:rsidRPr="005B7A4C">
        <w:rPr>
          <w:rFonts w:ascii="Times New Roman" w:hAnsi="Times New Roman"/>
          <w:bCs/>
          <w:szCs w:val="24"/>
        </w:rPr>
        <w:t xml:space="preserve">basic charge, </w:t>
      </w:r>
      <w:r w:rsidR="006309A5" w:rsidRPr="005B7A4C">
        <w:rPr>
          <w:rFonts w:ascii="Times New Roman" w:hAnsi="Times New Roman"/>
          <w:bCs/>
          <w:szCs w:val="24"/>
        </w:rPr>
        <w:t>load size</w:t>
      </w:r>
      <w:r w:rsidR="00FC066D" w:rsidRPr="005B7A4C">
        <w:rPr>
          <w:rFonts w:ascii="Times New Roman" w:hAnsi="Times New Roman"/>
          <w:bCs/>
          <w:szCs w:val="24"/>
        </w:rPr>
        <w:t xml:space="preserve"> charge</w:t>
      </w:r>
      <w:r w:rsidR="00E53B96" w:rsidRPr="005B7A4C">
        <w:rPr>
          <w:rFonts w:ascii="Times New Roman" w:hAnsi="Times New Roman"/>
          <w:bCs/>
          <w:szCs w:val="24"/>
        </w:rPr>
        <w:t>, demand</w:t>
      </w:r>
      <w:r w:rsidR="00FC066D" w:rsidRPr="005B7A4C">
        <w:rPr>
          <w:rFonts w:ascii="Times New Roman" w:hAnsi="Times New Roman"/>
          <w:bCs/>
          <w:szCs w:val="24"/>
        </w:rPr>
        <w:t xml:space="preserve"> charge, </w:t>
      </w:r>
      <w:r w:rsidR="00E53B96" w:rsidRPr="005B7A4C">
        <w:rPr>
          <w:rFonts w:ascii="Times New Roman" w:hAnsi="Times New Roman"/>
          <w:bCs/>
          <w:szCs w:val="24"/>
        </w:rPr>
        <w:t>energy</w:t>
      </w:r>
      <w:r w:rsidR="00FC066D" w:rsidRPr="005B7A4C">
        <w:rPr>
          <w:rFonts w:ascii="Times New Roman" w:hAnsi="Times New Roman"/>
          <w:bCs/>
          <w:szCs w:val="24"/>
        </w:rPr>
        <w:t xml:space="preserve"> charge and reactive power </w:t>
      </w:r>
      <w:r w:rsidR="00E53B96" w:rsidRPr="005B7A4C">
        <w:rPr>
          <w:rFonts w:ascii="Times New Roman" w:hAnsi="Times New Roman"/>
          <w:bCs/>
          <w:szCs w:val="24"/>
        </w:rPr>
        <w:t>charge.</w:t>
      </w:r>
      <w:r w:rsidR="006309A5" w:rsidRPr="005B7A4C">
        <w:rPr>
          <w:rFonts w:ascii="Times New Roman" w:hAnsi="Times New Roman"/>
          <w:bCs/>
          <w:szCs w:val="24"/>
        </w:rPr>
        <w:t xml:space="preserve"> </w:t>
      </w:r>
    </w:p>
    <w:p w:rsidR="006A2881" w:rsidRPr="005B7A4C" w:rsidRDefault="006A2881" w:rsidP="006A2881">
      <w:pPr>
        <w:pStyle w:val="ListParagraph"/>
        <w:suppressLineNumbers/>
        <w:spacing w:line="240" w:lineRule="auto"/>
        <w:ind w:left="1440" w:firstLine="0"/>
        <w:rPr>
          <w:rFonts w:ascii="Times New Roman" w:hAnsi="Times New Roman"/>
          <w:bCs/>
          <w:szCs w:val="24"/>
        </w:rPr>
      </w:pPr>
    </w:p>
    <w:p w:rsidR="00E53B96" w:rsidRDefault="00ED4CA8" w:rsidP="006A2881">
      <w:pPr>
        <w:pStyle w:val="ListParagraph"/>
        <w:numPr>
          <w:ilvl w:val="0"/>
          <w:numId w:val="55"/>
        </w:numPr>
        <w:spacing w:line="240" w:lineRule="auto"/>
        <w:rPr>
          <w:rFonts w:ascii="Times New Roman" w:hAnsi="Times New Roman"/>
          <w:bCs/>
          <w:szCs w:val="24"/>
        </w:rPr>
      </w:pPr>
      <w:r w:rsidRPr="005B7A4C">
        <w:rPr>
          <w:rFonts w:ascii="Times New Roman" w:hAnsi="Times New Roman"/>
          <w:bCs/>
          <w:szCs w:val="24"/>
        </w:rPr>
        <w:t xml:space="preserve">For General Service Schedule 48T, </w:t>
      </w:r>
      <w:r w:rsidR="00BC0DEA" w:rsidRPr="005B7A4C">
        <w:rPr>
          <w:rFonts w:ascii="Times New Roman" w:hAnsi="Times New Roman"/>
          <w:bCs/>
          <w:szCs w:val="24"/>
        </w:rPr>
        <w:t xml:space="preserve">for each year </w:t>
      </w:r>
      <w:r w:rsidR="00E53B96" w:rsidRPr="005B7A4C">
        <w:rPr>
          <w:rFonts w:ascii="Times New Roman" w:hAnsi="Times New Roman"/>
          <w:bCs/>
          <w:szCs w:val="24"/>
        </w:rPr>
        <w:t>the Company has applied the class average increase to all billing charges including the basic charge, load size</w:t>
      </w:r>
      <w:r w:rsidR="00FC066D" w:rsidRPr="005B7A4C">
        <w:rPr>
          <w:rFonts w:ascii="Times New Roman" w:hAnsi="Times New Roman"/>
          <w:bCs/>
          <w:szCs w:val="24"/>
        </w:rPr>
        <w:t xml:space="preserve"> charge</w:t>
      </w:r>
      <w:r w:rsidR="00E53B96" w:rsidRPr="005B7A4C">
        <w:rPr>
          <w:rFonts w:ascii="Times New Roman" w:hAnsi="Times New Roman"/>
          <w:bCs/>
          <w:szCs w:val="24"/>
        </w:rPr>
        <w:t>, demand charge</w:t>
      </w:r>
      <w:r w:rsidR="00FC066D" w:rsidRPr="005B7A4C">
        <w:rPr>
          <w:rFonts w:ascii="Times New Roman" w:hAnsi="Times New Roman"/>
          <w:bCs/>
          <w:szCs w:val="24"/>
        </w:rPr>
        <w:t xml:space="preserve">, </w:t>
      </w:r>
      <w:r w:rsidR="00E53B96" w:rsidRPr="005B7A4C">
        <w:rPr>
          <w:rFonts w:ascii="Times New Roman" w:hAnsi="Times New Roman"/>
          <w:bCs/>
          <w:szCs w:val="24"/>
        </w:rPr>
        <w:t>energy charge</w:t>
      </w:r>
      <w:r w:rsidR="00444BD8">
        <w:rPr>
          <w:rFonts w:ascii="Times New Roman" w:hAnsi="Times New Roman"/>
          <w:bCs/>
          <w:szCs w:val="24"/>
        </w:rPr>
        <w:t>,</w:t>
      </w:r>
      <w:r w:rsidR="00FC066D" w:rsidRPr="005B7A4C">
        <w:rPr>
          <w:rFonts w:ascii="Times New Roman" w:hAnsi="Times New Roman"/>
          <w:bCs/>
          <w:szCs w:val="24"/>
        </w:rPr>
        <w:t xml:space="preserve"> and reactive power charge</w:t>
      </w:r>
      <w:r w:rsidR="00E53B96" w:rsidRPr="005B7A4C">
        <w:rPr>
          <w:rFonts w:ascii="Times New Roman" w:hAnsi="Times New Roman"/>
          <w:bCs/>
          <w:szCs w:val="24"/>
        </w:rPr>
        <w:t xml:space="preserve">. </w:t>
      </w:r>
    </w:p>
    <w:p w:rsidR="006A2881" w:rsidRPr="005B7A4C" w:rsidRDefault="006A2881" w:rsidP="006A2881">
      <w:pPr>
        <w:pStyle w:val="ListParagraph"/>
        <w:suppressLineNumbers/>
        <w:spacing w:line="240" w:lineRule="auto"/>
        <w:ind w:left="1440" w:firstLine="0"/>
        <w:rPr>
          <w:rFonts w:ascii="Times New Roman" w:hAnsi="Times New Roman"/>
          <w:bCs/>
          <w:szCs w:val="24"/>
        </w:rPr>
      </w:pPr>
    </w:p>
    <w:p w:rsidR="00E53B96" w:rsidRDefault="006309A5" w:rsidP="006A2881">
      <w:pPr>
        <w:pStyle w:val="ListParagraph"/>
        <w:numPr>
          <w:ilvl w:val="0"/>
          <w:numId w:val="55"/>
        </w:numPr>
        <w:spacing w:line="240" w:lineRule="auto"/>
        <w:rPr>
          <w:rFonts w:ascii="Times New Roman" w:hAnsi="Times New Roman"/>
          <w:bCs/>
          <w:szCs w:val="24"/>
        </w:rPr>
      </w:pPr>
      <w:r w:rsidRPr="005B7A4C">
        <w:rPr>
          <w:rFonts w:ascii="Times New Roman" w:hAnsi="Times New Roman"/>
          <w:bCs/>
          <w:szCs w:val="24"/>
        </w:rPr>
        <w:t xml:space="preserve">For General Service Schedule 48T Dedicated Facilities, </w:t>
      </w:r>
      <w:r w:rsidR="00BC0DEA" w:rsidRPr="005B7A4C">
        <w:rPr>
          <w:rFonts w:ascii="Times New Roman" w:hAnsi="Times New Roman"/>
          <w:bCs/>
          <w:szCs w:val="24"/>
        </w:rPr>
        <w:t xml:space="preserve">for </w:t>
      </w:r>
      <w:r w:rsidR="00D67B66">
        <w:rPr>
          <w:rFonts w:ascii="Times New Roman" w:hAnsi="Times New Roman"/>
          <w:bCs/>
          <w:szCs w:val="24"/>
        </w:rPr>
        <w:t xml:space="preserve">each </w:t>
      </w:r>
      <w:r w:rsidR="00BC0DEA" w:rsidRPr="005B7A4C">
        <w:rPr>
          <w:rFonts w:ascii="Times New Roman" w:hAnsi="Times New Roman"/>
          <w:bCs/>
          <w:szCs w:val="24"/>
        </w:rPr>
        <w:t xml:space="preserve">year </w:t>
      </w:r>
      <w:r w:rsidR="00E53B96" w:rsidRPr="005B7A4C">
        <w:rPr>
          <w:rFonts w:ascii="Times New Roman" w:hAnsi="Times New Roman"/>
          <w:bCs/>
          <w:szCs w:val="24"/>
        </w:rPr>
        <w:t xml:space="preserve">the Company has applied </w:t>
      </w:r>
      <w:r w:rsidR="00496319">
        <w:rPr>
          <w:rFonts w:ascii="Times New Roman" w:hAnsi="Times New Roman"/>
          <w:bCs/>
          <w:szCs w:val="24"/>
        </w:rPr>
        <w:t xml:space="preserve">a higher increase to the demand charges and a smaller </w:t>
      </w:r>
      <w:r w:rsidR="00E53B96" w:rsidRPr="005B7A4C">
        <w:rPr>
          <w:rFonts w:ascii="Times New Roman" w:hAnsi="Times New Roman"/>
          <w:bCs/>
          <w:szCs w:val="24"/>
        </w:rPr>
        <w:t xml:space="preserve">increase to all </w:t>
      </w:r>
      <w:r w:rsidR="00496319">
        <w:rPr>
          <w:rFonts w:ascii="Times New Roman" w:hAnsi="Times New Roman"/>
          <w:bCs/>
          <w:szCs w:val="24"/>
        </w:rPr>
        <w:t xml:space="preserve">other </w:t>
      </w:r>
      <w:r w:rsidR="00E53B96" w:rsidRPr="005B7A4C">
        <w:rPr>
          <w:rFonts w:ascii="Times New Roman" w:hAnsi="Times New Roman"/>
          <w:bCs/>
          <w:szCs w:val="24"/>
        </w:rPr>
        <w:t xml:space="preserve">billing charges including the basic charge, and load size, and energy charges. </w:t>
      </w:r>
      <w:r w:rsidR="00692146">
        <w:rPr>
          <w:rFonts w:ascii="Times New Roman" w:hAnsi="Times New Roman"/>
          <w:bCs/>
          <w:szCs w:val="24"/>
        </w:rPr>
        <w:t xml:space="preserve"> As shown later in my testimony, applying a larger increase to demand charges will better align rates with the cost of service</w:t>
      </w:r>
      <w:r w:rsidR="009E3A41">
        <w:rPr>
          <w:rFonts w:ascii="Times New Roman" w:hAnsi="Times New Roman"/>
          <w:bCs/>
          <w:szCs w:val="24"/>
        </w:rPr>
        <w:t xml:space="preserve">.  As a result of this rate design change, the Company is proposing to exclude Schedule 48 from </w:t>
      </w:r>
      <w:r w:rsidR="00D67B66">
        <w:rPr>
          <w:rFonts w:ascii="Times New Roman" w:hAnsi="Times New Roman"/>
          <w:bCs/>
          <w:szCs w:val="24"/>
        </w:rPr>
        <w:t>its</w:t>
      </w:r>
      <w:r w:rsidR="009E3A41">
        <w:rPr>
          <w:rFonts w:ascii="Times New Roman" w:hAnsi="Times New Roman"/>
          <w:bCs/>
          <w:szCs w:val="24"/>
        </w:rPr>
        <w:t xml:space="preserve"> decoupling mechanism.</w:t>
      </w:r>
    </w:p>
    <w:p w:rsidR="006A2881" w:rsidRPr="005B7A4C" w:rsidRDefault="006A2881" w:rsidP="006A2881">
      <w:pPr>
        <w:pStyle w:val="ListParagraph"/>
        <w:suppressLineNumbers/>
        <w:spacing w:line="240" w:lineRule="auto"/>
        <w:ind w:left="1440" w:firstLine="0"/>
        <w:rPr>
          <w:rFonts w:ascii="Times New Roman" w:hAnsi="Times New Roman"/>
          <w:bCs/>
          <w:szCs w:val="24"/>
        </w:rPr>
      </w:pPr>
    </w:p>
    <w:p w:rsidR="00C466FC" w:rsidRDefault="005B7A4C" w:rsidP="006A2881">
      <w:pPr>
        <w:pStyle w:val="ListParagraph"/>
        <w:numPr>
          <w:ilvl w:val="0"/>
          <w:numId w:val="55"/>
        </w:numPr>
        <w:spacing w:line="240" w:lineRule="auto"/>
        <w:rPr>
          <w:rFonts w:ascii="Times New Roman" w:hAnsi="Times New Roman"/>
          <w:bCs/>
          <w:szCs w:val="24"/>
        </w:rPr>
      </w:pPr>
      <w:r>
        <w:rPr>
          <w:rFonts w:ascii="Times New Roman" w:hAnsi="Times New Roman"/>
          <w:bCs/>
          <w:szCs w:val="24"/>
        </w:rPr>
        <w:t xml:space="preserve">For Agricultural Pumping Schedule 40, </w:t>
      </w:r>
      <w:r w:rsidR="00BC0DEA" w:rsidRPr="005B7A4C">
        <w:rPr>
          <w:rFonts w:ascii="Times New Roman" w:hAnsi="Times New Roman"/>
          <w:bCs/>
          <w:szCs w:val="24"/>
        </w:rPr>
        <w:t>t</w:t>
      </w:r>
      <w:r w:rsidR="00C10392" w:rsidRPr="005B7A4C">
        <w:rPr>
          <w:rFonts w:ascii="Times New Roman" w:hAnsi="Times New Roman"/>
          <w:bCs/>
          <w:szCs w:val="24"/>
        </w:rPr>
        <w:t xml:space="preserve">he Company proposes to apply a uniform percentage increase to all billing elements. </w:t>
      </w:r>
    </w:p>
    <w:p w:rsidR="006A2881" w:rsidRPr="005B7A4C" w:rsidRDefault="006A2881" w:rsidP="006A2881">
      <w:pPr>
        <w:pStyle w:val="ListParagraph"/>
        <w:suppressLineNumbers/>
        <w:spacing w:line="240" w:lineRule="auto"/>
        <w:ind w:left="1440" w:firstLine="0"/>
        <w:rPr>
          <w:rFonts w:ascii="Times New Roman" w:hAnsi="Times New Roman"/>
          <w:bCs/>
          <w:szCs w:val="24"/>
        </w:rPr>
      </w:pPr>
    </w:p>
    <w:p w:rsidR="0077458D" w:rsidRPr="006A2881" w:rsidRDefault="005B7A4C" w:rsidP="006A2881">
      <w:pPr>
        <w:pStyle w:val="ListParagraph"/>
        <w:numPr>
          <w:ilvl w:val="0"/>
          <w:numId w:val="55"/>
        </w:numPr>
        <w:spacing w:line="240" w:lineRule="auto"/>
        <w:rPr>
          <w:rFonts w:ascii="Times New Roman" w:hAnsi="Times New Roman"/>
          <w:szCs w:val="24"/>
        </w:rPr>
      </w:pPr>
      <w:r>
        <w:rPr>
          <w:rFonts w:ascii="Times New Roman" w:hAnsi="Times New Roman"/>
          <w:bCs/>
          <w:szCs w:val="24"/>
        </w:rPr>
        <w:t xml:space="preserve">For lighting schedules, </w:t>
      </w:r>
      <w:r w:rsidR="00D67B66">
        <w:rPr>
          <w:rFonts w:ascii="Times New Roman" w:hAnsi="Times New Roman"/>
          <w:bCs/>
          <w:szCs w:val="24"/>
        </w:rPr>
        <w:t xml:space="preserve">for each year </w:t>
      </w:r>
      <w:r>
        <w:rPr>
          <w:rFonts w:ascii="Times New Roman" w:hAnsi="Times New Roman"/>
          <w:bCs/>
          <w:szCs w:val="24"/>
        </w:rPr>
        <w:t>t</w:t>
      </w:r>
      <w:r w:rsidR="00BF093A" w:rsidRPr="005B7A4C">
        <w:rPr>
          <w:rFonts w:ascii="Times New Roman" w:hAnsi="Times New Roman"/>
          <w:bCs/>
          <w:szCs w:val="24"/>
        </w:rPr>
        <w:t>he Company proposes to apply t</w:t>
      </w:r>
      <w:r w:rsidR="00D1082F" w:rsidRPr="005B7A4C">
        <w:rPr>
          <w:rFonts w:ascii="Times New Roman" w:hAnsi="Times New Roman"/>
          <w:bCs/>
          <w:szCs w:val="24"/>
        </w:rPr>
        <w:t xml:space="preserve">he increase to all </w:t>
      </w:r>
      <w:r w:rsidR="0030322D" w:rsidRPr="005B7A4C">
        <w:rPr>
          <w:rFonts w:ascii="Times New Roman" w:hAnsi="Times New Roman"/>
          <w:bCs/>
          <w:szCs w:val="24"/>
        </w:rPr>
        <w:t>billing elements on a uniform basis.</w:t>
      </w:r>
    </w:p>
    <w:p w:rsidR="006A2881" w:rsidRPr="006A2881" w:rsidRDefault="006A2881" w:rsidP="006A2881">
      <w:pPr>
        <w:pStyle w:val="ListParagraph"/>
        <w:suppressLineNumbers/>
        <w:spacing w:line="240" w:lineRule="auto"/>
        <w:ind w:left="1440" w:firstLine="0"/>
        <w:rPr>
          <w:rFonts w:ascii="Times New Roman" w:hAnsi="Times New Roman"/>
          <w:szCs w:val="24"/>
        </w:rPr>
      </w:pPr>
    </w:p>
    <w:p w:rsidR="00D276F6" w:rsidRDefault="00D276F6" w:rsidP="00D276F6">
      <w:pPr>
        <w:suppressLineNumbers/>
        <w:spacing w:line="240" w:lineRule="auto"/>
        <w:ind w:left="0" w:firstLine="0"/>
        <w:rPr>
          <w:rFonts w:ascii="Times New Roman" w:hAnsi="Times New Roman"/>
          <w:b/>
          <w:caps/>
        </w:rPr>
      </w:pPr>
      <w:bookmarkStart w:id="5" w:name="_Toc435729879"/>
      <w:r>
        <w:br w:type="page"/>
      </w:r>
    </w:p>
    <w:p w:rsidR="0077458D" w:rsidRPr="002C1F29" w:rsidRDefault="0077458D" w:rsidP="002C1F29">
      <w:pPr>
        <w:pStyle w:val="Heading1"/>
      </w:pPr>
      <w:r w:rsidRPr="002C1F29">
        <w:lastRenderedPageBreak/>
        <w:t>Low</w:t>
      </w:r>
      <w:r w:rsidR="005E12BE" w:rsidRPr="002C1F29">
        <w:t>-</w:t>
      </w:r>
      <w:r w:rsidRPr="002C1F29">
        <w:t>Income Customers</w:t>
      </w:r>
      <w:bookmarkEnd w:id="5"/>
      <w:r w:rsidRPr="002C1F29">
        <w:t xml:space="preserve"> </w:t>
      </w:r>
    </w:p>
    <w:p w:rsidR="0077458D" w:rsidRPr="003B51D5" w:rsidRDefault="0077458D" w:rsidP="0077458D">
      <w:pPr>
        <w:widowControl w:val="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Does the Company have a proposal to address low</w:t>
      </w:r>
      <w:r w:rsidR="005E12BE">
        <w:rPr>
          <w:rFonts w:ascii="Times New Roman" w:hAnsi="Times New Roman"/>
          <w:b/>
          <w:szCs w:val="24"/>
        </w:rPr>
        <w:t>-</w:t>
      </w:r>
      <w:r>
        <w:rPr>
          <w:rFonts w:ascii="Times New Roman" w:hAnsi="Times New Roman"/>
          <w:b/>
          <w:szCs w:val="24"/>
        </w:rPr>
        <w:t>income customers in this filing?</w:t>
      </w:r>
    </w:p>
    <w:p w:rsidR="0077458D" w:rsidRDefault="0077458D" w:rsidP="0077458D">
      <w:pPr>
        <w:widowControl w:val="0"/>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Pr>
          <w:rFonts w:ascii="Times New Roman" w:hAnsi="Times New Roman"/>
          <w:bCs/>
          <w:szCs w:val="24"/>
        </w:rPr>
        <w:t>Yes.  T</w:t>
      </w:r>
      <w:r>
        <w:rPr>
          <w:rFonts w:ascii="Times New Roman" w:hAnsi="Times New Roman"/>
          <w:szCs w:val="24"/>
        </w:rPr>
        <w:t xml:space="preserve">he </w:t>
      </w:r>
      <w:r>
        <w:rPr>
          <w:rFonts w:ascii="Times New Roman" w:hAnsi="Times New Roman"/>
          <w:bCs/>
          <w:szCs w:val="24"/>
        </w:rPr>
        <w:t xml:space="preserve">Company has reflected </w:t>
      </w:r>
      <w:r w:rsidR="00B60D17">
        <w:rPr>
          <w:rFonts w:ascii="Times New Roman" w:hAnsi="Times New Roman"/>
          <w:bCs/>
          <w:szCs w:val="24"/>
        </w:rPr>
        <w:t xml:space="preserve">increases to its </w:t>
      </w:r>
      <w:r>
        <w:rPr>
          <w:rFonts w:ascii="Times New Roman" w:hAnsi="Times New Roman"/>
          <w:bCs/>
          <w:szCs w:val="24"/>
        </w:rPr>
        <w:t xml:space="preserve">LIBA </w:t>
      </w:r>
      <w:r w:rsidR="00142451">
        <w:rPr>
          <w:rFonts w:ascii="Times New Roman" w:hAnsi="Times New Roman"/>
          <w:bCs/>
          <w:szCs w:val="24"/>
        </w:rPr>
        <w:t>rate credits</w:t>
      </w:r>
      <w:r>
        <w:rPr>
          <w:rFonts w:ascii="Times New Roman" w:hAnsi="Times New Roman"/>
          <w:bCs/>
          <w:szCs w:val="24"/>
        </w:rPr>
        <w:t xml:space="preserve"> consistent with the five-year </w:t>
      </w:r>
      <w:r w:rsidR="00D67B66">
        <w:rPr>
          <w:rFonts w:ascii="Times New Roman" w:hAnsi="Times New Roman"/>
          <w:bCs/>
          <w:szCs w:val="24"/>
        </w:rPr>
        <w:t xml:space="preserve">LIBA </w:t>
      </w:r>
      <w:r>
        <w:rPr>
          <w:rFonts w:ascii="Times New Roman" w:hAnsi="Times New Roman"/>
          <w:bCs/>
          <w:szCs w:val="24"/>
        </w:rPr>
        <w:t xml:space="preserve">plan approved </w:t>
      </w:r>
      <w:r w:rsidR="00D67B66">
        <w:rPr>
          <w:rFonts w:ascii="Times New Roman" w:hAnsi="Times New Roman"/>
          <w:bCs/>
          <w:szCs w:val="24"/>
        </w:rPr>
        <w:t>in Docket UE</w:t>
      </w:r>
      <w:r w:rsidR="002915FE">
        <w:rPr>
          <w:rFonts w:ascii="Times New Roman" w:hAnsi="Times New Roman"/>
          <w:bCs/>
          <w:szCs w:val="24"/>
        </w:rPr>
        <w:t>-</w:t>
      </w:r>
      <w:r w:rsidR="00D67B66">
        <w:rPr>
          <w:rFonts w:ascii="Times New Roman" w:hAnsi="Times New Roman"/>
          <w:bCs/>
          <w:szCs w:val="24"/>
        </w:rPr>
        <w:t>111190</w:t>
      </w:r>
      <w:r>
        <w:rPr>
          <w:rFonts w:ascii="Times New Roman" w:hAnsi="Times New Roman"/>
          <w:bCs/>
          <w:szCs w:val="24"/>
        </w:rPr>
        <w:t>.</w:t>
      </w:r>
      <w:r w:rsidRPr="00E658F5">
        <w:rPr>
          <w:rStyle w:val="FootnoteReference"/>
          <w:rFonts w:ascii="Times New Roman" w:hAnsi="Times New Roman"/>
          <w:vertAlign w:val="superscript"/>
        </w:rPr>
        <w:footnoteReference w:id="4"/>
      </w:r>
      <w:r>
        <w:rPr>
          <w:rFonts w:ascii="Times New Roman" w:hAnsi="Times New Roman"/>
        </w:rPr>
        <w:t xml:space="preserve"> </w:t>
      </w:r>
      <w:r>
        <w:rPr>
          <w:rFonts w:ascii="Times New Roman" w:hAnsi="Times New Roman"/>
          <w:bCs/>
          <w:szCs w:val="24"/>
        </w:rPr>
        <w:t xml:space="preserve"> The provisions of the five-year </w:t>
      </w:r>
      <w:r w:rsidR="00D67B66">
        <w:rPr>
          <w:rFonts w:ascii="Times New Roman" w:hAnsi="Times New Roman"/>
          <w:bCs/>
          <w:szCs w:val="24"/>
        </w:rPr>
        <w:t xml:space="preserve">LIBA </w:t>
      </w:r>
      <w:r>
        <w:rPr>
          <w:rFonts w:ascii="Times New Roman" w:hAnsi="Times New Roman"/>
          <w:bCs/>
          <w:szCs w:val="24"/>
        </w:rPr>
        <w:t>plan are summarized as follows:</w:t>
      </w:r>
    </w:p>
    <w:p w:rsidR="0077458D" w:rsidRDefault="0077458D" w:rsidP="00D276F6">
      <w:pPr>
        <w:pStyle w:val="BodyTextIndent"/>
        <w:numPr>
          <w:ilvl w:val="0"/>
          <w:numId w:val="32"/>
        </w:numPr>
        <w:spacing w:line="240" w:lineRule="auto"/>
        <w:rPr>
          <w:rFonts w:ascii="Times New Roman" w:hAnsi="Times New Roman"/>
          <w:bCs/>
          <w:szCs w:val="24"/>
        </w:rPr>
      </w:pPr>
      <w:r>
        <w:rPr>
          <w:rFonts w:ascii="Times New Roman" w:hAnsi="Times New Roman"/>
          <w:bCs/>
          <w:szCs w:val="24"/>
        </w:rPr>
        <w:t xml:space="preserve">Beginning in 2012, 10 percent of </w:t>
      </w:r>
      <w:r w:rsidR="00924902">
        <w:rPr>
          <w:rFonts w:ascii="Times New Roman" w:hAnsi="Times New Roman"/>
          <w:bCs/>
          <w:szCs w:val="24"/>
        </w:rPr>
        <w:t xml:space="preserve">LIBA participants </w:t>
      </w:r>
      <w:r>
        <w:rPr>
          <w:rFonts w:ascii="Times New Roman" w:hAnsi="Times New Roman"/>
          <w:bCs/>
          <w:szCs w:val="24"/>
        </w:rPr>
        <w:t xml:space="preserve">will be certified as eligible for a two-year period with the percent certified rising to 25 percent of clients in 2015.  </w:t>
      </w:r>
      <w:r w:rsidR="00BC3FEE">
        <w:rPr>
          <w:rFonts w:ascii="Times New Roman" w:hAnsi="Times New Roman"/>
          <w:bCs/>
          <w:szCs w:val="24"/>
        </w:rPr>
        <w:t>For the 2015-2016 and 2016-2017 program years (November–April), there will be 4,720 participants certified; 1,181 of which will be certified for two years.</w:t>
      </w:r>
      <w:r w:rsidRPr="005754C4">
        <w:rPr>
          <w:rStyle w:val="FootnoteReference"/>
          <w:rFonts w:ascii="Times New Roman" w:hAnsi="Times New Roman"/>
          <w:bCs/>
          <w:szCs w:val="24"/>
          <w:vertAlign w:val="superscript"/>
        </w:rPr>
        <w:footnoteReference w:id="5"/>
      </w:r>
    </w:p>
    <w:p w:rsidR="00D276F6" w:rsidRDefault="00D276F6" w:rsidP="00D276F6">
      <w:pPr>
        <w:pStyle w:val="BodyTextIndent"/>
        <w:suppressLineNumbers/>
        <w:spacing w:line="240" w:lineRule="auto"/>
        <w:ind w:left="1440" w:firstLine="0"/>
        <w:rPr>
          <w:rFonts w:ascii="Times New Roman" w:hAnsi="Times New Roman"/>
          <w:bCs/>
          <w:szCs w:val="24"/>
        </w:rPr>
      </w:pPr>
    </w:p>
    <w:p w:rsidR="0077458D" w:rsidRDefault="0077458D" w:rsidP="00D276F6">
      <w:pPr>
        <w:pStyle w:val="BodyTextIndent"/>
        <w:numPr>
          <w:ilvl w:val="0"/>
          <w:numId w:val="32"/>
        </w:numPr>
        <w:spacing w:line="240" w:lineRule="auto"/>
        <w:rPr>
          <w:rFonts w:ascii="Times New Roman" w:hAnsi="Times New Roman"/>
          <w:bCs/>
          <w:szCs w:val="24"/>
        </w:rPr>
      </w:pPr>
      <w:r>
        <w:rPr>
          <w:rFonts w:ascii="Times New Roman" w:hAnsi="Times New Roman"/>
          <w:bCs/>
          <w:szCs w:val="24"/>
        </w:rPr>
        <w:t xml:space="preserve">Agency funding will increase each May 1 by $2.50 through 2016 to $75.00 per certification.  </w:t>
      </w:r>
      <w:r w:rsidR="00B60D17">
        <w:rPr>
          <w:rFonts w:ascii="Times New Roman" w:hAnsi="Times New Roman"/>
          <w:bCs/>
          <w:szCs w:val="24"/>
        </w:rPr>
        <w:t>F</w:t>
      </w:r>
      <w:r w:rsidRPr="004C6919">
        <w:rPr>
          <w:rFonts w:ascii="Times New Roman" w:hAnsi="Times New Roman"/>
          <w:bCs/>
          <w:szCs w:val="24"/>
        </w:rPr>
        <w:t>or the 201</w:t>
      </w:r>
      <w:r w:rsidR="00B35116">
        <w:rPr>
          <w:rFonts w:ascii="Times New Roman" w:hAnsi="Times New Roman"/>
          <w:bCs/>
          <w:szCs w:val="24"/>
        </w:rPr>
        <w:t>6</w:t>
      </w:r>
      <w:r w:rsidRPr="004C6919">
        <w:rPr>
          <w:rFonts w:ascii="Times New Roman" w:hAnsi="Times New Roman"/>
          <w:bCs/>
          <w:szCs w:val="24"/>
        </w:rPr>
        <w:t>-201</w:t>
      </w:r>
      <w:r w:rsidR="00B35116">
        <w:rPr>
          <w:rFonts w:ascii="Times New Roman" w:hAnsi="Times New Roman"/>
          <w:bCs/>
          <w:szCs w:val="24"/>
        </w:rPr>
        <w:t>7</w:t>
      </w:r>
      <w:r w:rsidRPr="004C6919">
        <w:rPr>
          <w:rFonts w:ascii="Times New Roman" w:hAnsi="Times New Roman"/>
          <w:bCs/>
          <w:szCs w:val="24"/>
        </w:rPr>
        <w:t xml:space="preserve"> program year, funding will be $7</w:t>
      </w:r>
      <w:r w:rsidR="00B35116">
        <w:rPr>
          <w:rFonts w:ascii="Times New Roman" w:hAnsi="Times New Roman"/>
          <w:bCs/>
          <w:szCs w:val="24"/>
        </w:rPr>
        <w:t>5</w:t>
      </w:r>
      <w:r w:rsidRPr="004C6919">
        <w:rPr>
          <w:rFonts w:ascii="Times New Roman" w:hAnsi="Times New Roman"/>
          <w:bCs/>
          <w:szCs w:val="24"/>
        </w:rPr>
        <w:t>.</w:t>
      </w:r>
      <w:r w:rsidR="00B35116">
        <w:rPr>
          <w:rFonts w:ascii="Times New Roman" w:hAnsi="Times New Roman"/>
          <w:bCs/>
          <w:szCs w:val="24"/>
        </w:rPr>
        <w:t>0</w:t>
      </w:r>
      <w:r w:rsidRPr="004C6919">
        <w:rPr>
          <w:rFonts w:ascii="Times New Roman" w:hAnsi="Times New Roman"/>
          <w:bCs/>
          <w:szCs w:val="24"/>
        </w:rPr>
        <w:t>0 per certification with a maximum of 4</w:t>
      </w:r>
      <w:r w:rsidR="00523CF2">
        <w:rPr>
          <w:rFonts w:ascii="Times New Roman" w:hAnsi="Times New Roman"/>
          <w:bCs/>
          <w:szCs w:val="24"/>
        </w:rPr>
        <w:t>,</w:t>
      </w:r>
      <w:r w:rsidRPr="004C6919">
        <w:rPr>
          <w:rFonts w:ascii="Times New Roman" w:hAnsi="Times New Roman"/>
          <w:bCs/>
          <w:szCs w:val="24"/>
        </w:rPr>
        <w:t>720 certifications per year</w:t>
      </w:r>
      <w:r>
        <w:rPr>
          <w:rFonts w:ascii="Times New Roman" w:hAnsi="Times New Roman"/>
          <w:bCs/>
          <w:szCs w:val="24"/>
        </w:rPr>
        <w:t>.</w:t>
      </w:r>
      <w:r w:rsidRPr="005754C4">
        <w:rPr>
          <w:rStyle w:val="FootnoteReference"/>
          <w:rFonts w:ascii="Times New Roman" w:hAnsi="Times New Roman"/>
          <w:bCs/>
          <w:szCs w:val="24"/>
          <w:vertAlign w:val="superscript"/>
        </w:rPr>
        <w:footnoteReference w:id="6"/>
      </w:r>
    </w:p>
    <w:p w:rsidR="00D276F6" w:rsidRDefault="00D276F6" w:rsidP="00D276F6">
      <w:pPr>
        <w:pStyle w:val="BodyTextIndent"/>
        <w:suppressLineNumbers/>
        <w:spacing w:line="240" w:lineRule="auto"/>
        <w:ind w:left="1440" w:firstLine="0"/>
        <w:rPr>
          <w:rFonts w:ascii="Times New Roman" w:hAnsi="Times New Roman"/>
          <w:bCs/>
          <w:szCs w:val="24"/>
        </w:rPr>
      </w:pPr>
    </w:p>
    <w:p w:rsidR="0077458D" w:rsidRDefault="0077458D" w:rsidP="00D276F6">
      <w:pPr>
        <w:pStyle w:val="BodyTextIndent"/>
        <w:numPr>
          <w:ilvl w:val="0"/>
          <w:numId w:val="32"/>
        </w:numPr>
        <w:spacing w:line="240" w:lineRule="auto"/>
        <w:rPr>
          <w:rFonts w:ascii="Times New Roman" w:hAnsi="Times New Roman"/>
          <w:bCs/>
          <w:szCs w:val="24"/>
        </w:rPr>
      </w:pPr>
      <w:r w:rsidRPr="006068DC">
        <w:rPr>
          <w:rFonts w:ascii="Times New Roman" w:hAnsi="Times New Roman"/>
          <w:bCs/>
          <w:szCs w:val="24"/>
        </w:rPr>
        <w:t xml:space="preserve">Benefits to each participating customer will be increased two times the percentage increase of any future residential general rate increase between 2013 and 2016.  </w:t>
      </w:r>
    </w:p>
    <w:p w:rsidR="00D276F6" w:rsidRDefault="00D276F6" w:rsidP="00D276F6">
      <w:pPr>
        <w:pStyle w:val="BodyTextIndent"/>
        <w:suppressLineNumbers/>
        <w:spacing w:line="240" w:lineRule="auto"/>
        <w:ind w:left="1440" w:firstLine="0"/>
        <w:rPr>
          <w:rFonts w:ascii="Times New Roman" w:hAnsi="Times New Roman"/>
          <w:bCs/>
          <w:szCs w:val="24"/>
        </w:rPr>
      </w:pPr>
    </w:p>
    <w:p w:rsidR="0077458D" w:rsidRDefault="0077458D" w:rsidP="00D276F6">
      <w:pPr>
        <w:pStyle w:val="BodyTextIndent"/>
        <w:numPr>
          <w:ilvl w:val="0"/>
          <w:numId w:val="32"/>
        </w:numPr>
        <w:spacing w:line="240" w:lineRule="auto"/>
        <w:rPr>
          <w:rFonts w:ascii="Times New Roman" w:hAnsi="Times New Roman"/>
          <w:bCs/>
          <w:szCs w:val="24"/>
        </w:rPr>
      </w:pPr>
      <w:r w:rsidRPr="006068DC">
        <w:rPr>
          <w:rFonts w:ascii="Times New Roman" w:hAnsi="Times New Roman"/>
          <w:bCs/>
          <w:szCs w:val="24"/>
        </w:rPr>
        <w:t>The Company will file for an increase annually, around May 1, for the Schedule</w:t>
      </w:r>
      <w:r w:rsidR="00523CF2">
        <w:rPr>
          <w:rFonts w:ascii="Times New Roman" w:hAnsi="Times New Roman"/>
          <w:bCs/>
          <w:szCs w:val="24"/>
        </w:rPr>
        <w:t> </w:t>
      </w:r>
      <w:r w:rsidRPr="006068DC">
        <w:rPr>
          <w:rFonts w:ascii="Times New Roman" w:hAnsi="Times New Roman"/>
          <w:bCs/>
          <w:szCs w:val="24"/>
        </w:rPr>
        <w:t>91 surcharge, which funds the LIBA program, to reflect increased funding requirements.  The Schedule 91 surcharge increases will be applied on an equal percentage basis to all rate schedules.</w:t>
      </w:r>
    </w:p>
    <w:p w:rsidR="00D276F6" w:rsidRPr="006068DC" w:rsidRDefault="00D276F6" w:rsidP="00D276F6">
      <w:pPr>
        <w:pStyle w:val="BodyTextIndent"/>
        <w:suppressLineNumbers/>
        <w:spacing w:line="240" w:lineRule="auto"/>
        <w:ind w:left="1440" w:firstLine="0"/>
        <w:rPr>
          <w:rFonts w:ascii="Times New Roman" w:hAnsi="Times New Roman"/>
          <w:bCs/>
          <w:szCs w:val="24"/>
        </w:rPr>
      </w:pPr>
    </w:p>
    <w:p w:rsidR="0077458D" w:rsidRDefault="0077458D" w:rsidP="0077458D">
      <w:pPr>
        <w:keepNext/>
        <w:rPr>
          <w:rFonts w:ascii="Times New Roman" w:hAnsi="Times New Roman"/>
          <w:b/>
          <w:szCs w:val="24"/>
        </w:rPr>
      </w:pPr>
      <w:r w:rsidRPr="005754C4">
        <w:rPr>
          <w:rFonts w:ascii="Times New Roman" w:hAnsi="Times New Roman"/>
          <w:b/>
          <w:szCs w:val="24"/>
        </w:rPr>
        <w:t>Q.</w:t>
      </w:r>
      <w:r w:rsidRPr="005754C4">
        <w:rPr>
          <w:rFonts w:ascii="Times New Roman" w:hAnsi="Times New Roman"/>
          <w:b/>
          <w:szCs w:val="24"/>
        </w:rPr>
        <w:tab/>
      </w:r>
      <w:r>
        <w:rPr>
          <w:rFonts w:ascii="Times New Roman" w:hAnsi="Times New Roman"/>
          <w:b/>
          <w:szCs w:val="24"/>
        </w:rPr>
        <w:t xml:space="preserve">What is the proposed increase in </w:t>
      </w:r>
      <w:r w:rsidR="004176FD">
        <w:rPr>
          <w:rFonts w:ascii="Times New Roman" w:hAnsi="Times New Roman"/>
          <w:b/>
          <w:szCs w:val="24"/>
        </w:rPr>
        <w:t>energy r</w:t>
      </w:r>
      <w:r>
        <w:rPr>
          <w:rFonts w:ascii="Times New Roman" w:hAnsi="Times New Roman"/>
          <w:b/>
          <w:szCs w:val="24"/>
        </w:rPr>
        <w:t xml:space="preserve">ate </w:t>
      </w:r>
      <w:r w:rsidR="004176FD">
        <w:rPr>
          <w:rFonts w:ascii="Times New Roman" w:hAnsi="Times New Roman"/>
          <w:b/>
          <w:szCs w:val="24"/>
        </w:rPr>
        <w:t>c</w:t>
      </w:r>
      <w:r>
        <w:rPr>
          <w:rFonts w:ascii="Times New Roman" w:hAnsi="Times New Roman"/>
          <w:b/>
          <w:szCs w:val="24"/>
        </w:rPr>
        <w:t>redits for LIBA participants in this filing</w:t>
      </w:r>
      <w:r w:rsidRPr="005754C4">
        <w:rPr>
          <w:rFonts w:ascii="Times New Roman" w:hAnsi="Times New Roman"/>
          <w:b/>
          <w:szCs w:val="24"/>
        </w:rPr>
        <w:t>?</w:t>
      </w:r>
    </w:p>
    <w:p w:rsidR="0077458D" w:rsidRDefault="0077458D" w:rsidP="0077458D">
      <w:pPr>
        <w:pStyle w:val="BodyTextIndent"/>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692146">
        <w:rPr>
          <w:rFonts w:ascii="Times New Roman" w:hAnsi="Times New Roman"/>
          <w:bCs/>
          <w:szCs w:val="24"/>
        </w:rPr>
        <w:t>For May 1, 2016, t</w:t>
      </w:r>
      <w:r>
        <w:rPr>
          <w:rFonts w:ascii="Times New Roman" w:hAnsi="Times New Roman"/>
        </w:rPr>
        <w:t xml:space="preserve">he Company has applied an increase to Schedule 17 credits that is two times the average residential customer increase, which </w:t>
      </w:r>
      <w:r w:rsidR="004176FD">
        <w:rPr>
          <w:rFonts w:ascii="Times New Roman" w:hAnsi="Times New Roman"/>
        </w:rPr>
        <w:t xml:space="preserve">results in a </w:t>
      </w:r>
      <w:r w:rsidR="00B35116">
        <w:rPr>
          <w:rFonts w:ascii="Times New Roman" w:hAnsi="Times New Roman"/>
        </w:rPr>
        <w:t>5.98</w:t>
      </w:r>
      <w:r>
        <w:rPr>
          <w:rFonts w:ascii="Times New Roman" w:hAnsi="Times New Roman"/>
        </w:rPr>
        <w:t xml:space="preserve"> percent increase to the average LIBA participant benefit.  The proposed Energy Rate Credits are shown </w:t>
      </w:r>
      <w:r w:rsidRPr="003B51D5">
        <w:rPr>
          <w:rFonts w:ascii="Times New Roman" w:hAnsi="Times New Roman"/>
        </w:rPr>
        <w:t xml:space="preserve">in </w:t>
      </w:r>
      <w:r w:rsidRPr="003B51D5">
        <w:rPr>
          <w:rFonts w:ascii="Times New Roman" w:hAnsi="Times New Roman"/>
          <w:szCs w:val="24"/>
        </w:rPr>
        <w:t>Exhibit No.</w:t>
      </w:r>
      <w:r w:rsidR="00444BD8">
        <w:rPr>
          <w:rFonts w:ascii="Times New Roman" w:hAnsi="Times New Roman"/>
          <w:szCs w:val="24"/>
        </w:rPr>
        <w:t xml:space="preserve"> </w:t>
      </w:r>
      <w:r w:rsidR="002C1F29">
        <w:rPr>
          <w:rFonts w:ascii="Times New Roman" w:hAnsi="Times New Roman"/>
          <w:szCs w:val="24"/>
        </w:rPr>
        <w:t>JRS-</w:t>
      </w:r>
      <w:r w:rsidR="004651B1">
        <w:rPr>
          <w:rFonts w:ascii="Times New Roman" w:hAnsi="Times New Roman"/>
          <w:szCs w:val="24"/>
        </w:rPr>
        <w:t>2</w:t>
      </w:r>
      <w:r w:rsidRPr="003B51D5">
        <w:rPr>
          <w:rFonts w:ascii="Times New Roman" w:hAnsi="Times New Roman"/>
          <w:szCs w:val="24"/>
        </w:rPr>
        <w:t xml:space="preserve">.  </w:t>
      </w:r>
      <w:r w:rsidR="0006168F">
        <w:rPr>
          <w:rFonts w:ascii="Times New Roman" w:hAnsi="Times New Roman"/>
          <w:szCs w:val="24"/>
        </w:rPr>
        <w:t xml:space="preserve">The Company also proposes to apply a 5.98 percent </w:t>
      </w:r>
      <w:r w:rsidR="0006168F">
        <w:rPr>
          <w:rFonts w:ascii="Times New Roman" w:hAnsi="Times New Roman"/>
          <w:szCs w:val="24"/>
        </w:rPr>
        <w:lastRenderedPageBreak/>
        <w:t>increase to the average LIBA participant benefit for the May 1, 2017 increase</w:t>
      </w:r>
      <w:r w:rsidR="004651B1">
        <w:rPr>
          <w:rFonts w:ascii="Times New Roman" w:hAnsi="Times New Roman"/>
          <w:szCs w:val="24"/>
        </w:rPr>
        <w:t>, which</w:t>
      </w:r>
      <w:r w:rsidR="004651B1" w:rsidRPr="004651B1">
        <w:rPr>
          <w:rFonts w:ascii="Times New Roman" w:hAnsi="Times New Roman"/>
        </w:rPr>
        <w:t xml:space="preserve"> </w:t>
      </w:r>
      <w:r w:rsidR="004176FD">
        <w:rPr>
          <w:rFonts w:ascii="Times New Roman" w:hAnsi="Times New Roman"/>
        </w:rPr>
        <w:t>is</w:t>
      </w:r>
      <w:r w:rsidR="004651B1">
        <w:rPr>
          <w:rFonts w:ascii="Times New Roman" w:hAnsi="Times New Roman"/>
        </w:rPr>
        <w:t xml:space="preserve"> shown </w:t>
      </w:r>
      <w:r w:rsidR="004651B1" w:rsidRPr="003B51D5">
        <w:rPr>
          <w:rFonts w:ascii="Times New Roman" w:hAnsi="Times New Roman"/>
        </w:rPr>
        <w:t xml:space="preserve">in </w:t>
      </w:r>
      <w:r w:rsidR="004651B1" w:rsidRPr="003B51D5">
        <w:rPr>
          <w:rFonts w:ascii="Times New Roman" w:hAnsi="Times New Roman"/>
          <w:szCs w:val="24"/>
        </w:rPr>
        <w:t>Exhibit No.</w:t>
      </w:r>
      <w:r w:rsidR="00444BD8">
        <w:rPr>
          <w:rFonts w:ascii="Times New Roman" w:hAnsi="Times New Roman"/>
          <w:szCs w:val="24"/>
        </w:rPr>
        <w:t xml:space="preserve"> </w:t>
      </w:r>
      <w:r w:rsidR="004651B1" w:rsidRPr="001F3CB1">
        <w:rPr>
          <w:rFonts w:ascii="Times New Roman" w:hAnsi="Times New Roman"/>
          <w:szCs w:val="24"/>
        </w:rPr>
        <w:t>JRS-</w:t>
      </w:r>
      <w:r w:rsidR="004651B1">
        <w:rPr>
          <w:rFonts w:ascii="Times New Roman" w:hAnsi="Times New Roman"/>
          <w:szCs w:val="24"/>
        </w:rPr>
        <w:t>3</w:t>
      </w:r>
      <w:r w:rsidR="0006168F">
        <w:rPr>
          <w:rFonts w:ascii="Times New Roman" w:hAnsi="Times New Roman"/>
          <w:szCs w:val="24"/>
        </w:rPr>
        <w:t xml:space="preserve">.  </w:t>
      </w:r>
      <w:r w:rsidR="00924902">
        <w:rPr>
          <w:rFonts w:ascii="Times New Roman" w:hAnsi="Times New Roman"/>
          <w:szCs w:val="24"/>
        </w:rPr>
        <w:t>T</w:t>
      </w:r>
      <w:r w:rsidR="00C9549D">
        <w:rPr>
          <w:rFonts w:ascii="Times New Roman" w:hAnsi="Times New Roman"/>
          <w:szCs w:val="24"/>
        </w:rPr>
        <w:t xml:space="preserve">he Company </w:t>
      </w:r>
      <w:r w:rsidR="0006168F">
        <w:rPr>
          <w:rFonts w:ascii="Times New Roman" w:hAnsi="Times New Roman"/>
          <w:szCs w:val="24"/>
        </w:rPr>
        <w:t xml:space="preserve">will </w:t>
      </w:r>
      <w:r w:rsidR="00C9549D">
        <w:rPr>
          <w:rFonts w:ascii="Times New Roman" w:hAnsi="Times New Roman"/>
          <w:szCs w:val="24"/>
        </w:rPr>
        <w:t xml:space="preserve">convene a stakeholder group to discuss any additional </w:t>
      </w:r>
      <w:r w:rsidR="00924902">
        <w:rPr>
          <w:rFonts w:ascii="Times New Roman" w:hAnsi="Times New Roman"/>
          <w:szCs w:val="24"/>
        </w:rPr>
        <w:t xml:space="preserve">program </w:t>
      </w:r>
      <w:r w:rsidR="00C9549D">
        <w:rPr>
          <w:rFonts w:ascii="Times New Roman" w:hAnsi="Times New Roman"/>
          <w:szCs w:val="24"/>
        </w:rPr>
        <w:t>changes to be effective</w:t>
      </w:r>
      <w:r w:rsidR="004176FD">
        <w:rPr>
          <w:rFonts w:ascii="Times New Roman" w:hAnsi="Times New Roman"/>
          <w:szCs w:val="24"/>
        </w:rPr>
        <w:t xml:space="preserve"> beginning with </w:t>
      </w:r>
      <w:r w:rsidR="00C9549D">
        <w:rPr>
          <w:rFonts w:ascii="Times New Roman" w:hAnsi="Times New Roman"/>
          <w:szCs w:val="24"/>
        </w:rPr>
        <w:t>the 2017</w:t>
      </w:r>
      <w:r w:rsidR="004176FD">
        <w:rPr>
          <w:rFonts w:ascii="Times New Roman" w:hAnsi="Times New Roman"/>
          <w:szCs w:val="24"/>
        </w:rPr>
        <w:t>-2018</w:t>
      </w:r>
      <w:r w:rsidR="00C9549D">
        <w:rPr>
          <w:rFonts w:ascii="Times New Roman" w:hAnsi="Times New Roman"/>
          <w:szCs w:val="24"/>
        </w:rPr>
        <w:t xml:space="preserve"> winter heating season</w:t>
      </w:r>
      <w:r w:rsidR="0066441B">
        <w:rPr>
          <w:rFonts w:ascii="Times New Roman" w:hAnsi="Times New Roman"/>
          <w:szCs w:val="24"/>
        </w:rPr>
        <w:t>,</w:t>
      </w:r>
      <w:r w:rsidR="00924902">
        <w:rPr>
          <w:rFonts w:ascii="Times New Roman" w:hAnsi="Times New Roman"/>
          <w:szCs w:val="24"/>
        </w:rPr>
        <w:t xml:space="preserve"> in conjunction with the </w:t>
      </w:r>
      <w:r w:rsidR="0021687B">
        <w:rPr>
          <w:rFonts w:ascii="Times New Roman" w:hAnsi="Times New Roman"/>
          <w:szCs w:val="24"/>
        </w:rPr>
        <w:t xml:space="preserve">end </w:t>
      </w:r>
      <w:r w:rsidR="00924902">
        <w:rPr>
          <w:rFonts w:ascii="Times New Roman" w:hAnsi="Times New Roman"/>
          <w:szCs w:val="24"/>
        </w:rPr>
        <w:t xml:space="preserve">of the </w:t>
      </w:r>
      <w:r w:rsidR="0021687B">
        <w:rPr>
          <w:rFonts w:ascii="Times New Roman" w:hAnsi="Times New Roman"/>
          <w:szCs w:val="24"/>
        </w:rPr>
        <w:t xml:space="preserve">five-year </w:t>
      </w:r>
      <w:r w:rsidR="00924902">
        <w:rPr>
          <w:rFonts w:ascii="Times New Roman" w:hAnsi="Times New Roman"/>
          <w:szCs w:val="24"/>
        </w:rPr>
        <w:t>plan</w:t>
      </w:r>
      <w:r w:rsidR="00C9549D">
        <w:rPr>
          <w:rFonts w:ascii="Times New Roman" w:hAnsi="Times New Roman"/>
          <w:szCs w:val="24"/>
        </w:rPr>
        <w:t xml:space="preserve">. </w:t>
      </w:r>
    </w:p>
    <w:p w:rsidR="0077458D" w:rsidRDefault="0077458D" w:rsidP="0077458D">
      <w:pPr>
        <w:rPr>
          <w:rFonts w:ascii="Times New Roman" w:hAnsi="Times New Roman"/>
          <w:b/>
        </w:rPr>
      </w:pPr>
      <w:r w:rsidRPr="003B51D5">
        <w:rPr>
          <w:rFonts w:ascii="Times New Roman" w:hAnsi="Times New Roman"/>
          <w:b/>
        </w:rPr>
        <w:t xml:space="preserve">Q.  </w:t>
      </w:r>
      <w:r w:rsidRPr="003B51D5">
        <w:rPr>
          <w:rFonts w:ascii="Times New Roman" w:hAnsi="Times New Roman"/>
          <w:b/>
        </w:rPr>
        <w:tab/>
        <w:t xml:space="preserve">Has the Company </w:t>
      </w:r>
      <w:r>
        <w:rPr>
          <w:rFonts w:ascii="Times New Roman" w:hAnsi="Times New Roman"/>
          <w:b/>
        </w:rPr>
        <w:t>included an increase in this filing to Schedule 91</w:t>
      </w:r>
      <w:r w:rsidRPr="00A40804">
        <w:rPr>
          <w:rFonts w:ascii="Times New Roman" w:hAnsi="Times New Roman"/>
          <w:b/>
        </w:rPr>
        <w:t xml:space="preserve">, </w:t>
      </w:r>
      <w:r w:rsidRPr="005754C4">
        <w:rPr>
          <w:rFonts w:ascii="Times New Roman" w:hAnsi="Times New Roman"/>
          <w:b/>
        </w:rPr>
        <w:t>Low Income Bill Assistance Program surcharge, which funds LIBA</w:t>
      </w:r>
      <w:r w:rsidRPr="00A40804">
        <w:rPr>
          <w:rFonts w:ascii="Times New Roman" w:hAnsi="Times New Roman"/>
          <w:b/>
        </w:rPr>
        <w:t xml:space="preserve">? </w:t>
      </w:r>
    </w:p>
    <w:p w:rsidR="0077458D" w:rsidRDefault="0077458D" w:rsidP="0077458D">
      <w:pPr>
        <w:rPr>
          <w:rFonts w:ascii="Times New Roman" w:hAnsi="Times New Roman"/>
        </w:rPr>
      </w:pPr>
      <w:r w:rsidRPr="005754C4">
        <w:rPr>
          <w:rFonts w:ascii="Times New Roman" w:hAnsi="Times New Roman"/>
        </w:rPr>
        <w:t>A.</w:t>
      </w:r>
      <w:r w:rsidRPr="005754C4">
        <w:rPr>
          <w:rFonts w:ascii="Times New Roman" w:hAnsi="Times New Roman"/>
        </w:rPr>
        <w:tab/>
      </w:r>
      <w:r>
        <w:rPr>
          <w:rFonts w:ascii="Times New Roman" w:hAnsi="Times New Roman"/>
        </w:rPr>
        <w:t xml:space="preserve">No.  </w:t>
      </w:r>
      <w:r w:rsidR="0066441B">
        <w:rPr>
          <w:rFonts w:ascii="Times New Roman" w:hAnsi="Times New Roman"/>
        </w:rPr>
        <w:t xml:space="preserve">Under </w:t>
      </w:r>
      <w:r>
        <w:rPr>
          <w:rFonts w:ascii="Times New Roman" w:hAnsi="Times New Roman"/>
        </w:rPr>
        <w:t xml:space="preserve">the five-year </w:t>
      </w:r>
      <w:r w:rsidR="0066441B">
        <w:rPr>
          <w:rFonts w:ascii="Times New Roman" w:hAnsi="Times New Roman"/>
        </w:rPr>
        <w:t xml:space="preserve">LIBA </w:t>
      </w:r>
      <w:r>
        <w:rPr>
          <w:rFonts w:ascii="Times New Roman" w:hAnsi="Times New Roman"/>
        </w:rPr>
        <w:t>plan, the Company is to file changes to the Schedule</w:t>
      </w:r>
      <w:r w:rsidR="004A5DFA">
        <w:rPr>
          <w:rFonts w:ascii="Times New Roman" w:hAnsi="Times New Roman"/>
        </w:rPr>
        <w:t> </w:t>
      </w:r>
      <w:r>
        <w:rPr>
          <w:rFonts w:ascii="Times New Roman" w:hAnsi="Times New Roman"/>
        </w:rPr>
        <w:t xml:space="preserve">91 monthly surcharge around May 1 each year to reflect the increased funding requirements associated with the five-year </w:t>
      </w:r>
      <w:r w:rsidR="0066441B">
        <w:rPr>
          <w:rFonts w:ascii="Times New Roman" w:hAnsi="Times New Roman"/>
        </w:rPr>
        <w:t xml:space="preserve">LIBA </w:t>
      </w:r>
      <w:r>
        <w:rPr>
          <w:rFonts w:ascii="Times New Roman" w:hAnsi="Times New Roman"/>
        </w:rPr>
        <w:t>plan</w:t>
      </w:r>
      <w:r w:rsidR="0066441B">
        <w:rPr>
          <w:rFonts w:ascii="Times New Roman" w:hAnsi="Times New Roman"/>
        </w:rPr>
        <w:t xml:space="preserve">, </w:t>
      </w:r>
      <w:r>
        <w:rPr>
          <w:rFonts w:ascii="Times New Roman" w:hAnsi="Times New Roman"/>
        </w:rPr>
        <w:t xml:space="preserve">or </w:t>
      </w:r>
      <w:r w:rsidR="0066441B">
        <w:rPr>
          <w:rFonts w:ascii="Times New Roman" w:hAnsi="Times New Roman"/>
        </w:rPr>
        <w:t xml:space="preserve">as part of a </w:t>
      </w:r>
      <w:r>
        <w:rPr>
          <w:rFonts w:ascii="Times New Roman" w:hAnsi="Times New Roman"/>
        </w:rPr>
        <w:t>compliance filing following a general rate case order.  Schedule 91 was included in the compliance filing for the 201</w:t>
      </w:r>
      <w:r w:rsidR="001C60ED">
        <w:rPr>
          <w:rFonts w:ascii="Times New Roman" w:hAnsi="Times New Roman"/>
        </w:rPr>
        <w:t>4</w:t>
      </w:r>
      <w:r>
        <w:rPr>
          <w:rFonts w:ascii="Times New Roman" w:hAnsi="Times New Roman"/>
        </w:rPr>
        <w:t xml:space="preserve"> Rate Case to reflect the increased customer benefits approved in that case.  Following a final order in this </w:t>
      </w:r>
      <w:r w:rsidR="00D317A6">
        <w:rPr>
          <w:rFonts w:ascii="Times New Roman" w:hAnsi="Times New Roman"/>
        </w:rPr>
        <w:t>filing</w:t>
      </w:r>
      <w:r>
        <w:rPr>
          <w:rFonts w:ascii="Times New Roman" w:hAnsi="Times New Roman"/>
        </w:rPr>
        <w:t xml:space="preserve">, the Company proposes to again file changes to Schedule 91 as part of the compliance filing to recover the increase in the participant benefits and any other necessary changes.  </w:t>
      </w:r>
    </w:p>
    <w:p w:rsidR="00856A87" w:rsidRPr="002C1F29" w:rsidRDefault="00856A87" w:rsidP="002C1F29">
      <w:pPr>
        <w:pStyle w:val="Heading1"/>
      </w:pPr>
      <w:bookmarkStart w:id="6" w:name="_Toc435729880"/>
      <w:r w:rsidRPr="002C1F29">
        <w:t>DECOUPLING MECHANISM</w:t>
      </w:r>
      <w:bookmarkEnd w:id="6"/>
    </w:p>
    <w:p w:rsidR="00A13413" w:rsidRDefault="00A13413" w:rsidP="00A13413">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Why is the Company proposing a decoupling mechanism in this rate case?</w:t>
      </w:r>
    </w:p>
    <w:p w:rsidR="00A13413" w:rsidRDefault="00A13413" w:rsidP="00A13413">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r>
      <w:r w:rsidR="004F35A8">
        <w:rPr>
          <w:rFonts w:ascii="Times New Roman" w:hAnsi="Times New Roman"/>
          <w:szCs w:val="24"/>
        </w:rPr>
        <w:t>I</w:t>
      </w:r>
      <w:r>
        <w:rPr>
          <w:rFonts w:ascii="Times New Roman" w:hAnsi="Times New Roman"/>
          <w:szCs w:val="24"/>
        </w:rPr>
        <w:t xml:space="preserve">n </w:t>
      </w:r>
      <w:r w:rsidR="0066441B">
        <w:rPr>
          <w:rFonts w:ascii="Times New Roman" w:hAnsi="Times New Roman"/>
          <w:szCs w:val="24"/>
        </w:rPr>
        <w:t>the 2014 Rate Case</w:t>
      </w:r>
      <w:r w:rsidR="004F35A8">
        <w:rPr>
          <w:rFonts w:ascii="Times New Roman" w:hAnsi="Times New Roman"/>
          <w:szCs w:val="24"/>
        </w:rPr>
        <w:t>, the Commission</w:t>
      </w:r>
      <w:r>
        <w:rPr>
          <w:rFonts w:ascii="Times New Roman" w:hAnsi="Times New Roman"/>
          <w:szCs w:val="24"/>
        </w:rPr>
        <w:t xml:space="preserve"> invite</w:t>
      </w:r>
      <w:r w:rsidR="00B00EAF">
        <w:rPr>
          <w:rFonts w:ascii="Times New Roman" w:hAnsi="Times New Roman"/>
          <w:szCs w:val="24"/>
        </w:rPr>
        <w:t>d</w:t>
      </w:r>
      <w:r>
        <w:rPr>
          <w:rFonts w:ascii="Times New Roman" w:hAnsi="Times New Roman"/>
          <w:szCs w:val="24"/>
        </w:rPr>
        <w:t xml:space="preserve"> a proposal from Pacific Power </w:t>
      </w:r>
      <w:r w:rsidR="004F35A8">
        <w:rPr>
          <w:rFonts w:ascii="Times New Roman" w:hAnsi="Times New Roman"/>
          <w:szCs w:val="24"/>
        </w:rPr>
        <w:t>to implement a decoupling mechanism similar to that adopted for PSE and Avista.</w:t>
      </w:r>
      <w:r w:rsidR="00A14F01" w:rsidRPr="002541E9">
        <w:rPr>
          <w:rStyle w:val="FootnoteReference"/>
          <w:rFonts w:ascii="Times New Roman" w:hAnsi="Times New Roman"/>
          <w:bCs/>
          <w:szCs w:val="24"/>
          <w:vertAlign w:val="superscript"/>
        </w:rPr>
        <w:footnoteReference w:id="7"/>
      </w:r>
      <w:r w:rsidR="004F35A8">
        <w:rPr>
          <w:rFonts w:ascii="Times New Roman" w:hAnsi="Times New Roman"/>
          <w:szCs w:val="24"/>
        </w:rPr>
        <w:t xml:space="preserve"> </w:t>
      </w:r>
      <w:r w:rsidR="00E03E9F">
        <w:rPr>
          <w:rFonts w:ascii="Times New Roman" w:hAnsi="Times New Roman"/>
          <w:szCs w:val="24"/>
        </w:rPr>
        <w:t xml:space="preserve">The decoupling mechanism will provide the Company better fixed cost recovery in light of changes in usage due to weather or energy efficiency.  </w:t>
      </w:r>
    </w:p>
    <w:p w:rsidR="00D276F6" w:rsidRDefault="00D276F6" w:rsidP="00D276F6">
      <w:pPr>
        <w:suppressLineNumbers/>
        <w:rPr>
          <w:rFonts w:ascii="Times New Roman" w:hAnsi="Times New Roman"/>
          <w:szCs w:val="24"/>
        </w:rPr>
      </w:pPr>
    </w:p>
    <w:p w:rsidR="00D276F6" w:rsidRDefault="00D276F6" w:rsidP="00D276F6">
      <w:pPr>
        <w:suppressLineNumbers/>
        <w:rPr>
          <w:rFonts w:ascii="Times New Roman" w:hAnsi="Times New Roman"/>
          <w:szCs w:val="24"/>
        </w:rPr>
      </w:pPr>
    </w:p>
    <w:p w:rsidR="00B00EAF" w:rsidRDefault="00163817" w:rsidP="00163817">
      <w:pPr>
        <w:rPr>
          <w:rFonts w:ascii="Times New Roman" w:hAnsi="Times New Roman"/>
          <w:b/>
          <w:szCs w:val="24"/>
        </w:rPr>
      </w:pPr>
      <w:r w:rsidRPr="003B51D5">
        <w:rPr>
          <w:rFonts w:ascii="Times New Roman" w:hAnsi="Times New Roman"/>
          <w:b/>
          <w:szCs w:val="24"/>
        </w:rPr>
        <w:lastRenderedPageBreak/>
        <w:t>Q.</w:t>
      </w:r>
      <w:r w:rsidRPr="003B51D5">
        <w:rPr>
          <w:rFonts w:ascii="Times New Roman" w:hAnsi="Times New Roman"/>
          <w:b/>
          <w:szCs w:val="24"/>
        </w:rPr>
        <w:tab/>
      </w:r>
      <w:r>
        <w:rPr>
          <w:rFonts w:ascii="Times New Roman" w:hAnsi="Times New Roman"/>
          <w:b/>
          <w:szCs w:val="24"/>
        </w:rPr>
        <w:t xml:space="preserve">What </w:t>
      </w:r>
      <w:r w:rsidR="00B00EAF">
        <w:rPr>
          <w:rFonts w:ascii="Times New Roman" w:hAnsi="Times New Roman"/>
          <w:b/>
          <w:szCs w:val="24"/>
        </w:rPr>
        <w:t xml:space="preserve">is </w:t>
      </w:r>
      <w:r>
        <w:rPr>
          <w:rFonts w:ascii="Times New Roman" w:hAnsi="Times New Roman"/>
          <w:b/>
          <w:szCs w:val="24"/>
        </w:rPr>
        <w:t xml:space="preserve">the Commission’s </w:t>
      </w:r>
      <w:r w:rsidR="008D5770">
        <w:rPr>
          <w:rFonts w:ascii="Times New Roman" w:hAnsi="Times New Roman"/>
          <w:b/>
          <w:szCs w:val="24"/>
        </w:rPr>
        <w:t>p</w:t>
      </w:r>
      <w:r>
        <w:rPr>
          <w:rFonts w:ascii="Times New Roman" w:hAnsi="Times New Roman"/>
          <w:b/>
          <w:szCs w:val="24"/>
        </w:rPr>
        <w:t>oli</w:t>
      </w:r>
      <w:r w:rsidR="00B00EAF">
        <w:rPr>
          <w:rFonts w:ascii="Times New Roman" w:hAnsi="Times New Roman"/>
          <w:b/>
          <w:szCs w:val="24"/>
        </w:rPr>
        <w:t>c</w:t>
      </w:r>
      <w:r>
        <w:rPr>
          <w:rFonts w:ascii="Times New Roman" w:hAnsi="Times New Roman"/>
          <w:b/>
          <w:szCs w:val="24"/>
        </w:rPr>
        <w:t xml:space="preserve">y </w:t>
      </w:r>
      <w:r w:rsidR="00B00EAF">
        <w:rPr>
          <w:rFonts w:ascii="Times New Roman" w:hAnsi="Times New Roman"/>
          <w:b/>
          <w:szCs w:val="24"/>
        </w:rPr>
        <w:t xml:space="preserve">concerning a </w:t>
      </w:r>
      <w:r>
        <w:rPr>
          <w:rFonts w:ascii="Times New Roman" w:hAnsi="Times New Roman"/>
          <w:b/>
          <w:szCs w:val="24"/>
        </w:rPr>
        <w:t>decoupling mechanism</w:t>
      </w:r>
      <w:r w:rsidR="00B00EAF">
        <w:rPr>
          <w:rFonts w:ascii="Times New Roman" w:hAnsi="Times New Roman"/>
          <w:b/>
          <w:szCs w:val="24"/>
        </w:rPr>
        <w:t>?</w:t>
      </w:r>
    </w:p>
    <w:p w:rsidR="00163817" w:rsidRDefault="00163817" w:rsidP="00163817">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r>
      <w:r w:rsidR="00B00EAF">
        <w:rPr>
          <w:rFonts w:ascii="Times New Roman" w:hAnsi="Times New Roman"/>
          <w:szCs w:val="24"/>
        </w:rPr>
        <w:t xml:space="preserve">In </w:t>
      </w:r>
      <w:r w:rsidR="00A14F01">
        <w:rPr>
          <w:rFonts w:ascii="Times New Roman" w:hAnsi="Times New Roman"/>
          <w:szCs w:val="24"/>
        </w:rPr>
        <w:t>2010</w:t>
      </w:r>
      <w:r w:rsidR="0059185B">
        <w:rPr>
          <w:rFonts w:ascii="Times New Roman" w:hAnsi="Times New Roman"/>
          <w:szCs w:val="24"/>
        </w:rPr>
        <w:t>,</w:t>
      </w:r>
      <w:r w:rsidR="004F1183">
        <w:rPr>
          <w:rFonts w:ascii="Times New Roman" w:hAnsi="Times New Roman"/>
          <w:szCs w:val="24"/>
        </w:rPr>
        <w:t xml:space="preserve"> the Commission </w:t>
      </w:r>
      <w:r w:rsidR="00E03E9F">
        <w:rPr>
          <w:rFonts w:ascii="Times New Roman" w:hAnsi="Times New Roman"/>
          <w:szCs w:val="24"/>
        </w:rPr>
        <w:t>established</w:t>
      </w:r>
      <w:r w:rsidR="004F1183">
        <w:rPr>
          <w:rFonts w:ascii="Times New Roman" w:hAnsi="Times New Roman"/>
          <w:szCs w:val="24"/>
        </w:rPr>
        <w:t xml:space="preserve"> policy guidance on regulatory mechanisms designed either to remove barriers to utilities acquiring all cost-effective conservation or to encourage utilities to acquire all cost-effective conservation.</w:t>
      </w:r>
      <w:r w:rsidR="003A43B2" w:rsidRPr="002541E9">
        <w:rPr>
          <w:rStyle w:val="FootnoteReference"/>
          <w:rFonts w:ascii="Times New Roman" w:hAnsi="Times New Roman"/>
          <w:bCs/>
          <w:szCs w:val="24"/>
          <w:vertAlign w:val="superscript"/>
        </w:rPr>
        <w:footnoteReference w:id="8"/>
      </w:r>
      <w:r w:rsidR="004F1183">
        <w:rPr>
          <w:rFonts w:ascii="Times New Roman" w:hAnsi="Times New Roman"/>
          <w:szCs w:val="24"/>
        </w:rPr>
        <w:t xml:space="preserve"> </w:t>
      </w:r>
      <w:r w:rsidR="0066441B">
        <w:rPr>
          <w:rFonts w:ascii="Times New Roman" w:hAnsi="Times New Roman"/>
          <w:szCs w:val="24"/>
        </w:rPr>
        <w:t xml:space="preserve"> </w:t>
      </w:r>
      <w:r w:rsidR="004F1183">
        <w:rPr>
          <w:rFonts w:ascii="Times New Roman" w:hAnsi="Times New Roman"/>
          <w:szCs w:val="24"/>
        </w:rPr>
        <w:t>Specifically, the Commission articulated policy regarding three types of regulatory mechanism</w:t>
      </w:r>
      <w:r w:rsidR="00D258F6">
        <w:rPr>
          <w:rFonts w:ascii="Times New Roman" w:hAnsi="Times New Roman"/>
          <w:szCs w:val="24"/>
        </w:rPr>
        <w:t>s</w:t>
      </w:r>
      <w:r w:rsidR="004F1183">
        <w:rPr>
          <w:rFonts w:ascii="Times New Roman" w:hAnsi="Times New Roman"/>
          <w:szCs w:val="24"/>
        </w:rPr>
        <w:t xml:space="preserve">, </w:t>
      </w:r>
      <w:r w:rsidR="00672431">
        <w:rPr>
          <w:rFonts w:ascii="Times New Roman" w:hAnsi="Times New Roman"/>
          <w:szCs w:val="24"/>
        </w:rPr>
        <w:t xml:space="preserve">including </w:t>
      </w:r>
      <w:r w:rsidR="004F1183">
        <w:rPr>
          <w:rFonts w:ascii="Times New Roman" w:hAnsi="Times New Roman"/>
          <w:szCs w:val="24"/>
        </w:rPr>
        <w:t>full decoupling</w:t>
      </w:r>
      <w:r w:rsidR="00672431">
        <w:rPr>
          <w:rFonts w:ascii="Times New Roman" w:hAnsi="Times New Roman"/>
          <w:szCs w:val="24"/>
        </w:rPr>
        <w:t>.</w:t>
      </w:r>
      <w:r w:rsidR="004F1183">
        <w:rPr>
          <w:rFonts w:ascii="Times New Roman" w:hAnsi="Times New Roman"/>
          <w:szCs w:val="24"/>
        </w:rPr>
        <w:t xml:space="preserve"> </w:t>
      </w:r>
      <w:r w:rsidR="00523CF2">
        <w:rPr>
          <w:rFonts w:ascii="Times New Roman" w:hAnsi="Times New Roman"/>
          <w:szCs w:val="24"/>
        </w:rPr>
        <w:t xml:space="preserve"> </w:t>
      </w:r>
      <w:r w:rsidR="00D258F6">
        <w:rPr>
          <w:rFonts w:ascii="Times New Roman" w:hAnsi="Times New Roman"/>
          <w:szCs w:val="24"/>
        </w:rPr>
        <w:t>T</w:t>
      </w:r>
      <w:r>
        <w:rPr>
          <w:rFonts w:ascii="Times New Roman" w:hAnsi="Times New Roman"/>
          <w:szCs w:val="24"/>
        </w:rPr>
        <w:t xml:space="preserve">he Commission expressed support for full decoupling and provided utilities and other parties with guidance on the elements that full decoupling should include. </w:t>
      </w:r>
      <w:r w:rsidR="00523CF2">
        <w:rPr>
          <w:rFonts w:ascii="Times New Roman" w:hAnsi="Times New Roman"/>
          <w:szCs w:val="24"/>
        </w:rPr>
        <w:t xml:space="preserve"> </w:t>
      </w:r>
      <w:r>
        <w:rPr>
          <w:rFonts w:ascii="Times New Roman" w:hAnsi="Times New Roman"/>
          <w:szCs w:val="24"/>
        </w:rPr>
        <w:t xml:space="preserve">Essential to the </w:t>
      </w:r>
      <w:r w:rsidR="0066441B">
        <w:rPr>
          <w:rFonts w:ascii="Times New Roman" w:hAnsi="Times New Roman"/>
          <w:szCs w:val="24"/>
        </w:rPr>
        <w:t>Decoupling P</w:t>
      </w:r>
      <w:r>
        <w:rPr>
          <w:rFonts w:ascii="Times New Roman" w:hAnsi="Times New Roman"/>
          <w:szCs w:val="24"/>
        </w:rPr>
        <w:t xml:space="preserve">olicy </w:t>
      </w:r>
      <w:r w:rsidR="0066441B">
        <w:rPr>
          <w:rFonts w:ascii="Times New Roman" w:hAnsi="Times New Roman"/>
          <w:szCs w:val="24"/>
        </w:rPr>
        <w:t xml:space="preserve">Statement </w:t>
      </w:r>
      <w:r>
        <w:rPr>
          <w:rFonts w:ascii="Times New Roman" w:hAnsi="Times New Roman"/>
          <w:szCs w:val="24"/>
        </w:rPr>
        <w:t>was recognition that the mechanism should aid the company when revenue per customer decreases a</w:t>
      </w:r>
      <w:r w:rsidR="00B00EAF">
        <w:rPr>
          <w:rFonts w:ascii="Times New Roman" w:hAnsi="Times New Roman"/>
          <w:szCs w:val="24"/>
        </w:rPr>
        <w:t>n</w:t>
      </w:r>
      <w:r>
        <w:rPr>
          <w:rFonts w:ascii="Times New Roman" w:hAnsi="Times New Roman"/>
          <w:szCs w:val="24"/>
        </w:rPr>
        <w:t>d the customer when revenue per customer increases. The Commission stated that it believed that “a properly constructed full decoupling mechanism that is intended, between general rate cases</w:t>
      </w:r>
      <w:r w:rsidR="00B00EAF">
        <w:rPr>
          <w:rFonts w:ascii="Times New Roman" w:hAnsi="Times New Roman"/>
          <w:szCs w:val="24"/>
        </w:rPr>
        <w:t>, to balance out both lost and found margin from any source can be a tool that benefits both the company and its ratepayers.”</w:t>
      </w:r>
      <w:r w:rsidR="005905C4" w:rsidRPr="005905C4">
        <w:rPr>
          <w:rStyle w:val="FootnoteReference"/>
          <w:rFonts w:ascii="Times New Roman" w:hAnsi="Times New Roman"/>
          <w:szCs w:val="24"/>
          <w:vertAlign w:val="superscript"/>
        </w:rPr>
        <w:footnoteReference w:id="9"/>
      </w:r>
      <w:r w:rsidR="00B00EAF" w:rsidRPr="005905C4">
        <w:rPr>
          <w:rFonts w:ascii="Times New Roman" w:hAnsi="Times New Roman"/>
          <w:szCs w:val="24"/>
          <w:vertAlign w:val="superscript"/>
        </w:rPr>
        <w:t xml:space="preserve"> </w:t>
      </w:r>
      <w:r w:rsidR="00B00EAF">
        <w:rPr>
          <w:rFonts w:ascii="Times New Roman" w:hAnsi="Times New Roman"/>
          <w:szCs w:val="24"/>
        </w:rPr>
        <w:t xml:space="preserve"> </w:t>
      </w:r>
    </w:p>
    <w:p w:rsidR="00D258F6" w:rsidRDefault="00D258F6" w:rsidP="00D258F6">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6A01F4">
        <w:rPr>
          <w:rFonts w:ascii="Times New Roman" w:hAnsi="Times New Roman"/>
          <w:b/>
          <w:szCs w:val="24"/>
        </w:rPr>
        <w:t xml:space="preserve">Please describe the </w:t>
      </w:r>
      <w:r w:rsidR="00A66769">
        <w:rPr>
          <w:rFonts w:ascii="Times New Roman" w:hAnsi="Times New Roman"/>
          <w:b/>
          <w:szCs w:val="24"/>
        </w:rPr>
        <w:t xml:space="preserve">Company’s proposed </w:t>
      </w:r>
      <w:r>
        <w:rPr>
          <w:rFonts w:ascii="Times New Roman" w:hAnsi="Times New Roman"/>
          <w:b/>
          <w:szCs w:val="24"/>
        </w:rPr>
        <w:t>decoupling mechanism</w:t>
      </w:r>
      <w:r w:rsidR="0066441B">
        <w:rPr>
          <w:rFonts w:ascii="Times New Roman" w:hAnsi="Times New Roman"/>
          <w:b/>
          <w:szCs w:val="24"/>
        </w:rPr>
        <w:t>.</w:t>
      </w:r>
    </w:p>
    <w:p w:rsidR="0036733B" w:rsidRDefault="00D258F6" w:rsidP="00D258F6">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r>
      <w:r w:rsidR="00730DD7">
        <w:rPr>
          <w:rFonts w:ascii="Times New Roman" w:hAnsi="Times New Roman"/>
          <w:szCs w:val="24"/>
        </w:rPr>
        <w:t>The decoupling proposal follow</w:t>
      </w:r>
      <w:r w:rsidR="00C113EB">
        <w:rPr>
          <w:rFonts w:ascii="Times New Roman" w:hAnsi="Times New Roman"/>
          <w:szCs w:val="24"/>
        </w:rPr>
        <w:t>s</w:t>
      </w:r>
      <w:r w:rsidR="00730DD7">
        <w:rPr>
          <w:rFonts w:ascii="Times New Roman" w:hAnsi="Times New Roman"/>
          <w:szCs w:val="24"/>
        </w:rPr>
        <w:t xml:space="preserve"> the Commission’s Decoupling Policy Statement and is modeled </w:t>
      </w:r>
      <w:r w:rsidR="00C113EB">
        <w:rPr>
          <w:rFonts w:ascii="Times New Roman" w:hAnsi="Times New Roman"/>
          <w:szCs w:val="24"/>
        </w:rPr>
        <w:t xml:space="preserve">on decoupling mechanisms the Commission has approved for Avista and PSE. </w:t>
      </w:r>
      <w:r w:rsidR="00523CF2">
        <w:rPr>
          <w:rFonts w:ascii="Times New Roman" w:hAnsi="Times New Roman"/>
          <w:szCs w:val="24"/>
        </w:rPr>
        <w:t xml:space="preserve"> </w:t>
      </w:r>
      <w:r w:rsidR="00C113EB">
        <w:rPr>
          <w:rFonts w:ascii="Times New Roman" w:hAnsi="Times New Roman"/>
          <w:szCs w:val="24"/>
        </w:rPr>
        <w:t>It operates independently of the other proposals in th</w:t>
      </w:r>
      <w:r w:rsidR="00740CC6">
        <w:rPr>
          <w:rFonts w:ascii="Times New Roman" w:hAnsi="Times New Roman"/>
          <w:szCs w:val="24"/>
        </w:rPr>
        <w:t>i</w:t>
      </w:r>
      <w:r w:rsidR="00C113EB">
        <w:rPr>
          <w:rFonts w:ascii="Times New Roman" w:hAnsi="Times New Roman"/>
          <w:szCs w:val="24"/>
        </w:rPr>
        <w:t xml:space="preserve">s case, except the </w:t>
      </w:r>
      <w:r w:rsidR="0036733B">
        <w:rPr>
          <w:rFonts w:ascii="Times New Roman" w:hAnsi="Times New Roman"/>
          <w:szCs w:val="24"/>
        </w:rPr>
        <w:t xml:space="preserve">allowed </w:t>
      </w:r>
      <w:r w:rsidR="00C113EB">
        <w:rPr>
          <w:rFonts w:ascii="Times New Roman" w:hAnsi="Times New Roman"/>
          <w:szCs w:val="24"/>
        </w:rPr>
        <w:t xml:space="preserve">revenues will be updated to reflect the second-year increase. </w:t>
      </w:r>
      <w:r w:rsidR="0066441B">
        <w:rPr>
          <w:rFonts w:ascii="Times New Roman" w:hAnsi="Times New Roman"/>
          <w:szCs w:val="24"/>
        </w:rPr>
        <w:t xml:space="preserve"> </w:t>
      </w:r>
      <w:r w:rsidR="00C113EB">
        <w:rPr>
          <w:rFonts w:ascii="Times New Roman" w:hAnsi="Times New Roman"/>
          <w:szCs w:val="24"/>
        </w:rPr>
        <w:t xml:space="preserve">The proposed mechanism is a revenue-per-customer decoupling mechanism that compares the actual non-weather adjusted revenues to the allowed revenues, with the difference </w:t>
      </w:r>
      <w:r w:rsidR="00C113EB">
        <w:rPr>
          <w:rFonts w:ascii="Times New Roman" w:hAnsi="Times New Roman"/>
          <w:szCs w:val="24"/>
        </w:rPr>
        <w:lastRenderedPageBreak/>
        <w:t xml:space="preserve">deferred later for a surcredit or a surcharge. </w:t>
      </w:r>
      <w:r w:rsidR="0066441B">
        <w:rPr>
          <w:rFonts w:ascii="Times New Roman" w:hAnsi="Times New Roman"/>
          <w:szCs w:val="24"/>
        </w:rPr>
        <w:t xml:space="preserve"> </w:t>
      </w:r>
      <w:r w:rsidR="006A01F4">
        <w:rPr>
          <w:rFonts w:ascii="Times New Roman" w:hAnsi="Times New Roman"/>
          <w:szCs w:val="24"/>
        </w:rPr>
        <w:t xml:space="preserve">The </w:t>
      </w:r>
      <w:r w:rsidR="00C113EB">
        <w:rPr>
          <w:rFonts w:ascii="Times New Roman" w:hAnsi="Times New Roman"/>
          <w:szCs w:val="24"/>
        </w:rPr>
        <w:t xml:space="preserve">mechanism will be applicable </w:t>
      </w:r>
      <w:r w:rsidR="00A66769">
        <w:rPr>
          <w:rFonts w:ascii="Times New Roman" w:hAnsi="Times New Roman"/>
          <w:szCs w:val="24"/>
        </w:rPr>
        <w:t>for residential (Schedule</w:t>
      </w:r>
      <w:r w:rsidR="00672431">
        <w:rPr>
          <w:rFonts w:ascii="Times New Roman" w:hAnsi="Times New Roman"/>
          <w:szCs w:val="24"/>
        </w:rPr>
        <w:t>s</w:t>
      </w:r>
      <w:r w:rsidR="00A66769">
        <w:rPr>
          <w:rFonts w:ascii="Times New Roman" w:hAnsi="Times New Roman"/>
          <w:szCs w:val="24"/>
        </w:rPr>
        <w:t xml:space="preserve"> 16</w:t>
      </w:r>
      <w:r w:rsidR="00C113EB">
        <w:rPr>
          <w:rFonts w:ascii="Times New Roman" w:hAnsi="Times New Roman"/>
          <w:szCs w:val="24"/>
        </w:rPr>
        <w:t>, 17 and 18</w:t>
      </w:r>
      <w:r w:rsidR="00A66769">
        <w:rPr>
          <w:rFonts w:ascii="Times New Roman" w:hAnsi="Times New Roman"/>
          <w:szCs w:val="24"/>
        </w:rPr>
        <w:t xml:space="preserve">), small general service (Schedule 24), large general service (Schedule 36) and irrigation </w:t>
      </w:r>
      <w:r w:rsidR="00C113EB">
        <w:rPr>
          <w:rFonts w:ascii="Times New Roman" w:hAnsi="Times New Roman"/>
          <w:szCs w:val="24"/>
        </w:rPr>
        <w:t xml:space="preserve">(Schedule 40) </w:t>
      </w:r>
      <w:r w:rsidR="00A66769">
        <w:rPr>
          <w:rFonts w:ascii="Times New Roman" w:hAnsi="Times New Roman"/>
          <w:szCs w:val="24"/>
        </w:rPr>
        <w:t xml:space="preserve">customers. </w:t>
      </w:r>
    </w:p>
    <w:p w:rsidR="00A13413" w:rsidRDefault="00731C82" w:rsidP="0036733B">
      <w:pPr>
        <w:ind w:firstLine="720"/>
        <w:rPr>
          <w:rFonts w:ascii="Times New Roman" w:hAnsi="Times New Roman"/>
          <w:szCs w:val="24"/>
        </w:rPr>
      </w:pPr>
      <w:r>
        <w:rPr>
          <w:rFonts w:ascii="Times New Roman" w:hAnsi="Times New Roman"/>
          <w:szCs w:val="24"/>
        </w:rPr>
        <w:t>The historical test period (12-months ended June 30,</w:t>
      </w:r>
      <w:r w:rsidR="00A17F03">
        <w:rPr>
          <w:rFonts w:ascii="Times New Roman" w:hAnsi="Times New Roman"/>
          <w:szCs w:val="24"/>
        </w:rPr>
        <w:t xml:space="preserve"> </w:t>
      </w:r>
      <w:r>
        <w:rPr>
          <w:rFonts w:ascii="Times New Roman" w:hAnsi="Times New Roman"/>
          <w:szCs w:val="24"/>
        </w:rPr>
        <w:t xml:space="preserve">2015) </w:t>
      </w:r>
      <w:r w:rsidR="00736AA4">
        <w:rPr>
          <w:rFonts w:ascii="Times New Roman" w:hAnsi="Times New Roman"/>
          <w:szCs w:val="24"/>
        </w:rPr>
        <w:t>revenues have been adjusted by the requested rate increase effective May 1, 2016</w:t>
      </w:r>
      <w:r w:rsidR="00523CF2">
        <w:rPr>
          <w:rFonts w:ascii="Times New Roman" w:hAnsi="Times New Roman"/>
          <w:szCs w:val="24"/>
        </w:rPr>
        <w:t>,</w:t>
      </w:r>
      <w:r w:rsidR="00736AA4">
        <w:rPr>
          <w:rFonts w:ascii="Times New Roman" w:hAnsi="Times New Roman"/>
          <w:szCs w:val="24"/>
        </w:rPr>
        <w:t xml:space="preserve"> </w:t>
      </w:r>
      <w:r>
        <w:rPr>
          <w:rFonts w:ascii="Times New Roman" w:hAnsi="Times New Roman"/>
          <w:szCs w:val="24"/>
        </w:rPr>
        <w:t xml:space="preserve">to establish the </w:t>
      </w:r>
      <w:r w:rsidR="0036733B">
        <w:rPr>
          <w:rFonts w:ascii="Times New Roman" w:hAnsi="Times New Roman"/>
          <w:szCs w:val="24"/>
        </w:rPr>
        <w:t>allowed</w:t>
      </w:r>
      <w:r>
        <w:rPr>
          <w:rFonts w:ascii="Times New Roman" w:hAnsi="Times New Roman"/>
          <w:szCs w:val="24"/>
        </w:rPr>
        <w:t xml:space="preserve"> decoupled revenue </w:t>
      </w:r>
      <w:r w:rsidR="00A17F03">
        <w:rPr>
          <w:rFonts w:ascii="Times New Roman" w:hAnsi="Times New Roman"/>
          <w:szCs w:val="24"/>
        </w:rPr>
        <w:t xml:space="preserve">rate </w:t>
      </w:r>
      <w:r>
        <w:rPr>
          <w:rFonts w:ascii="Times New Roman" w:hAnsi="Times New Roman"/>
          <w:szCs w:val="24"/>
        </w:rPr>
        <w:t>per customer and the decoupled revenue per kWh</w:t>
      </w:r>
      <w:r w:rsidR="00A17F03">
        <w:rPr>
          <w:rFonts w:ascii="Times New Roman" w:hAnsi="Times New Roman"/>
          <w:szCs w:val="24"/>
        </w:rPr>
        <w:t xml:space="preserve"> for each of the applicable schedules listed above. </w:t>
      </w:r>
      <w:r>
        <w:rPr>
          <w:rFonts w:ascii="Times New Roman" w:hAnsi="Times New Roman"/>
          <w:szCs w:val="24"/>
        </w:rPr>
        <w:t xml:space="preserve"> </w:t>
      </w:r>
      <w:r w:rsidR="00B46812">
        <w:rPr>
          <w:rFonts w:ascii="Times New Roman" w:hAnsi="Times New Roman"/>
          <w:szCs w:val="24"/>
        </w:rPr>
        <w:t xml:space="preserve">The difference between total </w:t>
      </w:r>
      <w:r w:rsidR="0021687B">
        <w:rPr>
          <w:rFonts w:ascii="Times New Roman" w:hAnsi="Times New Roman"/>
          <w:szCs w:val="24"/>
        </w:rPr>
        <w:t xml:space="preserve">allowed </w:t>
      </w:r>
      <w:r w:rsidR="00B46812">
        <w:rPr>
          <w:rFonts w:ascii="Times New Roman" w:hAnsi="Times New Roman"/>
          <w:szCs w:val="24"/>
        </w:rPr>
        <w:t xml:space="preserve">revenues and total actual revenues represents the annual deferral amount. </w:t>
      </w:r>
      <w:r w:rsidR="00523CF2">
        <w:rPr>
          <w:rFonts w:ascii="Times New Roman" w:hAnsi="Times New Roman"/>
          <w:szCs w:val="24"/>
        </w:rPr>
        <w:t xml:space="preserve"> </w:t>
      </w:r>
      <w:r w:rsidR="00F973DB">
        <w:rPr>
          <w:rFonts w:ascii="Times New Roman" w:hAnsi="Times New Roman"/>
          <w:szCs w:val="24"/>
        </w:rPr>
        <w:t>B</w:t>
      </w:r>
      <w:r w:rsidR="008D5770">
        <w:rPr>
          <w:rFonts w:ascii="Times New Roman" w:hAnsi="Times New Roman"/>
          <w:szCs w:val="24"/>
        </w:rPr>
        <w:t xml:space="preserve">eginning with </w:t>
      </w:r>
      <w:r w:rsidR="00025F2F">
        <w:rPr>
          <w:rFonts w:ascii="Times New Roman" w:hAnsi="Times New Roman"/>
          <w:szCs w:val="24"/>
        </w:rPr>
        <w:t xml:space="preserve">rates effective May 1, 2017, the historical test period was </w:t>
      </w:r>
      <w:r w:rsidR="008D5770">
        <w:rPr>
          <w:rFonts w:ascii="Times New Roman" w:hAnsi="Times New Roman"/>
          <w:szCs w:val="24"/>
        </w:rPr>
        <w:t xml:space="preserve">updated </w:t>
      </w:r>
      <w:r w:rsidR="00025F2F">
        <w:rPr>
          <w:rFonts w:ascii="Times New Roman" w:hAnsi="Times New Roman"/>
          <w:szCs w:val="24"/>
        </w:rPr>
        <w:t>to include the effects of the rate increase effective May 1, 2016</w:t>
      </w:r>
      <w:r w:rsidR="00523CF2">
        <w:rPr>
          <w:rFonts w:ascii="Times New Roman" w:hAnsi="Times New Roman"/>
          <w:szCs w:val="24"/>
        </w:rPr>
        <w:t>,</w:t>
      </w:r>
      <w:r w:rsidR="002229DB" w:rsidRPr="002229DB">
        <w:rPr>
          <w:rFonts w:ascii="Times New Roman" w:hAnsi="Times New Roman"/>
          <w:szCs w:val="24"/>
        </w:rPr>
        <w:t xml:space="preserve"> </w:t>
      </w:r>
      <w:r w:rsidR="002229DB">
        <w:rPr>
          <w:rFonts w:ascii="Times New Roman" w:hAnsi="Times New Roman"/>
          <w:szCs w:val="24"/>
        </w:rPr>
        <w:t>and the rate increase effective May 1, 2017</w:t>
      </w:r>
      <w:r w:rsidR="00025F2F">
        <w:rPr>
          <w:rFonts w:ascii="Times New Roman" w:hAnsi="Times New Roman"/>
          <w:szCs w:val="24"/>
        </w:rPr>
        <w:t xml:space="preserve">. </w:t>
      </w:r>
      <w:r w:rsidR="00523CF2">
        <w:rPr>
          <w:rFonts w:ascii="Times New Roman" w:hAnsi="Times New Roman"/>
          <w:szCs w:val="24"/>
        </w:rPr>
        <w:t xml:space="preserve"> </w:t>
      </w:r>
      <w:r w:rsidR="00025F2F">
        <w:rPr>
          <w:rFonts w:ascii="Times New Roman" w:hAnsi="Times New Roman"/>
          <w:szCs w:val="24"/>
        </w:rPr>
        <w:t xml:space="preserve">This updated test period was used to establish the </w:t>
      </w:r>
      <w:r w:rsidR="0021687B">
        <w:rPr>
          <w:rFonts w:ascii="Times New Roman" w:hAnsi="Times New Roman"/>
          <w:szCs w:val="24"/>
        </w:rPr>
        <w:t xml:space="preserve">allowed </w:t>
      </w:r>
      <w:r w:rsidR="00025F2F">
        <w:rPr>
          <w:rFonts w:ascii="Times New Roman" w:hAnsi="Times New Roman"/>
          <w:szCs w:val="24"/>
        </w:rPr>
        <w:t xml:space="preserve">decoupled revenue rate per customer and the </w:t>
      </w:r>
      <w:r w:rsidR="0021687B">
        <w:rPr>
          <w:rFonts w:ascii="Times New Roman" w:hAnsi="Times New Roman"/>
          <w:szCs w:val="24"/>
        </w:rPr>
        <w:t xml:space="preserve">allowed </w:t>
      </w:r>
      <w:r w:rsidR="00025F2F">
        <w:rPr>
          <w:rFonts w:ascii="Times New Roman" w:hAnsi="Times New Roman"/>
          <w:szCs w:val="24"/>
        </w:rPr>
        <w:t xml:space="preserve">decoupled revenue per </w:t>
      </w:r>
      <w:r w:rsidR="006A2881">
        <w:rPr>
          <w:rFonts w:ascii="Times New Roman" w:hAnsi="Times New Roman"/>
          <w:szCs w:val="24"/>
        </w:rPr>
        <w:t>kWh</w:t>
      </w:r>
      <w:r w:rsidR="00025F2F">
        <w:rPr>
          <w:rFonts w:ascii="Times New Roman" w:hAnsi="Times New Roman"/>
          <w:szCs w:val="24"/>
        </w:rPr>
        <w:t xml:space="preserve"> </w:t>
      </w:r>
      <w:r w:rsidR="00DC5A81">
        <w:rPr>
          <w:rFonts w:ascii="Times New Roman" w:hAnsi="Times New Roman"/>
          <w:szCs w:val="24"/>
        </w:rPr>
        <w:t xml:space="preserve">for each applicable rate schedule. </w:t>
      </w:r>
    </w:p>
    <w:p w:rsidR="00840FAC" w:rsidRDefault="00840FAC" w:rsidP="00840FAC">
      <w:pPr>
        <w:rPr>
          <w:rFonts w:ascii="Times" w:eastAsia="Times" w:hAnsi="Times"/>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What costs </w:t>
      </w:r>
      <w:r w:rsidR="00930CE5">
        <w:rPr>
          <w:rFonts w:ascii="Times New Roman" w:hAnsi="Times New Roman"/>
          <w:b/>
          <w:szCs w:val="24"/>
        </w:rPr>
        <w:t>will the Company</w:t>
      </w:r>
      <w:r>
        <w:rPr>
          <w:rFonts w:ascii="Times New Roman" w:hAnsi="Times New Roman"/>
          <w:b/>
          <w:szCs w:val="24"/>
        </w:rPr>
        <w:t xml:space="preserve"> track and recover through the decoupling mechanism?</w:t>
      </w:r>
      <w:r w:rsidRPr="00740CC6">
        <w:rPr>
          <w:rFonts w:ascii="Times" w:eastAsia="Times" w:hAnsi="Times"/>
        </w:rPr>
        <w:t xml:space="preserve">  </w:t>
      </w:r>
    </w:p>
    <w:p w:rsidR="00D276F6" w:rsidRDefault="00840FAC" w:rsidP="00840FAC">
      <w:pPr>
        <w:rPr>
          <w:rFonts w:ascii="Times" w:eastAsia="Times" w:hAnsi="Times"/>
        </w:rPr>
      </w:pPr>
      <w:r w:rsidRPr="0057496A">
        <w:rPr>
          <w:rFonts w:ascii="Times" w:eastAsia="Times" w:hAnsi="Times"/>
        </w:rPr>
        <w:t>A.</w:t>
      </w:r>
      <w:r w:rsidRPr="0057496A">
        <w:rPr>
          <w:rFonts w:ascii="Times" w:eastAsia="Times" w:hAnsi="Times"/>
        </w:rPr>
        <w:tab/>
      </w:r>
      <w:r w:rsidR="0066441B">
        <w:rPr>
          <w:rFonts w:ascii="Times" w:eastAsia="Times" w:hAnsi="Times"/>
        </w:rPr>
        <w:t>Because</w:t>
      </w:r>
      <w:r w:rsidR="00A078DD">
        <w:rPr>
          <w:rFonts w:ascii="Times" w:eastAsia="Times" w:hAnsi="Times"/>
        </w:rPr>
        <w:t xml:space="preserve"> differences between forecast and actual net power costs (NPC) are separately tracked and recovered through the Power Cost Adjustment Mechanism (PCAM), t</w:t>
      </w:r>
      <w:r>
        <w:rPr>
          <w:rFonts w:ascii="Times" w:eastAsia="Times" w:hAnsi="Times"/>
        </w:rPr>
        <w:t xml:space="preserve">he Company is proposing to track and recover </w:t>
      </w:r>
      <w:r w:rsidR="0066441B">
        <w:rPr>
          <w:rFonts w:ascii="Times" w:eastAsia="Times" w:hAnsi="Times"/>
        </w:rPr>
        <w:t>only</w:t>
      </w:r>
      <w:r>
        <w:rPr>
          <w:rFonts w:ascii="Times" w:eastAsia="Times" w:hAnsi="Times"/>
        </w:rPr>
        <w:t xml:space="preserve"> non-</w:t>
      </w:r>
      <w:r w:rsidR="00A078DD">
        <w:rPr>
          <w:rFonts w:ascii="Times" w:eastAsia="Times" w:hAnsi="Times"/>
        </w:rPr>
        <w:t>NPC</w:t>
      </w:r>
      <w:r>
        <w:rPr>
          <w:rFonts w:ascii="Times" w:eastAsia="Times" w:hAnsi="Times"/>
        </w:rPr>
        <w:t xml:space="preserve"> related costs through the decoupling mechanism.  </w:t>
      </w:r>
      <w:r w:rsidRPr="0057496A">
        <w:rPr>
          <w:rFonts w:ascii="Times New Roman" w:hAnsi="Times New Roman"/>
          <w:szCs w:val="24"/>
        </w:rPr>
        <w:t>The Company</w:t>
      </w:r>
      <w:r w:rsidR="00930CE5">
        <w:rPr>
          <w:rFonts w:ascii="Times New Roman" w:hAnsi="Times New Roman"/>
          <w:szCs w:val="24"/>
        </w:rPr>
        <w:t xml:space="preserve"> will exclude</w:t>
      </w:r>
      <w:r w:rsidRPr="0057496A">
        <w:rPr>
          <w:rFonts w:ascii="Times New Roman" w:hAnsi="Times New Roman"/>
          <w:szCs w:val="24"/>
        </w:rPr>
        <w:t xml:space="preserve"> revenues recovered from the basic charge and </w:t>
      </w:r>
      <w:r w:rsidR="00F973DB">
        <w:rPr>
          <w:rFonts w:ascii="Times New Roman" w:hAnsi="Times New Roman"/>
          <w:szCs w:val="24"/>
        </w:rPr>
        <w:t>NPC in rates</w:t>
      </w:r>
      <w:r w:rsidRPr="0057496A">
        <w:rPr>
          <w:rFonts w:ascii="Times New Roman" w:hAnsi="Times New Roman"/>
          <w:szCs w:val="24"/>
        </w:rPr>
        <w:t xml:space="preserve"> </w:t>
      </w:r>
      <w:r w:rsidR="000B414E">
        <w:rPr>
          <w:rFonts w:ascii="Times New Roman" w:hAnsi="Times New Roman"/>
          <w:szCs w:val="24"/>
        </w:rPr>
        <w:t>from the calculations</w:t>
      </w:r>
      <w:r w:rsidRPr="0057496A">
        <w:rPr>
          <w:rFonts w:ascii="Times New Roman" w:hAnsi="Times New Roman"/>
          <w:szCs w:val="24"/>
        </w:rPr>
        <w:t>.  Thus, the mechanism focuses on the fixed costs that the Company recovers through its non-</w:t>
      </w:r>
      <w:r w:rsidR="00A078DD">
        <w:rPr>
          <w:rFonts w:ascii="Times New Roman" w:hAnsi="Times New Roman"/>
          <w:szCs w:val="24"/>
        </w:rPr>
        <w:t>NPC</w:t>
      </w:r>
      <w:r w:rsidRPr="0057496A">
        <w:rPr>
          <w:rFonts w:ascii="Times New Roman" w:hAnsi="Times New Roman"/>
          <w:szCs w:val="24"/>
        </w:rPr>
        <w:t xml:space="preserve"> volumetric charges.  </w:t>
      </w:r>
      <w:r w:rsidRPr="00740CC6">
        <w:rPr>
          <w:rFonts w:ascii="Times" w:eastAsia="Times" w:hAnsi="Times"/>
        </w:rPr>
        <w:t xml:space="preserve">   </w:t>
      </w:r>
    </w:p>
    <w:p w:rsidR="008B5273" w:rsidRDefault="008B5273" w:rsidP="00D276F6">
      <w:pPr>
        <w:widowControl w:val="0"/>
        <w:rPr>
          <w:rFonts w:ascii="Times" w:eastAsia="Times" w:hAnsi="Times"/>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What rate schedules are excluded from the decoupling mechanism?</w:t>
      </w:r>
      <w:r w:rsidRPr="00740CC6">
        <w:rPr>
          <w:rFonts w:ascii="Times" w:eastAsia="Times" w:hAnsi="Times"/>
        </w:rPr>
        <w:t xml:space="preserve">  </w:t>
      </w:r>
    </w:p>
    <w:p w:rsidR="008B5273" w:rsidRDefault="008B5273" w:rsidP="00D276F6">
      <w:pPr>
        <w:widowControl w:val="0"/>
        <w:rPr>
          <w:rFonts w:ascii="Times" w:eastAsia="Times" w:hAnsi="Times"/>
        </w:rPr>
      </w:pPr>
      <w:r w:rsidRPr="0057496A">
        <w:rPr>
          <w:rFonts w:ascii="Times" w:eastAsia="Times" w:hAnsi="Times"/>
        </w:rPr>
        <w:t>A.</w:t>
      </w:r>
      <w:r w:rsidRPr="0057496A">
        <w:rPr>
          <w:rFonts w:ascii="Times" w:eastAsia="Times" w:hAnsi="Times"/>
        </w:rPr>
        <w:tab/>
      </w:r>
      <w:r>
        <w:rPr>
          <w:rFonts w:ascii="Times" w:eastAsia="Times" w:hAnsi="Times"/>
        </w:rPr>
        <w:t xml:space="preserve">The Company is proposing to exclude </w:t>
      </w:r>
      <w:r w:rsidR="007236E2">
        <w:rPr>
          <w:rFonts w:ascii="Times" w:eastAsia="Times" w:hAnsi="Times"/>
        </w:rPr>
        <w:t xml:space="preserve">from the decoupling mechanism </w:t>
      </w:r>
      <w:r>
        <w:rPr>
          <w:rFonts w:ascii="Times" w:eastAsia="Times" w:hAnsi="Times"/>
        </w:rPr>
        <w:t xml:space="preserve">Schedule 48, </w:t>
      </w:r>
      <w:r>
        <w:rPr>
          <w:rFonts w:ascii="Times" w:eastAsia="Times" w:hAnsi="Times"/>
        </w:rPr>
        <w:lastRenderedPageBreak/>
        <w:t>Large General Service</w:t>
      </w:r>
      <w:r w:rsidR="007236E2">
        <w:rPr>
          <w:rFonts w:ascii="Times" w:eastAsia="Times" w:hAnsi="Times"/>
        </w:rPr>
        <w:t xml:space="preserve"> 1,000 kW and Over;</w:t>
      </w:r>
      <w:r>
        <w:rPr>
          <w:rFonts w:ascii="Times" w:eastAsia="Times" w:hAnsi="Times"/>
        </w:rPr>
        <w:t xml:space="preserve"> </w:t>
      </w:r>
      <w:r w:rsidR="007236E2">
        <w:rPr>
          <w:rFonts w:ascii="Times" w:eastAsia="Times" w:hAnsi="Times"/>
        </w:rPr>
        <w:t xml:space="preserve">Schedule 47, Large General Service Partial Requirements Service 1,000 kW and Over; </w:t>
      </w:r>
      <w:r>
        <w:rPr>
          <w:rFonts w:ascii="Times" w:eastAsia="Times" w:hAnsi="Times"/>
        </w:rPr>
        <w:t>and the lighting, Schedule 15, 51, 52, 53, 54, and 57.</w:t>
      </w:r>
      <w:r w:rsidR="00840FAC">
        <w:rPr>
          <w:rFonts w:ascii="Times" w:eastAsia="Times" w:hAnsi="Times"/>
        </w:rPr>
        <w:t xml:space="preserve">  All other rate schedules will be included in the mechanism with differences between allowed and actual recovery tracked separately through the deferral.  </w:t>
      </w:r>
    </w:p>
    <w:p w:rsidR="008B5273" w:rsidRDefault="008B5273" w:rsidP="008B5273">
      <w:pPr>
        <w:rPr>
          <w:rFonts w:ascii="Times" w:eastAsia="Times" w:hAnsi="Times"/>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Why is the Company proposing to exclude </w:t>
      </w:r>
      <w:r w:rsidR="000B414E">
        <w:rPr>
          <w:rFonts w:ascii="Times New Roman" w:hAnsi="Times New Roman"/>
          <w:b/>
          <w:szCs w:val="24"/>
        </w:rPr>
        <w:t>the lighting schedules and Schedule</w:t>
      </w:r>
      <w:r w:rsidR="007236E2">
        <w:rPr>
          <w:rFonts w:ascii="Times New Roman" w:hAnsi="Times New Roman"/>
          <w:b/>
          <w:szCs w:val="24"/>
        </w:rPr>
        <w:t>s 47 and</w:t>
      </w:r>
      <w:r w:rsidR="000B414E">
        <w:rPr>
          <w:rFonts w:ascii="Times New Roman" w:hAnsi="Times New Roman"/>
          <w:b/>
          <w:szCs w:val="24"/>
        </w:rPr>
        <w:t xml:space="preserve"> 48</w:t>
      </w:r>
      <w:r>
        <w:rPr>
          <w:rFonts w:ascii="Times New Roman" w:hAnsi="Times New Roman"/>
          <w:b/>
          <w:szCs w:val="24"/>
        </w:rPr>
        <w:t>?</w:t>
      </w:r>
      <w:r w:rsidRPr="00740CC6">
        <w:rPr>
          <w:rFonts w:ascii="Times" w:eastAsia="Times" w:hAnsi="Times"/>
        </w:rPr>
        <w:t xml:space="preserve">  </w:t>
      </w:r>
    </w:p>
    <w:p w:rsidR="00840FAC" w:rsidRDefault="008B5273" w:rsidP="008B5273">
      <w:pPr>
        <w:rPr>
          <w:rFonts w:ascii="Times" w:eastAsia="Times" w:hAnsi="Times"/>
        </w:rPr>
      </w:pPr>
      <w:r w:rsidRPr="0057496A">
        <w:rPr>
          <w:rFonts w:ascii="Times" w:eastAsia="Times" w:hAnsi="Times"/>
        </w:rPr>
        <w:t>A.</w:t>
      </w:r>
      <w:r w:rsidRPr="0057496A">
        <w:rPr>
          <w:rFonts w:ascii="Times" w:eastAsia="Times" w:hAnsi="Times"/>
        </w:rPr>
        <w:tab/>
      </w:r>
      <w:r w:rsidR="00840D16">
        <w:rPr>
          <w:rFonts w:ascii="Times" w:eastAsia="Times" w:hAnsi="Times"/>
        </w:rPr>
        <w:t>The rate structures for these schedules already provide better fixed cost recovery because the</w:t>
      </w:r>
      <w:r w:rsidR="00B76F5B">
        <w:rPr>
          <w:rFonts w:ascii="Times" w:eastAsia="Times" w:hAnsi="Times"/>
        </w:rPr>
        <w:t>ir</w:t>
      </w:r>
      <w:r w:rsidR="00840D16">
        <w:rPr>
          <w:rFonts w:ascii="Times" w:eastAsia="Times" w:hAnsi="Times"/>
        </w:rPr>
        <w:t xml:space="preserve"> revenues are less </w:t>
      </w:r>
      <w:r w:rsidR="00B76F5B">
        <w:rPr>
          <w:rFonts w:ascii="Times" w:eastAsia="Times" w:hAnsi="Times"/>
        </w:rPr>
        <w:t xml:space="preserve">dependent upon </w:t>
      </w:r>
      <w:r w:rsidR="00840D16">
        <w:rPr>
          <w:rFonts w:ascii="Times" w:eastAsia="Times" w:hAnsi="Times"/>
        </w:rPr>
        <w:t xml:space="preserve">changes in </w:t>
      </w:r>
      <w:r w:rsidR="00B76F5B">
        <w:rPr>
          <w:rFonts w:ascii="Times" w:eastAsia="Times" w:hAnsi="Times"/>
        </w:rPr>
        <w:t xml:space="preserve">energy </w:t>
      </w:r>
      <w:r w:rsidR="00840D16">
        <w:rPr>
          <w:rFonts w:ascii="Times" w:eastAsia="Times" w:hAnsi="Times"/>
        </w:rPr>
        <w:t>volume due to weather or other changes in usage.  For the lighting schedules, the</w:t>
      </w:r>
      <w:r w:rsidR="00B76F5B">
        <w:rPr>
          <w:rFonts w:ascii="Times" w:eastAsia="Times" w:hAnsi="Times"/>
        </w:rPr>
        <w:t>ir</w:t>
      </w:r>
      <w:r w:rsidR="00840D16">
        <w:rPr>
          <w:rFonts w:ascii="Times" w:eastAsia="Times" w:hAnsi="Times"/>
        </w:rPr>
        <w:t xml:space="preserve"> revenues are largely </w:t>
      </w:r>
      <w:r w:rsidR="008F765F">
        <w:rPr>
          <w:rFonts w:ascii="Times" w:eastAsia="Times" w:hAnsi="Times"/>
        </w:rPr>
        <w:t xml:space="preserve">recovered from fixed charges per luminaire.  </w:t>
      </w:r>
      <w:r w:rsidR="00840FAC">
        <w:rPr>
          <w:rFonts w:ascii="Times" w:eastAsia="Times" w:hAnsi="Times"/>
        </w:rPr>
        <w:t>Revenues from lighting sc</w:t>
      </w:r>
      <w:r w:rsidR="000B414E">
        <w:rPr>
          <w:rFonts w:ascii="Times" w:eastAsia="Times" w:hAnsi="Times"/>
        </w:rPr>
        <w:t>hedules that are not recovered through</w:t>
      </w:r>
      <w:r w:rsidR="00840FAC">
        <w:rPr>
          <w:rFonts w:ascii="Times" w:eastAsia="Times" w:hAnsi="Times"/>
        </w:rPr>
        <w:t xml:space="preserve"> fixed charges are not temperature sensitive, </w:t>
      </w:r>
      <w:r w:rsidR="00B76F5B">
        <w:rPr>
          <w:rFonts w:ascii="Times" w:eastAsia="Times" w:hAnsi="Times"/>
        </w:rPr>
        <w:t xml:space="preserve">and </w:t>
      </w:r>
      <w:r w:rsidR="00840FAC">
        <w:rPr>
          <w:rFonts w:ascii="Times" w:eastAsia="Times" w:hAnsi="Times"/>
        </w:rPr>
        <w:t xml:space="preserve">therefore </w:t>
      </w:r>
      <w:r w:rsidR="00B76F5B">
        <w:rPr>
          <w:rFonts w:ascii="Times" w:eastAsia="Times" w:hAnsi="Times"/>
        </w:rPr>
        <w:t xml:space="preserve">their fixed cost recovery is less </w:t>
      </w:r>
      <w:r w:rsidR="00840FAC">
        <w:rPr>
          <w:rFonts w:ascii="Times" w:eastAsia="Times" w:hAnsi="Times"/>
        </w:rPr>
        <w:t>volatil</w:t>
      </w:r>
      <w:r w:rsidR="00B76F5B">
        <w:rPr>
          <w:rFonts w:ascii="Times" w:eastAsia="Times" w:hAnsi="Times"/>
        </w:rPr>
        <w:t>e</w:t>
      </w:r>
      <w:r w:rsidR="00840FAC">
        <w:rPr>
          <w:rFonts w:ascii="Times" w:eastAsia="Times" w:hAnsi="Times"/>
        </w:rPr>
        <w:t xml:space="preserve"> </w:t>
      </w:r>
      <w:r w:rsidR="00B76F5B">
        <w:rPr>
          <w:rFonts w:ascii="Times" w:eastAsia="Times" w:hAnsi="Times"/>
        </w:rPr>
        <w:t>than</w:t>
      </w:r>
      <w:r w:rsidR="00840FAC">
        <w:rPr>
          <w:rFonts w:ascii="Times" w:eastAsia="Times" w:hAnsi="Times"/>
        </w:rPr>
        <w:t xml:space="preserve"> other rate schedules.  </w:t>
      </w:r>
    </w:p>
    <w:p w:rsidR="00102866" w:rsidRDefault="00840FAC" w:rsidP="00840FAC">
      <w:pPr>
        <w:ind w:firstLine="720"/>
        <w:rPr>
          <w:rFonts w:ascii="Times" w:eastAsia="Times" w:hAnsi="Times"/>
        </w:rPr>
      </w:pPr>
      <w:r>
        <w:rPr>
          <w:rFonts w:ascii="Times" w:eastAsia="Times" w:hAnsi="Times"/>
        </w:rPr>
        <w:t xml:space="preserve">For </w:t>
      </w:r>
      <w:r w:rsidR="008F765F">
        <w:rPr>
          <w:rFonts w:ascii="Times" w:eastAsia="Times" w:hAnsi="Times"/>
        </w:rPr>
        <w:t xml:space="preserve">Schedule 48, </w:t>
      </w:r>
      <w:r>
        <w:rPr>
          <w:rFonts w:ascii="Times" w:eastAsia="Times" w:hAnsi="Times"/>
        </w:rPr>
        <w:t>a significant portion of non-</w:t>
      </w:r>
      <w:r w:rsidR="00F973DB">
        <w:rPr>
          <w:rFonts w:ascii="Times" w:eastAsia="Times" w:hAnsi="Times"/>
        </w:rPr>
        <w:t>NPC</w:t>
      </w:r>
      <w:r>
        <w:rPr>
          <w:rFonts w:ascii="Times" w:eastAsia="Times" w:hAnsi="Times"/>
        </w:rPr>
        <w:t xml:space="preserve"> revenue is recovered through demand charges</w:t>
      </w:r>
      <w:r w:rsidR="0033250B">
        <w:rPr>
          <w:rFonts w:ascii="Times" w:eastAsia="Times" w:hAnsi="Times"/>
        </w:rPr>
        <w:t xml:space="preserve"> and </w:t>
      </w:r>
      <w:r w:rsidR="0066441B">
        <w:rPr>
          <w:rFonts w:ascii="Times" w:eastAsia="Times" w:hAnsi="Times"/>
        </w:rPr>
        <w:t>revenues are much</w:t>
      </w:r>
      <w:r w:rsidR="0033250B">
        <w:rPr>
          <w:rFonts w:ascii="Times" w:eastAsia="Times" w:hAnsi="Times"/>
        </w:rPr>
        <w:t xml:space="preserve"> less subject to </w:t>
      </w:r>
      <w:r w:rsidR="005762AC">
        <w:rPr>
          <w:rFonts w:ascii="Times" w:eastAsia="Times" w:hAnsi="Times"/>
        </w:rPr>
        <w:t xml:space="preserve">weather-related </w:t>
      </w:r>
      <w:r w:rsidR="0033250B">
        <w:rPr>
          <w:rFonts w:ascii="Times" w:eastAsia="Times" w:hAnsi="Times"/>
        </w:rPr>
        <w:t>volatility</w:t>
      </w:r>
      <w:r>
        <w:rPr>
          <w:rFonts w:ascii="Times" w:eastAsia="Times" w:hAnsi="Times"/>
        </w:rPr>
        <w:t xml:space="preserve">.  </w:t>
      </w:r>
      <w:r w:rsidR="000B414E">
        <w:rPr>
          <w:rFonts w:ascii="Times" w:eastAsia="Times" w:hAnsi="Times"/>
        </w:rPr>
        <w:t xml:space="preserve">For the most part, the demand charges </w:t>
      </w:r>
      <w:r w:rsidR="00D3563B">
        <w:rPr>
          <w:rFonts w:ascii="Times" w:eastAsia="Times" w:hAnsi="Times"/>
        </w:rPr>
        <w:t xml:space="preserve">are set at a level to adequately recover the demand-related costs from the cost of service study.  </w:t>
      </w:r>
      <w:r>
        <w:rPr>
          <w:rFonts w:ascii="Times" w:eastAsia="Times" w:hAnsi="Times"/>
        </w:rPr>
        <w:t xml:space="preserve">Table </w:t>
      </w:r>
      <w:r w:rsidR="00D3563B">
        <w:rPr>
          <w:rFonts w:ascii="Times" w:eastAsia="Times" w:hAnsi="Times"/>
        </w:rPr>
        <w:t xml:space="preserve">2 below shows the percent of revenue recovered from demand </w:t>
      </w:r>
      <w:r w:rsidR="002229DB">
        <w:rPr>
          <w:rFonts w:ascii="Times" w:eastAsia="Times" w:hAnsi="Times"/>
        </w:rPr>
        <w:t xml:space="preserve">and customer </w:t>
      </w:r>
      <w:r w:rsidR="00D3563B">
        <w:rPr>
          <w:rFonts w:ascii="Times" w:eastAsia="Times" w:hAnsi="Times"/>
        </w:rPr>
        <w:t>charges as a percent of demand-</w:t>
      </w:r>
      <w:r w:rsidR="002229DB">
        <w:rPr>
          <w:rFonts w:ascii="Times" w:eastAsia="Times" w:hAnsi="Times"/>
        </w:rPr>
        <w:t xml:space="preserve"> and customer-</w:t>
      </w:r>
      <w:r w:rsidR="00D3563B">
        <w:rPr>
          <w:rFonts w:ascii="Times" w:eastAsia="Times" w:hAnsi="Times"/>
        </w:rPr>
        <w:t xml:space="preserve">related costs from the cost of service study from the </w:t>
      </w:r>
      <w:r w:rsidR="00F813FB">
        <w:rPr>
          <w:rFonts w:ascii="Times" w:eastAsia="Times" w:hAnsi="Times"/>
        </w:rPr>
        <w:t>2014 Rate Case</w:t>
      </w:r>
      <w:r w:rsidR="00D3563B">
        <w:rPr>
          <w:rFonts w:ascii="Times" w:eastAsia="Times" w:hAnsi="Times"/>
        </w:rPr>
        <w:t>, excluding net power costs</w:t>
      </w:r>
      <w:r w:rsidR="0033250B">
        <w:rPr>
          <w:rFonts w:ascii="Times" w:eastAsia="Times" w:hAnsi="Times"/>
        </w:rPr>
        <w:t>, for the non-residential rate schedules</w:t>
      </w:r>
      <w:r w:rsidR="00D3563B">
        <w:rPr>
          <w:rFonts w:ascii="Times" w:eastAsia="Times" w:hAnsi="Times"/>
        </w:rPr>
        <w:t>.</w:t>
      </w:r>
      <w:r w:rsidR="0033250B">
        <w:rPr>
          <w:rFonts w:ascii="Times" w:eastAsia="Times" w:hAnsi="Times"/>
        </w:rPr>
        <w:t xml:space="preserve">  </w:t>
      </w:r>
    </w:p>
    <w:p w:rsidR="00102866" w:rsidRDefault="00212187" w:rsidP="00DC4B5D">
      <w:pPr>
        <w:suppressLineNumbers/>
        <w:ind w:left="0" w:firstLine="0"/>
        <w:jc w:val="center"/>
        <w:rPr>
          <w:rFonts w:ascii="Times" w:eastAsia="Times" w:hAnsi="Times"/>
        </w:rPr>
      </w:pPr>
      <w:r w:rsidRPr="00212187">
        <w:rPr>
          <w:rFonts w:eastAsia="Times"/>
          <w:noProof/>
        </w:rPr>
        <w:drawing>
          <wp:inline distT="0" distB="0" distL="0" distR="0" wp14:anchorId="7A4B8996" wp14:editId="3EEA2F23">
            <wp:extent cx="5574030" cy="10096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4030" cy="1009650"/>
                    </a:xfrm>
                    <a:prstGeom prst="rect">
                      <a:avLst/>
                    </a:prstGeom>
                    <a:noFill/>
                    <a:ln>
                      <a:noFill/>
                    </a:ln>
                  </pic:spPr>
                </pic:pic>
              </a:graphicData>
            </a:graphic>
          </wp:inline>
        </w:drawing>
      </w:r>
    </w:p>
    <w:p w:rsidR="008B5273" w:rsidRDefault="0033250B" w:rsidP="00DC4B5D">
      <w:pPr>
        <w:ind w:firstLine="0"/>
        <w:rPr>
          <w:rFonts w:ascii="Times" w:eastAsia="Times" w:hAnsi="Times"/>
        </w:rPr>
      </w:pPr>
      <w:r>
        <w:rPr>
          <w:rFonts w:ascii="Times" w:eastAsia="Times" w:hAnsi="Times"/>
        </w:rPr>
        <w:lastRenderedPageBreak/>
        <w:t>This table shows that Schedule 48</w:t>
      </w:r>
      <w:r w:rsidR="0066441B">
        <w:rPr>
          <w:rFonts w:ascii="Times" w:eastAsia="Times" w:hAnsi="Times"/>
        </w:rPr>
        <w:t xml:space="preserve"> rates</w:t>
      </w:r>
      <w:r>
        <w:rPr>
          <w:rFonts w:ascii="Times" w:eastAsia="Times" w:hAnsi="Times"/>
        </w:rPr>
        <w:t xml:space="preserve">, other than rates for Dedicated Facilities, are already adequately tied to cost of service compared to the other non-residential rate schedules.  For Schedule 48 Dedicated Facilities, </w:t>
      </w:r>
      <w:r w:rsidR="00F973DB">
        <w:rPr>
          <w:rFonts w:ascii="Times" w:eastAsia="Times" w:hAnsi="Times"/>
        </w:rPr>
        <w:t xml:space="preserve">as previously discussed, </w:t>
      </w:r>
      <w:r>
        <w:rPr>
          <w:rFonts w:ascii="Times" w:eastAsia="Times" w:hAnsi="Times"/>
        </w:rPr>
        <w:t xml:space="preserve">the Company is proposing to apply a higher percentage increase to the demand charges </w:t>
      </w:r>
      <w:r w:rsidR="00F973DB">
        <w:rPr>
          <w:rFonts w:ascii="Times" w:eastAsia="Times" w:hAnsi="Times"/>
        </w:rPr>
        <w:t>in this filing</w:t>
      </w:r>
      <w:r>
        <w:rPr>
          <w:rFonts w:ascii="Times" w:eastAsia="Times" w:hAnsi="Times"/>
        </w:rPr>
        <w:t>, which will move the recovery of demand</w:t>
      </w:r>
      <w:r w:rsidR="00C75772">
        <w:rPr>
          <w:rFonts w:ascii="Times" w:eastAsia="Times" w:hAnsi="Times"/>
        </w:rPr>
        <w:t xml:space="preserve">/customer charge </w:t>
      </w:r>
      <w:r w:rsidR="0017189A">
        <w:rPr>
          <w:rFonts w:ascii="Times" w:eastAsia="Times" w:hAnsi="Times"/>
        </w:rPr>
        <w:t xml:space="preserve">revenue to </w:t>
      </w:r>
      <w:r w:rsidR="00C75772">
        <w:rPr>
          <w:rFonts w:ascii="Times" w:eastAsia="Times" w:hAnsi="Times"/>
        </w:rPr>
        <w:t>102</w:t>
      </w:r>
      <w:r w:rsidR="0017189A">
        <w:rPr>
          <w:rFonts w:ascii="Times" w:eastAsia="Times" w:hAnsi="Times"/>
        </w:rPr>
        <w:t xml:space="preserve"> percent of demand</w:t>
      </w:r>
      <w:r w:rsidR="00C75772">
        <w:rPr>
          <w:rFonts w:ascii="Times" w:eastAsia="Times" w:hAnsi="Times"/>
        </w:rPr>
        <w:t>/customer</w:t>
      </w:r>
      <w:r w:rsidR="0017189A">
        <w:rPr>
          <w:rFonts w:ascii="Times" w:eastAsia="Times" w:hAnsi="Times"/>
        </w:rPr>
        <w:t xml:space="preserve">-related costs </w:t>
      </w:r>
      <w:r w:rsidR="00F44989">
        <w:rPr>
          <w:rFonts w:ascii="Times" w:eastAsia="Times" w:hAnsi="Times"/>
        </w:rPr>
        <w:t xml:space="preserve">compared to the </w:t>
      </w:r>
      <w:r w:rsidR="0017189A">
        <w:rPr>
          <w:rFonts w:ascii="Times" w:eastAsia="Times" w:hAnsi="Times"/>
        </w:rPr>
        <w:t xml:space="preserve">current </w:t>
      </w:r>
      <w:r w:rsidR="00C75772">
        <w:rPr>
          <w:rFonts w:ascii="Times" w:eastAsia="Times" w:hAnsi="Times"/>
        </w:rPr>
        <w:t>92</w:t>
      </w:r>
      <w:r w:rsidR="0017189A">
        <w:rPr>
          <w:rFonts w:ascii="Times" w:eastAsia="Times" w:hAnsi="Times"/>
        </w:rPr>
        <w:t xml:space="preserve"> percent</w:t>
      </w:r>
      <w:r w:rsidR="00F44989">
        <w:rPr>
          <w:rFonts w:ascii="Times" w:eastAsia="Times" w:hAnsi="Times"/>
        </w:rPr>
        <w:t xml:space="preserve">. </w:t>
      </w:r>
      <w:r w:rsidR="007236E2">
        <w:rPr>
          <w:rFonts w:ascii="Times" w:eastAsia="Times" w:hAnsi="Times"/>
        </w:rPr>
        <w:t xml:space="preserve">  Similarly, Schedule 47 rates are tied to the rates on Schedule 48.</w:t>
      </w:r>
    </w:p>
    <w:p w:rsidR="008B5273" w:rsidRDefault="00102866" w:rsidP="00DC4B5D">
      <w:pPr>
        <w:ind w:firstLine="0"/>
        <w:rPr>
          <w:rFonts w:ascii="Times New Roman" w:hAnsi="Times New Roman"/>
          <w:szCs w:val="24"/>
        </w:rPr>
      </w:pPr>
      <w:r>
        <w:rPr>
          <w:rFonts w:ascii="Times New Roman" w:hAnsi="Times New Roman"/>
          <w:b/>
          <w:szCs w:val="24"/>
        </w:rPr>
        <w:tab/>
      </w:r>
      <w:r w:rsidR="00F44989">
        <w:rPr>
          <w:rFonts w:ascii="Times New Roman" w:hAnsi="Times New Roman"/>
          <w:szCs w:val="24"/>
        </w:rPr>
        <w:t xml:space="preserve">Additionally, Schedule 48 </w:t>
      </w:r>
      <w:r w:rsidR="004C0624">
        <w:rPr>
          <w:rFonts w:ascii="Times New Roman" w:hAnsi="Times New Roman"/>
          <w:szCs w:val="24"/>
        </w:rPr>
        <w:t xml:space="preserve">is </w:t>
      </w:r>
      <w:r w:rsidR="00F44989">
        <w:rPr>
          <w:rFonts w:ascii="Times New Roman" w:hAnsi="Times New Roman"/>
          <w:szCs w:val="24"/>
        </w:rPr>
        <w:t xml:space="preserve">largely comprised of industrial customers whose </w:t>
      </w:r>
      <w:r w:rsidR="004C0624">
        <w:rPr>
          <w:rFonts w:ascii="Times New Roman" w:hAnsi="Times New Roman"/>
          <w:szCs w:val="24"/>
        </w:rPr>
        <w:t xml:space="preserve">usage is </w:t>
      </w:r>
      <w:r w:rsidR="005762AC">
        <w:rPr>
          <w:rFonts w:ascii="Times New Roman" w:hAnsi="Times New Roman"/>
          <w:szCs w:val="24"/>
        </w:rPr>
        <w:t xml:space="preserve">primarily </w:t>
      </w:r>
      <w:r w:rsidR="0066441B">
        <w:rPr>
          <w:rFonts w:ascii="Times New Roman" w:hAnsi="Times New Roman"/>
          <w:szCs w:val="24"/>
        </w:rPr>
        <w:t>driven by</w:t>
      </w:r>
      <w:r w:rsidR="004C0624">
        <w:rPr>
          <w:rFonts w:ascii="Times New Roman" w:hAnsi="Times New Roman"/>
          <w:szCs w:val="24"/>
        </w:rPr>
        <w:t xml:space="preserve"> industrial processes not affected by weather</w:t>
      </w:r>
      <w:r w:rsidR="007458E5">
        <w:rPr>
          <w:rFonts w:ascii="Times New Roman" w:hAnsi="Times New Roman"/>
          <w:szCs w:val="24"/>
        </w:rPr>
        <w:t>.</w:t>
      </w:r>
      <w:r w:rsidR="004C0624">
        <w:rPr>
          <w:rFonts w:ascii="Times New Roman" w:hAnsi="Times New Roman"/>
          <w:szCs w:val="24"/>
        </w:rPr>
        <w:t xml:space="preserve"> </w:t>
      </w:r>
      <w:r w:rsidR="00523CF2">
        <w:rPr>
          <w:rFonts w:ascii="Times New Roman" w:hAnsi="Times New Roman"/>
          <w:szCs w:val="24"/>
        </w:rPr>
        <w:t xml:space="preserve"> </w:t>
      </w:r>
      <w:r w:rsidR="004C0624">
        <w:rPr>
          <w:rFonts w:ascii="Times New Roman" w:hAnsi="Times New Roman"/>
          <w:szCs w:val="24"/>
        </w:rPr>
        <w:t xml:space="preserve">Schedule 48 revenue and fixed cost recovery </w:t>
      </w:r>
      <w:r w:rsidR="00F44989">
        <w:rPr>
          <w:rFonts w:ascii="Times New Roman" w:hAnsi="Times New Roman"/>
          <w:szCs w:val="24"/>
        </w:rPr>
        <w:t xml:space="preserve">is </w:t>
      </w:r>
      <w:r w:rsidR="007458E5">
        <w:rPr>
          <w:rFonts w:ascii="Times New Roman" w:hAnsi="Times New Roman"/>
          <w:szCs w:val="24"/>
        </w:rPr>
        <w:t xml:space="preserve">therefore </w:t>
      </w:r>
      <w:r w:rsidR="00F44989">
        <w:rPr>
          <w:rFonts w:ascii="Times New Roman" w:hAnsi="Times New Roman"/>
          <w:szCs w:val="24"/>
        </w:rPr>
        <w:t xml:space="preserve">significantly less </w:t>
      </w:r>
      <w:r w:rsidR="004C0624">
        <w:rPr>
          <w:rFonts w:ascii="Times New Roman" w:hAnsi="Times New Roman"/>
          <w:szCs w:val="24"/>
        </w:rPr>
        <w:t xml:space="preserve">subject </w:t>
      </w:r>
      <w:r w:rsidR="005762AC">
        <w:rPr>
          <w:rFonts w:ascii="Times New Roman" w:hAnsi="Times New Roman"/>
          <w:szCs w:val="24"/>
        </w:rPr>
        <w:t>to weather</w:t>
      </w:r>
      <w:r w:rsidR="00523CF2">
        <w:rPr>
          <w:rFonts w:ascii="Times New Roman" w:hAnsi="Times New Roman"/>
          <w:szCs w:val="24"/>
        </w:rPr>
        <w:noBreakHyphen/>
      </w:r>
      <w:r w:rsidR="005762AC">
        <w:rPr>
          <w:rFonts w:ascii="Times New Roman" w:hAnsi="Times New Roman"/>
          <w:szCs w:val="24"/>
        </w:rPr>
        <w:t xml:space="preserve">related </w:t>
      </w:r>
      <w:r w:rsidR="004C0624">
        <w:rPr>
          <w:rFonts w:ascii="Times New Roman" w:hAnsi="Times New Roman"/>
          <w:szCs w:val="24"/>
        </w:rPr>
        <w:t xml:space="preserve">volatility </w:t>
      </w:r>
      <w:r w:rsidR="005762AC">
        <w:rPr>
          <w:rFonts w:ascii="Times New Roman" w:hAnsi="Times New Roman"/>
          <w:szCs w:val="24"/>
        </w:rPr>
        <w:t xml:space="preserve">when </w:t>
      </w:r>
      <w:r w:rsidR="004C0624">
        <w:rPr>
          <w:rFonts w:ascii="Times New Roman" w:hAnsi="Times New Roman"/>
          <w:szCs w:val="24"/>
        </w:rPr>
        <w:t>compared to other rate schedules.  Table 3 shows minimal temperature adjustment for Schedule 48 over the last few years compared to the other schedules.</w:t>
      </w:r>
    </w:p>
    <w:p w:rsidR="00B603C0" w:rsidRDefault="00B603C0" w:rsidP="00DC4B5D">
      <w:pPr>
        <w:suppressLineNumbers/>
        <w:jc w:val="center"/>
        <w:rPr>
          <w:rFonts w:ascii="Times New Roman" w:hAnsi="Times New Roman"/>
          <w:b/>
          <w:szCs w:val="24"/>
        </w:rPr>
      </w:pPr>
      <w:r w:rsidRPr="00B603C0">
        <w:rPr>
          <w:noProof/>
        </w:rPr>
        <w:drawing>
          <wp:inline distT="0" distB="0" distL="0" distR="0" wp14:anchorId="0931FC4B" wp14:editId="5DA878C0">
            <wp:extent cx="4953635" cy="1399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635" cy="1399540"/>
                    </a:xfrm>
                    <a:prstGeom prst="rect">
                      <a:avLst/>
                    </a:prstGeom>
                    <a:noFill/>
                    <a:ln>
                      <a:noFill/>
                    </a:ln>
                  </pic:spPr>
                </pic:pic>
              </a:graphicData>
            </a:graphic>
          </wp:inline>
        </w:drawing>
      </w:r>
    </w:p>
    <w:p w:rsidR="00A93F66" w:rsidRDefault="00A93F66" w:rsidP="00D276F6">
      <w:pPr>
        <w:widowControl w:val="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The decoupling mechanisms for both PSE and Avista combine non-residential rate schedules into one or more groups instead of separately tracking and deferring by rate schedule. </w:t>
      </w:r>
      <w:r w:rsidR="00917BBE">
        <w:rPr>
          <w:rFonts w:ascii="Times New Roman" w:hAnsi="Times New Roman"/>
          <w:b/>
          <w:szCs w:val="24"/>
        </w:rPr>
        <w:t xml:space="preserve"> </w:t>
      </w:r>
      <w:r>
        <w:rPr>
          <w:rFonts w:ascii="Times New Roman" w:hAnsi="Times New Roman"/>
          <w:b/>
          <w:szCs w:val="24"/>
        </w:rPr>
        <w:t>Why is the Company proposing to separately track revenues by rate schedule for the non-residential rate Schedules 24, 36, and 40 in its decoupling mechanism?</w:t>
      </w:r>
    </w:p>
    <w:p w:rsidR="00A93F66" w:rsidRDefault="00A93F66" w:rsidP="00D276F6">
      <w:pPr>
        <w:widowControl w:val="0"/>
        <w:rPr>
          <w:rFonts w:ascii="Times New Roman" w:hAnsi="Times New Roman"/>
          <w:b/>
          <w:szCs w:val="24"/>
        </w:rPr>
      </w:pPr>
      <w:r w:rsidRPr="00075340">
        <w:rPr>
          <w:rFonts w:ascii="Times New Roman" w:hAnsi="Times New Roman"/>
          <w:szCs w:val="24"/>
        </w:rPr>
        <w:t>A.</w:t>
      </w:r>
      <w:r>
        <w:rPr>
          <w:rFonts w:ascii="Times New Roman" w:hAnsi="Times New Roman"/>
          <w:szCs w:val="24"/>
        </w:rPr>
        <w:tab/>
      </w:r>
      <w:r>
        <w:rPr>
          <w:rFonts w:ascii="Times" w:eastAsia="Times" w:hAnsi="Times"/>
        </w:rPr>
        <w:t xml:space="preserve">The Company is proposing to separately track and defer revenue differences on these </w:t>
      </w:r>
      <w:r>
        <w:rPr>
          <w:rFonts w:ascii="Times" w:eastAsia="Times" w:hAnsi="Times"/>
        </w:rPr>
        <w:lastRenderedPageBreak/>
        <w:t>schedules to minimize cost</w:t>
      </w:r>
      <w:r w:rsidR="0021687B">
        <w:rPr>
          <w:rFonts w:ascii="Times" w:eastAsia="Times" w:hAnsi="Times"/>
        </w:rPr>
        <w:t xml:space="preserve"> or benefit</w:t>
      </w:r>
      <w:r>
        <w:rPr>
          <w:rFonts w:ascii="Times" w:eastAsia="Times" w:hAnsi="Times"/>
        </w:rPr>
        <w:t xml:space="preserve"> shifting between these classes.  For instance, combining into one decoupling class shifts irrigation Schedule 40 volatility due to weather to Schedules 24 and 36.  Likewise, Schedule 36 may not see any potential benefits from growth if combined with the other schedules.  </w:t>
      </w:r>
      <w:r w:rsidR="009A2F9D">
        <w:rPr>
          <w:rFonts w:ascii="Times" w:eastAsia="Times" w:hAnsi="Times"/>
        </w:rPr>
        <w:t xml:space="preserve">Additionally, as shown in Table 2 above, the current rate structure for Schedule 24 collects a significant amount of revenue from energy charges, which could shift fixed cost </w:t>
      </w:r>
      <w:r w:rsidR="000328E5">
        <w:rPr>
          <w:rFonts w:ascii="Times" w:eastAsia="Times" w:hAnsi="Times"/>
        </w:rPr>
        <w:t xml:space="preserve">recovery </w:t>
      </w:r>
      <w:r w:rsidR="009A2F9D">
        <w:rPr>
          <w:rFonts w:ascii="Times" w:eastAsia="Times" w:hAnsi="Times"/>
        </w:rPr>
        <w:t>to Schedule</w:t>
      </w:r>
      <w:r w:rsidR="0021687B">
        <w:rPr>
          <w:rFonts w:ascii="Times" w:eastAsia="Times" w:hAnsi="Times"/>
        </w:rPr>
        <w:t>s</w:t>
      </w:r>
      <w:r w:rsidR="009A2F9D">
        <w:rPr>
          <w:rFonts w:ascii="Times" w:eastAsia="Times" w:hAnsi="Times"/>
        </w:rPr>
        <w:t xml:space="preserve"> 36</w:t>
      </w:r>
      <w:r w:rsidR="0021687B">
        <w:rPr>
          <w:rFonts w:ascii="Times" w:eastAsia="Times" w:hAnsi="Times"/>
        </w:rPr>
        <w:t xml:space="preserve"> and 40</w:t>
      </w:r>
      <w:r w:rsidR="009A2F9D">
        <w:rPr>
          <w:rFonts w:ascii="Times" w:eastAsia="Times" w:hAnsi="Times"/>
        </w:rPr>
        <w:t xml:space="preserve">.  </w:t>
      </w:r>
      <w:r>
        <w:rPr>
          <w:rFonts w:ascii="Times" w:eastAsia="Times" w:hAnsi="Times"/>
        </w:rPr>
        <w:t xml:space="preserve">Separately tracking </w:t>
      </w:r>
      <w:r w:rsidR="009A2F9D">
        <w:rPr>
          <w:rFonts w:ascii="Times" w:eastAsia="Times" w:hAnsi="Times"/>
        </w:rPr>
        <w:t xml:space="preserve">and recovering deferrals </w:t>
      </w:r>
      <w:r>
        <w:rPr>
          <w:rFonts w:ascii="Times" w:eastAsia="Times" w:hAnsi="Times"/>
        </w:rPr>
        <w:t>by rate schedule will minimize any cost or benefit shifting</w:t>
      </w:r>
      <w:r w:rsidR="009A2F9D">
        <w:rPr>
          <w:rFonts w:ascii="Times" w:eastAsia="Times" w:hAnsi="Times"/>
        </w:rPr>
        <w:t xml:space="preserve"> between rate schedules</w:t>
      </w:r>
      <w:r w:rsidR="000328E5">
        <w:rPr>
          <w:rFonts w:ascii="Times" w:eastAsia="Times" w:hAnsi="Times"/>
        </w:rPr>
        <w:t xml:space="preserve"> and provide for a more equitable outcome</w:t>
      </w:r>
      <w:r w:rsidR="009A2F9D">
        <w:rPr>
          <w:rFonts w:ascii="Times" w:eastAsia="Times" w:hAnsi="Times"/>
        </w:rPr>
        <w:t xml:space="preserve">.  </w:t>
      </w:r>
    </w:p>
    <w:p w:rsidR="00075340" w:rsidRDefault="00075340" w:rsidP="0057496A">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Please describe the </w:t>
      </w:r>
      <w:r w:rsidR="00BC15D4">
        <w:rPr>
          <w:rFonts w:ascii="Times New Roman" w:hAnsi="Times New Roman"/>
          <w:b/>
          <w:szCs w:val="24"/>
        </w:rPr>
        <w:t>c</w:t>
      </w:r>
      <w:r>
        <w:rPr>
          <w:rFonts w:ascii="Times New Roman" w:hAnsi="Times New Roman"/>
          <w:b/>
          <w:szCs w:val="24"/>
        </w:rPr>
        <w:t xml:space="preserve">alculation of the </w:t>
      </w:r>
      <w:r w:rsidR="00CD155A">
        <w:rPr>
          <w:rFonts w:ascii="Times New Roman" w:hAnsi="Times New Roman"/>
          <w:b/>
          <w:szCs w:val="24"/>
        </w:rPr>
        <w:t>M</w:t>
      </w:r>
      <w:r>
        <w:rPr>
          <w:rFonts w:ascii="Times New Roman" w:hAnsi="Times New Roman"/>
          <w:b/>
          <w:szCs w:val="24"/>
        </w:rPr>
        <w:t xml:space="preserve">onthly </w:t>
      </w:r>
      <w:r w:rsidR="00CD155A">
        <w:rPr>
          <w:rFonts w:ascii="Times New Roman" w:hAnsi="Times New Roman"/>
          <w:b/>
          <w:szCs w:val="24"/>
        </w:rPr>
        <w:t>A</w:t>
      </w:r>
      <w:r w:rsidR="00AB6C1B">
        <w:rPr>
          <w:rFonts w:ascii="Times New Roman" w:hAnsi="Times New Roman"/>
          <w:b/>
          <w:szCs w:val="24"/>
        </w:rPr>
        <w:t xml:space="preserve">llowed </w:t>
      </w:r>
      <w:r w:rsidR="00CD155A">
        <w:rPr>
          <w:rFonts w:ascii="Times New Roman" w:hAnsi="Times New Roman"/>
          <w:b/>
          <w:szCs w:val="24"/>
        </w:rPr>
        <w:t>Decoupled R</w:t>
      </w:r>
      <w:r w:rsidR="00AB6C1B">
        <w:rPr>
          <w:rFonts w:ascii="Times New Roman" w:hAnsi="Times New Roman"/>
          <w:b/>
          <w:szCs w:val="24"/>
        </w:rPr>
        <w:t xml:space="preserve">evenue per </w:t>
      </w:r>
      <w:r w:rsidR="00CD155A">
        <w:rPr>
          <w:rFonts w:ascii="Times New Roman" w:hAnsi="Times New Roman"/>
          <w:b/>
          <w:szCs w:val="24"/>
        </w:rPr>
        <w:t>C</w:t>
      </w:r>
      <w:r w:rsidR="00AB6C1B">
        <w:rPr>
          <w:rFonts w:ascii="Times New Roman" w:hAnsi="Times New Roman"/>
          <w:b/>
          <w:szCs w:val="24"/>
        </w:rPr>
        <w:t>ustomer</w:t>
      </w:r>
      <w:r>
        <w:rPr>
          <w:rFonts w:ascii="Times New Roman" w:hAnsi="Times New Roman"/>
          <w:b/>
          <w:szCs w:val="24"/>
        </w:rPr>
        <w:t>.</w:t>
      </w:r>
    </w:p>
    <w:p w:rsidR="00AB6C1B" w:rsidRDefault="00075340" w:rsidP="00075340">
      <w:pPr>
        <w:rPr>
          <w:rFonts w:ascii="Times" w:eastAsia="Times" w:hAnsi="Times"/>
        </w:rPr>
      </w:pPr>
      <w:r w:rsidRPr="00075340">
        <w:rPr>
          <w:rFonts w:ascii="Times New Roman" w:hAnsi="Times New Roman"/>
          <w:szCs w:val="24"/>
        </w:rPr>
        <w:t>A.</w:t>
      </w:r>
      <w:r>
        <w:rPr>
          <w:rFonts w:ascii="Times New Roman" w:hAnsi="Times New Roman"/>
          <w:szCs w:val="24"/>
        </w:rPr>
        <w:tab/>
      </w:r>
      <w:r w:rsidR="00300157">
        <w:rPr>
          <w:rFonts w:ascii="Times" w:eastAsia="Times" w:hAnsi="Times"/>
        </w:rPr>
        <w:t>The monthly allowed revenue per customer is determined as follow</w:t>
      </w:r>
      <w:r w:rsidR="00523CF2">
        <w:rPr>
          <w:rFonts w:ascii="Times" w:eastAsia="Times" w:hAnsi="Times"/>
        </w:rPr>
        <w:t>s</w:t>
      </w:r>
      <w:r w:rsidR="00300157">
        <w:rPr>
          <w:rFonts w:ascii="Times" w:eastAsia="Times" w:hAnsi="Times"/>
        </w:rPr>
        <w:t xml:space="preserve">: </w:t>
      </w:r>
    </w:p>
    <w:p w:rsidR="0013200E" w:rsidRDefault="00AB6C1B" w:rsidP="00AB6C1B">
      <w:pPr>
        <w:ind w:firstLine="0"/>
        <w:rPr>
          <w:rFonts w:ascii="Times" w:eastAsia="Times" w:hAnsi="Times"/>
        </w:rPr>
      </w:pPr>
      <w:r w:rsidRPr="00AB6C1B">
        <w:rPr>
          <w:rFonts w:ascii="Times" w:eastAsia="Times" w:hAnsi="Times"/>
          <w:u w:val="single"/>
        </w:rPr>
        <w:t>Step 1</w:t>
      </w:r>
      <w:r>
        <w:rPr>
          <w:rFonts w:ascii="Times" w:eastAsia="Times" w:hAnsi="Times"/>
        </w:rPr>
        <w:t xml:space="preserve"> – Determine the Total Revenue - </w:t>
      </w:r>
      <w:r w:rsidR="00740CC6" w:rsidRPr="00740CC6">
        <w:rPr>
          <w:rFonts w:ascii="Times" w:eastAsia="Times" w:hAnsi="Times"/>
        </w:rPr>
        <w:t xml:space="preserve">The </w:t>
      </w:r>
      <w:r w:rsidR="00C15FC5">
        <w:rPr>
          <w:rFonts w:ascii="Times" w:eastAsia="Times" w:hAnsi="Times"/>
        </w:rPr>
        <w:t>to</w:t>
      </w:r>
      <w:r>
        <w:rPr>
          <w:rFonts w:ascii="Times" w:eastAsia="Times" w:hAnsi="Times"/>
        </w:rPr>
        <w:t xml:space="preserve">tal </w:t>
      </w:r>
      <w:r w:rsidR="00C15FC5">
        <w:rPr>
          <w:rFonts w:ascii="Times" w:eastAsia="Times" w:hAnsi="Times"/>
        </w:rPr>
        <w:t>r</w:t>
      </w:r>
      <w:r>
        <w:rPr>
          <w:rFonts w:ascii="Times" w:eastAsia="Times" w:hAnsi="Times"/>
        </w:rPr>
        <w:t xml:space="preserve">evenue is equal </w:t>
      </w:r>
      <w:r w:rsidR="0013200E">
        <w:rPr>
          <w:rFonts w:ascii="Times" w:eastAsia="Times" w:hAnsi="Times"/>
        </w:rPr>
        <w:t>to the present revenues for the test period</w:t>
      </w:r>
      <w:r w:rsidR="00CD155A">
        <w:rPr>
          <w:rFonts w:ascii="Times" w:eastAsia="Times" w:hAnsi="Times"/>
        </w:rPr>
        <w:t xml:space="preserve"> used to set rates, which in this case is the</w:t>
      </w:r>
      <w:r w:rsidR="0013200E">
        <w:rPr>
          <w:rFonts w:ascii="Times" w:eastAsia="Times" w:hAnsi="Times"/>
        </w:rPr>
        <w:t xml:space="preserve"> 12-months ending June 30, 2015, for each applicable </w:t>
      </w:r>
      <w:r w:rsidR="00C15FC5">
        <w:rPr>
          <w:rFonts w:ascii="Times" w:eastAsia="Times" w:hAnsi="Times"/>
        </w:rPr>
        <w:t>r</w:t>
      </w:r>
      <w:r w:rsidR="0013200E">
        <w:rPr>
          <w:rFonts w:ascii="Times" w:eastAsia="Times" w:hAnsi="Times"/>
        </w:rPr>
        <w:t xml:space="preserve">ate </w:t>
      </w:r>
      <w:r w:rsidR="00C15FC5">
        <w:rPr>
          <w:rFonts w:ascii="Times" w:eastAsia="Times" w:hAnsi="Times"/>
        </w:rPr>
        <w:t>s</w:t>
      </w:r>
      <w:r w:rsidR="0013200E">
        <w:rPr>
          <w:rFonts w:ascii="Times" w:eastAsia="Times" w:hAnsi="Times"/>
        </w:rPr>
        <w:t xml:space="preserve">chedule. </w:t>
      </w:r>
    </w:p>
    <w:p w:rsidR="00A81938" w:rsidRDefault="0013200E" w:rsidP="00AB6C1B">
      <w:pPr>
        <w:ind w:firstLine="0"/>
        <w:rPr>
          <w:rFonts w:ascii="Times" w:eastAsia="Times" w:hAnsi="Times"/>
        </w:rPr>
      </w:pPr>
      <w:r>
        <w:rPr>
          <w:rFonts w:ascii="Times" w:eastAsia="Times" w:hAnsi="Times"/>
          <w:u w:val="single"/>
        </w:rPr>
        <w:t xml:space="preserve">Step 2 </w:t>
      </w:r>
      <w:r>
        <w:rPr>
          <w:rFonts w:ascii="Times" w:eastAsia="Times" w:hAnsi="Times"/>
        </w:rPr>
        <w:t xml:space="preserve">– Determine </w:t>
      </w:r>
      <w:r w:rsidR="00A81938">
        <w:rPr>
          <w:rFonts w:ascii="Times" w:eastAsia="Times" w:hAnsi="Times"/>
        </w:rPr>
        <w:t xml:space="preserve">Net </w:t>
      </w:r>
      <w:r>
        <w:rPr>
          <w:rFonts w:ascii="Times" w:eastAsia="Times" w:hAnsi="Times"/>
        </w:rPr>
        <w:t xml:space="preserve">Power </w:t>
      </w:r>
      <w:r w:rsidR="00A81938">
        <w:rPr>
          <w:rFonts w:ascii="Times" w:eastAsia="Times" w:hAnsi="Times"/>
        </w:rPr>
        <w:t xml:space="preserve">Cost </w:t>
      </w:r>
      <w:r>
        <w:rPr>
          <w:rFonts w:ascii="Times" w:eastAsia="Times" w:hAnsi="Times"/>
        </w:rPr>
        <w:t>Revenue</w:t>
      </w:r>
      <w:r w:rsidR="009A2F9D">
        <w:rPr>
          <w:rFonts w:ascii="Times" w:eastAsia="Times" w:hAnsi="Times"/>
        </w:rPr>
        <w:t xml:space="preserve"> in </w:t>
      </w:r>
      <w:r w:rsidR="00CD155A">
        <w:rPr>
          <w:rFonts w:ascii="Times" w:eastAsia="Times" w:hAnsi="Times"/>
        </w:rPr>
        <w:t>r</w:t>
      </w:r>
      <w:r w:rsidR="009A2F9D">
        <w:rPr>
          <w:rFonts w:ascii="Times" w:eastAsia="Times" w:hAnsi="Times"/>
        </w:rPr>
        <w:t>ates</w:t>
      </w:r>
      <w:r>
        <w:rPr>
          <w:rFonts w:ascii="Times" w:eastAsia="Times" w:hAnsi="Times"/>
        </w:rPr>
        <w:t xml:space="preserve"> </w:t>
      </w:r>
      <w:r w:rsidR="00A81938">
        <w:rPr>
          <w:rFonts w:ascii="Times" w:eastAsia="Times" w:hAnsi="Times"/>
        </w:rPr>
        <w:t>–</w:t>
      </w:r>
      <w:r>
        <w:rPr>
          <w:rFonts w:ascii="Times" w:eastAsia="Times" w:hAnsi="Times"/>
        </w:rPr>
        <w:t xml:space="preserve"> </w:t>
      </w:r>
      <w:r w:rsidR="009A2F9D">
        <w:rPr>
          <w:rFonts w:ascii="Times" w:eastAsia="Times" w:hAnsi="Times"/>
        </w:rPr>
        <w:t>Table 4 below shows the calculation of the t</w:t>
      </w:r>
      <w:r w:rsidR="00A81938">
        <w:rPr>
          <w:rFonts w:ascii="Times" w:eastAsia="Times" w:hAnsi="Times"/>
        </w:rPr>
        <w:t xml:space="preserve">otal </w:t>
      </w:r>
      <w:r w:rsidR="00A078DD">
        <w:rPr>
          <w:rFonts w:ascii="Times" w:eastAsia="Times" w:hAnsi="Times"/>
        </w:rPr>
        <w:t>NPC</w:t>
      </w:r>
      <w:r w:rsidR="00A81938">
        <w:rPr>
          <w:rFonts w:ascii="Times" w:eastAsia="Times" w:hAnsi="Times"/>
        </w:rPr>
        <w:t xml:space="preserve"> </w:t>
      </w:r>
      <w:r w:rsidR="009A2F9D">
        <w:rPr>
          <w:rFonts w:ascii="Times" w:eastAsia="Times" w:hAnsi="Times"/>
        </w:rPr>
        <w:t>r</w:t>
      </w:r>
      <w:r w:rsidR="00A81938">
        <w:rPr>
          <w:rFonts w:ascii="Times" w:eastAsia="Times" w:hAnsi="Times"/>
        </w:rPr>
        <w:t xml:space="preserve">evenue </w:t>
      </w:r>
      <w:r w:rsidR="009A2F9D">
        <w:rPr>
          <w:rFonts w:ascii="Times" w:eastAsia="Times" w:hAnsi="Times"/>
        </w:rPr>
        <w:t>in rates</w:t>
      </w:r>
      <w:r w:rsidR="00A078DD">
        <w:rPr>
          <w:rFonts w:ascii="Times" w:eastAsia="Times" w:hAnsi="Times"/>
        </w:rPr>
        <w:t xml:space="preserve">, </w:t>
      </w:r>
      <w:r w:rsidR="00A81938">
        <w:rPr>
          <w:rFonts w:ascii="Times" w:eastAsia="Times" w:hAnsi="Times"/>
        </w:rPr>
        <w:t xml:space="preserve">as approved in </w:t>
      </w:r>
      <w:r w:rsidR="00523CF2">
        <w:rPr>
          <w:rFonts w:ascii="Times" w:eastAsia="Times" w:hAnsi="Times"/>
        </w:rPr>
        <w:t>the 2014 Rate Case</w:t>
      </w:r>
      <w:r w:rsidR="00A078DD">
        <w:rPr>
          <w:rFonts w:ascii="Times" w:eastAsia="Times" w:hAnsi="Times"/>
        </w:rPr>
        <w:t xml:space="preserve">.  The amount set in rates in </w:t>
      </w:r>
      <w:r w:rsidR="00A234B3">
        <w:rPr>
          <w:rFonts w:ascii="Times" w:eastAsia="Times" w:hAnsi="Times"/>
        </w:rPr>
        <w:t>the 2014 Rate Case</w:t>
      </w:r>
      <w:r w:rsidR="00A078DD">
        <w:rPr>
          <w:rFonts w:ascii="Times" w:eastAsia="Times" w:hAnsi="Times"/>
        </w:rPr>
        <w:t xml:space="preserve">, which is tracked through the PCAM, is </w:t>
      </w:r>
      <w:r w:rsidR="00A81938">
        <w:rPr>
          <w:rFonts w:ascii="Times" w:eastAsia="Times" w:hAnsi="Times"/>
        </w:rPr>
        <w:t xml:space="preserve">divided by the kWh sales from </w:t>
      </w:r>
      <w:r w:rsidR="00A234B3">
        <w:rPr>
          <w:rFonts w:ascii="Times" w:eastAsia="Times" w:hAnsi="Times"/>
        </w:rPr>
        <w:t>that case</w:t>
      </w:r>
      <w:r w:rsidR="00A078DD">
        <w:rPr>
          <w:rFonts w:ascii="Times" w:eastAsia="Times" w:hAnsi="Times"/>
        </w:rPr>
        <w:t xml:space="preserve"> to derive a $/MWh.  The $/MWh is then</w:t>
      </w:r>
      <w:r w:rsidR="00A81938">
        <w:rPr>
          <w:rFonts w:ascii="Times" w:eastAsia="Times" w:hAnsi="Times"/>
        </w:rPr>
        <w:t xml:space="preserve"> multiplied by the total Washington loads in the June 30, 2015 test period</w:t>
      </w:r>
      <w:r w:rsidR="00A078DD">
        <w:rPr>
          <w:rFonts w:ascii="Times" w:eastAsia="Times" w:hAnsi="Times"/>
        </w:rPr>
        <w:t xml:space="preserve"> to calculate the </w:t>
      </w:r>
      <w:r w:rsidR="00F973DB">
        <w:rPr>
          <w:rFonts w:ascii="Times" w:eastAsia="Times" w:hAnsi="Times"/>
        </w:rPr>
        <w:t>NPC</w:t>
      </w:r>
      <w:r w:rsidR="00A078DD">
        <w:rPr>
          <w:rFonts w:ascii="Times" w:eastAsia="Times" w:hAnsi="Times"/>
        </w:rPr>
        <w:t xml:space="preserve"> in present revenues</w:t>
      </w:r>
      <w:r w:rsidR="00A81938">
        <w:rPr>
          <w:rFonts w:ascii="Times" w:eastAsia="Times" w:hAnsi="Times"/>
        </w:rPr>
        <w:t xml:space="preserve">. </w:t>
      </w:r>
    </w:p>
    <w:p w:rsidR="009A2F9D" w:rsidRDefault="00212187" w:rsidP="00DC4B5D">
      <w:pPr>
        <w:suppressLineNumbers/>
        <w:ind w:firstLine="0"/>
        <w:jc w:val="center"/>
        <w:rPr>
          <w:rFonts w:ascii="Times" w:eastAsia="Times" w:hAnsi="Times"/>
        </w:rPr>
      </w:pPr>
      <w:r w:rsidRPr="00212187">
        <w:rPr>
          <w:rFonts w:eastAsia="Times"/>
          <w:noProof/>
        </w:rPr>
        <w:lastRenderedPageBreak/>
        <w:drawing>
          <wp:inline distT="0" distB="0" distL="0" distR="0" wp14:anchorId="232D3DBC" wp14:editId="19A622ED">
            <wp:extent cx="4492625" cy="242506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2625" cy="2425065"/>
                    </a:xfrm>
                    <a:prstGeom prst="rect">
                      <a:avLst/>
                    </a:prstGeom>
                    <a:noFill/>
                    <a:ln>
                      <a:noFill/>
                    </a:ln>
                  </pic:spPr>
                </pic:pic>
              </a:graphicData>
            </a:graphic>
          </wp:inline>
        </w:drawing>
      </w:r>
    </w:p>
    <w:p w:rsidR="002D7AB3" w:rsidRDefault="002D7AB3" w:rsidP="00AB6C1B">
      <w:pPr>
        <w:ind w:firstLine="0"/>
        <w:rPr>
          <w:rFonts w:ascii="Times" w:eastAsia="Times" w:hAnsi="Times"/>
        </w:rPr>
      </w:pPr>
      <w:r>
        <w:rPr>
          <w:rFonts w:ascii="Times" w:eastAsia="Times" w:hAnsi="Times"/>
        </w:rPr>
        <w:t>The resulting</w:t>
      </w:r>
      <w:r w:rsidR="00A078DD">
        <w:rPr>
          <w:rFonts w:ascii="Times" w:eastAsia="Times" w:hAnsi="Times"/>
        </w:rPr>
        <w:t xml:space="preserve"> NPC</w:t>
      </w:r>
      <w:r>
        <w:rPr>
          <w:rFonts w:ascii="Times" w:eastAsia="Times" w:hAnsi="Times"/>
        </w:rPr>
        <w:t xml:space="preserve"> of $129,744,692 is allocated to the individual rate schedules based on the F10 cost allocation factor filed with the </w:t>
      </w:r>
      <w:r w:rsidR="00A078DD">
        <w:rPr>
          <w:rFonts w:ascii="Times" w:eastAsia="Times" w:hAnsi="Times"/>
        </w:rPr>
        <w:t>c</w:t>
      </w:r>
      <w:r>
        <w:rPr>
          <w:rFonts w:ascii="Times" w:eastAsia="Times" w:hAnsi="Times"/>
        </w:rPr>
        <w:t xml:space="preserve">ost of </w:t>
      </w:r>
      <w:r w:rsidR="00A078DD">
        <w:rPr>
          <w:rFonts w:ascii="Times" w:eastAsia="Times" w:hAnsi="Times"/>
        </w:rPr>
        <w:t>s</w:t>
      </w:r>
      <w:r>
        <w:rPr>
          <w:rFonts w:ascii="Times" w:eastAsia="Times" w:hAnsi="Times"/>
        </w:rPr>
        <w:t xml:space="preserve">ervice </w:t>
      </w:r>
      <w:r w:rsidR="00A078DD">
        <w:rPr>
          <w:rFonts w:ascii="Times" w:eastAsia="Times" w:hAnsi="Times"/>
        </w:rPr>
        <w:t xml:space="preserve">study </w:t>
      </w:r>
      <w:r>
        <w:rPr>
          <w:rFonts w:ascii="Times" w:eastAsia="Times" w:hAnsi="Times"/>
        </w:rPr>
        <w:t xml:space="preserve">in </w:t>
      </w:r>
      <w:r w:rsidR="00A234B3">
        <w:rPr>
          <w:rFonts w:ascii="Times" w:eastAsia="Times" w:hAnsi="Times"/>
        </w:rPr>
        <w:t>the 2014 Rate Case</w:t>
      </w:r>
      <w:r>
        <w:rPr>
          <w:rFonts w:ascii="Times" w:eastAsia="Times" w:hAnsi="Times"/>
        </w:rPr>
        <w:t xml:space="preserve">. </w:t>
      </w:r>
    </w:p>
    <w:p w:rsidR="002D7AB3" w:rsidRDefault="003A33C0" w:rsidP="00AB6C1B">
      <w:pPr>
        <w:ind w:firstLine="0"/>
        <w:rPr>
          <w:rFonts w:ascii="Times" w:eastAsia="Times" w:hAnsi="Times"/>
        </w:rPr>
      </w:pPr>
      <w:r w:rsidRPr="003A33C0">
        <w:rPr>
          <w:rFonts w:ascii="Times" w:eastAsia="Times" w:hAnsi="Times"/>
          <w:u w:val="single"/>
        </w:rPr>
        <w:t>Step 3</w:t>
      </w:r>
      <w:r>
        <w:rPr>
          <w:rFonts w:ascii="Times" w:eastAsia="Times" w:hAnsi="Times"/>
        </w:rPr>
        <w:t xml:space="preserve"> – Determine </w:t>
      </w:r>
      <w:r w:rsidR="002229DB">
        <w:rPr>
          <w:rFonts w:ascii="Times" w:eastAsia="Times" w:hAnsi="Times"/>
        </w:rPr>
        <w:t>Non-NPC</w:t>
      </w:r>
      <w:r>
        <w:rPr>
          <w:rFonts w:ascii="Times" w:eastAsia="Times" w:hAnsi="Times"/>
        </w:rPr>
        <w:t xml:space="preserve"> Revenue – To determine the </w:t>
      </w:r>
      <w:r w:rsidR="002229DB">
        <w:rPr>
          <w:rFonts w:ascii="Times" w:eastAsia="Times" w:hAnsi="Times"/>
        </w:rPr>
        <w:t>Non-NPC</w:t>
      </w:r>
      <w:r>
        <w:rPr>
          <w:rFonts w:ascii="Times" w:eastAsia="Times" w:hAnsi="Times"/>
        </w:rPr>
        <w:t xml:space="preserve"> Revenue, the mechanism subtracts the </w:t>
      </w:r>
      <w:r w:rsidR="00A078DD">
        <w:rPr>
          <w:rFonts w:ascii="Times" w:eastAsia="Times" w:hAnsi="Times"/>
        </w:rPr>
        <w:t>NPC</w:t>
      </w:r>
      <w:r>
        <w:rPr>
          <w:rFonts w:ascii="Times" w:eastAsia="Times" w:hAnsi="Times"/>
        </w:rPr>
        <w:t xml:space="preserve"> from the Total Revenue.</w:t>
      </w:r>
    </w:p>
    <w:p w:rsidR="002229DB" w:rsidRDefault="002229DB" w:rsidP="002229DB">
      <w:pPr>
        <w:ind w:firstLine="0"/>
        <w:rPr>
          <w:rFonts w:ascii="Times" w:eastAsia="Times" w:hAnsi="Times"/>
        </w:rPr>
      </w:pPr>
      <w:r w:rsidRPr="00DC4B5D">
        <w:rPr>
          <w:rFonts w:ascii="Times" w:eastAsia="Times" w:hAnsi="Times"/>
          <w:u w:val="single"/>
        </w:rPr>
        <w:t>Step 4</w:t>
      </w:r>
      <w:r w:rsidRPr="00177623">
        <w:rPr>
          <w:rFonts w:ascii="Times" w:eastAsia="Times" w:hAnsi="Times"/>
        </w:rPr>
        <w:t xml:space="preserve"> – Year One Allocated Rate Schedule Revenues - The Year One Allocated Rate Schedule </w:t>
      </w:r>
      <w:r w:rsidR="00917BBE">
        <w:rPr>
          <w:rFonts w:ascii="Times" w:eastAsia="Times" w:hAnsi="Times"/>
        </w:rPr>
        <w:t xml:space="preserve">reflects </w:t>
      </w:r>
      <w:r w:rsidRPr="00177623">
        <w:rPr>
          <w:rFonts w:ascii="Times" w:eastAsia="Times" w:hAnsi="Times"/>
        </w:rPr>
        <w:t>increases requested to be effective May 1, 2016</w:t>
      </w:r>
      <w:r w:rsidR="00A234B3">
        <w:rPr>
          <w:rFonts w:ascii="Times" w:eastAsia="Times" w:hAnsi="Times"/>
        </w:rPr>
        <w:t>,</w:t>
      </w:r>
      <w:r w:rsidRPr="00177623">
        <w:rPr>
          <w:rFonts w:ascii="Times" w:eastAsia="Times" w:hAnsi="Times"/>
        </w:rPr>
        <w:t xml:space="preserve"> as shown in Exhibit No.</w:t>
      </w:r>
      <w:r w:rsidR="00444BD8">
        <w:rPr>
          <w:rFonts w:ascii="Times" w:eastAsia="Times" w:hAnsi="Times"/>
        </w:rPr>
        <w:t xml:space="preserve"> </w:t>
      </w:r>
      <w:r w:rsidRPr="00177623">
        <w:rPr>
          <w:rFonts w:ascii="Times" w:eastAsia="Times" w:hAnsi="Times"/>
        </w:rPr>
        <w:t>JRS-1 for each individual rate schedule.</w:t>
      </w:r>
    </w:p>
    <w:p w:rsidR="00A078DD" w:rsidRDefault="003A33C0" w:rsidP="00AB6C1B">
      <w:pPr>
        <w:ind w:firstLine="0"/>
        <w:rPr>
          <w:rFonts w:ascii="Times" w:eastAsia="Times" w:hAnsi="Times"/>
        </w:rPr>
      </w:pPr>
      <w:r w:rsidRPr="003A33C0">
        <w:rPr>
          <w:rFonts w:ascii="Times" w:eastAsia="Times" w:hAnsi="Times"/>
          <w:u w:val="single"/>
        </w:rPr>
        <w:t xml:space="preserve">Step </w:t>
      </w:r>
      <w:r w:rsidR="002229DB">
        <w:rPr>
          <w:rFonts w:ascii="Times" w:eastAsia="Times" w:hAnsi="Times"/>
          <w:u w:val="single"/>
        </w:rPr>
        <w:t>5</w:t>
      </w:r>
      <w:r w:rsidR="002229DB">
        <w:rPr>
          <w:rFonts w:ascii="Times" w:eastAsia="Times" w:hAnsi="Times"/>
        </w:rPr>
        <w:t xml:space="preserve"> </w:t>
      </w:r>
      <w:r>
        <w:rPr>
          <w:rFonts w:ascii="Times" w:eastAsia="Times" w:hAnsi="Times"/>
        </w:rPr>
        <w:t xml:space="preserve">– Remove </w:t>
      </w:r>
      <w:r w:rsidR="0021687B">
        <w:rPr>
          <w:rFonts w:ascii="Times" w:eastAsia="Times" w:hAnsi="Times"/>
        </w:rPr>
        <w:t xml:space="preserve">Fixed </w:t>
      </w:r>
      <w:r>
        <w:rPr>
          <w:rFonts w:ascii="Times" w:eastAsia="Times" w:hAnsi="Times"/>
        </w:rPr>
        <w:t xml:space="preserve">Basic Charge Revenue – </w:t>
      </w:r>
      <w:r w:rsidR="0021687B">
        <w:rPr>
          <w:rFonts w:ascii="Times" w:eastAsia="Times" w:hAnsi="Times"/>
        </w:rPr>
        <w:t>I</w:t>
      </w:r>
      <w:r>
        <w:rPr>
          <w:rFonts w:ascii="Times" w:eastAsia="Times" w:hAnsi="Times"/>
        </w:rPr>
        <w:t xml:space="preserve">ncluded in the </w:t>
      </w:r>
      <w:r w:rsidR="002229DB">
        <w:rPr>
          <w:rFonts w:ascii="Times" w:eastAsia="Times" w:hAnsi="Times"/>
        </w:rPr>
        <w:t>Non-NPC</w:t>
      </w:r>
      <w:r>
        <w:rPr>
          <w:rFonts w:ascii="Times" w:eastAsia="Times" w:hAnsi="Times"/>
        </w:rPr>
        <w:t xml:space="preserve"> Revenue is revenue recovered from customers in </w:t>
      </w:r>
      <w:r w:rsidR="00A078DD">
        <w:rPr>
          <w:rFonts w:ascii="Times" w:eastAsia="Times" w:hAnsi="Times"/>
        </w:rPr>
        <w:t>b</w:t>
      </w:r>
      <w:r>
        <w:rPr>
          <w:rFonts w:ascii="Times" w:eastAsia="Times" w:hAnsi="Times"/>
        </w:rPr>
        <w:t xml:space="preserve">asic charges. </w:t>
      </w:r>
      <w:r w:rsidR="00A078DD">
        <w:rPr>
          <w:rFonts w:ascii="Times" w:eastAsia="Times" w:hAnsi="Times"/>
        </w:rPr>
        <w:t xml:space="preserve"> </w:t>
      </w:r>
      <w:r w:rsidR="00917BBE">
        <w:rPr>
          <w:rFonts w:ascii="Times" w:eastAsia="Times" w:hAnsi="Times"/>
        </w:rPr>
        <w:t>Because</w:t>
      </w:r>
      <w:r w:rsidR="00A078DD">
        <w:rPr>
          <w:rFonts w:ascii="Times" w:eastAsia="Times" w:hAnsi="Times"/>
        </w:rPr>
        <w:t xml:space="preserve"> these revenues are already recovered on a fixed cost per customer, the revenue from basic charges </w:t>
      </w:r>
      <w:r w:rsidR="0021687B">
        <w:rPr>
          <w:rFonts w:ascii="Times" w:eastAsia="Times" w:hAnsi="Times"/>
        </w:rPr>
        <w:t xml:space="preserve">and minimum bills </w:t>
      </w:r>
      <w:r w:rsidR="00A078DD">
        <w:rPr>
          <w:rFonts w:ascii="Times" w:eastAsia="Times" w:hAnsi="Times"/>
        </w:rPr>
        <w:t xml:space="preserve">is removed.   </w:t>
      </w:r>
    </w:p>
    <w:p w:rsidR="002229DB" w:rsidRDefault="002229DB" w:rsidP="002229DB">
      <w:pPr>
        <w:ind w:firstLine="0"/>
        <w:rPr>
          <w:rFonts w:ascii="Times" w:eastAsia="Times" w:hAnsi="Times"/>
        </w:rPr>
      </w:pPr>
      <w:r>
        <w:rPr>
          <w:rFonts w:ascii="Times" w:eastAsia="Times" w:hAnsi="Times"/>
          <w:u w:val="single"/>
        </w:rPr>
        <w:t xml:space="preserve">Step 6 </w:t>
      </w:r>
      <w:r>
        <w:rPr>
          <w:rFonts w:ascii="Times" w:eastAsia="Times" w:hAnsi="Times"/>
        </w:rPr>
        <w:t xml:space="preserve">– Determine </w:t>
      </w:r>
      <w:r w:rsidR="0021687B">
        <w:rPr>
          <w:rFonts w:ascii="Times" w:eastAsia="Times" w:hAnsi="Times"/>
        </w:rPr>
        <w:t xml:space="preserve">Allowed </w:t>
      </w:r>
      <w:r>
        <w:rPr>
          <w:rFonts w:ascii="Times" w:eastAsia="Times" w:hAnsi="Times"/>
        </w:rPr>
        <w:t xml:space="preserve">Decoupled Revenue – </w:t>
      </w:r>
      <w:r w:rsidR="0021687B">
        <w:rPr>
          <w:rFonts w:ascii="Times" w:eastAsia="Times" w:hAnsi="Times"/>
        </w:rPr>
        <w:t xml:space="preserve">Allowed </w:t>
      </w:r>
      <w:r>
        <w:rPr>
          <w:rFonts w:ascii="Times" w:eastAsia="Times" w:hAnsi="Times"/>
        </w:rPr>
        <w:t>Decoupled Revenue is equal to the Non-NPC Revenue (Step 3) plus Year One Allocated Rate Schedule Revenues (Step 4) minus the Basic Charge Revenue (Step 5).</w:t>
      </w:r>
    </w:p>
    <w:p w:rsidR="00816585" w:rsidRDefault="00816585" w:rsidP="00AB6C1B">
      <w:pPr>
        <w:ind w:firstLine="0"/>
        <w:rPr>
          <w:rFonts w:ascii="Times" w:eastAsia="Times" w:hAnsi="Times"/>
        </w:rPr>
      </w:pPr>
      <w:r>
        <w:rPr>
          <w:rFonts w:ascii="Times" w:eastAsia="Times" w:hAnsi="Times"/>
          <w:u w:val="single"/>
        </w:rPr>
        <w:lastRenderedPageBreak/>
        <w:t xml:space="preserve">Step 7 </w:t>
      </w:r>
      <w:r>
        <w:rPr>
          <w:rFonts w:ascii="Times" w:eastAsia="Times" w:hAnsi="Times"/>
        </w:rPr>
        <w:t xml:space="preserve">– Determine the </w:t>
      </w:r>
      <w:r w:rsidR="00DA5839">
        <w:rPr>
          <w:rFonts w:ascii="Times" w:eastAsia="Times" w:hAnsi="Times"/>
        </w:rPr>
        <w:t xml:space="preserve">Allowed </w:t>
      </w:r>
      <w:r>
        <w:rPr>
          <w:rFonts w:ascii="Times" w:eastAsia="Times" w:hAnsi="Times"/>
        </w:rPr>
        <w:t xml:space="preserve">Decoupled Revenue per </w:t>
      </w:r>
      <w:r w:rsidR="0021687B">
        <w:rPr>
          <w:rFonts w:ascii="Times" w:eastAsia="Times" w:hAnsi="Times"/>
        </w:rPr>
        <w:t>C</w:t>
      </w:r>
      <w:r>
        <w:rPr>
          <w:rFonts w:ascii="Times" w:eastAsia="Times" w:hAnsi="Times"/>
        </w:rPr>
        <w:t xml:space="preserve">ustomer – To determine the annual </w:t>
      </w:r>
      <w:r w:rsidR="00DA5839">
        <w:rPr>
          <w:rFonts w:ascii="Times" w:eastAsia="Times" w:hAnsi="Times"/>
        </w:rPr>
        <w:t xml:space="preserve">Allowed </w:t>
      </w:r>
      <w:r>
        <w:rPr>
          <w:rFonts w:ascii="Times" w:eastAsia="Times" w:hAnsi="Times"/>
        </w:rPr>
        <w:t xml:space="preserve">Decoupled Revenue </w:t>
      </w:r>
      <w:r w:rsidR="00DA5839">
        <w:rPr>
          <w:rFonts w:ascii="Times" w:eastAsia="Times" w:hAnsi="Times"/>
        </w:rPr>
        <w:t xml:space="preserve">per </w:t>
      </w:r>
      <w:r w:rsidR="0021687B">
        <w:rPr>
          <w:rFonts w:ascii="Times" w:eastAsia="Times" w:hAnsi="Times"/>
        </w:rPr>
        <w:t>C</w:t>
      </w:r>
      <w:r w:rsidR="00DA5839">
        <w:rPr>
          <w:rFonts w:ascii="Times" w:eastAsia="Times" w:hAnsi="Times"/>
        </w:rPr>
        <w:t xml:space="preserve">ustomer, </w:t>
      </w:r>
      <w:r>
        <w:rPr>
          <w:rFonts w:ascii="Times" w:eastAsia="Times" w:hAnsi="Times"/>
        </w:rPr>
        <w:t xml:space="preserve">divide the </w:t>
      </w:r>
      <w:r w:rsidR="0021687B">
        <w:rPr>
          <w:rFonts w:ascii="Times" w:eastAsia="Times" w:hAnsi="Times"/>
        </w:rPr>
        <w:t>Allowed D</w:t>
      </w:r>
      <w:r>
        <w:rPr>
          <w:rFonts w:ascii="Times" w:eastAsia="Times" w:hAnsi="Times"/>
        </w:rPr>
        <w:t xml:space="preserve">ecoupled Revenue (by </w:t>
      </w:r>
      <w:r w:rsidR="00DA5839">
        <w:rPr>
          <w:rFonts w:ascii="Times" w:eastAsia="Times" w:hAnsi="Times"/>
        </w:rPr>
        <w:t>r</w:t>
      </w:r>
      <w:r>
        <w:rPr>
          <w:rFonts w:ascii="Times" w:eastAsia="Times" w:hAnsi="Times"/>
        </w:rPr>
        <w:t xml:space="preserve">ate </w:t>
      </w:r>
      <w:r w:rsidR="00DA5839">
        <w:rPr>
          <w:rFonts w:ascii="Times" w:eastAsia="Times" w:hAnsi="Times"/>
        </w:rPr>
        <w:t>s</w:t>
      </w:r>
      <w:r>
        <w:rPr>
          <w:rFonts w:ascii="Times" w:eastAsia="Times" w:hAnsi="Times"/>
        </w:rPr>
        <w:t xml:space="preserve">chedule) by the </w:t>
      </w:r>
      <w:r w:rsidR="006259A8">
        <w:rPr>
          <w:rFonts w:ascii="Times" w:eastAsia="Times" w:hAnsi="Times"/>
        </w:rPr>
        <w:t>test year number of customer</w:t>
      </w:r>
      <w:r w:rsidR="00DA5839">
        <w:rPr>
          <w:rFonts w:ascii="Times" w:eastAsia="Times" w:hAnsi="Times"/>
        </w:rPr>
        <w:t>s</w:t>
      </w:r>
      <w:r w:rsidR="006259A8">
        <w:rPr>
          <w:rFonts w:ascii="Times" w:eastAsia="Times" w:hAnsi="Times"/>
        </w:rPr>
        <w:t xml:space="preserve"> (by </w:t>
      </w:r>
      <w:r w:rsidR="00DA5839">
        <w:rPr>
          <w:rFonts w:ascii="Times" w:eastAsia="Times" w:hAnsi="Times"/>
        </w:rPr>
        <w:t>r</w:t>
      </w:r>
      <w:r w:rsidR="006259A8">
        <w:rPr>
          <w:rFonts w:ascii="Times" w:eastAsia="Times" w:hAnsi="Times"/>
        </w:rPr>
        <w:t xml:space="preserve">ate </w:t>
      </w:r>
      <w:r w:rsidR="00DA5839">
        <w:rPr>
          <w:rFonts w:ascii="Times" w:eastAsia="Times" w:hAnsi="Times"/>
        </w:rPr>
        <w:t>s</w:t>
      </w:r>
      <w:r w:rsidR="006259A8">
        <w:rPr>
          <w:rFonts w:ascii="Times" w:eastAsia="Times" w:hAnsi="Times"/>
        </w:rPr>
        <w:t>chedule).</w:t>
      </w:r>
    </w:p>
    <w:p w:rsidR="006259A8" w:rsidRDefault="006259A8" w:rsidP="00AB6C1B">
      <w:pPr>
        <w:ind w:firstLine="0"/>
        <w:rPr>
          <w:rFonts w:ascii="Times" w:eastAsia="Times" w:hAnsi="Times"/>
        </w:rPr>
      </w:pPr>
      <w:r>
        <w:rPr>
          <w:rFonts w:ascii="Times" w:eastAsia="Times" w:hAnsi="Times"/>
          <w:u w:val="single"/>
        </w:rPr>
        <w:t xml:space="preserve">Step </w:t>
      </w:r>
      <w:r>
        <w:rPr>
          <w:rFonts w:ascii="Times" w:eastAsia="Times" w:hAnsi="Times"/>
        </w:rPr>
        <w:t xml:space="preserve">8 – Determine the </w:t>
      </w:r>
      <w:r w:rsidR="00DA5839">
        <w:rPr>
          <w:rFonts w:ascii="Times" w:eastAsia="Times" w:hAnsi="Times"/>
        </w:rPr>
        <w:t xml:space="preserve">Allowed </w:t>
      </w:r>
      <w:r>
        <w:rPr>
          <w:rFonts w:ascii="Times" w:eastAsia="Times" w:hAnsi="Times"/>
        </w:rPr>
        <w:t xml:space="preserve">Monthly Decoupled Revenue per </w:t>
      </w:r>
      <w:r w:rsidR="0021687B">
        <w:rPr>
          <w:rFonts w:ascii="Times" w:eastAsia="Times" w:hAnsi="Times"/>
        </w:rPr>
        <w:t>C</w:t>
      </w:r>
      <w:r>
        <w:rPr>
          <w:rFonts w:ascii="Times" w:eastAsia="Times" w:hAnsi="Times"/>
        </w:rPr>
        <w:t xml:space="preserve">ustomer – to determine the Monthly Decoupled Revenue per </w:t>
      </w:r>
      <w:r w:rsidR="0021687B">
        <w:rPr>
          <w:rFonts w:ascii="Times" w:eastAsia="Times" w:hAnsi="Times"/>
        </w:rPr>
        <w:t>C</w:t>
      </w:r>
      <w:r>
        <w:rPr>
          <w:rFonts w:ascii="Times" w:eastAsia="Times" w:hAnsi="Times"/>
        </w:rPr>
        <w:t xml:space="preserve">ustomer, the annual </w:t>
      </w:r>
      <w:r w:rsidR="00DA5839">
        <w:rPr>
          <w:rFonts w:ascii="Times" w:eastAsia="Times" w:hAnsi="Times"/>
        </w:rPr>
        <w:t xml:space="preserve">Allowed </w:t>
      </w:r>
      <w:r>
        <w:rPr>
          <w:rFonts w:ascii="Times" w:eastAsia="Times" w:hAnsi="Times"/>
        </w:rPr>
        <w:t xml:space="preserve">Decoupled Revenue is shaped based on the monthly kWh usage in the test period. The resulting monthly percentage of usage by month </w:t>
      </w:r>
      <w:r w:rsidR="00DA5839">
        <w:rPr>
          <w:rFonts w:ascii="Times" w:eastAsia="Times" w:hAnsi="Times"/>
        </w:rPr>
        <w:t xml:space="preserve">is </w:t>
      </w:r>
      <w:r>
        <w:rPr>
          <w:rFonts w:ascii="Times" w:eastAsia="Times" w:hAnsi="Times"/>
        </w:rPr>
        <w:t xml:space="preserve">multiplied by the annual </w:t>
      </w:r>
      <w:r w:rsidR="00DA5839">
        <w:rPr>
          <w:rFonts w:ascii="Times" w:eastAsia="Times" w:hAnsi="Times"/>
        </w:rPr>
        <w:t xml:space="preserve">Allowed </w:t>
      </w:r>
      <w:r>
        <w:rPr>
          <w:rFonts w:ascii="Times" w:eastAsia="Times" w:hAnsi="Times"/>
        </w:rPr>
        <w:t xml:space="preserve">Decoupled Revenue per </w:t>
      </w:r>
      <w:r w:rsidR="0021687B">
        <w:rPr>
          <w:rFonts w:ascii="Times" w:eastAsia="Times" w:hAnsi="Times"/>
        </w:rPr>
        <w:t>C</w:t>
      </w:r>
      <w:r>
        <w:rPr>
          <w:rFonts w:ascii="Times" w:eastAsia="Times" w:hAnsi="Times"/>
        </w:rPr>
        <w:t>ustomer to determine the twelve monthly values.</w:t>
      </w:r>
    </w:p>
    <w:p w:rsidR="006259A8" w:rsidRDefault="006259A8" w:rsidP="006259A8">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Please describe the calculation of the Monthly Decoupling Deferral.</w:t>
      </w:r>
    </w:p>
    <w:p w:rsidR="00300157" w:rsidRDefault="006259A8" w:rsidP="00300157">
      <w:pPr>
        <w:rPr>
          <w:rFonts w:ascii="Times" w:eastAsia="Times" w:hAnsi="Times"/>
        </w:rPr>
      </w:pPr>
      <w:r>
        <w:rPr>
          <w:rFonts w:ascii="Times" w:eastAsia="Times" w:hAnsi="Times"/>
        </w:rPr>
        <w:t>A.</w:t>
      </w:r>
      <w:r>
        <w:rPr>
          <w:rFonts w:ascii="Times" w:eastAsia="Times" w:hAnsi="Times"/>
        </w:rPr>
        <w:tab/>
      </w:r>
      <w:r w:rsidR="008B5273">
        <w:rPr>
          <w:rFonts w:ascii="Times New Roman" w:hAnsi="Times New Roman"/>
          <w:szCs w:val="24"/>
        </w:rPr>
        <w:t xml:space="preserve">An example of the calculation is shown in </w:t>
      </w:r>
      <w:r w:rsidR="008B5273" w:rsidRPr="008B5273">
        <w:rPr>
          <w:rFonts w:ascii="Times New Roman" w:hAnsi="Times New Roman"/>
          <w:szCs w:val="24"/>
        </w:rPr>
        <w:t>Exhibit No.</w:t>
      </w:r>
      <w:r w:rsidR="00A234B3">
        <w:rPr>
          <w:rFonts w:ascii="Times New Roman" w:hAnsi="Times New Roman"/>
          <w:szCs w:val="24"/>
        </w:rPr>
        <w:t xml:space="preserve"> </w:t>
      </w:r>
      <w:r w:rsidR="008B5273" w:rsidRPr="008B5273">
        <w:rPr>
          <w:rFonts w:ascii="Times New Roman" w:hAnsi="Times New Roman"/>
          <w:szCs w:val="24"/>
        </w:rPr>
        <w:t>JRS-</w:t>
      </w:r>
      <w:r w:rsidR="007236E2">
        <w:rPr>
          <w:rFonts w:ascii="Times New Roman" w:hAnsi="Times New Roman"/>
          <w:szCs w:val="24"/>
        </w:rPr>
        <w:t>6</w:t>
      </w:r>
      <w:r w:rsidR="008B5273" w:rsidRPr="008B5273">
        <w:rPr>
          <w:rFonts w:ascii="Times New Roman" w:hAnsi="Times New Roman"/>
          <w:szCs w:val="24"/>
        </w:rPr>
        <w:t>.</w:t>
      </w:r>
      <w:r w:rsidR="008B5273">
        <w:rPr>
          <w:rFonts w:ascii="Times New Roman" w:hAnsi="Times New Roman"/>
          <w:szCs w:val="24"/>
        </w:rPr>
        <w:t xml:space="preserve">  </w:t>
      </w:r>
      <w:r w:rsidR="00CB7358">
        <w:rPr>
          <w:rFonts w:ascii="Times New Roman" w:hAnsi="Times New Roman"/>
          <w:szCs w:val="24"/>
        </w:rPr>
        <w:t xml:space="preserve">Page one of the exhibit is based on the rates that go into effect May 1, 2016, </w:t>
      </w:r>
      <w:r w:rsidR="00917BBE">
        <w:rPr>
          <w:rFonts w:ascii="Times New Roman" w:hAnsi="Times New Roman"/>
          <w:szCs w:val="24"/>
        </w:rPr>
        <w:t xml:space="preserve">and </w:t>
      </w:r>
      <w:r w:rsidR="00CB7358">
        <w:rPr>
          <w:rFonts w:ascii="Times New Roman" w:hAnsi="Times New Roman"/>
          <w:szCs w:val="24"/>
        </w:rPr>
        <w:t xml:space="preserve">page two is based on the rates that go into effect May 1, 2017.  Rows two and five for each rate schedule show the calculated </w:t>
      </w:r>
      <w:r w:rsidR="0021687B">
        <w:rPr>
          <w:rFonts w:ascii="Times New Roman" w:hAnsi="Times New Roman"/>
          <w:szCs w:val="24"/>
        </w:rPr>
        <w:t xml:space="preserve">Allowed </w:t>
      </w:r>
      <w:r w:rsidR="00CB7358">
        <w:rPr>
          <w:rFonts w:ascii="Times New Roman" w:hAnsi="Times New Roman"/>
          <w:szCs w:val="24"/>
        </w:rPr>
        <w:t xml:space="preserve">Decoupled Revenue per Customer and </w:t>
      </w:r>
      <w:r w:rsidR="0021687B">
        <w:rPr>
          <w:rFonts w:ascii="Times New Roman" w:hAnsi="Times New Roman"/>
          <w:szCs w:val="24"/>
        </w:rPr>
        <w:t xml:space="preserve">Allowed </w:t>
      </w:r>
      <w:r w:rsidR="00CB7358">
        <w:rPr>
          <w:rFonts w:ascii="Times New Roman" w:hAnsi="Times New Roman"/>
          <w:szCs w:val="24"/>
        </w:rPr>
        <w:t xml:space="preserve">Decoupled Revenue per kWh that will be used to establish the allowed and actual revenue each month.  Other values in the example are for illustrative purposes. </w:t>
      </w:r>
      <w:r w:rsidR="00917BBE">
        <w:rPr>
          <w:rFonts w:ascii="Times New Roman" w:hAnsi="Times New Roman"/>
          <w:szCs w:val="24"/>
        </w:rPr>
        <w:t xml:space="preserve"> </w:t>
      </w:r>
      <w:r w:rsidR="008B5273" w:rsidRPr="00740CC6">
        <w:rPr>
          <w:rFonts w:ascii="Times" w:eastAsia="Times" w:hAnsi="Times"/>
        </w:rPr>
        <w:t xml:space="preserve">The decoupling </w:t>
      </w:r>
      <w:r w:rsidR="008B5273">
        <w:rPr>
          <w:rFonts w:ascii="Times" w:eastAsia="Times" w:hAnsi="Times"/>
        </w:rPr>
        <w:t xml:space="preserve">calculation will be done on a monthly basis </w:t>
      </w:r>
      <w:r w:rsidR="008B5273" w:rsidRPr="00740CC6">
        <w:rPr>
          <w:rFonts w:ascii="Times" w:eastAsia="Times" w:hAnsi="Times"/>
        </w:rPr>
        <w:t xml:space="preserve">to capture the differences between the allowed and actual revenue.  </w:t>
      </w:r>
      <w:r w:rsidR="008B5273">
        <w:rPr>
          <w:rFonts w:ascii="Times" w:eastAsia="Times" w:hAnsi="Times"/>
        </w:rPr>
        <w:t xml:space="preserve">The difference will go into a deferral account, as explained in the direct testimony of </w:t>
      </w:r>
      <w:r w:rsidR="003A6B9F">
        <w:rPr>
          <w:rFonts w:ascii="Times" w:eastAsia="Times" w:hAnsi="Times"/>
        </w:rPr>
        <w:t xml:space="preserve">Ms. </w:t>
      </w:r>
      <w:r w:rsidR="008B5273">
        <w:rPr>
          <w:rFonts w:ascii="Times" w:eastAsia="Times" w:hAnsi="Times"/>
        </w:rPr>
        <w:t>Shell</w:t>
      </w:r>
      <w:r w:rsidR="00A234B3">
        <w:rPr>
          <w:rFonts w:ascii="Times" w:eastAsia="Times" w:hAnsi="Times"/>
        </w:rPr>
        <w:t>ey E.</w:t>
      </w:r>
      <w:r w:rsidR="008B5273">
        <w:rPr>
          <w:rFonts w:ascii="Times" w:eastAsia="Times" w:hAnsi="Times"/>
        </w:rPr>
        <w:t xml:space="preserve"> McCoy.  </w:t>
      </w:r>
      <w:r w:rsidR="00300157">
        <w:rPr>
          <w:rFonts w:ascii="Times" w:eastAsia="Times" w:hAnsi="Times"/>
        </w:rPr>
        <w:t xml:space="preserve">The monthly </w:t>
      </w:r>
      <w:r w:rsidR="008B5273">
        <w:rPr>
          <w:rFonts w:ascii="Times" w:eastAsia="Times" w:hAnsi="Times"/>
        </w:rPr>
        <w:t>d</w:t>
      </w:r>
      <w:r w:rsidR="00300157">
        <w:rPr>
          <w:rFonts w:ascii="Times" w:eastAsia="Times" w:hAnsi="Times"/>
        </w:rPr>
        <w:t xml:space="preserve">ecoupling deferral is determined as follow: </w:t>
      </w:r>
    </w:p>
    <w:p w:rsidR="00300157" w:rsidRDefault="00300157" w:rsidP="00300157">
      <w:pPr>
        <w:rPr>
          <w:rFonts w:ascii="Times" w:eastAsia="Times" w:hAnsi="Times"/>
        </w:rPr>
      </w:pPr>
      <w:r>
        <w:rPr>
          <w:rFonts w:ascii="Times" w:eastAsia="Times" w:hAnsi="Times"/>
        </w:rPr>
        <w:tab/>
      </w:r>
      <w:r w:rsidRPr="00340BC9">
        <w:rPr>
          <w:rFonts w:ascii="Times" w:eastAsia="Times" w:hAnsi="Times"/>
          <w:u w:val="single"/>
        </w:rPr>
        <w:t>Step</w:t>
      </w:r>
      <w:r>
        <w:rPr>
          <w:rFonts w:ascii="Times" w:eastAsia="Times" w:hAnsi="Times"/>
        </w:rPr>
        <w:t xml:space="preserve"> 1 – Determine the actual number of customers each month</w:t>
      </w:r>
      <w:r w:rsidR="00340BC9">
        <w:rPr>
          <w:rFonts w:ascii="Times" w:eastAsia="Times" w:hAnsi="Times"/>
        </w:rPr>
        <w:t>.</w:t>
      </w:r>
    </w:p>
    <w:p w:rsidR="00340BC9" w:rsidRDefault="00340BC9" w:rsidP="00300157">
      <w:pPr>
        <w:rPr>
          <w:rFonts w:ascii="Times" w:eastAsia="Times" w:hAnsi="Times"/>
        </w:rPr>
      </w:pPr>
      <w:r>
        <w:rPr>
          <w:rFonts w:ascii="Times" w:eastAsia="Times" w:hAnsi="Times"/>
        </w:rPr>
        <w:lastRenderedPageBreak/>
        <w:tab/>
      </w:r>
      <w:r w:rsidRPr="00340BC9">
        <w:rPr>
          <w:rFonts w:ascii="Times" w:eastAsia="Times" w:hAnsi="Times"/>
          <w:u w:val="single"/>
        </w:rPr>
        <w:t>Step 2</w:t>
      </w:r>
      <w:r>
        <w:rPr>
          <w:rFonts w:ascii="Times" w:eastAsia="Times" w:hAnsi="Times"/>
        </w:rPr>
        <w:t xml:space="preserve"> – Multiply the actual number of customers by the applicable </w:t>
      </w:r>
      <w:r w:rsidR="0021687B">
        <w:rPr>
          <w:rFonts w:ascii="Times" w:eastAsia="Times" w:hAnsi="Times"/>
        </w:rPr>
        <w:t>Allowed M</w:t>
      </w:r>
      <w:r>
        <w:rPr>
          <w:rFonts w:ascii="Times" w:eastAsia="Times" w:hAnsi="Times"/>
        </w:rPr>
        <w:t xml:space="preserve">onthly Decoupled Revenue per Customer. </w:t>
      </w:r>
      <w:r w:rsidR="00A234B3">
        <w:rPr>
          <w:rFonts w:ascii="Times" w:eastAsia="Times" w:hAnsi="Times"/>
        </w:rPr>
        <w:t xml:space="preserve"> </w:t>
      </w:r>
      <w:r>
        <w:rPr>
          <w:rFonts w:ascii="Times" w:eastAsia="Times" w:hAnsi="Times"/>
        </w:rPr>
        <w:t xml:space="preserve">The result of this calculation is the total Allowed Decoupled Revenue </w:t>
      </w:r>
      <w:r w:rsidR="00B77BB8">
        <w:rPr>
          <w:rFonts w:ascii="Times" w:eastAsia="Times" w:hAnsi="Times"/>
        </w:rPr>
        <w:t xml:space="preserve">by Month </w:t>
      </w:r>
      <w:r>
        <w:rPr>
          <w:rFonts w:ascii="Times" w:eastAsia="Times" w:hAnsi="Times"/>
        </w:rPr>
        <w:t xml:space="preserve">for the applicable month. </w:t>
      </w:r>
    </w:p>
    <w:p w:rsidR="005403D2" w:rsidRDefault="00340BC9" w:rsidP="00340BC9">
      <w:pPr>
        <w:ind w:firstLine="0"/>
        <w:rPr>
          <w:rFonts w:ascii="Times" w:eastAsia="Times" w:hAnsi="Times"/>
        </w:rPr>
      </w:pPr>
      <w:r>
        <w:rPr>
          <w:rFonts w:ascii="Times" w:eastAsia="Times" w:hAnsi="Times"/>
          <w:u w:val="single"/>
        </w:rPr>
        <w:t xml:space="preserve">Step 3 </w:t>
      </w:r>
      <w:r w:rsidRPr="00340BC9">
        <w:rPr>
          <w:rFonts w:ascii="Times" w:eastAsia="Times" w:hAnsi="Times"/>
        </w:rPr>
        <w:t>-</w:t>
      </w:r>
      <w:r>
        <w:rPr>
          <w:rFonts w:ascii="Times" w:eastAsia="Times" w:hAnsi="Times"/>
        </w:rPr>
        <w:t xml:space="preserve">  Determine the Decoupled </w:t>
      </w:r>
      <w:r w:rsidR="00B77BB8">
        <w:rPr>
          <w:rFonts w:ascii="Times" w:eastAsia="Times" w:hAnsi="Times"/>
        </w:rPr>
        <w:t xml:space="preserve">Revenue per </w:t>
      </w:r>
      <w:r>
        <w:rPr>
          <w:rFonts w:ascii="Times" w:eastAsia="Times" w:hAnsi="Times"/>
        </w:rPr>
        <w:t xml:space="preserve">kWh Rate - To determine the Decoupled </w:t>
      </w:r>
      <w:r w:rsidR="00B77BB8">
        <w:rPr>
          <w:rFonts w:ascii="Times" w:eastAsia="Times" w:hAnsi="Times"/>
        </w:rPr>
        <w:t xml:space="preserve">Revenue per </w:t>
      </w:r>
      <w:r>
        <w:rPr>
          <w:rFonts w:ascii="Times" w:eastAsia="Times" w:hAnsi="Times"/>
        </w:rPr>
        <w:t>kWh</w:t>
      </w:r>
      <w:r w:rsidR="00B77BB8">
        <w:rPr>
          <w:rFonts w:ascii="Times" w:eastAsia="Times" w:hAnsi="Times"/>
        </w:rPr>
        <w:t xml:space="preserve"> </w:t>
      </w:r>
      <w:r>
        <w:rPr>
          <w:rFonts w:ascii="Times" w:eastAsia="Times" w:hAnsi="Times"/>
        </w:rPr>
        <w:t>Rate</w:t>
      </w:r>
      <w:r w:rsidR="00917BBE">
        <w:rPr>
          <w:rFonts w:ascii="Times" w:eastAsia="Times" w:hAnsi="Times"/>
        </w:rPr>
        <w:t>,</w:t>
      </w:r>
      <w:r>
        <w:rPr>
          <w:rFonts w:ascii="Times" w:eastAsia="Times" w:hAnsi="Times"/>
        </w:rPr>
        <w:t xml:space="preserve"> </w:t>
      </w:r>
      <w:r w:rsidR="005403D2">
        <w:rPr>
          <w:rFonts w:ascii="Times" w:eastAsia="Times" w:hAnsi="Times"/>
        </w:rPr>
        <w:t xml:space="preserve">the </w:t>
      </w:r>
      <w:r w:rsidR="0021687B">
        <w:rPr>
          <w:rFonts w:ascii="Times" w:eastAsia="Times" w:hAnsi="Times"/>
        </w:rPr>
        <w:t xml:space="preserve">Allowed </w:t>
      </w:r>
      <w:r w:rsidR="005403D2">
        <w:rPr>
          <w:rFonts w:ascii="Times" w:eastAsia="Times" w:hAnsi="Times"/>
        </w:rPr>
        <w:t xml:space="preserve">Decoupled Revenue (by </w:t>
      </w:r>
      <w:r w:rsidR="00091A23">
        <w:rPr>
          <w:rFonts w:ascii="Times" w:eastAsia="Times" w:hAnsi="Times"/>
        </w:rPr>
        <w:t>r</w:t>
      </w:r>
      <w:r w:rsidR="005403D2">
        <w:rPr>
          <w:rFonts w:ascii="Times" w:eastAsia="Times" w:hAnsi="Times"/>
        </w:rPr>
        <w:t xml:space="preserve">ate </w:t>
      </w:r>
      <w:r w:rsidR="00091A23">
        <w:rPr>
          <w:rFonts w:ascii="Times" w:eastAsia="Times" w:hAnsi="Times"/>
        </w:rPr>
        <w:t>s</w:t>
      </w:r>
      <w:r w:rsidR="005403D2">
        <w:rPr>
          <w:rFonts w:ascii="Times" w:eastAsia="Times" w:hAnsi="Times"/>
        </w:rPr>
        <w:t xml:space="preserve">chedule) is divided by the test period kWh (by </w:t>
      </w:r>
      <w:r w:rsidR="00091A23">
        <w:rPr>
          <w:rFonts w:ascii="Times" w:eastAsia="Times" w:hAnsi="Times"/>
        </w:rPr>
        <w:t>r</w:t>
      </w:r>
      <w:r w:rsidR="005403D2">
        <w:rPr>
          <w:rFonts w:ascii="Times" w:eastAsia="Times" w:hAnsi="Times"/>
        </w:rPr>
        <w:t xml:space="preserve">ate </w:t>
      </w:r>
      <w:r w:rsidR="00091A23">
        <w:rPr>
          <w:rFonts w:ascii="Times" w:eastAsia="Times" w:hAnsi="Times"/>
        </w:rPr>
        <w:t>s</w:t>
      </w:r>
      <w:r w:rsidR="005403D2">
        <w:rPr>
          <w:rFonts w:ascii="Times" w:eastAsia="Times" w:hAnsi="Times"/>
        </w:rPr>
        <w:t>chedule).</w:t>
      </w:r>
    </w:p>
    <w:p w:rsidR="002C7A30" w:rsidRDefault="005403D2" w:rsidP="00340BC9">
      <w:pPr>
        <w:ind w:firstLine="0"/>
        <w:rPr>
          <w:rFonts w:ascii="Times" w:eastAsia="Times" w:hAnsi="Times"/>
        </w:rPr>
      </w:pPr>
      <w:r>
        <w:rPr>
          <w:rFonts w:ascii="Times" w:eastAsia="Times" w:hAnsi="Times"/>
          <w:u w:val="single"/>
        </w:rPr>
        <w:t xml:space="preserve">Step 4 </w:t>
      </w:r>
      <w:r w:rsidR="002C7A30">
        <w:rPr>
          <w:rFonts w:ascii="Times" w:eastAsia="Times" w:hAnsi="Times"/>
        </w:rPr>
        <w:t>–</w:t>
      </w:r>
      <w:r>
        <w:rPr>
          <w:rFonts w:ascii="Times" w:eastAsia="Times" w:hAnsi="Times"/>
        </w:rPr>
        <w:t xml:space="preserve"> </w:t>
      </w:r>
      <w:r w:rsidR="002C7A30">
        <w:rPr>
          <w:rFonts w:ascii="Times" w:eastAsia="Times" w:hAnsi="Times"/>
        </w:rPr>
        <w:t>Determine Actual Decoupled Revenue – To determine the Actual Decoupled Revenue</w:t>
      </w:r>
      <w:r w:rsidR="00917BBE">
        <w:rPr>
          <w:rFonts w:ascii="Times" w:eastAsia="Times" w:hAnsi="Times"/>
        </w:rPr>
        <w:t>,</w:t>
      </w:r>
      <w:r w:rsidR="002C7A30">
        <w:rPr>
          <w:rFonts w:ascii="Times" w:eastAsia="Times" w:hAnsi="Times"/>
        </w:rPr>
        <w:t xml:space="preserve"> multiply the Decoupled </w:t>
      </w:r>
      <w:r w:rsidR="00B77BB8">
        <w:rPr>
          <w:rFonts w:ascii="Times" w:eastAsia="Times" w:hAnsi="Times"/>
        </w:rPr>
        <w:t xml:space="preserve">Revenue per </w:t>
      </w:r>
      <w:r w:rsidR="002C7A30">
        <w:rPr>
          <w:rFonts w:ascii="Times" w:eastAsia="Times" w:hAnsi="Times"/>
        </w:rPr>
        <w:t xml:space="preserve">kWh Rate (by </w:t>
      </w:r>
      <w:r w:rsidR="00091A23">
        <w:rPr>
          <w:rFonts w:ascii="Times" w:eastAsia="Times" w:hAnsi="Times"/>
        </w:rPr>
        <w:t>r</w:t>
      </w:r>
      <w:r w:rsidR="002C7A30">
        <w:rPr>
          <w:rFonts w:ascii="Times" w:eastAsia="Times" w:hAnsi="Times"/>
        </w:rPr>
        <w:t xml:space="preserve">ate </w:t>
      </w:r>
      <w:r w:rsidR="00091A23">
        <w:rPr>
          <w:rFonts w:ascii="Times" w:eastAsia="Times" w:hAnsi="Times"/>
        </w:rPr>
        <w:t>s</w:t>
      </w:r>
      <w:r w:rsidR="002C7A30">
        <w:rPr>
          <w:rFonts w:ascii="Times" w:eastAsia="Times" w:hAnsi="Times"/>
        </w:rPr>
        <w:t xml:space="preserve">chedule) by the actual kWh monthly usage (by </w:t>
      </w:r>
      <w:r w:rsidR="00091A23">
        <w:rPr>
          <w:rFonts w:ascii="Times" w:eastAsia="Times" w:hAnsi="Times"/>
        </w:rPr>
        <w:t>r</w:t>
      </w:r>
      <w:r w:rsidR="002C7A30">
        <w:rPr>
          <w:rFonts w:ascii="Times" w:eastAsia="Times" w:hAnsi="Times"/>
        </w:rPr>
        <w:t xml:space="preserve">ate </w:t>
      </w:r>
      <w:r w:rsidR="00091A23">
        <w:rPr>
          <w:rFonts w:ascii="Times" w:eastAsia="Times" w:hAnsi="Times"/>
        </w:rPr>
        <w:t>s</w:t>
      </w:r>
      <w:r w:rsidR="002C7A30">
        <w:rPr>
          <w:rFonts w:ascii="Times" w:eastAsia="Times" w:hAnsi="Times"/>
        </w:rPr>
        <w:t>chedule).</w:t>
      </w:r>
    </w:p>
    <w:p w:rsidR="006A2881" w:rsidRDefault="002C7A30" w:rsidP="00D276F6">
      <w:pPr>
        <w:ind w:firstLine="0"/>
        <w:rPr>
          <w:rFonts w:ascii="Times" w:eastAsia="Times" w:hAnsi="Times"/>
        </w:rPr>
      </w:pPr>
      <w:r>
        <w:rPr>
          <w:rFonts w:ascii="Times" w:eastAsia="Times" w:hAnsi="Times"/>
          <w:u w:val="single"/>
        </w:rPr>
        <w:t xml:space="preserve">Step 5 </w:t>
      </w:r>
      <w:r>
        <w:rPr>
          <w:rFonts w:ascii="Times" w:eastAsia="Times" w:hAnsi="Times"/>
        </w:rPr>
        <w:t xml:space="preserve">– The difference between the Actual Decoupled Revenues (Step 4) and the Allowed Decoupled Revenue (Step 2) is calculated, and the resulting balance is deferred by the Company. </w:t>
      </w:r>
      <w:r w:rsidR="00091A23">
        <w:rPr>
          <w:rFonts w:ascii="Times" w:eastAsia="Times" w:hAnsi="Times"/>
        </w:rPr>
        <w:t xml:space="preserve"> </w:t>
      </w:r>
      <w:r>
        <w:rPr>
          <w:rFonts w:ascii="Times" w:eastAsia="Times" w:hAnsi="Times"/>
        </w:rPr>
        <w:t xml:space="preserve">Interest on the deferred balance will accrue at the quarterly rate published by the </w:t>
      </w:r>
      <w:r w:rsidR="00D71E47">
        <w:rPr>
          <w:rFonts w:ascii="Times" w:eastAsia="Times" w:hAnsi="Times"/>
        </w:rPr>
        <w:t>Federal Energy Regulatory Commission</w:t>
      </w:r>
      <w:r>
        <w:rPr>
          <w:rFonts w:ascii="Times" w:eastAsia="Times" w:hAnsi="Times"/>
        </w:rPr>
        <w:t xml:space="preserve">. </w:t>
      </w:r>
    </w:p>
    <w:p w:rsidR="007B1146" w:rsidRDefault="007B1146" w:rsidP="00075340">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Does the decoupling mechanism have a true-up mechanism?</w:t>
      </w:r>
    </w:p>
    <w:p w:rsidR="004E29EF" w:rsidRDefault="007B1146" w:rsidP="00075340">
      <w:pPr>
        <w:rPr>
          <w:rFonts w:ascii="Times" w:eastAsia="Times" w:hAnsi="Times"/>
        </w:rPr>
      </w:pPr>
      <w:r>
        <w:rPr>
          <w:rFonts w:ascii="Times" w:eastAsia="Times" w:hAnsi="Times"/>
        </w:rPr>
        <w:t>A.</w:t>
      </w:r>
      <w:r>
        <w:rPr>
          <w:rFonts w:ascii="Times" w:eastAsia="Times" w:hAnsi="Times"/>
        </w:rPr>
        <w:tab/>
        <w:t xml:space="preserve">Yes. </w:t>
      </w:r>
      <w:r w:rsidR="00917BBE">
        <w:rPr>
          <w:rFonts w:ascii="Times" w:eastAsia="Times" w:hAnsi="Times"/>
        </w:rPr>
        <w:t xml:space="preserve"> </w:t>
      </w:r>
      <w:r w:rsidR="00B17044">
        <w:rPr>
          <w:rFonts w:ascii="Times" w:eastAsia="Times" w:hAnsi="Times"/>
        </w:rPr>
        <w:t>T</w:t>
      </w:r>
      <w:r>
        <w:rPr>
          <w:rFonts w:ascii="Times" w:eastAsia="Times" w:hAnsi="Times"/>
        </w:rPr>
        <w:t xml:space="preserve">he monthly differences (deferrals) </w:t>
      </w:r>
      <w:r w:rsidR="00B17044">
        <w:rPr>
          <w:rFonts w:ascii="Times" w:eastAsia="Times" w:hAnsi="Times"/>
        </w:rPr>
        <w:t xml:space="preserve">(by </w:t>
      </w:r>
      <w:r w:rsidR="00091A23">
        <w:rPr>
          <w:rFonts w:ascii="Times" w:eastAsia="Times" w:hAnsi="Times"/>
        </w:rPr>
        <w:t>r</w:t>
      </w:r>
      <w:r w:rsidR="00B17044">
        <w:rPr>
          <w:rFonts w:ascii="Times" w:eastAsia="Times" w:hAnsi="Times"/>
        </w:rPr>
        <w:t xml:space="preserve">ate </w:t>
      </w:r>
      <w:r w:rsidR="00091A23">
        <w:rPr>
          <w:rFonts w:ascii="Times" w:eastAsia="Times" w:hAnsi="Times"/>
        </w:rPr>
        <w:t>s</w:t>
      </w:r>
      <w:r w:rsidR="00B17044">
        <w:rPr>
          <w:rFonts w:ascii="Times" w:eastAsia="Times" w:hAnsi="Times"/>
        </w:rPr>
        <w:t xml:space="preserve">chedule) </w:t>
      </w:r>
      <w:r>
        <w:rPr>
          <w:rFonts w:ascii="Times" w:eastAsia="Times" w:hAnsi="Times"/>
        </w:rPr>
        <w:t xml:space="preserve">will be </w:t>
      </w:r>
      <w:r w:rsidR="00B17044">
        <w:rPr>
          <w:rFonts w:ascii="Times" w:eastAsia="Times" w:hAnsi="Times"/>
        </w:rPr>
        <w:t xml:space="preserve">booked </w:t>
      </w:r>
      <w:r>
        <w:rPr>
          <w:rFonts w:ascii="Times" w:eastAsia="Times" w:hAnsi="Times"/>
        </w:rPr>
        <w:t xml:space="preserve">in an interest-accruing balancing account. </w:t>
      </w:r>
      <w:r w:rsidR="00917BBE">
        <w:rPr>
          <w:rFonts w:ascii="Times" w:eastAsia="Times" w:hAnsi="Times"/>
        </w:rPr>
        <w:t xml:space="preserve"> </w:t>
      </w:r>
      <w:r w:rsidR="0007140B">
        <w:rPr>
          <w:rFonts w:ascii="Times" w:eastAsia="Times" w:hAnsi="Times"/>
        </w:rPr>
        <w:t xml:space="preserve">In the Company’s </w:t>
      </w:r>
      <w:r w:rsidR="004E29EF">
        <w:rPr>
          <w:rFonts w:ascii="Times" w:eastAsia="Times" w:hAnsi="Times"/>
        </w:rPr>
        <w:t xml:space="preserve">annual </w:t>
      </w:r>
      <w:r w:rsidR="0007140B">
        <w:rPr>
          <w:rFonts w:ascii="Times" w:eastAsia="Times" w:hAnsi="Times"/>
        </w:rPr>
        <w:t xml:space="preserve">decoupling filing, </w:t>
      </w:r>
      <w:r w:rsidR="00B17044">
        <w:rPr>
          <w:rFonts w:ascii="Times" w:eastAsia="Times" w:hAnsi="Times"/>
        </w:rPr>
        <w:t xml:space="preserve">any deferred revenue in the balancing account </w:t>
      </w:r>
      <w:r w:rsidR="004E29EF">
        <w:rPr>
          <w:rFonts w:ascii="Times" w:eastAsia="Times" w:hAnsi="Times"/>
        </w:rPr>
        <w:t xml:space="preserve">for the deferral period will </w:t>
      </w:r>
      <w:r w:rsidR="00B17044">
        <w:rPr>
          <w:rFonts w:ascii="Times" w:eastAsia="Times" w:hAnsi="Times"/>
        </w:rPr>
        <w:t xml:space="preserve">be </w:t>
      </w:r>
      <w:r w:rsidR="004E29EF">
        <w:rPr>
          <w:rFonts w:ascii="Times" w:eastAsia="Times" w:hAnsi="Times"/>
        </w:rPr>
        <w:t xml:space="preserve">used to </w:t>
      </w:r>
      <w:r w:rsidR="00B17044">
        <w:rPr>
          <w:rFonts w:ascii="Times" w:eastAsia="Times" w:hAnsi="Times"/>
        </w:rPr>
        <w:t>determine the amount of the proposed surcharge/surcredit</w:t>
      </w:r>
      <w:r w:rsidR="00B2731F">
        <w:rPr>
          <w:rFonts w:ascii="Times" w:eastAsia="Times" w:hAnsi="Times"/>
        </w:rPr>
        <w:t xml:space="preserve">. </w:t>
      </w:r>
      <w:r w:rsidR="004E29EF">
        <w:rPr>
          <w:rFonts w:ascii="Times" w:eastAsia="Times" w:hAnsi="Times"/>
        </w:rPr>
        <w:t xml:space="preserve"> </w:t>
      </w:r>
    </w:p>
    <w:p w:rsidR="00954C86" w:rsidRDefault="00954C86" w:rsidP="00075340">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4E29EF">
        <w:rPr>
          <w:rFonts w:ascii="Times New Roman" w:hAnsi="Times New Roman"/>
          <w:b/>
          <w:szCs w:val="24"/>
        </w:rPr>
        <w:t>What is the Company’s proposed deferral period</w:t>
      </w:r>
      <w:r w:rsidR="00102866">
        <w:rPr>
          <w:rFonts w:ascii="Times New Roman" w:hAnsi="Times New Roman"/>
          <w:b/>
          <w:szCs w:val="24"/>
        </w:rPr>
        <w:t xml:space="preserve">, </w:t>
      </w:r>
      <w:r w:rsidR="004E29EF">
        <w:rPr>
          <w:rFonts w:ascii="Times New Roman" w:hAnsi="Times New Roman"/>
          <w:b/>
          <w:szCs w:val="24"/>
        </w:rPr>
        <w:t>timeline</w:t>
      </w:r>
      <w:r w:rsidR="0021687B">
        <w:rPr>
          <w:rFonts w:ascii="Times New Roman" w:hAnsi="Times New Roman"/>
          <w:b/>
          <w:szCs w:val="24"/>
        </w:rPr>
        <w:t>,</w:t>
      </w:r>
      <w:r w:rsidR="00775F7D">
        <w:rPr>
          <w:rFonts w:ascii="Times New Roman" w:hAnsi="Times New Roman"/>
          <w:b/>
          <w:szCs w:val="24"/>
        </w:rPr>
        <w:t xml:space="preserve"> and process</w:t>
      </w:r>
      <w:r w:rsidR="004E29EF">
        <w:rPr>
          <w:rFonts w:ascii="Times New Roman" w:hAnsi="Times New Roman"/>
          <w:b/>
          <w:szCs w:val="24"/>
        </w:rPr>
        <w:t xml:space="preserve"> for filing rate adjustments?  </w:t>
      </w:r>
    </w:p>
    <w:p w:rsidR="00F84E8D" w:rsidRDefault="00C75904" w:rsidP="00C75904">
      <w:pPr>
        <w:rPr>
          <w:rFonts w:ascii="Times New Roman" w:hAnsi="Times New Roman"/>
          <w:szCs w:val="24"/>
        </w:rPr>
      </w:pPr>
      <w:r w:rsidRPr="00C75904">
        <w:rPr>
          <w:rFonts w:ascii="Times New Roman" w:hAnsi="Times New Roman"/>
          <w:szCs w:val="24"/>
        </w:rPr>
        <w:t>A.</w:t>
      </w:r>
      <w:r>
        <w:rPr>
          <w:rFonts w:ascii="Times New Roman" w:hAnsi="Times New Roman"/>
          <w:szCs w:val="24"/>
        </w:rPr>
        <w:tab/>
      </w:r>
      <w:r w:rsidR="004E29EF">
        <w:rPr>
          <w:rFonts w:ascii="Times New Roman" w:hAnsi="Times New Roman"/>
          <w:szCs w:val="24"/>
        </w:rPr>
        <w:t>The Company proposes to use a 12</w:t>
      </w:r>
      <w:r w:rsidR="00A234B3">
        <w:rPr>
          <w:rFonts w:ascii="Times New Roman" w:hAnsi="Times New Roman"/>
          <w:szCs w:val="24"/>
        </w:rPr>
        <w:softHyphen/>
        <w:t>-</w:t>
      </w:r>
      <w:r w:rsidR="004E29EF">
        <w:rPr>
          <w:rFonts w:ascii="Times New Roman" w:hAnsi="Times New Roman"/>
          <w:szCs w:val="24"/>
        </w:rPr>
        <w:t xml:space="preserve">month deferral period of July 1 through June 30.  This period </w:t>
      </w:r>
      <w:r w:rsidR="007236E2">
        <w:rPr>
          <w:rFonts w:ascii="Times New Roman" w:hAnsi="Times New Roman"/>
          <w:szCs w:val="24"/>
        </w:rPr>
        <w:t xml:space="preserve">will </w:t>
      </w:r>
      <w:r w:rsidR="004E29EF">
        <w:rPr>
          <w:rFonts w:ascii="Times New Roman" w:hAnsi="Times New Roman"/>
          <w:szCs w:val="24"/>
        </w:rPr>
        <w:t xml:space="preserve">coincide with the </w:t>
      </w:r>
      <w:r w:rsidR="00D71E47">
        <w:rPr>
          <w:rFonts w:ascii="Times New Roman" w:hAnsi="Times New Roman"/>
          <w:szCs w:val="24"/>
        </w:rPr>
        <w:t>Commission Basis Report</w:t>
      </w:r>
      <w:r w:rsidR="00A32AF3">
        <w:rPr>
          <w:rFonts w:ascii="Times New Roman" w:hAnsi="Times New Roman"/>
          <w:szCs w:val="24"/>
        </w:rPr>
        <w:t xml:space="preserve"> for the 12 months ending June 30 each year.</w:t>
      </w:r>
      <w:r w:rsidR="00775F7D">
        <w:rPr>
          <w:rFonts w:ascii="Times New Roman" w:hAnsi="Times New Roman"/>
          <w:szCs w:val="24"/>
        </w:rPr>
        <w:t xml:space="preserve"> </w:t>
      </w:r>
      <w:r w:rsidR="00917BBE">
        <w:rPr>
          <w:rFonts w:ascii="Times New Roman" w:hAnsi="Times New Roman"/>
          <w:szCs w:val="24"/>
        </w:rPr>
        <w:t xml:space="preserve"> </w:t>
      </w:r>
      <w:r w:rsidR="00775F7D">
        <w:rPr>
          <w:rFonts w:ascii="Times New Roman" w:hAnsi="Times New Roman"/>
          <w:szCs w:val="24"/>
        </w:rPr>
        <w:t xml:space="preserve">For the initial deferral to commence May 1, 2016, the </w:t>
      </w:r>
      <w:r w:rsidR="00775F7D">
        <w:rPr>
          <w:rFonts w:ascii="Times New Roman" w:hAnsi="Times New Roman"/>
          <w:szCs w:val="24"/>
        </w:rPr>
        <w:lastRenderedPageBreak/>
        <w:t>effective date of this filing, the Company proposes to use a 14</w:t>
      </w:r>
      <w:r w:rsidR="00F84E8D">
        <w:rPr>
          <w:rFonts w:ascii="Times New Roman" w:hAnsi="Times New Roman"/>
          <w:szCs w:val="24"/>
        </w:rPr>
        <w:t>-</w:t>
      </w:r>
      <w:r w:rsidR="00775F7D">
        <w:rPr>
          <w:rFonts w:ascii="Times New Roman" w:hAnsi="Times New Roman"/>
          <w:szCs w:val="24"/>
        </w:rPr>
        <w:t>month deferral period</w:t>
      </w:r>
      <w:r w:rsidR="00F84E8D">
        <w:rPr>
          <w:rFonts w:ascii="Times New Roman" w:hAnsi="Times New Roman"/>
          <w:szCs w:val="24"/>
        </w:rPr>
        <w:t xml:space="preserve"> of May 1, 2016</w:t>
      </w:r>
      <w:r w:rsidR="00A234B3">
        <w:rPr>
          <w:rFonts w:ascii="Times New Roman" w:hAnsi="Times New Roman"/>
          <w:szCs w:val="24"/>
        </w:rPr>
        <w:t>,</w:t>
      </w:r>
      <w:r w:rsidR="00F84E8D">
        <w:rPr>
          <w:rFonts w:ascii="Times New Roman" w:hAnsi="Times New Roman"/>
          <w:szCs w:val="24"/>
        </w:rPr>
        <w:t xml:space="preserve"> through June 30, 2017.  </w:t>
      </w:r>
    </w:p>
    <w:p w:rsidR="006A2881" w:rsidRDefault="00A32AF3" w:rsidP="00D276F6">
      <w:pPr>
        <w:ind w:firstLine="720"/>
        <w:rPr>
          <w:rFonts w:ascii="Times" w:eastAsia="Times" w:hAnsi="Times"/>
        </w:rPr>
      </w:pPr>
      <w:r>
        <w:rPr>
          <w:rFonts w:ascii="Times New Roman" w:hAnsi="Times New Roman"/>
          <w:szCs w:val="24"/>
        </w:rPr>
        <w:t xml:space="preserve">Following the filing of the </w:t>
      </w:r>
      <w:r w:rsidR="00D71E47">
        <w:rPr>
          <w:rFonts w:ascii="Times New Roman" w:hAnsi="Times New Roman"/>
          <w:szCs w:val="24"/>
        </w:rPr>
        <w:t xml:space="preserve">Commission Basis Report </w:t>
      </w:r>
      <w:r>
        <w:rPr>
          <w:rFonts w:ascii="Times New Roman" w:hAnsi="Times New Roman"/>
          <w:szCs w:val="24"/>
        </w:rPr>
        <w:t xml:space="preserve">by the end of October each year, on </w:t>
      </w:r>
      <w:r w:rsidR="004569AB">
        <w:rPr>
          <w:rFonts w:ascii="Times New Roman" w:hAnsi="Times New Roman"/>
          <w:szCs w:val="24"/>
        </w:rPr>
        <w:t xml:space="preserve">December </w:t>
      </w:r>
      <w:r>
        <w:rPr>
          <w:rFonts w:ascii="Times New Roman" w:hAnsi="Times New Roman"/>
          <w:szCs w:val="24"/>
        </w:rPr>
        <w:t xml:space="preserve">1 the Company will file </w:t>
      </w:r>
      <w:r w:rsidR="00740CC6" w:rsidRPr="00740CC6">
        <w:rPr>
          <w:rFonts w:ascii="Times" w:eastAsia="Times" w:hAnsi="Times"/>
        </w:rPr>
        <w:t xml:space="preserve">a proposed rate adjustment </w:t>
      </w:r>
      <w:r w:rsidR="00320AB6">
        <w:rPr>
          <w:rFonts w:ascii="Times" w:eastAsia="Times" w:hAnsi="Times"/>
        </w:rPr>
        <w:t>(</w:t>
      </w:r>
      <w:r w:rsidR="00740CC6" w:rsidRPr="00740CC6">
        <w:rPr>
          <w:rFonts w:ascii="Times" w:eastAsia="Times" w:hAnsi="Times"/>
        </w:rPr>
        <w:t xml:space="preserve">surcharge or </w:t>
      </w:r>
      <w:r w:rsidR="00C75904">
        <w:rPr>
          <w:rFonts w:ascii="Times" w:eastAsia="Times" w:hAnsi="Times"/>
        </w:rPr>
        <w:t>surcredit</w:t>
      </w:r>
      <w:r w:rsidR="00320AB6">
        <w:rPr>
          <w:rFonts w:ascii="Times" w:eastAsia="Times" w:hAnsi="Times"/>
        </w:rPr>
        <w:t>)</w:t>
      </w:r>
      <w:r w:rsidR="00C75904">
        <w:rPr>
          <w:rFonts w:ascii="Times" w:eastAsia="Times" w:hAnsi="Times"/>
        </w:rPr>
        <w:t xml:space="preserve"> </w:t>
      </w:r>
      <w:r>
        <w:rPr>
          <w:rFonts w:ascii="Times" w:eastAsia="Times" w:hAnsi="Times"/>
        </w:rPr>
        <w:t xml:space="preserve">on </w:t>
      </w:r>
      <w:r w:rsidRPr="00DC4B5D">
        <w:rPr>
          <w:rFonts w:ascii="Times" w:eastAsia="Times" w:hAnsi="Times"/>
        </w:rPr>
        <w:t xml:space="preserve">Schedule </w:t>
      </w:r>
      <w:r w:rsidR="004569AB">
        <w:rPr>
          <w:rFonts w:ascii="Times" w:eastAsia="Times" w:hAnsi="Times"/>
        </w:rPr>
        <w:t>93</w:t>
      </w:r>
      <w:r>
        <w:rPr>
          <w:rFonts w:ascii="Times" w:eastAsia="Times" w:hAnsi="Times"/>
        </w:rPr>
        <w:t xml:space="preserve">, </w:t>
      </w:r>
      <w:r w:rsidR="00740CC6" w:rsidRPr="00740CC6">
        <w:rPr>
          <w:rFonts w:ascii="Times" w:eastAsia="Times" w:hAnsi="Times"/>
        </w:rPr>
        <w:t xml:space="preserve">based on the amount of deferred revenue recorded for the prior </w:t>
      </w:r>
      <w:r>
        <w:rPr>
          <w:rFonts w:ascii="Times" w:eastAsia="Times" w:hAnsi="Times"/>
        </w:rPr>
        <w:t>deferral</w:t>
      </w:r>
      <w:r w:rsidR="00740CC6" w:rsidRPr="00740CC6">
        <w:rPr>
          <w:rFonts w:ascii="Times" w:eastAsia="Times" w:hAnsi="Times"/>
        </w:rPr>
        <w:t xml:space="preserve"> period</w:t>
      </w:r>
      <w:r>
        <w:rPr>
          <w:rFonts w:ascii="Times" w:eastAsia="Times" w:hAnsi="Times"/>
        </w:rPr>
        <w:t>, with a proposed effective date of February 1 the following year</w:t>
      </w:r>
      <w:r w:rsidR="00740CC6" w:rsidRPr="00740CC6">
        <w:rPr>
          <w:rFonts w:ascii="Times" w:eastAsia="Times" w:hAnsi="Times"/>
        </w:rPr>
        <w:t xml:space="preserve">.  The rate adjustment </w:t>
      </w:r>
      <w:r>
        <w:rPr>
          <w:rFonts w:ascii="Times" w:eastAsia="Times" w:hAnsi="Times"/>
        </w:rPr>
        <w:t>will be subject to a</w:t>
      </w:r>
      <w:r w:rsidR="00D71E47">
        <w:rPr>
          <w:rFonts w:ascii="Times" w:eastAsia="Times" w:hAnsi="Times"/>
        </w:rPr>
        <w:t xml:space="preserve"> three</w:t>
      </w:r>
      <w:r>
        <w:rPr>
          <w:rFonts w:ascii="Times" w:eastAsia="Times" w:hAnsi="Times"/>
        </w:rPr>
        <w:t xml:space="preserve"> percent annual cap, by rate schedule, for any surcharges.  Any amounts exceeding the annual cap will remain in the balancing account</w:t>
      </w:r>
      <w:r w:rsidR="00775F7D">
        <w:rPr>
          <w:rFonts w:ascii="Times" w:eastAsia="Times" w:hAnsi="Times"/>
        </w:rPr>
        <w:t xml:space="preserve"> and be subject to future recovery</w:t>
      </w:r>
      <w:r>
        <w:rPr>
          <w:rFonts w:ascii="Times" w:eastAsia="Times" w:hAnsi="Times"/>
        </w:rPr>
        <w:t>.  Surcredits will not be subject to an annual</w:t>
      </w:r>
      <w:r w:rsidR="00194E65">
        <w:rPr>
          <w:rFonts w:ascii="Times" w:eastAsia="Times" w:hAnsi="Times"/>
        </w:rPr>
        <w:t xml:space="preserve"> cap</w:t>
      </w:r>
      <w:r>
        <w:rPr>
          <w:rFonts w:ascii="Times" w:eastAsia="Times" w:hAnsi="Times"/>
        </w:rPr>
        <w:t xml:space="preserve">.  The rate adjustments will be calculated on a </w:t>
      </w:r>
      <w:r w:rsidR="00D71E47">
        <w:rPr>
          <w:rFonts w:ascii="Times" w:eastAsia="Times" w:hAnsi="Times"/>
        </w:rPr>
        <w:t xml:space="preserve">dollar </w:t>
      </w:r>
      <w:r>
        <w:rPr>
          <w:rFonts w:ascii="Times" w:eastAsia="Times" w:hAnsi="Times"/>
        </w:rPr>
        <w:t xml:space="preserve">per </w:t>
      </w:r>
      <w:r w:rsidR="00320AB6">
        <w:rPr>
          <w:rFonts w:ascii="Times" w:eastAsia="Times" w:hAnsi="Times"/>
        </w:rPr>
        <w:t>kWh</w:t>
      </w:r>
      <w:r>
        <w:rPr>
          <w:rFonts w:ascii="Times" w:eastAsia="Times" w:hAnsi="Times"/>
        </w:rPr>
        <w:t xml:space="preserve"> basis.  </w:t>
      </w:r>
    </w:p>
    <w:p w:rsidR="00C75904" w:rsidRDefault="00C75904" w:rsidP="00C75904">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253F90">
        <w:rPr>
          <w:rFonts w:ascii="Times New Roman" w:hAnsi="Times New Roman"/>
          <w:b/>
          <w:szCs w:val="24"/>
        </w:rPr>
        <w:t xml:space="preserve">Will </w:t>
      </w:r>
      <w:r>
        <w:rPr>
          <w:rFonts w:ascii="Times New Roman" w:hAnsi="Times New Roman"/>
          <w:b/>
          <w:szCs w:val="24"/>
        </w:rPr>
        <w:t xml:space="preserve">the decoupling mechanism </w:t>
      </w:r>
      <w:r w:rsidR="00253F90">
        <w:rPr>
          <w:rFonts w:ascii="Times New Roman" w:hAnsi="Times New Roman"/>
          <w:b/>
          <w:szCs w:val="24"/>
        </w:rPr>
        <w:t xml:space="preserve">include </w:t>
      </w:r>
      <w:r>
        <w:rPr>
          <w:rFonts w:ascii="Times New Roman" w:hAnsi="Times New Roman"/>
          <w:b/>
          <w:szCs w:val="24"/>
        </w:rPr>
        <w:t>an earnings test?</w:t>
      </w:r>
    </w:p>
    <w:p w:rsidR="00775F7D" w:rsidRDefault="00C75904" w:rsidP="002D7ACB">
      <w:pPr>
        <w:rPr>
          <w:rFonts w:ascii="Times" w:eastAsia="Times" w:hAnsi="Times"/>
        </w:rPr>
      </w:pPr>
      <w:r w:rsidRPr="00C75904">
        <w:rPr>
          <w:rFonts w:ascii="Times New Roman" w:hAnsi="Times New Roman"/>
          <w:szCs w:val="24"/>
        </w:rPr>
        <w:t>A.</w:t>
      </w:r>
      <w:r w:rsidR="00740CC6" w:rsidRPr="00740CC6">
        <w:rPr>
          <w:rFonts w:ascii="Times" w:eastAsia="Times" w:hAnsi="Times"/>
        </w:rPr>
        <w:t xml:space="preserve"> </w:t>
      </w:r>
      <w:r w:rsidR="00740CC6" w:rsidRPr="00740CC6">
        <w:rPr>
          <w:rFonts w:ascii="Times" w:eastAsia="Times" w:hAnsi="Times"/>
        </w:rPr>
        <w:tab/>
      </w:r>
      <w:r w:rsidR="00552F52">
        <w:rPr>
          <w:rFonts w:ascii="Times" w:eastAsia="Times" w:hAnsi="Times"/>
        </w:rPr>
        <w:t xml:space="preserve">Yes. </w:t>
      </w:r>
      <w:r w:rsidR="00917BBE">
        <w:rPr>
          <w:rFonts w:ascii="Times" w:eastAsia="Times" w:hAnsi="Times"/>
        </w:rPr>
        <w:t xml:space="preserve"> </w:t>
      </w:r>
      <w:r w:rsidR="00740CC6" w:rsidRPr="00740CC6">
        <w:rPr>
          <w:rFonts w:ascii="Times" w:eastAsia="Times" w:hAnsi="Times"/>
        </w:rPr>
        <w:t xml:space="preserve">Before any decoupling rate adjustment, the Company </w:t>
      </w:r>
      <w:r w:rsidR="00775F7D">
        <w:rPr>
          <w:rFonts w:ascii="Times" w:eastAsia="Times" w:hAnsi="Times"/>
        </w:rPr>
        <w:t>will</w:t>
      </w:r>
      <w:r w:rsidR="00740CC6" w:rsidRPr="00740CC6">
        <w:rPr>
          <w:rFonts w:ascii="Times" w:eastAsia="Times" w:hAnsi="Times"/>
        </w:rPr>
        <w:t xml:space="preserve"> apply an earnings test</w:t>
      </w:r>
      <w:r w:rsidR="00775F7D">
        <w:rPr>
          <w:rFonts w:ascii="Times" w:eastAsia="Times" w:hAnsi="Times"/>
        </w:rPr>
        <w:t>,</w:t>
      </w:r>
      <w:r w:rsidR="00253F90">
        <w:rPr>
          <w:rFonts w:ascii="Times" w:eastAsia="Times" w:hAnsi="Times"/>
        </w:rPr>
        <w:t xml:space="preserve"> as described in Ms. McCoy’s direct testimony.</w:t>
      </w:r>
      <w:r w:rsidR="00740CC6" w:rsidRPr="00740CC6">
        <w:rPr>
          <w:rFonts w:ascii="Times" w:eastAsia="Times" w:hAnsi="Times"/>
        </w:rPr>
        <w:t xml:space="preserve">  </w:t>
      </w:r>
    </w:p>
    <w:p w:rsidR="002D7ACB" w:rsidRDefault="002D7ACB" w:rsidP="002D7AC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What is the duration of the decoupling mechanism the Company is proposing?</w:t>
      </w:r>
    </w:p>
    <w:p w:rsidR="00740CC6" w:rsidRDefault="002D7ACB" w:rsidP="002D7ACB">
      <w:pPr>
        <w:rPr>
          <w:rFonts w:ascii="Times" w:eastAsia="Times" w:hAnsi="Times"/>
        </w:rPr>
      </w:pPr>
      <w:r>
        <w:rPr>
          <w:rFonts w:ascii="Times" w:eastAsia="Times" w:hAnsi="Times"/>
        </w:rPr>
        <w:t>A.</w:t>
      </w:r>
      <w:r w:rsidR="00740CC6" w:rsidRPr="00740CC6">
        <w:rPr>
          <w:rFonts w:ascii="Times" w:eastAsia="Times" w:hAnsi="Times"/>
        </w:rPr>
        <w:t xml:space="preserve"> </w:t>
      </w:r>
      <w:r w:rsidR="00740CC6" w:rsidRPr="00740CC6">
        <w:rPr>
          <w:rFonts w:ascii="Times" w:eastAsia="Times" w:hAnsi="Times"/>
        </w:rPr>
        <w:tab/>
        <w:t>The Company proposes that the mechanism be approved for a minimum of five years, beginning on May 1, 2016.  After three years, the Company proposes</w:t>
      </w:r>
      <w:r w:rsidR="00D71E47">
        <w:rPr>
          <w:rFonts w:ascii="Times" w:eastAsia="Times" w:hAnsi="Times"/>
        </w:rPr>
        <w:t xml:space="preserve"> to</w:t>
      </w:r>
      <w:r w:rsidR="00740CC6" w:rsidRPr="00740CC6">
        <w:rPr>
          <w:rFonts w:ascii="Times" w:eastAsia="Times" w:hAnsi="Times"/>
        </w:rPr>
        <w:t xml:space="preserve"> </w:t>
      </w:r>
      <w:r w:rsidR="00D71E47">
        <w:rPr>
          <w:rFonts w:ascii="Times" w:eastAsia="Times" w:hAnsi="Times"/>
        </w:rPr>
        <w:t>e</w:t>
      </w:r>
      <w:r w:rsidR="00740CC6" w:rsidRPr="00740CC6">
        <w:rPr>
          <w:rFonts w:ascii="Times" w:eastAsia="Times" w:hAnsi="Times"/>
        </w:rPr>
        <w:t xml:space="preserve">valuate the effectiveness of the mechanism.  The evaluation will examine the same issues that will be examined as part of the similar review of Avista’s mechanism.  </w:t>
      </w:r>
    </w:p>
    <w:p w:rsidR="000C757D" w:rsidRDefault="00A078C1" w:rsidP="000C757D">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Is the Company’s </w:t>
      </w:r>
      <w:r w:rsidR="00320AB6">
        <w:rPr>
          <w:rFonts w:ascii="Times New Roman" w:hAnsi="Times New Roman"/>
          <w:b/>
          <w:szCs w:val="24"/>
        </w:rPr>
        <w:t>p</w:t>
      </w:r>
      <w:r>
        <w:rPr>
          <w:rFonts w:ascii="Times New Roman" w:hAnsi="Times New Roman"/>
          <w:b/>
          <w:szCs w:val="24"/>
        </w:rPr>
        <w:t>roposal consistent with the Commission’s Decoupling Policy Statement?</w:t>
      </w:r>
    </w:p>
    <w:p w:rsidR="00740CC6" w:rsidRPr="00A078C1" w:rsidRDefault="00A078C1" w:rsidP="00F84E8D">
      <w:pPr>
        <w:rPr>
          <w:rFonts w:ascii="Times" w:eastAsia="Times" w:hAnsi="Times"/>
        </w:rPr>
      </w:pPr>
      <w:r w:rsidRPr="00A078C1">
        <w:rPr>
          <w:rFonts w:ascii="Times" w:eastAsia="Times" w:hAnsi="Times"/>
        </w:rPr>
        <w:t xml:space="preserve">A. </w:t>
      </w:r>
      <w:r>
        <w:rPr>
          <w:rFonts w:ascii="Times" w:eastAsia="Times" w:hAnsi="Times"/>
        </w:rPr>
        <w:tab/>
      </w:r>
      <w:r w:rsidRPr="00A078C1">
        <w:rPr>
          <w:rFonts w:ascii="Times" w:eastAsia="Times" w:hAnsi="Times"/>
        </w:rPr>
        <w:t xml:space="preserve">Yes. </w:t>
      </w:r>
      <w:r w:rsidR="00A234B3">
        <w:rPr>
          <w:rFonts w:ascii="Times" w:eastAsia="Times" w:hAnsi="Times"/>
        </w:rPr>
        <w:t xml:space="preserve"> </w:t>
      </w:r>
      <w:r w:rsidRPr="00A078C1">
        <w:rPr>
          <w:rFonts w:ascii="Times" w:eastAsia="Times" w:hAnsi="Times"/>
        </w:rPr>
        <w:t>T</w:t>
      </w:r>
      <w:r w:rsidR="00740CC6" w:rsidRPr="00A078C1">
        <w:rPr>
          <w:rFonts w:ascii="Times" w:eastAsia="Times" w:hAnsi="Times"/>
        </w:rPr>
        <w:t>he Company’s proposed decoupling adjustment mechanism, like the Avista</w:t>
      </w:r>
      <w:r w:rsidR="00F84E8D">
        <w:rPr>
          <w:rFonts w:ascii="Times" w:eastAsia="Times" w:hAnsi="Times"/>
        </w:rPr>
        <w:t xml:space="preserve"> and PSE</w:t>
      </w:r>
      <w:r w:rsidR="00740CC6" w:rsidRPr="00A078C1">
        <w:rPr>
          <w:rFonts w:ascii="Times" w:eastAsia="Times" w:hAnsi="Times"/>
        </w:rPr>
        <w:t xml:space="preserve"> </w:t>
      </w:r>
      <w:r w:rsidR="000C757D">
        <w:rPr>
          <w:rFonts w:ascii="Times" w:eastAsia="Times" w:hAnsi="Times"/>
        </w:rPr>
        <w:t>m</w:t>
      </w:r>
      <w:r w:rsidR="00740CC6" w:rsidRPr="00A078C1">
        <w:rPr>
          <w:rFonts w:ascii="Times" w:eastAsia="Times" w:hAnsi="Times"/>
        </w:rPr>
        <w:t>echanism</w:t>
      </w:r>
      <w:r w:rsidR="00F84E8D">
        <w:rPr>
          <w:rFonts w:ascii="Times" w:eastAsia="Times" w:hAnsi="Times"/>
        </w:rPr>
        <w:t>s</w:t>
      </w:r>
      <w:r w:rsidR="00740CC6" w:rsidRPr="00A078C1">
        <w:rPr>
          <w:rFonts w:ascii="Times" w:eastAsia="Times" w:hAnsi="Times"/>
        </w:rPr>
        <w:t xml:space="preserve"> on which it is modeled, is consistent with the Commission’s </w:t>
      </w:r>
      <w:r w:rsidR="00740CC6" w:rsidRPr="00A078C1">
        <w:rPr>
          <w:rFonts w:ascii="Times" w:eastAsia="Times" w:hAnsi="Times"/>
        </w:rPr>
        <w:lastRenderedPageBreak/>
        <w:t xml:space="preserve">guidance on decoupling proposals.  </w:t>
      </w:r>
      <w:r w:rsidR="00F84E8D">
        <w:rPr>
          <w:rFonts w:ascii="Times" w:eastAsia="Times" w:hAnsi="Times"/>
        </w:rPr>
        <w:t xml:space="preserve">The following is a summary of how the proposed mechanism is consistent with the provisions </w:t>
      </w:r>
      <w:r w:rsidR="00C0652B">
        <w:rPr>
          <w:rFonts w:ascii="Times" w:eastAsia="Times" w:hAnsi="Times"/>
        </w:rPr>
        <w:t>required</w:t>
      </w:r>
      <w:r w:rsidR="00F84E8D">
        <w:rPr>
          <w:rFonts w:ascii="Times" w:eastAsia="Times" w:hAnsi="Times"/>
        </w:rPr>
        <w:t xml:space="preserve"> in the Decoupling Policy Statement.</w:t>
      </w:r>
      <w:r w:rsidR="00C0652B" w:rsidRPr="00C0652B">
        <w:rPr>
          <w:rStyle w:val="FootnoteReference"/>
          <w:rFonts w:ascii="Times" w:eastAsia="Times" w:hAnsi="Times"/>
          <w:vertAlign w:val="superscript"/>
        </w:rPr>
        <w:footnoteReference w:id="10"/>
      </w:r>
      <w:r w:rsidR="000C757D" w:rsidRPr="00C0652B">
        <w:rPr>
          <w:rFonts w:ascii="Times" w:eastAsia="Times" w:hAnsi="Times"/>
          <w:vertAlign w:val="superscript"/>
        </w:rPr>
        <w:t xml:space="preserve"> </w:t>
      </w:r>
    </w:p>
    <w:p w:rsidR="00740CC6" w:rsidRDefault="00740CC6" w:rsidP="006A2881">
      <w:pPr>
        <w:numPr>
          <w:ilvl w:val="0"/>
          <w:numId w:val="54"/>
        </w:numPr>
        <w:tabs>
          <w:tab w:val="num" w:pos="1440"/>
        </w:tabs>
        <w:spacing w:line="240" w:lineRule="auto"/>
        <w:ind w:left="1440"/>
        <w:rPr>
          <w:rFonts w:ascii="Times" w:eastAsia="Times" w:hAnsi="Times"/>
        </w:rPr>
      </w:pPr>
      <w:r w:rsidRPr="00740CC6">
        <w:rPr>
          <w:rFonts w:ascii="Times" w:eastAsia="Times" w:hAnsi="Times"/>
          <w:b/>
        </w:rPr>
        <w:t>True-up Mechanism</w:t>
      </w:r>
      <w:r w:rsidRPr="00740CC6">
        <w:rPr>
          <w:rFonts w:ascii="Times" w:eastAsia="Times" w:hAnsi="Times"/>
        </w:rPr>
        <w:t xml:space="preserve">.  </w:t>
      </w:r>
      <w:r w:rsidR="000C757D">
        <w:rPr>
          <w:rFonts w:ascii="Times" w:eastAsia="Times" w:hAnsi="Times"/>
        </w:rPr>
        <w:t xml:space="preserve">As previously </w:t>
      </w:r>
      <w:r w:rsidR="00F84E8D">
        <w:rPr>
          <w:rFonts w:ascii="Times" w:eastAsia="Times" w:hAnsi="Times"/>
        </w:rPr>
        <w:t>explained, the mechanism includes an annual true-up for the deferral period of the 12 months ending June 30 each year (14-months for the initial period)</w:t>
      </w:r>
      <w:r w:rsidR="000C757D">
        <w:rPr>
          <w:rFonts w:ascii="Times" w:eastAsia="Times" w:hAnsi="Times"/>
        </w:rPr>
        <w:t>.</w:t>
      </w:r>
      <w:r w:rsidR="00F84E8D">
        <w:rPr>
          <w:rFonts w:ascii="Times" w:eastAsia="Times" w:hAnsi="Times"/>
        </w:rPr>
        <w:t xml:space="preserve">  The Company will file the rate adjustment </w:t>
      </w:r>
      <w:r w:rsidR="007236E2">
        <w:rPr>
          <w:rFonts w:ascii="Times" w:eastAsia="Times" w:hAnsi="Times"/>
        </w:rPr>
        <w:t xml:space="preserve">December </w:t>
      </w:r>
      <w:r w:rsidR="00F84E8D">
        <w:rPr>
          <w:rFonts w:ascii="Times" w:eastAsia="Times" w:hAnsi="Times"/>
        </w:rPr>
        <w:t>1 with an effective date February 1 the following year.</w:t>
      </w:r>
    </w:p>
    <w:p w:rsidR="00D276F6" w:rsidRPr="00740CC6" w:rsidRDefault="00D276F6" w:rsidP="00D276F6">
      <w:pPr>
        <w:suppressLineNumbers/>
        <w:tabs>
          <w:tab w:val="num" w:pos="1440"/>
        </w:tabs>
        <w:spacing w:line="240" w:lineRule="auto"/>
        <w:ind w:left="1440" w:firstLine="0"/>
        <w:rPr>
          <w:rFonts w:ascii="Times" w:eastAsia="Times" w:hAnsi="Times"/>
        </w:rPr>
      </w:pPr>
    </w:p>
    <w:p w:rsidR="00740CC6" w:rsidRDefault="00740CC6" w:rsidP="006A2881">
      <w:pPr>
        <w:numPr>
          <w:ilvl w:val="0"/>
          <w:numId w:val="54"/>
        </w:numPr>
        <w:tabs>
          <w:tab w:val="num" w:pos="1440"/>
        </w:tabs>
        <w:spacing w:line="240" w:lineRule="auto"/>
        <w:ind w:left="1440"/>
        <w:rPr>
          <w:rFonts w:ascii="Times" w:eastAsia="Times" w:hAnsi="Times"/>
        </w:rPr>
      </w:pPr>
      <w:r w:rsidRPr="00740CC6">
        <w:rPr>
          <w:rFonts w:ascii="Times" w:eastAsia="Times" w:hAnsi="Times"/>
          <w:b/>
        </w:rPr>
        <w:t>Impact on Rate of Return.</w:t>
      </w:r>
      <w:r w:rsidRPr="00740CC6">
        <w:rPr>
          <w:rFonts w:ascii="Times" w:eastAsia="Times" w:hAnsi="Times"/>
        </w:rPr>
        <w:t xml:space="preserve">  </w:t>
      </w:r>
      <w:r w:rsidR="00917BBE">
        <w:rPr>
          <w:rFonts w:ascii="Times" w:eastAsia="Times" w:hAnsi="Times"/>
        </w:rPr>
        <w:t>This issue is addressed in the testimony of Mr. Kurt</w:t>
      </w:r>
      <w:r w:rsidR="00D71E47">
        <w:rPr>
          <w:rFonts w:ascii="Times" w:eastAsia="Times" w:hAnsi="Times"/>
        </w:rPr>
        <w:t xml:space="preserve"> G.</w:t>
      </w:r>
      <w:r w:rsidR="00917BBE">
        <w:rPr>
          <w:rFonts w:ascii="Times" w:eastAsia="Times" w:hAnsi="Times"/>
        </w:rPr>
        <w:t xml:space="preserve"> Strunk.</w:t>
      </w:r>
      <w:r w:rsidRPr="00740CC6">
        <w:rPr>
          <w:rFonts w:ascii="Times" w:eastAsia="Times" w:hAnsi="Times"/>
        </w:rPr>
        <w:t xml:space="preserve">  </w:t>
      </w:r>
    </w:p>
    <w:p w:rsidR="00D276F6" w:rsidRPr="00740CC6" w:rsidRDefault="00D276F6" w:rsidP="00D276F6">
      <w:pPr>
        <w:suppressLineNumbers/>
        <w:tabs>
          <w:tab w:val="num" w:pos="1440"/>
        </w:tabs>
        <w:spacing w:line="240" w:lineRule="auto"/>
        <w:ind w:left="1440" w:firstLine="0"/>
        <w:rPr>
          <w:rFonts w:ascii="Times" w:eastAsia="Times" w:hAnsi="Times"/>
        </w:rPr>
      </w:pPr>
    </w:p>
    <w:p w:rsidR="006A2881" w:rsidRDefault="00740CC6" w:rsidP="006A2881">
      <w:pPr>
        <w:pStyle w:val="ListParagraph"/>
        <w:numPr>
          <w:ilvl w:val="0"/>
          <w:numId w:val="54"/>
        </w:numPr>
        <w:tabs>
          <w:tab w:val="clear" w:pos="720"/>
          <w:tab w:val="left" w:pos="1080"/>
          <w:tab w:val="num" w:pos="1440"/>
        </w:tabs>
        <w:spacing w:line="240" w:lineRule="auto"/>
        <w:ind w:left="1440"/>
        <w:rPr>
          <w:rFonts w:ascii="Times" w:eastAsia="Times" w:hAnsi="Times"/>
        </w:rPr>
      </w:pPr>
      <w:r w:rsidRPr="0064266B">
        <w:rPr>
          <w:rFonts w:ascii="Times" w:eastAsia="Times" w:hAnsi="Times"/>
          <w:b/>
        </w:rPr>
        <w:t xml:space="preserve">Earnings </w:t>
      </w:r>
      <w:r w:rsidR="00194E65">
        <w:rPr>
          <w:rFonts w:ascii="Times" w:eastAsia="Times" w:hAnsi="Times"/>
          <w:b/>
        </w:rPr>
        <w:t>T</w:t>
      </w:r>
      <w:r w:rsidRPr="0064266B">
        <w:rPr>
          <w:rFonts w:ascii="Times" w:eastAsia="Times" w:hAnsi="Times"/>
          <w:b/>
        </w:rPr>
        <w:t>est.</w:t>
      </w:r>
      <w:r w:rsidRPr="0064266B">
        <w:rPr>
          <w:rFonts w:ascii="Times" w:eastAsia="Times" w:hAnsi="Times"/>
        </w:rPr>
        <w:t xml:space="preserve">  </w:t>
      </w:r>
      <w:r w:rsidR="0059185B">
        <w:rPr>
          <w:rFonts w:ascii="Times" w:eastAsia="Times" w:hAnsi="Times"/>
        </w:rPr>
        <w:t xml:space="preserve">This issue is addressed in </w:t>
      </w:r>
      <w:r w:rsidR="00A10ECF">
        <w:rPr>
          <w:rFonts w:ascii="Times" w:eastAsia="Times" w:hAnsi="Times"/>
        </w:rPr>
        <w:t xml:space="preserve">the testimony of </w:t>
      </w:r>
      <w:r w:rsidR="003A6B9F">
        <w:rPr>
          <w:rFonts w:ascii="Times" w:eastAsia="Times" w:hAnsi="Times"/>
        </w:rPr>
        <w:t xml:space="preserve">Ms. </w:t>
      </w:r>
      <w:r w:rsidR="00A10ECF">
        <w:rPr>
          <w:rFonts w:ascii="Times" w:eastAsia="Times" w:hAnsi="Times"/>
        </w:rPr>
        <w:t>McCoy</w:t>
      </w:r>
      <w:r w:rsidR="000C757D" w:rsidRPr="0064266B">
        <w:rPr>
          <w:rFonts w:ascii="Times" w:eastAsia="Times" w:hAnsi="Times"/>
        </w:rPr>
        <w:t>.</w:t>
      </w:r>
      <w:r w:rsidRPr="0064266B">
        <w:rPr>
          <w:rFonts w:ascii="Times" w:eastAsia="Times" w:hAnsi="Times"/>
        </w:rPr>
        <w:t xml:space="preserve">  </w:t>
      </w:r>
      <w:r w:rsidRPr="0064266B">
        <w:rPr>
          <w:rFonts w:ascii="Times" w:eastAsia="SimSun" w:hAnsi="Times"/>
        </w:rPr>
        <w:t xml:space="preserve">  </w:t>
      </w:r>
      <w:r w:rsidRPr="0064266B">
        <w:rPr>
          <w:rFonts w:ascii="Times" w:eastAsia="Times" w:hAnsi="Times"/>
        </w:rPr>
        <w:t xml:space="preserve">  </w:t>
      </w:r>
    </w:p>
    <w:p w:rsidR="00D276F6" w:rsidRPr="006A2881" w:rsidRDefault="00D276F6" w:rsidP="00D276F6">
      <w:pPr>
        <w:pStyle w:val="ListParagraph"/>
        <w:suppressLineNumbers/>
        <w:tabs>
          <w:tab w:val="left" w:pos="1080"/>
        </w:tabs>
        <w:spacing w:line="240" w:lineRule="auto"/>
        <w:ind w:left="1440" w:firstLine="0"/>
        <w:rPr>
          <w:rFonts w:ascii="Times" w:eastAsia="Times" w:hAnsi="Times"/>
        </w:rPr>
      </w:pPr>
    </w:p>
    <w:p w:rsidR="00733648" w:rsidRDefault="00733648" w:rsidP="006A2881">
      <w:pPr>
        <w:pStyle w:val="ListParagraph"/>
        <w:numPr>
          <w:ilvl w:val="0"/>
          <w:numId w:val="54"/>
        </w:numPr>
        <w:tabs>
          <w:tab w:val="clear" w:pos="720"/>
          <w:tab w:val="left" w:pos="1440"/>
        </w:tabs>
        <w:spacing w:line="240" w:lineRule="auto"/>
        <w:ind w:left="1440"/>
        <w:rPr>
          <w:rFonts w:ascii="Times" w:eastAsia="Times" w:hAnsi="Times"/>
        </w:rPr>
      </w:pPr>
      <w:r>
        <w:rPr>
          <w:rFonts w:ascii="Times" w:eastAsia="Times" w:hAnsi="Times"/>
          <w:b/>
        </w:rPr>
        <w:t>Accounting for Off-System Sales and Avoided Costs.</w:t>
      </w:r>
      <w:r>
        <w:rPr>
          <w:rFonts w:ascii="Times" w:eastAsia="Times" w:hAnsi="Times"/>
        </w:rPr>
        <w:t xml:space="preserve">  </w:t>
      </w:r>
      <w:r w:rsidR="00C0652B">
        <w:rPr>
          <w:rFonts w:ascii="Times" w:eastAsia="Times" w:hAnsi="Times"/>
        </w:rPr>
        <w:t>Off-system sales and avoided costs are tracked and recovered through the PCAM</w:t>
      </w:r>
      <w:r w:rsidR="00917BBE">
        <w:rPr>
          <w:rFonts w:ascii="Times" w:eastAsia="Times" w:hAnsi="Times"/>
        </w:rPr>
        <w:t>,</w:t>
      </w:r>
      <w:r w:rsidR="00C0652B">
        <w:rPr>
          <w:rFonts w:ascii="Times" w:eastAsia="Times" w:hAnsi="Times"/>
        </w:rPr>
        <w:t xml:space="preserve"> so </w:t>
      </w:r>
      <w:r w:rsidR="00917BBE">
        <w:rPr>
          <w:rFonts w:ascii="Times" w:eastAsia="Times" w:hAnsi="Times"/>
        </w:rPr>
        <w:t xml:space="preserve">they </w:t>
      </w:r>
      <w:r w:rsidR="00C0652B">
        <w:rPr>
          <w:rFonts w:ascii="Times" w:eastAsia="Times" w:hAnsi="Times"/>
        </w:rPr>
        <w:t xml:space="preserve">are excluded </w:t>
      </w:r>
      <w:r w:rsidR="00917BBE">
        <w:rPr>
          <w:rFonts w:ascii="Times" w:eastAsia="Times" w:hAnsi="Times"/>
        </w:rPr>
        <w:t xml:space="preserve">from </w:t>
      </w:r>
      <w:r w:rsidR="00C0652B">
        <w:rPr>
          <w:rFonts w:ascii="Times" w:eastAsia="Times" w:hAnsi="Times"/>
        </w:rPr>
        <w:t>th</w:t>
      </w:r>
      <w:r w:rsidR="00917BBE">
        <w:rPr>
          <w:rFonts w:ascii="Times" w:eastAsia="Times" w:hAnsi="Times"/>
        </w:rPr>
        <w:t>e</w:t>
      </w:r>
      <w:r w:rsidR="00C0652B">
        <w:rPr>
          <w:rFonts w:ascii="Times" w:eastAsia="Times" w:hAnsi="Times"/>
        </w:rPr>
        <w:t xml:space="preserve"> decoupling mechanism.</w:t>
      </w:r>
    </w:p>
    <w:p w:rsidR="00D276F6" w:rsidRDefault="00D276F6" w:rsidP="00D276F6">
      <w:pPr>
        <w:pStyle w:val="ListParagraph"/>
        <w:suppressLineNumbers/>
        <w:tabs>
          <w:tab w:val="left" w:pos="1440"/>
        </w:tabs>
        <w:spacing w:line="240" w:lineRule="auto"/>
        <w:ind w:left="1440" w:firstLine="0"/>
        <w:rPr>
          <w:rFonts w:ascii="Times" w:eastAsia="Times" w:hAnsi="Times"/>
        </w:rPr>
      </w:pPr>
    </w:p>
    <w:p w:rsidR="00733648" w:rsidRDefault="00733648" w:rsidP="006A2881">
      <w:pPr>
        <w:pStyle w:val="ListParagraph"/>
        <w:numPr>
          <w:ilvl w:val="0"/>
          <w:numId w:val="54"/>
        </w:numPr>
        <w:tabs>
          <w:tab w:val="clear" w:pos="720"/>
          <w:tab w:val="left" w:pos="1440"/>
        </w:tabs>
        <w:spacing w:line="240" w:lineRule="auto"/>
        <w:ind w:left="1440"/>
        <w:rPr>
          <w:rFonts w:ascii="Times" w:eastAsia="Times" w:hAnsi="Times"/>
        </w:rPr>
      </w:pPr>
      <w:r w:rsidRPr="00C0652B">
        <w:rPr>
          <w:rFonts w:ascii="Times" w:eastAsia="Times" w:hAnsi="Times"/>
          <w:b/>
        </w:rPr>
        <w:t>Application to Customer Classes</w:t>
      </w:r>
      <w:r>
        <w:rPr>
          <w:rFonts w:ascii="Times" w:eastAsia="Times" w:hAnsi="Times"/>
        </w:rPr>
        <w:t>.</w:t>
      </w:r>
      <w:r w:rsidR="00C0652B">
        <w:rPr>
          <w:rFonts w:ascii="Times" w:eastAsia="Times" w:hAnsi="Times"/>
        </w:rPr>
        <w:t xml:space="preserve">  As discussed above, the Company proposes to </w:t>
      </w:r>
      <w:r w:rsidR="00917BBE">
        <w:rPr>
          <w:rFonts w:ascii="Times" w:eastAsia="Times" w:hAnsi="Times"/>
        </w:rPr>
        <w:t xml:space="preserve">include </w:t>
      </w:r>
      <w:r w:rsidR="00C0652B">
        <w:rPr>
          <w:rFonts w:ascii="Times" w:eastAsia="Times" w:hAnsi="Times"/>
        </w:rPr>
        <w:t xml:space="preserve">all rate schedules </w:t>
      </w:r>
      <w:r w:rsidR="00917BBE">
        <w:rPr>
          <w:rFonts w:ascii="Times" w:eastAsia="Times" w:hAnsi="Times"/>
        </w:rPr>
        <w:t>except</w:t>
      </w:r>
      <w:r w:rsidR="00C0652B">
        <w:rPr>
          <w:rFonts w:ascii="Times" w:eastAsia="Times" w:hAnsi="Times"/>
        </w:rPr>
        <w:t xml:space="preserve"> Schedule 48 and lighting schedules</w:t>
      </w:r>
      <w:r w:rsidR="00320AB6">
        <w:rPr>
          <w:rFonts w:ascii="Times" w:eastAsia="Times" w:hAnsi="Times"/>
        </w:rPr>
        <w:t xml:space="preserve"> in the decoupling mechanism</w:t>
      </w:r>
      <w:r w:rsidR="00C0652B">
        <w:rPr>
          <w:rFonts w:ascii="Times" w:eastAsia="Times" w:hAnsi="Times"/>
        </w:rPr>
        <w:t>.  The rate designs for Schedule 48 and lighting schedules already reflect cost-based structures and have minimal volatility due to weather.</w:t>
      </w:r>
    </w:p>
    <w:p w:rsidR="00D276F6" w:rsidRDefault="00D276F6" w:rsidP="00D276F6">
      <w:pPr>
        <w:pStyle w:val="ListParagraph"/>
        <w:suppressLineNumbers/>
        <w:tabs>
          <w:tab w:val="left" w:pos="1440"/>
        </w:tabs>
        <w:spacing w:line="240" w:lineRule="auto"/>
        <w:ind w:left="1440" w:firstLine="0"/>
        <w:rPr>
          <w:rFonts w:ascii="Times" w:eastAsia="Times" w:hAnsi="Times"/>
        </w:rPr>
      </w:pPr>
    </w:p>
    <w:p w:rsidR="00733648" w:rsidRDefault="00733648" w:rsidP="006A2881">
      <w:pPr>
        <w:pStyle w:val="ListParagraph"/>
        <w:numPr>
          <w:ilvl w:val="0"/>
          <w:numId w:val="54"/>
        </w:numPr>
        <w:tabs>
          <w:tab w:val="clear" w:pos="720"/>
          <w:tab w:val="left" w:pos="1440"/>
        </w:tabs>
        <w:spacing w:line="240" w:lineRule="auto"/>
        <w:ind w:left="1440"/>
        <w:rPr>
          <w:rFonts w:ascii="Times" w:eastAsia="Times" w:hAnsi="Times"/>
        </w:rPr>
      </w:pPr>
      <w:r w:rsidRPr="00C0652B">
        <w:rPr>
          <w:rFonts w:ascii="Times" w:eastAsia="Times" w:hAnsi="Times"/>
          <w:b/>
        </w:rPr>
        <w:t>Weather Adjustment Mechanism</w:t>
      </w:r>
      <w:r>
        <w:rPr>
          <w:rFonts w:ascii="Times" w:eastAsia="Times" w:hAnsi="Times"/>
        </w:rPr>
        <w:t>.</w:t>
      </w:r>
      <w:r w:rsidR="00C0652B">
        <w:rPr>
          <w:rFonts w:ascii="Times" w:eastAsia="Times" w:hAnsi="Times"/>
        </w:rPr>
        <w:t xml:space="preserve">  The decoupling mechanism will capture changes in revenue due to weather, as supported by the </w:t>
      </w:r>
      <w:r w:rsidR="00917BBE">
        <w:rPr>
          <w:rFonts w:ascii="Times" w:eastAsia="Times" w:hAnsi="Times"/>
        </w:rPr>
        <w:t>Decoupling P</w:t>
      </w:r>
      <w:r w:rsidR="00C0652B">
        <w:rPr>
          <w:rFonts w:ascii="Times" w:eastAsia="Times" w:hAnsi="Times"/>
        </w:rPr>
        <w:t xml:space="preserve">olicy </w:t>
      </w:r>
      <w:r w:rsidR="00917BBE">
        <w:rPr>
          <w:rFonts w:ascii="Times" w:eastAsia="Times" w:hAnsi="Times"/>
        </w:rPr>
        <w:t>S</w:t>
      </w:r>
      <w:r w:rsidR="00C0652B">
        <w:rPr>
          <w:rFonts w:ascii="Times" w:eastAsia="Times" w:hAnsi="Times"/>
        </w:rPr>
        <w:t>tatement.</w:t>
      </w:r>
    </w:p>
    <w:p w:rsidR="00D276F6" w:rsidRDefault="00D276F6" w:rsidP="00D276F6">
      <w:pPr>
        <w:pStyle w:val="ListParagraph"/>
        <w:suppressLineNumbers/>
        <w:tabs>
          <w:tab w:val="left" w:pos="1440"/>
        </w:tabs>
        <w:spacing w:line="240" w:lineRule="auto"/>
        <w:ind w:left="1440" w:firstLine="0"/>
        <w:rPr>
          <w:rFonts w:ascii="Times" w:eastAsia="Times" w:hAnsi="Times"/>
        </w:rPr>
      </w:pPr>
    </w:p>
    <w:p w:rsidR="00C0652B" w:rsidRPr="00D276F6" w:rsidRDefault="00C0652B" w:rsidP="006A2881">
      <w:pPr>
        <w:pStyle w:val="ListParagraph"/>
        <w:numPr>
          <w:ilvl w:val="0"/>
          <w:numId w:val="54"/>
        </w:numPr>
        <w:tabs>
          <w:tab w:val="clear" w:pos="720"/>
          <w:tab w:val="left" w:pos="1440"/>
        </w:tabs>
        <w:spacing w:line="240" w:lineRule="auto"/>
        <w:ind w:left="1440"/>
        <w:rPr>
          <w:rFonts w:ascii="Times" w:eastAsia="Times" w:hAnsi="Times"/>
          <w:b/>
        </w:rPr>
      </w:pPr>
      <w:r w:rsidRPr="00C0652B">
        <w:rPr>
          <w:rFonts w:ascii="Times" w:eastAsia="Times" w:hAnsi="Times"/>
          <w:b/>
        </w:rPr>
        <w:t>Incremental Conservation.</w:t>
      </w:r>
      <w:r>
        <w:rPr>
          <w:rFonts w:ascii="Times" w:eastAsia="Times" w:hAnsi="Times"/>
          <w:b/>
        </w:rPr>
        <w:t xml:space="preserve">  </w:t>
      </w:r>
      <w:r>
        <w:rPr>
          <w:rFonts w:ascii="Times" w:eastAsia="Times" w:hAnsi="Times"/>
        </w:rPr>
        <w:t>See discussion below.</w:t>
      </w:r>
    </w:p>
    <w:p w:rsidR="00D276F6" w:rsidRPr="00C0652B" w:rsidRDefault="00D276F6" w:rsidP="00D276F6">
      <w:pPr>
        <w:pStyle w:val="ListParagraph"/>
        <w:suppressLineNumbers/>
        <w:tabs>
          <w:tab w:val="left" w:pos="1440"/>
        </w:tabs>
        <w:spacing w:line="240" w:lineRule="auto"/>
        <w:ind w:left="1440" w:firstLine="0"/>
        <w:rPr>
          <w:rFonts w:ascii="Times" w:eastAsia="Times" w:hAnsi="Times"/>
          <w:b/>
        </w:rPr>
      </w:pPr>
    </w:p>
    <w:p w:rsidR="004569AB" w:rsidRDefault="00C0652B" w:rsidP="006A2881">
      <w:pPr>
        <w:pStyle w:val="ListParagraph"/>
        <w:numPr>
          <w:ilvl w:val="0"/>
          <w:numId w:val="54"/>
        </w:numPr>
        <w:tabs>
          <w:tab w:val="clear" w:pos="720"/>
          <w:tab w:val="left" w:pos="1440"/>
        </w:tabs>
        <w:spacing w:line="240" w:lineRule="auto"/>
        <w:ind w:left="1440"/>
        <w:rPr>
          <w:rFonts w:ascii="Times" w:eastAsia="Times" w:hAnsi="Times"/>
          <w:bCs/>
        </w:rPr>
      </w:pPr>
      <w:r w:rsidRPr="004569AB">
        <w:rPr>
          <w:rFonts w:ascii="Times" w:eastAsia="Times" w:hAnsi="Times"/>
          <w:b/>
        </w:rPr>
        <w:t>Low</w:t>
      </w:r>
      <w:r w:rsidR="001F5473">
        <w:rPr>
          <w:rFonts w:ascii="Times" w:eastAsia="Times" w:hAnsi="Times"/>
          <w:b/>
        </w:rPr>
        <w:t>-</w:t>
      </w:r>
      <w:r w:rsidRPr="004569AB">
        <w:rPr>
          <w:rFonts w:ascii="Times" w:eastAsia="Times" w:hAnsi="Times"/>
          <w:b/>
        </w:rPr>
        <w:t>Income</w:t>
      </w:r>
      <w:r w:rsidRPr="004569AB">
        <w:rPr>
          <w:rFonts w:ascii="Times" w:eastAsia="Times" w:hAnsi="Times"/>
        </w:rPr>
        <w:t xml:space="preserve">.  </w:t>
      </w:r>
      <w:r w:rsidR="004569AB" w:rsidRPr="006A6A09">
        <w:rPr>
          <w:rFonts w:ascii="Times" w:eastAsia="Times" w:hAnsi="Times"/>
        </w:rPr>
        <w:t xml:space="preserve">The Company </w:t>
      </w:r>
      <w:r w:rsidR="004569AB" w:rsidRPr="0087607C">
        <w:rPr>
          <w:rFonts w:ascii="Times" w:eastAsia="Times" w:hAnsi="Times"/>
          <w:bCs/>
        </w:rPr>
        <w:t>has an income</w:t>
      </w:r>
      <w:r w:rsidR="004569AB">
        <w:rPr>
          <w:rFonts w:ascii="Times" w:eastAsia="Times" w:hAnsi="Times"/>
          <w:bCs/>
        </w:rPr>
        <w:t>-</w:t>
      </w:r>
      <w:r w:rsidR="004569AB" w:rsidRPr="0087607C">
        <w:rPr>
          <w:rFonts w:ascii="Times" w:eastAsia="Times" w:hAnsi="Times"/>
          <w:bCs/>
        </w:rPr>
        <w:t xml:space="preserve">based </w:t>
      </w:r>
      <w:r w:rsidR="00924902">
        <w:rPr>
          <w:rFonts w:ascii="Times" w:eastAsia="Times" w:hAnsi="Times"/>
          <w:bCs/>
        </w:rPr>
        <w:t xml:space="preserve">conservation </w:t>
      </w:r>
      <w:r w:rsidR="004569AB" w:rsidRPr="0087607C">
        <w:rPr>
          <w:rFonts w:ascii="Times" w:eastAsia="Times" w:hAnsi="Times"/>
          <w:bCs/>
        </w:rPr>
        <w:t xml:space="preserve">program that </w:t>
      </w:r>
      <w:r w:rsidR="004569AB">
        <w:rPr>
          <w:rFonts w:ascii="Times" w:eastAsia="Times" w:hAnsi="Times"/>
          <w:bCs/>
        </w:rPr>
        <w:t xml:space="preserve">provides significant </w:t>
      </w:r>
      <w:r w:rsidR="004569AB" w:rsidRPr="0087607C">
        <w:rPr>
          <w:rFonts w:ascii="Times" w:eastAsia="Times" w:hAnsi="Times"/>
          <w:bCs/>
        </w:rPr>
        <w:t xml:space="preserve">benefits </w:t>
      </w:r>
      <w:r w:rsidR="00924902">
        <w:rPr>
          <w:rFonts w:ascii="Times" w:eastAsia="Times" w:hAnsi="Times"/>
          <w:bCs/>
        </w:rPr>
        <w:t xml:space="preserve">at no cost </w:t>
      </w:r>
      <w:r w:rsidR="004569AB">
        <w:rPr>
          <w:rFonts w:ascii="Times" w:eastAsia="Times" w:hAnsi="Times"/>
          <w:bCs/>
        </w:rPr>
        <w:t xml:space="preserve">to </w:t>
      </w:r>
      <w:r w:rsidR="00917BBE">
        <w:rPr>
          <w:rFonts w:ascii="Times" w:eastAsia="Times" w:hAnsi="Times"/>
          <w:bCs/>
        </w:rPr>
        <w:t>low-</w:t>
      </w:r>
      <w:r w:rsidR="004569AB" w:rsidRPr="0087607C">
        <w:rPr>
          <w:rFonts w:ascii="Times" w:eastAsia="Times" w:hAnsi="Times"/>
          <w:bCs/>
        </w:rPr>
        <w:t>income households</w:t>
      </w:r>
      <w:r w:rsidR="00320AB6">
        <w:rPr>
          <w:rFonts w:ascii="Times" w:eastAsia="Times" w:hAnsi="Times"/>
          <w:bCs/>
        </w:rPr>
        <w:t xml:space="preserve"> on </w:t>
      </w:r>
      <w:r w:rsidR="004569AB" w:rsidRPr="0087607C">
        <w:rPr>
          <w:rFonts w:ascii="Times" w:eastAsia="Times" w:hAnsi="Times"/>
          <w:bCs/>
        </w:rPr>
        <w:t>Schedule 114</w:t>
      </w:r>
      <w:r w:rsidR="004569AB">
        <w:rPr>
          <w:rFonts w:ascii="Times" w:eastAsia="Times" w:hAnsi="Times"/>
          <w:bCs/>
        </w:rPr>
        <w:t xml:space="preserve">, </w:t>
      </w:r>
      <w:r w:rsidR="004569AB" w:rsidRPr="0087607C">
        <w:rPr>
          <w:rFonts w:ascii="Times" w:eastAsia="Times" w:hAnsi="Times"/>
          <w:bCs/>
        </w:rPr>
        <w:t>Low</w:t>
      </w:r>
      <w:r w:rsidR="004569AB">
        <w:rPr>
          <w:rFonts w:ascii="Times" w:eastAsia="Times" w:hAnsi="Times"/>
          <w:bCs/>
        </w:rPr>
        <w:t xml:space="preserve"> Income Weatherization</w:t>
      </w:r>
      <w:r w:rsidR="004569AB" w:rsidRPr="0087607C">
        <w:rPr>
          <w:rFonts w:ascii="Times" w:eastAsia="Times" w:hAnsi="Times"/>
          <w:bCs/>
        </w:rPr>
        <w:t xml:space="preserve">.  Expenditures for this program totaled </w:t>
      </w:r>
      <w:r w:rsidR="00D71E47">
        <w:rPr>
          <w:rFonts w:ascii="Times" w:eastAsia="Times" w:hAnsi="Times"/>
          <w:bCs/>
        </w:rPr>
        <w:t xml:space="preserve">approximately </w:t>
      </w:r>
      <w:r w:rsidR="004569AB" w:rsidRPr="0087607C">
        <w:rPr>
          <w:rFonts w:ascii="Times" w:eastAsia="Times" w:hAnsi="Times"/>
          <w:bCs/>
        </w:rPr>
        <w:t>$</w:t>
      </w:r>
      <w:r w:rsidR="00D71E47">
        <w:rPr>
          <w:rFonts w:ascii="Times" w:eastAsia="Times" w:hAnsi="Times"/>
          <w:bCs/>
        </w:rPr>
        <w:t>0.7 million,</w:t>
      </w:r>
      <w:r w:rsidR="004569AB" w:rsidRPr="0087607C">
        <w:rPr>
          <w:rFonts w:ascii="Times" w:eastAsia="Times" w:hAnsi="Times"/>
          <w:bCs/>
        </w:rPr>
        <w:t xml:space="preserve"> or </w:t>
      </w:r>
      <w:r w:rsidR="004569AB">
        <w:rPr>
          <w:rFonts w:ascii="Times" w:eastAsia="Times" w:hAnsi="Times"/>
          <w:bCs/>
        </w:rPr>
        <w:t>21 percent</w:t>
      </w:r>
      <w:r w:rsidR="00D71E47">
        <w:rPr>
          <w:rFonts w:ascii="Times" w:eastAsia="Times" w:hAnsi="Times"/>
          <w:bCs/>
        </w:rPr>
        <w:t>,</w:t>
      </w:r>
      <w:r w:rsidR="004569AB" w:rsidRPr="0087607C">
        <w:rPr>
          <w:rFonts w:ascii="Times" w:eastAsia="Times" w:hAnsi="Times"/>
          <w:bCs/>
        </w:rPr>
        <w:t xml:space="preserve"> of total residential</w:t>
      </w:r>
      <w:r w:rsidR="00924902">
        <w:rPr>
          <w:rFonts w:ascii="Times" w:eastAsia="Times" w:hAnsi="Times"/>
          <w:bCs/>
        </w:rPr>
        <w:t xml:space="preserve"> energy efficiency</w:t>
      </w:r>
      <w:r w:rsidR="004569AB" w:rsidRPr="0087607C">
        <w:rPr>
          <w:rFonts w:ascii="Times" w:eastAsia="Times" w:hAnsi="Times"/>
          <w:bCs/>
        </w:rPr>
        <w:t xml:space="preserve"> program costs in 2014.  There </w:t>
      </w:r>
      <w:r w:rsidR="00924902">
        <w:rPr>
          <w:rFonts w:ascii="Times" w:eastAsia="Times" w:hAnsi="Times"/>
          <w:bCs/>
        </w:rPr>
        <w:t>were</w:t>
      </w:r>
      <w:r w:rsidR="00924902" w:rsidRPr="0087607C">
        <w:rPr>
          <w:rFonts w:ascii="Times" w:eastAsia="Times" w:hAnsi="Times"/>
          <w:bCs/>
        </w:rPr>
        <w:t xml:space="preserve"> </w:t>
      </w:r>
      <w:r w:rsidR="004569AB" w:rsidRPr="0087607C">
        <w:rPr>
          <w:rFonts w:ascii="Times" w:eastAsia="Times" w:hAnsi="Times"/>
          <w:bCs/>
        </w:rPr>
        <w:t>two additional conservation programs</w:t>
      </w:r>
      <w:r w:rsidR="00924902">
        <w:rPr>
          <w:rFonts w:ascii="Times" w:eastAsia="Times" w:hAnsi="Times"/>
          <w:bCs/>
        </w:rPr>
        <w:t xml:space="preserve"> in 2014</w:t>
      </w:r>
      <w:r w:rsidR="004569AB">
        <w:rPr>
          <w:rFonts w:ascii="Times" w:eastAsia="Times" w:hAnsi="Times"/>
          <w:bCs/>
        </w:rPr>
        <w:t xml:space="preserve">—Refrigerator </w:t>
      </w:r>
      <w:r w:rsidR="004569AB" w:rsidRPr="0087607C">
        <w:rPr>
          <w:rFonts w:ascii="Times" w:eastAsia="Times" w:hAnsi="Times"/>
          <w:bCs/>
        </w:rPr>
        <w:t>Recycling and Home Energy Reporting</w:t>
      </w:r>
      <w:r w:rsidR="004569AB">
        <w:rPr>
          <w:rFonts w:ascii="Times" w:eastAsia="Times" w:hAnsi="Times"/>
          <w:bCs/>
        </w:rPr>
        <w:t xml:space="preserve">—available </w:t>
      </w:r>
      <w:r w:rsidR="004569AB" w:rsidRPr="0087607C">
        <w:rPr>
          <w:rFonts w:ascii="Times" w:eastAsia="Times" w:hAnsi="Times"/>
          <w:bCs/>
        </w:rPr>
        <w:t xml:space="preserve">to residential customers at no cost, </w:t>
      </w:r>
      <w:r w:rsidR="004569AB">
        <w:rPr>
          <w:rFonts w:ascii="Times" w:eastAsia="Times" w:hAnsi="Times"/>
          <w:bCs/>
        </w:rPr>
        <w:t>regardless of income</w:t>
      </w:r>
      <w:r w:rsidR="004569AB" w:rsidRPr="0087607C">
        <w:rPr>
          <w:rFonts w:ascii="Times" w:eastAsia="Times" w:hAnsi="Times"/>
          <w:bCs/>
        </w:rPr>
        <w:t xml:space="preserve">.  Costs associated with these three programs totaled </w:t>
      </w:r>
      <w:r w:rsidR="00D71E47">
        <w:rPr>
          <w:rFonts w:ascii="Times" w:eastAsia="Times" w:hAnsi="Times"/>
          <w:bCs/>
        </w:rPr>
        <w:t xml:space="preserve">approximately </w:t>
      </w:r>
      <w:r w:rsidR="004569AB" w:rsidRPr="0087607C">
        <w:rPr>
          <w:rFonts w:ascii="Times" w:eastAsia="Times" w:hAnsi="Times"/>
          <w:bCs/>
        </w:rPr>
        <w:t>$1</w:t>
      </w:r>
      <w:r w:rsidR="00D71E47">
        <w:rPr>
          <w:rFonts w:ascii="Times" w:eastAsia="Times" w:hAnsi="Times"/>
          <w:bCs/>
        </w:rPr>
        <w:t>.</w:t>
      </w:r>
      <w:r w:rsidR="004569AB" w:rsidRPr="0087607C">
        <w:rPr>
          <w:rFonts w:ascii="Times" w:eastAsia="Times" w:hAnsi="Times"/>
          <w:bCs/>
        </w:rPr>
        <w:t>1</w:t>
      </w:r>
      <w:r w:rsidR="00D71E47">
        <w:rPr>
          <w:rFonts w:ascii="Times" w:eastAsia="Times" w:hAnsi="Times"/>
          <w:bCs/>
        </w:rPr>
        <w:t xml:space="preserve"> million,</w:t>
      </w:r>
      <w:r w:rsidR="004569AB" w:rsidRPr="0087607C">
        <w:rPr>
          <w:rFonts w:ascii="Times" w:eastAsia="Times" w:hAnsi="Times"/>
          <w:bCs/>
        </w:rPr>
        <w:t xml:space="preserve"> or </w:t>
      </w:r>
      <w:r w:rsidR="004569AB">
        <w:rPr>
          <w:rFonts w:ascii="Times" w:eastAsia="Times" w:hAnsi="Times"/>
          <w:bCs/>
        </w:rPr>
        <w:t>34 percent</w:t>
      </w:r>
      <w:r w:rsidR="00D71E47">
        <w:rPr>
          <w:rFonts w:ascii="Times" w:eastAsia="Times" w:hAnsi="Times"/>
          <w:bCs/>
        </w:rPr>
        <w:t>,</w:t>
      </w:r>
      <w:r w:rsidR="004569AB" w:rsidRPr="0087607C">
        <w:rPr>
          <w:rFonts w:ascii="Times" w:eastAsia="Times" w:hAnsi="Times"/>
          <w:bCs/>
        </w:rPr>
        <w:t xml:space="preserve"> of expenditures.  </w:t>
      </w:r>
    </w:p>
    <w:p w:rsidR="004569AB" w:rsidRDefault="00924902" w:rsidP="006A2881">
      <w:pPr>
        <w:pStyle w:val="ListParagraph"/>
        <w:tabs>
          <w:tab w:val="left" w:pos="1440"/>
        </w:tabs>
        <w:spacing w:line="240" w:lineRule="auto"/>
        <w:ind w:left="1440" w:hanging="360"/>
        <w:rPr>
          <w:rFonts w:ascii="Times" w:eastAsia="Times" w:hAnsi="Times"/>
          <w:bCs/>
        </w:rPr>
      </w:pPr>
      <w:r>
        <w:rPr>
          <w:rFonts w:ascii="Times" w:eastAsia="Times" w:hAnsi="Times"/>
          <w:bCs/>
        </w:rPr>
        <w:tab/>
      </w:r>
      <w:r w:rsidR="006A2881">
        <w:rPr>
          <w:rFonts w:ascii="Times" w:eastAsia="Times" w:hAnsi="Times"/>
          <w:bCs/>
        </w:rPr>
        <w:tab/>
      </w:r>
      <w:r w:rsidR="004569AB">
        <w:rPr>
          <w:rFonts w:ascii="Times" w:eastAsia="Times" w:hAnsi="Times"/>
          <w:bCs/>
        </w:rPr>
        <w:t>T</w:t>
      </w:r>
      <w:r w:rsidR="004569AB" w:rsidRPr="0087607C">
        <w:rPr>
          <w:rFonts w:ascii="Times" w:eastAsia="Times" w:hAnsi="Times"/>
          <w:bCs/>
        </w:rPr>
        <w:t>he Home Energy Savings Program</w:t>
      </w:r>
      <w:r w:rsidR="004569AB">
        <w:rPr>
          <w:rFonts w:ascii="Times" w:eastAsia="Times" w:hAnsi="Times"/>
          <w:bCs/>
        </w:rPr>
        <w:t xml:space="preserve"> </w:t>
      </w:r>
      <w:r w:rsidR="004569AB" w:rsidRPr="0087607C">
        <w:rPr>
          <w:rFonts w:ascii="Times" w:eastAsia="Times" w:hAnsi="Times"/>
          <w:bCs/>
        </w:rPr>
        <w:t>(HES</w:t>
      </w:r>
      <w:r w:rsidR="004569AB">
        <w:rPr>
          <w:rFonts w:ascii="Times" w:eastAsia="Times" w:hAnsi="Times"/>
          <w:bCs/>
        </w:rPr>
        <w:t xml:space="preserve">), which provides </w:t>
      </w:r>
      <w:r w:rsidR="004569AB" w:rsidRPr="0087607C">
        <w:rPr>
          <w:rFonts w:ascii="Times" w:eastAsia="Times" w:hAnsi="Times"/>
          <w:bCs/>
        </w:rPr>
        <w:t>rebates on measures installed by our customers</w:t>
      </w:r>
      <w:r w:rsidR="004569AB">
        <w:rPr>
          <w:rFonts w:ascii="Times" w:eastAsia="Times" w:hAnsi="Times"/>
          <w:bCs/>
        </w:rPr>
        <w:t xml:space="preserve">, is also available to all residential </w:t>
      </w:r>
      <w:r w:rsidR="004569AB">
        <w:rPr>
          <w:rFonts w:ascii="Times" w:eastAsia="Times" w:hAnsi="Times"/>
          <w:bCs/>
        </w:rPr>
        <w:lastRenderedPageBreak/>
        <w:t>customers, including</w:t>
      </w:r>
      <w:r w:rsidR="004569AB" w:rsidRPr="0087607C">
        <w:rPr>
          <w:rFonts w:ascii="Times" w:eastAsia="Times" w:hAnsi="Times"/>
          <w:bCs/>
        </w:rPr>
        <w:t xml:space="preserve"> </w:t>
      </w:r>
      <w:r w:rsidR="00A70756">
        <w:rPr>
          <w:rFonts w:ascii="Times" w:eastAsia="Times" w:hAnsi="Times"/>
          <w:bCs/>
        </w:rPr>
        <w:t>low-</w:t>
      </w:r>
      <w:r w:rsidR="004569AB" w:rsidRPr="0087607C">
        <w:rPr>
          <w:rFonts w:ascii="Times" w:eastAsia="Times" w:hAnsi="Times"/>
          <w:bCs/>
        </w:rPr>
        <w:t>income households.  HES expendi</w:t>
      </w:r>
      <w:r w:rsidR="004569AB">
        <w:rPr>
          <w:rFonts w:ascii="Times" w:eastAsia="Times" w:hAnsi="Times"/>
          <w:bCs/>
        </w:rPr>
        <w:t xml:space="preserve">tures totaled </w:t>
      </w:r>
      <w:r w:rsidR="00D71E47">
        <w:rPr>
          <w:rFonts w:ascii="Times" w:eastAsia="Times" w:hAnsi="Times"/>
          <w:bCs/>
        </w:rPr>
        <w:t xml:space="preserve">approximately </w:t>
      </w:r>
      <w:r w:rsidR="004569AB">
        <w:rPr>
          <w:rFonts w:ascii="Times" w:eastAsia="Times" w:hAnsi="Times"/>
          <w:bCs/>
        </w:rPr>
        <w:t>$2</w:t>
      </w:r>
      <w:r w:rsidR="00D71E47">
        <w:rPr>
          <w:rFonts w:ascii="Times" w:eastAsia="Times" w:hAnsi="Times"/>
          <w:bCs/>
        </w:rPr>
        <w:t>.2 million,</w:t>
      </w:r>
      <w:r w:rsidR="004569AB">
        <w:rPr>
          <w:rFonts w:ascii="Times" w:eastAsia="Times" w:hAnsi="Times"/>
          <w:bCs/>
        </w:rPr>
        <w:t xml:space="preserve"> or 66 percent</w:t>
      </w:r>
      <w:r w:rsidR="00D71E47">
        <w:rPr>
          <w:rFonts w:ascii="Times" w:eastAsia="Times" w:hAnsi="Times"/>
          <w:bCs/>
        </w:rPr>
        <w:t>,</w:t>
      </w:r>
      <w:r w:rsidR="004569AB" w:rsidRPr="0087607C">
        <w:rPr>
          <w:rFonts w:ascii="Times" w:eastAsia="Times" w:hAnsi="Times"/>
          <w:bCs/>
        </w:rPr>
        <w:t xml:space="preserve"> of total costs in 2014. </w:t>
      </w:r>
    </w:p>
    <w:p w:rsidR="00D276F6" w:rsidRPr="004569AB" w:rsidRDefault="00D276F6" w:rsidP="00D276F6">
      <w:pPr>
        <w:pStyle w:val="ListParagraph"/>
        <w:suppressLineNumbers/>
        <w:tabs>
          <w:tab w:val="left" w:pos="1440"/>
        </w:tabs>
        <w:spacing w:line="240" w:lineRule="auto"/>
        <w:ind w:left="1440" w:hanging="360"/>
        <w:rPr>
          <w:rFonts w:ascii="Times" w:eastAsia="Times" w:hAnsi="Times"/>
        </w:rPr>
      </w:pPr>
    </w:p>
    <w:p w:rsidR="00C0652B" w:rsidRPr="00D276F6" w:rsidRDefault="00C0652B" w:rsidP="006A2881">
      <w:pPr>
        <w:pStyle w:val="ListParagraph"/>
        <w:numPr>
          <w:ilvl w:val="0"/>
          <w:numId w:val="54"/>
        </w:numPr>
        <w:tabs>
          <w:tab w:val="clear" w:pos="720"/>
          <w:tab w:val="left" w:pos="1440"/>
        </w:tabs>
        <w:spacing w:line="240" w:lineRule="auto"/>
        <w:ind w:left="1440"/>
        <w:rPr>
          <w:rFonts w:ascii="Times" w:eastAsia="Times" w:hAnsi="Times"/>
          <w:b/>
        </w:rPr>
      </w:pPr>
      <w:r w:rsidRPr="004569AB">
        <w:rPr>
          <w:rFonts w:ascii="Times" w:eastAsia="Times" w:hAnsi="Times"/>
          <w:b/>
        </w:rPr>
        <w:t>Duration of Program.</w:t>
      </w:r>
      <w:r w:rsidRPr="004569AB">
        <w:rPr>
          <w:rFonts w:ascii="Times" w:eastAsia="Times" w:hAnsi="Times"/>
        </w:rPr>
        <w:t xml:space="preserve">  The Company proposes a minimum five</w:t>
      </w:r>
      <w:r w:rsidR="00A70756">
        <w:rPr>
          <w:rFonts w:ascii="Times" w:eastAsia="Times" w:hAnsi="Times"/>
        </w:rPr>
        <w:t>-</w:t>
      </w:r>
      <w:r w:rsidRPr="004569AB">
        <w:rPr>
          <w:rFonts w:ascii="Times" w:eastAsia="Times" w:hAnsi="Times"/>
        </w:rPr>
        <w:t>year program, with an evaluation to be completed after the third year.</w:t>
      </w:r>
    </w:p>
    <w:p w:rsidR="00D276F6" w:rsidRPr="004569AB" w:rsidRDefault="00D276F6" w:rsidP="00D276F6">
      <w:pPr>
        <w:pStyle w:val="ListParagraph"/>
        <w:suppressLineNumbers/>
        <w:tabs>
          <w:tab w:val="left" w:pos="1440"/>
        </w:tabs>
        <w:spacing w:line="240" w:lineRule="auto"/>
        <w:ind w:left="1440" w:firstLine="0"/>
        <w:rPr>
          <w:rFonts w:ascii="Times" w:eastAsia="Times" w:hAnsi="Times"/>
          <w:b/>
        </w:rPr>
      </w:pPr>
    </w:p>
    <w:p w:rsidR="00740CC6" w:rsidRDefault="00740CC6" w:rsidP="006A2881">
      <w:pPr>
        <w:numPr>
          <w:ilvl w:val="0"/>
          <w:numId w:val="54"/>
        </w:numPr>
        <w:tabs>
          <w:tab w:val="left" w:pos="1440"/>
        </w:tabs>
        <w:spacing w:line="240" w:lineRule="auto"/>
        <w:ind w:left="1440"/>
        <w:contextualSpacing/>
        <w:rPr>
          <w:rFonts w:ascii="Times" w:eastAsia="Times" w:hAnsi="Times"/>
        </w:rPr>
      </w:pPr>
      <w:r w:rsidRPr="00740CC6">
        <w:rPr>
          <w:rFonts w:ascii="Times" w:eastAsia="Times" w:hAnsi="Times"/>
          <w:b/>
        </w:rPr>
        <w:t>Report</w:t>
      </w:r>
      <w:r w:rsidR="00C0652B">
        <w:rPr>
          <w:rFonts w:ascii="Times" w:eastAsia="Times" w:hAnsi="Times"/>
          <w:b/>
        </w:rPr>
        <w:t>s</w:t>
      </w:r>
      <w:r w:rsidRPr="00740CC6">
        <w:rPr>
          <w:rFonts w:ascii="Times" w:eastAsia="Times" w:hAnsi="Times"/>
          <w:b/>
        </w:rPr>
        <w:t xml:space="preserve">. </w:t>
      </w:r>
      <w:r w:rsidR="00A70756">
        <w:rPr>
          <w:rFonts w:ascii="Times" w:eastAsia="Times" w:hAnsi="Times"/>
          <w:b/>
        </w:rPr>
        <w:t xml:space="preserve"> </w:t>
      </w:r>
      <w:r w:rsidRPr="00740CC6">
        <w:rPr>
          <w:rFonts w:ascii="Times" w:eastAsia="Times" w:hAnsi="Times"/>
        </w:rPr>
        <w:t xml:space="preserve">The Company will file </w:t>
      </w:r>
      <w:r w:rsidR="00B21BAA">
        <w:rPr>
          <w:rFonts w:ascii="Times" w:eastAsia="Times" w:hAnsi="Times"/>
        </w:rPr>
        <w:t xml:space="preserve">a </w:t>
      </w:r>
      <w:r w:rsidRPr="00740CC6">
        <w:rPr>
          <w:rFonts w:ascii="Times" w:eastAsia="Times" w:hAnsi="Times"/>
        </w:rPr>
        <w:t>quarterly report with the Commission showing pertinent information regarding the status of the current deferral.  At the end of three years, the Company also proposes to evaluate the mechanism, the scope of which will be consistent with the Commission’s requirement for Avista’s three</w:t>
      </w:r>
      <w:r w:rsidR="00A70756">
        <w:rPr>
          <w:rFonts w:ascii="Times" w:eastAsia="Times" w:hAnsi="Times"/>
        </w:rPr>
        <w:t>-</w:t>
      </w:r>
      <w:r w:rsidRPr="00740CC6">
        <w:rPr>
          <w:rFonts w:ascii="Times" w:eastAsia="Times" w:hAnsi="Times"/>
        </w:rPr>
        <w:t>year evaluation.</w:t>
      </w:r>
      <w:r w:rsidRPr="00740CC6">
        <w:rPr>
          <w:rFonts w:ascii="Times" w:eastAsia="Times" w:hAnsi="Times"/>
          <w:vertAlign w:val="superscript"/>
        </w:rPr>
        <w:footnoteReference w:id="11"/>
      </w:r>
    </w:p>
    <w:p w:rsidR="00D276F6" w:rsidRPr="00D276F6" w:rsidRDefault="00D276F6" w:rsidP="00D276F6">
      <w:pPr>
        <w:pStyle w:val="ListParagraph"/>
        <w:suppressLineNumbers/>
        <w:tabs>
          <w:tab w:val="left" w:pos="1440"/>
        </w:tabs>
        <w:spacing w:line="240" w:lineRule="auto"/>
        <w:ind w:left="1440" w:firstLine="0"/>
        <w:rPr>
          <w:rFonts w:ascii="Times New Roman" w:hAnsi="Times New Roman"/>
          <w:szCs w:val="24"/>
        </w:rPr>
      </w:pPr>
    </w:p>
    <w:p w:rsidR="00856A87" w:rsidRPr="006A2881" w:rsidRDefault="00740CC6" w:rsidP="006A2881">
      <w:pPr>
        <w:pStyle w:val="ListParagraph"/>
        <w:numPr>
          <w:ilvl w:val="0"/>
          <w:numId w:val="54"/>
        </w:numPr>
        <w:tabs>
          <w:tab w:val="clear" w:pos="720"/>
          <w:tab w:val="left" w:pos="1440"/>
        </w:tabs>
        <w:spacing w:line="240" w:lineRule="auto"/>
        <w:ind w:left="1440"/>
        <w:rPr>
          <w:rFonts w:ascii="Times New Roman" w:hAnsi="Times New Roman"/>
          <w:szCs w:val="24"/>
        </w:rPr>
      </w:pPr>
      <w:r w:rsidRPr="00A10ECF">
        <w:rPr>
          <w:rFonts w:ascii="Times" w:eastAsia="Times" w:hAnsi="Times"/>
          <w:b/>
        </w:rPr>
        <w:t>Other Factors Impacting the Public Interest.</w:t>
      </w:r>
      <w:r w:rsidRPr="00A10ECF">
        <w:rPr>
          <w:rFonts w:ascii="Times" w:eastAsia="Times" w:hAnsi="Times"/>
        </w:rPr>
        <w:t xml:space="preserve">  The adoption of decoupling would not result in a reduction of efforts by the Company to operate efficiently.  The proposed </w:t>
      </w:r>
      <w:r w:rsidR="00320AB6">
        <w:rPr>
          <w:rFonts w:ascii="Times" w:eastAsia="Times" w:hAnsi="Times"/>
        </w:rPr>
        <w:t>d</w:t>
      </w:r>
      <w:r w:rsidRPr="00A10ECF">
        <w:rPr>
          <w:rFonts w:ascii="Times" w:eastAsia="Times" w:hAnsi="Times"/>
        </w:rPr>
        <w:t xml:space="preserve">ecoupling </w:t>
      </w:r>
      <w:r w:rsidR="00320AB6">
        <w:rPr>
          <w:rFonts w:ascii="Times" w:eastAsia="Times" w:hAnsi="Times"/>
        </w:rPr>
        <w:t>m</w:t>
      </w:r>
      <w:r w:rsidRPr="00A10ECF">
        <w:rPr>
          <w:rFonts w:ascii="Times" w:eastAsia="Times" w:hAnsi="Times"/>
        </w:rPr>
        <w:t>echanism would provide recovery of fixed costs, on a revenue per customer basis</w:t>
      </w:r>
      <w:r w:rsidR="00B21BAA" w:rsidRPr="00A10ECF">
        <w:rPr>
          <w:rFonts w:ascii="Times" w:eastAsia="Times" w:hAnsi="Times"/>
        </w:rPr>
        <w:t xml:space="preserve">. </w:t>
      </w:r>
      <w:r w:rsidR="00A234B3">
        <w:rPr>
          <w:rFonts w:ascii="Times" w:eastAsia="Times" w:hAnsi="Times"/>
        </w:rPr>
        <w:t xml:space="preserve"> </w:t>
      </w:r>
      <w:r w:rsidRPr="00A10ECF">
        <w:rPr>
          <w:rFonts w:ascii="Times" w:eastAsia="Times" w:hAnsi="Times"/>
        </w:rPr>
        <w:t xml:space="preserve">To the extent those fixed costs increase or escalate over time, the mechanism would not provide for recovery of the change in costs above the approved level already embedded in the allowed revenue per customer.  The Company would continue to bear the risk of changes in costs between general rate cases, and therefore must manage </w:t>
      </w:r>
      <w:r w:rsidR="00825402">
        <w:rPr>
          <w:rFonts w:ascii="Times" w:eastAsia="Times" w:hAnsi="Times"/>
        </w:rPr>
        <w:t>its</w:t>
      </w:r>
      <w:r w:rsidR="00825402" w:rsidRPr="00A10ECF">
        <w:rPr>
          <w:rFonts w:ascii="Times" w:eastAsia="Times" w:hAnsi="Times"/>
        </w:rPr>
        <w:t xml:space="preserve"> </w:t>
      </w:r>
      <w:r w:rsidRPr="00A10ECF">
        <w:rPr>
          <w:rFonts w:ascii="Times" w:eastAsia="Times" w:hAnsi="Times"/>
        </w:rPr>
        <w:t xml:space="preserve">business in a prudent manner.  Further, the Commission in a general rate case can always make the determination that any of the Company’s expenditures were not prudent.  This potential for disallowance together with management’s desire to provide attractive earnings for shareholders provides enough incentive for management to control costs, and the proposed </w:t>
      </w:r>
      <w:r w:rsidR="0003627C">
        <w:rPr>
          <w:rFonts w:ascii="Times" w:eastAsia="Times" w:hAnsi="Times"/>
        </w:rPr>
        <w:t>d</w:t>
      </w:r>
      <w:r w:rsidRPr="00A10ECF">
        <w:rPr>
          <w:rFonts w:ascii="Times" w:eastAsia="Times" w:hAnsi="Times"/>
        </w:rPr>
        <w:t xml:space="preserve">ecoupling </w:t>
      </w:r>
      <w:r w:rsidR="0003627C">
        <w:rPr>
          <w:rFonts w:ascii="Times" w:eastAsia="Times" w:hAnsi="Times"/>
        </w:rPr>
        <w:t>m</w:t>
      </w:r>
      <w:r w:rsidRPr="00A10ECF">
        <w:rPr>
          <w:rFonts w:ascii="Times" w:eastAsia="Times" w:hAnsi="Times"/>
        </w:rPr>
        <w:t xml:space="preserve">echanism does not change that.  </w:t>
      </w:r>
      <w:r w:rsidRPr="00A10ECF">
        <w:rPr>
          <w:rFonts w:ascii="Times" w:eastAsia="Times" w:hAnsi="Times"/>
          <w:szCs w:val="24"/>
        </w:rPr>
        <w:t>The decoupling mechanism is designed to create revenue stability and allow the Company a reasonable opportunity to recover its fixed costs to serve even in the face of declining loads, which are expected to persist for the foreseeable future in Washington.</w:t>
      </w:r>
      <w:r w:rsidRPr="00740CC6">
        <w:rPr>
          <w:rFonts w:eastAsia="Times"/>
          <w:szCs w:val="24"/>
          <w:vertAlign w:val="superscript"/>
        </w:rPr>
        <w:footnoteReference w:id="12"/>
      </w:r>
      <w:r w:rsidRPr="00A10ECF">
        <w:rPr>
          <w:rFonts w:ascii="Times" w:eastAsia="Times" w:hAnsi="Times"/>
          <w:szCs w:val="24"/>
        </w:rPr>
        <w:t xml:space="preserve">  The proposed decoupling mechanism is also designed to </w:t>
      </w:r>
      <w:r w:rsidRPr="00A10ECF">
        <w:rPr>
          <w:rFonts w:ascii="Times" w:eastAsia="Times" w:hAnsi="Times"/>
        </w:rPr>
        <w:t>make</w:t>
      </w:r>
      <w:r w:rsidRPr="00A10ECF" w:rsidDel="00A5405C">
        <w:rPr>
          <w:rFonts w:ascii="Times" w:eastAsia="Times" w:hAnsi="Times"/>
        </w:rPr>
        <w:t xml:space="preserve"> </w:t>
      </w:r>
      <w:r w:rsidR="00320AB6">
        <w:rPr>
          <w:rFonts w:ascii="Times" w:eastAsia="Times" w:hAnsi="Times"/>
        </w:rPr>
        <w:t>the Company</w:t>
      </w:r>
      <w:r w:rsidRPr="00A10ECF">
        <w:rPr>
          <w:rFonts w:ascii="Times" w:eastAsia="Times" w:hAnsi="Times"/>
        </w:rPr>
        <w:t xml:space="preserve"> indifferent to the effects of conservation on its revenue, thus removing all disincentives for the Company to aggressively promote conservation programs.  </w:t>
      </w:r>
    </w:p>
    <w:p w:rsidR="006A2881" w:rsidRPr="00A10ECF" w:rsidRDefault="006A2881" w:rsidP="006A2881">
      <w:pPr>
        <w:pStyle w:val="ListParagraph"/>
        <w:suppressLineNumbers/>
        <w:tabs>
          <w:tab w:val="left" w:pos="1440"/>
        </w:tabs>
        <w:spacing w:line="240" w:lineRule="auto"/>
        <w:ind w:left="1440" w:firstLine="0"/>
        <w:rPr>
          <w:rFonts w:ascii="Times New Roman" w:hAnsi="Times New Roman"/>
          <w:szCs w:val="24"/>
        </w:rPr>
      </w:pPr>
    </w:p>
    <w:p w:rsidR="00F84E8D" w:rsidRDefault="00F84E8D" w:rsidP="00A10ECF">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Is the Company pursuing cost-effective conservation?</w:t>
      </w:r>
    </w:p>
    <w:p w:rsidR="00930CE5" w:rsidRDefault="00F84E8D" w:rsidP="00A10ECF">
      <w:pPr>
        <w:rPr>
          <w:rFonts w:ascii="Times New Roman" w:eastAsiaTheme="minorHAnsi" w:hAnsi="Times New Roman"/>
          <w:szCs w:val="24"/>
        </w:rPr>
      </w:pPr>
      <w:r w:rsidRPr="007B1343">
        <w:rPr>
          <w:rFonts w:ascii="Times New Roman" w:hAnsi="Times New Roman"/>
          <w:szCs w:val="24"/>
        </w:rPr>
        <w:t>A.</w:t>
      </w:r>
      <w:r w:rsidRPr="00740CC6">
        <w:rPr>
          <w:rFonts w:ascii="Times" w:eastAsia="Times" w:hAnsi="Times"/>
        </w:rPr>
        <w:t xml:space="preserve"> </w:t>
      </w:r>
      <w:r w:rsidRPr="00740CC6">
        <w:rPr>
          <w:rFonts w:ascii="Times" w:eastAsia="Times" w:hAnsi="Times"/>
        </w:rPr>
        <w:tab/>
      </w:r>
      <w:r w:rsidR="00A10ECF">
        <w:rPr>
          <w:rFonts w:ascii="Times" w:eastAsia="Times" w:hAnsi="Times"/>
        </w:rPr>
        <w:t xml:space="preserve">Yes. </w:t>
      </w:r>
      <w:r w:rsidR="00A234B3">
        <w:rPr>
          <w:rFonts w:ascii="Times" w:eastAsia="Times" w:hAnsi="Times"/>
        </w:rPr>
        <w:t xml:space="preserve"> </w:t>
      </w:r>
      <w:r w:rsidRPr="00740CC6">
        <w:rPr>
          <w:rFonts w:ascii="Times" w:eastAsia="Times" w:hAnsi="Times"/>
        </w:rPr>
        <w:t xml:space="preserve">The Company aggressively pursues cost-effective conservation and will continue to do so once the decoupling adjustment mechanism is implemented.  Historically, the Company’s annual conservation efforts have exceeded the </w:t>
      </w:r>
      <w:r w:rsidRPr="00740CC6">
        <w:rPr>
          <w:rFonts w:ascii="Times" w:eastAsia="Times" w:hAnsi="Times"/>
        </w:rPr>
        <w:lastRenderedPageBreak/>
        <w:t>conservation targets established by the Commission</w:t>
      </w:r>
      <w:r w:rsidR="00320AB6" w:rsidRPr="00320AB6">
        <w:rPr>
          <w:rFonts w:ascii="Times" w:eastAsia="Times" w:hAnsi="Times"/>
        </w:rPr>
        <w:t xml:space="preserve"> </w:t>
      </w:r>
      <w:r w:rsidR="00320AB6" w:rsidRPr="00740CC6">
        <w:rPr>
          <w:rFonts w:ascii="Times" w:eastAsia="Times" w:hAnsi="Times"/>
        </w:rPr>
        <w:t>required by the E</w:t>
      </w:r>
      <w:r w:rsidR="00A70756">
        <w:rPr>
          <w:rFonts w:ascii="Times" w:eastAsia="Times" w:hAnsi="Times"/>
        </w:rPr>
        <w:t>nergy Independence Act</w:t>
      </w:r>
      <w:r w:rsidRPr="00740CC6">
        <w:rPr>
          <w:rFonts w:ascii="Times" w:eastAsia="Times" w:hAnsi="Times"/>
        </w:rPr>
        <w:t>.</w:t>
      </w:r>
      <w:r w:rsidRPr="00740CC6">
        <w:rPr>
          <w:rFonts w:ascii="Times" w:eastAsia="Times" w:hAnsi="Times"/>
          <w:vertAlign w:val="superscript"/>
        </w:rPr>
        <w:footnoteReference w:id="13"/>
      </w:r>
      <w:r w:rsidR="00A10ECF">
        <w:rPr>
          <w:rFonts w:ascii="Times" w:eastAsia="Times" w:hAnsi="Times"/>
        </w:rPr>
        <w:t xml:space="preserve">  </w:t>
      </w:r>
      <w:r w:rsidR="00F53450">
        <w:rPr>
          <w:rFonts w:ascii="Times" w:eastAsia="Times" w:hAnsi="Times"/>
        </w:rPr>
        <w:t>T</w:t>
      </w:r>
      <w:r w:rsidRPr="00253F90">
        <w:rPr>
          <w:rFonts w:ascii="Times" w:eastAsia="Times" w:hAnsi="Times"/>
        </w:rPr>
        <w:t>he Company’s recently filed 2015 Integrated Resource Plan (IRP) includes energy efficiency savings that exceed the level in the 2013 IRP by 59 percent by 2024.</w:t>
      </w:r>
      <w:r w:rsidRPr="00740CC6">
        <w:rPr>
          <w:rFonts w:ascii="Times New Roman" w:eastAsiaTheme="minorHAnsi" w:hAnsi="Times New Roman"/>
          <w:szCs w:val="24"/>
          <w:vertAlign w:val="superscript"/>
        </w:rPr>
        <w:footnoteReference w:id="14"/>
      </w:r>
      <w:r w:rsidRPr="00253F90">
        <w:rPr>
          <w:rFonts w:ascii="Times" w:eastAsia="Times" w:hAnsi="Times"/>
        </w:rPr>
        <w:t xml:space="preserve">  </w:t>
      </w:r>
      <w:r w:rsidR="00320AB6">
        <w:rPr>
          <w:rFonts w:ascii="Times" w:eastAsia="Times" w:hAnsi="Times"/>
        </w:rPr>
        <w:t>T</w:t>
      </w:r>
      <w:r w:rsidRPr="00253F90">
        <w:rPr>
          <w:rFonts w:ascii="Times" w:eastAsia="Times" w:hAnsi="Times"/>
        </w:rPr>
        <w:t>h</w:t>
      </w:r>
      <w:r w:rsidR="00320AB6">
        <w:rPr>
          <w:rFonts w:ascii="Times" w:eastAsia="Times" w:hAnsi="Times"/>
        </w:rPr>
        <w:t>e</w:t>
      </w:r>
      <w:r w:rsidRPr="00253F90">
        <w:rPr>
          <w:rFonts w:ascii="Times" w:eastAsia="Times" w:hAnsi="Times"/>
        </w:rPr>
        <w:t xml:space="preserve"> </w:t>
      </w:r>
      <w:r w:rsidRPr="00253F90">
        <w:rPr>
          <w:rFonts w:ascii="Times New Roman" w:eastAsiaTheme="minorHAnsi" w:hAnsi="Times New Roman"/>
          <w:szCs w:val="24"/>
        </w:rPr>
        <w:t xml:space="preserve">acquisition of </w:t>
      </w:r>
      <w:r w:rsidR="00320AB6">
        <w:rPr>
          <w:rFonts w:ascii="Times New Roman" w:eastAsiaTheme="minorHAnsi" w:hAnsi="Times New Roman"/>
          <w:szCs w:val="24"/>
        </w:rPr>
        <w:t xml:space="preserve">these </w:t>
      </w:r>
      <w:r w:rsidRPr="00253F90">
        <w:rPr>
          <w:rFonts w:ascii="Times New Roman" w:eastAsiaTheme="minorHAnsi" w:hAnsi="Times New Roman"/>
          <w:szCs w:val="24"/>
        </w:rPr>
        <w:t xml:space="preserve">incremental energy efficiency resources </w:t>
      </w:r>
      <w:r w:rsidR="00320AB6">
        <w:rPr>
          <w:rFonts w:ascii="Times New Roman" w:eastAsiaTheme="minorHAnsi" w:hAnsi="Times New Roman"/>
          <w:szCs w:val="24"/>
        </w:rPr>
        <w:t xml:space="preserve">are anticipated to </w:t>
      </w:r>
      <w:r w:rsidRPr="00253F90">
        <w:rPr>
          <w:rFonts w:ascii="Times New Roman" w:eastAsiaTheme="minorHAnsi" w:hAnsi="Times New Roman"/>
          <w:szCs w:val="24"/>
        </w:rPr>
        <w:t>meet 86 percent of forecast load growth.</w:t>
      </w:r>
      <w:r w:rsidRPr="00740CC6">
        <w:rPr>
          <w:rFonts w:ascii="Times New Roman" w:eastAsiaTheme="minorHAnsi" w:hAnsi="Times New Roman"/>
          <w:szCs w:val="24"/>
          <w:vertAlign w:val="superscript"/>
        </w:rPr>
        <w:footnoteReference w:id="15"/>
      </w:r>
      <w:r w:rsidR="00930CE5">
        <w:rPr>
          <w:rFonts w:ascii="Times New Roman" w:eastAsiaTheme="minorHAnsi" w:hAnsi="Times New Roman"/>
          <w:szCs w:val="24"/>
        </w:rPr>
        <w:t xml:space="preserve">  </w:t>
      </w:r>
    </w:p>
    <w:p w:rsidR="006A2881" w:rsidRDefault="00930CE5" w:rsidP="00D276F6">
      <w:pPr>
        <w:rPr>
          <w:rFonts w:ascii="Times" w:eastAsia="Times" w:hAnsi="Times"/>
        </w:rPr>
      </w:pPr>
      <w:r>
        <w:rPr>
          <w:rFonts w:ascii="Times New Roman" w:hAnsi="Times New Roman"/>
          <w:szCs w:val="24"/>
        </w:rPr>
        <w:tab/>
      </w:r>
      <w:r>
        <w:rPr>
          <w:rFonts w:ascii="Times New Roman" w:hAnsi="Times New Roman"/>
          <w:szCs w:val="24"/>
        </w:rPr>
        <w:tab/>
      </w:r>
      <w:r>
        <w:rPr>
          <w:rFonts w:ascii="Times New Roman" w:eastAsiaTheme="minorHAnsi" w:hAnsi="Times New Roman"/>
          <w:szCs w:val="24"/>
        </w:rPr>
        <w:t xml:space="preserve">The Company’s latest conservation targets </w:t>
      </w:r>
      <w:r w:rsidR="004553EF">
        <w:rPr>
          <w:rFonts w:ascii="Times New Roman" w:eastAsiaTheme="minorHAnsi" w:hAnsi="Times New Roman"/>
          <w:szCs w:val="24"/>
        </w:rPr>
        <w:t>are i</w:t>
      </w:r>
      <w:r>
        <w:rPr>
          <w:rFonts w:ascii="Times New Roman" w:eastAsiaTheme="minorHAnsi" w:hAnsi="Times New Roman"/>
          <w:szCs w:val="24"/>
        </w:rPr>
        <w:t>n the Company’s</w:t>
      </w:r>
      <w:r w:rsidRPr="00930CE5">
        <w:rPr>
          <w:rFonts w:ascii="Times New Roman" w:eastAsiaTheme="minorHAnsi" w:hAnsi="Times New Roman"/>
          <w:szCs w:val="24"/>
        </w:rPr>
        <w:t xml:space="preserve"> 2015 Biennial Conservation Plan</w:t>
      </w:r>
      <w:r>
        <w:rPr>
          <w:rFonts w:ascii="Times New Roman" w:eastAsiaTheme="minorHAnsi" w:hAnsi="Times New Roman"/>
          <w:szCs w:val="24"/>
        </w:rPr>
        <w:t>, filed with the Commission on October 30, 2015.</w:t>
      </w:r>
      <w:r w:rsidRPr="00930CE5">
        <w:rPr>
          <w:rFonts w:ascii="Times New Roman" w:hAnsi="Times New Roman"/>
          <w:sz w:val="23"/>
          <w:szCs w:val="23"/>
        </w:rPr>
        <w:t xml:space="preserve"> </w:t>
      </w:r>
      <w:r w:rsidR="00F53450">
        <w:rPr>
          <w:rFonts w:ascii="Times New Roman" w:hAnsi="Times New Roman"/>
          <w:sz w:val="23"/>
          <w:szCs w:val="23"/>
        </w:rPr>
        <w:t xml:space="preserve"> The 2</w:t>
      </w:r>
      <w:r w:rsidRPr="00930CE5">
        <w:rPr>
          <w:rFonts w:ascii="Times New Roman" w:eastAsiaTheme="minorHAnsi" w:hAnsi="Times New Roman"/>
          <w:szCs w:val="24"/>
        </w:rPr>
        <w:t>015 Biennial Conservation Plan</w:t>
      </w:r>
      <w:r>
        <w:rPr>
          <w:rFonts w:ascii="Times New Roman" w:eastAsiaTheme="minorHAnsi" w:hAnsi="Times New Roman"/>
          <w:szCs w:val="24"/>
        </w:rPr>
        <w:t xml:space="preserve"> </w:t>
      </w:r>
      <w:r w:rsidR="0059185B">
        <w:rPr>
          <w:rFonts w:ascii="Times New Roman" w:eastAsiaTheme="minorHAnsi" w:hAnsi="Times New Roman"/>
          <w:szCs w:val="24"/>
        </w:rPr>
        <w:t>was guided by the 2015 IRP and includes the C</w:t>
      </w:r>
      <w:r w:rsidRPr="00930CE5">
        <w:rPr>
          <w:rFonts w:ascii="Times New Roman" w:eastAsiaTheme="minorHAnsi" w:hAnsi="Times New Roman"/>
          <w:szCs w:val="24"/>
        </w:rPr>
        <w:t>ompany's Ten-Year Conservation Potential and 2016-2017 Biennial Conservation</w:t>
      </w:r>
      <w:r>
        <w:rPr>
          <w:rFonts w:ascii="Times New Roman" w:eastAsiaTheme="minorHAnsi" w:hAnsi="Times New Roman"/>
          <w:szCs w:val="24"/>
        </w:rPr>
        <w:t xml:space="preserve"> </w:t>
      </w:r>
      <w:r w:rsidR="0059185B">
        <w:rPr>
          <w:rFonts w:ascii="Times New Roman" w:eastAsiaTheme="minorHAnsi" w:hAnsi="Times New Roman"/>
          <w:szCs w:val="24"/>
        </w:rPr>
        <w:t>Target</w:t>
      </w:r>
      <w:r w:rsidRPr="00930CE5">
        <w:rPr>
          <w:rFonts w:ascii="Times New Roman" w:eastAsiaTheme="minorHAnsi" w:hAnsi="Times New Roman"/>
          <w:szCs w:val="24"/>
        </w:rPr>
        <w:t>,</w:t>
      </w:r>
      <w:r w:rsidR="0059185B">
        <w:rPr>
          <w:rFonts w:ascii="Times New Roman" w:eastAsiaTheme="minorHAnsi" w:hAnsi="Times New Roman"/>
          <w:szCs w:val="24"/>
        </w:rPr>
        <w:t xml:space="preserve"> and its Demand Side Management</w:t>
      </w:r>
      <w:r w:rsidRPr="00930CE5">
        <w:rPr>
          <w:rFonts w:ascii="Times New Roman" w:eastAsiaTheme="minorHAnsi" w:hAnsi="Times New Roman"/>
          <w:szCs w:val="24"/>
        </w:rPr>
        <w:t xml:space="preserve"> Business Plan. </w:t>
      </w:r>
      <w:r w:rsidR="00B67000">
        <w:rPr>
          <w:rFonts w:ascii="Times New Roman" w:eastAsiaTheme="minorHAnsi" w:hAnsi="Times New Roman"/>
          <w:szCs w:val="24"/>
        </w:rPr>
        <w:t xml:space="preserve"> </w:t>
      </w:r>
      <w:r w:rsidRPr="00930CE5">
        <w:rPr>
          <w:rFonts w:ascii="Times New Roman" w:eastAsiaTheme="minorHAnsi" w:hAnsi="Times New Roman"/>
          <w:szCs w:val="24"/>
        </w:rPr>
        <w:t xml:space="preserve">The </w:t>
      </w:r>
      <w:r w:rsidR="00F53450">
        <w:rPr>
          <w:rFonts w:ascii="Times New Roman" w:eastAsiaTheme="minorHAnsi" w:hAnsi="Times New Roman"/>
          <w:szCs w:val="24"/>
        </w:rPr>
        <w:t xml:space="preserve">Company </w:t>
      </w:r>
      <w:r w:rsidR="00B67000">
        <w:rPr>
          <w:rFonts w:ascii="Times New Roman" w:eastAsiaTheme="minorHAnsi" w:hAnsi="Times New Roman"/>
          <w:szCs w:val="24"/>
        </w:rPr>
        <w:t>developed this plan with the input o</w:t>
      </w:r>
      <w:r w:rsidR="00F53450">
        <w:rPr>
          <w:rFonts w:ascii="Times New Roman" w:eastAsiaTheme="minorHAnsi" w:hAnsi="Times New Roman"/>
          <w:szCs w:val="24"/>
        </w:rPr>
        <w:t>f an advisory g</w:t>
      </w:r>
      <w:r w:rsidRPr="00930CE5">
        <w:rPr>
          <w:rFonts w:ascii="Times New Roman" w:eastAsiaTheme="minorHAnsi" w:hAnsi="Times New Roman"/>
          <w:szCs w:val="24"/>
        </w:rPr>
        <w:t>roup</w:t>
      </w:r>
      <w:r w:rsidR="00F53450">
        <w:rPr>
          <w:rFonts w:ascii="Times New Roman" w:eastAsiaTheme="minorHAnsi" w:hAnsi="Times New Roman"/>
          <w:szCs w:val="24"/>
        </w:rPr>
        <w:t>,</w:t>
      </w:r>
      <w:r w:rsidRPr="00930CE5">
        <w:rPr>
          <w:rFonts w:ascii="Times New Roman" w:eastAsiaTheme="minorHAnsi" w:hAnsi="Times New Roman"/>
          <w:szCs w:val="24"/>
        </w:rPr>
        <w:t xml:space="preserve"> in accordance with</w:t>
      </w:r>
      <w:r w:rsidR="00F53450">
        <w:rPr>
          <w:rFonts w:ascii="Times New Roman" w:eastAsiaTheme="minorHAnsi" w:hAnsi="Times New Roman"/>
          <w:szCs w:val="24"/>
        </w:rPr>
        <w:t xml:space="preserve"> </w:t>
      </w:r>
      <w:r w:rsidRPr="00930CE5">
        <w:rPr>
          <w:rFonts w:ascii="Times New Roman" w:eastAsiaTheme="minorHAnsi" w:hAnsi="Times New Roman"/>
          <w:szCs w:val="24"/>
        </w:rPr>
        <w:t>WAC 480-109-110.</w:t>
      </w:r>
      <w:r w:rsidR="00F53450">
        <w:rPr>
          <w:rFonts w:ascii="Times New Roman" w:eastAsiaTheme="minorHAnsi" w:hAnsi="Times New Roman"/>
          <w:szCs w:val="24"/>
        </w:rPr>
        <w:t xml:space="preserve"> </w:t>
      </w:r>
      <w:r w:rsidR="00F84E8D" w:rsidRPr="00253F90">
        <w:rPr>
          <w:rFonts w:ascii="Times" w:eastAsia="Times" w:hAnsi="Times"/>
        </w:rPr>
        <w:t xml:space="preserve">  </w:t>
      </w:r>
    </w:p>
    <w:p w:rsidR="00C9549D" w:rsidRPr="00C466FC" w:rsidRDefault="00C9549D" w:rsidP="00A10ECF">
      <w:pPr>
        <w:pStyle w:val="Heading2"/>
      </w:pPr>
      <w:bookmarkStart w:id="7" w:name="_Toc435729881"/>
      <w:r w:rsidRPr="00C466FC">
        <w:t>Proposed Tariffs</w:t>
      </w:r>
      <w:bookmarkEnd w:id="7"/>
      <w:r w:rsidRPr="00C466FC">
        <w:t xml:space="preserve"> </w:t>
      </w:r>
    </w:p>
    <w:p w:rsidR="00C9549D" w:rsidRPr="003B51D5" w:rsidRDefault="00C9549D" w:rsidP="00A10ECF">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Pr>
          <w:rFonts w:ascii="Times New Roman" w:hAnsi="Times New Roman"/>
          <w:b/>
          <w:szCs w:val="24"/>
        </w:rPr>
        <w:t xml:space="preserve">Have you included </w:t>
      </w:r>
      <w:r w:rsidRPr="003B51D5">
        <w:rPr>
          <w:rFonts w:ascii="Times New Roman" w:hAnsi="Times New Roman"/>
          <w:b/>
          <w:szCs w:val="24"/>
        </w:rPr>
        <w:t xml:space="preserve">the Company’s </w:t>
      </w:r>
      <w:r>
        <w:rPr>
          <w:rFonts w:ascii="Times New Roman" w:hAnsi="Times New Roman"/>
          <w:b/>
          <w:szCs w:val="24"/>
        </w:rPr>
        <w:t xml:space="preserve">proposed revised </w:t>
      </w:r>
      <w:r w:rsidRPr="003B51D5">
        <w:rPr>
          <w:rFonts w:ascii="Times New Roman" w:hAnsi="Times New Roman"/>
          <w:b/>
          <w:szCs w:val="24"/>
        </w:rPr>
        <w:t>Washington electric t</w:t>
      </w:r>
      <w:r>
        <w:rPr>
          <w:rFonts w:ascii="Times New Roman" w:hAnsi="Times New Roman"/>
          <w:b/>
          <w:szCs w:val="24"/>
        </w:rPr>
        <w:t>ariff schedules in this filing?</w:t>
      </w:r>
    </w:p>
    <w:p w:rsidR="00C9549D" w:rsidRDefault="00C9549D" w:rsidP="00A10ECF">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r>
      <w:r w:rsidRPr="00E53B96">
        <w:rPr>
          <w:rFonts w:ascii="Times New Roman" w:hAnsi="Times New Roman"/>
          <w:szCs w:val="24"/>
        </w:rPr>
        <w:t xml:space="preserve">Yes.  </w:t>
      </w:r>
      <w:r w:rsidRPr="00B46FE5">
        <w:rPr>
          <w:rFonts w:ascii="Times New Roman" w:hAnsi="Times New Roman"/>
          <w:szCs w:val="24"/>
        </w:rPr>
        <w:t>Exhibit No.</w:t>
      </w:r>
      <w:r w:rsidR="00444BD8">
        <w:rPr>
          <w:rFonts w:ascii="Times New Roman" w:hAnsi="Times New Roman"/>
          <w:szCs w:val="24"/>
        </w:rPr>
        <w:t xml:space="preserve"> </w:t>
      </w:r>
      <w:r w:rsidRPr="00B46FE5">
        <w:rPr>
          <w:rFonts w:ascii="Times New Roman" w:hAnsi="Times New Roman"/>
          <w:szCs w:val="24"/>
        </w:rPr>
        <w:t>JRS-</w:t>
      </w:r>
      <w:r w:rsidR="00BC3FEE">
        <w:rPr>
          <w:rFonts w:ascii="Times New Roman" w:hAnsi="Times New Roman"/>
          <w:szCs w:val="24"/>
        </w:rPr>
        <w:t>7</w:t>
      </w:r>
      <w:r w:rsidRPr="003B51D5">
        <w:rPr>
          <w:rFonts w:ascii="Times New Roman" w:hAnsi="Times New Roman"/>
          <w:szCs w:val="24"/>
        </w:rPr>
        <w:t xml:space="preserve"> contains revised tariff sheets incorporating the changes proposed for approval in this proceeding</w:t>
      </w:r>
      <w:r>
        <w:rPr>
          <w:rFonts w:ascii="Times New Roman" w:hAnsi="Times New Roman"/>
          <w:szCs w:val="24"/>
        </w:rPr>
        <w:t xml:space="preserve"> with rates effective May 1, 2016</w:t>
      </w:r>
      <w:r w:rsidRPr="003B51D5">
        <w:rPr>
          <w:rFonts w:ascii="Times New Roman" w:hAnsi="Times New Roman"/>
          <w:szCs w:val="24"/>
        </w:rPr>
        <w:t>.</w:t>
      </w:r>
      <w:r>
        <w:rPr>
          <w:rFonts w:ascii="Times New Roman" w:hAnsi="Times New Roman"/>
          <w:szCs w:val="24"/>
        </w:rPr>
        <w:t xml:space="preserve">  </w:t>
      </w:r>
      <w:r w:rsidR="00A10ECF">
        <w:rPr>
          <w:rFonts w:ascii="Times New Roman" w:hAnsi="Times New Roman"/>
          <w:szCs w:val="24"/>
        </w:rPr>
        <w:t xml:space="preserve">It also contains a new Schedule </w:t>
      </w:r>
      <w:r w:rsidR="00BC3FEE">
        <w:rPr>
          <w:rFonts w:ascii="Times New Roman" w:hAnsi="Times New Roman"/>
          <w:szCs w:val="24"/>
        </w:rPr>
        <w:t>93</w:t>
      </w:r>
      <w:r w:rsidR="00A10ECF">
        <w:rPr>
          <w:rFonts w:ascii="Times New Roman" w:hAnsi="Times New Roman"/>
          <w:szCs w:val="24"/>
        </w:rPr>
        <w:t>, Decoupling Revenue Adjustments, to implement the proposed decoupling mechanism.</w:t>
      </w:r>
      <w:r w:rsidR="004C5D7B">
        <w:rPr>
          <w:rFonts w:ascii="Times New Roman" w:hAnsi="Times New Roman"/>
          <w:szCs w:val="24"/>
        </w:rPr>
        <w:t xml:space="preserve">  For the rates to be effective May 1, 2017, the Company proposes to make a compliance filing with the revised tariffs (reflecting the rates shown on Exhibit </w:t>
      </w:r>
      <w:r w:rsidR="007179F8">
        <w:rPr>
          <w:rFonts w:ascii="Times New Roman" w:hAnsi="Times New Roman"/>
          <w:szCs w:val="24"/>
        </w:rPr>
        <w:t xml:space="preserve">No. JRS-3 </w:t>
      </w:r>
      <w:r w:rsidR="004C5D7B">
        <w:rPr>
          <w:rFonts w:ascii="Times New Roman" w:hAnsi="Times New Roman"/>
          <w:szCs w:val="24"/>
        </w:rPr>
        <w:t xml:space="preserve">no later than </w:t>
      </w:r>
      <w:r w:rsidR="007179F8">
        <w:rPr>
          <w:rFonts w:ascii="Times New Roman" w:hAnsi="Times New Roman"/>
          <w:szCs w:val="24"/>
        </w:rPr>
        <w:t xml:space="preserve">30 days </w:t>
      </w:r>
      <w:r w:rsidR="0003627C">
        <w:rPr>
          <w:rFonts w:ascii="Times New Roman" w:hAnsi="Times New Roman"/>
          <w:szCs w:val="24"/>
        </w:rPr>
        <w:t>before</w:t>
      </w:r>
      <w:r w:rsidR="007179F8">
        <w:rPr>
          <w:rFonts w:ascii="Times New Roman" w:hAnsi="Times New Roman"/>
          <w:szCs w:val="24"/>
        </w:rPr>
        <w:t xml:space="preserve"> the effective date.  </w:t>
      </w:r>
    </w:p>
    <w:p w:rsidR="005D093B" w:rsidRPr="003B51D5" w:rsidRDefault="005D093B" w:rsidP="00A10ECF">
      <w:pPr>
        <w:rPr>
          <w:rFonts w:ascii="Times New Roman" w:hAnsi="Times New Roman"/>
          <w:b/>
        </w:rPr>
      </w:pPr>
      <w:r w:rsidRPr="003B51D5">
        <w:rPr>
          <w:rFonts w:ascii="Times New Roman" w:hAnsi="Times New Roman"/>
          <w:b/>
        </w:rPr>
        <w:t>Q.</w:t>
      </w:r>
      <w:r w:rsidRPr="003B51D5">
        <w:rPr>
          <w:rFonts w:ascii="Times New Roman" w:hAnsi="Times New Roman"/>
          <w:b/>
        </w:rPr>
        <w:tab/>
        <w:t xml:space="preserve">Does this conclude your </w:t>
      </w:r>
      <w:r w:rsidR="003B51D5">
        <w:rPr>
          <w:rFonts w:ascii="Times New Roman" w:hAnsi="Times New Roman"/>
          <w:b/>
        </w:rPr>
        <w:t xml:space="preserve">direct </w:t>
      </w:r>
      <w:r w:rsidRPr="003B51D5">
        <w:rPr>
          <w:rFonts w:ascii="Times New Roman" w:hAnsi="Times New Roman"/>
          <w:b/>
        </w:rPr>
        <w:t>testimony?</w:t>
      </w:r>
      <w:r w:rsidR="00A517D7" w:rsidRPr="003B51D5">
        <w:rPr>
          <w:rFonts w:ascii="Times New Roman" w:hAnsi="Times New Roman"/>
          <w:b/>
        </w:rPr>
        <w:tab/>
      </w:r>
    </w:p>
    <w:p w:rsidR="00620183" w:rsidRPr="003B51D5" w:rsidRDefault="005D093B" w:rsidP="00A10ECF">
      <w:pPr>
        <w:pStyle w:val="BodyTextIndent2"/>
        <w:ind w:hanging="720"/>
        <w:rPr>
          <w:rFonts w:ascii="Times New Roman" w:hAnsi="Times New Roman"/>
        </w:rPr>
      </w:pPr>
      <w:r w:rsidRPr="003B51D5">
        <w:rPr>
          <w:rFonts w:ascii="Times New Roman" w:hAnsi="Times New Roman"/>
          <w:szCs w:val="24"/>
        </w:rPr>
        <w:t>A.</w:t>
      </w:r>
      <w:r w:rsidRPr="003B51D5">
        <w:rPr>
          <w:rFonts w:ascii="Times New Roman" w:hAnsi="Times New Roman"/>
          <w:szCs w:val="24"/>
        </w:rPr>
        <w:tab/>
        <w:t>Yes</w:t>
      </w:r>
      <w:r w:rsidR="009139E9" w:rsidRPr="003B51D5">
        <w:rPr>
          <w:rFonts w:ascii="Times New Roman" w:hAnsi="Times New Roman"/>
          <w:szCs w:val="24"/>
        </w:rPr>
        <w:t>.</w:t>
      </w:r>
      <w:r w:rsidRPr="003B51D5">
        <w:rPr>
          <w:rFonts w:ascii="Times New Roman" w:hAnsi="Times New Roman"/>
          <w:szCs w:val="24"/>
        </w:rPr>
        <w:t xml:space="preserve"> </w:t>
      </w:r>
    </w:p>
    <w:sectPr w:rsidR="00620183" w:rsidRPr="003B51D5" w:rsidSect="00A10ECF">
      <w:footerReference w:type="default" r:id="rId18"/>
      <w:pgSz w:w="12240" w:h="15840" w:code="1"/>
      <w:pgMar w:top="1440" w:right="1440" w:bottom="1440" w:left="1800" w:header="720" w:footer="720"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94" w:rsidRDefault="001D0294">
      <w:r>
        <w:separator/>
      </w:r>
    </w:p>
  </w:endnote>
  <w:endnote w:type="continuationSeparator" w:id="0">
    <w:p w:rsidR="001D0294" w:rsidRDefault="001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384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E47" w:rsidRDefault="00D71E47">
    <w:pPr>
      <w:pStyle w:val="Footer"/>
      <w:spacing w:line="240" w:lineRule="auto"/>
      <w:rPr>
        <w:rStyle w:val="PageNumber"/>
        <w:rFonts w:ascii="Times New Roman" w:hAnsi="Times New Roman"/>
      </w:rPr>
    </w:pPr>
    <w:r>
      <w:rPr>
        <w:rStyle w:val="PageNumber"/>
        <w:rFonts w:ascii="Times New Roman" w:hAnsi="Times New Roman"/>
      </w:rPr>
      <w:t>Direct Testimony of Jo</w:t>
    </w:r>
    <w:r w:rsidR="00FE1F92">
      <w:rPr>
        <w:rStyle w:val="PageNumber"/>
        <w:rFonts w:ascii="Times New Roman" w:hAnsi="Times New Roman"/>
      </w:rPr>
      <w:t>elle R. Steward</w:t>
    </w:r>
    <w:r w:rsidR="00FE1F92">
      <w:rPr>
        <w:rStyle w:val="PageNumber"/>
        <w:rFonts w:ascii="Times New Roman" w:hAnsi="Times New Roman"/>
      </w:rPr>
      <w:tab/>
    </w:r>
    <w:r w:rsidR="00FE1F92">
      <w:rPr>
        <w:rStyle w:val="PageNumber"/>
        <w:rFonts w:ascii="Times New Roman" w:hAnsi="Times New Roman"/>
      </w:rPr>
      <w:tab/>
      <w:t>Exhibit No. JRS-1T</w:t>
    </w:r>
  </w:p>
  <w:p w:rsidR="00D71E47" w:rsidRDefault="00D71E47">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840D8">
      <w:rPr>
        <w:rStyle w:val="PageNumber"/>
        <w:rFonts w:ascii="Times New Roman" w:hAnsi="Times New Roman"/>
        <w:noProof/>
      </w:rPr>
      <w:t>i</w:t>
    </w:r>
    <w:r>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3840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E47" w:rsidRDefault="00D71E47">
    <w:pPr>
      <w:pStyle w:val="Footer"/>
      <w:spacing w:line="240" w:lineRule="auto"/>
      <w:rPr>
        <w:rStyle w:val="PageNumber"/>
        <w:rFonts w:ascii="Times New Roman" w:hAnsi="Times New Roman"/>
      </w:rPr>
    </w:pPr>
    <w:r>
      <w:rPr>
        <w:rStyle w:val="PageNumber"/>
        <w:rFonts w:ascii="Times New Roman" w:hAnsi="Times New Roman"/>
      </w:rPr>
      <w:t>Direct Testimony of Joelle R. Steward</w:t>
    </w:r>
    <w:r>
      <w:rPr>
        <w:rStyle w:val="PageNumber"/>
        <w:rFonts w:ascii="Times New Roman" w:hAnsi="Times New Roman"/>
      </w:rPr>
      <w:tab/>
    </w:r>
    <w:r>
      <w:rPr>
        <w:rStyle w:val="PageNumber"/>
        <w:rFonts w:ascii="Times New Roman" w:hAnsi="Times New Roman"/>
      </w:rPr>
      <w:tab/>
      <w:t>Exhibit No. JRS-1T</w:t>
    </w:r>
  </w:p>
  <w:p w:rsidR="00D71E47" w:rsidRDefault="00D71E47">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840D8">
      <w:rPr>
        <w:rStyle w:val="PageNumber"/>
        <w:rFonts w:ascii="Times New Roman" w:hAnsi="Times New Roman"/>
        <w:noProof/>
      </w:rPr>
      <w:t>21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94" w:rsidRDefault="001D0294" w:rsidP="00DC4B5D">
      <w:pPr>
        <w:spacing w:line="240" w:lineRule="auto"/>
      </w:pPr>
      <w:r>
        <w:separator/>
      </w:r>
    </w:p>
  </w:footnote>
  <w:footnote w:type="continuationSeparator" w:id="0">
    <w:p w:rsidR="001D0294" w:rsidRDefault="001D0294">
      <w:r>
        <w:continuationSeparator/>
      </w:r>
    </w:p>
  </w:footnote>
  <w:footnote w:id="1">
    <w:p w:rsidR="00D71E47" w:rsidRDefault="00D71E47" w:rsidP="006C10E9">
      <w:pPr>
        <w:pStyle w:val="FootnoteText"/>
      </w:pPr>
      <w:r w:rsidRPr="002541E9">
        <w:rPr>
          <w:rStyle w:val="FootnoteReference"/>
          <w:rFonts w:ascii="Times New Roman" w:hAnsi="Times New Roman"/>
          <w:vertAlign w:val="superscript"/>
        </w:rPr>
        <w:footnoteRef/>
      </w:r>
      <w:r w:rsidRPr="002541E9">
        <w:rPr>
          <w:rStyle w:val="FootnoteReference"/>
          <w:vertAlign w:val="superscript"/>
        </w:rPr>
        <w:t xml:space="preserve"> </w:t>
      </w:r>
      <w:r w:rsidR="006A2881">
        <w:rPr>
          <w:rFonts w:ascii="Times New Roman" w:hAnsi="Times New Roman"/>
          <w:i/>
        </w:rPr>
        <w:t xml:space="preserve">Wash. Utils. &amp; Transp. Comm’n </w:t>
      </w:r>
      <w:r w:rsidRPr="002541E9">
        <w:rPr>
          <w:rFonts w:ascii="Times New Roman" w:hAnsi="Times New Roman"/>
          <w:i/>
        </w:rPr>
        <w:t>v. PacifiCorp,</w:t>
      </w:r>
      <w:r w:rsidRPr="002541E9">
        <w:rPr>
          <w:rFonts w:ascii="Times New Roman" w:hAnsi="Times New Roman"/>
        </w:rPr>
        <w:t xml:space="preserve"> Docket UE-111190, Order 07</w:t>
      </w:r>
      <w:r>
        <w:rPr>
          <w:rFonts w:ascii="Times New Roman" w:hAnsi="Times New Roman"/>
        </w:rPr>
        <w:t xml:space="preserve"> at 8, ¶ 17</w:t>
      </w:r>
      <w:r w:rsidRPr="002541E9">
        <w:rPr>
          <w:rFonts w:ascii="Times New Roman" w:hAnsi="Times New Roman"/>
        </w:rPr>
        <w:t xml:space="preserve"> (Mar. 30, 2012</w:t>
      </w:r>
      <w:r w:rsidRPr="00A53481">
        <w:rPr>
          <w:sz w:val="18"/>
          <w:szCs w:val="18"/>
        </w:rPr>
        <w:t>).</w:t>
      </w:r>
    </w:p>
  </w:footnote>
  <w:footnote w:id="2">
    <w:p w:rsidR="00D71E47" w:rsidRPr="00444BD8" w:rsidRDefault="00D71E47">
      <w:pPr>
        <w:pStyle w:val="FootnoteText"/>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vertAlign w:val="superscript"/>
        </w:rPr>
        <w:t xml:space="preserve"> </w:t>
      </w:r>
      <w:r w:rsidR="006A2881">
        <w:rPr>
          <w:rFonts w:ascii="Times New Roman" w:hAnsi="Times New Roman"/>
          <w:i/>
        </w:rPr>
        <w:t xml:space="preserve">Wash. Utils. &amp; Transp. Comm’n </w:t>
      </w:r>
      <w:r w:rsidR="006A2881" w:rsidRPr="00444BD8">
        <w:rPr>
          <w:rFonts w:ascii="Times New Roman" w:hAnsi="Times New Roman"/>
          <w:i/>
        </w:rPr>
        <w:t xml:space="preserve"> </w:t>
      </w:r>
      <w:r w:rsidRPr="00444BD8">
        <w:rPr>
          <w:rFonts w:ascii="Times New Roman" w:hAnsi="Times New Roman"/>
          <w:i/>
        </w:rPr>
        <w:t>v. PacifiCorp</w:t>
      </w:r>
      <w:r w:rsidRPr="00444BD8">
        <w:rPr>
          <w:rFonts w:ascii="Times New Roman" w:hAnsi="Times New Roman"/>
        </w:rPr>
        <w:t xml:space="preserve">, Docket UE-140762 et al., Order 08, ¶ 202 (March 25, 2015). </w:t>
      </w:r>
    </w:p>
  </w:footnote>
  <w:footnote w:id="3">
    <w:p w:rsidR="00D71E47" w:rsidRPr="00444BD8" w:rsidRDefault="00D71E47" w:rsidP="00FF66F2">
      <w:pPr>
        <w:pStyle w:val="FootnoteText"/>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rPr>
        <w:t xml:space="preserve"> Id. at ¶ 191. </w:t>
      </w:r>
    </w:p>
  </w:footnote>
  <w:footnote w:id="4">
    <w:p w:rsidR="00D71E47" w:rsidRPr="00444BD8" w:rsidRDefault="00D71E47" w:rsidP="0077458D">
      <w:pPr>
        <w:pStyle w:val="FootnoteText"/>
        <w:ind w:left="0" w:firstLine="0"/>
        <w:rPr>
          <w:rFonts w:ascii="Times New Roman" w:hAnsi="Times New Roman"/>
        </w:rPr>
      </w:pPr>
      <w:r w:rsidRPr="002C1F29">
        <w:rPr>
          <w:rStyle w:val="FootnoteReference"/>
          <w:rFonts w:ascii="Times New Roman" w:hAnsi="Times New Roman"/>
          <w:vertAlign w:val="superscript"/>
        </w:rPr>
        <w:footnoteRef/>
      </w:r>
      <w:r w:rsidRPr="002C1F29">
        <w:rPr>
          <w:rFonts w:ascii="Times New Roman" w:hAnsi="Times New Roman"/>
        </w:rPr>
        <w:t xml:space="preserve"> </w:t>
      </w:r>
      <w:r w:rsidRPr="002C1F29">
        <w:rPr>
          <w:rFonts w:ascii="Times New Roman" w:hAnsi="Times New Roman"/>
          <w:i/>
        </w:rPr>
        <w:t>Wash. Utils. &amp; Transp. Comm’n</w:t>
      </w:r>
      <w:r w:rsidRPr="00444BD8">
        <w:rPr>
          <w:rFonts w:ascii="Times New Roman" w:hAnsi="Times New Roman"/>
          <w:i/>
        </w:rPr>
        <w:t xml:space="preserve"> v. PacifiCorp</w:t>
      </w:r>
      <w:r w:rsidRPr="00444BD8">
        <w:rPr>
          <w:rFonts w:ascii="Times New Roman" w:hAnsi="Times New Roman"/>
        </w:rPr>
        <w:t>, Docket UE-111190, Order 07, ¶ 17 (Mar. 30, 2012).</w:t>
      </w:r>
    </w:p>
  </w:footnote>
  <w:footnote w:id="5">
    <w:p w:rsidR="00D71E47" w:rsidRPr="00DC4B5D" w:rsidRDefault="00D71E47" w:rsidP="0077458D">
      <w:pPr>
        <w:pStyle w:val="FootnoteText"/>
        <w:ind w:left="0" w:firstLine="0"/>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rPr>
        <w:t xml:space="preserve"> </w:t>
      </w:r>
      <w:r w:rsidRPr="00444BD8">
        <w:rPr>
          <w:rFonts w:ascii="Times New Roman" w:hAnsi="Times New Roman"/>
          <w:i/>
        </w:rPr>
        <w:t>See</w:t>
      </w:r>
      <w:r w:rsidRPr="00444BD8">
        <w:rPr>
          <w:rFonts w:ascii="Times New Roman" w:hAnsi="Times New Roman"/>
        </w:rPr>
        <w:t xml:space="preserve"> Docket UE-111190, Testimony of Debo</w:t>
      </w:r>
      <w:r w:rsidR="003C3995">
        <w:rPr>
          <w:rFonts w:ascii="Times New Roman" w:hAnsi="Times New Roman"/>
        </w:rPr>
        <w:t xml:space="preserve">rah J. Reynolds, Exhibit No. DJR-3 </w:t>
      </w:r>
      <w:r w:rsidRPr="00444BD8">
        <w:rPr>
          <w:rFonts w:ascii="Times New Roman" w:hAnsi="Times New Roman"/>
        </w:rPr>
        <w:t>at 1, (Jan. 6, 2012).</w:t>
      </w:r>
    </w:p>
  </w:footnote>
  <w:footnote w:id="6">
    <w:p w:rsidR="00D71E47" w:rsidRPr="00444BD8" w:rsidRDefault="00D71E47" w:rsidP="0077458D">
      <w:pPr>
        <w:pStyle w:val="FootnoteText"/>
        <w:rPr>
          <w:rFonts w:ascii="Times New Roman" w:hAnsi="Times New Roman"/>
          <w:i/>
        </w:rPr>
      </w:pPr>
      <w:r w:rsidRPr="00444BD8">
        <w:rPr>
          <w:rStyle w:val="FootnoteReference"/>
          <w:rFonts w:ascii="Times New Roman" w:hAnsi="Times New Roman"/>
          <w:vertAlign w:val="superscript"/>
        </w:rPr>
        <w:footnoteRef/>
      </w:r>
      <w:r w:rsidRPr="00444BD8">
        <w:rPr>
          <w:rFonts w:ascii="Times New Roman" w:hAnsi="Times New Roman"/>
          <w:vertAlign w:val="superscript"/>
        </w:rPr>
        <w:t xml:space="preserve"> </w:t>
      </w:r>
      <w:r w:rsidRPr="00444BD8">
        <w:rPr>
          <w:rFonts w:ascii="Times New Roman" w:hAnsi="Times New Roman"/>
          <w:i/>
        </w:rPr>
        <w:t>Id.</w:t>
      </w:r>
    </w:p>
  </w:footnote>
  <w:footnote w:id="7">
    <w:p w:rsidR="00D71E47" w:rsidRPr="002541E9" w:rsidRDefault="00D71E47" w:rsidP="002C1F29">
      <w:pPr>
        <w:pStyle w:val="FootnoteText"/>
        <w:ind w:left="0" w:firstLine="0"/>
        <w:rPr>
          <w:rFonts w:ascii="Times New Roman" w:hAnsi="Times New Roman"/>
        </w:rPr>
      </w:pPr>
      <w:r w:rsidRPr="002541E9">
        <w:rPr>
          <w:rStyle w:val="FootnoteReference"/>
          <w:rFonts w:ascii="Times New Roman" w:hAnsi="Times New Roman"/>
          <w:bCs/>
          <w:sz w:val="24"/>
          <w:szCs w:val="24"/>
          <w:vertAlign w:val="superscript"/>
        </w:rPr>
        <w:footnoteRef/>
      </w:r>
      <w:r w:rsidRPr="002541E9">
        <w:rPr>
          <w:rStyle w:val="FootnoteReference"/>
          <w:bCs/>
          <w:sz w:val="24"/>
          <w:szCs w:val="24"/>
          <w:vertAlign w:val="superscript"/>
        </w:rPr>
        <w:t xml:space="preserve"> </w:t>
      </w:r>
      <w:r w:rsidR="002C1F29">
        <w:rPr>
          <w:rFonts w:ascii="Times New Roman" w:hAnsi="Times New Roman"/>
          <w:i/>
        </w:rPr>
        <w:t xml:space="preserve">Wash. Utils. &amp; Transp. Comm’n </w:t>
      </w:r>
      <w:r w:rsidRPr="0035458C">
        <w:rPr>
          <w:rFonts w:ascii="Times New Roman" w:hAnsi="Times New Roman"/>
          <w:i/>
        </w:rPr>
        <w:t>v. PacifiCorp</w:t>
      </w:r>
      <w:r w:rsidRPr="0035458C">
        <w:rPr>
          <w:rFonts w:ascii="Times New Roman" w:hAnsi="Times New Roman"/>
        </w:rPr>
        <w:t>, Docket UE-140762 et al., Order 08</w:t>
      </w:r>
      <w:r>
        <w:rPr>
          <w:rFonts w:ascii="Times New Roman" w:hAnsi="Times New Roman"/>
        </w:rPr>
        <w:t xml:space="preserve"> at 94, </w:t>
      </w:r>
      <w:r w:rsidRPr="0035458C">
        <w:rPr>
          <w:rFonts w:ascii="Times New Roman" w:hAnsi="Times New Roman"/>
        </w:rPr>
        <w:t>¶ 2</w:t>
      </w:r>
      <w:r>
        <w:rPr>
          <w:rFonts w:ascii="Times New Roman" w:hAnsi="Times New Roman"/>
        </w:rPr>
        <w:t>2</w:t>
      </w:r>
      <w:r w:rsidRPr="0035458C">
        <w:rPr>
          <w:rFonts w:ascii="Times New Roman" w:hAnsi="Times New Roman"/>
        </w:rPr>
        <w:t>2 (March 25, 2015).</w:t>
      </w:r>
    </w:p>
  </w:footnote>
  <w:footnote w:id="8">
    <w:p w:rsidR="00D71E47" w:rsidRPr="002541E9" w:rsidRDefault="00D71E47" w:rsidP="003A43B2">
      <w:pPr>
        <w:pStyle w:val="FootnoteText"/>
        <w:ind w:left="0" w:firstLine="0"/>
        <w:rPr>
          <w:rFonts w:ascii="Times New Roman" w:hAnsi="Times New Roman"/>
        </w:rPr>
      </w:pPr>
      <w:r w:rsidRPr="002541E9">
        <w:rPr>
          <w:rStyle w:val="FootnoteReference"/>
          <w:rFonts w:ascii="Times New Roman" w:hAnsi="Times New Roman"/>
          <w:bCs/>
          <w:sz w:val="24"/>
          <w:szCs w:val="24"/>
          <w:vertAlign w:val="superscript"/>
        </w:rPr>
        <w:footnoteRef/>
      </w:r>
      <w:r w:rsidRPr="002541E9">
        <w:rPr>
          <w:rStyle w:val="FootnoteReference"/>
          <w:bCs/>
          <w:sz w:val="24"/>
          <w:szCs w:val="24"/>
          <w:vertAlign w:val="superscript"/>
        </w:rPr>
        <w:t xml:space="preserve"> </w:t>
      </w:r>
      <w:r w:rsidRPr="003A43B2">
        <w:rPr>
          <w:rFonts w:ascii="Times New Roman" w:hAnsi="Times New Roman"/>
          <w:i/>
          <w:szCs w:val="24"/>
        </w:rPr>
        <w:t>See</w:t>
      </w:r>
      <w:r w:rsidRPr="003A43B2">
        <w:rPr>
          <w:rFonts w:ascii="Times New Roman" w:hAnsi="Times New Roman"/>
          <w:szCs w:val="24"/>
        </w:rPr>
        <w:t xml:space="preserve"> </w:t>
      </w:r>
      <w:r w:rsidRPr="003A43B2">
        <w:rPr>
          <w:rFonts w:ascii="Times New Roman" w:hAnsi="Times New Roman"/>
          <w:i/>
          <w:szCs w:val="24"/>
        </w:rPr>
        <w:t>In the Matter of the Washington Utilities and Transportation Commission’s Investigation into Energy Conservation Incentives</w:t>
      </w:r>
      <w:r w:rsidRPr="003A43B2">
        <w:rPr>
          <w:rFonts w:ascii="Times New Roman" w:hAnsi="Times New Roman"/>
          <w:szCs w:val="24"/>
        </w:rPr>
        <w:t>, Docket U-100522, Report and Policy Statement on Regulatory Mechanisms, Including Decoupling, to Encourage Utilities to Meet or Exceed their Conservation Targets (Nov. 4, 2010)</w:t>
      </w:r>
      <w:r>
        <w:rPr>
          <w:rFonts w:ascii="Times New Roman" w:hAnsi="Times New Roman"/>
          <w:szCs w:val="24"/>
        </w:rPr>
        <w:t xml:space="preserve"> (Decoupling Policy Statement)</w:t>
      </w:r>
      <w:r w:rsidRPr="003A43B2">
        <w:rPr>
          <w:rFonts w:ascii="Times New Roman" w:hAnsi="Times New Roman"/>
          <w:szCs w:val="24"/>
        </w:rPr>
        <w:t>.</w:t>
      </w:r>
      <w:r>
        <w:rPr>
          <w:rFonts w:ascii="Times New Roman" w:hAnsi="Times New Roman"/>
          <w:szCs w:val="24"/>
        </w:rPr>
        <w:t xml:space="preserve">  The Decoupling Policy Statement largely overlaps with the requirements for decoupling the Commission articulated in the Company’s 2005 GRC.  </w:t>
      </w:r>
      <w:r w:rsidR="006A2881">
        <w:rPr>
          <w:rFonts w:ascii="Times New Roman" w:hAnsi="Times New Roman"/>
          <w:i/>
          <w:szCs w:val="24"/>
        </w:rPr>
        <w:t xml:space="preserve">See Wash Utils. &amp; Transp. Comm’n </w:t>
      </w:r>
      <w:r w:rsidRPr="00D67B66">
        <w:rPr>
          <w:rFonts w:ascii="Times New Roman" w:hAnsi="Times New Roman"/>
          <w:i/>
          <w:szCs w:val="24"/>
        </w:rPr>
        <w:t xml:space="preserve"> v. PacifiCorp</w:t>
      </w:r>
      <w:r>
        <w:rPr>
          <w:rFonts w:ascii="Times New Roman" w:hAnsi="Times New Roman"/>
          <w:szCs w:val="24"/>
        </w:rPr>
        <w:t>, Dockets UE-050684 and UE-050412, Order 04 at ¶¶101-110 (Apr. 17, 2006).</w:t>
      </w:r>
    </w:p>
  </w:footnote>
  <w:footnote w:id="9">
    <w:p w:rsidR="00D71E47" w:rsidRPr="00DC4B5D" w:rsidRDefault="00D71E47" w:rsidP="000839C6">
      <w:pPr>
        <w:pStyle w:val="FootnoteText"/>
        <w:ind w:left="0" w:firstLine="0"/>
        <w:rPr>
          <w:rFonts w:ascii="Times New Roman" w:hAnsi="Times New Roman"/>
        </w:rPr>
      </w:pPr>
      <w:r w:rsidRPr="00DC4B5D">
        <w:rPr>
          <w:rStyle w:val="FootnoteReference"/>
          <w:rFonts w:ascii="Times New Roman" w:hAnsi="Times New Roman"/>
          <w:vertAlign w:val="superscript"/>
        </w:rPr>
        <w:footnoteRef/>
      </w:r>
      <w:r w:rsidRPr="00DC4B5D">
        <w:rPr>
          <w:rFonts w:ascii="Times New Roman" w:hAnsi="Times New Roman"/>
          <w:vertAlign w:val="superscript"/>
        </w:rPr>
        <w:t xml:space="preserve"> </w:t>
      </w:r>
      <w:r w:rsidRPr="00DC4B5D">
        <w:rPr>
          <w:rFonts w:ascii="Times New Roman" w:hAnsi="Times New Roman"/>
        </w:rPr>
        <w:t>In the Matter of the Washington Utilities and Transportation Commission Investigation into Energy Conservation Incentives, Docket U-100522, ¶ 27 (Nov. 4, 2010).</w:t>
      </w:r>
    </w:p>
  </w:footnote>
  <w:footnote w:id="10">
    <w:p w:rsidR="00D71E47" w:rsidRPr="00444BD8" w:rsidRDefault="00D71E47">
      <w:pPr>
        <w:pStyle w:val="FootnoteText"/>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rPr>
        <w:t xml:space="preserve"> Id. at ¶ 28.</w:t>
      </w:r>
    </w:p>
  </w:footnote>
  <w:footnote w:id="11">
    <w:p w:rsidR="00D71E47" w:rsidRPr="00444BD8" w:rsidRDefault="00D71E47" w:rsidP="006A2881">
      <w:pPr>
        <w:pStyle w:val="FootnoteText"/>
        <w:ind w:left="0" w:firstLine="0"/>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vertAlign w:val="superscript"/>
        </w:rPr>
        <w:t xml:space="preserve"> </w:t>
      </w:r>
      <w:r w:rsidR="006A2881">
        <w:rPr>
          <w:rFonts w:ascii="Times New Roman" w:hAnsi="Times New Roman"/>
          <w:i/>
        </w:rPr>
        <w:t xml:space="preserve">Wash. Utils. &amp; Transp. Comm’n </w:t>
      </w:r>
      <w:r w:rsidRPr="00444BD8">
        <w:rPr>
          <w:rFonts w:ascii="Times New Roman" w:hAnsi="Times New Roman"/>
          <w:i/>
        </w:rPr>
        <w:t xml:space="preserve"> v. Avista Corp.</w:t>
      </w:r>
      <w:r w:rsidRPr="00444BD8">
        <w:rPr>
          <w:rFonts w:ascii="Times New Roman" w:hAnsi="Times New Roman"/>
        </w:rPr>
        <w:t>, Dockets UE-140188 &amp; UG-140189, Order 05 at 13-14, ¶ 28 (Nov. 25, 2014).</w:t>
      </w:r>
    </w:p>
  </w:footnote>
  <w:footnote w:id="12">
    <w:p w:rsidR="00D71E47" w:rsidRPr="00444BD8" w:rsidRDefault="00D71E47" w:rsidP="000839C6">
      <w:pPr>
        <w:pStyle w:val="FootnoteText"/>
        <w:ind w:left="0" w:firstLine="0"/>
        <w:rPr>
          <w:rFonts w:ascii="Times New Roman" w:hAnsi="Times New Roman"/>
        </w:rPr>
      </w:pPr>
      <w:r w:rsidRPr="00444BD8">
        <w:rPr>
          <w:rStyle w:val="FootnoteReference"/>
          <w:rFonts w:ascii="Times New Roman" w:hAnsi="Times New Roman"/>
          <w:vertAlign w:val="superscript"/>
        </w:rPr>
        <w:footnoteRef/>
      </w:r>
      <w:r w:rsidRPr="00444BD8">
        <w:rPr>
          <w:rFonts w:ascii="Times New Roman" w:hAnsi="Times New Roman"/>
        </w:rPr>
        <w:t xml:space="preserve"> PacifiCorp’s 2015 Integrated Resource Plan, Appendix A at 15 (Mar. 31, 2015) (total Washington retail energy sales expected to decrease 0.29 percent by 2024 after accounting for energy efficiency). </w:t>
      </w:r>
    </w:p>
  </w:footnote>
  <w:footnote w:id="13">
    <w:p w:rsidR="00D71E47" w:rsidRPr="00DC4B5D" w:rsidRDefault="00D71E47" w:rsidP="00F84E8D">
      <w:pPr>
        <w:pStyle w:val="FootnoteText"/>
        <w:rPr>
          <w:rFonts w:ascii="Times New Roman" w:hAnsi="Times New Roman"/>
        </w:rPr>
      </w:pPr>
      <w:r w:rsidRPr="00DC4B5D">
        <w:rPr>
          <w:rStyle w:val="FootnoteReference"/>
          <w:rFonts w:ascii="Times New Roman" w:hAnsi="Times New Roman"/>
        </w:rPr>
        <w:footnoteRef/>
      </w:r>
      <w:r w:rsidRPr="00DC4B5D">
        <w:rPr>
          <w:rFonts w:ascii="Times New Roman" w:hAnsi="Times New Roman"/>
        </w:rPr>
        <w:t xml:space="preserve"> RCW 19.285.040(1)(b) (requiring biennial conservation targets).</w:t>
      </w:r>
    </w:p>
  </w:footnote>
  <w:footnote w:id="14">
    <w:p w:rsidR="00D71E47" w:rsidRPr="00DC4B5D" w:rsidRDefault="00D71E47" w:rsidP="00F84E8D">
      <w:pPr>
        <w:pStyle w:val="FootnoteText"/>
        <w:rPr>
          <w:rFonts w:ascii="Times New Roman" w:hAnsi="Times New Roman"/>
        </w:rPr>
      </w:pPr>
      <w:r w:rsidRPr="00DC4B5D">
        <w:rPr>
          <w:rStyle w:val="FootnoteReference"/>
          <w:rFonts w:ascii="Times New Roman" w:hAnsi="Times New Roman"/>
        </w:rPr>
        <w:footnoteRef/>
      </w:r>
      <w:r w:rsidRPr="00DC4B5D">
        <w:rPr>
          <w:rFonts w:ascii="Times New Roman" w:hAnsi="Times New Roman"/>
        </w:rPr>
        <w:t xml:space="preserve"> PacifiCorp’s 2015 Integrated Resource Plan at 3 (Mar. 31, 2015).</w:t>
      </w:r>
    </w:p>
  </w:footnote>
  <w:footnote w:id="15">
    <w:p w:rsidR="00D71E47" w:rsidRPr="00DC4B5D" w:rsidRDefault="00D71E47" w:rsidP="00F84E8D">
      <w:pPr>
        <w:pStyle w:val="FootnoteText"/>
        <w:rPr>
          <w:rFonts w:ascii="Times New Roman" w:hAnsi="Times New Roman"/>
        </w:rPr>
      </w:pPr>
      <w:r w:rsidRPr="00DC4B5D">
        <w:rPr>
          <w:rStyle w:val="FootnoteReference"/>
          <w:rFonts w:ascii="Times New Roman" w:hAnsi="Times New Roman"/>
        </w:rPr>
        <w:footnoteRef/>
      </w:r>
      <w:r w:rsidRPr="00DC4B5D">
        <w:rPr>
          <w:rFonts w:ascii="Times New Roman" w:hAnsi="Times New Roman"/>
        </w:rPr>
        <w:t xml:space="preserve"> PacifiCorp’s 2015 Integrated Resource Plan at 3 (Mar. 31,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384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384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384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DDE"/>
    <w:multiLevelType w:val="hybridMultilevel"/>
    <w:tmpl w:val="007A98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647EB"/>
    <w:multiLevelType w:val="hybridMultilevel"/>
    <w:tmpl w:val="B82A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4">
    <w:nsid w:val="07207B83"/>
    <w:multiLevelType w:val="hybridMultilevel"/>
    <w:tmpl w:val="E214CE74"/>
    <w:lvl w:ilvl="0" w:tplc="C2C8F14A">
      <w:start w:val="1"/>
      <w:numFmt w:val="decimal"/>
      <w:pStyle w:val="WAP1"/>
      <w:lvlText w:val="%1."/>
      <w:lvlJc w:val="left"/>
      <w:pPr>
        <w:ind w:left="14766" w:hanging="360"/>
      </w:pPr>
      <w:rPr>
        <w:rFonts w:ascii="Times New Roman" w:hAnsi="Times New Roman" w:hint="default"/>
        <w:b w:val="0"/>
        <w:i/>
        <w:sz w:val="24"/>
      </w:rPr>
    </w:lvl>
    <w:lvl w:ilvl="1" w:tplc="04090019">
      <w:start w:val="1"/>
      <w:numFmt w:val="lowerLetter"/>
      <w:lvlText w:val="%2."/>
      <w:lvlJc w:val="left"/>
      <w:pPr>
        <w:ind w:left="15486" w:hanging="360"/>
      </w:pPr>
    </w:lvl>
    <w:lvl w:ilvl="2" w:tplc="0409001B" w:tentative="1">
      <w:start w:val="1"/>
      <w:numFmt w:val="lowerRoman"/>
      <w:lvlText w:val="%3."/>
      <w:lvlJc w:val="right"/>
      <w:pPr>
        <w:ind w:left="16206" w:hanging="180"/>
      </w:pPr>
    </w:lvl>
    <w:lvl w:ilvl="3" w:tplc="0409000F" w:tentative="1">
      <w:start w:val="1"/>
      <w:numFmt w:val="decimal"/>
      <w:lvlText w:val="%4."/>
      <w:lvlJc w:val="left"/>
      <w:pPr>
        <w:ind w:left="16926" w:hanging="360"/>
      </w:pPr>
    </w:lvl>
    <w:lvl w:ilvl="4" w:tplc="04090019" w:tentative="1">
      <w:start w:val="1"/>
      <w:numFmt w:val="lowerLetter"/>
      <w:lvlText w:val="%5."/>
      <w:lvlJc w:val="left"/>
      <w:pPr>
        <w:ind w:left="17646" w:hanging="360"/>
      </w:pPr>
    </w:lvl>
    <w:lvl w:ilvl="5" w:tplc="0409001B" w:tentative="1">
      <w:start w:val="1"/>
      <w:numFmt w:val="lowerRoman"/>
      <w:lvlText w:val="%6."/>
      <w:lvlJc w:val="right"/>
      <w:pPr>
        <w:ind w:left="18366" w:hanging="180"/>
      </w:pPr>
    </w:lvl>
    <w:lvl w:ilvl="6" w:tplc="0409000F" w:tentative="1">
      <w:start w:val="1"/>
      <w:numFmt w:val="decimal"/>
      <w:lvlText w:val="%7."/>
      <w:lvlJc w:val="left"/>
      <w:pPr>
        <w:ind w:left="19086" w:hanging="360"/>
      </w:pPr>
    </w:lvl>
    <w:lvl w:ilvl="7" w:tplc="04090019" w:tentative="1">
      <w:start w:val="1"/>
      <w:numFmt w:val="lowerLetter"/>
      <w:lvlText w:val="%8."/>
      <w:lvlJc w:val="left"/>
      <w:pPr>
        <w:ind w:left="19806" w:hanging="360"/>
      </w:pPr>
    </w:lvl>
    <w:lvl w:ilvl="8" w:tplc="0409001B" w:tentative="1">
      <w:start w:val="1"/>
      <w:numFmt w:val="lowerRoman"/>
      <w:lvlText w:val="%9."/>
      <w:lvlJc w:val="right"/>
      <w:pPr>
        <w:ind w:left="20526" w:hanging="180"/>
      </w:pPr>
    </w:lvl>
  </w:abstractNum>
  <w:abstractNum w:abstractNumId="5">
    <w:nsid w:val="07AA25D9"/>
    <w:multiLevelType w:val="hybridMultilevel"/>
    <w:tmpl w:val="38AA5C88"/>
    <w:lvl w:ilvl="0" w:tplc="4A3EAA4E">
      <w:start w:val="1"/>
      <w:numFmt w:val="bullet"/>
      <w:lvlText w:val="•"/>
      <w:lvlJc w:val="left"/>
      <w:rPr>
        <w:sz w:val="20"/>
        <w:szCs w:val="20"/>
      </w:rPr>
    </w:lvl>
    <w:lvl w:ilvl="1" w:tplc="4C0AB3FC">
      <w:numFmt w:val="decimal"/>
      <w:lvlText w:val=""/>
      <w:lvlJc w:val="left"/>
    </w:lvl>
    <w:lvl w:ilvl="2" w:tplc="70C469A2">
      <w:numFmt w:val="decimal"/>
      <w:lvlText w:val=""/>
      <w:lvlJc w:val="left"/>
    </w:lvl>
    <w:lvl w:ilvl="3" w:tplc="FB12AF84">
      <w:numFmt w:val="decimal"/>
      <w:lvlText w:val=""/>
      <w:lvlJc w:val="left"/>
    </w:lvl>
    <w:lvl w:ilvl="4" w:tplc="0F14C94A">
      <w:numFmt w:val="decimal"/>
      <w:lvlText w:val=""/>
      <w:lvlJc w:val="left"/>
    </w:lvl>
    <w:lvl w:ilvl="5" w:tplc="B8EA71D0">
      <w:numFmt w:val="decimal"/>
      <w:lvlText w:val=""/>
      <w:lvlJc w:val="left"/>
    </w:lvl>
    <w:lvl w:ilvl="6" w:tplc="BC744BEC">
      <w:numFmt w:val="decimal"/>
      <w:lvlText w:val=""/>
      <w:lvlJc w:val="left"/>
    </w:lvl>
    <w:lvl w:ilvl="7" w:tplc="FCA61E2C">
      <w:numFmt w:val="decimal"/>
      <w:lvlText w:val=""/>
      <w:lvlJc w:val="left"/>
    </w:lvl>
    <w:lvl w:ilvl="8" w:tplc="04C45292">
      <w:numFmt w:val="decimal"/>
      <w:lvlText w:val=""/>
      <w:lvlJc w:val="left"/>
    </w:lvl>
  </w:abstractNum>
  <w:abstractNum w:abstractNumId="6">
    <w:nsid w:val="0A715348"/>
    <w:multiLevelType w:val="hybridMultilevel"/>
    <w:tmpl w:val="5CD02AF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0AEE7BE3"/>
    <w:multiLevelType w:val="hybridMultilevel"/>
    <w:tmpl w:val="50C0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4115D"/>
    <w:multiLevelType w:val="hybridMultilevel"/>
    <w:tmpl w:val="36469B8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11">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CE23F4"/>
    <w:multiLevelType w:val="hybridMultilevel"/>
    <w:tmpl w:val="278EFB34"/>
    <w:lvl w:ilvl="0" w:tplc="7D5A7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32B1F"/>
    <w:multiLevelType w:val="hybridMultilevel"/>
    <w:tmpl w:val="11AAEB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2FA0CB8"/>
    <w:multiLevelType w:val="hybridMultilevel"/>
    <w:tmpl w:val="D144969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18">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9130EE"/>
    <w:multiLevelType w:val="hybridMultilevel"/>
    <w:tmpl w:val="CF28D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B52BC1"/>
    <w:multiLevelType w:val="hybridMultilevel"/>
    <w:tmpl w:val="0A54A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5033F2"/>
    <w:multiLevelType w:val="hybridMultilevel"/>
    <w:tmpl w:val="02C6D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3">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24">
    <w:nsid w:val="36EA69E0"/>
    <w:multiLevelType w:val="hybridMultilevel"/>
    <w:tmpl w:val="4FC6D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43E7F"/>
    <w:multiLevelType w:val="hybridMultilevel"/>
    <w:tmpl w:val="01E029F4"/>
    <w:lvl w:ilvl="0" w:tplc="9508C2CE">
      <w:start w:val="1"/>
      <w:numFmt w:val="upperLetter"/>
      <w:lvlText w:val="%1."/>
      <w:lvlJc w:val="left"/>
      <w:pPr>
        <w:ind w:left="630" w:hanging="360"/>
      </w:pPr>
      <w:rPr>
        <w:rFonts w:hint="default"/>
        <w:b/>
      </w:rPr>
    </w:lvl>
    <w:lvl w:ilvl="1" w:tplc="F4483892">
      <w:start w:val="1"/>
      <w:numFmt w:val="lowerLetter"/>
      <w:lvlText w:val="%2."/>
      <w:lvlJc w:val="left"/>
      <w:pPr>
        <w:ind w:left="1440" w:hanging="360"/>
      </w:pPr>
      <w:rPr>
        <w:b/>
      </w:rPr>
    </w:lvl>
    <w:lvl w:ilvl="2" w:tplc="0409001B">
      <w:start w:val="1"/>
      <w:numFmt w:val="lowerRoman"/>
      <w:lvlText w:val="%3."/>
      <w:lvlJc w:val="right"/>
      <w:pPr>
        <w:ind w:left="2160" w:hanging="180"/>
      </w:pPr>
    </w:lvl>
    <w:lvl w:ilvl="3" w:tplc="8262661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2332B"/>
    <w:multiLevelType w:val="hybridMultilevel"/>
    <w:tmpl w:val="81FC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B51A68"/>
    <w:multiLevelType w:val="hybridMultilevel"/>
    <w:tmpl w:val="51EAD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3B37F0"/>
    <w:multiLevelType w:val="hybridMultilevel"/>
    <w:tmpl w:val="7F22B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31">
    <w:nsid w:val="44FF2677"/>
    <w:multiLevelType w:val="singleLevel"/>
    <w:tmpl w:val="73DE8872"/>
    <w:lvl w:ilvl="0">
      <w:start w:val="17"/>
      <w:numFmt w:val="upperLetter"/>
      <w:lvlText w:val="%1."/>
      <w:lvlJc w:val="left"/>
      <w:pPr>
        <w:tabs>
          <w:tab w:val="num" w:pos="720"/>
        </w:tabs>
        <w:ind w:left="720" w:hanging="720"/>
      </w:pPr>
      <w:rPr>
        <w:rFonts w:hint="default"/>
      </w:rPr>
    </w:lvl>
  </w:abstractNum>
  <w:abstractNum w:abstractNumId="32">
    <w:nsid w:val="47542C1E"/>
    <w:multiLevelType w:val="hybridMultilevel"/>
    <w:tmpl w:val="3CEEF612"/>
    <w:lvl w:ilvl="0" w:tplc="CD26BCBC">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8D1349A"/>
    <w:multiLevelType w:val="singleLevel"/>
    <w:tmpl w:val="73DE8872"/>
    <w:lvl w:ilvl="0">
      <w:start w:val="17"/>
      <w:numFmt w:val="upperLetter"/>
      <w:lvlText w:val="%1."/>
      <w:lvlJc w:val="left"/>
      <w:pPr>
        <w:tabs>
          <w:tab w:val="num" w:pos="720"/>
        </w:tabs>
        <w:ind w:left="720" w:hanging="720"/>
      </w:pPr>
      <w:rPr>
        <w:rFonts w:hint="default"/>
      </w:rPr>
    </w:lvl>
  </w:abstractNum>
  <w:abstractNum w:abstractNumId="35">
    <w:nsid w:val="4E78132B"/>
    <w:multiLevelType w:val="hybridMultilevel"/>
    <w:tmpl w:val="251AA3E2"/>
    <w:lvl w:ilvl="0" w:tplc="05ACE6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37">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1">
    <w:nsid w:val="584A6593"/>
    <w:multiLevelType w:val="hybridMultilevel"/>
    <w:tmpl w:val="7A28E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1A1DDE"/>
    <w:multiLevelType w:val="hybridMultilevel"/>
    <w:tmpl w:val="7DEAE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45">
    <w:nsid w:val="603A4F46"/>
    <w:multiLevelType w:val="hybridMultilevel"/>
    <w:tmpl w:val="58D2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92572EB"/>
    <w:multiLevelType w:val="hybridMultilevel"/>
    <w:tmpl w:val="D9344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50">
    <w:nsid w:val="6F235667"/>
    <w:multiLevelType w:val="singleLevel"/>
    <w:tmpl w:val="0734C138"/>
    <w:lvl w:ilvl="0">
      <w:start w:val="1"/>
      <w:numFmt w:val="lowerLetter"/>
      <w:lvlText w:val="%1)"/>
      <w:lvlJc w:val="left"/>
      <w:pPr>
        <w:tabs>
          <w:tab w:val="num" w:pos="1080"/>
        </w:tabs>
        <w:ind w:left="1080" w:hanging="360"/>
      </w:pPr>
      <w:rPr>
        <w:rFonts w:hint="default"/>
      </w:rPr>
    </w:lvl>
  </w:abstractNum>
  <w:abstractNum w:abstractNumId="51">
    <w:nsid w:val="75E75DAD"/>
    <w:multiLevelType w:val="hybridMultilevel"/>
    <w:tmpl w:val="9A30A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7985D95"/>
    <w:multiLevelType w:val="hybridMultilevel"/>
    <w:tmpl w:val="9B8C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E346F26"/>
    <w:multiLevelType w:val="hybridMultilevel"/>
    <w:tmpl w:val="93EC5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523563"/>
    <w:multiLevelType w:val="hybridMultilevel"/>
    <w:tmpl w:val="8CA4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44"/>
  </w:num>
  <w:num w:numId="2">
    <w:abstractNumId w:val="49"/>
  </w:num>
  <w:num w:numId="3">
    <w:abstractNumId w:val="30"/>
  </w:num>
  <w:num w:numId="4">
    <w:abstractNumId w:val="22"/>
  </w:num>
  <w:num w:numId="5">
    <w:abstractNumId w:val="40"/>
  </w:num>
  <w:num w:numId="6">
    <w:abstractNumId w:val="38"/>
  </w:num>
  <w:num w:numId="7">
    <w:abstractNumId w:val="33"/>
  </w:num>
  <w:num w:numId="8">
    <w:abstractNumId w:val="18"/>
  </w:num>
  <w:num w:numId="9">
    <w:abstractNumId w:val="47"/>
  </w:num>
  <w:num w:numId="10">
    <w:abstractNumId w:val="46"/>
  </w:num>
  <w:num w:numId="11">
    <w:abstractNumId w:val="37"/>
  </w:num>
  <w:num w:numId="12">
    <w:abstractNumId w:val="39"/>
  </w:num>
  <w:num w:numId="13">
    <w:abstractNumId w:val="50"/>
  </w:num>
  <w:num w:numId="14">
    <w:abstractNumId w:val="10"/>
  </w:num>
  <w:num w:numId="15">
    <w:abstractNumId w:val="23"/>
  </w:num>
  <w:num w:numId="16">
    <w:abstractNumId w:val="17"/>
  </w:num>
  <w:num w:numId="17">
    <w:abstractNumId w:val="36"/>
  </w:num>
  <w:num w:numId="18">
    <w:abstractNumId w:val="3"/>
  </w:num>
  <w:num w:numId="19">
    <w:abstractNumId w:val="13"/>
  </w:num>
  <w:num w:numId="20">
    <w:abstractNumId w:val="32"/>
  </w:num>
  <w:num w:numId="21">
    <w:abstractNumId w:val="11"/>
  </w:num>
  <w:num w:numId="22">
    <w:abstractNumId w:val="43"/>
  </w:num>
  <w:num w:numId="23">
    <w:abstractNumId w:val="14"/>
  </w:num>
  <w:num w:numId="24">
    <w:abstractNumId w:val="1"/>
  </w:num>
  <w:num w:numId="25">
    <w:abstractNumId w:val="29"/>
  </w:num>
  <w:num w:numId="26">
    <w:abstractNumId w:val="9"/>
  </w:num>
  <w:num w:numId="27">
    <w:abstractNumId w:val="7"/>
  </w:num>
  <w:num w:numId="28">
    <w:abstractNumId w:val="26"/>
  </w:num>
  <w:num w:numId="29">
    <w:abstractNumId w:val="45"/>
  </w:num>
  <w:num w:numId="30">
    <w:abstractNumId w:val="53"/>
  </w:num>
  <w:num w:numId="31">
    <w:abstractNumId w:val="20"/>
  </w:num>
  <w:num w:numId="32">
    <w:abstractNumId w:val="21"/>
  </w:num>
  <w:num w:numId="33">
    <w:abstractNumId w:val="5"/>
  </w:num>
  <w:num w:numId="34">
    <w:abstractNumId w:val="52"/>
  </w:num>
  <w:num w:numId="35">
    <w:abstractNumId w:val="54"/>
  </w:num>
  <w:num w:numId="36">
    <w:abstractNumId w:val="16"/>
  </w:num>
  <w:num w:numId="37">
    <w:abstractNumId w:val="24"/>
  </w:num>
  <w:num w:numId="38">
    <w:abstractNumId w:val="41"/>
  </w:num>
  <w:num w:numId="39">
    <w:abstractNumId w:val="27"/>
  </w:num>
  <w:num w:numId="40">
    <w:abstractNumId w:val="34"/>
  </w:num>
  <w:num w:numId="41">
    <w:abstractNumId w:val="35"/>
  </w:num>
  <w:num w:numId="42">
    <w:abstractNumId w:val="31"/>
  </w:num>
  <w:num w:numId="43">
    <w:abstractNumId w:val="12"/>
  </w:num>
  <w:num w:numId="44">
    <w:abstractNumId w:val="8"/>
  </w:num>
  <w:num w:numId="45">
    <w:abstractNumId w:val="6"/>
  </w:num>
  <w:num w:numId="46">
    <w:abstractNumId w:val="19"/>
  </w:num>
  <w:num w:numId="47">
    <w:abstractNumId w:val="15"/>
  </w:num>
  <w:num w:numId="48">
    <w:abstractNumId w:val="28"/>
  </w:num>
  <w:num w:numId="49">
    <w:abstractNumId w:val="48"/>
  </w:num>
  <w:num w:numId="50">
    <w:abstractNumId w:val="42"/>
  </w:num>
  <w:num w:numId="51">
    <w:abstractNumId w:val="0"/>
  </w:num>
  <w:num w:numId="52">
    <w:abstractNumId w:val="4"/>
  </w:num>
  <w:num w:numId="53">
    <w:abstractNumId w:val="25"/>
  </w:num>
  <w:num w:numId="54">
    <w:abstractNumId w:val="51"/>
  </w:num>
  <w:num w:numId="55">
    <w:abstractNumId w:val="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McDowell">
    <w15:presenceInfo w15:providerId="AD" w15:userId="S-1-5-21-3609767714-3250289785-351397627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B5"/>
    <w:rsid w:val="00001C71"/>
    <w:rsid w:val="00002C61"/>
    <w:rsid w:val="00003E44"/>
    <w:rsid w:val="000047F4"/>
    <w:rsid w:val="00004D8B"/>
    <w:rsid w:val="00005D4F"/>
    <w:rsid w:val="00005F2F"/>
    <w:rsid w:val="00010B70"/>
    <w:rsid w:val="000110CF"/>
    <w:rsid w:val="000125E1"/>
    <w:rsid w:val="00013F11"/>
    <w:rsid w:val="0001504E"/>
    <w:rsid w:val="00015420"/>
    <w:rsid w:val="00017F0F"/>
    <w:rsid w:val="000217A0"/>
    <w:rsid w:val="00021B21"/>
    <w:rsid w:val="00022ACE"/>
    <w:rsid w:val="00023E29"/>
    <w:rsid w:val="00023EDC"/>
    <w:rsid w:val="00024F42"/>
    <w:rsid w:val="00025F2F"/>
    <w:rsid w:val="00026649"/>
    <w:rsid w:val="00027D2E"/>
    <w:rsid w:val="000305A3"/>
    <w:rsid w:val="00030D2C"/>
    <w:rsid w:val="000328E5"/>
    <w:rsid w:val="00032FEA"/>
    <w:rsid w:val="00033601"/>
    <w:rsid w:val="00033FE9"/>
    <w:rsid w:val="00035884"/>
    <w:rsid w:val="0003627C"/>
    <w:rsid w:val="0003781F"/>
    <w:rsid w:val="000435DA"/>
    <w:rsid w:val="0004381E"/>
    <w:rsid w:val="0004451A"/>
    <w:rsid w:val="00045858"/>
    <w:rsid w:val="00050334"/>
    <w:rsid w:val="0005145B"/>
    <w:rsid w:val="0006168F"/>
    <w:rsid w:val="00063AA2"/>
    <w:rsid w:val="00064F9F"/>
    <w:rsid w:val="0007140B"/>
    <w:rsid w:val="000717B2"/>
    <w:rsid w:val="00071D36"/>
    <w:rsid w:val="00072344"/>
    <w:rsid w:val="000742A2"/>
    <w:rsid w:val="00074371"/>
    <w:rsid w:val="00075340"/>
    <w:rsid w:val="000755C3"/>
    <w:rsid w:val="00075D97"/>
    <w:rsid w:val="000763DF"/>
    <w:rsid w:val="00077F15"/>
    <w:rsid w:val="00082904"/>
    <w:rsid w:val="00082DCE"/>
    <w:rsid w:val="000839C6"/>
    <w:rsid w:val="00087978"/>
    <w:rsid w:val="0009025E"/>
    <w:rsid w:val="000906B0"/>
    <w:rsid w:val="00091A23"/>
    <w:rsid w:val="00094988"/>
    <w:rsid w:val="000A1DF1"/>
    <w:rsid w:val="000A3BC2"/>
    <w:rsid w:val="000A5C0D"/>
    <w:rsid w:val="000A71BF"/>
    <w:rsid w:val="000A7B80"/>
    <w:rsid w:val="000B203A"/>
    <w:rsid w:val="000B414E"/>
    <w:rsid w:val="000B6EFC"/>
    <w:rsid w:val="000B7070"/>
    <w:rsid w:val="000C3C7B"/>
    <w:rsid w:val="000C757D"/>
    <w:rsid w:val="000C7BD3"/>
    <w:rsid w:val="000C7C21"/>
    <w:rsid w:val="000D0A17"/>
    <w:rsid w:val="000D3408"/>
    <w:rsid w:val="000D4702"/>
    <w:rsid w:val="000D5546"/>
    <w:rsid w:val="000E0699"/>
    <w:rsid w:val="000E1A33"/>
    <w:rsid w:val="000E1CDF"/>
    <w:rsid w:val="000E45CF"/>
    <w:rsid w:val="000E53D0"/>
    <w:rsid w:val="000F07C7"/>
    <w:rsid w:val="000F186D"/>
    <w:rsid w:val="000F4AF9"/>
    <w:rsid w:val="000F6176"/>
    <w:rsid w:val="000F7F3F"/>
    <w:rsid w:val="00100142"/>
    <w:rsid w:val="001002AD"/>
    <w:rsid w:val="0010133E"/>
    <w:rsid w:val="00102866"/>
    <w:rsid w:val="00103319"/>
    <w:rsid w:val="001041EA"/>
    <w:rsid w:val="0010648A"/>
    <w:rsid w:val="001145F6"/>
    <w:rsid w:val="0011656B"/>
    <w:rsid w:val="0012178B"/>
    <w:rsid w:val="001247BC"/>
    <w:rsid w:val="00125A78"/>
    <w:rsid w:val="00126B29"/>
    <w:rsid w:val="00126F0E"/>
    <w:rsid w:val="00127AD0"/>
    <w:rsid w:val="00130B7A"/>
    <w:rsid w:val="0013200E"/>
    <w:rsid w:val="001320A4"/>
    <w:rsid w:val="00132A8A"/>
    <w:rsid w:val="00133C04"/>
    <w:rsid w:val="00133D26"/>
    <w:rsid w:val="00135D86"/>
    <w:rsid w:val="00136947"/>
    <w:rsid w:val="00136948"/>
    <w:rsid w:val="00137A27"/>
    <w:rsid w:val="00141148"/>
    <w:rsid w:val="00141730"/>
    <w:rsid w:val="00141B05"/>
    <w:rsid w:val="00142451"/>
    <w:rsid w:val="00142949"/>
    <w:rsid w:val="00142F3D"/>
    <w:rsid w:val="00143A85"/>
    <w:rsid w:val="001451CD"/>
    <w:rsid w:val="00145D96"/>
    <w:rsid w:val="001469F4"/>
    <w:rsid w:val="00146F77"/>
    <w:rsid w:val="00150D3D"/>
    <w:rsid w:val="00153210"/>
    <w:rsid w:val="001549B4"/>
    <w:rsid w:val="00154BBA"/>
    <w:rsid w:val="001601C8"/>
    <w:rsid w:val="00163817"/>
    <w:rsid w:val="0016589D"/>
    <w:rsid w:val="00165B60"/>
    <w:rsid w:val="00166472"/>
    <w:rsid w:val="001667E8"/>
    <w:rsid w:val="00167C33"/>
    <w:rsid w:val="0017189A"/>
    <w:rsid w:val="00173476"/>
    <w:rsid w:val="00174AE7"/>
    <w:rsid w:val="00174B2D"/>
    <w:rsid w:val="00175957"/>
    <w:rsid w:val="00176A79"/>
    <w:rsid w:val="00176B86"/>
    <w:rsid w:val="00184E22"/>
    <w:rsid w:val="00194744"/>
    <w:rsid w:val="001947B2"/>
    <w:rsid w:val="00194E65"/>
    <w:rsid w:val="00196FAB"/>
    <w:rsid w:val="001A304D"/>
    <w:rsid w:val="001A3823"/>
    <w:rsid w:val="001B080C"/>
    <w:rsid w:val="001B097A"/>
    <w:rsid w:val="001B1BF0"/>
    <w:rsid w:val="001B2BEB"/>
    <w:rsid w:val="001B4612"/>
    <w:rsid w:val="001C529A"/>
    <w:rsid w:val="001C5EE5"/>
    <w:rsid w:val="001C60ED"/>
    <w:rsid w:val="001C77D7"/>
    <w:rsid w:val="001D0294"/>
    <w:rsid w:val="001D06F3"/>
    <w:rsid w:val="001D12D0"/>
    <w:rsid w:val="001D18C4"/>
    <w:rsid w:val="001D3A82"/>
    <w:rsid w:val="001D70F1"/>
    <w:rsid w:val="001E3301"/>
    <w:rsid w:val="001E5E82"/>
    <w:rsid w:val="001F05ED"/>
    <w:rsid w:val="001F365C"/>
    <w:rsid w:val="001F3CB1"/>
    <w:rsid w:val="001F5473"/>
    <w:rsid w:val="001F5B51"/>
    <w:rsid w:val="001F68CE"/>
    <w:rsid w:val="001F79DB"/>
    <w:rsid w:val="0020046B"/>
    <w:rsid w:val="00200BF0"/>
    <w:rsid w:val="0020152A"/>
    <w:rsid w:val="00202BBD"/>
    <w:rsid w:val="00203051"/>
    <w:rsid w:val="00203FED"/>
    <w:rsid w:val="002053E6"/>
    <w:rsid w:val="00205FE4"/>
    <w:rsid w:val="00206530"/>
    <w:rsid w:val="00207A47"/>
    <w:rsid w:val="00210D6F"/>
    <w:rsid w:val="00212187"/>
    <w:rsid w:val="0021289D"/>
    <w:rsid w:val="0021479B"/>
    <w:rsid w:val="0021687B"/>
    <w:rsid w:val="00217E30"/>
    <w:rsid w:val="00222989"/>
    <w:rsid w:val="002229DB"/>
    <w:rsid w:val="00223286"/>
    <w:rsid w:val="002243B3"/>
    <w:rsid w:val="002255A5"/>
    <w:rsid w:val="002256CA"/>
    <w:rsid w:val="0022665B"/>
    <w:rsid w:val="00230EEF"/>
    <w:rsid w:val="00232E28"/>
    <w:rsid w:val="00235351"/>
    <w:rsid w:val="00236617"/>
    <w:rsid w:val="00236976"/>
    <w:rsid w:val="00237D6F"/>
    <w:rsid w:val="00237E9F"/>
    <w:rsid w:val="00241332"/>
    <w:rsid w:val="00244E7F"/>
    <w:rsid w:val="0025038A"/>
    <w:rsid w:val="00250538"/>
    <w:rsid w:val="002511E8"/>
    <w:rsid w:val="0025204D"/>
    <w:rsid w:val="002532BB"/>
    <w:rsid w:val="00253B96"/>
    <w:rsid w:val="00253F90"/>
    <w:rsid w:val="00254A00"/>
    <w:rsid w:val="00255D28"/>
    <w:rsid w:val="002620B9"/>
    <w:rsid w:val="00267241"/>
    <w:rsid w:val="0027073E"/>
    <w:rsid w:val="00271AC4"/>
    <w:rsid w:val="00273CC7"/>
    <w:rsid w:val="002804E1"/>
    <w:rsid w:val="0028127D"/>
    <w:rsid w:val="002812DB"/>
    <w:rsid w:val="002821F8"/>
    <w:rsid w:val="002840B3"/>
    <w:rsid w:val="00284AE7"/>
    <w:rsid w:val="00285B1A"/>
    <w:rsid w:val="00286DBD"/>
    <w:rsid w:val="002870FD"/>
    <w:rsid w:val="002915FE"/>
    <w:rsid w:val="00293BE4"/>
    <w:rsid w:val="00294C20"/>
    <w:rsid w:val="0029551A"/>
    <w:rsid w:val="0029737F"/>
    <w:rsid w:val="002A0DD1"/>
    <w:rsid w:val="002A245B"/>
    <w:rsid w:val="002A2F00"/>
    <w:rsid w:val="002A5F6D"/>
    <w:rsid w:val="002A76D1"/>
    <w:rsid w:val="002B1237"/>
    <w:rsid w:val="002B184D"/>
    <w:rsid w:val="002B32C4"/>
    <w:rsid w:val="002B33CD"/>
    <w:rsid w:val="002B34EE"/>
    <w:rsid w:val="002B4FF4"/>
    <w:rsid w:val="002B6071"/>
    <w:rsid w:val="002B7F89"/>
    <w:rsid w:val="002C138F"/>
    <w:rsid w:val="002C1F29"/>
    <w:rsid w:val="002C2A5E"/>
    <w:rsid w:val="002C7A30"/>
    <w:rsid w:val="002D01D4"/>
    <w:rsid w:val="002D16F4"/>
    <w:rsid w:val="002D38A8"/>
    <w:rsid w:val="002D3A9D"/>
    <w:rsid w:val="002D3BCB"/>
    <w:rsid w:val="002D7A4A"/>
    <w:rsid w:val="002D7AB3"/>
    <w:rsid w:val="002D7ACB"/>
    <w:rsid w:val="002E0A90"/>
    <w:rsid w:val="002E238E"/>
    <w:rsid w:val="002E26D4"/>
    <w:rsid w:val="002E4AAB"/>
    <w:rsid w:val="002E74F0"/>
    <w:rsid w:val="002F0EAE"/>
    <w:rsid w:val="002F1A94"/>
    <w:rsid w:val="002F1B4C"/>
    <w:rsid w:val="002F473D"/>
    <w:rsid w:val="002F692D"/>
    <w:rsid w:val="00300157"/>
    <w:rsid w:val="00301D25"/>
    <w:rsid w:val="0030239E"/>
    <w:rsid w:val="0030322D"/>
    <w:rsid w:val="003054A9"/>
    <w:rsid w:val="0030662E"/>
    <w:rsid w:val="003134BA"/>
    <w:rsid w:val="003141E3"/>
    <w:rsid w:val="00316793"/>
    <w:rsid w:val="003168F3"/>
    <w:rsid w:val="00316E59"/>
    <w:rsid w:val="00317603"/>
    <w:rsid w:val="003176A2"/>
    <w:rsid w:val="00320AB6"/>
    <w:rsid w:val="00323A9D"/>
    <w:rsid w:val="00325121"/>
    <w:rsid w:val="00330E3C"/>
    <w:rsid w:val="0033250B"/>
    <w:rsid w:val="0033641D"/>
    <w:rsid w:val="003367A6"/>
    <w:rsid w:val="00337D92"/>
    <w:rsid w:val="0034039E"/>
    <w:rsid w:val="00340542"/>
    <w:rsid w:val="00340BC9"/>
    <w:rsid w:val="00340FC5"/>
    <w:rsid w:val="00341262"/>
    <w:rsid w:val="0035134A"/>
    <w:rsid w:val="00353EDF"/>
    <w:rsid w:val="003604E1"/>
    <w:rsid w:val="00360AA7"/>
    <w:rsid w:val="00364B1D"/>
    <w:rsid w:val="00364E05"/>
    <w:rsid w:val="0036733B"/>
    <w:rsid w:val="00370152"/>
    <w:rsid w:val="003716CD"/>
    <w:rsid w:val="00371F7C"/>
    <w:rsid w:val="00376B00"/>
    <w:rsid w:val="00381488"/>
    <w:rsid w:val="00381A1E"/>
    <w:rsid w:val="003835A6"/>
    <w:rsid w:val="003840D8"/>
    <w:rsid w:val="00384A5C"/>
    <w:rsid w:val="0038683B"/>
    <w:rsid w:val="00392ADB"/>
    <w:rsid w:val="00393BDB"/>
    <w:rsid w:val="00397E21"/>
    <w:rsid w:val="003A2C73"/>
    <w:rsid w:val="003A33C0"/>
    <w:rsid w:val="003A43B2"/>
    <w:rsid w:val="003A460A"/>
    <w:rsid w:val="003A6B9F"/>
    <w:rsid w:val="003A7D23"/>
    <w:rsid w:val="003B0D09"/>
    <w:rsid w:val="003B51D5"/>
    <w:rsid w:val="003B5B1F"/>
    <w:rsid w:val="003B6EC4"/>
    <w:rsid w:val="003B74AC"/>
    <w:rsid w:val="003B795F"/>
    <w:rsid w:val="003C0233"/>
    <w:rsid w:val="003C3995"/>
    <w:rsid w:val="003C5238"/>
    <w:rsid w:val="003D0334"/>
    <w:rsid w:val="003D2B73"/>
    <w:rsid w:val="003D3593"/>
    <w:rsid w:val="003D4EFC"/>
    <w:rsid w:val="003D67D1"/>
    <w:rsid w:val="003E081D"/>
    <w:rsid w:val="003E0E43"/>
    <w:rsid w:val="003E48E0"/>
    <w:rsid w:val="003F156A"/>
    <w:rsid w:val="003F1660"/>
    <w:rsid w:val="003F5A1E"/>
    <w:rsid w:val="003F6EFA"/>
    <w:rsid w:val="003F7012"/>
    <w:rsid w:val="00401276"/>
    <w:rsid w:val="00404E74"/>
    <w:rsid w:val="00410654"/>
    <w:rsid w:val="004121E9"/>
    <w:rsid w:val="00415280"/>
    <w:rsid w:val="00415F56"/>
    <w:rsid w:val="004168FE"/>
    <w:rsid w:val="004176FD"/>
    <w:rsid w:val="00423737"/>
    <w:rsid w:val="00424291"/>
    <w:rsid w:val="00425A5B"/>
    <w:rsid w:val="00425B65"/>
    <w:rsid w:val="0042631F"/>
    <w:rsid w:val="0042657D"/>
    <w:rsid w:val="00426CB6"/>
    <w:rsid w:val="00427498"/>
    <w:rsid w:val="00430F16"/>
    <w:rsid w:val="004341FA"/>
    <w:rsid w:val="004358D5"/>
    <w:rsid w:val="004372F3"/>
    <w:rsid w:val="0044085E"/>
    <w:rsid w:val="004409E8"/>
    <w:rsid w:val="004422F7"/>
    <w:rsid w:val="00443841"/>
    <w:rsid w:val="00443962"/>
    <w:rsid w:val="00444A1F"/>
    <w:rsid w:val="00444BD8"/>
    <w:rsid w:val="00445C8F"/>
    <w:rsid w:val="00451A94"/>
    <w:rsid w:val="00454CB2"/>
    <w:rsid w:val="00454D4E"/>
    <w:rsid w:val="00454F49"/>
    <w:rsid w:val="004553EF"/>
    <w:rsid w:val="00456892"/>
    <w:rsid w:val="0045696F"/>
    <w:rsid w:val="004569AB"/>
    <w:rsid w:val="00457D21"/>
    <w:rsid w:val="004637A4"/>
    <w:rsid w:val="004651B1"/>
    <w:rsid w:val="00465EC9"/>
    <w:rsid w:val="00465F25"/>
    <w:rsid w:val="0046790A"/>
    <w:rsid w:val="00470DBE"/>
    <w:rsid w:val="0047737C"/>
    <w:rsid w:val="00481524"/>
    <w:rsid w:val="004840D2"/>
    <w:rsid w:val="00485CC4"/>
    <w:rsid w:val="00486F62"/>
    <w:rsid w:val="00487BDD"/>
    <w:rsid w:val="0049099C"/>
    <w:rsid w:val="00492713"/>
    <w:rsid w:val="00492827"/>
    <w:rsid w:val="00493705"/>
    <w:rsid w:val="00494303"/>
    <w:rsid w:val="00496319"/>
    <w:rsid w:val="004A0FA2"/>
    <w:rsid w:val="004A3544"/>
    <w:rsid w:val="004A5DFA"/>
    <w:rsid w:val="004B1C1A"/>
    <w:rsid w:val="004B1C7F"/>
    <w:rsid w:val="004B2245"/>
    <w:rsid w:val="004B280E"/>
    <w:rsid w:val="004B3C79"/>
    <w:rsid w:val="004B4B85"/>
    <w:rsid w:val="004B72A2"/>
    <w:rsid w:val="004B7DDD"/>
    <w:rsid w:val="004C05F7"/>
    <w:rsid w:val="004C0624"/>
    <w:rsid w:val="004C1355"/>
    <w:rsid w:val="004C14D4"/>
    <w:rsid w:val="004C25DF"/>
    <w:rsid w:val="004C2ACB"/>
    <w:rsid w:val="004C311B"/>
    <w:rsid w:val="004C3335"/>
    <w:rsid w:val="004C5D7B"/>
    <w:rsid w:val="004C6314"/>
    <w:rsid w:val="004C6919"/>
    <w:rsid w:val="004C7B33"/>
    <w:rsid w:val="004D317D"/>
    <w:rsid w:val="004D3BD8"/>
    <w:rsid w:val="004D6A7F"/>
    <w:rsid w:val="004E228C"/>
    <w:rsid w:val="004E29EF"/>
    <w:rsid w:val="004E4D13"/>
    <w:rsid w:val="004E5B0C"/>
    <w:rsid w:val="004E6083"/>
    <w:rsid w:val="004E734D"/>
    <w:rsid w:val="004F0461"/>
    <w:rsid w:val="004F1183"/>
    <w:rsid w:val="004F1512"/>
    <w:rsid w:val="004F2A4A"/>
    <w:rsid w:val="004F35A8"/>
    <w:rsid w:val="004F60A3"/>
    <w:rsid w:val="00500390"/>
    <w:rsid w:val="005011AD"/>
    <w:rsid w:val="005014A3"/>
    <w:rsid w:val="0050434C"/>
    <w:rsid w:val="00504C3C"/>
    <w:rsid w:val="00505D5A"/>
    <w:rsid w:val="00510A46"/>
    <w:rsid w:val="00512B36"/>
    <w:rsid w:val="00515336"/>
    <w:rsid w:val="00515E88"/>
    <w:rsid w:val="005201DF"/>
    <w:rsid w:val="00520483"/>
    <w:rsid w:val="005221E7"/>
    <w:rsid w:val="0052386F"/>
    <w:rsid w:val="00523CF2"/>
    <w:rsid w:val="005241EC"/>
    <w:rsid w:val="005248FE"/>
    <w:rsid w:val="005306D1"/>
    <w:rsid w:val="00532345"/>
    <w:rsid w:val="00532D14"/>
    <w:rsid w:val="005356D0"/>
    <w:rsid w:val="00535C07"/>
    <w:rsid w:val="0054002D"/>
    <w:rsid w:val="005403D2"/>
    <w:rsid w:val="005415CD"/>
    <w:rsid w:val="005428A0"/>
    <w:rsid w:val="00546D81"/>
    <w:rsid w:val="00547216"/>
    <w:rsid w:val="00547BEE"/>
    <w:rsid w:val="00550F24"/>
    <w:rsid w:val="00552F52"/>
    <w:rsid w:val="00561917"/>
    <w:rsid w:val="00562FA9"/>
    <w:rsid w:val="005638F0"/>
    <w:rsid w:val="005678D7"/>
    <w:rsid w:val="005709A5"/>
    <w:rsid w:val="00571D73"/>
    <w:rsid w:val="0057244B"/>
    <w:rsid w:val="00574554"/>
    <w:rsid w:val="0057496A"/>
    <w:rsid w:val="00574B40"/>
    <w:rsid w:val="00574E7B"/>
    <w:rsid w:val="005754C4"/>
    <w:rsid w:val="005762AC"/>
    <w:rsid w:val="00576F2D"/>
    <w:rsid w:val="005803E2"/>
    <w:rsid w:val="00580B33"/>
    <w:rsid w:val="005820AE"/>
    <w:rsid w:val="00584FAE"/>
    <w:rsid w:val="00585010"/>
    <w:rsid w:val="0058784A"/>
    <w:rsid w:val="005905C4"/>
    <w:rsid w:val="00590F65"/>
    <w:rsid w:val="005911F4"/>
    <w:rsid w:val="0059185B"/>
    <w:rsid w:val="0059369B"/>
    <w:rsid w:val="0059398A"/>
    <w:rsid w:val="005941F0"/>
    <w:rsid w:val="00594362"/>
    <w:rsid w:val="00595CC0"/>
    <w:rsid w:val="005A070C"/>
    <w:rsid w:val="005A4A22"/>
    <w:rsid w:val="005A4AB4"/>
    <w:rsid w:val="005A7A39"/>
    <w:rsid w:val="005B0D17"/>
    <w:rsid w:val="005B185B"/>
    <w:rsid w:val="005B19D5"/>
    <w:rsid w:val="005B4EBE"/>
    <w:rsid w:val="005B55F7"/>
    <w:rsid w:val="005B7A4C"/>
    <w:rsid w:val="005C0A5C"/>
    <w:rsid w:val="005D04C3"/>
    <w:rsid w:val="005D093B"/>
    <w:rsid w:val="005D29EF"/>
    <w:rsid w:val="005D2D46"/>
    <w:rsid w:val="005D31C2"/>
    <w:rsid w:val="005D521D"/>
    <w:rsid w:val="005E01F6"/>
    <w:rsid w:val="005E12BE"/>
    <w:rsid w:val="005E1785"/>
    <w:rsid w:val="005E394F"/>
    <w:rsid w:val="005E4574"/>
    <w:rsid w:val="005E506B"/>
    <w:rsid w:val="005F5369"/>
    <w:rsid w:val="005F6D29"/>
    <w:rsid w:val="005F7DBB"/>
    <w:rsid w:val="00600529"/>
    <w:rsid w:val="00601E30"/>
    <w:rsid w:val="0060238C"/>
    <w:rsid w:val="006028F1"/>
    <w:rsid w:val="00602D85"/>
    <w:rsid w:val="0060356C"/>
    <w:rsid w:val="00604082"/>
    <w:rsid w:val="00605206"/>
    <w:rsid w:val="006068DC"/>
    <w:rsid w:val="00617A22"/>
    <w:rsid w:val="00617C2F"/>
    <w:rsid w:val="00620183"/>
    <w:rsid w:val="00623DF3"/>
    <w:rsid w:val="00624B75"/>
    <w:rsid w:val="0062568B"/>
    <w:rsid w:val="006259A8"/>
    <w:rsid w:val="00625B05"/>
    <w:rsid w:val="00626A31"/>
    <w:rsid w:val="006309A5"/>
    <w:rsid w:val="00631511"/>
    <w:rsid w:val="0063225B"/>
    <w:rsid w:val="006346F6"/>
    <w:rsid w:val="00634C6B"/>
    <w:rsid w:val="006365C4"/>
    <w:rsid w:val="00636AC1"/>
    <w:rsid w:val="00636F61"/>
    <w:rsid w:val="00640ED8"/>
    <w:rsid w:val="0064266B"/>
    <w:rsid w:val="006432FA"/>
    <w:rsid w:val="00644C89"/>
    <w:rsid w:val="006469AF"/>
    <w:rsid w:val="0065292F"/>
    <w:rsid w:val="00654B59"/>
    <w:rsid w:val="00655942"/>
    <w:rsid w:val="006579A5"/>
    <w:rsid w:val="00660061"/>
    <w:rsid w:val="00660939"/>
    <w:rsid w:val="006634B2"/>
    <w:rsid w:val="0066441B"/>
    <w:rsid w:val="0066449A"/>
    <w:rsid w:val="00664E2F"/>
    <w:rsid w:val="00665F20"/>
    <w:rsid w:val="00666AD5"/>
    <w:rsid w:val="00671195"/>
    <w:rsid w:val="00672431"/>
    <w:rsid w:val="00673B34"/>
    <w:rsid w:val="006804DC"/>
    <w:rsid w:val="006809DC"/>
    <w:rsid w:val="00681E48"/>
    <w:rsid w:val="006862F1"/>
    <w:rsid w:val="00686799"/>
    <w:rsid w:val="00686BF2"/>
    <w:rsid w:val="00690EA2"/>
    <w:rsid w:val="00692146"/>
    <w:rsid w:val="006A01F4"/>
    <w:rsid w:val="006A2881"/>
    <w:rsid w:val="006A3CC0"/>
    <w:rsid w:val="006A7413"/>
    <w:rsid w:val="006B1996"/>
    <w:rsid w:val="006B21DC"/>
    <w:rsid w:val="006B25DE"/>
    <w:rsid w:val="006B3856"/>
    <w:rsid w:val="006B4FBC"/>
    <w:rsid w:val="006C10E9"/>
    <w:rsid w:val="006C132F"/>
    <w:rsid w:val="006C140B"/>
    <w:rsid w:val="006C267D"/>
    <w:rsid w:val="006C3DF9"/>
    <w:rsid w:val="006C459D"/>
    <w:rsid w:val="006C4C4A"/>
    <w:rsid w:val="006D03AF"/>
    <w:rsid w:val="006D10DF"/>
    <w:rsid w:val="006D18D7"/>
    <w:rsid w:val="006D1998"/>
    <w:rsid w:val="006D4293"/>
    <w:rsid w:val="006D5AE6"/>
    <w:rsid w:val="006E083A"/>
    <w:rsid w:val="006E1501"/>
    <w:rsid w:val="006E375D"/>
    <w:rsid w:val="006E63F2"/>
    <w:rsid w:val="006E6BF2"/>
    <w:rsid w:val="006F112D"/>
    <w:rsid w:val="006F50C1"/>
    <w:rsid w:val="006F6081"/>
    <w:rsid w:val="006F6141"/>
    <w:rsid w:val="006F7D8B"/>
    <w:rsid w:val="00700639"/>
    <w:rsid w:val="00702F70"/>
    <w:rsid w:val="007037FD"/>
    <w:rsid w:val="00703DEE"/>
    <w:rsid w:val="00704438"/>
    <w:rsid w:val="00706A7F"/>
    <w:rsid w:val="00707BAF"/>
    <w:rsid w:val="0071225B"/>
    <w:rsid w:val="00712A96"/>
    <w:rsid w:val="00714F33"/>
    <w:rsid w:val="007150DA"/>
    <w:rsid w:val="0071522A"/>
    <w:rsid w:val="00715EF7"/>
    <w:rsid w:val="00716CEF"/>
    <w:rsid w:val="00716F53"/>
    <w:rsid w:val="0071726E"/>
    <w:rsid w:val="00717770"/>
    <w:rsid w:val="007179F8"/>
    <w:rsid w:val="00717F99"/>
    <w:rsid w:val="00720B4E"/>
    <w:rsid w:val="007236E2"/>
    <w:rsid w:val="00725256"/>
    <w:rsid w:val="0072691E"/>
    <w:rsid w:val="00730DD7"/>
    <w:rsid w:val="00731C82"/>
    <w:rsid w:val="00733648"/>
    <w:rsid w:val="00733AFC"/>
    <w:rsid w:val="00735847"/>
    <w:rsid w:val="00736AA4"/>
    <w:rsid w:val="00740CC6"/>
    <w:rsid w:val="00741017"/>
    <w:rsid w:val="007419D5"/>
    <w:rsid w:val="00742358"/>
    <w:rsid w:val="007458E5"/>
    <w:rsid w:val="007477F5"/>
    <w:rsid w:val="00750264"/>
    <w:rsid w:val="00757B63"/>
    <w:rsid w:val="00760F9F"/>
    <w:rsid w:val="00763463"/>
    <w:rsid w:val="007654B5"/>
    <w:rsid w:val="0076631E"/>
    <w:rsid w:val="00770C75"/>
    <w:rsid w:val="0077112B"/>
    <w:rsid w:val="00773FFE"/>
    <w:rsid w:val="0077458D"/>
    <w:rsid w:val="00774A31"/>
    <w:rsid w:val="00775824"/>
    <w:rsid w:val="00775F7D"/>
    <w:rsid w:val="00777120"/>
    <w:rsid w:val="00780E5A"/>
    <w:rsid w:val="00780F23"/>
    <w:rsid w:val="00783BED"/>
    <w:rsid w:val="00784EE0"/>
    <w:rsid w:val="00793788"/>
    <w:rsid w:val="007974C7"/>
    <w:rsid w:val="007A0080"/>
    <w:rsid w:val="007A0956"/>
    <w:rsid w:val="007A14EE"/>
    <w:rsid w:val="007A2305"/>
    <w:rsid w:val="007A23C5"/>
    <w:rsid w:val="007A2D60"/>
    <w:rsid w:val="007A30FC"/>
    <w:rsid w:val="007A34DC"/>
    <w:rsid w:val="007A58BF"/>
    <w:rsid w:val="007A66AE"/>
    <w:rsid w:val="007A66EF"/>
    <w:rsid w:val="007A716E"/>
    <w:rsid w:val="007A735D"/>
    <w:rsid w:val="007B012D"/>
    <w:rsid w:val="007B1146"/>
    <w:rsid w:val="007B1343"/>
    <w:rsid w:val="007B2F49"/>
    <w:rsid w:val="007B360A"/>
    <w:rsid w:val="007B40C6"/>
    <w:rsid w:val="007B5614"/>
    <w:rsid w:val="007B5D80"/>
    <w:rsid w:val="007B6D92"/>
    <w:rsid w:val="007B77E7"/>
    <w:rsid w:val="007C1146"/>
    <w:rsid w:val="007C2052"/>
    <w:rsid w:val="007C2D6B"/>
    <w:rsid w:val="007C3C2F"/>
    <w:rsid w:val="007C6F38"/>
    <w:rsid w:val="007D0B71"/>
    <w:rsid w:val="007D2685"/>
    <w:rsid w:val="007D30A9"/>
    <w:rsid w:val="007D6174"/>
    <w:rsid w:val="007D704C"/>
    <w:rsid w:val="007E0CE8"/>
    <w:rsid w:val="007E493A"/>
    <w:rsid w:val="007F442E"/>
    <w:rsid w:val="007F4AFF"/>
    <w:rsid w:val="007F5849"/>
    <w:rsid w:val="007F5BC2"/>
    <w:rsid w:val="007F5C6C"/>
    <w:rsid w:val="007F6BCF"/>
    <w:rsid w:val="007F7843"/>
    <w:rsid w:val="007F7A47"/>
    <w:rsid w:val="008062B7"/>
    <w:rsid w:val="00807573"/>
    <w:rsid w:val="0081141E"/>
    <w:rsid w:val="00811579"/>
    <w:rsid w:val="00812532"/>
    <w:rsid w:val="0081571A"/>
    <w:rsid w:val="00816585"/>
    <w:rsid w:val="00816732"/>
    <w:rsid w:val="00820C63"/>
    <w:rsid w:val="008225DE"/>
    <w:rsid w:val="0082295E"/>
    <w:rsid w:val="00825402"/>
    <w:rsid w:val="008324D7"/>
    <w:rsid w:val="00840D16"/>
    <w:rsid w:val="00840FAC"/>
    <w:rsid w:val="00842B2D"/>
    <w:rsid w:val="008462BC"/>
    <w:rsid w:val="00851F1F"/>
    <w:rsid w:val="00853818"/>
    <w:rsid w:val="00853D82"/>
    <w:rsid w:val="0085500C"/>
    <w:rsid w:val="008550B6"/>
    <w:rsid w:val="00856A87"/>
    <w:rsid w:val="0086122B"/>
    <w:rsid w:val="008624B4"/>
    <w:rsid w:val="00862A6C"/>
    <w:rsid w:val="00863D43"/>
    <w:rsid w:val="00864A55"/>
    <w:rsid w:val="0086568C"/>
    <w:rsid w:val="00866F64"/>
    <w:rsid w:val="008700D5"/>
    <w:rsid w:val="0087099C"/>
    <w:rsid w:val="00871889"/>
    <w:rsid w:val="00872227"/>
    <w:rsid w:val="00872C53"/>
    <w:rsid w:val="008757CA"/>
    <w:rsid w:val="00876333"/>
    <w:rsid w:val="00877412"/>
    <w:rsid w:val="008816FF"/>
    <w:rsid w:val="008817DA"/>
    <w:rsid w:val="00881E73"/>
    <w:rsid w:val="0088407B"/>
    <w:rsid w:val="00891715"/>
    <w:rsid w:val="00891C4B"/>
    <w:rsid w:val="00892DEA"/>
    <w:rsid w:val="0089715B"/>
    <w:rsid w:val="008A05C3"/>
    <w:rsid w:val="008A0A09"/>
    <w:rsid w:val="008A3774"/>
    <w:rsid w:val="008A4BBA"/>
    <w:rsid w:val="008A4E8A"/>
    <w:rsid w:val="008A7261"/>
    <w:rsid w:val="008B01C9"/>
    <w:rsid w:val="008B0F54"/>
    <w:rsid w:val="008B1391"/>
    <w:rsid w:val="008B3F68"/>
    <w:rsid w:val="008B5273"/>
    <w:rsid w:val="008B63CB"/>
    <w:rsid w:val="008C10BA"/>
    <w:rsid w:val="008C249D"/>
    <w:rsid w:val="008C2784"/>
    <w:rsid w:val="008D41B3"/>
    <w:rsid w:val="008D54D3"/>
    <w:rsid w:val="008D5770"/>
    <w:rsid w:val="008D6C24"/>
    <w:rsid w:val="008D6E78"/>
    <w:rsid w:val="008E423A"/>
    <w:rsid w:val="008F026C"/>
    <w:rsid w:val="008F2164"/>
    <w:rsid w:val="008F4C09"/>
    <w:rsid w:val="008F763B"/>
    <w:rsid w:val="008F765F"/>
    <w:rsid w:val="00903946"/>
    <w:rsid w:val="009055AD"/>
    <w:rsid w:val="0091015B"/>
    <w:rsid w:val="009107E0"/>
    <w:rsid w:val="00911485"/>
    <w:rsid w:val="00912810"/>
    <w:rsid w:val="00912E77"/>
    <w:rsid w:val="009139E9"/>
    <w:rsid w:val="00914AA8"/>
    <w:rsid w:val="00916D29"/>
    <w:rsid w:val="00917BBE"/>
    <w:rsid w:val="00921482"/>
    <w:rsid w:val="00921DA6"/>
    <w:rsid w:val="00924902"/>
    <w:rsid w:val="00927F11"/>
    <w:rsid w:val="00930CE5"/>
    <w:rsid w:val="00935814"/>
    <w:rsid w:val="009360D9"/>
    <w:rsid w:val="00937280"/>
    <w:rsid w:val="0094071C"/>
    <w:rsid w:val="009408AB"/>
    <w:rsid w:val="00940A1C"/>
    <w:rsid w:val="00940E41"/>
    <w:rsid w:val="00942BD3"/>
    <w:rsid w:val="00950434"/>
    <w:rsid w:val="00951DB9"/>
    <w:rsid w:val="00953E22"/>
    <w:rsid w:val="00954C86"/>
    <w:rsid w:val="00956B8B"/>
    <w:rsid w:val="00957FA6"/>
    <w:rsid w:val="00961BC3"/>
    <w:rsid w:val="00962249"/>
    <w:rsid w:val="00962489"/>
    <w:rsid w:val="00962B17"/>
    <w:rsid w:val="009728D7"/>
    <w:rsid w:val="009818D5"/>
    <w:rsid w:val="00983E60"/>
    <w:rsid w:val="00986733"/>
    <w:rsid w:val="009869B8"/>
    <w:rsid w:val="00986EB4"/>
    <w:rsid w:val="00990FC8"/>
    <w:rsid w:val="009922B7"/>
    <w:rsid w:val="009923C4"/>
    <w:rsid w:val="0099335D"/>
    <w:rsid w:val="00994EF5"/>
    <w:rsid w:val="00996E2A"/>
    <w:rsid w:val="00997E78"/>
    <w:rsid w:val="009A2F9D"/>
    <w:rsid w:val="009A2FE6"/>
    <w:rsid w:val="009A38C6"/>
    <w:rsid w:val="009A3D2B"/>
    <w:rsid w:val="009A4514"/>
    <w:rsid w:val="009A4713"/>
    <w:rsid w:val="009B0B3D"/>
    <w:rsid w:val="009B21A9"/>
    <w:rsid w:val="009B2B2B"/>
    <w:rsid w:val="009B30DF"/>
    <w:rsid w:val="009B474C"/>
    <w:rsid w:val="009B6F24"/>
    <w:rsid w:val="009C0C5B"/>
    <w:rsid w:val="009C5CB9"/>
    <w:rsid w:val="009C78DB"/>
    <w:rsid w:val="009D061C"/>
    <w:rsid w:val="009D0E0B"/>
    <w:rsid w:val="009D160C"/>
    <w:rsid w:val="009D377A"/>
    <w:rsid w:val="009D4AD9"/>
    <w:rsid w:val="009D553D"/>
    <w:rsid w:val="009D6BED"/>
    <w:rsid w:val="009D6DCA"/>
    <w:rsid w:val="009E11F4"/>
    <w:rsid w:val="009E3964"/>
    <w:rsid w:val="009E3A41"/>
    <w:rsid w:val="009E3EE2"/>
    <w:rsid w:val="009E4470"/>
    <w:rsid w:val="009E7001"/>
    <w:rsid w:val="009F19EF"/>
    <w:rsid w:val="009F1F57"/>
    <w:rsid w:val="009F3B23"/>
    <w:rsid w:val="009F3C55"/>
    <w:rsid w:val="009F5CEE"/>
    <w:rsid w:val="009F6FBD"/>
    <w:rsid w:val="00A00C6E"/>
    <w:rsid w:val="00A0103A"/>
    <w:rsid w:val="00A05C92"/>
    <w:rsid w:val="00A06A87"/>
    <w:rsid w:val="00A074C4"/>
    <w:rsid w:val="00A078C1"/>
    <w:rsid w:val="00A078DD"/>
    <w:rsid w:val="00A10353"/>
    <w:rsid w:val="00A10B4C"/>
    <w:rsid w:val="00A10ECF"/>
    <w:rsid w:val="00A1146F"/>
    <w:rsid w:val="00A118FE"/>
    <w:rsid w:val="00A132E9"/>
    <w:rsid w:val="00A13413"/>
    <w:rsid w:val="00A13F50"/>
    <w:rsid w:val="00A14F01"/>
    <w:rsid w:val="00A157DC"/>
    <w:rsid w:val="00A15D71"/>
    <w:rsid w:val="00A17AEA"/>
    <w:rsid w:val="00A17F03"/>
    <w:rsid w:val="00A2219C"/>
    <w:rsid w:val="00A234B3"/>
    <w:rsid w:val="00A24140"/>
    <w:rsid w:val="00A2460A"/>
    <w:rsid w:val="00A260CC"/>
    <w:rsid w:val="00A2667A"/>
    <w:rsid w:val="00A30490"/>
    <w:rsid w:val="00A30785"/>
    <w:rsid w:val="00A31EDF"/>
    <w:rsid w:val="00A32AF3"/>
    <w:rsid w:val="00A346CF"/>
    <w:rsid w:val="00A40200"/>
    <w:rsid w:val="00A40804"/>
    <w:rsid w:val="00A44DA6"/>
    <w:rsid w:val="00A4518D"/>
    <w:rsid w:val="00A46777"/>
    <w:rsid w:val="00A46F56"/>
    <w:rsid w:val="00A517D7"/>
    <w:rsid w:val="00A52B0D"/>
    <w:rsid w:val="00A557C7"/>
    <w:rsid w:val="00A55E0C"/>
    <w:rsid w:val="00A55E64"/>
    <w:rsid w:val="00A575B9"/>
    <w:rsid w:val="00A57AB1"/>
    <w:rsid w:val="00A66631"/>
    <w:rsid w:val="00A66769"/>
    <w:rsid w:val="00A6787A"/>
    <w:rsid w:val="00A70091"/>
    <w:rsid w:val="00A70756"/>
    <w:rsid w:val="00A70843"/>
    <w:rsid w:val="00A72474"/>
    <w:rsid w:val="00A7291B"/>
    <w:rsid w:val="00A72BD1"/>
    <w:rsid w:val="00A734D4"/>
    <w:rsid w:val="00A73CE5"/>
    <w:rsid w:val="00A74FB9"/>
    <w:rsid w:val="00A7589F"/>
    <w:rsid w:val="00A758C3"/>
    <w:rsid w:val="00A76111"/>
    <w:rsid w:val="00A762CB"/>
    <w:rsid w:val="00A81143"/>
    <w:rsid w:val="00A81938"/>
    <w:rsid w:val="00A851F9"/>
    <w:rsid w:val="00A915B5"/>
    <w:rsid w:val="00A917D2"/>
    <w:rsid w:val="00A92E87"/>
    <w:rsid w:val="00A93F66"/>
    <w:rsid w:val="00A94677"/>
    <w:rsid w:val="00A951B2"/>
    <w:rsid w:val="00A95DBC"/>
    <w:rsid w:val="00A97545"/>
    <w:rsid w:val="00AA2976"/>
    <w:rsid w:val="00AA368B"/>
    <w:rsid w:val="00AA36DA"/>
    <w:rsid w:val="00AA4886"/>
    <w:rsid w:val="00AA51BE"/>
    <w:rsid w:val="00AA5315"/>
    <w:rsid w:val="00AA53D3"/>
    <w:rsid w:val="00AA77C0"/>
    <w:rsid w:val="00AB118C"/>
    <w:rsid w:val="00AB2DD6"/>
    <w:rsid w:val="00AB5C57"/>
    <w:rsid w:val="00AB6C1B"/>
    <w:rsid w:val="00AB7DC9"/>
    <w:rsid w:val="00AC39A0"/>
    <w:rsid w:val="00AC6F28"/>
    <w:rsid w:val="00AD266D"/>
    <w:rsid w:val="00AD42C5"/>
    <w:rsid w:val="00AD6E79"/>
    <w:rsid w:val="00AE03B0"/>
    <w:rsid w:val="00AE2497"/>
    <w:rsid w:val="00AE27F9"/>
    <w:rsid w:val="00AF0A51"/>
    <w:rsid w:val="00AF135D"/>
    <w:rsid w:val="00AF3567"/>
    <w:rsid w:val="00AF544E"/>
    <w:rsid w:val="00AF57AA"/>
    <w:rsid w:val="00B001F4"/>
    <w:rsid w:val="00B00EAF"/>
    <w:rsid w:val="00B02D64"/>
    <w:rsid w:val="00B04E6D"/>
    <w:rsid w:val="00B05B1D"/>
    <w:rsid w:val="00B06076"/>
    <w:rsid w:val="00B07B37"/>
    <w:rsid w:val="00B10FE6"/>
    <w:rsid w:val="00B13E1C"/>
    <w:rsid w:val="00B142C2"/>
    <w:rsid w:val="00B1463E"/>
    <w:rsid w:val="00B15249"/>
    <w:rsid w:val="00B17044"/>
    <w:rsid w:val="00B21BAA"/>
    <w:rsid w:val="00B21D05"/>
    <w:rsid w:val="00B2731F"/>
    <w:rsid w:val="00B27A00"/>
    <w:rsid w:val="00B30CA7"/>
    <w:rsid w:val="00B31359"/>
    <w:rsid w:val="00B35116"/>
    <w:rsid w:val="00B3759E"/>
    <w:rsid w:val="00B445AD"/>
    <w:rsid w:val="00B46133"/>
    <w:rsid w:val="00B46812"/>
    <w:rsid w:val="00B46FE5"/>
    <w:rsid w:val="00B47109"/>
    <w:rsid w:val="00B51079"/>
    <w:rsid w:val="00B562C2"/>
    <w:rsid w:val="00B57071"/>
    <w:rsid w:val="00B603C0"/>
    <w:rsid w:val="00B60D17"/>
    <w:rsid w:val="00B61CE4"/>
    <w:rsid w:val="00B6225E"/>
    <w:rsid w:val="00B67000"/>
    <w:rsid w:val="00B7193D"/>
    <w:rsid w:val="00B76BDD"/>
    <w:rsid w:val="00B76F5B"/>
    <w:rsid w:val="00B77BB8"/>
    <w:rsid w:val="00B81F9A"/>
    <w:rsid w:val="00B82B0F"/>
    <w:rsid w:val="00B84428"/>
    <w:rsid w:val="00B8558E"/>
    <w:rsid w:val="00B87475"/>
    <w:rsid w:val="00B90607"/>
    <w:rsid w:val="00B93BB9"/>
    <w:rsid w:val="00B94F9E"/>
    <w:rsid w:val="00BA0196"/>
    <w:rsid w:val="00BA1A0F"/>
    <w:rsid w:val="00BA3E37"/>
    <w:rsid w:val="00BB0B71"/>
    <w:rsid w:val="00BB1F89"/>
    <w:rsid w:val="00BB7673"/>
    <w:rsid w:val="00BB767D"/>
    <w:rsid w:val="00BB77E6"/>
    <w:rsid w:val="00BC0DEA"/>
    <w:rsid w:val="00BC15D4"/>
    <w:rsid w:val="00BC1EB3"/>
    <w:rsid w:val="00BC2F23"/>
    <w:rsid w:val="00BC3176"/>
    <w:rsid w:val="00BC3FEE"/>
    <w:rsid w:val="00BC49EC"/>
    <w:rsid w:val="00BC7C90"/>
    <w:rsid w:val="00BD0550"/>
    <w:rsid w:val="00BD39BE"/>
    <w:rsid w:val="00BD3B84"/>
    <w:rsid w:val="00BD43DC"/>
    <w:rsid w:val="00BD4448"/>
    <w:rsid w:val="00BD4AFE"/>
    <w:rsid w:val="00BD5636"/>
    <w:rsid w:val="00BD618E"/>
    <w:rsid w:val="00BD7218"/>
    <w:rsid w:val="00BE1F22"/>
    <w:rsid w:val="00BE2FEB"/>
    <w:rsid w:val="00BE3BA8"/>
    <w:rsid w:val="00BE42EA"/>
    <w:rsid w:val="00BE60D3"/>
    <w:rsid w:val="00BE6899"/>
    <w:rsid w:val="00BF093A"/>
    <w:rsid w:val="00BF36FE"/>
    <w:rsid w:val="00BF4F2F"/>
    <w:rsid w:val="00BF5F0B"/>
    <w:rsid w:val="00BF7054"/>
    <w:rsid w:val="00BF7FF1"/>
    <w:rsid w:val="00C0081F"/>
    <w:rsid w:val="00C012DD"/>
    <w:rsid w:val="00C01487"/>
    <w:rsid w:val="00C04EC2"/>
    <w:rsid w:val="00C0652B"/>
    <w:rsid w:val="00C0748A"/>
    <w:rsid w:val="00C07C26"/>
    <w:rsid w:val="00C10392"/>
    <w:rsid w:val="00C109A5"/>
    <w:rsid w:val="00C10F8F"/>
    <w:rsid w:val="00C1103A"/>
    <w:rsid w:val="00C111CC"/>
    <w:rsid w:val="00C113EB"/>
    <w:rsid w:val="00C11EFB"/>
    <w:rsid w:val="00C1292C"/>
    <w:rsid w:val="00C15F0E"/>
    <w:rsid w:val="00C15FC5"/>
    <w:rsid w:val="00C2070F"/>
    <w:rsid w:val="00C20F59"/>
    <w:rsid w:val="00C21759"/>
    <w:rsid w:val="00C22C14"/>
    <w:rsid w:val="00C25410"/>
    <w:rsid w:val="00C27263"/>
    <w:rsid w:val="00C31441"/>
    <w:rsid w:val="00C322AF"/>
    <w:rsid w:val="00C327EA"/>
    <w:rsid w:val="00C330A9"/>
    <w:rsid w:val="00C335EE"/>
    <w:rsid w:val="00C33B4A"/>
    <w:rsid w:val="00C33C17"/>
    <w:rsid w:val="00C34806"/>
    <w:rsid w:val="00C35B3D"/>
    <w:rsid w:val="00C379FA"/>
    <w:rsid w:val="00C42796"/>
    <w:rsid w:val="00C44ACD"/>
    <w:rsid w:val="00C466FC"/>
    <w:rsid w:val="00C46A4D"/>
    <w:rsid w:val="00C47E85"/>
    <w:rsid w:val="00C563D7"/>
    <w:rsid w:val="00C652FE"/>
    <w:rsid w:val="00C65904"/>
    <w:rsid w:val="00C67D85"/>
    <w:rsid w:val="00C75122"/>
    <w:rsid w:val="00C75772"/>
    <w:rsid w:val="00C758A1"/>
    <w:rsid w:val="00C75904"/>
    <w:rsid w:val="00C75DCE"/>
    <w:rsid w:val="00C76AAF"/>
    <w:rsid w:val="00C76D49"/>
    <w:rsid w:val="00C80A7D"/>
    <w:rsid w:val="00C816F2"/>
    <w:rsid w:val="00C82486"/>
    <w:rsid w:val="00C8314F"/>
    <w:rsid w:val="00C842A7"/>
    <w:rsid w:val="00C92441"/>
    <w:rsid w:val="00C9374D"/>
    <w:rsid w:val="00C93889"/>
    <w:rsid w:val="00C94C66"/>
    <w:rsid w:val="00C9549D"/>
    <w:rsid w:val="00C95EA2"/>
    <w:rsid w:val="00C95F88"/>
    <w:rsid w:val="00C96331"/>
    <w:rsid w:val="00CA2620"/>
    <w:rsid w:val="00CA3911"/>
    <w:rsid w:val="00CA6EDC"/>
    <w:rsid w:val="00CA7A79"/>
    <w:rsid w:val="00CB156D"/>
    <w:rsid w:val="00CB2114"/>
    <w:rsid w:val="00CB45A7"/>
    <w:rsid w:val="00CB5716"/>
    <w:rsid w:val="00CB7358"/>
    <w:rsid w:val="00CB7672"/>
    <w:rsid w:val="00CC2821"/>
    <w:rsid w:val="00CD0174"/>
    <w:rsid w:val="00CD155A"/>
    <w:rsid w:val="00CD28F1"/>
    <w:rsid w:val="00CD7082"/>
    <w:rsid w:val="00CD715D"/>
    <w:rsid w:val="00CE087C"/>
    <w:rsid w:val="00CE17D8"/>
    <w:rsid w:val="00CE1EDD"/>
    <w:rsid w:val="00CE2265"/>
    <w:rsid w:val="00CE641C"/>
    <w:rsid w:val="00CF5BFC"/>
    <w:rsid w:val="00CF6574"/>
    <w:rsid w:val="00CF75D5"/>
    <w:rsid w:val="00D01291"/>
    <w:rsid w:val="00D025FA"/>
    <w:rsid w:val="00D05039"/>
    <w:rsid w:val="00D1082F"/>
    <w:rsid w:val="00D10D4E"/>
    <w:rsid w:val="00D11F98"/>
    <w:rsid w:val="00D12827"/>
    <w:rsid w:val="00D15D3B"/>
    <w:rsid w:val="00D234EF"/>
    <w:rsid w:val="00D242CE"/>
    <w:rsid w:val="00D24707"/>
    <w:rsid w:val="00D255C4"/>
    <w:rsid w:val="00D258F6"/>
    <w:rsid w:val="00D269DA"/>
    <w:rsid w:val="00D276F6"/>
    <w:rsid w:val="00D3040D"/>
    <w:rsid w:val="00D306C7"/>
    <w:rsid w:val="00D30E32"/>
    <w:rsid w:val="00D317A6"/>
    <w:rsid w:val="00D32502"/>
    <w:rsid w:val="00D352F3"/>
    <w:rsid w:val="00D3563B"/>
    <w:rsid w:val="00D366D4"/>
    <w:rsid w:val="00D36B04"/>
    <w:rsid w:val="00D373D7"/>
    <w:rsid w:val="00D40497"/>
    <w:rsid w:val="00D42EC4"/>
    <w:rsid w:val="00D43E84"/>
    <w:rsid w:val="00D43F40"/>
    <w:rsid w:val="00D4567D"/>
    <w:rsid w:val="00D462F8"/>
    <w:rsid w:val="00D46933"/>
    <w:rsid w:val="00D512BE"/>
    <w:rsid w:val="00D51F50"/>
    <w:rsid w:val="00D52351"/>
    <w:rsid w:val="00D534F3"/>
    <w:rsid w:val="00D60120"/>
    <w:rsid w:val="00D601A2"/>
    <w:rsid w:val="00D6244A"/>
    <w:rsid w:val="00D6321C"/>
    <w:rsid w:val="00D63628"/>
    <w:rsid w:val="00D63C2B"/>
    <w:rsid w:val="00D64F54"/>
    <w:rsid w:val="00D653FD"/>
    <w:rsid w:val="00D666DF"/>
    <w:rsid w:val="00D67B66"/>
    <w:rsid w:val="00D70F6D"/>
    <w:rsid w:val="00D71E47"/>
    <w:rsid w:val="00D8126E"/>
    <w:rsid w:val="00D813AF"/>
    <w:rsid w:val="00D83D43"/>
    <w:rsid w:val="00D84140"/>
    <w:rsid w:val="00D854FD"/>
    <w:rsid w:val="00D870AE"/>
    <w:rsid w:val="00D87F2A"/>
    <w:rsid w:val="00D91345"/>
    <w:rsid w:val="00D91C5F"/>
    <w:rsid w:val="00D953F2"/>
    <w:rsid w:val="00D95928"/>
    <w:rsid w:val="00D97347"/>
    <w:rsid w:val="00DA07A4"/>
    <w:rsid w:val="00DA50C1"/>
    <w:rsid w:val="00DA5839"/>
    <w:rsid w:val="00DA61F0"/>
    <w:rsid w:val="00DB024C"/>
    <w:rsid w:val="00DB03E3"/>
    <w:rsid w:val="00DB25BF"/>
    <w:rsid w:val="00DB3461"/>
    <w:rsid w:val="00DC002D"/>
    <w:rsid w:val="00DC3D15"/>
    <w:rsid w:val="00DC4708"/>
    <w:rsid w:val="00DC4B5D"/>
    <w:rsid w:val="00DC50BE"/>
    <w:rsid w:val="00DC5A81"/>
    <w:rsid w:val="00DC5BFD"/>
    <w:rsid w:val="00DD1907"/>
    <w:rsid w:val="00DD2E72"/>
    <w:rsid w:val="00DD6C10"/>
    <w:rsid w:val="00DD77B2"/>
    <w:rsid w:val="00DE0E5C"/>
    <w:rsid w:val="00DE0F6D"/>
    <w:rsid w:val="00DE1FDD"/>
    <w:rsid w:val="00DE2F30"/>
    <w:rsid w:val="00DE4794"/>
    <w:rsid w:val="00DE48EC"/>
    <w:rsid w:val="00DE6099"/>
    <w:rsid w:val="00DF0723"/>
    <w:rsid w:val="00DF16E2"/>
    <w:rsid w:val="00DF40F5"/>
    <w:rsid w:val="00DF5176"/>
    <w:rsid w:val="00DF7672"/>
    <w:rsid w:val="00DF7CFC"/>
    <w:rsid w:val="00E00F0B"/>
    <w:rsid w:val="00E013FE"/>
    <w:rsid w:val="00E01403"/>
    <w:rsid w:val="00E0220A"/>
    <w:rsid w:val="00E02B6A"/>
    <w:rsid w:val="00E03E9F"/>
    <w:rsid w:val="00E07218"/>
    <w:rsid w:val="00E13D11"/>
    <w:rsid w:val="00E140F7"/>
    <w:rsid w:val="00E1413A"/>
    <w:rsid w:val="00E16D68"/>
    <w:rsid w:val="00E170A6"/>
    <w:rsid w:val="00E262DD"/>
    <w:rsid w:val="00E274CF"/>
    <w:rsid w:val="00E31B04"/>
    <w:rsid w:val="00E35453"/>
    <w:rsid w:val="00E363A8"/>
    <w:rsid w:val="00E37A6D"/>
    <w:rsid w:val="00E41444"/>
    <w:rsid w:val="00E4232B"/>
    <w:rsid w:val="00E45043"/>
    <w:rsid w:val="00E462A6"/>
    <w:rsid w:val="00E50560"/>
    <w:rsid w:val="00E512A7"/>
    <w:rsid w:val="00E526FB"/>
    <w:rsid w:val="00E532F4"/>
    <w:rsid w:val="00E53B96"/>
    <w:rsid w:val="00E56D86"/>
    <w:rsid w:val="00E62F8C"/>
    <w:rsid w:val="00E6344A"/>
    <w:rsid w:val="00E63A5E"/>
    <w:rsid w:val="00E658F5"/>
    <w:rsid w:val="00E66F91"/>
    <w:rsid w:val="00E67996"/>
    <w:rsid w:val="00E7217D"/>
    <w:rsid w:val="00E728AB"/>
    <w:rsid w:val="00E72F1E"/>
    <w:rsid w:val="00E75AD9"/>
    <w:rsid w:val="00E829B4"/>
    <w:rsid w:val="00E848F9"/>
    <w:rsid w:val="00E850D2"/>
    <w:rsid w:val="00E8777C"/>
    <w:rsid w:val="00E929C6"/>
    <w:rsid w:val="00E92E23"/>
    <w:rsid w:val="00E93947"/>
    <w:rsid w:val="00E949FC"/>
    <w:rsid w:val="00E96325"/>
    <w:rsid w:val="00E97B0F"/>
    <w:rsid w:val="00EA2BEB"/>
    <w:rsid w:val="00EA5C70"/>
    <w:rsid w:val="00EA6418"/>
    <w:rsid w:val="00EB09DC"/>
    <w:rsid w:val="00EB6EBF"/>
    <w:rsid w:val="00EC27A7"/>
    <w:rsid w:val="00EC30FB"/>
    <w:rsid w:val="00EC3633"/>
    <w:rsid w:val="00EC4F97"/>
    <w:rsid w:val="00EC6496"/>
    <w:rsid w:val="00ED0038"/>
    <w:rsid w:val="00ED167E"/>
    <w:rsid w:val="00ED44BA"/>
    <w:rsid w:val="00ED49D6"/>
    <w:rsid w:val="00ED4CA8"/>
    <w:rsid w:val="00ED6F41"/>
    <w:rsid w:val="00EE1184"/>
    <w:rsid w:val="00EE1973"/>
    <w:rsid w:val="00EE1AEC"/>
    <w:rsid w:val="00EE59C1"/>
    <w:rsid w:val="00EE5F21"/>
    <w:rsid w:val="00EE5FEC"/>
    <w:rsid w:val="00EE72E4"/>
    <w:rsid w:val="00EF0EAF"/>
    <w:rsid w:val="00EF1546"/>
    <w:rsid w:val="00EF1A3A"/>
    <w:rsid w:val="00EF230B"/>
    <w:rsid w:val="00EF5191"/>
    <w:rsid w:val="00EF52D7"/>
    <w:rsid w:val="00EF6911"/>
    <w:rsid w:val="00EF6CF0"/>
    <w:rsid w:val="00F02FF2"/>
    <w:rsid w:val="00F054D3"/>
    <w:rsid w:val="00F05764"/>
    <w:rsid w:val="00F061C9"/>
    <w:rsid w:val="00F13512"/>
    <w:rsid w:val="00F14694"/>
    <w:rsid w:val="00F15FB3"/>
    <w:rsid w:val="00F209C6"/>
    <w:rsid w:val="00F2232A"/>
    <w:rsid w:val="00F22688"/>
    <w:rsid w:val="00F24BA8"/>
    <w:rsid w:val="00F25843"/>
    <w:rsid w:val="00F331C0"/>
    <w:rsid w:val="00F3329B"/>
    <w:rsid w:val="00F33D3B"/>
    <w:rsid w:val="00F353E7"/>
    <w:rsid w:val="00F360BE"/>
    <w:rsid w:val="00F40EA7"/>
    <w:rsid w:val="00F419B2"/>
    <w:rsid w:val="00F41E0F"/>
    <w:rsid w:val="00F44954"/>
    <w:rsid w:val="00F44989"/>
    <w:rsid w:val="00F44CA7"/>
    <w:rsid w:val="00F44E48"/>
    <w:rsid w:val="00F4593F"/>
    <w:rsid w:val="00F46CC9"/>
    <w:rsid w:val="00F53450"/>
    <w:rsid w:val="00F543FD"/>
    <w:rsid w:val="00F54E86"/>
    <w:rsid w:val="00F55352"/>
    <w:rsid w:val="00F5682A"/>
    <w:rsid w:val="00F57872"/>
    <w:rsid w:val="00F62304"/>
    <w:rsid w:val="00F6340B"/>
    <w:rsid w:val="00F703CE"/>
    <w:rsid w:val="00F72985"/>
    <w:rsid w:val="00F72AD8"/>
    <w:rsid w:val="00F739E6"/>
    <w:rsid w:val="00F75D7A"/>
    <w:rsid w:val="00F77E19"/>
    <w:rsid w:val="00F77F9A"/>
    <w:rsid w:val="00F80D0E"/>
    <w:rsid w:val="00F8128D"/>
    <w:rsid w:val="00F813FB"/>
    <w:rsid w:val="00F8372A"/>
    <w:rsid w:val="00F83819"/>
    <w:rsid w:val="00F83B56"/>
    <w:rsid w:val="00F84551"/>
    <w:rsid w:val="00F84E8D"/>
    <w:rsid w:val="00F852BA"/>
    <w:rsid w:val="00F91C23"/>
    <w:rsid w:val="00F9344F"/>
    <w:rsid w:val="00F93D4D"/>
    <w:rsid w:val="00F94CE4"/>
    <w:rsid w:val="00F95985"/>
    <w:rsid w:val="00F973DB"/>
    <w:rsid w:val="00F977F2"/>
    <w:rsid w:val="00FA28E6"/>
    <w:rsid w:val="00FA3166"/>
    <w:rsid w:val="00FA3A1B"/>
    <w:rsid w:val="00FA4465"/>
    <w:rsid w:val="00FA4A30"/>
    <w:rsid w:val="00FA71E6"/>
    <w:rsid w:val="00FB03B1"/>
    <w:rsid w:val="00FB29FC"/>
    <w:rsid w:val="00FB6EBA"/>
    <w:rsid w:val="00FC066D"/>
    <w:rsid w:val="00FC5249"/>
    <w:rsid w:val="00FC56D9"/>
    <w:rsid w:val="00FC574B"/>
    <w:rsid w:val="00FC5F56"/>
    <w:rsid w:val="00FC66B6"/>
    <w:rsid w:val="00FC70C6"/>
    <w:rsid w:val="00FC7A70"/>
    <w:rsid w:val="00FD0AA0"/>
    <w:rsid w:val="00FD3175"/>
    <w:rsid w:val="00FD4AB5"/>
    <w:rsid w:val="00FD72D4"/>
    <w:rsid w:val="00FE1F92"/>
    <w:rsid w:val="00FE3E1A"/>
    <w:rsid w:val="00FE6525"/>
    <w:rsid w:val="00FF22EA"/>
    <w:rsid w:val="00FF33F3"/>
    <w:rsid w:val="00FF3B5A"/>
    <w:rsid w:val="00FF66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13"/>
    <w:pPr>
      <w:spacing w:line="480" w:lineRule="auto"/>
      <w:ind w:left="720" w:hanging="720"/>
    </w:pPr>
    <w:rPr>
      <w:rFonts w:ascii="Garamond" w:hAnsi="Garamond"/>
      <w:sz w:val="24"/>
    </w:rPr>
  </w:style>
  <w:style w:type="paragraph" w:styleId="Heading1">
    <w:name w:val="heading 1"/>
    <w:basedOn w:val="Normal"/>
    <w:next w:val="Normal"/>
    <w:qFormat/>
    <w:rsid w:val="005D29EF"/>
    <w:pPr>
      <w:keepNext/>
      <w:jc w:val="center"/>
      <w:outlineLvl w:val="0"/>
    </w:pPr>
    <w:rPr>
      <w:rFonts w:ascii="Times New Roman" w:hAnsi="Times New Roman"/>
      <w:b/>
      <w:caps/>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sid w:val="00B57071"/>
    <w:pPr>
      <w:spacing w:line="240" w:lineRule="auto"/>
    </w:pPr>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 w:type="paragraph" w:styleId="TOCHeading">
    <w:name w:val="TOC Heading"/>
    <w:basedOn w:val="Heading1"/>
    <w:next w:val="Normal"/>
    <w:uiPriority w:val="39"/>
    <w:semiHidden/>
    <w:unhideWhenUsed/>
    <w:qFormat/>
    <w:rsid w:val="0082295E"/>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C31441"/>
    <w:pPr>
      <w:suppressLineNumbers/>
      <w:tabs>
        <w:tab w:val="right" w:leader="dot" w:pos="8990"/>
      </w:tabs>
      <w:spacing w:line="360" w:lineRule="auto"/>
      <w:ind w:left="0" w:firstLine="0"/>
    </w:pPr>
  </w:style>
  <w:style w:type="paragraph" w:styleId="TOC2">
    <w:name w:val="toc 2"/>
    <w:basedOn w:val="Normal"/>
    <w:next w:val="Normal"/>
    <w:autoRedefine/>
    <w:uiPriority w:val="39"/>
    <w:unhideWhenUsed/>
    <w:rsid w:val="00C31441"/>
    <w:pPr>
      <w:suppressLineNumbers/>
      <w:tabs>
        <w:tab w:val="right" w:leader="dot" w:pos="8990"/>
      </w:tabs>
      <w:spacing w:line="360" w:lineRule="auto"/>
      <w:ind w:left="0" w:firstLine="0"/>
    </w:pPr>
  </w:style>
  <w:style w:type="character" w:styleId="Hyperlink">
    <w:name w:val="Hyperlink"/>
    <w:basedOn w:val="DefaultParagraphFont"/>
    <w:uiPriority w:val="99"/>
    <w:unhideWhenUsed/>
    <w:rsid w:val="0082295E"/>
    <w:rPr>
      <w:color w:val="0000FF" w:themeColor="hyperlink"/>
      <w:u w:val="single"/>
    </w:rPr>
  </w:style>
  <w:style w:type="paragraph" w:customStyle="1" w:styleId="WAP1">
    <w:name w:val="WA P1"/>
    <w:basedOn w:val="ListParagraph"/>
    <w:autoRedefine/>
    <w:qFormat/>
    <w:rsid w:val="00740CC6"/>
    <w:pPr>
      <w:widowControl w:val="0"/>
      <w:numPr>
        <w:numId w:val="52"/>
      </w:numPr>
      <w:spacing w:line="480" w:lineRule="exact"/>
      <w:ind w:left="0" w:hanging="720"/>
      <w:contextualSpacing w:val="0"/>
    </w:pPr>
    <w:rPr>
      <w:rFonts w:ascii="Times New Roman" w:eastAsia="Times"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13"/>
    <w:pPr>
      <w:spacing w:line="480" w:lineRule="auto"/>
      <w:ind w:left="720" w:hanging="720"/>
    </w:pPr>
    <w:rPr>
      <w:rFonts w:ascii="Garamond" w:hAnsi="Garamond"/>
      <w:sz w:val="24"/>
    </w:rPr>
  </w:style>
  <w:style w:type="paragraph" w:styleId="Heading1">
    <w:name w:val="heading 1"/>
    <w:basedOn w:val="Normal"/>
    <w:next w:val="Normal"/>
    <w:qFormat/>
    <w:rsid w:val="005D29EF"/>
    <w:pPr>
      <w:keepNext/>
      <w:jc w:val="center"/>
      <w:outlineLvl w:val="0"/>
    </w:pPr>
    <w:rPr>
      <w:rFonts w:ascii="Times New Roman" w:hAnsi="Times New Roman"/>
      <w:b/>
      <w:caps/>
    </w:rPr>
  </w:style>
  <w:style w:type="paragraph" w:styleId="Heading2">
    <w:name w:val="heading 2"/>
    <w:basedOn w:val="Normal"/>
    <w:next w:val="Normal"/>
    <w:qFormat/>
    <w:rsid w:val="00A72474"/>
    <w:pPr>
      <w:keepNext/>
      <w:ind w:left="0" w:firstLine="0"/>
      <w:outlineLvl w:val="1"/>
    </w:pPr>
    <w:rPr>
      <w:rFonts w:ascii="Times New Roman" w:hAnsi="Times New Roman"/>
      <w:b/>
      <w:bCs/>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sid w:val="00B57071"/>
    <w:pPr>
      <w:spacing w:line="240" w:lineRule="auto"/>
    </w:pPr>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B57071"/>
    <w:rPr>
      <w:rFonts w:ascii="Garamond" w:hAnsi="Garamond"/>
    </w:rPr>
  </w:style>
  <w:style w:type="character" w:styleId="PlaceholderText">
    <w:name w:val="Placeholder Text"/>
    <w:basedOn w:val="DefaultParagraphFont"/>
    <w:uiPriority w:val="99"/>
    <w:semiHidden/>
    <w:rsid w:val="00E658F5"/>
    <w:rPr>
      <w:color w:val="808080"/>
    </w:rPr>
  </w:style>
  <w:style w:type="paragraph" w:styleId="Revision">
    <w:name w:val="Revision"/>
    <w:hidden/>
    <w:uiPriority w:val="99"/>
    <w:semiHidden/>
    <w:rsid w:val="002B184D"/>
    <w:rPr>
      <w:rFonts w:ascii="Garamond" w:hAnsi="Garamond"/>
      <w:sz w:val="24"/>
    </w:rPr>
  </w:style>
  <w:style w:type="paragraph" w:styleId="TOCHeading">
    <w:name w:val="TOC Heading"/>
    <w:basedOn w:val="Heading1"/>
    <w:next w:val="Normal"/>
    <w:uiPriority w:val="39"/>
    <w:semiHidden/>
    <w:unhideWhenUsed/>
    <w:qFormat/>
    <w:rsid w:val="0082295E"/>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unhideWhenUsed/>
    <w:rsid w:val="00C31441"/>
    <w:pPr>
      <w:suppressLineNumbers/>
      <w:tabs>
        <w:tab w:val="right" w:leader="dot" w:pos="8990"/>
      </w:tabs>
      <w:spacing w:line="360" w:lineRule="auto"/>
      <w:ind w:left="0" w:firstLine="0"/>
    </w:pPr>
  </w:style>
  <w:style w:type="paragraph" w:styleId="TOC2">
    <w:name w:val="toc 2"/>
    <w:basedOn w:val="Normal"/>
    <w:next w:val="Normal"/>
    <w:autoRedefine/>
    <w:uiPriority w:val="39"/>
    <w:unhideWhenUsed/>
    <w:rsid w:val="00C31441"/>
    <w:pPr>
      <w:suppressLineNumbers/>
      <w:tabs>
        <w:tab w:val="right" w:leader="dot" w:pos="8990"/>
      </w:tabs>
      <w:spacing w:line="360" w:lineRule="auto"/>
      <w:ind w:left="0" w:firstLine="0"/>
    </w:pPr>
  </w:style>
  <w:style w:type="character" w:styleId="Hyperlink">
    <w:name w:val="Hyperlink"/>
    <w:basedOn w:val="DefaultParagraphFont"/>
    <w:uiPriority w:val="99"/>
    <w:unhideWhenUsed/>
    <w:rsid w:val="0082295E"/>
    <w:rPr>
      <w:color w:val="0000FF" w:themeColor="hyperlink"/>
      <w:u w:val="single"/>
    </w:rPr>
  </w:style>
  <w:style w:type="paragraph" w:customStyle="1" w:styleId="WAP1">
    <w:name w:val="WA P1"/>
    <w:basedOn w:val="ListParagraph"/>
    <w:autoRedefine/>
    <w:qFormat/>
    <w:rsid w:val="00740CC6"/>
    <w:pPr>
      <w:widowControl w:val="0"/>
      <w:numPr>
        <w:numId w:val="52"/>
      </w:numPr>
      <w:spacing w:line="480" w:lineRule="exact"/>
      <w:ind w:left="0" w:hanging="720"/>
      <w:contextualSpacing w:val="0"/>
    </w:pPr>
    <w:rPr>
      <w:rFonts w:ascii="Times New Roman" w:eastAsia="Times"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9166">
      <w:bodyDiv w:val="1"/>
      <w:marLeft w:val="0"/>
      <w:marRight w:val="0"/>
      <w:marTop w:val="0"/>
      <w:marBottom w:val="0"/>
      <w:divBdr>
        <w:top w:val="none" w:sz="0" w:space="0" w:color="auto"/>
        <w:left w:val="none" w:sz="0" w:space="0" w:color="auto"/>
        <w:bottom w:val="none" w:sz="0" w:space="0" w:color="auto"/>
        <w:right w:val="none" w:sz="0" w:space="0" w:color="auto"/>
      </w:divBdr>
    </w:div>
    <w:div w:id="762333960">
      <w:bodyDiv w:val="1"/>
      <w:marLeft w:val="0"/>
      <w:marRight w:val="0"/>
      <w:marTop w:val="0"/>
      <w:marBottom w:val="0"/>
      <w:divBdr>
        <w:top w:val="none" w:sz="0" w:space="0" w:color="auto"/>
        <w:left w:val="none" w:sz="0" w:space="0" w:color="auto"/>
        <w:bottom w:val="none" w:sz="0" w:space="0" w:color="auto"/>
        <w:right w:val="none" w:sz="0" w:space="0" w:color="auto"/>
      </w:divBdr>
    </w:div>
    <w:div w:id="1120107225">
      <w:bodyDiv w:val="1"/>
      <w:marLeft w:val="0"/>
      <w:marRight w:val="0"/>
      <w:marTop w:val="0"/>
      <w:marBottom w:val="0"/>
      <w:divBdr>
        <w:top w:val="none" w:sz="0" w:space="0" w:color="auto"/>
        <w:left w:val="none" w:sz="0" w:space="0" w:color="auto"/>
        <w:bottom w:val="none" w:sz="0" w:space="0" w:color="auto"/>
        <w:right w:val="none" w:sz="0" w:space="0" w:color="auto"/>
      </w:divBdr>
    </w:div>
    <w:div w:id="1579367576">
      <w:bodyDiv w:val="1"/>
      <w:marLeft w:val="0"/>
      <w:marRight w:val="0"/>
      <w:marTop w:val="0"/>
      <w:marBottom w:val="0"/>
      <w:divBdr>
        <w:top w:val="none" w:sz="0" w:space="0" w:color="auto"/>
        <w:left w:val="none" w:sz="0" w:space="0" w:color="auto"/>
        <w:bottom w:val="none" w:sz="0" w:space="0" w:color="auto"/>
        <w:right w:val="none" w:sz="0" w:space="0" w:color="auto"/>
      </w:divBdr>
    </w:div>
    <w:div w:id="1611351249">
      <w:bodyDiv w:val="1"/>
      <w:marLeft w:val="0"/>
      <w:marRight w:val="0"/>
      <w:marTop w:val="0"/>
      <w:marBottom w:val="0"/>
      <w:divBdr>
        <w:top w:val="none" w:sz="0" w:space="0" w:color="auto"/>
        <w:left w:val="none" w:sz="0" w:space="0" w:color="auto"/>
        <w:bottom w:val="none" w:sz="0" w:space="0" w:color="auto"/>
        <w:right w:val="none" w:sz="0" w:space="0" w:color="auto"/>
      </w:divBdr>
    </w:div>
    <w:div w:id="1755202883">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637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1D00AE-07D0-44FA-90D6-831C92441D0C}"/>
</file>

<file path=customXml/itemProps2.xml><?xml version="1.0" encoding="utf-8"?>
<ds:datastoreItem xmlns:ds="http://schemas.openxmlformats.org/officeDocument/2006/customXml" ds:itemID="{7D5FAA46-F4C8-40D6-9D0A-83B569057D49}"/>
</file>

<file path=customXml/itemProps3.xml><?xml version="1.0" encoding="utf-8"?>
<ds:datastoreItem xmlns:ds="http://schemas.openxmlformats.org/officeDocument/2006/customXml" ds:itemID="{06B1C15B-DCCB-44A2-A0F8-EC5EA081ABA3}"/>
</file>

<file path=customXml/itemProps4.xml><?xml version="1.0" encoding="utf-8"?>
<ds:datastoreItem xmlns:ds="http://schemas.openxmlformats.org/officeDocument/2006/customXml" ds:itemID="{41C000B5-0AA7-4EC2-822C-645A53D63D4B}"/>
</file>

<file path=docProps/app.xml><?xml version="1.0" encoding="utf-8"?>
<Properties xmlns="http://schemas.openxmlformats.org/officeDocument/2006/extended-properties" xmlns:vt="http://schemas.openxmlformats.org/officeDocument/2006/docPropsVTypes">
  <Template>Normal</Template>
  <TotalTime>0</TotalTime>
  <Pages>22</Pages>
  <Words>5291</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2015-11-25T01:56:00Z</dcterms:created>
  <dcterms:modified xsi:type="dcterms:W3CDTF">2015-11-25T01:56:00Z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