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1E5" w:rsidRPr="00892A0D" w:rsidRDefault="005711E5">
      <w:pPr>
        <w:pStyle w:val="BodyText"/>
        <w:rPr>
          <w:b/>
          <w:bCs/>
          <w:sz w:val="25"/>
          <w:szCs w:val="25"/>
        </w:rPr>
      </w:pPr>
      <w:bookmarkStart w:id="0" w:name="_GoBack"/>
      <w:bookmarkEnd w:id="0"/>
      <w:r w:rsidRPr="00892A0D">
        <w:rPr>
          <w:b/>
          <w:bCs/>
          <w:sz w:val="25"/>
          <w:szCs w:val="25"/>
        </w:rPr>
        <w:t>BEFORE THE WASHINGTON</w:t>
      </w:r>
    </w:p>
    <w:p w:rsidR="005711E5" w:rsidRDefault="005711E5">
      <w:pPr>
        <w:pStyle w:val="BodyText"/>
        <w:rPr>
          <w:b/>
          <w:bCs/>
          <w:sz w:val="25"/>
          <w:szCs w:val="25"/>
        </w:rPr>
      </w:pPr>
      <w:r w:rsidRPr="00892A0D">
        <w:rPr>
          <w:b/>
          <w:bCs/>
          <w:sz w:val="25"/>
          <w:szCs w:val="25"/>
        </w:rPr>
        <w:t>UTILITIES AND TRANSPORTATION COMMISSION</w:t>
      </w:r>
    </w:p>
    <w:p w:rsidR="001F448E" w:rsidRDefault="001F448E">
      <w:pPr>
        <w:pStyle w:val="BodyText"/>
        <w:rPr>
          <w:b/>
          <w:bCs/>
          <w:sz w:val="25"/>
          <w:szCs w:val="25"/>
        </w:rPr>
      </w:pPr>
    </w:p>
    <w:tbl>
      <w:tblPr>
        <w:tblW w:w="0" w:type="auto"/>
        <w:tblLook w:val="0000" w:firstRow="0" w:lastRow="0" w:firstColumn="0" w:lastColumn="0" w:noHBand="0" w:noVBand="0"/>
      </w:tblPr>
      <w:tblGrid>
        <w:gridCol w:w="4248"/>
        <w:gridCol w:w="360"/>
        <w:gridCol w:w="4248"/>
      </w:tblGrid>
      <w:tr w:rsidR="00150B1F" w:rsidRPr="00652981" w:rsidTr="00150B1F">
        <w:tc>
          <w:tcPr>
            <w:tcW w:w="4248" w:type="dxa"/>
          </w:tcPr>
          <w:p w:rsidR="00150B1F" w:rsidRDefault="00150B1F" w:rsidP="00150B1F">
            <w:pPr>
              <w:tabs>
                <w:tab w:val="left" w:pos="2160"/>
              </w:tabs>
              <w:spacing w:line="264" w:lineRule="auto"/>
              <w:rPr>
                <w:bCs/>
                <w:sz w:val="25"/>
                <w:szCs w:val="25"/>
              </w:rPr>
            </w:pPr>
            <w:r>
              <w:rPr>
                <w:bCs/>
                <w:sz w:val="25"/>
                <w:szCs w:val="25"/>
              </w:rPr>
              <w:t>In the Matter of the Petition of</w:t>
            </w:r>
          </w:p>
          <w:p w:rsidR="00150B1F" w:rsidRDefault="00150B1F" w:rsidP="00150B1F">
            <w:pPr>
              <w:tabs>
                <w:tab w:val="left" w:pos="2160"/>
              </w:tabs>
              <w:spacing w:line="264" w:lineRule="auto"/>
              <w:rPr>
                <w:bCs/>
                <w:sz w:val="25"/>
                <w:szCs w:val="25"/>
              </w:rPr>
            </w:pPr>
          </w:p>
          <w:p w:rsidR="00150B1F" w:rsidRDefault="00150B1F" w:rsidP="00150B1F">
            <w:pPr>
              <w:tabs>
                <w:tab w:val="left" w:pos="2160"/>
              </w:tabs>
              <w:spacing w:line="264" w:lineRule="auto"/>
              <w:rPr>
                <w:bCs/>
                <w:sz w:val="25"/>
                <w:szCs w:val="25"/>
              </w:rPr>
            </w:pPr>
            <w:r>
              <w:rPr>
                <w:bCs/>
                <w:sz w:val="25"/>
                <w:szCs w:val="25"/>
              </w:rPr>
              <w:t>QWEST CORPORATION d/b/a CENTURYLINK QC</w:t>
            </w:r>
          </w:p>
          <w:p w:rsidR="00150B1F" w:rsidRDefault="00150B1F" w:rsidP="00150B1F">
            <w:pPr>
              <w:tabs>
                <w:tab w:val="left" w:pos="2160"/>
              </w:tabs>
              <w:spacing w:line="264" w:lineRule="auto"/>
              <w:rPr>
                <w:bCs/>
                <w:sz w:val="25"/>
                <w:szCs w:val="25"/>
              </w:rPr>
            </w:pPr>
          </w:p>
          <w:p w:rsidR="00150B1F" w:rsidRDefault="00150B1F" w:rsidP="00150B1F">
            <w:pPr>
              <w:tabs>
                <w:tab w:val="left" w:pos="2160"/>
              </w:tabs>
              <w:spacing w:line="264" w:lineRule="auto"/>
              <w:rPr>
                <w:bCs/>
                <w:sz w:val="25"/>
                <w:szCs w:val="25"/>
              </w:rPr>
            </w:pPr>
            <w:r>
              <w:rPr>
                <w:bCs/>
                <w:sz w:val="25"/>
                <w:szCs w:val="25"/>
              </w:rPr>
              <w:t>For Commission Approval of 2013 Additions to its Non-Impaired Wire Center List</w:t>
            </w:r>
          </w:p>
          <w:p w:rsidR="00150B1F" w:rsidRPr="00652981" w:rsidRDefault="00150B1F" w:rsidP="00150B1F">
            <w:pPr>
              <w:tabs>
                <w:tab w:val="left" w:pos="2160"/>
              </w:tabs>
              <w:spacing w:line="264" w:lineRule="auto"/>
              <w:rPr>
                <w:sz w:val="25"/>
                <w:szCs w:val="25"/>
              </w:rPr>
            </w:pPr>
            <w:r w:rsidRPr="00652981">
              <w:rPr>
                <w:sz w:val="25"/>
                <w:szCs w:val="25"/>
              </w:rPr>
              <w:t xml:space="preserve">. . . . . . . . . . . . . . . . . . . . . . . . . . . . . . . . </w:t>
            </w:r>
          </w:p>
        </w:tc>
        <w:tc>
          <w:tcPr>
            <w:tcW w:w="360" w:type="dxa"/>
          </w:tcPr>
          <w:p w:rsidR="00150B1F" w:rsidRPr="00652981" w:rsidRDefault="00150B1F" w:rsidP="00150B1F">
            <w:pPr>
              <w:spacing w:line="264" w:lineRule="auto"/>
              <w:rPr>
                <w:sz w:val="25"/>
                <w:szCs w:val="25"/>
              </w:rPr>
            </w:pPr>
            <w:r w:rsidRPr="00652981">
              <w:rPr>
                <w:sz w:val="25"/>
                <w:szCs w:val="25"/>
              </w:rPr>
              <w:t>)</w:t>
            </w:r>
          </w:p>
          <w:p w:rsidR="00150B1F" w:rsidRPr="00652981" w:rsidRDefault="00150B1F" w:rsidP="00150B1F">
            <w:pPr>
              <w:spacing w:line="264" w:lineRule="auto"/>
              <w:rPr>
                <w:sz w:val="25"/>
                <w:szCs w:val="25"/>
              </w:rPr>
            </w:pPr>
            <w:r w:rsidRPr="00652981">
              <w:rPr>
                <w:sz w:val="25"/>
                <w:szCs w:val="25"/>
              </w:rPr>
              <w:t>)</w:t>
            </w:r>
          </w:p>
          <w:p w:rsidR="00150B1F" w:rsidRPr="00652981" w:rsidRDefault="00150B1F" w:rsidP="00150B1F">
            <w:pPr>
              <w:spacing w:line="264" w:lineRule="auto"/>
              <w:rPr>
                <w:sz w:val="25"/>
                <w:szCs w:val="25"/>
              </w:rPr>
            </w:pPr>
            <w:r w:rsidRPr="00652981">
              <w:rPr>
                <w:sz w:val="25"/>
                <w:szCs w:val="25"/>
              </w:rPr>
              <w:t>)</w:t>
            </w:r>
          </w:p>
          <w:p w:rsidR="00150B1F" w:rsidRPr="00652981" w:rsidRDefault="00150B1F" w:rsidP="00150B1F">
            <w:pPr>
              <w:spacing w:line="264" w:lineRule="auto"/>
              <w:rPr>
                <w:sz w:val="25"/>
                <w:szCs w:val="25"/>
              </w:rPr>
            </w:pPr>
            <w:r w:rsidRPr="00652981">
              <w:rPr>
                <w:sz w:val="25"/>
                <w:szCs w:val="25"/>
              </w:rPr>
              <w:t>)</w:t>
            </w:r>
          </w:p>
          <w:p w:rsidR="00150B1F" w:rsidRPr="00652981" w:rsidRDefault="00150B1F" w:rsidP="00150B1F">
            <w:pPr>
              <w:spacing w:line="264" w:lineRule="auto"/>
              <w:rPr>
                <w:sz w:val="25"/>
                <w:szCs w:val="25"/>
              </w:rPr>
            </w:pPr>
            <w:r w:rsidRPr="00652981">
              <w:rPr>
                <w:sz w:val="25"/>
                <w:szCs w:val="25"/>
              </w:rPr>
              <w:t>)</w:t>
            </w:r>
          </w:p>
          <w:p w:rsidR="00150B1F" w:rsidRPr="00652981" w:rsidRDefault="00150B1F" w:rsidP="00150B1F">
            <w:pPr>
              <w:spacing w:line="264" w:lineRule="auto"/>
              <w:rPr>
                <w:sz w:val="25"/>
                <w:szCs w:val="25"/>
              </w:rPr>
            </w:pPr>
            <w:r w:rsidRPr="00652981">
              <w:rPr>
                <w:sz w:val="25"/>
                <w:szCs w:val="25"/>
              </w:rPr>
              <w:t>)</w:t>
            </w:r>
          </w:p>
          <w:p w:rsidR="00150B1F" w:rsidRPr="00652981" w:rsidRDefault="00150B1F" w:rsidP="00150B1F">
            <w:pPr>
              <w:spacing w:line="264" w:lineRule="auto"/>
              <w:rPr>
                <w:sz w:val="25"/>
                <w:szCs w:val="25"/>
              </w:rPr>
            </w:pPr>
            <w:r w:rsidRPr="00652981">
              <w:rPr>
                <w:sz w:val="25"/>
                <w:szCs w:val="25"/>
              </w:rPr>
              <w:t>)</w:t>
            </w:r>
          </w:p>
          <w:p w:rsidR="00150B1F" w:rsidRPr="00652981" w:rsidRDefault="00150B1F" w:rsidP="00150B1F">
            <w:pPr>
              <w:spacing w:line="264" w:lineRule="auto"/>
              <w:rPr>
                <w:sz w:val="25"/>
                <w:szCs w:val="25"/>
              </w:rPr>
            </w:pPr>
            <w:r w:rsidRPr="00652981">
              <w:rPr>
                <w:sz w:val="25"/>
                <w:szCs w:val="25"/>
              </w:rPr>
              <w:t>)</w:t>
            </w:r>
          </w:p>
          <w:p w:rsidR="00150B1F" w:rsidRPr="00652981" w:rsidRDefault="00150B1F" w:rsidP="00150B1F">
            <w:pPr>
              <w:spacing w:line="264" w:lineRule="auto"/>
              <w:rPr>
                <w:sz w:val="25"/>
                <w:szCs w:val="25"/>
              </w:rPr>
            </w:pPr>
            <w:r w:rsidRPr="00652981">
              <w:rPr>
                <w:sz w:val="25"/>
                <w:szCs w:val="25"/>
              </w:rPr>
              <w:t>)</w:t>
            </w:r>
          </w:p>
        </w:tc>
        <w:tc>
          <w:tcPr>
            <w:tcW w:w="4248" w:type="dxa"/>
          </w:tcPr>
          <w:p w:rsidR="00150B1F" w:rsidRPr="00652981" w:rsidRDefault="00150B1F" w:rsidP="00150B1F">
            <w:pPr>
              <w:spacing w:line="264" w:lineRule="auto"/>
              <w:rPr>
                <w:sz w:val="25"/>
                <w:szCs w:val="25"/>
              </w:rPr>
            </w:pPr>
            <w:r w:rsidRPr="00652981">
              <w:rPr>
                <w:sz w:val="25"/>
                <w:szCs w:val="25"/>
              </w:rPr>
              <w:t>DOCKET</w:t>
            </w:r>
            <w:r>
              <w:rPr>
                <w:sz w:val="25"/>
                <w:szCs w:val="25"/>
              </w:rPr>
              <w:t xml:space="preserve"> UT-132282</w:t>
            </w:r>
          </w:p>
          <w:p w:rsidR="00150B1F" w:rsidRPr="00652981" w:rsidRDefault="00150B1F" w:rsidP="00150B1F">
            <w:pPr>
              <w:spacing w:line="264" w:lineRule="auto"/>
              <w:rPr>
                <w:sz w:val="25"/>
                <w:szCs w:val="25"/>
              </w:rPr>
            </w:pPr>
          </w:p>
          <w:p w:rsidR="00150B1F" w:rsidRDefault="00150B1F" w:rsidP="00150B1F">
            <w:pPr>
              <w:spacing w:line="264" w:lineRule="auto"/>
              <w:rPr>
                <w:sz w:val="25"/>
                <w:szCs w:val="25"/>
              </w:rPr>
            </w:pPr>
            <w:r>
              <w:rPr>
                <w:sz w:val="25"/>
                <w:szCs w:val="25"/>
              </w:rPr>
              <w:t>ORDER</w:t>
            </w:r>
            <w:r w:rsidR="00561CA1">
              <w:rPr>
                <w:sz w:val="25"/>
                <w:szCs w:val="25"/>
              </w:rPr>
              <w:t xml:space="preserve"> 03</w:t>
            </w:r>
          </w:p>
          <w:p w:rsidR="000E1020" w:rsidRDefault="000E1020" w:rsidP="00150B1F">
            <w:pPr>
              <w:spacing w:line="264" w:lineRule="auto"/>
              <w:rPr>
                <w:sz w:val="25"/>
                <w:szCs w:val="25"/>
              </w:rPr>
            </w:pPr>
          </w:p>
          <w:p w:rsidR="00150B1F" w:rsidRPr="00652981" w:rsidRDefault="00561CA1" w:rsidP="00150B1F">
            <w:pPr>
              <w:spacing w:line="264" w:lineRule="auto"/>
              <w:rPr>
                <w:sz w:val="25"/>
                <w:szCs w:val="25"/>
              </w:rPr>
            </w:pPr>
            <w:r>
              <w:rPr>
                <w:sz w:val="25"/>
                <w:szCs w:val="25"/>
              </w:rPr>
              <w:t>INITIAL ORDER GRANTING PETITION</w:t>
            </w:r>
          </w:p>
        </w:tc>
      </w:tr>
    </w:tbl>
    <w:p w:rsidR="005711E5" w:rsidRPr="00892A0D" w:rsidRDefault="005711E5">
      <w:pPr>
        <w:pStyle w:val="Header"/>
        <w:tabs>
          <w:tab w:val="clear" w:pos="4320"/>
          <w:tab w:val="clear" w:pos="8640"/>
        </w:tabs>
        <w:rPr>
          <w:sz w:val="25"/>
          <w:szCs w:val="25"/>
        </w:rPr>
        <w:sectPr w:rsidR="005711E5" w:rsidRPr="00892A0D">
          <w:headerReference w:type="default" r:id="rId9"/>
          <w:headerReference w:type="first" r:id="rId10"/>
          <w:pgSz w:w="12240" w:h="15840"/>
          <w:pgMar w:top="1440" w:right="1440" w:bottom="1440" w:left="2160" w:header="720" w:footer="720" w:gutter="0"/>
          <w:cols w:space="720"/>
          <w:titlePg/>
          <w:docGrid w:linePitch="360"/>
        </w:sectPr>
      </w:pPr>
    </w:p>
    <w:p w:rsidR="00E548AD" w:rsidRDefault="00E548AD" w:rsidP="00892A0D">
      <w:pPr>
        <w:rPr>
          <w:sz w:val="25"/>
          <w:szCs w:val="25"/>
        </w:rPr>
      </w:pPr>
    </w:p>
    <w:p w:rsidR="001C5C92" w:rsidRPr="00675876" w:rsidRDefault="00675876" w:rsidP="00675876">
      <w:pPr>
        <w:spacing w:after="240"/>
        <w:jc w:val="center"/>
        <w:rPr>
          <w:b/>
          <w:sz w:val="25"/>
          <w:szCs w:val="25"/>
        </w:rPr>
      </w:pPr>
      <w:r w:rsidRPr="00675876">
        <w:rPr>
          <w:b/>
          <w:sz w:val="25"/>
          <w:szCs w:val="25"/>
        </w:rPr>
        <w:t>BACKGROUND</w:t>
      </w:r>
    </w:p>
    <w:p w:rsidR="00150B1F" w:rsidRDefault="004059E6" w:rsidP="00150B1F">
      <w:pPr>
        <w:numPr>
          <w:ilvl w:val="0"/>
          <w:numId w:val="2"/>
        </w:numPr>
        <w:spacing w:line="288" w:lineRule="auto"/>
        <w:rPr>
          <w:sz w:val="25"/>
          <w:szCs w:val="25"/>
        </w:rPr>
      </w:pPr>
      <w:r w:rsidRPr="002B02ED">
        <w:rPr>
          <w:sz w:val="25"/>
          <w:szCs w:val="25"/>
        </w:rPr>
        <w:t xml:space="preserve">On </w:t>
      </w:r>
      <w:r w:rsidR="00150B1F">
        <w:rPr>
          <w:sz w:val="25"/>
          <w:szCs w:val="25"/>
        </w:rPr>
        <w:t>December 13</w:t>
      </w:r>
      <w:r w:rsidRPr="002B02ED">
        <w:rPr>
          <w:sz w:val="25"/>
          <w:szCs w:val="25"/>
        </w:rPr>
        <w:t>, 201</w:t>
      </w:r>
      <w:r w:rsidR="000F6A61" w:rsidRPr="002B02ED">
        <w:rPr>
          <w:sz w:val="25"/>
          <w:szCs w:val="25"/>
        </w:rPr>
        <w:t>3</w:t>
      </w:r>
      <w:r w:rsidRPr="002B02ED">
        <w:rPr>
          <w:sz w:val="25"/>
          <w:szCs w:val="25"/>
        </w:rPr>
        <w:t xml:space="preserve">, </w:t>
      </w:r>
      <w:r w:rsidR="00150B1F" w:rsidRPr="00150B1F">
        <w:rPr>
          <w:bCs/>
          <w:sz w:val="25"/>
          <w:szCs w:val="25"/>
        </w:rPr>
        <w:t xml:space="preserve">Qwest Corporation d/b/a CenturyLink QC (CenturyLink) </w:t>
      </w:r>
      <w:r w:rsidR="00150B1F" w:rsidRPr="00150B1F">
        <w:rPr>
          <w:sz w:val="25"/>
          <w:szCs w:val="25"/>
        </w:rPr>
        <w:t xml:space="preserve">filed with the Washington Utilities and Transportation Commission (Commission) a petition </w:t>
      </w:r>
      <w:r w:rsidR="00AC2EEE">
        <w:rPr>
          <w:sz w:val="25"/>
          <w:szCs w:val="25"/>
        </w:rPr>
        <w:t xml:space="preserve">(Petition) </w:t>
      </w:r>
      <w:r w:rsidR="00150B1F" w:rsidRPr="00150B1F">
        <w:rPr>
          <w:sz w:val="25"/>
          <w:szCs w:val="25"/>
        </w:rPr>
        <w:t>request</w:t>
      </w:r>
      <w:r w:rsidR="00561CA1">
        <w:rPr>
          <w:sz w:val="25"/>
          <w:szCs w:val="25"/>
        </w:rPr>
        <w:t>ing</w:t>
      </w:r>
      <w:r w:rsidR="00150B1F" w:rsidRPr="00150B1F">
        <w:rPr>
          <w:sz w:val="25"/>
          <w:szCs w:val="25"/>
        </w:rPr>
        <w:t xml:space="preserve"> the Commission approve the addition of CenturyLink’s Yakima Chestnut wire center to </w:t>
      </w:r>
      <w:r w:rsidR="00521418">
        <w:rPr>
          <w:sz w:val="25"/>
          <w:szCs w:val="25"/>
        </w:rPr>
        <w:t>CenturyLink’s</w:t>
      </w:r>
      <w:r w:rsidR="00150B1F" w:rsidRPr="00150B1F">
        <w:rPr>
          <w:sz w:val="25"/>
          <w:szCs w:val="25"/>
        </w:rPr>
        <w:t xml:space="preserve"> </w:t>
      </w:r>
      <w:r w:rsidR="00561CA1">
        <w:rPr>
          <w:sz w:val="25"/>
          <w:szCs w:val="25"/>
        </w:rPr>
        <w:t xml:space="preserve">list of </w:t>
      </w:r>
      <w:r w:rsidR="00150B1F" w:rsidRPr="00150B1F">
        <w:rPr>
          <w:sz w:val="25"/>
          <w:szCs w:val="25"/>
        </w:rPr>
        <w:t>non-impaired wire center</w:t>
      </w:r>
      <w:r w:rsidR="00561CA1">
        <w:rPr>
          <w:sz w:val="25"/>
          <w:szCs w:val="25"/>
        </w:rPr>
        <w:t>s</w:t>
      </w:r>
      <w:r w:rsidR="00150B1F" w:rsidRPr="00150B1F">
        <w:rPr>
          <w:sz w:val="25"/>
          <w:szCs w:val="25"/>
        </w:rPr>
        <w:t xml:space="preserve"> in accordance with the F</w:t>
      </w:r>
      <w:r w:rsidR="000E1020">
        <w:rPr>
          <w:sz w:val="25"/>
          <w:szCs w:val="25"/>
        </w:rPr>
        <w:t xml:space="preserve">ederal </w:t>
      </w:r>
      <w:r w:rsidR="00150B1F" w:rsidRPr="00150B1F">
        <w:rPr>
          <w:sz w:val="25"/>
          <w:szCs w:val="25"/>
        </w:rPr>
        <w:t>C</w:t>
      </w:r>
      <w:r w:rsidR="000E1020">
        <w:rPr>
          <w:sz w:val="25"/>
          <w:szCs w:val="25"/>
        </w:rPr>
        <w:t xml:space="preserve">ommunication </w:t>
      </w:r>
      <w:r w:rsidR="00150B1F" w:rsidRPr="00150B1F">
        <w:rPr>
          <w:sz w:val="25"/>
          <w:szCs w:val="25"/>
        </w:rPr>
        <w:t>C</w:t>
      </w:r>
      <w:r w:rsidR="000E1020">
        <w:rPr>
          <w:sz w:val="25"/>
          <w:szCs w:val="25"/>
        </w:rPr>
        <w:t>ommission</w:t>
      </w:r>
      <w:r w:rsidR="00150B1F" w:rsidRPr="00150B1F">
        <w:rPr>
          <w:sz w:val="25"/>
          <w:szCs w:val="25"/>
        </w:rPr>
        <w:t xml:space="preserve">’s </w:t>
      </w:r>
      <w:r w:rsidR="00561CA1">
        <w:rPr>
          <w:sz w:val="25"/>
          <w:szCs w:val="25"/>
        </w:rPr>
        <w:t xml:space="preserve">(FCC’s) </w:t>
      </w:r>
      <w:r w:rsidR="00150B1F" w:rsidRPr="00150B1F">
        <w:rPr>
          <w:sz w:val="25"/>
          <w:szCs w:val="25"/>
        </w:rPr>
        <w:t>Triennial Review Remand Order</w:t>
      </w:r>
      <w:r w:rsidR="00561CA1">
        <w:rPr>
          <w:sz w:val="25"/>
          <w:szCs w:val="25"/>
        </w:rPr>
        <w:t xml:space="preserve"> (TRRO)</w:t>
      </w:r>
      <w:r w:rsidR="00150B1F" w:rsidRPr="00150B1F">
        <w:rPr>
          <w:sz w:val="25"/>
          <w:szCs w:val="25"/>
        </w:rPr>
        <w:t xml:space="preserve">.  </w:t>
      </w:r>
    </w:p>
    <w:p w:rsidR="00DE545F" w:rsidRDefault="00DE545F" w:rsidP="00DE545F">
      <w:pPr>
        <w:spacing w:line="288" w:lineRule="auto"/>
        <w:rPr>
          <w:sz w:val="25"/>
          <w:szCs w:val="25"/>
        </w:rPr>
      </w:pPr>
    </w:p>
    <w:p w:rsidR="004059E6" w:rsidRDefault="004059E6" w:rsidP="00AC2EEE">
      <w:pPr>
        <w:numPr>
          <w:ilvl w:val="0"/>
          <w:numId w:val="2"/>
        </w:numPr>
        <w:spacing w:after="240" w:line="288" w:lineRule="auto"/>
        <w:rPr>
          <w:sz w:val="25"/>
          <w:szCs w:val="25"/>
        </w:rPr>
      </w:pPr>
      <w:r w:rsidRPr="00F05768">
        <w:rPr>
          <w:sz w:val="25"/>
          <w:szCs w:val="25"/>
        </w:rPr>
        <w:t xml:space="preserve">The Commission convened a prehearing conference on January </w:t>
      </w:r>
      <w:r w:rsidR="00B0790B" w:rsidRPr="00F05768">
        <w:rPr>
          <w:sz w:val="25"/>
          <w:szCs w:val="25"/>
        </w:rPr>
        <w:t>22</w:t>
      </w:r>
      <w:r w:rsidRPr="00F05768">
        <w:rPr>
          <w:sz w:val="25"/>
          <w:szCs w:val="25"/>
        </w:rPr>
        <w:t>, 201</w:t>
      </w:r>
      <w:r w:rsidR="004661ED" w:rsidRPr="00F05768">
        <w:rPr>
          <w:sz w:val="25"/>
          <w:szCs w:val="25"/>
        </w:rPr>
        <w:t>4</w:t>
      </w:r>
      <w:r w:rsidR="00AC2EEE">
        <w:rPr>
          <w:sz w:val="25"/>
          <w:szCs w:val="25"/>
        </w:rPr>
        <w:t>, at which the Commission adopted a preliminary procedural schedule, requiring Commission regulatory staff (Staff)</w:t>
      </w:r>
      <w:r w:rsidR="00AC2EEE">
        <w:rPr>
          <w:rStyle w:val="FootnoteReference"/>
          <w:sz w:val="25"/>
          <w:szCs w:val="25"/>
        </w:rPr>
        <w:footnoteReference w:id="1"/>
      </w:r>
      <w:r w:rsidR="00AC2EEE">
        <w:rPr>
          <w:sz w:val="25"/>
          <w:szCs w:val="25"/>
        </w:rPr>
        <w:t xml:space="preserve"> and intervenor Integra Telecom (Integra) to file any objections to the Petition by February 14, 2014</w:t>
      </w:r>
      <w:r w:rsidR="00F05768">
        <w:rPr>
          <w:sz w:val="25"/>
          <w:szCs w:val="25"/>
        </w:rPr>
        <w:t>.</w:t>
      </w:r>
    </w:p>
    <w:p w:rsidR="00F05768" w:rsidRPr="006312FD" w:rsidRDefault="00F15FB9" w:rsidP="006312FD">
      <w:pPr>
        <w:numPr>
          <w:ilvl w:val="0"/>
          <w:numId w:val="2"/>
        </w:numPr>
        <w:spacing w:after="240" w:line="288" w:lineRule="auto"/>
        <w:rPr>
          <w:sz w:val="25"/>
          <w:szCs w:val="25"/>
        </w:rPr>
      </w:pPr>
      <w:r>
        <w:rPr>
          <w:sz w:val="25"/>
          <w:szCs w:val="25"/>
        </w:rPr>
        <w:t>On February 12</w:t>
      </w:r>
      <w:r w:rsidR="00AC2EEE">
        <w:rPr>
          <w:sz w:val="25"/>
          <w:szCs w:val="25"/>
        </w:rPr>
        <w:t xml:space="preserve">, 2013, Staff filed a letter stating that it has no objections </w:t>
      </w:r>
      <w:r w:rsidR="00EC438B">
        <w:rPr>
          <w:sz w:val="25"/>
          <w:szCs w:val="25"/>
        </w:rPr>
        <w:t xml:space="preserve">related </w:t>
      </w:r>
      <w:r w:rsidR="00AC2EEE">
        <w:rPr>
          <w:sz w:val="25"/>
          <w:szCs w:val="25"/>
        </w:rPr>
        <w:t>to the Petition.  On February 14, 2013, Integra</w:t>
      </w:r>
      <w:r w:rsidR="004625FE">
        <w:rPr>
          <w:sz w:val="25"/>
          <w:szCs w:val="25"/>
        </w:rPr>
        <w:t xml:space="preserve"> filed comments in which it stated that based on its review and confirmation of the highly confidential data CenturyLink provided, Integra does not object to </w:t>
      </w:r>
      <w:r w:rsidR="00675876">
        <w:rPr>
          <w:sz w:val="25"/>
          <w:szCs w:val="25"/>
        </w:rPr>
        <w:t>classifying</w:t>
      </w:r>
      <w:r w:rsidR="004625FE">
        <w:rPr>
          <w:sz w:val="25"/>
          <w:szCs w:val="25"/>
        </w:rPr>
        <w:t xml:space="preserve"> the Yakima Chestnut wire center as a Tier 2 wire center.</w:t>
      </w:r>
    </w:p>
    <w:p w:rsidR="004059E6" w:rsidRDefault="00B0790B" w:rsidP="006312FD">
      <w:pPr>
        <w:numPr>
          <w:ilvl w:val="0"/>
          <w:numId w:val="2"/>
        </w:numPr>
        <w:spacing w:after="240" w:line="288" w:lineRule="auto"/>
        <w:rPr>
          <w:sz w:val="25"/>
          <w:szCs w:val="25"/>
        </w:rPr>
      </w:pPr>
      <w:r w:rsidRPr="0031548C">
        <w:rPr>
          <w:sz w:val="25"/>
          <w:szCs w:val="25"/>
        </w:rPr>
        <w:t>Lisa Anderl</w:t>
      </w:r>
      <w:r w:rsidR="00F342D5" w:rsidRPr="0031548C">
        <w:rPr>
          <w:sz w:val="25"/>
          <w:szCs w:val="25"/>
        </w:rPr>
        <w:t xml:space="preserve">, </w:t>
      </w:r>
      <w:r w:rsidRPr="0031548C">
        <w:rPr>
          <w:sz w:val="25"/>
          <w:szCs w:val="25"/>
        </w:rPr>
        <w:t xml:space="preserve">Senior Associate General Counsel, </w:t>
      </w:r>
      <w:r w:rsidR="00F7277C" w:rsidRPr="0031548C">
        <w:rPr>
          <w:sz w:val="25"/>
          <w:szCs w:val="25"/>
        </w:rPr>
        <w:t>Seattle</w:t>
      </w:r>
      <w:r w:rsidR="008A195B">
        <w:rPr>
          <w:sz w:val="25"/>
          <w:szCs w:val="25"/>
        </w:rPr>
        <w:t xml:space="preserve">, </w:t>
      </w:r>
      <w:r w:rsidR="001C37C8" w:rsidRPr="0031548C">
        <w:rPr>
          <w:sz w:val="25"/>
          <w:szCs w:val="25"/>
        </w:rPr>
        <w:t xml:space="preserve">represents </w:t>
      </w:r>
      <w:r w:rsidRPr="0031548C">
        <w:rPr>
          <w:sz w:val="25"/>
          <w:szCs w:val="25"/>
        </w:rPr>
        <w:t>CenturyLink</w:t>
      </w:r>
      <w:r w:rsidR="00F342D5" w:rsidRPr="0031548C">
        <w:rPr>
          <w:sz w:val="25"/>
          <w:szCs w:val="25"/>
        </w:rPr>
        <w:t xml:space="preserve">.  </w:t>
      </w:r>
      <w:r w:rsidRPr="0031548C">
        <w:rPr>
          <w:sz w:val="25"/>
          <w:szCs w:val="25"/>
        </w:rPr>
        <w:t>Jennifer Cameron-Rulkowski</w:t>
      </w:r>
      <w:r w:rsidR="004661ED" w:rsidRPr="0031548C">
        <w:rPr>
          <w:sz w:val="25"/>
          <w:szCs w:val="25"/>
        </w:rPr>
        <w:t xml:space="preserve">, </w:t>
      </w:r>
      <w:r w:rsidR="006D2993" w:rsidRPr="0031548C">
        <w:rPr>
          <w:sz w:val="25"/>
          <w:szCs w:val="25"/>
        </w:rPr>
        <w:t xml:space="preserve">Assistant Attorney General, </w:t>
      </w:r>
      <w:r w:rsidR="00A12760" w:rsidRPr="0031548C">
        <w:rPr>
          <w:sz w:val="25"/>
          <w:szCs w:val="25"/>
        </w:rPr>
        <w:t>Olympia,</w:t>
      </w:r>
      <w:r w:rsidR="008A195B">
        <w:rPr>
          <w:sz w:val="25"/>
          <w:szCs w:val="25"/>
        </w:rPr>
        <w:t xml:space="preserve"> </w:t>
      </w:r>
      <w:r w:rsidR="006D2993" w:rsidRPr="0031548C">
        <w:rPr>
          <w:sz w:val="25"/>
          <w:szCs w:val="25"/>
        </w:rPr>
        <w:t xml:space="preserve">represents </w:t>
      </w:r>
      <w:r w:rsidR="00AC2EEE">
        <w:rPr>
          <w:sz w:val="25"/>
          <w:szCs w:val="25"/>
        </w:rPr>
        <w:t>Staff</w:t>
      </w:r>
      <w:r w:rsidR="006D2993" w:rsidRPr="0031548C">
        <w:rPr>
          <w:sz w:val="25"/>
          <w:szCs w:val="25"/>
        </w:rPr>
        <w:t>.</w:t>
      </w:r>
      <w:r w:rsidR="00DC3D40" w:rsidRPr="0031548C">
        <w:rPr>
          <w:sz w:val="25"/>
          <w:szCs w:val="25"/>
        </w:rPr>
        <w:t xml:space="preserve"> </w:t>
      </w:r>
      <w:r w:rsidRPr="0031548C">
        <w:rPr>
          <w:sz w:val="25"/>
          <w:szCs w:val="25"/>
        </w:rPr>
        <w:t xml:space="preserve">Douglas Denney, Vice President, </w:t>
      </w:r>
      <w:r w:rsidR="00DF4015" w:rsidRPr="0031548C">
        <w:rPr>
          <w:sz w:val="25"/>
          <w:szCs w:val="25"/>
        </w:rPr>
        <w:t xml:space="preserve">Costs &amp; Policy, </w:t>
      </w:r>
      <w:r w:rsidR="0031548C" w:rsidRPr="0031548C">
        <w:rPr>
          <w:sz w:val="25"/>
          <w:szCs w:val="25"/>
        </w:rPr>
        <w:t xml:space="preserve">Portland, Oregon, </w:t>
      </w:r>
      <w:r w:rsidRPr="0031548C">
        <w:rPr>
          <w:sz w:val="25"/>
          <w:szCs w:val="25"/>
        </w:rPr>
        <w:t>rep</w:t>
      </w:r>
      <w:r w:rsidR="00AC2EEE">
        <w:rPr>
          <w:sz w:val="25"/>
          <w:szCs w:val="25"/>
        </w:rPr>
        <w:t>resents Integra</w:t>
      </w:r>
      <w:r w:rsidR="0031548C">
        <w:rPr>
          <w:sz w:val="25"/>
          <w:szCs w:val="25"/>
        </w:rPr>
        <w:t>.</w:t>
      </w:r>
    </w:p>
    <w:p w:rsidR="004625FE" w:rsidRPr="004625FE" w:rsidRDefault="004625FE" w:rsidP="004625FE">
      <w:pPr>
        <w:spacing w:after="240" w:line="264" w:lineRule="auto"/>
        <w:jc w:val="center"/>
        <w:rPr>
          <w:b/>
          <w:color w:val="000000"/>
          <w:sz w:val="25"/>
          <w:szCs w:val="25"/>
        </w:rPr>
      </w:pPr>
      <w:r w:rsidRPr="004625FE">
        <w:rPr>
          <w:b/>
          <w:color w:val="000000"/>
          <w:sz w:val="25"/>
          <w:szCs w:val="25"/>
        </w:rPr>
        <w:lastRenderedPageBreak/>
        <w:t>DISCUSSION</w:t>
      </w:r>
    </w:p>
    <w:p w:rsidR="004059E6" w:rsidRPr="006312FD" w:rsidRDefault="006945C3" w:rsidP="00F16874">
      <w:pPr>
        <w:numPr>
          <w:ilvl w:val="0"/>
          <w:numId w:val="2"/>
        </w:numPr>
        <w:spacing w:after="240" w:line="288" w:lineRule="auto"/>
        <w:rPr>
          <w:color w:val="000000"/>
          <w:sz w:val="25"/>
          <w:szCs w:val="25"/>
        </w:rPr>
      </w:pPr>
      <w:r>
        <w:rPr>
          <w:sz w:val="25"/>
          <w:szCs w:val="25"/>
        </w:rPr>
        <w:t>The FCC’</w:t>
      </w:r>
      <w:r w:rsidR="006312FD">
        <w:rPr>
          <w:sz w:val="25"/>
          <w:szCs w:val="25"/>
        </w:rPr>
        <w:t>s TRRO established</w:t>
      </w:r>
      <w:r>
        <w:rPr>
          <w:sz w:val="25"/>
          <w:szCs w:val="25"/>
        </w:rPr>
        <w:t xml:space="preserve"> criteria for determining when an incumbent local exchange carrier (ILEC), such as CenturyLink, may be relieved of its obligation to provide certain unbundled network elements (UNEs) in designated wire centers.  In wire centers classified as Tier 2, the ILEC is not required to provide UNE dark fiber transport</w:t>
      </w:r>
      <w:r w:rsidR="00521418">
        <w:rPr>
          <w:sz w:val="25"/>
          <w:szCs w:val="25"/>
        </w:rPr>
        <w:t xml:space="preserve"> or</w:t>
      </w:r>
      <w:r>
        <w:rPr>
          <w:sz w:val="25"/>
          <w:szCs w:val="25"/>
        </w:rPr>
        <w:t xml:space="preserve"> </w:t>
      </w:r>
      <w:r w:rsidR="005935E8">
        <w:rPr>
          <w:sz w:val="25"/>
          <w:szCs w:val="25"/>
        </w:rPr>
        <w:t xml:space="preserve">UNE </w:t>
      </w:r>
      <w:r>
        <w:rPr>
          <w:sz w:val="25"/>
          <w:szCs w:val="25"/>
        </w:rPr>
        <w:t xml:space="preserve">DS3 transport between that wire center and another wire center </w:t>
      </w:r>
      <w:r w:rsidR="00851E9B">
        <w:rPr>
          <w:sz w:val="25"/>
          <w:szCs w:val="25"/>
        </w:rPr>
        <w:t xml:space="preserve">that is </w:t>
      </w:r>
      <w:r>
        <w:rPr>
          <w:sz w:val="25"/>
          <w:szCs w:val="25"/>
        </w:rPr>
        <w:t>classified as either Tier 1 or Tier 2</w:t>
      </w:r>
      <w:r w:rsidR="008A195B">
        <w:rPr>
          <w:sz w:val="25"/>
          <w:szCs w:val="25"/>
        </w:rPr>
        <w:t>.</w:t>
      </w:r>
      <w:r>
        <w:rPr>
          <w:sz w:val="25"/>
          <w:szCs w:val="25"/>
        </w:rPr>
        <w:t xml:space="preserve">  </w:t>
      </w:r>
      <w:r w:rsidR="006312FD">
        <w:rPr>
          <w:sz w:val="25"/>
          <w:szCs w:val="25"/>
        </w:rPr>
        <w:t xml:space="preserve">A </w:t>
      </w:r>
      <w:r w:rsidR="00F16874">
        <w:rPr>
          <w:sz w:val="25"/>
          <w:szCs w:val="25"/>
        </w:rPr>
        <w:t xml:space="preserve">Tier 2 </w:t>
      </w:r>
      <w:r w:rsidR="006312FD">
        <w:rPr>
          <w:sz w:val="25"/>
          <w:szCs w:val="25"/>
        </w:rPr>
        <w:t xml:space="preserve">wire center </w:t>
      </w:r>
      <w:r w:rsidR="00330D1E">
        <w:rPr>
          <w:sz w:val="25"/>
          <w:szCs w:val="25"/>
        </w:rPr>
        <w:t xml:space="preserve">is not a Tier 1 wire center and </w:t>
      </w:r>
      <w:r w:rsidR="006312FD">
        <w:rPr>
          <w:sz w:val="25"/>
          <w:szCs w:val="25"/>
        </w:rPr>
        <w:t xml:space="preserve">contains </w:t>
      </w:r>
      <w:r w:rsidR="00E81C0C">
        <w:rPr>
          <w:sz w:val="25"/>
          <w:szCs w:val="25"/>
        </w:rPr>
        <w:t xml:space="preserve">at least </w:t>
      </w:r>
      <w:r w:rsidR="006312FD">
        <w:rPr>
          <w:sz w:val="25"/>
          <w:szCs w:val="25"/>
        </w:rPr>
        <w:t xml:space="preserve">three </w:t>
      </w:r>
      <w:r w:rsidR="00F16874">
        <w:rPr>
          <w:sz w:val="25"/>
          <w:szCs w:val="25"/>
        </w:rPr>
        <w:t>fiber-based collocat</w:t>
      </w:r>
      <w:r w:rsidR="006312FD">
        <w:rPr>
          <w:sz w:val="25"/>
          <w:szCs w:val="25"/>
        </w:rPr>
        <w:t xml:space="preserve">ors or serves </w:t>
      </w:r>
      <w:r w:rsidR="00E81C0C">
        <w:rPr>
          <w:sz w:val="25"/>
          <w:szCs w:val="25"/>
        </w:rPr>
        <w:t xml:space="preserve">at least </w:t>
      </w:r>
      <w:r w:rsidR="006312FD">
        <w:rPr>
          <w:sz w:val="25"/>
          <w:szCs w:val="25"/>
        </w:rPr>
        <w:t>24,000 business lines, or both</w:t>
      </w:r>
      <w:r w:rsidR="00F16874">
        <w:rPr>
          <w:sz w:val="25"/>
          <w:szCs w:val="25"/>
        </w:rPr>
        <w:t>.</w:t>
      </w:r>
      <w:r w:rsidR="00330D1E" w:rsidRPr="00330D1E">
        <w:rPr>
          <w:sz w:val="25"/>
          <w:szCs w:val="25"/>
        </w:rPr>
        <w:t xml:space="preserve"> </w:t>
      </w:r>
      <w:r w:rsidR="00330D1E">
        <w:rPr>
          <w:sz w:val="25"/>
          <w:szCs w:val="25"/>
        </w:rPr>
        <w:t xml:space="preserve"> A Tier 1 wire center contains at least four fiber-based collocators or serves at least 38,000 business lines, or both.</w:t>
      </w:r>
      <w:r w:rsidR="006312FD">
        <w:rPr>
          <w:rStyle w:val="FootnoteReference"/>
          <w:sz w:val="25"/>
          <w:szCs w:val="25"/>
        </w:rPr>
        <w:footnoteReference w:id="2"/>
      </w:r>
    </w:p>
    <w:p w:rsidR="006312FD" w:rsidRPr="00464C0F" w:rsidRDefault="006312FD" w:rsidP="00F16874">
      <w:pPr>
        <w:numPr>
          <w:ilvl w:val="0"/>
          <w:numId w:val="2"/>
        </w:numPr>
        <w:spacing w:after="240" w:line="288" w:lineRule="auto"/>
        <w:rPr>
          <w:color w:val="000000"/>
          <w:sz w:val="25"/>
          <w:szCs w:val="25"/>
        </w:rPr>
      </w:pPr>
      <w:r>
        <w:rPr>
          <w:sz w:val="25"/>
          <w:szCs w:val="25"/>
        </w:rPr>
        <w:t xml:space="preserve">CenturyLink presented evidence that its Yakima Chestnut wire center </w:t>
      </w:r>
      <w:r w:rsidR="00521418">
        <w:rPr>
          <w:sz w:val="25"/>
          <w:szCs w:val="25"/>
        </w:rPr>
        <w:t>satisfies the FCC’s criteria for classification as a Tier 2 wire center</w:t>
      </w:r>
      <w:r>
        <w:rPr>
          <w:sz w:val="25"/>
          <w:szCs w:val="25"/>
        </w:rPr>
        <w:t>.  Neither Staff nor Integra dispute</w:t>
      </w:r>
      <w:r w:rsidR="00330D1E">
        <w:rPr>
          <w:sz w:val="25"/>
          <w:szCs w:val="25"/>
        </w:rPr>
        <w:t>s</w:t>
      </w:r>
      <w:r>
        <w:rPr>
          <w:sz w:val="25"/>
          <w:szCs w:val="25"/>
        </w:rPr>
        <w:t xml:space="preserve"> this evidence or otherwise object</w:t>
      </w:r>
      <w:r w:rsidR="00330D1E">
        <w:rPr>
          <w:sz w:val="25"/>
          <w:szCs w:val="25"/>
        </w:rPr>
        <w:t>s</w:t>
      </w:r>
      <w:r>
        <w:rPr>
          <w:sz w:val="25"/>
          <w:szCs w:val="25"/>
        </w:rPr>
        <w:t xml:space="preserve"> to </w:t>
      </w:r>
      <w:r w:rsidR="00521418">
        <w:rPr>
          <w:sz w:val="25"/>
          <w:szCs w:val="25"/>
        </w:rPr>
        <w:t xml:space="preserve">the requested </w:t>
      </w:r>
      <w:r>
        <w:rPr>
          <w:sz w:val="25"/>
          <w:szCs w:val="25"/>
        </w:rPr>
        <w:t>classif</w:t>
      </w:r>
      <w:r w:rsidR="00521418">
        <w:rPr>
          <w:sz w:val="25"/>
          <w:szCs w:val="25"/>
        </w:rPr>
        <w:t>ication</w:t>
      </w:r>
      <w:r w:rsidR="00851E9B">
        <w:rPr>
          <w:sz w:val="25"/>
          <w:szCs w:val="25"/>
        </w:rPr>
        <w:t>.  Accordingly, the Yakima Chestnut wire center is entitled to be classified as a Tier 2 wire center.</w:t>
      </w:r>
    </w:p>
    <w:p w:rsidR="00464C0F" w:rsidRPr="00464C0F" w:rsidRDefault="00464C0F" w:rsidP="00464C0F">
      <w:pPr>
        <w:spacing w:after="240" w:line="264" w:lineRule="auto"/>
        <w:jc w:val="center"/>
        <w:rPr>
          <w:b/>
          <w:color w:val="000000"/>
          <w:sz w:val="25"/>
          <w:szCs w:val="25"/>
        </w:rPr>
      </w:pPr>
      <w:r>
        <w:rPr>
          <w:b/>
          <w:sz w:val="25"/>
          <w:szCs w:val="25"/>
        </w:rPr>
        <w:t>ORDER</w:t>
      </w:r>
    </w:p>
    <w:p w:rsidR="00464C0F" w:rsidRPr="00464C0F" w:rsidRDefault="00464C0F" w:rsidP="00464C0F">
      <w:pPr>
        <w:numPr>
          <w:ilvl w:val="0"/>
          <w:numId w:val="2"/>
        </w:numPr>
        <w:spacing w:after="240" w:line="288" w:lineRule="auto"/>
        <w:rPr>
          <w:color w:val="000000"/>
          <w:sz w:val="25"/>
          <w:szCs w:val="25"/>
        </w:rPr>
      </w:pPr>
      <w:r>
        <w:rPr>
          <w:sz w:val="25"/>
          <w:szCs w:val="25"/>
        </w:rPr>
        <w:t>THE COMMISSION ORDERS that</w:t>
      </w:r>
      <w:r w:rsidRPr="00A47549">
        <w:rPr>
          <w:sz w:val="25"/>
          <w:szCs w:val="25"/>
        </w:rPr>
        <w:t xml:space="preserve"> </w:t>
      </w:r>
      <w:r>
        <w:rPr>
          <w:sz w:val="25"/>
          <w:szCs w:val="25"/>
        </w:rPr>
        <w:t xml:space="preserve">the petition of </w:t>
      </w:r>
      <w:r w:rsidRPr="00150B1F">
        <w:rPr>
          <w:bCs/>
          <w:sz w:val="25"/>
          <w:szCs w:val="25"/>
        </w:rPr>
        <w:t xml:space="preserve">Qwest Corporation d/b/a CenturyLink QC </w:t>
      </w:r>
      <w:r>
        <w:rPr>
          <w:bCs/>
          <w:sz w:val="25"/>
          <w:szCs w:val="25"/>
        </w:rPr>
        <w:t>for</w:t>
      </w:r>
      <w:r w:rsidRPr="00150B1F">
        <w:rPr>
          <w:sz w:val="25"/>
          <w:szCs w:val="25"/>
        </w:rPr>
        <w:t xml:space="preserve"> approv</w:t>
      </w:r>
      <w:r>
        <w:rPr>
          <w:sz w:val="25"/>
          <w:szCs w:val="25"/>
        </w:rPr>
        <w:t xml:space="preserve">al of </w:t>
      </w:r>
      <w:r w:rsidRPr="00150B1F">
        <w:rPr>
          <w:sz w:val="25"/>
          <w:szCs w:val="25"/>
        </w:rPr>
        <w:t xml:space="preserve">the addition of CenturyLink’s Yakima Chestnut wire center to its </w:t>
      </w:r>
      <w:r>
        <w:rPr>
          <w:sz w:val="25"/>
          <w:szCs w:val="25"/>
        </w:rPr>
        <w:t xml:space="preserve">list of </w:t>
      </w:r>
      <w:r w:rsidRPr="00150B1F">
        <w:rPr>
          <w:sz w:val="25"/>
          <w:szCs w:val="25"/>
        </w:rPr>
        <w:t>non-impaired wire center</w:t>
      </w:r>
      <w:r>
        <w:rPr>
          <w:sz w:val="25"/>
          <w:szCs w:val="25"/>
        </w:rPr>
        <w:t>s</w:t>
      </w:r>
      <w:r w:rsidRPr="00150B1F">
        <w:rPr>
          <w:sz w:val="25"/>
          <w:szCs w:val="25"/>
        </w:rPr>
        <w:t xml:space="preserve"> </w:t>
      </w:r>
      <w:r>
        <w:rPr>
          <w:sz w:val="25"/>
          <w:szCs w:val="25"/>
        </w:rPr>
        <w:t xml:space="preserve">as a Tier 2 wire center </w:t>
      </w:r>
      <w:r w:rsidRPr="00150B1F">
        <w:rPr>
          <w:sz w:val="25"/>
          <w:szCs w:val="25"/>
        </w:rPr>
        <w:t>in accordance with the F</w:t>
      </w:r>
      <w:r>
        <w:rPr>
          <w:sz w:val="25"/>
          <w:szCs w:val="25"/>
        </w:rPr>
        <w:t xml:space="preserve">ederal </w:t>
      </w:r>
      <w:r w:rsidRPr="00150B1F">
        <w:rPr>
          <w:sz w:val="25"/>
          <w:szCs w:val="25"/>
        </w:rPr>
        <w:t>C</w:t>
      </w:r>
      <w:r>
        <w:rPr>
          <w:sz w:val="25"/>
          <w:szCs w:val="25"/>
        </w:rPr>
        <w:t xml:space="preserve">ommunication </w:t>
      </w:r>
      <w:r w:rsidRPr="00150B1F">
        <w:rPr>
          <w:sz w:val="25"/>
          <w:szCs w:val="25"/>
        </w:rPr>
        <w:t>C</w:t>
      </w:r>
      <w:r>
        <w:rPr>
          <w:sz w:val="25"/>
          <w:szCs w:val="25"/>
        </w:rPr>
        <w:t>ommission</w:t>
      </w:r>
      <w:r w:rsidRPr="00150B1F">
        <w:rPr>
          <w:sz w:val="25"/>
          <w:szCs w:val="25"/>
        </w:rPr>
        <w:t>’s Triennial Review Remand Order</w:t>
      </w:r>
      <w:r>
        <w:rPr>
          <w:sz w:val="25"/>
          <w:szCs w:val="25"/>
        </w:rPr>
        <w:t xml:space="preserve"> is GRANTED, and the Commission approves that addition.</w:t>
      </w:r>
    </w:p>
    <w:p w:rsidR="004059E6" w:rsidRPr="00DA5DBB" w:rsidRDefault="004059E6" w:rsidP="004059E6">
      <w:pPr>
        <w:spacing w:line="288" w:lineRule="auto"/>
        <w:rPr>
          <w:sz w:val="25"/>
          <w:szCs w:val="25"/>
        </w:rPr>
      </w:pPr>
      <w:r w:rsidRPr="00DA5DBB">
        <w:rPr>
          <w:sz w:val="25"/>
          <w:szCs w:val="25"/>
        </w:rPr>
        <w:t xml:space="preserve">Dated at Olympia, Washington, and effective </w:t>
      </w:r>
      <w:r w:rsidR="00AC2EEE">
        <w:rPr>
          <w:sz w:val="25"/>
          <w:szCs w:val="25"/>
        </w:rPr>
        <w:t>February</w:t>
      </w:r>
      <w:r w:rsidR="00781A64">
        <w:rPr>
          <w:sz w:val="25"/>
          <w:szCs w:val="25"/>
        </w:rPr>
        <w:t xml:space="preserve"> </w:t>
      </w:r>
      <w:r w:rsidR="00851E9B">
        <w:rPr>
          <w:sz w:val="25"/>
          <w:szCs w:val="25"/>
        </w:rPr>
        <w:t>2</w:t>
      </w:r>
      <w:r w:rsidR="007B787F">
        <w:rPr>
          <w:sz w:val="25"/>
          <w:szCs w:val="25"/>
        </w:rPr>
        <w:t>0</w:t>
      </w:r>
      <w:r w:rsidR="00614AA9">
        <w:rPr>
          <w:sz w:val="25"/>
          <w:szCs w:val="25"/>
        </w:rPr>
        <w:t>, 2014</w:t>
      </w:r>
      <w:r w:rsidRPr="00DA5DBB">
        <w:rPr>
          <w:sz w:val="25"/>
          <w:szCs w:val="25"/>
        </w:rPr>
        <w:t>.</w:t>
      </w:r>
    </w:p>
    <w:p w:rsidR="004059E6" w:rsidRPr="00DA5DBB" w:rsidRDefault="004059E6" w:rsidP="004059E6">
      <w:pPr>
        <w:pStyle w:val="Header"/>
        <w:tabs>
          <w:tab w:val="clear" w:pos="4320"/>
          <w:tab w:val="clear" w:pos="8640"/>
        </w:tabs>
        <w:spacing w:line="288" w:lineRule="auto"/>
        <w:rPr>
          <w:sz w:val="25"/>
          <w:szCs w:val="25"/>
        </w:rPr>
      </w:pPr>
    </w:p>
    <w:p w:rsidR="004059E6" w:rsidRPr="00DA5DBB" w:rsidRDefault="004059E6" w:rsidP="004059E6">
      <w:pPr>
        <w:spacing w:line="288" w:lineRule="auto"/>
        <w:jc w:val="center"/>
        <w:rPr>
          <w:sz w:val="25"/>
          <w:szCs w:val="25"/>
        </w:rPr>
      </w:pPr>
      <w:r w:rsidRPr="00DA5DBB">
        <w:rPr>
          <w:sz w:val="25"/>
          <w:szCs w:val="25"/>
        </w:rPr>
        <w:t>WASHINGTON UTILITIES AND TRANSPORTATION COMMISSION</w:t>
      </w:r>
    </w:p>
    <w:p w:rsidR="004059E6" w:rsidRPr="00DA5DBB" w:rsidRDefault="004059E6" w:rsidP="004059E6">
      <w:pPr>
        <w:spacing w:line="288" w:lineRule="auto"/>
        <w:rPr>
          <w:sz w:val="25"/>
          <w:szCs w:val="25"/>
        </w:rPr>
      </w:pPr>
    </w:p>
    <w:p w:rsidR="004059E6" w:rsidRDefault="004059E6" w:rsidP="004059E6">
      <w:pPr>
        <w:spacing w:line="288" w:lineRule="auto"/>
        <w:rPr>
          <w:sz w:val="25"/>
          <w:szCs w:val="25"/>
        </w:rPr>
      </w:pPr>
    </w:p>
    <w:p w:rsidR="00024CD1" w:rsidRDefault="00024CD1" w:rsidP="004059E6">
      <w:pPr>
        <w:spacing w:line="288" w:lineRule="auto"/>
        <w:rPr>
          <w:sz w:val="25"/>
          <w:szCs w:val="25"/>
        </w:rPr>
      </w:pPr>
    </w:p>
    <w:p w:rsidR="00024CD1" w:rsidRPr="00024CD1" w:rsidRDefault="00AC2EEE" w:rsidP="00024CD1">
      <w:pPr>
        <w:spacing w:line="288" w:lineRule="auto"/>
        <w:ind w:left="3600" w:firstLine="720"/>
        <w:rPr>
          <w:sz w:val="25"/>
          <w:szCs w:val="25"/>
        </w:rPr>
      </w:pPr>
      <w:r>
        <w:rPr>
          <w:sz w:val="25"/>
          <w:szCs w:val="25"/>
        </w:rPr>
        <w:t>GREGORY J. KOPTA</w:t>
      </w:r>
    </w:p>
    <w:p w:rsidR="00DA664A" w:rsidRDefault="00024CD1" w:rsidP="00024CD1">
      <w:pPr>
        <w:spacing w:line="288" w:lineRule="auto"/>
        <w:rPr>
          <w:sz w:val="25"/>
          <w:szCs w:val="25"/>
        </w:rPr>
      </w:pPr>
      <w:r w:rsidRPr="00024CD1">
        <w:rPr>
          <w:sz w:val="25"/>
          <w:szCs w:val="25"/>
        </w:rPr>
        <w:tab/>
      </w:r>
      <w:r w:rsidRPr="00024CD1">
        <w:rPr>
          <w:sz w:val="25"/>
          <w:szCs w:val="25"/>
        </w:rPr>
        <w:tab/>
      </w:r>
      <w:r w:rsidRPr="00024CD1">
        <w:rPr>
          <w:sz w:val="25"/>
          <w:szCs w:val="25"/>
        </w:rPr>
        <w:tab/>
      </w:r>
      <w:r w:rsidRPr="00024CD1">
        <w:rPr>
          <w:sz w:val="25"/>
          <w:szCs w:val="25"/>
        </w:rPr>
        <w:tab/>
      </w:r>
      <w:r w:rsidRPr="00024CD1">
        <w:rPr>
          <w:sz w:val="25"/>
          <w:szCs w:val="25"/>
        </w:rPr>
        <w:tab/>
      </w:r>
      <w:r w:rsidRPr="00024CD1">
        <w:rPr>
          <w:sz w:val="25"/>
          <w:szCs w:val="25"/>
        </w:rPr>
        <w:tab/>
        <w:t>Administrative Law Judge</w:t>
      </w:r>
    </w:p>
    <w:p w:rsidR="00824062" w:rsidRDefault="00824062">
      <w:pPr>
        <w:rPr>
          <w:sz w:val="25"/>
          <w:szCs w:val="25"/>
        </w:rPr>
      </w:pPr>
      <w:r>
        <w:rPr>
          <w:sz w:val="25"/>
          <w:szCs w:val="25"/>
        </w:rPr>
        <w:br w:type="page"/>
      </w:r>
    </w:p>
    <w:p w:rsidR="00824062" w:rsidRPr="0010104C" w:rsidRDefault="00824062" w:rsidP="00824062">
      <w:pPr>
        <w:spacing w:line="288" w:lineRule="auto"/>
        <w:rPr>
          <w:sz w:val="25"/>
          <w:szCs w:val="25"/>
        </w:rPr>
      </w:pPr>
      <w:r w:rsidRPr="0010104C">
        <w:rPr>
          <w:b/>
          <w:sz w:val="25"/>
          <w:szCs w:val="25"/>
        </w:rPr>
        <w:lastRenderedPageBreak/>
        <w:t>NOTICE TO THE PARTIES</w:t>
      </w:r>
    </w:p>
    <w:p w:rsidR="00824062" w:rsidRPr="005E1EF6" w:rsidRDefault="00824062" w:rsidP="00824062">
      <w:pPr>
        <w:spacing w:line="288" w:lineRule="auto"/>
        <w:rPr>
          <w:sz w:val="16"/>
          <w:szCs w:val="16"/>
        </w:rPr>
      </w:pPr>
    </w:p>
    <w:p w:rsidR="00824062" w:rsidRDefault="00824062" w:rsidP="00824062">
      <w:pPr>
        <w:spacing w:line="288" w:lineRule="auto"/>
        <w:rPr>
          <w:sz w:val="25"/>
          <w:szCs w:val="25"/>
        </w:rPr>
      </w:pPr>
      <w:r w:rsidRPr="0010104C">
        <w:rPr>
          <w:sz w:val="25"/>
          <w:szCs w:val="25"/>
        </w:rPr>
        <w:t xml:space="preserve">This is an </w:t>
      </w:r>
      <w:r>
        <w:rPr>
          <w:sz w:val="25"/>
          <w:szCs w:val="25"/>
        </w:rPr>
        <w:t>I</w:t>
      </w:r>
      <w:r w:rsidRPr="0010104C">
        <w:rPr>
          <w:sz w:val="25"/>
          <w:szCs w:val="25"/>
        </w:rPr>
        <w:t xml:space="preserve">nitial </w:t>
      </w:r>
      <w:r>
        <w:rPr>
          <w:sz w:val="25"/>
          <w:szCs w:val="25"/>
        </w:rPr>
        <w:t>O</w:t>
      </w:r>
      <w:r w:rsidRPr="0010104C">
        <w:rPr>
          <w:sz w:val="25"/>
          <w:szCs w:val="25"/>
        </w:rPr>
        <w:t xml:space="preserve">rder.  The action proposed in this </w:t>
      </w:r>
      <w:r>
        <w:rPr>
          <w:sz w:val="25"/>
          <w:szCs w:val="25"/>
        </w:rPr>
        <w:t>i</w:t>
      </w:r>
      <w:r w:rsidRPr="0010104C">
        <w:rPr>
          <w:sz w:val="25"/>
          <w:szCs w:val="25"/>
        </w:rPr>
        <w:t xml:space="preserve">nitial </w:t>
      </w:r>
      <w:r>
        <w:rPr>
          <w:sz w:val="25"/>
          <w:szCs w:val="25"/>
        </w:rPr>
        <w:t>o</w:t>
      </w:r>
      <w:r w:rsidRPr="0010104C">
        <w:rPr>
          <w:sz w:val="25"/>
          <w:szCs w:val="25"/>
        </w:rPr>
        <w:t xml:space="preserve">rder is not yet effective.  If you disagree with this </w:t>
      </w:r>
      <w:r>
        <w:rPr>
          <w:sz w:val="25"/>
          <w:szCs w:val="25"/>
        </w:rPr>
        <w:t>I</w:t>
      </w:r>
      <w:r w:rsidRPr="0010104C">
        <w:rPr>
          <w:sz w:val="25"/>
          <w:szCs w:val="25"/>
        </w:rPr>
        <w:t xml:space="preserve">nitial </w:t>
      </w:r>
      <w:r>
        <w:rPr>
          <w:sz w:val="25"/>
          <w:szCs w:val="25"/>
        </w:rPr>
        <w:t>O</w:t>
      </w:r>
      <w:r w:rsidRPr="0010104C">
        <w:rPr>
          <w:sz w:val="25"/>
          <w:szCs w:val="25"/>
        </w:rPr>
        <w:t xml:space="preserve">rder and want the Commission to consider your comments, you must take specific action within the time limits outlined below.  If you agree with this </w:t>
      </w:r>
      <w:r>
        <w:rPr>
          <w:sz w:val="25"/>
          <w:szCs w:val="25"/>
        </w:rPr>
        <w:t>In</w:t>
      </w:r>
      <w:r w:rsidRPr="0010104C">
        <w:rPr>
          <w:sz w:val="25"/>
          <w:szCs w:val="25"/>
        </w:rPr>
        <w:t xml:space="preserve">itial </w:t>
      </w:r>
      <w:r>
        <w:rPr>
          <w:sz w:val="25"/>
          <w:szCs w:val="25"/>
        </w:rPr>
        <w:t>O</w:t>
      </w:r>
      <w:r w:rsidRPr="0010104C">
        <w:rPr>
          <w:sz w:val="25"/>
          <w:szCs w:val="25"/>
        </w:rPr>
        <w:t xml:space="preserve">rder and would like </w:t>
      </w:r>
      <w:r>
        <w:rPr>
          <w:sz w:val="25"/>
          <w:szCs w:val="25"/>
        </w:rPr>
        <w:t>it</w:t>
      </w:r>
      <w:r w:rsidRPr="0010104C">
        <w:rPr>
          <w:sz w:val="25"/>
          <w:szCs w:val="25"/>
        </w:rPr>
        <w:t xml:space="preserve"> to become </w:t>
      </w:r>
      <w:r>
        <w:rPr>
          <w:sz w:val="25"/>
          <w:szCs w:val="25"/>
        </w:rPr>
        <w:t>f</w:t>
      </w:r>
      <w:r w:rsidRPr="0010104C">
        <w:rPr>
          <w:sz w:val="25"/>
          <w:szCs w:val="25"/>
        </w:rPr>
        <w:t xml:space="preserve">inal </w:t>
      </w:r>
      <w:r>
        <w:rPr>
          <w:sz w:val="25"/>
          <w:szCs w:val="25"/>
        </w:rPr>
        <w:t>before</w:t>
      </w:r>
      <w:r w:rsidRPr="0010104C">
        <w:rPr>
          <w:sz w:val="25"/>
          <w:szCs w:val="25"/>
        </w:rPr>
        <w:t xml:space="preserve"> the time limits expire, you may send a letter to the Commission, waiving </w:t>
      </w:r>
      <w:r>
        <w:rPr>
          <w:sz w:val="25"/>
          <w:szCs w:val="25"/>
        </w:rPr>
        <w:t>your right to petition for administrative review.</w:t>
      </w:r>
    </w:p>
    <w:p w:rsidR="00824062" w:rsidRPr="005E1EF6" w:rsidRDefault="00824062" w:rsidP="00824062">
      <w:pPr>
        <w:spacing w:line="288" w:lineRule="auto"/>
        <w:rPr>
          <w:sz w:val="16"/>
          <w:szCs w:val="16"/>
        </w:rPr>
      </w:pPr>
    </w:p>
    <w:p w:rsidR="00824062" w:rsidRPr="0010104C" w:rsidRDefault="00824062" w:rsidP="00824062">
      <w:pPr>
        <w:spacing w:line="288" w:lineRule="auto"/>
        <w:rPr>
          <w:sz w:val="25"/>
          <w:szCs w:val="25"/>
        </w:rPr>
      </w:pPr>
      <w:r w:rsidRPr="0010104C">
        <w:rPr>
          <w:sz w:val="25"/>
          <w:szCs w:val="25"/>
        </w:rPr>
        <w:t xml:space="preserve">WAC 480-07-825(2) provides that any party to this proceeding has twenty (20) days after the entry of this </w:t>
      </w:r>
      <w:r>
        <w:rPr>
          <w:sz w:val="25"/>
          <w:szCs w:val="25"/>
        </w:rPr>
        <w:t>I</w:t>
      </w:r>
      <w:r w:rsidRPr="0010104C">
        <w:rPr>
          <w:sz w:val="25"/>
          <w:szCs w:val="25"/>
        </w:rPr>
        <w:t xml:space="preserve">nitial </w:t>
      </w:r>
      <w:r>
        <w:rPr>
          <w:sz w:val="25"/>
          <w:szCs w:val="25"/>
        </w:rPr>
        <w:t>O</w:t>
      </w:r>
      <w:r w:rsidRPr="0010104C">
        <w:rPr>
          <w:sz w:val="25"/>
          <w:szCs w:val="25"/>
        </w:rPr>
        <w:t xml:space="preserve">rder to file a </w:t>
      </w:r>
      <w:r w:rsidRPr="00323E30">
        <w:rPr>
          <w:sz w:val="25"/>
          <w:szCs w:val="25"/>
        </w:rPr>
        <w:t>Petition for Administrative Review</w:t>
      </w:r>
      <w:r>
        <w:rPr>
          <w:sz w:val="25"/>
          <w:szCs w:val="25"/>
        </w:rPr>
        <w:t xml:space="preserve"> (Petition)</w:t>
      </w:r>
      <w:r w:rsidRPr="0010104C">
        <w:rPr>
          <w:sz w:val="25"/>
          <w:szCs w:val="25"/>
        </w:rPr>
        <w:t xml:space="preserve">.  </w:t>
      </w:r>
      <w:r>
        <w:rPr>
          <w:sz w:val="25"/>
          <w:szCs w:val="25"/>
        </w:rPr>
        <w:t>Section (3) of the rule identifies what you must</w:t>
      </w:r>
      <w:r w:rsidRPr="0010104C">
        <w:rPr>
          <w:sz w:val="25"/>
          <w:szCs w:val="25"/>
        </w:rPr>
        <w:t xml:space="preserve"> include in any </w:t>
      </w:r>
      <w:r>
        <w:rPr>
          <w:sz w:val="25"/>
          <w:szCs w:val="25"/>
        </w:rPr>
        <w:t>P</w:t>
      </w:r>
      <w:r w:rsidRPr="0010104C">
        <w:rPr>
          <w:sz w:val="25"/>
          <w:szCs w:val="25"/>
        </w:rPr>
        <w:t xml:space="preserve">etition </w:t>
      </w:r>
      <w:r>
        <w:rPr>
          <w:sz w:val="25"/>
          <w:szCs w:val="25"/>
        </w:rPr>
        <w:t>as well as</w:t>
      </w:r>
      <w:r w:rsidRPr="0010104C">
        <w:rPr>
          <w:sz w:val="25"/>
          <w:szCs w:val="25"/>
        </w:rPr>
        <w:t xml:space="preserve"> other requirements for a </w:t>
      </w:r>
      <w:r>
        <w:rPr>
          <w:sz w:val="25"/>
          <w:szCs w:val="25"/>
        </w:rPr>
        <w:t>P</w:t>
      </w:r>
      <w:r w:rsidRPr="0010104C">
        <w:rPr>
          <w:sz w:val="25"/>
          <w:szCs w:val="25"/>
        </w:rPr>
        <w:t>etition</w:t>
      </w:r>
      <w:r>
        <w:rPr>
          <w:sz w:val="25"/>
          <w:szCs w:val="25"/>
        </w:rPr>
        <w:t>.</w:t>
      </w:r>
      <w:r w:rsidRPr="0010104C">
        <w:rPr>
          <w:sz w:val="25"/>
          <w:szCs w:val="25"/>
        </w:rPr>
        <w:t xml:space="preserve">  WAC 480-07-825(4) states that any party may file an </w:t>
      </w:r>
      <w:r w:rsidRPr="00323E30">
        <w:rPr>
          <w:sz w:val="25"/>
          <w:szCs w:val="25"/>
        </w:rPr>
        <w:t>Answer</w:t>
      </w:r>
      <w:r w:rsidRPr="0010104C">
        <w:rPr>
          <w:sz w:val="25"/>
          <w:szCs w:val="25"/>
        </w:rPr>
        <w:t xml:space="preserve"> to a Petition </w:t>
      </w:r>
      <w:r>
        <w:rPr>
          <w:sz w:val="25"/>
          <w:szCs w:val="25"/>
        </w:rPr>
        <w:t>(Answer)</w:t>
      </w:r>
      <w:r w:rsidRPr="0010104C">
        <w:rPr>
          <w:sz w:val="25"/>
          <w:szCs w:val="25"/>
        </w:rPr>
        <w:t xml:space="preserve"> within (10) days after service of the </w:t>
      </w:r>
      <w:r>
        <w:rPr>
          <w:sz w:val="25"/>
          <w:szCs w:val="25"/>
        </w:rPr>
        <w:t>P</w:t>
      </w:r>
      <w:r w:rsidRPr="0010104C">
        <w:rPr>
          <w:sz w:val="25"/>
          <w:szCs w:val="25"/>
        </w:rPr>
        <w:t>etition.</w:t>
      </w:r>
    </w:p>
    <w:p w:rsidR="00824062" w:rsidRPr="005E1EF6" w:rsidRDefault="00824062" w:rsidP="00824062">
      <w:pPr>
        <w:spacing w:line="288" w:lineRule="auto"/>
        <w:rPr>
          <w:sz w:val="16"/>
          <w:szCs w:val="16"/>
        </w:rPr>
      </w:pPr>
    </w:p>
    <w:p w:rsidR="00824062" w:rsidRPr="0010104C" w:rsidRDefault="00824062" w:rsidP="00824062">
      <w:pPr>
        <w:spacing w:line="288" w:lineRule="auto"/>
        <w:rPr>
          <w:sz w:val="25"/>
          <w:szCs w:val="25"/>
        </w:rPr>
      </w:pPr>
      <w:r w:rsidRPr="0010104C">
        <w:rPr>
          <w:sz w:val="25"/>
          <w:szCs w:val="25"/>
        </w:rPr>
        <w:t xml:space="preserve">WAC 480-07-830 </w:t>
      </w:r>
      <w:r>
        <w:rPr>
          <w:sz w:val="25"/>
          <w:szCs w:val="25"/>
        </w:rPr>
        <w:t>states</w:t>
      </w:r>
      <w:r w:rsidRPr="0010104C">
        <w:rPr>
          <w:sz w:val="25"/>
          <w:szCs w:val="25"/>
        </w:rPr>
        <w:t xml:space="preserve"> that before </w:t>
      </w:r>
      <w:r>
        <w:rPr>
          <w:sz w:val="25"/>
          <w:szCs w:val="25"/>
        </w:rPr>
        <w:t>the Commission enters</w:t>
      </w:r>
      <w:r w:rsidRPr="0010104C">
        <w:rPr>
          <w:sz w:val="25"/>
          <w:szCs w:val="25"/>
        </w:rPr>
        <w:t xml:space="preserve"> a </w:t>
      </w:r>
      <w:r>
        <w:rPr>
          <w:sz w:val="25"/>
          <w:szCs w:val="25"/>
        </w:rPr>
        <w:t>f</w:t>
      </w:r>
      <w:r w:rsidRPr="0010104C">
        <w:rPr>
          <w:sz w:val="25"/>
          <w:szCs w:val="25"/>
        </w:rPr>
        <w:t xml:space="preserve">inal </w:t>
      </w:r>
      <w:r>
        <w:rPr>
          <w:sz w:val="25"/>
          <w:szCs w:val="25"/>
        </w:rPr>
        <w:t>o</w:t>
      </w:r>
      <w:r w:rsidRPr="0010104C">
        <w:rPr>
          <w:sz w:val="25"/>
          <w:szCs w:val="25"/>
        </w:rPr>
        <w:t xml:space="preserve">rder any party may file a </w:t>
      </w:r>
      <w:r>
        <w:rPr>
          <w:sz w:val="25"/>
          <w:szCs w:val="25"/>
        </w:rPr>
        <w:t>p</w:t>
      </w:r>
      <w:r w:rsidRPr="0010104C">
        <w:rPr>
          <w:sz w:val="25"/>
          <w:szCs w:val="25"/>
        </w:rPr>
        <w:t xml:space="preserve">etition to </w:t>
      </w:r>
      <w:r>
        <w:rPr>
          <w:sz w:val="25"/>
          <w:szCs w:val="25"/>
        </w:rPr>
        <w:t>r</w:t>
      </w:r>
      <w:r w:rsidRPr="0010104C">
        <w:rPr>
          <w:sz w:val="25"/>
          <w:szCs w:val="25"/>
        </w:rPr>
        <w:t xml:space="preserve">eopen a contested proceeding to permit receipt of evidence essential to a decision, but unavailable and not reasonably discoverable at the time of hearing, or for other good and sufficient cause.  </w:t>
      </w:r>
      <w:r>
        <w:rPr>
          <w:sz w:val="25"/>
          <w:szCs w:val="25"/>
        </w:rPr>
        <w:t>The Commission will not accept answers to</w:t>
      </w:r>
      <w:r w:rsidRPr="0010104C">
        <w:rPr>
          <w:sz w:val="25"/>
          <w:szCs w:val="25"/>
        </w:rPr>
        <w:t xml:space="preserve"> </w:t>
      </w:r>
      <w:r>
        <w:rPr>
          <w:sz w:val="25"/>
          <w:szCs w:val="25"/>
        </w:rPr>
        <w:t xml:space="preserve">such </w:t>
      </w:r>
      <w:r w:rsidRPr="0010104C">
        <w:rPr>
          <w:sz w:val="25"/>
          <w:szCs w:val="25"/>
        </w:rPr>
        <w:t xml:space="preserve">a </w:t>
      </w:r>
      <w:r>
        <w:rPr>
          <w:sz w:val="25"/>
          <w:szCs w:val="25"/>
        </w:rPr>
        <w:t>p</w:t>
      </w:r>
      <w:r w:rsidRPr="0010104C">
        <w:rPr>
          <w:sz w:val="25"/>
          <w:szCs w:val="25"/>
        </w:rPr>
        <w:t xml:space="preserve">etition </w:t>
      </w:r>
      <w:r>
        <w:rPr>
          <w:sz w:val="25"/>
          <w:szCs w:val="25"/>
        </w:rPr>
        <w:t xml:space="preserve">unless </w:t>
      </w:r>
      <w:r w:rsidRPr="0010104C">
        <w:rPr>
          <w:sz w:val="25"/>
          <w:szCs w:val="25"/>
        </w:rPr>
        <w:t xml:space="preserve">the Commission </w:t>
      </w:r>
      <w:r>
        <w:rPr>
          <w:sz w:val="25"/>
          <w:szCs w:val="25"/>
        </w:rPr>
        <w:t xml:space="preserve">requests </w:t>
      </w:r>
      <w:r w:rsidRPr="0010104C">
        <w:rPr>
          <w:sz w:val="25"/>
          <w:szCs w:val="25"/>
        </w:rPr>
        <w:t>answer</w:t>
      </w:r>
      <w:r>
        <w:rPr>
          <w:sz w:val="25"/>
          <w:szCs w:val="25"/>
        </w:rPr>
        <w:t>s by written notice</w:t>
      </w:r>
      <w:r w:rsidRPr="0010104C">
        <w:rPr>
          <w:sz w:val="25"/>
          <w:szCs w:val="25"/>
        </w:rPr>
        <w:t>.</w:t>
      </w:r>
    </w:p>
    <w:p w:rsidR="00824062" w:rsidRPr="005E1EF6" w:rsidRDefault="00824062" w:rsidP="00824062">
      <w:pPr>
        <w:spacing w:line="288" w:lineRule="auto"/>
        <w:rPr>
          <w:sz w:val="16"/>
          <w:szCs w:val="16"/>
        </w:rPr>
      </w:pPr>
    </w:p>
    <w:p w:rsidR="00824062" w:rsidRPr="0010104C" w:rsidRDefault="00824062" w:rsidP="00824062">
      <w:pPr>
        <w:spacing w:line="288" w:lineRule="auto"/>
        <w:rPr>
          <w:sz w:val="25"/>
          <w:szCs w:val="25"/>
        </w:rPr>
      </w:pPr>
      <w:r w:rsidRPr="0010104C">
        <w:rPr>
          <w:sz w:val="25"/>
          <w:szCs w:val="25"/>
        </w:rPr>
        <w:t xml:space="preserve">RCW 80.01.060(3) provides that an </w:t>
      </w:r>
      <w:r>
        <w:rPr>
          <w:sz w:val="25"/>
          <w:szCs w:val="25"/>
        </w:rPr>
        <w:t>I</w:t>
      </w:r>
      <w:r w:rsidRPr="0010104C">
        <w:rPr>
          <w:sz w:val="25"/>
          <w:szCs w:val="25"/>
        </w:rPr>
        <w:t xml:space="preserve">nitial </w:t>
      </w:r>
      <w:r>
        <w:rPr>
          <w:sz w:val="25"/>
          <w:szCs w:val="25"/>
        </w:rPr>
        <w:t>O</w:t>
      </w:r>
      <w:r w:rsidRPr="0010104C">
        <w:rPr>
          <w:sz w:val="25"/>
          <w:szCs w:val="25"/>
        </w:rPr>
        <w:t xml:space="preserve">rder will become final without further Commission action if no party seeks administrative review of the </w:t>
      </w:r>
      <w:r>
        <w:rPr>
          <w:sz w:val="25"/>
          <w:szCs w:val="25"/>
        </w:rPr>
        <w:t>I</w:t>
      </w:r>
      <w:r w:rsidRPr="0010104C">
        <w:rPr>
          <w:sz w:val="25"/>
          <w:szCs w:val="25"/>
        </w:rPr>
        <w:t xml:space="preserve">nitial </w:t>
      </w:r>
      <w:r>
        <w:rPr>
          <w:sz w:val="25"/>
          <w:szCs w:val="25"/>
        </w:rPr>
        <w:t>O</w:t>
      </w:r>
      <w:r w:rsidRPr="0010104C">
        <w:rPr>
          <w:sz w:val="25"/>
          <w:szCs w:val="25"/>
        </w:rPr>
        <w:t xml:space="preserve">rder and if the Commission </w:t>
      </w:r>
      <w:r>
        <w:rPr>
          <w:sz w:val="25"/>
          <w:szCs w:val="25"/>
        </w:rPr>
        <w:t>does not</w:t>
      </w:r>
      <w:r w:rsidRPr="0010104C">
        <w:rPr>
          <w:sz w:val="25"/>
          <w:szCs w:val="25"/>
        </w:rPr>
        <w:t xml:space="preserve"> exercise administrative review on its own motion.  You will be notified if this order becomes final</w:t>
      </w:r>
      <w:r>
        <w:rPr>
          <w:sz w:val="25"/>
          <w:szCs w:val="25"/>
        </w:rPr>
        <w:t xml:space="preserve"> either by operation of law or on administrative review</w:t>
      </w:r>
      <w:r w:rsidRPr="0010104C">
        <w:rPr>
          <w:sz w:val="25"/>
          <w:szCs w:val="25"/>
        </w:rPr>
        <w:t>.</w:t>
      </w:r>
    </w:p>
    <w:p w:rsidR="00824062" w:rsidRPr="005E1EF6" w:rsidRDefault="00824062" w:rsidP="00824062">
      <w:pPr>
        <w:spacing w:line="288" w:lineRule="auto"/>
        <w:rPr>
          <w:sz w:val="16"/>
          <w:szCs w:val="16"/>
        </w:rPr>
      </w:pPr>
    </w:p>
    <w:p w:rsidR="00824062" w:rsidRPr="0010104C" w:rsidRDefault="00824062" w:rsidP="00824062">
      <w:pPr>
        <w:spacing w:line="288" w:lineRule="auto"/>
        <w:rPr>
          <w:sz w:val="25"/>
          <w:szCs w:val="25"/>
        </w:rPr>
      </w:pPr>
      <w:r>
        <w:rPr>
          <w:sz w:val="25"/>
          <w:szCs w:val="25"/>
        </w:rPr>
        <w:t>You must serve on each party of record o</w:t>
      </w:r>
      <w:r w:rsidRPr="0010104C">
        <w:rPr>
          <w:sz w:val="25"/>
          <w:szCs w:val="25"/>
        </w:rPr>
        <w:t xml:space="preserve">ne copy of any Petition or Answer filed </w:t>
      </w:r>
      <w:r>
        <w:rPr>
          <w:sz w:val="25"/>
          <w:szCs w:val="25"/>
        </w:rPr>
        <w:t>with the Commission, including</w:t>
      </w:r>
      <w:r w:rsidRPr="0010104C">
        <w:rPr>
          <w:sz w:val="25"/>
          <w:szCs w:val="25"/>
        </w:rPr>
        <w:t xml:space="preserve"> proof of service as required by WAC 480-07-150(8) and (9).  </w:t>
      </w:r>
      <w:r>
        <w:rPr>
          <w:sz w:val="25"/>
          <w:szCs w:val="25"/>
        </w:rPr>
        <w:t>To file a Petition or Answer with the Commission, you must file an</w:t>
      </w:r>
      <w:r w:rsidRPr="0010104C">
        <w:rPr>
          <w:sz w:val="25"/>
          <w:szCs w:val="25"/>
        </w:rPr>
        <w:t xml:space="preserve"> </w:t>
      </w:r>
      <w:r>
        <w:rPr>
          <w:sz w:val="25"/>
          <w:szCs w:val="25"/>
        </w:rPr>
        <w:t>o</w:t>
      </w:r>
      <w:r w:rsidRPr="0010104C">
        <w:rPr>
          <w:sz w:val="25"/>
          <w:szCs w:val="25"/>
        </w:rPr>
        <w:t xml:space="preserve">riginal and </w:t>
      </w:r>
      <w:r>
        <w:rPr>
          <w:sz w:val="25"/>
          <w:szCs w:val="25"/>
        </w:rPr>
        <w:t>one (1)</w:t>
      </w:r>
      <w:r w:rsidRPr="009D6492">
        <w:rPr>
          <w:b/>
          <w:sz w:val="25"/>
          <w:szCs w:val="25"/>
        </w:rPr>
        <w:t xml:space="preserve"> </w:t>
      </w:r>
      <w:r w:rsidRPr="0010104C">
        <w:rPr>
          <w:sz w:val="25"/>
          <w:szCs w:val="25"/>
        </w:rPr>
        <w:t>cop</w:t>
      </w:r>
      <w:r w:rsidR="00E548AD">
        <w:rPr>
          <w:sz w:val="25"/>
          <w:szCs w:val="25"/>
        </w:rPr>
        <w:t>y</w:t>
      </w:r>
      <w:r w:rsidRPr="0010104C">
        <w:rPr>
          <w:sz w:val="25"/>
          <w:szCs w:val="25"/>
        </w:rPr>
        <w:t xml:space="preserve"> of </w:t>
      </w:r>
      <w:r>
        <w:rPr>
          <w:sz w:val="25"/>
          <w:szCs w:val="25"/>
        </w:rPr>
        <w:t>your</w:t>
      </w:r>
      <w:r w:rsidRPr="0010104C">
        <w:rPr>
          <w:sz w:val="25"/>
          <w:szCs w:val="25"/>
        </w:rPr>
        <w:t xml:space="preserve"> Petition or Answer by mail delivery to:</w:t>
      </w:r>
    </w:p>
    <w:p w:rsidR="00824062" w:rsidRPr="005E1EF6" w:rsidRDefault="00824062" w:rsidP="00824062">
      <w:pPr>
        <w:spacing w:line="288" w:lineRule="auto"/>
        <w:rPr>
          <w:sz w:val="18"/>
          <w:szCs w:val="18"/>
        </w:rPr>
      </w:pPr>
    </w:p>
    <w:p w:rsidR="00824062" w:rsidRPr="0010104C" w:rsidRDefault="00824062" w:rsidP="00824062">
      <w:pPr>
        <w:spacing w:line="288" w:lineRule="auto"/>
        <w:rPr>
          <w:sz w:val="25"/>
          <w:szCs w:val="25"/>
        </w:rPr>
      </w:pPr>
      <w:r w:rsidRPr="0010104C">
        <w:rPr>
          <w:sz w:val="25"/>
          <w:szCs w:val="25"/>
        </w:rPr>
        <w:t xml:space="preserve">Attn: </w:t>
      </w:r>
      <w:r>
        <w:rPr>
          <w:sz w:val="25"/>
          <w:szCs w:val="25"/>
        </w:rPr>
        <w:t xml:space="preserve">Steven V. King, </w:t>
      </w:r>
      <w:r w:rsidRPr="0010104C">
        <w:rPr>
          <w:sz w:val="25"/>
          <w:szCs w:val="25"/>
        </w:rPr>
        <w:t xml:space="preserve">Executive </w:t>
      </w:r>
      <w:r>
        <w:rPr>
          <w:sz w:val="25"/>
          <w:szCs w:val="25"/>
        </w:rPr>
        <w:t xml:space="preserve">Director and </w:t>
      </w:r>
      <w:r w:rsidRPr="0010104C">
        <w:rPr>
          <w:sz w:val="25"/>
          <w:szCs w:val="25"/>
        </w:rPr>
        <w:t>Secretary</w:t>
      </w:r>
    </w:p>
    <w:p w:rsidR="00824062" w:rsidRPr="0010104C" w:rsidRDefault="00824062" w:rsidP="00824062">
      <w:pPr>
        <w:spacing w:line="288" w:lineRule="auto"/>
        <w:rPr>
          <w:sz w:val="25"/>
          <w:szCs w:val="25"/>
        </w:rPr>
      </w:pPr>
      <w:smartTag w:uri="urn:schemas-microsoft-com:office:smarttags" w:element="place">
        <w:smartTag w:uri="urn:schemas-microsoft-com:office:smarttags" w:element="State">
          <w:r w:rsidRPr="0010104C">
            <w:rPr>
              <w:sz w:val="25"/>
              <w:szCs w:val="25"/>
            </w:rPr>
            <w:t>Washington</w:t>
          </w:r>
        </w:smartTag>
      </w:smartTag>
      <w:r w:rsidRPr="0010104C">
        <w:rPr>
          <w:sz w:val="25"/>
          <w:szCs w:val="25"/>
        </w:rPr>
        <w:t xml:space="preserve"> Utilities and Transportation Commission </w:t>
      </w:r>
    </w:p>
    <w:p w:rsidR="00824062" w:rsidRPr="0010104C" w:rsidRDefault="00824062" w:rsidP="00824062">
      <w:pPr>
        <w:spacing w:line="288" w:lineRule="auto"/>
        <w:rPr>
          <w:sz w:val="25"/>
          <w:szCs w:val="25"/>
        </w:rPr>
      </w:pPr>
      <w:smartTag w:uri="urn:schemas-microsoft-com:office:smarttags" w:element="address">
        <w:smartTag w:uri="urn:schemas-microsoft-com:office:smarttags" w:element="Street">
          <w:r w:rsidRPr="0010104C">
            <w:rPr>
              <w:sz w:val="25"/>
              <w:szCs w:val="25"/>
            </w:rPr>
            <w:t>P.O. Box</w:t>
          </w:r>
        </w:smartTag>
        <w:r w:rsidRPr="0010104C">
          <w:rPr>
            <w:sz w:val="25"/>
            <w:szCs w:val="25"/>
          </w:rPr>
          <w:t xml:space="preserve"> 47250</w:t>
        </w:r>
      </w:smartTag>
    </w:p>
    <w:p w:rsidR="00824062" w:rsidRPr="008C280D" w:rsidRDefault="00824062" w:rsidP="00824062">
      <w:pPr>
        <w:spacing w:line="288" w:lineRule="auto"/>
        <w:rPr>
          <w:b/>
          <w:sz w:val="25"/>
          <w:szCs w:val="25"/>
        </w:rPr>
      </w:pPr>
      <w:r w:rsidRPr="0010104C">
        <w:rPr>
          <w:sz w:val="25"/>
          <w:szCs w:val="25"/>
        </w:rPr>
        <w:t>Olympia, Washington  98504-7250</w:t>
      </w:r>
    </w:p>
    <w:p w:rsidR="00824062" w:rsidRDefault="00824062" w:rsidP="00024CD1">
      <w:pPr>
        <w:spacing w:line="288" w:lineRule="auto"/>
        <w:rPr>
          <w:sz w:val="25"/>
          <w:szCs w:val="25"/>
        </w:rPr>
      </w:pPr>
    </w:p>
    <w:sectPr w:rsidR="00824062" w:rsidSect="00CC64FE">
      <w:headerReference w:type="default" r:id="rId11"/>
      <w:type w:val="continuous"/>
      <w:pgSz w:w="12240" w:h="15840"/>
      <w:pgMar w:top="1440" w:right="1440" w:bottom="1440" w:left="2160" w:header="1440" w:footer="720" w:gutter="0"/>
      <w:cols w:space="0" w:equalWidth="0">
        <w:col w:w="9000" w:space="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739" w:rsidRDefault="000C7739">
      <w:r>
        <w:separator/>
      </w:r>
    </w:p>
  </w:endnote>
  <w:endnote w:type="continuationSeparator" w:id="0">
    <w:p w:rsidR="000C7739" w:rsidRDefault="000C7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739" w:rsidRDefault="000C7739">
      <w:r>
        <w:separator/>
      </w:r>
    </w:p>
  </w:footnote>
  <w:footnote w:type="continuationSeparator" w:id="0">
    <w:p w:rsidR="000C7739" w:rsidRDefault="000C7739">
      <w:r>
        <w:continuationSeparator/>
      </w:r>
    </w:p>
  </w:footnote>
  <w:footnote w:id="1">
    <w:p w:rsidR="00AC2EEE" w:rsidRDefault="00AC2EEE" w:rsidP="00AC2EEE">
      <w:pPr>
        <w:pStyle w:val="FootnoteText"/>
      </w:pPr>
      <w:r>
        <w:rPr>
          <w:rStyle w:val="FootnoteReference"/>
        </w:rPr>
        <w:footnoteRef/>
      </w:r>
      <w:r>
        <w:t xml:space="preserve"> In a formal proceeding</w:t>
      </w:r>
      <w:r w:rsidRPr="006D2993">
        <w:t xml:space="preserve">,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6D2993">
        <w:rPr>
          <w:i/>
        </w:rPr>
        <w:t>See</w:t>
      </w:r>
      <w:r w:rsidRPr="006D2993">
        <w:t xml:space="preserve"> RCW 34.05.455</w:t>
      </w:r>
      <w:r>
        <w:t>.</w:t>
      </w:r>
    </w:p>
  </w:footnote>
  <w:footnote w:id="2">
    <w:p w:rsidR="006312FD" w:rsidRDefault="006312FD">
      <w:pPr>
        <w:pStyle w:val="FootnoteText"/>
      </w:pPr>
      <w:r>
        <w:rPr>
          <w:rStyle w:val="FootnoteReference"/>
        </w:rPr>
        <w:footnoteRef/>
      </w:r>
      <w:r>
        <w:t xml:space="preserve"> 47 C.F.R. § 51.319(e).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07B" w:rsidRDefault="00B0607B">
    <w:pPr>
      <w:pStyle w:val="Header"/>
    </w:pPr>
    <w:r>
      <w:t>DOCKET NO</w:t>
    </w:r>
    <w:r>
      <w:rPr>
        <w:b/>
        <w:bCs/>
      </w:rPr>
      <w:t xml:space="preserve">. </w:t>
    </w:r>
    <w:r>
      <w:t>UW-</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07B" w:rsidRPr="004F3DA4" w:rsidRDefault="009A7325" w:rsidP="004F3DA4">
    <w:pPr>
      <w:pStyle w:val="Header"/>
      <w:jc w:val="right"/>
      <w:rPr>
        <w:b/>
        <w:sz w:val="20"/>
        <w:szCs w:val="20"/>
      </w:rPr>
    </w:pPr>
    <w:r>
      <w:rPr>
        <w:b/>
        <w:sz w:val="20"/>
        <w:szCs w:val="20"/>
      </w:rPr>
      <w:t>[Service Date February 20, 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07B" w:rsidRPr="00F523EC" w:rsidRDefault="00B0607B">
    <w:pPr>
      <w:pStyle w:val="Header"/>
      <w:rPr>
        <w:rStyle w:val="PageNumber"/>
        <w:b/>
        <w:bCs/>
        <w:sz w:val="20"/>
      </w:rPr>
    </w:pPr>
    <w:r>
      <w:rPr>
        <w:b/>
        <w:bCs/>
        <w:sz w:val="20"/>
      </w:rPr>
      <w:t>DOCKET UT-132282</w:t>
    </w:r>
    <w:r w:rsidRPr="00F523EC">
      <w:rPr>
        <w:b/>
        <w:bCs/>
        <w:sz w:val="20"/>
      </w:rPr>
      <w:tab/>
    </w:r>
    <w:r w:rsidRPr="00F523EC">
      <w:rPr>
        <w:b/>
        <w:bCs/>
        <w:sz w:val="20"/>
      </w:rPr>
      <w:tab/>
      <w:t xml:space="preserve">PAGE </w:t>
    </w:r>
    <w:r w:rsidRPr="00F523EC">
      <w:rPr>
        <w:rStyle w:val="PageNumber"/>
        <w:b/>
        <w:bCs/>
        <w:sz w:val="20"/>
      </w:rPr>
      <w:fldChar w:fldCharType="begin"/>
    </w:r>
    <w:r w:rsidRPr="00F523EC">
      <w:rPr>
        <w:rStyle w:val="PageNumber"/>
        <w:b/>
        <w:bCs/>
        <w:sz w:val="20"/>
      </w:rPr>
      <w:instrText xml:space="preserve"> PAGE </w:instrText>
    </w:r>
    <w:r w:rsidRPr="00F523EC">
      <w:rPr>
        <w:rStyle w:val="PageNumber"/>
        <w:b/>
        <w:bCs/>
        <w:sz w:val="20"/>
      </w:rPr>
      <w:fldChar w:fldCharType="separate"/>
    </w:r>
    <w:r w:rsidR="00C55C67">
      <w:rPr>
        <w:rStyle w:val="PageNumber"/>
        <w:b/>
        <w:bCs/>
        <w:noProof/>
        <w:sz w:val="20"/>
      </w:rPr>
      <w:t>2</w:t>
    </w:r>
    <w:r w:rsidRPr="00F523EC">
      <w:rPr>
        <w:rStyle w:val="PageNumber"/>
        <w:b/>
        <w:bCs/>
        <w:sz w:val="20"/>
      </w:rPr>
      <w:fldChar w:fldCharType="end"/>
    </w:r>
  </w:p>
  <w:p w:rsidR="00B0607B" w:rsidRPr="00F523EC" w:rsidRDefault="00B0607B">
    <w:pPr>
      <w:pStyle w:val="Header"/>
      <w:rPr>
        <w:rStyle w:val="PageNumber"/>
        <w:b/>
        <w:bCs/>
        <w:sz w:val="20"/>
      </w:rPr>
    </w:pPr>
    <w:r w:rsidRPr="00F523EC">
      <w:rPr>
        <w:rStyle w:val="PageNumber"/>
        <w:b/>
        <w:bCs/>
        <w:sz w:val="20"/>
      </w:rPr>
      <w:t>ORDER 0</w:t>
    </w:r>
    <w:r w:rsidR="00AC2EEE">
      <w:rPr>
        <w:rStyle w:val="PageNumber"/>
        <w:b/>
        <w:bCs/>
        <w:sz w:val="20"/>
      </w:rPr>
      <w:t>3</w:t>
    </w:r>
  </w:p>
  <w:p w:rsidR="00B0607B" w:rsidRPr="00F523EC" w:rsidRDefault="00B0607B" w:rsidP="007B4D08">
    <w:pPr>
      <w:pStyle w:val="Header"/>
      <w:ind w:left="-720"/>
      <w:rPr>
        <w:b/>
        <w:bC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C8E2B15"/>
    <w:multiLevelType w:val="hybridMultilevel"/>
    <w:tmpl w:val="6B2E5F6E"/>
    <w:lvl w:ilvl="0" w:tplc="0E2E59A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E063A0"/>
    <w:multiLevelType w:val="hybridMultilevel"/>
    <w:tmpl w:val="9B72CAE0"/>
    <w:lvl w:ilvl="0" w:tplc="A51478C6">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280986"/>
    <w:multiLevelType w:val="hybridMultilevel"/>
    <w:tmpl w:val="88747476"/>
    <w:lvl w:ilvl="0" w:tplc="8E1080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AA32DC"/>
    <w:multiLevelType w:val="hybridMultilevel"/>
    <w:tmpl w:val="08B429A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450"/>
        </w:tabs>
        <w:ind w:left="450" w:hanging="360"/>
      </w:pPr>
      <w:rPr>
        <w:rFonts w:ascii="Times New Roman" w:eastAsia="Times New Roman" w:hAnsi="Times New Roman" w:cs="Times New Roman"/>
      </w:rPr>
    </w:lvl>
    <w:lvl w:ilvl="2" w:tplc="39640320">
      <w:start w:val="1"/>
      <w:numFmt w:val="decimal"/>
      <w:lvlText w:val="%3."/>
      <w:lvlJc w:val="right"/>
      <w:pPr>
        <w:tabs>
          <w:tab w:val="num" w:pos="180"/>
        </w:tabs>
        <w:ind w:left="18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0F">
      <w:start w:val="1"/>
      <w:numFmt w:val="decimal"/>
      <w:lvlText w:val="%6."/>
      <w:lvlJc w:val="left"/>
      <w:pPr>
        <w:tabs>
          <w:tab w:val="num" w:pos="4500"/>
        </w:tabs>
        <w:ind w:left="4500" w:hanging="360"/>
      </w:pPr>
      <w:rPr>
        <w:rFonts w:hint="default"/>
        <w:i w:val="0"/>
      </w:rPr>
    </w:lvl>
    <w:lvl w:ilvl="6" w:tplc="9A8A3250">
      <w:start w:val="2"/>
      <w:numFmt w:val="lowerLetter"/>
      <w:lvlText w:val="%7."/>
      <w:lvlJc w:val="left"/>
      <w:pPr>
        <w:ind w:left="5040" w:hanging="360"/>
      </w:pPr>
      <w:rPr>
        <w:rFonts w:hint="default"/>
      </w:rPr>
    </w:lvl>
    <w:lvl w:ilvl="7" w:tplc="59E6484E">
      <w:start w:val="7"/>
      <w:numFmt w:val="bullet"/>
      <w:lvlText w:val=""/>
      <w:lvlJc w:val="left"/>
      <w:pPr>
        <w:ind w:left="5760" w:hanging="360"/>
      </w:pPr>
      <w:rPr>
        <w:rFonts w:ascii="Symbol" w:eastAsia="Times New Roman" w:hAnsi="Symbol" w:cs="Times New Roman" w:hint="default"/>
      </w:r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Moves/>
  <w:defaultTabStop w:val="720"/>
  <w:drawingGridHorizontalSpacing w:val="55"/>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A1B"/>
    <w:rsid w:val="00024BC5"/>
    <w:rsid w:val="00024CD1"/>
    <w:rsid w:val="000477A6"/>
    <w:rsid w:val="00061E67"/>
    <w:rsid w:val="00077947"/>
    <w:rsid w:val="00083556"/>
    <w:rsid w:val="000A30D2"/>
    <w:rsid w:val="000A5CAE"/>
    <w:rsid w:val="000B4295"/>
    <w:rsid w:val="000C200E"/>
    <w:rsid w:val="000C468E"/>
    <w:rsid w:val="000C7739"/>
    <w:rsid w:val="000D5F40"/>
    <w:rsid w:val="000D6A1B"/>
    <w:rsid w:val="000E1020"/>
    <w:rsid w:val="000E14C0"/>
    <w:rsid w:val="000E4BC9"/>
    <w:rsid w:val="000E75B5"/>
    <w:rsid w:val="000F1D22"/>
    <w:rsid w:val="000F45EC"/>
    <w:rsid w:val="000F6A61"/>
    <w:rsid w:val="0011065E"/>
    <w:rsid w:val="0012336B"/>
    <w:rsid w:val="00150B1F"/>
    <w:rsid w:val="00161DE2"/>
    <w:rsid w:val="0017428F"/>
    <w:rsid w:val="00177BFE"/>
    <w:rsid w:val="00181093"/>
    <w:rsid w:val="001851E1"/>
    <w:rsid w:val="00185245"/>
    <w:rsid w:val="001C37C8"/>
    <w:rsid w:val="001C5C92"/>
    <w:rsid w:val="001C7B06"/>
    <w:rsid w:val="001D5D9E"/>
    <w:rsid w:val="001E456A"/>
    <w:rsid w:val="001F448E"/>
    <w:rsid w:val="00200E0C"/>
    <w:rsid w:val="00242283"/>
    <w:rsid w:val="002427AA"/>
    <w:rsid w:val="002458F0"/>
    <w:rsid w:val="00245E9C"/>
    <w:rsid w:val="00257F90"/>
    <w:rsid w:val="0026515A"/>
    <w:rsid w:val="00272DB6"/>
    <w:rsid w:val="002838B4"/>
    <w:rsid w:val="00286C6E"/>
    <w:rsid w:val="00293CC3"/>
    <w:rsid w:val="002B02ED"/>
    <w:rsid w:val="002B7624"/>
    <w:rsid w:val="002C137C"/>
    <w:rsid w:val="002D6D88"/>
    <w:rsid w:val="003032BD"/>
    <w:rsid w:val="0031548C"/>
    <w:rsid w:val="00321F71"/>
    <w:rsid w:val="0032503C"/>
    <w:rsid w:val="00330D1E"/>
    <w:rsid w:val="00343481"/>
    <w:rsid w:val="00361A64"/>
    <w:rsid w:val="00373A0E"/>
    <w:rsid w:val="00396A24"/>
    <w:rsid w:val="003A7E28"/>
    <w:rsid w:val="003B4DD0"/>
    <w:rsid w:val="003C3D41"/>
    <w:rsid w:val="003D0A22"/>
    <w:rsid w:val="003E7566"/>
    <w:rsid w:val="004059E6"/>
    <w:rsid w:val="00407582"/>
    <w:rsid w:val="00410180"/>
    <w:rsid w:val="00416DB9"/>
    <w:rsid w:val="00427395"/>
    <w:rsid w:val="00434B19"/>
    <w:rsid w:val="00455F2E"/>
    <w:rsid w:val="004625FE"/>
    <w:rsid w:val="00464C0F"/>
    <w:rsid w:val="004661ED"/>
    <w:rsid w:val="00474753"/>
    <w:rsid w:val="004806A5"/>
    <w:rsid w:val="00483D29"/>
    <w:rsid w:val="004B7A43"/>
    <w:rsid w:val="004C18CB"/>
    <w:rsid w:val="004F0ABB"/>
    <w:rsid w:val="004F3DA4"/>
    <w:rsid w:val="00504B40"/>
    <w:rsid w:val="00521418"/>
    <w:rsid w:val="0052470A"/>
    <w:rsid w:val="00524B07"/>
    <w:rsid w:val="00533D33"/>
    <w:rsid w:val="00535C63"/>
    <w:rsid w:val="00561CA1"/>
    <w:rsid w:val="005711E5"/>
    <w:rsid w:val="00576CE9"/>
    <w:rsid w:val="00577714"/>
    <w:rsid w:val="00585DDF"/>
    <w:rsid w:val="005872A3"/>
    <w:rsid w:val="00590813"/>
    <w:rsid w:val="005935E8"/>
    <w:rsid w:val="005A3025"/>
    <w:rsid w:val="005D7742"/>
    <w:rsid w:val="005E6F51"/>
    <w:rsid w:val="005F1D52"/>
    <w:rsid w:val="005F41C0"/>
    <w:rsid w:val="006034BA"/>
    <w:rsid w:val="00614AA9"/>
    <w:rsid w:val="00624601"/>
    <w:rsid w:val="006312FD"/>
    <w:rsid w:val="00637A82"/>
    <w:rsid w:val="006406DC"/>
    <w:rsid w:val="0065632A"/>
    <w:rsid w:val="0067482D"/>
    <w:rsid w:val="00675876"/>
    <w:rsid w:val="006858F9"/>
    <w:rsid w:val="00687C38"/>
    <w:rsid w:val="006945C3"/>
    <w:rsid w:val="006B008C"/>
    <w:rsid w:val="006B3251"/>
    <w:rsid w:val="006C3612"/>
    <w:rsid w:val="006D2993"/>
    <w:rsid w:val="006E0032"/>
    <w:rsid w:val="006E11B3"/>
    <w:rsid w:val="00707479"/>
    <w:rsid w:val="0071495E"/>
    <w:rsid w:val="00723E4D"/>
    <w:rsid w:val="00773130"/>
    <w:rsid w:val="007772CB"/>
    <w:rsid w:val="00781A64"/>
    <w:rsid w:val="00790181"/>
    <w:rsid w:val="00795186"/>
    <w:rsid w:val="007A140E"/>
    <w:rsid w:val="007B4D08"/>
    <w:rsid w:val="007B6EBB"/>
    <w:rsid w:val="007B787F"/>
    <w:rsid w:val="007C50E4"/>
    <w:rsid w:val="007C6396"/>
    <w:rsid w:val="007E1D89"/>
    <w:rsid w:val="00815A2E"/>
    <w:rsid w:val="00816F71"/>
    <w:rsid w:val="00817AF5"/>
    <w:rsid w:val="00824062"/>
    <w:rsid w:val="008265F4"/>
    <w:rsid w:val="00835849"/>
    <w:rsid w:val="00837849"/>
    <w:rsid w:val="00837B26"/>
    <w:rsid w:val="00840CDE"/>
    <w:rsid w:val="00841C4C"/>
    <w:rsid w:val="00851E9B"/>
    <w:rsid w:val="0086626A"/>
    <w:rsid w:val="00871AF0"/>
    <w:rsid w:val="00871C36"/>
    <w:rsid w:val="00872A89"/>
    <w:rsid w:val="00881A92"/>
    <w:rsid w:val="0088564D"/>
    <w:rsid w:val="00892A0D"/>
    <w:rsid w:val="008A195B"/>
    <w:rsid w:val="008A68AC"/>
    <w:rsid w:val="008B0AC8"/>
    <w:rsid w:val="008B626F"/>
    <w:rsid w:val="008C0C7D"/>
    <w:rsid w:val="008C3602"/>
    <w:rsid w:val="008D1805"/>
    <w:rsid w:val="008D2E86"/>
    <w:rsid w:val="008F1FCE"/>
    <w:rsid w:val="008F6E81"/>
    <w:rsid w:val="00900204"/>
    <w:rsid w:val="00922D7C"/>
    <w:rsid w:val="00923999"/>
    <w:rsid w:val="0092713B"/>
    <w:rsid w:val="00965F84"/>
    <w:rsid w:val="00972457"/>
    <w:rsid w:val="00973B3C"/>
    <w:rsid w:val="0097454A"/>
    <w:rsid w:val="009766F2"/>
    <w:rsid w:val="009A04BC"/>
    <w:rsid w:val="009A7325"/>
    <w:rsid w:val="009B0D06"/>
    <w:rsid w:val="009D1BF4"/>
    <w:rsid w:val="009E53D2"/>
    <w:rsid w:val="009F53BE"/>
    <w:rsid w:val="00A05A5E"/>
    <w:rsid w:val="00A11DD7"/>
    <w:rsid w:val="00A12760"/>
    <w:rsid w:val="00A1514B"/>
    <w:rsid w:val="00A3253B"/>
    <w:rsid w:val="00A5248D"/>
    <w:rsid w:val="00A64AED"/>
    <w:rsid w:val="00A7450F"/>
    <w:rsid w:val="00A81DE4"/>
    <w:rsid w:val="00A84830"/>
    <w:rsid w:val="00A8530D"/>
    <w:rsid w:val="00A912B3"/>
    <w:rsid w:val="00AA3CB6"/>
    <w:rsid w:val="00AC2EEE"/>
    <w:rsid w:val="00AD5050"/>
    <w:rsid w:val="00AD665C"/>
    <w:rsid w:val="00AE1F2C"/>
    <w:rsid w:val="00AE2198"/>
    <w:rsid w:val="00AE5D30"/>
    <w:rsid w:val="00AF6C67"/>
    <w:rsid w:val="00B0607B"/>
    <w:rsid w:val="00B0790B"/>
    <w:rsid w:val="00B116CA"/>
    <w:rsid w:val="00B132CB"/>
    <w:rsid w:val="00B154B4"/>
    <w:rsid w:val="00B42B7C"/>
    <w:rsid w:val="00B4570A"/>
    <w:rsid w:val="00B61BF7"/>
    <w:rsid w:val="00B8506F"/>
    <w:rsid w:val="00B91D7E"/>
    <w:rsid w:val="00B93370"/>
    <w:rsid w:val="00BA3DC9"/>
    <w:rsid w:val="00BA4E78"/>
    <w:rsid w:val="00BB0E3C"/>
    <w:rsid w:val="00BB23F4"/>
    <w:rsid w:val="00BC1B21"/>
    <w:rsid w:val="00BF481F"/>
    <w:rsid w:val="00BF5430"/>
    <w:rsid w:val="00BF6AAC"/>
    <w:rsid w:val="00C2536E"/>
    <w:rsid w:val="00C2749F"/>
    <w:rsid w:val="00C27E41"/>
    <w:rsid w:val="00C35593"/>
    <w:rsid w:val="00C50397"/>
    <w:rsid w:val="00C508F7"/>
    <w:rsid w:val="00C55C67"/>
    <w:rsid w:val="00C6151D"/>
    <w:rsid w:val="00C81123"/>
    <w:rsid w:val="00CB1D76"/>
    <w:rsid w:val="00CC64FE"/>
    <w:rsid w:val="00CD3241"/>
    <w:rsid w:val="00CE551A"/>
    <w:rsid w:val="00D0002C"/>
    <w:rsid w:val="00D04018"/>
    <w:rsid w:val="00D47014"/>
    <w:rsid w:val="00D53941"/>
    <w:rsid w:val="00D55305"/>
    <w:rsid w:val="00D80B74"/>
    <w:rsid w:val="00D97EA3"/>
    <w:rsid w:val="00DA664A"/>
    <w:rsid w:val="00DC31FE"/>
    <w:rsid w:val="00DC39A1"/>
    <w:rsid w:val="00DC3D40"/>
    <w:rsid w:val="00DC5382"/>
    <w:rsid w:val="00DD0DE6"/>
    <w:rsid w:val="00DE068F"/>
    <w:rsid w:val="00DE545F"/>
    <w:rsid w:val="00DF4015"/>
    <w:rsid w:val="00DF7FC4"/>
    <w:rsid w:val="00E3735C"/>
    <w:rsid w:val="00E37F95"/>
    <w:rsid w:val="00E50DC4"/>
    <w:rsid w:val="00E548AD"/>
    <w:rsid w:val="00E61EF1"/>
    <w:rsid w:val="00E6570A"/>
    <w:rsid w:val="00E70B26"/>
    <w:rsid w:val="00E720B0"/>
    <w:rsid w:val="00E77C95"/>
    <w:rsid w:val="00E77D3F"/>
    <w:rsid w:val="00E81C0C"/>
    <w:rsid w:val="00E92252"/>
    <w:rsid w:val="00E93208"/>
    <w:rsid w:val="00EB0FEA"/>
    <w:rsid w:val="00EC3B3D"/>
    <w:rsid w:val="00EC438B"/>
    <w:rsid w:val="00EE31EA"/>
    <w:rsid w:val="00EE5CE7"/>
    <w:rsid w:val="00EF45DF"/>
    <w:rsid w:val="00F01266"/>
    <w:rsid w:val="00F05768"/>
    <w:rsid w:val="00F13B83"/>
    <w:rsid w:val="00F15FB9"/>
    <w:rsid w:val="00F16874"/>
    <w:rsid w:val="00F22970"/>
    <w:rsid w:val="00F24673"/>
    <w:rsid w:val="00F326EC"/>
    <w:rsid w:val="00F342D5"/>
    <w:rsid w:val="00F365CE"/>
    <w:rsid w:val="00F523EC"/>
    <w:rsid w:val="00F578A6"/>
    <w:rsid w:val="00F658D2"/>
    <w:rsid w:val="00F7277C"/>
    <w:rsid w:val="00F74FE3"/>
    <w:rsid w:val="00F7532D"/>
    <w:rsid w:val="00F97419"/>
    <w:rsid w:val="00FC4B3F"/>
    <w:rsid w:val="00FC630D"/>
    <w:rsid w:val="00FD007B"/>
    <w:rsid w:val="00FD16D5"/>
    <w:rsid w:val="00FF5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martTagType w:namespaceuri="urn:schemas-microsoft-com:office:smarttags" w:name="Street"/>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jc w:val="center"/>
      <w:outlineLvl w:val="0"/>
    </w:pPr>
    <w:rPr>
      <w:rFonts w:ascii="Arial" w:hAnsi="Arial" w:cs="Arial"/>
    </w:rPr>
  </w:style>
  <w:style w:type="paragraph" w:styleId="Heading2">
    <w:name w:val="heading 2"/>
    <w:basedOn w:val="Normal"/>
    <w:next w:val="Normal"/>
    <w:qFormat/>
    <w:pPr>
      <w:keepNext/>
      <w:jc w:val="center"/>
      <w:outlineLvl w:val="1"/>
    </w:pPr>
    <w:rPr>
      <w:rFonts w:ascii="Palatino Linotype" w:hAnsi="Palatino Linotype"/>
      <w:b/>
      <w:bCs/>
    </w:rPr>
  </w:style>
  <w:style w:type="paragraph" w:styleId="Heading3">
    <w:name w:val="heading 3"/>
    <w:basedOn w:val="Normal"/>
    <w:next w:val="Normal"/>
    <w:link w:val="Heading3Char"/>
    <w:uiPriority w:val="9"/>
    <w:semiHidden/>
    <w:unhideWhenUsed/>
    <w:qFormat/>
    <w:rsid w:val="00024C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5040" w:firstLine="8640"/>
    </w:pPr>
    <w:rPr>
      <w:rFonts w:ascii="Palatino Linotype" w:hAnsi="Palatino Linotype" w:cs="Arial"/>
    </w:rPr>
  </w:style>
  <w:style w:type="paragraph" w:styleId="BodyTextIndent2">
    <w:name w:val="Body Text Indent 2"/>
    <w:basedOn w:val="Normal"/>
    <w:semiHidden/>
    <w:pPr>
      <w:ind w:left="385"/>
    </w:pPr>
    <w:rPr>
      <w:rFonts w:ascii="Palatino Linotype" w:hAnsi="Palatino Linotype"/>
    </w:rPr>
  </w:style>
  <w:style w:type="character" w:styleId="CommentReference">
    <w:name w:val="annotation reference"/>
    <w:uiPriority w:val="99"/>
    <w:semiHidden/>
    <w:unhideWhenUsed/>
    <w:rsid w:val="00A1514B"/>
    <w:rPr>
      <w:sz w:val="16"/>
      <w:szCs w:val="16"/>
    </w:rPr>
  </w:style>
  <w:style w:type="paragraph" w:styleId="CommentText">
    <w:name w:val="annotation text"/>
    <w:basedOn w:val="Normal"/>
    <w:link w:val="CommentTextChar"/>
    <w:uiPriority w:val="99"/>
    <w:semiHidden/>
    <w:unhideWhenUsed/>
    <w:rsid w:val="00A1514B"/>
    <w:rPr>
      <w:sz w:val="20"/>
      <w:szCs w:val="20"/>
    </w:rPr>
  </w:style>
  <w:style w:type="character" w:customStyle="1" w:styleId="CommentTextChar">
    <w:name w:val="Comment Text Char"/>
    <w:basedOn w:val="DefaultParagraphFont"/>
    <w:link w:val="CommentText"/>
    <w:uiPriority w:val="99"/>
    <w:semiHidden/>
    <w:rsid w:val="00A1514B"/>
  </w:style>
  <w:style w:type="paragraph" w:styleId="CommentSubject">
    <w:name w:val="annotation subject"/>
    <w:basedOn w:val="CommentText"/>
    <w:next w:val="CommentText"/>
    <w:link w:val="CommentSubjectChar"/>
    <w:uiPriority w:val="99"/>
    <w:semiHidden/>
    <w:unhideWhenUsed/>
    <w:rsid w:val="00A1514B"/>
    <w:rPr>
      <w:b/>
      <w:bCs/>
    </w:rPr>
  </w:style>
  <w:style w:type="character" w:customStyle="1" w:styleId="CommentSubjectChar">
    <w:name w:val="Comment Subject Char"/>
    <w:link w:val="CommentSubject"/>
    <w:uiPriority w:val="99"/>
    <w:semiHidden/>
    <w:rsid w:val="00A1514B"/>
    <w:rPr>
      <w:b/>
      <w:bCs/>
    </w:rPr>
  </w:style>
  <w:style w:type="paragraph" w:styleId="BalloonText">
    <w:name w:val="Balloon Text"/>
    <w:basedOn w:val="Normal"/>
    <w:link w:val="BalloonTextChar"/>
    <w:uiPriority w:val="99"/>
    <w:semiHidden/>
    <w:unhideWhenUsed/>
    <w:rsid w:val="00A1514B"/>
    <w:rPr>
      <w:rFonts w:ascii="Tahoma" w:hAnsi="Tahoma" w:cs="Tahoma"/>
      <w:sz w:val="16"/>
      <w:szCs w:val="16"/>
    </w:rPr>
  </w:style>
  <w:style w:type="character" w:customStyle="1" w:styleId="BalloonTextChar">
    <w:name w:val="Balloon Text Char"/>
    <w:link w:val="BalloonText"/>
    <w:uiPriority w:val="99"/>
    <w:semiHidden/>
    <w:rsid w:val="00A1514B"/>
    <w:rPr>
      <w:rFonts w:ascii="Tahoma" w:hAnsi="Tahoma" w:cs="Tahoma"/>
      <w:sz w:val="16"/>
      <w:szCs w:val="16"/>
    </w:rPr>
  </w:style>
  <w:style w:type="table" w:styleId="TableGrid">
    <w:name w:val="Table Grid"/>
    <w:basedOn w:val="TableNormal"/>
    <w:uiPriority w:val="59"/>
    <w:rsid w:val="00892A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5C92"/>
    <w:pPr>
      <w:ind w:left="720"/>
      <w:contextualSpacing/>
    </w:pPr>
  </w:style>
  <w:style w:type="character" w:styleId="Hyperlink">
    <w:name w:val="Hyperlink"/>
    <w:uiPriority w:val="99"/>
    <w:rsid w:val="004059E6"/>
    <w:rPr>
      <w:color w:val="0000FF"/>
      <w:u w:val="single"/>
    </w:rPr>
  </w:style>
  <w:style w:type="character" w:customStyle="1" w:styleId="HeaderChar">
    <w:name w:val="Header Char"/>
    <w:link w:val="Header"/>
    <w:uiPriority w:val="99"/>
    <w:rsid w:val="004059E6"/>
    <w:rPr>
      <w:sz w:val="24"/>
      <w:szCs w:val="24"/>
    </w:rPr>
  </w:style>
  <w:style w:type="character" w:customStyle="1" w:styleId="Heading3Char">
    <w:name w:val="Heading 3 Char"/>
    <w:basedOn w:val="DefaultParagraphFont"/>
    <w:link w:val="Heading3"/>
    <w:uiPriority w:val="9"/>
    <w:semiHidden/>
    <w:rsid w:val="00024CD1"/>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unhideWhenUsed/>
    <w:rsid w:val="002C137C"/>
    <w:rPr>
      <w:sz w:val="22"/>
      <w:szCs w:val="20"/>
    </w:rPr>
  </w:style>
  <w:style w:type="character" w:customStyle="1" w:styleId="FootnoteTextChar">
    <w:name w:val="Footnote Text Char"/>
    <w:basedOn w:val="DefaultParagraphFont"/>
    <w:link w:val="FootnoteText"/>
    <w:uiPriority w:val="99"/>
    <w:rsid w:val="002C137C"/>
    <w:rPr>
      <w:sz w:val="22"/>
    </w:rPr>
  </w:style>
  <w:style w:type="character" w:styleId="FootnoteReference">
    <w:name w:val="footnote reference"/>
    <w:basedOn w:val="DefaultParagraphFont"/>
    <w:uiPriority w:val="99"/>
    <w:semiHidden/>
    <w:unhideWhenUsed/>
    <w:rsid w:val="006D2993"/>
    <w:rPr>
      <w:vertAlign w:val="superscript"/>
    </w:rPr>
  </w:style>
  <w:style w:type="paragraph" w:styleId="Revision">
    <w:name w:val="Revision"/>
    <w:hidden/>
    <w:uiPriority w:val="99"/>
    <w:semiHidden/>
    <w:rsid w:val="000E75B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jc w:val="center"/>
      <w:outlineLvl w:val="0"/>
    </w:pPr>
    <w:rPr>
      <w:rFonts w:ascii="Arial" w:hAnsi="Arial" w:cs="Arial"/>
    </w:rPr>
  </w:style>
  <w:style w:type="paragraph" w:styleId="Heading2">
    <w:name w:val="heading 2"/>
    <w:basedOn w:val="Normal"/>
    <w:next w:val="Normal"/>
    <w:qFormat/>
    <w:pPr>
      <w:keepNext/>
      <w:jc w:val="center"/>
      <w:outlineLvl w:val="1"/>
    </w:pPr>
    <w:rPr>
      <w:rFonts w:ascii="Palatino Linotype" w:hAnsi="Palatino Linotype"/>
      <w:b/>
      <w:bCs/>
    </w:rPr>
  </w:style>
  <w:style w:type="paragraph" w:styleId="Heading3">
    <w:name w:val="heading 3"/>
    <w:basedOn w:val="Normal"/>
    <w:next w:val="Normal"/>
    <w:link w:val="Heading3Char"/>
    <w:uiPriority w:val="9"/>
    <w:semiHidden/>
    <w:unhideWhenUsed/>
    <w:qFormat/>
    <w:rsid w:val="00024C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5040" w:firstLine="8640"/>
    </w:pPr>
    <w:rPr>
      <w:rFonts w:ascii="Palatino Linotype" w:hAnsi="Palatino Linotype" w:cs="Arial"/>
    </w:rPr>
  </w:style>
  <w:style w:type="paragraph" w:styleId="BodyTextIndent2">
    <w:name w:val="Body Text Indent 2"/>
    <w:basedOn w:val="Normal"/>
    <w:semiHidden/>
    <w:pPr>
      <w:ind w:left="385"/>
    </w:pPr>
    <w:rPr>
      <w:rFonts w:ascii="Palatino Linotype" w:hAnsi="Palatino Linotype"/>
    </w:rPr>
  </w:style>
  <w:style w:type="character" w:styleId="CommentReference">
    <w:name w:val="annotation reference"/>
    <w:uiPriority w:val="99"/>
    <w:semiHidden/>
    <w:unhideWhenUsed/>
    <w:rsid w:val="00A1514B"/>
    <w:rPr>
      <w:sz w:val="16"/>
      <w:szCs w:val="16"/>
    </w:rPr>
  </w:style>
  <w:style w:type="paragraph" w:styleId="CommentText">
    <w:name w:val="annotation text"/>
    <w:basedOn w:val="Normal"/>
    <w:link w:val="CommentTextChar"/>
    <w:uiPriority w:val="99"/>
    <w:semiHidden/>
    <w:unhideWhenUsed/>
    <w:rsid w:val="00A1514B"/>
    <w:rPr>
      <w:sz w:val="20"/>
      <w:szCs w:val="20"/>
    </w:rPr>
  </w:style>
  <w:style w:type="character" w:customStyle="1" w:styleId="CommentTextChar">
    <w:name w:val="Comment Text Char"/>
    <w:basedOn w:val="DefaultParagraphFont"/>
    <w:link w:val="CommentText"/>
    <w:uiPriority w:val="99"/>
    <w:semiHidden/>
    <w:rsid w:val="00A1514B"/>
  </w:style>
  <w:style w:type="paragraph" w:styleId="CommentSubject">
    <w:name w:val="annotation subject"/>
    <w:basedOn w:val="CommentText"/>
    <w:next w:val="CommentText"/>
    <w:link w:val="CommentSubjectChar"/>
    <w:uiPriority w:val="99"/>
    <w:semiHidden/>
    <w:unhideWhenUsed/>
    <w:rsid w:val="00A1514B"/>
    <w:rPr>
      <w:b/>
      <w:bCs/>
    </w:rPr>
  </w:style>
  <w:style w:type="character" w:customStyle="1" w:styleId="CommentSubjectChar">
    <w:name w:val="Comment Subject Char"/>
    <w:link w:val="CommentSubject"/>
    <w:uiPriority w:val="99"/>
    <w:semiHidden/>
    <w:rsid w:val="00A1514B"/>
    <w:rPr>
      <w:b/>
      <w:bCs/>
    </w:rPr>
  </w:style>
  <w:style w:type="paragraph" w:styleId="BalloonText">
    <w:name w:val="Balloon Text"/>
    <w:basedOn w:val="Normal"/>
    <w:link w:val="BalloonTextChar"/>
    <w:uiPriority w:val="99"/>
    <w:semiHidden/>
    <w:unhideWhenUsed/>
    <w:rsid w:val="00A1514B"/>
    <w:rPr>
      <w:rFonts w:ascii="Tahoma" w:hAnsi="Tahoma" w:cs="Tahoma"/>
      <w:sz w:val="16"/>
      <w:szCs w:val="16"/>
    </w:rPr>
  </w:style>
  <w:style w:type="character" w:customStyle="1" w:styleId="BalloonTextChar">
    <w:name w:val="Balloon Text Char"/>
    <w:link w:val="BalloonText"/>
    <w:uiPriority w:val="99"/>
    <w:semiHidden/>
    <w:rsid w:val="00A1514B"/>
    <w:rPr>
      <w:rFonts w:ascii="Tahoma" w:hAnsi="Tahoma" w:cs="Tahoma"/>
      <w:sz w:val="16"/>
      <w:szCs w:val="16"/>
    </w:rPr>
  </w:style>
  <w:style w:type="table" w:styleId="TableGrid">
    <w:name w:val="Table Grid"/>
    <w:basedOn w:val="TableNormal"/>
    <w:uiPriority w:val="59"/>
    <w:rsid w:val="00892A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5C92"/>
    <w:pPr>
      <w:ind w:left="720"/>
      <w:contextualSpacing/>
    </w:pPr>
  </w:style>
  <w:style w:type="character" w:styleId="Hyperlink">
    <w:name w:val="Hyperlink"/>
    <w:uiPriority w:val="99"/>
    <w:rsid w:val="004059E6"/>
    <w:rPr>
      <w:color w:val="0000FF"/>
      <w:u w:val="single"/>
    </w:rPr>
  </w:style>
  <w:style w:type="character" w:customStyle="1" w:styleId="HeaderChar">
    <w:name w:val="Header Char"/>
    <w:link w:val="Header"/>
    <w:uiPriority w:val="99"/>
    <w:rsid w:val="004059E6"/>
    <w:rPr>
      <w:sz w:val="24"/>
      <w:szCs w:val="24"/>
    </w:rPr>
  </w:style>
  <w:style w:type="character" w:customStyle="1" w:styleId="Heading3Char">
    <w:name w:val="Heading 3 Char"/>
    <w:basedOn w:val="DefaultParagraphFont"/>
    <w:link w:val="Heading3"/>
    <w:uiPriority w:val="9"/>
    <w:semiHidden/>
    <w:rsid w:val="00024CD1"/>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unhideWhenUsed/>
    <w:rsid w:val="002C137C"/>
    <w:rPr>
      <w:sz w:val="22"/>
      <w:szCs w:val="20"/>
    </w:rPr>
  </w:style>
  <w:style w:type="character" w:customStyle="1" w:styleId="FootnoteTextChar">
    <w:name w:val="Footnote Text Char"/>
    <w:basedOn w:val="DefaultParagraphFont"/>
    <w:link w:val="FootnoteText"/>
    <w:uiPriority w:val="99"/>
    <w:rsid w:val="002C137C"/>
    <w:rPr>
      <w:sz w:val="22"/>
    </w:rPr>
  </w:style>
  <w:style w:type="character" w:styleId="FootnoteReference">
    <w:name w:val="footnote reference"/>
    <w:basedOn w:val="DefaultParagraphFont"/>
    <w:uiPriority w:val="99"/>
    <w:semiHidden/>
    <w:unhideWhenUsed/>
    <w:rsid w:val="006D2993"/>
    <w:rPr>
      <w:vertAlign w:val="superscript"/>
    </w:rPr>
  </w:style>
  <w:style w:type="paragraph" w:styleId="Revision">
    <w:name w:val="Revision"/>
    <w:hidden/>
    <w:uiPriority w:val="99"/>
    <w:semiHidden/>
    <w:rsid w:val="000E75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B4AC6DFA7BFA34F97C5FC024ED39B9A" ma:contentTypeVersion="135" ma:contentTypeDescription="" ma:contentTypeScope="" ma:versionID="e8457f1481c1ca4eff4df766b776c24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Initial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2013-12-13T08:00:00+00:00</OpenedDate>
    <Date1 xmlns="dc463f71-b30c-4ab2-9473-d307f9d35888">2014-02-20T08:00:00+00:00</Date1>
    <IsDocumentOrder xmlns="dc463f71-b30c-4ab2-9473-d307f9d35888">true</IsDocumentOrder>
    <IsHighlyConfidential xmlns="dc463f71-b30c-4ab2-9473-d307f9d35888">false</IsHighlyConfidential>
    <CaseCompanyNames xmlns="dc463f71-b30c-4ab2-9473-d307f9d35888">Qwest Corporation</CaseCompanyNames>
    <DocketNumber xmlns="dc463f71-b30c-4ab2-9473-d307f9d35888">132282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42B60C1-AA88-424E-A294-4BB58F48A39C}"/>
</file>

<file path=customXml/itemProps2.xml><?xml version="1.0" encoding="utf-8"?>
<ds:datastoreItem xmlns:ds="http://schemas.openxmlformats.org/officeDocument/2006/customXml" ds:itemID="{B9710085-70F1-4DA1-9D22-0FB7542A64A3}"/>
</file>

<file path=customXml/itemProps3.xml><?xml version="1.0" encoding="utf-8"?>
<ds:datastoreItem xmlns:ds="http://schemas.openxmlformats.org/officeDocument/2006/customXml" ds:itemID="{E9F9D04D-285B-4B8B-AA89-D953076B9A14}"/>
</file>

<file path=customXml/itemProps4.xml><?xml version="1.0" encoding="utf-8"?>
<ds:datastoreItem xmlns:ds="http://schemas.openxmlformats.org/officeDocument/2006/customXml" ds:itemID="{F6EB95A9-1A8A-423E-B720-A4F031A3AECD}"/>
</file>

<file path=customXml/itemProps5.xml><?xml version="1.0" encoding="utf-8"?>
<ds:datastoreItem xmlns:ds="http://schemas.openxmlformats.org/officeDocument/2006/customXml" ds:itemID="{D0AB7EF1-DE0F-43E7-8BA7-2444F413D9F6}"/>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2014-02-20T22:37:00Z</dcterms:created>
  <dcterms:modified xsi:type="dcterms:W3CDTF">2014-02-20T22:44:00Z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0x0101006E56B4D1795A2E4DB2F0B01679ED314A00EB4AC6DFA7BFA34F97C5FC024ED39B9A</vt:lpwstr>
  </property>
  <property fmtid="{D5CDD505-2E9C-101B-9397-08002B2CF9AE}" pid="3" name="_docset_NoMedatataSyncRequired">
    <vt:lpwstr>False</vt:lpwstr>
  </property>
</Properties>
</file>