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CE840" w14:textId="77777777" w:rsidR="00AC7C6D" w:rsidRDefault="00AC7C6D" w:rsidP="00211641">
      <w:pPr>
        <w:jc w:val="center"/>
        <w:rPr>
          <w:rFonts w:ascii="Times New Roman" w:hAnsi="Times New Roman" w:cs="Times New Roman"/>
          <w:b/>
          <w:sz w:val="24"/>
          <w:szCs w:val="24"/>
        </w:rPr>
      </w:pPr>
      <w:r>
        <w:rPr>
          <w:rFonts w:ascii="Times New Roman" w:hAnsi="Times New Roman" w:cs="Times New Roman"/>
          <w:b/>
          <w:sz w:val="24"/>
          <w:szCs w:val="24"/>
        </w:rPr>
        <w:t>COMMISSION</w:t>
      </w:r>
      <w:r w:rsidR="00211641">
        <w:rPr>
          <w:rFonts w:ascii="Times New Roman" w:hAnsi="Times New Roman" w:cs="Times New Roman"/>
          <w:b/>
          <w:sz w:val="24"/>
          <w:szCs w:val="24"/>
        </w:rPr>
        <w:t xml:space="preserve"> STAFF COMMENTS REGARDING </w:t>
      </w:r>
    </w:p>
    <w:p w14:paraId="00B4FCBD" w14:textId="77777777" w:rsidR="00AC7C6D" w:rsidRDefault="00211641" w:rsidP="00211641">
      <w:pPr>
        <w:jc w:val="center"/>
        <w:rPr>
          <w:rFonts w:ascii="Times New Roman" w:hAnsi="Times New Roman" w:cs="Times New Roman"/>
          <w:b/>
          <w:sz w:val="24"/>
          <w:szCs w:val="24"/>
        </w:rPr>
      </w:pPr>
      <w:r>
        <w:rPr>
          <w:rFonts w:ascii="Times New Roman" w:hAnsi="Times New Roman" w:cs="Times New Roman"/>
          <w:b/>
          <w:sz w:val="24"/>
          <w:szCs w:val="24"/>
        </w:rPr>
        <w:t>AVISTA</w:t>
      </w:r>
      <w:r w:rsidR="00AC7C6D">
        <w:rPr>
          <w:rFonts w:ascii="Times New Roman" w:hAnsi="Times New Roman" w:cs="Times New Roman"/>
          <w:b/>
          <w:sz w:val="24"/>
          <w:szCs w:val="24"/>
        </w:rPr>
        <w:t xml:space="preserve"> CORPORATION </w:t>
      </w:r>
      <w:proofErr w:type="spellStart"/>
      <w:r w:rsidR="00AC7C6D">
        <w:rPr>
          <w:rFonts w:ascii="Times New Roman" w:hAnsi="Times New Roman" w:cs="Times New Roman"/>
          <w:b/>
          <w:sz w:val="24"/>
          <w:szCs w:val="24"/>
        </w:rPr>
        <w:t>dba</w:t>
      </w:r>
      <w:proofErr w:type="spellEnd"/>
      <w:r w:rsidR="00AC7C6D">
        <w:rPr>
          <w:rFonts w:ascii="Times New Roman" w:hAnsi="Times New Roman" w:cs="Times New Roman"/>
          <w:b/>
          <w:sz w:val="24"/>
          <w:szCs w:val="24"/>
        </w:rPr>
        <w:t xml:space="preserve"> AVISTA </w:t>
      </w:r>
      <w:proofErr w:type="spellStart"/>
      <w:r w:rsidR="00AC7C6D">
        <w:rPr>
          <w:rFonts w:ascii="Times New Roman" w:hAnsi="Times New Roman" w:cs="Times New Roman"/>
          <w:b/>
          <w:sz w:val="24"/>
          <w:szCs w:val="24"/>
        </w:rPr>
        <w:t>UTLITIES</w:t>
      </w:r>
      <w:proofErr w:type="spellEnd"/>
      <w:r>
        <w:rPr>
          <w:rFonts w:ascii="Times New Roman" w:hAnsi="Times New Roman" w:cs="Times New Roman"/>
          <w:b/>
          <w:sz w:val="24"/>
          <w:szCs w:val="24"/>
        </w:rPr>
        <w:t xml:space="preserve">’ </w:t>
      </w:r>
    </w:p>
    <w:p w14:paraId="3CD51945" w14:textId="3A509E46" w:rsidR="00211641" w:rsidRDefault="00211641" w:rsidP="00211641">
      <w:pPr>
        <w:jc w:val="center"/>
        <w:rPr>
          <w:rFonts w:ascii="Times New Roman" w:hAnsi="Times New Roman" w:cs="Times New Roman"/>
          <w:b/>
          <w:sz w:val="24"/>
          <w:szCs w:val="24"/>
        </w:rPr>
      </w:pPr>
      <w:r>
        <w:rPr>
          <w:rFonts w:ascii="Times New Roman" w:hAnsi="Times New Roman" w:cs="Times New Roman"/>
          <w:b/>
          <w:sz w:val="24"/>
          <w:szCs w:val="24"/>
        </w:rPr>
        <w:t>2012-2013 BIENNIAL CONSERVATION REPORT</w:t>
      </w:r>
    </w:p>
    <w:p w14:paraId="56374D06" w14:textId="05613947" w:rsidR="00211641" w:rsidRDefault="00AC7C6D" w:rsidP="00211641">
      <w:pPr>
        <w:jc w:val="center"/>
        <w:rPr>
          <w:rFonts w:ascii="Times New Roman" w:hAnsi="Times New Roman" w:cs="Times New Roman"/>
          <w:b/>
          <w:sz w:val="24"/>
          <w:szCs w:val="24"/>
        </w:rPr>
      </w:pPr>
      <w:r>
        <w:rPr>
          <w:rFonts w:ascii="Times New Roman" w:hAnsi="Times New Roman" w:cs="Times New Roman"/>
          <w:b/>
          <w:sz w:val="24"/>
          <w:szCs w:val="24"/>
        </w:rPr>
        <w:t>JUNE 30, 2014</w:t>
      </w:r>
    </w:p>
    <w:p w14:paraId="5EA54552" w14:textId="77777777" w:rsidR="00AC7C6D" w:rsidRDefault="00AC7C6D" w:rsidP="00211641">
      <w:pPr>
        <w:jc w:val="center"/>
        <w:rPr>
          <w:rFonts w:ascii="Times New Roman" w:hAnsi="Times New Roman" w:cs="Times New Roman"/>
          <w:b/>
          <w:sz w:val="24"/>
          <w:szCs w:val="24"/>
        </w:rPr>
      </w:pPr>
    </w:p>
    <w:p w14:paraId="2292BAAB" w14:textId="77777777" w:rsidR="00211641" w:rsidRDefault="00211641" w:rsidP="00211641">
      <w:pPr>
        <w:jc w:val="center"/>
        <w:rPr>
          <w:rFonts w:ascii="Times New Roman" w:hAnsi="Times New Roman" w:cs="Times New Roman"/>
          <w:b/>
          <w:sz w:val="24"/>
          <w:szCs w:val="24"/>
        </w:rPr>
      </w:pPr>
      <w:r>
        <w:rPr>
          <w:rFonts w:ascii="Times New Roman" w:hAnsi="Times New Roman" w:cs="Times New Roman"/>
          <w:b/>
          <w:sz w:val="24"/>
          <w:szCs w:val="24"/>
        </w:rPr>
        <w:t xml:space="preserve">DOCKET </w:t>
      </w:r>
      <w:proofErr w:type="spellStart"/>
      <w:r>
        <w:rPr>
          <w:rFonts w:ascii="Times New Roman" w:hAnsi="Times New Roman" w:cs="Times New Roman"/>
          <w:b/>
          <w:sz w:val="24"/>
          <w:szCs w:val="24"/>
        </w:rPr>
        <w:t>UE</w:t>
      </w:r>
      <w:proofErr w:type="spellEnd"/>
      <w:r>
        <w:rPr>
          <w:rFonts w:ascii="Times New Roman" w:hAnsi="Times New Roman" w:cs="Times New Roman"/>
          <w:b/>
          <w:sz w:val="24"/>
          <w:szCs w:val="24"/>
        </w:rPr>
        <w:t>-111882</w:t>
      </w:r>
    </w:p>
    <w:p w14:paraId="721003A4" w14:textId="77777777" w:rsidR="00211641" w:rsidRDefault="00211641" w:rsidP="00211641">
      <w:pPr>
        <w:jc w:val="center"/>
        <w:rPr>
          <w:rFonts w:ascii="Times New Roman" w:hAnsi="Times New Roman" w:cs="Times New Roman"/>
          <w:b/>
          <w:sz w:val="24"/>
          <w:szCs w:val="24"/>
        </w:rPr>
      </w:pPr>
    </w:p>
    <w:p w14:paraId="6B689C64" w14:textId="77777777" w:rsidR="00211641" w:rsidRPr="00FB475D" w:rsidRDefault="00211641" w:rsidP="00211641">
      <w:pPr>
        <w:jc w:val="center"/>
        <w:rPr>
          <w:rFonts w:ascii="Times New Roman" w:hAnsi="Times New Roman" w:cs="Times New Roman"/>
          <w:b/>
          <w:sz w:val="24"/>
          <w:szCs w:val="24"/>
        </w:rPr>
      </w:pPr>
    </w:p>
    <w:sdt>
      <w:sdtPr>
        <w:rPr>
          <w:rFonts w:ascii="Times New Roman" w:eastAsiaTheme="minorHAnsi" w:hAnsi="Times New Roman" w:cs="Times New Roman"/>
          <w:b w:val="0"/>
          <w:bCs w:val="0"/>
          <w:color w:val="auto"/>
          <w:sz w:val="22"/>
          <w:szCs w:val="22"/>
          <w:lang w:eastAsia="en-US"/>
        </w:rPr>
        <w:id w:val="2138291295"/>
        <w:docPartObj>
          <w:docPartGallery w:val="Table of Contents"/>
          <w:docPartUnique/>
        </w:docPartObj>
      </w:sdtPr>
      <w:sdtEndPr>
        <w:rPr>
          <w:rFonts w:asciiTheme="minorHAnsi" w:hAnsiTheme="minorHAnsi" w:cstheme="minorBidi"/>
          <w:noProof/>
        </w:rPr>
      </w:sdtEndPr>
      <w:sdtContent>
        <w:p w14:paraId="2744A53C" w14:textId="77777777" w:rsidR="00211641" w:rsidRPr="00FB475D" w:rsidRDefault="00211641" w:rsidP="00211641">
          <w:pPr>
            <w:pStyle w:val="TOCHeading"/>
            <w:rPr>
              <w:rFonts w:ascii="Times New Roman" w:hAnsi="Times New Roman" w:cs="Times New Roman"/>
              <w:color w:val="auto"/>
            </w:rPr>
          </w:pPr>
          <w:r w:rsidRPr="00FB475D">
            <w:rPr>
              <w:rFonts w:ascii="Times New Roman" w:hAnsi="Times New Roman" w:cs="Times New Roman"/>
              <w:color w:val="auto"/>
            </w:rPr>
            <w:t>Contents</w:t>
          </w:r>
        </w:p>
        <w:p w14:paraId="0F83C0D9" w14:textId="77777777" w:rsidR="00211641" w:rsidRDefault="00211641" w:rsidP="00211641">
          <w:pPr>
            <w:pStyle w:val="TOC1"/>
            <w:tabs>
              <w:tab w:val="right" w:leader="dot" w:pos="9350"/>
            </w:tabs>
            <w:rPr>
              <w:rFonts w:eastAsiaTheme="minorEastAsia"/>
              <w:noProof/>
            </w:rPr>
          </w:pPr>
          <w:r w:rsidRPr="00FB475D">
            <w:rPr>
              <w:rFonts w:ascii="Times New Roman" w:hAnsi="Times New Roman" w:cs="Times New Roman"/>
            </w:rPr>
            <w:fldChar w:fldCharType="begin"/>
          </w:r>
          <w:r w:rsidRPr="00FB475D">
            <w:rPr>
              <w:rFonts w:ascii="Times New Roman" w:hAnsi="Times New Roman" w:cs="Times New Roman"/>
            </w:rPr>
            <w:instrText xml:space="preserve"> TOC \o "1-3" \h \z \u </w:instrText>
          </w:r>
          <w:r w:rsidRPr="00FB475D">
            <w:rPr>
              <w:rFonts w:ascii="Times New Roman" w:hAnsi="Times New Roman" w:cs="Times New Roman"/>
            </w:rPr>
            <w:fldChar w:fldCharType="separate"/>
          </w:r>
          <w:hyperlink w:anchor="_Toc391628765" w:history="1">
            <w:r w:rsidRPr="00667CC7">
              <w:rPr>
                <w:rStyle w:val="Hyperlink"/>
                <w:rFonts w:ascii="Times New Roman" w:hAnsi="Times New Roman" w:cs="Times New Roman"/>
                <w:noProof/>
              </w:rPr>
              <w:t>Background</w:t>
            </w:r>
            <w:r>
              <w:rPr>
                <w:noProof/>
                <w:webHidden/>
              </w:rPr>
              <w:tab/>
            </w:r>
            <w:r>
              <w:rPr>
                <w:noProof/>
                <w:webHidden/>
              </w:rPr>
              <w:fldChar w:fldCharType="begin"/>
            </w:r>
            <w:r>
              <w:rPr>
                <w:noProof/>
                <w:webHidden/>
              </w:rPr>
              <w:instrText xml:space="preserve"> PAGEREF _Toc391628765 \h </w:instrText>
            </w:r>
            <w:r>
              <w:rPr>
                <w:noProof/>
                <w:webHidden/>
              </w:rPr>
            </w:r>
            <w:r>
              <w:rPr>
                <w:noProof/>
                <w:webHidden/>
              </w:rPr>
              <w:fldChar w:fldCharType="separate"/>
            </w:r>
            <w:r w:rsidR="000F1BC8">
              <w:rPr>
                <w:noProof/>
                <w:webHidden/>
              </w:rPr>
              <w:t>2</w:t>
            </w:r>
            <w:r>
              <w:rPr>
                <w:noProof/>
                <w:webHidden/>
              </w:rPr>
              <w:fldChar w:fldCharType="end"/>
            </w:r>
          </w:hyperlink>
        </w:p>
        <w:p w14:paraId="4C89F456" w14:textId="77777777" w:rsidR="00211641" w:rsidRDefault="000F1BC8" w:rsidP="00211641">
          <w:pPr>
            <w:pStyle w:val="TOC1"/>
            <w:tabs>
              <w:tab w:val="right" w:leader="dot" w:pos="9350"/>
            </w:tabs>
            <w:rPr>
              <w:rFonts w:eastAsiaTheme="minorEastAsia"/>
              <w:noProof/>
            </w:rPr>
          </w:pPr>
          <w:hyperlink w:anchor="_Toc391628766" w:history="1">
            <w:r w:rsidR="00211641" w:rsidRPr="00667CC7">
              <w:rPr>
                <w:rStyle w:val="Hyperlink"/>
                <w:rFonts w:ascii="Times New Roman" w:hAnsi="Times New Roman" w:cs="Times New Roman"/>
                <w:noProof/>
              </w:rPr>
              <w:t>Avista’s Biennial Conservation Report</w:t>
            </w:r>
            <w:r w:rsidR="00211641">
              <w:rPr>
                <w:noProof/>
                <w:webHidden/>
              </w:rPr>
              <w:tab/>
            </w:r>
            <w:r w:rsidR="00211641">
              <w:rPr>
                <w:noProof/>
                <w:webHidden/>
              </w:rPr>
              <w:fldChar w:fldCharType="begin"/>
            </w:r>
            <w:r w:rsidR="00211641">
              <w:rPr>
                <w:noProof/>
                <w:webHidden/>
              </w:rPr>
              <w:instrText xml:space="preserve"> PAGEREF _Toc391628766 \h </w:instrText>
            </w:r>
            <w:r w:rsidR="00211641">
              <w:rPr>
                <w:noProof/>
                <w:webHidden/>
              </w:rPr>
            </w:r>
            <w:r w:rsidR="00211641">
              <w:rPr>
                <w:noProof/>
                <w:webHidden/>
              </w:rPr>
              <w:fldChar w:fldCharType="separate"/>
            </w:r>
            <w:r>
              <w:rPr>
                <w:noProof/>
                <w:webHidden/>
              </w:rPr>
              <w:t>2</w:t>
            </w:r>
            <w:r w:rsidR="00211641">
              <w:rPr>
                <w:noProof/>
                <w:webHidden/>
              </w:rPr>
              <w:fldChar w:fldCharType="end"/>
            </w:r>
          </w:hyperlink>
        </w:p>
        <w:p w14:paraId="636F6739" w14:textId="77777777" w:rsidR="00211641" w:rsidRDefault="000F1BC8" w:rsidP="00211641">
          <w:pPr>
            <w:pStyle w:val="TOC1"/>
            <w:tabs>
              <w:tab w:val="right" w:leader="dot" w:pos="9350"/>
            </w:tabs>
            <w:rPr>
              <w:rFonts w:eastAsiaTheme="minorEastAsia"/>
              <w:noProof/>
            </w:rPr>
          </w:pPr>
          <w:hyperlink w:anchor="_Toc391628767" w:history="1">
            <w:r w:rsidR="00211641" w:rsidRPr="00667CC7">
              <w:rPr>
                <w:rStyle w:val="Hyperlink"/>
                <w:rFonts w:ascii="Times New Roman" w:hAnsi="Times New Roman" w:cs="Times New Roman"/>
                <w:noProof/>
              </w:rPr>
              <w:t>Discussion</w:t>
            </w:r>
            <w:r w:rsidR="00211641">
              <w:rPr>
                <w:noProof/>
                <w:webHidden/>
              </w:rPr>
              <w:tab/>
            </w:r>
            <w:r w:rsidR="00211641">
              <w:rPr>
                <w:noProof/>
                <w:webHidden/>
              </w:rPr>
              <w:fldChar w:fldCharType="begin"/>
            </w:r>
            <w:r w:rsidR="00211641">
              <w:rPr>
                <w:noProof/>
                <w:webHidden/>
              </w:rPr>
              <w:instrText xml:space="preserve"> PAGEREF _Toc391628767 \h </w:instrText>
            </w:r>
            <w:r w:rsidR="00211641">
              <w:rPr>
                <w:noProof/>
                <w:webHidden/>
              </w:rPr>
            </w:r>
            <w:r w:rsidR="00211641">
              <w:rPr>
                <w:noProof/>
                <w:webHidden/>
              </w:rPr>
              <w:fldChar w:fldCharType="separate"/>
            </w:r>
            <w:r>
              <w:rPr>
                <w:noProof/>
                <w:webHidden/>
              </w:rPr>
              <w:t>3</w:t>
            </w:r>
            <w:r w:rsidR="00211641">
              <w:rPr>
                <w:noProof/>
                <w:webHidden/>
              </w:rPr>
              <w:fldChar w:fldCharType="end"/>
            </w:r>
          </w:hyperlink>
        </w:p>
        <w:p w14:paraId="43D7E9B2" w14:textId="77777777" w:rsidR="00211641" w:rsidRDefault="000F1BC8" w:rsidP="00211641">
          <w:pPr>
            <w:pStyle w:val="TOC2"/>
            <w:tabs>
              <w:tab w:val="right" w:leader="dot" w:pos="9350"/>
            </w:tabs>
            <w:rPr>
              <w:rFonts w:eastAsiaTheme="minorEastAsia"/>
              <w:noProof/>
            </w:rPr>
          </w:pPr>
          <w:hyperlink w:anchor="_Toc391628768" w:history="1">
            <w:r w:rsidR="00211641" w:rsidRPr="00667CC7">
              <w:rPr>
                <w:rStyle w:val="Hyperlink"/>
                <w:rFonts w:ascii="Times New Roman" w:hAnsi="Times New Roman" w:cs="Times New Roman"/>
                <w:i/>
                <w:noProof/>
              </w:rPr>
              <w:t>Third-Party Review</w:t>
            </w:r>
            <w:r w:rsidR="00211641">
              <w:rPr>
                <w:noProof/>
                <w:webHidden/>
              </w:rPr>
              <w:tab/>
            </w:r>
            <w:r w:rsidR="00211641">
              <w:rPr>
                <w:noProof/>
                <w:webHidden/>
              </w:rPr>
              <w:fldChar w:fldCharType="begin"/>
            </w:r>
            <w:r w:rsidR="00211641">
              <w:rPr>
                <w:noProof/>
                <w:webHidden/>
              </w:rPr>
              <w:instrText xml:space="preserve"> PAGEREF _Toc391628768 \h </w:instrText>
            </w:r>
            <w:r w:rsidR="00211641">
              <w:rPr>
                <w:noProof/>
                <w:webHidden/>
              </w:rPr>
            </w:r>
            <w:r w:rsidR="00211641">
              <w:rPr>
                <w:noProof/>
                <w:webHidden/>
              </w:rPr>
              <w:fldChar w:fldCharType="separate"/>
            </w:r>
            <w:r>
              <w:rPr>
                <w:noProof/>
                <w:webHidden/>
              </w:rPr>
              <w:t>3</w:t>
            </w:r>
            <w:r w:rsidR="00211641">
              <w:rPr>
                <w:noProof/>
                <w:webHidden/>
              </w:rPr>
              <w:fldChar w:fldCharType="end"/>
            </w:r>
          </w:hyperlink>
        </w:p>
        <w:p w14:paraId="4D2D3265" w14:textId="77777777" w:rsidR="00211641" w:rsidRDefault="000F1BC8" w:rsidP="00211641">
          <w:pPr>
            <w:pStyle w:val="TOC2"/>
            <w:tabs>
              <w:tab w:val="right" w:leader="dot" w:pos="9350"/>
            </w:tabs>
            <w:rPr>
              <w:rFonts w:eastAsiaTheme="minorEastAsia"/>
              <w:noProof/>
            </w:rPr>
          </w:pPr>
          <w:hyperlink w:anchor="_Toc391628769" w:history="1">
            <w:r w:rsidR="00211641" w:rsidRPr="00667CC7">
              <w:rPr>
                <w:rStyle w:val="Hyperlink"/>
                <w:rFonts w:ascii="Times New Roman" w:hAnsi="Times New Roman" w:cs="Times New Roman"/>
                <w:i/>
                <w:noProof/>
              </w:rPr>
              <w:t>CFL Contingency</w:t>
            </w:r>
            <w:r w:rsidR="00211641">
              <w:rPr>
                <w:noProof/>
                <w:webHidden/>
              </w:rPr>
              <w:tab/>
            </w:r>
            <w:r w:rsidR="00211641">
              <w:rPr>
                <w:noProof/>
                <w:webHidden/>
              </w:rPr>
              <w:fldChar w:fldCharType="begin"/>
            </w:r>
            <w:r w:rsidR="00211641">
              <w:rPr>
                <w:noProof/>
                <w:webHidden/>
              </w:rPr>
              <w:instrText xml:space="preserve"> PAGEREF _Toc391628769 \h </w:instrText>
            </w:r>
            <w:r w:rsidR="00211641">
              <w:rPr>
                <w:noProof/>
                <w:webHidden/>
              </w:rPr>
            </w:r>
            <w:r w:rsidR="00211641">
              <w:rPr>
                <w:noProof/>
                <w:webHidden/>
              </w:rPr>
              <w:fldChar w:fldCharType="separate"/>
            </w:r>
            <w:r>
              <w:rPr>
                <w:noProof/>
                <w:webHidden/>
              </w:rPr>
              <w:t>4</w:t>
            </w:r>
            <w:r w:rsidR="00211641">
              <w:rPr>
                <w:noProof/>
                <w:webHidden/>
              </w:rPr>
              <w:fldChar w:fldCharType="end"/>
            </w:r>
          </w:hyperlink>
        </w:p>
        <w:p w14:paraId="59F339A3" w14:textId="77777777" w:rsidR="00211641" w:rsidRDefault="000F1BC8" w:rsidP="00211641">
          <w:pPr>
            <w:pStyle w:val="TOC2"/>
            <w:tabs>
              <w:tab w:val="right" w:leader="dot" w:pos="9350"/>
            </w:tabs>
            <w:rPr>
              <w:rFonts w:eastAsiaTheme="minorEastAsia"/>
              <w:noProof/>
            </w:rPr>
          </w:pPr>
          <w:hyperlink w:anchor="_Toc391628770" w:history="1">
            <w:r w:rsidR="00211641" w:rsidRPr="00667CC7">
              <w:rPr>
                <w:rStyle w:val="Hyperlink"/>
                <w:rFonts w:ascii="Times New Roman" w:hAnsi="Times New Roman" w:cs="Times New Roman"/>
                <w:i/>
                <w:noProof/>
              </w:rPr>
              <w:t>Opower</w:t>
            </w:r>
            <w:r w:rsidR="00211641">
              <w:rPr>
                <w:noProof/>
                <w:webHidden/>
              </w:rPr>
              <w:tab/>
            </w:r>
            <w:r w:rsidR="00211641">
              <w:rPr>
                <w:noProof/>
                <w:webHidden/>
              </w:rPr>
              <w:fldChar w:fldCharType="begin"/>
            </w:r>
            <w:r w:rsidR="00211641">
              <w:rPr>
                <w:noProof/>
                <w:webHidden/>
              </w:rPr>
              <w:instrText xml:space="preserve"> PAGEREF _Toc391628770 \h </w:instrText>
            </w:r>
            <w:r w:rsidR="00211641">
              <w:rPr>
                <w:noProof/>
                <w:webHidden/>
              </w:rPr>
            </w:r>
            <w:r w:rsidR="00211641">
              <w:rPr>
                <w:noProof/>
                <w:webHidden/>
              </w:rPr>
              <w:fldChar w:fldCharType="separate"/>
            </w:r>
            <w:r>
              <w:rPr>
                <w:noProof/>
                <w:webHidden/>
              </w:rPr>
              <w:t>4</w:t>
            </w:r>
            <w:r w:rsidR="00211641">
              <w:rPr>
                <w:noProof/>
                <w:webHidden/>
              </w:rPr>
              <w:fldChar w:fldCharType="end"/>
            </w:r>
          </w:hyperlink>
        </w:p>
        <w:p w14:paraId="62F70019" w14:textId="77777777" w:rsidR="00211641" w:rsidRDefault="000F1BC8" w:rsidP="00211641">
          <w:pPr>
            <w:pStyle w:val="TOC2"/>
            <w:tabs>
              <w:tab w:val="right" w:leader="dot" w:pos="9350"/>
            </w:tabs>
            <w:rPr>
              <w:rFonts w:eastAsiaTheme="minorEastAsia"/>
              <w:noProof/>
            </w:rPr>
          </w:pPr>
          <w:hyperlink w:anchor="_Toc391628771" w:history="1">
            <w:r w:rsidR="00211641" w:rsidRPr="00667CC7">
              <w:rPr>
                <w:rStyle w:val="Hyperlink"/>
                <w:rFonts w:ascii="Times New Roman" w:hAnsi="Times New Roman" w:cs="Times New Roman"/>
                <w:i/>
                <w:noProof/>
              </w:rPr>
              <w:t>NEEA</w:t>
            </w:r>
            <w:r w:rsidR="00211641">
              <w:rPr>
                <w:noProof/>
                <w:webHidden/>
              </w:rPr>
              <w:tab/>
            </w:r>
            <w:r w:rsidR="00211641">
              <w:rPr>
                <w:noProof/>
                <w:webHidden/>
              </w:rPr>
              <w:fldChar w:fldCharType="begin"/>
            </w:r>
            <w:r w:rsidR="00211641">
              <w:rPr>
                <w:noProof/>
                <w:webHidden/>
              </w:rPr>
              <w:instrText xml:space="preserve"> PAGEREF _Toc391628771 \h </w:instrText>
            </w:r>
            <w:r w:rsidR="00211641">
              <w:rPr>
                <w:noProof/>
                <w:webHidden/>
              </w:rPr>
            </w:r>
            <w:r w:rsidR="00211641">
              <w:rPr>
                <w:noProof/>
                <w:webHidden/>
              </w:rPr>
              <w:fldChar w:fldCharType="separate"/>
            </w:r>
            <w:r>
              <w:rPr>
                <w:noProof/>
                <w:webHidden/>
              </w:rPr>
              <w:t>5</w:t>
            </w:r>
            <w:r w:rsidR="00211641">
              <w:rPr>
                <w:noProof/>
                <w:webHidden/>
              </w:rPr>
              <w:fldChar w:fldCharType="end"/>
            </w:r>
          </w:hyperlink>
        </w:p>
        <w:p w14:paraId="38CBAFC6" w14:textId="77777777" w:rsidR="00211641" w:rsidRDefault="000F1BC8" w:rsidP="00211641">
          <w:pPr>
            <w:pStyle w:val="TOC1"/>
            <w:tabs>
              <w:tab w:val="right" w:leader="dot" w:pos="9350"/>
            </w:tabs>
            <w:rPr>
              <w:rFonts w:eastAsiaTheme="minorEastAsia"/>
              <w:noProof/>
            </w:rPr>
          </w:pPr>
          <w:hyperlink w:anchor="_Toc391628772" w:history="1">
            <w:r w:rsidR="00211641" w:rsidRPr="00667CC7">
              <w:rPr>
                <w:rStyle w:val="Hyperlink"/>
                <w:rFonts w:ascii="Times New Roman" w:hAnsi="Times New Roman" w:cs="Times New Roman"/>
                <w:noProof/>
              </w:rPr>
              <w:t>Conservation policy updates</w:t>
            </w:r>
            <w:r w:rsidR="00211641">
              <w:rPr>
                <w:noProof/>
                <w:webHidden/>
              </w:rPr>
              <w:tab/>
            </w:r>
            <w:r w:rsidR="00211641">
              <w:rPr>
                <w:noProof/>
                <w:webHidden/>
              </w:rPr>
              <w:fldChar w:fldCharType="begin"/>
            </w:r>
            <w:r w:rsidR="00211641">
              <w:rPr>
                <w:noProof/>
                <w:webHidden/>
              </w:rPr>
              <w:instrText xml:space="preserve"> PAGEREF _Toc391628772 \h </w:instrText>
            </w:r>
            <w:r w:rsidR="00211641">
              <w:rPr>
                <w:noProof/>
                <w:webHidden/>
              </w:rPr>
            </w:r>
            <w:r w:rsidR="00211641">
              <w:rPr>
                <w:noProof/>
                <w:webHidden/>
              </w:rPr>
              <w:fldChar w:fldCharType="separate"/>
            </w:r>
            <w:r>
              <w:rPr>
                <w:noProof/>
                <w:webHidden/>
              </w:rPr>
              <w:t>6</w:t>
            </w:r>
            <w:r w:rsidR="00211641">
              <w:rPr>
                <w:noProof/>
                <w:webHidden/>
              </w:rPr>
              <w:fldChar w:fldCharType="end"/>
            </w:r>
          </w:hyperlink>
        </w:p>
        <w:p w14:paraId="79231FF5" w14:textId="77777777" w:rsidR="00211641" w:rsidRDefault="000F1BC8" w:rsidP="00211641">
          <w:pPr>
            <w:pStyle w:val="TOC2"/>
            <w:tabs>
              <w:tab w:val="right" w:leader="dot" w:pos="9350"/>
            </w:tabs>
            <w:rPr>
              <w:rFonts w:eastAsiaTheme="minorEastAsia"/>
              <w:noProof/>
            </w:rPr>
          </w:pPr>
          <w:hyperlink w:anchor="_Toc391628773" w:history="1">
            <w:r w:rsidR="00211641" w:rsidRPr="00667CC7">
              <w:rPr>
                <w:rStyle w:val="Hyperlink"/>
                <w:rFonts w:ascii="Times New Roman" w:hAnsi="Times New Roman" w:cs="Times New Roman"/>
                <w:i/>
                <w:noProof/>
              </w:rPr>
              <w:t>Energy Independence Act Rulemaking</w:t>
            </w:r>
            <w:r w:rsidR="00211641">
              <w:rPr>
                <w:noProof/>
                <w:webHidden/>
              </w:rPr>
              <w:tab/>
            </w:r>
            <w:r w:rsidR="00211641">
              <w:rPr>
                <w:noProof/>
                <w:webHidden/>
              </w:rPr>
              <w:fldChar w:fldCharType="begin"/>
            </w:r>
            <w:r w:rsidR="00211641">
              <w:rPr>
                <w:noProof/>
                <w:webHidden/>
              </w:rPr>
              <w:instrText xml:space="preserve"> PAGEREF _Toc391628773 \h </w:instrText>
            </w:r>
            <w:r w:rsidR="00211641">
              <w:rPr>
                <w:noProof/>
                <w:webHidden/>
              </w:rPr>
            </w:r>
            <w:r w:rsidR="00211641">
              <w:rPr>
                <w:noProof/>
                <w:webHidden/>
              </w:rPr>
              <w:fldChar w:fldCharType="separate"/>
            </w:r>
            <w:r>
              <w:rPr>
                <w:noProof/>
                <w:webHidden/>
              </w:rPr>
              <w:t>6</w:t>
            </w:r>
            <w:r w:rsidR="00211641">
              <w:rPr>
                <w:noProof/>
                <w:webHidden/>
              </w:rPr>
              <w:fldChar w:fldCharType="end"/>
            </w:r>
          </w:hyperlink>
        </w:p>
        <w:p w14:paraId="538E02D2" w14:textId="77777777" w:rsidR="00211641" w:rsidRDefault="000F1BC8" w:rsidP="00211641">
          <w:pPr>
            <w:pStyle w:val="TOC2"/>
            <w:tabs>
              <w:tab w:val="right" w:leader="dot" w:pos="9350"/>
            </w:tabs>
            <w:rPr>
              <w:rFonts w:eastAsiaTheme="minorEastAsia"/>
              <w:noProof/>
            </w:rPr>
          </w:pPr>
          <w:hyperlink w:anchor="_Toc391628774" w:history="1">
            <w:r w:rsidR="00211641" w:rsidRPr="00667CC7">
              <w:rPr>
                <w:rStyle w:val="Hyperlink"/>
                <w:rFonts w:ascii="Times New Roman" w:hAnsi="Times New Roman" w:cs="Times New Roman"/>
                <w:i/>
                <w:noProof/>
              </w:rPr>
              <w:t>NEEA</w:t>
            </w:r>
            <w:r w:rsidR="00211641">
              <w:rPr>
                <w:noProof/>
                <w:webHidden/>
              </w:rPr>
              <w:tab/>
            </w:r>
            <w:r w:rsidR="00211641">
              <w:rPr>
                <w:noProof/>
                <w:webHidden/>
              </w:rPr>
              <w:fldChar w:fldCharType="begin"/>
            </w:r>
            <w:r w:rsidR="00211641">
              <w:rPr>
                <w:noProof/>
                <w:webHidden/>
              </w:rPr>
              <w:instrText xml:space="preserve"> PAGEREF _Toc391628774 \h </w:instrText>
            </w:r>
            <w:r w:rsidR="00211641">
              <w:rPr>
                <w:noProof/>
                <w:webHidden/>
              </w:rPr>
            </w:r>
            <w:r w:rsidR="00211641">
              <w:rPr>
                <w:noProof/>
                <w:webHidden/>
              </w:rPr>
              <w:fldChar w:fldCharType="separate"/>
            </w:r>
            <w:r>
              <w:rPr>
                <w:noProof/>
                <w:webHidden/>
              </w:rPr>
              <w:t>7</w:t>
            </w:r>
            <w:r w:rsidR="00211641">
              <w:rPr>
                <w:noProof/>
                <w:webHidden/>
              </w:rPr>
              <w:fldChar w:fldCharType="end"/>
            </w:r>
          </w:hyperlink>
        </w:p>
        <w:p w14:paraId="0A0F260F" w14:textId="77777777" w:rsidR="00211641" w:rsidRDefault="000F1BC8" w:rsidP="00211641">
          <w:pPr>
            <w:pStyle w:val="TOC2"/>
            <w:tabs>
              <w:tab w:val="right" w:leader="dot" w:pos="9350"/>
            </w:tabs>
            <w:rPr>
              <w:rFonts w:eastAsiaTheme="minorEastAsia"/>
              <w:noProof/>
            </w:rPr>
          </w:pPr>
          <w:hyperlink w:anchor="_Toc391628775" w:history="1">
            <w:r w:rsidR="00211641" w:rsidRPr="00667CC7">
              <w:rPr>
                <w:rStyle w:val="Hyperlink"/>
                <w:rFonts w:ascii="Times New Roman" w:hAnsi="Times New Roman" w:cs="Times New Roman"/>
                <w:i/>
                <w:noProof/>
              </w:rPr>
              <w:t>UES values/baselines</w:t>
            </w:r>
            <w:r w:rsidR="00211641">
              <w:rPr>
                <w:noProof/>
                <w:webHidden/>
              </w:rPr>
              <w:tab/>
            </w:r>
            <w:r w:rsidR="00211641">
              <w:rPr>
                <w:noProof/>
                <w:webHidden/>
              </w:rPr>
              <w:fldChar w:fldCharType="begin"/>
            </w:r>
            <w:r w:rsidR="00211641">
              <w:rPr>
                <w:noProof/>
                <w:webHidden/>
              </w:rPr>
              <w:instrText xml:space="preserve"> PAGEREF _Toc391628775 \h </w:instrText>
            </w:r>
            <w:r w:rsidR="00211641">
              <w:rPr>
                <w:noProof/>
                <w:webHidden/>
              </w:rPr>
            </w:r>
            <w:r w:rsidR="00211641">
              <w:rPr>
                <w:noProof/>
                <w:webHidden/>
              </w:rPr>
              <w:fldChar w:fldCharType="separate"/>
            </w:r>
            <w:r>
              <w:rPr>
                <w:noProof/>
                <w:webHidden/>
              </w:rPr>
              <w:t>7</w:t>
            </w:r>
            <w:r w:rsidR="00211641">
              <w:rPr>
                <w:noProof/>
                <w:webHidden/>
              </w:rPr>
              <w:fldChar w:fldCharType="end"/>
            </w:r>
          </w:hyperlink>
        </w:p>
        <w:p w14:paraId="0233B2EB" w14:textId="77777777" w:rsidR="00211641" w:rsidRDefault="000F1BC8" w:rsidP="00211641">
          <w:pPr>
            <w:pStyle w:val="TOC2"/>
            <w:tabs>
              <w:tab w:val="right" w:leader="dot" w:pos="9350"/>
            </w:tabs>
            <w:rPr>
              <w:rFonts w:eastAsiaTheme="minorEastAsia"/>
              <w:noProof/>
            </w:rPr>
          </w:pPr>
          <w:hyperlink w:anchor="_Toc391628776" w:history="1">
            <w:r w:rsidR="00211641" w:rsidRPr="00667CC7">
              <w:rPr>
                <w:rStyle w:val="Hyperlink"/>
                <w:rFonts w:ascii="Times New Roman" w:hAnsi="Times New Roman" w:cs="Times New Roman"/>
                <w:i/>
                <w:noProof/>
              </w:rPr>
              <w:t>Opower</w:t>
            </w:r>
            <w:r w:rsidR="00211641">
              <w:rPr>
                <w:noProof/>
                <w:webHidden/>
              </w:rPr>
              <w:tab/>
            </w:r>
            <w:r w:rsidR="00211641">
              <w:rPr>
                <w:noProof/>
                <w:webHidden/>
              </w:rPr>
              <w:fldChar w:fldCharType="begin"/>
            </w:r>
            <w:r w:rsidR="00211641">
              <w:rPr>
                <w:noProof/>
                <w:webHidden/>
              </w:rPr>
              <w:instrText xml:space="preserve"> PAGEREF _Toc391628776 \h </w:instrText>
            </w:r>
            <w:r w:rsidR="00211641">
              <w:rPr>
                <w:noProof/>
                <w:webHidden/>
              </w:rPr>
            </w:r>
            <w:r w:rsidR="00211641">
              <w:rPr>
                <w:noProof/>
                <w:webHidden/>
              </w:rPr>
              <w:fldChar w:fldCharType="separate"/>
            </w:r>
            <w:r>
              <w:rPr>
                <w:noProof/>
                <w:webHidden/>
              </w:rPr>
              <w:t>8</w:t>
            </w:r>
            <w:r w:rsidR="00211641">
              <w:rPr>
                <w:noProof/>
                <w:webHidden/>
              </w:rPr>
              <w:fldChar w:fldCharType="end"/>
            </w:r>
          </w:hyperlink>
        </w:p>
        <w:p w14:paraId="14638DF5" w14:textId="77777777" w:rsidR="00211641" w:rsidRDefault="000F1BC8" w:rsidP="00211641">
          <w:pPr>
            <w:pStyle w:val="TOC1"/>
            <w:tabs>
              <w:tab w:val="right" w:leader="dot" w:pos="9350"/>
            </w:tabs>
            <w:rPr>
              <w:rFonts w:eastAsiaTheme="minorEastAsia"/>
              <w:noProof/>
            </w:rPr>
          </w:pPr>
          <w:hyperlink w:anchor="_Toc391628777" w:history="1">
            <w:r w:rsidR="00211641" w:rsidRPr="00667CC7">
              <w:rPr>
                <w:rStyle w:val="Hyperlink"/>
                <w:rFonts w:ascii="Times New Roman" w:hAnsi="Times New Roman" w:cs="Times New Roman"/>
                <w:noProof/>
              </w:rPr>
              <w:t>Finding of Prudency</w:t>
            </w:r>
            <w:r w:rsidR="00211641">
              <w:rPr>
                <w:noProof/>
                <w:webHidden/>
              </w:rPr>
              <w:tab/>
            </w:r>
            <w:r w:rsidR="00211641">
              <w:rPr>
                <w:noProof/>
                <w:webHidden/>
              </w:rPr>
              <w:fldChar w:fldCharType="begin"/>
            </w:r>
            <w:r w:rsidR="00211641">
              <w:rPr>
                <w:noProof/>
                <w:webHidden/>
              </w:rPr>
              <w:instrText xml:space="preserve"> PAGEREF _Toc391628777 \h </w:instrText>
            </w:r>
            <w:r w:rsidR="00211641">
              <w:rPr>
                <w:noProof/>
                <w:webHidden/>
              </w:rPr>
            </w:r>
            <w:r w:rsidR="00211641">
              <w:rPr>
                <w:noProof/>
                <w:webHidden/>
              </w:rPr>
              <w:fldChar w:fldCharType="separate"/>
            </w:r>
            <w:r>
              <w:rPr>
                <w:noProof/>
                <w:webHidden/>
              </w:rPr>
              <w:t>6</w:t>
            </w:r>
            <w:r w:rsidR="00211641">
              <w:rPr>
                <w:noProof/>
                <w:webHidden/>
              </w:rPr>
              <w:fldChar w:fldCharType="end"/>
            </w:r>
          </w:hyperlink>
        </w:p>
        <w:p w14:paraId="4A49A667" w14:textId="77777777" w:rsidR="00211641" w:rsidRDefault="000F1BC8" w:rsidP="00211641">
          <w:pPr>
            <w:pStyle w:val="TOC2"/>
            <w:tabs>
              <w:tab w:val="right" w:leader="dot" w:pos="9350"/>
            </w:tabs>
            <w:rPr>
              <w:rFonts w:eastAsiaTheme="minorEastAsia"/>
              <w:noProof/>
            </w:rPr>
          </w:pPr>
          <w:hyperlink w:anchor="_Toc391628778" w:history="1">
            <w:r w:rsidR="00211641" w:rsidRPr="00667CC7">
              <w:rPr>
                <w:rStyle w:val="Hyperlink"/>
                <w:rFonts w:ascii="Times New Roman" w:hAnsi="Times New Roman" w:cs="Times New Roman"/>
                <w:i/>
                <w:noProof/>
              </w:rPr>
              <w:t>Third Party Verification</w:t>
            </w:r>
            <w:r w:rsidR="00211641">
              <w:rPr>
                <w:noProof/>
                <w:webHidden/>
              </w:rPr>
              <w:tab/>
            </w:r>
            <w:r w:rsidR="00211641">
              <w:rPr>
                <w:noProof/>
                <w:webHidden/>
              </w:rPr>
              <w:fldChar w:fldCharType="begin"/>
            </w:r>
            <w:r w:rsidR="00211641">
              <w:rPr>
                <w:noProof/>
                <w:webHidden/>
              </w:rPr>
              <w:instrText xml:space="preserve"> PAGEREF _Toc391628778 \h </w:instrText>
            </w:r>
            <w:r w:rsidR="00211641">
              <w:rPr>
                <w:noProof/>
                <w:webHidden/>
              </w:rPr>
            </w:r>
            <w:r w:rsidR="00211641">
              <w:rPr>
                <w:noProof/>
                <w:webHidden/>
              </w:rPr>
              <w:fldChar w:fldCharType="separate"/>
            </w:r>
            <w:r>
              <w:rPr>
                <w:noProof/>
                <w:webHidden/>
              </w:rPr>
              <w:t>10</w:t>
            </w:r>
            <w:r w:rsidR="00211641">
              <w:rPr>
                <w:noProof/>
                <w:webHidden/>
              </w:rPr>
              <w:fldChar w:fldCharType="end"/>
            </w:r>
          </w:hyperlink>
        </w:p>
        <w:p w14:paraId="0681A952" w14:textId="77777777" w:rsidR="00211641" w:rsidRDefault="000F1BC8" w:rsidP="00211641">
          <w:pPr>
            <w:pStyle w:val="TOC1"/>
            <w:tabs>
              <w:tab w:val="right" w:leader="dot" w:pos="9350"/>
            </w:tabs>
            <w:rPr>
              <w:rFonts w:eastAsiaTheme="minorEastAsia"/>
              <w:noProof/>
            </w:rPr>
          </w:pPr>
          <w:hyperlink w:anchor="_Toc391628779" w:history="1">
            <w:r w:rsidR="00211641" w:rsidRPr="00667CC7">
              <w:rPr>
                <w:rStyle w:val="Hyperlink"/>
                <w:rFonts w:ascii="Times New Roman" w:hAnsi="Times New Roman" w:cs="Times New Roman"/>
                <w:noProof/>
              </w:rPr>
              <w:t>Conclusion</w:t>
            </w:r>
            <w:r w:rsidR="00211641">
              <w:rPr>
                <w:noProof/>
                <w:webHidden/>
              </w:rPr>
              <w:tab/>
            </w:r>
            <w:r w:rsidR="00211641">
              <w:rPr>
                <w:noProof/>
                <w:webHidden/>
              </w:rPr>
              <w:fldChar w:fldCharType="begin"/>
            </w:r>
            <w:r w:rsidR="00211641">
              <w:rPr>
                <w:noProof/>
                <w:webHidden/>
              </w:rPr>
              <w:instrText xml:space="preserve"> PAGEREF _Toc391628779 \h </w:instrText>
            </w:r>
            <w:r w:rsidR="00211641">
              <w:rPr>
                <w:noProof/>
                <w:webHidden/>
              </w:rPr>
            </w:r>
            <w:r w:rsidR="00211641">
              <w:rPr>
                <w:noProof/>
                <w:webHidden/>
              </w:rPr>
              <w:fldChar w:fldCharType="separate"/>
            </w:r>
            <w:r>
              <w:rPr>
                <w:noProof/>
                <w:webHidden/>
              </w:rPr>
              <w:t>11</w:t>
            </w:r>
            <w:r w:rsidR="00211641">
              <w:rPr>
                <w:noProof/>
                <w:webHidden/>
              </w:rPr>
              <w:fldChar w:fldCharType="end"/>
            </w:r>
          </w:hyperlink>
        </w:p>
        <w:p w14:paraId="3749517B" w14:textId="77777777" w:rsidR="00211641" w:rsidRDefault="00211641" w:rsidP="00211641">
          <w:r w:rsidRPr="00FB475D">
            <w:rPr>
              <w:rFonts w:ascii="Times New Roman" w:hAnsi="Times New Roman" w:cs="Times New Roman"/>
              <w:b/>
              <w:bCs/>
              <w:noProof/>
            </w:rPr>
            <w:fldChar w:fldCharType="end"/>
          </w:r>
        </w:p>
      </w:sdtContent>
    </w:sdt>
    <w:p w14:paraId="12C7B959" w14:textId="77777777" w:rsidR="00211641" w:rsidRDefault="00211641" w:rsidP="00211641">
      <w:pPr>
        <w:jc w:val="center"/>
        <w:rPr>
          <w:rFonts w:ascii="Times New Roman" w:hAnsi="Times New Roman" w:cs="Times New Roman"/>
          <w:b/>
          <w:sz w:val="24"/>
          <w:szCs w:val="24"/>
        </w:rPr>
      </w:pPr>
    </w:p>
    <w:p w14:paraId="131E40C2" w14:textId="77777777" w:rsidR="00211641" w:rsidRDefault="00211641" w:rsidP="00211641">
      <w:pPr>
        <w:jc w:val="center"/>
        <w:rPr>
          <w:rFonts w:ascii="Times New Roman" w:hAnsi="Times New Roman" w:cs="Times New Roman"/>
          <w:b/>
          <w:sz w:val="24"/>
          <w:szCs w:val="24"/>
        </w:rPr>
      </w:pPr>
    </w:p>
    <w:p w14:paraId="0AA71983" w14:textId="77777777" w:rsidR="00211641" w:rsidRDefault="00211641" w:rsidP="00211641">
      <w:pPr>
        <w:jc w:val="center"/>
        <w:rPr>
          <w:rFonts w:ascii="Times New Roman" w:hAnsi="Times New Roman" w:cs="Times New Roman"/>
          <w:b/>
          <w:sz w:val="24"/>
          <w:szCs w:val="24"/>
        </w:rPr>
      </w:pPr>
    </w:p>
    <w:p w14:paraId="478A718F" w14:textId="77777777" w:rsidR="00211641" w:rsidRDefault="00211641" w:rsidP="00211641">
      <w:pPr>
        <w:jc w:val="center"/>
        <w:rPr>
          <w:rFonts w:ascii="Times New Roman" w:hAnsi="Times New Roman" w:cs="Times New Roman"/>
          <w:b/>
          <w:sz w:val="24"/>
          <w:szCs w:val="24"/>
        </w:rPr>
      </w:pPr>
    </w:p>
    <w:p w14:paraId="253352EB" w14:textId="77777777" w:rsidR="00211641" w:rsidRDefault="00211641" w:rsidP="00211641">
      <w:pPr>
        <w:jc w:val="center"/>
        <w:rPr>
          <w:rFonts w:ascii="Times New Roman" w:hAnsi="Times New Roman" w:cs="Times New Roman"/>
          <w:b/>
          <w:sz w:val="24"/>
          <w:szCs w:val="24"/>
        </w:rPr>
      </w:pPr>
    </w:p>
    <w:p w14:paraId="3D00BE4A" w14:textId="77777777" w:rsidR="00211641" w:rsidRDefault="00211641" w:rsidP="00211641">
      <w:pPr>
        <w:jc w:val="center"/>
        <w:rPr>
          <w:rFonts w:ascii="Times New Roman" w:hAnsi="Times New Roman" w:cs="Times New Roman"/>
          <w:b/>
          <w:sz w:val="24"/>
          <w:szCs w:val="24"/>
        </w:rPr>
      </w:pPr>
    </w:p>
    <w:p w14:paraId="6090EA35" w14:textId="77777777" w:rsidR="00211641" w:rsidRDefault="00211641" w:rsidP="00211641">
      <w:pPr>
        <w:jc w:val="center"/>
        <w:rPr>
          <w:rFonts w:ascii="Times New Roman" w:hAnsi="Times New Roman" w:cs="Times New Roman"/>
          <w:b/>
          <w:sz w:val="24"/>
          <w:szCs w:val="24"/>
        </w:rPr>
      </w:pPr>
    </w:p>
    <w:p w14:paraId="3275DE7A" w14:textId="77777777" w:rsidR="00211641" w:rsidRDefault="00211641" w:rsidP="00211641">
      <w:pPr>
        <w:jc w:val="center"/>
        <w:rPr>
          <w:rFonts w:ascii="Times New Roman" w:hAnsi="Times New Roman" w:cs="Times New Roman"/>
          <w:b/>
          <w:sz w:val="24"/>
          <w:szCs w:val="24"/>
        </w:rPr>
      </w:pPr>
    </w:p>
    <w:p w14:paraId="6EE4C562" w14:textId="77777777" w:rsidR="00211641" w:rsidRDefault="00211641" w:rsidP="00211641">
      <w:pPr>
        <w:jc w:val="center"/>
        <w:rPr>
          <w:rFonts w:ascii="Times New Roman" w:hAnsi="Times New Roman" w:cs="Times New Roman"/>
          <w:b/>
          <w:sz w:val="24"/>
          <w:szCs w:val="24"/>
        </w:rPr>
      </w:pPr>
    </w:p>
    <w:p w14:paraId="5975435A" w14:textId="77777777" w:rsidR="00211641" w:rsidRDefault="00211641" w:rsidP="00211641">
      <w:pPr>
        <w:jc w:val="center"/>
        <w:rPr>
          <w:rFonts w:ascii="Times New Roman" w:hAnsi="Times New Roman" w:cs="Times New Roman"/>
          <w:b/>
          <w:sz w:val="24"/>
          <w:szCs w:val="24"/>
        </w:rPr>
      </w:pPr>
    </w:p>
    <w:p w14:paraId="02A5AC31" w14:textId="77777777" w:rsidR="00211641" w:rsidRDefault="00211641" w:rsidP="00211641">
      <w:pPr>
        <w:jc w:val="center"/>
        <w:rPr>
          <w:rFonts w:ascii="Times New Roman" w:hAnsi="Times New Roman" w:cs="Times New Roman"/>
          <w:b/>
          <w:sz w:val="24"/>
          <w:szCs w:val="24"/>
        </w:rPr>
      </w:pPr>
    </w:p>
    <w:p w14:paraId="28CB74C5" w14:textId="77777777" w:rsidR="00211641" w:rsidRDefault="00211641" w:rsidP="00211641">
      <w:pPr>
        <w:jc w:val="center"/>
        <w:rPr>
          <w:rFonts w:ascii="Times New Roman" w:hAnsi="Times New Roman" w:cs="Times New Roman"/>
          <w:b/>
          <w:sz w:val="24"/>
          <w:szCs w:val="24"/>
        </w:rPr>
      </w:pPr>
    </w:p>
    <w:p w14:paraId="204B806A" w14:textId="77777777" w:rsidR="00211641" w:rsidRDefault="00211641" w:rsidP="00211641">
      <w:pPr>
        <w:jc w:val="center"/>
        <w:rPr>
          <w:rFonts w:ascii="Times New Roman" w:hAnsi="Times New Roman" w:cs="Times New Roman"/>
          <w:b/>
          <w:sz w:val="24"/>
          <w:szCs w:val="24"/>
        </w:rPr>
      </w:pPr>
    </w:p>
    <w:p w14:paraId="0B8A1AA2" w14:textId="77777777" w:rsidR="00211641" w:rsidRDefault="00211641" w:rsidP="00211641">
      <w:pPr>
        <w:jc w:val="center"/>
        <w:rPr>
          <w:rFonts w:ascii="Times New Roman" w:hAnsi="Times New Roman" w:cs="Times New Roman"/>
          <w:b/>
          <w:sz w:val="24"/>
          <w:szCs w:val="24"/>
        </w:rPr>
      </w:pPr>
    </w:p>
    <w:p w14:paraId="2C3BF618" w14:textId="77777777" w:rsidR="00211641" w:rsidRDefault="00211641" w:rsidP="00211641">
      <w:pPr>
        <w:pStyle w:val="Heading1"/>
        <w:rPr>
          <w:rFonts w:ascii="Times New Roman" w:hAnsi="Times New Roman" w:cs="Times New Roman"/>
          <w:color w:val="auto"/>
        </w:rPr>
      </w:pPr>
      <w:bookmarkStart w:id="0" w:name="_Toc391628765"/>
      <w:r w:rsidRPr="00B17BBF">
        <w:rPr>
          <w:rFonts w:ascii="Times New Roman" w:hAnsi="Times New Roman" w:cs="Times New Roman"/>
          <w:color w:val="auto"/>
        </w:rPr>
        <w:lastRenderedPageBreak/>
        <w:t>Background</w:t>
      </w:r>
      <w:bookmarkEnd w:id="0"/>
    </w:p>
    <w:p w14:paraId="135CCE50" w14:textId="77777777" w:rsidR="00211641" w:rsidRPr="00B17BBF" w:rsidRDefault="00211641" w:rsidP="00211641"/>
    <w:p w14:paraId="6A639380"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On May 30, 2014, Avista Corporation filed its 2012-2013 Biennial Conservation Report (Conservation Report) with the </w:t>
      </w:r>
      <w:r w:rsidRPr="00F15A0F">
        <w:rPr>
          <w:rFonts w:ascii="Times New Roman" w:hAnsi="Times New Roman" w:cs="Times New Roman"/>
          <w:sz w:val="24"/>
          <w:szCs w:val="24"/>
        </w:rPr>
        <w:t>Washington Utilities and Transportation Commission</w:t>
      </w:r>
      <w:r>
        <w:rPr>
          <w:rFonts w:ascii="Times New Roman" w:hAnsi="Times New Roman" w:cs="Times New Roman"/>
          <w:sz w:val="24"/>
          <w:szCs w:val="24"/>
        </w:rPr>
        <w:t xml:space="preserve"> (commission), as required by Order 01 in this docket.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14:paraId="091E776F" w14:textId="77777777" w:rsidR="00211641" w:rsidRDefault="00211641" w:rsidP="00211641">
      <w:pPr>
        <w:rPr>
          <w:rFonts w:ascii="Times New Roman" w:hAnsi="Times New Roman" w:cs="Times New Roman"/>
          <w:sz w:val="24"/>
          <w:szCs w:val="24"/>
        </w:rPr>
      </w:pPr>
    </w:p>
    <w:p w14:paraId="70D8A04F"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Throughout the 2012-2013 </w:t>
      </w:r>
      <w:proofErr w:type="gramStart"/>
      <w:r>
        <w:rPr>
          <w:rFonts w:ascii="Times New Roman" w:hAnsi="Times New Roman" w:cs="Times New Roman"/>
          <w:sz w:val="24"/>
          <w:szCs w:val="24"/>
        </w:rPr>
        <w:t>biennium</w:t>
      </w:r>
      <w:proofErr w:type="gramEnd"/>
      <w:r>
        <w:rPr>
          <w:rFonts w:ascii="Times New Roman" w:hAnsi="Times New Roman" w:cs="Times New Roman"/>
          <w:sz w:val="24"/>
          <w:szCs w:val="24"/>
        </w:rPr>
        <w:t xml:space="preserve">, staff met regularly with Avista’s Demand-Side Management Advisory Group (Advisory Group). This allowed staff to conduct an ongoing review of the company’s progress toward meeting its biennial target and review proposed program changes before they were filed. </w:t>
      </w:r>
    </w:p>
    <w:p w14:paraId="418ADF60" w14:textId="77777777" w:rsidR="00211641" w:rsidRDefault="00211641" w:rsidP="00211641">
      <w:pPr>
        <w:tabs>
          <w:tab w:val="left" w:pos="1770"/>
        </w:tabs>
        <w:rPr>
          <w:rFonts w:ascii="Times New Roman" w:hAnsi="Times New Roman" w:cs="Times New Roman"/>
          <w:sz w:val="24"/>
          <w:szCs w:val="24"/>
        </w:rPr>
      </w:pPr>
      <w:r>
        <w:rPr>
          <w:rFonts w:ascii="Times New Roman" w:hAnsi="Times New Roman" w:cs="Times New Roman"/>
          <w:sz w:val="24"/>
          <w:szCs w:val="24"/>
        </w:rPr>
        <w:tab/>
      </w:r>
    </w:p>
    <w:p w14:paraId="07A83647"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Staff’s review of Avista’s Conservation Report focused on evaluating whether the company met the reporting requirements set forth in RCW 19.285.070 and WAC 480-109-040 and whether the company correctly reported savings for the biennium.</w:t>
      </w:r>
    </w:p>
    <w:p w14:paraId="5B36F172" w14:textId="77777777" w:rsidR="00211641" w:rsidRDefault="00211641" w:rsidP="00211641">
      <w:pPr>
        <w:rPr>
          <w:rFonts w:ascii="Times New Roman" w:hAnsi="Times New Roman" w:cs="Times New Roman"/>
          <w:sz w:val="24"/>
          <w:szCs w:val="24"/>
        </w:rPr>
      </w:pPr>
    </w:p>
    <w:p w14:paraId="65D99055" w14:textId="77777777" w:rsidR="00211641" w:rsidDel="001A00D9" w:rsidRDefault="00211641" w:rsidP="00211641">
      <w:pPr>
        <w:rPr>
          <w:rFonts w:ascii="Times New Roman" w:hAnsi="Times New Roman" w:cs="Times New Roman"/>
          <w:sz w:val="24"/>
          <w:szCs w:val="24"/>
        </w:rPr>
      </w:pPr>
      <w:r w:rsidDel="001A00D9">
        <w:rPr>
          <w:rFonts w:ascii="Times New Roman" w:hAnsi="Times New Roman" w:cs="Times New Roman"/>
          <w:sz w:val="24"/>
          <w:szCs w:val="24"/>
        </w:rPr>
        <w:t>P</w:t>
      </w:r>
      <w:r w:rsidRPr="002D1F61" w:rsidDel="001A00D9">
        <w:rPr>
          <w:rFonts w:ascii="Times New Roman" w:hAnsi="Times New Roman" w:cs="Times New Roman"/>
          <w:sz w:val="24"/>
          <w:szCs w:val="24"/>
        </w:rPr>
        <w:t xml:space="preserve">ursuant to Order 05 of joint Dockets </w:t>
      </w:r>
      <w:proofErr w:type="spellStart"/>
      <w:r w:rsidRPr="002D1F61" w:rsidDel="001A00D9">
        <w:rPr>
          <w:rFonts w:ascii="Times New Roman" w:hAnsi="Times New Roman" w:cs="Times New Roman"/>
          <w:sz w:val="24"/>
          <w:szCs w:val="24"/>
        </w:rPr>
        <w:t>UE</w:t>
      </w:r>
      <w:proofErr w:type="spellEnd"/>
      <w:r w:rsidRPr="002D1F61" w:rsidDel="001A00D9">
        <w:rPr>
          <w:rFonts w:ascii="Times New Roman" w:hAnsi="Times New Roman" w:cs="Times New Roman"/>
          <w:sz w:val="24"/>
          <w:szCs w:val="24"/>
        </w:rPr>
        <w:t xml:space="preserve">-110876 and </w:t>
      </w:r>
      <w:proofErr w:type="spellStart"/>
      <w:r w:rsidRPr="002D1F61" w:rsidDel="001A00D9">
        <w:rPr>
          <w:rFonts w:ascii="Times New Roman" w:hAnsi="Times New Roman" w:cs="Times New Roman"/>
          <w:sz w:val="24"/>
          <w:szCs w:val="24"/>
        </w:rPr>
        <w:t>UG</w:t>
      </w:r>
      <w:proofErr w:type="spellEnd"/>
      <w:r w:rsidRPr="002D1F61" w:rsidDel="001A00D9">
        <w:rPr>
          <w:rFonts w:ascii="Times New Roman" w:hAnsi="Times New Roman" w:cs="Times New Roman"/>
          <w:sz w:val="24"/>
          <w:szCs w:val="24"/>
        </w:rPr>
        <w:t>-110877</w:t>
      </w:r>
      <w:r w:rsidDel="001A00D9">
        <w:rPr>
          <w:rFonts w:ascii="Times New Roman" w:hAnsi="Times New Roman" w:cs="Times New Roman"/>
          <w:sz w:val="24"/>
          <w:szCs w:val="24"/>
        </w:rPr>
        <w:t>, staff also reviewed</w:t>
      </w:r>
      <w:r w:rsidRPr="006F17F1" w:rsidDel="001A00D9">
        <w:rPr>
          <w:rFonts w:ascii="Times New Roman" w:hAnsi="Times New Roman" w:cs="Times New Roman"/>
          <w:sz w:val="24"/>
          <w:szCs w:val="24"/>
        </w:rPr>
        <w:t xml:space="preserve"> </w:t>
      </w:r>
      <w:r w:rsidRPr="002D1F61" w:rsidDel="001A00D9">
        <w:rPr>
          <w:rFonts w:ascii="Times New Roman" w:hAnsi="Times New Roman" w:cs="Times New Roman"/>
          <w:sz w:val="24"/>
          <w:szCs w:val="24"/>
        </w:rPr>
        <w:t xml:space="preserve">testimony and supporting evidence to demonstrate the prudency of its </w:t>
      </w:r>
      <w:r w:rsidDel="001A00D9">
        <w:rPr>
          <w:rFonts w:ascii="Times New Roman" w:hAnsi="Times New Roman" w:cs="Times New Roman"/>
          <w:sz w:val="24"/>
          <w:szCs w:val="24"/>
        </w:rPr>
        <w:t>electric</w:t>
      </w:r>
      <w:r w:rsidRPr="002D1F61" w:rsidDel="001A00D9">
        <w:rPr>
          <w:rFonts w:ascii="Times New Roman" w:hAnsi="Times New Roman" w:cs="Times New Roman"/>
          <w:sz w:val="24"/>
          <w:szCs w:val="24"/>
        </w:rPr>
        <w:t xml:space="preserve"> demand side management (DSM) expenditures during the preceding biennium</w:t>
      </w:r>
      <w:r w:rsidDel="001A00D9">
        <w:rPr>
          <w:rFonts w:ascii="Times New Roman" w:hAnsi="Times New Roman" w:cs="Times New Roman"/>
          <w:sz w:val="24"/>
          <w:szCs w:val="24"/>
        </w:rPr>
        <w:t xml:space="preserve">. </w:t>
      </w:r>
    </w:p>
    <w:p w14:paraId="6682F8A0" w14:textId="77777777" w:rsidR="00211641" w:rsidRDefault="00211641" w:rsidP="00211641">
      <w:pPr>
        <w:rPr>
          <w:rFonts w:ascii="Times New Roman" w:hAnsi="Times New Roman" w:cs="Times New Roman"/>
          <w:sz w:val="24"/>
          <w:szCs w:val="24"/>
        </w:rPr>
      </w:pPr>
    </w:p>
    <w:p w14:paraId="4988F39B"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In these comments, staff will summarize Avista’s report, highlight key pieces of information, and identify lingering issues. Staff will also discuss recent and anticipated changes in the rules and policies affecting energy conservation. Staff will review comments filed by other parties in this matter and make a final recommendation on whether the Commission should issue an order accepting the report and finding that Avista has met its biennial conservation target, demonstrated prudency of its DSM expenditures, at the July 25, 2014, recessed open meeting.</w:t>
      </w:r>
    </w:p>
    <w:p w14:paraId="25F66737" w14:textId="77777777" w:rsidR="00211641" w:rsidRDefault="00211641" w:rsidP="00211641">
      <w:pPr>
        <w:pStyle w:val="Heading1"/>
        <w:rPr>
          <w:rFonts w:ascii="Times New Roman" w:hAnsi="Times New Roman" w:cs="Times New Roman"/>
          <w:color w:val="auto"/>
        </w:rPr>
      </w:pPr>
      <w:bookmarkStart w:id="1" w:name="_Toc391628766"/>
      <w:r w:rsidRPr="00B17BBF">
        <w:rPr>
          <w:rFonts w:ascii="Times New Roman" w:hAnsi="Times New Roman" w:cs="Times New Roman"/>
          <w:color w:val="auto"/>
        </w:rPr>
        <w:t>Avista’s Biennial Conservation Report</w:t>
      </w:r>
      <w:bookmarkEnd w:id="1"/>
    </w:p>
    <w:p w14:paraId="78E25DA7" w14:textId="77777777" w:rsidR="00211641" w:rsidRPr="00B17BBF" w:rsidRDefault="00211641" w:rsidP="00211641"/>
    <w:p w14:paraId="1F2FC41C"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In Order 01 of this docket, the commission approved a 2012-2013 biennial conservation target range of 108,589 to 197,557 megawatt-hours (MWh) for Avista. The company reports that it exceeded the bottom end of the range by 78 percent, achieving 192,749 MWh. The company spent about $31.5 million over the biennium, which is about 15 percent more than the $27 million budget the commission approved. A summary of Avista’s reported savings and expenditures is in Table 1:</w:t>
      </w:r>
    </w:p>
    <w:p w14:paraId="068323FE" w14:textId="77777777" w:rsidR="00211641" w:rsidRDefault="00211641" w:rsidP="00211641">
      <w:pPr>
        <w:rPr>
          <w:rFonts w:ascii="Times New Roman" w:hAnsi="Times New Roman" w:cs="Times New Roman"/>
          <w:sz w:val="24"/>
          <w:szCs w:val="24"/>
        </w:rPr>
      </w:pPr>
    </w:p>
    <w:p w14:paraId="70087520" w14:textId="77777777" w:rsidR="00211641" w:rsidRPr="00CC6F5C" w:rsidRDefault="00211641" w:rsidP="00211641">
      <w:pPr>
        <w:rPr>
          <w:rFonts w:ascii="Times New Roman" w:hAnsi="Times New Roman" w:cs="Times New Roman"/>
          <w:b/>
          <w:sz w:val="24"/>
          <w:szCs w:val="24"/>
        </w:rPr>
      </w:pPr>
      <w:r>
        <w:rPr>
          <w:rFonts w:ascii="Times New Roman" w:hAnsi="Times New Roman" w:cs="Times New Roman"/>
          <w:b/>
          <w:sz w:val="24"/>
          <w:szCs w:val="24"/>
        </w:rPr>
        <w:t>Table 1: Summary of Avista’s 2012-2013 Conservation Achievements</w:t>
      </w:r>
    </w:p>
    <w:tbl>
      <w:tblPr>
        <w:tblStyle w:val="TableGrid"/>
        <w:tblW w:w="0" w:type="auto"/>
        <w:tblInd w:w="144" w:type="dxa"/>
        <w:tblLook w:val="04A0" w:firstRow="1" w:lastRow="0" w:firstColumn="1" w:lastColumn="0" w:noHBand="0" w:noVBand="1"/>
      </w:tblPr>
      <w:tblGrid>
        <w:gridCol w:w="2766"/>
        <w:gridCol w:w="1960"/>
        <w:gridCol w:w="2360"/>
        <w:gridCol w:w="2346"/>
      </w:tblGrid>
      <w:tr w:rsidR="00211641" w14:paraId="4B314EF9" w14:textId="77777777" w:rsidTr="00DB1E03">
        <w:trPr>
          <w:trHeight w:val="395"/>
        </w:trPr>
        <w:tc>
          <w:tcPr>
            <w:tcW w:w="2808" w:type="dxa"/>
            <w:vAlign w:val="center"/>
          </w:tcPr>
          <w:p w14:paraId="0F825320" w14:textId="77777777" w:rsidR="00211641" w:rsidRDefault="00211641" w:rsidP="00DB1E03">
            <w:pPr>
              <w:rPr>
                <w:rFonts w:ascii="Times New Roman" w:hAnsi="Times New Roman" w:cs="Times New Roman"/>
                <w:sz w:val="24"/>
                <w:szCs w:val="24"/>
              </w:rPr>
            </w:pPr>
          </w:p>
        </w:tc>
        <w:tc>
          <w:tcPr>
            <w:tcW w:w="1980" w:type="dxa"/>
            <w:vAlign w:val="center"/>
          </w:tcPr>
          <w:p w14:paraId="15BBA7E7" w14:textId="77777777" w:rsidR="00211641" w:rsidRPr="00CC6F5C" w:rsidRDefault="00211641" w:rsidP="00DB1E03">
            <w:pPr>
              <w:rPr>
                <w:rFonts w:ascii="Times New Roman" w:hAnsi="Times New Roman" w:cs="Times New Roman"/>
                <w:b/>
                <w:sz w:val="24"/>
                <w:szCs w:val="24"/>
              </w:rPr>
            </w:pPr>
            <w:r w:rsidRPr="00CC6F5C">
              <w:rPr>
                <w:rFonts w:ascii="Times New Roman" w:hAnsi="Times New Roman" w:cs="Times New Roman"/>
                <w:b/>
                <w:sz w:val="24"/>
                <w:szCs w:val="24"/>
              </w:rPr>
              <w:t>Target</w:t>
            </w:r>
          </w:p>
        </w:tc>
        <w:tc>
          <w:tcPr>
            <w:tcW w:w="2394" w:type="dxa"/>
            <w:vAlign w:val="center"/>
          </w:tcPr>
          <w:p w14:paraId="5B250203" w14:textId="77777777" w:rsidR="00211641" w:rsidRPr="00CC6F5C" w:rsidRDefault="00211641" w:rsidP="00DB1E03">
            <w:pPr>
              <w:rPr>
                <w:rFonts w:ascii="Times New Roman" w:hAnsi="Times New Roman" w:cs="Times New Roman"/>
                <w:b/>
                <w:sz w:val="24"/>
                <w:szCs w:val="24"/>
              </w:rPr>
            </w:pPr>
            <w:r w:rsidRPr="00CC6F5C">
              <w:rPr>
                <w:rFonts w:ascii="Times New Roman" w:hAnsi="Times New Roman" w:cs="Times New Roman"/>
                <w:b/>
                <w:sz w:val="24"/>
                <w:szCs w:val="24"/>
              </w:rPr>
              <w:t>Actual</w:t>
            </w:r>
          </w:p>
        </w:tc>
        <w:tc>
          <w:tcPr>
            <w:tcW w:w="2394" w:type="dxa"/>
            <w:vAlign w:val="center"/>
          </w:tcPr>
          <w:p w14:paraId="35CB16AA" w14:textId="77777777" w:rsidR="00211641" w:rsidRPr="00CC6F5C" w:rsidRDefault="00211641" w:rsidP="00DB1E03">
            <w:pPr>
              <w:rPr>
                <w:rFonts w:ascii="Times New Roman" w:hAnsi="Times New Roman" w:cs="Times New Roman"/>
                <w:b/>
                <w:sz w:val="24"/>
                <w:szCs w:val="24"/>
              </w:rPr>
            </w:pPr>
            <w:r w:rsidRPr="00CC6F5C">
              <w:rPr>
                <w:rFonts w:ascii="Times New Roman" w:hAnsi="Times New Roman" w:cs="Times New Roman"/>
                <w:b/>
                <w:sz w:val="24"/>
                <w:szCs w:val="24"/>
              </w:rPr>
              <w:t>Percent</w:t>
            </w:r>
            <w:r>
              <w:rPr>
                <w:rFonts w:ascii="Times New Roman" w:hAnsi="Times New Roman" w:cs="Times New Roman"/>
                <w:b/>
                <w:sz w:val="24"/>
                <w:szCs w:val="24"/>
              </w:rPr>
              <w:t xml:space="preserve"> of target</w:t>
            </w:r>
          </w:p>
        </w:tc>
      </w:tr>
      <w:tr w:rsidR="00211641" w14:paraId="1AF3B5ED" w14:textId="77777777" w:rsidTr="00DB1E03">
        <w:trPr>
          <w:trHeight w:val="440"/>
        </w:trPr>
        <w:tc>
          <w:tcPr>
            <w:tcW w:w="2808" w:type="dxa"/>
            <w:vAlign w:val="center"/>
          </w:tcPr>
          <w:p w14:paraId="3DAF90C8" w14:textId="77777777" w:rsidR="00211641" w:rsidRPr="00CC6F5C" w:rsidRDefault="00211641" w:rsidP="00DB1E03">
            <w:pPr>
              <w:rPr>
                <w:rFonts w:ascii="Times New Roman" w:hAnsi="Times New Roman" w:cs="Times New Roman"/>
                <w:b/>
                <w:sz w:val="24"/>
                <w:szCs w:val="24"/>
              </w:rPr>
            </w:pPr>
            <w:r w:rsidRPr="00CC6F5C">
              <w:rPr>
                <w:rFonts w:ascii="Times New Roman" w:hAnsi="Times New Roman" w:cs="Times New Roman"/>
                <w:b/>
                <w:sz w:val="24"/>
                <w:szCs w:val="24"/>
              </w:rPr>
              <w:t>Savings (MWh)</w:t>
            </w:r>
          </w:p>
        </w:tc>
        <w:tc>
          <w:tcPr>
            <w:tcW w:w="1980" w:type="dxa"/>
            <w:vAlign w:val="center"/>
          </w:tcPr>
          <w:p w14:paraId="135218D5" w14:textId="77777777" w:rsidR="00211641" w:rsidRDefault="00211641" w:rsidP="00DB1E03">
            <w:pPr>
              <w:jc w:val="center"/>
              <w:rPr>
                <w:rFonts w:ascii="Times New Roman" w:hAnsi="Times New Roman" w:cs="Times New Roman"/>
                <w:sz w:val="24"/>
                <w:szCs w:val="24"/>
              </w:rPr>
            </w:pPr>
            <w:r>
              <w:rPr>
                <w:rFonts w:ascii="Times New Roman" w:hAnsi="Times New Roman" w:cs="Times New Roman"/>
                <w:sz w:val="24"/>
                <w:szCs w:val="24"/>
              </w:rPr>
              <w:t>108,589</w:t>
            </w:r>
          </w:p>
        </w:tc>
        <w:tc>
          <w:tcPr>
            <w:tcW w:w="2394" w:type="dxa"/>
            <w:vAlign w:val="center"/>
          </w:tcPr>
          <w:p w14:paraId="4F8F647E" w14:textId="77777777" w:rsidR="00211641" w:rsidRDefault="00211641" w:rsidP="00DB1E03">
            <w:pPr>
              <w:jc w:val="center"/>
              <w:rPr>
                <w:rFonts w:ascii="Times New Roman" w:hAnsi="Times New Roman" w:cs="Times New Roman"/>
                <w:sz w:val="24"/>
                <w:szCs w:val="24"/>
              </w:rPr>
            </w:pPr>
            <w:r>
              <w:rPr>
                <w:rFonts w:ascii="Times New Roman" w:hAnsi="Times New Roman" w:cs="Times New Roman"/>
                <w:sz w:val="24"/>
                <w:szCs w:val="24"/>
              </w:rPr>
              <w:t>192,749</w:t>
            </w:r>
          </w:p>
        </w:tc>
        <w:tc>
          <w:tcPr>
            <w:tcW w:w="2394" w:type="dxa"/>
            <w:vMerge w:val="restart"/>
            <w:vAlign w:val="center"/>
          </w:tcPr>
          <w:p w14:paraId="4B0F09B1" w14:textId="77777777" w:rsidR="00211641" w:rsidRDefault="00211641" w:rsidP="00DB1E03">
            <w:pPr>
              <w:jc w:val="center"/>
              <w:rPr>
                <w:rFonts w:ascii="Times New Roman" w:hAnsi="Times New Roman" w:cs="Times New Roman"/>
                <w:sz w:val="24"/>
                <w:szCs w:val="24"/>
              </w:rPr>
            </w:pPr>
            <w:r>
              <w:rPr>
                <w:rFonts w:ascii="Times New Roman" w:hAnsi="Times New Roman" w:cs="Times New Roman"/>
                <w:sz w:val="24"/>
                <w:szCs w:val="24"/>
              </w:rPr>
              <w:t>178%</w:t>
            </w:r>
          </w:p>
        </w:tc>
      </w:tr>
      <w:tr w:rsidR="00211641" w14:paraId="7A24D25F" w14:textId="77777777" w:rsidTr="00DB1E03">
        <w:trPr>
          <w:trHeight w:val="440"/>
        </w:trPr>
        <w:tc>
          <w:tcPr>
            <w:tcW w:w="2808" w:type="dxa"/>
            <w:vAlign w:val="center"/>
          </w:tcPr>
          <w:p w14:paraId="12970AC9" w14:textId="77777777" w:rsidR="00211641" w:rsidRPr="00CC6F5C" w:rsidRDefault="00211641" w:rsidP="00DB1E03">
            <w:pPr>
              <w:rPr>
                <w:rFonts w:ascii="Times New Roman" w:hAnsi="Times New Roman" w:cs="Times New Roman"/>
                <w:b/>
                <w:sz w:val="24"/>
                <w:szCs w:val="24"/>
              </w:rPr>
            </w:pPr>
            <w:r w:rsidRPr="00CC6F5C">
              <w:rPr>
                <w:rFonts w:ascii="Times New Roman" w:hAnsi="Times New Roman" w:cs="Times New Roman"/>
                <w:b/>
                <w:sz w:val="24"/>
                <w:szCs w:val="24"/>
              </w:rPr>
              <w:t>Savings (average MW)</w:t>
            </w:r>
          </w:p>
        </w:tc>
        <w:tc>
          <w:tcPr>
            <w:tcW w:w="1980" w:type="dxa"/>
            <w:vAlign w:val="center"/>
          </w:tcPr>
          <w:p w14:paraId="478571A6" w14:textId="77777777" w:rsidR="00211641" w:rsidRDefault="00211641" w:rsidP="00DB1E03">
            <w:pPr>
              <w:jc w:val="center"/>
              <w:rPr>
                <w:rFonts w:ascii="Times New Roman" w:hAnsi="Times New Roman" w:cs="Times New Roman"/>
                <w:sz w:val="24"/>
                <w:szCs w:val="24"/>
              </w:rPr>
            </w:pPr>
            <w:r>
              <w:rPr>
                <w:rFonts w:ascii="Times New Roman" w:hAnsi="Times New Roman" w:cs="Times New Roman"/>
                <w:sz w:val="24"/>
                <w:szCs w:val="24"/>
              </w:rPr>
              <w:t>12.4</w:t>
            </w:r>
          </w:p>
        </w:tc>
        <w:tc>
          <w:tcPr>
            <w:tcW w:w="2394" w:type="dxa"/>
            <w:vAlign w:val="center"/>
          </w:tcPr>
          <w:p w14:paraId="6565C2B9" w14:textId="77777777" w:rsidR="00211641" w:rsidRDefault="00211641" w:rsidP="00DB1E03">
            <w:pPr>
              <w:jc w:val="center"/>
              <w:rPr>
                <w:rFonts w:ascii="Times New Roman" w:hAnsi="Times New Roman" w:cs="Times New Roman"/>
                <w:sz w:val="24"/>
                <w:szCs w:val="24"/>
              </w:rPr>
            </w:pPr>
            <w:r>
              <w:rPr>
                <w:rFonts w:ascii="Times New Roman" w:hAnsi="Times New Roman" w:cs="Times New Roman"/>
                <w:sz w:val="24"/>
                <w:szCs w:val="24"/>
              </w:rPr>
              <w:t>22</w:t>
            </w:r>
          </w:p>
        </w:tc>
        <w:tc>
          <w:tcPr>
            <w:tcW w:w="2394" w:type="dxa"/>
            <w:vMerge/>
            <w:vAlign w:val="center"/>
          </w:tcPr>
          <w:p w14:paraId="0BEC0FBF" w14:textId="77777777" w:rsidR="00211641" w:rsidRDefault="00211641" w:rsidP="00DB1E03">
            <w:pPr>
              <w:jc w:val="center"/>
              <w:rPr>
                <w:rFonts w:ascii="Times New Roman" w:hAnsi="Times New Roman" w:cs="Times New Roman"/>
                <w:sz w:val="24"/>
                <w:szCs w:val="24"/>
              </w:rPr>
            </w:pPr>
          </w:p>
        </w:tc>
      </w:tr>
      <w:tr w:rsidR="00211641" w14:paraId="3833CE12" w14:textId="77777777" w:rsidTr="00DB1E03">
        <w:trPr>
          <w:trHeight w:val="440"/>
        </w:trPr>
        <w:tc>
          <w:tcPr>
            <w:tcW w:w="2808" w:type="dxa"/>
            <w:vAlign w:val="center"/>
          </w:tcPr>
          <w:p w14:paraId="71A78B5B" w14:textId="77777777" w:rsidR="00211641" w:rsidRPr="00CC6F5C" w:rsidRDefault="00211641" w:rsidP="00DB1E03">
            <w:pPr>
              <w:rPr>
                <w:rFonts w:ascii="Times New Roman" w:hAnsi="Times New Roman" w:cs="Times New Roman"/>
                <w:b/>
                <w:sz w:val="24"/>
                <w:szCs w:val="24"/>
              </w:rPr>
            </w:pPr>
            <w:r w:rsidRPr="00CC6F5C">
              <w:rPr>
                <w:rFonts w:ascii="Times New Roman" w:hAnsi="Times New Roman" w:cs="Times New Roman"/>
                <w:b/>
                <w:sz w:val="24"/>
                <w:szCs w:val="24"/>
              </w:rPr>
              <w:t>Expenditures</w:t>
            </w:r>
          </w:p>
        </w:tc>
        <w:tc>
          <w:tcPr>
            <w:tcW w:w="1980" w:type="dxa"/>
            <w:vAlign w:val="center"/>
          </w:tcPr>
          <w:p w14:paraId="439A2436" w14:textId="77777777" w:rsidR="00211641" w:rsidRDefault="00211641" w:rsidP="00DB1E03">
            <w:pPr>
              <w:jc w:val="center"/>
              <w:rPr>
                <w:rFonts w:ascii="Times New Roman" w:hAnsi="Times New Roman" w:cs="Times New Roman"/>
                <w:sz w:val="24"/>
                <w:szCs w:val="24"/>
              </w:rPr>
            </w:pPr>
            <w:r>
              <w:rPr>
                <w:rFonts w:ascii="Times New Roman" w:hAnsi="Times New Roman" w:cs="Times New Roman"/>
                <w:sz w:val="24"/>
                <w:szCs w:val="24"/>
              </w:rPr>
              <w:t>$26,985,290</w:t>
            </w:r>
          </w:p>
        </w:tc>
        <w:tc>
          <w:tcPr>
            <w:tcW w:w="2394" w:type="dxa"/>
            <w:vAlign w:val="center"/>
          </w:tcPr>
          <w:p w14:paraId="0B6BF2BA" w14:textId="77777777" w:rsidR="00211641" w:rsidRDefault="00211641" w:rsidP="00DB1E03">
            <w:pPr>
              <w:jc w:val="center"/>
              <w:rPr>
                <w:rFonts w:ascii="Times New Roman" w:hAnsi="Times New Roman" w:cs="Times New Roman"/>
                <w:sz w:val="24"/>
                <w:szCs w:val="24"/>
              </w:rPr>
            </w:pPr>
            <w:r>
              <w:rPr>
                <w:rFonts w:ascii="Times New Roman" w:hAnsi="Times New Roman" w:cs="Times New Roman"/>
                <w:sz w:val="24"/>
                <w:szCs w:val="24"/>
              </w:rPr>
              <w:t>$31,545,109</w:t>
            </w:r>
          </w:p>
        </w:tc>
        <w:tc>
          <w:tcPr>
            <w:tcW w:w="2394" w:type="dxa"/>
            <w:vAlign w:val="center"/>
          </w:tcPr>
          <w:p w14:paraId="474B8B82" w14:textId="77777777" w:rsidR="00211641" w:rsidRDefault="00211641" w:rsidP="00DB1E03">
            <w:pPr>
              <w:jc w:val="center"/>
              <w:rPr>
                <w:rFonts w:ascii="Times New Roman" w:hAnsi="Times New Roman" w:cs="Times New Roman"/>
                <w:sz w:val="24"/>
                <w:szCs w:val="24"/>
              </w:rPr>
            </w:pPr>
            <w:r>
              <w:rPr>
                <w:rFonts w:ascii="Times New Roman" w:hAnsi="Times New Roman" w:cs="Times New Roman"/>
                <w:sz w:val="24"/>
                <w:szCs w:val="24"/>
              </w:rPr>
              <w:t>115%</w:t>
            </w:r>
          </w:p>
        </w:tc>
      </w:tr>
    </w:tbl>
    <w:p w14:paraId="36756C32" w14:textId="77777777" w:rsidR="00211641" w:rsidRDefault="00211641" w:rsidP="00211641">
      <w:pPr>
        <w:rPr>
          <w:rFonts w:ascii="Times New Roman" w:hAnsi="Times New Roman" w:cs="Times New Roman"/>
          <w:sz w:val="24"/>
          <w:szCs w:val="24"/>
        </w:rPr>
      </w:pPr>
    </w:p>
    <w:p w14:paraId="51C483F8"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lastRenderedPageBreak/>
        <w:t>Using the Northwest Power and Conservation Council’s (Council) cost-effectiveness test, Avista reported a cost-effectiveness ratio of 1.3 for its conservation portfolio during the biennium.</w:t>
      </w:r>
    </w:p>
    <w:p w14:paraId="7B0797B5" w14:textId="77777777" w:rsidR="00211641" w:rsidRDefault="00211641" w:rsidP="00211641">
      <w:pPr>
        <w:rPr>
          <w:rFonts w:ascii="Times New Roman" w:hAnsi="Times New Roman" w:cs="Times New Roman"/>
          <w:sz w:val="24"/>
          <w:szCs w:val="24"/>
        </w:rPr>
      </w:pPr>
    </w:p>
    <w:p w14:paraId="6D53FA0E" w14:textId="77777777" w:rsidR="00211641" w:rsidRPr="00BA70EC"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Avista’s significant overachievement of its target was largely driven by its inclusion of the </w:t>
      </w:r>
      <w:proofErr w:type="spellStart"/>
      <w:r>
        <w:rPr>
          <w:rFonts w:ascii="Times New Roman" w:hAnsi="Times New Roman" w:cs="Times New Roman"/>
          <w:sz w:val="24"/>
          <w:szCs w:val="24"/>
        </w:rPr>
        <w:t>Opower</w:t>
      </w:r>
      <w:proofErr w:type="spellEnd"/>
      <w:r>
        <w:rPr>
          <w:rFonts w:ascii="Times New Roman" w:hAnsi="Times New Roman" w:cs="Times New Roman"/>
          <w:sz w:val="24"/>
          <w:szCs w:val="24"/>
        </w:rPr>
        <w:t xml:space="preserve"> residential savings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savings from the 2011 </w:t>
      </w:r>
      <w:proofErr w:type="spellStart"/>
      <w:r>
        <w:rPr>
          <w:rFonts w:ascii="Times New Roman" w:hAnsi="Times New Roman" w:cs="Times New Roman"/>
          <w:sz w:val="24"/>
          <w:szCs w:val="24"/>
        </w:rPr>
        <w:t>CFL</w:t>
      </w:r>
      <w:proofErr w:type="spellEnd"/>
      <w:r>
        <w:rPr>
          <w:rFonts w:ascii="Times New Roman" w:hAnsi="Times New Roman" w:cs="Times New Roman"/>
          <w:sz w:val="24"/>
          <w:szCs w:val="24"/>
        </w:rPr>
        <w:t xml:space="preserve"> contingency program that occurred in 2012, and higher than expected savings from its participation in the Northwest Energy Efficiency Alliance (</w:t>
      </w:r>
      <w:proofErr w:type="spellStart"/>
      <w:r>
        <w:rPr>
          <w:rFonts w:ascii="Times New Roman" w:hAnsi="Times New Roman" w:cs="Times New Roman"/>
          <w:sz w:val="24"/>
          <w:szCs w:val="24"/>
        </w:rPr>
        <w:t>NEEA</w:t>
      </w:r>
      <w:proofErr w:type="spellEnd"/>
      <w:r>
        <w:rPr>
          <w:rFonts w:ascii="Times New Roman" w:hAnsi="Times New Roman" w:cs="Times New Roman"/>
          <w:sz w:val="24"/>
          <w:szCs w:val="24"/>
        </w:rPr>
        <w:t xml:space="preserve">). </w:t>
      </w:r>
    </w:p>
    <w:p w14:paraId="49ACDC4D" w14:textId="77777777" w:rsidR="00211641" w:rsidRDefault="00211641" w:rsidP="00211641">
      <w:pPr>
        <w:pStyle w:val="Heading1"/>
        <w:rPr>
          <w:rFonts w:ascii="Times New Roman" w:hAnsi="Times New Roman" w:cs="Times New Roman"/>
          <w:color w:val="auto"/>
        </w:rPr>
      </w:pPr>
      <w:bookmarkStart w:id="2" w:name="_Toc391628767"/>
      <w:r w:rsidRPr="00B17BBF">
        <w:rPr>
          <w:rFonts w:ascii="Times New Roman" w:hAnsi="Times New Roman" w:cs="Times New Roman"/>
          <w:color w:val="auto"/>
        </w:rPr>
        <w:t>Discussion</w:t>
      </w:r>
      <w:bookmarkEnd w:id="2"/>
    </w:p>
    <w:p w14:paraId="078C6180" w14:textId="77777777" w:rsidR="00211641" w:rsidRDefault="00211641" w:rsidP="00211641">
      <w:pPr>
        <w:rPr>
          <w:rFonts w:ascii="Times New Roman" w:hAnsi="Times New Roman" w:cs="Times New Roman"/>
          <w:sz w:val="24"/>
          <w:szCs w:val="24"/>
        </w:rPr>
      </w:pPr>
    </w:p>
    <w:p w14:paraId="2F8511B7" w14:textId="77777777" w:rsidR="00211641" w:rsidRPr="00C90CE2" w:rsidRDefault="00211641" w:rsidP="00211641">
      <w:pPr>
        <w:rPr>
          <w:rFonts w:ascii="Times New Roman" w:hAnsi="Times New Roman" w:cs="Times New Roman"/>
          <w:sz w:val="24"/>
          <w:szCs w:val="24"/>
        </w:rPr>
      </w:pPr>
      <w:r>
        <w:rPr>
          <w:rFonts w:ascii="Times New Roman" w:hAnsi="Times New Roman" w:cs="Times New Roman"/>
          <w:sz w:val="24"/>
          <w:szCs w:val="24"/>
        </w:rPr>
        <w:t>Avista achieved 97 percent of its reported savings, an impressive realization rate considering the complexity</w:t>
      </w:r>
      <w:r w:rsidDel="002D4624">
        <w:rPr>
          <w:rFonts w:ascii="Times New Roman" w:hAnsi="Times New Roman" w:cs="Times New Roman"/>
          <w:sz w:val="24"/>
          <w:szCs w:val="24"/>
        </w:rPr>
        <w:t xml:space="preserve"> </w:t>
      </w:r>
      <w:r>
        <w:rPr>
          <w:rFonts w:ascii="Times New Roman" w:hAnsi="Times New Roman" w:cs="Times New Roman"/>
          <w:sz w:val="24"/>
          <w:szCs w:val="24"/>
        </w:rPr>
        <w:t xml:space="preserve">of its portfolio. Staff appreciates Avista’s engagement with the advisory group and its responsiveness to inquiries. However, staff agrees with the third-party reviewer that Avista must address some significant organizational issues, particularly intra-team communication and process evaluation reviews. </w:t>
      </w:r>
    </w:p>
    <w:p w14:paraId="1F056563" w14:textId="77777777" w:rsidR="00211641" w:rsidRDefault="00211641" w:rsidP="00211641">
      <w:pPr>
        <w:pStyle w:val="Heading2"/>
        <w:rPr>
          <w:rFonts w:ascii="Times New Roman" w:hAnsi="Times New Roman" w:cs="Times New Roman"/>
          <w:b w:val="0"/>
          <w:color w:val="auto"/>
          <w:sz w:val="24"/>
          <w:szCs w:val="24"/>
        </w:rPr>
      </w:pPr>
      <w:bookmarkStart w:id="3" w:name="_Toc391628768"/>
      <w:r w:rsidRPr="002D39C2">
        <w:rPr>
          <w:rFonts w:ascii="Times New Roman" w:hAnsi="Times New Roman" w:cs="Times New Roman"/>
          <w:b w:val="0"/>
          <w:i/>
          <w:color w:val="auto"/>
          <w:sz w:val="24"/>
          <w:szCs w:val="24"/>
        </w:rPr>
        <w:t>Third-Party Re</w:t>
      </w:r>
      <w:r>
        <w:rPr>
          <w:rFonts w:ascii="Times New Roman" w:hAnsi="Times New Roman" w:cs="Times New Roman"/>
          <w:b w:val="0"/>
          <w:i/>
          <w:color w:val="auto"/>
          <w:sz w:val="24"/>
          <w:szCs w:val="24"/>
        </w:rPr>
        <w:t>view</w:t>
      </w:r>
      <w:bookmarkEnd w:id="3"/>
    </w:p>
    <w:p w14:paraId="2D0F3A84" w14:textId="77777777" w:rsidR="00211641" w:rsidRPr="00D85E97" w:rsidRDefault="00211641" w:rsidP="00211641">
      <w:pPr>
        <w:rPr>
          <w:b/>
        </w:rPr>
      </w:pPr>
    </w:p>
    <w:p w14:paraId="3C44B298"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Avista retained the Cadmus Group (Cadmus) to perform the third-party evaluations in the past two biennia. All of the evaluations in the review period determined that the programs were run efficiently, but consecutive reviews identified key implementation challenges</w:t>
      </w:r>
      <w:r w:rsidRPr="00C91324">
        <w:rPr>
          <w:rFonts w:ascii="Times New Roman" w:hAnsi="Times New Roman" w:cs="Times New Roman"/>
          <w:sz w:val="24"/>
          <w:szCs w:val="24"/>
        </w:rPr>
        <w:t xml:space="preserve"> </w:t>
      </w:r>
      <w:r>
        <w:rPr>
          <w:rFonts w:ascii="Times New Roman" w:hAnsi="Times New Roman" w:cs="Times New Roman"/>
          <w:sz w:val="24"/>
          <w:szCs w:val="24"/>
        </w:rPr>
        <w:t>with the company’s project review process. Notably, Cadmus identified program delays resulting from poor team communication, and the lack of any formal follow-through procedure when problems were discovered in a review. Notably, the 2012 review discovered that only about one-third of the company’s large conservation projects were actually reviewed, despite protocol that calls for all large projects to be reviewed.  In its Conservation Report, the company concedes that it must do a better job and notes that it is implementing a new technical and administrative review process called “Top Sheet” that is designed to ensure a second review at each project.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company also implemented a random internal review of site-specific projects to incorporate continuous process improvement.  </w:t>
      </w:r>
    </w:p>
    <w:p w14:paraId="3284467D" w14:textId="77777777" w:rsidR="00211641" w:rsidRDefault="00211641" w:rsidP="00211641">
      <w:pPr>
        <w:rPr>
          <w:rFonts w:ascii="Times New Roman" w:hAnsi="Times New Roman" w:cs="Times New Roman"/>
          <w:sz w:val="24"/>
          <w:szCs w:val="24"/>
        </w:rPr>
      </w:pPr>
    </w:p>
    <w:p w14:paraId="1790F803"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 As part of its written review, Cadmus also submitted a new set of recommendations in its 2012-2013 biennium program and process evaluations. Avista only received the reports two weeks before its Conservation Report filing was due to the Commission, therefore staff understands that the company did not have sufficient time to respond directly to the new comments. However, staff is troubled to see some of the same recommendations being made, particularly around the need for standardized processes and better team communication applied to non-residential large projects. In the biennial Process Evaluation Report, Cadmus recommended that the company create a quality control system in addition to the company’s Top Sheet for a redundant check on all large projects, as well as an external third-party review of completed Top Sheets for completeness and accuracy. Cadmus also asks that the company develop standardized processes </w:t>
      </w:r>
      <w:r>
        <w:rPr>
          <w:rFonts w:ascii="Times New Roman" w:hAnsi="Times New Roman" w:cs="Times New Roman"/>
          <w:sz w:val="24"/>
          <w:szCs w:val="24"/>
        </w:rPr>
        <w:lastRenderedPageBreak/>
        <w:t xml:space="preserve">with the DSM group, including clear delineation of roles and assignments of all processes and responsibilities. </w:t>
      </w:r>
    </w:p>
    <w:p w14:paraId="2F875352" w14:textId="77777777" w:rsidR="00211641" w:rsidRPr="002A169B" w:rsidRDefault="00211641" w:rsidP="00211641">
      <w:pPr>
        <w:rPr>
          <w:rFonts w:ascii="Times New Roman" w:hAnsi="Times New Roman" w:cs="Times New Roman"/>
          <w:color w:val="FF0000"/>
          <w:sz w:val="24"/>
          <w:szCs w:val="24"/>
        </w:rPr>
      </w:pPr>
    </w:p>
    <w:p w14:paraId="75944E85"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Avista is currently undergoing a reorganization of the DSM group, hiring a new Senior Manager of Energy Efficiency, effective July 1. According to the company, the goal is to bring its divided team back under central leadership with the same goals and vision. It is evident that the company is trying to fix many of the process and organizational issues facing the team. Cadmus supports the reorganization in the direct testimony of Mr. </w:t>
      </w:r>
      <w:proofErr w:type="spellStart"/>
      <w:r>
        <w:rPr>
          <w:rFonts w:ascii="Times New Roman" w:hAnsi="Times New Roman" w:cs="Times New Roman"/>
          <w:sz w:val="24"/>
          <w:szCs w:val="24"/>
        </w:rPr>
        <w:t>Khawaja</w:t>
      </w:r>
      <w:proofErr w:type="spellEnd"/>
      <w:r>
        <w:rPr>
          <w:rFonts w:ascii="Times New Roman" w:hAnsi="Times New Roman" w:cs="Times New Roman"/>
          <w:sz w:val="24"/>
          <w:szCs w:val="24"/>
        </w:rPr>
        <w:t xml:space="preserve"> who reiterates that the team should clarify responsibilities and improve coordination within and between the team. He also recommends that the company continue to define and document program processes. </w:t>
      </w:r>
    </w:p>
    <w:p w14:paraId="55954D6F" w14:textId="77777777" w:rsidR="00211641" w:rsidRDefault="00211641" w:rsidP="00211641">
      <w:pPr>
        <w:rPr>
          <w:rFonts w:ascii="Times New Roman" w:hAnsi="Times New Roman" w:cs="Times New Roman"/>
          <w:sz w:val="24"/>
          <w:szCs w:val="24"/>
        </w:rPr>
      </w:pPr>
    </w:p>
    <w:p w14:paraId="5BC88499"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Staff is pleased with recent developments and the steps the company is taking to remedy its organizational and process challenges. Staff anticipates that in the coming weeks the company will report the new organizational structure to the advisory group, and then begin working with the advisory group to improve its program.</w:t>
      </w:r>
    </w:p>
    <w:p w14:paraId="3693C34A" w14:textId="77777777" w:rsidR="00211641" w:rsidRDefault="00211641" w:rsidP="00211641">
      <w:pPr>
        <w:pStyle w:val="Heading2"/>
        <w:rPr>
          <w:rFonts w:ascii="Times New Roman" w:hAnsi="Times New Roman" w:cs="Times New Roman"/>
          <w:b w:val="0"/>
          <w:i/>
          <w:color w:val="auto"/>
          <w:sz w:val="24"/>
          <w:szCs w:val="24"/>
        </w:rPr>
      </w:pPr>
      <w:bookmarkStart w:id="4" w:name="_Toc391628769"/>
      <w:proofErr w:type="spellStart"/>
      <w:r w:rsidRPr="002D39C2">
        <w:rPr>
          <w:rFonts w:ascii="Times New Roman" w:hAnsi="Times New Roman" w:cs="Times New Roman"/>
          <w:b w:val="0"/>
          <w:i/>
          <w:color w:val="auto"/>
          <w:sz w:val="24"/>
          <w:szCs w:val="24"/>
        </w:rPr>
        <w:t>CFL</w:t>
      </w:r>
      <w:proofErr w:type="spellEnd"/>
      <w:r w:rsidRPr="002D39C2">
        <w:rPr>
          <w:rFonts w:ascii="Times New Roman" w:hAnsi="Times New Roman" w:cs="Times New Roman"/>
          <w:b w:val="0"/>
          <w:i/>
          <w:color w:val="auto"/>
          <w:sz w:val="24"/>
          <w:szCs w:val="24"/>
        </w:rPr>
        <w:t xml:space="preserve"> Contingency</w:t>
      </w:r>
      <w:bookmarkEnd w:id="4"/>
    </w:p>
    <w:p w14:paraId="5DB7C253" w14:textId="77777777" w:rsidR="00211641" w:rsidRDefault="00211641" w:rsidP="00211641">
      <w:pPr>
        <w:rPr>
          <w:rFonts w:ascii="Times New Roman" w:hAnsi="Times New Roman" w:cs="Times New Roman"/>
          <w:sz w:val="24"/>
          <w:szCs w:val="24"/>
        </w:rPr>
      </w:pPr>
      <w:bookmarkStart w:id="5" w:name="_Toc391628770"/>
    </w:p>
    <w:p w14:paraId="6DA6DF30"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Beginning in July 2011 and continuing through November 2011, Avista mailed a box of eight Energy Star </w:t>
      </w:r>
      <w:proofErr w:type="spellStart"/>
      <w:r>
        <w:rPr>
          <w:rFonts w:ascii="Times New Roman" w:hAnsi="Times New Roman" w:cs="Times New Roman"/>
          <w:sz w:val="24"/>
          <w:szCs w:val="24"/>
        </w:rPr>
        <w:t>CFLs</w:t>
      </w:r>
      <w:proofErr w:type="spellEnd"/>
      <w:r>
        <w:rPr>
          <w:rFonts w:ascii="Times New Roman" w:hAnsi="Times New Roman" w:cs="Times New Roman"/>
          <w:sz w:val="24"/>
          <w:szCs w:val="24"/>
        </w:rPr>
        <w:t xml:space="preserve"> to residences and small businesses as part of its </w:t>
      </w:r>
      <w:proofErr w:type="spellStart"/>
      <w:r>
        <w:rPr>
          <w:rFonts w:ascii="Times New Roman" w:hAnsi="Times New Roman" w:cs="Times New Roman"/>
          <w:sz w:val="24"/>
          <w:szCs w:val="24"/>
        </w:rPr>
        <w:t>CFL</w:t>
      </w:r>
      <w:proofErr w:type="spellEnd"/>
      <w:r>
        <w:rPr>
          <w:rFonts w:ascii="Times New Roman" w:hAnsi="Times New Roman" w:cs="Times New Roman"/>
          <w:sz w:val="24"/>
          <w:szCs w:val="24"/>
        </w:rPr>
        <w:t xml:space="preserve"> Contingency Plan filed in Docket </w:t>
      </w:r>
      <w:proofErr w:type="spellStart"/>
      <w:r>
        <w:rPr>
          <w:rFonts w:ascii="Times New Roman" w:hAnsi="Times New Roman" w:cs="Times New Roman"/>
          <w:sz w:val="24"/>
          <w:szCs w:val="24"/>
        </w:rPr>
        <w:t>UE</w:t>
      </w:r>
      <w:proofErr w:type="spellEnd"/>
      <w:r>
        <w:rPr>
          <w:rFonts w:ascii="Times New Roman" w:hAnsi="Times New Roman" w:cs="Times New Roman"/>
          <w:sz w:val="24"/>
          <w:szCs w:val="24"/>
        </w:rPr>
        <w:t xml:space="preserve">-100176. Avista claimed savings from the program in the 2010-2011 biennium based on third-party impact analysis. In Order 03, the Commission concluded that the company should use the “deemed” savings developed by the Regional Technical Forum rather than its own method for the related </w:t>
      </w:r>
      <w:r w:rsidRPr="00BD43EF">
        <w:rPr>
          <w:rFonts w:ascii="Times New Roman" w:hAnsi="Times New Roman" w:cs="Times New Roman"/>
          <w:sz w:val="24"/>
          <w:szCs w:val="24"/>
        </w:rPr>
        <w:t xml:space="preserve">Simple Steps, Smart </w:t>
      </w:r>
      <w:proofErr w:type="spellStart"/>
      <w:r w:rsidRPr="00BD43EF">
        <w:rPr>
          <w:rFonts w:ascii="Times New Roman" w:hAnsi="Times New Roman" w:cs="Times New Roman"/>
          <w:sz w:val="24"/>
          <w:szCs w:val="24"/>
        </w:rPr>
        <w:t>Savings</w:t>
      </w:r>
      <w:r w:rsidRPr="00581DEC">
        <w:rPr>
          <w:rFonts w:ascii="Times New Roman" w:hAnsi="Times New Roman" w:cs="Times New Roman"/>
          <w:sz w:val="24"/>
          <w:szCs w:val="24"/>
          <w:vertAlign w:val="superscript"/>
        </w:rPr>
        <w:t>TM</w:t>
      </w:r>
      <w:proofErr w:type="spellEnd"/>
      <w:r>
        <w:rPr>
          <w:rFonts w:ascii="Times New Roman" w:hAnsi="Times New Roman" w:cs="Times New Roman"/>
          <w:sz w:val="24"/>
          <w:szCs w:val="24"/>
        </w:rPr>
        <w:t xml:space="preserve"> program.</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The company believed that the Commission expected the same treatment of the </w:t>
      </w:r>
      <w:proofErr w:type="spellStart"/>
      <w:r>
        <w:rPr>
          <w:rFonts w:ascii="Times New Roman" w:hAnsi="Times New Roman" w:cs="Times New Roman"/>
          <w:sz w:val="24"/>
          <w:szCs w:val="24"/>
        </w:rPr>
        <w:t>CFL</w:t>
      </w:r>
      <w:proofErr w:type="spellEnd"/>
      <w:r>
        <w:rPr>
          <w:rFonts w:ascii="Times New Roman" w:hAnsi="Times New Roman" w:cs="Times New Roman"/>
          <w:sz w:val="24"/>
          <w:szCs w:val="24"/>
        </w:rPr>
        <w:t xml:space="preserve"> Contingency Plan, stopped performing impact analysis, and adopted a RTF methodology. </w:t>
      </w:r>
    </w:p>
    <w:p w14:paraId="35CD2A00" w14:textId="77777777" w:rsidR="00211641" w:rsidRDefault="00211641" w:rsidP="00211641">
      <w:pPr>
        <w:rPr>
          <w:rFonts w:ascii="Times New Roman" w:hAnsi="Times New Roman" w:cs="Times New Roman"/>
          <w:sz w:val="24"/>
          <w:szCs w:val="24"/>
        </w:rPr>
      </w:pPr>
    </w:p>
    <w:p w14:paraId="1AD11BB1"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In its Conservation Report, Avista is claiming savings of 21,179 MWh in 2012 using methodology it believes is consistent with the RTF. The methodology’s in-service rate assumes that some of the </w:t>
      </w:r>
      <w:proofErr w:type="spellStart"/>
      <w:r>
        <w:rPr>
          <w:rFonts w:ascii="Times New Roman" w:hAnsi="Times New Roman" w:cs="Times New Roman"/>
          <w:sz w:val="24"/>
          <w:szCs w:val="24"/>
        </w:rPr>
        <w:t>CFLs</w:t>
      </w:r>
      <w:proofErr w:type="spellEnd"/>
      <w:r>
        <w:rPr>
          <w:rFonts w:ascii="Times New Roman" w:hAnsi="Times New Roman" w:cs="Times New Roman"/>
          <w:sz w:val="24"/>
          <w:szCs w:val="24"/>
        </w:rPr>
        <w:t xml:space="preserve"> distributed to Avista’s customers in 2011 would be installed during 2012, and uses the 2013 RTF installation rate to record the first-year savings of bulbs assumed to be installed in 2012. Avista provided staff with a timeline of events related to the Contingency Plan.</w:t>
      </w:r>
    </w:p>
    <w:p w14:paraId="63201909" w14:textId="77777777" w:rsidR="00211641" w:rsidRDefault="00211641" w:rsidP="00211641">
      <w:pPr>
        <w:rPr>
          <w:rFonts w:ascii="Times New Roman" w:hAnsi="Times New Roman" w:cs="Times New Roman"/>
          <w:sz w:val="24"/>
          <w:szCs w:val="24"/>
        </w:rPr>
      </w:pPr>
    </w:p>
    <w:p w14:paraId="616D4FE6" w14:textId="320F51D1"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The standard practice is to record first-year savings in the year the measure was installed, despite when the first-year savings will accrue. For example, if a customer installs a low-flow showerhead on December 31, 2011, all of the first-year savings would be recorded as having been achieved in 2011. In the Contingency Plan, the eight </w:t>
      </w:r>
      <w:proofErr w:type="spellStart"/>
      <w:r>
        <w:rPr>
          <w:rFonts w:ascii="Times New Roman" w:hAnsi="Times New Roman" w:cs="Times New Roman"/>
          <w:sz w:val="24"/>
          <w:szCs w:val="24"/>
        </w:rPr>
        <w:t>CFL</w:t>
      </w:r>
      <w:proofErr w:type="spellEnd"/>
      <w:r>
        <w:rPr>
          <w:rFonts w:ascii="Times New Roman" w:hAnsi="Times New Roman" w:cs="Times New Roman"/>
          <w:sz w:val="24"/>
          <w:szCs w:val="24"/>
        </w:rPr>
        <w:t xml:space="preserve"> light bulbs were delivered in 2011. Staff is sympathetic to the argument that some </w:t>
      </w:r>
      <w:proofErr w:type="spellStart"/>
      <w:r>
        <w:rPr>
          <w:rFonts w:ascii="Times New Roman" w:hAnsi="Times New Roman" w:cs="Times New Roman"/>
          <w:sz w:val="24"/>
          <w:szCs w:val="24"/>
        </w:rPr>
        <w:t>CFLs</w:t>
      </w:r>
      <w:proofErr w:type="spellEnd"/>
      <w:r>
        <w:rPr>
          <w:rFonts w:ascii="Times New Roman" w:hAnsi="Times New Roman" w:cs="Times New Roman"/>
          <w:sz w:val="24"/>
          <w:szCs w:val="24"/>
        </w:rPr>
        <w:t xml:space="preserve"> could be installed in 2012. However, there is no precedent for running a program in one year and recording savings in another without persuasive verification of the installation and savings. Staff does not agree with </w:t>
      </w:r>
      <w:r w:rsidRPr="00A64BE9">
        <w:rPr>
          <w:rFonts w:ascii="Times New Roman" w:hAnsi="Times New Roman" w:cs="Times New Roman"/>
          <w:sz w:val="24"/>
          <w:szCs w:val="24"/>
        </w:rPr>
        <w:t>Avista</w:t>
      </w:r>
      <w:r>
        <w:rPr>
          <w:rFonts w:ascii="Times New Roman" w:hAnsi="Times New Roman" w:cs="Times New Roman"/>
          <w:sz w:val="24"/>
          <w:szCs w:val="24"/>
        </w:rPr>
        <w:t>’s interpretation of</w:t>
      </w:r>
      <w:r w:rsidRPr="00A64BE9">
        <w:rPr>
          <w:rFonts w:ascii="Times New Roman" w:hAnsi="Times New Roman" w:cs="Times New Roman"/>
          <w:sz w:val="24"/>
          <w:szCs w:val="24"/>
        </w:rPr>
        <w:t xml:space="preserve"> Order 03 that the </w:t>
      </w:r>
      <w:r w:rsidR="00DB1E03">
        <w:rPr>
          <w:rFonts w:ascii="Times New Roman" w:hAnsi="Times New Roman" w:cs="Times New Roman"/>
          <w:sz w:val="24"/>
          <w:szCs w:val="24"/>
        </w:rPr>
        <w:t xml:space="preserve">verification of the savings from the </w:t>
      </w:r>
      <w:proofErr w:type="spellStart"/>
      <w:r w:rsidR="00DB1E03">
        <w:rPr>
          <w:rFonts w:ascii="Times New Roman" w:hAnsi="Times New Roman" w:cs="Times New Roman"/>
          <w:sz w:val="24"/>
          <w:szCs w:val="24"/>
        </w:rPr>
        <w:t>CFL</w:t>
      </w:r>
      <w:proofErr w:type="spellEnd"/>
      <w:r w:rsidR="00DB1E03">
        <w:rPr>
          <w:rFonts w:ascii="Times New Roman" w:hAnsi="Times New Roman" w:cs="Times New Roman"/>
          <w:sz w:val="24"/>
          <w:szCs w:val="24"/>
        </w:rPr>
        <w:t xml:space="preserve"> C</w:t>
      </w:r>
      <w:r w:rsidRPr="00A64BE9">
        <w:rPr>
          <w:rFonts w:ascii="Times New Roman" w:hAnsi="Times New Roman" w:cs="Times New Roman"/>
          <w:sz w:val="24"/>
          <w:szCs w:val="24"/>
        </w:rPr>
        <w:t xml:space="preserve">ontingency </w:t>
      </w:r>
      <w:r w:rsidR="00DB1E03">
        <w:rPr>
          <w:rFonts w:ascii="Times New Roman" w:hAnsi="Times New Roman" w:cs="Times New Roman"/>
          <w:sz w:val="24"/>
          <w:szCs w:val="24"/>
        </w:rPr>
        <w:t>Plan</w:t>
      </w:r>
      <w:r>
        <w:rPr>
          <w:rFonts w:ascii="Times New Roman" w:hAnsi="Times New Roman" w:cs="Times New Roman"/>
          <w:sz w:val="24"/>
          <w:szCs w:val="24"/>
        </w:rPr>
        <w:t xml:space="preserve"> should not be continued. In staff’s view, the</w:t>
      </w:r>
      <w:r w:rsidRPr="00A64BE9">
        <w:rPr>
          <w:rFonts w:ascii="Times New Roman" w:hAnsi="Times New Roman" w:cs="Times New Roman"/>
          <w:sz w:val="24"/>
          <w:szCs w:val="24"/>
        </w:rPr>
        <w:t xml:space="preserve"> order only addressed the upstream</w:t>
      </w:r>
      <w:r w:rsidR="00DB1E03">
        <w:rPr>
          <w:rFonts w:ascii="Times New Roman" w:hAnsi="Times New Roman" w:cs="Times New Roman"/>
          <w:sz w:val="24"/>
          <w:szCs w:val="24"/>
        </w:rPr>
        <w:t xml:space="preserve"> </w:t>
      </w:r>
      <w:r w:rsidRPr="00A64BE9">
        <w:rPr>
          <w:rFonts w:ascii="Times New Roman" w:hAnsi="Times New Roman" w:cs="Times New Roman"/>
          <w:sz w:val="24"/>
          <w:szCs w:val="24"/>
        </w:rPr>
        <w:t>buy</w:t>
      </w:r>
      <w:r>
        <w:rPr>
          <w:rFonts w:ascii="Times New Roman" w:hAnsi="Times New Roman" w:cs="Times New Roman"/>
          <w:sz w:val="24"/>
          <w:szCs w:val="24"/>
        </w:rPr>
        <w:t>-</w:t>
      </w:r>
      <w:r w:rsidRPr="00A64BE9">
        <w:rPr>
          <w:rFonts w:ascii="Times New Roman" w:hAnsi="Times New Roman" w:cs="Times New Roman"/>
          <w:sz w:val="24"/>
          <w:szCs w:val="24"/>
        </w:rPr>
        <w:t>down</w:t>
      </w:r>
      <w:r>
        <w:rPr>
          <w:rFonts w:ascii="Times New Roman" w:hAnsi="Times New Roman" w:cs="Times New Roman"/>
          <w:sz w:val="24"/>
          <w:szCs w:val="24"/>
        </w:rPr>
        <w:t xml:space="preserve"> of </w:t>
      </w:r>
      <w:proofErr w:type="spellStart"/>
      <w:r>
        <w:rPr>
          <w:rFonts w:ascii="Times New Roman" w:hAnsi="Times New Roman" w:cs="Times New Roman"/>
          <w:sz w:val="24"/>
          <w:szCs w:val="24"/>
        </w:rPr>
        <w:t>CFLs</w:t>
      </w:r>
      <w:proofErr w:type="spellEnd"/>
      <w:r>
        <w:rPr>
          <w:rFonts w:ascii="Times New Roman" w:hAnsi="Times New Roman" w:cs="Times New Roman"/>
          <w:sz w:val="24"/>
          <w:szCs w:val="24"/>
        </w:rPr>
        <w:t xml:space="preserve"> in the</w:t>
      </w:r>
      <w:r w:rsidRPr="00A64BE9">
        <w:rPr>
          <w:rFonts w:ascii="Times New Roman" w:hAnsi="Times New Roman" w:cs="Times New Roman"/>
          <w:sz w:val="24"/>
          <w:szCs w:val="24"/>
        </w:rPr>
        <w:t xml:space="preserve"> Simple</w:t>
      </w:r>
      <w:r>
        <w:rPr>
          <w:rFonts w:ascii="Times New Roman" w:hAnsi="Times New Roman" w:cs="Times New Roman"/>
          <w:sz w:val="24"/>
          <w:szCs w:val="24"/>
        </w:rPr>
        <w:t xml:space="preserve"> Steps, Smart </w:t>
      </w:r>
      <w:proofErr w:type="spellStart"/>
      <w:r>
        <w:rPr>
          <w:rFonts w:ascii="Times New Roman" w:hAnsi="Times New Roman" w:cs="Times New Roman"/>
          <w:sz w:val="24"/>
          <w:szCs w:val="24"/>
        </w:rPr>
        <w:t>Savings</w:t>
      </w:r>
      <w:r w:rsidRPr="00131B6B">
        <w:rPr>
          <w:rFonts w:ascii="Times New Roman" w:hAnsi="Times New Roman" w:cs="Times New Roman"/>
          <w:sz w:val="24"/>
          <w:szCs w:val="24"/>
          <w:vertAlign w:val="superscript"/>
        </w:rPr>
        <w:t>TM</w:t>
      </w:r>
      <w:proofErr w:type="spellEnd"/>
      <w:r>
        <w:rPr>
          <w:rFonts w:ascii="Times New Roman" w:hAnsi="Times New Roman" w:cs="Times New Roman"/>
          <w:sz w:val="24"/>
          <w:szCs w:val="24"/>
        </w:rPr>
        <w:t xml:space="preserve"> program. If Avista had questions about the treatment </w:t>
      </w:r>
      <w:r>
        <w:rPr>
          <w:rFonts w:ascii="Times New Roman" w:hAnsi="Times New Roman" w:cs="Times New Roman"/>
          <w:sz w:val="24"/>
          <w:szCs w:val="24"/>
        </w:rPr>
        <w:lastRenderedPageBreak/>
        <w:t>of savings</w:t>
      </w:r>
      <w:r w:rsidR="00DB1E03">
        <w:rPr>
          <w:rFonts w:ascii="Times New Roman" w:hAnsi="Times New Roman" w:cs="Times New Roman"/>
          <w:sz w:val="24"/>
          <w:szCs w:val="24"/>
        </w:rPr>
        <w:t xml:space="preserve"> from the </w:t>
      </w:r>
      <w:proofErr w:type="spellStart"/>
      <w:r w:rsidR="00DB1E03">
        <w:rPr>
          <w:rFonts w:ascii="Times New Roman" w:hAnsi="Times New Roman" w:cs="Times New Roman"/>
          <w:sz w:val="24"/>
          <w:szCs w:val="24"/>
        </w:rPr>
        <w:t>CFL</w:t>
      </w:r>
      <w:proofErr w:type="spellEnd"/>
      <w:r w:rsidR="00DB1E03">
        <w:rPr>
          <w:rFonts w:ascii="Times New Roman" w:hAnsi="Times New Roman" w:cs="Times New Roman"/>
          <w:sz w:val="24"/>
          <w:szCs w:val="24"/>
        </w:rPr>
        <w:t xml:space="preserve"> Contingency Plan</w:t>
      </w:r>
      <w:r>
        <w:rPr>
          <w:rFonts w:ascii="Times New Roman" w:hAnsi="Times New Roman" w:cs="Times New Roman"/>
          <w:sz w:val="24"/>
          <w:szCs w:val="24"/>
        </w:rPr>
        <w:t xml:space="preserve">, it should have raised this issue with the Advisory Group and requested clarification of the Commission’s order. The company also chose not to address this issue during the 2012 Business Plan or 2012 Annual Report because the program was not being delivered during 2012. Staff strongly disagrees with Avista’s refusal to bring this issue to the Advisory Group for resolution, particularly when it planned to claim the savings in 2012. </w:t>
      </w:r>
    </w:p>
    <w:p w14:paraId="399F1E65" w14:textId="77777777" w:rsidR="00211641" w:rsidRDefault="00211641" w:rsidP="00211641">
      <w:pPr>
        <w:rPr>
          <w:rFonts w:ascii="Times New Roman" w:hAnsi="Times New Roman" w:cs="Times New Roman"/>
          <w:sz w:val="24"/>
          <w:szCs w:val="24"/>
        </w:rPr>
      </w:pPr>
    </w:p>
    <w:p w14:paraId="285DDB7D" w14:textId="11576217"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If the company is not allowed to claim the </w:t>
      </w:r>
      <w:proofErr w:type="spellStart"/>
      <w:r>
        <w:rPr>
          <w:rFonts w:ascii="Times New Roman" w:hAnsi="Times New Roman" w:cs="Times New Roman"/>
          <w:sz w:val="24"/>
          <w:szCs w:val="24"/>
        </w:rPr>
        <w:t>CFL</w:t>
      </w:r>
      <w:proofErr w:type="spellEnd"/>
      <w:r>
        <w:rPr>
          <w:rFonts w:ascii="Times New Roman" w:hAnsi="Times New Roman" w:cs="Times New Roman"/>
          <w:sz w:val="24"/>
          <w:szCs w:val="24"/>
        </w:rPr>
        <w:t xml:space="preserve"> contingency program savings in 2012, it will still have achieved 171,570 MWh, or 58 percent above its target. The compelling question is whether the Commission wishes to change the way it treats savings from programs where customers purchase something that may not be installed right away. Staff is not yet ready to make a recommendation but will </w:t>
      </w:r>
      <w:r w:rsidR="008F3CEB">
        <w:rPr>
          <w:rFonts w:ascii="Times New Roman" w:hAnsi="Times New Roman" w:cs="Times New Roman"/>
          <w:sz w:val="24"/>
          <w:szCs w:val="24"/>
        </w:rPr>
        <w:t>be prepared to</w:t>
      </w:r>
      <w:r w:rsidR="00307D61">
        <w:rPr>
          <w:rFonts w:ascii="Times New Roman" w:hAnsi="Times New Roman" w:cs="Times New Roman"/>
          <w:sz w:val="24"/>
          <w:szCs w:val="24"/>
        </w:rPr>
        <w:t xml:space="preserve"> do so</w:t>
      </w:r>
      <w:r w:rsidR="008F3CEB">
        <w:rPr>
          <w:rFonts w:ascii="Times New Roman" w:hAnsi="Times New Roman" w:cs="Times New Roman"/>
          <w:sz w:val="24"/>
          <w:szCs w:val="24"/>
        </w:rPr>
        <w:t xml:space="preserve"> at the recessed open m</w:t>
      </w:r>
      <w:r>
        <w:rPr>
          <w:rFonts w:ascii="Times New Roman" w:hAnsi="Times New Roman" w:cs="Times New Roman"/>
          <w:sz w:val="24"/>
          <w:szCs w:val="24"/>
        </w:rPr>
        <w:t>eeting</w:t>
      </w:r>
      <w:r w:rsidR="00DB1E03">
        <w:rPr>
          <w:rFonts w:ascii="Times New Roman" w:hAnsi="Times New Roman" w:cs="Times New Roman"/>
          <w:sz w:val="24"/>
          <w:szCs w:val="24"/>
        </w:rPr>
        <w:t xml:space="preserve"> on July 25, 2014</w:t>
      </w:r>
      <w:r>
        <w:rPr>
          <w:rFonts w:ascii="Times New Roman" w:hAnsi="Times New Roman" w:cs="Times New Roman"/>
          <w:sz w:val="24"/>
          <w:szCs w:val="24"/>
        </w:rPr>
        <w:t>.</w:t>
      </w:r>
    </w:p>
    <w:p w14:paraId="33BA193C" w14:textId="77777777" w:rsidR="00211641" w:rsidRDefault="00211641" w:rsidP="00211641">
      <w:pPr>
        <w:rPr>
          <w:rFonts w:ascii="Times New Roman" w:hAnsi="Times New Roman" w:cs="Times New Roman"/>
          <w:sz w:val="24"/>
          <w:szCs w:val="24"/>
        </w:rPr>
      </w:pPr>
    </w:p>
    <w:p w14:paraId="0566EFF0" w14:textId="77777777" w:rsidR="00211641" w:rsidRDefault="00211641" w:rsidP="00211641">
      <w:pPr>
        <w:rPr>
          <w:rFonts w:ascii="Times New Roman" w:hAnsi="Times New Roman" w:cs="Times New Roman"/>
          <w:i/>
          <w:sz w:val="24"/>
          <w:szCs w:val="24"/>
        </w:rPr>
      </w:pPr>
      <w:proofErr w:type="spellStart"/>
      <w:r w:rsidRPr="00D85E97">
        <w:rPr>
          <w:rFonts w:ascii="Times New Roman" w:hAnsi="Times New Roman" w:cs="Times New Roman"/>
          <w:i/>
          <w:sz w:val="24"/>
          <w:szCs w:val="24"/>
        </w:rPr>
        <w:t>Opower</w:t>
      </w:r>
      <w:bookmarkEnd w:id="5"/>
      <w:proofErr w:type="spellEnd"/>
    </w:p>
    <w:p w14:paraId="590F7532" w14:textId="77777777" w:rsidR="00211641" w:rsidRPr="00D85E97" w:rsidRDefault="00211641" w:rsidP="00211641">
      <w:pPr>
        <w:rPr>
          <w:rFonts w:ascii="Times New Roman" w:hAnsi="Times New Roman" w:cs="Times New Roman"/>
          <w:i/>
          <w:sz w:val="24"/>
          <w:szCs w:val="24"/>
        </w:rPr>
      </w:pPr>
    </w:p>
    <w:p w14:paraId="410FE30B"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Avista is claiming 6,220 MWh of savings from its </w:t>
      </w:r>
      <w:proofErr w:type="spellStart"/>
      <w:r>
        <w:rPr>
          <w:rFonts w:ascii="Times New Roman" w:hAnsi="Times New Roman" w:cs="Times New Roman"/>
          <w:sz w:val="24"/>
          <w:szCs w:val="24"/>
        </w:rPr>
        <w:t>Opower</w:t>
      </w:r>
      <w:proofErr w:type="spellEnd"/>
      <w:r>
        <w:rPr>
          <w:rFonts w:ascii="Times New Roman" w:hAnsi="Times New Roman" w:cs="Times New Roman"/>
          <w:sz w:val="24"/>
          <w:szCs w:val="24"/>
        </w:rPr>
        <w:t xml:space="preserve"> residential behavior program in 2013. </w:t>
      </w:r>
      <w:proofErr w:type="spellStart"/>
      <w:r>
        <w:rPr>
          <w:rFonts w:ascii="Times New Roman" w:hAnsi="Times New Roman" w:cs="Times New Roman"/>
          <w:sz w:val="24"/>
          <w:szCs w:val="24"/>
        </w:rPr>
        <w:t>Opower’s</w:t>
      </w:r>
      <w:proofErr w:type="spellEnd"/>
      <w:r>
        <w:rPr>
          <w:rFonts w:ascii="Times New Roman" w:hAnsi="Times New Roman" w:cs="Times New Roman"/>
          <w:sz w:val="24"/>
          <w:szCs w:val="24"/>
        </w:rPr>
        <w:t xml:space="preserve"> program</w:t>
      </w:r>
      <w:r w:rsidRPr="006B52B1">
        <w:rPr>
          <w:rFonts w:ascii="Times New Roman" w:hAnsi="Times New Roman" w:cs="Times New Roman"/>
          <w:sz w:val="24"/>
          <w:szCs w:val="24"/>
        </w:rPr>
        <w:t xml:space="preserve"> was not evaluated</w:t>
      </w:r>
      <w:r>
        <w:rPr>
          <w:rFonts w:ascii="Times New Roman" w:hAnsi="Times New Roman" w:cs="Times New Roman"/>
          <w:sz w:val="24"/>
          <w:szCs w:val="24"/>
        </w:rPr>
        <w:t xml:space="preserve"> nor included in</w:t>
      </w:r>
      <w:r w:rsidRPr="006B52B1">
        <w:rPr>
          <w:rFonts w:ascii="Times New Roman" w:hAnsi="Times New Roman" w:cs="Times New Roman"/>
          <w:sz w:val="24"/>
          <w:szCs w:val="24"/>
        </w:rPr>
        <w:t xml:space="preserve"> </w:t>
      </w:r>
      <w:r>
        <w:rPr>
          <w:rFonts w:ascii="Times New Roman" w:hAnsi="Times New Roman" w:cs="Times New Roman"/>
          <w:sz w:val="24"/>
          <w:szCs w:val="24"/>
        </w:rPr>
        <w:t xml:space="preserve">Avista’s Conservation Plan. </w:t>
      </w:r>
      <w:r w:rsidRPr="006B52B1">
        <w:rPr>
          <w:rFonts w:ascii="Times New Roman" w:hAnsi="Times New Roman" w:cs="Times New Roman"/>
          <w:sz w:val="24"/>
          <w:szCs w:val="24"/>
        </w:rPr>
        <w:t xml:space="preserve">During the development of the 2013 DSM Business Plan in late 2012, the company and its contractor </w:t>
      </w:r>
      <w:proofErr w:type="spellStart"/>
      <w:r w:rsidRPr="006B52B1">
        <w:rPr>
          <w:rFonts w:ascii="Times New Roman" w:hAnsi="Times New Roman" w:cs="Times New Roman"/>
          <w:sz w:val="24"/>
          <w:szCs w:val="24"/>
        </w:rPr>
        <w:t>EnerNOC</w:t>
      </w:r>
      <w:proofErr w:type="spellEnd"/>
      <w:r w:rsidRPr="006B52B1">
        <w:rPr>
          <w:rFonts w:ascii="Times New Roman" w:hAnsi="Times New Roman" w:cs="Times New Roman"/>
          <w:sz w:val="24"/>
          <w:szCs w:val="24"/>
        </w:rPr>
        <w:t xml:space="preserve"> </w:t>
      </w:r>
      <w:r>
        <w:rPr>
          <w:rFonts w:ascii="Times New Roman" w:hAnsi="Times New Roman" w:cs="Times New Roman"/>
          <w:sz w:val="24"/>
          <w:szCs w:val="24"/>
        </w:rPr>
        <w:t>assumed</w:t>
      </w:r>
      <w:r w:rsidRPr="006B52B1">
        <w:rPr>
          <w:rFonts w:ascii="Times New Roman" w:hAnsi="Times New Roman" w:cs="Times New Roman"/>
          <w:sz w:val="24"/>
          <w:szCs w:val="24"/>
        </w:rPr>
        <w:t xml:space="preserve"> that a behavioral program would not be cost-effective.</w:t>
      </w:r>
      <w:r>
        <w:rPr>
          <w:rFonts w:ascii="Times New Roman" w:hAnsi="Times New Roman" w:cs="Times New Roman"/>
          <w:sz w:val="24"/>
          <w:szCs w:val="24"/>
        </w:rPr>
        <w:t xml:space="preserve"> However, in early 2013 the company determined that the program could be done cost-effectively, and contracted with </w:t>
      </w:r>
      <w:proofErr w:type="spellStart"/>
      <w:r>
        <w:rPr>
          <w:rFonts w:ascii="Times New Roman" w:hAnsi="Times New Roman" w:cs="Times New Roman"/>
          <w:sz w:val="24"/>
          <w:szCs w:val="24"/>
        </w:rPr>
        <w:t>Opower</w:t>
      </w:r>
      <w:proofErr w:type="spellEnd"/>
      <w:r>
        <w:rPr>
          <w:rFonts w:ascii="Times New Roman" w:hAnsi="Times New Roman" w:cs="Times New Roman"/>
          <w:sz w:val="24"/>
          <w:szCs w:val="24"/>
        </w:rPr>
        <w:t xml:space="preserve"> to begin a mid-year program.</w:t>
      </w:r>
    </w:p>
    <w:p w14:paraId="1985FBB5" w14:textId="77777777" w:rsidR="00211641" w:rsidRDefault="00211641" w:rsidP="00211641">
      <w:pPr>
        <w:rPr>
          <w:rFonts w:ascii="Times New Roman" w:hAnsi="Times New Roman" w:cs="Times New Roman"/>
          <w:sz w:val="24"/>
          <w:szCs w:val="24"/>
        </w:rPr>
      </w:pPr>
    </w:p>
    <w:p w14:paraId="44161902" w14:textId="22DD3345"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Staff supports the inclusion of the program’s savings in the company’s biennial achievement. As part of its obligation to pursue all conservation, the company is expected to adaptively manage its portfolio by monitoring the efficiency landscape for potential savings. As peer utilities were implementing residential behavioral programs, Avista continued to pursue these potential savings well into the biennium. The treatment of behavioral programs in the target-setting process has been settled going forward. At the Commission’s directive, the company included </w:t>
      </w:r>
      <w:proofErr w:type="spellStart"/>
      <w:r>
        <w:rPr>
          <w:rFonts w:ascii="Times New Roman" w:hAnsi="Times New Roman" w:cs="Times New Roman"/>
          <w:sz w:val="24"/>
          <w:szCs w:val="24"/>
        </w:rPr>
        <w:t>Opower</w:t>
      </w:r>
      <w:proofErr w:type="spellEnd"/>
      <w:r>
        <w:rPr>
          <w:rFonts w:ascii="Times New Roman" w:hAnsi="Times New Roman" w:cs="Times New Roman"/>
          <w:sz w:val="24"/>
          <w:szCs w:val="24"/>
        </w:rPr>
        <w:t xml:space="preserve"> savings in its 2014-2015 Biennial Conservation Plan in Docket </w:t>
      </w:r>
      <w:proofErr w:type="spellStart"/>
      <w:r>
        <w:rPr>
          <w:rFonts w:ascii="Times New Roman" w:hAnsi="Times New Roman" w:cs="Times New Roman"/>
          <w:sz w:val="24"/>
          <w:szCs w:val="24"/>
        </w:rPr>
        <w:t>UE</w:t>
      </w:r>
      <w:proofErr w:type="spellEnd"/>
      <w:r>
        <w:rPr>
          <w:rFonts w:ascii="Times New Roman" w:hAnsi="Times New Roman" w:cs="Times New Roman"/>
          <w:sz w:val="24"/>
          <w:szCs w:val="24"/>
        </w:rPr>
        <w:t xml:space="preserve">-132045. The Commission determined that beginning in the 2014-2015 </w:t>
      </w:r>
      <w:proofErr w:type="gramStart"/>
      <w:r>
        <w:rPr>
          <w:rFonts w:ascii="Times New Roman" w:hAnsi="Times New Roman" w:cs="Times New Roman"/>
          <w:sz w:val="24"/>
          <w:szCs w:val="24"/>
        </w:rPr>
        <w:t>biennium</w:t>
      </w:r>
      <w:proofErr w:type="gramEnd"/>
      <w:r>
        <w:rPr>
          <w:rFonts w:ascii="Times New Roman" w:hAnsi="Times New Roman" w:cs="Times New Roman"/>
          <w:sz w:val="24"/>
          <w:szCs w:val="24"/>
        </w:rPr>
        <w:t>, behavioral savings should be included in claimable targets only if the savings are identified in a company’s conservation po</w:t>
      </w:r>
      <w:r w:rsidR="00DB1E03">
        <w:rPr>
          <w:rFonts w:ascii="Times New Roman" w:hAnsi="Times New Roman" w:cs="Times New Roman"/>
          <w:sz w:val="24"/>
          <w:szCs w:val="24"/>
        </w:rPr>
        <w:t>tential assessment. Staff believes t</w:t>
      </w:r>
      <w:r>
        <w:rPr>
          <w:rFonts w:ascii="Times New Roman" w:hAnsi="Times New Roman" w:cs="Times New Roman"/>
          <w:sz w:val="24"/>
          <w:szCs w:val="24"/>
        </w:rPr>
        <w:t xml:space="preserve">he Commission </w:t>
      </w:r>
      <w:r w:rsidR="00DB1E03">
        <w:rPr>
          <w:rFonts w:ascii="Times New Roman" w:hAnsi="Times New Roman" w:cs="Times New Roman"/>
          <w:sz w:val="24"/>
          <w:szCs w:val="24"/>
        </w:rPr>
        <w:t>order</w:t>
      </w:r>
      <w:r>
        <w:rPr>
          <w:rFonts w:ascii="Times New Roman" w:hAnsi="Times New Roman" w:cs="Times New Roman"/>
          <w:sz w:val="24"/>
          <w:szCs w:val="24"/>
        </w:rPr>
        <w:t xml:space="preserve"> does not apply to the 2012-2013 biennium. A discussion on the treatment of </w:t>
      </w:r>
      <w:proofErr w:type="spellStart"/>
      <w:r>
        <w:rPr>
          <w:rFonts w:ascii="Times New Roman" w:hAnsi="Times New Roman" w:cs="Times New Roman"/>
          <w:sz w:val="24"/>
          <w:szCs w:val="24"/>
        </w:rPr>
        <w:t>Opower</w:t>
      </w:r>
      <w:proofErr w:type="spellEnd"/>
      <w:r>
        <w:rPr>
          <w:rFonts w:ascii="Times New Roman" w:hAnsi="Times New Roman" w:cs="Times New Roman"/>
          <w:sz w:val="24"/>
          <w:szCs w:val="24"/>
        </w:rPr>
        <w:t xml:space="preserve"> in future biennia is discussed later in this document.</w:t>
      </w:r>
    </w:p>
    <w:p w14:paraId="4F649AF6" w14:textId="77777777" w:rsidR="00211641" w:rsidRDefault="00211641" w:rsidP="00211641">
      <w:pPr>
        <w:pStyle w:val="Heading2"/>
        <w:rPr>
          <w:rFonts w:ascii="Times New Roman" w:hAnsi="Times New Roman" w:cs="Times New Roman"/>
          <w:b w:val="0"/>
          <w:i/>
          <w:color w:val="auto"/>
          <w:sz w:val="24"/>
          <w:szCs w:val="24"/>
        </w:rPr>
      </w:pPr>
      <w:bookmarkStart w:id="6" w:name="_Toc391628771"/>
      <w:bookmarkStart w:id="7" w:name="_GoBack"/>
      <w:bookmarkEnd w:id="7"/>
      <w:proofErr w:type="spellStart"/>
      <w:r w:rsidRPr="002D39C2">
        <w:rPr>
          <w:rFonts w:ascii="Times New Roman" w:hAnsi="Times New Roman" w:cs="Times New Roman"/>
          <w:b w:val="0"/>
          <w:i/>
          <w:color w:val="auto"/>
          <w:sz w:val="24"/>
          <w:szCs w:val="24"/>
        </w:rPr>
        <w:t>NEEA</w:t>
      </w:r>
      <w:bookmarkEnd w:id="6"/>
      <w:proofErr w:type="spellEnd"/>
    </w:p>
    <w:p w14:paraId="61999C64" w14:textId="77777777" w:rsidR="00211641" w:rsidRPr="00D85E97" w:rsidRDefault="00211641" w:rsidP="00211641">
      <w:pPr>
        <w:rPr>
          <w:b/>
        </w:rPr>
      </w:pPr>
    </w:p>
    <w:p w14:paraId="5D119E0A"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Avista is claiming 34,427 MWh of regional electric efficiency savings from its participation in </w:t>
      </w:r>
      <w:proofErr w:type="spellStart"/>
      <w:r>
        <w:rPr>
          <w:rFonts w:ascii="Times New Roman" w:hAnsi="Times New Roman" w:cs="Times New Roman"/>
          <w:sz w:val="24"/>
          <w:szCs w:val="24"/>
        </w:rPr>
        <w:t>NEEA</w:t>
      </w:r>
      <w:proofErr w:type="spellEnd"/>
      <w:r>
        <w:rPr>
          <w:rFonts w:ascii="Times New Roman" w:hAnsi="Times New Roman" w:cs="Times New Roman"/>
          <w:sz w:val="24"/>
          <w:szCs w:val="24"/>
        </w:rPr>
        <w:t>, substantially higher than the company forecast of 14,716 MWh.</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achievement was largely driven by the success of </w:t>
      </w:r>
      <w:proofErr w:type="spellStart"/>
      <w:r>
        <w:rPr>
          <w:rFonts w:ascii="Times New Roman" w:hAnsi="Times New Roman" w:cs="Times New Roman"/>
          <w:sz w:val="24"/>
          <w:szCs w:val="24"/>
        </w:rPr>
        <w:t>NEEA’s</w:t>
      </w:r>
      <w:proofErr w:type="spellEnd"/>
      <w:r>
        <w:rPr>
          <w:rFonts w:ascii="Times New Roman" w:hAnsi="Times New Roman" w:cs="Times New Roman"/>
          <w:sz w:val="24"/>
          <w:szCs w:val="24"/>
        </w:rPr>
        <w:t xml:space="preserve"> television initiative which greatly increased each member’s claimed savings. In the direct testimony of Bruce W. Folsom, it appears that the company is claiming regional electric efficiency savings outside of the forecasted electric </w:t>
      </w:r>
      <w:r>
        <w:rPr>
          <w:rFonts w:ascii="Times New Roman" w:hAnsi="Times New Roman" w:cs="Times New Roman"/>
          <w:sz w:val="24"/>
          <w:szCs w:val="24"/>
        </w:rPr>
        <w:lastRenderedPageBreak/>
        <w:t>efficiency savings target.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Through data requests and conversation the company clarified that achieved </w:t>
      </w:r>
      <w:proofErr w:type="spellStart"/>
      <w:r>
        <w:rPr>
          <w:rFonts w:ascii="Times New Roman" w:hAnsi="Times New Roman" w:cs="Times New Roman"/>
          <w:sz w:val="24"/>
          <w:szCs w:val="24"/>
        </w:rPr>
        <w:t>NEEA</w:t>
      </w:r>
      <w:proofErr w:type="spellEnd"/>
      <w:r>
        <w:rPr>
          <w:rFonts w:ascii="Times New Roman" w:hAnsi="Times New Roman" w:cs="Times New Roman"/>
          <w:sz w:val="24"/>
          <w:szCs w:val="24"/>
        </w:rPr>
        <w:t xml:space="preserve"> savings are part of the biennial target. The treatment of </w:t>
      </w:r>
      <w:proofErr w:type="spellStart"/>
      <w:r>
        <w:rPr>
          <w:rFonts w:ascii="Times New Roman" w:hAnsi="Times New Roman" w:cs="Times New Roman"/>
          <w:sz w:val="24"/>
          <w:szCs w:val="24"/>
        </w:rPr>
        <w:t>NEEA</w:t>
      </w:r>
      <w:proofErr w:type="spellEnd"/>
      <w:r>
        <w:rPr>
          <w:rFonts w:ascii="Times New Roman" w:hAnsi="Times New Roman" w:cs="Times New Roman"/>
          <w:sz w:val="24"/>
          <w:szCs w:val="24"/>
        </w:rPr>
        <w:t xml:space="preserve"> savings in future biennia is discussed later in this document.</w:t>
      </w:r>
    </w:p>
    <w:p w14:paraId="07E8CD30" w14:textId="77777777" w:rsidR="00211641" w:rsidRDefault="00211641" w:rsidP="00211641">
      <w:pPr>
        <w:pStyle w:val="Heading1"/>
        <w:rPr>
          <w:rFonts w:ascii="Times New Roman" w:hAnsi="Times New Roman" w:cs="Times New Roman"/>
          <w:color w:val="auto"/>
        </w:rPr>
      </w:pPr>
      <w:bookmarkStart w:id="8" w:name="_Toc391628772"/>
      <w:bookmarkStart w:id="9" w:name="_Toc391628777"/>
      <w:r w:rsidRPr="00B17BBF">
        <w:rPr>
          <w:rFonts w:ascii="Times New Roman" w:hAnsi="Times New Roman" w:cs="Times New Roman"/>
          <w:color w:val="auto"/>
        </w:rPr>
        <w:t>Conservation policy updates</w:t>
      </w:r>
      <w:bookmarkEnd w:id="8"/>
    </w:p>
    <w:p w14:paraId="09145EF7" w14:textId="77777777" w:rsidR="00211641" w:rsidRPr="00FB475D" w:rsidRDefault="00211641" w:rsidP="00211641"/>
    <w:p w14:paraId="6D8BE9DE" w14:textId="7B195C8E" w:rsidR="00211641" w:rsidRPr="00D91651" w:rsidRDefault="00211641" w:rsidP="00211641">
      <w:pPr>
        <w:rPr>
          <w:rFonts w:ascii="Times New Roman" w:hAnsi="Times New Roman" w:cs="Times New Roman"/>
          <w:sz w:val="24"/>
          <w:szCs w:val="24"/>
        </w:rPr>
      </w:pPr>
      <w:r>
        <w:rPr>
          <w:rFonts w:ascii="Times New Roman" w:hAnsi="Times New Roman" w:cs="Times New Roman"/>
          <w:sz w:val="24"/>
          <w:szCs w:val="24"/>
        </w:rPr>
        <w:t>Staff has been working to resolve a number of general issues that have been identified during the first three biennial cycles. Many of these issues are being addressed through an open rulemaking proceeding</w:t>
      </w:r>
      <w:r w:rsidR="00DB1E03">
        <w:rPr>
          <w:rFonts w:ascii="Times New Roman" w:hAnsi="Times New Roman" w:cs="Times New Roman"/>
          <w:sz w:val="24"/>
          <w:szCs w:val="24"/>
        </w:rPr>
        <w:t>,</w:t>
      </w:r>
      <w:r>
        <w:rPr>
          <w:rFonts w:ascii="Times New Roman" w:hAnsi="Times New Roman" w:cs="Times New Roman"/>
          <w:sz w:val="24"/>
          <w:szCs w:val="24"/>
        </w:rPr>
        <w:t xml:space="preserve"> </w:t>
      </w:r>
      <w:r w:rsidR="00DB1E03">
        <w:rPr>
          <w:rFonts w:ascii="Times New Roman" w:hAnsi="Times New Roman" w:cs="Times New Roman"/>
          <w:sz w:val="24"/>
          <w:szCs w:val="24"/>
        </w:rPr>
        <w:t>while</w:t>
      </w:r>
      <w:r>
        <w:rPr>
          <w:rFonts w:ascii="Times New Roman" w:hAnsi="Times New Roman" w:cs="Times New Roman"/>
          <w:sz w:val="24"/>
          <w:szCs w:val="24"/>
        </w:rPr>
        <w:t xml:space="preserve"> other issues have been addressed through Commission orders or informal collaborations between staff, the utilities, and external stakeholders. This section will briefly summarize these processes and their impact on this and future conservation filings.</w:t>
      </w:r>
    </w:p>
    <w:p w14:paraId="2B97D612" w14:textId="77777777" w:rsidR="00211641" w:rsidRDefault="00211641" w:rsidP="00211641">
      <w:pPr>
        <w:pStyle w:val="Heading2"/>
        <w:rPr>
          <w:rFonts w:ascii="Times New Roman" w:hAnsi="Times New Roman" w:cs="Times New Roman"/>
          <w:b w:val="0"/>
          <w:i/>
          <w:color w:val="auto"/>
          <w:sz w:val="24"/>
          <w:szCs w:val="24"/>
        </w:rPr>
      </w:pPr>
      <w:bookmarkStart w:id="10" w:name="_Toc391628773"/>
      <w:r w:rsidRPr="00FB475D">
        <w:rPr>
          <w:rFonts w:ascii="Times New Roman" w:hAnsi="Times New Roman" w:cs="Times New Roman"/>
          <w:b w:val="0"/>
          <w:i/>
          <w:color w:val="auto"/>
          <w:sz w:val="24"/>
          <w:szCs w:val="24"/>
        </w:rPr>
        <w:t>Energy Independence Act Rulemaking</w:t>
      </w:r>
      <w:bookmarkEnd w:id="10"/>
    </w:p>
    <w:p w14:paraId="7AFC4415" w14:textId="77777777" w:rsidR="00211641" w:rsidRPr="00D23955" w:rsidRDefault="00211641" w:rsidP="00211641">
      <w:pPr>
        <w:rPr>
          <w:b/>
        </w:rPr>
      </w:pPr>
    </w:p>
    <w:p w14:paraId="3ACCC7C6"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The Commission has opened a rulemaking procedure in Docket </w:t>
      </w:r>
      <w:proofErr w:type="spellStart"/>
      <w:r>
        <w:rPr>
          <w:rFonts w:ascii="Times New Roman" w:hAnsi="Times New Roman" w:cs="Times New Roman"/>
          <w:sz w:val="24"/>
          <w:szCs w:val="24"/>
        </w:rPr>
        <w:t>UE</w:t>
      </w:r>
      <w:proofErr w:type="spellEnd"/>
      <w:r>
        <w:rPr>
          <w:rFonts w:ascii="Times New Roman" w:hAnsi="Times New Roman" w:cs="Times New Roman"/>
          <w:sz w:val="24"/>
          <w:szCs w:val="24"/>
        </w:rPr>
        <w:t>-131723 to update WAC 480-109, the Commission’s rule implementing the Energy Independence Act (</w:t>
      </w:r>
      <w:proofErr w:type="spellStart"/>
      <w:r>
        <w:rPr>
          <w:rFonts w:ascii="Times New Roman" w:hAnsi="Times New Roman" w:cs="Times New Roman"/>
          <w:sz w:val="24"/>
          <w:szCs w:val="24"/>
        </w:rPr>
        <w:t>EIA</w:t>
      </w:r>
      <w:proofErr w:type="spellEnd"/>
      <w:r>
        <w:rPr>
          <w:rFonts w:ascii="Times New Roman" w:hAnsi="Times New Roman" w:cs="Times New Roman"/>
          <w:sz w:val="24"/>
          <w:szCs w:val="24"/>
        </w:rPr>
        <w:t xml:space="preserve">). The proposed rule may address several issues raised by various parties since the biennial conservation cycle began in 2010. </w:t>
      </w:r>
    </w:p>
    <w:p w14:paraId="5D18D138" w14:textId="77777777" w:rsidR="00211641" w:rsidRDefault="00211641" w:rsidP="00211641">
      <w:pPr>
        <w:rPr>
          <w:rFonts w:ascii="Times New Roman" w:hAnsi="Times New Roman" w:cs="Times New Roman"/>
          <w:sz w:val="24"/>
          <w:szCs w:val="24"/>
        </w:rPr>
      </w:pPr>
    </w:p>
    <w:p w14:paraId="1C1F2677"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Informal draft rule language was made available to parties on April 9, 2014, and discussed at the Commission’s workshop with stakeholders on May 15, 2014. Staff is reviewing the comments received on the informal draft rule. The proposed rule will be filed later in 2014, and will be subject to additional comment and revision before being finalized. Following is a brief summary of the key conservation issues that staff expects will be addressed in the proposed rule:</w:t>
      </w:r>
    </w:p>
    <w:p w14:paraId="721363E4" w14:textId="77777777" w:rsidR="00211641" w:rsidRDefault="00211641" w:rsidP="00211641">
      <w:pPr>
        <w:rPr>
          <w:rFonts w:ascii="Times New Roman" w:hAnsi="Times New Roman" w:cs="Times New Roman"/>
          <w:sz w:val="24"/>
          <w:szCs w:val="24"/>
        </w:rPr>
      </w:pPr>
    </w:p>
    <w:p w14:paraId="6CEC18A9" w14:textId="77777777" w:rsidR="00211641" w:rsidRDefault="00211641" w:rsidP="0021164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Pursue all. </w:t>
      </w:r>
      <w:r>
        <w:rPr>
          <w:rFonts w:ascii="Times New Roman" w:hAnsi="Times New Roman" w:cs="Times New Roman"/>
          <w:sz w:val="24"/>
          <w:szCs w:val="24"/>
        </w:rPr>
        <w:t>RCW 19.285.040(1) requires utilities to “pursue all available conservation that is cost-effective, reliable and feasible.” Staff’s comments on the three regulated utilities’ 2010-2011 biennial conservation reports identified a general process by which staff would interpret this broad language when evaluating whether a utility met the requirement.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informal draft rule defined the term “pursue all” and further expounded on the process that staff has identified. Following the commission’s rulemaking workshop on May 15, 2014, staff has been working with stakeholders to resolve concerns around this language.</w:t>
      </w:r>
    </w:p>
    <w:p w14:paraId="387B0EBF" w14:textId="77777777" w:rsidR="00211641" w:rsidRPr="006316E1" w:rsidRDefault="00211641" w:rsidP="00211641">
      <w:pPr>
        <w:rPr>
          <w:rFonts w:ascii="Times New Roman" w:hAnsi="Times New Roman" w:cs="Times New Roman"/>
          <w:sz w:val="24"/>
          <w:szCs w:val="24"/>
        </w:rPr>
      </w:pPr>
    </w:p>
    <w:p w14:paraId="63F178E5" w14:textId="77777777" w:rsidR="00211641" w:rsidRDefault="00211641" w:rsidP="0021164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Conditions lists. </w:t>
      </w:r>
      <w:r>
        <w:rPr>
          <w:rFonts w:ascii="Times New Roman" w:hAnsi="Times New Roman" w:cs="Times New Roman"/>
          <w:sz w:val="24"/>
          <w:szCs w:val="24"/>
        </w:rPr>
        <w:t xml:space="preserve">WAC 480-109-010(4)(c) allows the commission to approve a utility’s 10-year conservation potential and two-year conservation target subject to conditions. In the three planning cycles that have occurred since the </w:t>
      </w:r>
      <w:proofErr w:type="spellStart"/>
      <w:r>
        <w:rPr>
          <w:rFonts w:ascii="Times New Roman" w:hAnsi="Times New Roman" w:cs="Times New Roman"/>
          <w:sz w:val="24"/>
          <w:szCs w:val="24"/>
        </w:rPr>
        <w:t>EIA’s</w:t>
      </w:r>
      <w:proofErr w:type="spellEnd"/>
      <w:r>
        <w:rPr>
          <w:rFonts w:ascii="Times New Roman" w:hAnsi="Times New Roman" w:cs="Times New Roman"/>
          <w:sz w:val="24"/>
          <w:szCs w:val="24"/>
        </w:rPr>
        <w:t xml:space="preserve"> conservation requirements went into effect, the commission has crafted a number of standard conditions. The informal draft rule incorporated many conditions which were generally applicable to all three companies and widely accepted by the parties involved. Examples of this include the interim reports a utility is required to file and the role of conservation advisory groups.</w:t>
      </w:r>
    </w:p>
    <w:p w14:paraId="41B7DC48" w14:textId="77777777" w:rsidR="00211641" w:rsidRPr="005F53F1" w:rsidRDefault="00211641" w:rsidP="00211641">
      <w:pPr>
        <w:pStyle w:val="ListParagraph"/>
        <w:rPr>
          <w:rFonts w:ascii="Times New Roman" w:hAnsi="Times New Roman" w:cs="Times New Roman"/>
          <w:sz w:val="24"/>
          <w:szCs w:val="24"/>
        </w:rPr>
      </w:pPr>
    </w:p>
    <w:p w14:paraId="458A8FFF" w14:textId="77777777" w:rsidR="00211641" w:rsidRDefault="00211641" w:rsidP="0021164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 xml:space="preserve">Legislative changes. </w:t>
      </w:r>
      <w:r>
        <w:rPr>
          <w:rFonts w:ascii="Times New Roman" w:hAnsi="Times New Roman" w:cs="Times New Roman"/>
          <w:sz w:val="24"/>
          <w:szCs w:val="24"/>
        </w:rPr>
        <w:t>The rule will also incorporate recent legislative changes that will affect future conservation filings. Chief among these changes is a law passed in the 2014 session that will allow utilities that exceed their target in a given biennium to “bank” the overage and apply it toward meeting up to 25 percent of the targets in the two succeeding biennia.</w:t>
      </w:r>
    </w:p>
    <w:p w14:paraId="6FC2FB4E" w14:textId="77777777" w:rsidR="00211641" w:rsidRPr="00A631EE" w:rsidRDefault="00211641" w:rsidP="00211641">
      <w:pPr>
        <w:pStyle w:val="ListParagraph"/>
        <w:rPr>
          <w:rFonts w:ascii="Times New Roman" w:hAnsi="Times New Roman" w:cs="Times New Roman"/>
          <w:sz w:val="24"/>
          <w:szCs w:val="24"/>
        </w:rPr>
      </w:pPr>
    </w:p>
    <w:p w14:paraId="262FDF17" w14:textId="77777777" w:rsidR="00211641" w:rsidRPr="00A631EE"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The full text of the informal draft rule is available in Docket </w:t>
      </w:r>
      <w:proofErr w:type="spellStart"/>
      <w:r>
        <w:rPr>
          <w:rFonts w:ascii="Times New Roman" w:hAnsi="Times New Roman" w:cs="Times New Roman"/>
          <w:sz w:val="24"/>
          <w:szCs w:val="24"/>
        </w:rPr>
        <w:t>UE</w:t>
      </w:r>
      <w:proofErr w:type="spellEnd"/>
      <w:r>
        <w:rPr>
          <w:rFonts w:ascii="Times New Roman" w:hAnsi="Times New Roman" w:cs="Times New Roman"/>
          <w:sz w:val="24"/>
          <w:szCs w:val="24"/>
        </w:rPr>
        <w:t>-131723.</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14:paraId="158E43A9" w14:textId="77777777" w:rsidR="00211641" w:rsidRDefault="00211641" w:rsidP="00211641">
      <w:pPr>
        <w:pStyle w:val="Heading2"/>
        <w:rPr>
          <w:rFonts w:ascii="Times New Roman" w:hAnsi="Times New Roman" w:cs="Times New Roman"/>
          <w:b w:val="0"/>
          <w:i/>
          <w:color w:val="auto"/>
          <w:sz w:val="24"/>
          <w:szCs w:val="24"/>
        </w:rPr>
      </w:pPr>
      <w:bookmarkStart w:id="11" w:name="_Toc391628774"/>
      <w:proofErr w:type="spellStart"/>
      <w:r w:rsidRPr="00FB475D">
        <w:rPr>
          <w:rFonts w:ascii="Times New Roman" w:hAnsi="Times New Roman" w:cs="Times New Roman"/>
          <w:b w:val="0"/>
          <w:i/>
          <w:color w:val="auto"/>
          <w:sz w:val="24"/>
          <w:szCs w:val="24"/>
        </w:rPr>
        <w:t>NEEA</w:t>
      </w:r>
      <w:bookmarkEnd w:id="11"/>
      <w:proofErr w:type="spellEnd"/>
    </w:p>
    <w:p w14:paraId="0DC656C1" w14:textId="77777777" w:rsidR="00211641" w:rsidRPr="00D23955" w:rsidRDefault="00211641" w:rsidP="00211641">
      <w:pPr>
        <w:rPr>
          <w:b/>
        </w:rPr>
      </w:pPr>
    </w:p>
    <w:p w14:paraId="0CFAF1F9"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In its memo on the utilities’ 2010-2011 Biennial Conservation Plans,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staff noted that the three utilities took different approaches in how they claimed savings from </w:t>
      </w:r>
      <w:proofErr w:type="spellStart"/>
      <w:r>
        <w:rPr>
          <w:rFonts w:ascii="Times New Roman" w:hAnsi="Times New Roman" w:cs="Times New Roman"/>
          <w:sz w:val="24"/>
          <w:szCs w:val="24"/>
        </w:rPr>
        <w:t>NEEA</w:t>
      </w:r>
      <w:proofErr w:type="spellEnd"/>
      <w:r>
        <w:rPr>
          <w:rFonts w:ascii="Times New Roman" w:hAnsi="Times New Roman" w:cs="Times New Roman"/>
          <w:sz w:val="24"/>
          <w:szCs w:val="24"/>
        </w:rPr>
        <w:t xml:space="preserve"> and that multiple stakeholders felt that a common approach was warranted. The commission agreed and ordered the utilities to craft a uniform approach for treatment of </w:t>
      </w:r>
      <w:proofErr w:type="spellStart"/>
      <w:r>
        <w:rPr>
          <w:rFonts w:ascii="Times New Roman" w:hAnsi="Times New Roman" w:cs="Times New Roman"/>
          <w:sz w:val="24"/>
          <w:szCs w:val="24"/>
        </w:rPr>
        <w:t>NEEA</w:t>
      </w:r>
      <w:proofErr w:type="spellEnd"/>
      <w:r>
        <w:rPr>
          <w:rFonts w:ascii="Times New Roman" w:hAnsi="Times New Roman" w:cs="Times New Roman"/>
          <w:sz w:val="24"/>
          <w:szCs w:val="24"/>
        </w:rPr>
        <w:t xml:space="preserve"> savings.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14:paraId="1221985B" w14:textId="77777777" w:rsidR="00211641" w:rsidRDefault="00211641" w:rsidP="00211641">
      <w:pPr>
        <w:rPr>
          <w:rFonts w:ascii="Times New Roman" w:hAnsi="Times New Roman" w:cs="Times New Roman"/>
          <w:sz w:val="24"/>
          <w:szCs w:val="24"/>
        </w:rPr>
      </w:pPr>
    </w:p>
    <w:p w14:paraId="2DDE85B2" w14:textId="77777777" w:rsidR="00211641" w:rsidRPr="00A631EE"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In response, the utilities proposed to remove </w:t>
      </w:r>
      <w:proofErr w:type="spellStart"/>
      <w:r>
        <w:rPr>
          <w:rFonts w:ascii="Times New Roman" w:hAnsi="Times New Roman" w:cs="Times New Roman"/>
          <w:sz w:val="24"/>
          <w:szCs w:val="24"/>
        </w:rPr>
        <w:t>NEEA</w:t>
      </w:r>
      <w:proofErr w:type="spellEnd"/>
      <w:r>
        <w:rPr>
          <w:rFonts w:ascii="Times New Roman" w:hAnsi="Times New Roman" w:cs="Times New Roman"/>
          <w:sz w:val="24"/>
          <w:szCs w:val="24"/>
        </w:rPr>
        <w:t xml:space="preserve"> savings from the target-setting process.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Utilities would continue to fund </w:t>
      </w:r>
      <w:proofErr w:type="spellStart"/>
      <w:r>
        <w:rPr>
          <w:rFonts w:ascii="Times New Roman" w:hAnsi="Times New Roman" w:cs="Times New Roman"/>
          <w:sz w:val="24"/>
          <w:szCs w:val="24"/>
        </w:rPr>
        <w:t>NEEA</w:t>
      </w:r>
      <w:proofErr w:type="spellEnd"/>
      <w:r>
        <w:rPr>
          <w:rFonts w:ascii="Times New Roman" w:hAnsi="Times New Roman" w:cs="Times New Roman"/>
          <w:sz w:val="24"/>
          <w:szCs w:val="24"/>
        </w:rPr>
        <w:t xml:space="preserve"> and report the amount of savings they received from doing so, but would not reflect those savings when setting their target or apply them toward meeting their target. The commission accepted this approach and allowed the utilities to begin using it in the 2014-2015 </w:t>
      </w:r>
      <w:proofErr w:type="gramStart"/>
      <w:r>
        <w:rPr>
          <w:rFonts w:ascii="Times New Roman" w:hAnsi="Times New Roman" w:cs="Times New Roman"/>
          <w:sz w:val="24"/>
          <w:szCs w:val="24"/>
        </w:rPr>
        <w:t>biennium</w:t>
      </w:r>
      <w:proofErr w:type="gramEnd"/>
      <w:r>
        <w:rPr>
          <w:rFonts w:ascii="Times New Roman" w:hAnsi="Times New Roman" w:cs="Times New Roman"/>
          <w:sz w:val="24"/>
          <w:szCs w:val="24"/>
        </w:rPr>
        <w:t>.</w:t>
      </w:r>
    </w:p>
    <w:p w14:paraId="4CBBBEB4" w14:textId="77777777" w:rsidR="00211641" w:rsidRDefault="00211641" w:rsidP="00211641">
      <w:pPr>
        <w:pStyle w:val="Heading2"/>
        <w:rPr>
          <w:rFonts w:ascii="Times New Roman" w:hAnsi="Times New Roman" w:cs="Times New Roman"/>
          <w:b w:val="0"/>
          <w:i/>
          <w:color w:val="auto"/>
          <w:sz w:val="24"/>
          <w:szCs w:val="24"/>
        </w:rPr>
      </w:pPr>
      <w:bookmarkStart w:id="12" w:name="_Toc391628775"/>
      <w:proofErr w:type="spellStart"/>
      <w:r w:rsidRPr="00FB475D">
        <w:rPr>
          <w:rFonts w:ascii="Times New Roman" w:hAnsi="Times New Roman" w:cs="Times New Roman"/>
          <w:b w:val="0"/>
          <w:i/>
          <w:color w:val="auto"/>
          <w:sz w:val="24"/>
          <w:szCs w:val="24"/>
        </w:rPr>
        <w:t>UES</w:t>
      </w:r>
      <w:proofErr w:type="spellEnd"/>
      <w:r w:rsidRPr="00FB475D">
        <w:rPr>
          <w:rFonts w:ascii="Times New Roman" w:hAnsi="Times New Roman" w:cs="Times New Roman"/>
          <w:b w:val="0"/>
          <w:i/>
          <w:color w:val="auto"/>
          <w:sz w:val="24"/>
          <w:szCs w:val="24"/>
        </w:rPr>
        <w:t xml:space="preserve"> values/baselines</w:t>
      </w:r>
      <w:bookmarkEnd w:id="12"/>
    </w:p>
    <w:p w14:paraId="598FCC57" w14:textId="77777777" w:rsidR="00211641" w:rsidRPr="00D23955" w:rsidRDefault="00211641" w:rsidP="00211641">
      <w:pPr>
        <w:rPr>
          <w:b/>
        </w:rPr>
      </w:pPr>
    </w:p>
    <w:p w14:paraId="7C9F1459"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Another issue that staff identified in its memo on the utilities’ 2010-2011 Biennial Conservation Reports related to how frequently utilities update the assumed savings values for their conservation measures. The commission directed the utilities to use the unit energy savings (</w:t>
      </w:r>
      <w:proofErr w:type="spellStart"/>
      <w:r>
        <w:rPr>
          <w:rFonts w:ascii="Times New Roman" w:hAnsi="Times New Roman" w:cs="Times New Roman"/>
          <w:sz w:val="24"/>
          <w:szCs w:val="24"/>
        </w:rPr>
        <w:t>UES</w:t>
      </w:r>
      <w:proofErr w:type="spellEnd"/>
      <w:r>
        <w:rPr>
          <w:rFonts w:ascii="Times New Roman" w:hAnsi="Times New Roman" w:cs="Times New Roman"/>
          <w:sz w:val="24"/>
          <w:szCs w:val="24"/>
        </w:rPr>
        <w:t>) values that the Council’s Regional Technical Forum (RTF) calculates for each measure, where they exist and are appropriate.</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However, the utilities vary in how frequently they update their assumptions to reflect current RTF practice. Pacific Power and Light Company (PacifiCorp) and Avista update every other year when preparing their next biennial target; this allows the utilities to use the same value when setting their target and measuring whether they met it. Puget Sound Energy (PSE) voluntarily updates </w:t>
      </w:r>
      <w:proofErr w:type="spellStart"/>
      <w:r>
        <w:rPr>
          <w:rFonts w:ascii="Times New Roman" w:hAnsi="Times New Roman" w:cs="Times New Roman"/>
          <w:sz w:val="24"/>
          <w:szCs w:val="24"/>
        </w:rPr>
        <w:t>UES</w:t>
      </w:r>
      <w:proofErr w:type="spellEnd"/>
      <w:r>
        <w:rPr>
          <w:rFonts w:ascii="Times New Roman" w:hAnsi="Times New Roman" w:cs="Times New Roman"/>
          <w:sz w:val="24"/>
          <w:szCs w:val="24"/>
        </w:rPr>
        <w:t xml:space="preserve"> values every year. </w:t>
      </w:r>
    </w:p>
    <w:p w14:paraId="7DDC8600" w14:textId="77777777" w:rsidR="00211641" w:rsidRDefault="00211641" w:rsidP="00211641">
      <w:pPr>
        <w:rPr>
          <w:rFonts w:ascii="Times New Roman" w:hAnsi="Times New Roman" w:cs="Times New Roman"/>
          <w:sz w:val="24"/>
          <w:szCs w:val="24"/>
        </w:rPr>
      </w:pPr>
    </w:p>
    <w:p w14:paraId="100DAEF4"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Staff recognizes that PSE’s approach may increase a company’s risk of not meeting its target. In an effort to quantify this risk, staff has arranged for PacifiCorp and Avista to report at the end of the 2014-2015 </w:t>
      </w:r>
      <w:proofErr w:type="gramStart"/>
      <w:r>
        <w:rPr>
          <w:rFonts w:ascii="Times New Roman" w:hAnsi="Times New Roman" w:cs="Times New Roman"/>
          <w:sz w:val="24"/>
          <w:szCs w:val="24"/>
        </w:rPr>
        <w:t>biennium</w:t>
      </w:r>
      <w:proofErr w:type="gramEnd"/>
      <w:r>
        <w:rPr>
          <w:rFonts w:ascii="Times New Roman" w:hAnsi="Times New Roman" w:cs="Times New Roman"/>
          <w:sz w:val="24"/>
          <w:szCs w:val="24"/>
        </w:rPr>
        <w:t xml:space="preserve"> the difference between using the same </w:t>
      </w:r>
      <w:proofErr w:type="spellStart"/>
      <w:r>
        <w:rPr>
          <w:rFonts w:ascii="Times New Roman" w:hAnsi="Times New Roman" w:cs="Times New Roman"/>
          <w:sz w:val="24"/>
          <w:szCs w:val="24"/>
        </w:rPr>
        <w:t>UES</w:t>
      </w:r>
      <w:proofErr w:type="spellEnd"/>
      <w:r>
        <w:rPr>
          <w:rFonts w:ascii="Times New Roman" w:hAnsi="Times New Roman" w:cs="Times New Roman"/>
          <w:sz w:val="24"/>
          <w:szCs w:val="24"/>
        </w:rPr>
        <w:t xml:space="preserve"> values for the entire biennium and updating them annually. Staff may use this information to formulate a recommendation on how companies should treat </w:t>
      </w:r>
      <w:proofErr w:type="spellStart"/>
      <w:r>
        <w:rPr>
          <w:rFonts w:ascii="Times New Roman" w:hAnsi="Times New Roman" w:cs="Times New Roman"/>
          <w:sz w:val="24"/>
          <w:szCs w:val="24"/>
        </w:rPr>
        <w:t>UES</w:t>
      </w:r>
      <w:proofErr w:type="spellEnd"/>
      <w:r>
        <w:rPr>
          <w:rFonts w:ascii="Times New Roman" w:hAnsi="Times New Roman" w:cs="Times New Roman"/>
          <w:sz w:val="24"/>
          <w:szCs w:val="24"/>
        </w:rPr>
        <w:t xml:space="preserve"> values in the future.</w:t>
      </w:r>
    </w:p>
    <w:p w14:paraId="77FD9157" w14:textId="77777777" w:rsidR="00211641" w:rsidRDefault="00211641" w:rsidP="00211641">
      <w:pPr>
        <w:rPr>
          <w:rFonts w:ascii="Times New Roman" w:hAnsi="Times New Roman" w:cs="Times New Roman"/>
          <w:sz w:val="24"/>
          <w:szCs w:val="24"/>
        </w:rPr>
      </w:pPr>
    </w:p>
    <w:p w14:paraId="55BDBA7A" w14:textId="77777777" w:rsidR="00211641" w:rsidRDefault="00211641" w:rsidP="00211641">
      <w:pPr>
        <w:rPr>
          <w:rFonts w:ascii="Times New Roman" w:hAnsi="Times New Roman" w:cs="Times New Roman"/>
          <w:sz w:val="24"/>
          <w:szCs w:val="24"/>
        </w:rPr>
      </w:pPr>
    </w:p>
    <w:p w14:paraId="6AA7CE88" w14:textId="77777777" w:rsidR="00211641" w:rsidRDefault="00211641" w:rsidP="00211641">
      <w:pPr>
        <w:pStyle w:val="Heading2"/>
        <w:rPr>
          <w:rFonts w:ascii="Times New Roman" w:hAnsi="Times New Roman" w:cs="Times New Roman"/>
          <w:b w:val="0"/>
          <w:i/>
          <w:color w:val="auto"/>
          <w:sz w:val="24"/>
          <w:szCs w:val="24"/>
        </w:rPr>
      </w:pPr>
      <w:bookmarkStart w:id="13" w:name="_Toc391628776"/>
      <w:proofErr w:type="spellStart"/>
      <w:r w:rsidRPr="00FB475D">
        <w:rPr>
          <w:rFonts w:ascii="Times New Roman" w:hAnsi="Times New Roman" w:cs="Times New Roman"/>
          <w:b w:val="0"/>
          <w:i/>
          <w:color w:val="auto"/>
          <w:sz w:val="24"/>
          <w:szCs w:val="24"/>
        </w:rPr>
        <w:t>Opower</w:t>
      </w:r>
      <w:bookmarkEnd w:id="13"/>
      <w:proofErr w:type="spellEnd"/>
    </w:p>
    <w:p w14:paraId="42AB2D0B" w14:textId="77777777" w:rsidR="00211641" w:rsidRPr="00D23955" w:rsidRDefault="00211641" w:rsidP="00211641">
      <w:pPr>
        <w:rPr>
          <w:b/>
        </w:rPr>
      </w:pPr>
    </w:p>
    <w:p w14:paraId="3BEBDF94"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Staff comments on the biennial conservation plans filed for the 2014-15 biennium identified inconsistencies in how the companies measure savings from the Home Energy Reports programs they run through </w:t>
      </w:r>
      <w:proofErr w:type="spellStart"/>
      <w:r>
        <w:rPr>
          <w:rFonts w:ascii="Times New Roman" w:hAnsi="Times New Roman" w:cs="Times New Roman"/>
          <w:sz w:val="24"/>
          <w:szCs w:val="24"/>
        </w:rPr>
        <w:t>Opower</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All three companies have now contracted with </w:t>
      </w:r>
      <w:proofErr w:type="spellStart"/>
      <w:r>
        <w:rPr>
          <w:rFonts w:ascii="Times New Roman" w:hAnsi="Times New Roman" w:cs="Times New Roman"/>
          <w:sz w:val="24"/>
          <w:szCs w:val="24"/>
        </w:rPr>
        <w:t>Opower</w:t>
      </w:r>
      <w:proofErr w:type="spellEnd"/>
      <w:r>
        <w:rPr>
          <w:rFonts w:ascii="Times New Roman" w:hAnsi="Times New Roman" w:cs="Times New Roman"/>
          <w:sz w:val="24"/>
          <w:szCs w:val="24"/>
        </w:rPr>
        <w:t xml:space="preserve"> for the service, but each </w:t>
      </w:r>
      <w:proofErr w:type="gramStart"/>
      <w:r>
        <w:rPr>
          <w:rFonts w:ascii="Times New Roman" w:hAnsi="Times New Roman" w:cs="Times New Roman"/>
          <w:sz w:val="24"/>
          <w:szCs w:val="24"/>
        </w:rPr>
        <w:t>measures</w:t>
      </w:r>
      <w:proofErr w:type="gramEnd"/>
      <w:r>
        <w:rPr>
          <w:rFonts w:ascii="Times New Roman" w:hAnsi="Times New Roman" w:cs="Times New Roman"/>
          <w:sz w:val="24"/>
          <w:szCs w:val="24"/>
        </w:rPr>
        <w:t xml:space="preserve"> savings differently.</w:t>
      </w:r>
    </w:p>
    <w:p w14:paraId="62ED0FC6" w14:textId="77777777" w:rsidR="00211641" w:rsidRDefault="00211641" w:rsidP="00211641">
      <w:pPr>
        <w:rPr>
          <w:rFonts w:ascii="Times New Roman" w:hAnsi="Times New Roman" w:cs="Times New Roman"/>
          <w:sz w:val="24"/>
          <w:szCs w:val="24"/>
        </w:rPr>
      </w:pPr>
    </w:p>
    <w:p w14:paraId="3B83050F"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The main difference in approaches is in the measure life – how long the behavioral changes created by the reports are assumed to last before residents return to their old habits and utilities need to “repurchase” the savings with additional reports. PSE and Avista use two-year measure lives, which means that the reports in the first year create savings that last into the second year, so only a fraction of the second-year savings are treated as new savings for the program. PacifiCorp, on the other hand, assumes a one-year measure life, which means that the company assumes that all the savings in a given year are the result of that year’s reports alone. The practical impact of these differences is that on a per-household basis, PacifiCorp claims a much higher level of savings from its Home Energy Reports program than Avista and PSE.</w:t>
      </w:r>
    </w:p>
    <w:p w14:paraId="2C65DA08" w14:textId="77777777" w:rsidR="00211641" w:rsidRDefault="00211641" w:rsidP="00211641">
      <w:pPr>
        <w:rPr>
          <w:rFonts w:ascii="Times New Roman" w:hAnsi="Times New Roman" w:cs="Times New Roman"/>
          <w:sz w:val="24"/>
          <w:szCs w:val="24"/>
        </w:rPr>
      </w:pPr>
    </w:p>
    <w:p w14:paraId="5A6A269E" w14:textId="77777777" w:rsidR="00211641" w:rsidRPr="00AD0857" w:rsidRDefault="00211641" w:rsidP="00211641">
      <w:pPr>
        <w:rPr>
          <w:rFonts w:ascii="Times New Roman" w:hAnsi="Times New Roman" w:cs="Times New Roman"/>
          <w:sz w:val="24"/>
          <w:szCs w:val="24"/>
        </w:rPr>
      </w:pPr>
      <w:r>
        <w:rPr>
          <w:rFonts w:ascii="Times New Roman" w:hAnsi="Times New Roman" w:cs="Times New Roman"/>
          <w:sz w:val="24"/>
          <w:szCs w:val="24"/>
        </w:rPr>
        <w:t>Staff stated in the comments on the 2014-15 biennial conservation plans that it would work with the utilities during the biennium to devise a “reasonable and consistent approach.”</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Staff met with the utilities, external stakeholders, and a representative from </w:t>
      </w:r>
      <w:proofErr w:type="spellStart"/>
      <w:r>
        <w:rPr>
          <w:rFonts w:ascii="Times New Roman" w:hAnsi="Times New Roman" w:cs="Times New Roman"/>
          <w:sz w:val="24"/>
          <w:szCs w:val="24"/>
        </w:rPr>
        <w:t>Opower</w:t>
      </w:r>
      <w:proofErr w:type="spellEnd"/>
      <w:r>
        <w:rPr>
          <w:rFonts w:ascii="Times New Roman" w:hAnsi="Times New Roman" w:cs="Times New Roman"/>
          <w:sz w:val="24"/>
          <w:szCs w:val="24"/>
        </w:rPr>
        <w:t xml:space="preserve"> on May 22, 2014, to discuss this matter. The meeting provided valuable insight into current industry practice and the benefits and drawbacks of different approaches to measuring savings from behavioral programs. Staff continues to explore the matter.</w:t>
      </w:r>
    </w:p>
    <w:p w14:paraId="355860B4" w14:textId="77777777" w:rsidR="00211641" w:rsidRDefault="00211641" w:rsidP="00211641">
      <w:pPr>
        <w:pStyle w:val="Heading1"/>
        <w:rPr>
          <w:rFonts w:ascii="Times New Roman" w:hAnsi="Times New Roman" w:cs="Times New Roman"/>
          <w:color w:val="auto"/>
        </w:rPr>
      </w:pPr>
      <w:r w:rsidRPr="00B17BBF">
        <w:rPr>
          <w:rFonts w:ascii="Times New Roman" w:hAnsi="Times New Roman" w:cs="Times New Roman"/>
          <w:color w:val="auto"/>
        </w:rPr>
        <w:t>Finding of Prudency</w:t>
      </w:r>
      <w:bookmarkEnd w:id="9"/>
    </w:p>
    <w:p w14:paraId="1A82A30C" w14:textId="77777777" w:rsidR="00211641" w:rsidRPr="00B17BBF" w:rsidRDefault="00211641" w:rsidP="00211641"/>
    <w:p w14:paraId="20B5CC0B" w14:textId="77777777" w:rsidR="00211641" w:rsidRPr="002D1F61" w:rsidRDefault="00211641" w:rsidP="00211641">
      <w:pPr>
        <w:rPr>
          <w:rFonts w:ascii="Times New Roman" w:hAnsi="Times New Roman" w:cs="Times New Roman"/>
          <w:sz w:val="24"/>
          <w:szCs w:val="24"/>
        </w:rPr>
      </w:pPr>
      <w:r w:rsidRPr="002D1F61">
        <w:rPr>
          <w:rFonts w:ascii="Times New Roman" w:hAnsi="Times New Roman" w:cs="Times New Roman"/>
          <w:sz w:val="24"/>
          <w:szCs w:val="24"/>
        </w:rPr>
        <w:t xml:space="preserve">Pursuant to Order 05 of joint Dockets </w:t>
      </w:r>
      <w:proofErr w:type="spellStart"/>
      <w:r w:rsidRPr="002D1F61">
        <w:rPr>
          <w:rFonts w:ascii="Times New Roman" w:hAnsi="Times New Roman" w:cs="Times New Roman"/>
          <w:sz w:val="24"/>
          <w:szCs w:val="24"/>
        </w:rPr>
        <w:t>UE</w:t>
      </w:r>
      <w:proofErr w:type="spellEnd"/>
      <w:r w:rsidRPr="002D1F61">
        <w:rPr>
          <w:rFonts w:ascii="Times New Roman" w:hAnsi="Times New Roman" w:cs="Times New Roman"/>
          <w:sz w:val="24"/>
          <w:szCs w:val="24"/>
        </w:rPr>
        <w:t xml:space="preserve">-110876 and </w:t>
      </w:r>
      <w:proofErr w:type="spellStart"/>
      <w:r w:rsidRPr="002D1F61">
        <w:rPr>
          <w:rFonts w:ascii="Times New Roman" w:hAnsi="Times New Roman" w:cs="Times New Roman"/>
          <w:sz w:val="24"/>
          <w:szCs w:val="24"/>
        </w:rPr>
        <w:t>UG</w:t>
      </w:r>
      <w:proofErr w:type="spellEnd"/>
      <w:r w:rsidRPr="002D1F61">
        <w:rPr>
          <w:rFonts w:ascii="Times New Roman" w:hAnsi="Times New Roman" w:cs="Times New Roman"/>
          <w:sz w:val="24"/>
          <w:szCs w:val="24"/>
        </w:rPr>
        <w:t xml:space="preserve">-110877, </w:t>
      </w:r>
      <w:r>
        <w:rPr>
          <w:rFonts w:ascii="Times New Roman" w:hAnsi="Times New Roman" w:cs="Times New Roman"/>
          <w:sz w:val="24"/>
          <w:szCs w:val="24"/>
        </w:rPr>
        <w:t xml:space="preserve">every two years </w:t>
      </w:r>
      <w:r w:rsidRPr="002D1F61">
        <w:rPr>
          <w:rFonts w:ascii="Times New Roman" w:hAnsi="Times New Roman" w:cs="Times New Roman"/>
          <w:sz w:val="24"/>
          <w:szCs w:val="24"/>
        </w:rPr>
        <w:t>Avista is required to file with the</w:t>
      </w:r>
      <w:r>
        <w:rPr>
          <w:rFonts w:ascii="Times New Roman" w:hAnsi="Times New Roman" w:cs="Times New Roman"/>
          <w:sz w:val="24"/>
          <w:szCs w:val="24"/>
        </w:rPr>
        <w:t xml:space="preserve"> Commission</w:t>
      </w:r>
      <w:r w:rsidRPr="002D1F61">
        <w:rPr>
          <w:rFonts w:ascii="Times New Roman" w:hAnsi="Times New Roman" w:cs="Times New Roman"/>
          <w:sz w:val="24"/>
          <w:szCs w:val="24"/>
        </w:rPr>
        <w:t xml:space="preserve"> testimony and supporting evidence to demonstrate the prudency of its </w:t>
      </w:r>
      <w:r>
        <w:rPr>
          <w:rFonts w:ascii="Times New Roman" w:hAnsi="Times New Roman" w:cs="Times New Roman"/>
          <w:sz w:val="24"/>
          <w:szCs w:val="24"/>
        </w:rPr>
        <w:t>electric demand side management</w:t>
      </w:r>
      <w:r w:rsidRPr="002D1F61">
        <w:rPr>
          <w:rFonts w:ascii="Times New Roman" w:hAnsi="Times New Roman" w:cs="Times New Roman"/>
          <w:sz w:val="24"/>
          <w:szCs w:val="24"/>
        </w:rPr>
        <w:t xml:space="preserve"> expenditures during the preceding biennium.  </w:t>
      </w:r>
    </w:p>
    <w:p w14:paraId="79617CD0" w14:textId="77777777" w:rsidR="00211641" w:rsidRDefault="00211641" w:rsidP="00211641">
      <w:pPr>
        <w:rPr>
          <w:rFonts w:ascii="Times New Roman" w:hAnsi="Times New Roman" w:cs="Times New Roman"/>
          <w:sz w:val="24"/>
          <w:szCs w:val="24"/>
        </w:rPr>
      </w:pPr>
    </w:p>
    <w:p w14:paraId="2BFE27F5" w14:textId="77777777" w:rsidR="00211641" w:rsidRPr="002D1F61" w:rsidRDefault="00211641" w:rsidP="00211641">
      <w:pPr>
        <w:rPr>
          <w:rFonts w:ascii="Times New Roman" w:hAnsi="Times New Roman" w:cs="Times New Roman"/>
          <w:sz w:val="24"/>
          <w:szCs w:val="24"/>
        </w:rPr>
      </w:pPr>
      <w:r w:rsidRPr="002D1F61">
        <w:rPr>
          <w:rFonts w:ascii="Times New Roman" w:hAnsi="Times New Roman" w:cs="Times New Roman"/>
          <w:sz w:val="24"/>
          <w:szCs w:val="24"/>
        </w:rPr>
        <w:t xml:space="preserve">On July 22, 2011, Avista, the Public Counsel Section of the Washington State Attorney General’s Office (Public Counsel), and the </w:t>
      </w:r>
      <w:r>
        <w:rPr>
          <w:rFonts w:ascii="Times New Roman" w:hAnsi="Times New Roman" w:cs="Times New Roman"/>
          <w:sz w:val="24"/>
          <w:szCs w:val="24"/>
        </w:rPr>
        <w:t>C</w:t>
      </w:r>
      <w:r w:rsidRPr="002D1F61">
        <w:rPr>
          <w:rFonts w:ascii="Times New Roman" w:hAnsi="Times New Roman" w:cs="Times New Roman"/>
          <w:sz w:val="24"/>
          <w:szCs w:val="24"/>
        </w:rPr>
        <w:t>ommission’s regulatory staff entered into a Memorandum of Understanding (</w:t>
      </w:r>
      <w:proofErr w:type="spellStart"/>
      <w:r w:rsidRPr="002D1F61">
        <w:rPr>
          <w:rFonts w:ascii="Times New Roman" w:hAnsi="Times New Roman" w:cs="Times New Roman"/>
          <w:sz w:val="24"/>
          <w:szCs w:val="24"/>
        </w:rPr>
        <w:t>MOU</w:t>
      </w:r>
      <w:proofErr w:type="spellEnd"/>
      <w:r w:rsidRPr="002D1F61">
        <w:rPr>
          <w:rFonts w:ascii="Times New Roman" w:hAnsi="Times New Roman" w:cs="Times New Roman"/>
          <w:sz w:val="24"/>
          <w:szCs w:val="24"/>
        </w:rPr>
        <w:t xml:space="preserve">) regarding the appropriate forum for review of the prudence of Avista’s Demand Side Management (DSM) programs and expenditures. The parties to the </w:t>
      </w:r>
      <w:proofErr w:type="spellStart"/>
      <w:r w:rsidRPr="002D1F61">
        <w:rPr>
          <w:rFonts w:ascii="Times New Roman" w:hAnsi="Times New Roman" w:cs="Times New Roman"/>
          <w:sz w:val="24"/>
          <w:szCs w:val="24"/>
        </w:rPr>
        <w:t>MOU</w:t>
      </w:r>
      <w:proofErr w:type="spellEnd"/>
      <w:r w:rsidRPr="002D1F61">
        <w:rPr>
          <w:rFonts w:ascii="Times New Roman" w:hAnsi="Times New Roman" w:cs="Times New Roman"/>
          <w:sz w:val="24"/>
          <w:szCs w:val="24"/>
        </w:rPr>
        <w:t xml:space="preserve"> filed joint motions in Docket </w:t>
      </w:r>
      <w:proofErr w:type="spellStart"/>
      <w:r w:rsidRPr="002D1F61">
        <w:rPr>
          <w:rFonts w:ascii="Times New Roman" w:hAnsi="Times New Roman" w:cs="Times New Roman"/>
          <w:sz w:val="24"/>
          <w:szCs w:val="24"/>
        </w:rPr>
        <w:t>UE</w:t>
      </w:r>
      <w:proofErr w:type="spellEnd"/>
      <w:r w:rsidRPr="002D1F61">
        <w:rPr>
          <w:rFonts w:ascii="Times New Roman" w:hAnsi="Times New Roman" w:cs="Times New Roman"/>
          <w:sz w:val="24"/>
          <w:szCs w:val="24"/>
        </w:rPr>
        <w:noBreakHyphen/>
        <w:t>100176 and</w:t>
      </w:r>
      <w:r>
        <w:rPr>
          <w:rFonts w:ascii="Times New Roman" w:hAnsi="Times New Roman" w:cs="Times New Roman"/>
          <w:sz w:val="24"/>
          <w:szCs w:val="24"/>
        </w:rPr>
        <w:t xml:space="preserve"> consolidated Dockets</w:t>
      </w:r>
      <w:r w:rsidRPr="002D1F61">
        <w:rPr>
          <w:rFonts w:ascii="Times New Roman" w:hAnsi="Times New Roman" w:cs="Times New Roman"/>
          <w:sz w:val="24"/>
          <w:szCs w:val="24"/>
        </w:rPr>
        <w:t xml:space="preserve"> </w:t>
      </w:r>
      <w:proofErr w:type="spellStart"/>
      <w:r w:rsidRPr="002D1F61">
        <w:rPr>
          <w:rFonts w:ascii="Times New Roman" w:hAnsi="Times New Roman" w:cs="Times New Roman"/>
          <w:sz w:val="24"/>
          <w:szCs w:val="24"/>
        </w:rPr>
        <w:t>UE</w:t>
      </w:r>
      <w:proofErr w:type="spellEnd"/>
      <w:r w:rsidRPr="002D1F61">
        <w:rPr>
          <w:rFonts w:ascii="Times New Roman" w:hAnsi="Times New Roman" w:cs="Times New Roman"/>
          <w:sz w:val="24"/>
          <w:szCs w:val="24"/>
        </w:rPr>
        <w:noBreakHyphen/>
        <w:t>110876</w:t>
      </w:r>
      <w:r>
        <w:rPr>
          <w:rFonts w:ascii="Times New Roman" w:hAnsi="Times New Roman" w:cs="Times New Roman"/>
          <w:sz w:val="24"/>
          <w:szCs w:val="24"/>
        </w:rPr>
        <w:t xml:space="preserve"> and </w:t>
      </w:r>
      <w:proofErr w:type="spellStart"/>
      <w:r w:rsidRPr="002D1F61">
        <w:rPr>
          <w:rFonts w:ascii="Times New Roman" w:hAnsi="Times New Roman" w:cs="Times New Roman"/>
          <w:sz w:val="24"/>
          <w:szCs w:val="24"/>
        </w:rPr>
        <w:t>UG</w:t>
      </w:r>
      <w:proofErr w:type="spellEnd"/>
      <w:r w:rsidRPr="002D1F61">
        <w:rPr>
          <w:rFonts w:ascii="Times New Roman" w:hAnsi="Times New Roman" w:cs="Times New Roman"/>
          <w:sz w:val="24"/>
          <w:szCs w:val="24"/>
        </w:rPr>
        <w:noBreakHyphen/>
        <w:t xml:space="preserve">110877, asking the </w:t>
      </w:r>
      <w:r>
        <w:rPr>
          <w:rFonts w:ascii="Times New Roman" w:hAnsi="Times New Roman" w:cs="Times New Roman"/>
          <w:sz w:val="24"/>
          <w:szCs w:val="24"/>
        </w:rPr>
        <w:t>C</w:t>
      </w:r>
      <w:r w:rsidRPr="002D1F61">
        <w:rPr>
          <w:rFonts w:ascii="Times New Roman" w:hAnsi="Times New Roman" w:cs="Times New Roman"/>
          <w:sz w:val="24"/>
          <w:szCs w:val="24"/>
        </w:rPr>
        <w:t xml:space="preserve">ommission to clarify the process for reviewing the prudence of Avista’s DSM programs and expenditures by adopting the procedure described in the </w:t>
      </w:r>
      <w:proofErr w:type="spellStart"/>
      <w:r w:rsidRPr="002D1F61">
        <w:rPr>
          <w:rFonts w:ascii="Times New Roman" w:hAnsi="Times New Roman" w:cs="Times New Roman"/>
          <w:sz w:val="24"/>
          <w:szCs w:val="24"/>
        </w:rPr>
        <w:t>MOU</w:t>
      </w:r>
      <w:proofErr w:type="spellEnd"/>
      <w:r w:rsidRPr="002D1F61">
        <w:rPr>
          <w:rFonts w:ascii="Times New Roman" w:hAnsi="Times New Roman" w:cs="Times New Roman"/>
          <w:sz w:val="24"/>
          <w:szCs w:val="24"/>
        </w:rPr>
        <w:t xml:space="preserve">. On August 18, 2011, the </w:t>
      </w:r>
      <w:r>
        <w:rPr>
          <w:rFonts w:ascii="Times New Roman" w:hAnsi="Times New Roman" w:cs="Times New Roman"/>
          <w:sz w:val="24"/>
          <w:szCs w:val="24"/>
        </w:rPr>
        <w:t>C</w:t>
      </w:r>
      <w:r w:rsidRPr="002D1F61">
        <w:rPr>
          <w:rFonts w:ascii="Times New Roman" w:hAnsi="Times New Roman" w:cs="Times New Roman"/>
          <w:sz w:val="24"/>
          <w:szCs w:val="24"/>
        </w:rPr>
        <w:t xml:space="preserve">ommission granted the joint motion in Dockets </w:t>
      </w:r>
      <w:proofErr w:type="spellStart"/>
      <w:r w:rsidRPr="002D1F61">
        <w:rPr>
          <w:rFonts w:ascii="Times New Roman" w:hAnsi="Times New Roman" w:cs="Times New Roman"/>
          <w:sz w:val="24"/>
          <w:szCs w:val="24"/>
        </w:rPr>
        <w:t>UE</w:t>
      </w:r>
      <w:proofErr w:type="spellEnd"/>
      <w:r w:rsidRPr="002D1F61">
        <w:rPr>
          <w:rFonts w:ascii="Times New Roman" w:hAnsi="Times New Roman" w:cs="Times New Roman"/>
          <w:sz w:val="24"/>
          <w:szCs w:val="24"/>
        </w:rPr>
        <w:noBreakHyphen/>
        <w:t>110876/</w:t>
      </w:r>
      <w:proofErr w:type="spellStart"/>
      <w:r w:rsidRPr="002D1F61">
        <w:rPr>
          <w:rFonts w:ascii="Times New Roman" w:hAnsi="Times New Roman" w:cs="Times New Roman"/>
          <w:sz w:val="24"/>
          <w:szCs w:val="24"/>
        </w:rPr>
        <w:t>UG</w:t>
      </w:r>
      <w:proofErr w:type="spellEnd"/>
      <w:r w:rsidRPr="002D1F61">
        <w:rPr>
          <w:rFonts w:ascii="Times New Roman" w:hAnsi="Times New Roman" w:cs="Times New Roman"/>
          <w:sz w:val="24"/>
          <w:szCs w:val="24"/>
        </w:rPr>
        <w:noBreakHyphen/>
        <w:t xml:space="preserve">110877, Avista’s </w:t>
      </w:r>
      <w:r w:rsidRPr="002D1F61">
        <w:rPr>
          <w:rFonts w:ascii="Times New Roman" w:hAnsi="Times New Roman" w:cs="Times New Roman"/>
          <w:sz w:val="24"/>
          <w:szCs w:val="24"/>
        </w:rPr>
        <w:lastRenderedPageBreak/>
        <w:t xml:space="preserve">then-pending general rate case, and effectively </w:t>
      </w:r>
      <w:r>
        <w:rPr>
          <w:rFonts w:ascii="Times New Roman" w:hAnsi="Times New Roman" w:cs="Times New Roman"/>
          <w:sz w:val="24"/>
          <w:szCs w:val="24"/>
        </w:rPr>
        <w:t>found</w:t>
      </w:r>
      <w:r w:rsidRPr="002D1F61">
        <w:rPr>
          <w:rFonts w:ascii="Times New Roman" w:hAnsi="Times New Roman" w:cs="Times New Roman"/>
          <w:sz w:val="24"/>
          <w:szCs w:val="24"/>
        </w:rPr>
        <w:t xml:space="preserve"> </w:t>
      </w:r>
      <w:r>
        <w:rPr>
          <w:rFonts w:ascii="Times New Roman" w:hAnsi="Times New Roman" w:cs="Times New Roman"/>
          <w:sz w:val="24"/>
          <w:szCs w:val="24"/>
        </w:rPr>
        <w:t xml:space="preserve">the question </w:t>
      </w:r>
      <w:r w:rsidRPr="002D1F61">
        <w:rPr>
          <w:rFonts w:ascii="Times New Roman" w:hAnsi="Times New Roman" w:cs="Times New Roman"/>
          <w:sz w:val="24"/>
          <w:szCs w:val="24"/>
        </w:rPr>
        <w:t xml:space="preserve">moot in Docket </w:t>
      </w:r>
      <w:proofErr w:type="spellStart"/>
      <w:r w:rsidRPr="002D1F61">
        <w:rPr>
          <w:rFonts w:ascii="Times New Roman" w:hAnsi="Times New Roman" w:cs="Times New Roman"/>
          <w:sz w:val="24"/>
          <w:szCs w:val="24"/>
        </w:rPr>
        <w:t>UE</w:t>
      </w:r>
      <w:proofErr w:type="spellEnd"/>
      <w:r w:rsidRPr="002D1F61">
        <w:rPr>
          <w:rFonts w:ascii="Times New Roman" w:hAnsi="Times New Roman" w:cs="Times New Roman"/>
          <w:sz w:val="24"/>
          <w:szCs w:val="24"/>
        </w:rPr>
        <w:noBreakHyphen/>
        <w:t>100176.</w:t>
      </w:r>
      <w:r w:rsidRPr="008251BA">
        <w:rPr>
          <w:rFonts w:ascii="Times New Roman" w:hAnsi="Times New Roman" w:cs="Times New Roman"/>
          <w:sz w:val="24"/>
          <w:szCs w:val="24"/>
          <w:vertAlign w:val="superscript"/>
        </w:rPr>
        <w:footnoteReference w:id="15"/>
      </w:r>
      <w:r w:rsidRPr="002D1F61">
        <w:rPr>
          <w:rFonts w:ascii="Times New Roman" w:hAnsi="Times New Roman" w:cs="Times New Roman"/>
          <w:sz w:val="24"/>
          <w:szCs w:val="24"/>
        </w:rPr>
        <w:t xml:space="preserve"> The </w:t>
      </w:r>
      <w:r>
        <w:rPr>
          <w:rFonts w:ascii="Times New Roman" w:hAnsi="Times New Roman" w:cs="Times New Roman"/>
          <w:sz w:val="24"/>
          <w:szCs w:val="24"/>
        </w:rPr>
        <w:t>c</w:t>
      </w:r>
      <w:r w:rsidRPr="002D1F61">
        <w:rPr>
          <w:rFonts w:ascii="Times New Roman" w:hAnsi="Times New Roman" w:cs="Times New Roman"/>
          <w:sz w:val="24"/>
          <w:szCs w:val="24"/>
        </w:rPr>
        <w:t xml:space="preserve">ommission ordered that Avista’s DSM programs and expenditures be reviewed for prudency in a future docket, rather than in </w:t>
      </w:r>
      <w:proofErr w:type="spellStart"/>
      <w:r w:rsidRPr="002D1F61">
        <w:rPr>
          <w:rFonts w:ascii="Times New Roman" w:hAnsi="Times New Roman" w:cs="Times New Roman"/>
          <w:sz w:val="24"/>
          <w:szCs w:val="24"/>
        </w:rPr>
        <w:t>UE</w:t>
      </w:r>
      <w:proofErr w:type="spellEnd"/>
      <w:r w:rsidRPr="002D1F61">
        <w:rPr>
          <w:rFonts w:ascii="Times New Roman" w:hAnsi="Times New Roman" w:cs="Times New Roman"/>
          <w:sz w:val="24"/>
          <w:szCs w:val="24"/>
        </w:rPr>
        <w:noBreakHyphen/>
        <w:t>110876/</w:t>
      </w:r>
      <w:proofErr w:type="spellStart"/>
      <w:r w:rsidRPr="002D1F61">
        <w:rPr>
          <w:rFonts w:ascii="Times New Roman" w:hAnsi="Times New Roman" w:cs="Times New Roman"/>
          <w:sz w:val="24"/>
          <w:szCs w:val="24"/>
        </w:rPr>
        <w:t>UG</w:t>
      </w:r>
      <w:proofErr w:type="spellEnd"/>
      <w:r w:rsidRPr="002D1F61">
        <w:rPr>
          <w:rFonts w:ascii="Times New Roman" w:hAnsi="Times New Roman" w:cs="Times New Roman"/>
          <w:sz w:val="24"/>
          <w:szCs w:val="24"/>
        </w:rPr>
        <w:noBreakHyphen/>
        <w:t>110877, the pending general rate case. As a result, Avista is now r</w:t>
      </w:r>
      <w:r>
        <w:rPr>
          <w:rFonts w:ascii="Times New Roman" w:hAnsi="Times New Roman" w:cs="Times New Roman"/>
          <w:sz w:val="24"/>
          <w:szCs w:val="24"/>
        </w:rPr>
        <w:t>equesting a finding of prudency.</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14:paraId="504FA729" w14:textId="77777777" w:rsidR="00211641" w:rsidRDefault="00211641" w:rsidP="00211641">
      <w:pPr>
        <w:rPr>
          <w:rFonts w:ascii="Times New Roman" w:hAnsi="Times New Roman" w:cs="Times New Roman"/>
          <w:sz w:val="24"/>
          <w:szCs w:val="24"/>
        </w:rPr>
      </w:pPr>
    </w:p>
    <w:p w14:paraId="1ACCC2D6" w14:textId="77777777" w:rsidR="00211641" w:rsidRDefault="00211641" w:rsidP="00211641">
      <w:pPr>
        <w:rPr>
          <w:rFonts w:ascii="Times New Roman" w:hAnsi="Times New Roman" w:cs="Times New Roman"/>
          <w:sz w:val="24"/>
          <w:szCs w:val="24"/>
        </w:rPr>
      </w:pPr>
      <w:r w:rsidRPr="009074BF">
        <w:rPr>
          <w:rFonts w:ascii="Times New Roman" w:hAnsi="Times New Roman" w:cs="Times New Roman"/>
          <w:sz w:val="24"/>
          <w:szCs w:val="24"/>
        </w:rPr>
        <w:t>Staff desires to provide consistency in its review of DSM prudency and outlines the following proposed approach to assessing prudence for conservation activities.</w:t>
      </w:r>
    </w:p>
    <w:p w14:paraId="3C5B57A5" w14:textId="77777777" w:rsidR="00211641" w:rsidRDefault="00211641" w:rsidP="00211641">
      <w:pPr>
        <w:rPr>
          <w:rFonts w:ascii="Times New Roman" w:hAnsi="Times New Roman" w:cs="Times New Roman"/>
          <w:sz w:val="24"/>
          <w:szCs w:val="24"/>
        </w:rPr>
      </w:pPr>
    </w:p>
    <w:p w14:paraId="173E2EDC" w14:textId="1700A302" w:rsidR="00211641" w:rsidRPr="002D1F61" w:rsidRDefault="00211641" w:rsidP="00211641">
      <w:pPr>
        <w:spacing w:after="200"/>
        <w:rPr>
          <w:rFonts w:ascii="Times New Roman" w:hAnsi="Times New Roman" w:cs="Times New Roman"/>
          <w:sz w:val="24"/>
          <w:szCs w:val="24"/>
        </w:rPr>
      </w:pPr>
      <w:r>
        <w:rPr>
          <w:rFonts w:ascii="Times New Roman" w:hAnsi="Times New Roman" w:cs="Times New Roman"/>
          <w:sz w:val="24"/>
          <w:szCs w:val="24"/>
        </w:rPr>
        <w:t xml:space="preserve">The </w:t>
      </w:r>
      <w:r w:rsidRPr="002D1F61">
        <w:rPr>
          <w:rFonts w:ascii="Times New Roman" w:hAnsi="Times New Roman" w:cs="Times New Roman"/>
          <w:sz w:val="24"/>
          <w:szCs w:val="24"/>
        </w:rPr>
        <w:t xml:space="preserve">company must demonstrate that it evaluated its conservation needs and requirements, and that reasonable decisions were made in terms of programs selected, portfolio costs, and overall management of the programs selected. Four general factors that </w:t>
      </w:r>
      <w:r w:rsidRPr="009074BF">
        <w:rPr>
          <w:rFonts w:ascii="Times New Roman" w:hAnsi="Times New Roman" w:cs="Times New Roman"/>
          <w:sz w:val="24"/>
          <w:szCs w:val="24"/>
        </w:rPr>
        <w:t>the Commission</w:t>
      </w:r>
      <w:r w:rsidRPr="002D1F61">
        <w:rPr>
          <w:rFonts w:ascii="Times New Roman" w:hAnsi="Times New Roman" w:cs="Times New Roman"/>
          <w:sz w:val="24"/>
          <w:szCs w:val="24"/>
        </w:rPr>
        <w:t xml:space="preserve"> </w:t>
      </w:r>
      <w:r>
        <w:rPr>
          <w:rFonts w:ascii="Times New Roman" w:hAnsi="Times New Roman" w:cs="Times New Roman"/>
          <w:sz w:val="24"/>
          <w:szCs w:val="24"/>
        </w:rPr>
        <w:t>has</w:t>
      </w:r>
      <w:r w:rsidRPr="002D1F61">
        <w:rPr>
          <w:rFonts w:ascii="Times New Roman" w:hAnsi="Times New Roman" w:cs="Times New Roman"/>
          <w:sz w:val="24"/>
          <w:szCs w:val="24"/>
        </w:rPr>
        <w:t xml:space="preserve"> consistently considered in previous determinations of prudence </w:t>
      </w:r>
      <w:r>
        <w:rPr>
          <w:rFonts w:ascii="Times New Roman" w:hAnsi="Times New Roman" w:cs="Times New Roman"/>
          <w:sz w:val="24"/>
          <w:szCs w:val="24"/>
        </w:rPr>
        <w:t>for</w:t>
      </w:r>
      <w:r w:rsidRPr="002D1F61">
        <w:rPr>
          <w:rFonts w:ascii="Times New Roman" w:hAnsi="Times New Roman" w:cs="Times New Roman"/>
          <w:sz w:val="24"/>
          <w:szCs w:val="24"/>
        </w:rPr>
        <w:t xml:space="preserve"> utilities include:</w:t>
      </w:r>
    </w:p>
    <w:p w14:paraId="47986033" w14:textId="77777777" w:rsidR="00211641" w:rsidRPr="009074BF" w:rsidRDefault="00211641" w:rsidP="00211641">
      <w:pPr>
        <w:pStyle w:val="ListParagraph"/>
        <w:numPr>
          <w:ilvl w:val="0"/>
          <w:numId w:val="3"/>
        </w:numPr>
        <w:spacing w:after="200"/>
        <w:contextualSpacing w:val="0"/>
        <w:rPr>
          <w:rFonts w:ascii="Times New Roman" w:hAnsi="Times New Roman" w:cs="Times New Roman"/>
          <w:sz w:val="24"/>
          <w:szCs w:val="24"/>
        </w:rPr>
      </w:pPr>
      <w:r w:rsidRPr="009074BF">
        <w:rPr>
          <w:rFonts w:ascii="Times New Roman" w:hAnsi="Times New Roman" w:cs="Times New Roman"/>
          <w:sz w:val="24"/>
          <w:szCs w:val="24"/>
        </w:rPr>
        <w:t>The need for the resource. The utility must determine what resources are necessary. Once needs have been identified, the company must decide how to meet the need in a cost-effective manner. In the case of conservation, the utility must show that the options selected to meet conservation requirements were chosen based on a cost effective and reasonable approach.</w:t>
      </w:r>
    </w:p>
    <w:p w14:paraId="3BAF59CC" w14:textId="77777777" w:rsidR="00211641" w:rsidRPr="009074BF" w:rsidRDefault="00211641" w:rsidP="00211641">
      <w:pPr>
        <w:pStyle w:val="ListParagraph"/>
        <w:numPr>
          <w:ilvl w:val="0"/>
          <w:numId w:val="3"/>
        </w:numPr>
        <w:spacing w:after="200"/>
        <w:contextualSpacing w:val="0"/>
        <w:rPr>
          <w:rFonts w:ascii="Times New Roman" w:hAnsi="Times New Roman" w:cs="Times New Roman"/>
          <w:sz w:val="24"/>
          <w:szCs w:val="24"/>
        </w:rPr>
      </w:pPr>
      <w:r w:rsidRPr="009074BF">
        <w:rPr>
          <w:rFonts w:ascii="Times New Roman" w:hAnsi="Times New Roman" w:cs="Times New Roman"/>
          <w:sz w:val="24"/>
          <w:szCs w:val="24"/>
        </w:rPr>
        <w:t>Evaluation of alternatives. The utility must analyze alternatives available based on current information. Factors to be considered include utility costs, impacts to the ratepayer, and ability to effectively deliver the alternative.</w:t>
      </w:r>
    </w:p>
    <w:p w14:paraId="5114B5B5" w14:textId="77777777" w:rsidR="00211641" w:rsidRDefault="00211641" w:rsidP="00211641">
      <w:pPr>
        <w:pStyle w:val="ListParagraph"/>
        <w:numPr>
          <w:ilvl w:val="0"/>
          <w:numId w:val="3"/>
        </w:numPr>
        <w:spacing w:after="200"/>
        <w:contextualSpacing w:val="0"/>
        <w:rPr>
          <w:rFonts w:ascii="Times New Roman" w:hAnsi="Times New Roman" w:cs="Times New Roman"/>
          <w:sz w:val="24"/>
          <w:szCs w:val="24"/>
        </w:rPr>
      </w:pPr>
      <w:r w:rsidRPr="009074BF">
        <w:rPr>
          <w:rFonts w:ascii="Times New Roman" w:hAnsi="Times New Roman" w:cs="Times New Roman"/>
          <w:sz w:val="24"/>
          <w:szCs w:val="24"/>
        </w:rPr>
        <w:t>Communication with and involvement of the company’s board of directors. For conservation programs, the advisory groups have been developed to substitute for the board of directors. The utility should inform its advisory group about the conservation programs selected and their cost of delivery.</w:t>
      </w:r>
    </w:p>
    <w:p w14:paraId="228BCF5A" w14:textId="77777777" w:rsidR="00211641" w:rsidRPr="009074BF" w:rsidRDefault="00211641" w:rsidP="00211641">
      <w:pPr>
        <w:pStyle w:val="ListParagraph"/>
        <w:numPr>
          <w:ilvl w:val="0"/>
          <w:numId w:val="3"/>
        </w:numPr>
        <w:spacing w:after="200"/>
        <w:contextualSpacing w:val="0"/>
        <w:rPr>
          <w:rFonts w:ascii="Times New Roman" w:hAnsi="Times New Roman" w:cs="Times New Roman"/>
          <w:sz w:val="24"/>
          <w:szCs w:val="24"/>
        </w:rPr>
      </w:pPr>
      <w:r w:rsidRPr="009074BF">
        <w:rPr>
          <w:rFonts w:ascii="Times New Roman" w:hAnsi="Times New Roman" w:cs="Times New Roman"/>
          <w:sz w:val="24"/>
          <w:szCs w:val="24"/>
        </w:rPr>
        <w:t>Adequate documentation. The company must keep adequate detailed records that allow the Commission to evaluate the company’s decision making process. The Commission should be able to follow the utility’s decision making process, understand the factors the utility considered, and determine the fashion in which the utility valued the factors.</w:t>
      </w:r>
    </w:p>
    <w:p w14:paraId="689E6711" w14:textId="77777777" w:rsidR="00211641" w:rsidRPr="002D1F61" w:rsidRDefault="00211641" w:rsidP="00211641">
      <w:pPr>
        <w:rPr>
          <w:rFonts w:ascii="Times New Roman" w:hAnsi="Times New Roman" w:cs="Times New Roman"/>
          <w:sz w:val="24"/>
          <w:szCs w:val="24"/>
        </w:rPr>
      </w:pPr>
      <w:r w:rsidRPr="002D1F61">
        <w:rPr>
          <w:rFonts w:ascii="Times New Roman" w:hAnsi="Times New Roman" w:cs="Times New Roman"/>
          <w:sz w:val="24"/>
          <w:szCs w:val="24"/>
        </w:rPr>
        <w:t>Prudency specifically related to conservation consists of several elements, including the proper establishment of conservation potential, whether programs are cost effective, reliable, and feasible, whether all reasonable measures were pursued, if appropriate public and stakeholder involvement was included in the process (advisory group review), and verification that programs were administered efficiently.</w:t>
      </w:r>
    </w:p>
    <w:p w14:paraId="1FE4D9EF" w14:textId="77777777" w:rsidR="00211641" w:rsidRDefault="00211641" w:rsidP="00211641">
      <w:pPr>
        <w:rPr>
          <w:rFonts w:ascii="Times New Roman" w:hAnsi="Times New Roman" w:cs="Times New Roman"/>
          <w:sz w:val="24"/>
          <w:szCs w:val="24"/>
        </w:rPr>
      </w:pPr>
    </w:p>
    <w:p w14:paraId="298968BD" w14:textId="77777777" w:rsidR="00211641" w:rsidRPr="002D1F61" w:rsidRDefault="00211641" w:rsidP="00211641">
      <w:pPr>
        <w:rPr>
          <w:rFonts w:ascii="Times New Roman" w:hAnsi="Times New Roman" w:cs="Times New Roman"/>
          <w:sz w:val="24"/>
          <w:szCs w:val="24"/>
        </w:rPr>
      </w:pPr>
      <w:r w:rsidRPr="002D1F61">
        <w:rPr>
          <w:rFonts w:ascii="Times New Roman" w:hAnsi="Times New Roman" w:cs="Times New Roman"/>
          <w:sz w:val="24"/>
          <w:szCs w:val="24"/>
        </w:rPr>
        <w:t>RCW 19.285 requires companies to use methodologies consistent with those of the Council in identifying their achievable cost effective conservation potential. Filings required of the companies as part of this process include C</w:t>
      </w:r>
      <w:r>
        <w:rPr>
          <w:rFonts w:ascii="Times New Roman" w:hAnsi="Times New Roman" w:cs="Times New Roman"/>
          <w:sz w:val="24"/>
          <w:szCs w:val="24"/>
        </w:rPr>
        <w:t xml:space="preserve">onservation </w:t>
      </w:r>
      <w:r w:rsidRPr="002D1F61">
        <w:rPr>
          <w:rFonts w:ascii="Times New Roman" w:hAnsi="Times New Roman" w:cs="Times New Roman"/>
          <w:sz w:val="24"/>
          <w:szCs w:val="24"/>
        </w:rPr>
        <w:t>P</w:t>
      </w:r>
      <w:r>
        <w:rPr>
          <w:rFonts w:ascii="Times New Roman" w:hAnsi="Times New Roman" w:cs="Times New Roman"/>
          <w:sz w:val="24"/>
          <w:szCs w:val="24"/>
        </w:rPr>
        <w:t>lan</w:t>
      </w:r>
      <w:r w:rsidRPr="002D1F61">
        <w:rPr>
          <w:rFonts w:ascii="Times New Roman" w:hAnsi="Times New Roman" w:cs="Times New Roman"/>
          <w:sz w:val="24"/>
          <w:szCs w:val="24"/>
        </w:rPr>
        <w:t xml:space="preserve">s, any updates to those plans, and </w:t>
      </w:r>
      <w:r w:rsidRPr="002D1F61">
        <w:rPr>
          <w:rFonts w:ascii="Times New Roman" w:hAnsi="Times New Roman" w:cs="Times New Roman"/>
          <w:sz w:val="24"/>
          <w:szCs w:val="24"/>
        </w:rPr>
        <w:lastRenderedPageBreak/>
        <w:t>periodic reports on conservation achievement including a C</w:t>
      </w:r>
      <w:r>
        <w:rPr>
          <w:rFonts w:ascii="Times New Roman" w:hAnsi="Times New Roman" w:cs="Times New Roman"/>
          <w:sz w:val="24"/>
          <w:szCs w:val="24"/>
        </w:rPr>
        <w:t xml:space="preserve">onservation </w:t>
      </w:r>
      <w:r w:rsidRPr="002D1F61">
        <w:rPr>
          <w:rFonts w:ascii="Times New Roman" w:hAnsi="Times New Roman" w:cs="Times New Roman"/>
          <w:sz w:val="24"/>
          <w:szCs w:val="24"/>
        </w:rPr>
        <w:t>R</w:t>
      </w:r>
      <w:r>
        <w:rPr>
          <w:rFonts w:ascii="Times New Roman" w:hAnsi="Times New Roman" w:cs="Times New Roman"/>
          <w:sz w:val="24"/>
          <w:szCs w:val="24"/>
        </w:rPr>
        <w:t>eport</w:t>
      </w:r>
      <w:r w:rsidRPr="002D1F61">
        <w:rPr>
          <w:rFonts w:ascii="Times New Roman" w:hAnsi="Times New Roman" w:cs="Times New Roman"/>
          <w:sz w:val="24"/>
          <w:szCs w:val="24"/>
        </w:rPr>
        <w:t>, and cost recovery tariffs.</w:t>
      </w:r>
      <w:r>
        <w:rPr>
          <w:rStyle w:val="FootnoteReference"/>
          <w:rFonts w:ascii="Times New Roman" w:hAnsi="Times New Roman" w:cs="Times New Roman"/>
          <w:sz w:val="24"/>
          <w:szCs w:val="24"/>
        </w:rPr>
        <w:footnoteReference w:id="17"/>
      </w:r>
    </w:p>
    <w:p w14:paraId="1783D602" w14:textId="77777777" w:rsidR="00211641" w:rsidRDefault="00211641" w:rsidP="00211641">
      <w:pPr>
        <w:rPr>
          <w:rFonts w:ascii="Times New Roman" w:hAnsi="Times New Roman" w:cs="Times New Roman"/>
          <w:sz w:val="24"/>
          <w:szCs w:val="24"/>
        </w:rPr>
      </w:pPr>
    </w:p>
    <w:p w14:paraId="37B5B8CF" w14:textId="77777777" w:rsidR="00211641" w:rsidRDefault="00211641" w:rsidP="00211641">
      <w:pPr>
        <w:rPr>
          <w:rFonts w:ascii="Times New Roman" w:hAnsi="Times New Roman" w:cs="Times New Roman"/>
          <w:sz w:val="24"/>
          <w:szCs w:val="24"/>
        </w:rPr>
      </w:pPr>
      <w:r w:rsidRPr="009074BF">
        <w:rPr>
          <w:rFonts w:ascii="Times New Roman" w:hAnsi="Times New Roman" w:cs="Times New Roman"/>
          <w:sz w:val="24"/>
          <w:szCs w:val="24"/>
        </w:rPr>
        <w:t>The cost effectiveness and feasibility of a portfolio is typically measured in terms of a benefit-to-cost ratio. As part of the filings, the companies must show a positive ratio of this metric to establish the cost effectiveness of their programs. The companies must file adequately detailed evidence that include cost effectiveness analyses of their proposed conservation programs. Demonstration of involvement from appropriate customer groups, external experts, and other stakeholders must be provided by the companies to demonstrate the prudency of their conservation programs. The formation and coordination of energy efficiency advisory groups is a typical vehicle used by the companies to meet this need. Verification of efficient administration of programs relies mainly on evaluation, measurement and verification (</w:t>
      </w:r>
      <w:proofErr w:type="spellStart"/>
      <w:r w:rsidRPr="009074BF">
        <w:rPr>
          <w:rFonts w:ascii="Times New Roman" w:hAnsi="Times New Roman" w:cs="Times New Roman"/>
          <w:sz w:val="24"/>
          <w:szCs w:val="24"/>
        </w:rPr>
        <w:t>EM&amp;V</w:t>
      </w:r>
      <w:proofErr w:type="spellEnd"/>
      <w:r w:rsidRPr="009074BF">
        <w:rPr>
          <w:rFonts w:ascii="Times New Roman" w:hAnsi="Times New Roman" w:cs="Times New Roman"/>
          <w:sz w:val="24"/>
          <w:szCs w:val="24"/>
        </w:rPr>
        <w:t xml:space="preserve">) processes. </w:t>
      </w:r>
      <w:proofErr w:type="spellStart"/>
      <w:r w:rsidRPr="009074BF">
        <w:rPr>
          <w:rFonts w:ascii="Times New Roman" w:hAnsi="Times New Roman" w:cs="Times New Roman"/>
          <w:sz w:val="24"/>
          <w:szCs w:val="24"/>
        </w:rPr>
        <w:t>EM&amp;V</w:t>
      </w:r>
      <w:proofErr w:type="spellEnd"/>
      <w:r w:rsidRPr="009074BF">
        <w:rPr>
          <w:rFonts w:ascii="Times New Roman" w:hAnsi="Times New Roman" w:cs="Times New Roman"/>
          <w:sz w:val="24"/>
          <w:szCs w:val="24"/>
        </w:rPr>
        <w:t xml:space="preserve"> frameworks are established, and then implemented by a third party to verify the biennial savings of each individual company’s portfolio. </w:t>
      </w:r>
      <w:proofErr w:type="spellStart"/>
      <w:r w:rsidRPr="009074BF">
        <w:rPr>
          <w:rFonts w:ascii="Times New Roman" w:hAnsi="Times New Roman" w:cs="Times New Roman"/>
          <w:sz w:val="24"/>
          <w:szCs w:val="24"/>
        </w:rPr>
        <w:t>EM&amp;V</w:t>
      </w:r>
      <w:proofErr w:type="spellEnd"/>
      <w:r w:rsidRPr="009074BF">
        <w:rPr>
          <w:rFonts w:ascii="Times New Roman" w:hAnsi="Times New Roman" w:cs="Times New Roman"/>
          <w:sz w:val="24"/>
          <w:szCs w:val="24"/>
        </w:rPr>
        <w:t xml:space="preserve"> results and findings will highlight necessary adjustments of the program design or implementation.</w:t>
      </w:r>
    </w:p>
    <w:p w14:paraId="517FABE0" w14:textId="77777777" w:rsidR="00211641" w:rsidRPr="002D1F61" w:rsidRDefault="00211641" w:rsidP="00211641">
      <w:pPr>
        <w:rPr>
          <w:rFonts w:ascii="Times New Roman" w:hAnsi="Times New Roman" w:cs="Times New Roman"/>
          <w:sz w:val="24"/>
          <w:szCs w:val="24"/>
        </w:rPr>
      </w:pPr>
    </w:p>
    <w:p w14:paraId="29F17F93" w14:textId="77777777" w:rsidR="00211641" w:rsidRPr="002D1F61" w:rsidRDefault="00211641" w:rsidP="00211641">
      <w:pPr>
        <w:rPr>
          <w:rFonts w:ascii="Times New Roman" w:hAnsi="Times New Roman" w:cs="Times New Roman"/>
          <w:sz w:val="24"/>
          <w:szCs w:val="24"/>
        </w:rPr>
      </w:pPr>
      <w:r w:rsidRPr="002D1F61">
        <w:rPr>
          <w:rFonts w:ascii="Times New Roman" w:hAnsi="Times New Roman" w:cs="Times New Roman"/>
          <w:sz w:val="24"/>
          <w:szCs w:val="24"/>
        </w:rPr>
        <w:t xml:space="preserve">As part of the review process for each of the company’s conservation filings, </w:t>
      </w:r>
      <w:r>
        <w:rPr>
          <w:rFonts w:ascii="Times New Roman" w:hAnsi="Times New Roman" w:cs="Times New Roman"/>
          <w:sz w:val="24"/>
          <w:szCs w:val="24"/>
        </w:rPr>
        <w:t>s</w:t>
      </w:r>
      <w:r w:rsidRPr="002D1F61">
        <w:rPr>
          <w:rFonts w:ascii="Times New Roman" w:hAnsi="Times New Roman" w:cs="Times New Roman"/>
          <w:sz w:val="24"/>
          <w:szCs w:val="24"/>
        </w:rPr>
        <w:t xml:space="preserve">taff believes the company’s conservation portfolio will generally be prudent if all of the following elements have been properly implemented by the company:  </w:t>
      </w:r>
    </w:p>
    <w:p w14:paraId="30B80405" w14:textId="77777777" w:rsidR="00211641" w:rsidRPr="002D1F61" w:rsidRDefault="00211641" w:rsidP="00211641">
      <w:pPr>
        <w:pStyle w:val="ListParagraph"/>
        <w:numPr>
          <w:ilvl w:val="0"/>
          <w:numId w:val="2"/>
        </w:numPr>
        <w:spacing w:before="120" w:after="120"/>
        <w:contextualSpacing w:val="0"/>
        <w:rPr>
          <w:rFonts w:ascii="Times New Roman" w:hAnsi="Times New Roman" w:cs="Times New Roman"/>
          <w:sz w:val="24"/>
          <w:szCs w:val="24"/>
        </w:rPr>
      </w:pPr>
      <w:r w:rsidRPr="002D1F61">
        <w:rPr>
          <w:rFonts w:ascii="Times New Roman" w:hAnsi="Times New Roman" w:cs="Times New Roman"/>
          <w:sz w:val="24"/>
          <w:szCs w:val="24"/>
        </w:rPr>
        <w:t xml:space="preserve">The company properly established its conservation potential, pursuant to RCW 19.285.040(1). </w:t>
      </w:r>
    </w:p>
    <w:p w14:paraId="1E7EF096" w14:textId="77777777" w:rsidR="00211641" w:rsidRPr="002D1F61" w:rsidRDefault="00211641" w:rsidP="00211641">
      <w:pPr>
        <w:pStyle w:val="ListParagraph"/>
        <w:numPr>
          <w:ilvl w:val="0"/>
          <w:numId w:val="2"/>
        </w:numPr>
        <w:spacing w:before="120" w:after="120"/>
        <w:contextualSpacing w:val="0"/>
        <w:rPr>
          <w:rFonts w:ascii="Times New Roman" w:hAnsi="Times New Roman" w:cs="Times New Roman"/>
          <w:sz w:val="24"/>
          <w:szCs w:val="24"/>
        </w:rPr>
      </w:pPr>
      <w:r w:rsidRPr="002D1F61">
        <w:rPr>
          <w:rFonts w:ascii="Times New Roman" w:hAnsi="Times New Roman" w:cs="Times New Roman"/>
          <w:sz w:val="24"/>
          <w:szCs w:val="24"/>
        </w:rPr>
        <w:t>The conservation programs that the company implemented are cost effective, reliable, and feasible, determined using methodology consistent with the Council.</w:t>
      </w:r>
    </w:p>
    <w:p w14:paraId="06E069E3" w14:textId="3B3B3ACD" w:rsidR="00211641" w:rsidRPr="002D1F61" w:rsidRDefault="00211641" w:rsidP="00211641">
      <w:pPr>
        <w:pStyle w:val="ListParagraph"/>
        <w:numPr>
          <w:ilvl w:val="0"/>
          <w:numId w:val="2"/>
        </w:numPr>
        <w:spacing w:before="120" w:after="120"/>
        <w:contextualSpacing w:val="0"/>
        <w:rPr>
          <w:rFonts w:ascii="Times New Roman" w:hAnsi="Times New Roman" w:cs="Times New Roman"/>
          <w:sz w:val="24"/>
          <w:szCs w:val="24"/>
        </w:rPr>
      </w:pPr>
      <w:r w:rsidRPr="002D1F61">
        <w:rPr>
          <w:rFonts w:ascii="Times New Roman" w:hAnsi="Times New Roman" w:cs="Times New Roman"/>
          <w:sz w:val="24"/>
          <w:szCs w:val="24"/>
        </w:rPr>
        <w:t xml:space="preserve">The company pursued all available cost-effective, reliable and feasible conservation based on the knowledge it had at the time the </w:t>
      </w:r>
      <w:proofErr w:type="spellStart"/>
      <w:r w:rsidRPr="002D1F61">
        <w:rPr>
          <w:rFonts w:ascii="Times New Roman" w:hAnsi="Times New Roman" w:cs="Times New Roman"/>
          <w:sz w:val="24"/>
          <w:szCs w:val="24"/>
        </w:rPr>
        <w:t>BCP</w:t>
      </w:r>
      <w:proofErr w:type="spellEnd"/>
      <w:r w:rsidRPr="002D1F61">
        <w:rPr>
          <w:rFonts w:ascii="Times New Roman" w:hAnsi="Times New Roman" w:cs="Times New Roman"/>
          <w:sz w:val="24"/>
          <w:szCs w:val="24"/>
        </w:rPr>
        <w:t xml:space="preserve"> was filed, and </w:t>
      </w:r>
      <w:r w:rsidR="008F3CEB">
        <w:rPr>
          <w:rFonts w:ascii="Times New Roman" w:hAnsi="Times New Roman" w:cs="Times New Roman"/>
          <w:sz w:val="24"/>
          <w:szCs w:val="24"/>
        </w:rPr>
        <w:t>adaptively managed its portfolio of conservation</w:t>
      </w:r>
      <w:r w:rsidRPr="002D1F61">
        <w:rPr>
          <w:rFonts w:ascii="Times New Roman" w:hAnsi="Times New Roman" w:cs="Times New Roman"/>
          <w:sz w:val="24"/>
          <w:szCs w:val="24"/>
        </w:rPr>
        <w:t>.</w:t>
      </w:r>
    </w:p>
    <w:p w14:paraId="6A4AD033" w14:textId="77777777" w:rsidR="00211641" w:rsidRPr="002D1F61" w:rsidRDefault="00211641" w:rsidP="00211641">
      <w:pPr>
        <w:pStyle w:val="ListParagraph"/>
        <w:numPr>
          <w:ilvl w:val="0"/>
          <w:numId w:val="2"/>
        </w:numPr>
        <w:spacing w:before="120" w:after="120"/>
        <w:contextualSpacing w:val="0"/>
        <w:rPr>
          <w:rFonts w:ascii="Times New Roman" w:hAnsi="Times New Roman" w:cs="Times New Roman"/>
          <w:sz w:val="24"/>
          <w:szCs w:val="24"/>
        </w:rPr>
      </w:pPr>
      <w:r w:rsidRPr="002D1F61">
        <w:rPr>
          <w:rFonts w:ascii="Times New Roman" w:hAnsi="Times New Roman" w:cs="Times New Roman"/>
          <w:sz w:val="24"/>
          <w:szCs w:val="24"/>
        </w:rPr>
        <w:t>The company provided adequate opportunity for stakeholder involvement, and implemented appropriate recommendations from stakeholders.</w:t>
      </w:r>
    </w:p>
    <w:p w14:paraId="53223135" w14:textId="77777777" w:rsidR="00211641" w:rsidRPr="00D91651" w:rsidRDefault="00211641" w:rsidP="00211641">
      <w:pPr>
        <w:pStyle w:val="ListParagraph"/>
        <w:numPr>
          <w:ilvl w:val="0"/>
          <w:numId w:val="2"/>
        </w:numPr>
        <w:spacing w:before="120" w:after="120"/>
        <w:contextualSpacing w:val="0"/>
        <w:rPr>
          <w:rFonts w:ascii="Times New Roman" w:hAnsi="Times New Roman" w:cs="Times New Roman"/>
          <w:sz w:val="24"/>
          <w:szCs w:val="24"/>
        </w:rPr>
      </w:pPr>
      <w:r w:rsidRPr="002D1F61">
        <w:rPr>
          <w:rFonts w:ascii="Times New Roman" w:hAnsi="Times New Roman" w:cs="Times New Roman"/>
          <w:sz w:val="24"/>
          <w:szCs w:val="24"/>
        </w:rPr>
        <w:t xml:space="preserve">The company used a third party to conduct an </w:t>
      </w:r>
      <w:proofErr w:type="spellStart"/>
      <w:r w:rsidRPr="002D1F61">
        <w:rPr>
          <w:rFonts w:ascii="Times New Roman" w:hAnsi="Times New Roman" w:cs="Times New Roman"/>
          <w:sz w:val="24"/>
          <w:szCs w:val="24"/>
        </w:rPr>
        <w:t>EM&amp;V</w:t>
      </w:r>
      <w:proofErr w:type="spellEnd"/>
      <w:r w:rsidRPr="002D1F61">
        <w:rPr>
          <w:rFonts w:ascii="Times New Roman" w:hAnsi="Times New Roman" w:cs="Times New Roman"/>
          <w:sz w:val="24"/>
          <w:szCs w:val="24"/>
        </w:rPr>
        <w:t xml:space="preserve"> review, and incorporated the findings of that review into its portfolio.</w:t>
      </w:r>
    </w:p>
    <w:p w14:paraId="61C6A1AF" w14:textId="77777777" w:rsidR="00211641" w:rsidRDefault="00211641" w:rsidP="00211641">
      <w:pPr>
        <w:pStyle w:val="Heading2"/>
        <w:rPr>
          <w:rFonts w:ascii="Times New Roman" w:eastAsiaTheme="minorHAnsi" w:hAnsi="Times New Roman" w:cs="Times New Roman"/>
          <w:b w:val="0"/>
          <w:i/>
          <w:color w:val="auto"/>
          <w:sz w:val="24"/>
          <w:szCs w:val="24"/>
        </w:rPr>
      </w:pPr>
      <w:bookmarkStart w:id="14" w:name="_Toc391628778"/>
      <w:r w:rsidRPr="00D23955">
        <w:rPr>
          <w:rFonts w:ascii="Times New Roman" w:eastAsiaTheme="minorHAnsi" w:hAnsi="Times New Roman" w:cs="Times New Roman"/>
          <w:b w:val="0"/>
          <w:i/>
          <w:color w:val="auto"/>
          <w:sz w:val="24"/>
          <w:szCs w:val="24"/>
        </w:rPr>
        <w:t>Third Party Verification</w:t>
      </w:r>
      <w:bookmarkEnd w:id="14"/>
    </w:p>
    <w:p w14:paraId="1C3591D7" w14:textId="77777777" w:rsidR="00211641" w:rsidRPr="00D23955" w:rsidRDefault="00211641" w:rsidP="00211641">
      <w:pPr>
        <w:rPr>
          <w:b/>
        </w:rPr>
      </w:pPr>
    </w:p>
    <w:p w14:paraId="4E28A1B9" w14:textId="77777777" w:rsidR="00211641" w:rsidRDefault="00211641" w:rsidP="00211641">
      <w:pPr>
        <w:rPr>
          <w:rFonts w:ascii="Times New Roman" w:hAnsi="Times New Roman" w:cs="Times New Roman"/>
          <w:sz w:val="24"/>
          <w:szCs w:val="24"/>
        </w:rPr>
      </w:pPr>
      <w:r w:rsidRPr="00D3045A">
        <w:rPr>
          <w:rFonts w:ascii="Times New Roman" w:hAnsi="Times New Roman" w:cs="Times New Roman"/>
          <w:sz w:val="24"/>
          <w:szCs w:val="24"/>
        </w:rPr>
        <w:t xml:space="preserve">Avista retained the Cadmus Group to serve as a third party independent evaluator of its 2012 and 2013 </w:t>
      </w:r>
      <w:r>
        <w:rPr>
          <w:rFonts w:ascii="Times New Roman" w:hAnsi="Times New Roman" w:cs="Times New Roman"/>
          <w:sz w:val="24"/>
          <w:szCs w:val="24"/>
        </w:rPr>
        <w:t xml:space="preserve">electric </w:t>
      </w:r>
      <w:r w:rsidRPr="00D3045A">
        <w:rPr>
          <w:rFonts w:ascii="Times New Roman" w:hAnsi="Times New Roman" w:cs="Times New Roman"/>
          <w:sz w:val="24"/>
          <w:szCs w:val="24"/>
        </w:rPr>
        <w:t>DSM programs. Cadmus evaluated three separate sectors as part of the review: residential, non-residential, and low income. Reporting by Cadmus included assessments of both the impact of Avista’s DSM portfolio, and an evaluation of the process of the individua</w:t>
      </w:r>
      <w:r>
        <w:rPr>
          <w:rFonts w:ascii="Times New Roman" w:hAnsi="Times New Roman" w:cs="Times New Roman"/>
          <w:sz w:val="24"/>
          <w:szCs w:val="24"/>
        </w:rPr>
        <w:t>l programs</w:t>
      </w:r>
      <w:r w:rsidRPr="00D3045A">
        <w:rPr>
          <w:rFonts w:ascii="Times New Roman" w:hAnsi="Times New Roman" w:cs="Times New Roman"/>
          <w:sz w:val="24"/>
          <w:szCs w:val="24"/>
        </w:rPr>
        <w:t>. In general, Cadmus found the programs to be efficiently run</w:t>
      </w:r>
      <w:r>
        <w:rPr>
          <w:rFonts w:ascii="Times New Roman" w:hAnsi="Times New Roman" w:cs="Times New Roman"/>
          <w:sz w:val="24"/>
          <w:szCs w:val="24"/>
        </w:rPr>
        <w:t xml:space="preserve"> with some</w:t>
      </w:r>
      <w:r w:rsidRPr="00D3045A">
        <w:rPr>
          <w:rFonts w:ascii="Times New Roman" w:hAnsi="Times New Roman" w:cs="Times New Roman"/>
          <w:sz w:val="24"/>
          <w:szCs w:val="24"/>
        </w:rPr>
        <w:t xml:space="preserve"> </w:t>
      </w:r>
      <w:r>
        <w:rPr>
          <w:rFonts w:ascii="Times New Roman" w:hAnsi="Times New Roman" w:cs="Times New Roman"/>
          <w:sz w:val="24"/>
          <w:szCs w:val="24"/>
        </w:rPr>
        <w:t>areas of</w:t>
      </w:r>
      <w:r w:rsidRPr="00D3045A">
        <w:rPr>
          <w:rFonts w:ascii="Times New Roman" w:hAnsi="Times New Roman" w:cs="Times New Roman"/>
          <w:sz w:val="24"/>
          <w:szCs w:val="24"/>
        </w:rPr>
        <w:t xml:space="preserve"> improvement</w:t>
      </w:r>
      <w:r>
        <w:rPr>
          <w:rFonts w:ascii="Times New Roman" w:hAnsi="Times New Roman" w:cs="Times New Roman"/>
          <w:sz w:val="24"/>
          <w:szCs w:val="24"/>
        </w:rPr>
        <w:t>, which were elaborated upon in the beginning of this document.</w:t>
      </w:r>
    </w:p>
    <w:p w14:paraId="07D10E07" w14:textId="77777777" w:rsidR="00211641" w:rsidRPr="00D3045A" w:rsidRDefault="00211641" w:rsidP="00211641">
      <w:pPr>
        <w:rPr>
          <w:rFonts w:ascii="Times New Roman" w:hAnsi="Times New Roman" w:cs="Times New Roman"/>
          <w:sz w:val="24"/>
          <w:szCs w:val="24"/>
        </w:rPr>
      </w:pPr>
    </w:p>
    <w:p w14:paraId="7A13D185" w14:textId="350D3A2A" w:rsidR="00211641" w:rsidRPr="00D3045A" w:rsidRDefault="00211641" w:rsidP="00211641">
      <w:pPr>
        <w:rPr>
          <w:rFonts w:ascii="Times New Roman" w:hAnsi="Times New Roman" w:cs="Times New Roman"/>
          <w:sz w:val="24"/>
          <w:szCs w:val="24"/>
        </w:rPr>
      </w:pPr>
      <w:r w:rsidRPr="00D3045A">
        <w:rPr>
          <w:rFonts w:ascii="Times New Roman" w:hAnsi="Times New Roman" w:cs="Times New Roman"/>
          <w:sz w:val="24"/>
          <w:szCs w:val="24"/>
        </w:rPr>
        <w:lastRenderedPageBreak/>
        <w:t xml:space="preserve">Rather than evaluate conservation programs for a “finding of prudence,” Staff recommends that the ongoing review process that has developed for each utility’s portfolio is effectively a prudence review. The conservation planning and reporting process involves several elements throughout a biennial cycle. Aspects of prudence will be evaluated at several points in time through the biennium, and a “finding of prudence” </w:t>
      </w:r>
      <w:r>
        <w:rPr>
          <w:rFonts w:ascii="Times New Roman" w:hAnsi="Times New Roman" w:cs="Times New Roman"/>
          <w:sz w:val="24"/>
          <w:szCs w:val="24"/>
        </w:rPr>
        <w:t xml:space="preserve">at a particular point in time </w:t>
      </w:r>
      <w:r w:rsidRPr="00D3045A">
        <w:rPr>
          <w:rFonts w:ascii="Times New Roman" w:hAnsi="Times New Roman" w:cs="Times New Roman"/>
          <w:sz w:val="24"/>
          <w:szCs w:val="24"/>
        </w:rPr>
        <w:t>is no</w:t>
      </w:r>
      <w:r>
        <w:rPr>
          <w:rFonts w:ascii="Times New Roman" w:hAnsi="Times New Roman" w:cs="Times New Roman"/>
          <w:sz w:val="24"/>
          <w:szCs w:val="24"/>
        </w:rPr>
        <w:t xml:space="preserve"> longer</w:t>
      </w:r>
      <w:r w:rsidRPr="00D3045A">
        <w:rPr>
          <w:rFonts w:ascii="Times New Roman" w:hAnsi="Times New Roman" w:cs="Times New Roman"/>
          <w:sz w:val="24"/>
          <w:szCs w:val="24"/>
        </w:rPr>
        <w:t xml:space="preserve"> necessary. </w:t>
      </w:r>
      <w:r>
        <w:rPr>
          <w:rFonts w:ascii="Times New Roman" w:hAnsi="Times New Roman" w:cs="Times New Roman"/>
          <w:sz w:val="24"/>
          <w:szCs w:val="24"/>
        </w:rPr>
        <w:t xml:space="preserve">Staff believes this to be the best approach </w:t>
      </w:r>
      <w:r w:rsidR="00DB1E03">
        <w:rPr>
          <w:rFonts w:ascii="Times New Roman" w:hAnsi="Times New Roman" w:cs="Times New Roman"/>
          <w:sz w:val="24"/>
          <w:szCs w:val="24"/>
        </w:rPr>
        <w:t xml:space="preserve">for evaluating the prudence of </w:t>
      </w:r>
      <w:r>
        <w:rPr>
          <w:rFonts w:ascii="Times New Roman" w:hAnsi="Times New Roman" w:cs="Times New Roman"/>
          <w:sz w:val="24"/>
          <w:szCs w:val="24"/>
        </w:rPr>
        <w:t>conservation programs, which do not lend themselves easily to a review at a single point in time.</w:t>
      </w:r>
      <w:r w:rsidRPr="00D3045A">
        <w:rPr>
          <w:rFonts w:ascii="Times New Roman" w:hAnsi="Times New Roman" w:cs="Times New Roman"/>
          <w:sz w:val="24"/>
          <w:szCs w:val="24"/>
        </w:rPr>
        <w:t xml:space="preserve"> </w:t>
      </w:r>
    </w:p>
    <w:p w14:paraId="6559D73F" w14:textId="77777777" w:rsidR="00211641" w:rsidRDefault="00211641" w:rsidP="00211641">
      <w:pPr>
        <w:rPr>
          <w:rFonts w:ascii="Times New Roman" w:hAnsi="Times New Roman" w:cs="Times New Roman"/>
          <w:sz w:val="24"/>
          <w:szCs w:val="24"/>
        </w:rPr>
      </w:pPr>
    </w:p>
    <w:p w14:paraId="42A3765C" w14:textId="47E1DD7D" w:rsidR="00211641" w:rsidRPr="00CC0536" w:rsidRDefault="00211641" w:rsidP="00211641">
      <w:pPr>
        <w:rPr>
          <w:rFonts w:ascii="Times New Roman" w:hAnsi="Times New Roman" w:cs="Times New Roman"/>
          <w:sz w:val="24"/>
          <w:szCs w:val="24"/>
        </w:rPr>
      </w:pPr>
      <w:r>
        <w:rPr>
          <w:rFonts w:ascii="Times New Roman" w:hAnsi="Times New Roman" w:cs="Times New Roman"/>
          <w:sz w:val="24"/>
          <w:szCs w:val="24"/>
        </w:rPr>
        <w:t xml:space="preserve">However, if the Commission elects to require a “snapshot” </w:t>
      </w:r>
      <w:r w:rsidR="008F3CEB">
        <w:rPr>
          <w:rFonts w:ascii="Times New Roman" w:hAnsi="Times New Roman" w:cs="Times New Roman"/>
          <w:sz w:val="24"/>
          <w:szCs w:val="24"/>
        </w:rPr>
        <w:t xml:space="preserve">of </w:t>
      </w:r>
      <w:r>
        <w:rPr>
          <w:rFonts w:ascii="Times New Roman" w:hAnsi="Times New Roman" w:cs="Times New Roman"/>
          <w:sz w:val="24"/>
          <w:szCs w:val="24"/>
        </w:rPr>
        <w:t xml:space="preserve">prudence as part of the ongoing prudence review process, staff suggests holding a workshop in the ongoing rulemaking Docket </w:t>
      </w:r>
      <w:proofErr w:type="spellStart"/>
      <w:r>
        <w:rPr>
          <w:rFonts w:ascii="Times New Roman" w:hAnsi="Times New Roman" w:cs="Times New Roman"/>
          <w:sz w:val="24"/>
          <w:szCs w:val="24"/>
        </w:rPr>
        <w:t>UE</w:t>
      </w:r>
      <w:proofErr w:type="spellEnd"/>
      <w:r>
        <w:rPr>
          <w:rFonts w:ascii="Times New Roman" w:hAnsi="Times New Roman" w:cs="Times New Roman"/>
          <w:sz w:val="24"/>
          <w:szCs w:val="24"/>
        </w:rPr>
        <w:t xml:space="preserve">-131723. This would allow staff and the companies to work together to design a timeline of filings that would allow an appropriate amount of time for the review of a request for a snapshot prudence finding, and simplify the incorporation of such guidance into the rule. </w:t>
      </w:r>
    </w:p>
    <w:p w14:paraId="14008589" w14:textId="77777777" w:rsidR="00211641" w:rsidRDefault="00211641" w:rsidP="00211641">
      <w:pPr>
        <w:pStyle w:val="Heading1"/>
        <w:rPr>
          <w:rFonts w:ascii="Times New Roman" w:hAnsi="Times New Roman" w:cs="Times New Roman"/>
          <w:color w:val="auto"/>
        </w:rPr>
      </w:pPr>
      <w:bookmarkStart w:id="15" w:name="_Toc391628779"/>
      <w:r w:rsidRPr="00B17BBF">
        <w:rPr>
          <w:rFonts w:ascii="Times New Roman" w:hAnsi="Times New Roman" w:cs="Times New Roman"/>
          <w:color w:val="auto"/>
        </w:rPr>
        <w:t>Conclusion</w:t>
      </w:r>
      <w:bookmarkEnd w:id="15"/>
    </w:p>
    <w:p w14:paraId="730F91A3" w14:textId="77777777" w:rsidR="00211641" w:rsidRPr="00B17BBF" w:rsidRDefault="00211641" w:rsidP="00211641"/>
    <w:p w14:paraId="3753153F" w14:textId="77777777" w:rsidR="00211641" w:rsidRDefault="00211641" w:rsidP="00211641">
      <w:pPr>
        <w:rPr>
          <w:rFonts w:ascii="Times New Roman" w:hAnsi="Times New Roman" w:cs="Times New Roman"/>
          <w:sz w:val="24"/>
          <w:szCs w:val="24"/>
        </w:rPr>
      </w:pPr>
      <w:r>
        <w:rPr>
          <w:rFonts w:ascii="Times New Roman" w:hAnsi="Times New Roman" w:cs="Times New Roman"/>
          <w:sz w:val="24"/>
          <w:szCs w:val="24"/>
        </w:rPr>
        <w:t>Staff will review the comments of other stakeholders and provide a recommendation as to whether the commission should accept Avista’s biennial conservation report and issue an order finding that the company met its biennial conservation target at the July 25, 2014, recessed open meeting.</w:t>
      </w:r>
    </w:p>
    <w:p w14:paraId="0CC44634" w14:textId="1F8DADC9" w:rsidR="002E4AE7" w:rsidRPr="00211641" w:rsidRDefault="002E4AE7" w:rsidP="00211641"/>
    <w:sectPr w:rsidR="002E4AE7" w:rsidRPr="00211641" w:rsidSect="00134880">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0C036" w14:textId="77777777" w:rsidR="00DB1E03" w:rsidRDefault="00DB1E03">
      <w:r>
        <w:separator/>
      </w:r>
    </w:p>
  </w:endnote>
  <w:endnote w:type="continuationSeparator" w:id="0">
    <w:p w14:paraId="6F18B930" w14:textId="77777777" w:rsidR="00DB1E03" w:rsidRDefault="00DB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B769A" w14:textId="77777777" w:rsidR="00DB1E03" w:rsidRDefault="00DB1E03">
      <w:r>
        <w:separator/>
      </w:r>
    </w:p>
  </w:footnote>
  <w:footnote w:type="continuationSeparator" w:id="0">
    <w:p w14:paraId="3726CF9D" w14:textId="77777777" w:rsidR="00DB1E03" w:rsidRDefault="00DB1E03">
      <w:r>
        <w:continuationSeparator/>
      </w:r>
    </w:p>
  </w:footnote>
  <w:footnote w:id="1">
    <w:p w14:paraId="0962F578" w14:textId="77777777" w:rsidR="00DB1E03" w:rsidRPr="00134880" w:rsidRDefault="00DB1E03" w:rsidP="00211641">
      <w:pPr>
        <w:pStyle w:val="FootnoteText"/>
        <w:rPr>
          <w:rFonts w:ascii="Times New Roman" w:hAnsi="Times New Roman" w:cs="Times New Roman"/>
        </w:rPr>
      </w:pPr>
      <w:r w:rsidRPr="00134880">
        <w:rPr>
          <w:rStyle w:val="FootnoteReference"/>
          <w:rFonts w:ascii="Times New Roman" w:hAnsi="Times New Roman" w:cs="Times New Roman"/>
        </w:rPr>
        <w:footnoteRef/>
      </w:r>
      <w:r>
        <w:rPr>
          <w:rFonts w:ascii="Times New Roman" w:hAnsi="Times New Roman" w:cs="Times New Roman"/>
        </w:rPr>
        <w:t xml:space="preserve"> Docket </w:t>
      </w:r>
      <w:proofErr w:type="spellStart"/>
      <w:r>
        <w:rPr>
          <w:rFonts w:ascii="Times New Roman" w:hAnsi="Times New Roman" w:cs="Times New Roman"/>
        </w:rPr>
        <w:t>UE</w:t>
      </w:r>
      <w:proofErr w:type="spellEnd"/>
      <w:r>
        <w:rPr>
          <w:rFonts w:ascii="Times New Roman" w:hAnsi="Times New Roman" w:cs="Times New Roman"/>
        </w:rPr>
        <w:t>-111882, at ¶ 30</w:t>
      </w:r>
      <w:r w:rsidRPr="00134880">
        <w:rPr>
          <w:rFonts w:ascii="Times New Roman" w:hAnsi="Times New Roman" w:cs="Times New Roman"/>
        </w:rPr>
        <w:t xml:space="preserve">. </w:t>
      </w:r>
    </w:p>
  </w:footnote>
  <w:footnote w:id="2">
    <w:p w14:paraId="346FBF6E" w14:textId="77777777" w:rsidR="00DB1E03" w:rsidRDefault="00DB1E03" w:rsidP="00211641">
      <w:pPr>
        <w:pStyle w:val="FootnoteText"/>
      </w:pPr>
      <w:r>
        <w:rPr>
          <w:rStyle w:val="FootnoteReference"/>
        </w:rPr>
        <w:footnoteRef/>
      </w:r>
      <w:r>
        <w:t xml:space="preserve"> </w:t>
      </w:r>
      <w:r>
        <w:rPr>
          <w:rFonts w:ascii="Times New Roman" w:hAnsi="Times New Roman" w:cs="Times New Roman"/>
        </w:rPr>
        <w:t>C</w:t>
      </w:r>
      <w:r w:rsidRPr="00046D65">
        <w:rPr>
          <w:rFonts w:ascii="Times New Roman" w:hAnsi="Times New Roman" w:cs="Times New Roman"/>
        </w:rPr>
        <w:t xml:space="preserve">onservation savings </w:t>
      </w:r>
      <w:r>
        <w:rPr>
          <w:rFonts w:ascii="Times New Roman" w:hAnsi="Times New Roman" w:cs="Times New Roman"/>
        </w:rPr>
        <w:t xml:space="preserve">attributed to </w:t>
      </w:r>
      <w:proofErr w:type="spellStart"/>
      <w:r w:rsidRPr="00E1201E">
        <w:rPr>
          <w:rFonts w:ascii="Times New Roman" w:hAnsi="Times New Roman" w:cs="Times New Roman"/>
        </w:rPr>
        <w:t>OPower’s</w:t>
      </w:r>
      <w:proofErr w:type="spellEnd"/>
      <w:r w:rsidRPr="00E1201E">
        <w:rPr>
          <w:rFonts w:ascii="Times New Roman" w:hAnsi="Times New Roman" w:cs="Times New Roman"/>
        </w:rPr>
        <w:t xml:space="preserve"> </w:t>
      </w:r>
      <w:r>
        <w:rPr>
          <w:rFonts w:ascii="Times New Roman" w:hAnsi="Times New Roman" w:cs="Times New Roman"/>
        </w:rPr>
        <w:t xml:space="preserve">residential program </w:t>
      </w:r>
      <w:r w:rsidRPr="00046D65">
        <w:rPr>
          <w:rFonts w:ascii="Times New Roman" w:hAnsi="Times New Roman" w:cs="Times New Roman"/>
        </w:rPr>
        <w:t xml:space="preserve">were not included in </w:t>
      </w:r>
      <w:r>
        <w:rPr>
          <w:rFonts w:ascii="Times New Roman" w:hAnsi="Times New Roman" w:cs="Times New Roman"/>
        </w:rPr>
        <w:t xml:space="preserve">the </w:t>
      </w:r>
      <w:r w:rsidRPr="00046D65">
        <w:rPr>
          <w:rFonts w:ascii="Times New Roman" w:hAnsi="Times New Roman" w:cs="Times New Roman"/>
        </w:rPr>
        <w:t xml:space="preserve">original </w:t>
      </w:r>
      <w:r>
        <w:rPr>
          <w:rFonts w:ascii="Times New Roman" w:hAnsi="Times New Roman" w:cs="Times New Roman"/>
        </w:rPr>
        <w:t xml:space="preserve">electric conservation </w:t>
      </w:r>
      <w:r w:rsidRPr="00046D65">
        <w:rPr>
          <w:rFonts w:ascii="Times New Roman" w:hAnsi="Times New Roman" w:cs="Times New Roman"/>
        </w:rPr>
        <w:t>target set by the Commission</w:t>
      </w:r>
      <w:r>
        <w:rPr>
          <w:rFonts w:ascii="Times New Roman" w:hAnsi="Times New Roman" w:cs="Times New Roman"/>
        </w:rPr>
        <w:t xml:space="preserve"> for Avista.</w:t>
      </w:r>
      <w:r w:rsidRPr="00046D65">
        <w:rPr>
          <w:rFonts w:ascii="Times New Roman" w:hAnsi="Times New Roman" w:cs="Times New Roman"/>
        </w:rPr>
        <w:t xml:space="preserve"> </w:t>
      </w:r>
    </w:p>
  </w:footnote>
  <w:footnote w:id="3">
    <w:p w14:paraId="3E0FB9B3" w14:textId="77777777" w:rsidR="00DB1E03" w:rsidRDefault="00DB1E03" w:rsidP="00211641">
      <w:pPr>
        <w:rPr>
          <w:rFonts w:ascii="Cambria" w:hAnsi="Cambria"/>
        </w:rPr>
      </w:pPr>
      <w:r>
        <w:rPr>
          <w:rStyle w:val="FootnoteReference"/>
        </w:rPr>
        <w:footnoteRef/>
      </w:r>
      <w:r>
        <w:t xml:space="preserve"> </w:t>
      </w:r>
      <w:r w:rsidRPr="00D85E97">
        <w:rPr>
          <w:rFonts w:ascii="Times New Roman" w:hAnsi="Times New Roman" w:cs="Times New Roman"/>
          <w:sz w:val="20"/>
          <w:szCs w:val="20"/>
        </w:rPr>
        <w:t xml:space="preserve">See Docket </w:t>
      </w:r>
      <w:proofErr w:type="spellStart"/>
      <w:r w:rsidRPr="00D85E97">
        <w:rPr>
          <w:rFonts w:ascii="Times New Roman" w:hAnsi="Times New Roman" w:cs="Times New Roman"/>
          <w:sz w:val="20"/>
          <w:szCs w:val="20"/>
        </w:rPr>
        <w:t>UE</w:t>
      </w:r>
      <w:proofErr w:type="spellEnd"/>
      <w:r w:rsidRPr="00D85E97">
        <w:rPr>
          <w:rFonts w:ascii="Times New Roman" w:hAnsi="Times New Roman" w:cs="Times New Roman"/>
          <w:sz w:val="20"/>
          <w:szCs w:val="20"/>
        </w:rPr>
        <w:t>-111882; Direct Testimony of Chris D. Drake Exhibit No._</w:t>
      </w:r>
      <w:r>
        <w:rPr>
          <w:rFonts w:ascii="Times New Roman" w:hAnsi="Times New Roman" w:cs="Times New Roman"/>
          <w:sz w:val="20"/>
          <w:szCs w:val="20"/>
        </w:rPr>
        <w:t xml:space="preserve">__ </w:t>
      </w:r>
      <w:r w:rsidRPr="00D85E97">
        <w:rPr>
          <w:rFonts w:ascii="Times New Roman" w:hAnsi="Times New Roman" w:cs="Times New Roman"/>
          <w:sz w:val="20"/>
          <w:szCs w:val="20"/>
        </w:rPr>
        <w:t>(</w:t>
      </w:r>
      <w:proofErr w:type="spellStart"/>
      <w:r w:rsidRPr="00D85E97">
        <w:rPr>
          <w:rFonts w:ascii="Times New Roman" w:hAnsi="Times New Roman" w:cs="Times New Roman"/>
          <w:sz w:val="20"/>
          <w:szCs w:val="20"/>
        </w:rPr>
        <w:t>CDD-1T</w:t>
      </w:r>
      <w:proofErr w:type="spellEnd"/>
      <w:r w:rsidRPr="00D85E97">
        <w:rPr>
          <w:rFonts w:ascii="Times New Roman" w:hAnsi="Times New Roman" w:cs="Times New Roman"/>
          <w:sz w:val="20"/>
          <w:szCs w:val="20"/>
        </w:rPr>
        <w:t>), page 12.</w:t>
      </w:r>
    </w:p>
    <w:p w14:paraId="7C53E097" w14:textId="77777777" w:rsidR="00DB1E03" w:rsidRDefault="00DB1E03" w:rsidP="00211641">
      <w:pPr>
        <w:pStyle w:val="FootnoteText"/>
      </w:pPr>
    </w:p>
  </w:footnote>
  <w:footnote w:id="4">
    <w:p w14:paraId="38DBF585" w14:textId="77777777" w:rsidR="00DB1E03" w:rsidRPr="00D23955" w:rsidRDefault="00DB1E03" w:rsidP="00211641">
      <w:pPr>
        <w:pStyle w:val="FootnoteText"/>
        <w:rPr>
          <w:rFonts w:ascii="Times New Roman" w:hAnsi="Times New Roman" w:cs="Times New Roman"/>
        </w:rPr>
      </w:pPr>
      <w:r>
        <w:rPr>
          <w:rStyle w:val="FootnoteReference"/>
        </w:rPr>
        <w:footnoteRef/>
      </w:r>
      <w:r>
        <w:t xml:space="preserve"> </w:t>
      </w:r>
      <w:r w:rsidRPr="00D23955">
        <w:rPr>
          <w:rFonts w:ascii="Times New Roman" w:hAnsi="Times New Roman" w:cs="Times New Roman"/>
        </w:rPr>
        <w:t xml:space="preserve">See Docket </w:t>
      </w:r>
      <w:proofErr w:type="spellStart"/>
      <w:r w:rsidRPr="00D23955">
        <w:rPr>
          <w:rFonts w:ascii="Times New Roman" w:hAnsi="Times New Roman" w:cs="Times New Roman"/>
        </w:rPr>
        <w:t>UE</w:t>
      </w:r>
      <w:proofErr w:type="spellEnd"/>
      <w:r w:rsidRPr="00D23955">
        <w:rPr>
          <w:rFonts w:ascii="Times New Roman" w:hAnsi="Times New Roman" w:cs="Times New Roman"/>
        </w:rPr>
        <w:t>-100176, at ¶32.</w:t>
      </w:r>
      <w:r>
        <w:rPr>
          <w:rFonts w:ascii="Times New Roman" w:hAnsi="Times New Roman" w:cs="Times New Roman"/>
        </w:rPr>
        <w:t xml:space="preserve"> Simple Steps, Smart </w:t>
      </w:r>
      <w:proofErr w:type="spellStart"/>
      <w:r>
        <w:rPr>
          <w:rFonts w:ascii="Times New Roman" w:hAnsi="Times New Roman" w:cs="Times New Roman"/>
        </w:rPr>
        <w:t>Savings</w:t>
      </w:r>
      <w:r w:rsidRPr="00E416E3">
        <w:rPr>
          <w:rFonts w:ascii="Times New Roman" w:hAnsi="Times New Roman" w:cs="Times New Roman"/>
          <w:vertAlign w:val="superscript"/>
        </w:rPr>
        <w:t>TM</w:t>
      </w:r>
      <w:proofErr w:type="spellEnd"/>
      <w:r>
        <w:rPr>
          <w:rFonts w:ascii="Times New Roman" w:hAnsi="Times New Roman" w:cs="Times New Roman"/>
        </w:rPr>
        <w:t xml:space="preserve"> is a program consisting of a combination of measures, including the upstream buy-down of </w:t>
      </w:r>
      <w:proofErr w:type="spellStart"/>
      <w:r>
        <w:rPr>
          <w:rFonts w:ascii="Times New Roman" w:hAnsi="Times New Roman" w:cs="Times New Roman"/>
        </w:rPr>
        <w:t>CFL</w:t>
      </w:r>
      <w:proofErr w:type="spellEnd"/>
      <w:r>
        <w:rPr>
          <w:rFonts w:ascii="Times New Roman" w:hAnsi="Times New Roman" w:cs="Times New Roman"/>
        </w:rPr>
        <w:t xml:space="preserve"> prices.</w:t>
      </w:r>
    </w:p>
  </w:footnote>
  <w:footnote w:id="5">
    <w:p w14:paraId="6966C21C" w14:textId="77777777" w:rsidR="00DB1E03" w:rsidRPr="00883A83" w:rsidRDefault="00DB1E03" w:rsidP="00211641">
      <w:pPr>
        <w:pStyle w:val="FootnoteText"/>
        <w:rPr>
          <w:rFonts w:ascii="Times New Roman" w:hAnsi="Times New Roman" w:cs="Times New Roman"/>
        </w:rPr>
      </w:pPr>
      <w:r w:rsidRPr="00883A83">
        <w:rPr>
          <w:rStyle w:val="FootnoteReference"/>
          <w:rFonts w:ascii="Times New Roman" w:hAnsi="Times New Roman" w:cs="Times New Roman"/>
        </w:rPr>
        <w:footnoteRef/>
      </w:r>
      <w:r w:rsidRPr="00883A83">
        <w:rPr>
          <w:rFonts w:ascii="Times New Roman" w:hAnsi="Times New Roman" w:cs="Times New Roman"/>
        </w:rPr>
        <w:t xml:space="preserve"> Avista anticipated 1.2 </w:t>
      </w:r>
      <w:proofErr w:type="spellStart"/>
      <w:r w:rsidRPr="00883A83">
        <w:rPr>
          <w:rFonts w:ascii="Times New Roman" w:hAnsi="Times New Roman" w:cs="Times New Roman"/>
        </w:rPr>
        <w:t>aMW</w:t>
      </w:r>
      <w:proofErr w:type="spellEnd"/>
      <w:r w:rsidRPr="00883A83">
        <w:rPr>
          <w:rFonts w:ascii="Times New Roman" w:hAnsi="Times New Roman" w:cs="Times New Roman"/>
        </w:rPr>
        <w:t xml:space="preserve"> of </w:t>
      </w:r>
      <w:proofErr w:type="spellStart"/>
      <w:r w:rsidRPr="00883A83">
        <w:rPr>
          <w:rFonts w:ascii="Times New Roman" w:hAnsi="Times New Roman" w:cs="Times New Roman"/>
        </w:rPr>
        <w:t>NEEA</w:t>
      </w:r>
      <w:proofErr w:type="spellEnd"/>
      <w:r w:rsidRPr="00883A83">
        <w:rPr>
          <w:rFonts w:ascii="Times New Roman" w:hAnsi="Times New Roman" w:cs="Times New Roman"/>
        </w:rPr>
        <w:t xml:space="preserve"> savings for the entire service territory (Idaho and Washington) </w:t>
      </w:r>
      <w:r>
        <w:rPr>
          <w:rFonts w:ascii="Times New Roman" w:hAnsi="Times New Roman" w:cs="Times New Roman"/>
        </w:rPr>
        <w:t>in each year of the biennium</w:t>
      </w:r>
      <w:r w:rsidRPr="00883A83">
        <w:rPr>
          <w:rFonts w:ascii="Times New Roman" w:hAnsi="Times New Roman" w:cs="Times New Roman"/>
        </w:rPr>
        <w:t xml:space="preserve">. 1.2 </w:t>
      </w:r>
      <w:proofErr w:type="spellStart"/>
      <w:r w:rsidRPr="00883A83">
        <w:rPr>
          <w:rFonts w:ascii="Times New Roman" w:hAnsi="Times New Roman" w:cs="Times New Roman"/>
        </w:rPr>
        <w:t>aMW</w:t>
      </w:r>
      <w:proofErr w:type="spellEnd"/>
      <w:r w:rsidRPr="00883A83">
        <w:rPr>
          <w:rFonts w:ascii="Times New Roman" w:hAnsi="Times New Roman" w:cs="Times New Roman"/>
        </w:rPr>
        <w:t xml:space="preserve"> equals 10,512</w:t>
      </w:r>
      <w:r>
        <w:rPr>
          <w:rFonts w:ascii="Times New Roman" w:hAnsi="Times New Roman" w:cs="Times New Roman"/>
        </w:rPr>
        <w:t xml:space="preserve"> MWh</w:t>
      </w:r>
      <w:r w:rsidRPr="00883A83">
        <w:rPr>
          <w:rFonts w:ascii="Times New Roman" w:hAnsi="Times New Roman" w:cs="Times New Roman"/>
        </w:rPr>
        <w:t>, o</w:t>
      </w:r>
      <w:r>
        <w:rPr>
          <w:rFonts w:ascii="Times New Roman" w:hAnsi="Times New Roman" w:cs="Times New Roman"/>
        </w:rPr>
        <w:t xml:space="preserve">f which 70% is allocated to </w:t>
      </w:r>
      <w:r w:rsidRPr="00883A83">
        <w:rPr>
          <w:rFonts w:ascii="Times New Roman" w:hAnsi="Times New Roman" w:cs="Times New Roman"/>
        </w:rPr>
        <w:t>Washington</w:t>
      </w:r>
      <w:r>
        <w:rPr>
          <w:rFonts w:ascii="Times New Roman" w:hAnsi="Times New Roman" w:cs="Times New Roman"/>
        </w:rPr>
        <w:t>, or 7,358 MWh</w:t>
      </w:r>
      <w:r w:rsidRPr="00883A83">
        <w:rPr>
          <w:rFonts w:ascii="Times New Roman" w:hAnsi="Times New Roman" w:cs="Times New Roman"/>
        </w:rPr>
        <w:t xml:space="preserve"> per year.</w:t>
      </w:r>
      <w:r>
        <w:rPr>
          <w:rFonts w:ascii="Times New Roman" w:hAnsi="Times New Roman" w:cs="Times New Roman"/>
        </w:rPr>
        <w:t xml:space="preserve"> 7,358 multiplied by 2 </w:t>
      </w:r>
      <w:proofErr w:type="gramStart"/>
      <w:r>
        <w:rPr>
          <w:rFonts w:ascii="Times New Roman" w:hAnsi="Times New Roman" w:cs="Times New Roman"/>
        </w:rPr>
        <w:t>is</w:t>
      </w:r>
      <w:proofErr w:type="gramEnd"/>
      <w:r>
        <w:rPr>
          <w:rFonts w:ascii="Times New Roman" w:hAnsi="Times New Roman" w:cs="Times New Roman"/>
        </w:rPr>
        <w:t xml:space="preserve"> equal to 14,716 MWh.</w:t>
      </w:r>
      <w:r w:rsidRPr="00883A83">
        <w:rPr>
          <w:rFonts w:ascii="Times New Roman" w:hAnsi="Times New Roman" w:cs="Times New Roman"/>
          <w:sz w:val="24"/>
          <w:szCs w:val="24"/>
        </w:rPr>
        <w:t xml:space="preserve">    </w:t>
      </w:r>
    </w:p>
  </w:footnote>
  <w:footnote w:id="6">
    <w:p w14:paraId="2631A15D" w14:textId="77777777" w:rsidR="00DB1E03" w:rsidRDefault="00DB1E03" w:rsidP="00211641">
      <w:pPr>
        <w:pStyle w:val="FootnoteText"/>
      </w:pPr>
      <w:r>
        <w:rPr>
          <w:rStyle w:val="FootnoteReference"/>
        </w:rPr>
        <w:footnoteRef/>
      </w:r>
      <w:r>
        <w:t xml:space="preserve"> </w:t>
      </w:r>
      <w:r w:rsidRPr="001E1B93">
        <w:rPr>
          <w:rFonts w:ascii="Times New Roman" w:hAnsi="Times New Roman" w:cs="Times New Roman"/>
        </w:rPr>
        <w:t xml:space="preserve">See Docket </w:t>
      </w:r>
      <w:proofErr w:type="spellStart"/>
      <w:r w:rsidRPr="001E1B93">
        <w:rPr>
          <w:rFonts w:ascii="Times New Roman" w:hAnsi="Times New Roman" w:cs="Times New Roman"/>
        </w:rPr>
        <w:t>UE</w:t>
      </w:r>
      <w:proofErr w:type="spellEnd"/>
      <w:r w:rsidRPr="001E1B93">
        <w:rPr>
          <w:rFonts w:ascii="Times New Roman" w:hAnsi="Times New Roman" w:cs="Times New Roman"/>
        </w:rPr>
        <w:t xml:space="preserve">-111882; Direct Testimony of </w:t>
      </w:r>
      <w:r>
        <w:rPr>
          <w:rFonts w:ascii="Times New Roman" w:hAnsi="Times New Roman" w:cs="Times New Roman"/>
        </w:rPr>
        <w:t xml:space="preserve">Bruce Folsom. </w:t>
      </w:r>
      <w:proofErr w:type="gramStart"/>
      <w:r>
        <w:rPr>
          <w:rFonts w:ascii="Times New Roman" w:hAnsi="Times New Roman" w:cs="Times New Roman"/>
        </w:rPr>
        <w:t>at</w:t>
      </w:r>
      <w:proofErr w:type="gramEnd"/>
      <w:r>
        <w:rPr>
          <w:rFonts w:ascii="Times New Roman" w:hAnsi="Times New Roman" w:cs="Times New Roman"/>
        </w:rPr>
        <w:t xml:space="preserve"> Page 7, line 13.</w:t>
      </w:r>
      <w:r w:rsidRPr="00134880">
        <w:rPr>
          <w:rFonts w:ascii="Times New Roman" w:hAnsi="Times New Roman" w:cs="Times New Roman"/>
        </w:rPr>
        <w:t xml:space="preserve"> </w:t>
      </w:r>
      <w:r>
        <w:t xml:space="preserve"> </w:t>
      </w:r>
    </w:p>
  </w:footnote>
  <w:footnote w:id="7">
    <w:p w14:paraId="5908238E" w14:textId="77777777" w:rsidR="00DB1E03" w:rsidRPr="00134880" w:rsidRDefault="00DB1E03" w:rsidP="00211641">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r w:rsidRPr="00134880">
        <w:rPr>
          <w:rFonts w:ascii="Times New Roman" w:hAnsi="Times New Roman" w:cs="Times New Roman"/>
          <w:i/>
        </w:rPr>
        <w:t>In the Matter of Evaluating Electric Utility Conservation Achievements Under the Energy Independence Act;</w:t>
      </w:r>
      <w:r w:rsidRPr="00134880">
        <w:rPr>
          <w:rFonts w:ascii="Times New Roman" w:hAnsi="Times New Roman" w:cs="Times New Roman"/>
        </w:rPr>
        <w:t xml:space="preserve"> Dockets </w:t>
      </w:r>
      <w:proofErr w:type="spellStart"/>
      <w:r w:rsidRPr="00134880">
        <w:rPr>
          <w:rFonts w:ascii="Times New Roman" w:hAnsi="Times New Roman" w:cs="Times New Roman"/>
        </w:rPr>
        <w:t>UE</w:t>
      </w:r>
      <w:proofErr w:type="spellEnd"/>
      <w:r w:rsidRPr="00134880">
        <w:rPr>
          <w:rFonts w:ascii="Times New Roman" w:hAnsi="Times New Roman" w:cs="Times New Roman"/>
        </w:rPr>
        <w:t xml:space="preserve">-100170, </w:t>
      </w:r>
      <w:proofErr w:type="spellStart"/>
      <w:r w:rsidRPr="00134880">
        <w:rPr>
          <w:rFonts w:ascii="Times New Roman" w:hAnsi="Times New Roman" w:cs="Times New Roman"/>
        </w:rPr>
        <w:t>UE</w:t>
      </w:r>
      <w:proofErr w:type="spellEnd"/>
      <w:r w:rsidRPr="00134880">
        <w:rPr>
          <w:rFonts w:ascii="Times New Roman" w:hAnsi="Times New Roman" w:cs="Times New Roman"/>
        </w:rPr>
        <w:t xml:space="preserve">-100176, and </w:t>
      </w:r>
      <w:proofErr w:type="spellStart"/>
      <w:r w:rsidRPr="00134880">
        <w:rPr>
          <w:rFonts w:ascii="Times New Roman" w:hAnsi="Times New Roman" w:cs="Times New Roman"/>
        </w:rPr>
        <w:t>UE</w:t>
      </w:r>
      <w:proofErr w:type="spellEnd"/>
      <w:r w:rsidRPr="00134880">
        <w:rPr>
          <w:rFonts w:ascii="Times New Roman" w:hAnsi="Times New Roman" w:cs="Times New Roman"/>
        </w:rPr>
        <w:t>-100177; Staff Comments, July 16, 2012</w:t>
      </w:r>
      <w:proofErr w:type="gramStart"/>
      <w:r w:rsidRPr="00134880">
        <w:rPr>
          <w:rFonts w:ascii="Times New Roman" w:hAnsi="Times New Roman" w:cs="Times New Roman"/>
        </w:rPr>
        <w:t>,  page</w:t>
      </w:r>
      <w:proofErr w:type="gramEnd"/>
      <w:r w:rsidRPr="00134880">
        <w:rPr>
          <w:rFonts w:ascii="Times New Roman" w:hAnsi="Times New Roman" w:cs="Times New Roman"/>
        </w:rPr>
        <w:t xml:space="preserve"> 9.</w:t>
      </w:r>
    </w:p>
  </w:footnote>
  <w:footnote w:id="8">
    <w:p w14:paraId="2848F653" w14:textId="77777777" w:rsidR="00DB1E03" w:rsidRPr="00134880" w:rsidRDefault="00DB1E03" w:rsidP="00211641">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proofErr w:type="gramStart"/>
      <w:r w:rsidRPr="00134880">
        <w:rPr>
          <w:rFonts w:ascii="Times New Roman" w:hAnsi="Times New Roman" w:cs="Times New Roman"/>
          <w:i/>
        </w:rPr>
        <w:t>Notice of Opportunity to File Written Comments,</w:t>
      </w:r>
      <w:r w:rsidRPr="00134880">
        <w:rPr>
          <w:rFonts w:ascii="Times New Roman" w:hAnsi="Times New Roman" w:cs="Times New Roman"/>
        </w:rPr>
        <w:t xml:space="preserve"> Docket </w:t>
      </w:r>
      <w:proofErr w:type="spellStart"/>
      <w:r w:rsidRPr="00134880">
        <w:rPr>
          <w:rFonts w:ascii="Times New Roman" w:hAnsi="Times New Roman" w:cs="Times New Roman"/>
        </w:rPr>
        <w:t>UE</w:t>
      </w:r>
      <w:proofErr w:type="spellEnd"/>
      <w:r w:rsidRPr="00134880">
        <w:rPr>
          <w:rFonts w:ascii="Times New Roman" w:hAnsi="Times New Roman" w:cs="Times New Roman"/>
        </w:rPr>
        <w:t>-131723, April 9, 2014.</w:t>
      </w:r>
      <w:proofErr w:type="gramEnd"/>
    </w:p>
  </w:footnote>
  <w:footnote w:id="9">
    <w:p w14:paraId="121E8BAC" w14:textId="77777777" w:rsidR="00DB1E03" w:rsidRPr="00134880" w:rsidRDefault="00DB1E03" w:rsidP="00211641">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Dockets </w:t>
      </w:r>
      <w:proofErr w:type="spellStart"/>
      <w:r w:rsidRPr="00134880">
        <w:rPr>
          <w:rFonts w:ascii="Times New Roman" w:hAnsi="Times New Roman" w:cs="Times New Roman"/>
        </w:rPr>
        <w:t>UE</w:t>
      </w:r>
      <w:proofErr w:type="spellEnd"/>
      <w:r w:rsidRPr="00134880">
        <w:rPr>
          <w:rFonts w:ascii="Times New Roman" w:hAnsi="Times New Roman" w:cs="Times New Roman"/>
        </w:rPr>
        <w:t xml:space="preserve">-100170, </w:t>
      </w:r>
      <w:proofErr w:type="spellStart"/>
      <w:r w:rsidRPr="00134880">
        <w:rPr>
          <w:rFonts w:ascii="Times New Roman" w:hAnsi="Times New Roman" w:cs="Times New Roman"/>
        </w:rPr>
        <w:t>UE</w:t>
      </w:r>
      <w:proofErr w:type="spellEnd"/>
      <w:r w:rsidRPr="00134880">
        <w:rPr>
          <w:rFonts w:ascii="Times New Roman" w:hAnsi="Times New Roman" w:cs="Times New Roman"/>
        </w:rPr>
        <w:t xml:space="preserve">-100176, and </w:t>
      </w:r>
      <w:proofErr w:type="spellStart"/>
      <w:r w:rsidRPr="00134880">
        <w:rPr>
          <w:rFonts w:ascii="Times New Roman" w:hAnsi="Times New Roman" w:cs="Times New Roman"/>
        </w:rPr>
        <w:t>UE</w:t>
      </w:r>
      <w:proofErr w:type="spellEnd"/>
      <w:r w:rsidRPr="00134880">
        <w:rPr>
          <w:rFonts w:ascii="Times New Roman" w:hAnsi="Times New Roman" w:cs="Times New Roman"/>
        </w:rPr>
        <w:t>-100177; Open Meeting Memo, Aug. 9, 2012, Attachment A.</w:t>
      </w:r>
    </w:p>
  </w:footnote>
  <w:footnote w:id="10">
    <w:p w14:paraId="38E0FDD5" w14:textId="77777777" w:rsidR="00DB1E03" w:rsidRPr="00134880" w:rsidRDefault="00DB1E03" w:rsidP="00211641">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See </w:t>
      </w:r>
      <w:r w:rsidRPr="00134880">
        <w:rPr>
          <w:rFonts w:ascii="Times New Roman" w:hAnsi="Times New Roman" w:cs="Times New Roman"/>
          <w:i/>
        </w:rPr>
        <w:t xml:space="preserve">In the Matter of PacifiCorp d/b/a </w:t>
      </w:r>
      <w:proofErr w:type="spellStart"/>
      <w:r w:rsidRPr="00134880">
        <w:rPr>
          <w:rFonts w:ascii="Times New Roman" w:hAnsi="Times New Roman" w:cs="Times New Roman"/>
          <w:i/>
        </w:rPr>
        <w:t>PacificPower</w:t>
      </w:r>
      <w:proofErr w:type="spellEnd"/>
      <w:r w:rsidRPr="00134880">
        <w:rPr>
          <w:rFonts w:ascii="Times New Roman" w:hAnsi="Times New Roman" w:cs="Times New Roman"/>
          <w:i/>
        </w:rPr>
        <w:t xml:space="preserve"> &amp; Light Company’s 2010-2011 Biennial Conservation Target </w:t>
      </w:r>
      <w:proofErr w:type="gramStart"/>
      <w:r w:rsidRPr="00134880">
        <w:rPr>
          <w:rFonts w:ascii="Times New Roman" w:hAnsi="Times New Roman" w:cs="Times New Roman"/>
          <w:i/>
        </w:rPr>
        <w:t>Under</w:t>
      </w:r>
      <w:proofErr w:type="gramEnd"/>
      <w:r w:rsidRPr="00134880">
        <w:rPr>
          <w:rFonts w:ascii="Times New Roman" w:hAnsi="Times New Roman" w:cs="Times New Roman"/>
          <w:i/>
        </w:rPr>
        <w:t xml:space="preserve"> RCW 19.285.040</w:t>
      </w:r>
      <w:r w:rsidRPr="00134880">
        <w:rPr>
          <w:rFonts w:ascii="Times New Roman" w:hAnsi="Times New Roman" w:cs="Times New Roman"/>
        </w:rPr>
        <w:t xml:space="preserve">, Docket </w:t>
      </w:r>
      <w:proofErr w:type="spellStart"/>
      <w:r w:rsidRPr="00134880">
        <w:rPr>
          <w:rFonts w:ascii="Times New Roman" w:hAnsi="Times New Roman" w:cs="Times New Roman"/>
        </w:rPr>
        <w:t>UE</w:t>
      </w:r>
      <w:proofErr w:type="spellEnd"/>
      <w:r w:rsidRPr="00134880">
        <w:rPr>
          <w:rFonts w:ascii="Times New Roman" w:hAnsi="Times New Roman" w:cs="Times New Roman"/>
        </w:rPr>
        <w:t>-111770, Order 03 ¶ 28.</w:t>
      </w:r>
    </w:p>
  </w:footnote>
  <w:footnote w:id="11">
    <w:p w14:paraId="2A769EA2" w14:textId="77777777" w:rsidR="00DB1E03" w:rsidRPr="00134880" w:rsidRDefault="00DB1E03" w:rsidP="00211641">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See </w:t>
      </w:r>
      <w:r w:rsidRPr="00134880">
        <w:rPr>
          <w:rFonts w:ascii="Times New Roman" w:hAnsi="Times New Roman" w:cs="Times New Roman"/>
          <w:i/>
        </w:rPr>
        <w:t>Joint Proposal for Consistent Approach to Northwest Energy Efficiency Alliance Claimed Conservation Savings</w:t>
      </w:r>
      <w:r w:rsidRPr="00134880">
        <w:rPr>
          <w:rFonts w:ascii="Times New Roman" w:hAnsi="Times New Roman" w:cs="Times New Roman"/>
        </w:rPr>
        <w:t xml:space="preserve">, Docket </w:t>
      </w:r>
      <w:proofErr w:type="spellStart"/>
      <w:r w:rsidRPr="00134880">
        <w:rPr>
          <w:rFonts w:ascii="Times New Roman" w:hAnsi="Times New Roman" w:cs="Times New Roman"/>
        </w:rPr>
        <w:t>UE</w:t>
      </w:r>
      <w:proofErr w:type="spellEnd"/>
      <w:r w:rsidRPr="00134880">
        <w:rPr>
          <w:rFonts w:ascii="Times New Roman" w:hAnsi="Times New Roman" w:cs="Times New Roman"/>
        </w:rPr>
        <w:t xml:space="preserve">-111770, </w:t>
      </w:r>
      <w:proofErr w:type="gramStart"/>
      <w:r w:rsidRPr="00134880">
        <w:rPr>
          <w:rFonts w:ascii="Times New Roman" w:hAnsi="Times New Roman" w:cs="Times New Roman"/>
        </w:rPr>
        <w:t>Oct</w:t>
      </w:r>
      <w:proofErr w:type="gramEnd"/>
      <w:r w:rsidRPr="00134880">
        <w:rPr>
          <w:rFonts w:ascii="Times New Roman" w:hAnsi="Times New Roman" w:cs="Times New Roman"/>
        </w:rPr>
        <w:t xml:space="preserve">. 31, 2012. </w:t>
      </w:r>
    </w:p>
  </w:footnote>
  <w:footnote w:id="12">
    <w:p w14:paraId="23B086EB" w14:textId="77777777" w:rsidR="00DB1E03" w:rsidRPr="00134880" w:rsidRDefault="00DB1E03" w:rsidP="00211641">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See </w:t>
      </w:r>
      <w:r w:rsidRPr="00134880">
        <w:rPr>
          <w:rFonts w:ascii="Times New Roman" w:hAnsi="Times New Roman" w:cs="Times New Roman"/>
          <w:i/>
        </w:rPr>
        <w:t xml:space="preserve">In the Matter of Pacific Power &amp; Light Company d/b/a PacifiCorp’s Report Identifying its 2014-2023 Ten-Year Achievable Electric Conservation Potential and Its 2014-2015 Electric Biennial Conservation Target Under RCW 19.285.040 and WAC 480-109-010, </w:t>
      </w:r>
      <w:r w:rsidRPr="00134880">
        <w:rPr>
          <w:rFonts w:ascii="Times New Roman" w:hAnsi="Times New Roman" w:cs="Times New Roman"/>
        </w:rPr>
        <w:t xml:space="preserve">Docket </w:t>
      </w:r>
      <w:proofErr w:type="spellStart"/>
      <w:r w:rsidRPr="00134880">
        <w:rPr>
          <w:rFonts w:ascii="Times New Roman" w:hAnsi="Times New Roman" w:cs="Times New Roman"/>
        </w:rPr>
        <w:t>UE</w:t>
      </w:r>
      <w:proofErr w:type="spellEnd"/>
      <w:r w:rsidRPr="00134880">
        <w:rPr>
          <w:rFonts w:ascii="Times New Roman" w:hAnsi="Times New Roman" w:cs="Times New Roman"/>
        </w:rPr>
        <w:t>-132047, Order 01 ¶ 6.</w:t>
      </w:r>
    </w:p>
  </w:footnote>
  <w:footnote w:id="13">
    <w:p w14:paraId="4634A596" w14:textId="77777777" w:rsidR="00DB1E03" w:rsidRPr="00134880" w:rsidRDefault="00DB1E03" w:rsidP="00211641">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r w:rsidRPr="00134880">
        <w:rPr>
          <w:rFonts w:ascii="Times New Roman" w:hAnsi="Times New Roman" w:cs="Times New Roman"/>
          <w:i/>
        </w:rPr>
        <w:t>UTC Staff Comments Regarding Electric Utility Reports on Ten-Year Achievable Conservation Potential and Biennial Conservation Targets;</w:t>
      </w:r>
      <w:r w:rsidRPr="00134880">
        <w:rPr>
          <w:rFonts w:ascii="Times New Roman" w:hAnsi="Times New Roman" w:cs="Times New Roman"/>
        </w:rPr>
        <w:t xml:space="preserve"> Dockets </w:t>
      </w:r>
      <w:proofErr w:type="spellStart"/>
      <w:r w:rsidRPr="00134880">
        <w:rPr>
          <w:rFonts w:ascii="Times New Roman" w:hAnsi="Times New Roman" w:cs="Times New Roman"/>
        </w:rPr>
        <w:t>UE</w:t>
      </w:r>
      <w:proofErr w:type="spellEnd"/>
      <w:r w:rsidRPr="00134880">
        <w:rPr>
          <w:rFonts w:ascii="Times New Roman" w:hAnsi="Times New Roman" w:cs="Times New Roman"/>
        </w:rPr>
        <w:t xml:space="preserve">-132043, </w:t>
      </w:r>
      <w:proofErr w:type="spellStart"/>
      <w:r w:rsidRPr="00134880">
        <w:rPr>
          <w:rFonts w:ascii="Times New Roman" w:hAnsi="Times New Roman" w:cs="Times New Roman"/>
        </w:rPr>
        <w:t>UE</w:t>
      </w:r>
      <w:proofErr w:type="spellEnd"/>
      <w:r w:rsidRPr="00134880">
        <w:rPr>
          <w:rFonts w:ascii="Times New Roman" w:hAnsi="Times New Roman" w:cs="Times New Roman"/>
        </w:rPr>
        <w:t xml:space="preserve">-132045, and </w:t>
      </w:r>
      <w:proofErr w:type="spellStart"/>
      <w:r w:rsidRPr="00134880">
        <w:rPr>
          <w:rFonts w:ascii="Times New Roman" w:hAnsi="Times New Roman" w:cs="Times New Roman"/>
        </w:rPr>
        <w:t>UE</w:t>
      </w:r>
      <w:proofErr w:type="spellEnd"/>
      <w:r w:rsidRPr="00134880">
        <w:rPr>
          <w:rFonts w:ascii="Times New Roman" w:hAnsi="Times New Roman" w:cs="Times New Roman"/>
        </w:rPr>
        <w:t>-132047; pages 15-17.</w:t>
      </w:r>
    </w:p>
  </w:footnote>
  <w:footnote w:id="14">
    <w:p w14:paraId="6CC13884" w14:textId="77777777" w:rsidR="00DB1E03" w:rsidRPr="00134880" w:rsidRDefault="00DB1E03" w:rsidP="00211641">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proofErr w:type="gramStart"/>
      <w:r w:rsidRPr="00134880">
        <w:rPr>
          <w:rFonts w:ascii="Times New Roman" w:hAnsi="Times New Roman" w:cs="Times New Roman"/>
          <w:i/>
        </w:rPr>
        <w:t>Id.</w:t>
      </w:r>
      <w:r w:rsidRPr="00134880">
        <w:rPr>
          <w:rFonts w:ascii="Times New Roman" w:hAnsi="Times New Roman" w:cs="Times New Roman"/>
        </w:rPr>
        <w:t>, page 17.</w:t>
      </w:r>
      <w:proofErr w:type="gramEnd"/>
    </w:p>
  </w:footnote>
  <w:footnote w:id="15">
    <w:p w14:paraId="4BA215AA" w14:textId="77777777" w:rsidR="00DB1E03" w:rsidRPr="008251BA" w:rsidRDefault="00DB1E03" w:rsidP="00211641">
      <w:pPr>
        <w:pStyle w:val="FootnoteText"/>
        <w:rPr>
          <w:rFonts w:ascii="Times New Roman" w:hAnsi="Times New Roman" w:cs="Times New Roman"/>
        </w:rPr>
      </w:pPr>
      <w:r w:rsidRPr="008251BA">
        <w:rPr>
          <w:rStyle w:val="FootnoteReference"/>
          <w:rFonts w:ascii="Times New Roman" w:hAnsi="Times New Roman" w:cs="Times New Roman"/>
        </w:rPr>
        <w:footnoteRef/>
      </w:r>
      <w:r w:rsidRPr="008251BA">
        <w:rPr>
          <w:rFonts w:ascii="Times New Roman" w:hAnsi="Times New Roman" w:cs="Times New Roman"/>
        </w:rPr>
        <w:t xml:space="preserve"> </w:t>
      </w:r>
      <w:r w:rsidRPr="008251BA">
        <w:rPr>
          <w:rFonts w:ascii="Times New Roman" w:hAnsi="Times New Roman" w:cs="Times New Roman"/>
          <w:i/>
        </w:rPr>
        <w:t>WUTC v. Avista Corporation</w:t>
      </w:r>
      <w:r w:rsidRPr="008251BA">
        <w:rPr>
          <w:rFonts w:ascii="Times New Roman" w:hAnsi="Times New Roman" w:cs="Times New Roman"/>
        </w:rPr>
        <w:t xml:space="preserve">, Dockets </w:t>
      </w:r>
      <w:proofErr w:type="spellStart"/>
      <w:r w:rsidRPr="008251BA">
        <w:rPr>
          <w:rFonts w:ascii="Times New Roman" w:hAnsi="Times New Roman" w:cs="Times New Roman"/>
        </w:rPr>
        <w:t>UE</w:t>
      </w:r>
      <w:proofErr w:type="spellEnd"/>
      <w:r w:rsidRPr="008251BA">
        <w:rPr>
          <w:rFonts w:ascii="Times New Roman" w:hAnsi="Times New Roman" w:cs="Times New Roman"/>
        </w:rPr>
        <w:noBreakHyphen/>
        <w:t>110876/</w:t>
      </w:r>
      <w:proofErr w:type="spellStart"/>
      <w:r w:rsidRPr="008251BA">
        <w:rPr>
          <w:rFonts w:ascii="Times New Roman" w:hAnsi="Times New Roman" w:cs="Times New Roman"/>
        </w:rPr>
        <w:t>UG</w:t>
      </w:r>
      <w:proofErr w:type="spellEnd"/>
      <w:r w:rsidRPr="008251BA">
        <w:rPr>
          <w:rFonts w:ascii="Times New Roman" w:hAnsi="Times New Roman" w:cs="Times New Roman"/>
        </w:rPr>
        <w:noBreakHyphen/>
        <w:t xml:space="preserve">110877, Order 05 (Aug. 18, 2011).  The Commission noted in footnote 2 of its order that its ruling effectively rendered the parallel motion in Docket </w:t>
      </w:r>
      <w:proofErr w:type="spellStart"/>
      <w:r w:rsidRPr="008251BA">
        <w:rPr>
          <w:rFonts w:ascii="Times New Roman" w:hAnsi="Times New Roman" w:cs="Times New Roman"/>
        </w:rPr>
        <w:t>UE</w:t>
      </w:r>
      <w:proofErr w:type="spellEnd"/>
      <w:r w:rsidRPr="008251BA">
        <w:rPr>
          <w:rFonts w:ascii="Times New Roman" w:hAnsi="Times New Roman" w:cs="Times New Roman"/>
        </w:rPr>
        <w:noBreakHyphen/>
        <w:t>100176 moot.</w:t>
      </w:r>
    </w:p>
  </w:footnote>
  <w:footnote w:id="16">
    <w:p w14:paraId="24260263" w14:textId="77777777" w:rsidR="00DB1E03" w:rsidRPr="008251BA" w:rsidRDefault="00DB1E03" w:rsidP="00211641">
      <w:pPr>
        <w:pStyle w:val="FootnoteText"/>
        <w:rPr>
          <w:rFonts w:ascii="Times New Roman" w:hAnsi="Times New Roman" w:cs="Times New Roman"/>
        </w:rPr>
      </w:pPr>
      <w:r w:rsidRPr="008251BA">
        <w:rPr>
          <w:rStyle w:val="FootnoteReference"/>
          <w:rFonts w:ascii="Times New Roman" w:hAnsi="Times New Roman" w:cs="Times New Roman"/>
        </w:rPr>
        <w:footnoteRef/>
      </w:r>
      <w:r w:rsidRPr="008251BA">
        <w:rPr>
          <w:rFonts w:ascii="Times New Roman" w:hAnsi="Times New Roman" w:cs="Times New Roman"/>
        </w:rPr>
        <w:t xml:space="preserve"> Docket </w:t>
      </w:r>
      <w:proofErr w:type="spellStart"/>
      <w:r w:rsidRPr="008251BA">
        <w:rPr>
          <w:rFonts w:ascii="Times New Roman" w:hAnsi="Times New Roman" w:cs="Times New Roman"/>
        </w:rPr>
        <w:t>UE</w:t>
      </w:r>
      <w:proofErr w:type="spellEnd"/>
      <w:r w:rsidRPr="008251BA">
        <w:rPr>
          <w:rFonts w:ascii="Times New Roman" w:hAnsi="Times New Roman" w:cs="Times New Roman"/>
        </w:rPr>
        <w:t>-111882</w:t>
      </w:r>
    </w:p>
  </w:footnote>
  <w:footnote w:id="17">
    <w:p w14:paraId="61364B75" w14:textId="77777777" w:rsidR="00DB1E03" w:rsidRPr="00D23955" w:rsidRDefault="00DB1E03" w:rsidP="00211641">
      <w:pPr>
        <w:pStyle w:val="FootnoteText"/>
        <w:rPr>
          <w:rFonts w:ascii="Times New Roman" w:hAnsi="Times New Roman" w:cs="Times New Roman"/>
        </w:rPr>
      </w:pPr>
      <w:r>
        <w:rPr>
          <w:rStyle w:val="FootnoteReference"/>
        </w:rPr>
        <w:footnoteRef/>
      </w:r>
      <w:r>
        <w:t xml:space="preserve"> </w:t>
      </w:r>
      <w:r w:rsidRPr="00D23955">
        <w:rPr>
          <w:rFonts w:ascii="Times New Roman" w:hAnsi="Times New Roman" w:cs="Times New Roman"/>
        </w:rPr>
        <w:t xml:space="preserve">Docket </w:t>
      </w:r>
      <w:proofErr w:type="spellStart"/>
      <w:r w:rsidRPr="00D23955">
        <w:rPr>
          <w:rFonts w:ascii="Times New Roman" w:hAnsi="Times New Roman" w:cs="Times New Roman"/>
        </w:rPr>
        <w:t>UE</w:t>
      </w:r>
      <w:proofErr w:type="spellEnd"/>
      <w:r w:rsidRPr="00D23955">
        <w:rPr>
          <w:rFonts w:ascii="Times New Roman" w:hAnsi="Times New Roman" w:cs="Times New Roman"/>
        </w:rPr>
        <w:noBreakHyphen/>
        <w:t xml:space="preserve">100170, Order 02 ¶ 59, Docket </w:t>
      </w:r>
      <w:proofErr w:type="spellStart"/>
      <w:r w:rsidRPr="00D23955">
        <w:rPr>
          <w:rFonts w:ascii="Times New Roman" w:hAnsi="Times New Roman" w:cs="Times New Roman"/>
        </w:rPr>
        <w:t>UE</w:t>
      </w:r>
      <w:proofErr w:type="spellEnd"/>
      <w:r w:rsidRPr="00D23955">
        <w:rPr>
          <w:rFonts w:ascii="Times New Roman" w:hAnsi="Times New Roman" w:cs="Times New Roman"/>
        </w:rPr>
        <w:noBreakHyphen/>
        <w:t xml:space="preserve">100176, Order 01 ¶ 64; Docket </w:t>
      </w:r>
      <w:proofErr w:type="spellStart"/>
      <w:r w:rsidRPr="00D23955">
        <w:rPr>
          <w:rFonts w:ascii="Times New Roman" w:hAnsi="Times New Roman" w:cs="Times New Roman"/>
        </w:rPr>
        <w:t>UE</w:t>
      </w:r>
      <w:proofErr w:type="spellEnd"/>
      <w:r w:rsidRPr="00D23955">
        <w:rPr>
          <w:rFonts w:ascii="Times New Roman" w:hAnsi="Times New Roman" w:cs="Times New Roman"/>
        </w:rPr>
        <w:noBreakHyphen/>
        <w:t>100177, Agreed Conditions for Approval of Puget Sound Energy, Inc.’s 2010-2011 Biennial Electric Conservation Targets Under RCW 19.285, Section K(8) (approved and adopted in Order 05 Amended).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D1604" w14:textId="0C758A63" w:rsidR="00AC7C6D" w:rsidRPr="00AC7C6D" w:rsidRDefault="00AC7C6D">
    <w:pPr>
      <w:pStyle w:val="Header"/>
      <w:rPr>
        <w:rFonts w:ascii="Times New Roman" w:hAnsi="Times New Roman" w:cs="Times New Roman"/>
        <w:b/>
        <w:sz w:val="20"/>
        <w:szCs w:val="20"/>
      </w:rPr>
    </w:pPr>
    <w:r w:rsidRPr="00AC7C6D">
      <w:rPr>
        <w:rFonts w:ascii="Times New Roman" w:hAnsi="Times New Roman" w:cs="Times New Roman"/>
        <w:b/>
        <w:sz w:val="20"/>
        <w:szCs w:val="20"/>
      </w:rPr>
      <w:t xml:space="preserve">Docket </w:t>
    </w:r>
    <w:proofErr w:type="spellStart"/>
    <w:r w:rsidRPr="00AC7C6D">
      <w:rPr>
        <w:rFonts w:ascii="Times New Roman" w:hAnsi="Times New Roman" w:cs="Times New Roman"/>
        <w:b/>
        <w:sz w:val="20"/>
        <w:szCs w:val="20"/>
      </w:rPr>
      <w:t>UE</w:t>
    </w:r>
    <w:proofErr w:type="spellEnd"/>
    <w:r w:rsidRPr="00AC7C6D">
      <w:rPr>
        <w:rFonts w:ascii="Times New Roman" w:hAnsi="Times New Roman" w:cs="Times New Roman"/>
        <w:b/>
        <w:sz w:val="20"/>
        <w:szCs w:val="20"/>
      </w:rPr>
      <w:t>-111882</w:t>
    </w:r>
  </w:p>
  <w:p w14:paraId="3484BB79" w14:textId="4A051277" w:rsidR="00AC7C6D" w:rsidRPr="00AC7C6D" w:rsidRDefault="00AC7C6D">
    <w:pPr>
      <w:pStyle w:val="Header"/>
      <w:rPr>
        <w:rFonts w:ascii="Times New Roman" w:hAnsi="Times New Roman" w:cs="Times New Roman"/>
        <w:b/>
        <w:sz w:val="20"/>
        <w:szCs w:val="20"/>
      </w:rPr>
    </w:pPr>
    <w:r w:rsidRPr="00AC7C6D">
      <w:rPr>
        <w:rFonts w:ascii="Times New Roman" w:hAnsi="Times New Roman" w:cs="Times New Roman"/>
        <w:b/>
        <w:sz w:val="20"/>
        <w:szCs w:val="20"/>
      </w:rPr>
      <w:t xml:space="preserve">Staff Comments – June 30, 2014 </w:t>
    </w:r>
  </w:p>
  <w:p w14:paraId="3FA22E81" w14:textId="7CE8839E" w:rsidR="00AC7C6D" w:rsidRPr="00AC7C6D" w:rsidRDefault="00AC7C6D">
    <w:pPr>
      <w:pStyle w:val="Header"/>
      <w:rPr>
        <w:rFonts w:ascii="Times New Roman" w:hAnsi="Times New Roman" w:cs="Times New Roman"/>
        <w:b/>
        <w:noProof/>
        <w:sz w:val="20"/>
        <w:szCs w:val="20"/>
      </w:rPr>
    </w:pPr>
    <w:r w:rsidRPr="00AC7C6D">
      <w:rPr>
        <w:rFonts w:ascii="Times New Roman" w:hAnsi="Times New Roman" w:cs="Times New Roman"/>
        <w:b/>
        <w:sz w:val="20"/>
        <w:szCs w:val="20"/>
      </w:rPr>
      <w:t xml:space="preserve">Page </w:t>
    </w:r>
    <w:r w:rsidRPr="00AC7C6D">
      <w:rPr>
        <w:rFonts w:ascii="Times New Roman" w:hAnsi="Times New Roman" w:cs="Times New Roman"/>
        <w:b/>
        <w:sz w:val="20"/>
        <w:szCs w:val="20"/>
      </w:rPr>
      <w:fldChar w:fldCharType="begin"/>
    </w:r>
    <w:r w:rsidRPr="00AC7C6D">
      <w:rPr>
        <w:rFonts w:ascii="Times New Roman" w:hAnsi="Times New Roman" w:cs="Times New Roman"/>
        <w:b/>
        <w:sz w:val="20"/>
        <w:szCs w:val="20"/>
      </w:rPr>
      <w:instrText xml:space="preserve"> PAGE   \* MERGEFORMAT </w:instrText>
    </w:r>
    <w:r w:rsidRPr="00AC7C6D">
      <w:rPr>
        <w:rFonts w:ascii="Times New Roman" w:hAnsi="Times New Roman" w:cs="Times New Roman"/>
        <w:b/>
        <w:sz w:val="20"/>
        <w:szCs w:val="20"/>
      </w:rPr>
      <w:fldChar w:fldCharType="separate"/>
    </w:r>
    <w:r w:rsidR="000F1BC8">
      <w:rPr>
        <w:rFonts w:ascii="Times New Roman" w:hAnsi="Times New Roman" w:cs="Times New Roman"/>
        <w:b/>
        <w:noProof/>
        <w:sz w:val="20"/>
        <w:szCs w:val="20"/>
      </w:rPr>
      <w:t>11</w:t>
    </w:r>
    <w:r w:rsidRPr="00AC7C6D">
      <w:rPr>
        <w:rFonts w:ascii="Times New Roman" w:hAnsi="Times New Roman" w:cs="Times New Roman"/>
        <w:b/>
        <w:noProof/>
        <w:sz w:val="20"/>
        <w:szCs w:val="20"/>
      </w:rPr>
      <w:fldChar w:fldCharType="end"/>
    </w:r>
  </w:p>
  <w:p w14:paraId="7F0E4C77" w14:textId="77777777" w:rsidR="00AC7C6D" w:rsidRPr="00AC7C6D" w:rsidRDefault="00AC7C6D">
    <w:pPr>
      <w:pStyle w:val="Head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914E"/>
      </v:shape>
    </w:pict>
  </w:numPicBullet>
  <w:abstractNum w:abstractNumId="0">
    <w:nsid w:val="187332BD"/>
    <w:multiLevelType w:val="hybridMultilevel"/>
    <w:tmpl w:val="C34E188E"/>
    <w:lvl w:ilvl="0" w:tplc="5AE6AF46">
      <w:numFmt w:val="bullet"/>
      <w:lvlText w:val=""/>
      <w:lvlJc w:val="left"/>
      <w:pPr>
        <w:ind w:left="420" w:hanging="360"/>
      </w:pPr>
      <w:rPr>
        <w:rFonts w:ascii="Wingdings" w:eastAsiaTheme="minorHAns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93C3C26"/>
    <w:multiLevelType w:val="hybridMultilevel"/>
    <w:tmpl w:val="14BAA934"/>
    <w:lvl w:ilvl="0" w:tplc="45925972">
      <w:start w:val="1"/>
      <w:numFmt w:val="decimal"/>
      <w:lvlText w:val="%1"/>
      <w:lvlJc w:val="left"/>
      <w:pPr>
        <w:tabs>
          <w:tab w:val="num" w:pos="0"/>
        </w:tabs>
        <w:ind w:left="0" w:hanging="1080"/>
      </w:pPr>
      <w:rPr>
        <w:rFonts w:ascii="Times New Roman" w:hAnsi="Times New Roman" w:cs="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F711409"/>
    <w:multiLevelType w:val="hybridMultilevel"/>
    <w:tmpl w:val="8B96A254"/>
    <w:lvl w:ilvl="0" w:tplc="ECB2FA5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552A3C"/>
    <w:multiLevelType w:val="hybridMultilevel"/>
    <w:tmpl w:val="92F2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6A4CD5"/>
    <w:multiLevelType w:val="hybridMultilevel"/>
    <w:tmpl w:val="3F32A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8E4962"/>
    <w:multiLevelType w:val="hybridMultilevel"/>
    <w:tmpl w:val="F6F6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0F"/>
    <w:rsid w:val="00000712"/>
    <w:rsid w:val="00035D15"/>
    <w:rsid w:val="00046D65"/>
    <w:rsid w:val="000473C0"/>
    <w:rsid w:val="00073935"/>
    <w:rsid w:val="000C1A94"/>
    <w:rsid w:val="000C789E"/>
    <w:rsid w:val="000E630D"/>
    <w:rsid w:val="000E640C"/>
    <w:rsid w:val="000E7509"/>
    <w:rsid w:val="000E7FF2"/>
    <w:rsid w:val="000F1BC8"/>
    <w:rsid w:val="000F2E4C"/>
    <w:rsid w:val="001007B9"/>
    <w:rsid w:val="0011198C"/>
    <w:rsid w:val="00114EA0"/>
    <w:rsid w:val="001155F1"/>
    <w:rsid w:val="00134880"/>
    <w:rsid w:val="001520B6"/>
    <w:rsid w:val="00175286"/>
    <w:rsid w:val="00192323"/>
    <w:rsid w:val="001A00D9"/>
    <w:rsid w:val="001B358B"/>
    <w:rsid w:val="001C5AB1"/>
    <w:rsid w:val="001D3C8A"/>
    <w:rsid w:val="001E1D7A"/>
    <w:rsid w:val="001E4726"/>
    <w:rsid w:val="00202C4A"/>
    <w:rsid w:val="00211641"/>
    <w:rsid w:val="002452DF"/>
    <w:rsid w:val="0026461E"/>
    <w:rsid w:val="00282E47"/>
    <w:rsid w:val="002857C2"/>
    <w:rsid w:val="00286006"/>
    <w:rsid w:val="002A169B"/>
    <w:rsid w:val="002B490F"/>
    <w:rsid w:val="002B53D0"/>
    <w:rsid w:val="002C039A"/>
    <w:rsid w:val="002D1F61"/>
    <w:rsid w:val="002D39C2"/>
    <w:rsid w:val="002D4624"/>
    <w:rsid w:val="002E4AE7"/>
    <w:rsid w:val="002E5CA2"/>
    <w:rsid w:val="00307D61"/>
    <w:rsid w:val="003234CC"/>
    <w:rsid w:val="00331787"/>
    <w:rsid w:val="00340613"/>
    <w:rsid w:val="00374E85"/>
    <w:rsid w:val="003754A0"/>
    <w:rsid w:val="0037653C"/>
    <w:rsid w:val="00384A5B"/>
    <w:rsid w:val="003B0461"/>
    <w:rsid w:val="003C07EA"/>
    <w:rsid w:val="003D2056"/>
    <w:rsid w:val="003E48B4"/>
    <w:rsid w:val="00404C98"/>
    <w:rsid w:val="004312D7"/>
    <w:rsid w:val="00435981"/>
    <w:rsid w:val="00435AEB"/>
    <w:rsid w:val="004624D4"/>
    <w:rsid w:val="0046471F"/>
    <w:rsid w:val="00472767"/>
    <w:rsid w:val="004B1041"/>
    <w:rsid w:val="004B4B30"/>
    <w:rsid w:val="004D11EB"/>
    <w:rsid w:val="004D1D2A"/>
    <w:rsid w:val="004E3862"/>
    <w:rsid w:val="00516D9B"/>
    <w:rsid w:val="0052375C"/>
    <w:rsid w:val="00525D90"/>
    <w:rsid w:val="00526B1D"/>
    <w:rsid w:val="00541107"/>
    <w:rsid w:val="00552600"/>
    <w:rsid w:val="00554ADD"/>
    <w:rsid w:val="0055721D"/>
    <w:rsid w:val="0057411D"/>
    <w:rsid w:val="00576C56"/>
    <w:rsid w:val="00581DEC"/>
    <w:rsid w:val="00590D49"/>
    <w:rsid w:val="005A4F60"/>
    <w:rsid w:val="005A6C74"/>
    <w:rsid w:val="005B291A"/>
    <w:rsid w:val="005C7BDC"/>
    <w:rsid w:val="005E61C7"/>
    <w:rsid w:val="005F2C11"/>
    <w:rsid w:val="005F53F1"/>
    <w:rsid w:val="0061687D"/>
    <w:rsid w:val="00616C20"/>
    <w:rsid w:val="006316E1"/>
    <w:rsid w:val="00672F7B"/>
    <w:rsid w:val="00685B95"/>
    <w:rsid w:val="00693A5A"/>
    <w:rsid w:val="006A41EE"/>
    <w:rsid w:val="006A52C0"/>
    <w:rsid w:val="006B52B1"/>
    <w:rsid w:val="006D79CF"/>
    <w:rsid w:val="006E00D5"/>
    <w:rsid w:val="006F0F29"/>
    <w:rsid w:val="006F17F1"/>
    <w:rsid w:val="006F6388"/>
    <w:rsid w:val="007039D1"/>
    <w:rsid w:val="00707763"/>
    <w:rsid w:val="00712E46"/>
    <w:rsid w:val="00712F7D"/>
    <w:rsid w:val="00726846"/>
    <w:rsid w:val="00744A32"/>
    <w:rsid w:val="00756906"/>
    <w:rsid w:val="007622F8"/>
    <w:rsid w:val="007A5082"/>
    <w:rsid w:val="007B1C5E"/>
    <w:rsid w:val="007D18A6"/>
    <w:rsid w:val="007F2654"/>
    <w:rsid w:val="00821E8B"/>
    <w:rsid w:val="008251BA"/>
    <w:rsid w:val="00862C74"/>
    <w:rsid w:val="00875196"/>
    <w:rsid w:val="008835C3"/>
    <w:rsid w:val="00883A83"/>
    <w:rsid w:val="008B4E57"/>
    <w:rsid w:val="008C347D"/>
    <w:rsid w:val="008D4828"/>
    <w:rsid w:val="008E14BA"/>
    <w:rsid w:val="008E42BF"/>
    <w:rsid w:val="008F04B9"/>
    <w:rsid w:val="008F3CEB"/>
    <w:rsid w:val="008F67ED"/>
    <w:rsid w:val="00911441"/>
    <w:rsid w:val="00916DE4"/>
    <w:rsid w:val="009219E9"/>
    <w:rsid w:val="00937E27"/>
    <w:rsid w:val="0094585C"/>
    <w:rsid w:val="0094601E"/>
    <w:rsid w:val="00953CF9"/>
    <w:rsid w:val="0095774E"/>
    <w:rsid w:val="0098054A"/>
    <w:rsid w:val="009A08C7"/>
    <w:rsid w:val="009A679C"/>
    <w:rsid w:val="009C48A2"/>
    <w:rsid w:val="009E17B4"/>
    <w:rsid w:val="009E543B"/>
    <w:rsid w:val="009F3571"/>
    <w:rsid w:val="009F745A"/>
    <w:rsid w:val="00A01E38"/>
    <w:rsid w:val="00A03364"/>
    <w:rsid w:val="00A44A64"/>
    <w:rsid w:val="00A56F50"/>
    <w:rsid w:val="00A631EE"/>
    <w:rsid w:val="00A64BE9"/>
    <w:rsid w:val="00A84C2A"/>
    <w:rsid w:val="00A9234E"/>
    <w:rsid w:val="00AB6426"/>
    <w:rsid w:val="00AC44A6"/>
    <w:rsid w:val="00AC7C6D"/>
    <w:rsid w:val="00AD0857"/>
    <w:rsid w:val="00AD3312"/>
    <w:rsid w:val="00AE273E"/>
    <w:rsid w:val="00AF16FE"/>
    <w:rsid w:val="00B118A8"/>
    <w:rsid w:val="00B13041"/>
    <w:rsid w:val="00B17BBF"/>
    <w:rsid w:val="00B4455B"/>
    <w:rsid w:val="00B56556"/>
    <w:rsid w:val="00B664B5"/>
    <w:rsid w:val="00B90846"/>
    <w:rsid w:val="00B9681A"/>
    <w:rsid w:val="00BA2509"/>
    <w:rsid w:val="00BA5CCB"/>
    <w:rsid w:val="00BA70EC"/>
    <w:rsid w:val="00BC113D"/>
    <w:rsid w:val="00BC61CE"/>
    <w:rsid w:val="00BD43EF"/>
    <w:rsid w:val="00C32210"/>
    <w:rsid w:val="00C615BE"/>
    <w:rsid w:val="00C66120"/>
    <w:rsid w:val="00C76B9D"/>
    <w:rsid w:val="00C90CE2"/>
    <w:rsid w:val="00C91324"/>
    <w:rsid w:val="00C914D2"/>
    <w:rsid w:val="00C961A4"/>
    <w:rsid w:val="00CC0536"/>
    <w:rsid w:val="00CC6F5C"/>
    <w:rsid w:val="00CD25B1"/>
    <w:rsid w:val="00CE3C53"/>
    <w:rsid w:val="00CE71E7"/>
    <w:rsid w:val="00D04E46"/>
    <w:rsid w:val="00D1054E"/>
    <w:rsid w:val="00D23955"/>
    <w:rsid w:val="00D3045A"/>
    <w:rsid w:val="00D4243D"/>
    <w:rsid w:val="00D53B57"/>
    <w:rsid w:val="00D85E97"/>
    <w:rsid w:val="00D86372"/>
    <w:rsid w:val="00D91651"/>
    <w:rsid w:val="00D9655B"/>
    <w:rsid w:val="00DA1B86"/>
    <w:rsid w:val="00DA5187"/>
    <w:rsid w:val="00DB1E03"/>
    <w:rsid w:val="00DB208A"/>
    <w:rsid w:val="00DB29BF"/>
    <w:rsid w:val="00DB44F8"/>
    <w:rsid w:val="00DD2A47"/>
    <w:rsid w:val="00DD529E"/>
    <w:rsid w:val="00DD68A5"/>
    <w:rsid w:val="00DF0280"/>
    <w:rsid w:val="00E16E0F"/>
    <w:rsid w:val="00E416E3"/>
    <w:rsid w:val="00E52FAD"/>
    <w:rsid w:val="00E707F9"/>
    <w:rsid w:val="00E83F81"/>
    <w:rsid w:val="00EA2BCE"/>
    <w:rsid w:val="00EB3179"/>
    <w:rsid w:val="00EC5977"/>
    <w:rsid w:val="00EE0968"/>
    <w:rsid w:val="00EF2353"/>
    <w:rsid w:val="00EF34DB"/>
    <w:rsid w:val="00EF56DF"/>
    <w:rsid w:val="00F02929"/>
    <w:rsid w:val="00F13DA3"/>
    <w:rsid w:val="00F15A0F"/>
    <w:rsid w:val="00F21B68"/>
    <w:rsid w:val="00F266C0"/>
    <w:rsid w:val="00F34FC9"/>
    <w:rsid w:val="00F456A7"/>
    <w:rsid w:val="00F668D2"/>
    <w:rsid w:val="00F706A5"/>
    <w:rsid w:val="00F82B3A"/>
    <w:rsid w:val="00F90FAC"/>
    <w:rsid w:val="00FA4B4F"/>
    <w:rsid w:val="00FB148B"/>
    <w:rsid w:val="00FB475D"/>
    <w:rsid w:val="00FC5820"/>
    <w:rsid w:val="00FD680D"/>
    <w:rsid w:val="00FE503A"/>
    <w:rsid w:val="00FF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BB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64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17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 Char1"/>
    <w:basedOn w:val="Normal"/>
    <w:link w:val="FootnoteTextChar"/>
    <w:uiPriority w:val="99"/>
    <w:unhideWhenUsed/>
    <w:rsid w:val="00F15A0F"/>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F15A0F"/>
    <w:rPr>
      <w:sz w:val="20"/>
      <w:szCs w:val="20"/>
    </w:rPr>
  </w:style>
  <w:style w:type="character" w:styleId="FootnoteReference">
    <w:name w:val="footnote reference"/>
    <w:aliases w:val="o"/>
    <w:basedOn w:val="DefaultParagraphFont"/>
    <w:uiPriority w:val="99"/>
    <w:unhideWhenUsed/>
    <w:rsid w:val="00F15A0F"/>
    <w:rPr>
      <w:vertAlign w:val="superscript"/>
    </w:rPr>
  </w:style>
  <w:style w:type="table" w:styleId="TableGrid">
    <w:name w:val="Table Grid"/>
    <w:basedOn w:val="TableNormal"/>
    <w:uiPriority w:val="59"/>
    <w:rsid w:val="00957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5C3"/>
    <w:pPr>
      <w:ind w:left="720"/>
      <w:contextualSpacing/>
    </w:pPr>
  </w:style>
  <w:style w:type="paragraph" w:styleId="Header">
    <w:name w:val="header"/>
    <w:basedOn w:val="Normal"/>
    <w:link w:val="HeaderChar"/>
    <w:uiPriority w:val="99"/>
    <w:unhideWhenUsed/>
    <w:rsid w:val="00134880"/>
    <w:pPr>
      <w:tabs>
        <w:tab w:val="center" w:pos="4680"/>
        <w:tab w:val="right" w:pos="9360"/>
      </w:tabs>
    </w:pPr>
  </w:style>
  <w:style w:type="character" w:customStyle="1" w:styleId="HeaderChar">
    <w:name w:val="Header Char"/>
    <w:basedOn w:val="DefaultParagraphFont"/>
    <w:link w:val="Header"/>
    <w:uiPriority w:val="99"/>
    <w:rsid w:val="00134880"/>
  </w:style>
  <w:style w:type="paragraph" w:styleId="Footer">
    <w:name w:val="footer"/>
    <w:basedOn w:val="Normal"/>
    <w:link w:val="FooterChar"/>
    <w:uiPriority w:val="99"/>
    <w:unhideWhenUsed/>
    <w:rsid w:val="00134880"/>
    <w:pPr>
      <w:tabs>
        <w:tab w:val="center" w:pos="4680"/>
        <w:tab w:val="right" w:pos="9360"/>
      </w:tabs>
    </w:pPr>
  </w:style>
  <w:style w:type="character" w:customStyle="1" w:styleId="FooterChar">
    <w:name w:val="Footer Char"/>
    <w:basedOn w:val="DefaultParagraphFont"/>
    <w:link w:val="Footer"/>
    <w:uiPriority w:val="99"/>
    <w:rsid w:val="00134880"/>
  </w:style>
  <w:style w:type="character" w:styleId="CommentReference">
    <w:name w:val="annotation reference"/>
    <w:basedOn w:val="DefaultParagraphFont"/>
    <w:uiPriority w:val="99"/>
    <w:semiHidden/>
    <w:unhideWhenUsed/>
    <w:rsid w:val="00EF56DF"/>
    <w:rPr>
      <w:sz w:val="16"/>
      <w:szCs w:val="16"/>
    </w:rPr>
  </w:style>
  <w:style w:type="paragraph" w:styleId="CommentText">
    <w:name w:val="annotation text"/>
    <w:basedOn w:val="Normal"/>
    <w:link w:val="CommentTextChar"/>
    <w:uiPriority w:val="99"/>
    <w:semiHidden/>
    <w:unhideWhenUsed/>
    <w:rsid w:val="00EF56DF"/>
    <w:rPr>
      <w:sz w:val="20"/>
      <w:szCs w:val="20"/>
    </w:rPr>
  </w:style>
  <w:style w:type="character" w:customStyle="1" w:styleId="CommentTextChar">
    <w:name w:val="Comment Text Char"/>
    <w:basedOn w:val="DefaultParagraphFont"/>
    <w:link w:val="CommentText"/>
    <w:uiPriority w:val="99"/>
    <w:semiHidden/>
    <w:rsid w:val="00EF56DF"/>
    <w:rPr>
      <w:sz w:val="20"/>
      <w:szCs w:val="20"/>
    </w:rPr>
  </w:style>
  <w:style w:type="paragraph" w:styleId="CommentSubject">
    <w:name w:val="annotation subject"/>
    <w:basedOn w:val="CommentText"/>
    <w:next w:val="CommentText"/>
    <w:link w:val="CommentSubjectChar"/>
    <w:uiPriority w:val="99"/>
    <w:semiHidden/>
    <w:unhideWhenUsed/>
    <w:rsid w:val="00EF56DF"/>
    <w:rPr>
      <w:b/>
      <w:bCs/>
    </w:rPr>
  </w:style>
  <w:style w:type="character" w:customStyle="1" w:styleId="CommentSubjectChar">
    <w:name w:val="Comment Subject Char"/>
    <w:basedOn w:val="CommentTextChar"/>
    <w:link w:val="CommentSubject"/>
    <w:uiPriority w:val="99"/>
    <w:semiHidden/>
    <w:rsid w:val="00EF56DF"/>
    <w:rPr>
      <w:b/>
      <w:bCs/>
      <w:sz w:val="20"/>
      <w:szCs w:val="20"/>
    </w:rPr>
  </w:style>
  <w:style w:type="paragraph" w:styleId="BalloonText">
    <w:name w:val="Balloon Text"/>
    <w:basedOn w:val="Normal"/>
    <w:link w:val="BalloonTextChar"/>
    <w:uiPriority w:val="99"/>
    <w:semiHidden/>
    <w:unhideWhenUsed/>
    <w:rsid w:val="00EF56DF"/>
    <w:rPr>
      <w:rFonts w:ascii="Tahoma" w:hAnsi="Tahoma" w:cs="Tahoma"/>
      <w:sz w:val="16"/>
      <w:szCs w:val="16"/>
    </w:rPr>
  </w:style>
  <w:style w:type="character" w:customStyle="1" w:styleId="BalloonTextChar">
    <w:name w:val="Balloon Text Char"/>
    <w:basedOn w:val="DefaultParagraphFont"/>
    <w:link w:val="BalloonText"/>
    <w:uiPriority w:val="99"/>
    <w:semiHidden/>
    <w:rsid w:val="00EF56DF"/>
    <w:rPr>
      <w:rFonts w:ascii="Tahoma" w:hAnsi="Tahoma" w:cs="Tahoma"/>
      <w:sz w:val="16"/>
      <w:szCs w:val="16"/>
    </w:rPr>
  </w:style>
  <w:style w:type="paragraph" w:styleId="TOCHeading">
    <w:name w:val="TOC Heading"/>
    <w:basedOn w:val="Heading1"/>
    <w:next w:val="Normal"/>
    <w:uiPriority w:val="39"/>
    <w:semiHidden/>
    <w:unhideWhenUsed/>
    <w:qFormat/>
    <w:rsid w:val="006F17F1"/>
    <w:pPr>
      <w:spacing w:line="276" w:lineRule="auto"/>
      <w:outlineLvl w:val="9"/>
    </w:pPr>
    <w:rPr>
      <w:lang w:eastAsia="ja-JP"/>
    </w:rPr>
  </w:style>
  <w:style w:type="character" w:customStyle="1" w:styleId="Heading2Char">
    <w:name w:val="Heading 2 Char"/>
    <w:basedOn w:val="DefaultParagraphFont"/>
    <w:link w:val="Heading2"/>
    <w:uiPriority w:val="9"/>
    <w:rsid w:val="006F17F1"/>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6F17F1"/>
    <w:pPr>
      <w:spacing w:after="100"/>
    </w:pPr>
  </w:style>
  <w:style w:type="paragraph" w:styleId="TOC2">
    <w:name w:val="toc 2"/>
    <w:basedOn w:val="Normal"/>
    <w:next w:val="Normal"/>
    <w:autoRedefine/>
    <w:uiPriority w:val="39"/>
    <w:unhideWhenUsed/>
    <w:rsid w:val="006F17F1"/>
    <w:pPr>
      <w:spacing w:after="100"/>
      <w:ind w:left="220"/>
    </w:pPr>
  </w:style>
  <w:style w:type="character" w:styleId="Hyperlink">
    <w:name w:val="Hyperlink"/>
    <w:basedOn w:val="DefaultParagraphFont"/>
    <w:uiPriority w:val="99"/>
    <w:unhideWhenUsed/>
    <w:rsid w:val="006F17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64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17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 Char1"/>
    <w:basedOn w:val="Normal"/>
    <w:link w:val="FootnoteTextChar"/>
    <w:uiPriority w:val="99"/>
    <w:unhideWhenUsed/>
    <w:rsid w:val="00F15A0F"/>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F15A0F"/>
    <w:rPr>
      <w:sz w:val="20"/>
      <w:szCs w:val="20"/>
    </w:rPr>
  </w:style>
  <w:style w:type="character" w:styleId="FootnoteReference">
    <w:name w:val="footnote reference"/>
    <w:aliases w:val="o"/>
    <w:basedOn w:val="DefaultParagraphFont"/>
    <w:uiPriority w:val="99"/>
    <w:unhideWhenUsed/>
    <w:rsid w:val="00F15A0F"/>
    <w:rPr>
      <w:vertAlign w:val="superscript"/>
    </w:rPr>
  </w:style>
  <w:style w:type="table" w:styleId="TableGrid">
    <w:name w:val="Table Grid"/>
    <w:basedOn w:val="TableNormal"/>
    <w:uiPriority w:val="59"/>
    <w:rsid w:val="00957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5C3"/>
    <w:pPr>
      <w:ind w:left="720"/>
      <w:contextualSpacing/>
    </w:pPr>
  </w:style>
  <w:style w:type="paragraph" w:styleId="Header">
    <w:name w:val="header"/>
    <w:basedOn w:val="Normal"/>
    <w:link w:val="HeaderChar"/>
    <w:uiPriority w:val="99"/>
    <w:unhideWhenUsed/>
    <w:rsid w:val="00134880"/>
    <w:pPr>
      <w:tabs>
        <w:tab w:val="center" w:pos="4680"/>
        <w:tab w:val="right" w:pos="9360"/>
      </w:tabs>
    </w:pPr>
  </w:style>
  <w:style w:type="character" w:customStyle="1" w:styleId="HeaderChar">
    <w:name w:val="Header Char"/>
    <w:basedOn w:val="DefaultParagraphFont"/>
    <w:link w:val="Header"/>
    <w:uiPriority w:val="99"/>
    <w:rsid w:val="00134880"/>
  </w:style>
  <w:style w:type="paragraph" w:styleId="Footer">
    <w:name w:val="footer"/>
    <w:basedOn w:val="Normal"/>
    <w:link w:val="FooterChar"/>
    <w:uiPriority w:val="99"/>
    <w:unhideWhenUsed/>
    <w:rsid w:val="00134880"/>
    <w:pPr>
      <w:tabs>
        <w:tab w:val="center" w:pos="4680"/>
        <w:tab w:val="right" w:pos="9360"/>
      </w:tabs>
    </w:pPr>
  </w:style>
  <w:style w:type="character" w:customStyle="1" w:styleId="FooterChar">
    <w:name w:val="Footer Char"/>
    <w:basedOn w:val="DefaultParagraphFont"/>
    <w:link w:val="Footer"/>
    <w:uiPriority w:val="99"/>
    <w:rsid w:val="00134880"/>
  </w:style>
  <w:style w:type="character" w:styleId="CommentReference">
    <w:name w:val="annotation reference"/>
    <w:basedOn w:val="DefaultParagraphFont"/>
    <w:uiPriority w:val="99"/>
    <w:semiHidden/>
    <w:unhideWhenUsed/>
    <w:rsid w:val="00EF56DF"/>
    <w:rPr>
      <w:sz w:val="16"/>
      <w:szCs w:val="16"/>
    </w:rPr>
  </w:style>
  <w:style w:type="paragraph" w:styleId="CommentText">
    <w:name w:val="annotation text"/>
    <w:basedOn w:val="Normal"/>
    <w:link w:val="CommentTextChar"/>
    <w:uiPriority w:val="99"/>
    <w:semiHidden/>
    <w:unhideWhenUsed/>
    <w:rsid w:val="00EF56DF"/>
    <w:rPr>
      <w:sz w:val="20"/>
      <w:szCs w:val="20"/>
    </w:rPr>
  </w:style>
  <w:style w:type="character" w:customStyle="1" w:styleId="CommentTextChar">
    <w:name w:val="Comment Text Char"/>
    <w:basedOn w:val="DefaultParagraphFont"/>
    <w:link w:val="CommentText"/>
    <w:uiPriority w:val="99"/>
    <w:semiHidden/>
    <w:rsid w:val="00EF56DF"/>
    <w:rPr>
      <w:sz w:val="20"/>
      <w:szCs w:val="20"/>
    </w:rPr>
  </w:style>
  <w:style w:type="paragraph" w:styleId="CommentSubject">
    <w:name w:val="annotation subject"/>
    <w:basedOn w:val="CommentText"/>
    <w:next w:val="CommentText"/>
    <w:link w:val="CommentSubjectChar"/>
    <w:uiPriority w:val="99"/>
    <w:semiHidden/>
    <w:unhideWhenUsed/>
    <w:rsid w:val="00EF56DF"/>
    <w:rPr>
      <w:b/>
      <w:bCs/>
    </w:rPr>
  </w:style>
  <w:style w:type="character" w:customStyle="1" w:styleId="CommentSubjectChar">
    <w:name w:val="Comment Subject Char"/>
    <w:basedOn w:val="CommentTextChar"/>
    <w:link w:val="CommentSubject"/>
    <w:uiPriority w:val="99"/>
    <w:semiHidden/>
    <w:rsid w:val="00EF56DF"/>
    <w:rPr>
      <w:b/>
      <w:bCs/>
      <w:sz w:val="20"/>
      <w:szCs w:val="20"/>
    </w:rPr>
  </w:style>
  <w:style w:type="paragraph" w:styleId="BalloonText">
    <w:name w:val="Balloon Text"/>
    <w:basedOn w:val="Normal"/>
    <w:link w:val="BalloonTextChar"/>
    <w:uiPriority w:val="99"/>
    <w:semiHidden/>
    <w:unhideWhenUsed/>
    <w:rsid w:val="00EF56DF"/>
    <w:rPr>
      <w:rFonts w:ascii="Tahoma" w:hAnsi="Tahoma" w:cs="Tahoma"/>
      <w:sz w:val="16"/>
      <w:szCs w:val="16"/>
    </w:rPr>
  </w:style>
  <w:style w:type="character" w:customStyle="1" w:styleId="BalloonTextChar">
    <w:name w:val="Balloon Text Char"/>
    <w:basedOn w:val="DefaultParagraphFont"/>
    <w:link w:val="BalloonText"/>
    <w:uiPriority w:val="99"/>
    <w:semiHidden/>
    <w:rsid w:val="00EF56DF"/>
    <w:rPr>
      <w:rFonts w:ascii="Tahoma" w:hAnsi="Tahoma" w:cs="Tahoma"/>
      <w:sz w:val="16"/>
      <w:szCs w:val="16"/>
    </w:rPr>
  </w:style>
  <w:style w:type="paragraph" w:styleId="TOCHeading">
    <w:name w:val="TOC Heading"/>
    <w:basedOn w:val="Heading1"/>
    <w:next w:val="Normal"/>
    <w:uiPriority w:val="39"/>
    <w:semiHidden/>
    <w:unhideWhenUsed/>
    <w:qFormat/>
    <w:rsid w:val="006F17F1"/>
    <w:pPr>
      <w:spacing w:line="276" w:lineRule="auto"/>
      <w:outlineLvl w:val="9"/>
    </w:pPr>
    <w:rPr>
      <w:lang w:eastAsia="ja-JP"/>
    </w:rPr>
  </w:style>
  <w:style w:type="character" w:customStyle="1" w:styleId="Heading2Char">
    <w:name w:val="Heading 2 Char"/>
    <w:basedOn w:val="DefaultParagraphFont"/>
    <w:link w:val="Heading2"/>
    <w:uiPriority w:val="9"/>
    <w:rsid w:val="006F17F1"/>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6F17F1"/>
    <w:pPr>
      <w:spacing w:after="100"/>
    </w:pPr>
  </w:style>
  <w:style w:type="paragraph" w:styleId="TOC2">
    <w:name w:val="toc 2"/>
    <w:basedOn w:val="Normal"/>
    <w:next w:val="Normal"/>
    <w:autoRedefine/>
    <w:uiPriority w:val="39"/>
    <w:unhideWhenUsed/>
    <w:rsid w:val="006F17F1"/>
    <w:pPr>
      <w:spacing w:after="100"/>
      <w:ind w:left="220"/>
    </w:pPr>
  </w:style>
  <w:style w:type="character" w:styleId="Hyperlink">
    <w:name w:val="Hyperlink"/>
    <w:basedOn w:val="DefaultParagraphFont"/>
    <w:uiPriority w:val="99"/>
    <w:unhideWhenUsed/>
    <w:rsid w:val="006F17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1932">
      <w:bodyDiv w:val="1"/>
      <w:marLeft w:val="0"/>
      <w:marRight w:val="0"/>
      <w:marTop w:val="0"/>
      <w:marBottom w:val="0"/>
      <w:divBdr>
        <w:top w:val="none" w:sz="0" w:space="0" w:color="auto"/>
        <w:left w:val="none" w:sz="0" w:space="0" w:color="auto"/>
        <w:bottom w:val="none" w:sz="0" w:space="0" w:color="auto"/>
        <w:right w:val="none" w:sz="0" w:space="0" w:color="auto"/>
      </w:divBdr>
    </w:div>
    <w:div w:id="1307474291">
      <w:bodyDiv w:val="1"/>
      <w:marLeft w:val="0"/>
      <w:marRight w:val="0"/>
      <w:marTop w:val="0"/>
      <w:marBottom w:val="0"/>
      <w:divBdr>
        <w:top w:val="none" w:sz="0" w:space="0" w:color="auto"/>
        <w:left w:val="none" w:sz="0" w:space="0" w:color="auto"/>
        <w:bottom w:val="none" w:sz="0" w:space="0" w:color="auto"/>
        <w:right w:val="none" w:sz="0" w:space="0" w:color="auto"/>
      </w:divBdr>
    </w:div>
    <w:div w:id="17219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2011-11-01T07:00:00+00:00</OpenedDate>
    <Date1 xmlns="dc463f71-b30c-4ab2-9473-d307f9d35888">2014-06-30T07:00:00+00:00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ABF30ED998744AAEDA5BCC9FB6841" ma:contentTypeVersion="143" ma:contentTypeDescription="" ma:contentTypeScope="" ma:versionID="e6b3b36a134d3894213a12b14eab8e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6CF9C-8DB7-4802-A523-11B7590AD443}"/>
</file>

<file path=customXml/itemProps2.xml><?xml version="1.0" encoding="utf-8"?>
<ds:datastoreItem xmlns:ds="http://schemas.openxmlformats.org/officeDocument/2006/customXml" ds:itemID="{7AEE8C60-F0ED-4416-A966-4077871840FE}"/>
</file>

<file path=customXml/itemProps3.xml><?xml version="1.0" encoding="utf-8"?>
<ds:datastoreItem xmlns:ds="http://schemas.openxmlformats.org/officeDocument/2006/customXml" ds:itemID="{F48FF381-9C93-41E6-A5D4-01BBED0A8B38}"/>
</file>

<file path=customXml/itemProps4.xml><?xml version="1.0" encoding="utf-8"?>
<ds:datastoreItem xmlns:ds="http://schemas.openxmlformats.org/officeDocument/2006/customXml" ds:itemID="{C61A5605-92A5-4687-B379-D5831024FC3C}"/>
</file>

<file path=customXml/itemProps5.xml><?xml version="1.0" encoding="utf-8"?>
<ds:datastoreItem xmlns:ds="http://schemas.openxmlformats.org/officeDocument/2006/customXml" ds:itemID="{D2596E29-C3F7-4992-A75F-CD506AD434C3}"/>
</file>

<file path=docProps/app.xml><?xml version="1.0" encoding="utf-8"?>
<Properties xmlns="http://schemas.openxmlformats.org/officeDocument/2006/extended-properties" xmlns:vt="http://schemas.openxmlformats.org/officeDocument/2006/docPropsVTypes">
  <Template>Normal.dotm</Template>
  <TotalTime>3</TotalTime>
  <Pages>11</Pages>
  <Words>4124</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UE-111882 AVI BCR Staff Comments</vt:lpstr>
    </vt:vector>
  </TitlesOfParts>
  <Company>Washington Utilities and Transportation Commission</Company>
  <LinksUpToDate>false</LinksUpToDate>
  <CharactersWithSpaces>27582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UE-111882 AVI BCR Staff Comments</dc:title>
  <dc:creator>Jeremy Twitchell</dc:creator>
  <cp:lastModifiedBy>Krista Gross</cp:lastModifiedBy>
  <cp:revision>4</cp:revision>
  <cp:lastPrinted>2014-06-30T22:30:00Z</cp:lastPrinted>
  <dcterms:created xsi:type="dcterms:W3CDTF">2014-06-30T22:27:00Z</dcterms:created>
  <dcterms:modified xsi:type="dcterms:W3CDTF">2014-06-30T22:30:00Z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0x0101006E56B4D1795A2E4DB2F0B01679ED314A00145ABF30ED998744AAEDA5BCC9FB6841</vt:lpwstr>
  </property>
  <property fmtid="{D5CDD505-2E9C-101B-9397-08002B2CF9AE}" pid="3" name="_docset_NoMedatataSyncRequired">
    <vt:lpwstr>False</vt:lpwstr>
  </property>
</Properties>
</file>