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May 18, 2017</w:t>
      </w:r>
    </w:p>
    <w:p w14:paraId="67C08B75" w14:textId="77777777" w:rsidR="00DF0FAA" w:rsidRPr="000F56AC" w:rsidRDefault="00DF0FAA" w:rsidP="00DF0FAA"/>
    <w:p w14:paraId="67C08B76" w14:textId="77777777" w:rsidR="00DF0FAA" w:rsidRPr="000F56AC" w:rsidRDefault="00DF0FAA" w:rsidP="00DF0FAA"/>
    <w:p>
      <w:r>
        <w:t>Simpore, Tiraogo</w:t>
        <w:cr/>
        <w:t>d/b/a TS Moving Services</w:t>
      </w:r>
    </w:p>
    <w:p>
      <w:r>
        <w:rPr>
          <w:rFonts w:eastAsiaTheme="minorHAnsi"/>
        </w:rPr>
        <w:t>515 N. Division St.</w:t>
        <w:cr/>
        <w:t>Auburn, WA 98001</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170121</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THG067675</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Simpore, Tiraogo</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February 27, 2017</w:t>
      </w:r>
      <w:r>
        <w:t xml:space="preserve">, </w:t>
      </w:r>
      <w:r>
        <w:t>Simpore, Tiraogo</w:t>
      </w:r>
      <w:r>
        <w:t>, d/b/a TS Moving Services,</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Simpore, Tiraogo</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Simpore, Tiraogo</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Simpore, Tiraogo</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Simpore, Tiraogo</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Simpore, Tiraogo</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2017-02-27T08:00:00+00:00</OpenedDate>
    <Date1 xmlns="dc463f71-b30c-4ab2-9473-d307f9d35888">2017-05-18T07:00:00+00:00</Date1>
    <IsDocumentOrder xmlns="dc463f71-b30c-4ab2-9473-d307f9d35888">true</IsDocumentOrder>
    <IsHighlyConfidential xmlns="dc463f71-b30c-4ab2-9473-d307f9d35888">false</IsHighlyConfidential>
    <CaseCompanyNames xmlns="dc463f71-b30c-4ab2-9473-d307f9d35888">Simpore, Tiraogo</CaseCompanyNames>
    <Nickname xmlns="http://schemas.microsoft.com/sharepoint/v3" xsi:nil="true"/>
    <DocketNumber xmlns="dc463f71-b30c-4ab2-9473-d307f9d35888">170121</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0073142E0B4C4D9DD7D68EE7ECA775" ma:contentTypeVersion="104" ma:contentTypeDescription="" ma:contentTypeScope="" ma:versionID="5d954ffbae7374396f40d8f5e7df1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75E37-07BD-4925-AAD1-10A25B53F902}"/>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3ABFDDFF-A360-4996-8693-C233D5E0A465}"/>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0x0101006E56B4D1795A2E4DB2F0B01679ED314A00A50073142E0B4C4D9DD7D68EE7ECA775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