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02BD7" w14:textId="5BC54CBB" w:rsidR="00F67353" w:rsidRPr="00986F9F" w:rsidRDefault="00F67353" w:rsidP="00F6735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86F9F">
        <w:rPr>
          <w:b/>
          <w:sz w:val="32"/>
          <w:szCs w:val="32"/>
        </w:rPr>
        <w:t>WASHINGTON ELECTRIC COST OF SERVICE HISTORY</w:t>
      </w:r>
    </w:p>
    <w:p w14:paraId="4A0D6D8A" w14:textId="77777777" w:rsidR="00F67353" w:rsidRDefault="00F67353" w:rsidP="00C622F9">
      <w:pPr>
        <w:jc w:val="center"/>
      </w:pPr>
    </w:p>
    <w:p w14:paraId="787F78D5" w14:textId="06621FA3" w:rsidR="00E1156F" w:rsidRPr="00BE0AA1" w:rsidRDefault="0039431B" w:rsidP="00591A1D">
      <w:pPr>
        <w:jc w:val="center"/>
      </w:pPr>
      <w:r w:rsidRPr="00591A1D">
        <w:rPr>
          <w:sz w:val="32"/>
          <w:szCs w:val="32"/>
        </w:rPr>
        <w:t>AVISTA</w:t>
      </w: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3103"/>
        <w:gridCol w:w="6527"/>
      </w:tblGrid>
      <w:tr w:rsidR="00F67353" w:rsidRPr="00BE0AA1" w14:paraId="04B02445" w14:textId="77777777" w:rsidTr="00F67353">
        <w:trPr>
          <w:trHeight w:val="332"/>
        </w:trPr>
        <w:tc>
          <w:tcPr>
            <w:tcW w:w="3103" w:type="dxa"/>
            <w:tcBorders>
              <w:top w:val="nil"/>
              <w:left w:val="nil"/>
              <w:right w:val="nil"/>
            </w:tcBorders>
            <w:vAlign w:val="bottom"/>
          </w:tcPr>
          <w:p w14:paraId="4D4B8561" w14:textId="77777777" w:rsidR="00F67353" w:rsidRPr="00BE0AA1" w:rsidRDefault="00F67353" w:rsidP="009C668C"/>
        </w:tc>
        <w:tc>
          <w:tcPr>
            <w:tcW w:w="6527" w:type="dxa"/>
            <w:tcBorders>
              <w:top w:val="nil"/>
              <w:left w:val="nil"/>
              <w:right w:val="nil"/>
            </w:tcBorders>
            <w:vAlign w:val="bottom"/>
          </w:tcPr>
          <w:p w14:paraId="6548B9C5" w14:textId="7AA23AE1" w:rsidR="00F67353" w:rsidRPr="00BE0AA1" w:rsidRDefault="00F67353" w:rsidP="00F67353"/>
        </w:tc>
      </w:tr>
      <w:tr w:rsidR="00F67353" w:rsidRPr="00BE0AA1" w14:paraId="06E414CA" w14:textId="77777777" w:rsidTr="00F67353">
        <w:trPr>
          <w:trHeight w:val="1008"/>
        </w:trPr>
        <w:tc>
          <w:tcPr>
            <w:tcW w:w="3103" w:type="dxa"/>
            <w:vAlign w:val="center"/>
          </w:tcPr>
          <w:p w14:paraId="746C2F66" w14:textId="77777777" w:rsidR="00F67353" w:rsidRPr="00BE0AA1" w:rsidRDefault="00F67353" w:rsidP="009C668C">
            <w:pPr>
              <w:rPr>
                <w:highlight w:val="yellow"/>
              </w:rPr>
            </w:pPr>
            <w:r w:rsidRPr="00BE0AA1">
              <w:t>2015 GRC (UE-150204 &amp; UG-150205)</w:t>
            </w:r>
          </w:p>
        </w:tc>
        <w:tc>
          <w:tcPr>
            <w:tcW w:w="6527" w:type="dxa"/>
            <w:vAlign w:val="center"/>
          </w:tcPr>
          <w:p w14:paraId="2ACCC9E2" w14:textId="55A0C387" w:rsidR="00F67353" w:rsidRPr="00BE0AA1" w:rsidRDefault="00F67353" w:rsidP="00F67353">
            <w:r>
              <w:rPr>
                <w:i/>
              </w:rPr>
              <w:t>Multi</w:t>
            </w:r>
            <w:r w:rsidRPr="00BD43CD">
              <w:rPr>
                <w:i/>
              </w:rPr>
              <w:t xml:space="preserve">party Settlement </w:t>
            </w:r>
            <w:r>
              <w:rPr>
                <w:i/>
              </w:rPr>
              <w:t xml:space="preserve">- </w:t>
            </w:r>
            <w:r w:rsidRPr="00D227C1">
              <w:rPr>
                <w:i/>
              </w:rPr>
              <w:t>No changes to cost of service</w:t>
            </w:r>
          </w:p>
        </w:tc>
      </w:tr>
      <w:tr w:rsidR="00F67353" w:rsidRPr="00BE0AA1" w14:paraId="1AEDB69C" w14:textId="77777777" w:rsidTr="00F67353">
        <w:trPr>
          <w:trHeight w:val="1008"/>
        </w:trPr>
        <w:tc>
          <w:tcPr>
            <w:tcW w:w="3103" w:type="dxa"/>
            <w:vAlign w:val="center"/>
          </w:tcPr>
          <w:p w14:paraId="76FE2D7F" w14:textId="77777777" w:rsidR="00F67353" w:rsidRPr="00BE0AA1" w:rsidRDefault="00F67353" w:rsidP="009C668C">
            <w:r w:rsidRPr="00BE0AA1">
              <w:t>2014 GRC (UE-140188 &amp; UG-140189)</w:t>
            </w:r>
          </w:p>
        </w:tc>
        <w:tc>
          <w:tcPr>
            <w:tcW w:w="6527" w:type="dxa"/>
            <w:vAlign w:val="center"/>
          </w:tcPr>
          <w:p w14:paraId="6FF26B87" w14:textId="77777777" w:rsidR="00F67353" w:rsidRDefault="00F67353" w:rsidP="00F67353">
            <w:pPr>
              <w:rPr>
                <w:i/>
              </w:rPr>
            </w:pPr>
            <w:r>
              <w:rPr>
                <w:i/>
              </w:rPr>
              <w:t>Multi</w:t>
            </w:r>
            <w:r w:rsidRPr="00BD43CD">
              <w:rPr>
                <w:i/>
              </w:rPr>
              <w:t xml:space="preserve">party Settlement </w:t>
            </w:r>
            <w:r>
              <w:rPr>
                <w:i/>
              </w:rPr>
              <w:t xml:space="preserve">- </w:t>
            </w:r>
            <w:r w:rsidRPr="00D227C1">
              <w:rPr>
                <w:i/>
              </w:rPr>
              <w:t>No changes to cost of service</w:t>
            </w:r>
          </w:p>
          <w:p w14:paraId="711C6915" w14:textId="77777777" w:rsidR="00F67353" w:rsidRDefault="00F67353" w:rsidP="00F67353">
            <w:pPr>
              <w:rPr>
                <w:i/>
              </w:rPr>
            </w:pPr>
          </w:p>
          <w:p w14:paraId="3273A8DC" w14:textId="77777777" w:rsidR="00F67353" w:rsidRDefault="00F67353" w:rsidP="00F67353">
            <w:pPr>
              <w:pStyle w:val="ListParagraph"/>
              <w:numPr>
                <w:ilvl w:val="0"/>
                <w:numId w:val="1"/>
              </w:numPr>
              <w:ind w:left="138" w:hanging="180"/>
            </w:pPr>
            <w:r w:rsidRPr="00BE0AA1">
              <w:t xml:space="preserve">2014 Load study estimates rate class hourly load for demand allocation  </w:t>
            </w:r>
          </w:p>
          <w:p w14:paraId="1DEAF234" w14:textId="77777777" w:rsidR="00F67353" w:rsidRPr="00BE0AA1" w:rsidRDefault="00F67353" w:rsidP="00F67353">
            <w:pPr>
              <w:pStyle w:val="ListParagraph"/>
              <w:ind w:left="137"/>
            </w:pPr>
          </w:p>
        </w:tc>
      </w:tr>
      <w:tr w:rsidR="00F67353" w:rsidRPr="00BE0AA1" w14:paraId="19A09224" w14:textId="77777777" w:rsidTr="00F67353">
        <w:trPr>
          <w:trHeight w:val="1008"/>
        </w:trPr>
        <w:tc>
          <w:tcPr>
            <w:tcW w:w="3103" w:type="dxa"/>
            <w:vAlign w:val="center"/>
          </w:tcPr>
          <w:p w14:paraId="2C834255" w14:textId="68FBDE0B" w:rsidR="00F67353" w:rsidRPr="00BE0AA1" w:rsidRDefault="00F67353" w:rsidP="009C668C">
            <w:r>
              <w:t>2012 GRC (UE-120436 &amp; UG-120437)</w:t>
            </w:r>
          </w:p>
        </w:tc>
        <w:tc>
          <w:tcPr>
            <w:tcW w:w="6527" w:type="dxa"/>
            <w:vAlign w:val="center"/>
          </w:tcPr>
          <w:p w14:paraId="7FE03FA4" w14:textId="77777777" w:rsidR="00F67353" w:rsidRDefault="00F67353" w:rsidP="00F67353">
            <w:pPr>
              <w:rPr>
                <w:i/>
              </w:rPr>
            </w:pPr>
            <w:r>
              <w:rPr>
                <w:i/>
              </w:rPr>
              <w:t>Multi</w:t>
            </w:r>
            <w:r w:rsidRPr="00BD43CD">
              <w:rPr>
                <w:i/>
              </w:rPr>
              <w:t xml:space="preserve">party Settlement </w:t>
            </w:r>
            <w:r>
              <w:rPr>
                <w:i/>
              </w:rPr>
              <w:t xml:space="preserve">- </w:t>
            </w:r>
            <w:r w:rsidRPr="00D227C1">
              <w:rPr>
                <w:i/>
              </w:rPr>
              <w:t>No changes to cost of service</w:t>
            </w:r>
          </w:p>
          <w:p w14:paraId="4294918B" w14:textId="605FE998" w:rsidR="00F67353" w:rsidRPr="00026F33" w:rsidRDefault="00F67353" w:rsidP="00F67353">
            <w:pPr>
              <w:rPr>
                <w:i/>
              </w:rPr>
            </w:pPr>
          </w:p>
        </w:tc>
      </w:tr>
      <w:tr w:rsidR="00F67353" w:rsidRPr="00BE0AA1" w14:paraId="7B66EBE9" w14:textId="77777777" w:rsidTr="00F67353">
        <w:trPr>
          <w:trHeight w:val="1008"/>
        </w:trPr>
        <w:tc>
          <w:tcPr>
            <w:tcW w:w="3103" w:type="dxa"/>
            <w:vAlign w:val="center"/>
          </w:tcPr>
          <w:p w14:paraId="4013416D" w14:textId="4BEBC021" w:rsidR="00F67353" w:rsidRPr="00886222" w:rsidRDefault="00F67353" w:rsidP="00886222">
            <w:r w:rsidRPr="00886222">
              <w:t>2011 GRC (UE-110876 &amp; UG-110876)</w:t>
            </w:r>
          </w:p>
        </w:tc>
        <w:tc>
          <w:tcPr>
            <w:tcW w:w="6527" w:type="dxa"/>
            <w:vAlign w:val="center"/>
          </w:tcPr>
          <w:p w14:paraId="1FA8FFA5" w14:textId="3A066289" w:rsidR="00F67353" w:rsidRDefault="00F67353" w:rsidP="00F67353">
            <w:pPr>
              <w:rPr>
                <w:i/>
              </w:rPr>
            </w:pPr>
            <w:r>
              <w:rPr>
                <w:i/>
              </w:rPr>
              <w:t>Multi</w:t>
            </w:r>
            <w:r w:rsidRPr="00BD43CD">
              <w:rPr>
                <w:i/>
              </w:rPr>
              <w:t xml:space="preserve">party Settlement </w:t>
            </w:r>
            <w:r>
              <w:rPr>
                <w:i/>
              </w:rPr>
              <w:t xml:space="preserve">- </w:t>
            </w:r>
            <w:r w:rsidRPr="00D227C1">
              <w:rPr>
                <w:i/>
              </w:rPr>
              <w:t>No changes to cost of service</w:t>
            </w:r>
          </w:p>
          <w:p w14:paraId="21FF03C7" w14:textId="77777777" w:rsidR="00F67353" w:rsidRDefault="00F67353" w:rsidP="00F67353">
            <w:pPr>
              <w:rPr>
                <w:i/>
              </w:rPr>
            </w:pPr>
          </w:p>
          <w:p w14:paraId="00295C72" w14:textId="5AD97E20" w:rsidR="00F67353" w:rsidRPr="00CF7D3A" w:rsidRDefault="0039431B" w:rsidP="00F67353">
            <w:pPr>
              <w:pStyle w:val="ListParagraph"/>
              <w:numPr>
                <w:ilvl w:val="0"/>
                <w:numId w:val="1"/>
              </w:numPr>
              <w:ind w:left="138" w:hanging="180"/>
            </w:pPr>
            <w:r>
              <w:t>Company</w:t>
            </w:r>
            <w:r w:rsidR="00F67353">
              <w:t xml:space="preserve"> Proposes</w:t>
            </w:r>
            <w:r w:rsidR="00F67353" w:rsidRPr="00CF7D3A">
              <w:t>:</w:t>
            </w:r>
          </w:p>
          <w:p w14:paraId="4DCC2BBF" w14:textId="01F5DA0B" w:rsidR="00F67353" w:rsidRDefault="004A1715" w:rsidP="00F67353">
            <w:pPr>
              <w:pStyle w:val="ListParagraph"/>
              <w:numPr>
                <w:ilvl w:val="1"/>
                <w:numId w:val="1"/>
              </w:numPr>
              <w:ind w:left="389" w:hanging="270"/>
            </w:pPr>
            <w:r>
              <w:t>S</w:t>
            </w:r>
            <w:r w:rsidR="00F67353" w:rsidRPr="00CF7D3A">
              <w:t>ystem load factor to determine demand related production costs instead of</w:t>
            </w:r>
            <w:r w:rsidR="00182BDB">
              <w:t xml:space="preserve"> using a</w:t>
            </w:r>
            <w:r w:rsidR="00F67353" w:rsidRPr="00CF7D3A">
              <w:t xml:space="preserve"> </w:t>
            </w:r>
            <w:r w:rsidR="00182BDB">
              <w:t>ratio based on Peaker units</w:t>
            </w:r>
          </w:p>
          <w:p w14:paraId="4F40B33F" w14:textId="7F041CA4" w:rsidR="00F67353" w:rsidRPr="00D227C1" w:rsidRDefault="004A1715" w:rsidP="00F67353">
            <w:pPr>
              <w:pStyle w:val="ListParagraph"/>
              <w:numPr>
                <w:ilvl w:val="1"/>
                <w:numId w:val="1"/>
              </w:numPr>
              <w:ind w:left="389" w:hanging="270"/>
            </w:pPr>
            <w:r>
              <w:t>Apply</w:t>
            </w:r>
            <w:r w:rsidR="00F67353">
              <w:t xml:space="preserve"> system lo</w:t>
            </w:r>
            <w:r w:rsidR="00182BDB">
              <w:t>ad factor to transmission costs</w:t>
            </w:r>
          </w:p>
          <w:p w14:paraId="3DC1BDFA" w14:textId="75980B7C" w:rsidR="00F67353" w:rsidRPr="007F0E1F" w:rsidRDefault="00F67353" w:rsidP="00F67353">
            <w:pPr>
              <w:pStyle w:val="ListParagraph"/>
              <w:ind w:left="137"/>
              <w:rPr>
                <w:i/>
              </w:rPr>
            </w:pPr>
          </w:p>
        </w:tc>
      </w:tr>
      <w:tr w:rsidR="00F67353" w:rsidRPr="00BE0AA1" w14:paraId="4D6774A3" w14:textId="77777777" w:rsidTr="00F67353">
        <w:trPr>
          <w:trHeight w:val="1008"/>
        </w:trPr>
        <w:tc>
          <w:tcPr>
            <w:tcW w:w="3103" w:type="dxa"/>
            <w:vAlign w:val="center"/>
          </w:tcPr>
          <w:p w14:paraId="367542A8" w14:textId="70C39277" w:rsidR="00F67353" w:rsidRPr="00CF7D3A" w:rsidRDefault="00F67353" w:rsidP="00886222">
            <w:r>
              <w:t>2010 GRC (UE-</w:t>
            </w:r>
            <w:r w:rsidRPr="00CF7D3A">
              <w:t>100467</w:t>
            </w:r>
            <w:r>
              <w:t xml:space="preserve"> &amp; UG-100468)</w:t>
            </w:r>
          </w:p>
        </w:tc>
        <w:tc>
          <w:tcPr>
            <w:tcW w:w="6527" w:type="dxa"/>
            <w:vAlign w:val="center"/>
          </w:tcPr>
          <w:p w14:paraId="36D8B199" w14:textId="77777777" w:rsidR="00F67353" w:rsidRDefault="00F67353" w:rsidP="00F67353">
            <w:pPr>
              <w:rPr>
                <w:i/>
              </w:rPr>
            </w:pPr>
            <w:r>
              <w:rPr>
                <w:i/>
              </w:rPr>
              <w:t>Multi</w:t>
            </w:r>
            <w:r w:rsidRPr="00BD43CD">
              <w:rPr>
                <w:i/>
              </w:rPr>
              <w:t xml:space="preserve">party Settlement </w:t>
            </w:r>
            <w:r>
              <w:rPr>
                <w:i/>
              </w:rPr>
              <w:t xml:space="preserve">- </w:t>
            </w:r>
            <w:r w:rsidRPr="00D227C1">
              <w:rPr>
                <w:i/>
              </w:rPr>
              <w:t>No changes to cost of service</w:t>
            </w:r>
          </w:p>
          <w:p w14:paraId="0E32159C" w14:textId="77777777" w:rsidR="00F67353" w:rsidRPr="00906E79" w:rsidRDefault="00F67353" w:rsidP="00F67353">
            <w:pPr>
              <w:rPr>
                <w:i/>
              </w:rPr>
            </w:pPr>
          </w:p>
          <w:p w14:paraId="10C316A7" w14:textId="4F184734" w:rsidR="00F67353" w:rsidRPr="00CF7D3A" w:rsidRDefault="0039431B" w:rsidP="00F67353">
            <w:pPr>
              <w:pStyle w:val="ListParagraph"/>
              <w:numPr>
                <w:ilvl w:val="0"/>
                <w:numId w:val="1"/>
              </w:numPr>
              <w:ind w:left="138" w:hanging="180"/>
            </w:pPr>
            <w:r>
              <w:t>Company</w:t>
            </w:r>
            <w:r w:rsidR="00EA62C4">
              <w:t xml:space="preserve"> Proposals based on 2007 review but are not adopted</w:t>
            </w:r>
            <w:r w:rsidR="00F67353" w:rsidRPr="00CF7D3A">
              <w:t>:</w:t>
            </w:r>
          </w:p>
          <w:p w14:paraId="4E4AE29C" w14:textId="77777777" w:rsidR="00F67353" w:rsidRDefault="00F67353" w:rsidP="00F67353">
            <w:pPr>
              <w:pStyle w:val="ListParagraph"/>
              <w:numPr>
                <w:ilvl w:val="1"/>
                <w:numId w:val="1"/>
              </w:numPr>
              <w:ind w:left="389" w:hanging="270"/>
            </w:pPr>
            <w:r>
              <w:t>IRP based analysis of total dispatch value from a CCCT to determine demand/energy ratio</w:t>
            </w:r>
          </w:p>
          <w:p w14:paraId="619137C8" w14:textId="4BFD9A85" w:rsidR="00F67353" w:rsidRDefault="00757F63" w:rsidP="00F67353">
            <w:pPr>
              <w:pStyle w:val="ListParagraph"/>
              <w:numPr>
                <w:ilvl w:val="1"/>
                <w:numId w:val="1"/>
              </w:numPr>
              <w:ind w:left="389" w:hanging="270"/>
            </w:pPr>
            <w:r>
              <w:t>Apply</w:t>
            </w:r>
            <w:r w:rsidR="00F67353">
              <w:t xml:space="preserve"> same methodology to transmission costs</w:t>
            </w:r>
          </w:p>
          <w:p w14:paraId="41D3E175" w14:textId="5B1DCD1C" w:rsidR="00F67353" w:rsidRDefault="00F67353" w:rsidP="00F67353">
            <w:pPr>
              <w:pStyle w:val="ListParagraph"/>
              <w:numPr>
                <w:ilvl w:val="1"/>
                <w:numId w:val="1"/>
              </w:numPr>
              <w:ind w:left="389" w:hanging="270"/>
            </w:pPr>
            <w:r w:rsidRPr="00CF7D3A">
              <w:t xml:space="preserve">Load research study used to estimate hourly load by rate class for cost of service demand allocations.  </w:t>
            </w:r>
          </w:p>
          <w:p w14:paraId="13921DF7" w14:textId="595E0904" w:rsidR="00F67353" w:rsidRDefault="0039431B" w:rsidP="00F67353">
            <w:pPr>
              <w:pStyle w:val="ListParagraph"/>
              <w:numPr>
                <w:ilvl w:val="2"/>
                <w:numId w:val="1"/>
              </w:numPr>
              <w:ind w:left="569" w:hanging="180"/>
            </w:pPr>
            <w:r>
              <w:t>Company</w:t>
            </w:r>
            <w:r w:rsidR="00F67353">
              <w:t xml:space="preserve"> concludes that demand allocation from previous cost of service models substantially similar to cost of service study including demand study results</w:t>
            </w:r>
          </w:p>
          <w:p w14:paraId="6AC85235" w14:textId="77777777" w:rsidR="00F67353" w:rsidRDefault="0039431B" w:rsidP="00F67353">
            <w:pPr>
              <w:pStyle w:val="ListParagraph"/>
              <w:numPr>
                <w:ilvl w:val="2"/>
                <w:numId w:val="1"/>
              </w:numPr>
              <w:ind w:left="569" w:hanging="180"/>
            </w:pPr>
            <w:r>
              <w:t>Company</w:t>
            </w:r>
            <w:r w:rsidR="00F67353">
              <w:t xml:space="preserve"> state</w:t>
            </w:r>
            <w:r w:rsidR="00C3330A">
              <w:t>s intent to annual augment study</w:t>
            </w:r>
          </w:p>
          <w:p w14:paraId="2AF2E79F" w14:textId="7D1A0896" w:rsidR="00C3330A" w:rsidRPr="00CF7D3A" w:rsidRDefault="00C3330A" w:rsidP="00C3330A">
            <w:pPr>
              <w:ind w:left="389"/>
            </w:pPr>
          </w:p>
        </w:tc>
      </w:tr>
      <w:tr w:rsidR="00F67353" w:rsidRPr="00BE0AA1" w14:paraId="3FC7CE3B" w14:textId="77777777" w:rsidTr="00F67353">
        <w:trPr>
          <w:trHeight w:val="1008"/>
        </w:trPr>
        <w:tc>
          <w:tcPr>
            <w:tcW w:w="3103" w:type="dxa"/>
            <w:vAlign w:val="center"/>
          </w:tcPr>
          <w:p w14:paraId="14F26F41" w14:textId="2206B4DD" w:rsidR="00F67353" w:rsidRPr="00EC6004" w:rsidRDefault="00F67353" w:rsidP="00886222">
            <w:pPr>
              <w:rPr>
                <w:highlight w:val="yellow"/>
              </w:rPr>
            </w:pPr>
            <w:r>
              <w:t>2009 GRC (UE-</w:t>
            </w:r>
            <w:r w:rsidRPr="000C58D4">
              <w:t>090134</w:t>
            </w:r>
            <w:r>
              <w:t>/UG-090135)</w:t>
            </w:r>
          </w:p>
        </w:tc>
        <w:tc>
          <w:tcPr>
            <w:tcW w:w="6527" w:type="dxa"/>
            <w:vAlign w:val="center"/>
          </w:tcPr>
          <w:p w14:paraId="2634A193" w14:textId="2C104967" w:rsidR="00F67353" w:rsidRDefault="00F67353" w:rsidP="00F67353">
            <w:pPr>
              <w:rPr>
                <w:i/>
              </w:rPr>
            </w:pPr>
            <w:r>
              <w:rPr>
                <w:i/>
              </w:rPr>
              <w:t>Multi</w:t>
            </w:r>
            <w:r w:rsidRPr="00BD43CD">
              <w:rPr>
                <w:i/>
              </w:rPr>
              <w:t xml:space="preserve">party Settlement </w:t>
            </w:r>
            <w:r>
              <w:rPr>
                <w:i/>
              </w:rPr>
              <w:t xml:space="preserve">- </w:t>
            </w:r>
            <w:r w:rsidRPr="00D227C1">
              <w:rPr>
                <w:i/>
              </w:rPr>
              <w:t>No changes to cost of service</w:t>
            </w:r>
          </w:p>
          <w:p w14:paraId="4C273973" w14:textId="77777777" w:rsidR="00F67353" w:rsidRDefault="00F67353" w:rsidP="00F67353">
            <w:pPr>
              <w:rPr>
                <w:i/>
              </w:rPr>
            </w:pPr>
          </w:p>
          <w:p w14:paraId="562DC1D9" w14:textId="31331CB8" w:rsidR="00F67353" w:rsidRPr="007A5EA7" w:rsidRDefault="0039431B" w:rsidP="00F67353">
            <w:pPr>
              <w:pStyle w:val="ListParagraph"/>
              <w:numPr>
                <w:ilvl w:val="0"/>
                <w:numId w:val="1"/>
              </w:numPr>
              <w:ind w:left="138" w:hanging="180"/>
            </w:pPr>
            <w:r>
              <w:t>Company</w:t>
            </w:r>
            <w:r w:rsidR="00F67353" w:rsidRPr="007A5EA7">
              <w:t xml:space="preserve"> co</w:t>
            </w:r>
            <w:r w:rsidR="00182BDB">
              <w:t>nducts four sensitivity analyses</w:t>
            </w:r>
            <w:r w:rsidR="00F67353" w:rsidRPr="007A5EA7">
              <w:t xml:space="preserve"> to test the effect of NCP and CP allocations on demand costs</w:t>
            </w:r>
            <w:r w:rsidR="00EA62C4">
              <w:t>:</w:t>
            </w:r>
          </w:p>
          <w:p w14:paraId="5BB8EDE5" w14:textId="10E18FEB" w:rsidR="00F67353" w:rsidRPr="007A5EA7" w:rsidRDefault="0039431B" w:rsidP="00F67353">
            <w:pPr>
              <w:pStyle w:val="ListParagraph"/>
              <w:numPr>
                <w:ilvl w:val="1"/>
                <w:numId w:val="1"/>
              </w:numPr>
              <w:ind w:left="389" w:hanging="270"/>
            </w:pPr>
            <w:r>
              <w:t>Company</w:t>
            </w:r>
            <w:r w:rsidR="00F67353" w:rsidRPr="007A5EA7">
              <w:t xml:space="preserve"> concludes that rate classes allocation </w:t>
            </w:r>
            <w:r w:rsidR="00F67353">
              <w:t>would not substantially change as a result of large swings in NCP/CP allocators</w:t>
            </w:r>
            <w:r w:rsidR="00F67353" w:rsidRPr="007A5EA7">
              <w:t xml:space="preserve">  </w:t>
            </w:r>
          </w:p>
          <w:p w14:paraId="33A2C284" w14:textId="77777777" w:rsidR="00F67353" w:rsidRPr="000C58D4" w:rsidRDefault="00F67353" w:rsidP="00F67353">
            <w:pPr>
              <w:rPr>
                <w:highlight w:val="yellow"/>
              </w:rPr>
            </w:pPr>
          </w:p>
        </w:tc>
      </w:tr>
      <w:tr w:rsidR="00F67353" w:rsidRPr="00BE0AA1" w14:paraId="4D0F9A34" w14:textId="77777777" w:rsidTr="00F67353">
        <w:trPr>
          <w:trHeight w:val="1008"/>
        </w:trPr>
        <w:tc>
          <w:tcPr>
            <w:tcW w:w="3103" w:type="dxa"/>
            <w:shd w:val="clear" w:color="auto" w:fill="auto"/>
            <w:vAlign w:val="center"/>
          </w:tcPr>
          <w:p w14:paraId="23773E4B" w14:textId="31678301" w:rsidR="00F67353" w:rsidRPr="009E192C" w:rsidRDefault="00F67353" w:rsidP="00C01A00">
            <w:pPr>
              <w:rPr>
                <w:highlight w:val="yellow"/>
              </w:rPr>
            </w:pPr>
            <w:r w:rsidRPr="00C01A00">
              <w:lastRenderedPageBreak/>
              <w:t>2008 GRC (UE-080416 &amp; UG-080417)</w:t>
            </w:r>
          </w:p>
        </w:tc>
        <w:tc>
          <w:tcPr>
            <w:tcW w:w="6527" w:type="dxa"/>
            <w:vAlign w:val="center"/>
          </w:tcPr>
          <w:p w14:paraId="50136959" w14:textId="77777777" w:rsidR="00F67353" w:rsidRPr="00C05BD8" w:rsidRDefault="00F67353" w:rsidP="00F67353">
            <w:pPr>
              <w:rPr>
                <w:i/>
              </w:rPr>
            </w:pPr>
            <w:r w:rsidRPr="00C05BD8">
              <w:rPr>
                <w:i/>
              </w:rPr>
              <w:t>Multiparty Settlement - No changes to cost of service</w:t>
            </w:r>
          </w:p>
          <w:p w14:paraId="13BD5C84" w14:textId="77777777" w:rsidR="00F67353" w:rsidRPr="00C05BD8" w:rsidRDefault="00F67353" w:rsidP="00F67353">
            <w:pPr>
              <w:rPr>
                <w:i/>
              </w:rPr>
            </w:pPr>
          </w:p>
          <w:p w14:paraId="309D9166" w14:textId="4097BC2F" w:rsidR="00F67353" w:rsidRPr="00C05BD8" w:rsidRDefault="00F67353" w:rsidP="00F67353">
            <w:r w:rsidRPr="00C05BD8">
              <w:t xml:space="preserve"> </w:t>
            </w:r>
          </w:p>
        </w:tc>
      </w:tr>
      <w:tr w:rsidR="00F67353" w:rsidRPr="00BE0AA1" w14:paraId="114FDB11" w14:textId="77777777" w:rsidTr="00F67353">
        <w:trPr>
          <w:trHeight w:val="1008"/>
        </w:trPr>
        <w:tc>
          <w:tcPr>
            <w:tcW w:w="3103" w:type="dxa"/>
            <w:vAlign w:val="center"/>
          </w:tcPr>
          <w:p w14:paraId="6F3F73CA" w14:textId="7723C10E" w:rsidR="00F67353" w:rsidRPr="009E192C" w:rsidRDefault="00F67353" w:rsidP="00C01A00">
            <w:pPr>
              <w:rPr>
                <w:highlight w:val="yellow"/>
              </w:rPr>
            </w:pPr>
            <w:r w:rsidRPr="0039431B">
              <w:t>2007 GRC (UE-070804 &amp; UG-070805)</w:t>
            </w:r>
          </w:p>
        </w:tc>
        <w:tc>
          <w:tcPr>
            <w:tcW w:w="6527" w:type="dxa"/>
            <w:vAlign w:val="center"/>
          </w:tcPr>
          <w:p w14:paraId="3ACBFB1A" w14:textId="4341ECF6" w:rsidR="00F67353" w:rsidRDefault="00F67353" w:rsidP="00F67353">
            <w:pPr>
              <w:rPr>
                <w:i/>
              </w:rPr>
            </w:pPr>
            <w:r w:rsidRPr="00C05BD8">
              <w:rPr>
                <w:i/>
              </w:rPr>
              <w:t>Multiparty</w:t>
            </w:r>
            <w:r>
              <w:rPr>
                <w:i/>
              </w:rPr>
              <w:t xml:space="preserve"> Settlement</w:t>
            </w:r>
          </w:p>
          <w:p w14:paraId="6698A2B0" w14:textId="77777777" w:rsidR="00F67353" w:rsidRDefault="00F67353" w:rsidP="00F67353"/>
          <w:p w14:paraId="15BFB679" w14:textId="77777777" w:rsidR="00F67353" w:rsidRPr="00C05BD8" w:rsidRDefault="00F67353" w:rsidP="00F67353">
            <w:pPr>
              <w:pStyle w:val="ListParagraph"/>
              <w:numPr>
                <w:ilvl w:val="0"/>
                <w:numId w:val="1"/>
              </w:numPr>
              <w:ind w:left="138" w:hanging="180"/>
            </w:pPr>
            <w:r w:rsidRPr="00C05BD8">
              <w:t>Company agrees to examine allocation of costs and characteristics of its electric system resources</w:t>
            </w:r>
          </w:p>
          <w:p w14:paraId="16703C78" w14:textId="77777777" w:rsidR="00F67353" w:rsidRDefault="00F67353" w:rsidP="00F67353">
            <w:pPr>
              <w:pStyle w:val="ListParagraph"/>
              <w:numPr>
                <w:ilvl w:val="0"/>
                <w:numId w:val="1"/>
              </w:numPr>
              <w:ind w:left="138" w:hanging="180"/>
            </w:pPr>
            <w:r w:rsidRPr="00C05BD8">
              <w:t>Company agrees to conduct load study</w:t>
            </w:r>
          </w:p>
          <w:p w14:paraId="7049FBB9" w14:textId="75FA60EF" w:rsidR="00C3330A" w:rsidRPr="00C05BD8" w:rsidRDefault="00C3330A" w:rsidP="00C3330A">
            <w:pPr>
              <w:pStyle w:val="ListParagraph"/>
              <w:ind w:left="138"/>
            </w:pPr>
          </w:p>
        </w:tc>
      </w:tr>
      <w:tr w:rsidR="00F67353" w:rsidRPr="00BE0AA1" w14:paraId="4E62C896" w14:textId="77777777" w:rsidTr="00F67353">
        <w:trPr>
          <w:trHeight w:val="1008"/>
        </w:trPr>
        <w:tc>
          <w:tcPr>
            <w:tcW w:w="3103" w:type="dxa"/>
            <w:shd w:val="clear" w:color="auto" w:fill="auto"/>
            <w:vAlign w:val="center"/>
          </w:tcPr>
          <w:p w14:paraId="3F93E08F" w14:textId="1E407E87" w:rsidR="00F67353" w:rsidRPr="00EC6004" w:rsidRDefault="00F67353" w:rsidP="00C01A00">
            <w:pPr>
              <w:rPr>
                <w:highlight w:val="yellow"/>
              </w:rPr>
            </w:pPr>
            <w:r w:rsidRPr="00B44D34">
              <w:t>2005 GRC (UE-050482 &amp; UG-050483)</w:t>
            </w:r>
          </w:p>
        </w:tc>
        <w:tc>
          <w:tcPr>
            <w:tcW w:w="6527" w:type="dxa"/>
            <w:vAlign w:val="center"/>
          </w:tcPr>
          <w:p w14:paraId="5BAF819A" w14:textId="77777777" w:rsidR="00F67353" w:rsidRDefault="00F67353" w:rsidP="00F67353">
            <w:pPr>
              <w:rPr>
                <w:i/>
              </w:rPr>
            </w:pPr>
            <w:r>
              <w:rPr>
                <w:i/>
              </w:rPr>
              <w:t>Multi</w:t>
            </w:r>
            <w:r w:rsidRPr="00BD43CD">
              <w:rPr>
                <w:i/>
              </w:rPr>
              <w:t xml:space="preserve">party Settlement </w:t>
            </w:r>
            <w:r>
              <w:rPr>
                <w:i/>
              </w:rPr>
              <w:t xml:space="preserve">- </w:t>
            </w:r>
            <w:r w:rsidRPr="00D227C1">
              <w:rPr>
                <w:i/>
              </w:rPr>
              <w:t>No changes to cost of service</w:t>
            </w:r>
          </w:p>
          <w:p w14:paraId="6BB3931C" w14:textId="77777777" w:rsidR="00F67353" w:rsidRPr="001475EB" w:rsidRDefault="00F67353" w:rsidP="00F67353">
            <w:pPr>
              <w:rPr>
                <w:highlight w:val="yellow"/>
              </w:rPr>
            </w:pPr>
          </w:p>
        </w:tc>
      </w:tr>
      <w:tr w:rsidR="00F67353" w:rsidRPr="00BE0AA1" w14:paraId="04C52094" w14:textId="77777777" w:rsidTr="00F67353">
        <w:trPr>
          <w:trHeight w:val="1008"/>
        </w:trPr>
        <w:tc>
          <w:tcPr>
            <w:tcW w:w="3103" w:type="dxa"/>
            <w:vAlign w:val="center"/>
          </w:tcPr>
          <w:p w14:paraId="093ECF10" w14:textId="7EA07AD5" w:rsidR="00F67353" w:rsidRDefault="00F67353" w:rsidP="00801380">
            <w:pPr>
              <w:rPr>
                <w:highlight w:val="yellow"/>
              </w:rPr>
            </w:pPr>
            <w:r w:rsidRPr="00801380">
              <w:t>2004 Gas Only GRC (UG-041515)</w:t>
            </w:r>
          </w:p>
        </w:tc>
        <w:tc>
          <w:tcPr>
            <w:tcW w:w="6527" w:type="dxa"/>
            <w:vAlign w:val="center"/>
          </w:tcPr>
          <w:p w14:paraId="499A5787" w14:textId="7BB3E1C1" w:rsidR="00F67353" w:rsidRPr="00EC6004" w:rsidRDefault="00F67353" w:rsidP="00F67353">
            <w:pPr>
              <w:rPr>
                <w:highlight w:val="yellow"/>
              </w:rPr>
            </w:pPr>
            <w:r w:rsidRPr="00EE48FC">
              <w:t xml:space="preserve">   N/A</w:t>
            </w:r>
          </w:p>
        </w:tc>
      </w:tr>
      <w:tr w:rsidR="00F67353" w:rsidRPr="00BE0AA1" w14:paraId="3F526180" w14:textId="77777777" w:rsidTr="00F67353">
        <w:trPr>
          <w:trHeight w:val="1008"/>
        </w:trPr>
        <w:tc>
          <w:tcPr>
            <w:tcW w:w="3103" w:type="dxa"/>
            <w:vAlign w:val="center"/>
          </w:tcPr>
          <w:p w14:paraId="3EB6083F" w14:textId="205510BD" w:rsidR="00F67353" w:rsidRPr="00EC6004" w:rsidRDefault="00F67353" w:rsidP="00C01A00">
            <w:pPr>
              <w:rPr>
                <w:highlight w:val="yellow"/>
              </w:rPr>
            </w:pPr>
            <w:r w:rsidRPr="00A714A5">
              <w:t>2001 Electric Only GRC (UE-011595)</w:t>
            </w:r>
          </w:p>
        </w:tc>
        <w:tc>
          <w:tcPr>
            <w:tcW w:w="6527" w:type="dxa"/>
            <w:vAlign w:val="center"/>
          </w:tcPr>
          <w:p w14:paraId="5F280357" w14:textId="77777777" w:rsidR="00F67353" w:rsidRDefault="00F67353" w:rsidP="00F67353">
            <w:pPr>
              <w:rPr>
                <w:i/>
              </w:rPr>
            </w:pPr>
            <w:r>
              <w:rPr>
                <w:i/>
              </w:rPr>
              <w:t>Multi</w:t>
            </w:r>
            <w:r w:rsidRPr="00BD43CD">
              <w:rPr>
                <w:i/>
              </w:rPr>
              <w:t xml:space="preserve">party Settlement </w:t>
            </w:r>
            <w:r>
              <w:rPr>
                <w:i/>
              </w:rPr>
              <w:t xml:space="preserve">- </w:t>
            </w:r>
            <w:r w:rsidRPr="00D227C1">
              <w:rPr>
                <w:i/>
              </w:rPr>
              <w:t>No changes to cost of service</w:t>
            </w:r>
          </w:p>
          <w:p w14:paraId="15B09A4E" w14:textId="77777777" w:rsidR="00F67353" w:rsidRDefault="00F67353" w:rsidP="00F67353"/>
          <w:p w14:paraId="331C6E50" w14:textId="500F592E" w:rsidR="00F67353" w:rsidRDefault="0039431B" w:rsidP="00F67353">
            <w:pPr>
              <w:pStyle w:val="ListParagraph"/>
              <w:numPr>
                <w:ilvl w:val="0"/>
                <w:numId w:val="1"/>
              </w:numPr>
              <w:ind w:left="138" w:hanging="180"/>
            </w:pPr>
            <w:r>
              <w:t>Company</w:t>
            </w:r>
            <w:r w:rsidR="00F67353">
              <w:t xml:space="preserve"> proposes</w:t>
            </w:r>
            <w:r w:rsidR="00F67353" w:rsidRPr="00520513">
              <w:t xml:space="preserve"> </w:t>
            </w:r>
            <w:r w:rsidR="00F67353">
              <w:t xml:space="preserve">modification of 1999 approach to A&amp;G based on Commission Order.  </w:t>
            </w:r>
          </w:p>
          <w:p w14:paraId="66520C75" w14:textId="681D1A8B" w:rsidR="00F67353" w:rsidRDefault="00F67353" w:rsidP="00F67353">
            <w:pPr>
              <w:pStyle w:val="ListParagraph"/>
              <w:numPr>
                <w:ilvl w:val="1"/>
                <w:numId w:val="1"/>
              </w:numPr>
              <w:ind w:left="389" w:hanging="270"/>
            </w:pPr>
            <w:r>
              <w:t xml:space="preserve">A&amp;G costs which cannot be directly assigned </w:t>
            </w:r>
            <w:r w:rsidR="00235BBF">
              <w:t xml:space="preserve">instead use a </w:t>
            </w:r>
            <w:r>
              <w:t xml:space="preserve"> functional allocators equivalent </w:t>
            </w:r>
            <w:r w:rsidR="00235BBF">
              <w:t xml:space="preserve">to the </w:t>
            </w:r>
            <w:r>
              <w:t>1992 PSE method (UE-920499)</w:t>
            </w:r>
          </w:p>
          <w:p w14:paraId="686725FC" w14:textId="77777777" w:rsidR="00F67353" w:rsidRPr="00EC6004" w:rsidRDefault="00F67353" w:rsidP="00F67353">
            <w:pPr>
              <w:rPr>
                <w:highlight w:val="yellow"/>
              </w:rPr>
            </w:pPr>
          </w:p>
        </w:tc>
      </w:tr>
      <w:tr w:rsidR="00F67353" w:rsidRPr="00BE0AA1" w14:paraId="11A5E7D0" w14:textId="77777777" w:rsidTr="00F67353">
        <w:trPr>
          <w:trHeight w:val="1008"/>
        </w:trPr>
        <w:tc>
          <w:tcPr>
            <w:tcW w:w="3103" w:type="dxa"/>
            <w:shd w:val="clear" w:color="auto" w:fill="auto"/>
            <w:vAlign w:val="center"/>
          </w:tcPr>
          <w:p w14:paraId="567346C3" w14:textId="6D0A4BD2" w:rsidR="00F67353" w:rsidRPr="00EC6004" w:rsidRDefault="00F67353" w:rsidP="00C01A00">
            <w:pPr>
              <w:rPr>
                <w:highlight w:val="yellow"/>
              </w:rPr>
            </w:pPr>
            <w:r w:rsidRPr="00564CC7">
              <w:t>1999 GRC (UE-991606 &amp; UG-991607)</w:t>
            </w:r>
          </w:p>
        </w:tc>
        <w:tc>
          <w:tcPr>
            <w:tcW w:w="6527" w:type="dxa"/>
            <w:vAlign w:val="center"/>
          </w:tcPr>
          <w:p w14:paraId="56531823" w14:textId="09AE6967" w:rsidR="00F67353" w:rsidRDefault="00F67353" w:rsidP="00F67353">
            <w:r>
              <w:rPr>
                <w:i/>
              </w:rPr>
              <w:t>Commission Order</w:t>
            </w:r>
            <w:r w:rsidRPr="00BD43CD">
              <w:rPr>
                <w:i/>
              </w:rPr>
              <w:t xml:space="preserve"> </w:t>
            </w:r>
            <w:r>
              <w:rPr>
                <w:i/>
              </w:rPr>
              <w:t>– Accepts all but the allocation of A&amp;G expenses as proposed by the Company</w:t>
            </w:r>
          </w:p>
          <w:p w14:paraId="4CD1CBC2" w14:textId="77777777" w:rsidR="00F67353" w:rsidRDefault="00F67353" w:rsidP="00F67353"/>
          <w:p w14:paraId="43428F3D" w14:textId="7B0F6E2E" w:rsidR="00F67353" w:rsidRPr="00627191" w:rsidRDefault="0039431B" w:rsidP="00F67353">
            <w:pPr>
              <w:pStyle w:val="ListParagraph"/>
              <w:numPr>
                <w:ilvl w:val="0"/>
                <w:numId w:val="1"/>
              </w:numPr>
              <w:ind w:left="138" w:hanging="180"/>
            </w:pPr>
            <w:r>
              <w:t>Company</w:t>
            </w:r>
            <w:r w:rsidR="00F67353" w:rsidRPr="00520513">
              <w:t xml:space="preserve"> </w:t>
            </w:r>
            <w:r w:rsidR="00F67353">
              <w:t xml:space="preserve">proposes peak credit </w:t>
            </w:r>
            <w:r w:rsidR="00F67353" w:rsidRPr="00627191">
              <w:t xml:space="preserve">methodology similar to 1992 PSE Method.  </w:t>
            </w:r>
          </w:p>
          <w:p w14:paraId="512917C4" w14:textId="63C534C7" w:rsidR="00F67353" w:rsidRDefault="00F67353" w:rsidP="00F67353">
            <w:pPr>
              <w:pStyle w:val="ListParagraph"/>
              <w:numPr>
                <w:ilvl w:val="1"/>
                <w:numId w:val="1"/>
              </w:numPr>
              <w:ind w:left="389" w:hanging="270"/>
            </w:pPr>
            <w:r w:rsidRPr="00627191">
              <w:t>Separately identified peak credit ratios for thermal and hydro plants using replacement cost per kW</w:t>
            </w:r>
          </w:p>
          <w:p w14:paraId="21784592" w14:textId="325831CC" w:rsidR="00F67353" w:rsidRDefault="00F67353" w:rsidP="00F67353">
            <w:pPr>
              <w:pStyle w:val="ListParagraph"/>
              <w:numPr>
                <w:ilvl w:val="1"/>
                <w:numId w:val="1"/>
              </w:numPr>
              <w:ind w:left="389" w:hanging="270"/>
            </w:pPr>
            <w:r>
              <w:t xml:space="preserve">A&amp;G directly assigned </w:t>
            </w:r>
            <w:r w:rsidR="00235BBF">
              <w:t xml:space="preserve">where possible, remaining costs.  This </w:t>
            </w:r>
            <w:r>
              <w:t>allocated 40% on annual en</w:t>
            </w:r>
            <w:r w:rsidR="00235BBF">
              <w:t xml:space="preserve">ergy, 60% on number of customers.  </w:t>
            </w:r>
          </w:p>
          <w:p w14:paraId="7EA9E975" w14:textId="5F8F5E13" w:rsidR="00F67353" w:rsidRDefault="00F67353" w:rsidP="00F67353">
            <w:pPr>
              <w:pStyle w:val="ListParagraph"/>
              <w:numPr>
                <w:ilvl w:val="1"/>
                <w:numId w:val="1"/>
              </w:numPr>
              <w:ind w:left="389" w:hanging="270"/>
            </w:pPr>
            <w:r>
              <w:t>Transmission costs allocated 50% ba</w:t>
            </w:r>
            <w:r w:rsidR="00D76C9B">
              <w:t xml:space="preserve">sed on hydro peak credit ratio &amp; </w:t>
            </w:r>
            <w:r>
              <w:t>50% on thermal plant peak ratio</w:t>
            </w:r>
          </w:p>
          <w:p w14:paraId="38D47DD7" w14:textId="77777777" w:rsidR="00F67353" w:rsidRDefault="00F67353" w:rsidP="00F67353">
            <w:pPr>
              <w:pStyle w:val="ListParagraph"/>
              <w:numPr>
                <w:ilvl w:val="1"/>
                <w:numId w:val="1"/>
              </w:numPr>
              <w:ind w:left="389" w:hanging="270"/>
            </w:pPr>
            <w:r>
              <w:t>Fuel and load dispatch expenses allocated 100% on energy</w:t>
            </w:r>
          </w:p>
          <w:p w14:paraId="4AEC8177" w14:textId="77777777" w:rsidR="00F67353" w:rsidRDefault="00F67353" w:rsidP="00F67353">
            <w:pPr>
              <w:pStyle w:val="ListParagraph"/>
              <w:numPr>
                <w:ilvl w:val="1"/>
                <w:numId w:val="1"/>
              </w:numPr>
              <w:ind w:left="389" w:hanging="270"/>
            </w:pPr>
            <w:r>
              <w:t>Peak plant costs allocated 100% demand</w:t>
            </w:r>
          </w:p>
          <w:p w14:paraId="462EA4F7" w14:textId="77777777" w:rsidR="00F67353" w:rsidRDefault="00F67353" w:rsidP="00F67353">
            <w:pPr>
              <w:pStyle w:val="ListParagraph"/>
              <w:numPr>
                <w:ilvl w:val="1"/>
                <w:numId w:val="1"/>
              </w:numPr>
              <w:ind w:left="389" w:hanging="270"/>
            </w:pPr>
            <w:r>
              <w:t>Purchased Power and Other Power Supply allocated in proportion to production plant</w:t>
            </w:r>
          </w:p>
          <w:p w14:paraId="6F88A8B6" w14:textId="77777777" w:rsidR="00F67353" w:rsidRDefault="00F67353" w:rsidP="00F67353"/>
          <w:p w14:paraId="6ACC869B" w14:textId="4A5333C0" w:rsidR="00F67353" w:rsidRDefault="0039431B" w:rsidP="00F67353">
            <w:pPr>
              <w:pStyle w:val="ListParagraph"/>
              <w:numPr>
                <w:ilvl w:val="0"/>
                <w:numId w:val="1"/>
              </w:numPr>
              <w:ind w:left="138" w:hanging="180"/>
            </w:pPr>
            <w:r>
              <w:t>Company</w:t>
            </w:r>
            <w:r w:rsidR="00F67353">
              <w:t xml:space="preserve"> applie</w:t>
            </w:r>
            <w:r w:rsidR="00D76C9B">
              <w:t>d</w:t>
            </w:r>
            <w:r w:rsidR="00F67353">
              <w:t xml:space="preserve"> basic customer classification for distribution facilities</w:t>
            </w:r>
          </w:p>
          <w:p w14:paraId="6EAA151A" w14:textId="78BDA9F6" w:rsidR="00C3330A" w:rsidRPr="00223560" w:rsidRDefault="00C3330A" w:rsidP="00C3330A">
            <w:pPr>
              <w:pStyle w:val="ListParagraph"/>
              <w:ind w:left="138"/>
            </w:pPr>
          </w:p>
        </w:tc>
      </w:tr>
    </w:tbl>
    <w:p w14:paraId="7288E4D9" w14:textId="77777777" w:rsidR="001D6416" w:rsidRPr="00BE0AA1" w:rsidRDefault="001D6416" w:rsidP="00763803"/>
    <w:sectPr w:rsidR="001D6416" w:rsidRPr="00BE0AA1" w:rsidSect="001C5AB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73ADF" w14:textId="77777777" w:rsidR="00404412" w:rsidRDefault="00404412" w:rsidP="009C668C">
      <w:r>
        <w:separator/>
      </w:r>
    </w:p>
  </w:endnote>
  <w:endnote w:type="continuationSeparator" w:id="0">
    <w:p w14:paraId="5F4E65DC" w14:textId="77777777" w:rsidR="00404412" w:rsidRDefault="00404412" w:rsidP="009C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6169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1FB3271" w14:textId="77777777" w:rsidR="00AE0548" w:rsidRDefault="00AE0548" w:rsidP="00AE0548">
        <w:pPr>
          <w:pStyle w:val="Footer"/>
          <w:jc w:val="right"/>
          <w:rPr>
            <w:sz w:val="20"/>
            <w:szCs w:val="20"/>
          </w:rPr>
        </w:pPr>
        <w:r w:rsidRPr="0082256F">
          <w:rPr>
            <w:sz w:val="20"/>
            <w:szCs w:val="20"/>
          </w:rPr>
          <w:t xml:space="preserve">Page </w:t>
        </w:r>
        <w:r w:rsidRPr="0082256F">
          <w:rPr>
            <w:bCs/>
            <w:sz w:val="20"/>
            <w:szCs w:val="20"/>
          </w:rPr>
          <w:fldChar w:fldCharType="begin"/>
        </w:r>
        <w:r w:rsidRPr="0082256F">
          <w:rPr>
            <w:bCs/>
            <w:sz w:val="20"/>
            <w:szCs w:val="20"/>
          </w:rPr>
          <w:instrText xml:space="preserve"> PAGE </w:instrText>
        </w:r>
        <w:r w:rsidRPr="0082256F">
          <w:rPr>
            <w:bCs/>
            <w:sz w:val="20"/>
            <w:szCs w:val="20"/>
          </w:rPr>
          <w:fldChar w:fldCharType="separate"/>
        </w:r>
        <w:r w:rsidR="00112DD6">
          <w:rPr>
            <w:bCs/>
            <w:noProof/>
            <w:sz w:val="20"/>
            <w:szCs w:val="20"/>
          </w:rPr>
          <w:t>2</w:t>
        </w:r>
        <w:r w:rsidRPr="0082256F">
          <w:rPr>
            <w:bCs/>
            <w:sz w:val="20"/>
            <w:szCs w:val="20"/>
          </w:rPr>
          <w:fldChar w:fldCharType="end"/>
        </w:r>
        <w:r w:rsidRPr="0082256F">
          <w:rPr>
            <w:sz w:val="20"/>
            <w:szCs w:val="20"/>
          </w:rPr>
          <w:t xml:space="preserve"> of </w:t>
        </w:r>
        <w:r w:rsidRPr="0082256F">
          <w:rPr>
            <w:bCs/>
            <w:sz w:val="20"/>
            <w:szCs w:val="20"/>
          </w:rPr>
          <w:fldChar w:fldCharType="begin"/>
        </w:r>
        <w:r w:rsidRPr="0082256F">
          <w:rPr>
            <w:bCs/>
            <w:sz w:val="20"/>
            <w:szCs w:val="20"/>
          </w:rPr>
          <w:instrText xml:space="preserve"> NUMPAGES  </w:instrText>
        </w:r>
        <w:r w:rsidRPr="0082256F">
          <w:rPr>
            <w:bCs/>
            <w:sz w:val="20"/>
            <w:szCs w:val="20"/>
          </w:rPr>
          <w:fldChar w:fldCharType="separate"/>
        </w:r>
        <w:r w:rsidR="00112DD6">
          <w:rPr>
            <w:bCs/>
            <w:noProof/>
            <w:sz w:val="20"/>
            <w:szCs w:val="20"/>
          </w:rPr>
          <w:t>2</w:t>
        </w:r>
        <w:r w:rsidRPr="0082256F">
          <w:rPr>
            <w:bCs/>
            <w:sz w:val="20"/>
            <w:szCs w:val="20"/>
          </w:rPr>
          <w:fldChar w:fldCharType="end"/>
        </w:r>
      </w:p>
    </w:sdtContent>
  </w:sdt>
  <w:p w14:paraId="4D3914E6" w14:textId="77777777" w:rsidR="00AE0548" w:rsidRDefault="00AE05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FC647" w14:textId="77777777" w:rsidR="00404412" w:rsidRDefault="00404412" w:rsidP="009C668C">
      <w:r>
        <w:separator/>
      </w:r>
    </w:p>
  </w:footnote>
  <w:footnote w:type="continuationSeparator" w:id="0">
    <w:p w14:paraId="6129FFDB" w14:textId="77777777" w:rsidR="00404412" w:rsidRDefault="00404412" w:rsidP="009C6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E728C"/>
    <w:multiLevelType w:val="hybridMultilevel"/>
    <w:tmpl w:val="E57EB05E"/>
    <w:lvl w:ilvl="0" w:tplc="92263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8408EB"/>
    <w:multiLevelType w:val="hybridMultilevel"/>
    <w:tmpl w:val="B47C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36271"/>
    <w:multiLevelType w:val="hybridMultilevel"/>
    <w:tmpl w:val="EE4C6F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8EE46B9A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B0409E"/>
    <w:multiLevelType w:val="hybridMultilevel"/>
    <w:tmpl w:val="57F0F4E6"/>
    <w:lvl w:ilvl="0" w:tplc="A5ECF2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6F"/>
    <w:rsid w:val="00004F46"/>
    <w:rsid w:val="0000614B"/>
    <w:rsid w:val="00010641"/>
    <w:rsid w:val="00016CFF"/>
    <w:rsid w:val="000247AF"/>
    <w:rsid w:val="00026F33"/>
    <w:rsid w:val="000301BD"/>
    <w:rsid w:val="000424B9"/>
    <w:rsid w:val="000519A8"/>
    <w:rsid w:val="00054188"/>
    <w:rsid w:val="0007364D"/>
    <w:rsid w:val="000858C2"/>
    <w:rsid w:val="0009064B"/>
    <w:rsid w:val="000912D4"/>
    <w:rsid w:val="00096CE8"/>
    <w:rsid w:val="000B11A8"/>
    <w:rsid w:val="000B22C0"/>
    <w:rsid w:val="000B54DC"/>
    <w:rsid w:val="000B5C2B"/>
    <w:rsid w:val="000B6F08"/>
    <w:rsid w:val="000C2C35"/>
    <w:rsid w:val="000C58D4"/>
    <w:rsid w:val="000E0209"/>
    <w:rsid w:val="000E640C"/>
    <w:rsid w:val="000F004F"/>
    <w:rsid w:val="00105600"/>
    <w:rsid w:val="0010661C"/>
    <w:rsid w:val="00112DD6"/>
    <w:rsid w:val="0011425E"/>
    <w:rsid w:val="00115AC0"/>
    <w:rsid w:val="00121F4B"/>
    <w:rsid w:val="0013062C"/>
    <w:rsid w:val="001319D6"/>
    <w:rsid w:val="00141B71"/>
    <w:rsid w:val="001475EB"/>
    <w:rsid w:val="00151FE2"/>
    <w:rsid w:val="001547E1"/>
    <w:rsid w:val="001664D0"/>
    <w:rsid w:val="00181EEC"/>
    <w:rsid w:val="00182BDB"/>
    <w:rsid w:val="00183E53"/>
    <w:rsid w:val="00191102"/>
    <w:rsid w:val="00197AC7"/>
    <w:rsid w:val="001B2422"/>
    <w:rsid w:val="001B3897"/>
    <w:rsid w:val="001C0B46"/>
    <w:rsid w:val="001C5883"/>
    <w:rsid w:val="001C5AB1"/>
    <w:rsid w:val="001D6416"/>
    <w:rsid w:val="001E1B8C"/>
    <w:rsid w:val="001E1BAC"/>
    <w:rsid w:val="001E1D7A"/>
    <w:rsid w:val="001E3529"/>
    <w:rsid w:val="001E4BCB"/>
    <w:rsid w:val="001E4D5B"/>
    <w:rsid w:val="001E5A52"/>
    <w:rsid w:val="001E72DB"/>
    <w:rsid w:val="001F10C3"/>
    <w:rsid w:val="001F2EF7"/>
    <w:rsid w:val="00200594"/>
    <w:rsid w:val="002063E4"/>
    <w:rsid w:val="0021253A"/>
    <w:rsid w:val="00216862"/>
    <w:rsid w:val="00223560"/>
    <w:rsid w:val="002278A7"/>
    <w:rsid w:val="00231F54"/>
    <w:rsid w:val="00234DB2"/>
    <w:rsid w:val="002355D4"/>
    <w:rsid w:val="00235BBF"/>
    <w:rsid w:val="00240438"/>
    <w:rsid w:val="00240958"/>
    <w:rsid w:val="00252A4D"/>
    <w:rsid w:val="00255DF9"/>
    <w:rsid w:val="00263323"/>
    <w:rsid w:val="00264108"/>
    <w:rsid w:val="00275B07"/>
    <w:rsid w:val="002770C7"/>
    <w:rsid w:val="00291ECC"/>
    <w:rsid w:val="00292E17"/>
    <w:rsid w:val="002967C2"/>
    <w:rsid w:val="002A0384"/>
    <w:rsid w:val="002A1F88"/>
    <w:rsid w:val="002A72B8"/>
    <w:rsid w:val="002B03F8"/>
    <w:rsid w:val="002B0643"/>
    <w:rsid w:val="002B32E7"/>
    <w:rsid w:val="002B348F"/>
    <w:rsid w:val="002C039A"/>
    <w:rsid w:val="002C2EED"/>
    <w:rsid w:val="002C394A"/>
    <w:rsid w:val="002C4ABF"/>
    <w:rsid w:val="002C6773"/>
    <w:rsid w:val="002C7841"/>
    <w:rsid w:val="002E31A6"/>
    <w:rsid w:val="002E7670"/>
    <w:rsid w:val="00301CE3"/>
    <w:rsid w:val="00302F16"/>
    <w:rsid w:val="003046E3"/>
    <w:rsid w:val="00311891"/>
    <w:rsid w:val="003118BC"/>
    <w:rsid w:val="0031281B"/>
    <w:rsid w:val="00314664"/>
    <w:rsid w:val="00315FFF"/>
    <w:rsid w:val="00317AF0"/>
    <w:rsid w:val="00322B56"/>
    <w:rsid w:val="00323E28"/>
    <w:rsid w:val="003274DB"/>
    <w:rsid w:val="003323C2"/>
    <w:rsid w:val="00337838"/>
    <w:rsid w:val="00343517"/>
    <w:rsid w:val="00347971"/>
    <w:rsid w:val="003560A1"/>
    <w:rsid w:val="00366EA4"/>
    <w:rsid w:val="003712BF"/>
    <w:rsid w:val="00374119"/>
    <w:rsid w:val="003778D6"/>
    <w:rsid w:val="0038507F"/>
    <w:rsid w:val="00391043"/>
    <w:rsid w:val="00392241"/>
    <w:rsid w:val="0039431B"/>
    <w:rsid w:val="003A1E0C"/>
    <w:rsid w:val="003A6961"/>
    <w:rsid w:val="003A78EA"/>
    <w:rsid w:val="003C3BE0"/>
    <w:rsid w:val="003D03A5"/>
    <w:rsid w:val="003E1272"/>
    <w:rsid w:val="003E458F"/>
    <w:rsid w:val="003F55B6"/>
    <w:rsid w:val="003F740A"/>
    <w:rsid w:val="00404412"/>
    <w:rsid w:val="00404A75"/>
    <w:rsid w:val="00413507"/>
    <w:rsid w:val="00415D46"/>
    <w:rsid w:val="00420C1B"/>
    <w:rsid w:val="00421270"/>
    <w:rsid w:val="00421DE0"/>
    <w:rsid w:val="004328F0"/>
    <w:rsid w:val="0044102D"/>
    <w:rsid w:val="0044422F"/>
    <w:rsid w:val="00444CA8"/>
    <w:rsid w:val="00446024"/>
    <w:rsid w:val="00446922"/>
    <w:rsid w:val="00455AE1"/>
    <w:rsid w:val="00464B5C"/>
    <w:rsid w:val="00466185"/>
    <w:rsid w:val="00470518"/>
    <w:rsid w:val="00472958"/>
    <w:rsid w:val="00472BBE"/>
    <w:rsid w:val="00476639"/>
    <w:rsid w:val="00485FA3"/>
    <w:rsid w:val="00491EE0"/>
    <w:rsid w:val="004A1715"/>
    <w:rsid w:val="004A2ACA"/>
    <w:rsid w:val="004A2F39"/>
    <w:rsid w:val="004B5B46"/>
    <w:rsid w:val="004D1616"/>
    <w:rsid w:val="004F2775"/>
    <w:rsid w:val="004F2C57"/>
    <w:rsid w:val="00501E46"/>
    <w:rsid w:val="00502843"/>
    <w:rsid w:val="0050727D"/>
    <w:rsid w:val="005203E4"/>
    <w:rsid w:val="00520513"/>
    <w:rsid w:val="00530188"/>
    <w:rsid w:val="005401C2"/>
    <w:rsid w:val="00547B23"/>
    <w:rsid w:val="00552600"/>
    <w:rsid w:val="00563B89"/>
    <w:rsid w:val="00564CC7"/>
    <w:rsid w:val="0057023A"/>
    <w:rsid w:val="00570FC9"/>
    <w:rsid w:val="0058346F"/>
    <w:rsid w:val="00584658"/>
    <w:rsid w:val="00585583"/>
    <w:rsid w:val="00591A1D"/>
    <w:rsid w:val="00593898"/>
    <w:rsid w:val="00594829"/>
    <w:rsid w:val="00596533"/>
    <w:rsid w:val="005969A0"/>
    <w:rsid w:val="005A0687"/>
    <w:rsid w:val="005A0920"/>
    <w:rsid w:val="005A2C08"/>
    <w:rsid w:val="005A6C74"/>
    <w:rsid w:val="005B37B2"/>
    <w:rsid w:val="005B391A"/>
    <w:rsid w:val="005B5F2D"/>
    <w:rsid w:val="005B63C7"/>
    <w:rsid w:val="005C667A"/>
    <w:rsid w:val="005C69B2"/>
    <w:rsid w:val="005D14BD"/>
    <w:rsid w:val="005D2D69"/>
    <w:rsid w:val="005D508D"/>
    <w:rsid w:val="005F1478"/>
    <w:rsid w:val="005F7434"/>
    <w:rsid w:val="0061021E"/>
    <w:rsid w:val="006157BF"/>
    <w:rsid w:val="00615CF1"/>
    <w:rsid w:val="0061749A"/>
    <w:rsid w:val="006206E5"/>
    <w:rsid w:val="00622BC7"/>
    <w:rsid w:val="00623F1D"/>
    <w:rsid w:val="00627191"/>
    <w:rsid w:val="00635A53"/>
    <w:rsid w:val="00641213"/>
    <w:rsid w:val="00655734"/>
    <w:rsid w:val="00664C97"/>
    <w:rsid w:val="00672F7B"/>
    <w:rsid w:val="00674F04"/>
    <w:rsid w:val="00681FBF"/>
    <w:rsid w:val="006872F2"/>
    <w:rsid w:val="00695E4A"/>
    <w:rsid w:val="006A361B"/>
    <w:rsid w:val="006A41EE"/>
    <w:rsid w:val="006B0E31"/>
    <w:rsid w:val="006B5DD3"/>
    <w:rsid w:val="006B7F5C"/>
    <w:rsid w:val="006C29FA"/>
    <w:rsid w:val="006C41D6"/>
    <w:rsid w:val="006D00E3"/>
    <w:rsid w:val="006D08A7"/>
    <w:rsid w:val="006D10AE"/>
    <w:rsid w:val="006D3E6B"/>
    <w:rsid w:val="006D413C"/>
    <w:rsid w:val="006E15A1"/>
    <w:rsid w:val="006F12FA"/>
    <w:rsid w:val="006F248E"/>
    <w:rsid w:val="006F2C71"/>
    <w:rsid w:val="006F7E55"/>
    <w:rsid w:val="0070187A"/>
    <w:rsid w:val="0070227E"/>
    <w:rsid w:val="00702DB9"/>
    <w:rsid w:val="00707B92"/>
    <w:rsid w:val="00710A27"/>
    <w:rsid w:val="0071169F"/>
    <w:rsid w:val="00713F49"/>
    <w:rsid w:val="0071727A"/>
    <w:rsid w:val="00730245"/>
    <w:rsid w:val="00732A15"/>
    <w:rsid w:val="00751D4F"/>
    <w:rsid w:val="00751FB5"/>
    <w:rsid w:val="00757F63"/>
    <w:rsid w:val="00763803"/>
    <w:rsid w:val="0076505C"/>
    <w:rsid w:val="0076583E"/>
    <w:rsid w:val="00774529"/>
    <w:rsid w:val="00781BC2"/>
    <w:rsid w:val="00786E3F"/>
    <w:rsid w:val="00793870"/>
    <w:rsid w:val="007A00CF"/>
    <w:rsid w:val="007A5EA7"/>
    <w:rsid w:val="007B1851"/>
    <w:rsid w:val="007B7DD6"/>
    <w:rsid w:val="007C14C9"/>
    <w:rsid w:val="007D235C"/>
    <w:rsid w:val="007E66A0"/>
    <w:rsid w:val="007E7004"/>
    <w:rsid w:val="007F0E1F"/>
    <w:rsid w:val="007F739D"/>
    <w:rsid w:val="00801380"/>
    <w:rsid w:val="008078FB"/>
    <w:rsid w:val="00814278"/>
    <w:rsid w:val="00822FB8"/>
    <w:rsid w:val="00824CEC"/>
    <w:rsid w:val="0083417E"/>
    <w:rsid w:val="00843104"/>
    <w:rsid w:val="00845500"/>
    <w:rsid w:val="00846390"/>
    <w:rsid w:val="0084761D"/>
    <w:rsid w:val="00855A9F"/>
    <w:rsid w:val="008613BA"/>
    <w:rsid w:val="00871710"/>
    <w:rsid w:val="00872348"/>
    <w:rsid w:val="00874918"/>
    <w:rsid w:val="00886222"/>
    <w:rsid w:val="00887EE1"/>
    <w:rsid w:val="0089249F"/>
    <w:rsid w:val="008A48B6"/>
    <w:rsid w:val="008B2389"/>
    <w:rsid w:val="008B30F4"/>
    <w:rsid w:val="008B54D5"/>
    <w:rsid w:val="008B6ABD"/>
    <w:rsid w:val="008B7759"/>
    <w:rsid w:val="008C0EC8"/>
    <w:rsid w:val="008C1BDA"/>
    <w:rsid w:val="008C5822"/>
    <w:rsid w:val="008D1C14"/>
    <w:rsid w:val="008D47AD"/>
    <w:rsid w:val="008D6CB4"/>
    <w:rsid w:val="008F3D59"/>
    <w:rsid w:val="00904CF5"/>
    <w:rsid w:val="00904E05"/>
    <w:rsid w:val="00906E79"/>
    <w:rsid w:val="009075A3"/>
    <w:rsid w:val="0091191E"/>
    <w:rsid w:val="00920D96"/>
    <w:rsid w:val="009226F2"/>
    <w:rsid w:val="00932F54"/>
    <w:rsid w:val="00934004"/>
    <w:rsid w:val="0095278C"/>
    <w:rsid w:val="00961BDC"/>
    <w:rsid w:val="00964C42"/>
    <w:rsid w:val="00971611"/>
    <w:rsid w:val="00976135"/>
    <w:rsid w:val="00985CFF"/>
    <w:rsid w:val="00986F9F"/>
    <w:rsid w:val="009941AB"/>
    <w:rsid w:val="009962A6"/>
    <w:rsid w:val="009A3CC4"/>
    <w:rsid w:val="009A6B84"/>
    <w:rsid w:val="009C0D0D"/>
    <w:rsid w:val="009C2A1C"/>
    <w:rsid w:val="009C668C"/>
    <w:rsid w:val="009C7EDB"/>
    <w:rsid w:val="009D2C3B"/>
    <w:rsid w:val="009E192C"/>
    <w:rsid w:val="009F0615"/>
    <w:rsid w:val="00A02613"/>
    <w:rsid w:val="00A03171"/>
    <w:rsid w:val="00A03D44"/>
    <w:rsid w:val="00A21DB6"/>
    <w:rsid w:val="00A233B1"/>
    <w:rsid w:val="00A27CE5"/>
    <w:rsid w:val="00A34828"/>
    <w:rsid w:val="00A51C44"/>
    <w:rsid w:val="00A52DAA"/>
    <w:rsid w:val="00A627A4"/>
    <w:rsid w:val="00A6496C"/>
    <w:rsid w:val="00A701B1"/>
    <w:rsid w:val="00A714A5"/>
    <w:rsid w:val="00A75AB5"/>
    <w:rsid w:val="00A82C51"/>
    <w:rsid w:val="00A84C2A"/>
    <w:rsid w:val="00A86E7D"/>
    <w:rsid w:val="00A93452"/>
    <w:rsid w:val="00A963FD"/>
    <w:rsid w:val="00AB392E"/>
    <w:rsid w:val="00AB64EB"/>
    <w:rsid w:val="00AB7A74"/>
    <w:rsid w:val="00AC67B5"/>
    <w:rsid w:val="00AD3312"/>
    <w:rsid w:val="00AE00E8"/>
    <w:rsid w:val="00AE0548"/>
    <w:rsid w:val="00AE18F6"/>
    <w:rsid w:val="00AE273E"/>
    <w:rsid w:val="00AF4A21"/>
    <w:rsid w:val="00B02F37"/>
    <w:rsid w:val="00B110E9"/>
    <w:rsid w:val="00B13041"/>
    <w:rsid w:val="00B21B2A"/>
    <w:rsid w:val="00B315E1"/>
    <w:rsid w:val="00B33E86"/>
    <w:rsid w:val="00B36718"/>
    <w:rsid w:val="00B44D34"/>
    <w:rsid w:val="00B55C96"/>
    <w:rsid w:val="00B570DA"/>
    <w:rsid w:val="00B63DF5"/>
    <w:rsid w:val="00B81D63"/>
    <w:rsid w:val="00B87FA3"/>
    <w:rsid w:val="00B9777D"/>
    <w:rsid w:val="00BA542C"/>
    <w:rsid w:val="00BB66F8"/>
    <w:rsid w:val="00BB6745"/>
    <w:rsid w:val="00BB7B92"/>
    <w:rsid w:val="00BC4F23"/>
    <w:rsid w:val="00BD339E"/>
    <w:rsid w:val="00BD43CD"/>
    <w:rsid w:val="00BE0AA1"/>
    <w:rsid w:val="00BE2F05"/>
    <w:rsid w:val="00BE2F26"/>
    <w:rsid w:val="00BE3759"/>
    <w:rsid w:val="00BE6632"/>
    <w:rsid w:val="00C01A00"/>
    <w:rsid w:val="00C04C0F"/>
    <w:rsid w:val="00C05BD8"/>
    <w:rsid w:val="00C3330A"/>
    <w:rsid w:val="00C40741"/>
    <w:rsid w:val="00C5068A"/>
    <w:rsid w:val="00C521C1"/>
    <w:rsid w:val="00C55994"/>
    <w:rsid w:val="00C55D7F"/>
    <w:rsid w:val="00C561C5"/>
    <w:rsid w:val="00C622F9"/>
    <w:rsid w:val="00C64614"/>
    <w:rsid w:val="00C66ACD"/>
    <w:rsid w:val="00C90E44"/>
    <w:rsid w:val="00C922C5"/>
    <w:rsid w:val="00C9250A"/>
    <w:rsid w:val="00C951C8"/>
    <w:rsid w:val="00CA001C"/>
    <w:rsid w:val="00CB72C3"/>
    <w:rsid w:val="00CD3894"/>
    <w:rsid w:val="00CF0AF7"/>
    <w:rsid w:val="00CF78B1"/>
    <w:rsid w:val="00CF7D3A"/>
    <w:rsid w:val="00D20AD5"/>
    <w:rsid w:val="00D227C1"/>
    <w:rsid w:val="00D24692"/>
    <w:rsid w:val="00D263A8"/>
    <w:rsid w:val="00D32072"/>
    <w:rsid w:val="00D34D0C"/>
    <w:rsid w:val="00D36898"/>
    <w:rsid w:val="00D36C9F"/>
    <w:rsid w:val="00D42041"/>
    <w:rsid w:val="00D46D8F"/>
    <w:rsid w:val="00D50E33"/>
    <w:rsid w:val="00D50F6B"/>
    <w:rsid w:val="00D51A4F"/>
    <w:rsid w:val="00D5356A"/>
    <w:rsid w:val="00D57B29"/>
    <w:rsid w:val="00D60178"/>
    <w:rsid w:val="00D70F1F"/>
    <w:rsid w:val="00D76C9B"/>
    <w:rsid w:val="00D77AF5"/>
    <w:rsid w:val="00D84AA7"/>
    <w:rsid w:val="00D93301"/>
    <w:rsid w:val="00DA1B86"/>
    <w:rsid w:val="00DA48FC"/>
    <w:rsid w:val="00DB0677"/>
    <w:rsid w:val="00DB0E15"/>
    <w:rsid w:val="00DB31A8"/>
    <w:rsid w:val="00DC3F96"/>
    <w:rsid w:val="00DC58C8"/>
    <w:rsid w:val="00DD2A47"/>
    <w:rsid w:val="00DD4433"/>
    <w:rsid w:val="00DD512A"/>
    <w:rsid w:val="00DE2A94"/>
    <w:rsid w:val="00DE2FD9"/>
    <w:rsid w:val="00DE6758"/>
    <w:rsid w:val="00DF7502"/>
    <w:rsid w:val="00E00C5D"/>
    <w:rsid w:val="00E00E75"/>
    <w:rsid w:val="00E1156F"/>
    <w:rsid w:val="00E222FD"/>
    <w:rsid w:val="00E24607"/>
    <w:rsid w:val="00E32077"/>
    <w:rsid w:val="00E343EC"/>
    <w:rsid w:val="00E641DC"/>
    <w:rsid w:val="00E71C50"/>
    <w:rsid w:val="00E72C64"/>
    <w:rsid w:val="00E75137"/>
    <w:rsid w:val="00E775EB"/>
    <w:rsid w:val="00E92419"/>
    <w:rsid w:val="00E93A05"/>
    <w:rsid w:val="00E9432C"/>
    <w:rsid w:val="00E966AB"/>
    <w:rsid w:val="00E97D18"/>
    <w:rsid w:val="00EA12F4"/>
    <w:rsid w:val="00EA62C4"/>
    <w:rsid w:val="00EB2BDC"/>
    <w:rsid w:val="00EB30F4"/>
    <w:rsid w:val="00EC28C9"/>
    <w:rsid w:val="00EC5D8D"/>
    <w:rsid w:val="00EC6004"/>
    <w:rsid w:val="00EC7A1B"/>
    <w:rsid w:val="00EC7A8B"/>
    <w:rsid w:val="00ED7955"/>
    <w:rsid w:val="00EE48FC"/>
    <w:rsid w:val="00EF44EC"/>
    <w:rsid w:val="00EF60FD"/>
    <w:rsid w:val="00F03A27"/>
    <w:rsid w:val="00F07AD8"/>
    <w:rsid w:val="00F07DF0"/>
    <w:rsid w:val="00F15BA7"/>
    <w:rsid w:val="00F21B68"/>
    <w:rsid w:val="00F26CD7"/>
    <w:rsid w:val="00F37DDA"/>
    <w:rsid w:val="00F50804"/>
    <w:rsid w:val="00F5315A"/>
    <w:rsid w:val="00F555C1"/>
    <w:rsid w:val="00F6693F"/>
    <w:rsid w:val="00F67353"/>
    <w:rsid w:val="00F73003"/>
    <w:rsid w:val="00F9137C"/>
    <w:rsid w:val="00FA006E"/>
    <w:rsid w:val="00FA4D26"/>
    <w:rsid w:val="00FB5C8C"/>
    <w:rsid w:val="00FD016C"/>
    <w:rsid w:val="00FD7FDF"/>
    <w:rsid w:val="00FE06E2"/>
    <w:rsid w:val="00FE3E5B"/>
    <w:rsid w:val="00FE7519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37C8E"/>
  <w15:chartTrackingRefBased/>
  <w15:docId w15:val="{C6447C3D-803D-4A5A-8FBF-F80A6BD5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68C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D6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83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044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4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441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04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4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4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4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4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4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54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5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C61E7120A6E844987769BD5AE4235A1" ma:contentTypeVersion="104" ma:contentTypeDescription="" ma:contentTypeScope="" ma:versionID="8ddd6be1c619f9ad5a8d32551dcc50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Closed</CaseStatus>
    <OpenedDate xmlns="dc463f71-b30c-4ab2-9473-d307f9d35888">2017-01-03T08:00:00+00:00</OpenedDate>
    <SignificantOrder xmlns="dc463f71-b30c-4ab2-9473-d307f9d35888">false</SignificantOrder>
    <Date1 xmlns="dc463f71-b30c-4ab2-9473-d307f9d35888">2018-03-05T08:00:00+00:00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170002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D15204E-2B7F-4C09-A44A-0E5EFA284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3568C1-F9FD-486F-93A1-3DD9FE3AFD3A}"/>
</file>

<file path=customXml/itemProps3.xml><?xml version="1.0" encoding="utf-8"?>
<ds:datastoreItem xmlns:ds="http://schemas.openxmlformats.org/officeDocument/2006/customXml" ds:itemID="{D1E1E386-CC45-4477-86C8-88E1FB1A98F5}"/>
</file>

<file path=customXml/itemProps4.xml><?xml version="1.0" encoding="utf-8"?>
<ds:datastoreItem xmlns:ds="http://schemas.openxmlformats.org/officeDocument/2006/customXml" ds:itemID="{9DCFBE58-DF4F-4C0D-B6B9-A26AB22311A2}"/>
</file>

<file path=customXml/itemProps5.xml><?xml version="1.0" encoding="utf-8"?>
<ds:datastoreItem xmlns:ds="http://schemas.openxmlformats.org/officeDocument/2006/customXml" ds:itemID="{7FBD2C88-B0D5-4FC2-95B4-E3A28D4655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Ball, Jason (UTC)</dc:creator>
  <cp:keywords/>
  <dc:description/>
  <cp:lastModifiedBy>Huey, Lorilyn (UTC)</cp:lastModifiedBy>
  <cp:revision>2</cp:revision>
  <dcterms:created xsi:type="dcterms:W3CDTF">2018-03-05T17:46:00Z</dcterms:created>
  <dcterms:modified xsi:type="dcterms:W3CDTF">2018-03-05T17:46:00Z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0x0101006E56B4D1795A2E4DB2F0B01679ED314A002C61E7120A6E844987769BD5AE4235A1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