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D3CBA" w14:textId="77777777" w:rsidR="005A43A6" w:rsidRPr="0068556F" w:rsidRDefault="00BD163D" w:rsidP="0068556F">
      <w:pPr>
        <w:spacing w:before="2" w:after="0"/>
        <w:ind w:left="720" w:right="180"/>
      </w:pPr>
      <w:r w:rsidRPr="0068556F">
        <w:rPr>
          <w:noProof/>
          <w:sz w:val="22"/>
          <w:szCs w:val="22"/>
        </w:rPr>
        <mc:AlternateContent>
          <mc:Choice Requires="wpg">
            <w:drawing>
              <wp:anchor distT="0" distB="0" distL="114300" distR="114300" simplePos="0" relativeHeight="251684351" behindDoc="1" locked="0" layoutInCell="1" allowOverlap="1" wp14:anchorId="57464218" wp14:editId="3D627C38">
                <wp:simplePos x="0" y="0"/>
                <wp:positionH relativeFrom="page">
                  <wp:posOffset>474980</wp:posOffset>
                </wp:positionH>
                <wp:positionV relativeFrom="page">
                  <wp:posOffset>474980</wp:posOffset>
                </wp:positionV>
                <wp:extent cx="6863080" cy="9196705"/>
                <wp:effectExtent l="0" t="0" r="13970" b="4445"/>
                <wp:wrapNone/>
                <wp:docPr id="4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080" cy="9196705"/>
                          <a:chOff x="752" y="752"/>
                          <a:chExt cx="10808" cy="14483"/>
                        </a:xfrm>
                      </wpg:grpSpPr>
                      <wpg:grpSp>
                        <wpg:cNvPr id="456" name="Group 3"/>
                        <wpg:cNvGrpSpPr>
                          <a:grpSpLocks/>
                        </wpg:cNvGrpSpPr>
                        <wpg:grpSpPr bwMode="auto">
                          <a:xfrm>
                            <a:off x="936" y="936"/>
                            <a:ext cx="10434" cy="14124"/>
                            <a:chOff x="936" y="936"/>
                            <a:chExt cx="10434" cy="14124"/>
                          </a:xfrm>
                        </wpg:grpSpPr>
                        <wps:wsp>
                          <wps:cNvPr id="458" name="Freeform 4"/>
                          <wps:cNvSpPr>
                            <a:spLocks/>
                          </wps:cNvSpPr>
                          <wps:spPr bwMode="auto">
                            <a:xfrm>
                              <a:off x="936" y="936"/>
                              <a:ext cx="10434" cy="14124"/>
                            </a:xfrm>
                            <a:custGeom>
                              <a:avLst/>
                              <a:gdLst>
                                <a:gd name="T0" fmla="+- 0 936 936"/>
                                <a:gd name="T1" fmla="*/ T0 w 10434"/>
                                <a:gd name="T2" fmla="+- 0 15060 936"/>
                                <a:gd name="T3" fmla="*/ 15060 h 14124"/>
                                <a:gd name="T4" fmla="+- 0 11370 936"/>
                                <a:gd name="T5" fmla="*/ T4 w 10434"/>
                                <a:gd name="T6" fmla="+- 0 15060 936"/>
                                <a:gd name="T7" fmla="*/ 15060 h 14124"/>
                                <a:gd name="T8" fmla="+- 0 11370 936"/>
                                <a:gd name="T9" fmla="*/ T8 w 10434"/>
                                <a:gd name="T10" fmla="+- 0 936 936"/>
                                <a:gd name="T11" fmla="*/ 936 h 14124"/>
                                <a:gd name="T12" fmla="+- 0 936 936"/>
                                <a:gd name="T13" fmla="*/ T12 w 10434"/>
                                <a:gd name="T14" fmla="+- 0 936 936"/>
                                <a:gd name="T15" fmla="*/ 936 h 14124"/>
                                <a:gd name="T16" fmla="+- 0 936 936"/>
                                <a:gd name="T17" fmla="*/ T16 w 10434"/>
                                <a:gd name="T18" fmla="+- 0 15060 936"/>
                                <a:gd name="T19" fmla="*/ 15060 h 14124"/>
                              </a:gdLst>
                              <a:ahLst/>
                              <a:cxnLst>
                                <a:cxn ang="0">
                                  <a:pos x="T1" y="T3"/>
                                </a:cxn>
                                <a:cxn ang="0">
                                  <a:pos x="T5" y="T7"/>
                                </a:cxn>
                                <a:cxn ang="0">
                                  <a:pos x="T9" y="T11"/>
                                </a:cxn>
                                <a:cxn ang="0">
                                  <a:pos x="T13" y="T15"/>
                                </a:cxn>
                                <a:cxn ang="0">
                                  <a:pos x="T17" y="T19"/>
                                </a:cxn>
                              </a:cxnLst>
                              <a:rect l="0" t="0" r="r" b="b"/>
                              <a:pathLst>
                                <a:path w="10434" h="14124">
                                  <a:moveTo>
                                    <a:pt x="0" y="14124"/>
                                  </a:moveTo>
                                  <a:lnTo>
                                    <a:pt x="10434" y="14124"/>
                                  </a:lnTo>
                                  <a:lnTo>
                                    <a:pt x="10434" y="0"/>
                                  </a:lnTo>
                                  <a:lnTo>
                                    <a:pt x="0" y="0"/>
                                  </a:lnTo>
                                  <a:lnTo>
                                    <a:pt x="0" y="14124"/>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5"/>
                        <wpg:cNvGrpSpPr>
                          <a:grpSpLocks/>
                        </wpg:cNvGrpSpPr>
                        <wpg:grpSpPr bwMode="auto">
                          <a:xfrm>
                            <a:off x="792" y="792"/>
                            <a:ext cx="10728" cy="14403"/>
                            <a:chOff x="792" y="792"/>
                            <a:chExt cx="10728" cy="14403"/>
                          </a:xfrm>
                        </wpg:grpSpPr>
                        <wps:wsp>
                          <wps:cNvPr id="460" name="Freeform 6"/>
                          <wps:cNvSpPr>
                            <a:spLocks/>
                          </wps:cNvSpPr>
                          <wps:spPr bwMode="auto">
                            <a:xfrm>
                              <a:off x="792" y="792"/>
                              <a:ext cx="10728" cy="14403"/>
                            </a:xfrm>
                            <a:custGeom>
                              <a:avLst/>
                              <a:gdLst>
                                <a:gd name="T0" fmla="+- 0 792 792"/>
                                <a:gd name="T1" fmla="*/ T0 w 10728"/>
                                <a:gd name="T2" fmla="+- 0 15195 792"/>
                                <a:gd name="T3" fmla="*/ 15195 h 14403"/>
                                <a:gd name="T4" fmla="+- 0 11520 792"/>
                                <a:gd name="T5" fmla="*/ T4 w 10728"/>
                                <a:gd name="T6" fmla="+- 0 15195 792"/>
                                <a:gd name="T7" fmla="*/ 15195 h 14403"/>
                                <a:gd name="T8" fmla="+- 0 11520 792"/>
                                <a:gd name="T9" fmla="*/ T8 w 10728"/>
                                <a:gd name="T10" fmla="+- 0 792 792"/>
                                <a:gd name="T11" fmla="*/ 792 h 14403"/>
                                <a:gd name="T12" fmla="+- 0 792 792"/>
                                <a:gd name="T13" fmla="*/ T12 w 10728"/>
                                <a:gd name="T14" fmla="+- 0 792 792"/>
                                <a:gd name="T15" fmla="*/ 792 h 14403"/>
                                <a:gd name="T16" fmla="+- 0 792 792"/>
                                <a:gd name="T17" fmla="*/ T16 w 10728"/>
                                <a:gd name="T18" fmla="+- 0 15195 792"/>
                                <a:gd name="T19" fmla="*/ 15195 h 14403"/>
                              </a:gdLst>
                              <a:ahLst/>
                              <a:cxnLst>
                                <a:cxn ang="0">
                                  <a:pos x="T1" y="T3"/>
                                </a:cxn>
                                <a:cxn ang="0">
                                  <a:pos x="T5" y="T7"/>
                                </a:cxn>
                                <a:cxn ang="0">
                                  <a:pos x="T9" y="T11"/>
                                </a:cxn>
                                <a:cxn ang="0">
                                  <a:pos x="T13" y="T15"/>
                                </a:cxn>
                                <a:cxn ang="0">
                                  <a:pos x="T17" y="T19"/>
                                </a:cxn>
                              </a:cxnLst>
                              <a:rect l="0" t="0" r="r" b="b"/>
                              <a:pathLst>
                                <a:path w="10728" h="14403">
                                  <a:moveTo>
                                    <a:pt x="0" y="14403"/>
                                  </a:moveTo>
                                  <a:lnTo>
                                    <a:pt x="10728" y="14403"/>
                                  </a:lnTo>
                                  <a:lnTo>
                                    <a:pt x="10728" y="0"/>
                                  </a:lnTo>
                                  <a:lnTo>
                                    <a:pt x="0" y="0"/>
                                  </a:lnTo>
                                  <a:lnTo>
                                    <a:pt x="0" y="14403"/>
                                  </a:lnTo>
                                  <a:close/>
                                </a:path>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1"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059" y="2138"/>
                              <a:ext cx="8355" cy="343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058B9A0C" id="Group 2" o:spid="_x0000_s1026" style="position:absolute;margin-left:37.4pt;margin-top:37.4pt;width:540.4pt;height:724.15pt;z-index:-251632129;mso-position-horizontal-relative:page;mso-position-vertical-relative:page" coordorigin="752,752" coordsize="10808,144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C/jh+1NfwfHvTr3w9P52i+GJ3tvJVvkvGPyzk47EfKp/2c175+1n8ZP8A&#10;hVfw7ktLC48vxBrSvbWpX78UeP3k3/AQQB7sK/NmvpcqwamnWqLTZfqflHGWeTw84YLDStJNSk10&#10;trFfq/kfsL4X8R2Pi/w/Y61pk32jT7+BLiCTGNysMjI7H1FbNfEv7Cnxk+zzz/D3VLgiKVnudKaR&#10;vuv1khH1++P+Bf3q+2q8XFYd4aq6b+Xofe5PmUM1wcMTHfZrs1uv1XkFFFFch7Q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">
                <v:group id="Group 3" o:spid="_x0000_s1027" style="position:absolute;left:936;top:936;width:10434;height:14124" coordorigin="936,936" coordsize="10434,14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4" o:spid="_x0000_s1028" style="position:absolute;left:936;top:936;width:10434;height:14124;visibility:visible;mso-wrap-style:square;v-text-anchor:top" coordsize="10434,1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QesMA&#10;AADcAAAADwAAAGRycy9kb3ducmV2LnhtbERPy2qDQBTdF/IPwy10E+poaEIxmUgaCHVRaF7g9uLc&#10;qNS5Y50x2r/vLApdHs57k02mFXfqXWNZQRLFIIhLqxuuFFwvh+dXEM4ja2wtk4IfcpBtZw8bTLUd&#10;+UT3s69ECGGXooLa+y6V0pU1GXSR7YgDd7O9QR9gX0nd4xjCTSsXcbySBhsODTV2tK+p/DoPRsH3&#10;x+fxmlxyVxTkFnN8G95PNCj19Djt1iA8Tf5f/OfOtYKXZVgbzo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QesMAAADcAAAADwAAAAAAAAAAAAAAAACYAgAAZHJzL2Rv&#10;d25yZXYueG1sUEsFBgAAAAAEAAQA9QAAAIgDAAAAAA==&#10;" path="m,14124r10434,l10434,,,,,14124xe" filled="f" strokeweight="2pt">
                    <v:path arrowok="t" o:connecttype="custom" o:connectlocs="0,15060;10434,15060;10434,936;0,936;0,15060" o:connectangles="0,0,0,0,0"/>
                  </v:shape>
                </v:group>
                <v:group id="Group 5" o:spid="_x0000_s1029" style="position:absolute;left:792;top:792;width:10728;height:14403" coordorigin="792,792" coordsize="10728,144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6" o:spid="_x0000_s1030" style="position:absolute;left:792;top:792;width:10728;height:14403;visibility:visible;mso-wrap-style:square;v-text-anchor:top" coordsize="10728,14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uocMA&#10;AADcAAAADwAAAGRycy9kb3ducmV2LnhtbERP3WrCMBS+F/YO4Qx2N9ONTWdtKmWguAvRVR/g0Bzb&#10;suSkNNHWPf1yMfDy4/vPVqM14kq9bx0reJkmIIgrp1uuFZyO6+cPED4gazSOScGNPKzyh0mGqXYD&#10;f9O1DLWIIexTVNCE0KVS+qohi37qOuLInV1vMUTY11L3OMRwa+RrksykxZZjQ4MdfTZU/ZQXq2B3&#10;MH5Xufmm2Ay/2uzL98Wp+FLq6XEsliACjeEu/ndvtYK3WZwfz8Qj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uocMAAADcAAAADwAAAAAAAAAAAAAAAACYAgAAZHJzL2Rv&#10;d25yZXYueG1sUEsFBgAAAAAEAAQA9QAAAIgDAAAAAA==&#10;" path="m,14403r10728,l10728,,,,,14403xe" filled="f" strokeweight="4pt">
                    <v:path arrowok="t" o:connecttype="custom" o:connectlocs="0,15195;10728,15195;10728,792;0,792;0,151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2059;top:2138;width:8355;height:3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LLYXIAAAA3AAAAA8AAABkcnMvZG93bnJldi54bWxEj0FrwkAUhO9C/8PyCl6KbrRFJbqKiC0W&#10;C9W0CN6e2dckNPs2ZFcT/31XKHgcZuYbZrZoTSkuVLvCsoJBPwJBnFpdcKbg++u1NwHhPLLG0jIp&#10;uJKDxfyhM8NY24b3dEl8JgKEXYwKcu+rWEqX5mTQ9W1FHLwfWxv0QdaZ1DU2AW5KOYyikTRYcFjI&#10;saJVTulvcjYKPndPzWo7+Ri/ydN5eNisq+T5/ahU97FdTkF4av09/N/eaAUvowHczoQjIOd/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eiy2FyAAAANwAAAAPAAAAAAAAAAAA&#10;AAAAAJ8CAABkcnMvZG93bnJldi54bWxQSwUGAAAAAAQABAD3AAAAlAMAAAAA&#10;">
                    <v:imagedata r:id="rId15" o:title=""/>
                  </v:shape>
                </v:group>
                <w10:wrap anchorx="page" anchory="page"/>
              </v:group>
            </w:pict>
          </mc:Fallback>
        </mc:AlternateContent>
      </w:r>
    </w:p>
    <w:p w14:paraId="64DF6ABC" w14:textId="77777777" w:rsidR="005A43A6" w:rsidRPr="0068556F" w:rsidRDefault="005A43A6" w:rsidP="0068556F">
      <w:pPr>
        <w:spacing w:before="3" w:after="0"/>
        <w:ind w:right="180"/>
        <w:rPr>
          <w:sz w:val="19"/>
          <w:szCs w:val="19"/>
        </w:rPr>
      </w:pPr>
    </w:p>
    <w:p w14:paraId="6A0E8CDB" w14:textId="77777777" w:rsidR="005A43A6" w:rsidRPr="0068556F" w:rsidRDefault="005A43A6" w:rsidP="0068556F">
      <w:pPr>
        <w:spacing w:after="0"/>
        <w:ind w:right="180"/>
        <w:rPr>
          <w:sz w:val="20"/>
          <w:szCs w:val="20"/>
        </w:rPr>
      </w:pPr>
    </w:p>
    <w:p w14:paraId="4B3E903D" w14:textId="77777777" w:rsidR="005A43A6" w:rsidRPr="0068556F" w:rsidRDefault="005A43A6" w:rsidP="0068556F">
      <w:pPr>
        <w:spacing w:after="0"/>
        <w:ind w:right="180"/>
        <w:rPr>
          <w:sz w:val="20"/>
          <w:szCs w:val="20"/>
        </w:rPr>
      </w:pPr>
    </w:p>
    <w:p w14:paraId="3A305677" w14:textId="77777777" w:rsidR="005A43A6" w:rsidRPr="0068556F" w:rsidRDefault="005A43A6" w:rsidP="0068556F">
      <w:pPr>
        <w:spacing w:after="0"/>
        <w:ind w:right="180"/>
        <w:rPr>
          <w:sz w:val="20"/>
          <w:szCs w:val="20"/>
        </w:rPr>
      </w:pPr>
    </w:p>
    <w:p w14:paraId="6B71F90E" w14:textId="77777777" w:rsidR="005A43A6" w:rsidRPr="0068556F" w:rsidRDefault="005A43A6" w:rsidP="0068556F">
      <w:pPr>
        <w:spacing w:after="0"/>
        <w:ind w:right="180"/>
        <w:rPr>
          <w:sz w:val="20"/>
          <w:szCs w:val="20"/>
        </w:rPr>
      </w:pPr>
    </w:p>
    <w:p w14:paraId="0E6C8886" w14:textId="77777777" w:rsidR="005A43A6" w:rsidRPr="0068556F" w:rsidRDefault="005A43A6" w:rsidP="0068556F">
      <w:pPr>
        <w:spacing w:after="0"/>
        <w:ind w:right="180"/>
        <w:rPr>
          <w:sz w:val="20"/>
          <w:szCs w:val="20"/>
        </w:rPr>
      </w:pPr>
    </w:p>
    <w:p w14:paraId="74BE28A9" w14:textId="77777777" w:rsidR="005A43A6" w:rsidRPr="0068556F" w:rsidRDefault="005A43A6" w:rsidP="0068556F">
      <w:pPr>
        <w:spacing w:after="0"/>
        <w:ind w:right="180"/>
        <w:rPr>
          <w:sz w:val="20"/>
          <w:szCs w:val="20"/>
        </w:rPr>
      </w:pPr>
    </w:p>
    <w:p w14:paraId="3E2ACD23" w14:textId="77777777" w:rsidR="005A43A6" w:rsidRPr="0068556F" w:rsidRDefault="005A43A6" w:rsidP="0068556F">
      <w:pPr>
        <w:spacing w:after="0"/>
        <w:ind w:right="180"/>
        <w:rPr>
          <w:sz w:val="20"/>
          <w:szCs w:val="20"/>
        </w:rPr>
      </w:pPr>
    </w:p>
    <w:p w14:paraId="0B0C875E" w14:textId="77777777" w:rsidR="005A43A6" w:rsidRPr="0068556F" w:rsidRDefault="005A43A6" w:rsidP="0068556F">
      <w:pPr>
        <w:spacing w:after="0"/>
        <w:ind w:right="180"/>
        <w:rPr>
          <w:sz w:val="20"/>
          <w:szCs w:val="20"/>
        </w:rPr>
      </w:pPr>
    </w:p>
    <w:p w14:paraId="7AB1D7D8" w14:textId="77777777" w:rsidR="005A43A6" w:rsidRPr="0068556F" w:rsidRDefault="005A43A6" w:rsidP="0068556F">
      <w:pPr>
        <w:spacing w:after="0"/>
        <w:ind w:right="180"/>
        <w:rPr>
          <w:sz w:val="20"/>
          <w:szCs w:val="20"/>
        </w:rPr>
      </w:pPr>
    </w:p>
    <w:p w14:paraId="13B26A3D" w14:textId="77777777" w:rsidR="005A43A6" w:rsidRPr="0068556F" w:rsidRDefault="005A43A6" w:rsidP="0068556F">
      <w:pPr>
        <w:spacing w:after="0"/>
        <w:ind w:right="180"/>
        <w:rPr>
          <w:sz w:val="20"/>
          <w:szCs w:val="20"/>
        </w:rPr>
      </w:pPr>
    </w:p>
    <w:p w14:paraId="3EA267DF" w14:textId="77777777" w:rsidR="005A43A6" w:rsidRPr="0068556F" w:rsidRDefault="005A43A6" w:rsidP="0068556F">
      <w:pPr>
        <w:spacing w:after="0"/>
        <w:ind w:right="180"/>
        <w:rPr>
          <w:sz w:val="20"/>
          <w:szCs w:val="20"/>
        </w:rPr>
      </w:pPr>
    </w:p>
    <w:p w14:paraId="7777BB50" w14:textId="77777777" w:rsidR="005A43A6" w:rsidRPr="0068556F" w:rsidRDefault="005A43A6" w:rsidP="0068556F">
      <w:pPr>
        <w:spacing w:after="0"/>
        <w:ind w:right="180"/>
        <w:rPr>
          <w:sz w:val="20"/>
          <w:szCs w:val="20"/>
        </w:rPr>
      </w:pPr>
    </w:p>
    <w:p w14:paraId="4759DC15" w14:textId="77777777" w:rsidR="005A43A6" w:rsidRPr="0068556F" w:rsidRDefault="005A43A6" w:rsidP="0068556F">
      <w:pPr>
        <w:spacing w:after="0"/>
        <w:ind w:right="180"/>
        <w:rPr>
          <w:sz w:val="20"/>
          <w:szCs w:val="20"/>
        </w:rPr>
      </w:pPr>
    </w:p>
    <w:p w14:paraId="5D5CDA62" w14:textId="77777777" w:rsidR="005A43A6" w:rsidRPr="0068556F" w:rsidRDefault="005A43A6" w:rsidP="0068556F">
      <w:pPr>
        <w:spacing w:after="0"/>
        <w:ind w:right="180"/>
        <w:rPr>
          <w:sz w:val="20"/>
          <w:szCs w:val="20"/>
        </w:rPr>
      </w:pPr>
    </w:p>
    <w:p w14:paraId="4E32C9C0" w14:textId="77777777" w:rsidR="005A43A6" w:rsidRPr="0068556F" w:rsidRDefault="005A43A6" w:rsidP="0068556F">
      <w:pPr>
        <w:spacing w:after="0"/>
        <w:ind w:right="180"/>
        <w:rPr>
          <w:sz w:val="20"/>
          <w:szCs w:val="20"/>
        </w:rPr>
      </w:pPr>
    </w:p>
    <w:p w14:paraId="0D72B706" w14:textId="77777777" w:rsidR="005A43A6" w:rsidRPr="0068556F" w:rsidRDefault="005A43A6" w:rsidP="0068556F">
      <w:pPr>
        <w:spacing w:after="0"/>
        <w:ind w:right="180"/>
        <w:rPr>
          <w:sz w:val="20"/>
          <w:szCs w:val="20"/>
        </w:rPr>
      </w:pPr>
    </w:p>
    <w:p w14:paraId="04E426B8" w14:textId="77777777" w:rsidR="005A43A6" w:rsidRPr="0068556F" w:rsidRDefault="005A43A6" w:rsidP="0068556F">
      <w:pPr>
        <w:spacing w:after="0"/>
        <w:ind w:right="180"/>
        <w:rPr>
          <w:sz w:val="20"/>
          <w:szCs w:val="20"/>
        </w:rPr>
      </w:pPr>
    </w:p>
    <w:p w14:paraId="3FAE0389" w14:textId="77777777" w:rsidR="005A43A6" w:rsidRPr="0068556F" w:rsidRDefault="005A43A6" w:rsidP="0068556F">
      <w:pPr>
        <w:spacing w:after="0"/>
        <w:ind w:right="180"/>
        <w:rPr>
          <w:sz w:val="20"/>
          <w:szCs w:val="20"/>
        </w:rPr>
      </w:pPr>
    </w:p>
    <w:p w14:paraId="11CA7C6F" w14:textId="77777777" w:rsidR="005A43A6" w:rsidRPr="0068556F" w:rsidRDefault="005A43A6" w:rsidP="0068556F">
      <w:pPr>
        <w:spacing w:after="0"/>
        <w:ind w:right="180"/>
        <w:rPr>
          <w:sz w:val="20"/>
          <w:szCs w:val="20"/>
        </w:rPr>
      </w:pPr>
    </w:p>
    <w:p w14:paraId="201463C0" w14:textId="77777777" w:rsidR="005A43A6" w:rsidRPr="0068556F" w:rsidRDefault="005A43A6" w:rsidP="0068556F">
      <w:pPr>
        <w:spacing w:after="0"/>
        <w:ind w:right="180"/>
        <w:rPr>
          <w:sz w:val="20"/>
          <w:szCs w:val="20"/>
        </w:rPr>
      </w:pPr>
    </w:p>
    <w:p w14:paraId="494383C8" w14:textId="77777777" w:rsidR="005A43A6" w:rsidRDefault="005A43A6" w:rsidP="0068556F">
      <w:pPr>
        <w:spacing w:after="0"/>
        <w:ind w:right="180"/>
        <w:rPr>
          <w:sz w:val="20"/>
          <w:szCs w:val="20"/>
        </w:rPr>
      </w:pPr>
    </w:p>
    <w:p w14:paraId="3E2370FD" w14:textId="77777777" w:rsidR="0068556F" w:rsidRDefault="0068556F" w:rsidP="0068556F">
      <w:pPr>
        <w:spacing w:after="0"/>
        <w:ind w:right="180"/>
        <w:rPr>
          <w:sz w:val="20"/>
          <w:szCs w:val="20"/>
        </w:rPr>
      </w:pPr>
    </w:p>
    <w:p w14:paraId="70B271E0" w14:textId="77777777" w:rsidR="005A43A6" w:rsidRPr="0068556F" w:rsidRDefault="00BD163D" w:rsidP="0068556F">
      <w:pPr>
        <w:spacing w:after="0"/>
        <w:ind w:right="-10"/>
        <w:jc w:val="center"/>
        <w:rPr>
          <w:rFonts w:eastAsia="Arial"/>
          <w:b/>
          <w:bCs/>
          <w:spacing w:val="1"/>
          <w:w w:val="99"/>
          <w:position w:val="-1"/>
          <w:sz w:val="72"/>
          <w:szCs w:val="52"/>
        </w:rPr>
      </w:pPr>
      <w:r w:rsidRPr="0068556F">
        <w:rPr>
          <w:noProof/>
          <w:sz w:val="20"/>
          <w:szCs w:val="20"/>
        </w:rPr>
        <w:drawing>
          <wp:anchor distT="0" distB="0" distL="114300" distR="114300" simplePos="0" relativeHeight="251686399" behindDoc="1" locked="0" layoutInCell="1" allowOverlap="1" wp14:anchorId="06444099" wp14:editId="036ECF4E">
            <wp:simplePos x="0" y="0"/>
            <wp:positionH relativeFrom="margin">
              <wp:posOffset>3786505</wp:posOffset>
            </wp:positionH>
            <wp:positionV relativeFrom="margin">
              <wp:posOffset>4219575</wp:posOffset>
            </wp:positionV>
            <wp:extent cx="2564765" cy="3585845"/>
            <wp:effectExtent l="0" t="0" r="6985" b="0"/>
            <wp:wrapTight wrapText="bothSides">
              <wp:wrapPolygon edited="1">
                <wp:start x="3899" y="1345"/>
                <wp:lineTo x="1580" y="19607"/>
                <wp:lineTo x="19784" y="20319"/>
                <wp:lineTo x="19152" y="1978"/>
                <wp:lineTo x="3899" y="1345"/>
              </wp:wrapPolygon>
            </wp:wrapTight>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17486422Medium[1].jpg"/>
                    <pic:cNvPicPr/>
                  </pic:nvPicPr>
                  <pic:blipFill rotWithShape="1">
                    <a:blip r:embed="rId16" cstate="print">
                      <a:extLst>
                        <a:ext uri="{28A0092B-C50C-407E-A947-70E740481C1C}">
                          <a14:useLocalDpi xmlns:a14="http://schemas.microsoft.com/office/drawing/2010/main" val="0"/>
                        </a:ext>
                      </a:extLst>
                    </a:blip>
                    <a:srcRect l="7730" t="6087" r="8787" b="6374"/>
                    <a:stretch/>
                  </pic:blipFill>
                  <pic:spPr bwMode="auto">
                    <a:xfrm>
                      <a:off x="0" y="0"/>
                      <a:ext cx="2564765" cy="3585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C781A9" w14:textId="77777777" w:rsidR="00BD163D" w:rsidRPr="0068556F" w:rsidRDefault="00BD163D" w:rsidP="0068556F">
      <w:pPr>
        <w:spacing w:after="0"/>
        <w:ind w:right="-10"/>
        <w:jc w:val="center"/>
        <w:rPr>
          <w:rFonts w:eastAsia="Arial"/>
          <w:b/>
          <w:bCs/>
          <w:spacing w:val="1"/>
          <w:w w:val="99"/>
          <w:position w:val="-1"/>
          <w:sz w:val="72"/>
          <w:szCs w:val="52"/>
        </w:rPr>
      </w:pPr>
    </w:p>
    <w:p w14:paraId="68C5D76E" w14:textId="77777777" w:rsidR="00BD163D" w:rsidRPr="0068556F" w:rsidRDefault="00BD163D" w:rsidP="0068556F">
      <w:pPr>
        <w:spacing w:after="0"/>
        <w:ind w:right="-10"/>
        <w:jc w:val="center"/>
        <w:rPr>
          <w:rFonts w:eastAsia="Arial"/>
          <w:b/>
          <w:bCs/>
          <w:spacing w:val="1"/>
          <w:w w:val="99"/>
          <w:position w:val="-1"/>
          <w:sz w:val="72"/>
          <w:szCs w:val="52"/>
        </w:rPr>
      </w:pPr>
    </w:p>
    <w:p w14:paraId="08E68928" w14:textId="77777777" w:rsidR="00BD163D" w:rsidRPr="0068556F" w:rsidRDefault="00BD163D" w:rsidP="0068556F">
      <w:pPr>
        <w:spacing w:after="0"/>
        <w:ind w:right="-10"/>
        <w:rPr>
          <w:rFonts w:eastAsia="Arial"/>
          <w:b/>
          <w:bCs/>
          <w:spacing w:val="1"/>
          <w:w w:val="99"/>
          <w:position w:val="-1"/>
          <w:sz w:val="72"/>
          <w:szCs w:val="52"/>
        </w:rPr>
      </w:pPr>
      <w:r w:rsidRPr="0068556F">
        <w:rPr>
          <w:rFonts w:eastAsia="Arial"/>
          <w:b/>
          <w:bCs/>
          <w:spacing w:val="1"/>
          <w:w w:val="99"/>
          <w:position w:val="-1"/>
          <w:sz w:val="72"/>
          <w:szCs w:val="52"/>
        </w:rPr>
        <w:t>201</w:t>
      </w:r>
      <w:r w:rsidR="009F02AE">
        <w:rPr>
          <w:rFonts w:eastAsia="Arial"/>
          <w:b/>
          <w:bCs/>
          <w:spacing w:val="1"/>
          <w:w w:val="99"/>
          <w:position w:val="-1"/>
          <w:sz w:val="72"/>
          <w:szCs w:val="52"/>
        </w:rPr>
        <w:t>7</w:t>
      </w:r>
    </w:p>
    <w:p w14:paraId="0F28701E" w14:textId="77777777" w:rsidR="005A43A6" w:rsidRPr="0068556F" w:rsidRDefault="00BC6D55" w:rsidP="0068556F">
      <w:pPr>
        <w:spacing w:after="0"/>
        <w:ind w:right="-10"/>
        <w:rPr>
          <w:rFonts w:eastAsia="Arial"/>
          <w:b/>
          <w:bCs/>
          <w:w w:val="99"/>
          <w:position w:val="-1"/>
          <w:sz w:val="64"/>
          <w:szCs w:val="64"/>
        </w:rPr>
      </w:pPr>
      <w:r w:rsidRPr="0068556F">
        <w:rPr>
          <w:rFonts w:eastAsia="Arial"/>
          <w:b/>
          <w:bCs/>
          <w:spacing w:val="-1"/>
          <w:position w:val="-1"/>
          <w:sz w:val="64"/>
          <w:szCs w:val="64"/>
        </w:rPr>
        <w:t xml:space="preserve">Washington </w:t>
      </w:r>
      <w:r w:rsidRPr="0068556F">
        <w:rPr>
          <w:rFonts w:eastAsia="Arial"/>
          <w:b/>
          <w:bCs/>
          <w:spacing w:val="-1"/>
          <w:position w:val="-1"/>
          <w:sz w:val="64"/>
          <w:szCs w:val="64"/>
        </w:rPr>
        <w:br/>
      </w:r>
      <w:r w:rsidR="00A813B9" w:rsidRPr="0068556F">
        <w:rPr>
          <w:rFonts w:eastAsia="Arial"/>
          <w:b/>
          <w:bCs/>
          <w:spacing w:val="-1"/>
          <w:position w:val="-1"/>
          <w:sz w:val="64"/>
          <w:szCs w:val="64"/>
        </w:rPr>
        <w:lastRenderedPageBreak/>
        <w:t>Conservation Plan</w:t>
      </w:r>
    </w:p>
    <w:p w14:paraId="1D61E54C" w14:textId="77777777" w:rsidR="00815C10" w:rsidRPr="0068556F" w:rsidRDefault="00815C10" w:rsidP="0068556F">
      <w:pPr>
        <w:spacing w:before="1" w:after="0"/>
        <w:ind w:right="-10"/>
        <w:rPr>
          <w:sz w:val="10"/>
          <w:szCs w:val="10"/>
        </w:rPr>
      </w:pPr>
    </w:p>
    <w:p w14:paraId="4FA66981" w14:textId="77777777" w:rsidR="00815C10" w:rsidRPr="0068556F" w:rsidRDefault="00815C10" w:rsidP="0068556F">
      <w:pPr>
        <w:spacing w:after="0"/>
        <w:ind w:right="-10"/>
        <w:rPr>
          <w:sz w:val="20"/>
          <w:szCs w:val="20"/>
        </w:rPr>
      </w:pPr>
    </w:p>
    <w:p w14:paraId="3E2A4BFC" w14:textId="77777777" w:rsidR="00815C10" w:rsidRPr="0068556F" w:rsidRDefault="00815C10" w:rsidP="0068556F">
      <w:pPr>
        <w:spacing w:after="0"/>
        <w:ind w:right="180"/>
        <w:rPr>
          <w:sz w:val="20"/>
          <w:szCs w:val="20"/>
        </w:rPr>
      </w:pPr>
    </w:p>
    <w:p w14:paraId="77B1DF61" w14:textId="77777777" w:rsidR="00BC6D55" w:rsidRPr="0068556F" w:rsidRDefault="00BC6D55" w:rsidP="0068556F">
      <w:pPr>
        <w:widowControl/>
        <w:spacing w:after="0"/>
        <w:rPr>
          <w:sz w:val="20"/>
          <w:szCs w:val="20"/>
        </w:rPr>
      </w:pPr>
      <w:r w:rsidRPr="0068556F">
        <w:rPr>
          <w:sz w:val="20"/>
          <w:szCs w:val="20"/>
        </w:rPr>
        <w:br w:type="page"/>
      </w:r>
    </w:p>
    <w:p w14:paraId="7DD38E76" w14:textId="77777777" w:rsidR="00CD3911" w:rsidRPr="00881D8B" w:rsidRDefault="0003068E" w:rsidP="008F61E0">
      <w:pPr>
        <w:pStyle w:val="TOC1"/>
        <w:spacing w:line="276" w:lineRule="auto"/>
        <w:jc w:val="center"/>
        <w:rPr>
          <w:rFonts w:ascii="Arial" w:eastAsia="Arial" w:hAnsi="Arial" w:cs="Arial"/>
          <w:b/>
          <w:bCs/>
          <w:spacing w:val="-3"/>
          <w:sz w:val="28"/>
        </w:rPr>
      </w:pPr>
      <w:r w:rsidRPr="00881D8B">
        <w:rPr>
          <w:rFonts w:ascii="Arial" w:eastAsia="Arial" w:hAnsi="Arial" w:cs="Arial"/>
          <w:b/>
          <w:bCs/>
          <w:spacing w:val="-3"/>
          <w:sz w:val="28"/>
        </w:rPr>
        <w:lastRenderedPageBreak/>
        <w:t>Table of Contents</w:t>
      </w:r>
    </w:p>
    <w:p w14:paraId="418CAEEB" w14:textId="77777777" w:rsidR="008A44B8" w:rsidRPr="008A44B8" w:rsidRDefault="000A4974" w:rsidP="008A44B8">
      <w:pPr>
        <w:pStyle w:val="TOC1"/>
        <w:tabs>
          <w:tab w:val="clear" w:pos="9360"/>
          <w:tab w:val="right" w:leader="dot" w:pos="9630"/>
        </w:tabs>
        <w:spacing w:before="0"/>
        <w:ind w:right="-14"/>
        <w:contextualSpacing/>
        <w:rPr>
          <w:rFonts w:ascii="Arial" w:eastAsiaTheme="minorEastAsia" w:hAnsi="Arial" w:cs="Arial"/>
          <w:noProof/>
          <w:sz w:val="22"/>
          <w:szCs w:val="22"/>
        </w:rPr>
      </w:pPr>
      <w:r w:rsidRPr="008A44B8">
        <w:rPr>
          <w:rFonts w:ascii="Arial" w:eastAsia="Arial" w:hAnsi="Arial" w:cs="Arial"/>
          <w:b/>
          <w:bCs/>
          <w:spacing w:val="-3"/>
          <w:szCs w:val="24"/>
        </w:rPr>
        <w:fldChar w:fldCharType="begin"/>
      </w:r>
      <w:r w:rsidRPr="008A44B8">
        <w:rPr>
          <w:rFonts w:ascii="Arial" w:eastAsia="Arial" w:hAnsi="Arial" w:cs="Arial"/>
          <w:b/>
          <w:bCs/>
          <w:spacing w:val="-3"/>
          <w:szCs w:val="24"/>
        </w:rPr>
        <w:instrText xml:space="preserve"> TOC \o "1-3" \h \z \u </w:instrText>
      </w:r>
      <w:r w:rsidRPr="008A44B8">
        <w:rPr>
          <w:rFonts w:ascii="Arial" w:eastAsia="Arial" w:hAnsi="Arial" w:cs="Arial"/>
          <w:b/>
          <w:bCs/>
          <w:spacing w:val="-3"/>
          <w:szCs w:val="24"/>
        </w:rPr>
        <w:fldChar w:fldCharType="separate"/>
      </w:r>
      <w:hyperlink w:anchor="_Toc465678010" w:history="1">
        <w:r w:rsidR="008A44B8" w:rsidRPr="008A44B8">
          <w:rPr>
            <w:rStyle w:val="Hyperlink"/>
            <w:rFonts w:ascii="Arial" w:hAnsi="Arial" w:cs="Arial"/>
            <w:noProof/>
          </w:rPr>
          <w:t>Introduction</w:t>
        </w:r>
        <w:r w:rsidR="008A44B8" w:rsidRPr="008A44B8">
          <w:rPr>
            <w:rFonts w:ascii="Arial" w:hAnsi="Arial" w:cs="Arial"/>
            <w:noProof/>
            <w:webHidden/>
          </w:rPr>
          <w:tab/>
        </w:r>
        <w:r w:rsidR="008A44B8" w:rsidRPr="008A44B8">
          <w:rPr>
            <w:rFonts w:ascii="Arial" w:hAnsi="Arial" w:cs="Arial"/>
            <w:noProof/>
            <w:webHidden/>
          </w:rPr>
          <w:fldChar w:fldCharType="begin"/>
        </w:r>
        <w:r w:rsidR="008A44B8" w:rsidRPr="008A44B8">
          <w:rPr>
            <w:rFonts w:ascii="Arial" w:hAnsi="Arial" w:cs="Arial"/>
            <w:noProof/>
            <w:webHidden/>
          </w:rPr>
          <w:instrText xml:space="preserve"> PAGEREF _Toc465678010 \h </w:instrText>
        </w:r>
        <w:r w:rsidR="008A44B8" w:rsidRPr="008A44B8">
          <w:rPr>
            <w:rFonts w:ascii="Arial" w:hAnsi="Arial" w:cs="Arial"/>
            <w:noProof/>
            <w:webHidden/>
          </w:rPr>
        </w:r>
        <w:r w:rsidR="008A44B8" w:rsidRPr="008A44B8">
          <w:rPr>
            <w:rFonts w:ascii="Arial" w:hAnsi="Arial" w:cs="Arial"/>
            <w:noProof/>
            <w:webHidden/>
          </w:rPr>
          <w:fldChar w:fldCharType="separate"/>
        </w:r>
        <w:r w:rsidR="002F75E4">
          <w:rPr>
            <w:rFonts w:ascii="Arial" w:hAnsi="Arial" w:cs="Arial"/>
            <w:noProof/>
            <w:webHidden/>
          </w:rPr>
          <w:t>3</w:t>
        </w:r>
        <w:r w:rsidR="008A44B8" w:rsidRPr="008A44B8">
          <w:rPr>
            <w:rFonts w:ascii="Arial" w:hAnsi="Arial" w:cs="Arial"/>
            <w:noProof/>
            <w:webHidden/>
          </w:rPr>
          <w:fldChar w:fldCharType="end"/>
        </w:r>
      </w:hyperlink>
    </w:p>
    <w:p w14:paraId="4D1F56A5" w14:textId="77777777" w:rsidR="008A44B8" w:rsidRPr="008A44B8" w:rsidRDefault="002F75E4" w:rsidP="008A44B8">
      <w:pPr>
        <w:pStyle w:val="TOC1"/>
        <w:tabs>
          <w:tab w:val="clear" w:pos="9360"/>
          <w:tab w:val="right" w:leader="dot" w:pos="9630"/>
        </w:tabs>
        <w:spacing w:before="0"/>
        <w:ind w:right="-14"/>
        <w:contextualSpacing/>
        <w:rPr>
          <w:rFonts w:ascii="Arial" w:eastAsiaTheme="minorEastAsia" w:hAnsi="Arial" w:cs="Arial"/>
          <w:noProof/>
          <w:sz w:val="22"/>
          <w:szCs w:val="22"/>
        </w:rPr>
      </w:pPr>
      <w:hyperlink w:anchor="_Toc465678011" w:history="1">
        <w:r w:rsidR="008A44B8" w:rsidRPr="008A44B8">
          <w:rPr>
            <w:rStyle w:val="Hyperlink"/>
            <w:rFonts w:ascii="Arial" w:hAnsi="Arial" w:cs="Arial"/>
            <w:noProof/>
          </w:rPr>
          <w:t>Overview</w:t>
        </w:r>
        <w:r w:rsidR="008A44B8" w:rsidRPr="008A44B8">
          <w:rPr>
            <w:rFonts w:ascii="Arial" w:hAnsi="Arial" w:cs="Arial"/>
            <w:noProof/>
            <w:webHidden/>
          </w:rPr>
          <w:tab/>
        </w:r>
        <w:r w:rsidR="008A44B8" w:rsidRPr="008A44B8">
          <w:rPr>
            <w:rFonts w:ascii="Arial" w:hAnsi="Arial" w:cs="Arial"/>
            <w:noProof/>
            <w:webHidden/>
          </w:rPr>
          <w:fldChar w:fldCharType="begin"/>
        </w:r>
        <w:r w:rsidR="008A44B8" w:rsidRPr="008A44B8">
          <w:rPr>
            <w:rFonts w:ascii="Arial" w:hAnsi="Arial" w:cs="Arial"/>
            <w:noProof/>
            <w:webHidden/>
          </w:rPr>
          <w:instrText xml:space="preserve"> PAGEREF _Toc465678011 \h </w:instrText>
        </w:r>
        <w:r w:rsidR="008A44B8" w:rsidRPr="008A44B8">
          <w:rPr>
            <w:rFonts w:ascii="Arial" w:hAnsi="Arial" w:cs="Arial"/>
            <w:noProof/>
            <w:webHidden/>
          </w:rPr>
        </w:r>
        <w:r w:rsidR="008A44B8" w:rsidRPr="008A44B8">
          <w:rPr>
            <w:rFonts w:ascii="Arial" w:hAnsi="Arial" w:cs="Arial"/>
            <w:noProof/>
            <w:webHidden/>
          </w:rPr>
          <w:fldChar w:fldCharType="separate"/>
        </w:r>
        <w:r>
          <w:rPr>
            <w:rFonts w:ascii="Arial" w:hAnsi="Arial" w:cs="Arial"/>
            <w:noProof/>
            <w:webHidden/>
          </w:rPr>
          <w:t>4</w:t>
        </w:r>
        <w:r w:rsidR="008A44B8" w:rsidRPr="008A44B8">
          <w:rPr>
            <w:rFonts w:ascii="Arial" w:hAnsi="Arial" w:cs="Arial"/>
            <w:noProof/>
            <w:webHidden/>
          </w:rPr>
          <w:fldChar w:fldCharType="end"/>
        </w:r>
      </w:hyperlink>
    </w:p>
    <w:p w14:paraId="464BD9A6" w14:textId="77777777" w:rsidR="008A44B8" w:rsidRPr="008A44B8" w:rsidRDefault="002F75E4" w:rsidP="008A44B8">
      <w:pPr>
        <w:pStyle w:val="TOC2"/>
        <w:ind w:right="-14"/>
        <w:rPr>
          <w:rFonts w:eastAsiaTheme="minorEastAsia"/>
          <w:noProof/>
          <w:sz w:val="22"/>
          <w:szCs w:val="22"/>
        </w:rPr>
      </w:pPr>
      <w:hyperlink w:anchor="_Toc465678012" w:history="1">
        <w:r w:rsidR="008A44B8" w:rsidRPr="008A44B8">
          <w:rPr>
            <w:rStyle w:val="Hyperlink"/>
            <w:noProof/>
          </w:rPr>
          <w:t>Program Goals &amp; Budgets– at a glance 2017 &amp; 2018</w:t>
        </w:r>
        <w:r w:rsidR="008A44B8" w:rsidRPr="008A44B8">
          <w:rPr>
            <w:noProof/>
            <w:webHidden/>
          </w:rPr>
          <w:tab/>
        </w:r>
        <w:r w:rsidR="008A44B8" w:rsidRPr="008A44B8">
          <w:rPr>
            <w:noProof/>
            <w:webHidden/>
          </w:rPr>
          <w:fldChar w:fldCharType="begin"/>
        </w:r>
        <w:r w:rsidR="008A44B8" w:rsidRPr="008A44B8">
          <w:rPr>
            <w:noProof/>
            <w:webHidden/>
          </w:rPr>
          <w:instrText xml:space="preserve"> PAGEREF _Toc465678012 \h </w:instrText>
        </w:r>
        <w:r w:rsidR="008A44B8" w:rsidRPr="008A44B8">
          <w:rPr>
            <w:noProof/>
            <w:webHidden/>
          </w:rPr>
        </w:r>
        <w:r w:rsidR="008A44B8" w:rsidRPr="008A44B8">
          <w:rPr>
            <w:noProof/>
            <w:webHidden/>
          </w:rPr>
          <w:fldChar w:fldCharType="separate"/>
        </w:r>
        <w:r>
          <w:rPr>
            <w:noProof/>
            <w:webHidden/>
          </w:rPr>
          <w:t>5</w:t>
        </w:r>
        <w:r w:rsidR="008A44B8" w:rsidRPr="008A44B8">
          <w:rPr>
            <w:noProof/>
            <w:webHidden/>
          </w:rPr>
          <w:fldChar w:fldCharType="end"/>
        </w:r>
      </w:hyperlink>
    </w:p>
    <w:p w14:paraId="66E989BF" w14:textId="73B5A274" w:rsidR="008A44B8" w:rsidRPr="008A44B8" w:rsidRDefault="002F75E4" w:rsidP="008A44B8">
      <w:pPr>
        <w:pStyle w:val="TOC1"/>
        <w:tabs>
          <w:tab w:val="clear" w:pos="9360"/>
          <w:tab w:val="right" w:leader="dot" w:pos="9630"/>
        </w:tabs>
        <w:spacing w:before="0"/>
        <w:ind w:right="-14"/>
        <w:contextualSpacing/>
        <w:rPr>
          <w:rFonts w:ascii="Arial" w:eastAsiaTheme="minorEastAsia" w:hAnsi="Arial" w:cs="Arial"/>
          <w:noProof/>
          <w:sz w:val="22"/>
          <w:szCs w:val="22"/>
        </w:rPr>
      </w:pPr>
      <w:hyperlink w:anchor="_Toc465678013" w:history="1">
        <w:r w:rsidR="008A44B8" w:rsidRPr="008A44B8">
          <w:rPr>
            <w:rStyle w:val="Hyperlink"/>
            <w:rFonts w:ascii="Arial" w:hAnsi="Arial" w:cs="Arial"/>
            <w:noProof/>
          </w:rPr>
          <w:t>Program Cost Effectiveness</w:t>
        </w:r>
        <w:r w:rsidR="008A44B8" w:rsidRPr="008A44B8">
          <w:rPr>
            <w:rFonts w:ascii="Arial" w:hAnsi="Arial" w:cs="Arial"/>
            <w:noProof/>
            <w:webHidden/>
          </w:rPr>
          <w:tab/>
        </w:r>
        <w:r w:rsidR="008A44B8" w:rsidRPr="008A44B8">
          <w:rPr>
            <w:rFonts w:ascii="Arial" w:hAnsi="Arial" w:cs="Arial"/>
            <w:noProof/>
            <w:webHidden/>
          </w:rPr>
          <w:fldChar w:fldCharType="begin"/>
        </w:r>
        <w:r w:rsidR="008A44B8" w:rsidRPr="008A44B8">
          <w:rPr>
            <w:rFonts w:ascii="Arial" w:hAnsi="Arial" w:cs="Arial"/>
            <w:noProof/>
            <w:webHidden/>
          </w:rPr>
          <w:instrText xml:space="preserve"> PAGEREF _Toc465678013 \h </w:instrText>
        </w:r>
        <w:r w:rsidR="008A44B8" w:rsidRPr="008A44B8">
          <w:rPr>
            <w:rFonts w:ascii="Arial" w:hAnsi="Arial" w:cs="Arial"/>
            <w:noProof/>
            <w:webHidden/>
          </w:rPr>
        </w:r>
        <w:r w:rsidR="008A44B8" w:rsidRPr="008A44B8">
          <w:rPr>
            <w:rFonts w:ascii="Arial" w:hAnsi="Arial" w:cs="Arial"/>
            <w:noProof/>
            <w:webHidden/>
          </w:rPr>
          <w:fldChar w:fldCharType="separate"/>
        </w:r>
        <w:r>
          <w:rPr>
            <w:rFonts w:ascii="Arial" w:hAnsi="Arial" w:cs="Arial"/>
            <w:noProof/>
            <w:webHidden/>
          </w:rPr>
          <w:t>6</w:t>
        </w:r>
        <w:r w:rsidR="008A44B8" w:rsidRPr="008A44B8">
          <w:rPr>
            <w:rFonts w:ascii="Arial" w:hAnsi="Arial" w:cs="Arial"/>
            <w:noProof/>
            <w:webHidden/>
          </w:rPr>
          <w:fldChar w:fldCharType="end"/>
        </w:r>
      </w:hyperlink>
    </w:p>
    <w:p w14:paraId="2856596D" w14:textId="1A261E99" w:rsidR="008A44B8" w:rsidRPr="008A44B8" w:rsidRDefault="002F75E4" w:rsidP="008A44B8">
      <w:pPr>
        <w:pStyle w:val="TOC2"/>
        <w:ind w:right="-14"/>
        <w:rPr>
          <w:rFonts w:eastAsiaTheme="minorEastAsia"/>
          <w:noProof/>
          <w:sz w:val="22"/>
          <w:szCs w:val="22"/>
        </w:rPr>
      </w:pPr>
      <w:hyperlink w:anchor="_Toc465678014" w:history="1">
        <w:r w:rsidR="008A44B8" w:rsidRPr="008A44B8">
          <w:rPr>
            <w:rStyle w:val="Hyperlink"/>
            <w:noProof/>
          </w:rPr>
          <w:t>Docket UG-121207 Policy Statement on the Evaluation of the Cost-Effectiveness of Natural Gas Conservation Programs</w:t>
        </w:r>
        <w:r w:rsidR="008A44B8" w:rsidRPr="008A44B8">
          <w:rPr>
            <w:noProof/>
            <w:webHidden/>
          </w:rPr>
          <w:tab/>
        </w:r>
        <w:r w:rsidR="008A44B8" w:rsidRPr="008A44B8">
          <w:rPr>
            <w:noProof/>
            <w:webHidden/>
          </w:rPr>
          <w:fldChar w:fldCharType="begin"/>
        </w:r>
        <w:r w:rsidR="008A44B8" w:rsidRPr="008A44B8">
          <w:rPr>
            <w:noProof/>
            <w:webHidden/>
          </w:rPr>
          <w:instrText xml:space="preserve"> PAGEREF _Toc465678014 \h </w:instrText>
        </w:r>
        <w:r w:rsidR="008A44B8" w:rsidRPr="008A44B8">
          <w:rPr>
            <w:noProof/>
            <w:webHidden/>
          </w:rPr>
        </w:r>
        <w:r w:rsidR="008A44B8" w:rsidRPr="008A44B8">
          <w:rPr>
            <w:noProof/>
            <w:webHidden/>
          </w:rPr>
          <w:fldChar w:fldCharType="separate"/>
        </w:r>
        <w:r>
          <w:rPr>
            <w:noProof/>
            <w:webHidden/>
          </w:rPr>
          <w:t>7</w:t>
        </w:r>
        <w:r w:rsidR="008A44B8" w:rsidRPr="008A44B8">
          <w:rPr>
            <w:noProof/>
            <w:webHidden/>
          </w:rPr>
          <w:fldChar w:fldCharType="end"/>
        </w:r>
      </w:hyperlink>
    </w:p>
    <w:p w14:paraId="13B179CD" w14:textId="4370A122" w:rsidR="008A44B8" w:rsidRPr="008A44B8" w:rsidRDefault="002F75E4" w:rsidP="008A44B8">
      <w:pPr>
        <w:pStyle w:val="TOC1"/>
        <w:tabs>
          <w:tab w:val="clear" w:pos="9360"/>
          <w:tab w:val="right" w:leader="dot" w:pos="9630"/>
        </w:tabs>
        <w:spacing w:before="0"/>
        <w:ind w:right="-14"/>
        <w:contextualSpacing/>
        <w:rPr>
          <w:rFonts w:ascii="Arial" w:eastAsiaTheme="minorEastAsia" w:hAnsi="Arial" w:cs="Arial"/>
          <w:noProof/>
          <w:sz w:val="22"/>
          <w:szCs w:val="22"/>
        </w:rPr>
      </w:pPr>
      <w:hyperlink w:anchor="_Toc465678015" w:history="1">
        <w:r w:rsidR="008A44B8" w:rsidRPr="008A44B8">
          <w:rPr>
            <w:rStyle w:val="Hyperlink"/>
            <w:rFonts w:ascii="Arial" w:hAnsi="Arial" w:cs="Arial"/>
            <w:noProof/>
          </w:rPr>
          <w:t>Measure Updates</w:t>
        </w:r>
        <w:bookmarkStart w:id="0" w:name="_GoBack"/>
        <w:bookmarkEnd w:id="0"/>
        <w:r w:rsidR="008A44B8" w:rsidRPr="008A44B8">
          <w:rPr>
            <w:rFonts w:ascii="Arial" w:hAnsi="Arial" w:cs="Arial"/>
            <w:noProof/>
            <w:webHidden/>
          </w:rPr>
          <w:tab/>
        </w:r>
        <w:r w:rsidR="008A44B8" w:rsidRPr="008A44B8">
          <w:rPr>
            <w:rFonts w:ascii="Arial" w:hAnsi="Arial" w:cs="Arial"/>
            <w:noProof/>
            <w:webHidden/>
          </w:rPr>
          <w:fldChar w:fldCharType="begin"/>
        </w:r>
        <w:r w:rsidR="008A44B8" w:rsidRPr="008A44B8">
          <w:rPr>
            <w:rFonts w:ascii="Arial" w:hAnsi="Arial" w:cs="Arial"/>
            <w:noProof/>
            <w:webHidden/>
          </w:rPr>
          <w:instrText xml:space="preserve"> PAGEREF _Toc465678015 \h </w:instrText>
        </w:r>
        <w:r w:rsidR="008A44B8" w:rsidRPr="008A44B8">
          <w:rPr>
            <w:rFonts w:ascii="Arial" w:hAnsi="Arial" w:cs="Arial"/>
            <w:noProof/>
            <w:webHidden/>
          </w:rPr>
        </w:r>
        <w:r w:rsidR="008A44B8" w:rsidRPr="008A44B8">
          <w:rPr>
            <w:rFonts w:ascii="Arial" w:hAnsi="Arial" w:cs="Arial"/>
            <w:noProof/>
            <w:webHidden/>
          </w:rPr>
          <w:fldChar w:fldCharType="separate"/>
        </w:r>
        <w:r>
          <w:rPr>
            <w:rFonts w:ascii="Arial" w:hAnsi="Arial" w:cs="Arial"/>
            <w:noProof/>
            <w:webHidden/>
          </w:rPr>
          <w:t>8</w:t>
        </w:r>
        <w:r w:rsidR="008A44B8" w:rsidRPr="008A44B8">
          <w:rPr>
            <w:rFonts w:ascii="Arial" w:hAnsi="Arial" w:cs="Arial"/>
            <w:noProof/>
            <w:webHidden/>
          </w:rPr>
          <w:fldChar w:fldCharType="end"/>
        </w:r>
      </w:hyperlink>
    </w:p>
    <w:p w14:paraId="1A9A60BA" w14:textId="52E26F1D" w:rsidR="008A44B8" w:rsidRPr="008A44B8" w:rsidRDefault="002F75E4" w:rsidP="008A44B8">
      <w:pPr>
        <w:pStyle w:val="TOC1"/>
        <w:tabs>
          <w:tab w:val="clear" w:pos="9360"/>
          <w:tab w:val="right" w:leader="dot" w:pos="9630"/>
        </w:tabs>
        <w:spacing w:before="0"/>
        <w:ind w:right="-14"/>
        <w:contextualSpacing/>
        <w:rPr>
          <w:rFonts w:ascii="Arial" w:eastAsiaTheme="minorEastAsia" w:hAnsi="Arial" w:cs="Arial"/>
          <w:noProof/>
          <w:sz w:val="22"/>
          <w:szCs w:val="22"/>
        </w:rPr>
      </w:pPr>
      <w:hyperlink w:anchor="_Toc465678016" w:history="1">
        <w:r w:rsidR="008A44B8" w:rsidRPr="008A44B8">
          <w:rPr>
            <w:rStyle w:val="Hyperlink"/>
            <w:rFonts w:ascii="Arial" w:hAnsi="Arial" w:cs="Arial"/>
            <w:noProof/>
          </w:rPr>
          <w:t>Emerging Technologies</w:t>
        </w:r>
        <w:r w:rsidR="008A44B8" w:rsidRPr="008A44B8">
          <w:rPr>
            <w:rFonts w:ascii="Arial" w:hAnsi="Arial" w:cs="Arial"/>
            <w:noProof/>
            <w:webHidden/>
          </w:rPr>
          <w:tab/>
        </w:r>
        <w:r w:rsidR="008A44B8" w:rsidRPr="008A44B8">
          <w:rPr>
            <w:rFonts w:ascii="Arial" w:hAnsi="Arial" w:cs="Arial"/>
            <w:noProof/>
            <w:webHidden/>
          </w:rPr>
          <w:fldChar w:fldCharType="begin"/>
        </w:r>
        <w:r w:rsidR="008A44B8" w:rsidRPr="008A44B8">
          <w:rPr>
            <w:rFonts w:ascii="Arial" w:hAnsi="Arial" w:cs="Arial"/>
            <w:noProof/>
            <w:webHidden/>
          </w:rPr>
          <w:instrText xml:space="preserve"> PAGEREF _Toc465678016 \h </w:instrText>
        </w:r>
        <w:r w:rsidR="008A44B8" w:rsidRPr="008A44B8">
          <w:rPr>
            <w:rFonts w:ascii="Arial" w:hAnsi="Arial" w:cs="Arial"/>
            <w:noProof/>
            <w:webHidden/>
          </w:rPr>
        </w:r>
        <w:r w:rsidR="008A44B8" w:rsidRPr="008A44B8">
          <w:rPr>
            <w:rFonts w:ascii="Arial" w:hAnsi="Arial" w:cs="Arial"/>
            <w:noProof/>
            <w:webHidden/>
          </w:rPr>
          <w:fldChar w:fldCharType="separate"/>
        </w:r>
        <w:r>
          <w:rPr>
            <w:rFonts w:ascii="Arial" w:hAnsi="Arial" w:cs="Arial"/>
            <w:noProof/>
            <w:webHidden/>
          </w:rPr>
          <w:t>8</w:t>
        </w:r>
        <w:r w:rsidR="008A44B8" w:rsidRPr="008A44B8">
          <w:rPr>
            <w:rFonts w:ascii="Arial" w:hAnsi="Arial" w:cs="Arial"/>
            <w:noProof/>
            <w:webHidden/>
          </w:rPr>
          <w:fldChar w:fldCharType="end"/>
        </w:r>
      </w:hyperlink>
    </w:p>
    <w:p w14:paraId="2F7D7C57" w14:textId="53CD9C9A" w:rsidR="008A44B8" w:rsidRPr="008A44B8" w:rsidRDefault="002F75E4" w:rsidP="008A44B8">
      <w:pPr>
        <w:pStyle w:val="TOC1"/>
        <w:tabs>
          <w:tab w:val="clear" w:pos="9360"/>
          <w:tab w:val="right" w:leader="dot" w:pos="9630"/>
        </w:tabs>
        <w:spacing w:before="0"/>
        <w:ind w:right="-14"/>
        <w:contextualSpacing/>
        <w:rPr>
          <w:rFonts w:ascii="Arial" w:eastAsiaTheme="minorEastAsia" w:hAnsi="Arial" w:cs="Arial"/>
          <w:noProof/>
          <w:sz w:val="22"/>
          <w:szCs w:val="22"/>
        </w:rPr>
      </w:pPr>
      <w:hyperlink w:anchor="_Toc465678017" w:history="1">
        <w:r w:rsidR="008A44B8" w:rsidRPr="008A44B8">
          <w:rPr>
            <w:rStyle w:val="Hyperlink"/>
            <w:rFonts w:ascii="Arial" w:hAnsi="Arial" w:cs="Arial"/>
            <w:noProof/>
          </w:rPr>
          <w:t>Potential DSM Measures and Their Costs</w:t>
        </w:r>
        <w:r w:rsidR="008A44B8" w:rsidRPr="008A44B8">
          <w:rPr>
            <w:rFonts w:ascii="Arial" w:hAnsi="Arial" w:cs="Arial"/>
            <w:noProof/>
            <w:webHidden/>
          </w:rPr>
          <w:tab/>
        </w:r>
        <w:r w:rsidR="008A44B8" w:rsidRPr="008A44B8">
          <w:rPr>
            <w:rFonts w:ascii="Arial" w:hAnsi="Arial" w:cs="Arial"/>
            <w:noProof/>
            <w:webHidden/>
          </w:rPr>
          <w:fldChar w:fldCharType="begin"/>
        </w:r>
        <w:r w:rsidR="008A44B8" w:rsidRPr="008A44B8">
          <w:rPr>
            <w:rFonts w:ascii="Arial" w:hAnsi="Arial" w:cs="Arial"/>
            <w:noProof/>
            <w:webHidden/>
          </w:rPr>
          <w:instrText xml:space="preserve"> PAGEREF _Toc465678017 \h </w:instrText>
        </w:r>
        <w:r w:rsidR="008A44B8" w:rsidRPr="008A44B8">
          <w:rPr>
            <w:rFonts w:ascii="Arial" w:hAnsi="Arial" w:cs="Arial"/>
            <w:noProof/>
            <w:webHidden/>
          </w:rPr>
        </w:r>
        <w:r w:rsidR="008A44B8" w:rsidRPr="008A44B8">
          <w:rPr>
            <w:rFonts w:ascii="Arial" w:hAnsi="Arial" w:cs="Arial"/>
            <w:noProof/>
            <w:webHidden/>
          </w:rPr>
          <w:fldChar w:fldCharType="separate"/>
        </w:r>
        <w:r>
          <w:rPr>
            <w:rFonts w:ascii="Arial" w:hAnsi="Arial" w:cs="Arial"/>
            <w:noProof/>
            <w:webHidden/>
          </w:rPr>
          <w:t>10</w:t>
        </w:r>
        <w:r w:rsidR="008A44B8" w:rsidRPr="008A44B8">
          <w:rPr>
            <w:rFonts w:ascii="Arial" w:hAnsi="Arial" w:cs="Arial"/>
            <w:noProof/>
            <w:webHidden/>
          </w:rPr>
          <w:fldChar w:fldCharType="end"/>
        </w:r>
      </w:hyperlink>
    </w:p>
    <w:p w14:paraId="7C17D4FE" w14:textId="11FD9D75" w:rsidR="008A44B8" w:rsidRPr="008A44B8" w:rsidRDefault="002F75E4" w:rsidP="008A44B8">
      <w:pPr>
        <w:pStyle w:val="TOC1"/>
        <w:tabs>
          <w:tab w:val="clear" w:pos="9360"/>
          <w:tab w:val="right" w:leader="dot" w:pos="9630"/>
        </w:tabs>
        <w:spacing w:before="0"/>
        <w:ind w:right="-14"/>
        <w:contextualSpacing/>
        <w:rPr>
          <w:rFonts w:ascii="Arial" w:eastAsiaTheme="minorEastAsia" w:hAnsi="Arial" w:cs="Arial"/>
          <w:noProof/>
          <w:sz w:val="22"/>
          <w:szCs w:val="22"/>
        </w:rPr>
      </w:pPr>
      <w:hyperlink w:anchor="_Toc465678018" w:history="1">
        <w:r w:rsidR="008A44B8" w:rsidRPr="008A44B8">
          <w:rPr>
            <w:rStyle w:val="Hyperlink"/>
            <w:rFonts w:ascii="Arial" w:hAnsi="Arial" w:cs="Arial"/>
            <w:noProof/>
          </w:rPr>
          <w:t>Assessment of Cascade’s Conservation Potential and EM&amp;V Study</w:t>
        </w:r>
        <w:r w:rsidR="008A44B8" w:rsidRPr="008A44B8">
          <w:rPr>
            <w:rFonts w:ascii="Arial" w:hAnsi="Arial" w:cs="Arial"/>
            <w:noProof/>
            <w:webHidden/>
          </w:rPr>
          <w:tab/>
        </w:r>
        <w:r w:rsidR="008A44B8" w:rsidRPr="008A44B8">
          <w:rPr>
            <w:rFonts w:ascii="Arial" w:hAnsi="Arial" w:cs="Arial"/>
            <w:noProof/>
            <w:webHidden/>
          </w:rPr>
          <w:fldChar w:fldCharType="begin"/>
        </w:r>
        <w:r w:rsidR="008A44B8" w:rsidRPr="008A44B8">
          <w:rPr>
            <w:rFonts w:ascii="Arial" w:hAnsi="Arial" w:cs="Arial"/>
            <w:noProof/>
            <w:webHidden/>
          </w:rPr>
          <w:instrText xml:space="preserve"> PAGEREF _Toc465678018 \h </w:instrText>
        </w:r>
        <w:r w:rsidR="008A44B8" w:rsidRPr="008A44B8">
          <w:rPr>
            <w:rFonts w:ascii="Arial" w:hAnsi="Arial" w:cs="Arial"/>
            <w:noProof/>
            <w:webHidden/>
          </w:rPr>
        </w:r>
        <w:r w:rsidR="008A44B8" w:rsidRPr="008A44B8">
          <w:rPr>
            <w:rFonts w:ascii="Arial" w:hAnsi="Arial" w:cs="Arial"/>
            <w:noProof/>
            <w:webHidden/>
          </w:rPr>
          <w:fldChar w:fldCharType="separate"/>
        </w:r>
        <w:r>
          <w:rPr>
            <w:rFonts w:ascii="Arial" w:hAnsi="Arial" w:cs="Arial"/>
            <w:noProof/>
            <w:webHidden/>
          </w:rPr>
          <w:t>11</w:t>
        </w:r>
        <w:r w:rsidR="008A44B8" w:rsidRPr="008A44B8">
          <w:rPr>
            <w:rFonts w:ascii="Arial" w:hAnsi="Arial" w:cs="Arial"/>
            <w:noProof/>
            <w:webHidden/>
          </w:rPr>
          <w:fldChar w:fldCharType="end"/>
        </w:r>
      </w:hyperlink>
    </w:p>
    <w:p w14:paraId="395307BD" w14:textId="498E5F5B" w:rsidR="008A44B8" w:rsidRPr="008A44B8" w:rsidRDefault="002F75E4" w:rsidP="008A44B8">
      <w:pPr>
        <w:pStyle w:val="TOC2"/>
        <w:ind w:right="-14"/>
        <w:rPr>
          <w:rFonts w:eastAsiaTheme="minorEastAsia"/>
          <w:noProof/>
          <w:sz w:val="22"/>
          <w:szCs w:val="22"/>
        </w:rPr>
      </w:pPr>
      <w:hyperlink w:anchor="_Toc465678019" w:history="1">
        <w:r w:rsidR="008A44B8" w:rsidRPr="008A44B8">
          <w:rPr>
            <w:rStyle w:val="Hyperlink"/>
            <w:noProof/>
          </w:rPr>
          <w:t>Administrative costs and TEA-Pot modeling moving forward</w:t>
        </w:r>
        <w:r w:rsidR="008A44B8" w:rsidRPr="008A44B8">
          <w:rPr>
            <w:noProof/>
            <w:webHidden/>
          </w:rPr>
          <w:tab/>
        </w:r>
        <w:r w:rsidR="008A44B8" w:rsidRPr="008A44B8">
          <w:rPr>
            <w:noProof/>
            <w:webHidden/>
          </w:rPr>
          <w:fldChar w:fldCharType="begin"/>
        </w:r>
        <w:r w:rsidR="008A44B8" w:rsidRPr="008A44B8">
          <w:rPr>
            <w:noProof/>
            <w:webHidden/>
          </w:rPr>
          <w:instrText xml:space="preserve"> PAGEREF _Toc465678019 \h </w:instrText>
        </w:r>
        <w:r w:rsidR="008A44B8" w:rsidRPr="008A44B8">
          <w:rPr>
            <w:noProof/>
            <w:webHidden/>
          </w:rPr>
        </w:r>
        <w:r w:rsidR="008A44B8" w:rsidRPr="008A44B8">
          <w:rPr>
            <w:noProof/>
            <w:webHidden/>
          </w:rPr>
          <w:fldChar w:fldCharType="separate"/>
        </w:r>
        <w:r>
          <w:rPr>
            <w:noProof/>
            <w:webHidden/>
          </w:rPr>
          <w:t>13</w:t>
        </w:r>
        <w:r w:rsidR="008A44B8" w:rsidRPr="008A44B8">
          <w:rPr>
            <w:noProof/>
            <w:webHidden/>
          </w:rPr>
          <w:fldChar w:fldCharType="end"/>
        </w:r>
      </w:hyperlink>
    </w:p>
    <w:p w14:paraId="415CB40D" w14:textId="77777777" w:rsidR="008A44B8" w:rsidRPr="008A44B8" w:rsidRDefault="002F75E4" w:rsidP="008A44B8">
      <w:pPr>
        <w:pStyle w:val="TOC2"/>
        <w:ind w:right="-14"/>
        <w:rPr>
          <w:rFonts w:eastAsiaTheme="minorEastAsia"/>
          <w:noProof/>
          <w:sz w:val="22"/>
          <w:szCs w:val="22"/>
        </w:rPr>
      </w:pPr>
      <w:hyperlink w:anchor="_Toc465678020" w:history="1">
        <w:r w:rsidR="008A44B8" w:rsidRPr="008A44B8">
          <w:rPr>
            <w:rStyle w:val="Hyperlink"/>
            <w:noProof/>
          </w:rPr>
          <w:t>Total Resource Cost test (TRC)</w:t>
        </w:r>
        <w:r w:rsidR="008A44B8" w:rsidRPr="008A44B8">
          <w:rPr>
            <w:noProof/>
            <w:webHidden/>
          </w:rPr>
          <w:tab/>
        </w:r>
        <w:r w:rsidR="008A44B8" w:rsidRPr="008A44B8">
          <w:rPr>
            <w:noProof/>
            <w:webHidden/>
          </w:rPr>
          <w:fldChar w:fldCharType="begin"/>
        </w:r>
        <w:r w:rsidR="008A44B8" w:rsidRPr="008A44B8">
          <w:rPr>
            <w:noProof/>
            <w:webHidden/>
          </w:rPr>
          <w:instrText xml:space="preserve"> PAGEREF _Toc465678020 \h </w:instrText>
        </w:r>
        <w:r w:rsidR="008A44B8" w:rsidRPr="008A44B8">
          <w:rPr>
            <w:noProof/>
            <w:webHidden/>
          </w:rPr>
        </w:r>
        <w:r w:rsidR="008A44B8" w:rsidRPr="008A44B8">
          <w:rPr>
            <w:noProof/>
            <w:webHidden/>
          </w:rPr>
          <w:fldChar w:fldCharType="separate"/>
        </w:r>
        <w:r>
          <w:rPr>
            <w:noProof/>
            <w:webHidden/>
          </w:rPr>
          <w:t>13</w:t>
        </w:r>
        <w:r w:rsidR="008A44B8" w:rsidRPr="008A44B8">
          <w:rPr>
            <w:noProof/>
            <w:webHidden/>
          </w:rPr>
          <w:fldChar w:fldCharType="end"/>
        </w:r>
      </w:hyperlink>
    </w:p>
    <w:p w14:paraId="1C744120" w14:textId="75ECF554" w:rsidR="008A44B8" w:rsidRPr="008A44B8" w:rsidRDefault="002F75E4" w:rsidP="008A44B8">
      <w:pPr>
        <w:pStyle w:val="TOC2"/>
        <w:ind w:right="-14"/>
        <w:rPr>
          <w:rFonts w:eastAsiaTheme="minorEastAsia"/>
          <w:noProof/>
          <w:sz w:val="22"/>
          <w:szCs w:val="22"/>
        </w:rPr>
      </w:pPr>
      <w:hyperlink w:anchor="_Toc465678021" w:history="1">
        <w:r w:rsidR="008A44B8" w:rsidRPr="008A44B8">
          <w:rPr>
            <w:rStyle w:val="Hyperlink"/>
            <w:noProof/>
          </w:rPr>
          <w:t>Utility Cost Test (UCT)</w:t>
        </w:r>
        <w:r w:rsidR="008A44B8" w:rsidRPr="008A44B8">
          <w:rPr>
            <w:noProof/>
            <w:webHidden/>
          </w:rPr>
          <w:tab/>
        </w:r>
        <w:r w:rsidR="008A44B8" w:rsidRPr="008A44B8">
          <w:rPr>
            <w:noProof/>
            <w:webHidden/>
          </w:rPr>
          <w:fldChar w:fldCharType="begin"/>
        </w:r>
        <w:r w:rsidR="008A44B8" w:rsidRPr="008A44B8">
          <w:rPr>
            <w:noProof/>
            <w:webHidden/>
          </w:rPr>
          <w:instrText xml:space="preserve"> PAGEREF _Toc465678021 \h </w:instrText>
        </w:r>
        <w:r w:rsidR="008A44B8" w:rsidRPr="008A44B8">
          <w:rPr>
            <w:noProof/>
            <w:webHidden/>
          </w:rPr>
        </w:r>
        <w:r w:rsidR="008A44B8" w:rsidRPr="008A44B8">
          <w:rPr>
            <w:noProof/>
            <w:webHidden/>
          </w:rPr>
          <w:fldChar w:fldCharType="separate"/>
        </w:r>
        <w:r>
          <w:rPr>
            <w:noProof/>
            <w:webHidden/>
          </w:rPr>
          <w:t>14</w:t>
        </w:r>
        <w:r w:rsidR="008A44B8" w:rsidRPr="008A44B8">
          <w:rPr>
            <w:noProof/>
            <w:webHidden/>
          </w:rPr>
          <w:fldChar w:fldCharType="end"/>
        </w:r>
      </w:hyperlink>
    </w:p>
    <w:p w14:paraId="32F31968" w14:textId="1E8C9E77" w:rsidR="008A44B8" w:rsidRPr="008A44B8" w:rsidRDefault="002F75E4" w:rsidP="008A44B8">
      <w:pPr>
        <w:pStyle w:val="TOC2"/>
        <w:ind w:right="-14"/>
        <w:rPr>
          <w:rFonts w:eastAsiaTheme="minorEastAsia"/>
          <w:noProof/>
          <w:sz w:val="22"/>
          <w:szCs w:val="22"/>
        </w:rPr>
      </w:pPr>
      <w:hyperlink w:anchor="_Toc465678022" w:history="1">
        <w:r w:rsidR="008A44B8" w:rsidRPr="008A44B8">
          <w:rPr>
            <w:rStyle w:val="Hyperlink"/>
            <w:noProof/>
          </w:rPr>
          <w:t>Market Segmentation Findings</w:t>
        </w:r>
        <w:r w:rsidR="008A44B8" w:rsidRPr="008A44B8">
          <w:rPr>
            <w:noProof/>
            <w:webHidden/>
          </w:rPr>
          <w:tab/>
        </w:r>
        <w:r w:rsidR="008A44B8" w:rsidRPr="008A44B8">
          <w:rPr>
            <w:noProof/>
            <w:webHidden/>
          </w:rPr>
          <w:fldChar w:fldCharType="begin"/>
        </w:r>
        <w:r w:rsidR="008A44B8" w:rsidRPr="008A44B8">
          <w:rPr>
            <w:noProof/>
            <w:webHidden/>
          </w:rPr>
          <w:instrText xml:space="preserve"> PAGEREF _Toc465678022 \h </w:instrText>
        </w:r>
        <w:r w:rsidR="008A44B8" w:rsidRPr="008A44B8">
          <w:rPr>
            <w:noProof/>
            <w:webHidden/>
          </w:rPr>
        </w:r>
        <w:r w:rsidR="008A44B8" w:rsidRPr="008A44B8">
          <w:rPr>
            <w:noProof/>
            <w:webHidden/>
          </w:rPr>
          <w:fldChar w:fldCharType="separate"/>
        </w:r>
        <w:r>
          <w:rPr>
            <w:noProof/>
            <w:webHidden/>
          </w:rPr>
          <w:t>14</w:t>
        </w:r>
        <w:r w:rsidR="008A44B8" w:rsidRPr="008A44B8">
          <w:rPr>
            <w:noProof/>
            <w:webHidden/>
          </w:rPr>
          <w:fldChar w:fldCharType="end"/>
        </w:r>
      </w:hyperlink>
    </w:p>
    <w:p w14:paraId="332267C6" w14:textId="13A7F3F4" w:rsidR="008A44B8" w:rsidRPr="008A44B8" w:rsidRDefault="002F75E4" w:rsidP="008A44B8">
      <w:pPr>
        <w:pStyle w:val="TOC2"/>
        <w:ind w:right="-14"/>
        <w:rPr>
          <w:rFonts w:eastAsiaTheme="minorEastAsia"/>
          <w:noProof/>
          <w:sz w:val="22"/>
          <w:szCs w:val="22"/>
        </w:rPr>
      </w:pPr>
      <w:hyperlink w:anchor="_Toc465678023" w:history="1">
        <w:r w:rsidR="008A44B8" w:rsidRPr="008A44B8">
          <w:rPr>
            <w:rStyle w:val="Hyperlink"/>
            <w:noProof/>
          </w:rPr>
          <w:t>Energy Efficiency Portfolio Development</w:t>
        </w:r>
        <w:r w:rsidR="008A44B8" w:rsidRPr="008A44B8">
          <w:rPr>
            <w:noProof/>
            <w:webHidden/>
          </w:rPr>
          <w:tab/>
        </w:r>
        <w:r w:rsidR="008A44B8" w:rsidRPr="008A44B8">
          <w:rPr>
            <w:noProof/>
            <w:webHidden/>
          </w:rPr>
          <w:fldChar w:fldCharType="begin"/>
        </w:r>
        <w:r w:rsidR="008A44B8" w:rsidRPr="008A44B8">
          <w:rPr>
            <w:noProof/>
            <w:webHidden/>
          </w:rPr>
          <w:instrText xml:space="preserve"> PAGEREF _Toc465678023 \h </w:instrText>
        </w:r>
        <w:r w:rsidR="008A44B8" w:rsidRPr="008A44B8">
          <w:rPr>
            <w:noProof/>
            <w:webHidden/>
          </w:rPr>
        </w:r>
        <w:r w:rsidR="008A44B8" w:rsidRPr="008A44B8">
          <w:rPr>
            <w:noProof/>
            <w:webHidden/>
          </w:rPr>
          <w:fldChar w:fldCharType="separate"/>
        </w:r>
        <w:r>
          <w:rPr>
            <w:noProof/>
            <w:webHidden/>
          </w:rPr>
          <w:t>15</w:t>
        </w:r>
        <w:r w:rsidR="008A44B8" w:rsidRPr="008A44B8">
          <w:rPr>
            <w:noProof/>
            <w:webHidden/>
          </w:rPr>
          <w:fldChar w:fldCharType="end"/>
        </w:r>
      </w:hyperlink>
    </w:p>
    <w:p w14:paraId="49F3EB39" w14:textId="2D469E60" w:rsidR="008A44B8" w:rsidRPr="008A44B8" w:rsidRDefault="002F75E4" w:rsidP="008A44B8">
      <w:pPr>
        <w:pStyle w:val="TOC1"/>
        <w:tabs>
          <w:tab w:val="clear" w:pos="9360"/>
          <w:tab w:val="right" w:leader="dot" w:pos="9630"/>
        </w:tabs>
        <w:spacing w:before="0"/>
        <w:ind w:right="-14"/>
        <w:contextualSpacing/>
        <w:rPr>
          <w:rFonts w:ascii="Arial" w:eastAsiaTheme="minorEastAsia" w:hAnsi="Arial" w:cs="Arial"/>
          <w:noProof/>
          <w:sz w:val="22"/>
          <w:szCs w:val="22"/>
        </w:rPr>
      </w:pPr>
      <w:hyperlink w:anchor="_Toc465678024" w:history="1">
        <w:r w:rsidR="008A44B8" w:rsidRPr="008A44B8">
          <w:rPr>
            <w:rStyle w:val="Hyperlink"/>
            <w:rFonts w:ascii="Arial" w:hAnsi="Arial" w:cs="Arial"/>
            <w:noProof/>
          </w:rPr>
          <w:t>DSM Portfolio Updates and Planning</w:t>
        </w:r>
        <w:r w:rsidR="008A44B8" w:rsidRPr="008A44B8">
          <w:rPr>
            <w:rFonts w:ascii="Arial" w:hAnsi="Arial" w:cs="Arial"/>
            <w:noProof/>
            <w:webHidden/>
          </w:rPr>
          <w:tab/>
        </w:r>
        <w:r w:rsidR="008A44B8" w:rsidRPr="008A44B8">
          <w:rPr>
            <w:rFonts w:ascii="Arial" w:hAnsi="Arial" w:cs="Arial"/>
            <w:noProof/>
            <w:webHidden/>
          </w:rPr>
          <w:fldChar w:fldCharType="begin"/>
        </w:r>
        <w:r w:rsidR="008A44B8" w:rsidRPr="008A44B8">
          <w:rPr>
            <w:rFonts w:ascii="Arial" w:hAnsi="Arial" w:cs="Arial"/>
            <w:noProof/>
            <w:webHidden/>
          </w:rPr>
          <w:instrText xml:space="preserve"> PAGEREF _Toc465678024 \h </w:instrText>
        </w:r>
        <w:r w:rsidR="008A44B8" w:rsidRPr="008A44B8">
          <w:rPr>
            <w:rFonts w:ascii="Arial" w:hAnsi="Arial" w:cs="Arial"/>
            <w:noProof/>
            <w:webHidden/>
          </w:rPr>
        </w:r>
        <w:r w:rsidR="008A44B8" w:rsidRPr="008A44B8">
          <w:rPr>
            <w:rFonts w:ascii="Arial" w:hAnsi="Arial" w:cs="Arial"/>
            <w:noProof/>
            <w:webHidden/>
          </w:rPr>
          <w:fldChar w:fldCharType="separate"/>
        </w:r>
        <w:r>
          <w:rPr>
            <w:rFonts w:ascii="Arial" w:hAnsi="Arial" w:cs="Arial"/>
            <w:noProof/>
            <w:webHidden/>
          </w:rPr>
          <w:t>16</w:t>
        </w:r>
        <w:r w:rsidR="008A44B8" w:rsidRPr="008A44B8">
          <w:rPr>
            <w:rFonts w:ascii="Arial" w:hAnsi="Arial" w:cs="Arial"/>
            <w:noProof/>
            <w:webHidden/>
          </w:rPr>
          <w:fldChar w:fldCharType="end"/>
        </w:r>
      </w:hyperlink>
    </w:p>
    <w:p w14:paraId="2D93D0CF" w14:textId="09368E56" w:rsidR="008A44B8" w:rsidRPr="008A44B8" w:rsidRDefault="002F75E4" w:rsidP="008A44B8">
      <w:pPr>
        <w:pStyle w:val="TOC2"/>
        <w:ind w:right="-14"/>
        <w:rPr>
          <w:rFonts w:eastAsiaTheme="minorEastAsia"/>
          <w:noProof/>
          <w:sz w:val="22"/>
          <w:szCs w:val="22"/>
        </w:rPr>
      </w:pPr>
      <w:hyperlink w:anchor="_Toc465678025" w:history="1">
        <w:r w:rsidR="008A44B8" w:rsidRPr="008A44B8">
          <w:rPr>
            <w:rStyle w:val="Hyperlink"/>
            <w:noProof/>
          </w:rPr>
          <w:t>Budgeting Parameters</w:t>
        </w:r>
        <w:r w:rsidR="008A44B8" w:rsidRPr="008A44B8">
          <w:rPr>
            <w:noProof/>
            <w:webHidden/>
          </w:rPr>
          <w:tab/>
        </w:r>
        <w:r w:rsidR="008A44B8" w:rsidRPr="008A44B8">
          <w:rPr>
            <w:noProof/>
            <w:webHidden/>
          </w:rPr>
          <w:fldChar w:fldCharType="begin"/>
        </w:r>
        <w:r w:rsidR="008A44B8" w:rsidRPr="008A44B8">
          <w:rPr>
            <w:noProof/>
            <w:webHidden/>
          </w:rPr>
          <w:instrText xml:space="preserve"> PAGEREF _Toc465678025 \h </w:instrText>
        </w:r>
        <w:r w:rsidR="008A44B8" w:rsidRPr="008A44B8">
          <w:rPr>
            <w:noProof/>
            <w:webHidden/>
          </w:rPr>
        </w:r>
        <w:r w:rsidR="008A44B8" w:rsidRPr="008A44B8">
          <w:rPr>
            <w:noProof/>
            <w:webHidden/>
          </w:rPr>
          <w:fldChar w:fldCharType="separate"/>
        </w:r>
        <w:r>
          <w:rPr>
            <w:noProof/>
            <w:webHidden/>
          </w:rPr>
          <w:t>17</w:t>
        </w:r>
        <w:r w:rsidR="008A44B8" w:rsidRPr="008A44B8">
          <w:rPr>
            <w:noProof/>
            <w:webHidden/>
          </w:rPr>
          <w:fldChar w:fldCharType="end"/>
        </w:r>
      </w:hyperlink>
    </w:p>
    <w:p w14:paraId="1ABE6CA5" w14:textId="0CFF3B55" w:rsidR="008A44B8" w:rsidRPr="008A44B8" w:rsidRDefault="002F75E4" w:rsidP="008A44B8">
      <w:pPr>
        <w:pStyle w:val="TOC2"/>
        <w:ind w:right="-14"/>
        <w:rPr>
          <w:rFonts w:eastAsiaTheme="minorEastAsia"/>
          <w:noProof/>
          <w:sz w:val="22"/>
          <w:szCs w:val="22"/>
        </w:rPr>
      </w:pPr>
      <w:hyperlink w:anchor="_Toc465678026" w:history="1">
        <w:r w:rsidR="008A44B8" w:rsidRPr="008A44B8">
          <w:rPr>
            <w:rStyle w:val="Hyperlink"/>
            <w:noProof/>
          </w:rPr>
          <w:t>Targets</w:t>
        </w:r>
        <w:r w:rsidR="008A44B8" w:rsidRPr="008A44B8">
          <w:rPr>
            <w:noProof/>
            <w:webHidden/>
          </w:rPr>
          <w:tab/>
        </w:r>
        <w:r w:rsidR="008A44B8" w:rsidRPr="008A44B8">
          <w:rPr>
            <w:noProof/>
            <w:webHidden/>
          </w:rPr>
          <w:fldChar w:fldCharType="begin"/>
        </w:r>
        <w:r w:rsidR="008A44B8" w:rsidRPr="008A44B8">
          <w:rPr>
            <w:noProof/>
            <w:webHidden/>
          </w:rPr>
          <w:instrText xml:space="preserve"> PAGEREF _Toc465678026 \h </w:instrText>
        </w:r>
        <w:r w:rsidR="008A44B8" w:rsidRPr="008A44B8">
          <w:rPr>
            <w:noProof/>
            <w:webHidden/>
          </w:rPr>
        </w:r>
        <w:r w:rsidR="008A44B8" w:rsidRPr="008A44B8">
          <w:rPr>
            <w:noProof/>
            <w:webHidden/>
          </w:rPr>
          <w:fldChar w:fldCharType="separate"/>
        </w:r>
        <w:r>
          <w:rPr>
            <w:noProof/>
            <w:webHidden/>
          </w:rPr>
          <w:t>18</w:t>
        </w:r>
        <w:r w:rsidR="008A44B8" w:rsidRPr="008A44B8">
          <w:rPr>
            <w:noProof/>
            <w:webHidden/>
          </w:rPr>
          <w:fldChar w:fldCharType="end"/>
        </w:r>
      </w:hyperlink>
    </w:p>
    <w:p w14:paraId="165AA872" w14:textId="3693E74C" w:rsidR="008A44B8" w:rsidRPr="008A44B8" w:rsidRDefault="002F75E4" w:rsidP="008A44B8">
      <w:pPr>
        <w:pStyle w:val="TOC2"/>
        <w:ind w:right="-14"/>
        <w:rPr>
          <w:rFonts w:eastAsiaTheme="minorEastAsia"/>
          <w:noProof/>
          <w:sz w:val="22"/>
          <w:szCs w:val="22"/>
        </w:rPr>
      </w:pPr>
      <w:hyperlink w:anchor="_Toc465678027" w:history="1">
        <w:r w:rsidR="008A44B8" w:rsidRPr="008A44B8">
          <w:rPr>
            <w:rStyle w:val="Hyperlink"/>
            <w:noProof/>
          </w:rPr>
          <w:t>Commercial/Industrial Scenarios</w:t>
        </w:r>
        <w:r w:rsidR="008A44B8" w:rsidRPr="008A44B8">
          <w:rPr>
            <w:noProof/>
            <w:webHidden/>
          </w:rPr>
          <w:tab/>
        </w:r>
        <w:r w:rsidR="008A44B8" w:rsidRPr="008A44B8">
          <w:rPr>
            <w:noProof/>
            <w:webHidden/>
          </w:rPr>
          <w:fldChar w:fldCharType="begin"/>
        </w:r>
        <w:r w:rsidR="008A44B8" w:rsidRPr="008A44B8">
          <w:rPr>
            <w:noProof/>
            <w:webHidden/>
          </w:rPr>
          <w:instrText xml:space="preserve"> PAGEREF _Toc465678027 \h </w:instrText>
        </w:r>
        <w:r w:rsidR="008A44B8" w:rsidRPr="008A44B8">
          <w:rPr>
            <w:noProof/>
            <w:webHidden/>
          </w:rPr>
        </w:r>
        <w:r w:rsidR="008A44B8" w:rsidRPr="008A44B8">
          <w:rPr>
            <w:noProof/>
            <w:webHidden/>
          </w:rPr>
          <w:fldChar w:fldCharType="separate"/>
        </w:r>
        <w:r>
          <w:rPr>
            <w:noProof/>
            <w:webHidden/>
          </w:rPr>
          <w:t>18</w:t>
        </w:r>
        <w:r w:rsidR="008A44B8" w:rsidRPr="008A44B8">
          <w:rPr>
            <w:noProof/>
            <w:webHidden/>
          </w:rPr>
          <w:fldChar w:fldCharType="end"/>
        </w:r>
      </w:hyperlink>
    </w:p>
    <w:p w14:paraId="2EFCE13A" w14:textId="631D2A05" w:rsidR="008A44B8" w:rsidRPr="008A44B8" w:rsidRDefault="002F75E4" w:rsidP="008A44B8">
      <w:pPr>
        <w:pStyle w:val="TOC2"/>
        <w:ind w:right="-14"/>
        <w:rPr>
          <w:rFonts w:eastAsiaTheme="minorEastAsia"/>
          <w:noProof/>
          <w:sz w:val="22"/>
          <w:szCs w:val="22"/>
        </w:rPr>
      </w:pPr>
      <w:hyperlink w:anchor="_Toc465678028" w:history="1">
        <w:r w:rsidR="008A44B8" w:rsidRPr="008A44B8">
          <w:rPr>
            <w:rStyle w:val="Hyperlink"/>
            <w:noProof/>
          </w:rPr>
          <w:t>Most Recent Program Update</w:t>
        </w:r>
        <w:r w:rsidR="008A44B8" w:rsidRPr="008A44B8">
          <w:rPr>
            <w:noProof/>
            <w:webHidden/>
          </w:rPr>
          <w:tab/>
        </w:r>
        <w:r w:rsidR="008A44B8" w:rsidRPr="008A44B8">
          <w:rPr>
            <w:noProof/>
            <w:webHidden/>
          </w:rPr>
          <w:fldChar w:fldCharType="begin"/>
        </w:r>
        <w:r w:rsidR="008A44B8" w:rsidRPr="008A44B8">
          <w:rPr>
            <w:noProof/>
            <w:webHidden/>
          </w:rPr>
          <w:instrText xml:space="preserve"> PAGEREF _Toc465678028 \h </w:instrText>
        </w:r>
        <w:r w:rsidR="008A44B8" w:rsidRPr="008A44B8">
          <w:rPr>
            <w:noProof/>
            <w:webHidden/>
          </w:rPr>
        </w:r>
        <w:r w:rsidR="008A44B8" w:rsidRPr="008A44B8">
          <w:rPr>
            <w:noProof/>
            <w:webHidden/>
          </w:rPr>
          <w:fldChar w:fldCharType="separate"/>
        </w:r>
        <w:r>
          <w:rPr>
            <w:noProof/>
            <w:webHidden/>
          </w:rPr>
          <w:t>19</w:t>
        </w:r>
        <w:r w:rsidR="008A44B8" w:rsidRPr="008A44B8">
          <w:rPr>
            <w:noProof/>
            <w:webHidden/>
          </w:rPr>
          <w:fldChar w:fldCharType="end"/>
        </w:r>
      </w:hyperlink>
    </w:p>
    <w:p w14:paraId="3659304F" w14:textId="70E1F2BB" w:rsidR="008A44B8" w:rsidRPr="008A44B8" w:rsidRDefault="002F75E4" w:rsidP="008A44B8">
      <w:pPr>
        <w:pStyle w:val="TOC1"/>
        <w:tabs>
          <w:tab w:val="clear" w:pos="9360"/>
          <w:tab w:val="right" w:leader="dot" w:pos="9630"/>
        </w:tabs>
        <w:spacing w:before="0"/>
        <w:ind w:right="-14"/>
        <w:contextualSpacing/>
        <w:rPr>
          <w:rFonts w:ascii="Arial" w:eastAsiaTheme="minorEastAsia" w:hAnsi="Arial" w:cs="Arial"/>
          <w:noProof/>
          <w:sz w:val="22"/>
          <w:szCs w:val="22"/>
        </w:rPr>
      </w:pPr>
      <w:hyperlink w:anchor="_Toc465678029" w:history="1">
        <w:r w:rsidR="008A44B8" w:rsidRPr="008A44B8">
          <w:rPr>
            <w:rStyle w:val="Hyperlink"/>
            <w:rFonts w:ascii="Arial" w:hAnsi="Arial" w:cs="Arial"/>
            <w:noProof/>
          </w:rPr>
          <w:t>Residential Program Delivery Changes from 2016</w:t>
        </w:r>
        <w:r w:rsidR="008A44B8" w:rsidRPr="008A44B8">
          <w:rPr>
            <w:rFonts w:ascii="Arial" w:hAnsi="Arial" w:cs="Arial"/>
            <w:noProof/>
            <w:webHidden/>
          </w:rPr>
          <w:tab/>
        </w:r>
        <w:r w:rsidR="008A44B8" w:rsidRPr="008A44B8">
          <w:rPr>
            <w:rFonts w:ascii="Arial" w:hAnsi="Arial" w:cs="Arial"/>
            <w:noProof/>
            <w:webHidden/>
          </w:rPr>
          <w:fldChar w:fldCharType="begin"/>
        </w:r>
        <w:r w:rsidR="008A44B8" w:rsidRPr="008A44B8">
          <w:rPr>
            <w:rFonts w:ascii="Arial" w:hAnsi="Arial" w:cs="Arial"/>
            <w:noProof/>
            <w:webHidden/>
          </w:rPr>
          <w:instrText xml:space="preserve"> PAGEREF _Toc465678029 \h </w:instrText>
        </w:r>
        <w:r w:rsidR="008A44B8" w:rsidRPr="008A44B8">
          <w:rPr>
            <w:rFonts w:ascii="Arial" w:hAnsi="Arial" w:cs="Arial"/>
            <w:noProof/>
            <w:webHidden/>
          </w:rPr>
        </w:r>
        <w:r w:rsidR="008A44B8" w:rsidRPr="008A44B8">
          <w:rPr>
            <w:rFonts w:ascii="Arial" w:hAnsi="Arial" w:cs="Arial"/>
            <w:noProof/>
            <w:webHidden/>
          </w:rPr>
          <w:fldChar w:fldCharType="separate"/>
        </w:r>
        <w:r>
          <w:rPr>
            <w:rFonts w:ascii="Arial" w:hAnsi="Arial" w:cs="Arial"/>
            <w:noProof/>
            <w:webHidden/>
          </w:rPr>
          <w:t>19</w:t>
        </w:r>
        <w:r w:rsidR="008A44B8" w:rsidRPr="008A44B8">
          <w:rPr>
            <w:rFonts w:ascii="Arial" w:hAnsi="Arial" w:cs="Arial"/>
            <w:noProof/>
            <w:webHidden/>
          </w:rPr>
          <w:fldChar w:fldCharType="end"/>
        </w:r>
      </w:hyperlink>
    </w:p>
    <w:p w14:paraId="169F100F" w14:textId="2729E5DF" w:rsidR="008A44B8" w:rsidRPr="008A44B8" w:rsidRDefault="002F75E4" w:rsidP="008A44B8">
      <w:pPr>
        <w:pStyle w:val="TOC2"/>
        <w:ind w:right="-14"/>
        <w:rPr>
          <w:rFonts w:eastAsiaTheme="minorEastAsia"/>
          <w:noProof/>
          <w:sz w:val="22"/>
          <w:szCs w:val="22"/>
        </w:rPr>
      </w:pPr>
      <w:hyperlink w:anchor="_Toc465678030" w:history="1">
        <w:r w:rsidR="008A44B8" w:rsidRPr="008A44B8">
          <w:rPr>
            <w:rStyle w:val="Hyperlink"/>
            <w:noProof/>
          </w:rPr>
          <w:t>Program Offerings as of October 10th 2016</w:t>
        </w:r>
        <w:r w:rsidR="008A44B8" w:rsidRPr="008A44B8">
          <w:rPr>
            <w:noProof/>
            <w:webHidden/>
          </w:rPr>
          <w:tab/>
        </w:r>
        <w:r w:rsidR="008A44B8" w:rsidRPr="008A44B8">
          <w:rPr>
            <w:noProof/>
            <w:webHidden/>
          </w:rPr>
          <w:fldChar w:fldCharType="begin"/>
        </w:r>
        <w:r w:rsidR="008A44B8" w:rsidRPr="008A44B8">
          <w:rPr>
            <w:noProof/>
            <w:webHidden/>
          </w:rPr>
          <w:instrText xml:space="preserve"> PAGEREF _Toc465678030 \h </w:instrText>
        </w:r>
        <w:r w:rsidR="008A44B8" w:rsidRPr="008A44B8">
          <w:rPr>
            <w:noProof/>
            <w:webHidden/>
          </w:rPr>
        </w:r>
        <w:r w:rsidR="008A44B8" w:rsidRPr="008A44B8">
          <w:rPr>
            <w:noProof/>
            <w:webHidden/>
          </w:rPr>
          <w:fldChar w:fldCharType="separate"/>
        </w:r>
        <w:r>
          <w:rPr>
            <w:noProof/>
            <w:webHidden/>
          </w:rPr>
          <w:t>22</w:t>
        </w:r>
        <w:r w:rsidR="008A44B8" w:rsidRPr="008A44B8">
          <w:rPr>
            <w:noProof/>
            <w:webHidden/>
          </w:rPr>
          <w:fldChar w:fldCharType="end"/>
        </w:r>
      </w:hyperlink>
    </w:p>
    <w:p w14:paraId="6F37BC41" w14:textId="0D647242" w:rsidR="008A44B8" w:rsidRPr="008A44B8" w:rsidRDefault="002F75E4" w:rsidP="008A44B8">
      <w:pPr>
        <w:pStyle w:val="TOC2"/>
        <w:ind w:right="-14"/>
        <w:rPr>
          <w:rFonts w:eastAsiaTheme="minorEastAsia"/>
          <w:noProof/>
          <w:sz w:val="22"/>
          <w:szCs w:val="22"/>
        </w:rPr>
      </w:pPr>
      <w:hyperlink w:anchor="_Toc465678031" w:history="1">
        <w:r w:rsidR="008A44B8" w:rsidRPr="008A44B8">
          <w:rPr>
            <w:rStyle w:val="Hyperlink"/>
            <w:noProof/>
          </w:rPr>
          <w:t>Washington Low Income Program</w:t>
        </w:r>
        <w:r w:rsidR="008A44B8" w:rsidRPr="008A44B8">
          <w:rPr>
            <w:noProof/>
            <w:webHidden/>
          </w:rPr>
          <w:tab/>
        </w:r>
        <w:r w:rsidR="008A44B8" w:rsidRPr="008A44B8">
          <w:rPr>
            <w:noProof/>
            <w:webHidden/>
          </w:rPr>
          <w:fldChar w:fldCharType="begin"/>
        </w:r>
        <w:r w:rsidR="008A44B8" w:rsidRPr="008A44B8">
          <w:rPr>
            <w:noProof/>
            <w:webHidden/>
          </w:rPr>
          <w:instrText xml:space="preserve"> PAGEREF _Toc465678031 \h </w:instrText>
        </w:r>
        <w:r w:rsidR="008A44B8" w:rsidRPr="008A44B8">
          <w:rPr>
            <w:noProof/>
            <w:webHidden/>
          </w:rPr>
        </w:r>
        <w:r w:rsidR="008A44B8" w:rsidRPr="008A44B8">
          <w:rPr>
            <w:noProof/>
            <w:webHidden/>
          </w:rPr>
          <w:fldChar w:fldCharType="separate"/>
        </w:r>
        <w:r>
          <w:rPr>
            <w:noProof/>
            <w:webHidden/>
          </w:rPr>
          <w:t>28</w:t>
        </w:r>
        <w:r w:rsidR="008A44B8" w:rsidRPr="008A44B8">
          <w:rPr>
            <w:noProof/>
            <w:webHidden/>
          </w:rPr>
          <w:fldChar w:fldCharType="end"/>
        </w:r>
      </w:hyperlink>
    </w:p>
    <w:p w14:paraId="483DFB48" w14:textId="61800413" w:rsidR="008A44B8" w:rsidRPr="008A44B8" w:rsidRDefault="002F75E4" w:rsidP="008A44B8">
      <w:pPr>
        <w:pStyle w:val="TOC1"/>
        <w:tabs>
          <w:tab w:val="clear" w:pos="9360"/>
          <w:tab w:val="right" w:leader="dot" w:pos="9630"/>
        </w:tabs>
        <w:spacing w:before="0"/>
        <w:ind w:right="-14"/>
        <w:contextualSpacing/>
        <w:rPr>
          <w:rFonts w:ascii="Arial" w:eastAsiaTheme="minorEastAsia" w:hAnsi="Arial" w:cs="Arial"/>
          <w:noProof/>
          <w:sz w:val="22"/>
          <w:szCs w:val="22"/>
        </w:rPr>
      </w:pPr>
      <w:hyperlink w:anchor="_Toc465678032" w:history="1">
        <w:r w:rsidR="008A44B8" w:rsidRPr="008A44B8">
          <w:rPr>
            <w:rStyle w:val="Hyperlink"/>
            <w:rFonts w:ascii="Arial" w:hAnsi="Arial" w:cs="Arial"/>
            <w:noProof/>
          </w:rPr>
          <w:t>Conservation Programs in 2018</w:t>
        </w:r>
        <w:r w:rsidR="008A44B8" w:rsidRPr="008A44B8">
          <w:rPr>
            <w:rFonts w:ascii="Arial" w:hAnsi="Arial" w:cs="Arial"/>
            <w:noProof/>
            <w:webHidden/>
          </w:rPr>
          <w:tab/>
        </w:r>
        <w:r w:rsidR="008A44B8" w:rsidRPr="008A44B8">
          <w:rPr>
            <w:rFonts w:ascii="Arial" w:hAnsi="Arial" w:cs="Arial"/>
            <w:noProof/>
            <w:webHidden/>
          </w:rPr>
          <w:fldChar w:fldCharType="begin"/>
        </w:r>
        <w:r w:rsidR="008A44B8" w:rsidRPr="008A44B8">
          <w:rPr>
            <w:rFonts w:ascii="Arial" w:hAnsi="Arial" w:cs="Arial"/>
            <w:noProof/>
            <w:webHidden/>
          </w:rPr>
          <w:instrText xml:space="preserve"> PAGEREF _Toc465678032 \h </w:instrText>
        </w:r>
        <w:r w:rsidR="008A44B8" w:rsidRPr="008A44B8">
          <w:rPr>
            <w:rFonts w:ascii="Arial" w:hAnsi="Arial" w:cs="Arial"/>
            <w:noProof/>
            <w:webHidden/>
          </w:rPr>
        </w:r>
        <w:r w:rsidR="008A44B8" w:rsidRPr="008A44B8">
          <w:rPr>
            <w:rFonts w:ascii="Arial" w:hAnsi="Arial" w:cs="Arial"/>
            <w:noProof/>
            <w:webHidden/>
          </w:rPr>
          <w:fldChar w:fldCharType="separate"/>
        </w:r>
        <w:r>
          <w:rPr>
            <w:rFonts w:ascii="Arial" w:hAnsi="Arial" w:cs="Arial"/>
            <w:noProof/>
            <w:webHidden/>
          </w:rPr>
          <w:t>31</w:t>
        </w:r>
        <w:r w:rsidR="008A44B8" w:rsidRPr="008A44B8">
          <w:rPr>
            <w:rFonts w:ascii="Arial" w:hAnsi="Arial" w:cs="Arial"/>
            <w:noProof/>
            <w:webHidden/>
          </w:rPr>
          <w:fldChar w:fldCharType="end"/>
        </w:r>
      </w:hyperlink>
    </w:p>
    <w:p w14:paraId="0CDDC1C4" w14:textId="07292C4A" w:rsidR="008A44B8" w:rsidRPr="008A44B8" w:rsidRDefault="002F75E4" w:rsidP="008A44B8">
      <w:pPr>
        <w:pStyle w:val="TOC2"/>
        <w:ind w:right="-14"/>
        <w:rPr>
          <w:rFonts w:eastAsiaTheme="minorEastAsia"/>
          <w:noProof/>
          <w:sz w:val="22"/>
          <w:szCs w:val="22"/>
        </w:rPr>
      </w:pPr>
      <w:hyperlink w:anchor="_Toc465678033" w:history="1">
        <w:r w:rsidR="008A44B8" w:rsidRPr="008A44B8">
          <w:rPr>
            <w:rStyle w:val="Hyperlink"/>
            <w:noProof/>
          </w:rPr>
          <w:t>Improved Granularity by Climate Zone</w:t>
        </w:r>
        <w:r w:rsidR="008A44B8" w:rsidRPr="008A44B8">
          <w:rPr>
            <w:noProof/>
            <w:webHidden/>
          </w:rPr>
          <w:tab/>
        </w:r>
        <w:r w:rsidR="008A44B8" w:rsidRPr="008A44B8">
          <w:rPr>
            <w:noProof/>
            <w:webHidden/>
          </w:rPr>
          <w:fldChar w:fldCharType="begin"/>
        </w:r>
        <w:r w:rsidR="008A44B8" w:rsidRPr="008A44B8">
          <w:rPr>
            <w:noProof/>
            <w:webHidden/>
          </w:rPr>
          <w:instrText xml:space="preserve"> PAGEREF _Toc465678033 \h </w:instrText>
        </w:r>
        <w:r w:rsidR="008A44B8" w:rsidRPr="008A44B8">
          <w:rPr>
            <w:noProof/>
            <w:webHidden/>
          </w:rPr>
        </w:r>
        <w:r w:rsidR="008A44B8" w:rsidRPr="008A44B8">
          <w:rPr>
            <w:noProof/>
            <w:webHidden/>
          </w:rPr>
          <w:fldChar w:fldCharType="separate"/>
        </w:r>
        <w:r>
          <w:rPr>
            <w:noProof/>
            <w:webHidden/>
          </w:rPr>
          <w:t>33</w:t>
        </w:r>
        <w:r w:rsidR="008A44B8" w:rsidRPr="008A44B8">
          <w:rPr>
            <w:noProof/>
            <w:webHidden/>
          </w:rPr>
          <w:fldChar w:fldCharType="end"/>
        </w:r>
      </w:hyperlink>
    </w:p>
    <w:p w14:paraId="325F300E" w14:textId="5194CF20" w:rsidR="008A44B8" w:rsidRPr="008A44B8" w:rsidRDefault="002F75E4" w:rsidP="008A44B8">
      <w:pPr>
        <w:pStyle w:val="TOC2"/>
        <w:ind w:right="-14"/>
        <w:rPr>
          <w:rFonts w:eastAsiaTheme="minorEastAsia"/>
          <w:noProof/>
          <w:sz w:val="22"/>
          <w:szCs w:val="22"/>
        </w:rPr>
      </w:pPr>
      <w:hyperlink w:anchor="_Toc465678034" w:history="1">
        <w:r w:rsidR="008A44B8" w:rsidRPr="008A44B8">
          <w:rPr>
            <w:rStyle w:val="Hyperlink"/>
            <w:noProof/>
          </w:rPr>
          <w:t>Forward Looking Targets/ TEA-Pot Forecasts</w:t>
        </w:r>
        <w:r w:rsidR="008A44B8" w:rsidRPr="008A44B8">
          <w:rPr>
            <w:noProof/>
            <w:webHidden/>
          </w:rPr>
          <w:tab/>
        </w:r>
        <w:r w:rsidR="008A44B8" w:rsidRPr="008A44B8">
          <w:rPr>
            <w:noProof/>
            <w:webHidden/>
          </w:rPr>
          <w:fldChar w:fldCharType="begin"/>
        </w:r>
        <w:r w:rsidR="008A44B8" w:rsidRPr="008A44B8">
          <w:rPr>
            <w:noProof/>
            <w:webHidden/>
          </w:rPr>
          <w:instrText xml:space="preserve"> PAGEREF _Toc465678034 \h </w:instrText>
        </w:r>
        <w:r w:rsidR="008A44B8" w:rsidRPr="008A44B8">
          <w:rPr>
            <w:noProof/>
            <w:webHidden/>
          </w:rPr>
        </w:r>
        <w:r w:rsidR="008A44B8" w:rsidRPr="008A44B8">
          <w:rPr>
            <w:noProof/>
            <w:webHidden/>
          </w:rPr>
          <w:fldChar w:fldCharType="separate"/>
        </w:r>
        <w:r>
          <w:rPr>
            <w:noProof/>
            <w:webHidden/>
          </w:rPr>
          <w:t>34</w:t>
        </w:r>
        <w:r w:rsidR="008A44B8" w:rsidRPr="008A44B8">
          <w:rPr>
            <w:noProof/>
            <w:webHidden/>
          </w:rPr>
          <w:fldChar w:fldCharType="end"/>
        </w:r>
      </w:hyperlink>
    </w:p>
    <w:p w14:paraId="08C3573D" w14:textId="54DAD9F6" w:rsidR="008A44B8" w:rsidRPr="008A44B8" w:rsidRDefault="002F75E4" w:rsidP="008A44B8">
      <w:pPr>
        <w:pStyle w:val="TOC2"/>
        <w:ind w:right="-14"/>
        <w:rPr>
          <w:rFonts w:eastAsiaTheme="minorEastAsia"/>
          <w:noProof/>
          <w:sz w:val="22"/>
          <w:szCs w:val="22"/>
        </w:rPr>
      </w:pPr>
      <w:hyperlink w:anchor="_Toc465678035" w:history="1">
        <w:r w:rsidR="008A44B8" w:rsidRPr="008A44B8">
          <w:rPr>
            <w:rStyle w:val="Hyperlink"/>
            <w:noProof/>
          </w:rPr>
          <w:t>CY 2017 &amp; 2018 Targets</w:t>
        </w:r>
        <w:r w:rsidR="008A44B8" w:rsidRPr="008A44B8">
          <w:rPr>
            <w:noProof/>
            <w:webHidden/>
          </w:rPr>
          <w:tab/>
        </w:r>
        <w:r w:rsidR="008A44B8" w:rsidRPr="008A44B8">
          <w:rPr>
            <w:noProof/>
            <w:webHidden/>
          </w:rPr>
          <w:fldChar w:fldCharType="begin"/>
        </w:r>
        <w:r w:rsidR="008A44B8" w:rsidRPr="008A44B8">
          <w:rPr>
            <w:noProof/>
            <w:webHidden/>
          </w:rPr>
          <w:instrText xml:space="preserve"> PAGEREF _Toc465678035 \h </w:instrText>
        </w:r>
        <w:r w:rsidR="008A44B8" w:rsidRPr="008A44B8">
          <w:rPr>
            <w:noProof/>
            <w:webHidden/>
          </w:rPr>
        </w:r>
        <w:r w:rsidR="008A44B8" w:rsidRPr="008A44B8">
          <w:rPr>
            <w:noProof/>
            <w:webHidden/>
          </w:rPr>
          <w:fldChar w:fldCharType="separate"/>
        </w:r>
        <w:r>
          <w:rPr>
            <w:noProof/>
            <w:webHidden/>
          </w:rPr>
          <w:t>38</w:t>
        </w:r>
        <w:r w:rsidR="008A44B8" w:rsidRPr="008A44B8">
          <w:rPr>
            <w:noProof/>
            <w:webHidden/>
          </w:rPr>
          <w:fldChar w:fldCharType="end"/>
        </w:r>
      </w:hyperlink>
    </w:p>
    <w:p w14:paraId="48F683F2" w14:textId="6AE89C50" w:rsidR="008A44B8" w:rsidRPr="008A44B8" w:rsidRDefault="002F75E4" w:rsidP="008A44B8">
      <w:pPr>
        <w:pStyle w:val="TOC1"/>
        <w:tabs>
          <w:tab w:val="clear" w:pos="9360"/>
          <w:tab w:val="right" w:leader="dot" w:pos="9630"/>
        </w:tabs>
        <w:spacing w:before="0"/>
        <w:ind w:right="-14"/>
        <w:contextualSpacing/>
        <w:rPr>
          <w:rFonts w:ascii="Arial" w:eastAsiaTheme="minorEastAsia" w:hAnsi="Arial" w:cs="Arial"/>
          <w:noProof/>
          <w:sz w:val="22"/>
          <w:szCs w:val="22"/>
        </w:rPr>
      </w:pPr>
      <w:hyperlink w:anchor="_Toc465678036" w:history="1">
        <w:r w:rsidR="008A44B8" w:rsidRPr="008A44B8">
          <w:rPr>
            <w:rStyle w:val="Hyperlink"/>
            <w:rFonts w:ascii="Arial" w:hAnsi="Arial" w:cs="Arial"/>
            <w:noProof/>
          </w:rPr>
          <w:t>Long term Conservation Potential</w:t>
        </w:r>
        <w:r w:rsidR="008A44B8" w:rsidRPr="008A44B8">
          <w:rPr>
            <w:rFonts w:ascii="Arial" w:hAnsi="Arial" w:cs="Arial"/>
            <w:noProof/>
            <w:webHidden/>
          </w:rPr>
          <w:tab/>
        </w:r>
        <w:r w:rsidR="008A44B8" w:rsidRPr="008A44B8">
          <w:rPr>
            <w:rFonts w:ascii="Arial" w:hAnsi="Arial" w:cs="Arial"/>
            <w:noProof/>
            <w:webHidden/>
          </w:rPr>
          <w:fldChar w:fldCharType="begin"/>
        </w:r>
        <w:r w:rsidR="008A44B8" w:rsidRPr="008A44B8">
          <w:rPr>
            <w:rFonts w:ascii="Arial" w:hAnsi="Arial" w:cs="Arial"/>
            <w:noProof/>
            <w:webHidden/>
          </w:rPr>
          <w:instrText xml:space="preserve"> PAGEREF _Toc465678036 \h </w:instrText>
        </w:r>
        <w:r w:rsidR="008A44B8" w:rsidRPr="008A44B8">
          <w:rPr>
            <w:rFonts w:ascii="Arial" w:hAnsi="Arial" w:cs="Arial"/>
            <w:noProof/>
            <w:webHidden/>
          </w:rPr>
        </w:r>
        <w:r w:rsidR="008A44B8" w:rsidRPr="008A44B8">
          <w:rPr>
            <w:rFonts w:ascii="Arial" w:hAnsi="Arial" w:cs="Arial"/>
            <w:noProof/>
            <w:webHidden/>
          </w:rPr>
          <w:fldChar w:fldCharType="separate"/>
        </w:r>
        <w:r>
          <w:rPr>
            <w:rFonts w:ascii="Arial" w:hAnsi="Arial" w:cs="Arial"/>
            <w:noProof/>
            <w:webHidden/>
          </w:rPr>
          <w:t>41</w:t>
        </w:r>
        <w:r w:rsidR="008A44B8" w:rsidRPr="008A44B8">
          <w:rPr>
            <w:rFonts w:ascii="Arial" w:hAnsi="Arial" w:cs="Arial"/>
            <w:noProof/>
            <w:webHidden/>
          </w:rPr>
          <w:fldChar w:fldCharType="end"/>
        </w:r>
      </w:hyperlink>
    </w:p>
    <w:p w14:paraId="3430AB03" w14:textId="78C1A31E" w:rsidR="008A44B8" w:rsidRPr="008A44B8" w:rsidRDefault="002F75E4" w:rsidP="008A44B8">
      <w:pPr>
        <w:pStyle w:val="TOC1"/>
        <w:tabs>
          <w:tab w:val="clear" w:pos="9360"/>
          <w:tab w:val="right" w:leader="dot" w:pos="9630"/>
        </w:tabs>
        <w:spacing w:before="0"/>
        <w:ind w:right="-14"/>
        <w:contextualSpacing/>
        <w:rPr>
          <w:rFonts w:ascii="Arial" w:eastAsiaTheme="minorEastAsia" w:hAnsi="Arial" w:cs="Arial"/>
          <w:noProof/>
          <w:sz w:val="22"/>
          <w:szCs w:val="22"/>
        </w:rPr>
      </w:pPr>
      <w:hyperlink w:anchor="_Toc465678037" w:history="1">
        <w:r w:rsidR="008A44B8" w:rsidRPr="008A44B8">
          <w:rPr>
            <w:rStyle w:val="Hyperlink"/>
            <w:rFonts w:ascii="Arial" w:hAnsi="Arial" w:cs="Arial"/>
            <w:noProof/>
          </w:rPr>
          <w:t>Planning and EM&amp;V</w:t>
        </w:r>
        <w:r w:rsidR="008A44B8" w:rsidRPr="008A44B8">
          <w:rPr>
            <w:rFonts w:ascii="Arial" w:hAnsi="Arial" w:cs="Arial"/>
            <w:noProof/>
            <w:webHidden/>
          </w:rPr>
          <w:tab/>
        </w:r>
        <w:r w:rsidR="008A44B8" w:rsidRPr="008A44B8">
          <w:rPr>
            <w:rFonts w:ascii="Arial" w:hAnsi="Arial" w:cs="Arial"/>
            <w:noProof/>
            <w:webHidden/>
          </w:rPr>
          <w:fldChar w:fldCharType="begin"/>
        </w:r>
        <w:r w:rsidR="008A44B8" w:rsidRPr="008A44B8">
          <w:rPr>
            <w:rFonts w:ascii="Arial" w:hAnsi="Arial" w:cs="Arial"/>
            <w:noProof/>
            <w:webHidden/>
          </w:rPr>
          <w:instrText xml:space="preserve"> PAGEREF _Toc465678037 \h </w:instrText>
        </w:r>
        <w:r w:rsidR="008A44B8" w:rsidRPr="008A44B8">
          <w:rPr>
            <w:rFonts w:ascii="Arial" w:hAnsi="Arial" w:cs="Arial"/>
            <w:noProof/>
            <w:webHidden/>
          </w:rPr>
        </w:r>
        <w:r w:rsidR="008A44B8" w:rsidRPr="008A44B8">
          <w:rPr>
            <w:rFonts w:ascii="Arial" w:hAnsi="Arial" w:cs="Arial"/>
            <w:noProof/>
            <w:webHidden/>
          </w:rPr>
          <w:fldChar w:fldCharType="separate"/>
        </w:r>
        <w:r>
          <w:rPr>
            <w:rFonts w:ascii="Arial" w:hAnsi="Arial" w:cs="Arial"/>
            <w:noProof/>
            <w:webHidden/>
          </w:rPr>
          <w:t>43</w:t>
        </w:r>
        <w:r w:rsidR="008A44B8" w:rsidRPr="008A44B8">
          <w:rPr>
            <w:rFonts w:ascii="Arial" w:hAnsi="Arial" w:cs="Arial"/>
            <w:noProof/>
            <w:webHidden/>
          </w:rPr>
          <w:fldChar w:fldCharType="end"/>
        </w:r>
      </w:hyperlink>
    </w:p>
    <w:p w14:paraId="4A1D7299" w14:textId="379BB20E" w:rsidR="008A44B8" w:rsidRPr="008A44B8" w:rsidRDefault="002F75E4" w:rsidP="008A44B8">
      <w:pPr>
        <w:pStyle w:val="TOC2"/>
        <w:ind w:right="-14"/>
        <w:rPr>
          <w:rFonts w:eastAsiaTheme="minorEastAsia"/>
          <w:noProof/>
          <w:sz w:val="22"/>
          <w:szCs w:val="22"/>
        </w:rPr>
      </w:pPr>
      <w:hyperlink w:anchor="_Toc465678038" w:history="1">
        <w:r w:rsidR="008A44B8" w:rsidRPr="008A44B8">
          <w:rPr>
            <w:rStyle w:val="Hyperlink"/>
            <w:noProof/>
          </w:rPr>
          <w:t>Housing Stock Assessment Review from NEEA</w:t>
        </w:r>
        <w:r w:rsidR="008A44B8" w:rsidRPr="008A44B8">
          <w:rPr>
            <w:noProof/>
            <w:webHidden/>
          </w:rPr>
          <w:tab/>
        </w:r>
        <w:r w:rsidR="008A44B8" w:rsidRPr="008A44B8">
          <w:rPr>
            <w:noProof/>
            <w:webHidden/>
          </w:rPr>
          <w:fldChar w:fldCharType="begin"/>
        </w:r>
        <w:r w:rsidR="008A44B8" w:rsidRPr="008A44B8">
          <w:rPr>
            <w:noProof/>
            <w:webHidden/>
          </w:rPr>
          <w:instrText xml:space="preserve"> PAGEREF _Toc465678038 \h </w:instrText>
        </w:r>
        <w:r w:rsidR="008A44B8" w:rsidRPr="008A44B8">
          <w:rPr>
            <w:noProof/>
            <w:webHidden/>
          </w:rPr>
        </w:r>
        <w:r w:rsidR="008A44B8" w:rsidRPr="008A44B8">
          <w:rPr>
            <w:noProof/>
            <w:webHidden/>
          </w:rPr>
          <w:fldChar w:fldCharType="separate"/>
        </w:r>
        <w:r>
          <w:rPr>
            <w:noProof/>
            <w:webHidden/>
          </w:rPr>
          <w:t>43</w:t>
        </w:r>
        <w:r w:rsidR="008A44B8" w:rsidRPr="008A44B8">
          <w:rPr>
            <w:noProof/>
            <w:webHidden/>
          </w:rPr>
          <w:fldChar w:fldCharType="end"/>
        </w:r>
      </w:hyperlink>
    </w:p>
    <w:p w14:paraId="66C22F9F" w14:textId="6B0A9C2C" w:rsidR="008A44B8" w:rsidRPr="008A44B8" w:rsidRDefault="002F75E4" w:rsidP="008A44B8">
      <w:pPr>
        <w:pStyle w:val="TOC1"/>
        <w:tabs>
          <w:tab w:val="clear" w:pos="9360"/>
          <w:tab w:val="right" w:leader="dot" w:pos="9630"/>
        </w:tabs>
        <w:spacing w:before="0"/>
        <w:ind w:right="-14"/>
        <w:contextualSpacing/>
        <w:rPr>
          <w:rFonts w:ascii="Arial" w:eastAsiaTheme="minorEastAsia" w:hAnsi="Arial" w:cs="Arial"/>
          <w:noProof/>
          <w:sz w:val="22"/>
          <w:szCs w:val="22"/>
        </w:rPr>
      </w:pPr>
      <w:hyperlink w:anchor="_Toc465678039" w:history="1">
        <w:r w:rsidR="008A44B8" w:rsidRPr="008A44B8">
          <w:rPr>
            <w:rStyle w:val="Hyperlink"/>
            <w:rFonts w:ascii="Arial" w:hAnsi="Arial" w:cs="Arial"/>
            <w:noProof/>
          </w:rPr>
          <w:t>Outreach &amp; Messaging Campaigns</w:t>
        </w:r>
        <w:r w:rsidR="008A44B8" w:rsidRPr="008A44B8">
          <w:rPr>
            <w:rFonts w:ascii="Arial" w:hAnsi="Arial" w:cs="Arial"/>
            <w:noProof/>
            <w:webHidden/>
          </w:rPr>
          <w:tab/>
        </w:r>
        <w:r w:rsidR="008A44B8" w:rsidRPr="008A44B8">
          <w:rPr>
            <w:rFonts w:ascii="Arial" w:hAnsi="Arial" w:cs="Arial"/>
            <w:noProof/>
            <w:webHidden/>
          </w:rPr>
          <w:fldChar w:fldCharType="begin"/>
        </w:r>
        <w:r w:rsidR="008A44B8" w:rsidRPr="008A44B8">
          <w:rPr>
            <w:rFonts w:ascii="Arial" w:hAnsi="Arial" w:cs="Arial"/>
            <w:noProof/>
            <w:webHidden/>
          </w:rPr>
          <w:instrText xml:space="preserve"> PAGEREF _Toc465678039 \h </w:instrText>
        </w:r>
        <w:r w:rsidR="008A44B8" w:rsidRPr="008A44B8">
          <w:rPr>
            <w:rFonts w:ascii="Arial" w:hAnsi="Arial" w:cs="Arial"/>
            <w:noProof/>
            <w:webHidden/>
          </w:rPr>
        </w:r>
        <w:r w:rsidR="008A44B8" w:rsidRPr="008A44B8">
          <w:rPr>
            <w:rFonts w:ascii="Arial" w:hAnsi="Arial" w:cs="Arial"/>
            <w:noProof/>
            <w:webHidden/>
          </w:rPr>
          <w:fldChar w:fldCharType="separate"/>
        </w:r>
        <w:r>
          <w:rPr>
            <w:rFonts w:ascii="Arial" w:hAnsi="Arial" w:cs="Arial"/>
            <w:noProof/>
            <w:webHidden/>
          </w:rPr>
          <w:t>44</w:t>
        </w:r>
        <w:r w:rsidR="008A44B8" w:rsidRPr="008A44B8">
          <w:rPr>
            <w:rFonts w:ascii="Arial" w:hAnsi="Arial" w:cs="Arial"/>
            <w:noProof/>
            <w:webHidden/>
          </w:rPr>
          <w:fldChar w:fldCharType="end"/>
        </w:r>
      </w:hyperlink>
    </w:p>
    <w:p w14:paraId="42A9D103" w14:textId="11164311" w:rsidR="008A44B8" w:rsidRPr="008A44B8" w:rsidRDefault="002F75E4" w:rsidP="008A44B8">
      <w:pPr>
        <w:pStyle w:val="TOC2"/>
        <w:ind w:right="-14"/>
        <w:rPr>
          <w:rFonts w:eastAsiaTheme="minorEastAsia"/>
          <w:noProof/>
          <w:sz w:val="22"/>
          <w:szCs w:val="22"/>
        </w:rPr>
      </w:pPr>
      <w:hyperlink w:anchor="_Toc465678040" w:history="1">
        <w:r w:rsidR="008A44B8" w:rsidRPr="008A44B8">
          <w:rPr>
            <w:rStyle w:val="Hyperlink"/>
            <w:noProof/>
          </w:rPr>
          <w:t>Community Participation - A Key to Program Longevity and Support</w:t>
        </w:r>
        <w:r w:rsidR="008A44B8" w:rsidRPr="008A44B8">
          <w:rPr>
            <w:noProof/>
            <w:webHidden/>
          </w:rPr>
          <w:tab/>
        </w:r>
        <w:r w:rsidR="008A44B8" w:rsidRPr="008A44B8">
          <w:rPr>
            <w:noProof/>
            <w:webHidden/>
          </w:rPr>
          <w:fldChar w:fldCharType="begin"/>
        </w:r>
        <w:r w:rsidR="008A44B8" w:rsidRPr="008A44B8">
          <w:rPr>
            <w:noProof/>
            <w:webHidden/>
          </w:rPr>
          <w:instrText xml:space="preserve"> PAGEREF _Toc465678040 \h </w:instrText>
        </w:r>
        <w:r w:rsidR="008A44B8" w:rsidRPr="008A44B8">
          <w:rPr>
            <w:noProof/>
            <w:webHidden/>
          </w:rPr>
        </w:r>
        <w:r w:rsidR="008A44B8" w:rsidRPr="008A44B8">
          <w:rPr>
            <w:noProof/>
            <w:webHidden/>
          </w:rPr>
          <w:fldChar w:fldCharType="separate"/>
        </w:r>
        <w:r>
          <w:rPr>
            <w:noProof/>
            <w:webHidden/>
          </w:rPr>
          <w:t>45</w:t>
        </w:r>
        <w:r w:rsidR="008A44B8" w:rsidRPr="008A44B8">
          <w:rPr>
            <w:noProof/>
            <w:webHidden/>
          </w:rPr>
          <w:fldChar w:fldCharType="end"/>
        </w:r>
      </w:hyperlink>
    </w:p>
    <w:p w14:paraId="07C4294C" w14:textId="1E17990D" w:rsidR="008A44B8" w:rsidRPr="008A44B8" w:rsidRDefault="002F75E4" w:rsidP="008A44B8">
      <w:pPr>
        <w:pStyle w:val="TOC2"/>
        <w:ind w:right="-14"/>
        <w:rPr>
          <w:rFonts w:eastAsiaTheme="minorEastAsia"/>
          <w:noProof/>
          <w:sz w:val="22"/>
          <w:szCs w:val="22"/>
        </w:rPr>
      </w:pPr>
      <w:hyperlink w:anchor="_Toc465678041" w:history="1">
        <w:r w:rsidR="008A44B8" w:rsidRPr="008A44B8">
          <w:rPr>
            <w:rStyle w:val="Hyperlink"/>
            <w:noProof/>
          </w:rPr>
          <w:t>Residential Focus</w:t>
        </w:r>
        <w:r w:rsidR="008A44B8" w:rsidRPr="008A44B8">
          <w:rPr>
            <w:noProof/>
            <w:webHidden/>
          </w:rPr>
          <w:tab/>
        </w:r>
        <w:r w:rsidR="008A44B8" w:rsidRPr="008A44B8">
          <w:rPr>
            <w:noProof/>
            <w:webHidden/>
          </w:rPr>
          <w:fldChar w:fldCharType="begin"/>
        </w:r>
        <w:r w:rsidR="008A44B8" w:rsidRPr="008A44B8">
          <w:rPr>
            <w:noProof/>
            <w:webHidden/>
          </w:rPr>
          <w:instrText xml:space="preserve"> PAGEREF _Toc465678041 \h </w:instrText>
        </w:r>
        <w:r w:rsidR="008A44B8" w:rsidRPr="008A44B8">
          <w:rPr>
            <w:noProof/>
            <w:webHidden/>
          </w:rPr>
        </w:r>
        <w:r w:rsidR="008A44B8" w:rsidRPr="008A44B8">
          <w:rPr>
            <w:noProof/>
            <w:webHidden/>
          </w:rPr>
          <w:fldChar w:fldCharType="separate"/>
        </w:r>
        <w:r>
          <w:rPr>
            <w:noProof/>
            <w:webHidden/>
          </w:rPr>
          <w:t>48</w:t>
        </w:r>
        <w:r w:rsidR="008A44B8" w:rsidRPr="008A44B8">
          <w:rPr>
            <w:noProof/>
            <w:webHidden/>
          </w:rPr>
          <w:fldChar w:fldCharType="end"/>
        </w:r>
      </w:hyperlink>
    </w:p>
    <w:p w14:paraId="0B710DD9" w14:textId="0A575234" w:rsidR="008A44B8" w:rsidRPr="008A44B8" w:rsidRDefault="002F75E4" w:rsidP="008A44B8">
      <w:pPr>
        <w:pStyle w:val="TOC2"/>
        <w:ind w:right="-14"/>
        <w:rPr>
          <w:rFonts w:eastAsiaTheme="minorEastAsia"/>
          <w:noProof/>
          <w:sz w:val="22"/>
          <w:szCs w:val="22"/>
        </w:rPr>
      </w:pPr>
      <w:hyperlink w:anchor="_Toc465678042" w:history="1">
        <w:r w:rsidR="008A44B8" w:rsidRPr="008A44B8">
          <w:rPr>
            <w:rStyle w:val="Hyperlink"/>
            <w:noProof/>
          </w:rPr>
          <w:t>Low Income messaging opportunities</w:t>
        </w:r>
        <w:r w:rsidR="008A44B8" w:rsidRPr="008A44B8">
          <w:rPr>
            <w:noProof/>
            <w:webHidden/>
          </w:rPr>
          <w:tab/>
        </w:r>
        <w:r w:rsidR="008A44B8" w:rsidRPr="008A44B8">
          <w:rPr>
            <w:noProof/>
            <w:webHidden/>
          </w:rPr>
          <w:fldChar w:fldCharType="begin"/>
        </w:r>
        <w:r w:rsidR="008A44B8" w:rsidRPr="008A44B8">
          <w:rPr>
            <w:noProof/>
            <w:webHidden/>
          </w:rPr>
          <w:instrText xml:space="preserve"> PAGEREF _Toc465678042 \h </w:instrText>
        </w:r>
        <w:r w:rsidR="008A44B8" w:rsidRPr="008A44B8">
          <w:rPr>
            <w:noProof/>
            <w:webHidden/>
          </w:rPr>
        </w:r>
        <w:r w:rsidR="008A44B8" w:rsidRPr="008A44B8">
          <w:rPr>
            <w:noProof/>
            <w:webHidden/>
          </w:rPr>
          <w:fldChar w:fldCharType="separate"/>
        </w:r>
        <w:r>
          <w:rPr>
            <w:noProof/>
            <w:webHidden/>
          </w:rPr>
          <w:t>50</w:t>
        </w:r>
        <w:r w:rsidR="008A44B8" w:rsidRPr="008A44B8">
          <w:rPr>
            <w:noProof/>
            <w:webHidden/>
          </w:rPr>
          <w:fldChar w:fldCharType="end"/>
        </w:r>
      </w:hyperlink>
    </w:p>
    <w:p w14:paraId="0B2CEB04" w14:textId="52F95D7F" w:rsidR="008A44B8" w:rsidRPr="008A44B8" w:rsidRDefault="002F75E4" w:rsidP="008A44B8">
      <w:pPr>
        <w:pStyle w:val="TOC2"/>
        <w:ind w:right="-14"/>
        <w:rPr>
          <w:rFonts w:eastAsiaTheme="minorEastAsia"/>
          <w:noProof/>
          <w:sz w:val="22"/>
          <w:szCs w:val="22"/>
        </w:rPr>
      </w:pPr>
      <w:hyperlink w:anchor="_Toc465678043" w:history="1">
        <w:r w:rsidR="008A44B8" w:rsidRPr="008A44B8">
          <w:rPr>
            <w:rStyle w:val="Hyperlink"/>
            <w:noProof/>
          </w:rPr>
          <w:t>Commercial Focus</w:t>
        </w:r>
        <w:r w:rsidR="008A44B8" w:rsidRPr="008A44B8">
          <w:rPr>
            <w:noProof/>
            <w:webHidden/>
          </w:rPr>
          <w:tab/>
        </w:r>
        <w:r w:rsidR="008A44B8" w:rsidRPr="008A44B8">
          <w:rPr>
            <w:noProof/>
            <w:webHidden/>
          </w:rPr>
          <w:fldChar w:fldCharType="begin"/>
        </w:r>
        <w:r w:rsidR="008A44B8" w:rsidRPr="008A44B8">
          <w:rPr>
            <w:noProof/>
            <w:webHidden/>
          </w:rPr>
          <w:instrText xml:space="preserve"> PAGEREF _Toc465678043 \h </w:instrText>
        </w:r>
        <w:r w:rsidR="008A44B8" w:rsidRPr="008A44B8">
          <w:rPr>
            <w:noProof/>
            <w:webHidden/>
          </w:rPr>
        </w:r>
        <w:r w:rsidR="008A44B8" w:rsidRPr="008A44B8">
          <w:rPr>
            <w:noProof/>
            <w:webHidden/>
          </w:rPr>
          <w:fldChar w:fldCharType="separate"/>
        </w:r>
        <w:r>
          <w:rPr>
            <w:noProof/>
            <w:webHidden/>
          </w:rPr>
          <w:t>50</w:t>
        </w:r>
        <w:r w:rsidR="008A44B8" w:rsidRPr="008A44B8">
          <w:rPr>
            <w:noProof/>
            <w:webHidden/>
          </w:rPr>
          <w:fldChar w:fldCharType="end"/>
        </w:r>
      </w:hyperlink>
    </w:p>
    <w:p w14:paraId="22A7FAE3" w14:textId="77777777" w:rsidR="000A4974" w:rsidRPr="00881D8B" w:rsidRDefault="000A4974" w:rsidP="008A44B8">
      <w:pPr>
        <w:tabs>
          <w:tab w:val="right" w:leader="dot" w:pos="8986"/>
          <w:tab w:val="right" w:leader="dot" w:pos="9630"/>
          <w:tab w:val="right" w:leader="dot" w:pos="9720"/>
        </w:tabs>
        <w:spacing w:after="0" w:line="240" w:lineRule="auto"/>
        <w:ind w:right="-14"/>
        <w:contextualSpacing/>
        <w:jc w:val="center"/>
        <w:rPr>
          <w:rFonts w:eastAsia="Arial"/>
          <w:b/>
          <w:bCs/>
          <w:spacing w:val="-3"/>
          <w:sz w:val="28"/>
        </w:rPr>
      </w:pPr>
      <w:r w:rsidRPr="008A44B8">
        <w:rPr>
          <w:rFonts w:eastAsia="Arial"/>
          <w:b/>
          <w:bCs/>
          <w:spacing w:val="-3"/>
        </w:rPr>
        <w:fldChar w:fldCharType="end"/>
      </w:r>
    </w:p>
    <w:p w14:paraId="2150921C" w14:textId="77777777" w:rsidR="008E3FDB" w:rsidRPr="004B54B4" w:rsidRDefault="008E3FDB" w:rsidP="0068556F">
      <w:pPr>
        <w:widowControl/>
        <w:spacing w:after="0"/>
        <w:rPr>
          <w:b/>
          <w:spacing w:val="-3"/>
          <w:szCs w:val="20"/>
          <w:u w:val="single"/>
        </w:rPr>
      </w:pPr>
      <w:r w:rsidRPr="00351143">
        <w:lastRenderedPageBreak/>
        <w:br w:type="page"/>
      </w:r>
    </w:p>
    <w:p w14:paraId="2B020621" w14:textId="77777777" w:rsidR="00525FE4" w:rsidRPr="00804108" w:rsidRDefault="00525FE4" w:rsidP="006809C1">
      <w:pPr>
        <w:pStyle w:val="Heading1"/>
        <w:rPr>
          <w:rFonts w:eastAsia="Arial"/>
          <w:bCs/>
        </w:rPr>
      </w:pPr>
      <w:bookmarkStart w:id="1" w:name="_Toc465678010"/>
      <w:r w:rsidRPr="004B54B4">
        <w:lastRenderedPageBreak/>
        <w:t>Introduction</w:t>
      </w:r>
      <w:bookmarkEnd w:id="1"/>
      <w:r w:rsidRPr="004B54B4">
        <w:t xml:space="preserve"> </w:t>
      </w:r>
    </w:p>
    <w:p w14:paraId="4F11A856" w14:textId="7BB6B2EF" w:rsidR="00D81240" w:rsidRDefault="00F26226" w:rsidP="006809C1">
      <w:pPr>
        <w:numPr>
          <w:ilvl w:val="12"/>
          <w:numId w:val="0"/>
        </w:numPr>
        <w:tabs>
          <w:tab w:val="left" w:pos="-1440"/>
          <w:tab w:val="left" w:pos="-720"/>
          <w:tab w:val="left" w:pos="0"/>
          <w:tab w:val="left" w:pos="1080"/>
          <w:tab w:val="left" w:pos="1440"/>
        </w:tabs>
        <w:suppressAutoHyphens/>
        <w:spacing w:after="0"/>
        <w:contextualSpacing/>
        <w:jc w:val="both"/>
        <w:rPr>
          <w:spacing w:val="-3"/>
        </w:rPr>
      </w:pPr>
      <w:r w:rsidRPr="00E147C5">
        <w:rPr>
          <w:spacing w:val="-3"/>
        </w:rPr>
        <w:t xml:space="preserve">Cascade Natural Gas </w:t>
      </w:r>
      <w:r w:rsidR="00474C74" w:rsidRPr="00E147C5">
        <w:rPr>
          <w:spacing w:val="-3"/>
        </w:rPr>
        <w:t xml:space="preserve">Corporation </w:t>
      </w:r>
      <w:r w:rsidRPr="00E147C5">
        <w:rPr>
          <w:spacing w:val="-3"/>
        </w:rPr>
        <w:t>has developed this Conservation Plan</w:t>
      </w:r>
      <w:r w:rsidR="00474C74" w:rsidRPr="00E147C5">
        <w:rPr>
          <w:spacing w:val="-3"/>
        </w:rPr>
        <w:t xml:space="preserve"> in </w:t>
      </w:r>
      <w:r w:rsidR="001C1BE1" w:rsidRPr="00E147C5">
        <w:rPr>
          <w:spacing w:val="-3"/>
        </w:rPr>
        <w:t>consultation</w:t>
      </w:r>
      <w:r w:rsidR="00474C74" w:rsidRPr="00E147C5">
        <w:rPr>
          <w:spacing w:val="-3"/>
        </w:rPr>
        <w:t xml:space="preserve"> with its Conservation Advisory Group (CAG)</w:t>
      </w:r>
      <w:r w:rsidRPr="00E147C5">
        <w:rPr>
          <w:spacing w:val="-3"/>
        </w:rPr>
        <w:t xml:space="preserve"> as a roadmap to the 201</w:t>
      </w:r>
      <w:r w:rsidR="00C76AC7" w:rsidRPr="00E147C5">
        <w:rPr>
          <w:spacing w:val="-3"/>
        </w:rPr>
        <w:t>7</w:t>
      </w:r>
      <w:r w:rsidRPr="00E147C5">
        <w:rPr>
          <w:spacing w:val="-3"/>
        </w:rPr>
        <w:t xml:space="preserve"> and 201</w:t>
      </w:r>
      <w:r w:rsidR="00C76AC7" w:rsidRPr="00E147C5">
        <w:rPr>
          <w:spacing w:val="-3"/>
        </w:rPr>
        <w:t>8</w:t>
      </w:r>
      <w:r w:rsidRPr="00E147C5">
        <w:rPr>
          <w:spacing w:val="-3"/>
        </w:rPr>
        <w:t xml:space="preserve"> </w:t>
      </w:r>
      <w:r w:rsidR="00C76AC7" w:rsidRPr="00E147C5">
        <w:rPr>
          <w:spacing w:val="-3"/>
        </w:rPr>
        <w:t xml:space="preserve">near </w:t>
      </w:r>
      <w:r w:rsidRPr="00E147C5">
        <w:rPr>
          <w:spacing w:val="-3"/>
        </w:rPr>
        <w:t xml:space="preserve">term </w:t>
      </w:r>
      <w:r w:rsidR="00474C74" w:rsidRPr="00E147C5">
        <w:rPr>
          <w:spacing w:val="-3"/>
        </w:rPr>
        <w:t>conservation strategy</w:t>
      </w:r>
      <w:r w:rsidRPr="00E147C5">
        <w:rPr>
          <w:spacing w:val="-3"/>
        </w:rPr>
        <w:t xml:space="preserve"> </w:t>
      </w:r>
      <w:r w:rsidR="00474C74" w:rsidRPr="00E147C5">
        <w:rPr>
          <w:spacing w:val="-3"/>
        </w:rPr>
        <w:t>for</w:t>
      </w:r>
      <w:r w:rsidRPr="00E147C5">
        <w:rPr>
          <w:spacing w:val="-3"/>
        </w:rPr>
        <w:t xml:space="preserve"> reducing consumption through </w:t>
      </w:r>
      <w:r w:rsidR="00474C74" w:rsidRPr="00E147C5">
        <w:rPr>
          <w:spacing w:val="-3"/>
        </w:rPr>
        <w:t>its Conservation Incentive Programs</w:t>
      </w:r>
      <w:r w:rsidR="00E167FD">
        <w:rPr>
          <w:spacing w:val="-3"/>
        </w:rPr>
        <w:t xml:space="preserve"> (CIP)</w:t>
      </w:r>
      <w:r w:rsidR="00474C74" w:rsidRPr="00E147C5">
        <w:rPr>
          <w:spacing w:val="-3"/>
        </w:rPr>
        <w:t xml:space="preserve">. </w:t>
      </w:r>
    </w:p>
    <w:p w14:paraId="3C621C88" w14:textId="77777777" w:rsidR="00D81240" w:rsidRDefault="00D81240" w:rsidP="006809C1">
      <w:pPr>
        <w:numPr>
          <w:ilvl w:val="12"/>
          <w:numId w:val="0"/>
        </w:numPr>
        <w:tabs>
          <w:tab w:val="left" w:pos="-1440"/>
          <w:tab w:val="left" w:pos="-720"/>
          <w:tab w:val="left" w:pos="0"/>
          <w:tab w:val="left" w:pos="1080"/>
          <w:tab w:val="left" w:pos="1440"/>
        </w:tabs>
        <w:suppressAutoHyphens/>
        <w:spacing w:after="0"/>
        <w:contextualSpacing/>
        <w:jc w:val="both"/>
        <w:rPr>
          <w:spacing w:val="-3"/>
        </w:rPr>
      </w:pPr>
    </w:p>
    <w:p w14:paraId="77DC2866" w14:textId="64153886" w:rsidR="002E7ED1" w:rsidRDefault="00C002B1" w:rsidP="006809C1">
      <w:pPr>
        <w:numPr>
          <w:ilvl w:val="12"/>
          <w:numId w:val="0"/>
        </w:numPr>
        <w:tabs>
          <w:tab w:val="left" w:pos="-1440"/>
          <w:tab w:val="left" w:pos="-720"/>
          <w:tab w:val="left" w:pos="0"/>
          <w:tab w:val="left" w:pos="1080"/>
          <w:tab w:val="left" w:pos="1440"/>
        </w:tabs>
        <w:suppressAutoHyphens/>
        <w:spacing w:after="0"/>
        <w:contextualSpacing/>
        <w:jc w:val="both"/>
        <w:rPr>
          <w:spacing w:val="-3"/>
        </w:rPr>
      </w:pPr>
      <w:r w:rsidRPr="00E147C5">
        <w:rPr>
          <w:spacing w:val="-3"/>
        </w:rPr>
        <w:t>In this second rendition of the Conservation Plan</w:t>
      </w:r>
      <w:r>
        <w:rPr>
          <w:spacing w:val="-3"/>
        </w:rPr>
        <w:t>,</w:t>
      </w:r>
      <w:r w:rsidRPr="00E147C5">
        <w:rPr>
          <w:spacing w:val="-3"/>
        </w:rPr>
        <w:t xml:space="preserve"> the Company has completed transition</w:t>
      </w:r>
      <w:r w:rsidR="00C235C5">
        <w:rPr>
          <w:spacing w:val="-3"/>
        </w:rPr>
        <w:t>ing</w:t>
      </w:r>
      <w:r w:rsidRPr="00E147C5">
        <w:rPr>
          <w:spacing w:val="-3"/>
        </w:rPr>
        <w:t xml:space="preserve"> from its traditional planning document housed in the Integrated Resource Plan (IRP) to this</w:t>
      </w:r>
      <w:r>
        <w:rPr>
          <w:spacing w:val="-3"/>
        </w:rPr>
        <w:t xml:space="preserve"> standalone plan. </w:t>
      </w:r>
      <w:r w:rsidR="006E34D5" w:rsidRPr="00E147C5">
        <w:rPr>
          <w:rFonts w:eastAsiaTheme="minorHAnsi"/>
        </w:rPr>
        <w:t xml:space="preserve">Several </w:t>
      </w:r>
      <w:r w:rsidR="006E34D5" w:rsidRPr="00E147C5">
        <w:rPr>
          <w:rFonts w:eastAsiaTheme="minorHAnsi"/>
        </w:rPr>
        <w:lastRenderedPageBreak/>
        <w:t>Conservation Advisory Group (CAG) meetings have been held in the past year to clarify the elements of the Company’s DSM efforts that stakeholders would like to see addressed in the IRP, and those which are more appropriately housed within the Conservation Plan.</w:t>
      </w:r>
      <w:r w:rsidR="006E34D5">
        <w:rPr>
          <w:spacing w:val="-3"/>
        </w:rPr>
        <w:t xml:space="preserve"> </w:t>
      </w:r>
      <w:r w:rsidR="002E7ED1">
        <w:rPr>
          <w:spacing w:val="-3"/>
        </w:rPr>
        <w:t>As a result, the following allocation of planning information can be found between these two documents:</w:t>
      </w:r>
    </w:p>
    <w:p w14:paraId="6E942852" w14:textId="77777777" w:rsidR="002E7ED1" w:rsidRPr="00E147C5" w:rsidRDefault="002E7ED1" w:rsidP="006809C1">
      <w:pPr>
        <w:numPr>
          <w:ilvl w:val="12"/>
          <w:numId w:val="0"/>
        </w:numPr>
        <w:tabs>
          <w:tab w:val="left" w:pos="-1440"/>
          <w:tab w:val="left" w:pos="-720"/>
          <w:tab w:val="left" w:pos="0"/>
          <w:tab w:val="left" w:pos="1080"/>
          <w:tab w:val="left" w:pos="1440"/>
        </w:tabs>
        <w:suppressAutoHyphens/>
        <w:spacing w:after="0"/>
        <w:contextualSpacing/>
        <w:jc w:val="both"/>
        <w:rPr>
          <w:spacing w:val="-3"/>
        </w:rPr>
      </w:pPr>
    </w:p>
    <w:p w14:paraId="07B1DE2F" w14:textId="58BBD2F6" w:rsidR="00E4435B" w:rsidRPr="00E147C5" w:rsidRDefault="002E7ED1" w:rsidP="006809C1">
      <w:pPr>
        <w:numPr>
          <w:ilvl w:val="12"/>
          <w:numId w:val="0"/>
        </w:numPr>
        <w:tabs>
          <w:tab w:val="left" w:pos="-1440"/>
          <w:tab w:val="left" w:pos="-720"/>
          <w:tab w:val="left" w:pos="0"/>
          <w:tab w:val="left" w:pos="1080"/>
          <w:tab w:val="left" w:pos="1440"/>
        </w:tabs>
        <w:suppressAutoHyphens/>
        <w:spacing w:after="0"/>
        <w:contextualSpacing/>
        <w:jc w:val="both"/>
        <w:rPr>
          <w:spacing w:val="-3"/>
        </w:rPr>
      </w:pPr>
      <w:r>
        <w:rPr>
          <w:spacing w:val="-3"/>
        </w:rPr>
        <w:t xml:space="preserve">1) </w:t>
      </w:r>
      <w:r w:rsidR="00C002B1">
        <w:rPr>
          <w:spacing w:val="-3"/>
        </w:rPr>
        <w:t>A</w:t>
      </w:r>
      <w:r w:rsidR="004441BC">
        <w:rPr>
          <w:spacing w:val="-3"/>
        </w:rPr>
        <w:t xml:space="preserve">n </w:t>
      </w:r>
      <w:r w:rsidR="00474C74" w:rsidRPr="00E147C5">
        <w:rPr>
          <w:spacing w:val="-3"/>
        </w:rPr>
        <w:t xml:space="preserve">executive summary </w:t>
      </w:r>
      <w:r w:rsidR="00070F78" w:rsidRPr="00E147C5">
        <w:rPr>
          <w:spacing w:val="-3"/>
        </w:rPr>
        <w:t xml:space="preserve">of the </w:t>
      </w:r>
      <w:r w:rsidR="00C76AC7" w:rsidRPr="00E147C5">
        <w:rPr>
          <w:spacing w:val="-3"/>
        </w:rPr>
        <w:t>potential</w:t>
      </w:r>
      <w:r w:rsidR="00070F78" w:rsidRPr="00E147C5">
        <w:rPr>
          <w:spacing w:val="-3"/>
        </w:rPr>
        <w:t xml:space="preserve"> forecasting </w:t>
      </w:r>
      <w:r w:rsidR="00C76AC7" w:rsidRPr="00E147C5">
        <w:rPr>
          <w:spacing w:val="-3"/>
        </w:rPr>
        <w:t xml:space="preserve">of </w:t>
      </w:r>
      <w:r w:rsidR="00F1162A">
        <w:rPr>
          <w:spacing w:val="-3"/>
        </w:rPr>
        <w:t>the Company’s</w:t>
      </w:r>
      <w:r w:rsidR="00F1162A" w:rsidRPr="00E147C5">
        <w:rPr>
          <w:spacing w:val="-3"/>
        </w:rPr>
        <w:t xml:space="preserve"> </w:t>
      </w:r>
      <w:r w:rsidR="00C76AC7" w:rsidRPr="00E147C5">
        <w:rPr>
          <w:spacing w:val="-3"/>
        </w:rPr>
        <w:t>energy-efficiency efforts</w:t>
      </w:r>
      <w:r w:rsidR="008A3CB2">
        <w:rPr>
          <w:spacing w:val="-3"/>
        </w:rPr>
        <w:t xml:space="preserve"> </w:t>
      </w:r>
      <w:r>
        <w:rPr>
          <w:spacing w:val="-3"/>
        </w:rPr>
        <w:t>remains</w:t>
      </w:r>
      <w:r w:rsidR="00C76AC7" w:rsidRPr="00E147C5">
        <w:rPr>
          <w:spacing w:val="-3"/>
        </w:rPr>
        <w:t xml:space="preserve"> in</w:t>
      </w:r>
      <w:r w:rsidR="00083B11" w:rsidRPr="00E147C5">
        <w:rPr>
          <w:spacing w:val="-3"/>
        </w:rPr>
        <w:t xml:space="preserve"> the </w:t>
      </w:r>
      <w:r w:rsidR="00C76AC7" w:rsidRPr="00E147C5">
        <w:rPr>
          <w:spacing w:val="-3"/>
        </w:rPr>
        <w:t>Demand Side Management</w:t>
      </w:r>
      <w:r w:rsidR="00B6518C">
        <w:rPr>
          <w:spacing w:val="-3"/>
        </w:rPr>
        <w:t xml:space="preserve"> (DSM)</w:t>
      </w:r>
      <w:r w:rsidR="00C76AC7" w:rsidRPr="00E147C5">
        <w:rPr>
          <w:spacing w:val="-3"/>
        </w:rPr>
        <w:t xml:space="preserve"> chapter of the </w:t>
      </w:r>
      <w:r w:rsidR="00474C74" w:rsidRPr="00E147C5">
        <w:rPr>
          <w:spacing w:val="-3"/>
        </w:rPr>
        <w:t>IRP.</w:t>
      </w:r>
      <w:r w:rsidR="00070F78" w:rsidRPr="00E147C5">
        <w:rPr>
          <w:spacing w:val="-3"/>
        </w:rPr>
        <w:t xml:space="preserve"> </w:t>
      </w:r>
      <w:r>
        <w:rPr>
          <w:spacing w:val="-3"/>
        </w:rPr>
        <w:t xml:space="preserve">2) </w:t>
      </w:r>
      <w:r w:rsidR="00070F78" w:rsidRPr="00E147C5">
        <w:rPr>
          <w:spacing w:val="-3"/>
        </w:rPr>
        <w:t xml:space="preserve">General discussion around </w:t>
      </w:r>
      <w:r w:rsidR="00C76AC7" w:rsidRPr="00E147C5">
        <w:rPr>
          <w:spacing w:val="-3"/>
        </w:rPr>
        <w:t>DSM in</w:t>
      </w:r>
      <w:r w:rsidR="00D14BD1" w:rsidRPr="00E147C5">
        <w:rPr>
          <w:spacing w:val="-3"/>
        </w:rPr>
        <w:t xml:space="preserve">cluding </w:t>
      </w:r>
      <w:r w:rsidR="00D14BD1" w:rsidRPr="00E147C5">
        <w:rPr>
          <w:spacing w:val="-3"/>
        </w:rPr>
        <w:lastRenderedPageBreak/>
        <w:t xml:space="preserve">environmental externalities, </w:t>
      </w:r>
      <w:r w:rsidR="001C1BE1" w:rsidRPr="00E147C5">
        <w:rPr>
          <w:spacing w:val="-3"/>
        </w:rPr>
        <w:t>regional energy planning and</w:t>
      </w:r>
      <w:r w:rsidR="00B159C9" w:rsidRPr="00E147C5">
        <w:rPr>
          <w:spacing w:val="-3"/>
        </w:rPr>
        <w:t xml:space="preserve"> legislative impacts </w:t>
      </w:r>
      <w:r w:rsidR="00C76AC7" w:rsidRPr="00E147C5">
        <w:rPr>
          <w:spacing w:val="-3"/>
        </w:rPr>
        <w:t>have</w:t>
      </w:r>
      <w:r w:rsidR="00B6518C">
        <w:rPr>
          <w:spacing w:val="-3"/>
        </w:rPr>
        <w:t xml:space="preserve"> also</w:t>
      </w:r>
      <w:r w:rsidR="00C76AC7" w:rsidRPr="00E147C5">
        <w:rPr>
          <w:spacing w:val="-3"/>
        </w:rPr>
        <w:t xml:space="preserve"> </w:t>
      </w:r>
      <w:r w:rsidR="001C1BE1" w:rsidRPr="00E147C5">
        <w:rPr>
          <w:spacing w:val="-3"/>
        </w:rPr>
        <w:t>remain</w:t>
      </w:r>
      <w:r w:rsidR="00C76AC7" w:rsidRPr="00E147C5">
        <w:rPr>
          <w:spacing w:val="-3"/>
        </w:rPr>
        <w:t>ed a</w:t>
      </w:r>
      <w:r w:rsidR="00294678" w:rsidRPr="00E147C5">
        <w:rPr>
          <w:spacing w:val="-3"/>
        </w:rPr>
        <w:t xml:space="preserve"> </w:t>
      </w:r>
      <w:r w:rsidR="001C1BE1" w:rsidRPr="00E147C5">
        <w:rPr>
          <w:spacing w:val="-3"/>
        </w:rPr>
        <w:t>part of the IR</w:t>
      </w:r>
      <w:r w:rsidR="00345420">
        <w:rPr>
          <w:spacing w:val="-3"/>
        </w:rPr>
        <w:t>P</w:t>
      </w:r>
      <w:r w:rsidR="00C76619">
        <w:rPr>
          <w:spacing w:val="-3"/>
        </w:rPr>
        <w:t>.</w:t>
      </w:r>
      <w:r w:rsidR="008001C2">
        <w:rPr>
          <w:spacing w:val="-3"/>
        </w:rPr>
        <w:t xml:space="preserve"> </w:t>
      </w:r>
      <w:r w:rsidR="004E019E">
        <w:rPr>
          <w:spacing w:val="-3"/>
        </w:rPr>
        <w:t>In contrast, the</w:t>
      </w:r>
      <w:r w:rsidR="00C76619">
        <w:rPr>
          <w:spacing w:val="-3"/>
        </w:rPr>
        <w:t xml:space="preserve"> </w:t>
      </w:r>
      <w:r w:rsidR="001C1BE1" w:rsidRPr="00E147C5">
        <w:rPr>
          <w:spacing w:val="-3"/>
        </w:rPr>
        <w:t xml:space="preserve">Conservation Plan </w:t>
      </w:r>
      <w:r w:rsidR="00625A7F">
        <w:rPr>
          <w:spacing w:val="-3"/>
        </w:rPr>
        <w:t>places its focus on</w:t>
      </w:r>
      <w:r w:rsidR="001C1BE1" w:rsidRPr="00E147C5">
        <w:rPr>
          <w:spacing w:val="-3"/>
        </w:rPr>
        <w:t xml:space="preserve"> potential and near-term conservation program planning v</w:t>
      </w:r>
      <w:r w:rsidR="00C21B81">
        <w:rPr>
          <w:spacing w:val="-3"/>
        </w:rPr>
        <w:t>ersus</w:t>
      </w:r>
      <w:r w:rsidR="001C1BE1" w:rsidRPr="00E147C5">
        <w:rPr>
          <w:spacing w:val="-3"/>
        </w:rPr>
        <w:t xml:space="preserve"> the long term 20 year outlook inherent in the IRP.</w:t>
      </w:r>
      <w:r w:rsidR="00294678" w:rsidRPr="00E147C5">
        <w:rPr>
          <w:spacing w:val="-3"/>
        </w:rPr>
        <w:t xml:space="preserve">  </w:t>
      </w:r>
    </w:p>
    <w:p w14:paraId="4DA55B68" w14:textId="77777777" w:rsidR="00E4435B" w:rsidRPr="00E147C5" w:rsidRDefault="00E4435B" w:rsidP="006809C1">
      <w:pPr>
        <w:numPr>
          <w:ilvl w:val="12"/>
          <w:numId w:val="0"/>
        </w:numPr>
        <w:tabs>
          <w:tab w:val="left" w:pos="-1440"/>
          <w:tab w:val="left" w:pos="-720"/>
          <w:tab w:val="left" w:pos="0"/>
          <w:tab w:val="left" w:pos="1080"/>
          <w:tab w:val="left" w:pos="1440"/>
        </w:tabs>
        <w:suppressAutoHyphens/>
        <w:spacing w:after="0"/>
        <w:contextualSpacing/>
        <w:jc w:val="both"/>
        <w:rPr>
          <w:spacing w:val="-3"/>
        </w:rPr>
      </w:pPr>
    </w:p>
    <w:p w14:paraId="5BB096AC" w14:textId="3BFCD901" w:rsidR="00F513A3" w:rsidRPr="00E147C5" w:rsidRDefault="0078209C" w:rsidP="006809C1">
      <w:pPr>
        <w:numPr>
          <w:ilvl w:val="12"/>
          <w:numId w:val="0"/>
        </w:numPr>
        <w:tabs>
          <w:tab w:val="left" w:pos="-1440"/>
          <w:tab w:val="left" w:pos="-720"/>
          <w:tab w:val="left" w:pos="0"/>
          <w:tab w:val="left" w:pos="1080"/>
          <w:tab w:val="left" w:pos="1440"/>
        </w:tabs>
        <w:suppressAutoHyphens/>
        <w:spacing w:after="0"/>
        <w:contextualSpacing/>
        <w:jc w:val="both"/>
        <w:rPr>
          <w:spacing w:val="-3"/>
        </w:rPr>
      </w:pPr>
      <w:r>
        <w:rPr>
          <w:spacing w:val="-3"/>
        </w:rPr>
        <w:t xml:space="preserve">The Company’s Conservation Plan, provided below, </w:t>
      </w:r>
      <w:r w:rsidR="00E4435B" w:rsidRPr="00E147C5">
        <w:rPr>
          <w:spacing w:val="-3"/>
        </w:rPr>
        <w:t>will discuss the potential savings determined for the Cascade Natural Gas Corporation (CNGC) Washington</w:t>
      </w:r>
      <w:r w:rsidR="00D23E0D" w:rsidRPr="00E147C5">
        <w:rPr>
          <w:spacing w:val="-3"/>
        </w:rPr>
        <w:t xml:space="preserve"> service territory through </w:t>
      </w:r>
      <w:r w:rsidR="00AA15BC">
        <w:rPr>
          <w:spacing w:val="-3"/>
        </w:rPr>
        <w:t>the Company’s</w:t>
      </w:r>
      <w:r w:rsidR="00AA15BC" w:rsidRPr="00E147C5">
        <w:rPr>
          <w:spacing w:val="-3"/>
        </w:rPr>
        <w:t xml:space="preserve"> </w:t>
      </w:r>
      <w:r w:rsidR="00496A8A" w:rsidRPr="00496A8A">
        <w:rPr>
          <w:spacing w:val="-3"/>
        </w:rPr>
        <w:t>TEA-Pot</w:t>
      </w:r>
      <w:r w:rsidR="00E4435B" w:rsidRPr="002B5050">
        <w:rPr>
          <w:spacing w:val="-3"/>
        </w:rPr>
        <w:t xml:space="preserve"> </w:t>
      </w:r>
      <w:r w:rsidR="00F513A3" w:rsidRPr="002B5050">
        <w:rPr>
          <w:spacing w:val="-3"/>
        </w:rPr>
        <w:t>(</w:t>
      </w:r>
      <w:r w:rsidR="001C1BE1" w:rsidRPr="006975F8">
        <w:rPr>
          <w:b/>
          <w:spacing w:val="-3"/>
        </w:rPr>
        <w:t>T</w:t>
      </w:r>
      <w:r w:rsidR="001C1BE1" w:rsidRPr="00881D8B">
        <w:rPr>
          <w:spacing w:val="-3"/>
        </w:rPr>
        <w:t>echnical</w:t>
      </w:r>
      <w:r w:rsidR="00F513A3" w:rsidRPr="00881D8B">
        <w:rPr>
          <w:spacing w:val="-3"/>
        </w:rPr>
        <w:t xml:space="preserve"> </w:t>
      </w:r>
      <w:r w:rsidR="00F513A3" w:rsidRPr="006975F8">
        <w:rPr>
          <w:b/>
          <w:spacing w:val="-3"/>
        </w:rPr>
        <w:t>E</w:t>
      </w:r>
      <w:r w:rsidR="00F513A3" w:rsidRPr="00881D8B">
        <w:rPr>
          <w:spacing w:val="-3"/>
        </w:rPr>
        <w:t xml:space="preserve">conomic </w:t>
      </w:r>
      <w:r w:rsidR="00F513A3" w:rsidRPr="006975F8">
        <w:rPr>
          <w:b/>
          <w:spacing w:val="-3"/>
        </w:rPr>
        <w:t>A</w:t>
      </w:r>
      <w:r w:rsidR="00F513A3" w:rsidRPr="00881D8B">
        <w:rPr>
          <w:spacing w:val="-3"/>
        </w:rPr>
        <w:t xml:space="preserve">chievable </w:t>
      </w:r>
      <w:r w:rsidR="009C2DE3" w:rsidRPr="006975F8">
        <w:rPr>
          <w:b/>
          <w:spacing w:val="-3"/>
        </w:rPr>
        <w:t>Pot</w:t>
      </w:r>
      <w:r w:rsidR="009C2DE3" w:rsidRPr="00881D8B">
        <w:rPr>
          <w:spacing w:val="-3"/>
        </w:rPr>
        <w:t>ential)</w:t>
      </w:r>
      <w:r w:rsidR="00F513A3" w:rsidRPr="00881D8B">
        <w:rPr>
          <w:spacing w:val="-3"/>
        </w:rPr>
        <w:t xml:space="preserve"> </w:t>
      </w:r>
      <w:r>
        <w:rPr>
          <w:spacing w:val="-3"/>
        </w:rPr>
        <w:t>m</w:t>
      </w:r>
      <w:r w:rsidRPr="00881D8B">
        <w:rPr>
          <w:spacing w:val="-3"/>
        </w:rPr>
        <w:t xml:space="preserve">odeling </w:t>
      </w:r>
      <w:r w:rsidR="00E4435B" w:rsidRPr="00881D8B">
        <w:rPr>
          <w:spacing w:val="-3"/>
        </w:rPr>
        <w:lastRenderedPageBreak/>
        <w:t xml:space="preserve">tool provided by Nexant Inc. </w:t>
      </w:r>
      <w:r w:rsidR="00432D1A">
        <w:rPr>
          <w:spacing w:val="-3"/>
        </w:rPr>
        <w:t xml:space="preserve">In order to </w:t>
      </w:r>
      <w:r w:rsidR="00432D1A" w:rsidRPr="00E147C5">
        <w:rPr>
          <w:spacing w:val="-3"/>
        </w:rPr>
        <w:t>parallel the format of Conservation Plans provided by other utilities in Washington S</w:t>
      </w:r>
      <w:r w:rsidR="00432D1A">
        <w:rPr>
          <w:spacing w:val="-3"/>
        </w:rPr>
        <w:t>tate, t</w:t>
      </w:r>
      <w:r w:rsidR="00D23E0D" w:rsidRPr="00E147C5">
        <w:rPr>
          <w:spacing w:val="-3"/>
        </w:rPr>
        <w:t xml:space="preserve">his </w:t>
      </w:r>
      <w:r w:rsidR="00EC15E7" w:rsidRPr="00E147C5">
        <w:rPr>
          <w:spacing w:val="-3"/>
        </w:rPr>
        <w:t>document</w:t>
      </w:r>
      <w:r w:rsidR="00D23E0D" w:rsidRPr="00E147C5">
        <w:rPr>
          <w:spacing w:val="-3"/>
        </w:rPr>
        <w:t xml:space="preserve"> </w:t>
      </w:r>
      <w:r w:rsidR="00432D1A">
        <w:rPr>
          <w:spacing w:val="-3"/>
        </w:rPr>
        <w:t xml:space="preserve">will </w:t>
      </w:r>
      <w:r w:rsidR="00D23E0D" w:rsidRPr="00E147C5">
        <w:rPr>
          <w:spacing w:val="-3"/>
        </w:rPr>
        <w:t>demonstrate the</w:t>
      </w:r>
      <w:r w:rsidR="00432D1A">
        <w:rPr>
          <w:spacing w:val="-3"/>
        </w:rPr>
        <w:t xml:space="preserve"> Company’s</w:t>
      </w:r>
      <w:r w:rsidR="00D23E0D" w:rsidRPr="00E147C5">
        <w:rPr>
          <w:spacing w:val="-3"/>
        </w:rPr>
        <w:t xml:space="preserve"> immediate </w:t>
      </w:r>
      <w:r w:rsidR="00432D1A">
        <w:rPr>
          <w:spacing w:val="-3"/>
        </w:rPr>
        <w:t>(</w:t>
      </w:r>
      <w:r w:rsidR="00D23E0D" w:rsidRPr="00E147C5">
        <w:rPr>
          <w:spacing w:val="-3"/>
        </w:rPr>
        <w:t>two year</w:t>
      </w:r>
      <w:r w:rsidR="00432D1A">
        <w:rPr>
          <w:spacing w:val="-3"/>
        </w:rPr>
        <w:t>)</w:t>
      </w:r>
      <w:r w:rsidR="00D23E0D" w:rsidRPr="00E147C5">
        <w:rPr>
          <w:spacing w:val="-3"/>
        </w:rPr>
        <w:t xml:space="preserve"> conservation goals as well as the 10 year forecast of savings</w:t>
      </w:r>
      <w:r w:rsidR="00432D1A">
        <w:rPr>
          <w:spacing w:val="-3"/>
        </w:rPr>
        <w:t>.</w:t>
      </w:r>
    </w:p>
    <w:p w14:paraId="209121EC" w14:textId="77777777" w:rsidR="00B159C9" w:rsidRPr="00E147C5" w:rsidRDefault="00B159C9" w:rsidP="006809C1">
      <w:pPr>
        <w:numPr>
          <w:ilvl w:val="12"/>
          <w:numId w:val="0"/>
        </w:numPr>
        <w:tabs>
          <w:tab w:val="left" w:pos="-1440"/>
          <w:tab w:val="left" w:pos="-720"/>
          <w:tab w:val="left" w:pos="0"/>
          <w:tab w:val="left" w:pos="1080"/>
          <w:tab w:val="left" w:pos="1440"/>
        </w:tabs>
        <w:suppressAutoHyphens/>
        <w:spacing w:after="0"/>
        <w:contextualSpacing/>
        <w:jc w:val="both"/>
        <w:rPr>
          <w:spacing w:val="-3"/>
        </w:rPr>
      </w:pPr>
    </w:p>
    <w:p w14:paraId="7ACF219D" w14:textId="2AFB7569" w:rsidR="00B159C9" w:rsidRPr="00E147C5" w:rsidRDefault="00B159C9" w:rsidP="006809C1">
      <w:pPr>
        <w:numPr>
          <w:ilvl w:val="12"/>
          <w:numId w:val="0"/>
        </w:numPr>
        <w:tabs>
          <w:tab w:val="left" w:pos="-1440"/>
          <w:tab w:val="left" w:pos="-720"/>
          <w:tab w:val="left" w:pos="0"/>
          <w:tab w:val="left" w:pos="1080"/>
          <w:tab w:val="left" w:pos="1440"/>
        </w:tabs>
        <w:suppressAutoHyphens/>
        <w:spacing w:after="0"/>
        <w:contextualSpacing/>
        <w:jc w:val="both"/>
        <w:rPr>
          <w:spacing w:val="-3"/>
        </w:rPr>
      </w:pPr>
      <w:r w:rsidRPr="00E147C5">
        <w:rPr>
          <w:spacing w:val="-3"/>
        </w:rPr>
        <w:t>The Company is approaching the 201</w:t>
      </w:r>
      <w:r w:rsidR="00C76AC7" w:rsidRPr="00E147C5">
        <w:rPr>
          <w:spacing w:val="-3"/>
        </w:rPr>
        <w:t>7</w:t>
      </w:r>
      <w:r w:rsidRPr="00E147C5">
        <w:rPr>
          <w:spacing w:val="-3"/>
        </w:rPr>
        <w:t xml:space="preserve"> Calendar Year as an opportunity to </w:t>
      </w:r>
      <w:r w:rsidR="00C76AC7" w:rsidRPr="00E147C5">
        <w:rPr>
          <w:spacing w:val="-3"/>
        </w:rPr>
        <w:t xml:space="preserve">further refine </w:t>
      </w:r>
      <w:r w:rsidR="003C2EC6" w:rsidRPr="00E147C5">
        <w:rPr>
          <w:spacing w:val="-3"/>
        </w:rPr>
        <w:t xml:space="preserve">a significantly </w:t>
      </w:r>
      <w:r w:rsidR="0016576F">
        <w:rPr>
          <w:spacing w:val="-3"/>
        </w:rPr>
        <w:t xml:space="preserve">matured </w:t>
      </w:r>
      <w:r w:rsidR="003C2EC6" w:rsidRPr="00E147C5">
        <w:rPr>
          <w:spacing w:val="-3"/>
        </w:rPr>
        <w:t>program</w:t>
      </w:r>
      <w:r w:rsidR="0016576F">
        <w:rPr>
          <w:spacing w:val="-3"/>
        </w:rPr>
        <w:t xml:space="preserve"> by</w:t>
      </w:r>
      <w:r w:rsidR="003C2EC6" w:rsidRPr="00E147C5">
        <w:rPr>
          <w:spacing w:val="-3"/>
        </w:rPr>
        <w:t xml:space="preserve"> </w:t>
      </w:r>
      <w:r w:rsidR="00746C8A" w:rsidRPr="00E147C5">
        <w:rPr>
          <w:spacing w:val="-3"/>
        </w:rPr>
        <w:t>incorporating improvements t</w:t>
      </w:r>
      <w:r w:rsidR="003C2EC6" w:rsidRPr="00E147C5">
        <w:rPr>
          <w:spacing w:val="-3"/>
        </w:rPr>
        <w:t xml:space="preserve">hat </w:t>
      </w:r>
      <w:r w:rsidR="00C76AC7" w:rsidRPr="00E147C5">
        <w:rPr>
          <w:spacing w:val="-3"/>
        </w:rPr>
        <w:t xml:space="preserve">were introduced in 2016 and </w:t>
      </w:r>
      <w:r w:rsidR="00746C8A" w:rsidRPr="00E147C5">
        <w:rPr>
          <w:spacing w:val="-3"/>
        </w:rPr>
        <w:t>will continue</w:t>
      </w:r>
      <w:r w:rsidR="003C2EC6" w:rsidRPr="00E147C5">
        <w:rPr>
          <w:spacing w:val="-3"/>
        </w:rPr>
        <w:t xml:space="preserve"> into </w:t>
      </w:r>
      <w:r w:rsidR="00C76AC7" w:rsidRPr="00E147C5">
        <w:rPr>
          <w:spacing w:val="-3"/>
        </w:rPr>
        <w:t xml:space="preserve">early 2017. </w:t>
      </w:r>
      <w:r w:rsidR="003C2EC6" w:rsidRPr="00E147C5">
        <w:rPr>
          <w:spacing w:val="-3"/>
        </w:rPr>
        <w:t>Updated e</w:t>
      </w:r>
      <w:r w:rsidR="00C76AC7" w:rsidRPr="00E147C5">
        <w:rPr>
          <w:spacing w:val="-3"/>
        </w:rPr>
        <w:t xml:space="preserve">lements </w:t>
      </w:r>
      <w:r w:rsidR="003C2EC6" w:rsidRPr="00E147C5">
        <w:rPr>
          <w:spacing w:val="-3"/>
        </w:rPr>
        <w:t xml:space="preserve">to the CIP </w:t>
      </w:r>
      <w:r w:rsidR="00C76AC7" w:rsidRPr="00E147C5">
        <w:rPr>
          <w:spacing w:val="-3"/>
        </w:rPr>
        <w:t xml:space="preserve">include </w:t>
      </w:r>
      <w:r w:rsidR="00746C8A" w:rsidRPr="00E147C5">
        <w:rPr>
          <w:spacing w:val="-3"/>
        </w:rPr>
        <w:t>enhancements</w:t>
      </w:r>
      <w:r w:rsidR="003C2EC6" w:rsidRPr="00E147C5">
        <w:rPr>
          <w:spacing w:val="-3"/>
        </w:rPr>
        <w:t xml:space="preserve"> to</w:t>
      </w:r>
      <w:r w:rsidRPr="00E147C5">
        <w:rPr>
          <w:spacing w:val="-3"/>
        </w:rPr>
        <w:t xml:space="preserve"> program reporting</w:t>
      </w:r>
      <w:r w:rsidR="00746C8A" w:rsidRPr="00E147C5">
        <w:rPr>
          <w:spacing w:val="-3"/>
        </w:rPr>
        <w:t>,</w:t>
      </w:r>
      <w:r w:rsidR="00F34C83" w:rsidRPr="00E147C5">
        <w:rPr>
          <w:spacing w:val="-3"/>
        </w:rPr>
        <w:t xml:space="preserve"> </w:t>
      </w:r>
      <w:r w:rsidR="00746C8A" w:rsidRPr="00E147C5">
        <w:rPr>
          <w:spacing w:val="-3"/>
        </w:rPr>
        <w:t>increased</w:t>
      </w:r>
      <w:r w:rsidR="00F34C83" w:rsidRPr="00E147C5">
        <w:rPr>
          <w:spacing w:val="-3"/>
        </w:rPr>
        <w:t xml:space="preserve"> </w:t>
      </w:r>
      <w:r w:rsidR="003C2EC6" w:rsidRPr="00E147C5">
        <w:rPr>
          <w:spacing w:val="-3"/>
        </w:rPr>
        <w:t xml:space="preserve">transparency in </w:t>
      </w:r>
      <w:r w:rsidR="00746C8A" w:rsidRPr="00E147C5">
        <w:rPr>
          <w:spacing w:val="-3"/>
        </w:rPr>
        <w:t xml:space="preserve">potential </w:t>
      </w:r>
      <w:r w:rsidR="00F34C83" w:rsidRPr="00E147C5">
        <w:rPr>
          <w:spacing w:val="-3"/>
        </w:rPr>
        <w:lastRenderedPageBreak/>
        <w:t>planning</w:t>
      </w:r>
      <w:r w:rsidRPr="00E147C5">
        <w:rPr>
          <w:spacing w:val="-3"/>
        </w:rPr>
        <w:t xml:space="preserve">, </w:t>
      </w:r>
      <w:r w:rsidR="00746C8A" w:rsidRPr="00E147C5">
        <w:rPr>
          <w:spacing w:val="-3"/>
        </w:rPr>
        <w:t>strategic process development and tracking</w:t>
      </w:r>
      <w:r w:rsidR="00345614">
        <w:rPr>
          <w:spacing w:val="-3"/>
        </w:rPr>
        <w:t xml:space="preserve"> and</w:t>
      </w:r>
      <w:r w:rsidR="00426BB5">
        <w:rPr>
          <w:spacing w:val="-3"/>
        </w:rPr>
        <w:t xml:space="preserve"> </w:t>
      </w:r>
      <w:r w:rsidR="0016395C">
        <w:rPr>
          <w:spacing w:val="-3"/>
        </w:rPr>
        <w:t>the implementation of a</w:t>
      </w:r>
      <w:r w:rsidR="00345614">
        <w:rPr>
          <w:spacing w:val="-3"/>
        </w:rPr>
        <w:t xml:space="preserve"> </w:t>
      </w:r>
      <w:r w:rsidR="00746C8A" w:rsidRPr="00E147C5">
        <w:rPr>
          <w:spacing w:val="-3"/>
        </w:rPr>
        <w:t xml:space="preserve">new </w:t>
      </w:r>
      <w:r w:rsidR="00C76AC7" w:rsidRPr="00E147C5">
        <w:rPr>
          <w:spacing w:val="-3"/>
        </w:rPr>
        <w:t xml:space="preserve">software </w:t>
      </w:r>
      <w:r w:rsidR="0016395C">
        <w:rPr>
          <w:spacing w:val="-3"/>
        </w:rPr>
        <w:t>platform to support in-house</w:t>
      </w:r>
      <w:r w:rsidR="003C2EC6" w:rsidRPr="00E147C5">
        <w:rPr>
          <w:spacing w:val="-3"/>
        </w:rPr>
        <w:t xml:space="preserve"> </w:t>
      </w:r>
      <w:r w:rsidRPr="00E147C5">
        <w:rPr>
          <w:spacing w:val="-3"/>
        </w:rPr>
        <w:t>residential rebate processing</w:t>
      </w:r>
      <w:r w:rsidR="00746C8A" w:rsidRPr="00E147C5">
        <w:rPr>
          <w:spacing w:val="-3"/>
        </w:rPr>
        <w:t xml:space="preserve"> activities</w:t>
      </w:r>
      <w:r w:rsidRPr="00E147C5">
        <w:rPr>
          <w:spacing w:val="-3"/>
        </w:rPr>
        <w:t xml:space="preserve">. </w:t>
      </w:r>
      <w:r w:rsidR="00746C8A" w:rsidRPr="00E147C5">
        <w:rPr>
          <w:spacing w:val="-3"/>
        </w:rPr>
        <w:t xml:space="preserve">As mentioned in the previous Conservation Plan, the Company </w:t>
      </w:r>
      <w:r w:rsidRPr="00E147C5">
        <w:rPr>
          <w:spacing w:val="-3"/>
        </w:rPr>
        <w:t>transition</w:t>
      </w:r>
      <w:r w:rsidR="00C76AC7" w:rsidRPr="00E147C5">
        <w:rPr>
          <w:spacing w:val="-3"/>
        </w:rPr>
        <w:t>ed</w:t>
      </w:r>
      <w:r w:rsidRPr="00E147C5">
        <w:rPr>
          <w:spacing w:val="-3"/>
        </w:rPr>
        <w:t xml:space="preserve"> from a third party residential program delivery vendor</w:t>
      </w:r>
      <w:r w:rsidR="00426BB5">
        <w:rPr>
          <w:spacing w:val="-3"/>
        </w:rPr>
        <w:t xml:space="preserve"> </w:t>
      </w:r>
      <w:r w:rsidR="00426BB5" w:rsidRPr="00E147C5">
        <w:rPr>
          <w:spacing w:val="-3"/>
        </w:rPr>
        <w:t>in January 2016</w:t>
      </w:r>
      <w:r w:rsidRPr="00E147C5">
        <w:rPr>
          <w:spacing w:val="-3"/>
        </w:rPr>
        <w:t xml:space="preserve"> to </w:t>
      </w:r>
      <w:r w:rsidR="00C76AC7" w:rsidRPr="00E147C5">
        <w:rPr>
          <w:spacing w:val="-3"/>
        </w:rPr>
        <w:t xml:space="preserve">an </w:t>
      </w:r>
      <w:r w:rsidR="00F34C83" w:rsidRPr="00E147C5">
        <w:rPr>
          <w:spacing w:val="-3"/>
        </w:rPr>
        <w:t xml:space="preserve">internal delivery </w:t>
      </w:r>
      <w:r w:rsidR="00C76AC7" w:rsidRPr="00E147C5">
        <w:rPr>
          <w:spacing w:val="-3"/>
        </w:rPr>
        <w:t xml:space="preserve">model </w:t>
      </w:r>
      <w:r w:rsidR="00426BB5">
        <w:rPr>
          <w:spacing w:val="-3"/>
        </w:rPr>
        <w:t>for</w:t>
      </w:r>
      <w:r w:rsidR="00F34C83" w:rsidRPr="00E147C5">
        <w:rPr>
          <w:spacing w:val="-3"/>
        </w:rPr>
        <w:t xml:space="preserve"> the </w:t>
      </w:r>
      <w:r w:rsidR="00C76AC7" w:rsidRPr="00E147C5">
        <w:rPr>
          <w:spacing w:val="-3"/>
        </w:rPr>
        <w:t xml:space="preserve">residential incentive </w:t>
      </w:r>
      <w:r w:rsidR="00F34C83" w:rsidRPr="00E147C5">
        <w:rPr>
          <w:spacing w:val="-3"/>
        </w:rPr>
        <w:t>programs</w:t>
      </w:r>
      <w:r w:rsidR="00426BB5">
        <w:rPr>
          <w:spacing w:val="-3"/>
        </w:rPr>
        <w:t>. The Company</w:t>
      </w:r>
      <w:r w:rsidR="00DB1128">
        <w:rPr>
          <w:spacing w:val="-3"/>
        </w:rPr>
        <w:t xml:space="preserve"> additionally</w:t>
      </w:r>
      <w:r w:rsidR="00746C8A" w:rsidRPr="00E147C5">
        <w:rPr>
          <w:spacing w:val="-3"/>
        </w:rPr>
        <w:t xml:space="preserve"> purchased a</w:t>
      </w:r>
      <w:r w:rsidR="003C2EC6" w:rsidRPr="00E147C5">
        <w:rPr>
          <w:spacing w:val="-3"/>
        </w:rPr>
        <w:t xml:space="preserve"> </w:t>
      </w:r>
      <w:r w:rsidR="00C76AC7" w:rsidRPr="00E147C5">
        <w:rPr>
          <w:spacing w:val="-3"/>
        </w:rPr>
        <w:t>companion</w:t>
      </w:r>
      <w:r w:rsidR="00F34C83" w:rsidRPr="00E147C5">
        <w:rPr>
          <w:spacing w:val="-3"/>
        </w:rPr>
        <w:t xml:space="preserve"> software platform</w:t>
      </w:r>
      <w:r w:rsidR="00C76AC7" w:rsidRPr="00E147C5">
        <w:rPr>
          <w:spacing w:val="-3"/>
        </w:rPr>
        <w:t xml:space="preserve"> to </w:t>
      </w:r>
      <w:r w:rsidR="00746C8A" w:rsidRPr="00E147C5">
        <w:rPr>
          <w:spacing w:val="-3"/>
        </w:rPr>
        <w:t xml:space="preserve">enable </w:t>
      </w:r>
      <w:r w:rsidR="00C76AC7" w:rsidRPr="00E147C5">
        <w:rPr>
          <w:spacing w:val="-3"/>
        </w:rPr>
        <w:t>processing of applications</w:t>
      </w:r>
      <w:r w:rsidR="00F34C83" w:rsidRPr="00E147C5">
        <w:rPr>
          <w:spacing w:val="-3"/>
        </w:rPr>
        <w:t xml:space="preserve">. This significant </w:t>
      </w:r>
      <w:r w:rsidR="0016395C">
        <w:rPr>
          <w:spacing w:val="-3"/>
        </w:rPr>
        <w:t>evolution</w:t>
      </w:r>
      <w:r w:rsidR="0016395C" w:rsidRPr="00E147C5">
        <w:rPr>
          <w:spacing w:val="-3"/>
        </w:rPr>
        <w:t xml:space="preserve"> </w:t>
      </w:r>
      <w:r w:rsidR="00F34C83" w:rsidRPr="00E147C5">
        <w:rPr>
          <w:spacing w:val="-3"/>
        </w:rPr>
        <w:t xml:space="preserve">in </w:t>
      </w:r>
      <w:r w:rsidR="00746C8A" w:rsidRPr="00E147C5">
        <w:rPr>
          <w:spacing w:val="-3"/>
        </w:rPr>
        <w:t xml:space="preserve">the Company’s </w:t>
      </w:r>
      <w:r w:rsidR="00F34C83" w:rsidRPr="00E147C5">
        <w:rPr>
          <w:spacing w:val="-3"/>
        </w:rPr>
        <w:t xml:space="preserve">approach to residential program delivery </w:t>
      </w:r>
      <w:r w:rsidR="00C76AC7" w:rsidRPr="00E147C5">
        <w:rPr>
          <w:spacing w:val="-3"/>
        </w:rPr>
        <w:t xml:space="preserve">has </w:t>
      </w:r>
      <w:r w:rsidR="00F34C83" w:rsidRPr="00E147C5">
        <w:rPr>
          <w:spacing w:val="-3"/>
        </w:rPr>
        <w:t>allow</w:t>
      </w:r>
      <w:r w:rsidR="00C76AC7" w:rsidRPr="00E147C5">
        <w:rPr>
          <w:spacing w:val="-3"/>
        </w:rPr>
        <w:t>ed</w:t>
      </w:r>
      <w:r w:rsidR="00F34C83" w:rsidRPr="00E147C5">
        <w:rPr>
          <w:spacing w:val="-3"/>
        </w:rPr>
        <w:t xml:space="preserve"> </w:t>
      </w:r>
      <w:r w:rsidR="003C2EC6" w:rsidRPr="00E147C5">
        <w:rPr>
          <w:spacing w:val="-3"/>
        </w:rPr>
        <w:t>more</w:t>
      </w:r>
      <w:r w:rsidR="00F34C83" w:rsidRPr="00E147C5">
        <w:rPr>
          <w:spacing w:val="-3"/>
        </w:rPr>
        <w:t xml:space="preserve"> direct control </w:t>
      </w:r>
      <w:r w:rsidR="003C2EC6" w:rsidRPr="00E147C5">
        <w:rPr>
          <w:spacing w:val="-3"/>
        </w:rPr>
        <w:t xml:space="preserve">of </w:t>
      </w:r>
      <w:r w:rsidR="00F34C83" w:rsidRPr="00E147C5">
        <w:rPr>
          <w:spacing w:val="-3"/>
        </w:rPr>
        <w:t>the customer</w:t>
      </w:r>
      <w:r w:rsidR="00746C8A" w:rsidRPr="00E147C5">
        <w:rPr>
          <w:spacing w:val="-3"/>
        </w:rPr>
        <w:t xml:space="preserve"> </w:t>
      </w:r>
      <w:r w:rsidR="00F34C83" w:rsidRPr="00E147C5">
        <w:rPr>
          <w:spacing w:val="-3"/>
        </w:rPr>
        <w:t xml:space="preserve">experience </w:t>
      </w:r>
      <w:r w:rsidR="00F34C83" w:rsidRPr="00E147C5">
        <w:rPr>
          <w:spacing w:val="-3"/>
        </w:rPr>
        <w:lastRenderedPageBreak/>
        <w:t xml:space="preserve">throughout the CIP </w:t>
      </w:r>
      <w:r w:rsidR="00DB1128">
        <w:rPr>
          <w:spacing w:val="-3"/>
        </w:rPr>
        <w:t xml:space="preserve">rebate </w:t>
      </w:r>
      <w:r w:rsidR="00F34C83" w:rsidRPr="00E147C5">
        <w:rPr>
          <w:spacing w:val="-3"/>
        </w:rPr>
        <w:t>process</w:t>
      </w:r>
      <w:r w:rsidR="00345614">
        <w:rPr>
          <w:spacing w:val="-3"/>
        </w:rPr>
        <w:t>,</w:t>
      </w:r>
      <w:r w:rsidR="00746C8A" w:rsidRPr="00E147C5">
        <w:rPr>
          <w:spacing w:val="-3"/>
        </w:rPr>
        <w:t xml:space="preserve"> while providing greater insight into areas of opportunity for further </w:t>
      </w:r>
      <w:r w:rsidR="0016395C">
        <w:rPr>
          <w:spacing w:val="-3"/>
        </w:rPr>
        <w:t>penetratio</w:t>
      </w:r>
      <w:r w:rsidR="0016718F">
        <w:rPr>
          <w:spacing w:val="-3"/>
        </w:rPr>
        <w:t>n of the Conservation program throughout our</w:t>
      </w:r>
      <w:r w:rsidR="0016395C">
        <w:rPr>
          <w:spacing w:val="-3"/>
        </w:rPr>
        <w:t xml:space="preserve"> Washington</w:t>
      </w:r>
      <w:r w:rsidR="0016718F">
        <w:rPr>
          <w:spacing w:val="-3"/>
        </w:rPr>
        <w:t xml:space="preserve"> </w:t>
      </w:r>
      <w:r w:rsidR="00E167FD">
        <w:rPr>
          <w:spacing w:val="-3"/>
        </w:rPr>
        <w:t xml:space="preserve">service </w:t>
      </w:r>
      <w:r w:rsidR="0016718F">
        <w:rPr>
          <w:spacing w:val="-3"/>
        </w:rPr>
        <w:t>territory</w:t>
      </w:r>
      <w:r w:rsidR="003C2EC6" w:rsidRPr="00E147C5">
        <w:rPr>
          <w:spacing w:val="-3"/>
        </w:rPr>
        <w:t xml:space="preserve">. </w:t>
      </w:r>
      <w:r w:rsidR="00746C8A" w:rsidRPr="00E147C5">
        <w:rPr>
          <w:spacing w:val="-3"/>
        </w:rPr>
        <w:t xml:space="preserve">This move toward internal implementation </w:t>
      </w:r>
      <w:r w:rsidR="003C2EC6" w:rsidRPr="00E147C5">
        <w:rPr>
          <w:spacing w:val="-3"/>
        </w:rPr>
        <w:t xml:space="preserve">has enabled the Company to </w:t>
      </w:r>
      <w:r w:rsidR="00F34C83" w:rsidRPr="00E147C5">
        <w:rPr>
          <w:spacing w:val="-3"/>
        </w:rPr>
        <w:t xml:space="preserve">tailor </w:t>
      </w:r>
      <w:r w:rsidR="003C2EC6" w:rsidRPr="00E147C5">
        <w:rPr>
          <w:spacing w:val="-3"/>
        </w:rPr>
        <w:t xml:space="preserve">its </w:t>
      </w:r>
      <w:r w:rsidR="00F34C83" w:rsidRPr="00E147C5">
        <w:rPr>
          <w:spacing w:val="-3"/>
        </w:rPr>
        <w:t xml:space="preserve">reporting and tracking to </w:t>
      </w:r>
      <w:r w:rsidR="003C2EC6" w:rsidRPr="00E147C5">
        <w:rPr>
          <w:spacing w:val="-3"/>
        </w:rPr>
        <w:t xml:space="preserve">more succinctly </w:t>
      </w:r>
      <w:r w:rsidR="00F34C83" w:rsidRPr="00E147C5">
        <w:rPr>
          <w:spacing w:val="-3"/>
        </w:rPr>
        <w:t xml:space="preserve">align with program </w:t>
      </w:r>
      <w:r w:rsidR="00345614">
        <w:rPr>
          <w:spacing w:val="-3"/>
        </w:rPr>
        <w:t>s</w:t>
      </w:r>
      <w:r w:rsidR="0016718F">
        <w:rPr>
          <w:spacing w:val="-3"/>
        </w:rPr>
        <w:t>trategy</w:t>
      </w:r>
      <w:r w:rsidR="00746C8A" w:rsidRPr="00E147C5">
        <w:rPr>
          <w:spacing w:val="-3"/>
        </w:rPr>
        <w:t xml:space="preserve">. </w:t>
      </w:r>
      <w:r w:rsidR="00724734">
        <w:rPr>
          <w:spacing w:val="-3"/>
        </w:rPr>
        <w:t>Changes to the Company’s program delivery strategy</w:t>
      </w:r>
      <w:r w:rsidR="00FB4ABD" w:rsidRPr="00E147C5">
        <w:rPr>
          <w:spacing w:val="-3"/>
        </w:rPr>
        <w:t xml:space="preserve"> </w:t>
      </w:r>
      <w:r w:rsidR="00345614">
        <w:rPr>
          <w:spacing w:val="-3"/>
        </w:rPr>
        <w:t>are</w:t>
      </w:r>
      <w:r w:rsidR="00FB4ABD" w:rsidRPr="00E147C5">
        <w:rPr>
          <w:spacing w:val="-3"/>
        </w:rPr>
        <w:t xml:space="preserve"> further described under the </w:t>
      </w:r>
      <w:hyperlink w:anchor="_Residential_Program_Delivery" w:history="1">
        <w:r w:rsidR="00FB4ABD" w:rsidRPr="00E147C5">
          <w:rPr>
            <w:rStyle w:val="Hyperlink"/>
          </w:rPr>
          <w:t>Residential Program Delivery Changes f</w:t>
        </w:r>
        <w:r w:rsidR="00746C8A" w:rsidRPr="00E147C5">
          <w:rPr>
            <w:rStyle w:val="Hyperlink"/>
          </w:rPr>
          <w:t>rom</w:t>
        </w:r>
        <w:r w:rsidR="00FB4ABD" w:rsidRPr="00E147C5">
          <w:rPr>
            <w:rStyle w:val="Hyperlink"/>
          </w:rPr>
          <w:t xml:space="preserve"> 2016</w:t>
        </w:r>
      </w:hyperlink>
      <w:r w:rsidR="00FB4ABD" w:rsidRPr="002B5050">
        <w:rPr>
          <w:spacing w:val="-3"/>
        </w:rPr>
        <w:t xml:space="preserve"> heading in this </w:t>
      </w:r>
      <w:r w:rsidR="00FF115D">
        <w:rPr>
          <w:spacing w:val="-3"/>
        </w:rPr>
        <w:t>document.</w:t>
      </w:r>
      <w:r w:rsidR="00FB4ABD" w:rsidRPr="002B5050">
        <w:rPr>
          <w:spacing w:val="-3"/>
        </w:rPr>
        <w:t xml:space="preserve"> </w:t>
      </w:r>
      <w:r w:rsidR="00F34C83" w:rsidRPr="00351143">
        <w:rPr>
          <w:spacing w:val="-3"/>
        </w:rPr>
        <w:t xml:space="preserve"> </w:t>
      </w:r>
    </w:p>
    <w:p w14:paraId="77497DCA" w14:textId="77777777" w:rsidR="00F513A3" w:rsidRPr="00E147C5" w:rsidRDefault="00F513A3" w:rsidP="006809C1">
      <w:pPr>
        <w:numPr>
          <w:ilvl w:val="12"/>
          <w:numId w:val="0"/>
        </w:numPr>
        <w:tabs>
          <w:tab w:val="left" w:pos="-1440"/>
          <w:tab w:val="left" w:pos="-720"/>
          <w:tab w:val="left" w:pos="0"/>
          <w:tab w:val="left" w:pos="1080"/>
          <w:tab w:val="left" w:pos="1440"/>
        </w:tabs>
        <w:suppressAutoHyphens/>
        <w:spacing w:after="0"/>
        <w:contextualSpacing/>
        <w:jc w:val="both"/>
        <w:rPr>
          <w:spacing w:val="-3"/>
        </w:rPr>
      </w:pPr>
    </w:p>
    <w:p w14:paraId="596BB507" w14:textId="77777777" w:rsidR="00F34C83" w:rsidRPr="00E147C5" w:rsidRDefault="00F34C83" w:rsidP="006809C1">
      <w:pPr>
        <w:pStyle w:val="Heading1"/>
      </w:pPr>
      <w:bookmarkStart w:id="2" w:name="_Toc465678011"/>
      <w:r w:rsidRPr="00E147C5">
        <w:lastRenderedPageBreak/>
        <w:t>Overview</w:t>
      </w:r>
      <w:bookmarkEnd w:id="2"/>
    </w:p>
    <w:p w14:paraId="140CB71F" w14:textId="146A103F" w:rsidR="00294678" w:rsidRPr="00E147C5" w:rsidRDefault="00294678" w:rsidP="006809C1">
      <w:pPr>
        <w:numPr>
          <w:ilvl w:val="12"/>
          <w:numId w:val="0"/>
        </w:numPr>
        <w:tabs>
          <w:tab w:val="left" w:pos="-1440"/>
          <w:tab w:val="left" w:pos="-720"/>
          <w:tab w:val="left" w:pos="0"/>
          <w:tab w:val="left" w:pos="1080"/>
          <w:tab w:val="left" w:pos="1440"/>
        </w:tabs>
        <w:suppressAutoHyphens/>
        <w:contextualSpacing/>
        <w:jc w:val="both"/>
        <w:rPr>
          <w:spacing w:val="-3"/>
        </w:rPr>
      </w:pPr>
      <w:r w:rsidRPr="00E147C5">
        <w:rPr>
          <w:spacing w:val="-3"/>
        </w:rPr>
        <w:t xml:space="preserve">Demand Side Management refers to resources acquired through the reduction of natural gas consumption due to increases in efficiency of energy use and/or load management. Unlike supply side resources, which are purchased directly from a supplier, demand side resources are purchased from individual customers in the form of energy that remains unused as the result of energy efficiency. The Washington Utility and Transportation Commission requires gas utilities to consider cost-effective DSM resources in their energy portfolio on an equal and comparable basis with supply </w:t>
      </w:r>
      <w:r w:rsidRPr="00E147C5">
        <w:rPr>
          <w:spacing w:val="-3"/>
        </w:rPr>
        <w:lastRenderedPageBreak/>
        <w:t xml:space="preserve">side resources. In the gas industry, DSM resources are conservation measures that include, but are not limited to ceiling, wall and floor insulation, higher efficiency gas appliances, insulated doors, ventilation heat recovery systems and weather stripping.  By </w:t>
      </w:r>
      <w:r w:rsidR="0016718F">
        <w:rPr>
          <w:spacing w:val="-3"/>
        </w:rPr>
        <w:t xml:space="preserve">incenting </w:t>
      </w:r>
      <w:r w:rsidRPr="00E147C5">
        <w:rPr>
          <w:spacing w:val="-3"/>
        </w:rPr>
        <w:t xml:space="preserve">customers to reduce their demand for gas, Cascade can displace the need to purchase additional gas supplies, displace or delay contracting for incremental pipeline capacity, and possibly displace or delay the need for reinforcements on the Company’s distribution system. It’s also important to acknowledge the Company can prompt and encourage customers to reduce their use, </w:t>
      </w:r>
      <w:r w:rsidRPr="00E147C5">
        <w:rPr>
          <w:spacing w:val="-3"/>
        </w:rPr>
        <w:lastRenderedPageBreak/>
        <w:t xml:space="preserve">but </w:t>
      </w:r>
      <w:r w:rsidR="001204A7" w:rsidRPr="00E147C5">
        <w:rPr>
          <w:spacing w:val="-3"/>
        </w:rPr>
        <w:t>in due course</w:t>
      </w:r>
      <w:r w:rsidRPr="00E147C5">
        <w:rPr>
          <w:spacing w:val="-3"/>
        </w:rPr>
        <w:t xml:space="preserve"> it’s up to the end user to elect to reduce their usage and recognize the values inherent in energy efficiency</w:t>
      </w:r>
      <w:r w:rsidR="00DB1128">
        <w:rPr>
          <w:spacing w:val="-3"/>
        </w:rPr>
        <w:t xml:space="preserve"> -</w:t>
      </w:r>
      <w:r w:rsidRPr="00E147C5">
        <w:rPr>
          <w:spacing w:val="-3"/>
        </w:rPr>
        <w:t xml:space="preserve"> ultimately resulting in reduced consumption and load management</w:t>
      </w:r>
      <w:r w:rsidR="00831219">
        <w:rPr>
          <w:spacing w:val="-3"/>
        </w:rPr>
        <w:t xml:space="preserve"> as encouraged by Company messaging and incentives.</w:t>
      </w:r>
    </w:p>
    <w:p w14:paraId="46D9D11D" w14:textId="77777777" w:rsidR="00294678" w:rsidRPr="00E147C5" w:rsidRDefault="00294678" w:rsidP="006809C1">
      <w:pPr>
        <w:numPr>
          <w:ilvl w:val="12"/>
          <w:numId w:val="0"/>
        </w:numPr>
        <w:tabs>
          <w:tab w:val="left" w:pos="-1440"/>
          <w:tab w:val="left" w:pos="-720"/>
          <w:tab w:val="left" w:pos="0"/>
          <w:tab w:val="left" w:pos="1080"/>
          <w:tab w:val="left" w:pos="1440"/>
        </w:tabs>
        <w:suppressAutoHyphens/>
        <w:ind w:right="180"/>
        <w:contextualSpacing/>
        <w:jc w:val="both"/>
        <w:rPr>
          <w:spacing w:val="-3"/>
          <w:sz w:val="18"/>
        </w:rPr>
      </w:pPr>
    </w:p>
    <w:p w14:paraId="2D382FDC" w14:textId="1D4AE4A5" w:rsidR="00294678" w:rsidRPr="00E147C5" w:rsidRDefault="00294678" w:rsidP="006809C1">
      <w:pPr>
        <w:spacing w:after="0"/>
        <w:ind w:right="-7"/>
        <w:contextualSpacing/>
        <w:jc w:val="both"/>
        <w:rPr>
          <w:spacing w:val="-3"/>
        </w:rPr>
      </w:pPr>
      <w:r w:rsidRPr="00E147C5">
        <w:rPr>
          <w:spacing w:val="-3"/>
        </w:rPr>
        <w:t xml:space="preserve">There are two basic types of demand side resources:  baseload resources and heat sensitive resources. Baseload resources displace the need for baseload supply-side resources. They will offset gas supply requirements throughout the year, regardless of the </w:t>
      </w:r>
      <w:r w:rsidRPr="00E147C5">
        <w:rPr>
          <w:spacing w:val="-3"/>
        </w:rPr>
        <w:lastRenderedPageBreak/>
        <w:t xml:space="preserve">weather and outside conditions. Baseload DSM resources include </w:t>
      </w:r>
      <w:r w:rsidR="00DB1128">
        <w:rPr>
          <w:spacing w:val="-3"/>
        </w:rPr>
        <w:t xml:space="preserve">equipment like </w:t>
      </w:r>
      <w:r w:rsidRPr="00E147C5">
        <w:rPr>
          <w:spacing w:val="-3"/>
        </w:rPr>
        <w:t>high efficiency water heaters, higher efficiency cooking equipment and Ozone Injection Laundry systems. Heat</w:t>
      </w:r>
      <w:r w:rsidR="0016718F">
        <w:rPr>
          <w:spacing w:val="-3"/>
        </w:rPr>
        <w:t>ing</w:t>
      </w:r>
      <w:r w:rsidRPr="00E147C5">
        <w:rPr>
          <w:spacing w:val="-3"/>
        </w:rPr>
        <w:t xml:space="preserve"> </w:t>
      </w:r>
      <w:r w:rsidR="0016718F">
        <w:rPr>
          <w:spacing w:val="-3"/>
        </w:rPr>
        <w:t xml:space="preserve">load </w:t>
      </w:r>
      <w:r w:rsidRPr="00E147C5">
        <w:rPr>
          <w:spacing w:val="-3"/>
        </w:rPr>
        <w:t>sensitive DSM resources are measures whose therm savings increase during cold weather (meaning the measure is used more often during colder weather). For example, a high efficiency furnace will lower therm usage in the winter months when the furnace is utilized the most and will provide little if any savings in the summer months when the furnace is rarely used. Examples of heat</w:t>
      </w:r>
      <w:r w:rsidR="0016718F">
        <w:rPr>
          <w:spacing w:val="-3"/>
        </w:rPr>
        <w:t>ing load</w:t>
      </w:r>
      <w:r w:rsidRPr="00E147C5">
        <w:rPr>
          <w:spacing w:val="-3"/>
        </w:rPr>
        <w:t xml:space="preserve"> sensitive DSM measures include ceiling, floor, and wall </w:t>
      </w:r>
      <w:r w:rsidRPr="00E147C5">
        <w:rPr>
          <w:spacing w:val="-3"/>
        </w:rPr>
        <w:lastRenderedPageBreak/>
        <w:t>insulation measures, high efficiency gas furnaces, and improvements to duct</w:t>
      </w:r>
      <w:r w:rsidR="001204A7" w:rsidRPr="00E147C5">
        <w:rPr>
          <w:spacing w:val="-3"/>
        </w:rPr>
        <w:t>s</w:t>
      </w:r>
      <w:r w:rsidRPr="00E147C5">
        <w:rPr>
          <w:spacing w:val="-3"/>
        </w:rPr>
        <w:t xml:space="preserve"> and air sealing. These types of heat sensitive measures offset more of the peaking or seasonal gas supply resources, which are typically more expensive than baseload supplies.</w:t>
      </w:r>
    </w:p>
    <w:p w14:paraId="0A6E4EC8" w14:textId="3BE52F5E" w:rsidR="00525FE4" w:rsidRPr="00E147C5" w:rsidRDefault="005D447B" w:rsidP="00075DDB">
      <w:pPr>
        <w:widowControl/>
        <w:spacing w:after="0"/>
      </w:pPr>
      <w:r>
        <w:br w:type="page"/>
      </w:r>
    </w:p>
    <w:p w14:paraId="53320F32" w14:textId="77777777" w:rsidR="00B0242A" w:rsidRDefault="008940DA" w:rsidP="00D012EB">
      <w:pPr>
        <w:pStyle w:val="Heading2"/>
      </w:pPr>
      <w:bookmarkStart w:id="3" w:name="_Toc465678012"/>
      <w:r w:rsidRPr="00E147C5">
        <w:lastRenderedPageBreak/>
        <w:t xml:space="preserve">Program Goals </w:t>
      </w:r>
      <w:r w:rsidR="00346294" w:rsidRPr="00E147C5">
        <w:t>&amp; Budgets</w:t>
      </w:r>
      <w:r w:rsidRPr="00E147C5">
        <w:t>–</w:t>
      </w:r>
      <w:r w:rsidR="009D1C00" w:rsidRPr="00E147C5">
        <w:t xml:space="preserve"> at a glance</w:t>
      </w:r>
      <w:r w:rsidRPr="00E147C5">
        <w:t xml:space="preserve"> 201</w:t>
      </w:r>
      <w:r w:rsidR="00294678" w:rsidRPr="00E147C5">
        <w:t>7</w:t>
      </w:r>
      <w:r w:rsidRPr="00E147C5">
        <w:t xml:space="preserve"> &amp; 201</w:t>
      </w:r>
      <w:r w:rsidR="00294678" w:rsidRPr="00E147C5">
        <w:t>8</w:t>
      </w:r>
      <w:bookmarkEnd w:id="3"/>
    </w:p>
    <w:p w14:paraId="44E9A7CC" w14:textId="77777777" w:rsidR="00F702F9" w:rsidRDefault="00F702F9" w:rsidP="009D4CEF"/>
    <w:p w14:paraId="52D70F4E" w14:textId="27E34FC2" w:rsidR="00F702F9" w:rsidRPr="00F702F9" w:rsidRDefault="00F702F9" w:rsidP="009D4CEF">
      <w:r>
        <w:t xml:space="preserve">The Company provides its budgets and therm goals for the next two years in Table 1, for reference.  </w:t>
      </w:r>
    </w:p>
    <w:p w14:paraId="6DFEA140" w14:textId="77777777" w:rsidR="00B0242A" w:rsidRPr="00F657A9" w:rsidRDefault="00B0242A" w:rsidP="0068556F">
      <w:pPr>
        <w:numPr>
          <w:ilvl w:val="12"/>
          <w:numId w:val="0"/>
        </w:numPr>
        <w:tabs>
          <w:tab w:val="left" w:pos="-1440"/>
          <w:tab w:val="left" w:pos="-720"/>
          <w:tab w:val="left" w:pos="0"/>
          <w:tab w:val="left" w:pos="1080"/>
          <w:tab w:val="left" w:pos="1440"/>
        </w:tabs>
        <w:suppressAutoHyphens/>
        <w:spacing w:after="0"/>
        <w:ind w:right="-7"/>
        <w:contextualSpacing/>
        <w:jc w:val="center"/>
        <w:rPr>
          <w:b/>
          <w:spacing w:val="-3"/>
          <w:sz w:val="18"/>
        </w:rPr>
      </w:pPr>
      <w:r w:rsidRPr="00F657A9">
        <w:rPr>
          <w:b/>
          <w:spacing w:val="-3"/>
          <w:sz w:val="18"/>
        </w:rPr>
        <w:t>Table 1</w:t>
      </w:r>
    </w:p>
    <w:p w14:paraId="1DBE9B01" w14:textId="344D27A4" w:rsidR="002D262E" w:rsidRDefault="002D262E" w:rsidP="0068556F">
      <w:pPr>
        <w:numPr>
          <w:ilvl w:val="12"/>
          <w:numId w:val="0"/>
        </w:numPr>
        <w:tabs>
          <w:tab w:val="left" w:pos="-1440"/>
          <w:tab w:val="left" w:pos="-720"/>
          <w:tab w:val="left" w:pos="0"/>
          <w:tab w:val="left" w:pos="1080"/>
          <w:tab w:val="left" w:pos="1440"/>
        </w:tabs>
        <w:suppressAutoHyphens/>
        <w:spacing w:after="0"/>
        <w:ind w:right="-7"/>
        <w:contextualSpacing/>
        <w:jc w:val="center"/>
        <w:rPr>
          <w:b/>
          <w:spacing w:val="-3"/>
          <w:sz w:val="18"/>
        </w:rPr>
      </w:pPr>
      <w:r w:rsidRPr="00F657A9">
        <w:rPr>
          <w:b/>
          <w:spacing w:val="-3"/>
          <w:sz w:val="18"/>
        </w:rPr>
        <w:t>CIP Goals 2017 &amp; 2018</w:t>
      </w:r>
    </w:p>
    <w:tbl>
      <w:tblPr>
        <w:tblW w:w="8840" w:type="dxa"/>
        <w:jc w:val="center"/>
        <w:tblLook w:val="04A0" w:firstRow="1" w:lastRow="0" w:firstColumn="1" w:lastColumn="0" w:noHBand="0" w:noVBand="1"/>
      </w:tblPr>
      <w:tblGrid>
        <w:gridCol w:w="3020"/>
        <w:gridCol w:w="1420"/>
        <w:gridCol w:w="1300"/>
        <w:gridCol w:w="967"/>
        <w:gridCol w:w="1180"/>
        <w:gridCol w:w="967"/>
      </w:tblGrid>
      <w:tr w:rsidR="00F702F9" w:rsidRPr="00F702F9" w14:paraId="42450EE4" w14:textId="77777777" w:rsidTr="009D4CEF">
        <w:trPr>
          <w:trHeight w:val="972"/>
          <w:jc w:val="center"/>
        </w:trPr>
        <w:tc>
          <w:tcPr>
            <w:tcW w:w="3020" w:type="dxa"/>
            <w:tcBorders>
              <w:top w:val="single" w:sz="8" w:space="0" w:color="auto"/>
              <w:left w:val="single" w:sz="8" w:space="0" w:color="auto"/>
              <w:bottom w:val="single" w:sz="8" w:space="0" w:color="auto"/>
              <w:right w:val="single" w:sz="8" w:space="0" w:color="auto"/>
            </w:tcBorders>
            <w:shd w:val="clear" w:color="000000" w:fill="31869B"/>
            <w:noWrap/>
            <w:vAlign w:val="center"/>
            <w:hideMark/>
          </w:tcPr>
          <w:p w14:paraId="608D87A4" w14:textId="5143F3AC" w:rsidR="00F702F9" w:rsidRPr="009D4CEF" w:rsidRDefault="00F702F9" w:rsidP="00F702F9">
            <w:pPr>
              <w:widowControl/>
              <w:spacing w:after="0" w:line="240" w:lineRule="auto"/>
              <w:jc w:val="center"/>
              <w:rPr>
                <w:b/>
                <w:bCs/>
                <w:color w:val="000000"/>
                <w:sz w:val="18"/>
                <w:szCs w:val="18"/>
                <w:vertAlign w:val="superscript"/>
              </w:rPr>
            </w:pPr>
            <w:r w:rsidRPr="00F702F9">
              <w:rPr>
                <w:b/>
                <w:bCs/>
                <w:color w:val="000000"/>
                <w:sz w:val="18"/>
                <w:szCs w:val="18"/>
              </w:rPr>
              <w:t>Program Budgets</w:t>
            </w:r>
            <w:r>
              <w:rPr>
                <w:b/>
                <w:bCs/>
                <w:color w:val="000000"/>
                <w:sz w:val="18"/>
                <w:szCs w:val="18"/>
                <w:vertAlign w:val="superscript"/>
              </w:rPr>
              <w:t>1</w:t>
            </w:r>
          </w:p>
        </w:tc>
        <w:tc>
          <w:tcPr>
            <w:tcW w:w="1420" w:type="dxa"/>
            <w:tcBorders>
              <w:top w:val="single" w:sz="8" w:space="0" w:color="auto"/>
              <w:left w:val="nil"/>
              <w:bottom w:val="single" w:sz="8" w:space="0" w:color="auto"/>
              <w:right w:val="single" w:sz="8" w:space="0" w:color="auto"/>
            </w:tcBorders>
            <w:shd w:val="clear" w:color="000000" w:fill="31869B"/>
            <w:noWrap/>
            <w:vAlign w:val="center"/>
            <w:hideMark/>
          </w:tcPr>
          <w:p w14:paraId="30998BAD" w14:textId="77777777" w:rsidR="00F702F9" w:rsidRPr="00F702F9" w:rsidRDefault="00F702F9" w:rsidP="00F702F9">
            <w:pPr>
              <w:widowControl/>
              <w:spacing w:after="0" w:line="240" w:lineRule="auto"/>
              <w:jc w:val="center"/>
              <w:rPr>
                <w:b/>
                <w:bCs/>
                <w:color w:val="000000"/>
                <w:sz w:val="18"/>
                <w:szCs w:val="18"/>
              </w:rPr>
            </w:pPr>
            <w:r w:rsidRPr="00F702F9">
              <w:rPr>
                <w:b/>
                <w:bCs/>
                <w:color w:val="000000"/>
                <w:sz w:val="18"/>
                <w:szCs w:val="18"/>
              </w:rPr>
              <w:t>CY 2016</w:t>
            </w:r>
          </w:p>
        </w:tc>
        <w:tc>
          <w:tcPr>
            <w:tcW w:w="1300" w:type="dxa"/>
            <w:tcBorders>
              <w:top w:val="single" w:sz="8" w:space="0" w:color="auto"/>
              <w:left w:val="nil"/>
              <w:bottom w:val="single" w:sz="8" w:space="0" w:color="auto"/>
              <w:right w:val="single" w:sz="8" w:space="0" w:color="auto"/>
            </w:tcBorders>
            <w:shd w:val="clear" w:color="000000" w:fill="31869B"/>
            <w:noWrap/>
            <w:vAlign w:val="center"/>
            <w:hideMark/>
          </w:tcPr>
          <w:p w14:paraId="0D90314F" w14:textId="77777777" w:rsidR="00F702F9" w:rsidRPr="00F702F9" w:rsidRDefault="00F702F9" w:rsidP="00F702F9">
            <w:pPr>
              <w:widowControl/>
              <w:spacing w:after="0" w:line="240" w:lineRule="auto"/>
              <w:jc w:val="center"/>
              <w:rPr>
                <w:b/>
                <w:bCs/>
                <w:color w:val="000000"/>
                <w:sz w:val="18"/>
                <w:szCs w:val="18"/>
              </w:rPr>
            </w:pPr>
            <w:r w:rsidRPr="00F702F9">
              <w:rPr>
                <w:b/>
                <w:bCs/>
                <w:color w:val="000000"/>
                <w:sz w:val="18"/>
                <w:szCs w:val="18"/>
              </w:rPr>
              <w:t>CY 2017</w:t>
            </w:r>
          </w:p>
        </w:tc>
        <w:tc>
          <w:tcPr>
            <w:tcW w:w="960" w:type="dxa"/>
            <w:tcBorders>
              <w:top w:val="single" w:sz="8" w:space="0" w:color="auto"/>
              <w:left w:val="nil"/>
              <w:bottom w:val="single" w:sz="8" w:space="0" w:color="auto"/>
              <w:right w:val="single" w:sz="8" w:space="0" w:color="auto"/>
            </w:tcBorders>
            <w:shd w:val="clear" w:color="000000" w:fill="31869B"/>
            <w:vAlign w:val="center"/>
            <w:hideMark/>
          </w:tcPr>
          <w:p w14:paraId="6FC065C9" w14:textId="77777777" w:rsidR="00F702F9" w:rsidRPr="00F702F9" w:rsidRDefault="00F702F9" w:rsidP="00F702F9">
            <w:pPr>
              <w:widowControl/>
              <w:spacing w:after="0" w:line="240" w:lineRule="auto"/>
              <w:jc w:val="center"/>
              <w:rPr>
                <w:b/>
                <w:bCs/>
                <w:color w:val="000000"/>
                <w:sz w:val="18"/>
                <w:szCs w:val="18"/>
              </w:rPr>
            </w:pPr>
            <w:r w:rsidRPr="00F702F9">
              <w:rPr>
                <w:b/>
                <w:bCs/>
                <w:color w:val="000000"/>
                <w:sz w:val="18"/>
                <w:szCs w:val="18"/>
              </w:rPr>
              <w:t>Change from previous year</w:t>
            </w:r>
          </w:p>
        </w:tc>
        <w:tc>
          <w:tcPr>
            <w:tcW w:w="1180" w:type="dxa"/>
            <w:tcBorders>
              <w:top w:val="single" w:sz="8" w:space="0" w:color="auto"/>
              <w:left w:val="nil"/>
              <w:bottom w:val="single" w:sz="8" w:space="0" w:color="auto"/>
              <w:right w:val="single" w:sz="8" w:space="0" w:color="auto"/>
            </w:tcBorders>
            <w:shd w:val="clear" w:color="000000" w:fill="31869B"/>
            <w:noWrap/>
            <w:vAlign w:val="center"/>
            <w:hideMark/>
          </w:tcPr>
          <w:p w14:paraId="430DB1CD" w14:textId="77777777" w:rsidR="00F702F9" w:rsidRPr="00F702F9" w:rsidRDefault="00F702F9" w:rsidP="00F702F9">
            <w:pPr>
              <w:widowControl/>
              <w:spacing w:after="0" w:line="240" w:lineRule="auto"/>
              <w:jc w:val="center"/>
              <w:rPr>
                <w:b/>
                <w:bCs/>
                <w:color w:val="000000"/>
                <w:sz w:val="18"/>
                <w:szCs w:val="18"/>
              </w:rPr>
            </w:pPr>
            <w:r w:rsidRPr="00F702F9">
              <w:rPr>
                <w:b/>
                <w:bCs/>
                <w:color w:val="000000"/>
                <w:sz w:val="18"/>
                <w:szCs w:val="18"/>
              </w:rPr>
              <w:t xml:space="preserve"> CY 2018</w:t>
            </w:r>
          </w:p>
        </w:tc>
        <w:tc>
          <w:tcPr>
            <w:tcW w:w="960" w:type="dxa"/>
            <w:tcBorders>
              <w:top w:val="single" w:sz="8" w:space="0" w:color="auto"/>
              <w:left w:val="nil"/>
              <w:bottom w:val="single" w:sz="8" w:space="0" w:color="auto"/>
              <w:right w:val="single" w:sz="8" w:space="0" w:color="auto"/>
            </w:tcBorders>
            <w:shd w:val="clear" w:color="000000" w:fill="31869B"/>
            <w:vAlign w:val="center"/>
            <w:hideMark/>
          </w:tcPr>
          <w:p w14:paraId="7F6AE0F5" w14:textId="77777777" w:rsidR="00F702F9" w:rsidRPr="00F702F9" w:rsidRDefault="00F702F9" w:rsidP="00F702F9">
            <w:pPr>
              <w:widowControl/>
              <w:spacing w:after="0" w:line="240" w:lineRule="auto"/>
              <w:jc w:val="center"/>
              <w:rPr>
                <w:b/>
                <w:bCs/>
                <w:color w:val="000000"/>
                <w:sz w:val="18"/>
                <w:szCs w:val="18"/>
              </w:rPr>
            </w:pPr>
            <w:r w:rsidRPr="00F702F9">
              <w:rPr>
                <w:b/>
                <w:bCs/>
                <w:color w:val="000000"/>
                <w:sz w:val="18"/>
                <w:szCs w:val="18"/>
              </w:rPr>
              <w:t>Change from previous year</w:t>
            </w:r>
          </w:p>
        </w:tc>
      </w:tr>
      <w:tr w:rsidR="00F702F9" w:rsidRPr="00F702F9" w14:paraId="6938FC9F" w14:textId="77777777" w:rsidTr="009D4CEF">
        <w:trPr>
          <w:trHeight w:val="289"/>
          <w:jc w:val="center"/>
        </w:trPr>
        <w:tc>
          <w:tcPr>
            <w:tcW w:w="8840" w:type="dxa"/>
            <w:gridSpan w:val="6"/>
            <w:tcBorders>
              <w:top w:val="nil"/>
              <w:left w:val="single" w:sz="8" w:space="0" w:color="auto"/>
              <w:bottom w:val="single" w:sz="4" w:space="0" w:color="auto"/>
              <w:right w:val="single" w:sz="8" w:space="0" w:color="000000"/>
            </w:tcBorders>
            <w:shd w:val="clear" w:color="000000" w:fill="4AAEC6"/>
            <w:vAlign w:val="bottom"/>
            <w:hideMark/>
          </w:tcPr>
          <w:p w14:paraId="6E590C47" w14:textId="77777777" w:rsidR="00F702F9" w:rsidRPr="00F702F9" w:rsidRDefault="00F702F9" w:rsidP="00F702F9">
            <w:pPr>
              <w:widowControl/>
              <w:spacing w:after="0" w:line="240" w:lineRule="auto"/>
              <w:jc w:val="center"/>
              <w:rPr>
                <w:b/>
                <w:bCs/>
                <w:color w:val="000000"/>
                <w:sz w:val="18"/>
                <w:szCs w:val="18"/>
              </w:rPr>
            </w:pPr>
            <w:r w:rsidRPr="00F702F9">
              <w:rPr>
                <w:b/>
                <w:bCs/>
                <w:color w:val="000000"/>
                <w:sz w:val="18"/>
                <w:szCs w:val="18"/>
              </w:rPr>
              <w:t>Incentive Estimates</w:t>
            </w:r>
          </w:p>
        </w:tc>
      </w:tr>
      <w:tr w:rsidR="00F702F9" w:rsidRPr="00F702F9" w14:paraId="375B78C9" w14:textId="77777777" w:rsidTr="009D4CEF">
        <w:trPr>
          <w:trHeight w:val="289"/>
          <w:jc w:val="center"/>
        </w:trPr>
        <w:tc>
          <w:tcPr>
            <w:tcW w:w="3020" w:type="dxa"/>
            <w:tcBorders>
              <w:top w:val="nil"/>
              <w:left w:val="single" w:sz="8" w:space="0" w:color="auto"/>
              <w:bottom w:val="nil"/>
              <w:right w:val="nil"/>
            </w:tcBorders>
            <w:shd w:val="clear" w:color="auto" w:fill="auto"/>
            <w:noWrap/>
            <w:vAlign w:val="bottom"/>
            <w:hideMark/>
          </w:tcPr>
          <w:p w14:paraId="4A405121" w14:textId="77777777" w:rsidR="00F702F9" w:rsidRPr="00F702F9" w:rsidRDefault="00F702F9" w:rsidP="00F702F9">
            <w:pPr>
              <w:widowControl/>
              <w:spacing w:after="0" w:line="240" w:lineRule="auto"/>
              <w:rPr>
                <w:color w:val="000000"/>
                <w:sz w:val="18"/>
                <w:szCs w:val="18"/>
              </w:rPr>
            </w:pPr>
            <w:r w:rsidRPr="00F702F9">
              <w:rPr>
                <w:color w:val="000000"/>
                <w:sz w:val="18"/>
                <w:szCs w:val="18"/>
              </w:rPr>
              <w:t xml:space="preserve"> Residential </w:t>
            </w:r>
          </w:p>
        </w:tc>
        <w:tc>
          <w:tcPr>
            <w:tcW w:w="1420" w:type="dxa"/>
            <w:tcBorders>
              <w:top w:val="nil"/>
              <w:left w:val="nil"/>
              <w:bottom w:val="nil"/>
              <w:right w:val="nil"/>
            </w:tcBorders>
            <w:shd w:val="clear" w:color="auto" w:fill="auto"/>
            <w:noWrap/>
            <w:vAlign w:val="bottom"/>
            <w:hideMark/>
          </w:tcPr>
          <w:p w14:paraId="20753203"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$1,128,698</w:t>
            </w:r>
          </w:p>
        </w:tc>
        <w:tc>
          <w:tcPr>
            <w:tcW w:w="1300" w:type="dxa"/>
            <w:tcBorders>
              <w:top w:val="nil"/>
              <w:left w:val="nil"/>
              <w:bottom w:val="nil"/>
              <w:right w:val="nil"/>
            </w:tcBorders>
            <w:shd w:val="clear" w:color="auto" w:fill="auto"/>
            <w:noWrap/>
            <w:vAlign w:val="bottom"/>
            <w:hideMark/>
          </w:tcPr>
          <w:p w14:paraId="4B0C5A75"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$891,663</w:t>
            </w:r>
          </w:p>
        </w:tc>
        <w:tc>
          <w:tcPr>
            <w:tcW w:w="960" w:type="dxa"/>
            <w:tcBorders>
              <w:top w:val="nil"/>
              <w:left w:val="nil"/>
              <w:bottom w:val="nil"/>
              <w:right w:val="nil"/>
            </w:tcBorders>
            <w:shd w:val="clear" w:color="auto" w:fill="auto"/>
            <w:noWrap/>
            <w:vAlign w:val="bottom"/>
            <w:hideMark/>
          </w:tcPr>
          <w:p w14:paraId="33F70B47"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-21%</w:t>
            </w:r>
          </w:p>
        </w:tc>
        <w:tc>
          <w:tcPr>
            <w:tcW w:w="1180" w:type="dxa"/>
            <w:tcBorders>
              <w:top w:val="nil"/>
              <w:left w:val="nil"/>
              <w:bottom w:val="nil"/>
              <w:right w:val="nil"/>
            </w:tcBorders>
            <w:shd w:val="clear" w:color="auto" w:fill="auto"/>
            <w:noWrap/>
            <w:vAlign w:val="bottom"/>
            <w:hideMark/>
          </w:tcPr>
          <w:p w14:paraId="2778754A"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$912,251</w:t>
            </w:r>
          </w:p>
        </w:tc>
        <w:tc>
          <w:tcPr>
            <w:tcW w:w="960" w:type="dxa"/>
            <w:tcBorders>
              <w:top w:val="nil"/>
              <w:left w:val="nil"/>
              <w:bottom w:val="nil"/>
              <w:right w:val="single" w:sz="8" w:space="0" w:color="auto"/>
            </w:tcBorders>
            <w:shd w:val="clear" w:color="auto" w:fill="auto"/>
            <w:noWrap/>
            <w:vAlign w:val="bottom"/>
            <w:hideMark/>
          </w:tcPr>
          <w:p w14:paraId="53387132"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2%</w:t>
            </w:r>
          </w:p>
        </w:tc>
      </w:tr>
      <w:tr w:rsidR="00F702F9" w:rsidRPr="00F702F9" w14:paraId="2A451930" w14:textId="77777777" w:rsidTr="009D4CEF">
        <w:trPr>
          <w:trHeight w:val="289"/>
          <w:jc w:val="center"/>
        </w:trPr>
        <w:tc>
          <w:tcPr>
            <w:tcW w:w="3020" w:type="dxa"/>
            <w:tcBorders>
              <w:top w:val="nil"/>
              <w:left w:val="single" w:sz="8" w:space="0" w:color="auto"/>
              <w:bottom w:val="nil"/>
              <w:right w:val="nil"/>
            </w:tcBorders>
            <w:shd w:val="clear" w:color="auto" w:fill="auto"/>
            <w:noWrap/>
            <w:vAlign w:val="bottom"/>
            <w:hideMark/>
          </w:tcPr>
          <w:p w14:paraId="4B3586E5" w14:textId="77777777" w:rsidR="00F702F9" w:rsidRPr="00F702F9" w:rsidRDefault="00F702F9" w:rsidP="00F702F9">
            <w:pPr>
              <w:widowControl/>
              <w:spacing w:after="0" w:line="240" w:lineRule="auto"/>
              <w:rPr>
                <w:color w:val="000000"/>
                <w:sz w:val="18"/>
                <w:szCs w:val="18"/>
              </w:rPr>
            </w:pPr>
            <w:r w:rsidRPr="00F702F9">
              <w:rPr>
                <w:color w:val="000000"/>
                <w:sz w:val="18"/>
                <w:szCs w:val="18"/>
              </w:rPr>
              <w:t xml:space="preserve"> Commercial/Industrial </w:t>
            </w:r>
          </w:p>
        </w:tc>
        <w:tc>
          <w:tcPr>
            <w:tcW w:w="1420" w:type="dxa"/>
            <w:tcBorders>
              <w:top w:val="nil"/>
              <w:left w:val="nil"/>
              <w:bottom w:val="nil"/>
              <w:right w:val="nil"/>
            </w:tcBorders>
            <w:shd w:val="clear" w:color="auto" w:fill="auto"/>
            <w:noWrap/>
            <w:vAlign w:val="bottom"/>
            <w:hideMark/>
          </w:tcPr>
          <w:p w14:paraId="5F84CACB"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$638,494</w:t>
            </w:r>
          </w:p>
        </w:tc>
        <w:tc>
          <w:tcPr>
            <w:tcW w:w="1300" w:type="dxa"/>
            <w:tcBorders>
              <w:top w:val="nil"/>
              <w:left w:val="nil"/>
              <w:bottom w:val="nil"/>
              <w:right w:val="nil"/>
            </w:tcBorders>
            <w:shd w:val="clear" w:color="auto" w:fill="auto"/>
            <w:noWrap/>
            <w:vAlign w:val="bottom"/>
            <w:hideMark/>
          </w:tcPr>
          <w:p w14:paraId="0464B227"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$582,149</w:t>
            </w:r>
          </w:p>
        </w:tc>
        <w:tc>
          <w:tcPr>
            <w:tcW w:w="960" w:type="dxa"/>
            <w:tcBorders>
              <w:top w:val="nil"/>
              <w:left w:val="nil"/>
              <w:bottom w:val="nil"/>
              <w:right w:val="nil"/>
            </w:tcBorders>
            <w:shd w:val="clear" w:color="auto" w:fill="auto"/>
            <w:noWrap/>
            <w:vAlign w:val="bottom"/>
            <w:hideMark/>
          </w:tcPr>
          <w:p w14:paraId="261344EE"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-9%</w:t>
            </w:r>
          </w:p>
        </w:tc>
        <w:tc>
          <w:tcPr>
            <w:tcW w:w="1180" w:type="dxa"/>
            <w:tcBorders>
              <w:top w:val="nil"/>
              <w:left w:val="nil"/>
              <w:bottom w:val="nil"/>
              <w:right w:val="nil"/>
            </w:tcBorders>
            <w:shd w:val="clear" w:color="auto" w:fill="auto"/>
            <w:noWrap/>
            <w:vAlign w:val="bottom"/>
            <w:hideMark/>
          </w:tcPr>
          <w:p w14:paraId="4C48323B"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$615,114</w:t>
            </w:r>
          </w:p>
        </w:tc>
        <w:tc>
          <w:tcPr>
            <w:tcW w:w="960" w:type="dxa"/>
            <w:tcBorders>
              <w:top w:val="nil"/>
              <w:left w:val="nil"/>
              <w:bottom w:val="nil"/>
              <w:right w:val="single" w:sz="8" w:space="0" w:color="auto"/>
            </w:tcBorders>
            <w:shd w:val="clear" w:color="auto" w:fill="auto"/>
            <w:noWrap/>
            <w:vAlign w:val="bottom"/>
            <w:hideMark/>
          </w:tcPr>
          <w:p w14:paraId="08BBDE20"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6%</w:t>
            </w:r>
          </w:p>
        </w:tc>
      </w:tr>
      <w:tr w:rsidR="00F702F9" w:rsidRPr="00F702F9" w14:paraId="4055B7A3" w14:textId="77777777" w:rsidTr="009D4CEF">
        <w:trPr>
          <w:trHeight w:val="289"/>
          <w:jc w:val="center"/>
        </w:trPr>
        <w:tc>
          <w:tcPr>
            <w:tcW w:w="3020" w:type="dxa"/>
            <w:tcBorders>
              <w:top w:val="nil"/>
              <w:left w:val="single" w:sz="8" w:space="0" w:color="auto"/>
              <w:bottom w:val="nil"/>
              <w:right w:val="nil"/>
            </w:tcBorders>
            <w:shd w:val="clear" w:color="auto" w:fill="auto"/>
            <w:noWrap/>
            <w:vAlign w:val="bottom"/>
            <w:hideMark/>
          </w:tcPr>
          <w:p w14:paraId="37E41CAE" w14:textId="77777777" w:rsidR="00F702F9" w:rsidRPr="00F702F9" w:rsidRDefault="00F702F9" w:rsidP="00F702F9">
            <w:pPr>
              <w:widowControl/>
              <w:spacing w:after="0" w:line="240" w:lineRule="auto"/>
              <w:rPr>
                <w:color w:val="000000"/>
                <w:sz w:val="18"/>
                <w:szCs w:val="18"/>
              </w:rPr>
            </w:pPr>
            <w:r w:rsidRPr="00F702F9">
              <w:rPr>
                <w:color w:val="000000"/>
                <w:sz w:val="18"/>
                <w:szCs w:val="18"/>
              </w:rPr>
              <w:t xml:space="preserve"> Low Income </w:t>
            </w:r>
          </w:p>
        </w:tc>
        <w:tc>
          <w:tcPr>
            <w:tcW w:w="1420" w:type="dxa"/>
            <w:tcBorders>
              <w:top w:val="nil"/>
              <w:left w:val="nil"/>
              <w:bottom w:val="nil"/>
              <w:right w:val="nil"/>
            </w:tcBorders>
            <w:shd w:val="clear" w:color="auto" w:fill="auto"/>
            <w:noWrap/>
            <w:vAlign w:val="bottom"/>
            <w:hideMark/>
          </w:tcPr>
          <w:p w14:paraId="452D1BAC"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$90,000</w:t>
            </w:r>
          </w:p>
        </w:tc>
        <w:tc>
          <w:tcPr>
            <w:tcW w:w="1300" w:type="dxa"/>
            <w:tcBorders>
              <w:top w:val="nil"/>
              <w:left w:val="nil"/>
              <w:bottom w:val="nil"/>
              <w:right w:val="nil"/>
            </w:tcBorders>
            <w:shd w:val="clear" w:color="auto" w:fill="auto"/>
            <w:noWrap/>
            <w:vAlign w:val="bottom"/>
            <w:hideMark/>
          </w:tcPr>
          <w:p w14:paraId="6E8B74DE"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$385,000</w:t>
            </w:r>
          </w:p>
        </w:tc>
        <w:tc>
          <w:tcPr>
            <w:tcW w:w="960" w:type="dxa"/>
            <w:tcBorders>
              <w:top w:val="nil"/>
              <w:left w:val="nil"/>
              <w:bottom w:val="nil"/>
              <w:right w:val="nil"/>
            </w:tcBorders>
            <w:shd w:val="clear" w:color="auto" w:fill="auto"/>
            <w:noWrap/>
            <w:vAlign w:val="bottom"/>
            <w:hideMark/>
          </w:tcPr>
          <w:p w14:paraId="770F4B40"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328%</w:t>
            </w:r>
          </w:p>
        </w:tc>
        <w:tc>
          <w:tcPr>
            <w:tcW w:w="1180" w:type="dxa"/>
            <w:tcBorders>
              <w:top w:val="nil"/>
              <w:left w:val="nil"/>
              <w:bottom w:val="nil"/>
              <w:right w:val="nil"/>
            </w:tcBorders>
            <w:shd w:val="clear" w:color="auto" w:fill="auto"/>
            <w:noWrap/>
            <w:vAlign w:val="bottom"/>
            <w:hideMark/>
          </w:tcPr>
          <w:p w14:paraId="20C6D7F4"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$390,000</w:t>
            </w:r>
          </w:p>
        </w:tc>
        <w:tc>
          <w:tcPr>
            <w:tcW w:w="960" w:type="dxa"/>
            <w:tcBorders>
              <w:top w:val="nil"/>
              <w:left w:val="nil"/>
              <w:bottom w:val="nil"/>
              <w:right w:val="single" w:sz="8" w:space="0" w:color="auto"/>
            </w:tcBorders>
            <w:shd w:val="clear" w:color="auto" w:fill="auto"/>
            <w:noWrap/>
            <w:vAlign w:val="bottom"/>
            <w:hideMark/>
          </w:tcPr>
          <w:p w14:paraId="07576F4E"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1%</w:t>
            </w:r>
          </w:p>
        </w:tc>
      </w:tr>
      <w:tr w:rsidR="00F702F9" w:rsidRPr="00F702F9" w14:paraId="060ECAA0" w14:textId="77777777" w:rsidTr="009D4CEF">
        <w:trPr>
          <w:trHeight w:val="289"/>
          <w:jc w:val="center"/>
        </w:trPr>
        <w:tc>
          <w:tcPr>
            <w:tcW w:w="3020" w:type="dxa"/>
            <w:tcBorders>
              <w:top w:val="nil"/>
              <w:left w:val="single" w:sz="8" w:space="0" w:color="auto"/>
              <w:bottom w:val="nil"/>
              <w:right w:val="nil"/>
            </w:tcBorders>
            <w:shd w:val="clear" w:color="auto" w:fill="auto"/>
            <w:noWrap/>
            <w:vAlign w:val="bottom"/>
            <w:hideMark/>
          </w:tcPr>
          <w:p w14:paraId="3372B9D0" w14:textId="77777777" w:rsidR="00F702F9" w:rsidRPr="00F702F9" w:rsidRDefault="00F702F9" w:rsidP="00F702F9">
            <w:pPr>
              <w:widowControl/>
              <w:spacing w:after="0" w:line="240" w:lineRule="auto"/>
              <w:jc w:val="center"/>
              <w:rPr>
                <w:b/>
                <w:bCs/>
                <w:color w:val="000000"/>
                <w:sz w:val="18"/>
                <w:szCs w:val="18"/>
              </w:rPr>
            </w:pPr>
            <w:r w:rsidRPr="00F702F9">
              <w:rPr>
                <w:b/>
                <w:bCs/>
                <w:color w:val="000000"/>
                <w:sz w:val="18"/>
                <w:szCs w:val="18"/>
              </w:rPr>
              <w:t xml:space="preserve"> Total Incentives </w:t>
            </w:r>
          </w:p>
        </w:tc>
        <w:tc>
          <w:tcPr>
            <w:tcW w:w="1420" w:type="dxa"/>
            <w:tcBorders>
              <w:top w:val="nil"/>
              <w:left w:val="nil"/>
              <w:bottom w:val="nil"/>
              <w:right w:val="nil"/>
            </w:tcBorders>
            <w:shd w:val="clear" w:color="auto" w:fill="auto"/>
            <w:noWrap/>
            <w:vAlign w:val="bottom"/>
            <w:hideMark/>
          </w:tcPr>
          <w:p w14:paraId="534F32FC"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$1,857,192</w:t>
            </w:r>
          </w:p>
        </w:tc>
        <w:tc>
          <w:tcPr>
            <w:tcW w:w="1300" w:type="dxa"/>
            <w:tcBorders>
              <w:top w:val="nil"/>
              <w:left w:val="nil"/>
              <w:bottom w:val="nil"/>
              <w:right w:val="nil"/>
            </w:tcBorders>
            <w:shd w:val="clear" w:color="auto" w:fill="auto"/>
            <w:noWrap/>
            <w:vAlign w:val="bottom"/>
            <w:hideMark/>
          </w:tcPr>
          <w:p w14:paraId="2063BFE5" w14:textId="77777777" w:rsidR="00F702F9" w:rsidRPr="00F702F9" w:rsidRDefault="00F702F9" w:rsidP="00F702F9">
            <w:pPr>
              <w:widowControl/>
              <w:spacing w:after="0" w:line="240" w:lineRule="auto"/>
              <w:jc w:val="right"/>
              <w:rPr>
                <w:b/>
                <w:bCs/>
                <w:color w:val="000000"/>
                <w:sz w:val="18"/>
                <w:szCs w:val="18"/>
              </w:rPr>
            </w:pPr>
            <w:r w:rsidRPr="00F702F9">
              <w:rPr>
                <w:b/>
                <w:bCs/>
                <w:color w:val="000000"/>
                <w:sz w:val="18"/>
                <w:szCs w:val="18"/>
              </w:rPr>
              <w:t>$1,858,812</w:t>
            </w:r>
          </w:p>
        </w:tc>
        <w:tc>
          <w:tcPr>
            <w:tcW w:w="960" w:type="dxa"/>
            <w:tcBorders>
              <w:top w:val="nil"/>
              <w:left w:val="nil"/>
              <w:bottom w:val="nil"/>
              <w:right w:val="nil"/>
            </w:tcBorders>
            <w:shd w:val="clear" w:color="auto" w:fill="auto"/>
            <w:noWrap/>
            <w:vAlign w:val="bottom"/>
            <w:hideMark/>
          </w:tcPr>
          <w:p w14:paraId="2DC57F92"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0%</w:t>
            </w:r>
          </w:p>
        </w:tc>
        <w:tc>
          <w:tcPr>
            <w:tcW w:w="1180" w:type="dxa"/>
            <w:tcBorders>
              <w:top w:val="nil"/>
              <w:left w:val="nil"/>
              <w:bottom w:val="nil"/>
              <w:right w:val="nil"/>
            </w:tcBorders>
            <w:shd w:val="clear" w:color="auto" w:fill="auto"/>
            <w:noWrap/>
            <w:vAlign w:val="bottom"/>
            <w:hideMark/>
          </w:tcPr>
          <w:p w14:paraId="0CBBD38B" w14:textId="77777777" w:rsidR="00F702F9" w:rsidRPr="00F702F9" w:rsidRDefault="00F702F9" w:rsidP="00F702F9">
            <w:pPr>
              <w:widowControl/>
              <w:spacing w:after="0" w:line="240" w:lineRule="auto"/>
              <w:jc w:val="right"/>
              <w:rPr>
                <w:b/>
                <w:bCs/>
                <w:color w:val="000000"/>
                <w:sz w:val="18"/>
                <w:szCs w:val="18"/>
              </w:rPr>
            </w:pPr>
            <w:r w:rsidRPr="00F702F9">
              <w:rPr>
                <w:b/>
                <w:bCs/>
                <w:color w:val="000000"/>
                <w:sz w:val="18"/>
                <w:szCs w:val="18"/>
              </w:rPr>
              <w:t>$1,917,365</w:t>
            </w:r>
          </w:p>
        </w:tc>
        <w:tc>
          <w:tcPr>
            <w:tcW w:w="960" w:type="dxa"/>
            <w:tcBorders>
              <w:top w:val="nil"/>
              <w:left w:val="nil"/>
              <w:bottom w:val="nil"/>
              <w:right w:val="single" w:sz="8" w:space="0" w:color="auto"/>
            </w:tcBorders>
            <w:shd w:val="clear" w:color="auto" w:fill="auto"/>
            <w:noWrap/>
            <w:vAlign w:val="bottom"/>
            <w:hideMark/>
          </w:tcPr>
          <w:p w14:paraId="1CAF2442"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3%</w:t>
            </w:r>
          </w:p>
        </w:tc>
      </w:tr>
      <w:tr w:rsidR="00F702F9" w:rsidRPr="00F702F9" w14:paraId="2021F8F5" w14:textId="77777777" w:rsidTr="009D4CEF">
        <w:trPr>
          <w:trHeight w:val="289"/>
          <w:jc w:val="center"/>
        </w:trPr>
        <w:tc>
          <w:tcPr>
            <w:tcW w:w="3020" w:type="dxa"/>
            <w:tcBorders>
              <w:top w:val="nil"/>
              <w:left w:val="single" w:sz="8" w:space="0" w:color="auto"/>
              <w:bottom w:val="nil"/>
              <w:right w:val="nil"/>
            </w:tcBorders>
            <w:shd w:val="clear" w:color="auto" w:fill="auto"/>
            <w:noWrap/>
            <w:vAlign w:val="bottom"/>
            <w:hideMark/>
          </w:tcPr>
          <w:p w14:paraId="00801D04" w14:textId="77777777" w:rsidR="00F702F9" w:rsidRPr="00F702F9" w:rsidRDefault="00F702F9" w:rsidP="00F702F9">
            <w:pPr>
              <w:widowControl/>
              <w:spacing w:after="0" w:line="240" w:lineRule="auto"/>
              <w:jc w:val="center"/>
              <w:rPr>
                <w:b/>
                <w:bCs/>
                <w:color w:val="000000"/>
                <w:sz w:val="18"/>
                <w:szCs w:val="18"/>
              </w:rPr>
            </w:pPr>
            <w:r w:rsidRPr="00F702F9">
              <w:rPr>
                <w:b/>
                <w:bCs/>
                <w:color w:val="000000"/>
                <w:sz w:val="18"/>
                <w:szCs w:val="18"/>
              </w:rPr>
              <w:t> </w:t>
            </w:r>
          </w:p>
        </w:tc>
        <w:tc>
          <w:tcPr>
            <w:tcW w:w="1420" w:type="dxa"/>
            <w:tcBorders>
              <w:top w:val="nil"/>
              <w:left w:val="nil"/>
              <w:bottom w:val="nil"/>
              <w:right w:val="nil"/>
            </w:tcBorders>
            <w:shd w:val="clear" w:color="auto" w:fill="auto"/>
            <w:noWrap/>
            <w:vAlign w:val="bottom"/>
            <w:hideMark/>
          </w:tcPr>
          <w:p w14:paraId="4DE5E178" w14:textId="77777777" w:rsidR="00F702F9" w:rsidRPr="00F702F9" w:rsidRDefault="00F702F9" w:rsidP="00F702F9">
            <w:pPr>
              <w:widowControl/>
              <w:spacing w:after="0" w:line="240" w:lineRule="auto"/>
              <w:jc w:val="right"/>
              <w:rPr>
                <w:color w:val="000000"/>
                <w:sz w:val="18"/>
                <w:szCs w:val="18"/>
              </w:rPr>
            </w:pPr>
          </w:p>
        </w:tc>
        <w:tc>
          <w:tcPr>
            <w:tcW w:w="1300" w:type="dxa"/>
            <w:tcBorders>
              <w:top w:val="nil"/>
              <w:left w:val="nil"/>
              <w:bottom w:val="nil"/>
              <w:right w:val="nil"/>
            </w:tcBorders>
            <w:shd w:val="clear" w:color="auto" w:fill="auto"/>
            <w:noWrap/>
            <w:vAlign w:val="bottom"/>
            <w:hideMark/>
          </w:tcPr>
          <w:p w14:paraId="07078939" w14:textId="77777777" w:rsidR="00F702F9" w:rsidRPr="00F702F9" w:rsidRDefault="00F702F9" w:rsidP="00F702F9">
            <w:pPr>
              <w:widowControl/>
              <w:spacing w:after="0" w:line="240" w:lineRule="auto"/>
              <w:jc w:val="right"/>
              <w:rPr>
                <w:b/>
                <w:bCs/>
                <w:color w:val="000000"/>
                <w:sz w:val="18"/>
                <w:szCs w:val="18"/>
              </w:rPr>
            </w:pPr>
          </w:p>
        </w:tc>
        <w:tc>
          <w:tcPr>
            <w:tcW w:w="960" w:type="dxa"/>
            <w:tcBorders>
              <w:top w:val="nil"/>
              <w:left w:val="nil"/>
              <w:bottom w:val="nil"/>
              <w:right w:val="nil"/>
            </w:tcBorders>
            <w:shd w:val="clear" w:color="auto" w:fill="auto"/>
            <w:noWrap/>
            <w:vAlign w:val="bottom"/>
            <w:hideMark/>
          </w:tcPr>
          <w:p w14:paraId="4727F95E" w14:textId="77777777" w:rsidR="00F702F9" w:rsidRPr="00F702F9" w:rsidRDefault="00F702F9" w:rsidP="00F702F9">
            <w:pPr>
              <w:widowControl/>
              <w:spacing w:after="0" w:line="240" w:lineRule="auto"/>
              <w:jc w:val="right"/>
              <w:rPr>
                <w:color w:val="000000"/>
                <w:sz w:val="18"/>
                <w:szCs w:val="18"/>
              </w:rPr>
            </w:pPr>
          </w:p>
        </w:tc>
        <w:tc>
          <w:tcPr>
            <w:tcW w:w="1180" w:type="dxa"/>
            <w:tcBorders>
              <w:top w:val="nil"/>
              <w:left w:val="nil"/>
              <w:bottom w:val="nil"/>
              <w:right w:val="nil"/>
            </w:tcBorders>
            <w:shd w:val="clear" w:color="auto" w:fill="auto"/>
            <w:noWrap/>
            <w:vAlign w:val="bottom"/>
            <w:hideMark/>
          </w:tcPr>
          <w:p w14:paraId="639664B0" w14:textId="77777777" w:rsidR="00F702F9" w:rsidRPr="00F702F9" w:rsidRDefault="00F702F9" w:rsidP="00F702F9">
            <w:pPr>
              <w:widowControl/>
              <w:spacing w:after="0" w:line="240" w:lineRule="auto"/>
              <w:jc w:val="right"/>
              <w:rPr>
                <w:b/>
                <w:bCs/>
                <w:color w:val="000000"/>
                <w:sz w:val="18"/>
                <w:szCs w:val="18"/>
              </w:rPr>
            </w:pPr>
          </w:p>
        </w:tc>
        <w:tc>
          <w:tcPr>
            <w:tcW w:w="960" w:type="dxa"/>
            <w:tcBorders>
              <w:top w:val="nil"/>
              <w:left w:val="nil"/>
              <w:bottom w:val="nil"/>
              <w:right w:val="single" w:sz="8" w:space="0" w:color="auto"/>
            </w:tcBorders>
            <w:shd w:val="clear" w:color="auto" w:fill="auto"/>
            <w:noWrap/>
            <w:vAlign w:val="bottom"/>
            <w:hideMark/>
          </w:tcPr>
          <w:p w14:paraId="1BA1901A"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 </w:t>
            </w:r>
          </w:p>
        </w:tc>
      </w:tr>
      <w:tr w:rsidR="00F702F9" w:rsidRPr="00F702F9" w14:paraId="2C5B2EC6" w14:textId="77777777" w:rsidTr="009D4CEF">
        <w:trPr>
          <w:trHeight w:val="289"/>
          <w:jc w:val="center"/>
        </w:trPr>
        <w:tc>
          <w:tcPr>
            <w:tcW w:w="8840" w:type="dxa"/>
            <w:gridSpan w:val="6"/>
            <w:tcBorders>
              <w:top w:val="nil"/>
              <w:left w:val="single" w:sz="8" w:space="0" w:color="auto"/>
              <w:bottom w:val="nil"/>
              <w:right w:val="single" w:sz="8" w:space="0" w:color="000000"/>
            </w:tcBorders>
            <w:shd w:val="clear" w:color="000000" w:fill="4AAEC6"/>
            <w:noWrap/>
            <w:vAlign w:val="bottom"/>
            <w:hideMark/>
          </w:tcPr>
          <w:p w14:paraId="52589BBB" w14:textId="77777777" w:rsidR="00F702F9" w:rsidRPr="00F702F9" w:rsidRDefault="00F702F9" w:rsidP="00F702F9">
            <w:pPr>
              <w:widowControl/>
              <w:spacing w:after="0" w:line="240" w:lineRule="auto"/>
              <w:jc w:val="center"/>
              <w:rPr>
                <w:b/>
                <w:bCs/>
                <w:color w:val="000000"/>
                <w:sz w:val="18"/>
                <w:szCs w:val="18"/>
              </w:rPr>
            </w:pPr>
            <w:r w:rsidRPr="00F702F9">
              <w:rPr>
                <w:b/>
                <w:bCs/>
                <w:color w:val="000000"/>
                <w:sz w:val="18"/>
                <w:szCs w:val="18"/>
              </w:rPr>
              <w:t xml:space="preserve"> Non-Incentive/Admin Expenses </w:t>
            </w:r>
          </w:p>
        </w:tc>
      </w:tr>
      <w:tr w:rsidR="00F702F9" w:rsidRPr="00F702F9" w14:paraId="39DA1DB9" w14:textId="77777777" w:rsidTr="009D4CEF">
        <w:trPr>
          <w:trHeight w:val="289"/>
          <w:jc w:val="center"/>
        </w:trPr>
        <w:tc>
          <w:tcPr>
            <w:tcW w:w="3020" w:type="dxa"/>
            <w:tcBorders>
              <w:top w:val="nil"/>
              <w:left w:val="single" w:sz="8" w:space="0" w:color="auto"/>
              <w:bottom w:val="nil"/>
              <w:right w:val="nil"/>
            </w:tcBorders>
            <w:shd w:val="clear" w:color="auto" w:fill="auto"/>
            <w:noWrap/>
            <w:vAlign w:val="bottom"/>
            <w:hideMark/>
          </w:tcPr>
          <w:p w14:paraId="411E339A" w14:textId="77777777" w:rsidR="00F702F9" w:rsidRPr="00F702F9" w:rsidRDefault="00F702F9" w:rsidP="00F702F9">
            <w:pPr>
              <w:widowControl/>
              <w:spacing w:after="0" w:line="240" w:lineRule="auto"/>
              <w:rPr>
                <w:color w:val="000000"/>
                <w:sz w:val="18"/>
                <w:szCs w:val="18"/>
              </w:rPr>
            </w:pPr>
            <w:r w:rsidRPr="00F702F9">
              <w:rPr>
                <w:color w:val="000000"/>
                <w:sz w:val="18"/>
                <w:szCs w:val="18"/>
              </w:rPr>
              <w:t xml:space="preserve"> Residential </w:t>
            </w:r>
          </w:p>
        </w:tc>
        <w:tc>
          <w:tcPr>
            <w:tcW w:w="1420" w:type="dxa"/>
            <w:tcBorders>
              <w:top w:val="nil"/>
              <w:left w:val="nil"/>
              <w:bottom w:val="nil"/>
              <w:right w:val="nil"/>
            </w:tcBorders>
            <w:shd w:val="clear" w:color="auto" w:fill="auto"/>
            <w:vAlign w:val="center"/>
            <w:hideMark/>
          </w:tcPr>
          <w:p w14:paraId="3EAE7456"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$507,199</w:t>
            </w:r>
          </w:p>
        </w:tc>
        <w:tc>
          <w:tcPr>
            <w:tcW w:w="1300" w:type="dxa"/>
            <w:tcBorders>
              <w:top w:val="nil"/>
              <w:left w:val="nil"/>
              <w:bottom w:val="nil"/>
              <w:right w:val="nil"/>
            </w:tcBorders>
            <w:shd w:val="clear" w:color="auto" w:fill="auto"/>
            <w:vAlign w:val="center"/>
            <w:hideMark/>
          </w:tcPr>
          <w:p w14:paraId="45B1D578"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$550,000</w:t>
            </w:r>
          </w:p>
        </w:tc>
        <w:tc>
          <w:tcPr>
            <w:tcW w:w="960" w:type="dxa"/>
            <w:tcBorders>
              <w:top w:val="nil"/>
              <w:left w:val="nil"/>
              <w:bottom w:val="nil"/>
              <w:right w:val="nil"/>
            </w:tcBorders>
            <w:shd w:val="clear" w:color="auto" w:fill="auto"/>
            <w:noWrap/>
            <w:vAlign w:val="bottom"/>
            <w:hideMark/>
          </w:tcPr>
          <w:p w14:paraId="52572858"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8%</w:t>
            </w:r>
          </w:p>
        </w:tc>
        <w:tc>
          <w:tcPr>
            <w:tcW w:w="1180" w:type="dxa"/>
            <w:tcBorders>
              <w:top w:val="nil"/>
              <w:left w:val="nil"/>
              <w:bottom w:val="nil"/>
              <w:right w:val="nil"/>
            </w:tcBorders>
            <w:shd w:val="clear" w:color="auto" w:fill="auto"/>
            <w:vAlign w:val="center"/>
            <w:hideMark/>
          </w:tcPr>
          <w:p w14:paraId="74B3AA4E"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$566,500</w:t>
            </w:r>
          </w:p>
        </w:tc>
        <w:tc>
          <w:tcPr>
            <w:tcW w:w="960" w:type="dxa"/>
            <w:tcBorders>
              <w:top w:val="nil"/>
              <w:left w:val="nil"/>
              <w:bottom w:val="nil"/>
              <w:right w:val="single" w:sz="8" w:space="0" w:color="auto"/>
            </w:tcBorders>
            <w:shd w:val="clear" w:color="auto" w:fill="auto"/>
            <w:noWrap/>
            <w:vAlign w:val="bottom"/>
            <w:hideMark/>
          </w:tcPr>
          <w:p w14:paraId="2B997995"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3%</w:t>
            </w:r>
          </w:p>
        </w:tc>
      </w:tr>
      <w:tr w:rsidR="00F702F9" w:rsidRPr="00F702F9" w14:paraId="1DF72281" w14:textId="77777777" w:rsidTr="009D4CEF">
        <w:trPr>
          <w:trHeight w:val="289"/>
          <w:jc w:val="center"/>
        </w:trPr>
        <w:tc>
          <w:tcPr>
            <w:tcW w:w="3020" w:type="dxa"/>
            <w:tcBorders>
              <w:top w:val="nil"/>
              <w:left w:val="single" w:sz="8" w:space="0" w:color="auto"/>
              <w:bottom w:val="nil"/>
              <w:right w:val="nil"/>
            </w:tcBorders>
            <w:shd w:val="clear" w:color="auto" w:fill="auto"/>
            <w:noWrap/>
            <w:vAlign w:val="bottom"/>
            <w:hideMark/>
          </w:tcPr>
          <w:p w14:paraId="7FB31ED1" w14:textId="77777777" w:rsidR="00F702F9" w:rsidRPr="00F702F9" w:rsidRDefault="00F702F9" w:rsidP="00F702F9">
            <w:pPr>
              <w:widowControl/>
              <w:spacing w:after="0" w:line="240" w:lineRule="auto"/>
              <w:rPr>
                <w:color w:val="000000"/>
                <w:sz w:val="18"/>
                <w:szCs w:val="18"/>
              </w:rPr>
            </w:pPr>
            <w:r w:rsidRPr="00F702F9">
              <w:rPr>
                <w:color w:val="000000"/>
                <w:sz w:val="18"/>
                <w:szCs w:val="18"/>
              </w:rPr>
              <w:t xml:space="preserve"> Commercial/Industrial </w:t>
            </w:r>
          </w:p>
        </w:tc>
        <w:tc>
          <w:tcPr>
            <w:tcW w:w="1420" w:type="dxa"/>
            <w:tcBorders>
              <w:top w:val="nil"/>
              <w:left w:val="nil"/>
              <w:bottom w:val="nil"/>
              <w:right w:val="nil"/>
            </w:tcBorders>
            <w:shd w:val="clear" w:color="auto" w:fill="auto"/>
            <w:noWrap/>
            <w:vAlign w:val="bottom"/>
            <w:hideMark/>
          </w:tcPr>
          <w:p w14:paraId="15B22540"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$983,301</w:t>
            </w:r>
          </w:p>
        </w:tc>
        <w:tc>
          <w:tcPr>
            <w:tcW w:w="1300" w:type="dxa"/>
            <w:tcBorders>
              <w:top w:val="nil"/>
              <w:left w:val="nil"/>
              <w:bottom w:val="nil"/>
              <w:right w:val="nil"/>
            </w:tcBorders>
            <w:shd w:val="clear" w:color="auto" w:fill="auto"/>
            <w:vAlign w:val="center"/>
            <w:hideMark/>
          </w:tcPr>
          <w:p w14:paraId="6E4BBC53"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$1,000,000</w:t>
            </w:r>
          </w:p>
        </w:tc>
        <w:tc>
          <w:tcPr>
            <w:tcW w:w="960" w:type="dxa"/>
            <w:tcBorders>
              <w:top w:val="nil"/>
              <w:left w:val="nil"/>
              <w:bottom w:val="nil"/>
              <w:right w:val="nil"/>
            </w:tcBorders>
            <w:shd w:val="clear" w:color="auto" w:fill="auto"/>
            <w:noWrap/>
            <w:vAlign w:val="bottom"/>
            <w:hideMark/>
          </w:tcPr>
          <w:p w14:paraId="6A849F35"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2%</w:t>
            </w:r>
          </w:p>
        </w:tc>
        <w:tc>
          <w:tcPr>
            <w:tcW w:w="1180" w:type="dxa"/>
            <w:tcBorders>
              <w:top w:val="nil"/>
              <w:left w:val="nil"/>
              <w:bottom w:val="nil"/>
              <w:right w:val="nil"/>
            </w:tcBorders>
            <w:shd w:val="clear" w:color="auto" w:fill="auto"/>
            <w:vAlign w:val="center"/>
            <w:hideMark/>
          </w:tcPr>
          <w:p w14:paraId="7CDC9309"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$1,030,000</w:t>
            </w:r>
          </w:p>
        </w:tc>
        <w:tc>
          <w:tcPr>
            <w:tcW w:w="960" w:type="dxa"/>
            <w:tcBorders>
              <w:top w:val="nil"/>
              <w:left w:val="nil"/>
              <w:bottom w:val="nil"/>
              <w:right w:val="single" w:sz="8" w:space="0" w:color="auto"/>
            </w:tcBorders>
            <w:shd w:val="clear" w:color="auto" w:fill="auto"/>
            <w:noWrap/>
            <w:vAlign w:val="bottom"/>
            <w:hideMark/>
          </w:tcPr>
          <w:p w14:paraId="3501B7DB"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3%</w:t>
            </w:r>
          </w:p>
        </w:tc>
      </w:tr>
      <w:tr w:rsidR="00F702F9" w:rsidRPr="00F702F9" w14:paraId="5DE0ADC5" w14:textId="77777777" w:rsidTr="009D4CEF">
        <w:trPr>
          <w:trHeight w:val="289"/>
          <w:jc w:val="center"/>
        </w:trPr>
        <w:tc>
          <w:tcPr>
            <w:tcW w:w="3020" w:type="dxa"/>
            <w:tcBorders>
              <w:top w:val="nil"/>
              <w:left w:val="single" w:sz="8" w:space="0" w:color="auto"/>
              <w:bottom w:val="nil"/>
              <w:right w:val="nil"/>
            </w:tcBorders>
            <w:shd w:val="clear" w:color="auto" w:fill="auto"/>
            <w:noWrap/>
            <w:vAlign w:val="bottom"/>
            <w:hideMark/>
          </w:tcPr>
          <w:p w14:paraId="2CF36F74" w14:textId="77777777" w:rsidR="00F702F9" w:rsidRPr="00F702F9" w:rsidRDefault="00F702F9" w:rsidP="00F702F9">
            <w:pPr>
              <w:widowControl/>
              <w:spacing w:after="0" w:line="240" w:lineRule="auto"/>
              <w:rPr>
                <w:color w:val="000000"/>
                <w:sz w:val="18"/>
                <w:szCs w:val="18"/>
              </w:rPr>
            </w:pPr>
            <w:r w:rsidRPr="00F702F9">
              <w:rPr>
                <w:color w:val="000000"/>
                <w:sz w:val="18"/>
                <w:szCs w:val="18"/>
              </w:rPr>
              <w:t xml:space="preserve"> Low Income </w:t>
            </w:r>
          </w:p>
        </w:tc>
        <w:tc>
          <w:tcPr>
            <w:tcW w:w="1420" w:type="dxa"/>
            <w:tcBorders>
              <w:top w:val="nil"/>
              <w:left w:val="nil"/>
              <w:bottom w:val="nil"/>
              <w:right w:val="nil"/>
            </w:tcBorders>
            <w:shd w:val="clear" w:color="auto" w:fill="auto"/>
            <w:noWrap/>
            <w:vAlign w:val="bottom"/>
            <w:hideMark/>
          </w:tcPr>
          <w:p w14:paraId="12077EA6"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$15,002</w:t>
            </w:r>
          </w:p>
        </w:tc>
        <w:tc>
          <w:tcPr>
            <w:tcW w:w="1300" w:type="dxa"/>
            <w:tcBorders>
              <w:top w:val="nil"/>
              <w:left w:val="nil"/>
              <w:bottom w:val="nil"/>
              <w:right w:val="nil"/>
            </w:tcBorders>
            <w:shd w:val="clear" w:color="auto" w:fill="auto"/>
            <w:vAlign w:val="center"/>
            <w:hideMark/>
          </w:tcPr>
          <w:p w14:paraId="4492610C"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$8,911</w:t>
            </w:r>
          </w:p>
        </w:tc>
        <w:tc>
          <w:tcPr>
            <w:tcW w:w="960" w:type="dxa"/>
            <w:tcBorders>
              <w:top w:val="nil"/>
              <w:left w:val="nil"/>
              <w:bottom w:val="nil"/>
              <w:right w:val="nil"/>
            </w:tcBorders>
            <w:shd w:val="clear" w:color="auto" w:fill="auto"/>
            <w:noWrap/>
            <w:vAlign w:val="bottom"/>
            <w:hideMark/>
          </w:tcPr>
          <w:p w14:paraId="3EA1F2C9"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-41%</w:t>
            </w:r>
          </w:p>
        </w:tc>
        <w:tc>
          <w:tcPr>
            <w:tcW w:w="1180" w:type="dxa"/>
            <w:tcBorders>
              <w:top w:val="nil"/>
              <w:left w:val="nil"/>
              <w:bottom w:val="nil"/>
              <w:right w:val="nil"/>
            </w:tcBorders>
            <w:shd w:val="clear" w:color="auto" w:fill="auto"/>
            <w:vAlign w:val="center"/>
            <w:hideMark/>
          </w:tcPr>
          <w:p w14:paraId="65EBD24C"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$8,911</w:t>
            </w:r>
          </w:p>
        </w:tc>
        <w:tc>
          <w:tcPr>
            <w:tcW w:w="960" w:type="dxa"/>
            <w:tcBorders>
              <w:top w:val="nil"/>
              <w:left w:val="nil"/>
              <w:bottom w:val="nil"/>
              <w:right w:val="single" w:sz="8" w:space="0" w:color="auto"/>
            </w:tcBorders>
            <w:shd w:val="clear" w:color="auto" w:fill="auto"/>
            <w:noWrap/>
            <w:vAlign w:val="bottom"/>
            <w:hideMark/>
          </w:tcPr>
          <w:p w14:paraId="22EFA02D"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0%</w:t>
            </w:r>
          </w:p>
        </w:tc>
      </w:tr>
      <w:tr w:rsidR="00F702F9" w:rsidRPr="00F702F9" w14:paraId="71B8C16B" w14:textId="77777777" w:rsidTr="009D4CEF">
        <w:trPr>
          <w:trHeight w:val="289"/>
          <w:jc w:val="center"/>
        </w:trPr>
        <w:tc>
          <w:tcPr>
            <w:tcW w:w="3020" w:type="dxa"/>
            <w:tcBorders>
              <w:top w:val="nil"/>
              <w:left w:val="single" w:sz="8" w:space="0" w:color="auto"/>
              <w:bottom w:val="nil"/>
              <w:right w:val="nil"/>
            </w:tcBorders>
            <w:shd w:val="clear" w:color="auto" w:fill="auto"/>
            <w:noWrap/>
            <w:vAlign w:val="bottom"/>
            <w:hideMark/>
          </w:tcPr>
          <w:p w14:paraId="0F774D17" w14:textId="77777777" w:rsidR="00F702F9" w:rsidRPr="00F702F9" w:rsidRDefault="00F702F9" w:rsidP="00F702F9">
            <w:pPr>
              <w:widowControl/>
              <w:spacing w:after="0" w:line="240" w:lineRule="auto"/>
              <w:jc w:val="center"/>
              <w:rPr>
                <w:b/>
                <w:bCs/>
                <w:color w:val="000000"/>
                <w:sz w:val="18"/>
                <w:szCs w:val="18"/>
              </w:rPr>
            </w:pPr>
            <w:r w:rsidRPr="00F702F9">
              <w:rPr>
                <w:b/>
                <w:bCs/>
                <w:color w:val="000000"/>
                <w:sz w:val="18"/>
                <w:szCs w:val="18"/>
              </w:rPr>
              <w:t xml:space="preserve"> Program Portfolio Admin </w:t>
            </w:r>
          </w:p>
        </w:tc>
        <w:tc>
          <w:tcPr>
            <w:tcW w:w="1420" w:type="dxa"/>
            <w:tcBorders>
              <w:top w:val="nil"/>
              <w:left w:val="nil"/>
              <w:bottom w:val="nil"/>
              <w:right w:val="nil"/>
            </w:tcBorders>
            <w:shd w:val="clear" w:color="auto" w:fill="auto"/>
            <w:noWrap/>
            <w:vAlign w:val="bottom"/>
            <w:hideMark/>
          </w:tcPr>
          <w:p w14:paraId="6ED51BC2" w14:textId="77777777" w:rsidR="00F702F9" w:rsidRPr="00F702F9" w:rsidRDefault="00F702F9" w:rsidP="00F702F9">
            <w:pPr>
              <w:widowControl/>
              <w:spacing w:after="0" w:line="240" w:lineRule="auto"/>
              <w:jc w:val="right"/>
              <w:rPr>
                <w:b/>
                <w:bCs/>
                <w:color w:val="000000"/>
                <w:sz w:val="18"/>
                <w:szCs w:val="18"/>
              </w:rPr>
            </w:pPr>
            <w:r w:rsidRPr="00F702F9">
              <w:rPr>
                <w:b/>
                <w:bCs/>
                <w:color w:val="000000"/>
                <w:sz w:val="18"/>
                <w:szCs w:val="18"/>
              </w:rPr>
              <w:t>$1,505,502</w:t>
            </w:r>
          </w:p>
        </w:tc>
        <w:tc>
          <w:tcPr>
            <w:tcW w:w="1300" w:type="dxa"/>
            <w:tcBorders>
              <w:top w:val="nil"/>
              <w:left w:val="nil"/>
              <w:bottom w:val="nil"/>
              <w:right w:val="nil"/>
            </w:tcBorders>
            <w:shd w:val="clear" w:color="auto" w:fill="auto"/>
            <w:vAlign w:val="center"/>
            <w:hideMark/>
          </w:tcPr>
          <w:p w14:paraId="0096C85B" w14:textId="77777777" w:rsidR="00F702F9" w:rsidRPr="00F702F9" w:rsidRDefault="00F702F9" w:rsidP="00F702F9">
            <w:pPr>
              <w:widowControl/>
              <w:spacing w:after="0" w:line="240" w:lineRule="auto"/>
              <w:jc w:val="right"/>
              <w:rPr>
                <w:b/>
                <w:bCs/>
                <w:color w:val="000000"/>
                <w:sz w:val="18"/>
                <w:szCs w:val="18"/>
              </w:rPr>
            </w:pPr>
            <w:r w:rsidRPr="00F702F9">
              <w:rPr>
                <w:b/>
                <w:bCs/>
                <w:color w:val="000000"/>
                <w:sz w:val="18"/>
                <w:szCs w:val="18"/>
              </w:rPr>
              <w:t>$1,558,911</w:t>
            </w:r>
          </w:p>
        </w:tc>
        <w:tc>
          <w:tcPr>
            <w:tcW w:w="960" w:type="dxa"/>
            <w:tcBorders>
              <w:top w:val="nil"/>
              <w:left w:val="nil"/>
              <w:bottom w:val="nil"/>
              <w:right w:val="nil"/>
            </w:tcBorders>
            <w:shd w:val="clear" w:color="auto" w:fill="auto"/>
            <w:noWrap/>
            <w:vAlign w:val="bottom"/>
            <w:hideMark/>
          </w:tcPr>
          <w:p w14:paraId="33910DAC"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4%</w:t>
            </w:r>
          </w:p>
        </w:tc>
        <w:tc>
          <w:tcPr>
            <w:tcW w:w="1180" w:type="dxa"/>
            <w:tcBorders>
              <w:top w:val="nil"/>
              <w:left w:val="nil"/>
              <w:bottom w:val="nil"/>
              <w:right w:val="nil"/>
            </w:tcBorders>
            <w:shd w:val="clear" w:color="auto" w:fill="auto"/>
            <w:noWrap/>
            <w:vAlign w:val="bottom"/>
            <w:hideMark/>
          </w:tcPr>
          <w:p w14:paraId="5EC64551" w14:textId="77777777" w:rsidR="00F702F9" w:rsidRPr="00F702F9" w:rsidRDefault="00F702F9" w:rsidP="00F702F9">
            <w:pPr>
              <w:widowControl/>
              <w:spacing w:after="0" w:line="240" w:lineRule="auto"/>
              <w:jc w:val="right"/>
              <w:rPr>
                <w:b/>
                <w:bCs/>
                <w:color w:val="000000"/>
                <w:sz w:val="18"/>
                <w:szCs w:val="18"/>
              </w:rPr>
            </w:pPr>
            <w:r w:rsidRPr="00F702F9">
              <w:rPr>
                <w:b/>
                <w:bCs/>
                <w:color w:val="000000"/>
                <w:sz w:val="18"/>
                <w:szCs w:val="18"/>
              </w:rPr>
              <w:t>$1,605,411</w:t>
            </w:r>
          </w:p>
        </w:tc>
        <w:tc>
          <w:tcPr>
            <w:tcW w:w="960" w:type="dxa"/>
            <w:tcBorders>
              <w:top w:val="nil"/>
              <w:left w:val="nil"/>
              <w:bottom w:val="nil"/>
              <w:right w:val="single" w:sz="8" w:space="0" w:color="auto"/>
            </w:tcBorders>
            <w:shd w:val="clear" w:color="auto" w:fill="auto"/>
            <w:noWrap/>
            <w:vAlign w:val="bottom"/>
            <w:hideMark/>
          </w:tcPr>
          <w:p w14:paraId="775E24DA"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3%</w:t>
            </w:r>
          </w:p>
        </w:tc>
      </w:tr>
      <w:tr w:rsidR="00F702F9" w:rsidRPr="00F702F9" w14:paraId="6D35DAAD" w14:textId="77777777" w:rsidTr="009D4CEF">
        <w:trPr>
          <w:trHeight w:val="289"/>
          <w:jc w:val="center"/>
        </w:trPr>
        <w:tc>
          <w:tcPr>
            <w:tcW w:w="3020" w:type="dxa"/>
            <w:tcBorders>
              <w:top w:val="nil"/>
              <w:left w:val="single" w:sz="8" w:space="0" w:color="auto"/>
              <w:bottom w:val="nil"/>
              <w:right w:val="nil"/>
            </w:tcBorders>
            <w:shd w:val="clear" w:color="000000" w:fill="D9D9D9"/>
            <w:noWrap/>
            <w:vAlign w:val="bottom"/>
            <w:hideMark/>
          </w:tcPr>
          <w:p w14:paraId="57E11A3C" w14:textId="77777777" w:rsidR="00F702F9" w:rsidRPr="00F702F9" w:rsidRDefault="00F702F9" w:rsidP="00F702F9">
            <w:pPr>
              <w:widowControl/>
              <w:spacing w:after="0" w:line="240" w:lineRule="auto"/>
              <w:jc w:val="right"/>
              <w:rPr>
                <w:i/>
                <w:iCs/>
                <w:color w:val="000000"/>
                <w:sz w:val="18"/>
                <w:szCs w:val="18"/>
              </w:rPr>
            </w:pPr>
            <w:r w:rsidRPr="00F702F9">
              <w:rPr>
                <w:i/>
                <w:iCs/>
                <w:color w:val="000000"/>
                <w:sz w:val="18"/>
                <w:szCs w:val="18"/>
              </w:rPr>
              <w:t xml:space="preserve"> Non-Incentive Expenses include:  </w:t>
            </w:r>
          </w:p>
        </w:tc>
        <w:tc>
          <w:tcPr>
            <w:tcW w:w="1420" w:type="dxa"/>
            <w:tcBorders>
              <w:top w:val="nil"/>
              <w:left w:val="nil"/>
              <w:bottom w:val="nil"/>
              <w:right w:val="nil"/>
            </w:tcBorders>
            <w:shd w:val="clear" w:color="auto" w:fill="auto"/>
            <w:noWrap/>
            <w:vAlign w:val="bottom"/>
            <w:hideMark/>
          </w:tcPr>
          <w:p w14:paraId="71B84D14" w14:textId="77777777" w:rsidR="00F702F9" w:rsidRPr="00F702F9" w:rsidRDefault="00F702F9" w:rsidP="00F702F9">
            <w:pPr>
              <w:widowControl/>
              <w:spacing w:after="0" w:line="240" w:lineRule="auto"/>
              <w:jc w:val="right"/>
              <w:rPr>
                <w:b/>
                <w:bCs/>
                <w:color w:val="000000"/>
                <w:sz w:val="18"/>
                <w:szCs w:val="18"/>
              </w:rPr>
            </w:pPr>
          </w:p>
        </w:tc>
        <w:tc>
          <w:tcPr>
            <w:tcW w:w="1300" w:type="dxa"/>
            <w:tcBorders>
              <w:top w:val="nil"/>
              <w:left w:val="nil"/>
              <w:bottom w:val="nil"/>
              <w:right w:val="nil"/>
            </w:tcBorders>
            <w:shd w:val="clear" w:color="auto" w:fill="auto"/>
            <w:vAlign w:val="center"/>
            <w:hideMark/>
          </w:tcPr>
          <w:p w14:paraId="4671FDF0" w14:textId="77777777" w:rsidR="00F702F9" w:rsidRPr="00F702F9" w:rsidRDefault="00F702F9" w:rsidP="00F702F9">
            <w:pPr>
              <w:widowControl/>
              <w:spacing w:after="0" w:line="240" w:lineRule="auto"/>
              <w:jc w:val="right"/>
              <w:rPr>
                <w:color w:val="000000"/>
                <w:sz w:val="18"/>
                <w:szCs w:val="18"/>
              </w:rPr>
            </w:pPr>
          </w:p>
        </w:tc>
        <w:tc>
          <w:tcPr>
            <w:tcW w:w="960" w:type="dxa"/>
            <w:tcBorders>
              <w:top w:val="nil"/>
              <w:left w:val="nil"/>
              <w:bottom w:val="nil"/>
              <w:right w:val="nil"/>
            </w:tcBorders>
            <w:shd w:val="clear" w:color="auto" w:fill="auto"/>
            <w:noWrap/>
            <w:vAlign w:val="bottom"/>
            <w:hideMark/>
          </w:tcPr>
          <w:p w14:paraId="1E27BBD4" w14:textId="77777777" w:rsidR="00F702F9" w:rsidRPr="00F702F9" w:rsidRDefault="00F702F9" w:rsidP="00F702F9">
            <w:pPr>
              <w:widowControl/>
              <w:spacing w:after="0" w:line="240" w:lineRule="auto"/>
              <w:jc w:val="right"/>
              <w:rPr>
                <w:color w:val="000000"/>
                <w:sz w:val="18"/>
                <w:szCs w:val="18"/>
              </w:rPr>
            </w:pPr>
          </w:p>
        </w:tc>
        <w:tc>
          <w:tcPr>
            <w:tcW w:w="1180" w:type="dxa"/>
            <w:tcBorders>
              <w:top w:val="nil"/>
              <w:left w:val="nil"/>
              <w:bottom w:val="nil"/>
              <w:right w:val="nil"/>
            </w:tcBorders>
            <w:shd w:val="clear" w:color="auto" w:fill="auto"/>
            <w:noWrap/>
            <w:vAlign w:val="bottom"/>
            <w:hideMark/>
          </w:tcPr>
          <w:p w14:paraId="755D6D1C" w14:textId="77777777" w:rsidR="00F702F9" w:rsidRPr="00F702F9" w:rsidRDefault="00F702F9" w:rsidP="00F702F9">
            <w:pPr>
              <w:widowControl/>
              <w:spacing w:after="0" w:line="240" w:lineRule="auto"/>
              <w:jc w:val="right"/>
              <w:rPr>
                <w:b/>
                <w:bCs/>
                <w:color w:val="000000"/>
                <w:sz w:val="18"/>
                <w:szCs w:val="18"/>
              </w:rPr>
            </w:pPr>
          </w:p>
        </w:tc>
        <w:tc>
          <w:tcPr>
            <w:tcW w:w="960" w:type="dxa"/>
            <w:tcBorders>
              <w:top w:val="nil"/>
              <w:left w:val="nil"/>
              <w:bottom w:val="nil"/>
              <w:right w:val="single" w:sz="8" w:space="0" w:color="auto"/>
            </w:tcBorders>
            <w:shd w:val="clear" w:color="auto" w:fill="auto"/>
            <w:noWrap/>
            <w:vAlign w:val="bottom"/>
            <w:hideMark/>
          </w:tcPr>
          <w:p w14:paraId="1C2FB4C0"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 </w:t>
            </w:r>
          </w:p>
        </w:tc>
      </w:tr>
      <w:tr w:rsidR="00F702F9" w:rsidRPr="00F702F9" w14:paraId="5D8B41C7" w14:textId="77777777" w:rsidTr="009D4CEF">
        <w:trPr>
          <w:trHeight w:val="289"/>
          <w:jc w:val="center"/>
        </w:trPr>
        <w:tc>
          <w:tcPr>
            <w:tcW w:w="3020" w:type="dxa"/>
            <w:tcBorders>
              <w:top w:val="nil"/>
              <w:left w:val="single" w:sz="8" w:space="0" w:color="auto"/>
              <w:bottom w:val="nil"/>
              <w:right w:val="nil"/>
            </w:tcBorders>
            <w:shd w:val="clear" w:color="auto" w:fill="auto"/>
            <w:noWrap/>
            <w:vAlign w:val="bottom"/>
            <w:hideMark/>
          </w:tcPr>
          <w:p w14:paraId="46131024" w14:textId="77777777" w:rsidR="00F702F9" w:rsidRPr="00F702F9" w:rsidRDefault="00F702F9" w:rsidP="00F702F9">
            <w:pPr>
              <w:widowControl/>
              <w:spacing w:after="0" w:line="240" w:lineRule="auto"/>
              <w:jc w:val="right"/>
              <w:rPr>
                <w:i/>
                <w:iCs/>
                <w:color w:val="000000"/>
                <w:sz w:val="18"/>
                <w:szCs w:val="18"/>
              </w:rPr>
            </w:pPr>
            <w:r w:rsidRPr="00F702F9">
              <w:rPr>
                <w:i/>
                <w:iCs/>
                <w:color w:val="000000"/>
                <w:sz w:val="18"/>
                <w:szCs w:val="18"/>
              </w:rPr>
              <w:t xml:space="preserve"> Labor </w:t>
            </w:r>
          </w:p>
        </w:tc>
        <w:tc>
          <w:tcPr>
            <w:tcW w:w="1420" w:type="dxa"/>
            <w:tcBorders>
              <w:top w:val="nil"/>
              <w:left w:val="nil"/>
              <w:bottom w:val="nil"/>
              <w:right w:val="nil"/>
            </w:tcBorders>
            <w:shd w:val="clear" w:color="auto" w:fill="auto"/>
            <w:noWrap/>
            <w:vAlign w:val="bottom"/>
            <w:hideMark/>
          </w:tcPr>
          <w:p w14:paraId="645F0121" w14:textId="77777777" w:rsidR="00F702F9" w:rsidRPr="00F702F9" w:rsidRDefault="00F702F9" w:rsidP="00F702F9">
            <w:pPr>
              <w:widowControl/>
              <w:spacing w:after="0" w:line="240" w:lineRule="auto"/>
              <w:jc w:val="right"/>
              <w:rPr>
                <w:i/>
                <w:iCs/>
                <w:color w:val="000000"/>
                <w:sz w:val="18"/>
                <w:szCs w:val="18"/>
              </w:rPr>
            </w:pPr>
            <w:r w:rsidRPr="00F702F9">
              <w:rPr>
                <w:i/>
                <w:iCs/>
                <w:color w:val="000000"/>
                <w:sz w:val="18"/>
                <w:szCs w:val="18"/>
              </w:rPr>
              <w:t>$262,206</w:t>
            </w:r>
          </w:p>
        </w:tc>
        <w:tc>
          <w:tcPr>
            <w:tcW w:w="1300" w:type="dxa"/>
            <w:tcBorders>
              <w:top w:val="nil"/>
              <w:left w:val="nil"/>
              <w:bottom w:val="nil"/>
              <w:right w:val="nil"/>
            </w:tcBorders>
            <w:shd w:val="clear" w:color="auto" w:fill="auto"/>
            <w:noWrap/>
            <w:vAlign w:val="bottom"/>
            <w:hideMark/>
          </w:tcPr>
          <w:p w14:paraId="2BBB36D7" w14:textId="77777777" w:rsidR="00F702F9" w:rsidRPr="00F702F9" w:rsidRDefault="00F702F9" w:rsidP="00F702F9">
            <w:pPr>
              <w:widowControl/>
              <w:spacing w:after="0" w:line="240" w:lineRule="auto"/>
              <w:jc w:val="right"/>
              <w:rPr>
                <w:i/>
                <w:iCs/>
                <w:color w:val="000000"/>
                <w:sz w:val="18"/>
                <w:szCs w:val="18"/>
              </w:rPr>
            </w:pPr>
            <w:r w:rsidRPr="00F702F9">
              <w:rPr>
                <w:i/>
                <w:iCs/>
                <w:color w:val="000000"/>
                <w:sz w:val="18"/>
                <w:szCs w:val="18"/>
              </w:rPr>
              <w:t>$345,000</w:t>
            </w:r>
          </w:p>
        </w:tc>
        <w:tc>
          <w:tcPr>
            <w:tcW w:w="960" w:type="dxa"/>
            <w:tcBorders>
              <w:top w:val="nil"/>
              <w:left w:val="nil"/>
              <w:bottom w:val="nil"/>
              <w:right w:val="nil"/>
            </w:tcBorders>
            <w:shd w:val="clear" w:color="auto" w:fill="auto"/>
            <w:noWrap/>
            <w:vAlign w:val="bottom"/>
            <w:hideMark/>
          </w:tcPr>
          <w:p w14:paraId="4833A681"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32%</w:t>
            </w:r>
          </w:p>
        </w:tc>
        <w:tc>
          <w:tcPr>
            <w:tcW w:w="1180" w:type="dxa"/>
            <w:tcBorders>
              <w:top w:val="nil"/>
              <w:left w:val="nil"/>
              <w:bottom w:val="nil"/>
              <w:right w:val="nil"/>
            </w:tcBorders>
            <w:shd w:val="clear" w:color="auto" w:fill="auto"/>
            <w:noWrap/>
            <w:vAlign w:val="bottom"/>
            <w:hideMark/>
          </w:tcPr>
          <w:p w14:paraId="008778E3" w14:textId="77777777" w:rsidR="00F702F9" w:rsidRPr="00F702F9" w:rsidRDefault="00F702F9" w:rsidP="00F702F9">
            <w:pPr>
              <w:widowControl/>
              <w:spacing w:after="0" w:line="240" w:lineRule="auto"/>
              <w:jc w:val="right"/>
              <w:rPr>
                <w:i/>
                <w:iCs/>
                <w:color w:val="000000"/>
                <w:sz w:val="18"/>
                <w:szCs w:val="18"/>
              </w:rPr>
            </w:pPr>
            <w:r w:rsidRPr="00F702F9">
              <w:rPr>
                <w:i/>
                <w:iCs/>
                <w:color w:val="000000"/>
                <w:sz w:val="18"/>
                <w:szCs w:val="18"/>
              </w:rPr>
              <w:t>$355,350</w:t>
            </w:r>
          </w:p>
        </w:tc>
        <w:tc>
          <w:tcPr>
            <w:tcW w:w="960" w:type="dxa"/>
            <w:tcBorders>
              <w:top w:val="nil"/>
              <w:left w:val="nil"/>
              <w:bottom w:val="nil"/>
              <w:right w:val="single" w:sz="8" w:space="0" w:color="auto"/>
            </w:tcBorders>
            <w:shd w:val="clear" w:color="auto" w:fill="auto"/>
            <w:noWrap/>
            <w:vAlign w:val="bottom"/>
            <w:hideMark/>
          </w:tcPr>
          <w:p w14:paraId="68353DA8"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3%</w:t>
            </w:r>
          </w:p>
        </w:tc>
      </w:tr>
      <w:tr w:rsidR="00F702F9" w:rsidRPr="00F702F9" w14:paraId="43AA33F4" w14:textId="77777777" w:rsidTr="009D4CEF">
        <w:trPr>
          <w:trHeight w:val="289"/>
          <w:jc w:val="center"/>
        </w:trPr>
        <w:tc>
          <w:tcPr>
            <w:tcW w:w="3020" w:type="dxa"/>
            <w:tcBorders>
              <w:top w:val="nil"/>
              <w:left w:val="single" w:sz="8" w:space="0" w:color="auto"/>
              <w:bottom w:val="nil"/>
              <w:right w:val="nil"/>
            </w:tcBorders>
            <w:shd w:val="clear" w:color="auto" w:fill="auto"/>
            <w:noWrap/>
            <w:vAlign w:val="bottom"/>
            <w:hideMark/>
          </w:tcPr>
          <w:p w14:paraId="42675C3D" w14:textId="77777777" w:rsidR="00F702F9" w:rsidRPr="00F702F9" w:rsidRDefault="00F702F9" w:rsidP="00F702F9">
            <w:pPr>
              <w:widowControl/>
              <w:spacing w:after="0" w:line="240" w:lineRule="auto"/>
              <w:jc w:val="right"/>
              <w:rPr>
                <w:i/>
                <w:iCs/>
                <w:color w:val="000000"/>
                <w:sz w:val="18"/>
                <w:szCs w:val="18"/>
              </w:rPr>
            </w:pPr>
            <w:r w:rsidRPr="00F702F9">
              <w:rPr>
                <w:i/>
                <w:iCs/>
                <w:color w:val="000000"/>
                <w:sz w:val="18"/>
                <w:szCs w:val="18"/>
              </w:rPr>
              <w:t xml:space="preserve"> Trade Ally/ Program Outreach </w:t>
            </w:r>
          </w:p>
        </w:tc>
        <w:tc>
          <w:tcPr>
            <w:tcW w:w="1420" w:type="dxa"/>
            <w:tcBorders>
              <w:top w:val="nil"/>
              <w:left w:val="nil"/>
              <w:bottom w:val="nil"/>
              <w:right w:val="nil"/>
            </w:tcBorders>
            <w:shd w:val="clear" w:color="auto" w:fill="auto"/>
            <w:noWrap/>
            <w:vAlign w:val="bottom"/>
            <w:hideMark/>
          </w:tcPr>
          <w:p w14:paraId="124A6E0C" w14:textId="77777777" w:rsidR="00F702F9" w:rsidRPr="00F702F9" w:rsidRDefault="00F702F9" w:rsidP="00F702F9">
            <w:pPr>
              <w:widowControl/>
              <w:spacing w:after="0" w:line="240" w:lineRule="auto"/>
              <w:jc w:val="right"/>
              <w:rPr>
                <w:i/>
                <w:iCs/>
                <w:color w:val="000000"/>
                <w:sz w:val="18"/>
                <w:szCs w:val="18"/>
              </w:rPr>
            </w:pPr>
            <w:r w:rsidRPr="00F702F9">
              <w:rPr>
                <w:i/>
                <w:iCs/>
                <w:color w:val="000000"/>
                <w:sz w:val="18"/>
                <w:szCs w:val="18"/>
              </w:rPr>
              <w:t>$97,500</w:t>
            </w:r>
          </w:p>
        </w:tc>
        <w:tc>
          <w:tcPr>
            <w:tcW w:w="1300" w:type="dxa"/>
            <w:tcBorders>
              <w:top w:val="nil"/>
              <w:left w:val="nil"/>
              <w:bottom w:val="nil"/>
              <w:right w:val="nil"/>
            </w:tcBorders>
            <w:shd w:val="clear" w:color="auto" w:fill="auto"/>
            <w:noWrap/>
            <w:vAlign w:val="bottom"/>
            <w:hideMark/>
          </w:tcPr>
          <w:p w14:paraId="4C6C8CB0" w14:textId="77777777" w:rsidR="00F702F9" w:rsidRPr="00F702F9" w:rsidRDefault="00F702F9" w:rsidP="00F702F9">
            <w:pPr>
              <w:widowControl/>
              <w:spacing w:after="0" w:line="240" w:lineRule="auto"/>
              <w:jc w:val="right"/>
              <w:rPr>
                <w:i/>
                <w:iCs/>
                <w:color w:val="000000"/>
                <w:sz w:val="18"/>
                <w:szCs w:val="18"/>
              </w:rPr>
            </w:pPr>
            <w:r w:rsidRPr="00F702F9">
              <w:rPr>
                <w:i/>
                <w:iCs/>
                <w:color w:val="000000"/>
                <w:sz w:val="18"/>
                <w:szCs w:val="18"/>
              </w:rPr>
              <w:t>$174,500</w:t>
            </w:r>
          </w:p>
        </w:tc>
        <w:tc>
          <w:tcPr>
            <w:tcW w:w="960" w:type="dxa"/>
            <w:tcBorders>
              <w:top w:val="nil"/>
              <w:left w:val="nil"/>
              <w:bottom w:val="nil"/>
              <w:right w:val="nil"/>
            </w:tcBorders>
            <w:shd w:val="clear" w:color="auto" w:fill="auto"/>
            <w:noWrap/>
            <w:vAlign w:val="bottom"/>
            <w:hideMark/>
          </w:tcPr>
          <w:p w14:paraId="7B5E1CF7"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79%</w:t>
            </w:r>
          </w:p>
        </w:tc>
        <w:tc>
          <w:tcPr>
            <w:tcW w:w="1180" w:type="dxa"/>
            <w:tcBorders>
              <w:top w:val="nil"/>
              <w:left w:val="nil"/>
              <w:bottom w:val="nil"/>
              <w:right w:val="nil"/>
            </w:tcBorders>
            <w:shd w:val="clear" w:color="auto" w:fill="auto"/>
            <w:noWrap/>
            <w:vAlign w:val="bottom"/>
            <w:hideMark/>
          </w:tcPr>
          <w:p w14:paraId="648A388C" w14:textId="77777777" w:rsidR="00F702F9" w:rsidRPr="00F702F9" w:rsidRDefault="00F702F9" w:rsidP="00F702F9">
            <w:pPr>
              <w:widowControl/>
              <w:spacing w:after="0" w:line="240" w:lineRule="auto"/>
              <w:jc w:val="right"/>
              <w:rPr>
                <w:i/>
                <w:iCs/>
                <w:color w:val="000000"/>
                <w:sz w:val="18"/>
                <w:szCs w:val="18"/>
              </w:rPr>
            </w:pPr>
            <w:r w:rsidRPr="00F702F9">
              <w:rPr>
                <w:i/>
                <w:iCs/>
                <w:color w:val="000000"/>
                <w:sz w:val="18"/>
                <w:szCs w:val="18"/>
              </w:rPr>
              <w:t>$179,735</w:t>
            </w:r>
          </w:p>
        </w:tc>
        <w:tc>
          <w:tcPr>
            <w:tcW w:w="960" w:type="dxa"/>
            <w:tcBorders>
              <w:top w:val="nil"/>
              <w:left w:val="nil"/>
              <w:bottom w:val="nil"/>
              <w:right w:val="single" w:sz="8" w:space="0" w:color="auto"/>
            </w:tcBorders>
            <w:shd w:val="clear" w:color="auto" w:fill="auto"/>
            <w:noWrap/>
            <w:vAlign w:val="bottom"/>
            <w:hideMark/>
          </w:tcPr>
          <w:p w14:paraId="25A846A0"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3%</w:t>
            </w:r>
          </w:p>
        </w:tc>
      </w:tr>
      <w:tr w:rsidR="00F702F9" w:rsidRPr="00F702F9" w14:paraId="274F7F0D" w14:textId="77777777" w:rsidTr="009D4CEF">
        <w:trPr>
          <w:trHeight w:val="300"/>
          <w:jc w:val="center"/>
        </w:trPr>
        <w:tc>
          <w:tcPr>
            <w:tcW w:w="3020" w:type="dxa"/>
            <w:tcBorders>
              <w:top w:val="nil"/>
              <w:left w:val="single" w:sz="8" w:space="0" w:color="auto"/>
              <w:bottom w:val="nil"/>
              <w:right w:val="nil"/>
            </w:tcBorders>
            <w:shd w:val="clear" w:color="auto" w:fill="auto"/>
            <w:vAlign w:val="bottom"/>
            <w:hideMark/>
          </w:tcPr>
          <w:p w14:paraId="7397EA95" w14:textId="77777777" w:rsidR="00F702F9" w:rsidRPr="00F702F9" w:rsidRDefault="00F702F9" w:rsidP="00F702F9">
            <w:pPr>
              <w:widowControl/>
              <w:spacing w:after="0" w:line="240" w:lineRule="auto"/>
              <w:jc w:val="right"/>
              <w:rPr>
                <w:i/>
                <w:iCs/>
                <w:color w:val="000000"/>
                <w:sz w:val="18"/>
                <w:szCs w:val="18"/>
              </w:rPr>
            </w:pPr>
            <w:r w:rsidRPr="00F702F9">
              <w:rPr>
                <w:i/>
                <w:iCs/>
                <w:color w:val="000000"/>
                <w:sz w:val="18"/>
                <w:szCs w:val="18"/>
              </w:rPr>
              <w:t xml:space="preserve"> Third Party Program Management </w:t>
            </w:r>
          </w:p>
        </w:tc>
        <w:tc>
          <w:tcPr>
            <w:tcW w:w="1420" w:type="dxa"/>
            <w:tcBorders>
              <w:top w:val="nil"/>
              <w:left w:val="nil"/>
              <w:bottom w:val="nil"/>
              <w:right w:val="nil"/>
            </w:tcBorders>
            <w:shd w:val="clear" w:color="auto" w:fill="auto"/>
            <w:noWrap/>
            <w:vAlign w:val="bottom"/>
            <w:hideMark/>
          </w:tcPr>
          <w:p w14:paraId="260F5941" w14:textId="2C9CD12A" w:rsidR="00F702F9" w:rsidRPr="009D4CEF" w:rsidRDefault="00F702F9" w:rsidP="00F702F9">
            <w:pPr>
              <w:widowControl/>
              <w:spacing w:after="0" w:line="240" w:lineRule="auto"/>
              <w:jc w:val="right"/>
              <w:rPr>
                <w:i/>
                <w:iCs/>
                <w:color w:val="000000"/>
                <w:sz w:val="18"/>
                <w:szCs w:val="18"/>
                <w:vertAlign w:val="superscript"/>
              </w:rPr>
            </w:pPr>
            <w:r w:rsidRPr="00F702F9">
              <w:rPr>
                <w:i/>
                <w:iCs/>
                <w:color w:val="000000"/>
                <w:sz w:val="18"/>
                <w:szCs w:val="18"/>
              </w:rPr>
              <w:t>$846,017</w:t>
            </w:r>
            <w:r>
              <w:rPr>
                <w:i/>
                <w:iCs/>
                <w:color w:val="000000"/>
                <w:sz w:val="18"/>
                <w:szCs w:val="18"/>
                <w:vertAlign w:val="superscript"/>
              </w:rPr>
              <w:t>4</w:t>
            </w:r>
          </w:p>
        </w:tc>
        <w:tc>
          <w:tcPr>
            <w:tcW w:w="1300" w:type="dxa"/>
            <w:tcBorders>
              <w:top w:val="nil"/>
              <w:left w:val="nil"/>
              <w:bottom w:val="nil"/>
              <w:right w:val="nil"/>
            </w:tcBorders>
            <w:shd w:val="clear" w:color="auto" w:fill="auto"/>
            <w:noWrap/>
            <w:vAlign w:val="bottom"/>
            <w:hideMark/>
          </w:tcPr>
          <w:p w14:paraId="35DFE782" w14:textId="77777777" w:rsidR="00F702F9" w:rsidRPr="00F702F9" w:rsidRDefault="00F702F9" w:rsidP="00F702F9">
            <w:pPr>
              <w:widowControl/>
              <w:spacing w:after="0" w:line="240" w:lineRule="auto"/>
              <w:jc w:val="right"/>
              <w:rPr>
                <w:i/>
                <w:iCs/>
                <w:color w:val="000000"/>
                <w:sz w:val="18"/>
                <w:szCs w:val="18"/>
              </w:rPr>
            </w:pPr>
            <w:r w:rsidRPr="00F702F9">
              <w:rPr>
                <w:i/>
                <w:iCs/>
                <w:color w:val="000000"/>
                <w:sz w:val="18"/>
                <w:szCs w:val="18"/>
              </w:rPr>
              <w:t>$800,000</w:t>
            </w:r>
          </w:p>
        </w:tc>
        <w:tc>
          <w:tcPr>
            <w:tcW w:w="960" w:type="dxa"/>
            <w:tcBorders>
              <w:top w:val="nil"/>
              <w:left w:val="nil"/>
              <w:bottom w:val="nil"/>
              <w:right w:val="nil"/>
            </w:tcBorders>
            <w:shd w:val="clear" w:color="auto" w:fill="auto"/>
            <w:noWrap/>
            <w:vAlign w:val="bottom"/>
            <w:hideMark/>
          </w:tcPr>
          <w:p w14:paraId="69C13859"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-5%</w:t>
            </w:r>
          </w:p>
        </w:tc>
        <w:tc>
          <w:tcPr>
            <w:tcW w:w="1180" w:type="dxa"/>
            <w:tcBorders>
              <w:top w:val="nil"/>
              <w:left w:val="nil"/>
              <w:bottom w:val="nil"/>
              <w:right w:val="nil"/>
            </w:tcBorders>
            <w:shd w:val="clear" w:color="auto" w:fill="auto"/>
            <w:noWrap/>
            <w:vAlign w:val="bottom"/>
            <w:hideMark/>
          </w:tcPr>
          <w:p w14:paraId="349B8B2B" w14:textId="77777777" w:rsidR="00F702F9" w:rsidRPr="00F702F9" w:rsidRDefault="00F702F9" w:rsidP="00F702F9">
            <w:pPr>
              <w:widowControl/>
              <w:spacing w:after="0" w:line="240" w:lineRule="auto"/>
              <w:jc w:val="right"/>
              <w:rPr>
                <w:i/>
                <w:iCs/>
                <w:color w:val="000000"/>
                <w:sz w:val="18"/>
                <w:szCs w:val="18"/>
              </w:rPr>
            </w:pPr>
            <w:r w:rsidRPr="00F702F9">
              <w:rPr>
                <w:i/>
                <w:iCs/>
                <w:color w:val="000000"/>
                <w:sz w:val="18"/>
                <w:szCs w:val="18"/>
              </w:rPr>
              <w:t>$824,000</w:t>
            </w:r>
          </w:p>
        </w:tc>
        <w:tc>
          <w:tcPr>
            <w:tcW w:w="960" w:type="dxa"/>
            <w:tcBorders>
              <w:top w:val="nil"/>
              <w:left w:val="nil"/>
              <w:bottom w:val="nil"/>
              <w:right w:val="single" w:sz="8" w:space="0" w:color="auto"/>
            </w:tcBorders>
            <w:shd w:val="clear" w:color="auto" w:fill="auto"/>
            <w:noWrap/>
            <w:vAlign w:val="bottom"/>
            <w:hideMark/>
          </w:tcPr>
          <w:p w14:paraId="4E36CC7C"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3%</w:t>
            </w:r>
          </w:p>
        </w:tc>
      </w:tr>
      <w:tr w:rsidR="00F702F9" w:rsidRPr="00F702F9" w14:paraId="1825E52E" w14:textId="77777777" w:rsidTr="009D4CEF">
        <w:trPr>
          <w:trHeight w:val="289"/>
          <w:jc w:val="center"/>
        </w:trPr>
        <w:tc>
          <w:tcPr>
            <w:tcW w:w="3020" w:type="dxa"/>
            <w:tcBorders>
              <w:top w:val="nil"/>
              <w:left w:val="single" w:sz="8" w:space="0" w:color="auto"/>
              <w:bottom w:val="nil"/>
              <w:right w:val="nil"/>
            </w:tcBorders>
            <w:shd w:val="clear" w:color="auto" w:fill="auto"/>
            <w:vAlign w:val="bottom"/>
            <w:hideMark/>
          </w:tcPr>
          <w:p w14:paraId="2FC9CC92" w14:textId="77777777" w:rsidR="00F702F9" w:rsidRPr="00F702F9" w:rsidRDefault="00F702F9" w:rsidP="00F702F9">
            <w:pPr>
              <w:widowControl/>
              <w:spacing w:after="0" w:line="240" w:lineRule="auto"/>
              <w:jc w:val="right"/>
              <w:rPr>
                <w:i/>
                <w:iCs/>
                <w:color w:val="000000"/>
                <w:sz w:val="18"/>
                <w:szCs w:val="18"/>
              </w:rPr>
            </w:pPr>
            <w:r w:rsidRPr="00F702F9">
              <w:rPr>
                <w:i/>
                <w:iCs/>
                <w:color w:val="000000"/>
                <w:sz w:val="18"/>
                <w:szCs w:val="18"/>
              </w:rPr>
              <w:t xml:space="preserve"> Annual Software fees </w:t>
            </w:r>
          </w:p>
        </w:tc>
        <w:tc>
          <w:tcPr>
            <w:tcW w:w="1420" w:type="dxa"/>
            <w:tcBorders>
              <w:top w:val="nil"/>
              <w:left w:val="nil"/>
              <w:bottom w:val="nil"/>
              <w:right w:val="nil"/>
            </w:tcBorders>
            <w:shd w:val="clear" w:color="auto" w:fill="auto"/>
            <w:noWrap/>
            <w:vAlign w:val="bottom"/>
            <w:hideMark/>
          </w:tcPr>
          <w:p w14:paraId="6BB9D561" w14:textId="77777777" w:rsidR="00F702F9" w:rsidRPr="00F702F9" w:rsidRDefault="00F702F9" w:rsidP="00F702F9">
            <w:pPr>
              <w:widowControl/>
              <w:spacing w:after="0" w:line="240" w:lineRule="auto"/>
              <w:jc w:val="right"/>
              <w:rPr>
                <w:i/>
                <w:iCs/>
                <w:color w:val="000000"/>
                <w:sz w:val="18"/>
                <w:szCs w:val="18"/>
              </w:rPr>
            </w:pPr>
            <w:r w:rsidRPr="00F702F9">
              <w:rPr>
                <w:i/>
                <w:iCs/>
                <w:color w:val="000000"/>
                <w:sz w:val="18"/>
                <w:szCs w:val="18"/>
              </w:rPr>
              <w:t>$150,000</w:t>
            </w:r>
          </w:p>
        </w:tc>
        <w:tc>
          <w:tcPr>
            <w:tcW w:w="1300" w:type="dxa"/>
            <w:tcBorders>
              <w:top w:val="nil"/>
              <w:left w:val="nil"/>
              <w:bottom w:val="nil"/>
              <w:right w:val="nil"/>
            </w:tcBorders>
            <w:shd w:val="clear" w:color="auto" w:fill="auto"/>
            <w:noWrap/>
            <w:vAlign w:val="bottom"/>
            <w:hideMark/>
          </w:tcPr>
          <w:p w14:paraId="533BC9FF" w14:textId="77777777" w:rsidR="00F702F9" w:rsidRPr="00F702F9" w:rsidRDefault="00F702F9" w:rsidP="00F702F9">
            <w:pPr>
              <w:widowControl/>
              <w:spacing w:after="0" w:line="240" w:lineRule="auto"/>
              <w:jc w:val="right"/>
              <w:rPr>
                <w:i/>
                <w:iCs/>
                <w:color w:val="000000"/>
                <w:sz w:val="18"/>
                <w:szCs w:val="18"/>
              </w:rPr>
            </w:pPr>
            <w:r w:rsidRPr="00F702F9">
              <w:rPr>
                <w:i/>
                <w:iCs/>
                <w:color w:val="000000"/>
                <w:sz w:val="18"/>
                <w:szCs w:val="18"/>
              </w:rPr>
              <w:t>$150,000</w:t>
            </w:r>
          </w:p>
        </w:tc>
        <w:tc>
          <w:tcPr>
            <w:tcW w:w="960" w:type="dxa"/>
            <w:tcBorders>
              <w:top w:val="nil"/>
              <w:left w:val="nil"/>
              <w:bottom w:val="nil"/>
              <w:right w:val="nil"/>
            </w:tcBorders>
            <w:shd w:val="clear" w:color="auto" w:fill="auto"/>
            <w:noWrap/>
            <w:vAlign w:val="bottom"/>
            <w:hideMark/>
          </w:tcPr>
          <w:p w14:paraId="37C11AB9"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0%</w:t>
            </w:r>
          </w:p>
        </w:tc>
        <w:tc>
          <w:tcPr>
            <w:tcW w:w="1180" w:type="dxa"/>
            <w:tcBorders>
              <w:top w:val="nil"/>
              <w:left w:val="nil"/>
              <w:bottom w:val="nil"/>
              <w:right w:val="nil"/>
            </w:tcBorders>
            <w:shd w:val="clear" w:color="auto" w:fill="auto"/>
            <w:noWrap/>
            <w:vAlign w:val="bottom"/>
            <w:hideMark/>
          </w:tcPr>
          <w:p w14:paraId="062AF1F1" w14:textId="77777777" w:rsidR="00F702F9" w:rsidRPr="00F702F9" w:rsidRDefault="00F702F9" w:rsidP="00F702F9">
            <w:pPr>
              <w:widowControl/>
              <w:spacing w:after="0" w:line="240" w:lineRule="auto"/>
              <w:jc w:val="right"/>
              <w:rPr>
                <w:i/>
                <w:iCs/>
                <w:color w:val="000000"/>
                <w:sz w:val="18"/>
                <w:szCs w:val="18"/>
              </w:rPr>
            </w:pPr>
            <w:r w:rsidRPr="00F702F9">
              <w:rPr>
                <w:i/>
                <w:iCs/>
                <w:color w:val="000000"/>
                <w:sz w:val="18"/>
                <w:szCs w:val="18"/>
              </w:rPr>
              <w:t>$154,500</w:t>
            </w:r>
          </w:p>
        </w:tc>
        <w:tc>
          <w:tcPr>
            <w:tcW w:w="960" w:type="dxa"/>
            <w:tcBorders>
              <w:top w:val="nil"/>
              <w:left w:val="nil"/>
              <w:bottom w:val="nil"/>
              <w:right w:val="single" w:sz="8" w:space="0" w:color="auto"/>
            </w:tcBorders>
            <w:shd w:val="clear" w:color="auto" w:fill="auto"/>
            <w:noWrap/>
            <w:vAlign w:val="bottom"/>
            <w:hideMark/>
          </w:tcPr>
          <w:p w14:paraId="38907003"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3%</w:t>
            </w:r>
          </w:p>
        </w:tc>
      </w:tr>
      <w:tr w:rsidR="00F702F9" w:rsidRPr="00F702F9" w14:paraId="6AF5C55D" w14:textId="77777777" w:rsidTr="009D4CEF">
        <w:trPr>
          <w:trHeight w:val="289"/>
          <w:jc w:val="center"/>
        </w:trPr>
        <w:tc>
          <w:tcPr>
            <w:tcW w:w="3020" w:type="dxa"/>
            <w:tcBorders>
              <w:top w:val="nil"/>
              <w:left w:val="single" w:sz="8" w:space="0" w:color="auto"/>
              <w:bottom w:val="nil"/>
              <w:right w:val="nil"/>
            </w:tcBorders>
            <w:shd w:val="clear" w:color="auto" w:fill="auto"/>
            <w:vAlign w:val="bottom"/>
            <w:hideMark/>
          </w:tcPr>
          <w:p w14:paraId="00D5D122" w14:textId="77777777" w:rsidR="00F702F9" w:rsidRPr="00F702F9" w:rsidRDefault="00F702F9" w:rsidP="00F702F9">
            <w:pPr>
              <w:widowControl/>
              <w:spacing w:after="0" w:line="240" w:lineRule="auto"/>
              <w:jc w:val="right"/>
              <w:rPr>
                <w:i/>
                <w:iCs/>
                <w:color w:val="000000"/>
                <w:sz w:val="18"/>
                <w:szCs w:val="18"/>
              </w:rPr>
            </w:pPr>
            <w:r w:rsidRPr="00F702F9">
              <w:rPr>
                <w:i/>
                <w:iCs/>
                <w:color w:val="000000"/>
                <w:sz w:val="18"/>
                <w:szCs w:val="18"/>
              </w:rPr>
              <w:lastRenderedPageBreak/>
              <w:t xml:space="preserve"> Other </w:t>
            </w:r>
          </w:p>
        </w:tc>
        <w:tc>
          <w:tcPr>
            <w:tcW w:w="1420" w:type="dxa"/>
            <w:tcBorders>
              <w:top w:val="nil"/>
              <w:left w:val="nil"/>
              <w:bottom w:val="nil"/>
              <w:right w:val="nil"/>
            </w:tcBorders>
            <w:shd w:val="clear" w:color="auto" w:fill="auto"/>
            <w:noWrap/>
            <w:vAlign w:val="bottom"/>
            <w:hideMark/>
          </w:tcPr>
          <w:p w14:paraId="25C4BA67" w14:textId="77777777" w:rsidR="00F702F9" w:rsidRPr="00F702F9" w:rsidRDefault="00F702F9" w:rsidP="00F702F9">
            <w:pPr>
              <w:widowControl/>
              <w:spacing w:after="0" w:line="240" w:lineRule="auto"/>
              <w:jc w:val="right"/>
              <w:rPr>
                <w:i/>
                <w:iCs/>
                <w:color w:val="000000"/>
                <w:sz w:val="18"/>
                <w:szCs w:val="18"/>
              </w:rPr>
            </w:pPr>
            <w:r w:rsidRPr="00F702F9">
              <w:rPr>
                <w:i/>
                <w:iCs/>
                <w:color w:val="000000"/>
                <w:sz w:val="18"/>
                <w:szCs w:val="18"/>
              </w:rPr>
              <w:t>$149,779</w:t>
            </w:r>
          </w:p>
        </w:tc>
        <w:tc>
          <w:tcPr>
            <w:tcW w:w="1300" w:type="dxa"/>
            <w:tcBorders>
              <w:top w:val="nil"/>
              <w:left w:val="nil"/>
              <w:bottom w:val="nil"/>
              <w:right w:val="nil"/>
            </w:tcBorders>
            <w:shd w:val="clear" w:color="auto" w:fill="auto"/>
            <w:noWrap/>
            <w:vAlign w:val="bottom"/>
            <w:hideMark/>
          </w:tcPr>
          <w:p w14:paraId="072FCBFA" w14:textId="77777777" w:rsidR="00F702F9" w:rsidRPr="00F702F9" w:rsidRDefault="00F702F9" w:rsidP="00F702F9">
            <w:pPr>
              <w:widowControl/>
              <w:spacing w:after="0" w:line="240" w:lineRule="auto"/>
              <w:jc w:val="right"/>
              <w:rPr>
                <w:i/>
                <w:iCs/>
                <w:color w:val="000000"/>
                <w:sz w:val="18"/>
                <w:szCs w:val="18"/>
              </w:rPr>
            </w:pPr>
            <w:r w:rsidRPr="00F702F9">
              <w:rPr>
                <w:i/>
                <w:iCs/>
                <w:color w:val="000000"/>
                <w:sz w:val="18"/>
                <w:szCs w:val="18"/>
              </w:rPr>
              <w:t>$89,411</w:t>
            </w:r>
          </w:p>
        </w:tc>
        <w:tc>
          <w:tcPr>
            <w:tcW w:w="960" w:type="dxa"/>
            <w:tcBorders>
              <w:top w:val="nil"/>
              <w:left w:val="nil"/>
              <w:bottom w:val="nil"/>
              <w:right w:val="nil"/>
            </w:tcBorders>
            <w:shd w:val="clear" w:color="auto" w:fill="auto"/>
            <w:noWrap/>
            <w:vAlign w:val="bottom"/>
            <w:hideMark/>
          </w:tcPr>
          <w:p w14:paraId="4FB0EA88"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-40%</w:t>
            </w:r>
          </w:p>
        </w:tc>
        <w:tc>
          <w:tcPr>
            <w:tcW w:w="1180" w:type="dxa"/>
            <w:tcBorders>
              <w:top w:val="nil"/>
              <w:left w:val="nil"/>
              <w:bottom w:val="nil"/>
              <w:right w:val="nil"/>
            </w:tcBorders>
            <w:shd w:val="clear" w:color="auto" w:fill="auto"/>
            <w:noWrap/>
            <w:vAlign w:val="bottom"/>
            <w:hideMark/>
          </w:tcPr>
          <w:p w14:paraId="51224826" w14:textId="77777777" w:rsidR="00F702F9" w:rsidRPr="00F702F9" w:rsidRDefault="00F702F9" w:rsidP="00F702F9">
            <w:pPr>
              <w:widowControl/>
              <w:spacing w:after="0" w:line="240" w:lineRule="auto"/>
              <w:jc w:val="right"/>
              <w:rPr>
                <w:i/>
                <w:iCs/>
                <w:color w:val="000000"/>
                <w:sz w:val="18"/>
                <w:szCs w:val="18"/>
              </w:rPr>
            </w:pPr>
            <w:r w:rsidRPr="00F702F9">
              <w:rPr>
                <w:i/>
                <w:iCs/>
                <w:color w:val="000000"/>
                <w:sz w:val="18"/>
                <w:szCs w:val="18"/>
              </w:rPr>
              <w:t>$96,326</w:t>
            </w:r>
          </w:p>
        </w:tc>
        <w:tc>
          <w:tcPr>
            <w:tcW w:w="960" w:type="dxa"/>
            <w:tcBorders>
              <w:top w:val="nil"/>
              <w:left w:val="nil"/>
              <w:bottom w:val="nil"/>
              <w:right w:val="single" w:sz="8" w:space="0" w:color="auto"/>
            </w:tcBorders>
            <w:shd w:val="clear" w:color="auto" w:fill="auto"/>
            <w:noWrap/>
            <w:vAlign w:val="bottom"/>
            <w:hideMark/>
          </w:tcPr>
          <w:p w14:paraId="2B36A8C8"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8%</w:t>
            </w:r>
          </w:p>
        </w:tc>
      </w:tr>
      <w:tr w:rsidR="00F702F9" w:rsidRPr="00F702F9" w14:paraId="6C64A5E0" w14:textId="77777777" w:rsidTr="009D4CEF">
        <w:trPr>
          <w:trHeight w:val="289"/>
          <w:jc w:val="center"/>
        </w:trPr>
        <w:tc>
          <w:tcPr>
            <w:tcW w:w="3020" w:type="dxa"/>
            <w:tcBorders>
              <w:top w:val="nil"/>
              <w:left w:val="single" w:sz="8" w:space="0" w:color="auto"/>
              <w:bottom w:val="nil"/>
              <w:right w:val="nil"/>
            </w:tcBorders>
            <w:shd w:val="clear" w:color="auto" w:fill="auto"/>
            <w:vAlign w:val="bottom"/>
            <w:hideMark/>
          </w:tcPr>
          <w:p w14:paraId="71A17047" w14:textId="77777777" w:rsidR="00F702F9" w:rsidRPr="00F702F9" w:rsidRDefault="00F702F9" w:rsidP="00F702F9">
            <w:pPr>
              <w:widowControl/>
              <w:spacing w:after="0" w:line="240" w:lineRule="auto"/>
              <w:rPr>
                <w:b/>
                <w:bCs/>
                <w:i/>
                <w:iCs/>
                <w:color w:val="000000"/>
                <w:sz w:val="18"/>
                <w:szCs w:val="18"/>
              </w:rPr>
            </w:pPr>
            <w:r w:rsidRPr="00F702F9">
              <w:rPr>
                <w:b/>
                <w:bCs/>
                <w:i/>
                <w:iCs/>
                <w:color w:val="000000"/>
                <w:sz w:val="18"/>
                <w:szCs w:val="18"/>
              </w:rPr>
              <w:t xml:space="preserve"> Additional Expenses  </w:t>
            </w:r>
          </w:p>
        </w:tc>
        <w:tc>
          <w:tcPr>
            <w:tcW w:w="1420" w:type="dxa"/>
            <w:tcBorders>
              <w:top w:val="nil"/>
              <w:left w:val="nil"/>
              <w:bottom w:val="nil"/>
              <w:right w:val="nil"/>
            </w:tcBorders>
            <w:shd w:val="clear" w:color="auto" w:fill="auto"/>
            <w:noWrap/>
            <w:vAlign w:val="bottom"/>
            <w:hideMark/>
          </w:tcPr>
          <w:p w14:paraId="595D386C" w14:textId="77777777" w:rsidR="00F702F9" w:rsidRPr="00F702F9" w:rsidRDefault="00F702F9" w:rsidP="00F702F9">
            <w:pPr>
              <w:widowControl/>
              <w:spacing w:after="0" w:line="240" w:lineRule="auto"/>
              <w:jc w:val="right"/>
              <w:rPr>
                <w:b/>
                <w:bCs/>
                <w:color w:val="000000"/>
                <w:sz w:val="18"/>
                <w:szCs w:val="18"/>
              </w:rPr>
            </w:pPr>
          </w:p>
        </w:tc>
        <w:tc>
          <w:tcPr>
            <w:tcW w:w="1300" w:type="dxa"/>
            <w:tcBorders>
              <w:top w:val="nil"/>
              <w:left w:val="nil"/>
              <w:bottom w:val="nil"/>
              <w:right w:val="nil"/>
            </w:tcBorders>
            <w:shd w:val="clear" w:color="auto" w:fill="auto"/>
            <w:vAlign w:val="center"/>
            <w:hideMark/>
          </w:tcPr>
          <w:p w14:paraId="684A5EF9" w14:textId="77777777" w:rsidR="00F702F9" w:rsidRPr="00F702F9" w:rsidRDefault="00F702F9" w:rsidP="00F702F9">
            <w:pPr>
              <w:widowControl/>
              <w:spacing w:after="0" w:line="240" w:lineRule="auto"/>
              <w:jc w:val="right"/>
              <w:rPr>
                <w:b/>
                <w:bCs/>
                <w:color w:val="000000"/>
                <w:sz w:val="18"/>
                <w:szCs w:val="18"/>
              </w:rPr>
            </w:pPr>
          </w:p>
        </w:tc>
        <w:tc>
          <w:tcPr>
            <w:tcW w:w="960" w:type="dxa"/>
            <w:tcBorders>
              <w:top w:val="nil"/>
              <w:left w:val="nil"/>
              <w:bottom w:val="nil"/>
              <w:right w:val="nil"/>
            </w:tcBorders>
            <w:shd w:val="clear" w:color="auto" w:fill="auto"/>
            <w:noWrap/>
            <w:vAlign w:val="bottom"/>
            <w:hideMark/>
          </w:tcPr>
          <w:p w14:paraId="082A6B33" w14:textId="77777777" w:rsidR="00F702F9" w:rsidRPr="00F702F9" w:rsidRDefault="00F702F9" w:rsidP="00F702F9">
            <w:pPr>
              <w:widowControl/>
              <w:spacing w:after="0" w:line="240" w:lineRule="auto"/>
              <w:jc w:val="right"/>
              <w:rPr>
                <w:color w:val="000000"/>
                <w:sz w:val="18"/>
                <w:szCs w:val="18"/>
              </w:rPr>
            </w:pPr>
          </w:p>
        </w:tc>
        <w:tc>
          <w:tcPr>
            <w:tcW w:w="1180" w:type="dxa"/>
            <w:tcBorders>
              <w:top w:val="nil"/>
              <w:left w:val="nil"/>
              <w:bottom w:val="nil"/>
              <w:right w:val="nil"/>
            </w:tcBorders>
            <w:shd w:val="clear" w:color="auto" w:fill="auto"/>
            <w:noWrap/>
            <w:vAlign w:val="bottom"/>
            <w:hideMark/>
          </w:tcPr>
          <w:p w14:paraId="5E5F36DA" w14:textId="77777777" w:rsidR="00F702F9" w:rsidRPr="00F702F9" w:rsidRDefault="00F702F9" w:rsidP="00F702F9">
            <w:pPr>
              <w:widowControl/>
              <w:spacing w:after="0" w:line="240" w:lineRule="auto"/>
              <w:jc w:val="right"/>
              <w:rPr>
                <w:b/>
                <w:bCs/>
                <w:color w:val="000000"/>
                <w:sz w:val="18"/>
                <w:szCs w:val="18"/>
              </w:rPr>
            </w:pPr>
          </w:p>
        </w:tc>
        <w:tc>
          <w:tcPr>
            <w:tcW w:w="960" w:type="dxa"/>
            <w:tcBorders>
              <w:top w:val="nil"/>
              <w:left w:val="nil"/>
              <w:bottom w:val="nil"/>
              <w:right w:val="single" w:sz="8" w:space="0" w:color="auto"/>
            </w:tcBorders>
            <w:shd w:val="clear" w:color="auto" w:fill="auto"/>
            <w:noWrap/>
            <w:vAlign w:val="bottom"/>
            <w:hideMark/>
          </w:tcPr>
          <w:p w14:paraId="05C8334C"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 </w:t>
            </w:r>
          </w:p>
        </w:tc>
      </w:tr>
      <w:tr w:rsidR="00F702F9" w:rsidRPr="00F702F9" w14:paraId="60F90695" w14:textId="77777777" w:rsidTr="009D4CEF">
        <w:trPr>
          <w:trHeight w:val="289"/>
          <w:jc w:val="center"/>
        </w:trPr>
        <w:tc>
          <w:tcPr>
            <w:tcW w:w="3020" w:type="dxa"/>
            <w:tcBorders>
              <w:top w:val="nil"/>
              <w:left w:val="single" w:sz="8" w:space="0" w:color="auto"/>
              <w:bottom w:val="nil"/>
              <w:right w:val="nil"/>
            </w:tcBorders>
            <w:shd w:val="clear" w:color="auto" w:fill="auto"/>
            <w:vAlign w:val="bottom"/>
            <w:hideMark/>
          </w:tcPr>
          <w:p w14:paraId="6C3C7636" w14:textId="77777777" w:rsidR="00F702F9" w:rsidRPr="00F702F9" w:rsidRDefault="00F702F9" w:rsidP="00F702F9">
            <w:pPr>
              <w:widowControl/>
              <w:spacing w:after="0" w:line="240" w:lineRule="auto"/>
              <w:rPr>
                <w:color w:val="000000"/>
                <w:sz w:val="18"/>
                <w:szCs w:val="18"/>
              </w:rPr>
            </w:pPr>
            <w:r w:rsidRPr="00F702F9">
              <w:rPr>
                <w:color w:val="000000"/>
                <w:sz w:val="18"/>
                <w:szCs w:val="18"/>
              </w:rPr>
              <w:t xml:space="preserve"> NEEA Market Transformation </w:t>
            </w:r>
          </w:p>
        </w:tc>
        <w:tc>
          <w:tcPr>
            <w:tcW w:w="1420" w:type="dxa"/>
            <w:tcBorders>
              <w:top w:val="nil"/>
              <w:left w:val="nil"/>
              <w:bottom w:val="nil"/>
              <w:right w:val="nil"/>
            </w:tcBorders>
            <w:shd w:val="clear" w:color="auto" w:fill="auto"/>
            <w:noWrap/>
            <w:vAlign w:val="bottom"/>
            <w:hideMark/>
          </w:tcPr>
          <w:p w14:paraId="668FEEC6"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$244,996</w:t>
            </w:r>
          </w:p>
        </w:tc>
        <w:tc>
          <w:tcPr>
            <w:tcW w:w="1300" w:type="dxa"/>
            <w:tcBorders>
              <w:top w:val="nil"/>
              <w:left w:val="nil"/>
              <w:bottom w:val="nil"/>
              <w:right w:val="nil"/>
            </w:tcBorders>
            <w:shd w:val="clear" w:color="auto" w:fill="auto"/>
            <w:vAlign w:val="center"/>
            <w:hideMark/>
          </w:tcPr>
          <w:p w14:paraId="3AC81731"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$313,174</w:t>
            </w:r>
          </w:p>
        </w:tc>
        <w:tc>
          <w:tcPr>
            <w:tcW w:w="960" w:type="dxa"/>
            <w:tcBorders>
              <w:top w:val="nil"/>
              <w:left w:val="nil"/>
              <w:bottom w:val="nil"/>
              <w:right w:val="nil"/>
            </w:tcBorders>
            <w:shd w:val="clear" w:color="auto" w:fill="auto"/>
            <w:noWrap/>
            <w:vAlign w:val="bottom"/>
            <w:hideMark/>
          </w:tcPr>
          <w:p w14:paraId="292E96E8"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28%</w:t>
            </w:r>
          </w:p>
        </w:tc>
        <w:tc>
          <w:tcPr>
            <w:tcW w:w="1180" w:type="dxa"/>
            <w:tcBorders>
              <w:top w:val="nil"/>
              <w:left w:val="nil"/>
              <w:bottom w:val="nil"/>
              <w:right w:val="nil"/>
            </w:tcBorders>
            <w:shd w:val="clear" w:color="auto" w:fill="auto"/>
            <w:vAlign w:val="center"/>
            <w:hideMark/>
          </w:tcPr>
          <w:p w14:paraId="7B600F87"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$452,285</w:t>
            </w:r>
          </w:p>
        </w:tc>
        <w:tc>
          <w:tcPr>
            <w:tcW w:w="960" w:type="dxa"/>
            <w:tcBorders>
              <w:top w:val="nil"/>
              <w:left w:val="nil"/>
              <w:bottom w:val="nil"/>
              <w:right w:val="single" w:sz="8" w:space="0" w:color="auto"/>
            </w:tcBorders>
            <w:shd w:val="clear" w:color="auto" w:fill="auto"/>
            <w:noWrap/>
            <w:vAlign w:val="bottom"/>
            <w:hideMark/>
          </w:tcPr>
          <w:p w14:paraId="2F40B8A9"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44%</w:t>
            </w:r>
          </w:p>
        </w:tc>
      </w:tr>
      <w:tr w:rsidR="00F702F9" w:rsidRPr="00F702F9" w14:paraId="281547F2" w14:textId="77777777" w:rsidTr="009D4CEF">
        <w:trPr>
          <w:trHeight w:val="289"/>
          <w:jc w:val="center"/>
        </w:trPr>
        <w:tc>
          <w:tcPr>
            <w:tcW w:w="3020" w:type="dxa"/>
            <w:tcBorders>
              <w:top w:val="nil"/>
              <w:left w:val="single" w:sz="8" w:space="0" w:color="auto"/>
              <w:bottom w:val="nil"/>
              <w:right w:val="nil"/>
            </w:tcBorders>
            <w:shd w:val="clear" w:color="auto" w:fill="auto"/>
            <w:vAlign w:val="bottom"/>
            <w:hideMark/>
          </w:tcPr>
          <w:p w14:paraId="4C7E5E24" w14:textId="77777777" w:rsidR="00F702F9" w:rsidRPr="00F702F9" w:rsidRDefault="00F702F9" w:rsidP="00F702F9">
            <w:pPr>
              <w:widowControl/>
              <w:spacing w:after="0" w:line="240" w:lineRule="auto"/>
              <w:rPr>
                <w:color w:val="000000"/>
                <w:sz w:val="18"/>
                <w:szCs w:val="18"/>
              </w:rPr>
            </w:pPr>
            <w:r w:rsidRPr="00F702F9">
              <w:rPr>
                <w:color w:val="000000"/>
                <w:sz w:val="18"/>
                <w:szCs w:val="18"/>
              </w:rPr>
              <w:t xml:space="preserve"> Software Implementation </w:t>
            </w:r>
          </w:p>
        </w:tc>
        <w:tc>
          <w:tcPr>
            <w:tcW w:w="1420" w:type="dxa"/>
            <w:tcBorders>
              <w:top w:val="nil"/>
              <w:left w:val="nil"/>
              <w:bottom w:val="nil"/>
              <w:right w:val="nil"/>
            </w:tcBorders>
            <w:shd w:val="clear" w:color="auto" w:fill="auto"/>
            <w:noWrap/>
            <w:vAlign w:val="bottom"/>
            <w:hideMark/>
          </w:tcPr>
          <w:p w14:paraId="26EE6704"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$100,000</w:t>
            </w:r>
          </w:p>
        </w:tc>
        <w:tc>
          <w:tcPr>
            <w:tcW w:w="1300" w:type="dxa"/>
            <w:tcBorders>
              <w:top w:val="nil"/>
              <w:left w:val="nil"/>
              <w:bottom w:val="nil"/>
              <w:right w:val="nil"/>
            </w:tcBorders>
            <w:shd w:val="clear" w:color="auto" w:fill="auto"/>
            <w:vAlign w:val="center"/>
            <w:hideMark/>
          </w:tcPr>
          <w:p w14:paraId="22F2D96D"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$35,000</w:t>
            </w:r>
          </w:p>
        </w:tc>
        <w:tc>
          <w:tcPr>
            <w:tcW w:w="960" w:type="dxa"/>
            <w:tcBorders>
              <w:top w:val="nil"/>
              <w:left w:val="nil"/>
              <w:bottom w:val="nil"/>
              <w:right w:val="nil"/>
            </w:tcBorders>
            <w:shd w:val="clear" w:color="auto" w:fill="auto"/>
            <w:noWrap/>
            <w:vAlign w:val="bottom"/>
            <w:hideMark/>
          </w:tcPr>
          <w:p w14:paraId="598BDD53"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-65%</w:t>
            </w:r>
          </w:p>
        </w:tc>
        <w:tc>
          <w:tcPr>
            <w:tcW w:w="1180" w:type="dxa"/>
            <w:tcBorders>
              <w:top w:val="nil"/>
              <w:left w:val="nil"/>
              <w:bottom w:val="nil"/>
              <w:right w:val="nil"/>
            </w:tcBorders>
            <w:shd w:val="clear" w:color="auto" w:fill="auto"/>
            <w:vAlign w:val="center"/>
            <w:hideMark/>
          </w:tcPr>
          <w:p w14:paraId="65B691DE"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$0</w:t>
            </w:r>
          </w:p>
        </w:tc>
        <w:tc>
          <w:tcPr>
            <w:tcW w:w="960" w:type="dxa"/>
            <w:tcBorders>
              <w:top w:val="nil"/>
              <w:left w:val="nil"/>
              <w:bottom w:val="nil"/>
              <w:right w:val="single" w:sz="8" w:space="0" w:color="auto"/>
            </w:tcBorders>
            <w:shd w:val="clear" w:color="auto" w:fill="auto"/>
            <w:noWrap/>
            <w:vAlign w:val="bottom"/>
            <w:hideMark/>
          </w:tcPr>
          <w:p w14:paraId="2806CDE3"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-100%</w:t>
            </w:r>
          </w:p>
        </w:tc>
      </w:tr>
      <w:tr w:rsidR="00F702F9" w:rsidRPr="00F702F9" w14:paraId="466056C6" w14:textId="77777777" w:rsidTr="009D4CEF">
        <w:trPr>
          <w:trHeight w:val="289"/>
          <w:jc w:val="center"/>
        </w:trPr>
        <w:tc>
          <w:tcPr>
            <w:tcW w:w="3020" w:type="dxa"/>
            <w:tcBorders>
              <w:top w:val="nil"/>
              <w:left w:val="single" w:sz="8" w:space="0" w:color="auto"/>
              <w:bottom w:val="nil"/>
              <w:right w:val="nil"/>
            </w:tcBorders>
            <w:shd w:val="clear" w:color="auto" w:fill="auto"/>
            <w:vAlign w:val="bottom"/>
            <w:hideMark/>
          </w:tcPr>
          <w:p w14:paraId="5375D785" w14:textId="77777777" w:rsidR="00F702F9" w:rsidRPr="00F702F9" w:rsidRDefault="00F702F9" w:rsidP="00F702F9">
            <w:pPr>
              <w:widowControl/>
              <w:spacing w:after="0" w:line="240" w:lineRule="auto"/>
              <w:rPr>
                <w:b/>
                <w:bCs/>
                <w:color w:val="000000"/>
                <w:sz w:val="18"/>
                <w:szCs w:val="18"/>
              </w:rPr>
            </w:pPr>
            <w:r w:rsidRPr="00F702F9">
              <w:rPr>
                <w:b/>
                <w:bCs/>
                <w:color w:val="000000"/>
                <w:sz w:val="18"/>
                <w:szCs w:val="18"/>
              </w:rPr>
              <w:t xml:space="preserve"> Total administrative expenses </w:t>
            </w:r>
          </w:p>
        </w:tc>
        <w:tc>
          <w:tcPr>
            <w:tcW w:w="1420" w:type="dxa"/>
            <w:tcBorders>
              <w:top w:val="nil"/>
              <w:left w:val="nil"/>
              <w:bottom w:val="nil"/>
              <w:right w:val="nil"/>
            </w:tcBorders>
            <w:shd w:val="clear" w:color="auto" w:fill="auto"/>
            <w:noWrap/>
            <w:vAlign w:val="bottom"/>
            <w:hideMark/>
          </w:tcPr>
          <w:p w14:paraId="6AD9E387" w14:textId="77777777" w:rsidR="00F702F9" w:rsidRPr="00F702F9" w:rsidRDefault="00F702F9" w:rsidP="00F702F9">
            <w:pPr>
              <w:widowControl/>
              <w:spacing w:after="0" w:line="240" w:lineRule="auto"/>
              <w:jc w:val="right"/>
              <w:rPr>
                <w:b/>
                <w:bCs/>
                <w:color w:val="000000"/>
                <w:sz w:val="18"/>
                <w:szCs w:val="18"/>
              </w:rPr>
            </w:pPr>
            <w:r w:rsidRPr="00F702F9">
              <w:rPr>
                <w:b/>
                <w:bCs/>
                <w:color w:val="000000"/>
                <w:sz w:val="18"/>
                <w:szCs w:val="18"/>
              </w:rPr>
              <w:t>$1,850,498</w:t>
            </w:r>
          </w:p>
        </w:tc>
        <w:tc>
          <w:tcPr>
            <w:tcW w:w="1300" w:type="dxa"/>
            <w:tcBorders>
              <w:top w:val="nil"/>
              <w:left w:val="nil"/>
              <w:bottom w:val="nil"/>
              <w:right w:val="nil"/>
            </w:tcBorders>
            <w:shd w:val="clear" w:color="auto" w:fill="auto"/>
            <w:vAlign w:val="bottom"/>
            <w:hideMark/>
          </w:tcPr>
          <w:p w14:paraId="43FAA68E" w14:textId="77777777" w:rsidR="00F702F9" w:rsidRPr="00F702F9" w:rsidRDefault="00F702F9" w:rsidP="00F702F9">
            <w:pPr>
              <w:widowControl/>
              <w:spacing w:after="0" w:line="240" w:lineRule="auto"/>
              <w:jc w:val="right"/>
              <w:rPr>
                <w:b/>
                <w:bCs/>
                <w:color w:val="000000"/>
                <w:sz w:val="18"/>
                <w:szCs w:val="18"/>
              </w:rPr>
            </w:pPr>
            <w:r w:rsidRPr="00F702F9">
              <w:rPr>
                <w:b/>
                <w:bCs/>
                <w:color w:val="000000"/>
                <w:sz w:val="18"/>
                <w:szCs w:val="18"/>
              </w:rPr>
              <w:t>$1,907,085</w:t>
            </w:r>
          </w:p>
        </w:tc>
        <w:tc>
          <w:tcPr>
            <w:tcW w:w="960" w:type="dxa"/>
            <w:tcBorders>
              <w:top w:val="nil"/>
              <w:left w:val="nil"/>
              <w:bottom w:val="nil"/>
              <w:right w:val="nil"/>
            </w:tcBorders>
            <w:shd w:val="clear" w:color="auto" w:fill="auto"/>
            <w:noWrap/>
            <w:vAlign w:val="bottom"/>
            <w:hideMark/>
          </w:tcPr>
          <w:p w14:paraId="01D480D0"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3%</w:t>
            </w:r>
          </w:p>
        </w:tc>
        <w:tc>
          <w:tcPr>
            <w:tcW w:w="1180" w:type="dxa"/>
            <w:tcBorders>
              <w:top w:val="nil"/>
              <w:left w:val="nil"/>
              <w:bottom w:val="nil"/>
              <w:right w:val="nil"/>
            </w:tcBorders>
            <w:shd w:val="clear" w:color="auto" w:fill="auto"/>
            <w:vAlign w:val="bottom"/>
            <w:hideMark/>
          </w:tcPr>
          <w:p w14:paraId="505E5C44" w14:textId="77777777" w:rsidR="00F702F9" w:rsidRPr="00F702F9" w:rsidRDefault="00F702F9" w:rsidP="00F702F9">
            <w:pPr>
              <w:widowControl/>
              <w:spacing w:after="0" w:line="240" w:lineRule="auto"/>
              <w:jc w:val="right"/>
              <w:rPr>
                <w:b/>
                <w:bCs/>
                <w:color w:val="000000"/>
                <w:sz w:val="18"/>
                <w:szCs w:val="18"/>
              </w:rPr>
            </w:pPr>
            <w:r w:rsidRPr="00F702F9">
              <w:rPr>
                <w:b/>
                <w:bCs/>
                <w:color w:val="000000"/>
                <w:sz w:val="18"/>
                <w:szCs w:val="18"/>
              </w:rPr>
              <w:t>$2,057,696</w:t>
            </w:r>
          </w:p>
        </w:tc>
        <w:tc>
          <w:tcPr>
            <w:tcW w:w="960" w:type="dxa"/>
            <w:tcBorders>
              <w:top w:val="nil"/>
              <w:left w:val="nil"/>
              <w:bottom w:val="nil"/>
              <w:right w:val="single" w:sz="8" w:space="0" w:color="auto"/>
            </w:tcBorders>
            <w:shd w:val="clear" w:color="auto" w:fill="auto"/>
            <w:noWrap/>
            <w:vAlign w:val="bottom"/>
            <w:hideMark/>
          </w:tcPr>
          <w:p w14:paraId="4F067917"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8%</w:t>
            </w:r>
          </w:p>
        </w:tc>
      </w:tr>
      <w:tr w:rsidR="00F702F9" w:rsidRPr="00F702F9" w14:paraId="673755BA" w14:textId="77777777" w:rsidTr="009D4CEF">
        <w:trPr>
          <w:trHeight w:val="289"/>
          <w:jc w:val="center"/>
        </w:trPr>
        <w:tc>
          <w:tcPr>
            <w:tcW w:w="3020" w:type="dxa"/>
            <w:tcBorders>
              <w:top w:val="nil"/>
              <w:left w:val="single" w:sz="8" w:space="0" w:color="auto"/>
              <w:bottom w:val="nil"/>
              <w:right w:val="nil"/>
            </w:tcBorders>
            <w:shd w:val="clear" w:color="auto" w:fill="auto"/>
            <w:noWrap/>
            <w:vAlign w:val="bottom"/>
            <w:hideMark/>
          </w:tcPr>
          <w:p w14:paraId="78EDC796" w14:textId="77777777" w:rsidR="00F702F9" w:rsidRPr="00F702F9" w:rsidRDefault="00F702F9" w:rsidP="00F702F9">
            <w:pPr>
              <w:widowControl/>
              <w:spacing w:after="0" w:line="240" w:lineRule="auto"/>
              <w:jc w:val="center"/>
              <w:rPr>
                <w:b/>
                <w:bCs/>
                <w:color w:val="000000"/>
                <w:sz w:val="18"/>
                <w:szCs w:val="18"/>
              </w:rPr>
            </w:pPr>
            <w:r w:rsidRPr="00F702F9">
              <w:rPr>
                <w:b/>
                <w:bCs/>
                <w:color w:val="000000"/>
                <w:sz w:val="18"/>
                <w:szCs w:val="18"/>
              </w:rPr>
              <w:t xml:space="preserve"> Combined Expenses Total </w:t>
            </w:r>
          </w:p>
        </w:tc>
        <w:tc>
          <w:tcPr>
            <w:tcW w:w="1420" w:type="dxa"/>
            <w:tcBorders>
              <w:top w:val="nil"/>
              <w:left w:val="nil"/>
              <w:bottom w:val="nil"/>
              <w:right w:val="nil"/>
            </w:tcBorders>
            <w:shd w:val="clear" w:color="auto" w:fill="auto"/>
            <w:noWrap/>
            <w:vAlign w:val="bottom"/>
            <w:hideMark/>
          </w:tcPr>
          <w:p w14:paraId="550EC7A4" w14:textId="77777777" w:rsidR="00F702F9" w:rsidRPr="00F702F9" w:rsidRDefault="00F702F9" w:rsidP="00F702F9">
            <w:pPr>
              <w:widowControl/>
              <w:spacing w:after="0" w:line="240" w:lineRule="auto"/>
              <w:jc w:val="right"/>
              <w:rPr>
                <w:b/>
                <w:bCs/>
                <w:color w:val="000000"/>
                <w:sz w:val="18"/>
                <w:szCs w:val="18"/>
              </w:rPr>
            </w:pPr>
            <w:r w:rsidRPr="00F702F9">
              <w:rPr>
                <w:b/>
                <w:bCs/>
                <w:color w:val="000000"/>
                <w:sz w:val="18"/>
                <w:szCs w:val="18"/>
              </w:rPr>
              <w:t>$3,707,690</w:t>
            </w:r>
          </w:p>
        </w:tc>
        <w:tc>
          <w:tcPr>
            <w:tcW w:w="1300" w:type="dxa"/>
            <w:tcBorders>
              <w:top w:val="nil"/>
              <w:left w:val="nil"/>
              <w:bottom w:val="nil"/>
              <w:right w:val="nil"/>
            </w:tcBorders>
            <w:shd w:val="clear" w:color="auto" w:fill="auto"/>
            <w:noWrap/>
            <w:vAlign w:val="bottom"/>
            <w:hideMark/>
          </w:tcPr>
          <w:p w14:paraId="330DCC0D" w14:textId="77777777" w:rsidR="00F702F9" w:rsidRPr="00F702F9" w:rsidRDefault="00F702F9" w:rsidP="00F702F9">
            <w:pPr>
              <w:widowControl/>
              <w:spacing w:after="0" w:line="240" w:lineRule="auto"/>
              <w:jc w:val="right"/>
              <w:rPr>
                <w:b/>
                <w:bCs/>
                <w:color w:val="000000"/>
                <w:sz w:val="18"/>
                <w:szCs w:val="18"/>
              </w:rPr>
            </w:pPr>
            <w:r w:rsidRPr="00F702F9">
              <w:rPr>
                <w:b/>
                <w:bCs/>
                <w:color w:val="000000"/>
                <w:sz w:val="18"/>
                <w:szCs w:val="18"/>
              </w:rPr>
              <w:t>$3,765,897</w:t>
            </w:r>
          </w:p>
        </w:tc>
        <w:tc>
          <w:tcPr>
            <w:tcW w:w="960" w:type="dxa"/>
            <w:tcBorders>
              <w:top w:val="nil"/>
              <w:left w:val="nil"/>
              <w:bottom w:val="nil"/>
              <w:right w:val="nil"/>
            </w:tcBorders>
            <w:shd w:val="clear" w:color="auto" w:fill="auto"/>
            <w:noWrap/>
            <w:vAlign w:val="bottom"/>
            <w:hideMark/>
          </w:tcPr>
          <w:p w14:paraId="3359D0A9"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2%</w:t>
            </w:r>
          </w:p>
        </w:tc>
        <w:tc>
          <w:tcPr>
            <w:tcW w:w="1180" w:type="dxa"/>
            <w:tcBorders>
              <w:top w:val="nil"/>
              <w:left w:val="nil"/>
              <w:bottom w:val="nil"/>
              <w:right w:val="nil"/>
            </w:tcBorders>
            <w:shd w:val="clear" w:color="auto" w:fill="auto"/>
            <w:noWrap/>
            <w:vAlign w:val="bottom"/>
            <w:hideMark/>
          </w:tcPr>
          <w:p w14:paraId="17A6B73E" w14:textId="77777777" w:rsidR="00F702F9" w:rsidRPr="00F702F9" w:rsidRDefault="00F702F9" w:rsidP="00F702F9">
            <w:pPr>
              <w:widowControl/>
              <w:spacing w:after="0" w:line="240" w:lineRule="auto"/>
              <w:jc w:val="right"/>
              <w:rPr>
                <w:b/>
                <w:bCs/>
                <w:color w:val="000000"/>
                <w:sz w:val="18"/>
                <w:szCs w:val="18"/>
              </w:rPr>
            </w:pPr>
            <w:r w:rsidRPr="00F702F9">
              <w:rPr>
                <w:b/>
                <w:bCs/>
                <w:color w:val="000000"/>
                <w:sz w:val="18"/>
                <w:szCs w:val="18"/>
              </w:rPr>
              <w:t>$3,975,061</w:t>
            </w:r>
          </w:p>
        </w:tc>
        <w:tc>
          <w:tcPr>
            <w:tcW w:w="960" w:type="dxa"/>
            <w:tcBorders>
              <w:top w:val="nil"/>
              <w:left w:val="nil"/>
              <w:bottom w:val="nil"/>
              <w:right w:val="single" w:sz="8" w:space="0" w:color="auto"/>
            </w:tcBorders>
            <w:shd w:val="clear" w:color="auto" w:fill="auto"/>
            <w:noWrap/>
            <w:vAlign w:val="bottom"/>
            <w:hideMark/>
          </w:tcPr>
          <w:p w14:paraId="71D082D0"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6%</w:t>
            </w:r>
          </w:p>
        </w:tc>
      </w:tr>
      <w:tr w:rsidR="00F702F9" w:rsidRPr="00F702F9" w14:paraId="58D78308" w14:textId="77777777" w:rsidTr="009D4CEF">
        <w:trPr>
          <w:trHeight w:val="300"/>
          <w:jc w:val="center"/>
        </w:trPr>
        <w:tc>
          <w:tcPr>
            <w:tcW w:w="8840" w:type="dxa"/>
            <w:gridSpan w:val="6"/>
            <w:tcBorders>
              <w:top w:val="nil"/>
              <w:left w:val="single" w:sz="8" w:space="0" w:color="auto"/>
              <w:bottom w:val="nil"/>
              <w:right w:val="single" w:sz="8" w:space="0" w:color="000000"/>
            </w:tcBorders>
            <w:shd w:val="clear" w:color="000000" w:fill="4AAEC6"/>
            <w:noWrap/>
            <w:vAlign w:val="bottom"/>
            <w:hideMark/>
          </w:tcPr>
          <w:p w14:paraId="50E0BDA0" w14:textId="36E7DE55" w:rsidR="00F702F9" w:rsidRPr="00F702F9" w:rsidRDefault="00F702F9" w:rsidP="00F702F9">
            <w:pPr>
              <w:widowControl/>
              <w:spacing w:after="0" w:line="240" w:lineRule="auto"/>
              <w:jc w:val="center"/>
              <w:rPr>
                <w:b/>
                <w:bCs/>
                <w:color w:val="000000"/>
                <w:sz w:val="18"/>
                <w:szCs w:val="18"/>
              </w:rPr>
            </w:pPr>
            <w:r w:rsidRPr="00F702F9">
              <w:rPr>
                <w:b/>
                <w:bCs/>
                <w:color w:val="000000"/>
                <w:sz w:val="18"/>
                <w:szCs w:val="18"/>
              </w:rPr>
              <w:t xml:space="preserve"> Therm Targets</w:t>
            </w:r>
            <w:r>
              <w:rPr>
                <w:b/>
                <w:bCs/>
                <w:color w:val="000000"/>
                <w:sz w:val="18"/>
                <w:szCs w:val="18"/>
                <w:vertAlign w:val="superscript"/>
              </w:rPr>
              <w:t>2</w:t>
            </w:r>
            <w:r w:rsidRPr="00F702F9">
              <w:rPr>
                <w:b/>
                <w:bCs/>
                <w:color w:val="000000"/>
                <w:sz w:val="18"/>
                <w:szCs w:val="18"/>
              </w:rPr>
              <w:t xml:space="preserve"> </w:t>
            </w:r>
          </w:p>
        </w:tc>
      </w:tr>
      <w:tr w:rsidR="00F702F9" w:rsidRPr="00F702F9" w14:paraId="6DA35D70" w14:textId="77777777" w:rsidTr="009D4CEF">
        <w:trPr>
          <w:trHeight w:val="300"/>
          <w:jc w:val="center"/>
        </w:trPr>
        <w:tc>
          <w:tcPr>
            <w:tcW w:w="3020" w:type="dxa"/>
            <w:tcBorders>
              <w:top w:val="nil"/>
              <w:left w:val="single" w:sz="8" w:space="0" w:color="auto"/>
              <w:bottom w:val="nil"/>
              <w:right w:val="nil"/>
            </w:tcBorders>
            <w:shd w:val="clear" w:color="auto" w:fill="auto"/>
            <w:noWrap/>
            <w:vAlign w:val="bottom"/>
            <w:hideMark/>
          </w:tcPr>
          <w:p w14:paraId="5ECAB6ED" w14:textId="77777777" w:rsidR="00F702F9" w:rsidRPr="00F702F9" w:rsidRDefault="00F702F9" w:rsidP="00F702F9">
            <w:pPr>
              <w:widowControl/>
              <w:spacing w:after="0" w:line="240" w:lineRule="auto"/>
              <w:rPr>
                <w:color w:val="000000"/>
                <w:sz w:val="18"/>
                <w:szCs w:val="18"/>
              </w:rPr>
            </w:pPr>
            <w:r w:rsidRPr="00F702F9">
              <w:rPr>
                <w:color w:val="000000"/>
                <w:sz w:val="18"/>
                <w:szCs w:val="18"/>
              </w:rPr>
              <w:t xml:space="preserve"> Residential </w:t>
            </w:r>
          </w:p>
        </w:tc>
        <w:tc>
          <w:tcPr>
            <w:tcW w:w="1420" w:type="dxa"/>
            <w:tcBorders>
              <w:top w:val="nil"/>
              <w:left w:val="nil"/>
              <w:bottom w:val="nil"/>
              <w:right w:val="nil"/>
            </w:tcBorders>
            <w:shd w:val="clear" w:color="auto" w:fill="auto"/>
            <w:noWrap/>
            <w:vAlign w:val="bottom"/>
            <w:hideMark/>
          </w:tcPr>
          <w:p w14:paraId="21D886F4"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409,975</w:t>
            </w:r>
          </w:p>
        </w:tc>
        <w:tc>
          <w:tcPr>
            <w:tcW w:w="1300" w:type="dxa"/>
            <w:tcBorders>
              <w:top w:val="nil"/>
              <w:left w:val="nil"/>
              <w:bottom w:val="nil"/>
              <w:right w:val="nil"/>
            </w:tcBorders>
            <w:shd w:val="clear" w:color="auto" w:fill="auto"/>
            <w:vAlign w:val="bottom"/>
            <w:hideMark/>
          </w:tcPr>
          <w:p w14:paraId="0ABE04DA"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 xml:space="preserve">           323,878 </w:t>
            </w:r>
          </w:p>
        </w:tc>
        <w:tc>
          <w:tcPr>
            <w:tcW w:w="960" w:type="dxa"/>
            <w:tcBorders>
              <w:top w:val="nil"/>
              <w:left w:val="nil"/>
              <w:bottom w:val="nil"/>
              <w:right w:val="nil"/>
            </w:tcBorders>
            <w:shd w:val="clear" w:color="auto" w:fill="auto"/>
            <w:noWrap/>
            <w:vAlign w:val="bottom"/>
            <w:hideMark/>
          </w:tcPr>
          <w:p w14:paraId="36CCDA3D"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-21%</w:t>
            </w:r>
          </w:p>
        </w:tc>
        <w:tc>
          <w:tcPr>
            <w:tcW w:w="1180" w:type="dxa"/>
            <w:tcBorders>
              <w:top w:val="nil"/>
              <w:left w:val="nil"/>
              <w:bottom w:val="nil"/>
              <w:right w:val="nil"/>
            </w:tcBorders>
            <w:shd w:val="clear" w:color="auto" w:fill="auto"/>
            <w:vAlign w:val="bottom"/>
            <w:hideMark/>
          </w:tcPr>
          <w:p w14:paraId="6BDD3518"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 xml:space="preserve">        331,357 </w:t>
            </w:r>
          </w:p>
        </w:tc>
        <w:tc>
          <w:tcPr>
            <w:tcW w:w="960" w:type="dxa"/>
            <w:tcBorders>
              <w:top w:val="nil"/>
              <w:left w:val="nil"/>
              <w:bottom w:val="nil"/>
              <w:right w:val="single" w:sz="8" w:space="0" w:color="auto"/>
            </w:tcBorders>
            <w:shd w:val="clear" w:color="auto" w:fill="auto"/>
            <w:noWrap/>
            <w:vAlign w:val="bottom"/>
            <w:hideMark/>
          </w:tcPr>
          <w:p w14:paraId="204AB8E1"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2%</w:t>
            </w:r>
          </w:p>
        </w:tc>
      </w:tr>
      <w:tr w:rsidR="00F702F9" w:rsidRPr="00F702F9" w14:paraId="44011501" w14:textId="77777777" w:rsidTr="009D4CEF">
        <w:trPr>
          <w:trHeight w:val="300"/>
          <w:jc w:val="center"/>
        </w:trPr>
        <w:tc>
          <w:tcPr>
            <w:tcW w:w="3020" w:type="dxa"/>
            <w:tcBorders>
              <w:top w:val="nil"/>
              <w:left w:val="single" w:sz="8" w:space="0" w:color="auto"/>
              <w:bottom w:val="nil"/>
              <w:right w:val="nil"/>
            </w:tcBorders>
            <w:shd w:val="clear" w:color="auto" w:fill="auto"/>
            <w:noWrap/>
            <w:vAlign w:val="bottom"/>
            <w:hideMark/>
          </w:tcPr>
          <w:p w14:paraId="2F447964" w14:textId="77777777" w:rsidR="00F702F9" w:rsidRPr="00F702F9" w:rsidRDefault="00F702F9" w:rsidP="00F702F9">
            <w:pPr>
              <w:widowControl/>
              <w:spacing w:after="0" w:line="240" w:lineRule="auto"/>
              <w:rPr>
                <w:color w:val="000000"/>
                <w:sz w:val="18"/>
                <w:szCs w:val="18"/>
              </w:rPr>
            </w:pPr>
            <w:r w:rsidRPr="00F702F9">
              <w:rPr>
                <w:color w:val="000000"/>
                <w:sz w:val="18"/>
                <w:szCs w:val="18"/>
              </w:rPr>
              <w:t xml:space="preserve"> Commercial/Industrial </w:t>
            </w:r>
          </w:p>
        </w:tc>
        <w:tc>
          <w:tcPr>
            <w:tcW w:w="1420" w:type="dxa"/>
            <w:tcBorders>
              <w:top w:val="nil"/>
              <w:left w:val="nil"/>
              <w:bottom w:val="nil"/>
              <w:right w:val="nil"/>
            </w:tcBorders>
            <w:shd w:val="clear" w:color="auto" w:fill="auto"/>
            <w:noWrap/>
            <w:vAlign w:val="bottom"/>
            <w:hideMark/>
          </w:tcPr>
          <w:p w14:paraId="70F1B3C9"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565,940</w:t>
            </w:r>
          </w:p>
        </w:tc>
        <w:tc>
          <w:tcPr>
            <w:tcW w:w="1300" w:type="dxa"/>
            <w:tcBorders>
              <w:top w:val="nil"/>
              <w:left w:val="nil"/>
              <w:bottom w:val="nil"/>
              <w:right w:val="nil"/>
            </w:tcBorders>
            <w:shd w:val="clear" w:color="auto" w:fill="auto"/>
            <w:vAlign w:val="bottom"/>
            <w:hideMark/>
          </w:tcPr>
          <w:p w14:paraId="038B2AA6"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 xml:space="preserve">           515,998 </w:t>
            </w:r>
          </w:p>
        </w:tc>
        <w:tc>
          <w:tcPr>
            <w:tcW w:w="960" w:type="dxa"/>
            <w:tcBorders>
              <w:top w:val="nil"/>
              <w:left w:val="nil"/>
              <w:bottom w:val="nil"/>
              <w:right w:val="nil"/>
            </w:tcBorders>
            <w:shd w:val="clear" w:color="auto" w:fill="auto"/>
            <w:noWrap/>
            <w:vAlign w:val="bottom"/>
            <w:hideMark/>
          </w:tcPr>
          <w:p w14:paraId="0CEFC2C1"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-9%</w:t>
            </w:r>
          </w:p>
        </w:tc>
        <w:tc>
          <w:tcPr>
            <w:tcW w:w="1180" w:type="dxa"/>
            <w:tcBorders>
              <w:top w:val="nil"/>
              <w:left w:val="nil"/>
              <w:bottom w:val="nil"/>
              <w:right w:val="nil"/>
            </w:tcBorders>
            <w:shd w:val="clear" w:color="auto" w:fill="auto"/>
            <w:vAlign w:val="bottom"/>
            <w:hideMark/>
          </w:tcPr>
          <w:p w14:paraId="650F0C2D"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 xml:space="preserve">        545,217 </w:t>
            </w:r>
          </w:p>
        </w:tc>
        <w:tc>
          <w:tcPr>
            <w:tcW w:w="960" w:type="dxa"/>
            <w:tcBorders>
              <w:top w:val="nil"/>
              <w:left w:val="nil"/>
              <w:bottom w:val="nil"/>
              <w:right w:val="single" w:sz="8" w:space="0" w:color="auto"/>
            </w:tcBorders>
            <w:shd w:val="clear" w:color="auto" w:fill="auto"/>
            <w:noWrap/>
            <w:vAlign w:val="bottom"/>
            <w:hideMark/>
          </w:tcPr>
          <w:p w14:paraId="0D52FEAE"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6%</w:t>
            </w:r>
          </w:p>
        </w:tc>
      </w:tr>
      <w:tr w:rsidR="00F702F9" w:rsidRPr="00F702F9" w14:paraId="54BC824F" w14:textId="77777777" w:rsidTr="009D4CEF">
        <w:trPr>
          <w:trHeight w:val="300"/>
          <w:jc w:val="center"/>
        </w:trPr>
        <w:tc>
          <w:tcPr>
            <w:tcW w:w="3020" w:type="dxa"/>
            <w:tcBorders>
              <w:top w:val="nil"/>
              <w:left w:val="single" w:sz="8" w:space="0" w:color="auto"/>
              <w:bottom w:val="nil"/>
              <w:right w:val="nil"/>
            </w:tcBorders>
            <w:shd w:val="clear" w:color="auto" w:fill="auto"/>
            <w:noWrap/>
            <w:vAlign w:val="bottom"/>
            <w:hideMark/>
          </w:tcPr>
          <w:p w14:paraId="788F9F40" w14:textId="78493C57" w:rsidR="00F702F9" w:rsidRPr="00F702F9" w:rsidRDefault="00F702F9" w:rsidP="00F702F9">
            <w:pPr>
              <w:widowControl/>
              <w:spacing w:after="0" w:line="240" w:lineRule="auto"/>
              <w:rPr>
                <w:color w:val="000000"/>
                <w:sz w:val="18"/>
                <w:szCs w:val="18"/>
              </w:rPr>
            </w:pPr>
            <w:r w:rsidRPr="00F702F9">
              <w:rPr>
                <w:color w:val="000000"/>
                <w:sz w:val="18"/>
                <w:szCs w:val="18"/>
              </w:rPr>
              <w:t xml:space="preserve"> Low Income</w:t>
            </w:r>
            <w:r>
              <w:rPr>
                <w:color w:val="000000"/>
                <w:sz w:val="18"/>
                <w:szCs w:val="18"/>
                <w:vertAlign w:val="superscript"/>
              </w:rPr>
              <w:t>3</w:t>
            </w:r>
            <w:r w:rsidRPr="00F702F9">
              <w:rPr>
                <w:color w:val="000000"/>
                <w:sz w:val="18"/>
                <w:szCs w:val="18"/>
              </w:rPr>
              <w:t xml:space="preserve"> </w:t>
            </w:r>
          </w:p>
        </w:tc>
        <w:tc>
          <w:tcPr>
            <w:tcW w:w="1420" w:type="dxa"/>
            <w:tcBorders>
              <w:top w:val="nil"/>
              <w:left w:val="nil"/>
              <w:bottom w:val="nil"/>
              <w:right w:val="nil"/>
            </w:tcBorders>
            <w:shd w:val="clear" w:color="auto" w:fill="auto"/>
            <w:vAlign w:val="bottom"/>
            <w:hideMark/>
          </w:tcPr>
          <w:p w14:paraId="38DD5CED"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7,000</w:t>
            </w:r>
          </w:p>
        </w:tc>
        <w:tc>
          <w:tcPr>
            <w:tcW w:w="1300" w:type="dxa"/>
            <w:tcBorders>
              <w:top w:val="nil"/>
              <w:left w:val="nil"/>
              <w:bottom w:val="nil"/>
              <w:right w:val="nil"/>
            </w:tcBorders>
            <w:shd w:val="clear" w:color="auto" w:fill="auto"/>
            <w:vAlign w:val="bottom"/>
            <w:hideMark/>
          </w:tcPr>
          <w:p w14:paraId="1F42C18C"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 xml:space="preserve">             15,000 </w:t>
            </w:r>
          </w:p>
        </w:tc>
        <w:tc>
          <w:tcPr>
            <w:tcW w:w="960" w:type="dxa"/>
            <w:tcBorders>
              <w:top w:val="nil"/>
              <w:left w:val="nil"/>
              <w:bottom w:val="nil"/>
              <w:right w:val="nil"/>
            </w:tcBorders>
            <w:shd w:val="clear" w:color="auto" w:fill="auto"/>
            <w:noWrap/>
            <w:vAlign w:val="bottom"/>
            <w:hideMark/>
          </w:tcPr>
          <w:p w14:paraId="5F07DC58"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114%</w:t>
            </w:r>
          </w:p>
        </w:tc>
        <w:tc>
          <w:tcPr>
            <w:tcW w:w="1180" w:type="dxa"/>
            <w:tcBorders>
              <w:top w:val="nil"/>
              <w:left w:val="nil"/>
              <w:bottom w:val="nil"/>
              <w:right w:val="nil"/>
            </w:tcBorders>
            <w:shd w:val="clear" w:color="auto" w:fill="auto"/>
            <w:vAlign w:val="bottom"/>
            <w:hideMark/>
          </w:tcPr>
          <w:p w14:paraId="4B9CF68F"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 xml:space="preserve">          15,000 </w:t>
            </w:r>
          </w:p>
        </w:tc>
        <w:tc>
          <w:tcPr>
            <w:tcW w:w="960" w:type="dxa"/>
            <w:tcBorders>
              <w:top w:val="nil"/>
              <w:left w:val="nil"/>
              <w:bottom w:val="nil"/>
              <w:right w:val="single" w:sz="8" w:space="0" w:color="auto"/>
            </w:tcBorders>
            <w:shd w:val="clear" w:color="auto" w:fill="auto"/>
            <w:noWrap/>
            <w:vAlign w:val="bottom"/>
            <w:hideMark/>
          </w:tcPr>
          <w:p w14:paraId="5FAB9694"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0%</w:t>
            </w:r>
          </w:p>
        </w:tc>
      </w:tr>
      <w:tr w:rsidR="00F702F9" w:rsidRPr="00F702F9" w14:paraId="34703F95" w14:textId="77777777" w:rsidTr="009D4CEF">
        <w:trPr>
          <w:trHeight w:val="315"/>
          <w:jc w:val="center"/>
        </w:trPr>
        <w:tc>
          <w:tcPr>
            <w:tcW w:w="3020" w:type="dxa"/>
            <w:tcBorders>
              <w:top w:val="nil"/>
              <w:left w:val="single" w:sz="8" w:space="0" w:color="auto"/>
              <w:bottom w:val="single" w:sz="8" w:space="0" w:color="auto"/>
              <w:right w:val="nil"/>
            </w:tcBorders>
            <w:shd w:val="clear" w:color="auto" w:fill="auto"/>
            <w:noWrap/>
            <w:vAlign w:val="bottom"/>
            <w:hideMark/>
          </w:tcPr>
          <w:p w14:paraId="5EDFE2AB" w14:textId="77777777" w:rsidR="00F702F9" w:rsidRPr="00F702F9" w:rsidRDefault="00F702F9" w:rsidP="00F702F9">
            <w:pPr>
              <w:widowControl/>
              <w:spacing w:after="0" w:line="240" w:lineRule="auto"/>
              <w:rPr>
                <w:b/>
                <w:bCs/>
                <w:color w:val="000000"/>
                <w:sz w:val="18"/>
                <w:szCs w:val="18"/>
              </w:rPr>
            </w:pPr>
            <w:r w:rsidRPr="00F702F9">
              <w:rPr>
                <w:b/>
                <w:bCs/>
                <w:color w:val="000000"/>
                <w:sz w:val="18"/>
                <w:szCs w:val="18"/>
              </w:rPr>
              <w:t xml:space="preserve"> Total Therms </w:t>
            </w:r>
          </w:p>
        </w:tc>
        <w:tc>
          <w:tcPr>
            <w:tcW w:w="1420" w:type="dxa"/>
            <w:tcBorders>
              <w:top w:val="nil"/>
              <w:left w:val="nil"/>
              <w:bottom w:val="single" w:sz="8" w:space="0" w:color="auto"/>
              <w:right w:val="nil"/>
            </w:tcBorders>
            <w:shd w:val="clear" w:color="auto" w:fill="auto"/>
            <w:noWrap/>
            <w:vAlign w:val="bottom"/>
            <w:hideMark/>
          </w:tcPr>
          <w:p w14:paraId="4E07AF62" w14:textId="77777777" w:rsidR="00F702F9" w:rsidRPr="00F702F9" w:rsidRDefault="00F702F9" w:rsidP="00F702F9">
            <w:pPr>
              <w:widowControl/>
              <w:spacing w:after="0" w:line="240" w:lineRule="auto"/>
              <w:jc w:val="right"/>
              <w:rPr>
                <w:b/>
                <w:bCs/>
                <w:color w:val="000000"/>
                <w:sz w:val="18"/>
                <w:szCs w:val="18"/>
              </w:rPr>
            </w:pPr>
            <w:r w:rsidRPr="00F702F9">
              <w:rPr>
                <w:b/>
                <w:bCs/>
                <w:color w:val="000000"/>
                <w:sz w:val="18"/>
                <w:szCs w:val="18"/>
              </w:rPr>
              <w:t xml:space="preserve">              982,915 </w:t>
            </w:r>
          </w:p>
        </w:tc>
        <w:tc>
          <w:tcPr>
            <w:tcW w:w="1300" w:type="dxa"/>
            <w:tcBorders>
              <w:top w:val="nil"/>
              <w:left w:val="nil"/>
              <w:bottom w:val="single" w:sz="8" w:space="0" w:color="auto"/>
              <w:right w:val="nil"/>
            </w:tcBorders>
            <w:shd w:val="clear" w:color="auto" w:fill="auto"/>
            <w:vAlign w:val="bottom"/>
            <w:hideMark/>
          </w:tcPr>
          <w:p w14:paraId="17E026B5" w14:textId="77777777" w:rsidR="00F702F9" w:rsidRPr="00F702F9" w:rsidRDefault="00F702F9" w:rsidP="00F702F9">
            <w:pPr>
              <w:widowControl/>
              <w:spacing w:after="0" w:line="240" w:lineRule="auto"/>
              <w:jc w:val="right"/>
              <w:rPr>
                <w:b/>
                <w:bCs/>
                <w:color w:val="000000"/>
                <w:sz w:val="18"/>
                <w:szCs w:val="18"/>
              </w:rPr>
            </w:pPr>
            <w:r w:rsidRPr="00F702F9">
              <w:rPr>
                <w:b/>
                <w:bCs/>
                <w:color w:val="000000"/>
                <w:sz w:val="18"/>
                <w:szCs w:val="18"/>
              </w:rPr>
              <w:t xml:space="preserve">           854,876 </w:t>
            </w:r>
          </w:p>
        </w:tc>
        <w:tc>
          <w:tcPr>
            <w:tcW w:w="960" w:type="dxa"/>
            <w:tcBorders>
              <w:top w:val="nil"/>
              <w:left w:val="nil"/>
              <w:bottom w:val="single" w:sz="8" w:space="0" w:color="auto"/>
              <w:right w:val="nil"/>
            </w:tcBorders>
            <w:shd w:val="clear" w:color="auto" w:fill="auto"/>
            <w:noWrap/>
            <w:vAlign w:val="bottom"/>
            <w:hideMark/>
          </w:tcPr>
          <w:p w14:paraId="0D39BB02"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-13%</w:t>
            </w:r>
          </w:p>
        </w:tc>
        <w:tc>
          <w:tcPr>
            <w:tcW w:w="1180" w:type="dxa"/>
            <w:tcBorders>
              <w:top w:val="nil"/>
              <w:left w:val="nil"/>
              <w:bottom w:val="single" w:sz="8" w:space="0" w:color="auto"/>
              <w:right w:val="nil"/>
            </w:tcBorders>
            <w:shd w:val="clear" w:color="auto" w:fill="auto"/>
            <w:noWrap/>
            <w:vAlign w:val="bottom"/>
            <w:hideMark/>
          </w:tcPr>
          <w:p w14:paraId="7AC7F99D" w14:textId="77777777" w:rsidR="00F702F9" w:rsidRPr="00F702F9" w:rsidRDefault="00F702F9" w:rsidP="00F702F9">
            <w:pPr>
              <w:widowControl/>
              <w:spacing w:after="0" w:line="240" w:lineRule="auto"/>
              <w:jc w:val="right"/>
              <w:rPr>
                <w:b/>
                <w:bCs/>
                <w:color w:val="000000"/>
                <w:sz w:val="18"/>
                <w:szCs w:val="18"/>
              </w:rPr>
            </w:pPr>
            <w:r w:rsidRPr="00F702F9">
              <w:rPr>
                <w:b/>
                <w:bCs/>
                <w:color w:val="000000"/>
                <w:sz w:val="18"/>
                <w:szCs w:val="18"/>
              </w:rPr>
              <w:t xml:space="preserve">        891,574 </w:t>
            </w:r>
          </w:p>
        </w:tc>
        <w:tc>
          <w:tcPr>
            <w:tcW w:w="960" w:type="dxa"/>
            <w:tcBorders>
              <w:top w:val="nil"/>
              <w:left w:val="nil"/>
              <w:bottom w:val="single" w:sz="8" w:space="0" w:color="auto"/>
              <w:right w:val="single" w:sz="8" w:space="0" w:color="auto"/>
            </w:tcBorders>
            <w:shd w:val="clear" w:color="auto" w:fill="auto"/>
            <w:noWrap/>
            <w:vAlign w:val="bottom"/>
            <w:hideMark/>
          </w:tcPr>
          <w:p w14:paraId="64BFFD96" w14:textId="77777777" w:rsidR="00F702F9" w:rsidRPr="00F702F9" w:rsidRDefault="00F702F9" w:rsidP="00F702F9">
            <w:pPr>
              <w:widowControl/>
              <w:spacing w:after="0" w:line="240" w:lineRule="auto"/>
              <w:jc w:val="right"/>
              <w:rPr>
                <w:color w:val="000000"/>
                <w:sz w:val="18"/>
                <w:szCs w:val="18"/>
              </w:rPr>
            </w:pPr>
            <w:r w:rsidRPr="00F702F9">
              <w:rPr>
                <w:color w:val="000000"/>
                <w:sz w:val="18"/>
                <w:szCs w:val="18"/>
              </w:rPr>
              <w:t>4%</w:t>
            </w:r>
          </w:p>
        </w:tc>
      </w:tr>
    </w:tbl>
    <w:p w14:paraId="22274141" w14:textId="44532D2E" w:rsidR="00A11B14" w:rsidRPr="00F657A9" w:rsidRDefault="00A11B14" w:rsidP="0068556F">
      <w:pPr>
        <w:numPr>
          <w:ilvl w:val="12"/>
          <w:numId w:val="0"/>
        </w:numPr>
        <w:tabs>
          <w:tab w:val="left" w:pos="-1440"/>
          <w:tab w:val="left" w:pos="-720"/>
          <w:tab w:val="left" w:pos="0"/>
          <w:tab w:val="left" w:pos="1080"/>
          <w:tab w:val="left" w:pos="1440"/>
        </w:tabs>
        <w:suppressAutoHyphens/>
        <w:spacing w:after="0"/>
        <w:ind w:right="-7"/>
        <w:contextualSpacing/>
        <w:jc w:val="center"/>
        <w:rPr>
          <w:b/>
          <w:spacing w:val="-3"/>
          <w:sz w:val="18"/>
        </w:rPr>
      </w:pPr>
    </w:p>
    <w:p w14:paraId="3F871043" w14:textId="4BA41F83" w:rsidR="00E1444F" w:rsidRPr="00F8214F" w:rsidRDefault="00F8214F" w:rsidP="00F8214F">
      <w:pPr>
        <w:numPr>
          <w:ilvl w:val="12"/>
          <w:numId w:val="0"/>
        </w:numPr>
        <w:tabs>
          <w:tab w:val="left" w:pos="-1440"/>
          <w:tab w:val="left" w:pos="-720"/>
          <w:tab w:val="left" w:pos="0"/>
          <w:tab w:val="left" w:pos="1712"/>
        </w:tabs>
        <w:suppressAutoHyphens/>
        <w:spacing w:after="0"/>
        <w:ind w:left="90" w:right="-374"/>
        <w:contextualSpacing/>
        <w:rPr>
          <w:spacing w:val="-3"/>
          <w:sz w:val="8"/>
          <w:szCs w:val="20"/>
          <w:vertAlign w:val="superscript"/>
        </w:rPr>
      </w:pPr>
      <w:r w:rsidRPr="00F8214F">
        <w:rPr>
          <w:spacing w:val="-3"/>
          <w:sz w:val="8"/>
          <w:szCs w:val="20"/>
          <w:vertAlign w:val="superscript"/>
        </w:rPr>
        <w:tab/>
      </w:r>
    </w:p>
    <w:p w14:paraId="264D2648" w14:textId="76B10CCB" w:rsidR="00E67752" w:rsidRPr="00E147C5" w:rsidRDefault="004D74CF" w:rsidP="004E6B25">
      <w:pPr>
        <w:numPr>
          <w:ilvl w:val="12"/>
          <w:numId w:val="0"/>
        </w:numPr>
        <w:tabs>
          <w:tab w:val="left" w:pos="-1440"/>
          <w:tab w:val="left" w:pos="-720"/>
          <w:tab w:val="left" w:pos="0"/>
          <w:tab w:val="left" w:pos="1080"/>
          <w:tab w:val="left" w:pos="1440"/>
        </w:tabs>
        <w:suppressAutoHyphens/>
        <w:spacing w:after="0"/>
        <w:ind w:left="90" w:right="-374"/>
        <w:contextualSpacing/>
        <w:rPr>
          <w:i/>
          <w:iCs/>
          <w:spacing w:val="-3"/>
          <w:sz w:val="20"/>
          <w:szCs w:val="20"/>
        </w:rPr>
      </w:pPr>
      <w:r w:rsidRPr="00E147C5">
        <w:rPr>
          <w:spacing w:val="-3"/>
          <w:sz w:val="20"/>
          <w:szCs w:val="20"/>
          <w:vertAlign w:val="superscript"/>
        </w:rPr>
        <w:t>1</w:t>
      </w:r>
      <w:r w:rsidRPr="00E147C5">
        <w:rPr>
          <w:i/>
          <w:iCs/>
          <w:spacing w:val="-3"/>
          <w:sz w:val="20"/>
          <w:szCs w:val="20"/>
          <w:vertAlign w:val="superscript"/>
        </w:rPr>
        <w:t>.</w:t>
      </w:r>
      <w:r w:rsidRPr="00E147C5">
        <w:rPr>
          <w:i/>
          <w:iCs/>
          <w:spacing w:val="-3"/>
          <w:sz w:val="20"/>
          <w:szCs w:val="20"/>
        </w:rPr>
        <w:t xml:space="preserve"> </w:t>
      </w:r>
      <w:r w:rsidR="00294678" w:rsidRPr="00E147C5">
        <w:rPr>
          <w:i/>
          <w:iCs/>
          <w:spacing w:val="-3"/>
          <w:sz w:val="20"/>
          <w:szCs w:val="20"/>
        </w:rPr>
        <w:t xml:space="preserve">Note budgets are estimates and are </w:t>
      </w:r>
      <w:r w:rsidR="0005601F">
        <w:rPr>
          <w:i/>
          <w:iCs/>
          <w:spacing w:val="-3"/>
          <w:sz w:val="20"/>
          <w:szCs w:val="20"/>
        </w:rPr>
        <w:t>intended as a guideline for program implementation.  Re</w:t>
      </w:r>
      <w:r w:rsidR="00294678" w:rsidRPr="00E147C5">
        <w:rPr>
          <w:i/>
          <w:iCs/>
          <w:spacing w:val="-3"/>
          <w:sz w:val="20"/>
          <w:szCs w:val="20"/>
        </w:rPr>
        <w:t xml:space="preserve">bate </w:t>
      </w:r>
      <w:r w:rsidR="0005601F">
        <w:rPr>
          <w:i/>
          <w:iCs/>
          <w:spacing w:val="-3"/>
          <w:sz w:val="20"/>
          <w:szCs w:val="20"/>
        </w:rPr>
        <w:t>budgets are subject to customer program uptake</w:t>
      </w:r>
      <w:r w:rsidR="00294678" w:rsidRPr="00E147C5">
        <w:rPr>
          <w:i/>
          <w:iCs/>
          <w:spacing w:val="-3"/>
          <w:sz w:val="20"/>
          <w:szCs w:val="20"/>
        </w:rPr>
        <w:t xml:space="preserve">s. </w:t>
      </w:r>
    </w:p>
    <w:p w14:paraId="25C1BC8E" w14:textId="77777777" w:rsidR="001707BC" w:rsidRDefault="00E67752" w:rsidP="00C235C5">
      <w:pPr>
        <w:numPr>
          <w:ilvl w:val="12"/>
          <w:numId w:val="0"/>
        </w:numPr>
        <w:tabs>
          <w:tab w:val="left" w:pos="-1440"/>
          <w:tab w:val="left" w:pos="-720"/>
          <w:tab w:val="left" w:pos="0"/>
          <w:tab w:val="left" w:pos="1080"/>
          <w:tab w:val="left" w:pos="1440"/>
        </w:tabs>
        <w:suppressAutoHyphens/>
        <w:spacing w:after="0"/>
        <w:ind w:left="90" w:right="-374"/>
        <w:contextualSpacing/>
        <w:rPr>
          <w:i/>
          <w:iCs/>
          <w:spacing w:val="-3"/>
          <w:sz w:val="20"/>
          <w:szCs w:val="20"/>
        </w:rPr>
      </w:pPr>
      <w:r w:rsidRPr="00E147C5">
        <w:rPr>
          <w:i/>
          <w:iCs/>
          <w:spacing w:val="-3"/>
          <w:sz w:val="20"/>
          <w:szCs w:val="20"/>
          <w:vertAlign w:val="superscript"/>
        </w:rPr>
        <w:t>2.</w:t>
      </w:r>
      <w:r w:rsidRPr="00E147C5">
        <w:rPr>
          <w:i/>
          <w:iCs/>
          <w:spacing w:val="-3"/>
          <w:sz w:val="20"/>
          <w:szCs w:val="20"/>
        </w:rPr>
        <w:t xml:space="preserve"> Therm targets from this graph have been developed through the </w:t>
      </w:r>
      <w:r w:rsidR="00496A8A" w:rsidRPr="00496A8A">
        <w:rPr>
          <w:i/>
          <w:iCs/>
          <w:spacing w:val="-3"/>
          <w:sz w:val="20"/>
          <w:szCs w:val="20"/>
        </w:rPr>
        <w:t>TEA-Pot</w:t>
      </w:r>
      <w:r w:rsidRPr="002B5050">
        <w:rPr>
          <w:i/>
          <w:iCs/>
          <w:spacing w:val="-3"/>
          <w:sz w:val="20"/>
          <w:szCs w:val="20"/>
        </w:rPr>
        <w:t xml:space="preserve"> modeling tool inclusive of administrative costs</w:t>
      </w:r>
      <w:r w:rsidRPr="00804108">
        <w:rPr>
          <w:i/>
          <w:iCs/>
          <w:spacing w:val="-3"/>
          <w:sz w:val="20"/>
          <w:szCs w:val="20"/>
        </w:rPr>
        <w:t xml:space="preserve">.  These targets are aspirational targets. The Company will actively work toward achievement of these goals, but </w:t>
      </w:r>
      <w:r w:rsidR="00294678" w:rsidRPr="00E147C5">
        <w:rPr>
          <w:i/>
          <w:iCs/>
          <w:spacing w:val="-3"/>
          <w:sz w:val="20"/>
          <w:szCs w:val="20"/>
        </w:rPr>
        <w:t xml:space="preserve">it is important to recognize </w:t>
      </w:r>
      <w:r w:rsidRPr="00E147C5">
        <w:rPr>
          <w:i/>
          <w:iCs/>
          <w:spacing w:val="-3"/>
          <w:sz w:val="20"/>
          <w:szCs w:val="20"/>
        </w:rPr>
        <w:t>program cost-effectiveness is the primary metric of success</w:t>
      </w:r>
    </w:p>
    <w:p w14:paraId="1710FFF8" w14:textId="77777777" w:rsidR="00F702F9" w:rsidRDefault="001707BC" w:rsidP="00345420">
      <w:pPr>
        <w:numPr>
          <w:ilvl w:val="12"/>
          <w:numId w:val="0"/>
        </w:numPr>
        <w:tabs>
          <w:tab w:val="left" w:pos="-1440"/>
          <w:tab w:val="left" w:pos="-720"/>
          <w:tab w:val="left" w:pos="0"/>
          <w:tab w:val="left" w:pos="1080"/>
          <w:tab w:val="left" w:pos="1440"/>
        </w:tabs>
        <w:suppressAutoHyphens/>
        <w:spacing w:after="0"/>
        <w:ind w:left="90" w:right="-374"/>
        <w:contextualSpacing/>
        <w:rPr>
          <w:i/>
          <w:sz w:val="20"/>
        </w:rPr>
      </w:pPr>
      <w:r w:rsidRPr="002801C1">
        <w:rPr>
          <w:i/>
          <w:iCs/>
          <w:spacing w:val="-3"/>
          <w:sz w:val="20"/>
          <w:szCs w:val="20"/>
          <w:vertAlign w:val="superscript"/>
        </w:rPr>
        <w:lastRenderedPageBreak/>
        <w:t>3</w:t>
      </w:r>
      <w:r w:rsidRPr="002801C1">
        <w:rPr>
          <w:i/>
          <w:sz w:val="20"/>
        </w:rPr>
        <w:t xml:space="preserve">Following the submission and approval of a revised LI-WIP tariff to the WUTC, Cascade will refine the anticipated therm savings and budgetary targets </w:t>
      </w:r>
      <w:r>
        <w:rPr>
          <w:i/>
          <w:sz w:val="20"/>
        </w:rPr>
        <w:t xml:space="preserve">for the LI program </w:t>
      </w:r>
      <w:r w:rsidRPr="002801C1">
        <w:rPr>
          <w:i/>
          <w:sz w:val="20"/>
        </w:rPr>
        <w:t>as appropriate</w:t>
      </w:r>
    </w:p>
    <w:p w14:paraId="78C268B3" w14:textId="746E4212" w:rsidR="00E67752" w:rsidRPr="00F702F9" w:rsidRDefault="00F702F9" w:rsidP="00345420">
      <w:pPr>
        <w:numPr>
          <w:ilvl w:val="12"/>
          <w:numId w:val="0"/>
        </w:numPr>
        <w:tabs>
          <w:tab w:val="left" w:pos="-1440"/>
          <w:tab w:val="left" w:pos="-720"/>
          <w:tab w:val="left" w:pos="0"/>
          <w:tab w:val="left" w:pos="1080"/>
          <w:tab w:val="left" w:pos="1440"/>
        </w:tabs>
        <w:suppressAutoHyphens/>
        <w:spacing w:after="0"/>
        <w:ind w:left="90" w:right="-374"/>
        <w:contextualSpacing/>
        <w:rPr>
          <w:bCs/>
          <w:spacing w:val="-3"/>
          <w:sz w:val="20"/>
          <w:szCs w:val="20"/>
        </w:rPr>
      </w:pPr>
      <w:r w:rsidRPr="009D4CEF">
        <w:rPr>
          <w:i/>
          <w:sz w:val="20"/>
          <w:vertAlign w:val="superscript"/>
        </w:rPr>
        <w:t>4</w:t>
      </w:r>
      <w:r>
        <w:rPr>
          <w:i/>
          <w:sz w:val="20"/>
        </w:rPr>
        <w:t>The 2016 entry includes overlap from previous year’s 3</w:t>
      </w:r>
      <w:r w:rsidRPr="009D4CEF">
        <w:rPr>
          <w:i/>
          <w:sz w:val="20"/>
          <w:vertAlign w:val="superscript"/>
        </w:rPr>
        <w:t>rd</w:t>
      </w:r>
      <w:r>
        <w:rPr>
          <w:i/>
          <w:sz w:val="20"/>
        </w:rPr>
        <w:t xml:space="preserve"> party residential program vendor during transition period.  </w:t>
      </w:r>
      <w:r w:rsidR="00E67752" w:rsidRPr="009D4CEF">
        <w:rPr>
          <w:bCs/>
          <w:i/>
          <w:spacing w:val="-3"/>
          <w:sz w:val="16"/>
          <w:szCs w:val="20"/>
          <w:vertAlign w:val="superscript"/>
        </w:rPr>
        <w:t xml:space="preserve"> </w:t>
      </w:r>
    </w:p>
    <w:p w14:paraId="5537A558" w14:textId="77777777" w:rsidR="008F1678" w:rsidRDefault="008F1678" w:rsidP="002801C1">
      <w:pPr>
        <w:numPr>
          <w:ilvl w:val="12"/>
          <w:numId w:val="0"/>
        </w:numPr>
        <w:tabs>
          <w:tab w:val="left" w:pos="-1440"/>
          <w:tab w:val="left" w:pos="-720"/>
          <w:tab w:val="left" w:pos="0"/>
          <w:tab w:val="left" w:pos="1080"/>
          <w:tab w:val="left" w:pos="1440"/>
        </w:tabs>
        <w:suppressAutoHyphens/>
        <w:spacing w:after="0"/>
        <w:ind w:left="720" w:right="-7"/>
        <w:contextualSpacing/>
        <w:rPr>
          <w:bCs/>
          <w:spacing w:val="-3"/>
          <w:sz w:val="22"/>
        </w:rPr>
      </w:pPr>
    </w:p>
    <w:p w14:paraId="289812A5" w14:textId="2435C257" w:rsidR="00D5321D" w:rsidRDefault="00F702F9" w:rsidP="006809C1">
      <w:pPr>
        <w:numPr>
          <w:ilvl w:val="12"/>
          <w:numId w:val="0"/>
        </w:numPr>
        <w:tabs>
          <w:tab w:val="left" w:pos="-1440"/>
          <w:tab w:val="left" w:pos="-720"/>
          <w:tab w:val="left" w:pos="0"/>
          <w:tab w:val="left" w:pos="1080"/>
          <w:tab w:val="left" w:pos="1440"/>
        </w:tabs>
        <w:suppressAutoHyphens/>
        <w:spacing w:after="0"/>
        <w:ind w:right="-7"/>
        <w:contextualSpacing/>
        <w:jc w:val="both"/>
        <w:rPr>
          <w:bCs/>
          <w:spacing w:val="-3"/>
        </w:rPr>
      </w:pPr>
      <w:r>
        <w:rPr>
          <w:bCs/>
          <w:spacing w:val="-3"/>
        </w:rPr>
        <w:t>In addition to the goals and budgets goals</w:t>
      </w:r>
      <w:r w:rsidR="0066275C">
        <w:rPr>
          <w:bCs/>
          <w:spacing w:val="-3"/>
        </w:rPr>
        <w:t>,</w:t>
      </w:r>
      <w:r w:rsidR="00D5321D">
        <w:rPr>
          <w:bCs/>
          <w:spacing w:val="-3"/>
        </w:rPr>
        <w:t xml:space="preserve"> the Company </w:t>
      </w:r>
      <w:r w:rsidR="00676F8B">
        <w:rPr>
          <w:bCs/>
          <w:spacing w:val="-3"/>
        </w:rPr>
        <w:t xml:space="preserve">has </w:t>
      </w:r>
      <w:r>
        <w:rPr>
          <w:bCs/>
          <w:spacing w:val="-3"/>
        </w:rPr>
        <w:t xml:space="preserve">also </w:t>
      </w:r>
      <w:r w:rsidR="00676F8B">
        <w:rPr>
          <w:bCs/>
          <w:spacing w:val="-3"/>
        </w:rPr>
        <w:t xml:space="preserve">provided </w:t>
      </w:r>
      <w:r w:rsidR="00D5321D">
        <w:rPr>
          <w:bCs/>
          <w:spacing w:val="-3"/>
        </w:rPr>
        <w:t xml:space="preserve">a comparison of the past three years of achieved overall savings </w:t>
      </w:r>
      <w:r w:rsidR="001359D6">
        <w:rPr>
          <w:bCs/>
          <w:spacing w:val="-3"/>
        </w:rPr>
        <w:t>contrasted with</w:t>
      </w:r>
      <w:r w:rsidR="00E06699">
        <w:rPr>
          <w:bCs/>
          <w:spacing w:val="-3"/>
        </w:rPr>
        <w:t xml:space="preserve"> the</w:t>
      </w:r>
      <w:r w:rsidR="00D5321D">
        <w:rPr>
          <w:bCs/>
          <w:spacing w:val="-3"/>
        </w:rPr>
        <w:t xml:space="preserve"> IRP goals below</w:t>
      </w:r>
      <w:r>
        <w:rPr>
          <w:bCs/>
          <w:spacing w:val="-3"/>
        </w:rPr>
        <w:t xml:space="preserve"> in Table 2.</w:t>
      </w:r>
      <w:r w:rsidR="0066275C">
        <w:rPr>
          <w:bCs/>
          <w:spacing w:val="-3"/>
        </w:rPr>
        <w:t xml:space="preserve"> P</w:t>
      </w:r>
      <w:r w:rsidR="00BE0C95">
        <w:rPr>
          <w:bCs/>
          <w:spacing w:val="-3"/>
        </w:rPr>
        <w:t xml:space="preserve">lease note 2016 achievements </w:t>
      </w:r>
      <w:r w:rsidR="00843739">
        <w:rPr>
          <w:bCs/>
          <w:spacing w:val="-3"/>
        </w:rPr>
        <w:t>will be provided as part of the</w:t>
      </w:r>
      <w:r w:rsidR="00BE0C95">
        <w:rPr>
          <w:bCs/>
          <w:spacing w:val="-3"/>
        </w:rPr>
        <w:t xml:space="preserve"> </w:t>
      </w:r>
      <w:r w:rsidR="00843739">
        <w:rPr>
          <w:bCs/>
          <w:spacing w:val="-3"/>
        </w:rPr>
        <w:t>Company’s A</w:t>
      </w:r>
      <w:r w:rsidR="00BE0C95">
        <w:rPr>
          <w:bCs/>
          <w:spacing w:val="-3"/>
        </w:rPr>
        <w:t xml:space="preserve">nnual </w:t>
      </w:r>
      <w:r w:rsidR="00843739">
        <w:rPr>
          <w:bCs/>
          <w:spacing w:val="-3"/>
        </w:rPr>
        <w:t>Conservation R</w:t>
      </w:r>
      <w:r w:rsidR="00BE0C95">
        <w:rPr>
          <w:bCs/>
          <w:spacing w:val="-3"/>
        </w:rPr>
        <w:t xml:space="preserve">eport </w:t>
      </w:r>
      <w:r w:rsidR="00843739">
        <w:rPr>
          <w:bCs/>
          <w:spacing w:val="-3"/>
        </w:rPr>
        <w:t>which is released</w:t>
      </w:r>
      <w:r w:rsidR="00BE0C95">
        <w:rPr>
          <w:bCs/>
          <w:spacing w:val="-3"/>
        </w:rPr>
        <w:t xml:space="preserve"> on June 1 of the following calendar </w:t>
      </w:r>
      <w:r w:rsidR="00FC324E">
        <w:rPr>
          <w:bCs/>
          <w:spacing w:val="-3"/>
        </w:rPr>
        <w:t xml:space="preserve">year. </w:t>
      </w:r>
      <w:r w:rsidR="00C3171F">
        <w:rPr>
          <w:bCs/>
          <w:spacing w:val="-3"/>
        </w:rPr>
        <w:t>It should also be noted</w:t>
      </w:r>
      <w:r w:rsidR="002D262E">
        <w:rPr>
          <w:bCs/>
          <w:spacing w:val="-3"/>
        </w:rPr>
        <w:t xml:space="preserve"> </w:t>
      </w:r>
      <w:r w:rsidR="00FC324E">
        <w:rPr>
          <w:bCs/>
          <w:spacing w:val="-3"/>
        </w:rPr>
        <w:t xml:space="preserve">2014 </w:t>
      </w:r>
      <w:r w:rsidR="00FC324E">
        <w:rPr>
          <w:bCs/>
          <w:spacing w:val="-3"/>
        </w:rPr>
        <w:lastRenderedPageBreak/>
        <w:t>IRP goals were not officially acknowledged</w:t>
      </w:r>
      <w:r w:rsidR="0099669C">
        <w:rPr>
          <w:bCs/>
          <w:spacing w:val="-3"/>
        </w:rPr>
        <w:t xml:space="preserve"> by the WUTC</w:t>
      </w:r>
      <w:r w:rsidR="00FC324E">
        <w:rPr>
          <w:bCs/>
          <w:spacing w:val="-3"/>
        </w:rPr>
        <w:t>.</w:t>
      </w:r>
      <w:r w:rsidR="0099669C">
        <w:rPr>
          <w:bCs/>
          <w:spacing w:val="-3"/>
        </w:rPr>
        <w:t xml:space="preserve"> The </w:t>
      </w:r>
      <w:r w:rsidR="002D262E">
        <w:rPr>
          <w:bCs/>
          <w:spacing w:val="-3"/>
        </w:rPr>
        <w:t xml:space="preserve">last </w:t>
      </w:r>
      <w:r w:rsidR="002801C1">
        <w:rPr>
          <w:bCs/>
          <w:spacing w:val="-3"/>
        </w:rPr>
        <w:t>set of acknowledged goals was</w:t>
      </w:r>
      <w:r w:rsidR="00C3171F">
        <w:rPr>
          <w:bCs/>
          <w:spacing w:val="-3"/>
        </w:rPr>
        <w:t xml:space="preserve"> provided as part of </w:t>
      </w:r>
      <w:r w:rsidR="0099669C">
        <w:rPr>
          <w:bCs/>
          <w:spacing w:val="-3"/>
        </w:rPr>
        <w:t>the 2012 IRP</w:t>
      </w:r>
      <w:r w:rsidR="00C3171F">
        <w:rPr>
          <w:bCs/>
          <w:spacing w:val="-3"/>
        </w:rPr>
        <w:t>.</w:t>
      </w:r>
      <w:r w:rsidR="0099669C">
        <w:rPr>
          <w:bCs/>
          <w:spacing w:val="-3"/>
        </w:rPr>
        <w:t xml:space="preserve"> </w:t>
      </w:r>
      <w:r w:rsidR="00C3171F">
        <w:rPr>
          <w:bCs/>
          <w:spacing w:val="-3"/>
        </w:rPr>
        <w:t>The 2012 IRP goals for</w:t>
      </w:r>
      <w:r w:rsidR="0099669C">
        <w:rPr>
          <w:bCs/>
          <w:spacing w:val="-3"/>
        </w:rPr>
        <w:t xml:space="preserve"> CY 2015</w:t>
      </w:r>
      <w:r w:rsidR="00C3171F">
        <w:rPr>
          <w:bCs/>
          <w:spacing w:val="-3"/>
        </w:rPr>
        <w:t xml:space="preserve"> (843,000 therms)</w:t>
      </w:r>
      <w:r w:rsidR="0099669C">
        <w:rPr>
          <w:bCs/>
          <w:spacing w:val="-3"/>
        </w:rPr>
        <w:t xml:space="preserve"> and CY 2016</w:t>
      </w:r>
      <w:r w:rsidR="00C3171F">
        <w:rPr>
          <w:bCs/>
          <w:spacing w:val="-3"/>
        </w:rPr>
        <w:t xml:space="preserve"> (927,000 therms)</w:t>
      </w:r>
      <w:r w:rsidR="002D262E">
        <w:rPr>
          <w:bCs/>
          <w:spacing w:val="-3"/>
        </w:rPr>
        <w:t xml:space="preserve"> were developed prior to the </w:t>
      </w:r>
      <w:r w:rsidR="00C3171F">
        <w:rPr>
          <w:bCs/>
          <w:spacing w:val="-3"/>
        </w:rPr>
        <w:t>development of the Company’s</w:t>
      </w:r>
      <w:r w:rsidR="002D262E">
        <w:rPr>
          <w:bCs/>
          <w:spacing w:val="-3"/>
        </w:rPr>
        <w:t xml:space="preserve"> TEA-Pot </w:t>
      </w:r>
      <w:r w:rsidR="00C3171F">
        <w:rPr>
          <w:bCs/>
          <w:spacing w:val="-3"/>
        </w:rPr>
        <w:t>model</w:t>
      </w:r>
      <w:r w:rsidR="00954966">
        <w:rPr>
          <w:bCs/>
          <w:spacing w:val="-3"/>
        </w:rPr>
        <w:t xml:space="preserve">. </w:t>
      </w:r>
      <w:r w:rsidR="004C7BFC">
        <w:rPr>
          <w:bCs/>
          <w:spacing w:val="-3"/>
        </w:rPr>
        <w:t xml:space="preserve"> Use of the TEA-Pot modeling tool has enabled the Company to </w:t>
      </w:r>
      <w:r w:rsidR="001F525C">
        <w:rPr>
          <w:bCs/>
          <w:spacing w:val="-3"/>
        </w:rPr>
        <w:t>significantly</w:t>
      </w:r>
      <w:r w:rsidR="004C7BFC">
        <w:rPr>
          <w:bCs/>
          <w:spacing w:val="-3"/>
        </w:rPr>
        <w:t xml:space="preserve"> refine the forecast inputs to reflect the Company’s distinct customer service territory. </w:t>
      </w:r>
    </w:p>
    <w:p w14:paraId="6D1011F0" w14:textId="77777777" w:rsidR="00D5321D" w:rsidRDefault="00D5321D" w:rsidP="00F657A9">
      <w:pPr>
        <w:numPr>
          <w:ilvl w:val="12"/>
          <w:numId w:val="0"/>
        </w:numPr>
        <w:tabs>
          <w:tab w:val="left" w:pos="-1440"/>
          <w:tab w:val="left" w:pos="-720"/>
          <w:tab w:val="left" w:pos="0"/>
          <w:tab w:val="left" w:pos="1080"/>
          <w:tab w:val="left" w:pos="1440"/>
        </w:tabs>
        <w:suppressAutoHyphens/>
        <w:spacing w:after="0"/>
        <w:ind w:right="-7"/>
        <w:contextualSpacing/>
        <w:rPr>
          <w:bCs/>
          <w:spacing w:val="-3"/>
        </w:rPr>
      </w:pPr>
    </w:p>
    <w:p w14:paraId="6E3B3C2E" w14:textId="6C332AAD" w:rsidR="00D5321D" w:rsidRPr="00F657A9" w:rsidRDefault="00D5321D" w:rsidP="002801C1">
      <w:pPr>
        <w:numPr>
          <w:ilvl w:val="12"/>
          <w:numId w:val="0"/>
        </w:numPr>
        <w:tabs>
          <w:tab w:val="left" w:pos="-1440"/>
          <w:tab w:val="left" w:pos="-720"/>
          <w:tab w:val="left" w:pos="0"/>
          <w:tab w:val="left" w:pos="1080"/>
          <w:tab w:val="left" w:pos="1440"/>
        </w:tabs>
        <w:suppressAutoHyphens/>
        <w:spacing w:after="0"/>
        <w:ind w:right="-7"/>
        <w:contextualSpacing/>
        <w:jc w:val="center"/>
        <w:rPr>
          <w:b/>
          <w:bCs/>
          <w:spacing w:val="-3"/>
          <w:sz w:val="18"/>
        </w:rPr>
      </w:pPr>
      <w:r w:rsidRPr="00F657A9">
        <w:rPr>
          <w:b/>
          <w:bCs/>
          <w:spacing w:val="-3"/>
          <w:sz w:val="18"/>
        </w:rPr>
        <w:t>Table 2</w:t>
      </w:r>
    </w:p>
    <w:p w14:paraId="0EF693DA" w14:textId="2492BA6F" w:rsidR="002D262E" w:rsidRPr="00F657A9" w:rsidRDefault="002D262E" w:rsidP="002801C1">
      <w:pPr>
        <w:numPr>
          <w:ilvl w:val="12"/>
          <w:numId w:val="0"/>
        </w:numPr>
        <w:tabs>
          <w:tab w:val="left" w:pos="-1440"/>
          <w:tab w:val="left" w:pos="-720"/>
          <w:tab w:val="left" w:pos="0"/>
          <w:tab w:val="left" w:pos="1080"/>
          <w:tab w:val="left" w:pos="1440"/>
        </w:tabs>
        <w:suppressAutoHyphens/>
        <w:spacing w:after="0"/>
        <w:ind w:right="-7"/>
        <w:contextualSpacing/>
        <w:jc w:val="center"/>
        <w:rPr>
          <w:bCs/>
          <w:spacing w:val="-3"/>
          <w:sz w:val="18"/>
        </w:rPr>
      </w:pPr>
      <w:r w:rsidRPr="00F657A9">
        <w:rPr>
          <w:b/>
          <w:bCs/>
          <w:spacing w:val="-3"/>
          <w:sz w:val="18"/>
        </w:rPr>
        <w:t>Historic Program Achievements compared to Goal</w:t>
      </w:r>
    </w:p>
    <w:tbl>
      <w:tblPr>
        <w:tblW w:w="6120" w:type="dxa"/>
        <w:jc w:val="center"/>
        <w:tblLayout w:type="fixed"/>
        <w:tblLook w:val="04A0" w:firstRow="1" w:lastRow="0" w:firstColumn="1" w:lastColumn="0" w:noHBand="0" w:noVBand="1"/>
      </w:tblPr>
      <w:tblGrid>
        <w:gridCol w:w="997"/>
        <w:gridCol w:w="1350"/>
        <w:gridCol w:w="1211"/>
        <w:gridCol w:w="1281"/>
        <w:gridCol w:w="1281"/>
      </w:tblGrid>
      <w:tr w:rsidR="00BE0C95" w14:paraId="21B484BB" w14:textId="77777777" w:rsidTr="002801C1">
        <w:trPr>
          <w:trHeight w:val="315"/>
          <w:jc w:val="center"/>
        </w:trPr>
        <w:tc>
          <w:tcPr>
            <w:tcW w:w="997" w:type="dxa"/>
            <w:tcBorders>
              <w:top w:val="single" w:sz="8" w:space="0" w:color="auto"/>
              <w:left w:val="single" w:sz="8" w:space="0" w:color="auto"/>
              <w:bottom w:val="single" w:sz="8" w:space="0" w:color="auto"/>
              <w:right w:val="single" w:sz="8" w:space="0" w:color="auto"/>
            </w:tcBorders>
            <w:vAlign w:val="center"/>
            <w:hideMark/>
          </w:tcPr>
          <w:p w14:paraId="340D27F8" w14:textId="7A7AB625" w:rsidR="00BE0C95" w:rsidRDefault="00BE0C95" w:rsidP="00082EC1">
            <w:pPr>
              <w:spacing w:after="0" w:line="240" w:lineRule="auto"/>
              <w:contextualSpacing/>
              <w:jc w:val="center"/>
              <w:rPr>
                <w:b/>
                <w:bCs/>
                <w:i/>
                <w:iCs/>
                <w:color w:val="000000"/>
                <w:sz w:val="20"/>
                <w:szCs w:val="20"/>
              </w:rPr>
            </w:pPr>
          </w:p>
        </w:tc>
        <w:tc>
          <w:tcPr>
            <w:tcW w:w="1350" w:type="dxa"/>
            <w:tcBorders>
              <w:top w:val="single" w:sz="8" w:space="0" w:color="auto"/>
              <w:left w:val="nil"/>
              <w:bottom w:val="single" w:sz="8" w:space="0" w:color="auto"/>
              <w:right w:val="single" w:sz="8" w:space="0" w:color="000000"/>
            </w:tcBorders>
            <w:shd w:val="clear" w:color="auto" w:fill="31869B"/>
            <w:vAlign w:val="center"/>
            <w:hideMark/>
          </w:tcPr>
          <w:p w14:paraId="685E1DD7" w14:textId="2B702EEA" w:rsidR="00BE0C95" w:rsidRPr="002801C1" w:rsidRDefault="00BE0C95" w:rsidP="00082EC1">
            <w:pPr>
              <w:spacing w:after="0" w:line="240" w:lineRule="auto"/>
              <w:contextualSpacing/>
              <w:jc w:val="center"/>
              <w:rPr>
                <w:rFonts w:ascii="Calibri" w:eastAsiaTheme="minorHAnsi" w:hAnsi="Calibri"/>
                <w:b/>
                <w:bCs/>
                <w:color w:val="000000"/>
                <w:szCs w:val="20"/>
              </w:rPr>
            </w:pPr>
            <w:r w:rsidRPr="002801C1">
              <w:rPr>
                <w:b/>
                <w:bCs/>
                <w:color w:val="000000"/>
                <w:szCs w:val="20"/>
              </w:rPr>
              <w:t>Year</w:t>
            </w:r>
          </w:p>
        </w:tc>
        <w:tc>
          <w:tcPr>
            <w:tcW w:w="1211" w:type="dxa"/>
            <w:tcBorders>
              <w:top w:val="single" w:sz="8" w:space="0" w:color="auto"/>
              <w:left w:val="nil"/>
              <w:bottom w:val="single" w:sz="8" w:space="0" w:color="auto"/>
              <w:right w:val="single" w:sz="8" w:space="0" w:color="000000"/>
            </w:tcBorders>
            <w:shd w:val="clear" w:color="auto" w:fill="31869B"/>
            <w:vAlign w:val="center"/>
          </w:tcPr>
          <w:p w14:paraId="7DAB9D1D" w14:textId="09C4838E" w:rsidR="00BE0C95" w:rsidRPr="002801C1" w:rsidRDefault="00BE0C95" w:rsidP="00082EC1">
            <w:pPr>
              <w:spacing w:after="0" w:line="240" w:lineRule="auto"/>
              <w:contextualSpacing/>
              <w:jc w:val="center"/>
              <w:rPr>
                <w:rFonts w:ascii="Calibri" w:eastAsiaTheme="minorHAnsi" w:hAnsi="Calibri"/>
                <w:b/>
                <w:bCs/>
                <w:color w:val="000000"/>
                <w:szCs w:val="20"/>
              </w:rPr>
            </w:pPr>
            <w:r w:rsidRPr="002801C1">
              <w:rPr>
                <w:rFonts w:ascii="Calibri" w:eastAsiaTheme="minorHAnsi" w:hAnsi="Calibri"/>
                <w:b/>
                <w:bCs/>
                <w:color w:val="000000"/>
                <w:szCs w:val="20"/>
              </w:rPr>
              <w:t>Goal</w:t>
            </w:r>
          </w:p>
        </w:tc>
        <w:tc>
          <w:tcPr>
            <w:tcW w:w="1281" w:type="dxa"/>
            <w:tcBorders>
              <w:top w:val="single" w:sz="8" w:space="0" w:color="auto"/>
              <w:left w:val="nil"/>
              <w:bottom w:val="single" w:sz="8" w:space="0" w:color="auto"/>
              <w:right w:val="single" w:sz="8" w:space="0" w:color="000000"/>
            </w:tcBorders>
            <w:shd w:val="clear" w:color="auto" w:fill="31869B"/>
            <w:vAlign w:val="center"/>
          </w:tcPr>
          <w:p w14:paraId="3BB763D6" w14:textId="52F78912" w:rsidR="00BE0C95" w:rsidRPr="002801C1" w:rsidRDefault="00BE0C95" w:rsidP="00082EC1">
            <w:pPr>
              <w:spacing w:after="0" w:line="240" w:lineRule="auto"/>
              <w:contextualSpacing/>
              <w:jc w:val="center"/>
              <w:rPr>
                <w:rFonts w:ascii="Calibri" w:eastAsiaTheme="minorHAnsi" w:hAnsi="Calibri"/>
                <w:b/>
                <w:bCs/>
                <w:color w:val="000000"/>
                <w:szCs w:val="20"/>
              </w:rPr>
            </w:pPr>
            <w:r w:rsidRPr="002801C1">
              <w:rPr>
                <w:rFonts w:ascii="Calibri" w:eastAsiaTheme="minorHAnsi" w:hAnsi="Calibri"/>
                <w:b/>
                <w:bCs/>
                <w:color w:val="000000"/>
                <w:szCs w:val="20"/>
              </w:rPr>
              <w:t>Actual</w:t>
            </w:r>
          </w:p>
        </w:tc>
        <w:tc>
          <w:tcPr>
            <w:tcW w:w="1281" w:type="dxa"/>
            <w:tcBorders>
              <w:top w:val="single" w:sz="8" w:space="0" w:color="auto"/>
              <w:left w:val="nil"/>
              <w:bottom w:val="single" w:sz="8" w:space="0" w:color="auto"/>
              <w:right w:val="single" w:sz="8" w:space="0" w:color="000000"/>
            </w:tcBorders>
            <w:shd w:val="clear" w:color="auto" w:fill="31869B"/>
            <w:vAlign w:val="center"/>
          </w:tcPr>
          <w:p w14:paraId="77C3183A" w14:textId="7D525100" w:rsidR="00BE0C95" w:rsidRPr="002801C1" w:rsidRDefault="00BE0C95" w:rsidP="00082EC1">
            <w:pPr>
              <w:spacing w:after="0" w:line="240" w:lineRule="auto"/>
              <w:contextualSpacing/>
              <w:jc w:val="center"/>
              <w:rPr>
                <w:rFonts w:ascii="Calibri" w:eastAsiaTheme="minorHAnsi" w:hAnsi="Calibri"/>
                <w:b/>
                <w:bCs/>
                <w:color w:val="000000"/>
                <w:szCs w:val="20"/>
              </w:rPr>
            </w:pPr>
            <w:r w:rsidRPr="002801C1">
              <w:rPr>
                <w:rFonts w:ascii="Calibri" w:eastAsiaTheme="minorHAnsi" w:hAnsi="Calibri"/>
                <w:b/>
                <w:bCs/>
                <w:color w:val="000000"/>
                <w:szCs w:val="20"/>
              </w:rPr>
              <w:t>Difference</w:t>
            </w:r>
          </w:p>
        </w:tc>
      </w:tr>
      <w:tr w:rsidR="00BE0C95" w14:paraId="0DB010E7" w14:textId="77777777" w:rsidTr="00082EC1">
        <w:trPr>
          <w:trHeight w:val="315"/>
          <w:jc w:val="center"/>
        </w:trPr>
        <w:tc>
          <w:tcPr>
            <w:tcW w:w="997" w:type="dxa"/>
            <w:vMerge w:val="restart"/>
            <w:tcBorders>
              <w:top w:val="single" w:sz="8" w:space="0" w:color="auto"/>
              <w:left w:val="single" w:sz="8" w:space="0" w:color="auto"/>
              <w:right w:val="single" w:sz="8" w:space="0" w:color="auto"/>
            </w:tcBorders>
            <w:vAlign w:val="center"/>
          </w:tcPr>
          <w:p w14:paraId="35BADE20" w14:textId="23BB16DB" w:rsidR="00BE0C95" w:rsidRPr="002801C1" w:rsidRDefault="00BE0C95" w:rsidP="00082EC1">
            <w:pPr>
              <w:spacing w:after="0" w:line="240" w:lineRule="auto"/>
              <w:contextualSpacing/>
              <w:jc w:val="center"/>
              <w:rPr>
                <w:b/>
                <w:bCs/>
                <w:iCs/>
                <w:color w:val="000000"/>
                <w:szCs w:val="20"/>
              </w:rPr>
            </w:pPr>
            <w:r w:rsidRPr="002801C1">
              <w:rPr>
                <w:b/>
                <w:bCs/>
                <w:iCs/>
                <w:color w:val="000000"/>
                <w:szCs w:val="20"/>
              </w:rPr>
              <w:t xml:space="preserve">2012 </w:t>
            </w:r>
            <w:r w:rsidRPr="002801C1">
              <w:rPr>
                <w:b/>
                <w:bCs/>
                <w:iCs/>
                <w:color w:val="000000"/>
                <w:szCs w:val="20"/>
              </w:rPr>
              <w:lastRenderedPageBreak/>
              <w:t>IRP</w:t>
            </w:r>
          </w:p>
        </w:tc>
        <w:tc>
          <w:tcPr>
            <w:tcW w:w="1350" w:type="dxa"/>
            <w:tcBorders>
              <w:top w:val="single" w:sz="8" w:space="0" w:color="auto"/>
              <w:left w:val="nil"/>
              <w:bottom w:val="single" w:sz="8" w:space="0" w:color="auto"/>
              <w:right w:val="single" w:sz="8" w:space="0" w:color="000000"/>
            </w:tcBorders>
            <w:shd w:val="clear" w:color="auto" w:fill="auto"/>
            <w:vAlign w:val="center"/>
          </w:tcPr>
          <w:p w14:paraId="5CE84ADD" w14:textId="29E4FFC0" w:rsidR="00BE0C95" w:rsidRPr="006F20C4" w:rsidRDefault="00BE0C95" w:rsidP="00082EC1">
            <w:pPr>
              <w:spacing w:after="0" w:line="240" w:lineRule="auto"/>
              <w:contextualSpacing/>
              <w:jc w:val="center"/>
              <w:rPr>
                <w:b/>
                <w:bCs/>
                <w:color w:val="000000"/>
                <w:szCs w:val="20"/>
              </w:rPr>
            </w:pPr>
            <w:r>
              <w:rPr>
                <w:color w:val="000000"/>
              </w:rPr>
              <w:lastRenderedPageBreak/>
              <w:t>2013</w:t>
            </w:r>
          </w:p>
        </w:tc>
        <w:tc>
          <w:tcPr>
            <w:tcW w:w="1211" w:type="dxa"/>
            <w:tcBorders>
              <w:top w:val="single" w:sz="8" w:space="0" w:color="auto"/>
              <w:left w:val="nil"/>
              <w:bottom w:val="single" w:sz="8" w:space="0" w:color="auto"/>
              <w:right w:val="single" w:sz="8" w:space="0" w:color="000000"/>
            </w:tcBorders>
            <w:shd w:val="clear" w:color="auto" w:fill="auto"/>
            <w:vAlign w:val="center"/>
          </w:tcPr>
          <w:p w14:paraId="568CE6F0" w14:textId="5134327B" w:rsidR="00BE0C95" w:rsidRPr="006F20C4" w:rsidRDefault="00BE0C95" w:rsidP="00082EC1">
            <w:pPr>
              <w:spacing w:after="0" w:line="240" w:lineRule="auto"/>
              <w:contextualSpacing/>
              <w:jc w:val="center"/>
              <w:rPr>
                <w:rFonts w:ascii="Calibri" w:eastAsiaTheme="minorHAnsi" w:hAnsi="Calibri"/>
                <w:b/>
                <w:bCs/>
                <w:color w:val="000000"/>
                <w:szCs w:val="20"/>
              </w:rPr>
            </w:pPr>
            <w:r>
              <w:rPr>
                <w:color w:val="000000"/>
              </w:rPr>
              <w:t xml:space="preserve">510,511 </w:t>
            </w:r>
          </w:p>
        </w:tc>
        <w:tc>
          <w:tcPr>
            <w:tcW w:w="1281" w:type="dxa"/>
            <w:tcBorders>
              <w:top w:val="single" w:sz="8" w:space="0" w:color="auto"/>
              <w:left w:val="nil"/>
              <w:bottom w:val="single" w:sz="8" w:space="0" w:color="auto"/>
              <w:right w:val="single" w:sz="8" w:space="0" w:color="000000"/>
            </w:tcBorders>
            <w:shd w:val="clear" w:color="auto" w:fill="auto"/>
            <w:vAlign w:val="center"/>
          </w:tcPr>
          <w:p w14:paraId="7684592E" w14:textId="5A816855" w:rsidR="00BE0C95" w:rsidRPr="006F20C4" w:rsidRDefault="00BE0C95" w:rsidP="00082EC1">
            <w:pPr>
              <w:spacing w:after="0" w:line="240" w:lineRule="auto"/>
              <w:contextualSpacing/>
              <w:jc w:val="center"/>
              <w:rPr>
                <w:rFonts w:ascii="Calibri" w:eastAsiaTheme="minorHAnsi" w:hAnsi="Calibri"/>
                <w:b/>
                <w:bCs/>
                <w:color w:val="000000"/>
                <w:szCs w:val="20"/>
              </w:rPr>
            </w:pPr>
            <w:r>
              <w:rPr>
                <w:color w:val="000000"/>
              </w:rPr>
              <w:t xml:space="preserve"> 471,431 </w:t>
            </w:r>
          </w:p>
        </w:tc>
        <w:tc>
          <w:tcPr>
            <w:tcW w:w="1281" w:type="dxa"/>
            <w:tcBorders>
              <w:top w:val="single" w:sz="8" w:space="0" w:color="auto"/>
              <w:left w:val="nil"/>
              <w:bottom w:val="single" w:sz="8" w:space="0" w:color="auto"/>
              <w:right w:val="single" w:sz="8" w:space="0" w:color="000000"/>
            </w:tcBorders>
            <w:shd w:val="clear" w:color="auto" w:fill="auto"/>
            <w:vAlign w:val="center"/>
          </w:tcPr>
          <w:p w14:paraId="4E5E2B4D" w14:textId="318C61F1" w:rsidR="00BE0C95" w:rsidRPr="006F20C4" w:rsidRDefault="00BE0C95" w:rsidP="00082EC1">
            <w:pPr>
              <w:spacing w:after="0" w:line="240" w:lineRule="auto"/>
              <w:contextualSpacing/>
              <w:jc w:val="center"/>
              <w:rPr>
                <w:rFonts w:ascii="Calibri" w:eastAsiaTheme="minorHAnsi" w:hAnsi="Calibri"/>
                <w:b/>
                <w:bCs/>
                <w:color w:val="000000"/>
                <w:szCs w:val="20"/>
              </w:rPr>
            </w:pPr>
            <w:r>
              <w:rPr>
                <w:b/>
                <w:bCs/>
              </w:rPr>
              <w:t>-8%</w:t>
            </w:r>
          </w:p>
        </w:tc>
      </w:tr>
      <w:tr w:rsidR="00BE0C95" w14:paraId="114A6310" w14:textId="77777777" w:rsidTr="002801C1">
        <w:trPr>
          <w:trHeight w:val="315"/>
          <w:jc w:val="center"/>
        </w:trPr>
        <w:tc>
          <w:tcPr>
            <w:tcW w:w="997" w:type="dxa"/>
            <w:vMerge/>
            <w:tcBorders>
              <w:left w:val="single" w:sz="8" w:space="0" w:color="auto"/>
              <w:bottom w:val="single" w:sz="8" w:space="0" w:color="auto"/>
              <w:right w:val="single" w:sz="8" w:space="0" w:color="auto"/>
            </w:tcBorders>
            <w:vAlign w:val="center"/>
          </w:tcPr>
          <w:p w14:paraId="1D996B99" w14:textId="77777777" w:rsidR="00BE0C95" w:rsidRPr="002801C1" w:rsidRDefault="00BE0C95" w:rsidP="00082EC1">
            <w:pPr>
              <w:spacing w:after="0" w:line="240" w:lineRule="auto"/>
              <w:contextualSpacing/>
              <w:jc w:val="center"/>
              <w:rPr>
                <w:b/>
                <w:bCs/>
                <w:iCs/>
                <w:color w:val="000000"/>
                <w:szCs w:val="20"/>
              </w:rPr>
            </w:pPr>
          </w:p>
        </w:tc>
        <w:tc>
          <w:tcPr>
            <w:tcW w:w="1350" w:type="dxa"/>
            <w:tcBorders>
              <w:top w:val="single" w:sz="8" w:space="0" w:color="auto"/>
              <w:left w:val="nil"/>
              <w:bottom w:val="single" w:sz="8" w:space="0" w:color="auto"/>
              <w:right w:val="single" w:sz="8" w:space="0" w:color="000000"/>
            </w:tcBorders>
            <w:shd w:val="clear" w:color="auto" w:fill="auto"/>
            <w:vAlign w:val="center"/>
          </w:tcPr>
          <w:p w14:paraId="21C19604" w14:textId="719624F4" w:rsidR="00BE0C95" w:rsidRPr="006F20C4" w:rsidRDefault="00BE0C95" w:rsidP="00082EC1">
            <w:pPr>
              <w:spacing w:after="0" w:line="240" w:lineRule="auto"/>
              <w:contextualSpacing/>
              <w:jc w:val="center"/>
              <w:rPr>
                <w:b/>
                <w:bCs/>
                <w:color w:val="000000"/>
                <w:szCs w:val="20"/>
              </w:rPr>
            </w:pPr>
            <w:r>
              <w:rPr>
                <w:color w:val="000000"/>
              </w:rPr>
              <w:t>2014</w:t>
            </w:r>
          </w:p>
        </w:tc>
        <w:tc>
          <w:tcPr>
            <w:tcW w:w="1211" w:type="dxa"/>
            <w:tcBorders>
              <w:top w:val="single" w:sz="8" w:space="0" w:color="auto"/>
              <w:left w:val="nil"/>
              <w:bottom w:val="single" w:sz="8" w:space="0" w:color="auto"/>
              <w:right w:val="single" w:sz="8" w:space="0" w:color="000000"/>
            </w:tcBorders>
            <w:shd w:val="clear" w:color="auto" w:fill="auto"/>
            <w:vAlign w:val="center"/>
          </w:tcPr>
          <w:p w14:paraId="1AA4CB3B" w14:textId="28148CA5" w:rsidR="00BE0C95" w:rsidRPr="006F20C4" w:rsidRDefault="00BE0C95" w:rsidP="00082EC1">
            <w:pPr>
              <w:spacing w:after="0" w:line="240" w:lineRule="auto"/>
              <w:contextualSpacing/>
              <w:jc w:val="center"/>
              <w:rPr>
                <w:rFonts w:ascii="Calibri" w:eastAsiaTheme="minorHAnsi" w:hAnsi="Calibri"/>
                <w:b/>
                <w:bCs/>
                <w:color w:val="000000"/>
                <w:szCs w:val="20"/>
              </w:rPr>
            </w:pPr>
            <w:r>
              <w:rPr>
                <w:color w:val="000000"/>
              </w:rPr>
              <w:t xml:space="preserve">566,150 </w:t>
            </w:r>
          </w:p>
        </w:tc>
        <w:tc>
          <w:tcPr>
            <w:tcW w:w="1281" w:type="dxa"/>
            <w:tcBorders>
              <w:top w:val="single" w:sz="8" w:space="0" w:color="auto"/>
              <w:left w:val="nil"/>
              <w:bottom w:val="single" w:sz="8" w:space="0" w:color="auto"/>
              <w:right w:val="single" w:sz="8" w:space="0" w:color="000000"/>
            </w:tcBorders>
            <w:shd w:val="clear" w:color="auto" w:fill="auto"/>
            <w:vAlign w:val="center"/>
          </w:tcPr>
          <w:p w14:paraId="3F155D9E" w14:textId="37644DEA" w:rsidR="00BE0C95" w:rsidRPr="006F20C4" w:rsidRDefault="00BE0C95" w:rsidP="00082EC1">
            <w:pPr>
              <w:spacing w:after="0" w:line="240" w:lineRule="auto"/>
              <w:contextualSpacing/>
              <w:jc w:val="center"/>
              <w:rPr>
                <w:rFonts w:ascii="Calibri" w:eastAsiaTheme="minorHAnsi" w:hAnsi="Calibri"/>
                <w:b/>
                <w:bCs/>
                <w:color w:val="000000"/>
                <w:szCs w:val="20"/>
              </w:rPr>
            </w:pPr>
            <w:r>
              <w:rPr>
                <w:color w:val="000000"/>
              </w:rPr>
              <w:t xml:space="preserve"> 641,615 </w:t>
            </w:r>
          </w:p>
        </w:tc>
        <w:tc>
          <w:tcPr>
            <w:tcW w:w="1281" w:type="dxa"/>
            <w:tcBorders>
              <w:top w:val="single" w:sz="8" w:space="0" w:color="auto"/>
              <w:left w:val="nil"/>
              <w:bottom w:val="single" w:sz="8" w:space="0" w:color="auto"/>
              <w:right w:val="single" w:sz="8" w:space="0" w:color="000000"/>
            </w:tcBorders>
            <w:shd w:val="clear" w:color="auto" w:fill="auto"/>
            <w:vAlign w:val="center"/>
          </w:tcPr>
          <w:p w14:paraId="31B53F4E" w14:textId="1E0DD7C9" w:rsidR="00BE0C95" w:rsidRPr="006F20C4" w:rsidRDefault="00BE0C95" w:rsidP="00082EC1">
            <w:pPr>
              <w:spacing w:after="0" w:line="240" w:lineRule="auto"/>
              <w:contextualSpacing/>
              <w:jc w:val="center"/>
              <w:rPr>
                <w:rFonts w:ascii="Calibri" w:eastAsiaTheme="minorHAnsi" w:hAnsi="Calibri"/>
                <w:b/>
                <w:bCs/>
                <w:color w:val="000000"/>
                <w:szCs w:val="20"/>
              </w:rPr>
            </w:pPr>
            <w:r>
              <w:rPr>
                <w:b/>
                <w:bCs/>
              </w:rPr>
              <w:t>13%</w:t>
            </w:r>
          </w:p>
        </w:tc>
      </w:tr>
      <w:tr w:rsidR="00BE0C95" w14:paraId="13523330" w14:textId="77777777" w:rsidTr="002801C1">
        <w:trPr>
          <w:trHeight w:val="315"/>
          <w:jc w:val="center"/>
        </w:trPr>
        <w:tc>
          <w:tcPr>
            <w:tcW w:w="997" w:type="dxa"/>
            <w:vMerge w:val="restart"/>
            <w:tcBorders>
              <w:top w:val="single" w:sz="8" w:space="0" w:color="auto"/>
              <w:left w:val="single" w:sz="8" w:space="0" w:color="auto"/>
              <w:bottom w:val="single" w:sz="8" w:space="0" w:color="000000"/>
              <w:right w:val="single" w:sz="8" w:space="0" w:color="auto"/>
            </w:tcBorders>
            <w:vAlign w:val="center"/>
          </w:tcPr>
          <w:p w14:paraId="013BECCB" w14:textId="5B689491" w:rsidR="00BE0C95" w:rsidRPr="002801C1" w:rsidRDefault="00BE0C95" w:rsidP="00082EC1">
            <w:pPr>
              <w:spacing w:after="0" w:line="240" w:lineRule="auto"/>
              <w:contextualSpacing/>
              <w:jc w:val="center"/>
              <w:rPr>
                <w:b/>
                <w:bCs/>
                <w:iCs/>
                <w:color w:val="000000"/>
                <w:szCs w:val="20"/>
              </w:rPr>
            </w:pPr>
            <w:r w:rsidRPr="002801C1">
              <w:rPr>
                <w:b/>
                <w:bCs/>
                <w:iCs/>
                <w:color w:val="000000"/>
                <w:szCs w:val="20"/>
              </w:rPr>
              <w:t>2014 IRP</w:t>
            </w:r>
          </w:p>
        </w:tc>
        <w:tc>
          <w:tcPr>
            <w:tcW w:w="1350" w:type="dxa"/>
            <w:tcBorders>
              <w:top w:val="single" w:sz="8" w:space="0" w:color="auto"/>
              <w:left w:val="nil"/>
              <w:bottom w:val="single" w:sz="8" w:space="0" w:color="auto"/>
              <w:right w:val="single" w:sz="8" w:space="0" w:color="000000"/>
            </w:tcBorders>
            <w:shd w:val="clear" w:color="auto" w:fill="auto"/>
            <w:vAlign w:val="center"/>
          </w:tcPr>
          <w:p w14:paraId="72F7D47A" w14:textId="141C0254" w:rsidR="00BE0C95" w:rsidRPr="006F20C4" w:rsidRDefault="00BE0C95" w:rsidP="00082EC1">
            <w:pPr>
              <w:spacing w:after="0" w:line="240" w:lineRule="auto"/>
              <w:contextualSpacing/>
              <w:jc w:val="center"/>
              <w:rPr>
                <w:b/>
                <w:bCs/>
                <w:color w:val="000000"/>
                <w:szCs w:val="20"/>
              </w:rPr>
            </w:pPr>
            <w:r>
              <w:rPr>
                <w:color w:val="000000"/>
              </w:rPr>
              <w:t>2015</w:t>
            </w:r>
          </w:p>
        </w:tc>
        <w:tc>
          <w:tcPr>
            <w:tcW w:w="1211" w:type="dxa"/>
            <w:tcBorders>
              <w:top w:val="single" w:sz="8" w:space="0" w:color="auto"/>
              <w:left w:val="nil"/>
              <w:bottom w:val="single" w:sz="8" w:space="0" w:color="auto"/>
              <w:right w:val="single" w:sz="8" w:space="0" w:color="000000"/>
            </w:tcBorders>
            <w:shd w:val="clear" w:color="auto" w:fill="auto"/>
            <w:vAlign w:val="center"/>
          </w:tcPr>
          <w:p w14:paraId="289F3705" w14:textId="11920EDC" w:rsidR="00BE0C95" w:rsidRPr="006F20C4" w:rsidRDefault="00BE0C95" w:rsidP="00082EC1">
            <w:pPr>
              <w:spacing w:after="0" w:line="240" w:lineRule="auto"/>
              <w:contextualSpacing/>
              <w:jc w:val="center"/>
              <w:rPr>
                <w:rFonts w:ascii="Calibri" w:eastAsiaTheme="minorHAnsi" w:hAnsi="Calibri"/>
                <w:b/>
                <w:bCs/>
                <w:color w:val="000000"/>
                <w:szCs w:val="20"/>
              </w:rPr>
            </w:pPr>
            <w:r>
              <w:rPr>
                <w:color w:val="000000"/>
              </w:rPr>
              <w:t xml:space="preserve">584,449 </w:t>
            </w:r>
          </w:p>
        </w:tc>
        <w:tc>
          <w:tcPr>
            <w:tcW w:w="1281" w:type="dxa"/>
            <w:tcBorders>
              <w:top w:val="single" w:sz="8" w:space="0" w:color="auto"/>
              <w:left w:val="nil"/>
              <w:bottom w:val="single" w:sz="8" w:space="0" w:color="auto"/>
              <w:right w:val="single" w:sz="8" w:space="0" w:color="000000"/>
            </w:tcBorders>
            <w:shd w:val="clear" w:color="auto" w:fill="auto"/>
            <w:vAlign w:val="center"/>
          </w:tcPr>
          <w:p w14:paraId="7F0E9301" w14:textId="2B50C632" w:rsidR="00BE0C95" w:rsidRPr="006F20C4" w:rsidRDefault="00BE0C95" w:rsidP="00082EC1">
            <w:pPr>
              <w:spacing w:after="0" w:line="240" w:lineRule="auto"/>
              <w:contextualSpacing/>
              <w:jc w:val="center"/>
              <w:rPr>
                <w:rFonts w:ascii="Calibri" w:eastAsiaTheme="minorHAnsi" w:hAnsi="Calibri"/>
                <w:b/>
                <w:bCs/>
                <w:color w:val="000000"/>
                <w:szCs w:val="20"/>
              </w:rPr>
            </w:pPr>
            <w:r>
              <w:rPr>
                <w:color w:val="000000"/>
              </w:rPr>
              <w:t xml:space="preserve"> 831,501 </w:t>
            </w:r>
          </w:p>
        </w:tc>
        <w:tc>
          <w:tcPr>
            <w:tcW w:w="1281" w:type="dxa"/>
            <w:tcBorders>
              <w:top w:val="single" w:sz="8" w:space="0" w:color="auto"/>
              <w:left w:val="nil"/>
              <w:bottom w:val="single" w:sz="8" w:space="0" w:color="auto"/>
              <w:right w:val="single" w:sz="8" w:space="0" w:color="000000"/>
            </w:tcBorders>
            <w:shd w:val="clear" w:color="auto" w:fill="auto"/>
            <w:vAlign w:val="center"/>
          </w:tcPr>
          <w:p w14:paraId="6D2A858C" w14:textId="54D02F73" w:rsidR="00BE0C95" w:rsidRPr="006F20C4" w:rsidRDefault="00BE0C95" w:rsidP="00082EC1">
            <w:pPr>
              <w:spacing w:after="0" w:line="240" w:lineRule="auto"/>
              <w:contextualSpacing/>
              <w:jc w:val="center"/>
              <w:rPr>
                <w:rFonts w:ascii="Calibri" w:eastAsiaTheme="minorHAnsi" w:hAnsi="Calibri"/>
                <w:b/>
                <w:bCs/>
                <w:color w:val="000000"/>
                <w:szCs w:val="20"/>
              </w:rPr>
            </w:pPr>
            <w:r>
              <w:rPr>
                <w:b/>
                <w:bCs/>
              </w:rPr>
              <w:t>42%</w:t>
            </w:r>
          </w:p>
        </w:tc>
      </w:tr>
      <w:tr w:rsidR="00BE0C95" w14:paraId="04A52852" w14:textId="77777777" w:rsidTr="00F657A9">
        <w:trPr>
          <w:trHeight w:val="511"/>
          <w:jc w:val="center"/>
        </w:trPr>
        <w:tc>
          <w:tcPr>
            <w:tcW w:w="997" w:type="dxa"/>
            <w:vMerge/>
            <w:tcBorders>
              <w:left w:val="single" w:sz="8" w:space="0" w:color="auto"/>
              <w:bottom w:val="single" w:sz="8" w:space="0" w:color="000000"/>
              <w:right w:val="single" w:sz="8" w:space="0" w:color="auto"/>
            </w:tcBorders>
            <w:vAlign w:val="center"/>
          </w:tcPr>
          <w:p w14:paraId="5A768582" w14:textId="77777777" w:rsidR="00BE0C95" w:rsidRDefault="00BE0C95" w:rsidP="00082EC1">
            <w:pPr>
              <w:spacing w:after="0" w:line="240" w:lineRule="auto"/>
              <w:contextualSpacing/>
              <w:jc w:val="center"/>
              <w:rPr>
                <w:b/>
                <w:bCs/>
                <w:i/>
                <w:iCs/>
                <w:color w:val="000000"/>
                <w:sz w:val="20"/>
                <w:szCs w:val="20"/>
              </w:rPr>
            </w:pPr>
          </w:p>
        </w:tc>
        <w:tc>
          <w:tcPr>
            <w:tcW w:w="1350" w:type="dxa"/>
            <w:tcBorders>
              <w:top w:val="single" w:sz="8" w:space="0" w:color="auto"/>
              <w:left w:val="nil"/>
              <w:bottom w:val="single" w:sz="8" w:space="0" w:color="auto"/>
              <w:right w:val="single" w:sz="8" w:space="0" w:color="000000"/>
            </w:tcBorders>
            <w:shd w:val="clear" w:color="auto" w:fill="auto"/>
            <w:vAlign w:val="center"/>
          </w:tcPr>
          <w:p w14:paraId="0FECB847" w14:textId="51B92CF6" w:rsidR="00BE0C95" w:rsidRPr="006F20C4" w:rsidRDefault="00BE0C95" w:rsidP="00082EC1">
            <w:pPr>
              <w:spacing w:after="0" w:line="240" w:lineRule="auto"/>
              <w:contextualSpacing/>
              <w:jc w:val="center"/>
              <w:rPr>
                <w:b/>
                <w:bCs/>
                <w:color w:val="000000"/>
                <w:szCs w:val="20"/>
              </w:rPr>
            </w:pPr>
            <w:r>
              <w:rPr>
                <w:color w:val="000000"/>
              </w:rPr>
              <w:t>2016</w:t>
            </w:r>
          </w:p>
        </w:tc>
        <w:tc>
          <w:tcPr>
            <w:tcW w:w="1211" w:type="dxa"/>
            <w:tcBorders>
              <w:top w:val="single" w:sz="8" w:space="0" w:color="auto"/>
              <w:left w:val="nil"/>
              <w:bottom w:val="single" w:sz="8" w:space="0" w:color="auto"/>
              <w:right w:val="single" w:sz="8" w:space="0" w:color="000000"/>
            </w:tcBorders>
            <w:shd w:val="clear" w:color="auto" w:fill="auto"/>
            <w:vAlign w:val="center"/>
          </w:tcPr>
          <w:p w14:paraId="07662C6D" w14:textId="47FEBF92" w:rsidR="00BE0C95" w:rsidRPr="006F20C4" w:rsidRDefault="00BE0C95" w:rsidP="00082EC1">
            <w:pPr>
              <w:spacing w:after="0" w:line="240" w:lineRule="auto"/>
              <w:contextualSpacing/>
              <w:jc w:val="center"/>
              <w:rPr>
                <w:rFonts w:ascii="Calibri" w:eastAsiaTheme="minorHAnsi" w:hAnsi="Calibri"/>
                <w:b/>
                <w:bCs/>
                <w:color w:val="000000"/>
                <w:szCs w:val="20"/>
              </w:rPr>
            </w:pPr>
            <w:r>
              <w:rPr>
                <w:color w:val="000000"/>
              </w:rPr>
              <w:t xml:space="preserve">620,020 </w:t>
            </w:r>
          </w:p>
        </w:tc>
        <w:tc>
          <w:tcPr>
            <w:tcW w:w="1281"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75C300A6" w14:textId="23D2E651" w:rsidR="00BE0C95" w:rsidRPr="006F20C4" w:rsidRDefault="00BE0C95" w:rsidP="006F20C4">
            <w:pPr>
              <w:spacing w:after="0" w:line="240" w:lineRule="auto"/>
              <w:contextualSpacing/>
              <w:jc w:val="center"/>
              <w:rPr>
                <w:rFonts w:ascii="Calibri" w:eastAsiaTheme="minorHAnsi" w:hAnsi="Calibri"/>
                <w:b/>
                <w:bCs/>
                <w:color w:val="000000"/>
                <w:szCs w:val="20"/>
              </w:rPr>
            </w:pPr>
            <w:r w:rsidRPr="002801C1">
              <w:rPr>
                <w:color w:val="000000"/>
                <w:sz w:val="18"/>
              </w:rPr>
              <w:t>Not yet available</w:t>
            </w:r>
          </w:p>
        </w:tc>
        <w:tc>
          <w:tcPr>
            <w:tcW w:w="1281"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54FCE334" w14:textId="71E7BFA7" w:rsidR="00BE0C95" w:rsidRPr="006F20C4" w:rsidRDefault="009055D6" w:rsidP="00082EC1">
            <w:pPr>
              <w:spacing w:after="0" w:line="240" w:lineRule="auto"/>
              <w:contextualSpacing/>
              <w:jc w:val="center"/>
              <w:rPr>
                <w:rFonts w:ascii="Calibri" w:eastAsiaTheme="minorHAnsi" w:hAnsi="Calibri"/>
                <w:b/>
                <w:bCs/>
                <w:color w:val="000000"/>
                <w:szCs w:val="20"/>
              </w:rPr>
            </w:pPr>
            <w:r w:rsidRPr="002801C1">
              <w:rPr>
                <w:color w:val="000000"/>
                <w:sz w:val="18"/>
              </w:rPr>
              <w:t>Not yet available</w:t>
            </w:r>
          </w:p>
        </w:tc>
      </w:tr>
    </w:tbl>
    <w:p w14:paraId="65948E55" w14:textId="1BC9ACDA" w:rsidR="00F8214F" w:rsidRDefault="00F8214F" w:rsidP="00F8214F">
      <w:pPr>
        <w:spacing w:after="0" w:line="240" w:lineRule="auto"/>
        <w:contextualSpacing/>
        <w:rPr>
          <w:sz w:val="20"/>
        </w:rPr>
      </w:pPr>
    </w:p>
    <w:p w14:paraId="62570AEE" w14:textId="77777777" w:rsidR="00075DDB" w:rsidRPr="00F8214F" w:rsidRDefault="00075DDB" w:rsidP="00F8214F">
      <w:pPr>
        <w:spacing w:after="0" w:line="240" w:lineRule="auto"/>
        <w:contextualSpacing/>
        <w:rPr>
          <w:sz w:val="20"/>
        </w:rPr>
      </w:pPr>
    </w:p>
    <w:p w14:paraId="52CF06CC" w14:textId="0F25496B" w:rsidR="00525FE4" w:rsidRPr="004B54B4" w:rsidRDefault="00525FE4" w:rsidP="004E6B25">
      <w:pPr>
        <w:pStyle w:val="Heading1"/>
      </w:pPr>
      <w:bookmarkStart w:id="4" w:name="_Toc465678013"/>
      <w:r w:rsidRPr="004B54B4">
        <w:t>Program Cost Effectiveness</w:t>
      </w:r>
      <w:bookmarkEnd w:id="4"/>
      <w:r w:rsidRPr="004B54B4">
        <w:t xml:space="preserve"> </w:t>
      </w:r>
    </w:p>
    <w:p w14:paraId="2478FA2A" w14:textId="689D9B87" w:rsidR="00525FE4" w:rsidRDefault="00881D8B" w:rsidP="00805ACF">
      <w:pPr>
        <w:suppressLineNumbers/>
        <w:spacing w:after="0"/>
        <w:ind w:right="-7"/>
        <w:contextualSpacing/>
        <w:jc w:val="both"/>
      </w:pPr>
      <w:r w:rsidRPr="00804108">
        <w:t>Conservation</w:t>
      </w:r>
      <w:r w:rsidR="001204A7" w:rsidRPr="00E147C5">
        <w:t xml:space="preserve"> program offerings are affected by </w:t>
      </w:r>
      <w:r w:rsidR="00525FE4" w:rsidRPr="00E147C5">
        <w:t>declin</w:t>
      </w:r>
      <w:r w:rsidR="001204A7" w:rsidRPr="00E147C5">
        <w:t xml:space="preserve">es and increases in the </w:t>
      </w:r>
      <w:r w:rsidR="00525FE4" w:rsidRPr="00E147C5">
        <w:t>costs of natural gas in the marketplace</w:t>
      </w:r>
      <w:r w:rsidR="00D35DB3">
        <w:t xml:space="preserve"> which has a direct impact on the avoided cost</w:t>
      </w:r>
      <w:r w:rsidR="001204A7" w:rsidRPr="00E147C5">
        <w:t>. A</w:t>
      </w:r>
      <w:r w:rsidRPr="00E147C5">
        <w:t xml:space="preserve"> decrease i</w:t>
      </w:r>
      <w:r w:rsidR="001204A7" w:rsidRPr="00E147C5">
        <w:t>n the cost of gas makes</w:t>
      </w:r>
      <w:r w:rsidR="00525FE4" w:rsidRPr="00E147C5">
        <w:t xml:space="preserve"> it difficult to maintain robust conservation programs as a utility</w:t>
      </w:r>
      <w:r w:rsidRPr="00E147C5">
        <w:t xml:space="preserve">, whereas gas price increases make conservation efforts more </w:t>
      </w:r>
      <w:r w:rsidR="002F56D7">
        <w:t>viable</w:t>
      </w:r>
      <w:r w:rsidR="002F56D7" w:rsidRPr="00E147C5">
        <w:t xml:space="preserve"> </w:t>
      </w:r>
      <w:r w:rsidRPr="00E147C5">
        <w:t>from a cost/benefit perspective</w:t>
      </w:r>
      <w:r w:rsidR="00525FE4" w:rsidRPr="00E147C5">
        <w:t>. Despite th</w:t>
      </w:r>
      <w:r w:rsidRPr="00E147C5">
        <w:t>e</w:t>
      </w:r>
      <w:r w:rsidR="00525FE4" w:rsidRPr="00E147C5">
        <w:t>s</w:t>
      </w:r>
      <w:r w:rsidRPr="00E147C5">
        <w:t>e</w:t>
      </w:r>
      <w:r w:rsidR="00525FE4" w:rsidRPr="00E147C5">
        <w:t xml:space="preserve"> </w:t>
      </w:r>
      <w:r w:rsidRPr="00E147C5">
        <w:t>ongoing considerations</w:t>
      </w:r>
      <w:r w:rsidR="00525FE4" w:rsidRPr="00E147C5">
        <w:t xml:space="preserve">, the Company continues its commitment </w:t>
      </w:r>
      <w:r w:rsidR="00525FE4" w:rsidRPr="00E147C5">
        <w:lastRenderedPageBreak/>
        <w:t>to offering meaningful conservation programs to help drive customer decisions toward higher-efficiency appliances and upgrades. In CY</w:t>
      </w:r>
      <w:r w:rsidR="00D317AC">
        <w:t xml:space="preserve"> </w:t>
      </w:r>
      <w:r w:rsidR="00525FE4" w:rsidRPr="00E147C5">
        <w:t xml:space="preserve">2013/2014 the Company had </w:t>
      </w:r>
      <w:r w:rsidR="000A55F8">
        <w:t>a fully customized</w:t>
      </w:r>
      <w:r w:rsidR="000A55F8" w:rsidRPr="00E147C5">
        <w:t xml:space="preserve"> </w:t>
      </w:r>
      <w:r w:rsidR="00525FE4" w:rsidRPr="00E147C5">
        <w:t>Conservation Potential Assessment performed by Nexant</w:t>
      </w:r>
      <w:r w:rsidRPr="00E147C5">
        <w:t xml:space="preserve"> Inc.</w:t>
      </w:r>
      <w:r w:rsidR="00525FE4" w:rsidRPr="00E147C5">
        <w:t xml:space="preserve"> which specifically included analysis on </w:t>
      </w:r>
      <w:r w:rsidR="006A7FEF">
        <w:t>its</w:t>
      </w:r>
      <w:r w:rsidR="006A7FEF" w:rsidRPr="00E147C5">
        <w:t xml:space="preserve"> </w:t>
      </w:r>
      <w:r w:rsidR="00525FE4" w:rsidRPr="00E147C5">
        <w:t xml:space="preserve">potential from </w:t>
      </w:r>
      <w:r w:rsidR="00C4661F">
        <w:t xml:space="preserve">both the Total Resource Cost (TRC) test, and Utility Cost Test (UCT). While the Company had previously assessed program cost effectiveness under both tests, this was the first time the Company utilized both the TRC and UCT at the potential modeling phase of program development. This </w:t>
      </w:r>
      <w:r w:rsidR="00C4661F">
        <w:lastRenderedPageBreak/>
        <w:t xml:space="preserve">approach reflected </w:t>
      </w:r>
      <w:r w:rsidR="00525FE4" w:rsidRPr="00E147C5">
        <w:t>guidance from</w:t>
      </w:r>
      <w:r w:rsidR="00C4661F">
        <w:t xml:space="preserve"> the</w:t>
      </w:r>
      <w:r w:rsidR="00525FE4" w:rsidRPr="00E147C5">
        <w:t xml:space="preserve"> UG-121207 Conservation Policy Statement from the W</w:t>
      </w:r>
      <w:r w:rsidRPr="00E147C5">
        <w:t xml:space="preserve">ashington </w:t>
      </w:r>
      <w:r w:rsidR="00525FE4" w:rsidRPr="00E147C5">
        <w:t>U</w:t>
      </w:r>
      <w:r w:rsidRPr="00E147C5">
        <w:t xml:space="preserve">tility </w:t>
      </w:r>
      <w:r w:rsidR="00B6518C">
        <w:t xml:space="preserve">and </w:t>
      </w:r>
      <w:r w:rsidRPr="00E147C5">
        <w:t>Transportation Commission (WUTC)</w:t>
      </w:r>
      <w:r w:rsidR="00097878">
        <w:t xml:space="preserve">, which stated </w:t>
      </w:r>
      <w:r w:rsidR="00E42EA0">
        <w:t xml:space="preserve">program valuation under the UCT was acceptable </w:t>
      </w:r>
      <w:r w:rsidR="00097878">
        <w:t xml:space="preserve">in the absence of a fully refined and sophisticated TRC </w:t>
      </w:r>
      <w:r w:rsidR="00E42EA0">
        <w:t>instrument</w:t>
      </w:r>
      <w:r w:rsidR="00D346F9" w:rsidRPr="00E147C5">
        <w:t xml:space="preserve">. </w:t>
      </w:r>
      <w:r w:rsidR="00525FE4" w:rsidRPr="00E147C5">
        <w:t xml:space="preserve">The Company held multiple discussions with its </w:t>
      </w:r>
      <w:r w:rsidR="006A7FEF">
        <w:t>CAG</w:t>
      </w:r>
      <w:r w:rsidR="00525FE4" w:rsidRPr="00E147C5">
        <w:t xml:space="preserve"> related to the policy statement</w:t>
      </w:r>
      <w:r w:rsidR="00CE0A2F">
        <w:t>, and ultimately move towards the UCT as its</w:t>
      </w:r>
      <w:r w:rsidR="003276EE">
        <w:t xml:space="preserve"> primary valuation metric, with TRC as its secondary. </w:t>
      </w:r>
      <w:r w:rsidR="00525FE4" w:rsidRPr="00086E03">
        <w:t xml:space="preserve">This alteration allowed </w:t>
      </w:r>
      <w:r w:rsidR="00086E03">
        <w:t xml:space="preserve">the </w:t>
      </w:r>
      <w:r w:rsidR="00F148CC">
        <w:t xml:space="preserve">Company </w:t>
      </w:r>
      <w:r w:rsidR="00525FE4" w:rsidRPr="00086E03">
        <w:t xml:space="preserve">to maintain </w:t>
      </w:r>
      <w:r w:rsidR="00086E03">
        <w:t>its</w:t>
      </w:r>
      <w:r w:rsidR="00525FE4" w:rsidRPr="00086E03">
        <w:t xml:space="preserve"> Washington programs despite </w:t>
      </w:r>
      <w:r w:rsidRPr="00086E03">
        <w:t>f</w:t>
      </w:r>
      <w:r w:rsidRPr="00920B4B">
        <w:t>luctuations in the cost of gas</w:t>
      </w:r>
      <w:r w:rsidR="00086E03">
        <w:t>,</w:t>
      </w:r>
      <w:r w:rsidRPr="00920B4B">
        <w:t xml:space="preserve"> while </w:t>
      </w:r>
      <w:r w:rsidRPr="00351143">
        <w:t>recognizing the value of the efforts from a utilit</w:t>
      </w:r>
      <w:r w:rsidRPr="004B54B4">
        <w:t>y</w:t>
      </w:r>
      <w:r w:rsidRPr="00804108">
        <w:t xml:space="preserve"> provider’s perspective </w:t>
      </w:r>
      <w:r w:rsidRPr="00804108">
        <w:lastRenderedPageBreak/>
        <w:t>of decreasing demand</w:t>
      </w:r>
      <w:r w:rsidR="00525FE4" w:rsidRPr="00E147C5">
        <w:t>.</w:t>
      </w:r>
    </w:p>
    <w:p w14:paraId="0144C481" w14:textId="77777777" w:rsidR="0005601F" w:rsidRDefault="0005601F" w:rsidP="00805ACF">
      <w:pPr>
        <w:suppressLineNumbers/>
        <w:spacing w:after="0"/>
        <w:ind w:right="-7"/>
        <w:contextualSpacing/>
        <w:jc w:val="both"/>
      </w:pPr>
    </w:p>
    <w:p w14:paraId="46334CF9" w14:textId="3D6D502F" w:rsidR="0005601F" w:rsidRPr="00E147C5" w:rsidRDefault="0005601F" w:rsidP="00805ACF">
      <w:pPr>
        <w:suppressLineNumbers/>
        <w:spacing w:after="0"/>
        <w:ind w:right="-7"/>
        <w:contextualSpacing/>
        <w:jc w:val="both"/>
      </w:pPr>
      <w:r>
        <w:t>Calendar year 2017 is estimated to have a UCT cost-effectiveness at a portfolio level of 1.597</w:t>
      </w:r>
      <w:r w:rsidR="00A15396">
        <w:t>, note Low Income programs are excluded from this calculation</w:t>
      </w:r>
      <w:r>
        <w:t>.  In 2018 cost effectiveness</w:t>
      </w:r>
      <w:r w:rsidR="00A15396">
        <w:t xml:space="preserve"> </w:t>
      </w:r>
      <w:r>
        <w:t>is currently estimated at 1.628 under the UCT, also at a portfolio level</w:t>
      </w:r>
      <w:r w:rsidR="00A15396">
        <w:t xml:space="preserve"> (inclusive of the residential, commercial and industrial programs)</w:t>
      </w:r>
      <w:r>
        <w:t xml:space="preserve">. </w:t>
      </w:r>
    </w:p>
    <w:p w14:paraId="5021D59A" w14:textId="77777777" w:rsidR="00421A65" w:rsidRPr="00E147C5" w:rsidRDefault="00421A65" w:rsidP="00805ACF">
      <w:pPr>
        <w:suppressLineNumbers/>
        <w:spacing w:after="0"/>
        <w:ind w:right="-7"/>
        <w:contextualSpacing/>
        <w:jc w:val="both"/>
      </w:pPr>
    </w:p>
    <w:p w14:paraId="3D0C6590" w14:textId="77777777" w:rsidR="00421A65" w:rsidRPr="00E147C5" w:rsidRDefault="00421A65" w:rsidP="00D012EB">
      <w:pPr>
        <w:pStyle w:val="Heading2"/>
      </w:pPr>
      <w:bookmarkStart w:id="5" w:name="_Toc465678014"/>
      <w:r w:rsidRPr="00E147C5">
        <w:lastRenderedPageBreak/>
        <w:t>Docket UG-121207 Policy Statement on the Evaluation of the Cost-Effectiveness of Natural Gas Conservation Programs</w:t>
      </w:r>
      <w:bookmarkEnd w:id="5"/>
    </w:p>
    <w:p w14:paraId="1FA11F61" w14:textId="14B4014F" w:rsidR="00421A65" w:rsidRPr="00086E03" w:rsidRDefault="00421A65" w:rsidP="00805ACF">
      <w:pPr>
        <w:spacing w:after="0"/>
        <w:ind w:right="83"/>
        <w:contextualSpacing/>
        <w:jc w:val="both"/>
      </w:pPr>
      <w:r w:rsidRPr="00E147C5">
        <w:t>The Policy statement</w:t>
      </w:r>
      <w:r w:rsidR="00086E03">
        <w:t>,</w:t>
      </w:r>
      <w:r w:rsidRPr="00086E03">
        <w:t xml:space="preserve"> released in October 2013</w:t>
      </w:r>
      <w:r w:rsidR="00086E03">
        <w:t>,</w:t>
      </w:r>
      <w:r w:rsidR="00941623">
        <w:t xml:space="preserve"> </w:t>
      </w:r>
      <w:r w:rsidRPr="00086E03">
        <w:t xml:space="preserve">provided the Company with guidance on evaluating the cost effectiveness of its natural gas conservation programs. As per the policy’s guidelines the Company elected to utilize the UCT in consultation with </w:t>
      </w:r>
      <w:r w:rsidR="00086E03">
        <w:t>its</w:t>
      </w:r>
      <w:r w:rsidR="008552F1">
        <w:t xml:space="preserve"> </w:t>
      </w:r>
      <w:r w:rsidR="006A7FEF">
        <w:t>CAG</w:t>
      </w:r>
      <w:r w:rsidRPr="00086E03">
        <w:t>. The use of the UCT, as opposed to the traditional TRC method, allow</w:t>
      </w:r>
      <w:r w:rsidR="00086E03">
        <w:t>s</w:t>
      </w:r>
      <w:r w:rsidRPr="00086E03">
        <w:t xml:space="preserve"> the Company to maintain a continued, robust conservation portfolio of measures.</w:t>
      </w:r>
    </w:p>
    <w:p w14:paraId="033D8C75" w14:textId="77777777" w:rsidR="00421A65" w:rsidRPr="00351143" w:rsidRDefault="00421A65" w:rsidP="00805ACF">
      <w:pPr>
        <w:spacing w:after="0"/>
        <w:ind w:right="83"/>
        <w:contextualSpacing/>
        <w:jc w:val="both"/>
      </w:pPr>
    </w:p>
    <w:p w14:paraId="5FB33FF9" w14:textId="176773A9" w:rsidR="00421A65" w:rsidRDefault="00421A65" w:rsidP="00F8214F">
      <w:pPr>
        <w:spacing w:after="0"/>
        <w:ind w:right="83"/>
        <w:contextualSpacing/>
        <w:jc w:val="both"/>
      </w:pPr>
      <w:r w:rsidRPr="004B54B4">
        <w:lastRenderedPageBreak/>
        <w:t>Washington Utilities and Transportation Commission Docket UG-121207 offers guidance regarding the optimal method f</w:t>
      </w:r>
      <w:r w:rsidRPr="00804108">
        <w:t xml:space="preserve">or the valuation of natural gas conservation efforts in the State of Washington. This document thoroughly addresses best practices for measuring cost-effectiveness </w:t>
      </w:r>
      <w:r w:rsidR="00B6518C">
        <w:t>as reflected in WUTC’s guidance</w:t>
      </w:r>
      <w:r w:rsidRPr="00804108">
        <w:t xml:space="preserve"> that: “[W]e are unwilling to allow utilities to end natural gas conservation </w:t>
      </w:r>
      <w:r w:rsidRPr="00E147C5">
        <w:t xml:space="preserve">programs as a result of an unbalanced or incomplete TRC analysis. Any TRC analysis without these values [conservation’s risk reduction value, the downward price pressure from reduced demand, and non-energy benefits] is potentially biased </w:t>
      </w:r>
      <w:r w:rsidRPr="00E147C5">
        <w:lastRenderedPageBreak/>
        <w:t>against conservation programs. Accordingly, the UCT is an acceptable option when a properly balanced TRC is not available.”</w:t>
      </w:r>
      <w:r w:rsidR="006A7FEF">
        <w:rPr>
          <w:rStyle w:val="FootnoteReference"/>
        </w:rPr>
        <w:footnoteReference w:id="1"/>
      </w:r>
    </w:p>
    <w:p w14:paraId="76CCDA75" w14:textId="77777777" w:rsidR="00F8214F" w:rsidRPr="00E147C5" w:rsidRDefault="00F8214F" w:rsidP="00F8214F">
      <w:pPr>
        <w:spacing w:after="0"/>
        <w:ind w:right="83"/>
        <w:contextualSpacing/>
        <w:jc w:val="both"/>
      </w:pPr>
    </w:p>
    <w:p w14:paraId="7AAA0BA5" w14:textId="7C7FEC4F" w:rsidR="00421A65" w:rsidRPr="00086E03" w:rsidRDefault="00421A65" w:rsidP="00805ACF">
      <w:pPr>
        <w:spacing w:after="0"/>
        <w:ind w:right="83"/>
        <w:contextualSpacing/>
        <w:jc w:val="both"/>
      </w:pPr>
      <w:r w:rsidRPr="00E147C5">
        <w:t xml:space="preserve">The Policy statement also addressed the use of discount rates in cost-effectiveness calculations. The Company has worked closely with </w:t>
      </w:r>
      <w:r w:rsidR="00AA15BC">
        <w:t>its</w:t>
      </w:r>
      <w:r w:rsidR="00AA15BC" w:rsidRPr="00E147C5">
        <w:t xml:space="preserve"> </w:t>
      </w:r>
      <w:r w:rsidRPr="00E147C5">
        <w:t>CAG to determine the appropriate rate to use when calculating the net pre</w:t>
      </w:r>
      <w:r w:rsidRPr="00E147C5">
        <w:lastRenderedPageBreak/>
        <w:t xml:space="preserve">sent value of its annual costs and benefits from the </w:t>
      </w:r>
      <w:r w:rsidRPr="00E564CA">
        <w:t xml:space="preserve">conservation programs. It was determined Cascade would </w:t>
      </w:r>
      <w:r w:rsidR="00086E03">
        <w:t xml:space="preserve">initially </w:t>
      </w:r>
      <w:r w:rsidRPr="00086E03">
        <w:t xml:space="preserve">use the long-term discount rate as had previously been used to enable the programs to remain in place at their </w:t>
      </w:r>
      <w:r w:rsidR="00086E03">
        <w:t>existing</w:t>
      </w:r>
      <w:r w:rsidRPr="00086E03">
        <w:t xml:space="preserve"> levels and to prevent removal of </w:t>
      </w:r>
      <w:r w:rsidR="00086E03">
        <w:t xml:space="preserve">a significant amount of </w:t>
      </w:r>
      <w:r w:rsidRPr="00086E03">
        <w:t>measures due to a severe discounting scenario, as would have been the case had the Company utilized the Weighted Average Cost of Capital (WACC).</w:t>
      </w:r>
      <w:r w:rsidR="00086E03">
        <w:t xml:space="preserve"> As part of the Company’s efforts to maintain consistency throughout its forecasting efforts and IRP documentation</w:t>
      </w:r>
      <w:r w:rsidR="00345420">
        <w:t>,</w:t>
      </w:r>
      <w:r w:rsidR="00086E03">
        <w:t xml:space="preserve"> the Company has transitioned to using the </w:t>
      </w:r>
      <w:r w:rsidR="00204F61">
        <w:t>average 30 Year Mortgage Rate</w:t>
      </w:r>
      <w:r w:rsidR="00086E03">
        <w:t xml:space="preserve"> as the </w:t>
      </w:r>
      <w:r w:rsidR="00204F61">
        <w:t xml:space="preserve">long </w:t>
      </w:r>
      <w:r w:rsidR="00204F61">
        <w:lastRenderedPageBreak/>
        <w:t xml:space="preserve">term </w:t>
      </w:r>
      <w:r w:rsidR="00086E03">
        <w:t xml:space="preserve">discount rate – which will be reevaluated </w:t>
      </w:r>
      <w:r w:rsidR="00204F61">
        <w:t xml:space="preserve">annually </w:t>
      </w:r>
      <w:r w:rsidR="00086E03">
        <w:t xml:space="preserve">as part of the Company’s IRP process. </w:t>
      </w:r>
      <w:r w:rsidR="00204F61">
        <w:t>For 20</w:t>
      </w:r>
      <w:r w:rsidR="00096F4E">
        <w:t>16, the long term discount rate</w:t>
      </w:r>
      <w:r w:rsidRPr="00086E03">
        <w:t xml:space="preserve"> </w:t>
      </w:r>
      <w:r w:rsidR="00204F61">
        <w:t>used is 3.52%.</w:t>
      </w:r>
      <w:r w:rsidRPr="00086E03">
        <w:t xml:space="preserve"> </w:t>
      </w:r>
    </w:p>
    <w:p w14:paraId="688DB120" w14:textId="77777777" w:rsidR="00533B91" w:rsidRPr="00086E03" w:rsidRDefault="00533B91" w:rsidP="00805ACF">
      <w:pPr>
        <w:suppressLineNumbers/>
        <w:spacing w:after="0"/>
        <w:ind w:right="-7"/>
        <w:contextualSpacing/>
        <w:jc w:val="both"/>
        <w:rPr>
          <w:b/>
          <w:spacing w:val="-3"/>
        </w:rPr>
      </w:pPr>
    </w:p>
    <w:p w14:paraId="1ED0FFF4" w14:textId="77777777" w:rsidR="00D346F9" w:rsidRPr="004B54B4" w:rsidRDefault="00601FCE" w:rsidP="00805ACF">
      <w:pPr>
        <w:pStyle w:val="Heading1"/>
      </w:pPr>
      <w:bookmarkStart w:id="6" w:name="_Toc465678015"/>
      <w:r w:rsidRPr="00351143">
        <w:t>Measure Updates</w:t>
      </w:r>
      <w:bookmarkEnd w:id="6"/>
    </w:p>
    <w:p w14:paraId="52F7F99F" w14:textId="123E47DB" w:rsidR="00525FE4" w:rsidRPr="00E564CA" w:rsidRDefault="00525FE4" w:rsidP="00805ACF">
      <w:pPr>
        <w:suppressLineNumbers/>
        <w:spacing w:after="0"/>
        <w:contextualSpacing/>
        <w:jc w:val="both"/>
        <w:rPr>
          <w:spacing w:val="-20"/>
        </w:rPr>
      </w:pPr>
      <w:r w:rsidRPr="00E564CA">
        <w:t xml:space="preserve">As the energy efficiency market continues to develop and cost-effective conservation technologies become increasingly available, the equipment standards and accessibility to such measures </w:t>
      </w:r>
      <w:r w:rsidR="00E564CA">
        <w:t>will</w:t>
      </w:r>
      <w:r w:rsidR="00E564CA" w:rsidRPr="00E564CA">
        <w:t xml:space="preserve"> </w:t>
      </w:r>
      <w:r w:rsidRPr="00E564CA">
        <w:t xml:space="preserve">evolve over time. In order to ensure the Company’s DSM offerings stay current, Cascade engages in a regular review of the measure-mix within its conservation portfolio. Measures are </w:t>
      </w:r>
      <w:r w:rsidRPr="00E564CA">
        <w:lastRenderedPageBreak/>
        <w:t xml:space="preserve">added, removed, replaced, or modified when it is determined new technologies of equal or greater cost-effectiveness are available to the market. However, the emergence of a high-performance natural gas conservation technology will only have positive energy-savings impacts if customers are willing to pay the initial higher costs associated with the purchase and installation of cutting edge efficiency measures. </w:t>
      </w:r>
      <w:r w:rsidR="00726D4B">
        <w:t xml:space="preserve">Therefore </w:t>
      </w:r>
      <w:r w:rsidR="00E564CA">
        <w:t xml:space="preserve">market transformation efforts </w:t>
      </w:r>
      <w:r w:rsidR="00726D4B">
        <w:t>are essential</w:t>
      </w:r>
      <w:r w:rsidR="00E564CA">
        <w:t xml:space="preserve"> to increasing accessibility to purchasers while decreasing costs to the consumer</w:t>
      </w:r>
      <w:r w:rsidR="00637831">
        <w:t xml:space="preserve">. This </w:t>
      </w:r>
      <w:r w:rsidR="00E564CA">
        <w:t>pave</w:t>
      </w:r>
      <w:r w:rsidR="00637831">
        <w:t>s</w:t>
      </w:r>
      <w:r w:rsidR="00E564CA">
        <w:t xml:space="preserve"> the way for future higher-efficiency choices and actions. </w:t>
      </w:r>
      <w:r w:rsidRPr="00E564CA">
        <w:t xml:space="preserve">By monitoring and updating the </w:t>
      </w:r>
      <w:r w:rsidRPr="00E564CA">
        <w:lastRenderedPageBreak/>
        <w:t xml:space="preserve">measures and incentive levels within Cascade’s Conservation Incentive Program (CIP), </w:t>
      </w:r>
      <w:r w:rsidR="0016718F">
        <w:t xml:space="preserve">and amplifying the education and awareness outreach to customers, </w:t>
      </w:r>
      <w:r w:rsidRPr="00E564CA">
        <w:t xml:space="preserve">the Company </w:t>
      </w:r>
      <w:r w:rsidR="0016718F">
        <w:t>can</w:t>
      </w:r>
      <w:r w:rsidRPr="00E564CA">
        <w:t xml:space="preserve"> ensure ratepayers have access to an optimal level of behavior-motivating incentives</w:t>
      </w:r>
      <w:r w:rsidR="0016718F">
        <w:t xml:space="preserve"> and knowledge </w:t>
      </w:r>
      <w:r w:rsidRPr="00E564CA">
        <w:t>needed to encourage the purchase of cutting-edge, cost effective, gas conservation technologies</w:t>
      </w:r>
      <w:r w:rsidR="0016718F">
        <w:t xml:space="preserve"> with confidence they will accrue to advantages of increased efficiency</w:t>
      </w:r>
      <w:r w:rsidRPr="00E564CA">
        <w:t xml:space="preserve">. </w:t>
      </w:r>
      <w:r w:rsidR="00D86F91" w:rsidRPr="00E564CA">
        <w:t>In conjunction with</w:t>
      </w:r>
      <w:r w:rsidRPr="00E564CA">
        <w:t xml:space="preserve"> monitoring the viability of more “traditional” natural gas conservation measures, the Company engages in concurrent efforts to research and determine the feasibility of emerging </w:t>
      </w:r>
      <w:r w:rsidRPr="00E564CA">
        <w:lastRenderedPageBreak/>
        <w:t xml:space="preserve">high-efficiency gas technologies. </w:t>
      </w:r>
      <w:r w:rsidR="001A5A9B">
        <w:t>The Company</w:t>
      </w:r>
      <w:r w:rsidR="001A5A9B" w:rsidRPr="00E564CA">
        <w:t xml:space="preserve"> </w:t>
      </w:r>
      <w:r w:rsidRPr="00E564CA">
        <w:t>continue</w:t>
      </w:r>
      <w:r w:rsidR="001A5A9B">
        <w:t>s</w:t>
      </w:r>
      <w:r w:rsidRPr="00E564CA">
        <w:t xml:space="preserve"> to monitor cutting edge measures and </w:t>
      </w:r>
      <w:r w:rsidR="007C26F7">
        <w:t xml:space="preserve">has </w:t>
      </w:r>
      <w:r w:rsidRPr="00E564CA">
        <w:t xml:space="preserve">made progress on this front thanks to the reassessment of </w:t>
      </w:r>
      <w:r w:rsidR="00E564CA">
        <w:t>the Company’s</w:t>
      </w:r>
      <w:r w:rsidR="00E564CA" w:rsidRPr="00E564CA">
        <w:t xml:space="preserve"> </w:t>
      </w:r>
      <w:r w:rsidRPr="00E564CA">
        <w:t xml:space="preserve">conservation potential in CY 2013/2014 by Nexant. More details regarding both sets of efforts can be found below. Further discussion about the Nexant Conservation Potential study and Cascade’s approach to the UCT will be provided in detail later in this </w:t>
      </w:r>
      <w:r w:rsidR="00D346F9" w:rsidRPr="00E564CA">
        <w:t>plan</w:t>
      </w:r>
      <w:r w:rsidRPr="00E564CA">
        <w:t xml:space="preserve">. </w:t>
      </w:r>
    </w:p>
    <w:p w14:paraId="0E303BA1" w14:textId="77777777" w:rsidR="00525FE4" w:rsidRPr="00351143" w:rsidRDefault="00525FE4" w:rsidP="00805ACF">
      <w:pPr>
        <w:suppressLineNumbers/>
        <w:spacing w:after="0"/>
        <w:ind w:right="-7"/>
        <w:contextualSpacing/>
        <w:jc w:val="both"/>
      </w:pPr>
    </w:p>
    <w:p w14:paraId="6B6C546C" w14:textId="77777777" w:rsidR="00525FE4" w:rsidRPr="004B54B4" w:rsidRDefault="00525FE4" w:rsidP="00805ACF">
      <w:pPr>
        <w:pStyle w:val="Heading1"/>
      </w:pPr>
      <w:bookmarkStart w:id="7" w:name="_Toc465678016"/>
      <w:r w:rsidRPr="004B54B4">
        <w:t>Emerging Technologies</w:t>
      </w:r>
      <w:bookmarkEnd w:id="7"/>
    </w:p>
    <w:p w14:paraId="35EF9145" w14:textId="62857F76" w:rsidR="00525FE4" w:rsidRPr="00E147C5" w:rsidRDefault="00D86F91" w:rsidP="00805ACF">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r w:rsidRPr="00804108">
        <w:rPr>
          <w:spacing w:val="-3"/>
        </w:rPr>
        <w:t>T</w:t>
      </w:r>
      <w:r w:rsidR="00525FE4" w:rsidRPr="00E147C5">
        <w:rPr>
          <w:spacing w:val="-3"/>
        </w:rPr>
        <w:t xml:space="preserve">he Company </w:t>
      </w:r>
      <w:r w:rsidR="00C53166">
        <w:rPr>
          <w:spacing w:val="-3"/>
        </w:rPr>
        <w:t>evaluates</w:t>
      </w:r>
      <w:r w:rsidR="00525FE4" w:rsidRPr="00E147C5">
        <w:rPr>
          <w:spacing w:val="-3"/>
        </w:rPr>
        <w:t xml:space="preserve"> emerging technologies with strong potential for deeper natural gas savings. Such </w:t>
      </w:r>
      <w:r w:rsidR="00525FE4" w:rsidRPr="00E147C5">
        <w:rPr>
          <w:spacing w:val="-3"/>
        </w:rPr>
        <w:lastRenderedPageBreak/>
        <w:t xml:space="preserve">high performance measures include energy-efficient Natural Gas Heat Pumps (GHP) which have been identified as a promising and high-impact conservation measure by Oakridge National Laboratories. </w:t>
      </w:r>
    </w:p>
    <w:p w14:paraId="42A4DC68" w14:textId="77777777" w:rsidR="00525FE4" w:rsidRPr="00E147C5" w:rsidRDefault="00525FE4" w:rsidP="008F0146">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p>
    <w:p w14:paraId="49A8618A" w14:textId="67A0F212" w:rsidR="00525FE4" w:rsidRPr="00AC330F" w:rsidRDefault="00D86F91" w:rsidP="008F0146">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r w:rsidRPr="00E147C5">
        <w:rPr>
          <w:spacing w:val="-3"/>
        </w:rPr>
        <w:t>Along with the</w:t>
      </w:r>
      <w:r w:rsidR="00525FE4" w:rsidRPr="00E147C5">
        <w:rPr>
          <w:spacing w:val="-3"/>
        </w:rPr>
        <w:t xml:space="preserve"> </w:t>
      </w:r>
      <w:r w:rsidRPr="00E147C5">
        <w:rPr>
          <w:spacing w:val="-3"/>
        </w:rPr>
        <w:t>n</w:t>
      </w:r>
      <w:r w:rsidR="00525FE4" w:rsidRPr="00E147C5">
        <w:rPr>
          <w:spacing w:val="-3"/>
        </w:rPr>
        <w:t xml:space="preserve">atural </w:t>
      </w:r>
      <w:r w:rsidRPr="00E147C5">
        <w:rPr>
          <w:spacing w:val="-3"/>
        </w:rPr>
        <w:t>g</w:t>
      </w:r>
      <w:r w:rsidR="00525FE4" w:rsidRPr="00E147C5">
        <w:rPr>
          <w:spacing w:val="-3"/>
        </w:rPr>
        <w:t xml:space="preserve">as </w:t>
      </w:r>
      <w:r w:rsidRPr="00E147C5">
        <w:rPr>
          <w:spacing w:val="-3"/>
        </w:rPr>
        <w:t>h</w:t>
      </w:r>
      <w:r w:rsidR="00525FE4" w:rsidRPr="00E147C5">
        <w:rPr>
          <w:spacing w:val="-3"/>
        </w:rPr>
        <w:t xml:space="preserve">eat </w:t>
      </w:r>
      <w:r w:rsidRPr="00E147C5">
        <w:rPr>
          <w:spacing w:val="-3"/>
        </w:rPr>
        <w:t>p</w:t>
      </w:r>
      <w:r w:rsidR="00525FE4" w:rsidRPr="00E147C5">
        <w:rPr>
          <w:spacing w:val="-3"/>
        </w:rPr>
        <w:t xml:space="preserve">umps for use in commercial space heating applications as noted above, the Company </w:t>
      </w:r>
      <w:r w:rsidR="00096F4E">
        <w:rPr>
          <w:spacing w:val="-3"/>
        </w:rPr>
        <w:t>continues</w:t>
      </w:r>
      <w:r w:rsidR="00525FE4" w:rsidRPr="00AC330F">
        <w:rPr>
          <w:spacing w:val="-3"/>
        </w:rPr>
        <w:t xml:space="preserve"> the process of gathering more information regarding Gas-fired Heat Pump Water Heaters. This technology has been identified by the Northwest Energy Efficiency Alliance </w:t>
      </w:r>
      <w:r w:rsidR="00601FCE" w:rsidRPr="00AC330F">
        <w:rPr>
          <w:spacing w:val="-3"/>
        </w:rPr>
        <w:t xml:space="preserve">(NEEA) </w:t>
      </w:r>
      <w:r w:rsidR="00525FE4" w:rsidRPr="00AC330F">
        <w:rPr>
          <w:spacing w:val="-3"/>
        </w:rPr>
        <w:t xml:space="preserve">as </w:t>
      </w:r>
      <w:r w:rsidR="008F1678" w:rsidRPr="00AC330F">
        <w:rPr>
          <w:spacing w:val="-3"/>
        </w:rPr>
        <w:t xml:space="preserve">a </w:t>
      </w:r>
      <w:r w:rsidR="00525FE4" w:rsidRPr="00AC330F">
        <w:rPr>
          <w:spacing w:val="-3"/>
        </w:rPr>
        <w:t xml:space="preserve">potentially viable technology with costs in a similar </w:t>
      </w:r>
      <w:r w:rsidR="00525FE4" w:rsidRPr="00AC330F">
        <w:rPr>
          <w:spacing w:val="-3"/>
        </w:rPr>
        <w:lastRenderedPageBreak/>
        <w:t>range to electric models currently available on the market.</w:t>
      </w:r>
      <w:r w:rsidR="00601FCE" w:rsidRPr="00AC330F">
        <w:rPr>
          <w:spacing w:val="-3"/>
        </w:rPr>
        <w:t xml:space="preserve"> </w:t>
      </w:r>
    </w:p>
    <w:p w14:paraId="5BB2CA37" w14:textId="77777777" w:rsidR="00421A65" w:rsidRPr="00351143" w:rsidRDefault="00421A65" w:rsidP="008F0146">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p>
    <w:p w14:paraId="75048D13" w14:textId="3677CF39" w:rsidR="00525FE4" w:rsidRPr="00E147C5" w:rsidRDefault="00525FE4" w:rsidP="008F0146">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r w:rsidRPr="004B54B4">
        <w:rPr>
          <w:spacing w:val="-3"/>
        </w:rPr>
        <w:t xml:space="preserve">Utility support for </w:t>
      </w:r>
      <w:r w:rsidR="0062631F" w:rsidRPr="004B54B4">
        <w:rPr>
          <w:spacing w:val="-3"/>
        </w:rPr>
        <w:t>technolog</w:t>
      </w:r>
      <w:r w:rsidR="0062631F">
        <w:rPr>
          <w:spacing w:val="-3"/>
        </w:rPr>
        <w:t>ies</w:t>
      </w:r>
      <w:r w:rsidR="0062631F" w:rsidRPr="004B54B4">
        <w:rPr>
          <w:spacing w:val="-3"/>
        </w:rPr>
        <w:t xml:space="preserve"> </w:t>
      </w:r>
      <w:r w:rsidRPr="004B54B4">
        <w:rPr>
          <w:spacing w:val="-3"/>
        </w:rPr>
        <w:t xml:space="preserve">like </w:t>
      </w:r>
      <w:r w:rsidR="00421A65" w:rsidRPr="00804108">
        <w:rPr>
          <w:spacing w:val="-3"/>
        </w:rPr>
        <w:t>those</w:t>
      </w:r>
      <w:r w:rsidRPr="00E147C5">
        <w:rPr>
          <w:spacing w:val="-3"/>
        </w:rPr>
        <w:t xml:space="preserve"> noted above is important in the industry to demonstrate to manufacturers there is interest in supporting deployment through rate payer funded efficiency programs. The more interest displayed in emerging technologies, the more likely manufacturers are to increase production and market availability. </w:t>
      </w:r>
    </w:p>
    <w:p w14:paraId="4AA4FDB9" w14:textId="77777777" w:rsidR="00525FE4" w:rsidRPr="00E147C5" w:rsidRDefault="00525FE4">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r w:rsidRPr="00E147C5">
        <w:rPr>
          <w:spacing w:val="-3"/>
        </w:rPr>
        <w:t xml:space="preserve"> </w:t>
      </w:r>
    </w:p>
    <w:p w14:paraId="36A68ABC" w14:textId="04BDD772" w:rsidR="00421A65" w:rsidRDefault="00525FE4" w:rsidP="008F0146">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r w:rsidRPr="00E147C5">
        <w:rPr>
          <w:spacing w:val="-3"/>
        </w:rPr>
        <w:t>As mentioned previously</w:t>
      </w:r>
      <w:r w:rsidR="00E81F70">
        <w:rPr>
          <w:spacing w:val="-3"/>
        </w:rPr>
        <w:t>,</w:t>
      </w:r>
      <w:r w:rsidRPr="00E147C5">
        <w:rPr>
          <w:spacing w:val="-3"/>
        </w:rPr>
        <w:t xml:space="preserve"> the Company </w:t>
      </w:r>
      <w:r w:rsidR="00E81F70">
        <w:rPr>
          <w:spacing w:val="-3"/>
        </w:rPr>
        <w:t xml:space="preserve">is deeply </w:t>
      </w:r>
      <w:r w:rsidR="00E81F70">
        <w:rPr>
          <w:spacing w:val="-3"/>
        </w:rPr>
        <w:lastRenderedPageBreak/>
        <w:t xml:space="preserve">invested in market transformation and has </w:t>
      </w:r>
      <w:r w:rsidRPr="00E147C5">
        <w:rPr>
          <w:spacing w:val="-3"/>
        </w:rPr>
        <w:t xml:space="preserve">elected to partner through NEEA with other gas utilities in the region to </w:t>
      </w:r>
      <w:r w:rsidR="00E81F70">
        <w:rPr>
          <w:spacing w:val="-3"/>
        </w:rPr>
        <w:t>participate in</w:t>
      </w:r>
      <w:r w:rsidRPr="00E147C5">
        <w:rPr>
          <w:spacing w:val="-3"/>
        </w:rPr>
        <w:t xml:space="preserve"> the first Regional Gas Market Transformation Collaborative in the nation. The goal is to increase market adoption of energy-efficient natural gas produc</w:t>
      </w:r>
      <w:r w:rsidR="00E67752" w:rsidRPr="00E147C5">
        <w:rPr>
          <w:spacing w:val="-3"/>
        </w:rPr>
        <w:t>ts and practices in the future.</w:t>
      </w:r>
      <w:r w:rsidRPr="00E147C5">
        <w:rPr>
          <w:spacing w:val="-3"/>
        </w:rPr>
        <w:t xml:space="preserve"> As part of the project the Collaborative </w:t>
      </w:r>
      <w:r w:rsidR="00E81F70">
        <w:rPr>
          <w:spacing w:val="-3"/>
        </w:rPr>
        <w:t>is working toward creating</w:t>
      </w:r>
      <w:r w:rsidRPr="00E147C5">
        <w:rPr>
          <w:spacing w:val="-3"/>
        </w:rPr>
        <w:t xml:space="preserve"> pilot</w:t>
      </w:r>
      <w:r w:rsidR="00E81F70">
        <w:rPr>
          <w:spacing w:val="-3"/>
        </w:rPr>
        <w:t>s for</w:t>
      </w:r>
      <w:r w:rsidRPr="00E147C5">
        <w:rPr>
          <w:spacing w:val="-3"/>
        </w:rPr>
        <w:t xml:space="preserve"> five distinct technologies</w:t>
      </w:r>
      <w:r w:rsidR="00BA3FFD">
        <w:rPr>
          <w:spacing w:val="-3"/>
        </w:rPr>
        <w:t>.</w:t>
      </w:r>
      <w:r w:rsidRPr="00E147C5">
        <w:rPr>
          <w:spacing w:val="-3"/>
        </w:rPr>
        <w:t xml:space="preserve"> </w:t>
      </w:r>
      <w:r w:rsidR="00BA3FFD">
        <w:rPr>
          <w:spacing w:val="-3"/>
        </w:rPr>
        <w:t>Their goals is to</w:t>
      </w:r>
      <w:r w:rsidRPr="00E147C5">
        <w:rPr>
          <w:spacing w:val="-3"/>
        </w:rPr>
        <w:t xml:space="preserve"> </w:t>
      </w:r>
      <w:r w:rsidR="00BA3FFD" w:rsidRPr="00E147C5">
        <w:rPr>
          <w:spacing w:val="-3"/>
        </w:rPr>
        <w:t>increas</w:t>
      </w:r>
      <w:r w:rsidR="00BA3FFD">
        <w:rPr>
          <w:spacing w:val="-3"/>
        </w:rPr>
        <w:t>e</w:t>
      </w:r>
      <w:r w:rsidR="00BA3FFD" w:rsidRPr="00E147C5">
        <w:rPr>
          <w:spacing w:val="-3"/>
        </w:rPr>
        <w:t xml:space="preserve"> </w:t>
      </w:r>
      <w:r w:rsidRPr="00E147C5">
        <w:rPr>
          <w:spacing w:val="-3"/>
        </w:rPr>
        <w:t>the</w:t>
      </w:r>
      <w:r w:rsidR="00BA3FFD">
        <w:rPr>
          <w:spacing w:val="-3"/>
        </w:rPr>
        <w:t xml:space="preserve"> </w:t>
      </w:r>
      <w:r w:rsidRPr="00E147C5">
        <w:rPr>
          <w:spacing w:val="-3"/>
        </w:rPr>
        <w:t xml:space="preserve">uptake and availability </w:t>
      </w:r>
      <w:r w:rsidR="00BA3FFD">
        <w:rPr>
          <w:spacing w:val="-3"/>
        </w:rPr>
        <w:t xml:space="preserve">of these technologies </w:t>
      </w:r>
      <w:r w:rsidRPr="00E147C5">
        <w:rPr>
          <w:spacing w:val="-3"/>
        </w:rPr>
        <w:t xml:space="preserve">in </w:t>
      </w:r>
      <w:r w:rsidR="00BA3FFD">
        <w:rPr>
          <w:spacing w:val="-3"/>
        </w:rPr>
        <w:t xml:space="preserve">their members’ collective service territory in </w:t>
      </w:r>
      <w:r w:rsidR="00AA15BC">
        <w:rPr>
          <w:spacing w:val="-3"/>
        </w:rPr>
        <w:t>the Northwest</w:t>
      </w:r>
      <w:r w:rsidR="00BA3FFD">
        <w:rPr>
          <w:spacing w:val="-3"/>
        </w:rPr>
        <w:t xml:space="preserve">. They also seek </w:t>
      </w:r>
      <w:r w:rsidRPr="00E147C5">
        <w:rPr>
          <w:spacing w:val="-3"/>
        </w:rPr>
        <w:t xml:space="preserve">to improve cost effectiveness of these natural gas technologies. </w:t>
      </w:r>
      <w:r w:rsidRPr="00E147C5">
        <w:rPr>
          <w:spacing w:val="-3"/>
        </w:rPr>
        <w:lastRenderedPageBreak/>
        <w:t xml:space="preserve">This five year effort </w:t>
      </w:r>
      <w:r w:rsidR="00421A65" w:rsidRPr="00E147C5">
        <w:rPr>
          <w:spacing w:val="-3"/>
        </w:rPr>
        <w:t xml:space="preserve">started in </w:t>
      </w:r>
      <w:r w:rsidRPr="00E147C5">
        <w:rPr>
          <w:spacing w:val="-3"/>
        </w:rPr>
        <w:t xml:space="preserve">2015 </w:t>
      </w:r>
      <w:r w:rsidR="00421A65" w:rsidRPr="00E147C5">
        <w:rPr>
          <w:spacing w:val="-3"/>
        </w:rPr>
        <w:t>and</w:t>
      </w:r>
      <w:r w:rsidRPr="00E147C5">
        <w:rPr>
          <w:spacing w:val="-3"/>
        </w:rPr>
        <w:t xml:space="preserve"> should result in increased savings as the technology is adapted and uptake increases in future years</w:t>
      </w:r>
      <w:r w:rsidR="00E67752" w:rsidRPr="00E147C5">
        <w:rPr>
          <w:spacing w:val="-3"/>
        </w:rPr>
        <w:t xml:space="preserve"> for upgrades including </w:t>
      </w:r>
      <w:r w:rsidR="00421A65" w:rsidRPr="00E147C5">
        <w:rPr>
          <w:spacing w:val="-3"/>
        </w:rPr>
        <w:t>residential natural gas ENERGY STAR</w:t>
      </w:r>
      <w:r w:rsidR="00421A65" w:rsidRPr="00E147C5">
        <w:rPr>
          <w:spacing w:val="-3"/>
          <w:vertAlign w:val="superscript"/>
        </w:rPr>
        <w:t>®</w:t>
      </w:r>
      <w:r w:rsidR="00421A65" w:rsidRPr="00E147C5">
        <w:rPr>
          <w:spacing w:val="-3"/>
        </w:rPr>
        <w:t xml:space="preserve"> dryers and commercial condensing natural gas rooftop units (RTUs). </w:t>
      </w:r>
    </w:p>
    <w:p w14:paraId="2E2510AF" w14:textId="77777777" w:rsidR="00895D30" w:rsidRDefault="00895D30" w:rsidP="008F0146">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p>
    <w:p w14:paraId="5EFDE0DD" w14:textId="7BD6EDB1" w:rsidR="00895D30" w:rsidRDefault="00A963DD" w:rsidP="008F0146">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r>
        <w:rPr>
          <w:spacing w:val="-3"/>
        </w:rPr>
        <w:t>Already, Cascade’s partnership with NEEA has proven beneficial</w:t>
      </w:r>
      <w:r w:rsidR="006775EF">
        <w:rPr>
          <w:spacing w:val="-3"/>
        </w:rPr>
        <w:t xml:space="preserve"> to identifying opportunities for </w:t>
      </w:r>
      <w:r w:rsidR="00672C9F">
        <w:rPr>
          <w:spacing w:val="-3"/>
        </w:rPr>
        <w:t xml:space="preserve">market transformation, </w:t>
      </w:r>
      <w:r w:rsidR="000005EC">
        <w:rPr>
          <w:spacing w:val="-3"/>
        </w:rPr>
        <w:t>standardization</w:t>
      </w:r>
      <w:r w:rsidR="00771DAF">
        <w:rPr>
          <w:spacing w:val="-3"/>
        </w:rPr>
        <w:t xml:space="preserve"> of ratings</w:t>
      </w:r>
      <w:r w:rsidR="000005EC">
        <w:rPr>
          <w:spacing w:val="-3"/>
        </w:rPr>
        <w:t xml:space="preserve">, </w:t>
      </w:r>
      <w:r w:rsidR="00B73D8D">
        <w:rPr>
          <w:spacing w:val="-3"/>
        </w:rPr>
        <w:t xml:space="preserve">and </w:t>
      </w:r>
      <w:r w:rsidR="006775EF">
        <w:rPr>
          <w:spacing w:val="-3"/>
        </w:rPr>
        <w:t>consumer education</w:t>
      </w:r>
      <w:r w:rsidR="00032EA6">
        <w:rPr>
          <w:spacing w:val="-3"/>
        </w:rPr>
        <w:t xml:space="preserve"> on available natural gas efficiency technologies</w:t>
      </w:r>
      <w:r>
        <w:rPr>
          <w:spacing w:val="-3"/>
        </w:rPr>
        <w:t xml:space="preserve">. During </w:t>
      </w:r>
      <w:r w:rsidR="00895D30">
        <w:rPr>
          <w:spacing w:val="-3"/>
        </w:rPr>
        <w:t xml:space="preserve">a focus group discussion around </w:t>
      </w:r>
      <w:r w:rsidR="00895D30">
        <w:rPr>
          <w:spacing w:val="-3"/>
        </w:rPr>
        <w:lastRenderedPageBreak/>
        <w:t>natural gas dryers</w:t>
      </w:r>
      <w:r w:rsidR="00BA06FD">
        <w:rPr>
          <w:spacing w:val="-3"/>
        </w:rPr>
        <w:t xml:space="preserve">, </w:t>
      </w:r>
      <w:r w:rsidR="00895D30">
        <w:rPr>
          <w:spacing w:val="-3"/>
        </w:rPr>
        <w:t>it</w:t>
      </w:r>
      <w:r w:rsidR="00BA06FD">
        <w:rPr>
          <w:spacing w:val="-3"/>
        </w:rPr>
        <w:t xml:space="preserve"> became</w:t>
      </w:r>
      <w:r w:rsidR="00895D30">
        <w:rPr>
          <w:spacing w:val="-3"/>
        </w:rPr>
        <w:t xml:space="preserve"> apparent there is a significant lack of </w:t>
      </w:r>
      <w:r w:rsidR="00D270A1">
        <w:rPr>
          <w:spacing w:val="-3"/>
        </w:rPr>
        <w:t xml:space="preserve">consumer awareness </w:t>
      </w:r>
      <w:r w:rsidR="00895D30">
        <w:rPr>
          <w:spacing w:val="-3"/>
        </w:rPr>
        <w:t xml:space="preserve">pertaining to natural gas dryers and their potential for energy savings.  </w:t>
      </w:r>
      <w:r w:rsidR="00A669DE">
        <w:rPr>
          <w:spacing w:val="-3"/>
        </w:rPr>
        <w:t>It was further discovered the</w:t>
      </w:r>
      <w:r w:rsidR="00895D30">
        <w:rPr>
          <w:spacing w:val="-3"/>
        </w:rPr>
        <w:t xml:space="preserve"> residential marketplace does not currently provide a wide variety of high-efficiency natural gas ENERGY STAR</w:t>
      </w:r>
      <w:r w:rsidR="00895D30">
        <w:rPr>
          <w:spacing w:val="-3"/>
          <w:vertAlign w:val="superscript"/>
        </w:rPr>
        <w:t xml:space="preserve"> </w:t>
      </w:r>
      <w:r w:rsidR="00895D30">
        <w:rPr>
          <w:spacing w:val="-3"/>
        </w:rPr>
        <w:t>dryers</w:t>
      </w:r>
      <w:r w:rsidR="009D284E">
        <w:rPr>
          <w:spacing w:val="-3"/>
        </w:rPr>
        <w:t xml:space="preserve">. </w:t>
      </w:r>
      <w:r w:rsidR="00895D30">
        <w:rPr>
          <w:spacing w:val="-3"/>
        </w:rPr>
        <w:t>NEEA</w:t>
      </w:r>
      <w:r w:rsidR="008A26AE">
        <w:rPr>
          <w:spacing w:val="-3"/>
        </w:rPr>
        <w:t xml:space="preserve"> has identified a</w:t>
      </w:r>
      <w:r w:rsidR="00895D30">
        <w:rPr>
          <w:spacing w:val="-3"/>
        </w:rPr>
        <w:t xml:space="preserve"> need to improve the standardized testing process</w:t>
      </w:r>
      <w:r w:rsidR="009D284E">
        <w:rPr>
          <w:spacing w:val="-3"/>
        </w:rPr>
        <w:t>es for achieving an ENERGY STAR rating on residential natural gas</w:t>
      </w:r>
      <w:r w:rsidR="00895D30">
        <w:rPr>
          <w:spacing w:val="-3"/>
        </w:rPr>
        <w:t xml:space="preserve"> </w:t>
      </w:r>
      <w:r w:rsidR="009D284E">
        <w:rPr>
          <w:spacing w:val="-3"/>
        </w:rPr>
        <w:t xml:space="preserve">dryers while increasing the </w:t>
      </w:r>
      <w:r w:rsidR="00895D30">
        <w:rPr>
          <w:spacing w:val="-3"/>
        </w:rPr>
        <w:t>performance of many of the models</w:t>
      </w:r>
      <w:r w:rsidR="009D284E">
        <w:rPr>
          <w:spacing w:val="-3"/>
        </w:rPr>
        <w:t xml:space="preserve"> to a level commensurate with consumer expectations</w:t>
      </w:r>
      <w:r w:rsidR="00895D30">
        <w:rPr>
          <w:spacing w:val="-3"/>
        </w:rPr>
        <w:t xml:space="preserve">.   </w:t>
      </w:r>
    </w:p>
    <w:p w14:paraId="4CA86F94" w14:textId="77777777" w:rsidR="00AC330F" w:rsidRDefault="00AC330F" w:rsidP="008F0146">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p>
    <w:p w14:paraId="74CD4CD1" w14:textId="1E42BEA0" w:rsidR="00AC330F" w:rsidRDefault="00AC330F" w:rsidP="008F0146">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r>
        <w:rPr>
          <w:spacing w:val="-3"/>
        </w:rPr>
        <w:lastRenderedPageBreak/>
        <w:t>In 2016</w:t>
      </w:r>
      <w:r w:rsidR="00216D87">
        <w:rPr>
          <w:spacing w:val="-3"/>
        </w:rPr>
        <w:t>,</w:t>
      </w:r>
      <w:r>
        <w:rPr>
          <w:spacing w:val="-3"/>
        </w:rPr>
        <w:t xml:space="preserve"> NEEA engaged in the first set of pilots pertaining to the </w:t>
      </w:r>
      <w:r w:rsidR="00EB4F9C">
        <w:rPr>
          <w:spacing w:val="-3"/>
        </w:rPr>
        <w:t xml:space="preserve">rooftop units </w:t>
      </w:r>
      <w:r>
        <w:rPr>
          <w:spacing w:val="-3"/>
        </w:rPr>
        <w:t>which included installation of a test unit in Cascade’s territory in Union Gap.  Cascade, along with the other funding partners, was instrumental in having the rooftop unit efforts prioritized</w:t>
      </w:r>
      <w:r w:rsidR="00D66361">
        <w:rPr>
          <w:spacing w:val="-3"/>
        </w:rPr>
        <w:t>.</w:t>
      </w:r>
      <w:r>
        <w:rPr>
          <w:spacing w:val="-3"/>
        </w:rPr>
        <w:t xml:space="preserve"> </w:t>
      </w:r>
      <w:r w:rsidR="00B66E07">
        <w:rPr>
          <w:spacing w:val="-3"/>
        </w:rPr>
        <w:t xml:space="preserve">Feedback from NEEA and direct observation in the field has suggested that </w:t>
      </w:r>
      <w:r w:rsidR="00D66361">
        <w:rPr>
          <w:spacing w:val="-3"/>
        </w:rPr>
        <w:t xml:space="preserve">Cascade’s </w:t>
      </w:r>
      <w:r w:rsidR="00B66E07">
        <w:rPr>
          <w:spacing w:val="-3"/>
        </w:rPr>
        <w:t>service area could greatly benefit</w:t>
      </w:r>
      <w:r w:rsidR="006C47D9">
        <w:rPr>
          <w:spacing w:val="-3"/>
        </w:rPr>
        <w:t xml:space="preserve"> from</w:t>
      </w:r>
      <w:r>
        <w:rPr>
          <w:spacing w:val="-3"/>
        </w:rPr>
        <w:t xml:space="preserve"> high-efficiency </w:t>
      </w:r>
      <w:r w:rsidR="00D05687">
        <w:rPr>
          <w:spacing w:val="-3"/>
        </w:rPr>
        <w:t>alternatives</w:t>
      </w:r>
      <w:r>
        <w:rPr>
          <w:spacing w:val="-3"/>
        </w:rPr>
        <w:t xml:space="preserve"> to the standard RTUs </w:t>
      </w:r>
      <w:r w:rsidR="00DA271E">
        <w:rPr>
          <w:spacing w:val="-3"/>
        </w:rPr>
        <w:t>currently used</w:t>
      </w:r>
      <w:r>
        <w:rPr>
          <w:spacing w:val="-3"/>
        </w:rPr>
        <w:t xml:space="preserve"> throughout commercial building</w:t>
      </w:r>
      <w:r w:rsidR="00DA271E">
        <w:rPr>
          <w:spacing w:val="-3"/>
        </w:rPr>
        <w:t xml:space="preserve"> stock</w:t>
      </w:r>
      <w:r>
        <w:rPr>
          <w:spacing w:val="-3"/>
        </w:rPr>
        <w:t xml:space="preserve"> in Cascade’s </w:t>
      </w:r>
      <w:r w:rsidR="00DA27BD">
        <w:rPr>
          <w:spacing w:val="-3"/>
        </w:rPr>
        <w:t xml:space="preserve">service </w:t>
      </w:r>
      <w:r>
        <w:rPr>
          <w:spacing w:val="-3"/>
        </w:rPr>
        <w:t>territory.  The review and data collection process for these efforts will continue through</w:t>
      </w:r>
      <w:r w:rsidR="00DA27BD">
        <w:rPr>
          <w:spacing w:val="-3"/>
        </w:rPr>
        <w:t>out the 2016/2017 winter season</w:t>
      </w:r>
      <w:r w:rsidR="00A974B9">
        <w:rPr>
          <w:spacing w:val="-3"/>
        </w:rPr>
        <w:t xml:space="preserve">. </w:t>
      </w:r>
      <w:r w:rsidR="00A974B9">
        <w:rPr>
          <w:spacing w:val="-3"/>
        </w:rPr>
        <w:lastRenderedPageBreak/>
        <w:t>Continued focus on the role of RTU’s and other relevant technologies in Cascade’s service area attests to</w:t>
      </w:r>
      <w:r w:rsidR="00DA27BD">
        <w:rPr>
          <w:spacing w:val="-3"/>
        </w:rPr>
        <w:t xml:space="preserve"> </w:t>
      </w:r>
      <w:r w:rsidR="002B0C5C">
        <w:rPr>
          <w:spacing w:val="-3"/>
        </w:rPr>
        <w:t xml:space="preserve">the </w:t>
      </w:r>
      <w:r w:rsidR="00DA27BD">
        <w:rPr>
          <w:spacing w:val="-3"/>
        </w:rPr>
        <w:t>direct correlation to</w:t>
      </w:r>
      <w:r w:rsidR="008F0146">
        <w:rPr>
          <w:spacing w:val="-3"/>
        </w:rPr>
        <w:t>,</w:t>
      </w:r>
      <w:r w:rsidR="00DA27BD">
        <w:rPr>
          <w:spacing w:val="-3"/>
        </w:rPr>
        <w:t xml:space="preserve"> and benefit from</w:t>
      </w:r>
      <w:r w:rsidR="008F0146">
        <w:rPr>
          <w:spacing w:val="-3"/>
        </w:rPr>
        <w:t>,</w:t>
      </w:r>
      <w:r w:rsidR="00DA27BD">
        <w:rPr>
          <w:spacing w:val="-3"/>
        </w:rPr>
        <w:t xml:space="preserve"> the regional efforts</w:t>
      </w:r>
      <w:r w:rsidR="002B0C5C">
        <w:rPr>
          <w:spacing w:val="-3"/>
        </w:rPr>
        <w:t xml:space="preserve"> </w:t>
      </w:r>
      <w:r w:rsidR="00AA15BC">
        <w:rPr>
          <w:spacing w:val="-3"/>
        </w:rPr>
        <w:t xml:space="preserve">partially funded by </w:t>
      </w:r>
      <w:r w:rsidR="00DA27BD">
        <w:rPr>
          <w:spacing w:val="-3"/>
        </w:rPr>
        <w:t>Cascade’s rate payer</w:t>
      </w:r>
      <w:r w:rsidR="00AA15BC">
        <w:rPr>
          <w:spacing w:val="-3"/>
        </w:rPr>
        <w:t>s</w:t>
      </w:r>
      <w:r w:rsidR="00DA27BD">
        <w:rPr>
          <w:spacing w:val="-3"/>
        </w:rPr>
        <w:t xml:space="preserve">. </w:t>
      </w:r>
    </w:p>
    <w:p w14:paraId="0308D5C8" w14:textId="77777777" w:rsidR="00AC330F" w:rsidRDefault="00AC330F" w:rsidP="008F0146">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p>
    <w:p w14:paraId="04FE03D8" w14:textId="568A9530" w:rsidR="00AC330F" w:rsidRDefault="00AC330F" w:rsidP="008F0146">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r>
        <w:rPr>
          <w:spacing w:val="-3"/>
        </w:rPr>
        <w:t xml:space="preserve">Market Transformation efforts are a key element in increasing accessibility of new technologies to </w:t>
      </w:r>
      <w:r w:rsidR="00387FFA">
        <w:rPr>
          <w:spacing w:val="-3"/>
        </w:rPr>
        <w:t xml:space="preserve">the </w:t>
      </w:r>
      <w:r>
        <w:rPr>
          <w:spacing w:val="-3"/>
        </w:rPr>
        <w:t xml:space="preserve">region.  The NEEA collaborative meets on a regular basis to discuss results and next steps </w:t>
      </w:r>
      <w:r w:rsidR="009112E7">
        <w:rPr>
          <w:spacing w:val="-3"/>
        </w:rPr>
        <w:t xml:space="preserve">of its </w:t>
      </w:r>
      <w:r>
        <w:rPr>
          <w:spacing w:val="-3"/>
        </w:rPr>
        <w:t xml:space="preserve">pilot efforts </w:t>
      </w:r>
      <w:r w:rsidR="009112E7">
        <w:rPr>
          <w:spacing w:val="-3"/>
        </w:rPr>
        <w:t xml:space="preserve">in order </w:t>
      </w:r>
      <w:r>
        <w:rPr>
          <w:spacing w:val="-3"/>
        </w:rPr>
        <w:t>to move toward these goals</w:t>
      </w:r>
      <w:r w:rsidR="005322BF">
        <w:rPr>
          <w:spacing w:val="-3"/>
        </w:rPr>
        <w:t xml:space="preserve">. It is </w:t>
      </w:r>
      <w:r>
        <w:rPr>
          <w:spacing w:val="-3"/>
        </w:rPr>
        <w:t>important to recognize</w:t>
      </w:r>
      <w:r w:rsidR="005322BF">
        <w:rPr>
          <w:spacing w:val="-3"/>
        </w:rPr>
        <w:t>, however,</w:t>
      </w:r>
      <w:r>
        <w:rPr>
          <w:spacing w:val="-3"/>
        </w:rPr>
        <w:t xml:space="preserve"> that potential savings from </w:t>
      </w:r>
      <w:r w:rsidR="00940304">
        <w:rPr>
          <w:spacing w:val="-3"/>
        </w:rPr>
        <w:t>market transformation</w:t>
      </w:r>
      <w:r>
        <w:rPr>
          <w:spacing w:val="-3"/>
        </w:rPr>
        <w:t xml:space="preserve"> are not realized immediately.  Savings </w:t>
      </w:r>
      <w:r>
        <w:rPr>
          <w:spacing w:val="-3"/>
        </w:rPr>
        <w:lastRenderedPageBreak/>
        <w:t xml:space="preserve">are achieved in future years once the market is able to support the higher-efficiency options and </w:t>
      </w:r>
      <w:r w:rsidR="00AA15BC">
        <w:rPr>
          <w:spacing w:val="-3"/>
        </w:rPr>
        <w:t xml:space="preserve">increased </w:t>
      </w:r>
      <w:r>
        <w:rPr>
          <w:spacing w:val="-3"/>
        </w:rPr>
        <w:t xml:space="preserve">customer demand resulting in more advanced technological improvements.   </w:t>
      </w:r>
      <w:r w:rsidR="00DA27BD">
        <w:rPr>
          <w:spacing w:val="-3"/>
        </w:rPr>
        <w:t xml:space="preserve">Cascade is committed to the continued partnership throughout the </w:t>
      </w:r>
      <w:r w:rsidR="008F0146">
        <w:rPr>
          <w:spacing w:val="-3"/>
        </w:rPr>
        <w:t>five</w:t>
      </w:r>
      <w:r w:rsidR="00DA27BD">
        <w:rPr>
          <w:spacing w:val="-3"/>
        </w:rPr>
        <w:t xml:space="preserve"> year contract and </w:t>
      </w:r>
      <w:r w:rsidR="00C5594B">
        <w:rPr>
          <w:spacing w:val="-3"/>
        </w:rPr>
        <w:t xml:space="preserve">The Company </w:t>
      </w:r>
      <w:r w:rsidR="00DA27BD">
        <w:rPr>
          <w:spacing w:val="-3"/>
        </w:rPr>
        <w:t>looks forward to 2017 and 2018 reviews of new technology that come as part of the regular discussions. A mid-cycle evaluation of the Collaborative’s efforts will also occur in 2017 which will enable further refinements of next steps.</w:t>
      </w:r>
    </w:p>
    <w:p w14:paraId="1FE63310" w14:textId="77777777" w:rsidR="00DA27BD" w:rsidRDefault="00DA27BD" w:rsidP="008663BB">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p>
    <w:p w14:paraId="4B05EED8" w14:textId="4455A443" w:rsidR="00525FE4" w:rsidRPr="00AC330F" w:rsidRDefault="00DA27BD" w:rsidP="008663BB">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r>
        <w:rPr>
          <w:spacing w:val="-3"/>
        </w:rPr>
        <w:t xml:space="preserve">Cascade </w:t>
      </w:r>
      <w:r w:rsidR="00C53166">
        <w:rPr>
          <w:spacing w:val="-3"/>
        </w:rPr>
        <w:t>continues to participate</w:t>
      </w:r>
      <w:r>
        <w:rPr>
          <w:spacing w:val="-3"/>
        </w:rPr>
        <w:t xml:space="preserve"> with the Gas </w:t>
      </w:r>
      <w:r>
        <w:rPr>
          <w:spacing w:val="-3"/>
        </w:rPr>
        <w:lastRenderedPageBreak/>
        <w:t xml:space="preserve">Technology Institute (GTI) Emerging Technology Program to </w:t>
      </w:r>
      <w:r w:rsidR="00C53166">
        <w:rPr>
          <w:spacing w:val="-3"/>
        </w:rPr>
        <w:t xml:space="preserve">evaluate </w:t>
      </w:r>
      <w:r>
        <w:rPr>
          <w:spacing w:val="-3"/>
        </w:rPr>
        <w:t>new technologi</w:t>
      </w:r>
      <w:r w:rsidR="00345420">
        <w:rPr>
          <w:spacing w:val="-3"/>
        </w:rPr>
        <w:t>cal opportunities</w:t>
      </w:r>
      <w:r>
        <w:rPr>
          <w:spacing w:val="-3"/>
        </w:rPr>
        <w:t xml:space="preserve"> as they </w:t>
      </w:r>
      <w:r w:rsidR="00C53166">
        <w:rPr>
          <w:spacing w:val="-3"/>
        </w:rPr>
        <w:t>enter the market</w:t>
      </w:r>
      <w:r>
        <w:rPr>
          <w:spacing w:val="-3"/>
        </w:rPr>
        <w:t>.</w:t>
      </w:r>
      <w:r w:rsidR="006C6DB9">
        <w:rPr>
          <w:spacing w:val="-3"/>
        </w:rPr>
        <w:t xml:space="preserve"> </w:t>
      </w:r>
      <w:r w:rsidR="00895D30">
        <w:rPr>
          <w:spacing w:val="-3"/>
        </w:rPr>
        <w:t>Through these efforts</w:t>
      </w:r>
      <w:r w:rsidR="00C5594B">
        <w:rPr>
          <w:spacing w:val="-3"/>
        </w:rPr>
        <w:t>,</w:t>
      </w:r>
      <w:r w:rsidR="00895D30">
        <w:rPr>
          <w:spacing w:val="-3"/>
        </w:rPr>
        <w:t xml:space="preserve"> t</w:t>
      </w:r>
      <w:r w:rsidR="00525FE4" w:rsidRPr="00AC330F">
        <w:rPr>
          <w:spacing w:val="-3"/>
        </w:rPr>
        <w:t xml:space="preserve">he Company will continue to </w:t>
      </w:r>
      <w:r w:rsidR="00345420">
        <w:rPr>
          <w:spacing w:val="-3"/>
        </w:rPr>
        <w:t>stay</w:t>
      </w:r>
      <w:r w:rsidR="00345420" w:rsidRPr="00AC330F">
        <w:rPr>
          <w:spacing w:val="-3"/>
        </w:rPr>
        <w:t xml:space="preserve"> </w:t>
      </w:r>
      <w:r w:rsidR="00525FE4" w:rsidRPr="00AC330F">
        <w:rPr>
          <w:spacing w:val="-3"/>
        </w:rPr>
        <w:t xml:space="preserve">apprised of </w:t>
      </w:r>
      <w:r w:rsidR="00C53166">
        <w:rPr>
          <w:spacing w:val="-3"/>
        </w:rPr>
        <w:t xml:space="preserve">proven </w:t>
      </w:r>
      <w:r w:rsidR="00525FE4" w:rsidRPr="00AC330F">
        <w:rPr>
          <w:spacing w:val="-3"/>
        </w:rPr>
        <w:t>cutting-edge efficiency options with significant savings potential for customers.</w:t>
      </w:r>
    </w:p>
    <w:p w14:paraId="3DA8AE9C" w14:textId="77777777" w:rsidR="000A4974" w:rsidRPr="00351143" w:rsidRDefault="000A4974" w:rsidP="008663BB">
      <w:pPr>
        <w:numPr>
          <w:ilvl w:val="12"/>
          <w:numId w:val="0"/>
        </w:numPr>
        <w:tabs>
          <w:tab w:val="left" w:pos="-1440"/>
          <w:tab w:val="left" w:pos="-720"/>
          <w:tab w:val="left" w:pos="0"/>
          <w:tab w:val="left" w:pos="1080"/>
          <w:tab w:val="left" w:pos="1440"/>
        </w:tabs>
        <w:suppressAutoHyphens/>
        <w:spacing w:after="0"/>
        <w:ind w:right="-7"/>
        <w:contextualSpacing/>
        <w:jc w:val="both"/>
        <w:rPr>
          <w:spacing w:val="-3"/>
        </w:rPr>
      </w:pPr>
    </w:p>
    <w:p w14:paraId="0B3F5DDB" w14:textId="77777777" w:rsidR="00525FE4" w:rsidRPr="00804108" w:rsidRDefault="00525FE4" w:rsidP="008663BB">
      <w:pPr>
        <w:pStyle w:val="Heading1"/>
      </w:pPr>
      <w:bookmarkStart w:id="8" w:name="_Toc465678017"/>
      <w:r w:rsidRPr="004B54B4">
        <w:t>P</w:t>
      </w:r>
      <w:r w:rsidRPr="00804108">
        <w:t>otential DSM Measures and Their Costs</w:t>
      </w:r>
      <w:bookmarkEnd w:id="8"/>
    </w:p>
    <w:p w14:paraId="19006377" w14:textId="158EEEA2" w:rsidR="00525FE4" w:rsidRPr="00E147C5" w:rsidRDefault="00525FE4" w:rsidP="008663BB">
      <w:pPr>
        <w:jc w:val="both"/>
        <w:rPr>
          <w:szCs w:val="23"/>
        </w:rPr>
      </w:pPr>
      <w:r w:rsidRPr="00E147C5">
        <w:rPr>
          <w:szCs w:val="23"/>
        </w:rPr>
        <w:t xml:space="preserve">In order to understand the impact declining costs can have on the programmatic potential of natural gas conservation programs, it is important to understand how </w:t>
      </w:r>
      <w:r w:rsidRPr="00E147C5">
        <w:rPr>
          <w:szCs w:val="23"/>
        </w:rPr>
        <w:lastRenderedPageBreak/>
        <w:t xml:space="preserve">these programs work.  Utility-run energy efficiency programs are designed to encourage the use of high-efficiency natural gas equipment and measures. The </w:t>
      </w:r>
      <w:r w:rsidR="006930BB">
        <w:rPr>
          <w:szCs w:val="23"/>
        </w:rPr>
        <w:t>A</w:t>
      </w:r>
      <w:r w:rsidR="00C5594B" w:rsidRPr="00E147C5">
        <w:rPr>
          <w:szCs w:val="23"/>
        </w:rPr>
        <w:t xml:space="preserve">voided </w:t>
      </w:r>
      <w:r w:rsidR="006930BB">
        <w:rPr>
          <w:szCs w:val="23"/>
        </w:rPr>
        <w:t>C</w:t>
      </w:r>
      <w:r w:rsidR="00C5594B" w:rsidRPr="00E147C5">
        <w:rPr>
          <w:szCs w:val="23"/>
        </w:rPr>
        <w:t xml:space="preserve">ost of natural gas </w:t>
      </w:r>
      <w:r w:rsidR="00C5594B">
        <w:rPr>
          <w:szCs w:val="23"/>
        </w:rPr>
        <w:t xml:space="preserve">is the </w:t>
      </w:r>
      <w:r w:rsidRPr="00E147C5">
        <w:rPr>
          <w:szCs w:val="23"/>
        </w:rPr>
        <w:t>threshold used to verify if the amount paid by the utility is reasonable</w:t>
      </w:r>
      <w:r w:rsidR="00C5594B">
        <w:rPr>
          <w:szCs w:val="23"/>
        </w:rPr>
        <w:t>.</w:t>
      </w:r>
    </w:p>
    <w:p w14:paraId="3EF49BF4" w14:textId="7CE5F1E7" w:rsidR="00525FE4" w:rsidRPr="00E147C5" w:rsidRDefault="00807E51" w:rsidP="008663BB">
      <w:pPr>
        <w:jc w:val="both"/>
        <w:rPr>
          <w:szCs w:val="23"/>
        </w:rPr>
      </w:pPr>
      <w:r w:rsidRPr="00E147C5">
        <w:rPr>
          <w:szCs w:val="23"/>
        </w:rPr>
        <w:t>In short</w:t>
      </w:r>
      <w:r w:rsidR="00525FE4" w:rsidRPr="00E147C5">
        <w:rPr>
          <w:szCs w:val="23"/>
        </w:rPr>
        <w:t xml:space="preserve">, a utility should not pay more than 100% of the avoided cost of a measure. Likewise, it is considered general industry best practice that a rebate should be no lower than around 1/3 the incremental cost of the measure, nor higher than is necessary to achieve maximum anticipated participation. This helps the utility avoid both the risk of free ridership and the hazards of </w:t>
      </w:r>
      <w:r w:rsidR="00525FE4" w:rsidRPr="00E147C5">
        <w:rPr>
          <w:szCs w:val="23"/>
        </w:rPr>
        <w:lastRenderedPageBreak/>
        <w:t>skewing program cost effectiveness and triggering the law of diminishing returns by paying beyond the level of an appropriate market signal.</w:t>
      </w:r>
    </w:p>
    <w:p w14:paraId="490FC3AB" w14:textId="08418A39" w:rsidR="00525FE4" w:rsidRPr="00881D8B" w:rsidRDefault="002574A8" w:rsidP="008663BB">
      <w:pPr>
        <w:jc w:val="both"/>
        <w:rPr>
          <w:szCs w:val="23"/>
        </w:rPr>
      </w:pPr>
      <w:r w:rsidRPr="00E147C5">
        <w:rPr>
          <w:szCs w:val="23"/>
        </w:rPr>
        <w:t>As of the latest IRP</w:t>
      </w:r>
      <w:r w:rsidR="00FB6E18">
        <w:rPr>
          <w:szCs w:val="23"/>
        </w:rPr>
        <w:t>,</w:t>
      </w:r>
      <w:r w:rsidR="00525FE4" w:rsidRPr="00E147C5">
        <w:rPr>
          <w:szCs w:val="23"/>
        </w:rPr>
        <w:t xml:space="preserve"> Cascade is able to pursue a </w:t>
      </w:r>
      <w:r w:rsidRPr="00E147C5">
        <w:rPr>
          <w:szCs w:val="23"/>
        </w:rPr>
        <w:t xml:space="preserve">combined </w:t>
      </w:r>
      <w:r w:rsidR="00525FE4" w:rsidRPr="00E147C5">
        <w:rPr>
          <w:szCs w:val="23"/>
        </w:rPr>
        <w:t>Residential and Commercial/</w:t>
      </w:r>
      <w:r w:rsidR="00E67752" w:rsidRPr="00E147C5">
        <w:rPr>
          <w:szCs w:val="23"/>
        </w:rPr>
        <w:t xml:space="preserve"> </w:t>
      </w:r>
      <w:r w:rsidR="00525FE4" w:rsidRPr="00E147C5">
        <w:rPr>
          <w:szCs w:val="23"/>
        </w:rPr>
        <w:t xml:space="preserve">Industrial conservation portfolio with a total avoided cost </w:t>
      </w:r>
      <w:r w:rsidR="00204F61">
        <w:rPr>
          <w:szCs w:val="23"/>
        </w:rPr>
        <w:t xml:space="preserve">range </w:t>
      </w:r>
      <w:r w:rsidR="00525FE4" w:rsidRPr="00E147C5">
        <w:rPr>
          <w:szCs w:val="23"/>
        </w:rPr>
        <w:t xml:space="preserve">of </w:t>
      </w:r>
      <w:r w:rsidR="00204F61">
        <w:rPr>
          <w:szCs w:val="23"/>
        </w:rPr>
        <w:t xml:space="preserve">$5.19 per dekatherm in 2017 to </w:t>
      </w:r>
      <w:r w:rsidR="00525FE4" w:rsidRPr="00E147C5">
        <w:rPr>
          <w:szCs w:val="23"/>
        </w:rPr>
        <w:t>$</w:t>
      </w:r>
      <w:r w:rsidR="00204F61">
        <w:rPr>
          <w:szCs w:val="23"/>
        </w:rPr>
        <w:t>7.18 in 2037.</w:t>
      </w:r>
    </w:p>
    <w:p w14:paraId="7CD263C4" w14:textId="36836367" w:rsidR="00525FE4" w:rsidRPr="00AC330F" w:rsidRDefault="00525FE4" w:rsidP="008663BB">
      <w:pPr>
        <w:jc w:val="both"/>
        <w:rPr>
          <w:szCs w:val="23"/>
        </w:rPr>
      </w:pPr>
      <w:r w:rsidRPr="00881D8B">
        <w:rPr>
          <w:szCs w:val="23"/>
        </w:rPr>
        <w:t>Utilizing the UCT, Company program management set the rebate thresholds to achieve a</w:t>
      </w:r>
      <w:r w:rsidR="00345420">
        <w:rPr>
          <w:szCs w:val="23"/>
        </w:rPr>
        <w:t>n</w:t>
      </w:r>
      <w:r w:rsidRPr="00881D8B">
        <w:rPr>
          <w:szCs w:val="23"/>
        </w:rPr>
        <w:t xml:space="preserve"> </w:t>
      </w:r>
      <w:r w:rsidR="00C53166">
        <w:rPr>
          <w:szCs w:val="23"/>
        </w:rPr>
        <w:t xml:space="preserve">optimal </w:t>
      </w:r>
      <w:r w:rsidRPr="00881D8B">
        <w:rPr>
          <w:szCs w:val="23"/>
        </w:rPr>
        <w:t>balance between driving program participation and ensuring a broad breadth and depth of measures. Th</w:t>
      </w:r>
      <w:r w:rsidR="003913CE">
        <w:rPr>
          <w:szCs w:val="23"/>
        </w:rPr>
        <w:t>e</w:t>
      </w:r>
      <w:r w:rsidR="00345420">
        <w:rPr>
          <w:szCs w:val="23"/>
        </w:rPr>
        <w:t xml:space="preserve"> program in</w:t>
      </w:r>
      <w:r w:rsidR="00345420">
        <w:rPr>
          <w:szCs w:val="23"/>
        </w:rPr>
        <w:lastRenderedPageBreak/>
        <w:t>centive levels are</w:t>
      </w:r>
      <w:r w:rsidR="003913CE">
        <w:rPr>
          <w:szCs w:val="23"/>
        </w:rPr>
        <w:t xml:space="preserve"> frequently </w:t>
      </w:r>
      <w:r w:rsidRPr="00881D8B">
        <w:rPr>
          <w:szCs w:val="23"/>
        </w:rPr>
        <w:t>reviewed with the Conservation Advisory Group</w:t>
      </w:r>
      <w:r w:rsidR="003913CE">
        <w:rPr>
          <w:szCs w:val="23"/>
        </w:rPr>
        <w:t>, most recently in July 2016</w:t>
      </w:r>
      <w:r w:rsidR="00954966">
        <w:rPr>
          <w:szCs w:val="23"/>
        </w:rPr>
        <w:t>,</w:t>
      </w:r>
      <w:r w:rsidRPr="00881D8B">
        <w:rPr>
          <w:szCs w:val="23"/>
        </w:rPr>
        <w:t xml:space="preserve"> </w:t>
      </w:r>
      <w:r w:rsidR="00345420">
        <w:rPr>
          <w:szCs w:val="23"/>
        </w:rPr>
        <w:t>which</w:t>
      </w:r>
      <w:r w:rsidR="00345420" w:rsidRPr="00881D8B">
        <w:rPr>
          <w:szCs w:val="23"/>
        </w:rPr>
        <w:t xml:space="preserve"> </w:t>
      </w:r>
      <w:r w:rsidR="008663BB">
        <w:rPr>
          <w:szCs w:val="23"/>
        </w:rPr>
        <w:t>resulted in</w:t>
      </w:r>
      <w:r w:rsidR="008663BB" w:rsidRPr="00881D8B">
        <w:rPr>
          <w:szCs w:val="23"/>
        </w:rPr>
        <w:t xml:space="preserve"> </w:t>
      </w:r>
      <w:r w:rsidRPr="00881D8B">
        <w:rPr>
          <w:szCs w:val="23"/>
        </w:rPr>
        <w:t xml:space="preserve">current program offerings </w:t>
      </w:r>
      <w:r w:rsidR="008663BB">
        <w:rPr>
          <w:szCs w:val="23"/>
        </w:rPr>
        <w:t xml:space="preserve">referenced here </w:t>
      </w:r>
      <w:r w:rsidR="002574A8" w:rsidRPr="00086E03">
        <w:rPr>
          <w:szCs w:val="23"/>
        </w:rPr>
        <w:t>as of the time of writing for this Conservation Plan.</w:t>
      </w:r>
      <w:r w:rsidRPr="00AC330F">
        <w:rPr>
          <w:szCs w:val="23"/>
        </w:rPr>
        <w:t xml:space="preserve"> </w:t>
      </w:r>
    </w:p>
    <w:p w14:paraId="2E4A3E94" w14:textId="019182E1" w:rsidR="00525FE4" w:rsidRPr="00804108" w:rsidRDefault="002574A8" w:rsidP="008663BB">
      <w:pPr>
        <w:tabs>
          <w:tab w:val="num" w:pos="0"/>
        </w:tabs>
        <w:spacing w:after="0"/>
        <w:contextualSpacing/>
        <w:jc w:val="both"/>
      </w:pPr>
      <w:r w:rsidRPr="00DA27BD">
        <w:t>T</w:t>
      </w:r>
      <w:r w:rsidR="00525FE4" w:rsidRPr="00351143">
        <w:t xml:space="preserve">he Utility Cost Test is the </w:t>
      </w:r>
      <w:r w:rsidR="00C53166">
        <w:t>preferred</w:t>
      </w:r>
      <w:r w:rsidR="00525FE4" w:rsidRPr="00351143">
        <w:t xml:space="preserve"> valuation of these measures since it is a straightforward and clean calculation of the utility’s i</w:t>
      </w:r>
      <w:r w:rsidR="00525FE4" w:rsidRPr="004B54B4">
        <w:t>nvestment in Demand Side Management and does not penalize customers for making independent determinations regarding the cost-benefit of an energy efficiency upgrade. The UCT instead treats the rebate from utility run natural gas efficiency programs as a le</w:t>
      </w:r>
      <w:r w:rsidR="00525FE4" w:rsidRPr="00804108">
        <w:t xml:space="preserve">veraged partnership that drives positive </w:t>
      </w:r>
      <w:r w:rsidR="00525FE4" w:rsidRPr="00804108">
        <w:lastRenderedPageBreak/>
        <w:t xml:space="preserve">market change and the installation of measures with the potential for long-lived and deeper energy savings. </w:t>
      </w:r>
    </w:p>
    <w:p w14:paraId="714F8EA7" w14:textId="77777777" w:rsidR="00525FE4" w:rsidRPr="00E147C5" w:rsidRDefault="00525FE4" w:rsidP="008663BB">
      <w:pPr>
        <w:pStyle w:val="ListParagraph"/>
        <w:spacing w:line="276" w:lineRule="auto"/>
        <w:ind w:left="0"/>
        <w:jc w:val="both"/>
        <w:rPr>
          <w:rFonts w:ascii="Arial" w:hAnsi="Arial" w:cs="Arial"/>
        </w:rPr>
      </w:pPr>
    </w:p>
    <w:p w14:paraId="1420832C" w14:textId="729D54C5" w:rsidR="00525FE4" w:rsidRPr="003913CE" w:rsidRDefault="00525FE4" w:rsidP="008663BB">
      <w:pPr>
        <w:pStyle w:val="ListParagraph"/>
        <w:spacing w:line="276" w:lineRule="auto"/>
        <w:ind w:left="0"/>
        <w:jc w:val="both"/>
        <w:rPr>
          <w:rFonts w:ascii="Arial" w:hAnsi="Arial" w:cs="Arial"/>
        </w:rPr>
      </w:pPr>
      <w:r w:rsidRPr="00E147C5">
        <w:rPr>
          <w:rFonts w:ascii="Arial" w:hAnsi="Arial" w:cs="Arial"/>
        </w:rPr>
        <w:t xml:space="preserve">In addition to the use of the Utility Cost Test, </w:t>
      </w:r>
      <w:r w:rsidR="008663BB">
        <w:rPr>
          <w:rFonts w:ascii="Arial" w:hAnsi="Arial" w:cs="Arial"/>
        </w:rPr>
        <w:t xml:space="preserve">in 2014 </w:t>
      </w:r>
      <w:r w:rsidRPr="00E147C5">
        <w:rPr>
          <w:rFonts w:ascii="Arial" w:hAnsi="Arial" w:cs="Arial"/>
        </w:rPr>
        <w:t xml:space="preserve">the Company discussed with its Conservation Advisory Group and Staff </w:t>
      </w:r>
      <w:r w:rsidRPr="003913CE">
        <w:rPr>
          <w:rFonts w:ascii="Arial" w:hAnsi="Arial" w:cs="Arial"/>
        </w:rPr>
        <w:t xml:space="preserve">the continuation of </w:t>
      </w:r>
      <w:r w:rsidR="003913CE">
        <w:rPr>
          <w:rFonts w:ascii="Arial" w:hAnsi="Arial" w:cs="Arial"/>
        </w:rPr>
        <w:t xml:space="preserve">using </w:t>
      </w:r>
      <w:r w:rsidRPr="003913CE">
        <w:rPr>
          <w:rFonts w:ascii="Arial" w:hAnsi="Arial" w:cs="Arial"/>
        </w:rPr>
        <w:t xml:space="preserve">its Long-Term Discount Rate of 4.17% </w:t>
      </w:r>
      <w:r w:rsidR="003913CE">
        <w:rPr>
          <w:rFonts w:ascii="Arial" w:hAnsi="Arial" w:cs="Arial"/>
        </w:rPr>
        <w:t xml:space="preserve">to allow </w:t>
      </w:r>
      <w:r w:rsidRPr="003913CE">
        <w:rPr>
          <w:rFonts w:ascii="Arial" w:hAnsi="Arial" w:cs="Arial"/>
        </w:rPr>
        <w:t xml:space="preserve">longer-lived measures </w:t>
      </w:r>
      <w:r w:rsidR="003913CE">
        <w:rPr>
          <w:rFonts w:ascii="Arial" w:hAnsi="Arial" w:cs="Arial"/>
        </w:rPr>
        <w:t xml:space="preserve">to </w:t>
      </w:r>
      <w:r w:rsidRPr="003913CE">
        <w:rPr>
          <w:rFonts w:ascii="Arial" w:hAnsi="Arial" w:cs="Arial"/>
        </w:rPr>
        <w:t xml:space="preserve">continue to thrive within its portfolio and </w:t>
      </w:r>
      <w:r w:rsidR="003913CE">
        <w:rPr>
          <w:rFonts w:ascii="Arial" w:hAnsi="Arial" w:cs="Arial"/>
        </w:rPr>
        <w:t>prevent</w:t>
      </w:r>
      <w:r w:rsidRPr="003913CE">
        <w:rPr>
          <w:rFonts w:ascii="Arial" w:hAnsi="Arial" w:cs="Arial"/>
        </w:rPr>
        <w:t xml:space="preserve"> reductions </w:t>
      </w:r>
      <w:r w:rsidR="003913CE">
        <w:rPr>
          <w:rFonts w:ascii="Arial" w:hAnsi="Arial" w:cs="Arial"/>
        </w:rPr>
        <w:t>and/</w:t>
      </w:r>
      <w:r w:rsidRPr="003913CE">
        <w:rPr>
          <w:rFonts w:ascii="Arial" w:hAnsi="Arial" w:cs="Arial"/>
        </w:rPr>
        <w:t>or slowed momentum as a result of migrating the programs to the WACC.</w:t>
      </w:r>
      <w:r w:rsidR="00ED616A">
        <w:rPr>
          <w:rFonts w:ascii="Arial" w:hAnsi="Arial" w:cs="Arial"/>
        </w:rPr>
        <w:t xml:space="preserve">  For the 2016 IRP</w:t>
      </w:r>
      <w:r w:rsidR="00954966">
        <w:rPr>
          <w:rFonts w:ascii="Arial" w:hAnsi="Arial" w:cs="Arial"/>
        </w:rPr>
        <w:t>,</w:t>
      </w:r>
      <w:r w:rsidR="00ED616A">
        <w:rPr>
          <w:rFonts w:ascii="Arial" w:hAnsi="Arial" w:cs="Arial"/>
        </w:rPr>
        <w:t xml:space="preserve"> the Company is using the</w:t>
      </w:r>
      <w:r w:rsidR="00A72FC8">
        <w:rPr>
          <w:rFonts w:ascii="Arial" w:hAnsi="Arial" w:cs="Arial"/>
        </w:rPr>
        <w:t xml:space="preserve"> </w:t>
      </w:r>
      <w:r w:rsidR="00A72FC8" w:rsidRPr="00A72FC8">
        <w:rPr>
          <w:rFonts w:ascii="Arial" w:hAnsi="Arial" w:cs="Arial"/>
        </w:rPr>
        <w:t xml:space="preserve">average 30 Year Mortgage Rate </w:t>
      </w:r>
      <w:r w:rsidR="00076659">
        <w:rPr>
          <w:rFonts w:ascii="Arial" w:hAnsi="Arial" w:cs="Arial"/>
        </w:rPr>
        <w:t xml:space="preserve">as mentioned earlier </w:t>
      </w:r>
      <w:r w:rsidR="00A72FC8" w:rsidRPr="00A72FC8">
        <w:rPr>
          <w:rFonts w:ascii="Arial" w:hAnsi="Arial" w:cs="Arial"/>
        </w:rPr>
        <w:t xml:space="preserve">as </w:t>
      </w:r>
      <w:r w:rsidR="00CB789F">
        <w:rPr>
          <w:rFonts w:ascii="Arial" w:hAnsi="Arial" w:cs="Arial"/>
        </w:rPr>
        <w:t>its</w:t>
      </w:r>
      <w:r w:rsidR="00CB789F" w:rsidRPr="00A72FC8">
        <w:rPr>
          <w:rFonts w:ascii="Arial" w:hAnsi="Arial" w:cs="Arial"/>
        </w:rPr>
        <w:t xml:space="preserve"> </w:t>
      </w:r>
      <w:r w:rsidR="00A72FC8" w:rsidRPr="00A72FC8">
        <w:rPr>
          <w:rFonts w:ascii="Arial" w:hAnsi="Arial" w:cs="Arial"/>
        </w:rPr>
        <w:t>long term discount rate</w:t>
      </w:r>
      <w:r w:rsidR="00076659">
        <w:rPr>
          <w:rFonts w:ascii="Arial" w:hAnsi="Arial" w:cs="Arial"/>
        </w:rPr>
        <w:t xml:space="preserve">. </w:t>
      </w:r>
      <w:r w:rsidR="00A72FC8" w:rsidRPr="00A72FC8">
        <w:rPr>
          <w:rFonts w:ascii="Arial" w:hAnsi="Arial" w:cs="Arial"/>
        </w:rPr>
        <w:t xml:space="preserve"> For </w:t>
      </w:r>
      <w:r w:rsidR="00A72FC8" w:rsidRPr="00A72FC8">
        <w:rPr>
          <w:rFonts w:ascii="Arial" w:hAnsi="Arial" w:cs="Arial"/>
        </w:rPr>
        <w:lastRenderedPageBreak/>
        <w:t xml:space="preserve">2016, the long term discount rate is 3.52%. </w:t>
      </w:r>
      <w:r w:rsidR="00ED616A">
        <w:rPr>
          <w:rFonts w:ascii="Arial" w:hAnsi="Arial" w:cs="Arial"/>
        </w:rPr>
        <w:t xml:space="preserve"> </w:t>
      </w:r>
      <w:r w:rsidR="004F05A0">
        <w:rPr>
          <w:rFonts w:ascii="Arial" w:hAnsi="Arial" w:cs="Arial"/>
        </w:rPr>
        <w:t>For context, an increased or higher discount rate lowers the therm savings potential while a lower discount rate raises the potential therm savings.</w:t>
      </w:r>
    </w:p>
    <w:p w14:paraId="3E54F50B" w14:textId="77777777" w:rsidR="00525FE4" w:rsidRPr="00ED616A" w:rsidRDefault="00525FE4" w:rsidP="008663BB">
      <w:pPr>
        <w:pStyle w:val="ListParagraph"/>
        <w:spacing w:line="276" w:lineRule="auto"/>
        <w:jc w:val="both"/>
        <w:rPr>
          <w:rFonts w:ascii="Arial" w:hAnsi="Arial" w:cs="Arial"/>
        </w:rPr>
      </w:pPr>
    </w:p>
    <w:p w14:paraId="5C497A77" w14:textId="65F7C9A1" w:rsidR="00525FE4" w:rsidRPr="00ED616A" w:rsidRDefault="00525FE4">
      <w:pPr>
        <w:spacing w:after="0"/>
        <w:ind w:right="83"/>
        <w:contextualSpacing/>
        <w:jc w:val="both"/>
      </w:pPr>
      <w:r w:rsidRPr="00ED616A">
        <w:t>Based on the changes to avoided costs and the continued evolution of building codes and conservation technologies, and in light of the Policy St</w:t>
      </w:r>
      <w:r w:rsidRPr="00351143">
        <w:t xml:space="preserve">atement issued through UG 121207, the Company commissioned a study in 2013 to comprehensively reassess its conservation potential and perform evaluation, measurement </w:t>
      </w:r>
      <w:r w:rsidRPr="00351143">
        <w:lastRenderedPageBreak/>
        <w:t>and ve</w:t>
      </w:r>
      <w:r w:rsidRPr="004B54B4">
        <w:t xml:space="preserve">rification on previous conservation efforts performed through the Conservation Incentive Program (CIP). This study was noted as a commitment in the Company’s 2012 IRP Action Plan.  Cascade </w:t>
      </w:r>
      <w:r w:rsidR="00ED616A">
        <w:t xml:space="preserve">recognizes the study </w:t>
      </w:r>
      <w:r w:rsidR="00954966">
        <w:t>may</w:t>
      </w:r>
      <w:r w:rsidR="00ED616A">
        <w:t xml:space="preserve"> require updating near the completion of the 2018 CY</w:t>
      </w:r>
      <w:r w:rsidR="00223961">
        <w:t xml:space="preserve"> in order</w:t>
      </w:r>
      <w:r w:rsidR="00ED616A">
        <w:t xml:space="preserve"> to maintain relevance</w:t>
      </w:r>
      <w:r w:rsidR="0035107B" w:rsidRPr="00ED616A">
        <w:t>.</w:t>
      </w:r>
      <w:r w:rsidRPr="00ED616A">
        <w:t xml:space="preserve"> </w:t>
      </w:r>
    </w:p>
    <w:p w14:paraId="09EC0E69" w14:textId="77777777" w:rsidR="00525FE4" w:rsidRPr="00351143" w:rsidRDefault="00525FE4">
      <w:pPr>
        <w:spacing w:after="0"/>
        <w:ind w:left="90" w:right="83"/>
        <w:contextualSpacing/>
        <w:jc w:val="both"/>
      </w:pPr>
    </w:p>
    <w:p w14:paraId="3FF18A31" w14:textId="6DFF0F5C" w:rsidR="00525FE4" w:rsidRPr="004B54B4" w:rsidRDefault="00954966">
      <w:pPr>
        <w:pStyle w:val="Heading1"/>
      </w:pPr>
      <w:bookmarkStart w:id="9" w:name="_Toc465678018"/>
      <w:r>
        <w:t>A</w:t>
      </w:r>
      <w:r w:rsidR="00525FE4" w:rsidRPr="004B54B4">
        <w:t>ssessment of Cascade</w:t>
      </w:r>
      <w:r>
        <w:t>’s</w:t>
      </w:r>
      <w:r w:rsidR="00525FE4" w:rsidRPr="004B54B4">
        <w:t xml:space="preserve"> Conservation Potential and EM&amp;V Study</w:t>
      </w:r>
      <w:bookmarkEnd w:id="9"/>
    </w:p>
    <w:p w14:paraId="304F4E8C" w14:textId="1C7E3277" w:rsidR="00525FE4" w:rsidRPr="00920B4B" w:rsidRDefault="002574A8">
      <w:pPr>
        <w:spacing w:after="0"/>
        <w:contextualSpacing/>
        <w:jc w:val="both"/>
      </w:pPr>
      <w:r w:rsidRPr="00804108">
        <w:t>As of 2014 the Company discontinued use of its outdated potential assessment study by Stellar/Ecoto</w:t>
      </w:r>
      <w:r w:rsidRPr="00E147C5">
        <w:t xml:space="preserve">pe </w:t>
      </w:r>
      <w:r w:rsidRPr="00E147C5">
        <w:lastRenderedPageBreak/>
        <w:t>and adopted an updated and refined comprehensive reassessment of its potential performed by Nexant Inc.</w:t>
      </w:r>
      <w:r w:rsidR="00D67AF8" w:rsidRPr="00E147C5">
        <w:t xml:space="preserve"> Because of the revised study performed by Nexant, the Company now </w:t>
      </w:r>
      <w:r w:rsidR="00DF322E" w:rsidRPr="00E147C5">
        <w:t>ha</w:t>
      </w:r>
      <w:r w:rsidR="00DF322E">
        <w:t>s</w:t>
      </w:r>
      <w:r w:rsidR="00DF322E" w:rsidRPr="00920B4B">
        <w:t xml:space="preserve"> </w:t>
      </w:r>
      <w:r w:rsidR="00D67AF8" w:rsidRPr="00920B4B">
        <w:t xml:space="preserve">a much more nuanced understanding of its conservation potential and </w:t>
      </w:r>
      <w:r w:rsidR="00C53166">
        <w:t>is</w:t>
      </w:r>
      <w:r w:rsidR="00C53166" w:rsidRPr="00920B4B">
        <w:t xml:space="preserve"> </w:t>
      </w:r>
      <w:r w:rsidR="00D67AF8" w:rsidRPr="00920B4B">
        <w:t>able to further refine and more accurately develop conservation targets and portfolios to optimize energy savings in its Washington service territory</w:t>
      </w:r>
      <w:r w:rsidR="007E162F" w:rsidRPr="00920B4B">
        <w:t>.</w:t>
      </w:r>
      <w:r w:rsidR="00525FE4" w:rsidRPr="00920B4B">
        <w:t xml:space="preserve"> The study provided new insights into the Company’s overall technical, economic, and achievable potential. </w:t>
      </w:r>
      <w:r w:rsidR="00920B4B">
        <w:t>The vendor noted actual p</w:t>
      </w:r>
      <w:r w:rsidR="00525FE4" w:rsidRPr="00920B4B">
        <w:t xml:space="preserve">rogram potential </w:t>
      </w:r>
      <w:r w:rsidR="00920B4B">
        <w:t xml:space="preserve">(the on-the-ground portfolio based program offerings) </w:t>
      </w:r>
      <w:r w:rsidR="00525FE4" w:rsidRPr="00920B4B">
        <w:t>was excluded from this study</w:t>
      </w:r>
      <w:r w:rsidR="00D67AF8" w:rsidRPr="00920B4B">
        <w:t>,</w:t>
      </w:r>
      <w:r w:rsidR="00525FE4" w:rsidRPr="00920B4B">
        <w:t xml:space="preserve"> but the vendor </w:t>
      </w:r>
      <w:r w:rsidR="00525FE4" w:rsidRPr="00920B4B">
        <w:lastRenderedPageBreak/>
        <w:t xml:space="preserve">did provide guidance to Cascade staff as to how this </w:t>
      </w:r>
      <w:r w:rsidR="00920B4B">
        <w:t>could</w:t>
      </w:r>
      <w:r w:rsidR="00920B4B" w:rsidRPr="00920B4B">
        <w:t xml:space="preserve"> </w:t>
      </w:r>
      <w:r w:rsidR="00525FE4" w:rsidRPr="00920B4B">
        <w:t>be manually developed by their program implementation team.  In addition, Nexant provided the Company with a thorough planning tool for use by Cascade in drilling down to more precise conservation targets for IRP and program planning based on the actual measures included in the conservation portfolio.</w:t>
      </w:r>
    </w:p>
    <w:p w14:paraId="6D85150B" w14:textId="77777777" w:rsidR="00525FE4" w:rsidRPr="00351143" w:rsidRDefault="00525FE4">
      <w:pPr>
        <w:spacing w:after="0"/>
        <w:contextualSpacing/>
        <w:jc w:val="both"/>
      </w:pPr>
    </w:p>
    <w:p w14:paraId="25852C14" w14:textId="6BA88E95" w:rsidR="00525FE4" w:rsidRPr="00920B4B" w:rsidRDefault="00525FE4">
      <w:pPr>
        <w:spacing w:after="0"/>
        <w:contextualSpacing/>
        <w:jc w:val="both"/>
      </w:pPr>
      <w:r w:rsidRPr="004B54B4">
        <w:t>The primary goal of the Nexant assessment was to develop a comprehensive analysis of technical</w:t>
      </w:r>
      <w:r w:rsidR="007E162F" w:rsidRPr="00804108">
        <w:t>, economic</w:t>
      </w:r>
      <w:r w:rsidRPr="00E147C5">
        <w:t xml:space="preserve"> and achievable potential for natural gas energy efficiency for customers on </w:t>
      </w:r>
      <w:r w:rsidR="00387FFA">
        <w:t xml:space="preserve">Washington </w:t>
      </w:r>
      <w:r w:rsidRPr="00E147C5">
        <w:t xml:space="preserve">Rate Schedules </w:t>
      </w:r>
      <w:r w:rsidRPr="00E147C5">
        <w:lastRenderedPageBreak/>
        <w:t xml:space="preserve">503, 504, 505, 511, 570 &amp; 577 (residential, commercial and non-transport sales industrial customers). This </w:t>
      </w:r>
      <w:r w:rsidR="00807E51" w:rsidRPr="00E147C5">
        <w:t>third-party</w:t>
      </w:r>
      <w:r w:rsidRPr="00E147C5">
        <w:t xml:space="preserve"> analysis illustrate</w:t>
      </w:r>
      <w:r w:rsidR="00920B4B">
        <w:t>d</w:t>
      </w:r>
      <w:r w:rsidRPr="00920B4B">
        <w:t xml:space="preserve"> the remaining savings potential by </w:t>
      </w:r>
      <w:r w:rsidR="004F05A0">
        <w:t>climate zone, market</w:t>
      </w:r>
      <w:r w:rsidRPr="00920B4B">
        <w:t xml:space="preserve">, segment and end use as a means to inform future program design. The study also integrated a detailed evaluation and measure savings </w:t>
      </w:r>
      <w:r w:rsidRPr="00351143">
        <w:t>review of Cascade’s conservation portfolio. Key objectives of this study include</w:t>
      </w:r>
      <w:r w:rsidR="00920B4B">
        <w:t>d</w:t>
      </w:r>
      <w:r w:rsidRPr="00920B4B">
        <w:t xml:space="preserve">: </w:t>
      </w:r>
    </w:p>
    <w:p w14:paraId="00F8B018" w14:textId="77777777" w:rsidR="00525FE4" w:rsidRPr="00351143" w:rsidRDefault="00525FE4">
      <w:pPr>
        <w:spacing w:after="0"/>
        <w:contextualSpacing/>
        <w:jc w:val="both"/>
      </w:pPr>
    </w:p>
    <w:p w14:paraId="5F883E5E" w14:textId="4D54DEC6" w:rsidR="00525FE4" w:rsidRPr="00920B4B" w:rsidRDefault="00525FE4">
      <w:pPr>
        <w:pStyle w:val="ListParagraph"/>
        <w:numPr>
          <w:ilvl w:val="0"/>
          <w:numId w:val="11"/>
        </w:numPr>
        <w:tabs>
          <w:tab w:val="left" w:pos="90"/>
        </w:tabs>
        <w:spacing w:line="276" w:lineRule="auto"/>
        <w:jc w:val="both"/>
        <w:rPr>
          <w:rFonts w:ascii="Arial" w:hAnsi="Arial" w:cs="Arial"/>
        </w:rPr>
      </w:pPr>
      <w:r w:rsidRPr="004B54B4">
        <w:rPr>
          <w:rFonts w:ascii="Arial" w:hAnsi="Arial" w:cs="Arial"/>
        </w:rPr>
        <w:t>Provide</w:t>
      </w:r>
      <w:r w:rsidR="004F05A0">
        <w:rPr>
          <w:rFonts w:ascii="Arial" w:hAnsi="Arial" w:cs="Arial"/>
        </w:rPr>
        <w:t>d</w:t>
      </w:r>
      <w:r w:rsidRPr="004B54B4">
        <w:rPr>
          <w:rFonts w:ascii="Arial" w:hAnsi="Arial" w:cs="Arial"/>
        </w:rPr>
        <w:t xml:space="preserve"> </w:t>
      </w:r>
      <w:r w:rsidR="00920B4B">
        <w:rPr>
          <w:rFonts w:ascii="Arial" w:hAnsi="Arial" w:cs="Arial"/>
        </w:rPr>
        <w:t xml:space="preserve">a </w:t>
      </w:r>
      <w:r w:rsidRPr="00920B4B">
        <w:rPr>
          <w:rFonts w:ascii="Arial" w:hAnsi="Arial" w:cs="Arial"/>
        </w:rPr>
        <w:t xml:space="preserve">credible and transparent estimation of the technical and achievable energy efficiency potential </w:t>
      </w:r>
      <w:r w:rsidRPr="00920B4B">
        <w:rPr>
          <w:rFonts w:ascii="Arial" w:hAnsi="Arial" w:cs="Arial"/>
        </w:rPr>
        <w:lastRenderedPageBreak/>
        <w:t>by year over the next 21 (2014-2034) years within Cascade’s Washington service territory;</w:t>
      </w:r>
    </w:p>
    <w:p w14:paraId="08CD7817" w14:textId="3C72D487" w:rsidR="00525FE4" w:rsidRPr="004B54B4" w:rsidRDefault="00525FE4">
      <w:pPr>
        <w:pStyle w:val="ListParagraph"/>
        <w:numPr>
          <w:ilvl w:val="0"/>
          <w:numId w:val="11"/>
        </w:numPr>
        <w:tabs>
          <w:tab w:val="left" w:pos="90"/>
        </w:tabs>
        <w:spacing w:line="276" w:lineRule="auto"/>
        <w:jc w:val="both"/>
        <w:rPr>
          <w:rFonts w:ascii="Arial" w:hAnsi="Arial" w:cs="Arial"/>
        </w:rPr>
      </w:pPr>
      <w:r w:rsidRPr="00351143">
        <w:rPr>
          <w:rFonts w:ascii="Arial" w:hAnsi="Arial" w:cs="Arial"/>
        </w:rPr>
        <w:t>Assess</w:t>
      </w:r>
      <w:r w:rsidR="004F05A0">
        <w:rPr>
          <w:rFonts w:ascii="Arial" w:hAnsi="Arial" w:cs="Arial"/>
        </w:rPr>
        <w:t>ed</w:t>
      </w:r>
      <w:r w:rsidRPr="00351143">
        <w:rPr>
          <w:rFonts w:ascii="Arial" w:hAnsi="Arial" w:cs="Arial"/>
        </w:rPr>
        <w:t xml:space="preserve"> and validate</w:t>
      </w:r>
      <w:r w:rsidR="004F05A0">
        <w:rPr>
          <w:rFonts w:ascii="Arial" w:hAnsi="Arial" w:cs="Arial"/>
        </w:rPr>
        <w:t>d</w:t>
      </w:r>
      <w:r w:rsidRPr="00351143">
        <w:rPr>
          <w:rFonts w:ascii="Arial" w:hAnsi="Arial" w:cs="Arial"/>
        </w:rPr>
        <w:t xml:space="preserve"> therm savings associated with key measures that qualified for, and received, a conservation incentive in the </w:t>
      </w:r>
      <w:r w:rsidRPr="004B54B4">
        <w:rPr>
          <w:rFonts w:ascii="Arial" w:hAnsi="Arial" w:cs="Arial"/>
        </w:rPr>
        <w:t>2012 program year, and appl</w:t>
      </w:r>
      <w:r w:rsidR="004F05A0">
        <w:rPr>
          <w:rFonts w:ascii="Arial" w:hAnsi="Arial" w:cs="Arial"/>
        </w:rPr>
        <w:t>ied</w:t>
      </w:r>
      <w:r w:rsidRPr="004B54B4">
        <w:rPr>
          <w:rFonts w:ascii="Arial" w:hAnsi="Arial" w:cs="Arial"/>
        </w:rPr>
        <w:t xml:space="preserve"> findings to determine realistic therm savings potential in Cascade’s Washington Service area; </w:t>
      </w:r>
    </w:p>
    <w:p w14:paraId="4D84C46D" w14:textId="1625CDDC" w:rsidR="00525FE4" w:rsidRPr="00920B4B" w:rsidRDefault="00525FE4">
      <w:pPr>
        <w:pStyle w:val="ListParagraph"/>
        <w:numPr>
          <w:ilvl w:val="0"/>
          <w:numId w:val="11"/>
        </w:numPr>
        <w:tabs>
          <w:tab w:val="left" w:pos="90"/>
        </w:tabs>
        <w:spacing w:line="276" w:lineRule="auto"/>
        <w:jc w:val="both"/>
        <w:rPr>
          <w:rFonts w:ascii="Arial" w:hAnsi="Arial" w:cs="Arial"/>
        </w:rPr>
      </w:pPr>
      <w:r w:rsidRPr="00804108">
        <w:rPr>
          <w:rFonts w:ascii="Arial" w:hAnsi="Arial" w:cs="Arial"/>
        </w:rPr>
        <w:t>Provide</w:t>
      </w:r>
      <w:r w:rsidR="004F05A0">
        <w:rPr>
          <w:rFonts w:ascii="Arial" w:hAnsi="Arial" w:cs="Arial"/>
        </w:rPr>
        <w:t>d</w:t>
      </w:r>
      <w:r w:rsidRPr="00804108">
        <w:rPr>
          <w:rFonts w:ascii="Arial" w:hAnsi="Arial" w:cs="Arial"/>
        </w:rPr>
        <w:t xml:space="preserve"> a user friendly, executable dynamic model that </w:t>
      </w:r>
      <w:r w:rsidR="00920B4B">
        <w:rPr>
          <w:rFonts w:ascii="Arial" w:hAnsi="Arial" w:cs="Arial"/>
        </w:rPr>
        <w:t>would</w:t>
      </w:r>
      <w:r w:rsidR="00920B4B" w:rsidRPr="00920B4B">
        <w:rPr>
          <w:rFonts w:ascii="Arial" w:hAnsi="Arial" w:cs="Arial"/>
        </w:rPr>
        <w:t xml:space="preserve"> </w:t>
      </w:r>
      <w:r w:rsidRPr="00920B4B">
        <w:rPr>
          <w:rFonts w:ascii="Arial" w:hAnsi="Arial" w:cs="Arial"/>
        </w:rPr>
        <w:t xml:space="preserve">support the potential assessment and allow for testing of sensitivity of all model inputs and assumptions; </w:t>
      </w:r>
    </w:p>
    <w:p w14:paraId="79705AAB" w14:textId="43573D93" w:rsidR="00525FE4" w:rsidRPr="00920B4B" w:rsidRDefault="00525FE4">
      <w:pPr>
        <w:pStyle w:val="ListParagraph"/>
        <w:numPr>
          <w:ilvl w:val="0"/>
          <w:numId w:val="11"/>
        </w:numPr>
        <w:spacing w:line="276" w:lineRule="auto"/>
        <w:jc w:val="both"/>
        <w:rPr>
          <w:rFonts w:ascii="Arial" w:hAnsi="Arial" w:cs="Arial"/>
        </w:rPr>
      </w:pPr>
      <w:r w:rsidRPr="00920B4B">
        <w:rPr>
          <w:rFonts w:ascii="Arial" w:hAnsi="Arial" w:cs="Arial"/>
        </w:rPr>
        <w:lastRenderedPageBreak/>
        <w:t>Develop</w:t>
      </w:r>
      <w:r w:rsidR="004F05A0">
        <w:rPr>
          <w:rFonts w:ascii="Arial" w:hAnsi="Arial" w:cs="Arial"/>
        </w:rPr>
        <w:t>ed</w:t>
      </w:r>
      <w:r w:rsidRPr="00920B4B">
        <w:rPr>
          <w:rFonts w:ascii="Arial" w:hAnsi="Arial" w:cs="Arial"/>
        </w:rPr>
        <w:t xml:space="preserve"> a final report including summary data tables and graphs reporting incremental and cumulative potential by year from 2014 through 2034.</w:t>
      </w:r>
    </w:p>
    <w:p w14:paraId="6653407D" w14:textId="77777777" w:rsidR="00525FE4" w:rsidRPr="00351143" w:rsidRDefault="00525FE4">
      <w:pPr>
        <w:spacing w:after="0"/>
        <w:ind w:left="90" w:right="83"/>
        <w:contextualSpacing/>
        <w:jc w:val="both"/>
      </w:pPr>
    </w:p>
    <w:p w14:paraId="22DDEAAE" w14:textId="7F7ED33A" w:rsidR="008A032B" w:rsidRPr="00ED616A" w:rsidRDefault="00525FE4">
      <w:pPr>
        <w:pStyle w:val="ListParagraph"/>
        <w:tabs>
          <w:tab w:val="left" w:pos="90"/>
        </w:tabs>
        <w:spacing w:line="276" w:lineRule="auto"/>
        <w:ind w:left="0"/>
        <w:jc w:val="both"/>
        <w:rPr>
          <w:rFonts w:ascii="Arial" w:hAnsi="Arial" w:cs="Arial"/>
        </w:rPr>
      </w:pPr>
      <w:r w:rsidRPr="004B54B4">
        <w:rPr>
          <w:rFonts w:ascii="Arial" w:hAnsi="Arial" w:cs="Arial"/>
        </w:rPr>
        <w:t xml:space="preserve">The Nexant study estimated energy efficiency savings </w:t>
      </w:r>
      <w:r w:rsidR="00F730BB">
        <w:rPr>
          <w:rFonts w:ascii="Arial" w:hAnsi="Arial" w:cs="Arial"/>
        </w:rPr>
        <w:t>in the form of</w:t>
      </w:r>
      <w:r w:rsidRPr="00804108">
        <w:rPr>
          <w:rFonts w:ascii="Arial" w:hAnsi="Arial" w:cs="Arial"/>
        </w:rPr>
        <w:t xml:space="preserve"> technical potential, economic potential, and achievable potential. Market penetration rates were estimated and included in this assessment. Nexant analyzed this potential via a customized </w:t>
      </w:r>
      <w:r w:rsidRPr="00920B4B">
        <w:rPr>
          <w:rFonts w:ascii="Arial" w:hAnsi="Arial" w:cs="Arial"/>
        </w:rPr>
        <w:t xml:space="preserve">Microsoft Excel-based modeling tool, </w:t>
      </w:r>
      <w:r w:rsidR="00496A8A" w:rsidRPr="00496A8A">
        <w:rPr>
          <w:rFonts w:ascii="Arial" w:hAnsi="Arial" w:cs="Arial"/>
        </w:rPr>
        <w:t>TEA-Pot</w:t>
      </w:r>
      <w:r w:rsidRPr="00881D8B">
        <w:rPr>
          <w:rFonts w:ascii="Arial" w:hAnsi="Arial" w:cs="Arial"/>
        </w:rPr>
        <w:t xml:space="preserve"> (</w:t>
      </w:r>
      <w:r w:rsidRPr="002B5050">
        <w:rPr>
          <w:rFonts w:ascii="Arial" w:hAnsi="Arial" w:cs="Arial"/>
          <w:b/>
          <w:bCs/>
        </w:rPr>
        <w:t>T</w:t>
      </w:r>
      <w:r w:rsidRPr="00086E03">
        <w:rPr>
          <w:rFonts w:ascii="Arial" w:hAnsi="Arial" w:cs="Arial"/>
        </w:rPr>
        <w:t>echnical/</w:t>
      </w:r>
      <w:r w:rsidRPr="00086E03">
        <w:rPr>
          <w:rFonts w:ascii="Arial" w:hAnsi="Arial" w:cs="Arial"/>
          <w:b/>
          <w:bCs/>
        </w:rPr>
        <w:t>E</w:t>
      </w:r>
      <w:r w:rsidRPr="00086E03">
        <w:rPr>
          <w:rFonts w:ascii="Arial" w:hAnsi="Arial" w:cs="Arial"/>
        </w:rPr>
        <w:t>co</w:t>
      </w:r>
      <w:r w:rsidRPr="00086E03">
        <w:rPr>
          <w:rFonts w:ascii="Arial" w:hAnsi="Arial" w:cs="Arial"/>
        </w:rPr>
        <w:lastRenderedPageBreak/>
        <w:t>nomic/</w:t>
      </w:r>
      <w:r w:rsidRPr="00086E03">
        <w:rPr>
          <w:rFonts w:ascii="Arial" w:hAnsi="Arial" w:cs="Arial"/>
          <w:b/>
          <w:bCs/>
        </w:rPr>
        <w:t>A</w:t>
      </w:r>
      <w:r w:rsidRPr="00086E03">
        <w:rPr>
          <w:rFonts w:ascii="Arial" w:hAnsi="Arial" w:cs="Arial"/>
        </w:rPr>
        <w:t xml:space="preserve">chievable </w:t>
      </w:r>
      <w:r w:rsidRPr="00086E03">
        <w:rPr>
          <w:rFonts w:ascii="Arial" w:hAnsi="Arial" w:cs="Arial"/>
          <w:b/>
          <w:bCs/>
        </w:rPr>
        <w:t>Pot</w:t>
      </w:r>
      <w:r w:rsidRPr="00E564CA">
        <w:rPr>
          <w:rFonts w:ascii="Arial" w:hAnsi="Arial" w:cs="Arial"/>
        </w:rPr>
        <w:t>ential) for the Ca</w:t>
      </w:r>
      <w:r w:rsidRPr="00AC330F">
        <w:rPr>
          <w:rFonts w:ascii="Arial" w:hAnsi="Arial" w:cs="Arial"/>
        </w:rPr>
        <w:t>scade Conservation Potential Assessment.</w:t>
      </w:r>
      <w:r w:rsidR="00ED28DC" w:rsidRPr="00AC330F">
        <w:rPr>
          <w:rStyle w:val="FootnoteReference"/>
          <w:rFonts w:ascii="Arial" w:hAnsi="Arial" w:cs="Arial"/>
        </w:rPr>
        <w:footnoteReference w:id="2"/>
      </w:r>
      <w:r w:rsidRPr="00AC330F">
        <w:rPr>
          <w:rFonts w:ascii="Arial" w:hAnsi="Arial" w:cs="Arial"/>
        </w:rPr>
        <w:t xml:space="preserve"> This modeling tool was built on a platform that provides the ability to run multiple scenarios and re-calculate potential savings based on variable inputs such as </w:t>
      </w:r>
      <w:r w:rsidR="004F05A0">
        <w:rPr>
          <w:rFonts w:ascii="Arial" w:hAnsi="Arial" w:cs="Arial"/>
        </w:rPr>
        <w:t xml:space="preserve">volume, customer and </w:t>
      </w:r>
      <w:r w:rsidRPr="00AC330F">
        <w:rPr>
          <w:rFonts w:ascii="Arial" w:hAnsi="Arial" w:cs="Arial"/>
        </w:rPr>
        <w:t>load</w:t>
      </w:r>
      <w:r w:rsidR="004F05A0">
        <w:rPr>
          <w:rFonts w:ascii="Arial" w:hAnsi="Arial" w:cs="Arial"/>
        </w:rPr>
        <w:t xml:space="preserve"> profile</w:t>
      </w:r>
      <w:r w:rsidRPr="00AC330F">
        <w:rPr>
          <w:rFonts w:ascii="Arial" w:hAnsi="Arial" w:cs="Arial"/>
        </w:rPr>
        <w:t xml:space="preserve"> forecasts, natural gas prices, discount </w:t>
      </w:r>
      <w:r w:rsidRPr="003913CE">
        <w:rPr>
          <w:rFonts w:ascii="Arial" w:hAnsi="Arial" w:cs="Arial"/>
        </w:rPr>
        <w:t xml:space="preserve">rates, </w:t>
      </w:r>
      <w:r w:rsidR="004F05A0">
        <w:rPr>
          <w:rFonts w:ascii="Arial" w:hAnsi="Arial" w:cs="Arial"/>
        </w:rPr>
        <w:t xml:space="preserve">transmission loss rates, inflation rates, multiple adoption curves </w:t>
      </w:r>
      <w:r w:rsidRPr="003913CE">
        <w:rPr>
          <w:rFonts w:ascii="Arial" w:hAnsi="Arial" w:cs="Arial"/>
        </w:rPr>
        <w:lastRenderedPageBreak/>
        <w:t xml:space="preserve">and </w:t>
      </w:r>
      <w:r w:rsidR="004F05A0">
        <w:rPr>
          <w:rFonts w:ascii="Arial" w:hAnsi="Arial" w:cs="Arial"/>
        </w:rPr>
        <w:t>avoided costs</w:t>
      </w:r>
      <w:r w:rsidRPr="003913CE">
        <w:rPr>
          <w:rFonts w:ascii="Arial" w:hAnsi="Arial" w:cs="Arial"/>
        </w:rPr>
        <w:t>. This model provides Cascade with the utmost transparency into the assumptions and calculations f</w:t>
      </w:r>
      <w:r w:rsidR="008A032B" w:rsidRPr="00ED616A">
        <w:rPr>
          <w:rFonts w:ascii="Arial" w:hAnsi="Arial" w:cs="Arial"/>
        </w:rPr>
        <w:t>or estimating market potential.</w:t>
      </w:r>
    </w:p>
    <w:p w14:paraId="3680E4EF" w14:textId="3F7A549A" w:rsidR="00FA2580" w:rsidRPr="002B5050" w:rsidRDefault="00525FE4">
      <w:pPr>
        <w:pStyle w:val="ListParagraph"/>
        <w:tabs>
          <w:tab w:val="left" w:pos="90"/>
        </w:tabs>
        <w:spacing w:line="276" w:lineRule="auto"/>
        <w:ind w:left="0"/>
        <w:jc w:val="both"/>
        <w:rPr>
          <w:rFonts w:ascii="Arial" w:hAnsi="Arial" w:cs="Arial"/>
        </w:rPr>
      </w:pPr>
      <w:r w:rsidRPr="00ED616A">
        <w:rPr>
          <w:rFonts w:ascii="Arial" w:hAnsi="Arial" w:cs="Arial"/>
        </w:rPr>
        <w:br/>
        <w:t>While technical and economic potential are theoretical limits to efficiency savings, ac</w:t>
      </w:r>
      <w:r w:rsidRPr="00351143">
        <w:rPr>
          <w:rFonts w:ascii="Arial" w:hAnsi="Arial" w:cs="Arial"/>
        </w:rPr>
        <w:t>hievable potential embodies a set of assumptions about the decisions consumers make regarding the efficiency of the equipment th</w:t>
      </w:r>
      <w:r w:rsidRPr="004B54B4">
        <w:rPr>
          <w:rFonts w:ascii="Arial" w:hAnsi="Arial" w:cs="Arial"/>
        </w:rPr>
        <w:t xml:space="preserve">ey purchase. Relevant factors to Cascade’s conservation program were included in the Achievable Potential to simulate a realistic estimate of real-life conditions.  </w:t>
      </w:r>
      <w:r w:rsidRPr="004B54B4">
        <w:rPr>
          <w:rFonts w:ascii="Arial" w:hAnsi="Arial" w:cs="Arial"/>
        </w:rPr>
        <w:lastRenderedPageBreak/>
        <w:t>Again, as stated earlier, program potential (i.e. the subset of achievable potential attain</w:t>
      </w:r>
      <w:r w:rsidRPr="00804108">
        <w:rPr>
          <w:rFonts w:ascii="Arial" w:hAnsi="Arial" w:cs="Arial"/>
        </w:rPr>
        <w:t>able given constraints on program budget and implemented measures) was no</w:t>
      </w:r>
      <w:r w:rsidR="00457834" w:rsidRPr="00E147C5">
        <w:rPr>
          <w:rFonts w:ascii="Arial" w:hAnsi="Arial" w:cs="Arial"/>
        </w:rPr>
        <w:t>t presented in Nexant’s report.</w:t>
      </w:r>
      <w:r w:rsidR="00D67AF8" w:rsidRPr="00E147C5">
        <w:rPr>
          <w:rFonts w:ascii="Arial" w:hAnsi="Arial" w:cs="Arial"/>
        </w:rPr>
        <w:t xml:space="preserve"> </w:t>
      </w:r>
      <w:r w:rsidR="00351143">
        <w:rPr>
          <w:rFonts w:ascii="Arial" w:hAnsi="Arial" w:cs="Arial"/>
        </w:rPr>
        <w:t>In 2016</w:t>
      </w:r>
      <w:r w:rsidR="004F05A0">
        <w:rPr>
          <w:rFonts w:ascii="Arial" w:hAnsi="Arial" w:cs="Arial"/>
        </w:rPr>
        <w:t>,</w:t>
      </w:r>
      <w:r w:rsidR="00351143">
        <w:rPr>
          <w:rFonts w:ascii="Arial" w:hAnsi="Arial" w:cs="Arial"/>
        </w:rPr>
        <w:t xml:space="preserve"> the Company had Nexant enable the ability to include administrative costs in the model, better aligning the achievable level of potential inclusive of costs to </w:t>
      </w:r>
      <w:r w:rsidR="0097596D">
        <w:rPr>
          <w:rFonts w:ascii="Arial" w:hAnsi="Arial" w:cs="Arial"/>
        </w:rPr>
        <w:t xml:space="preserve">realistically </w:t>
      </w:r>
      <w:r w:rsidR="00351143">
        <w:rPr>
          <w:rFonts w:ascii="Arial" w:hAnsi="Arial" w:cs="Arial"/>
        </w:rPr>
        <w:t>implement programs as described below.</w:t>
      </w:r>
    </w:p>
    <w:p w14:paraId="09DB88DB" w14:textId="77777777" w:rsidR="00FA2580" w:rsidRPr="00086E03" w:rsidRDefault="00FA2580">
      <w:pPr>
        <w:pStyle w:val="ListParagraph"/>
        <w:tabs>
          <w:tab w:val="left" w:pos="90"/>
        </w:tabs>
        <w:spacing w:line="276" w:lineRule="auto"/>
        <w:ind w:left="0"/>
        <w:jc w:val="both"/>
        <w:rPr>
          <w:rFonts w:ascii="Arial" w:hAnsi="Arial" w:cs="Arial"/>
        </w:rPr>
      </w:pPr>
    </w:p>
    <w:p w14:paraId="461DFFD7" w14:textId="1ECF4532" w:rsidR="00FA2580" w:rsidRPr="00E1444F" w:rsidRDefault="00FA2580" w:rsidP="00D012EB">
      <w:pPr>
        <w:pStyle w:val="Heading2"/>
      </w:pPr>
      <w:bookmarkStart w:id="10" w:name="_Toc465678019"/>
      <w:r w:rsidRPr="00E1444F">
        <w:lastRenderedPageBreak/>
        <w:t xml:space="preserve">Administrative costs </w:t>
      </w:r>
      <w:r w:rsidR="00387FFA">
        <w:t>and</w:t>
      </w:r>
      <w:r w:rsidR="009055D6">
        <w:t xml:space="preserve"> </w:t>
      </w:r>
      <w:r w:rsidR="00496A8A" w:rsidRPr="00E1444F">
        <w:t>TEA-Pot</w:t>
      </w:r>
      <w:r w:rsidRPr="00E1444F">
        <w:t xml:space="preserve"> modeling moving forward</w:t>
      </w:r>
      <w:bookmarkEnd w:id="10"/>
      <w:r w:rsidRPr="00E1444F">
        <w:t xml:space="preserve"> </w:t>
      </w:r>
    </w:p>
    <w:p w14:paraId="07ECC37C" w14:textId="6EE35D10" w:rsidR="00351143" w:rsidRDefault="00FA2580">
      <w:pPr>
        <w:pStyle w:val="ListParagraph"/>
        <w:tabs>
          <w:tab w:val="left" w:pos="90"/>
        </w:tabs>
        <w:spacing w:line="276" w:lineRule="auto"/>
        <w:ind w:left="0"/>
        <w:jc w:val="both"/>
        <w:rPr>
          <w:rFonts w:ascii="Arial" w:hAnsi="Arial" w:cs="Arial"/>
        </w:rPr>
      </w:pPr>
      <w:r w:rsidRPr="006975F8">
        <w:rPr>
          <w:rFonts w:ascii="Arial" w:hAnsi="Arial" w:cs="Arial"/>
        </w:rPr>
        <w:t xml:space="preserve">As per Stakeholder </w:t>
      </w:r>
      <w:r w:rsidR="00351143">
        <w:rPr>
          <w:rFonts w:ascii="Arial" w:hAnsi="Arial" w:cs="Arial"/>
        </w:rPr>
        <w:t xml:space="preserve">and Commission </w:t>
      </w:r>
      <w:r w:rsidRPr="006975F8">
        <w:rPr>
          <w:rFonts w:ascii="Arial" w:hAnsi="Arial" w:cs="Arial"/>
        </w:rPr>
        <w:t>request</w:t>
      </w:r>
      <w:r w:rsidR="00136C9F">
        <w:rPr>
          <w:rFonts w:ascii="Arial" w:hAnsi="Arial" w:cs="Arial"/>
        </w:rPr>
        <w:t>,</w:t>
      </w:r>
      <w:r w:rsidRPr="006975F8">
        <w:rPr>
          <w:rFonts w:ascii="Arial" w:hAnsi="Arial" w:cs="Arial"/>
        </w:rPr>
        <w:t xml:space="preserve"> the Company move</w:t>
      </w:r>
      <w:r w:rsidR="00351143">
        <w:rPr>
          <w:rFonts w:ascii="Arial" w:hAnsi="Arial" w:cs="Arial"/>
        </w:rPr>
        <w:t>d</w:t>
      </w:r>
      <w:r w:rsidRPr="006975F8">
        <w:rPr>
          <w:rFonts w:ascii="Arial" w:hAnsi="Arial" w:cs="Arial"/>
        </w:rPr>
        <w:t xml:space="preserve"> away from </w:t>
      </w:r>
      <w:r w:rsidR="00351143">
        <w:rPr>
          <w:rFonts w:ascii="Arial" w:hAnsi="Arial" w:cs="Arial"/>
        </w:rPr>
        <w:t xml:space="preserve">developing a subset of </w:t>
      </w:r>
      <w:r w:rsidRPr="006975F8">
        <w:rPr>
          <w:rFonts w:ascii="Arial" w:hAnsi="Arial" w:cs="Arial"/>
        </w:rPr>
        <w:t xml:space="preserve"> Programmatic </w:t>
      </w:r>
      <w:r w:rsidR="00351143">
        <w:rPr>
          <w:rFonts w:ascii="Arial" w:hAnsi="Arial" w:cs="Arial"/>
        </w:rPr>
        <w:t>Potential below the Achievable level</w:t>
      </w:r>
      <w:r w:rsidRPr="006975F8">
        <w:rPr>
          <w:rFonts w:ascii="Arial" w:hAnsi="Arial" w:cs="Arial"/>
        </w:rPr>
        <w:t xml:space="preserve"> and instead include</w:t>
      </w:r>
      <w:r w:rsidR="00351143">
        <w:rPr>
          <w:rFonts w:ascii="Arial" w:hAnsi="Arial" w:cs="Arial"/>
        </w:rPr>
        <w:t>d</w:t>
      </w:r>
      <w:r w:rsidRPr="006975F8">
        <w:rPr>
          <w:rFonts w:ascii="Arial" w:hAnsi="Arial" w:cs="Arial"/>
        </w:rPr>
        <w:t xml:space="preserve"> administrative costs associated with program implementation under the Achievable screen. The </w:t>
      </w:r>
      <w:r w:rsidR="00496A8A" w:rsidRPr="00496A8A">
        <w:rPr>
          <w:rFonts w:ascii="Arial" w:hAnsi="Arial" w:cs="Arial"/>
        </w:rPr>
        <w:t>TEA-Pot</w:t>
      </w:r>
      <w:r w:rsidRPr="006975F8">
        <w:rPr>
          <w:rFonts w:ascii="Arial" w:hAnsi="Arial" w:cs="Arial"/>
        </w:rPr>
        <w:t xml:space="preserve"> tool developed by Nexant has the capability of factoring the administrative costs into the modeling, but as this was not the initial intent when the model was activated for Cascade</w:t>
      </w:r>
      <w:r w:rsidR="009E23B1">
        <w:rPr>
          <w:rFonts w:ascii="Arial" w:hAnsi="Arial" w:cs="Arial"/>
        </w:rPr>
        <w:t>,</w:t>
      </w:r>
      <w:r w:rsidRPr="006975F8">
        <w:rPr>
          <w:rFonts w:ascii="Arial" w:hAnsi="Arial" w:cs="Arial"/>
        </w:rPr>
        <w:t xml:space="preserve"> it was not </w:t>
      </w:r>
      <w:r w:rsidR="009E23B1">
        <w:rPr>
          <w:rFonts w:ascii="Arial" w:hAnsi="Arial" w:cs="Arial"/>
        </w:rPr>
        <w:t>initially</w:t>
      </w:r>
      <w:r w:rsidR="00351143">
        <w:rPr>
          <w:rFonts w:ascii="Arial" w:hAnsi="Arial" w:cs="Arial"/>
        </w:rPr>
        <w:t xml:space="preserve"> </w:t>
      </w:r>
      <w:r w:rsidR="009E23B1">
        <w:rPr>
          <w:rFonts w:ascii="Arial" w:hAnsi="Arial" w:cs="Arial"/>
        </w:rPr>
        <w:t>enabled</w:t>
      </w:r>
      <w:r w:rsidRPr="006975F8">
        <w:rPr>
          <w:rFonts w:ascii="Arial" w:hAnsi="Arial" w:cs="Arial"/>
        </w:rPr>
        <w:t xml:space="preserve">.  The Company requested Nexant activate </w:t>
      </w:r>
      <w:r w:rsidR="009F46EF" w:rsidRPr="006975F8">
        <w:rPr>
          <w:rFonts w:ascii="Arial" w:hAnsi="Arial" w:cs="Arial"/>
        </w:rPr>
        <w:t>th</w:t>
      </w:r>
      <w:r w:rsidR="009F46EF">
        <w:rPr>
          <w:rFonts w:ascii="Arial" w:hAnsi="Arial" w:cs="Arial"/>
        </w:rPr>
        <w:t>is</w:t>
      </w:r>
      <w:r w:rsidR="009F46EF" w:rsidRPr="006975F8">
        <w:rPr>
          <w:rFonts w:ascii="Arial" w:hAnsi="Arial" w:cs="Arial"/>
        </w:rPr>
        <w:t xml:space="preserve"> </w:t>
      </w:r>
      <w:r w:rsidR="004C7BFC">
        <w:rPr>
          <w:rFonts w:ascii="Arial" w:hAnsi="Arial" w:cs="Arial"/>
        </w:rPr>
        <w:t>feature</w:t>
      </w:r>
      <w:r w:rsidR="009F46EF">
        <w:rPr>
          <w:rFonts w:ascii="Arial" w:hAnsi="Arial" w:cs="Arial"/>
        </w:rPr>
        <w:t xml:space="preserve"> </w:t>
      </w:r>
      <w:r w:rsidR="004F05A0">
        <w:rPr>
          <w:rFonts w:ascii="Arial" w:hAnsi="Arial" w:cs="Arial"/>
        </w:rPr>
        <w:t xml:space="preserve">in </w:t>
      </w:r>
      <w:r w:rsidR="004F05A0">
        <w:rPr>
          <w:rFonts w:ascii="Arial" w:hAnsi="Arial" w:cs="Arial"/>
        </w:rPr>
        <w:lastRenderedPageBreak/>
        <w:t xml:space="preserve">2015 </w:t>
      </w:r>
      <w:r w:rsidR="009F46EF">
        <w:rPr>
          <w:rFonts w:ascii="Arial" w:hAnsi="Arial" w:cs="Arial"/>
        </w:rPr>
        <w:t>in order</w:t>
      </w:r>
      <w:r w:rsidR="004C7BFC" w:rsidRPr="006975F8">
        <w:rPr>
          <w:rFonts w:ascii="Arial" w:hAnsi="Arial" w:cs="Arial"/>
        </w:rPr>
        <w:t xml:space="preserve"> </w:t>
      </w:r>
      <w:r w:rsidRPr="006975F8">
        <w:rPr>
          <w:rFonts w:ascii="Arial" w:hAnsi="Arial" w:cs="Arial"/>
        </w:rPr>
        <w:t>to include administrative costs as an input in the model</w:t>
      </w:r>
      <w:r w:rsidR="008A2B76">
        <w:rPr>
          <w:rFonts w:ascii="Arial" w:hAnsi="Arial" w:cs="Arial"/>
        </w:rPr>
        <w:t xml:space="preserve">. The model now </w:t>
      </w:r>
      <w:r w:rsidRPr="006975F8">
        <w:rPr>
          <w:rFonts w:ascii="Arial" w:hAnsi="Arial" w:cs="Arial"/>
        </w:rPr>
        <w:t>provi</w:t>
      </w:r>
      <w:r w:rsidR="008A2B76">
        <w:rPr>
          <w:rFonts w:ascii="Arial" w:hAnsi="Arial" w:cs="Arial"/>
        </w:rPr>
        <w:t>des</w:t>
      </w:r>
      <w:r w:rsidRPr="006975F8">
        <w:rPr>
          <w:rFonts w:ascii="Arial" w:hAnsi="Arial" w:cs="Arial"/>
        </w:rPr>
        <w:t xml:space="preserve"> forecasts </w:t>
      </w:r>
      <w:r w:rsidR="00351143">
        <w:rPr>
          <w:rFonts w:ascii="Arial" w:hAnsi="Arial" w:cs="Arial"/>
        </w:rPr>
        <w:t>inclusive of the administrative costs</w:t>
      </w:r>
      <w:r w:rsidR="009E23B1">
        <w:rPr>
          <w:rFonts w:ascii="Arial" w:hAnsi="Arial" w:cs="Arial"/>
        </w:rPr>
        <w:t xml:space="preserve"> and </w:t>
      </w:r>
      <w:r w:rsidR="004952FE">
        <w:rPr>
          <w:rFonts w:ascii="Arial" w:hAnsi="Arial" w:cs="Arial"/>
        </w:rPr>
        <w:t>will be used</w:t>
      </w:r>
      <w:r w:rsidR="00351143">
        <w:rPr>
          <w:rFonts w:ascii="Arial" w:hAnsi="Arial" w:cs="Arial"/>
        </w:rPr>
        <w:t xml:space="preserve"> </w:t>
      </w:r>
      <w:r w:rsidRPr="006975F8">
        <w:rPr>
          <w:rFonts w:ascii="Arial" w:hAnsi="Arial" w:cs="Arial"/>
        </w:rPr>
        <w:t>in</w:t>
      </w:r>
      <w:r w:rsidR="0060061C">
        <w:rPr>
          <w:rFonts w:ascii="Arial" w:hAnsi="Arial" w:cs="Arial"/>
        </w:rPr>
        <w:t xml:space="preserve"> estimates of potential for</w:t>
      </w:r>
      <w:r w:rsidRPr="006975F8">
        <w:rPr>
          <w:rFonts w:ascii="Arial" w:hAnsi="Arial" w:cs="Arial"/>
        </w:rPr>
        <w:t xml:space="preserve"> </w:t>
      </w:r>
      <w:r w:rsidR="00724CBD">
        <w:rPr>
          <w:rFonts w:ascii="Arial" w:hAnsi="Arial" w:cs="Arial"/>
        </w:rPr>
        <w:t>the full forecast horizon in this Plan</w:t>
      </w:r>
      <w:r w:rsidRPr="006975F8">
        <w:rPr>
          <w:rFonts w:ascii="Arial" w:hAnsi="Arial" w:cs="Arial"/>
        </w:rPr>
        <w:t xml:space="preserve">.  </w:t>
      </w:r>
    </w:p>
    <w:p w14:paraId="21142080" w14:textId="77777777" w:rsidR="00351143" w:rsidRDefault="00351143">
      <w:pPr>
        <w:pStyle w:val="ListParagraph"/>
        <w:tabs>
          <w:tab w:val="left" w:pos="90"/>
        </w:tabs>
        <w:spacing w:line="276" w:lineRule="auto"/>
        <w:ind w:left="0"/>
        <w:jc w:val="both"/>
        <w:rPr>
          <w:rFonts w:ascii="Arial" w:hAnsi="Arial" w:cs="Arial"/>
        </w:rPr>
      </w:pPr>
    </w:p>
    <w:p w14:paraId="1C2F87AC" w14:textId="0416CABF" w:rsidR="00FA2580" w:rsidRPr="00881D8B" w:rsidRDefault="00FA2580">
      <w:pPr>
        <w:pStyle w:val="ListParagraph"/>
        <w:tabs>
          <w:tab w:val="left" w:pos="90"/>
        </w:tabs>
        <w:spacing w:line="276" w:lineRule="auto"/>
        <w:ind w:left="0"/>
        <w:jc w:val="both"/>
        <w:rPr>
          <w:rFonts w:ascii="Arial" w:hAnsi="Arial" w:cs="Arial"/>
        </w:rPr>
      </w:pPr>
      <w:r w:rsidRPr="006975F8">
        <w:rPr>
          <w:rFonts w:ascii="Arial" w:hAnsi="Arial" w:cs="Arial"/>
        </w:rPr>
        <w:t>Please note, the Company maintains the Achievable potential (with admin</w:t>
      </w:r>
      <w:r w:rsidR="00351143">
        <w:rPr>
          <w:rFonts w:ascii="Arial" w:hAnsi="Arial" w:cs="Arial"/>
        </w:rPr>
        <w:t>istrative costs</w:t>
      </w:r>
      <w:r w:rsidRPr="006975F8">
        <w:rPr>
          <w:rFonts w:ascii="Arial" w:hAnsi="Arial" w:cs="Arial"/>
        </w:rPr>
        <w:t xml:space="preserve"> included) will still be an </w:t>
      </w:r>
      <w:r w:rsidRPr="006975F8">
        <w:rPr>
          <w:rFonts w:ascii="Arial" w:hAnsi="Arial" w:cs="Arial"/>
          <w:i/>
        </w:rPr>
        <w:t>aspirational</w:t>
      </w:r>
      <w:r w:rsidRPr="006975F8">
        <w:rPr>
          <w:rFonts w:ascii="Arial" w:hAnsi="Arial" w:cs="Arial"/>
        </w:rPr>
        <w:t xml:space="preserve"> goal (especially as it relates to the residential program) and believes it does not provide the same level of refinement to goal setting as can be performed at a program</w:t>
      </w:r>
      <w:r w:rsidR="004B54B4">
        <w:rPr>
          <w:rFonts w:ascii="Arial" w:hAnsi="Arial" w:cs="Arial"/>
        </w:rPr>
        <w:t xml:space="preserve"> </w:t>
      </w:r>
      <w:r w:rsidR="002C45F2">
        <w:rPr>
          <w:rFonts w:ascii="Arial" w:hAnsi="Arial" w:cs="Arial"/>
        </w:rPr>
        <w:t>implementer</w:t>
      </w:r>
      <w:r w:rsidR="004B54B4">
        <w:rPr>
          <w:rFonts w:ascii="Arial" w:hAnsi="Arial" w:cs="Arial"/>
        </w:rPr>
        <w:t xml:space="preserve"> </w:t>
      </w:r>
      <w:r w:rsidRPr="006975F8">
        <w:rPr>
          <w:rFonts w:ascii="Arial" w:hAnsi="Arial" w:cs="Arial"/>
        </w:rPr>
        <w:t xml:space="preserve">level.  Having said </w:t>
      </w:r>
      <w:r w:rsidRPr="006975F8">
        <w:rPr>
          <w:rFonts w:ascii="Arial" w:hAnsi="Arial" w:cs="Arial"/>
        </w:rPr>
        <w:lastRenderedPageBreak/>
        <w:t xml:space="preserve">that, this method </w:t>
      </w:r>
      <w:r w:rsidR="00937B70">
        <w:rPr>
          <w:rFonts w:ascii="Arial" w:hAnsi="Arial" w:cs="Arial"/>
        </w:rPr>
        <w:t xml:space="preserve">does </w:t>
      </w:r>
      <w:r w:rsidRPr="006975F8">
        <w:rPr>
          <w:rFonts w:ascii="Arial" w:hAnsi="Arial" w:cs="Arial"/>
        </w:rPr>
        <w:t>allow the Company to set future goals commensurate with the Achievable level through the modeling tool</w:t>
      </w:r>
      <w:r w:rsidR="00351143">
        <w:rPr>
          <w:rFonts w:ascii="Arial" w:hAnsi="Arial" w:cs="Arial"/>
        </w:rPr>
        <w:t>,</w:t>
      </w:r>
      <w:r w:rsidRPr="006975F8">
        <w:rPr>
          <w:rFonts w:ascii="Arial" w:hAnsi="Arial" w:cs="Arial"/>
        </w:rPr>
        <w:t xml:space="preserve"> while increasing transparency.</w:t>
      </w:r>
    </w:p>
    <w:p w14:paraId="66749BA9" w14:textId="77777777" w:rsidR="00FA2580" w:rsidRPr="00881D8B" w:rsidRDefault="00FA2580">
      <w:pPr>
        <w:pStyle w:val="ListParagraph"/>
        <w:tabs>
          <w:tab w:val="left" w:pos="90"/>
        </w:tabs>
        <w:spacing w:line="276" w:lineRule="auto"/>
        <w:ind w:left="0"/>
        <w:jc w:val="both"/>
        <w:rPr>
          <w:rFonts w:ascii="Arial" w:hAnsi="Arial" w:cs="Arial"/>
        </w:rPr>
      </w:pPr>
    </w:p>
    <w:p w14:paraId="22849BDB" w14:textId="796CB6BC" w:rsidR="00525FE4" w:rsidRPr="00AC330F" w:rsidRDefault="00D67AF8">
      <w:pPr>
        <w:pStyle w:val="ListParagraph"/>
        <w:tabs>
          <w:tab w:val="left" w:pos="90"/>
        </w:tabs>
        <w:spacing w:line="276" w:lineRule="auto"/>
        <w:ind w:left="0"/>
        <w:jc w:val="both"/>
        <w:rPr>
          <w:rFonts w:ascii="Arial" w:hAnsi="Arial" w:cs="Arial"/>
        </w:rPr>
      </w:pPr>
      <w:r w:rsidRPr="00881D8B">
        <w:rPr>
          <w:rFonts w:ascii="Arial" w:hAnsi="Arial" w:cs="Arial"/>
        </w:rPr>
        <w:t xml:space="preserve">The following section elaborates on the methods used by the </w:t>
      </w:r>
      <w:r w:rsidR="00496A8A" w:rsidRPr="00496A8A">
        <w:rPr>
          <w:rFonts w:ascii="Arial" w:hAnsi="Arial" w:cs="Arial"/>
        </w:rPr>
        <w:t>TEA-Pot</w:t>
      </w:r>
      <w:r w:rsidRPr="00881D8B">
        <w:rPr>
          <w:rFonts w:ascii="Arial" w:hAnsi="Arial" w:cs="Arial"/>
        </w:rPr>
        <w:t xml:space="preserve"> model to develop the three levels of </w:t>
      </w:r>
      <w:r w:rsidRPr="00086E03">
        <w:rPr>
          <w:rFonts w:ascii="Arial" w:hAnsi="Arial" w:cs="Arial"/>
        </w:rPr>
        <w:t xml:space="preserve">Potential for the programs and subsequent creation of the Company’s 2-year plan.  </w:t>
      </w:r>
    </w:p>
    <w:p w14:paraId="545BE4E4" w14:textId="77777777" w:rsidR="00785954" w:rsidRPr="003913CE" w:rsidRDefault="00785954">
      <w:pPr>
        <w:spacing w:after="0"/>
        <w:ind w:right="83"/>
        <w:contextualSpacing/>
        <w:jc w:val="both"/>
      </w:pPr>
    </w:p>
    <w:p w14:paraId="6468F1D7" w14:textId="4C195C85" w:rsidR="00525FE4" w:rsidRPr="00ED616A" w:rsidRDefault="00525FE4">
      <w:pPr>
        <w:spacing w:after="0"/>
        <w:ind w:right="83"/>
        <w:contextualSpacing/>
        <w:jc w:val="both"/>
      </w:pPr>
      <w:r w:rsidRPr="003913CE">
        <w:t xml:space="preserve">Industry standard cost effectiveness tests </w:t>
      </w:r>
      <w:r w:rsidR="00785A69">
        <w:t xml:space="preserve">as identified in the California Standard Practices </w:t>
      </w:r>
      <w:r w:rsidR="009E23B1">
        <w:t>Manual,</w:t>
      </w:r>
      <w:r w:rsidR="00785A69">
        <w:t xml:space="preserve"> </w:t>
      </w:r>
      <w:r w:rsidR="00724CBD">
        <w:t>are</w:t>
      </w:r>
      <w:r w:rsidR="00724CBD" w:rsidRPr="003913CE">
        <w:t xml:space="preserve"> </w:t>
      </w:r>
      <w:r w:rsidRPr="003913CE">
        <w:t xml:space="preserve">performed to gauge the economic merits of the portfolio. </w:t>
      </w:r>
      <w:r w:rsidRPr="003913CE">
        <w:lastRenderedPageBreak/>
        <w:t>Each test compare</w:t>
      </w:r>
      <w:r w:rsidR="00724CBD">
        <w:t>s</w:t>
      </w:r>
      <w:r w:rsidRPr="003913CE">
        <w:t xml:space="preserve"> the benefits of the energy efficiency</w:t>
      </w:r>
      <w:r w:rsidRPr="00ED616A">
        <w:t xml:space="preserve"> metric to their costs defined in terms of net present value of future cash flows.</w:t>
      </w:r>
    </w:p>
    <w:p w14:paraId="2912BE57" w14:textId="77777777" w:rsidR="00525FE4" w:rsidRPr="00ED616A" w:rsidRDefault="00525FE4">
      <w:pPr>
        <w:spacing w:after="0"/>
        <w:ind w:right="83"/>
        <w:contextualSpacing/>
        <w:jc w:val="both"/>
      </w:pPr>
    </w:p>
    <w:p w14:paraId="656633FC" w14:textId="77777777" w:rsidR="00423603" w:rsidRDefault="00525FE4">
      <w:pPr>
        <w:spacing w:after="0"/>
        <w:ind w:right="83"/>
        <w:contextualSpacing/>
        <w:jc w:val="both"/>
      </w:pPr>
      <w:bookmarkStart w:id="11" w:name="_Toc465678020"/>
      <w:r w:rsidRPr="00351143">
        <w:rPr>
          <w:rStyle w:val="Heading2Char"/>
        </w:rPr>
        <w:t>Total Resource Cost test (TRC)</w:t>
      </w:r>
      <w:bookmarkEnd w:id="11"/>
      <w:r w:rsidRPr="00351143">
        <w:rPr>
          <w:b/>
          <w:i/>
        </w:rPr>
        <w:t>.</w:t>
      </w:r>
      <w:r w:rsidRPr="00351143">
        <w:t xml:space="preserve"> </w:t>
      </w:r>
    </w:p>
    <w:p w14:paraId="5BEF6099" w14:textId="77777777" w:rsidR="009E23B1" w:rsidRDefault="00525FE4">
      <w:pPr>
        <w:spacing w:after="0"/>
        <w:ind w:right="83"/>
        <w:contextualSpacing/>
        <w:jc w:val="both"/>
      </w:pPr>
      <w:r w:rsidRPr="00351143">
        <w:t>Th</w:t>
      </w:r>
      <w:r w:rsidR="00F323F6">
        <w:t xml:space="preserve">is test weighs </w:t>
      </w:r>
      <w:r w:rsidR="00423603" w:rsidRPr="00E147C5">
        <w:t>avoided energy costs and avoided capacity costs</w:t>
      </w:r>
      <w:r w:rsidR="00423603">
        <w:t xml:space="preserve"> for the lifetime of the measure</w:t>
      </w:r>
      <w:r w:rsidR="00F323F6">
        <w:t xml:space="preserve"> </w:t>
      </w:r>
      <w:r w:rsidR="009F5568">
        <w:t xml:space="preserve">(and non-energy benefits) </w:t>
      </w:r>
      <w:r w:rsidR="00F323F6">
        <w:t xml:space="preserve">against the total installed costs </w:t>
      </w:r>
      <w:r w:rsidR="00341CF5">
        <w:t>and administrative cost</w:t>
      </w:r>
      <w:r w:rsidR="00D80234">
        <w:t>s</w:t>
      </w:r>
      <w:r w:rsidR="00341CF5">
        <w:t xml:space="preserve"> incurred by the utility for an </w:t>
      </w:r>
      <w:r w:rsidR="00F323F6">
        <w:t>energy conservation measure or portfolio to determine if it is in the interests of the customer. It is assumed that a cus</w:t>
      </w:r>
      <w:r w:rsidR="00F323F6">
        <w:lastRenderedPageBreak/>
        <w:t>tomer’s decision to participate in an energy conservation effort is solely economic, and that it is the responsibility of the program administrator to screen-out measures that are expensive as compared to lower efficiency technologies.</w:t>
      </w:r>
      <w:r w:rsidR="00724CBD">
        <w:t xml:space="preserve">  While the Company did not run the TEA-Pot model under the TRC, annual reporting for the program will include the calculation of cost effectiveness under a TRC for reference as per UG-121207.</w:t>
      </w:r>
    </w:p>
    <w:p w14:paraId="4F1CE566" w14:textId="5CDED491" w:rsidR="00525FE4" w:rsidRPr="009E23B1" w:rsidRDefault="00525FE4">
      <w:pPr>
        <w:spacing w:after="0"/>
        <w:ind w:right="83"/>
        <w:contextualSpacing/>
        <w:jc w:val="both"/>
      </w:pPr>
    </w:p>
    <w:p w14:paraId="1EB47000" w14:textId="77777777" w:rsidR="00423603" w:rsidRDefault="00525FE4">
      <w:pPr>
        <w:spacing w:after="0"/>
        <w:ind w:right="83"/>
        <w:contextualSpacing/>
        <w:jc w:val="both"/>
      </w:pPr>
      <w:bookmarkStart w:id="12" w:name="_Toc465678021"/>
      <w:r w:rsidRPr="00E147C5">
        <w:rPr>
          <w:rStyle w:val="Heading2Char"/>
        </w:rPr>
        <w:t>Utility Cost Test (UCT)</w:t>
      </w:r>
      <w:bookmarkEnd w:id="12"/>
      <w:r w:rsidRPr="00E147C5">
        <w:rPr>
          <w:b/>
          <w:i/>
        </w:rPr>
        <w:t>.</w:t>
      </w:r>
      <w:r w:rsidRPr="00E147C5">
        <w:t xml:space="preserve"> </w:t>
      </w:r>
    </w:p>
    <w:p w14:paraId="22995312" w14:textId="03FF2C84" w:rsidR="00525FE4" w:rsidRPr="004B54B4" w:rsidRDefault="00525FE4">
      <w:pPr>
        <w:spacing w:after="0"/>
        <w:ind w:right="83"/>
        <w:contextualSpacing/>
        <w:jc w:val="both"/>
      </w:pPr>
      <w:r w:rsidRPr="00E147C5">
        <w:t xml:space="preserve">The benefits in this test are the avoided energy costs </w:t>
      </w:r>
      <w:r w:rsidRPr="00E147C5">
        <w:lastRenderedPageBreak/>
        <w:t>and avoided capacity costs</w:t>
      </w:r>
      <w:r w:rsidR="004B54B4">
        <w:t xml:space="preserve"> for the lifetime of the measure</w:t>
      </w:r>
      <w:r w:rsidRPr="004B54B4">
        <w:t>, the same as the TRC benefits. The costs in this test are the program administrator’s incentive costs and administrative costs.</w:t>
      </w:r>
      <w:r w:rsidR="001E6306">
        <w:t xml:space="preserve"> Under this test, the customer is considered a rational actor who may assign multiple forms of value to an energy conservation purchase.</w:t>
      </w:r>
      <w:r w:rsidR="00D80234">
        <w:t xml:space="preserve"> The cost of the measure is not taken into consideration, thus allowing for higher-cost measure</w:t>
      </w:r>
      <w:r w:rsidR="009E23B1">
        <w:t>s</w:t>
      </w:r>
      <w:r w:rsidR="00D80234">
        <w:t xml:space="preserve"> with deep, long-term energy savings potential to achieve deeper market transformation. </w:t>
      </w:r>
    </w:p>
    <w:p w14:paraId="6F14AB49" w14:textId="77777777" w:rsidR="00525FE4" w:rsidRPr="004B54B4" w:rsidRDefault="00525FE4">
      <w:pPr>
        <w:spacing w:after="0"/>
        <w:ind w:right="83"/>
        <w:contextualSpacing/>
        <w:jc w:val="both"/>
      </w:pPr>
    </w:p>
    <w:p w14:paraId="06FBEFE2" w14:textId="4B00E17A" w:rsidR="00525FE4" w:rsidRPr="00AC330F" w:rsidRDefault="00525FE4" w:rsidP="009F2FB8">
      <w:pPr>
        <w:pStyle w:val="ListParagraph"/>
        <w:tabs>
          <w:tab w:val="left" w:pos="90"/>
        </w:tabs>
        <w:spacing w:line="276" w:lineRule="auto"/>
        <w:ind w:left="0"/>
        <w:jc w:val="both"/>
        <w:rPr>
          <w:rFonts w:ascii="Arial" w:hAnsi="Arial" w:cs="Arial"/>
        </w:rPr>
      </w:pPr>
      <w:r w:rsidRPr="00804108">
        <w:rPr>
          <w:rFonts w:ascii="Arial" w:hAnsi="Arial" w:cs="Arial"/>
        </w:rPr>
        <w:lastRenderedPageBreak/>
        <w:t xml:space="preserve">Cost effectiveness was measured under a base-case scenario of Cascade’s current avoided costs </w:t>
      </w:r>
      <w:r w:rsidR="004B54B4">
        <w:rPr>
          <w:rFonts w:ascii="Arial" w:hAnsi="Arial" w:cs="Arial"/>
        </w:rPr>
        <w:t>used in the most recent iteration of the 2016 IRP which is in review status now</w:t>
      </w:r>
      <w:r w:rsidRPr="004B54B4">
        <w:rPr>
          <w:rFonts w:ascii="Arial" w:hAnsi="Arial" w:cs="Arial"/>
        </w:rPr>
        <w:t xml:space="preserve">, </w:t>
      </w:r>
      <w:r w:rsidR="00D5085F">
        <w:rPr>
          <w:rFonts w:ascii="Arial" w:hAnsi="Arial" w:cs="Arial"/>
        </w:rPr>
        <w:t>along with</w:t>
      </w:r>
      <w:r w:rsidR="00D5085F" w:rsidRPr="004B54B4">
        <w:rPr>
          <w:rFonts w:ascii="Arial" w:hAnsi="Arial" w:cs="Arial"/>
        </w:rPr>
        <w:t xml:space="preserve"> </w:t>
      </w:r>
      <w:r w:rsidRPr="004B54B4">
        <w:rPr>
          <w:rFonts w:ascii="Arial" w:hAnsi="Arial" w:cs="Arial"/>
        </w:rPr>
        <w:t xml:space="preserve">an incentive rate </w:t>
      </w:r>
      <w:r w:rsidR="004B54B4">
        <w:rPr>
          <w:rFonts w:ascii="Arial" w:hAnsi="Arial" w:cs="Arial"/>
        </w:rPr>
        <w:t>near</w:t>
      </w:r>
      <w:r w:rsidRPr="004B54B4">
        <w:rPr>
          <w:rFonts w:ascii="Arial" w:hAnsi="Arial" w:cs="Arial"/>
        </w:rPr>
        <w:t xml:space="preserve"> 30%</w:t>
      </w:r>
      <w:r w:rsidR="004B54B4">
        <w:rPr>
          <w:rFonts w:ascii="Arial" w:hAnsi="Arial" w:cs="Arial"/>
        </w:rPr>
        <w:t xml:space="preserve"> for most measures</w:t>
      </w:r>
      <w:r w:rsidR="009F2FB8">
        <w:rPr>
          <w:rFonts w:ascii="Arial" w:hAnsi="Arial" w:cs="Arial"/>
        </w:rPr>
        <w:t xml:space="preserve"> and 50% for a screened select set of measures</w:t>
      </w:r>
      <w:r w:rsidRPr="004B54B4">
        <w:rPr>
          <w:rFonts w:ascii="Arial" w:hAnsi="Arial" w:cs="Arial"/>
        </w:rPr>
        <w:t xml:space="preserve">. </w:t>
      </w:r>
      <w:r w:rsidR="004B54B4">
        <w:rPr>
          <w:rFonts w:ascii="Arial" w:hAnsi="Arial" w:cs="Arial"/>
        </w:rPr>
        <w:t>The Company will further discuss opportunities for altering incentive rates later in this plan.</w:t>
      </w:r>
      <w:r w:rsidRPr="004B54B4">
        <w:rPr>
          <w:rFonts w:ascii="Arial" w:hAnsi="Arial" w:cs="Arial"/>
        </w:rPr>
        <w:t xml:space="preserve"> </w:t>
      </w:r>
      <w:r w:rsidR="004B54B4">
        <w:rPr>
          <w:rFonts w:ascii="Arial" w:hAnsi="Arial" w:cs="Arial"/>
        </w:rPr>
        <w:t>I</w:t>
      </w:r>
      <w:r w:rsidRPr="004B54B4">
        <w:rPr>
          <w:rFonts w:ascii="Arial" w:hAnsi="Arial" w:cs="Arial"/>
        </w:rPr>
        <w:t xml:space="preserve">nputs can be altered within the </w:t>
      </w:r>
      <w:r w:rsidR="00496A8A" w:rsidRPr="00496A8A">
        <w:rPr>
          <w:rFonts w:ascii="Arial" w:hAnsi="Arial" w:cs="Arial"/>
        </w:rPr>
        <w:t>TEA-Pot</w:t>
      </w:r>
      <w:r w:rsidRPr="00881D8B">
        <w:rPr>
          <w:rFonts w:ascii="Arial" w:hAnsi="Arial" w:cs="Arial"/>
        </w:rPr>
        <w:t xml:space="preserve"> model and updated by the Company on an ongoing basis as appropriate. </w:t>
      </w:r>
    </w:p>
    <w:p w14:paraId="0A2E54FF" w14:textId="77777777" w:rsidR="006C2E93" w:rsidRPr="00AC330F" w:rsidRDefault="006C2E93" w:rsidP="00345614">
      <w:pPr>
        <w:pStyle w:val="ListParagraph"/>
        <w:tabs>
          <w:tab w:val="left" w:pos="90"/>
        </w:tabs>
        <w:spacing w:line="276" w:lineRule="auto"/>
        <w:ind w:left="0"/>
        <w:jc w:val="both"/>
        <w:rPr>
          <w:rFonts w:ascii="Arial" w:hAnsi="Arial" w:cs="Arial"/>
        </w:rPr>
      </w:pPr>
    </w:p>
    <w:p w14:paraId="2E7F6E57" w14:textId="6F1D6919" w:rsidR="0068556F" w:rsidRPr="00E147C5" w:rsidRDefault="00525FE4" w:rsidP="008663BB">
      <w:pPr>
        <w:spacing w:after="0"/>
        <w:ind w:right="83"/>
        <w:contextualSpacing/>
        <w:jc w:val="both"/>
      </w:pPr>
      <w:bookmarkStart w:id="13" w:name="_Toc465678022"/>
      <w:r w:rsidRPr="003913CE">
        <w:rPr>
          <w:rStyle w:val="Heading2Char"/>
        </w:rPr>
        <w:t>Market Segmentation Findings</w:t>
      </w:r>
      <w:bookmarkEnd w:id="13"/>
      <w:r w:rsidRPr="003913CE">
        <w:rPr>
          <w:b/>
        </w:rPr>
        <w:t>:</w:t>
      </w:r>
      <w:r w:rsidRPr="00ED616A">
        <w:t xml:space="preserve">  An important first </w:t>
      </w:r>
      <w:r w:rsidRPr="00ED616A">
        <w:lastRenderedPageBreak/>
        <w:t>step in calculating Cascade’s energy efficiency potential estimates is to establish baseline energy usage characteristics and disaggregate the market by sector, segment, and end use. In its final report to the Company</w:t>
      </w:r>
      <w:r w:rsidR="002F4863">
        <w:t>,</w:t>
      </w:r>
      <w:r w:rsidRPr="00ED616A">
        <w:t xml:space="preserve"> Nexant offered the Company co</w:t>
      </w:r>
      <w:r w:rsidRPr="00351143">
        <w:t xml:space="preserve">ntrol totals to which all energy usage was calibrated in the base year of the study and then </w:t>
      </w:r>
      <w:r w:rsidRPr="004B54B4">
        <w:t xml:space="preserve">forecasted while using the same three climate zones the </w:t>
      </w:r>
      <w:r w:rsidR="00FC36F5">
        <w:t>C</w:t>
      </w:r>
      <w:r w:rsidR="00FC36F5" w:rsidRPr="004B54B4">
        <w:t xml:space="preserve">ompany </w:t>
      </w:r>
      <w:r w:rsidRPr="004B54B4">
        <w:t>has used in the past for calculating its potential. This resulted in a calculation of total natural gas consumption by eligible residential, commercial and industrial customers in Cascade’s Wa</w:t>
      </w:r>
      <w:r w:rsidRPr="00804108">
        <w:t>shington service territory</w:t>
      </w:r>
      <w:r w:rsidR="004076C4" w:rsidRPr="00E147C5">
        <w:t>.</w:t>
      </w:r>
      <w:r w:rsidRPr="00E147C5">
        <w:t xml:space="preserve"> </w:t>
      </w:r>
    </w:p>
    <w:p w14:paraId="69B8BFD1" w14:textId="24944821" w:rsidR="00075DDB" w:rsidRDefault="00075DDB">
      <w:pPr>
        <w:widowControl/>
        <w:spacing w:after="0" w:line="240" w:lineRule="auto"/>
      </w:pPr>
      <w:r>
        <w:lastRenderedPageBreak/>
        <w:br w:type="page"/>
      </w:r>
    </w:p>
    <w:p w14:paraId="404AB75D" w14:textId="77777777" w:rsidR="008C0927" w:rsidRPr="00E147C5" w:rsidRDefault="008C0927" w:rsidP="0068556F">
      <w:pPr>
        <w:spacing w:after="0"/>
        <w:ind w:right="83"/>
        <w:contextualSpacing/>
        <w:jc w:val="both"/>
      </w:pPr>
    </w:p>
    <w:p w14:paraId="747CFAC6" w14:textId="1D2663BE" w:rsidR="004076C4" w:rsidRPr="00E147C5" w:rsidRDefault="00F4693C" w:rsidP="004076C4">
      <w:pPr>
        <w:widowControl/>
        <w:spacing w:after="0" w:line="240" w:lineRule="auto"/>
        <w:jc w:val="center"/>
        <w:rPr>
          <w:b/>
          <w:spacing w:val="-3"/>
        </w:rPr>
      </w:pPr>
      <w:r w:rsidRPr="00F657A9">
        <w:rPr>
          <w:b/>
          <w:spacing w:val="-3"/>
          <w:sz w:val="18"/>
        </w:rPr>
        <w:t xml:space="preserve">Table </w:t>
      </w:r>
      <w:r w:rsidR="00BE0C95" w:rsidRPr="00F657A9">
        <w:rPr>
          <w:b/>
          <w:spacing w:val="-3"/>
          <w:sz w:val="18"/>
        </w:rPr>
        <w:t>3</w:t>
      </w:r>
    </w:p>
    <w:tbl>
      <w:tblPr>
        <w:tblStyle w:val="TableGrid"/>
        <w:tblW w:w="0" w:type="auto"/>
        <w:jc w:val="center"/>
        <w:tblLook w:val="04A0" w:firstRow="1" w:lastRow="0" w:firstColumn="1" w:lastColumn="0" w:noHBand="0" w:noVBand="1"/>
      </w:tblPr>
      <w:tblGrid>
        <w:gridCol w:w="2508"/>
        <w:gridCol w:w="2563"/>
        <w:gridCol w:w="2845"/>
      </w:tblGrid>
      <w:tr w:rsidR="00525FE4" w:rsidRPr="00E147C5" w14:paraId="0C1DDA85" w14:textId="77777777" w:rsidTr="006975F8">
        <w:trPr>
          <w:trHeight w:val="224"/>
          <w:jc w:val="center"/>
        </w:trPr>
        <w:tc>
          <w:tcPr>
            <w:tcW w:w="7916" w:type="dxa"/>
            <w:gridSpan w:val="3"/>
            <w:shd w:val="clear" w:color="auto" w:fill="76923C" w:themeFill="accent3" w:themeFillShade="BF"/>
            <w:vAlign w:val="bottom"/>
          </w:tcPr>
          <w:p w14:paraId="79AD658D" w14:textId="77777777" w:rsidR="00525FE4" w:rsidRPr="006975F8" w:rsidRDefault="00525FE4" w:rsidP="008C0927">
            <w:pPr>
              <w:pStyle w:val="ListParagraph"/>
              <w:ind w:right="83"/>
              <w:jc w:val="center"/>
              <w:rPr>
                <w:rFonts w:ascii="Arial" w:hAnsi="Arial" w:cs="Arial"/>
                <w:b/>
              </w:rPr>
            </w:pPr>
            <w:r w:rsidRPr="006975F8">
              <w:rPr>
                <w:rFonts w:ascii="Arial" w:hAnsi="Arial" w:cs="Arial"/>
                <w:b/>
                <w:sz w:val="22"/>
              </w:rPr>
              <w:t>Washington Conservation Climate Zones by District</w:t>
            </w:r>
          </w:p>
        </w:tc>
      </w:tr>
      <w:tr w:rsidR="00525FE4" w:rsidRPr="00E147C5" w14:paraId="0FA3E07C" w14:textId="77777777" w:rsidTr="008C0927">
        <w:trPr>
          <w:trHeight w:val="233"/>
          <w:jc w:val="center"/>
        </w:trPr>
        <w:tc>
          <w:tcPr>
            <w:tcW w:w="2508" w:type="dxa"/>
            <w:vAlign w:val="center"/>
          </w:tcPr>
          <w:p w14:paraId="7054E360" w14:textId="77777777" w:rsidR="00525FE4" w:rsidRPr="006975F8" w:rsidRDefault="00525FE4" w:rsidP="008C0927">
            <w:pPr>
              <w:pStyle w:val="ListParagraph"/>
              <w:ind w:right="83"/>
              <w:rPr>
                <w:rFonts w:ascii="Arial" w:hAnsi="Arial" w:cs="Arial"/>
                <w:b/>
                <w:sz w:val="20"/>
                <w:u w:val="single"/>
              </w:rPr>
            </w:pPr>
            <w:r w:rsidRPr="006975F8">
              <w:rPr>
                <w:rFonts w:ascii="Arial" w:hAnsi="Arial" w:cs="Arial"/>
                <w:b/>
                <w:sz w:val="20"/>
                <w:u w:val="single"/>
              </w:rPr>
              <w:t>Zone 1</w:t>
            </w:r>
          </w:p>
        </w:tc>
        <w:tc>
          <w:tcPr>
            <w:tcW w:w="2563" w:type="dxa"/>
            <w:vAlign w:val="center"/>
          </w:tcPr>
          <w:p w14:paraId="03A3C986" w14:textId="77777777" w:rsidR="00525FE4" w:rsidRPr="006975F8" w:rsidRDefault="00525FE4" w:rsidP="008C0927">
            <w:pPr>
              <w:pStyle w:val="ListParagraph"/>
              <w:ind w:right="83"/>
              <w:rPr>
                <w:rFonts w:ascii="Arial" w:hAnsi="Arial" w:cs="Arial"/>
                <w:b/>
                <w:sz w:val="20"/>
                <w:u w:val="single"/>
              </w:rPr>
            </w:pPr>
            <w:r w:rsidRPr="006975F8">
              <w:rPr>
                <w:rFonts w:ascii="Arial" w:hAnsi="Arial" w:cs="Arial"/>
                <w:b/>
                <w:sz w:val="20"/>
                <w:u w:val="single"/>
              </w:rPr>
              <w:t>Zone 2</w:t>
            </w:r>
          </w:p>
        </w:tc>
        <w:tc>
          <w:tcPr>
            <w:tcW w:w="2845" w:type="dxa"/>
            <w:vAlign w:val="center"/>
          </w:tcPr>
          <w:p w14:paraId="3D76BFAB" w14:textId="77777777" w:rsidR="00525FE4" w:rsidRPr="006975F8" w:rsidRDefault="00525FE4" w:rsidP="008C0927">
            <w:pPr>
              <w:pStyle w:val="ListParagraph"/>
              <w:ind w:right="83"/>
              <w:rPr>
                <w:rFonts w:ascii="Arial" w:hAnsi="Arial" w:cs="Arial"/>
                <w:b/>
                <w:sz w:val="20"/>
                <w:u w:val="single"/>
              </w:rPr>
            </w:pPr>
            <w:r w:rsidRPr="006975F8">
              <w:rPr>
                <w:rFonts w:ascii="Arial" w:hAnsi="Arial" w:cs="Arial"/>
                <w:b/>
                <w:sz w:val="20"/>
                <w:u w:val="single"/>
              </w:rPr>
              <w:t>Zone 3</w:t>
            </w:r>
          </w:p>
        </w:tc>
      </w:tr>
      <w:tr w:rsidR="00525FE4" w:rsidRPr="00E147C5" w14:paraId="344A37E1" w14:textId="77777777" w:rsidTr="004076C4">
        <w:trPr>
          <w:trHeight w:val="20"/>
          <w:jc w:val="center"/>
        </w:trPr>
        <w:tc>
          <w:tcPr>
            <w:tcW w:w="2508" w:type="dxa"/>
            <w:vAlign w:val="center"/>
          </w:tcPr>
          <w:p w14:paraId="1CE7B4F7" w14:textId="77777777" w:rsidR="00525FE4" w:rsidRPr="00E147C5" w:rsidRDefault="00525FE4" w:rsidP="004076C4">
            <w:pPr>
              <w:pStyle w:val="ListParagraph"/>
              <w:numPr>
                <w:ilvl w:val="0"/>
                <w:numId w:val="17"/>
              </w:numPr>
              <w:ind w:right="83"/>
              <w:rPr>
                <w:rFonts w:ascii="Arial" w:hAnsi="Arial" w:cs="Arial"/>
                <w:sz w:val="20"/>
              </w:rPr>
            </w:pPr>
            <w:r w:rsidRPr="00E147C5">
              <w:rPr>
                <w:rFonts w:ascii="Arial" w:hAnsi="Arial" w:cs="Arial"/>
                <w:sz w:val="20"/>
              </w:rPr>
              <w:t>Bellingham</w:t>
            </w:r>
          </w:p>
        </w:tc>
        <w:tc>
          <w:tcPr>
            <w:tcW w:w="2563" w:type="dxa"/>
            <w:vAlign w:val="center"/>
          </w:tcPr>
          <w:p w14:paraId="001618E3" w14:textId="77777777" w:rsidR="00525FE4" w:rsidRPr="00E147C5" w:rsidRDefault="00525FE4" w:rsidP="004076C4">
            <w:pPr>
              <w:pStyle w:val="ListParagraph"/>
              <w:numPr>
                <w:ilvl w:val="0"/>
                <w:numId w:val="17"/>
              </w:numPr>
              <w:ind w:right="83"/>
              <w:rPr>
                <w:rFonts w:ascii="Arial" w:hAnsi="Arial" w:cs="Arial"/>
                <w:sz w:val="20"/>
              </w:rPr>
            </w:pPr>
            <w:r w:rsidRPr="00E147C5">
              <w:rPr>
                <w:rFonts w:ascii="Arial" w:hAnsi="Arial" w:cs="Arial"/>
                <w:sz w:val="20"/>
              </w:rPr>
              <w:t>Aberdeen</w:t>
            </w:r>
          </w:p>
        </w:tc>
        <w:tc>
          <w:tcPr>
            <w:tcW w:w="2845" w:type="dxa"/>
            <w:vAlign w:val="center"/>
          </w:tcPr>
          <w:p w14:paraId="6AC575EF" w14:textId="77777777" w:rsidR="00525FE4" w:rsidRPr="00E147C5" w:rsidRDefault="00525FE4" w:rsidP="004076C4">
            <w:pPr>
              <w:pStyle w:val="ListParagraph"/>
              <w:numPr>
                <w:ilvl w:val="0"/>
                <w:numId w:val="17"/>
              </w:numPr>
              <w:ind w:right="83"/>
              <w:rPr>
                <w:rFonts w:ascii="Arial" w:hAnsi="Arial" w:cs="Arial"/>
                <w:sz w:val="20"/>
              </w:rPr>
            </w:pPr>
            <w:r w:rsidRPr="00E147C5">
              <w:rPr>
                <w:rFonts w:ascii="Arial" w:hAnsi="Arial" w:cs="Arial"/>
                <w:sz w:val="20"/>
              </w:rPr>
              <w:t>Sunnyside</w:t>
            </w:r>
          </w:p>
        </w:tc>
      </w:tr>
      <w:tr w:rsidR="00525FE4" w:rsidRPr="00E147C5" w14:paraId="79F620F0" w14:textId="77777777" w:rsidTr="004076C4">
        <w:trPr>
          <w:trHeight w:val="20"/>
          <w:jc w:val="center"/>
        </w:trPr>
        <w:tc>
          <w:tcPr>
            <w:tcW w:w="2508" w:type="dxa"/>
            <w:vAlign w:val="center"/>
          </w:tcPr>
          <w:p w14:paraId="1E4E8324" w14:textId="77777777" w:rsidR="00525FE4" w:rsidRPr="00E147C5" w:rsidRDefault="00525FE4" w:rsidP="004076C4">
            <w:pPr>
              <w:pStyle w:val="ListParagraph"/>
              <w:numPr>
                <w:ilvl w:val="0"/>
                <w:numId w:val="17"/>
              </w:numPr>
              <w:ind w:right="83"/>
              <w:rPr>
                <w:rFonts w:ascii="Arial" w:hAnsi="Arial" w:cs="Arial"/>
                <w:sz w:val="20"/>
              </w:rPr>
            </w:pPr>
            <w:r w:rsidRPr="00E147C5">
              <w:rPr>
                <w:rFonts w:ascii="Arial" w:hAnsi="Arial" w:cs="Arial"/>
                <w:sz w:val="20"/>
              </w:rPr>
              <w:t>Mount Vernon</w:t>
            </w:r>
          </w:p>
        </w:tc>
        <w:tc>
          <w:tcPr>
            <w:tcW w:w="2563" w:type="dxa"/>
            <w:vAlign w:val="center"/>
          </w:tcPr>
          <w:p w14:paraId="4509ABBC" w14:textId="77777777" w:rsidR="00525FE4" w:rsidRPr="00E147C5" w:rsidRDefault="00525FE4" w:rsidP="004076C4">
            <w:pPr>
              <w:pStyle w:val="ListParagraph"/>
              <w:numPr>
                <w:ilvl w:val="0"/>
                <w:numId w:val="17"/>
              </w:numPr>
              <w:ind w:right="83"/>
              <w:rPr>
                <w:rFonts w:ascii="Arial" w:hAnsi="Arial" w:cs="Arial"/>
                <w:sz w:val="20"/>
              </w:rPr>
            </w:pPr>
            <w:r w:rsidRPr="00E147C5">
              <w:rPr>
                <w:rFonts w:ascii="Arial" w:hAnsi="Arial" w:cs="Arial"/>
                <w:sz w:val="20"/>
              </w:rPr>
              <w:t>Bremerton</w:t>
            </w:r>
          </w:p>
        </w:tc>
        <w:tc>
          <w:tcPr>
            <w:tcW w:w="2845" w:type="dxa"/>
            <w:vAlign w:val="center"/>
          </w:tcPr>
          <w:p w14:paraId="1F0E12DB" w14:textId="77777777" w:rsidR="00525FE4" w:rsidRPr="00E147C5" w:rsidRDefault="00525FE4" w:rsidP="004076C4">
            <w:pPr>
              <w:pStyle w:val="ListParagraph"/>
              <w:numPr>
                <w:ilvl w:val="0"/>
                <w:numId w:val="17"/>
              </w:numPr>
              <w:ind w:right="83"/>
              <w:rPr>
                <w:rFonts w:ascii="Arial" w:hAnsi="Arial" w:cs="Arial"/>
                <w:sz w:val="20"/>
              </w:rPr>
            </w:pPr>
            <w:r w:rsidRPr="00E147C5">
              <w:rPr>
                <w:rFonts w:ascii="Arial" w:hAnsi="Arial" w:cs="Arial"/>
                <w:sz w:val="20"/>
              </w:rPr>
              <w:t>Tri-Cities</w:t>
            </w:r>
          </w:p>
        </w:tc>
      </w:tr>
      <w:tr w:rsidR="004076C4" w:rsidRPr="00E147C5" w14:paraId="0E558F00" w14:textId="77777777" w:rsidTr="004076C4">
        <w:trPr>
          <w:trHeight w:val="20"/>
          <w:jc w:val="center"/>
        </w:trPr>
        <w:tc>
          <w:tcPr>
            <w:tcW w:w="2508" w:type="dxa"/>
            <w:vAlign w:val="center"/>
          </w:tcPr>
          <w:p w14:paraId="725A9F08" w14:textId="77777777" w:rsidR="004076C4" w:rsidRPr="00E147C5" w:rsidRDefault="004076C4" w:rsidP="008713FB">
            <w:pPr>
              <w:pStyle w:val="ListParagraph"/>
              <w:ind w:right="83"/>
              <w:rPr>
                <w:rFonts w:ascii="Arial" w:hAnsi="Arial" w:cs="Arial"/>
                <w:sz w:val="20"/>
              </w:rPr>
            </w:pPr>
          </w:p>
        </w:tc>
        <w:tc>
          <w:tcPr>
            <w:tcW w:w="2563" w:type="dxa"/>
            <w:vAlign w:val="center"/>
          </w:tcPr>
          <w:p w14:paraId="1993DBE3" w14:textId="77777777" w:rsidR="004076C4" w:rsidRPr="00E147C5" w:rsidRDefault="004076C4" w:rsidP="004076C4">
            <w:pPr>
              <w:pStyle w:val="ListParagraph"/>
              <w:numPr>
                <w:ilvl w:val="0"/>
                <w:numId w:val="17"/>
              </w:numPr>
              <w:ind w:right="83"/>
              <w:rPr>
                <w:rFonts w:ascii="Arial" w:hAnsi="Arial" w:cs="Arial"/>
                <w:sz w:val="20"/>
              </w:rPr>
            </w:pPr>
            <w:r w:rsidRPr="00E147C5">
              <w:rPr>
                <w:rFonts w:ascii="Arial" w:hAnsi="Arial" w:cs="Arial"/>
                <w:sz w:val="20"/>
              </w:rPr>
              <w:t>Longview</w:t>
            </w:r>
          </w:p>
        </w:tc>
        <w:tc>
          <w:tcPr>
            <w:tcW w:w="2845" w:type="dxa"/>
            <w:vAlign w:val="center"/>
          </w:tcPr>
          <w:p w14:paraId="58674F2E" w14:textId="77777777" w:rsidR="004076C4" w:rsidRPr="00E147C5" w:rsidRDefault="004076C4" w:rsidP="004076C4">
            <w:pPr>
              <w:pStyle w:val="ListParagraph"/>
              <w:numPr>
                <w:ilvl w:val="0"/>
                <w:numId w:val="17"/>
              </w:numPr>
              <w:ind w:right="83"/>
              <w:rPr>
                <w:rFonts w:ascii="Arial" w:hAnsi="Arial" w:cs="Arial"/>
                <w:sz w:val="20"/>
              </w:rPr>
            </w:pPr>
            <w:r w:rsidRPr="00E147C5">
              <w:rPr>
                <w:rFonts w:ascii="Arial" w:hAnsi="Arial" w:cs="Arial"/>
                <w:sz w:val="20"/>
              </w:rPr>
              <w:t>Walla Walla</w:t>
            </w:r>
          </w:p>
        </w:tc>
      </w:tr>
      <w:tr w:rsidR="004076C4" w:rsidRPr="00E147C5" w14:paraId="11D05DE8" w14:textId="77777777" w:rsidTr="004076C4">
        <w:trPr>
          <w:trHeight w:val="20"/>
          <w:jc w:val="center"/>
        </w:trPr>
        <w:tc>
          <w:tcPr>
            <w:tcW w:w="2508" w:type="dxa"/>
            <w:vAlign w:val="center"/>
          </w:tcPr>
          <w:p w14:paraId="035BAD13" w14:textId="77777777" w:rsidR="004076C4" w:rsidRPr="00E147C5" w:rsidRDefault="004076C4" w:rsidP="004076C4">
            <w:pPr>
              <w:pStyle w:val="ListParagraph"/>
              <w:ind w:right="83"/>
              <w:rPr>
                <w:rFonts w:ascii="Arial" w:hAnsi="Arial" w:cs="Arial"/>
                <w:sz w:val="20"/>
              </w:rPr>
            </w:pPr>
          </w:p>
        </w:tc>
        <w:tc>
          <w:tcPr>
            <w:tcW w:w="2563" w:type="dxa"/>
            <w:vAlign w:val="center"/>
          </w:tcPr>
          <w:p w14:paraId="6F0B5C9C" w14:textId="77777777" w:rsidR="004076C4" w:rsidRPr="00E147C5" w:rsidRDefault="004076C4" w:rsidP="004076C4">
            <w:pPr>
              <w:pStyle w:val="ListParagraph"/>
              <w:ind w:right="83"/>
              <w:rPr>
                <w:rFonts w:ascii="Arial" w:hAnsi="Arial" w:cs="Arial"/>
                <w:sz w:val="20"/>
              </w:rPr>
            </w:pPr>
          </w:p>
        </w:tc>
        <w:tc>
          <w:tcPr>
            <w:tcW w:w="2845" w:type="dxa"/>
            <w:vAlign w:val="center"/>
          </w:tcPr>
          <w:p w14:paraId="21ECBB0B" w14:textId="77777777" w:rsidR="004076C4" w:rsidRPr="00E147C5" w:rsidRDefault="004076C4" w:rsidP="004076C4">
            <w:pPr>
              <w:pStyle w:val="ListParagraph"/>
              <w:numPr>
                <w:ilvl w:val="0"/>
                <w:numId w:val="17"/>
              </w:numPr>
              <w:ind w:right="83"/>
              <w:rPr>
                <w:rFonts w:ascii="Arial" w:hAnsi="Arial" w:cs="Arial"/>
                <w:sz w:val="20"/>
              </w:rPr>
            </w:pPr>
            <w:r w:rsidRPr="00E147C5">
              <w:rPr>
                <w:rFonts w:ascii="Arial" w:hAnsi="Arial" w:cs="Arial"/>
                <w:sz w:val="20"/>
              </w:rPr>
              <w:t>Wenatchee</w:t>
            </w:r>
          </w:p>
        </w:tc>
      </w:tr>
      <w:tr w:rsidR="004076C4" w:rsidRPr="00E147C5" w14:paraId="03D8DB06" w14:textId="77777777" w:rsidTr="004076C4">
        <w:trPr>
          <w:trHeight w:val="20"/>
          <w:jc w:val="center"/>
        </w:trPr>
        <w:tc>
          <w:tcPr>
            <w:tcW w:w="2508" w:type="dxa"/>
            <w:vAlign w:val="center"/>
          </w:tcPr>
          <w:p w14:paraId="01AF36A5" w14:textId="77777777" w:rsidR="004076C4" w:rsidRPr="00E147C5" w:rsidRDefault="004076C4" w:rsidP="004076C4">
            <w:pPr>
              <w:pStyle w:val="ListParagraph"/>
              <w:ind w:right="83"/>
              <w:rPr>
                <w:rFonts w:ascii="Arial" w:hAnsi="Arial" w:cs="Arial"/>
                <w:sz w:val="20"/>
              </w:rPr>
            </w:pPr>
          </w:p>
        </w:tc>
        <w:tc>
          <w:tcPr>
            <w:tcW w:w="2563" w:type="dxa"/>
            <w:vAlign w:val="center"/>
          </w:tcPr>
          <w:p w14:paraId="39D0159C" w14:textId="77777777" w:rsidR="004076C4" w:rsidRPr="00E147C5" w:rsidRDefault="004076C4" w:rsidP="004076C4">
            <w:pPr>
              <w:pStyle w:val="ListParagraph"/>
              <w:ind w:right="83"/>
              <w:rPr>
                <w:rFonts w:ascii="Arial" w:hAnsi="Arial" w:cs="Arial"/>
                <w:sz w:val="20"/>
              </w:rPr>
            </w:pPr>
          </w:p>
        </w:tc>
        <w:tc>
          <w:tcPr>
            <w:tcW w:w="2845" w:type="dxa"/>
            <w:vAlign w:val="center"/>
          </w:tcPr>
          <w:p w14:paraId="7ED9C7F4" w14:textId="77777777" w:rsidR="004076C4" w:rsidRPr="00E147C5" w:rsidRDefault="004076C4" w:rsidP="004076C4">
            <w:pPr>
              <w:pStyle w:val="ListParagraph"/>
              <w:numPr>
                <w:ilvl w:val="0"/>
                <w:numId w:val="17"/>
              </w:numPr>
              <w:ind w:right="83"/>
              <w:rPr>
                <w:rFonts w:ascii="Arial" w:hAnsi="Arial" w:cs="Arial"/>
                <w:sz w:val="20"/>
              </w:rPr>
            </w:pPr>
            <w:r w:rsidRPr="00E147C5">
              <w:rPr>
                <w:rFonts w:ascii="Arial" w:hAnsi="Arial" w:cs="Arial"/>
                <w:sz w:val="20"/>
              </w:rPr>
              <w:t>Yakima</w:t>
            </w:r>
          </w:p>
        </w:tc>
      </w:tr>
    </w:tbl>
    <w:p w14:paraId="31572090" w14:textId="77777777" w:rsidR="000A4974" w:rsidRPr="00075DDB" w:rsidRDefault="000A4974" w:rsidP="00075DDB">
      <w:pPr>
        <w:tabs>
          <w:tab w:val="left" w:pos="180"/>
        </w:tabs>
        <w:spacing w:after="0" w:line="240" w:lineRule="auto"/>
        <w:ind w:right="86"/>
        <w:contextualSpacing/>
        <w:jc w:val="both"/>
      </w:pPr>
    </w:p>
    <w:p w14:paraId="01599BFB" w14:textId="5F2E84B9" w:rsidR="0057562B" w:rsidRPr="0057562B" w:rsidRDefault="00525FE4" w:rsidP="00D012EB">
      <w:pPr>
        <w:pStyle w:val="Heading2"/>
      </w:pPr>
      <w:bookmarkStart w:id="14" w:name="_Toc465678023"/>
      <w:r w:rsidRPr="0057562B">
        <w:rPr>
          <w:rStyle w:val="Heading2Char"/>
          <w:b/>
        </w:rPr>
        <w:t>Energy Efficiency Portfolio Development</w:t>
      </w:r>
      <w:bookmarkEnd w:id="14"/>
    </w:p>
    <w:p w14:paraId="768914AB" w14:textId="65C18E0D" w:rsidR="00525FE4" w:rsidRPr="00AC330F" w:rsidRDefault="001C590C" w:rsidP="00C235C5">
      <w:pPr>
        <w:tabs>
          <w:tab w:val="left" w:pos="180"/>
        </w:tabs>
        <w:ind w:right="83"/>
        <w:contextualSpacing/>
        <w:jc w:val="both"/>
      </w:pPr>
      <w:r>
        <w:t>Cascade’s e</w:t>
      </w:r>
      <w:r w:rsidR="00525FE4" w:rsidRPr="00881D8B">
        <w:t xml:space="preserve">nergy efficiency potential </w:t>
      </w:r>
      <w:r>
        <w:t xml:space="preserve">model </w:t>
      </w:r>
      <w:r w:rsidR="00525FE4" w:rsidRPr="00881D8B">
        <w:t>was developed by Nexant</w:t>
      </w:r>
      <w:r>
        <w:t xml:space="preserve"> in 2013. B</w:t>
      </w:r>
      <w:r w:rsidR="00525FE4" w:rsidRPr="00881D8B">
        <w:t>ased on measures screened through the</w:t>
      </w:r>
      <w:r w:rsidR="00D12F56" w:rsidRPr="00881D8B">
        <w:t xml:space="preserve"> initial run of the</w:t>
      </w:r>
      <w:r w:rsidR="00525FE4" w:rsidRPr="00086E03">
        <w:t xml:space="preserve"> </w:t>
      </w:r>
      <w:r w:rsidR="00496A8A" w:rsidRPr="00496A8A">
        <w:t>TEA-Pot</w:t>
      </w:r>
      <w:r w:rsidR="00525FE4" w:rsidRPr="00881D8B">
        <w:t xml:space="preserve"> model </w:t>
      </w:r>
      <w:r w:rsidR="00D12F56" w:rsidRPr="00086E03">
        <w:t>for the study</w:t>
      </w:r>
      <w:r>
        <w:t>, Cascade’s forecast was rerun</w:t>
      </w:r>
      <w:r w:rsidR="00D12F56" w:rsidRPr="00086E03">
        <w:t xml:space="preserve"> </w:t>
      </w:r>
      <w:r w:rsidR="00525FE4" w:rsidRPr="00086E03">
        <w:t>under the following main</w:t>
      </w:r>
      <w:r w:rsidR="00F22B47" w:rsidRPr="00086E03">
        <w:t xml:space="preserve"> assumptions</w:t>
      </w:r>
      <w:r w:rsidR="008A32CC">
        <w:t xml:space="preserve"> for the 2016 IRP and Conservation Plan</w:t>
      </w:r>
      <w:r w:rsidR="00245867" w:rsidRPr="00E564CA">
        <w:t>:</w:t>
      </w:r>
    </w:p>
    <w:p w14:paraId="03EAD498" w14:textId="77777777" w:rsidR="00525FE4" w:rsidRPr="003913CE" w:rsidRDefault="00525FE4" w:rsidP="00C235C5">
      <w:pPr>
        <w:pStyle w:val="ListParagraph"/>
        <w:numPr>
          <w:ilvl w:val="0"/>
          <w:numId w:val="12"/>
        </w:numPr>
        <w:spacing w:line="276" w:lineRule="auto"/>
        <w:ind w:right="83"/>
        <w:jc w:val="both"/>
        <w:rPr>
          <w:rFonts w:ascii="Arial" w:hAnsi="Arial" w:cs="Arial"/>
        </w:rPr>
      </w:pPr>
      <w:r w:rsidRPr="003913CE">
        <w:rPr>
          <w:rFonts w:ascii="Arial" w:hAnsi="Arial" w:cs="Arial"/>
        </w:rPr>
        <w:lastRenderedPageBreak/>
        <w:t>Measure cost effectiveness screen: Utility Cost Test (UCT)</w:t>
      </w:r>
    </w:p>
    <w:p w14:paraId="62EA710E" w14:textId="21BD1456" w:rsidR="00525FE4" w:rsidRPr="00ED616A" w:rsidRDefault="00525FE4" w:rsidP="00345614">
      <w:pPr>
        <w:pStyle w:val="ListParagraph"/>
        <w:numPr>
          <w:ilvl w:val="0"/>
          <w:numId w:val="12"/>
        </w:numPr>
        <w:spacing w:line="276" w:lineRule="auto"/>
        <w:ind w:right="83"/>
        <w:jc w:val="both"/>
        <w:rPr>
          <w:rFonts w:ascii="Arial" w:hAnsi="Arial" w:cs="Arial"/>
        </w:rPr>
      </w:pPr>
      <w:r w:rsidRPr="003913CE">
        <w:rPr>
          <w:rFonts w:ascii="Arial" w:hAnsi="Arial" w:cs="Arial"/>
        </w:rPr>
        <w:t xml:space="preserve">Incentive </w:t>
      </w:r>
      <w:r w:rsidR="00EE0C01" w:rsidRPr="003913CE">
        <w:rPr>
          <w:rFonts w:ascii="Arial" w:hAnsi="Arial" w:cs="Arial"/>
        </w:rPr>
        <w:t xml:space="preserve">percent </w:t>
      </w:r>
      <w:r w:rsidRPr="00ED616A">
        <w:rPr>
          <w:rFonts w:ascii="Arial" w:hAnsi="Arial" w:cs="Arial"/>
        </w:rPr>
        <w:t>of incremental cost (for achievable scenarios): 30%</w:t>
      </w:r>
      <w:r w:rsidR="001C590C">
        <w:rPr>
          <w:rFonts w:ascii="Arial" w:hAnsi="Arial" w:cs="Arial"/>
        </w:rPr>
        <w:t xml:space="preserve"> and </w:t>
      </w:r>
      <w:r w:rsidRPr="00ED616A">
        <w:rPr>
          <w:rFonts w:ascii="Arial" w:hAnsi="Arial" w:cs="Arial"/>
        </w:rPr>
        <w:t>50%</w:t>
      </w:r>
    </w:p>
    <w:p w14:paraId="57001BDF" w14:textId="01B2451C" w:rsidR="00525FE4" w:rsidRPr="00351143" w:rsidRDefault="00525FE4" w:rsidP="008663BB">
      <w:pPr>
        <w:pStyle w:val="ListParagraph"/>
        <w:numPr>
          <w:ilvl w:val="0"/>
          <w:numId w:val="12"/>
        </w:numPr>
        <w:spacing w:line="276" w:lineRule="auto"/>
        <w:ind w:right="83"/>
        <w:jc w:val="both"/>
        <w:rPr>
          <w:rFonts w:ascii="Arial" w:hAnsi="Arial" w:cs="Arial"/>
        </w:rPr>
      </w:pPr>
      <w:r w:rsidRPr="00ED616A">
        <w:rPr>
          <w:rFonts w:ascii="Arial" w:hAnsi="Arial" w:cs="Arial"/>
        </w:rPr>
        <w:t>Avoided Costs: Current avoided costs</w:t>
      </w:r>
      <w:r w:rsidR="001C590C">
        <w:rPr>
          <w:rFonts w:ascii="Arial" w:hAnsi="Arial" w:cs="Arial"/>
        </w:rPr>
        <w:t>,</w:t>
      </w:r>
      <w:r w:rsidRPr="00ED616A">
        <w:rPr>
          <w:rFonts w:ascii="Arial" w:hAnsi="Arial" w:cs="Arial"/>
        </w:rPr>
        <w:t xml:space="preserve"> provided in Appendix H of Cascade’s </w:t>
      </w:r>
      <w:r w:rsidR="00CC571C" w:rsidRPr="00351143">
        <w:rPr>
          <w:rFonts w:ascii="Arial" w:hAnsi="Arial" w:cs="Arial"/>
        </w:rPr>
        <w:t>201</w:t>
      </w:r>
      <w:r w:rsidR="001C590C">
        <w:rPr>
          <w:rFonts w:ascii="Arial" w:hAnsi="Arial" w:cs="Arial"/>
        </w:rPr>
        <w:t>6</w:t>
      </w:r>
      <w:r w:rsidR="00CC571C" w:rsidRPr="00351143">
        <w:rPr>
          <w:rFonts w:ascii="Arial" w:hAnsi="Arial" w:cs="Arial"/>
        </w:rPr>
        <w:t xml:space="preserve"> </w:t>
      </w:r>
      <w:r w:rsidR="001C590C">
        <w:rPr>
          <w:rFonts w:ascii="Arial" w:hAnsi="Arial" w:cs="Arial"/>
        </w:rPr>
        <w:t>draft Integrated Resource Plan</w:t>
      </w:r>
    </w:p>
    <w:p w14:paraId="3A3A2888" w14:textId="48897873" w:rsidR="00525FE4" w:rsidRPr="00E147C5" w:rsidRDefault="001C590C" w:rsidP="008663BB">
      <w:pPr>
        <w:pStyle w:val="ListParagraph"/>
        <w:numPr>
          <w:ilvl w:val="0"/>
          <w:numId w:val="12"/>
        </w:numPr>
        <w:spacing w:line="276" w:lineRule="auto"/>
        <w:ind w:right="83"/>
        <w:jc w:val="both"/>
        <w:rPr>
          <w:rFonts w:ascii="Arial" w:hAnsi="Arial" w:cs="Arial"/>
        </w:rPr>
      </w:pPr>
      <w:r>
        <w:rPr>
          <w:rFonts w:ascii="Arial" w:hAnsi="Arial" w:cs="Arial"/>
        </w:rPr>
        <w:t xml:space="preserve">Long Term </w:t>
      </w:r>
      <w:r w:rsidR="00525FE4" w:rsidRPr="004B54B4">
        <w:rPr>
          <w:rFonts w:ascii="Arial" w:hAnsi="Arial" w:cs="Arial"/>
        </w:rPr>
        <w:t xml:space="preserve">Discount Rate: </w:t>
      </w:r>
      <w:r>
        <w:rPr>
          <w:rFonts w:ascii="Arial" w:hAnsi="Arial" w:cs="Arial"/>
        </w:rPr>
        <w:t>T</w:t>
      </w:r>
      <w:r w:rsidRPr="001C590C">
        <w:rPr>
          <w:rFonts w:ascii="Arial" w:hAnsi="Arial" w:cs="Arial"/>
        </w:rPr>
        <w:t>he average 30 Year Mortgage Rate</w:t>
      </w:r>
      <w:r>
        <w:rPr>
          <w:rFonts w:ascii="Arial" w:hAnsi="Arial" w:cs="Arial"/>
        </w:rPr>
        <w:t xml:space="preserve">, </w:t>
      </w:r>
      <w:r w:rsidRPr="001C590C">
        <w:rPr>
          <w:rFonts w:ascii="Arial" w:hAnsi="Arial" w:cs="Arial"/>
        </w:rPr>
        <w:t>which will be reevaluated annually as part of the Company’s IRP process. For 2016, the long term discount rate used is 3.52%</w:t>
      </w:r>
      <w:r w:rsidR="00F73BBA" w:rsidRPr="00E147C5">
        <w:rPr>
          <w:rFonts w:ascii="Arial" w:hAnsi="Arial" w:cs="Arial"/>
        </w:rPr>
        <w:t xml:space="preserve">. </w:t>
      </w:r>
    </w:p>
    <w:p w14:paraId="6431C02C" w14:textId="77777777" w:rsidR="00525FE4" w:rsidRPr="00E147C5" w:rsidRDefault="00525FE4">
      <w:pPr>
        <w:pStyle w:val="ListParagraph"/>
        <w:spacing w:line="276" w:lineRule="auto"/>
        <w:ind w:left="810" w:right="83"/>
        <w:jc w:val="both"/>
        <w:rPr>
          <w:rFonts w:ascii="Arial" w:hAnsi="Arial" w:cs="Arial"/>
        </w:rPr>
      </w:pPr>
    </w:p>
    <w:p w14:paraId="7BC666D1" w14:textId="3062C956" w:rsidR="00525FE4" w:rsidRDefault="008A32CC">
      <w:pPr>
        <w:tabs>
          <w:tab w:val="left" w:pos="180"/>
        </w:tabs>
        <w:ind w:right="83"/>
        <w:jc w:val="both"/>
      </w:pPr>
      <w:r>
        <w:lastRenderedPageBreak/>
        <w:t>The</w:t>
      </w:r>
      <w:r w:rsidR="00245867" w:rsidRPr="00E147C5">
        <w:t xml:space="preserve"> h</w:t>
      </w:r>
      <w:r w:rsidR="00525FE4" w:rsidRPr="00E147C5">
        <w:t>igh level screens performed under Nexa</w:t>
      </w:r>
      <w:r>
        <w:t>nt’s baseline conditions yield</w:t>
      </w:r>
      <w:r w:rsidR="00525FE4" w:rsidRPr="00E147C5">
        <w:t xml:space="preserve"> total Achievable Potential for the Residential, Comm</w:t>
      </w:r>
      <w:r w:rsidR="001C590C">
        <w:t>ercial and Industrial sectors. T</w:t>
      </w:r>
      <w:r w:rsidR="00525FE4" w:rsidRPr="00E147C5">
        <w:t xml:space="preserve">he summary pages of the study provide a high-level view into what would be </w:t>
      </w:r>
      <w:r w:rsidR="00525FE4" w:rsidRPr="00E147C5">
        <w:rPr>
          <w:i/>
        </w:rPr>
        <w:t>theoretically</w:t>
      </w:r>
      <w:r w:rsidR="00525FE4" w:rsidRPr="00E147C5">
        <w:t xml:space="preserve"> possible without concerns from program budgets</w:t>
      </w:r>
      <w:r w:rsidR="00245867" w:rsidRPr="00E147C5">
        <w:t>, administrative costs</w:t>
      </w:r>
      <w:r w:rsidR="00525FE4" w:rsidRPr="00E147C5">
        <w:t xml:space="preserve"> or regulatory parameters.  But in reality, not all measures identified by Nexant remain cost effective under real-world conditions and within the cost-screen thresholds identified in Appendix H of the Company’s IRP.  </w:t>
      </w:r>
      <w:r w:rsidR="00245867" w:rsidRPr="00E147C5">
        <w:t xml:space="preserve">When Nexant developed the </w:t>
      </w:r>
      <w:r w:rsidR="00496A8A" w:rsidRPr="00496A8A">
        <w:t>TEA-Pot</w:t>
      </w:r>
      <w:r w:rsidR="00245867" w:rsidRPr="00881D8B">
        <w:t xml:space="preserve"> model for the Company</w:t>
      </w:r>
      <w:r w:rsidR="009F2FB8">
        <w:t>,</w:t>
      </w:r>
      <w:r w:rsidR="00245867" w:rsidRPr="00881D8B">
        <w:t xml:space="preserve"> they did not enable the model to include administrative </w:t>
      </w:r>
      <w:r w:rsidR="00245867" w:rsidRPr="00881D8B">
        <w:lastRenderedPageBreak/>
        <w:t>costs associated with pro</w:t>
      </w:r>
      <w:r w:rsidR="00245867" w:rsidRPr="00086E03">
        <w:t>gram implementation</w:t>
      </w:r>
      <w:r w:rsidR="00D12F56" w:rsidRPr="00E564CA">
        <w:t xml:space="preserve"> </w:t>
      </w:r>
      <w:r w:rsidR="00937B70">
        <w:t>(as mentioned previously)</w:t>
      </w:r>
      <w:r w:rsidR="006809C1">
        <w:t xml:space="preserve"> </w:t>
      </w:r>
      <w:r w:rsidR="00245867" w:rsidRPr="00AC330F">
        <w:t>– as the intention was to include them at the programmati</w:t>
      </w:r>
      <w:r w:rsidR="00F4693C" w:rsidRPr="003913CE">
        <w:t>c potential development level.</w:t>
      </w:r>
    </w:p>
    <w:p w14:paraId="6AD0EC16" w14:textId="6E798B38" w:rsidR="008A32CC" w:rsidRPr="003913CE" w:rsidRDefault="009F2FB8" w:rsidP="009F2FB8">
      <w:pPr>
        <w:tabs>
          <w:tab w:val="left" w:pos="180"/>
        </w:tabs>
        <w:ind w:right="83"/>
        <w:jc w:val="both"/>
      </w:pPr>
      <w:r>
        <w:t>R</w:t>
      </w:r>
      <w:r w:rsidR="008A32CC">
        <w:t>efinement of the model in 2016 allowed climate zone specific Avoided Costs to be utilized in developing the most granular conservation forecast to date for the company.</w:t>
      </w:r>
    </w:p>
    <w:p w14:paraId="70A2EF87" w14:textId="3C762A3D" w:rsidR="008A32CC" w:rsidRDefault="008A32CC" w:rsidP="008663BB">
      <w:pPr>
        <w:spacing w:after="0"/>
        <w:ind w:right="83"/>
        <w:jc w:val="both"/>
      </w:pPr>
      <w:r>
        <w:t xml:space="preserve">Cascade evaluated all of Nexant’s original energy saving measures’ cost effectiveness by climate zone, market segment, and vintage with 2016 IRP conditions in order to discern which could afford incentive amount increases. The results yielded three groups of measures: </w:t>
      </w:r>
      <w:r>
        <w:lastRenderedPageBreak/>
        <w:t xml:space="preserve">Those that were not cost effective at the 30% minimum, those that were cost effective at 30% but could not tolerate an increase, and those that </w:t>
      </w:r>
      <w:r w:rsidR="00ED3AE8">
        <w:t xml:space="preserve">remained </w:t>
      </w:r>
      <w:r>
        <w:t xml:space="preserve">cost effective after an incentive increase to 50% of incremental costs. The Company is planning to file a tariff change by the end of the first quarter of 2017 in order to update its offerings to reflect the most cost-effective mix </w:t>
      </w:r>
      <w:r w:rsidR="009F2FB8">
        <w:t>after a thorough review of actual incremental costs</w:t>
      </w:r>
      <w:r>
        <w:t>. By doing so, Cascade will be able to send better price signals to customers about energy efficiency options.</w:t>
      </w:r>
    </w:p>
    <w:p w14:paraId="05038919" w14:textId="77777777" w:rsidR="008A32CC" w:rsidRPr="003913CE" w:rsidRDefault="008A32CC">
      <w:pPr>
        <w:spacing w:after="0"/>
        <w:ind w:right="83"/>
        <w:jc w:val="both"/>
      </w:pPr>
    </w:p>
    <w:p w14:paraId="0A7F95DB" w14:textId="1C3F40E7" w:rsidR="00EF2E90" w:rsidRDefault="00525FE4">
      <w:pPr>
        <w:spacing w:after="0"/>
        <w:ind w:right="83"/>
        <w:jc w:val="both"/>
      </w:pPr>
      <w:r w:rsidRPr="00ED616A">
        <w:lastRenderedPageBreak/>
        <w:t xml:space="preserve">A summary of the program planning and </w:t>
      </w:r>
      <w:r w:rsidR="00496A8A" w:rsidRPr="00496A8A">
        <w:t>TEA-Pot</w:t>
      </w:r>
      <w:r w:rsidRPr="00881D8B">
        <w:t xml:space="preserve"> modeling scenarios used by the Company for its Conservation Incentive Program portfolio </w:t>
      </w:r>
      <w:r w:rsidR="00C2198B" w:rsidRPr="00086E03">
        <w:t>in th</w:t>
      </w:r>
      <w:r w:rsidR="003E14DB" w:rsidRPr="00E564CA">
        <w:t>e 201</w:t>
      </w:r>
      <w:r w:rsidR="001C590C">
        <w:t>6</w:t>
      </w:r>
      <w:r w:rsidR="00C2198B" w:rsidRPr="00AC330F">
        <w:t xml:space="preserve"> IRP </w:t>
      </w:r>
      <w:r w:rsidR="003E14DB" w:rsidRPr="00AC330F">
        <w:t xml:space="preserve">is </w:t>
      </w:r>
      <w:r w:rsidR="00B841F8" w:rsidRPr="00AC330F">
        <w:t>included here</w:t>
      </w:r>
      <w:r w:rsidRPr="003913CE">
        <w:t>.</w:t>
      </w:r>
      <w:r w:rsidR="00F22B47" w:rsidRPr="003913CE">
        <w:t xml:space="preserve"> </w:t>
      </w:r>
      <w:r w:rsidR="00F22B47" w:rsidRPr="00ED616A">
        <w:t xml:space="preserve"> Following is a visual representation of the process of narrowing down potential from the Technical to the </w:t>
      </w:r>
      <w:r w:rsidR="001C590C">
        <w:t>Achievable</w:t>
      </w:r>
      <w:r w:rsidR="00F22B47" w:rsidRPr="00ED616A">
        <w:t xml:space="preserve"> level employed by the Company.</w:t>
      </w:r>
    </w:p>
    <w:p w14:paraId="5BC1D676" w14:textId="77777777" w:rsidR="008A32CC" w:rsidRPr="00ED616A" w:rsidRDefault="008A32CC" w:rsidP="0068556F">
      <w:pPr>
        <w:spacing w:after="0"/>
        <w:ind w:right="83"/>
        <w:jc w:val="both"/>
      </w:pPr>
    </w:p>
    <w:p w14:paraId="57572F5F" w14:textId="0D3C4222" w:rsidR="00525FE4" w:rsidRPr="00F657A9" w:rsidRDefault="008A32CC" w:rsidP="008A32CC">
      <w:pPr>
        <w:widowControl/>
        <w:spacing w:after="0" w:line="240" w:lineRule="auto"/>
        <w:jc w:val="center"/>
        <w:rPr>
          <w:b/>
          <w:sz w:val="18"/>
        </w:rPr>
      </w:pPr>
      <w:r w:rsidRPr="00F657A9">
        <w:rPr>
          <w:b/>
          <w:sz w:val="18"/>
        </w:rPr>
        <w:t>F</w:t>
      </w:r>
      <w:r w:rsidR="00525FE4" w:rsidRPr="00F657A9">
        <w:rPr>
          <w:b/>
          <w:sz w:val="18"/>
        </w:rPr>
        <w:t xml:space="preserve">igure </w:t>
      </w:r>
      <w:r w:rsidR="00B0242A" w:rsidRPr="00F657A9">
        <w:rPr>
          <w:b/>
          <w:sz w:val="18"/>
        </w:rPr>
        <w:t>1</w:t>
      </w:r>
    </w:p>
    <w:p w14:paraId="4EA14CFF" w14:textId="7DD5D614" w:rsidR="002F0361" w:rsidRPr="00F657A9" w:rsidRDefault="002F0361" w:rsidP="008A32CC">
      <w:pPr>
        <w:widowControl/>
        <w:spacing w:after="0" w:line="240" w:lineRule="auto"/>
        <w:jc w:val="center"/>
        <w:rPr>
          <w:b/>
          <w:sz w:val="18"/>
        </w:rPr>
      </w:pPr>
      <w:r w:rsidRPr="00F657A9">
        <w:rPr>
          <w:b/>
          <w:sz w:val="18"/>
        </w:rPr>
        <w:t>Technical, Economic and Achievable Potential</w:t>
      </w:r>
    </w:p>
    <w:p w14:paraId="1D13A104" w14:textId="77777777" w:rsidR="002F0361" w:rsidRPr="00881D8B" w:rsidRDefault="002F0361" w:rsidP="008A32CC">
      <w:pPr>
        <w:widowControl/>
        <w:spacing w:after="0" w:line="240" w:lineRule="auto"/>
        <w:jc w:val="center"/>
        <w:rPr>
          <w:b/>
        </w:rPr>
      </w:pPr>
    </w:p>
    <w:tbl>
      <w:tblPr>
        <w:tblW w:w="8820" w:type="dxa"/>
        <w:jc w:val="center"/>
        <w:tblLook w:val="04A0" w:firstRow="1" w:lastRow="0" w:firstColumn="1" w:lastColumn="0" w:noHBand="0" w:noVBand="1"/>
      </w:tblPr>
      <w:tblGrid>
        <w:gridCol w:w="4456"/>
        <w:gridCol w:w="4364"/>
      </w:tblGrid>
      <w:tr w:rsidR="008809E8" w:rsidRPr="00313145" w14:paraId="521FEF6E" w14:textId="77777777" w:rsidTr="000F70E8">
        <w:trPr>
          <w:trHeight w:val="315"/>
          <w:jc w:val="center"/>
        </w:trPr>
        <w:tc>
          <w:tcPr>
            <w:tcW w:w="8820" w:type="dxa"/>
            <w:gridSpan w:val="2"/>
            <w:tcBorders>
              <w:top w:val="single" w:sz="8" w:space="0" w:color="auto"/>
              <w:left w:val="single" w:sz="8" w:space="0" w:color="auto"/>
              <w:bottom w:val="single" w:sz="8" w:space="0" w:color="auto"/>
              <w:right w:val="single" w:sz="8" w:space="0" w:color="000000"/>
            </w:tcBorders>
            <w:shd w:val="clear" w:color="000000" w:fill="EBF1DE"/>
            <w:noWrap/>
            <w:vAlign w:val="center"/>
            <w:hideMark/>
          </w:tcPr>
          <w:p w14:paraId="4633F3E2" w14:textId="77777777" w:rsidR="008809E8" w:rsidRPr="00313145" w:rsidRDefault="008809E8" w:rsidP="000F70E8">
            <w:pPr>
              <w:spacing w:after="160" w:line="259" w:lineRule="auto"/>
              <w:jc w:val="center"/>
              <w:rPr>
                <w:rFonts w:eastAsia="Calibri" w:hAnsi="Calibri"/>
                <w:b/>
                <w:bCs/>
                <w:spacing w:val="-2"/>
              </w:rPr>
            </w:pPr>
            <w:r w:rsidRPr="00313145">
              <w:rPr>
                <w:rFonts w:eastAsia="Calibri" w:hAnsi="Calibri"/>
                <w:b/>
                <w:bCs/>
                <w:spacing w:val="-2"/>
              </w:rPr>
              <w:t>Technical Potential</w:t>
            </w:r>
          </w:p>
        </w:tc>
      </w:tr>
      <w:tr w:rsidR="008809E8" w:rsidRPr="00313145" w14:paraId="300B05BB" w14:textId="77777777" w:rsidTr="000F70E8">
        <w:trPr>
          <w:trHeight w:val="1035"/>
          <w:jc w:val="center"/>
        </w:trPr>
        <w:tc>
          <w:tcPr>
            <w:tcW w:w="8820" w:type="dxa"/>
            <w:gridSpan w:val="2"/>
            <w:tcBorders>
              <w:top w:val="nil"/>
              <w:left w:val="single" w:sz="4" w:space="0" w:color="auto"/>
              <w:bottom w:val="single" w:sz="4" w:space="0" w:color="auto"/>
              <w:right w:val="single" w:sz="4" w:space="0" w:color="auto"/>
            </w:tcBorders>
            <w:shd w:val="clear" w:color="auto" w:fill="auto"/>
            <w:vAlign w:val="center"/>
            <w:hideMark/>
          </w:tcPr>
          <w:p w14:paraId="2E312FFF" w14:textId="77777777" w:rsidR="008809E8" w:rsidRPr="00313145" w:rsidRDefault="008809E8" w:rsidP="000F70E8">
            <w:pPr>
              <w:spacing w:after="160" w:line="259" w:lineRule="auto"/>
              <w:rPr>
                <w:rFonts w:eastAsia="Calibri" w:hAnsi="Calibri"/>
                <w:spacing w:val="-2"/>
              </w:rPr>
            </w:pPr>
            <w:r w:rsidRPr="00313145">
              <w:rPr>
                <w:rFonts w:eastAsia="Calibri" w:hAnsi="Calibri"/>
                <w:spacing w:val="-2"/>
              </w:rPr>
              <w:t xml:space="preserve">Technical Potential represents a substitution by the end user of all </w:t>
            </w:r>
            <w:r w:rsidRPr="00313145">
              <w:rPr>
                <w:rFonts w:eastAsia="Calibri" w:hAnsi="Calibri"/>
                <w:i/>
                <w:iCs/>
                <w:spacing w:val="-2"/>
              </w:rPr>
              <w:t>technically</w:t>
            </w:r>
            <w:r w:rsidRPr="00313145">
              <w:rPr>
                <w:rFonts w:eastAsia="Calibri" w:hAnsi="Calibri"/>
                <w:spacing w:val="-2"/>
              </w:rPr>
              <w:t xml:space="preserve"> feasible measures at the end use level</w:t>
            </w:r>
          </w:p>
        </w:tc>
      </w:tr>
      <w:tr w:rsidR="008809E8" w:rsidRPr="00313145" w14:paraId="30F0A1D7" w14:textId="77777777" w:rsidTr="000F70E8">
        <w:trPr>
          <w:trHeight w:val="300"/>
          <w:jc w:val="center"/>
        </w:trPr>
        <w:tc>
          <w:tcPr>
            <w:tcW w:w="4456" w:type="dxa"/>
            <w:tcBorders>
              <w:top w:val="nil"/>
              <w:left w:val="nil"/>
              <w:bottom w:val="nil"/>
              <w:right w:val="nil"/>
            </w:tcBorders>
            <w:shd w:val="clear" w:color="auto" w:fill="auto"/>
            <w:noWrap/>
            <w:vAlign w:val="bottom"/>
            <w:hideMark/>
          </w:tcPr>
          <w:p w14:paraId="31E7A456" w14:textId="77777777" w:rsidR="008809E8" w:rsidRPr="00313145" w:rsidRDefault="008809E8" w:rsidP="000F70E8">
            <w:pPr>
              <w:spacing w:after="160" w:line="259" w:lineRule="auto"/>
              <w:rPr>
                <w:rFonts w:eastAsia="Calibri" w:hAnsi="Calibri"/>
                <w:spacing w:val="-2"/>
              </w:rPr>
            </w:pPr>
            <w:r w:rsidRPr="00313145">
              <w:rPr>
                <w:rFonts w:eastAsia="Calibri" w:hAnsi="Calibri"/>
                <w:noProof/>
                <w:spacing w:val="-2"/>
              </w:rPr>
              <mc:AlternateContent>
                <mc:Choice Requires="wps">
                  <w:drawing>
                    <wp:anchor distT="0" distB="0" distL="114300" distR="114300" simplePos="0" relativeHeight="251657216" behindDoc="0" locked="0" layoutInCell="1" allowOverlap="1" wp14:anchorId="033B98D8" wp14:editId="206345FA">
                      <wp:simplePos x="0" y="0"/>
                      <wp:positionH relativeFrom="column">
                        <wp:posOffset>2381250</wp:posOffset>
                      </wp:positionH>
                      <wp:positionV relativeFrom="paragraph">
                        <wp:posOffset>19050</wp:posOffset>
                      </wp:positionV>
                      <wp:extent cx="619125" cy="409575"/>
                      <wp:effectExtent l="57150" t="38100" r="28575" b="123825"/>
                      <wp:wrapNone/>
                      <wp:docPr id="36" name="Down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409575"/>
                              </a:xfrm>
                              <a:prstGeom prst="downArrow">
                                <a:avLst/>
                              </a:prstGeom>
                              <a:solidFill>
                                <a:schemeClr val="tx1"/>
                              </a:solidFill>
                            </wps:spPr>
                            <wps:style>
                              <a:lnRef idx="0">
                                <a:schemeClr val="accent3"/>
                              </a:lnRef>
                              <a:fillRef idx="3">
                                <a:schemeClr val="accent3"/>
                              </a:fillRef>
                              <a:effectRef idx="3">
                                <a:schemeClr val="accent3"/>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6282F1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6" o:spid="_x0000_s1026" type="#_x0000_t67" style="position:absolute;margin-left:187.5pt;margin-top:1.5pt;width:48.7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" adj="10800" fillcolor="black [3213]" stroked="f">
                      <v:shadow on="t" color="black" opacity="22937f" origin=",.5" offset="0,.63889mm"/>
                      <v:path arrowok="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240"/>
            </w:tblGrid>
            <w:tr w:rsidR="008809E8" w:rsidRPr="00313145" w14:paraId="5251DC7C" w14:textId="77777777" w:rsidTr="000F70E8">
              <w:trPr>
                <w:trHeight w:val="300"/>
                <w:tblCellSpacing w:w="0" w:type="dxa"/>
              </w:trPr>
              <w:tc>
                <w:tcPr>
                  <w:tcW w:w="4240" w:type="dxa"/>
                  <w:tcBorders>
                    <w:top w:val="nil"/>
                    <w:left w:val="nil"/>
                    <w:bottom w:val="nil"/>
                    <w:right w:val="nil"/>
                  </w:tcBorders>
                  <w:shd w:val="clear" w:color="auto" w:fill="auto"/>
                  <w:noWrap/>
                  <w:vAlign w:val="bottom"/>
                  <w:hideMark/>
                </w:tcPr>
                <w:p w14:paraId="1E984312" w14:textId="77777777" w:rsidR="008809E8" w:rsidRPr="00313145" w:rsidRDefault="008809E8" w:rsidP="000F70E8">
                  <w:pPr>
                    <w:spacing w:after="160" w:line="259" w:lineRule="auto"/>
                    <w:rPr>
                      <w:rFonts w:eastAsia="Calibri" w:hAnsi="Calibri"/>
                      <w:spacing w:val="-2"/>
                    </w:rPr>
                  </w:pPr>
                </w:p>
              </w:tc>
            </w:tr>
          </w:tbl>
          <w:p w14:paraId="29845DCF" w14:textId="77777777" w:rsidR="008809E8" w:rsidRPr="00313145" w:rsidRDefault="008809E8" w:rsidP="000F70E8">
            <w:pPr>
              <w:spacing w:after="160" w:line="259" w:lineRule="auto"/>
              <w:rPr>
                <w:rFonts w:eastAsia="Calibri" w:hAnsi="Calibri"/>
                <w:spacing w:val="-2"/>
              </w:rPr>
            </w:pPr>
          </w:p>
        </w:tc>
        <w:tc>
          <w:tcPr>
            <w:tcW w:w="4364" w:type="dxa"/>
            <w:tcBorders>
              <w:top w:val="nil"/>
              <w:left w:val="nil"/>
              <w:bottom w:val="nil"/>
              <w:right w:val="nil"/>
            </w:tcBorders>
            <w:shd w:val="clear" w:color="auto" w:fill="auto"/>
            <w:noWrap/>
            <w:vAlign w:val="bottom"/>
            <w:hideMark/>
          </w:tcPr>
          <w:p w14:paraId="560FA318" w14:textId="77777777" w:rsidR="008809E8" w:rsidRPr="00313145" w:rsidRDefault="008809E8" w:rsidP="000F70E8">
            <w:pPr>
              <w:spacing w:after="160" w:line="259" w:lineRule="auto"/>
              <w:rPr>
                <w:rFonts w:eastAsia="Calibri" w:hAnsi="Calibri"/>
                <w:spacing w:val="-2"/>
              </w:rPr>
            </w:pPr>
          </w:p>
        </w:tc>
      </w:tr>
      <w:tr w:rsidR="008809E8" w:rsidRPr="00313145" w14:paraId="7080FE81" w14:textId="77777777" w:rsidTr="000F70E8">
        <w:trPr>
          <w:trHeight w:val="180"/>
          <w:jc w:val="center"/>
        </w:trPr>
        <w:tc>
          <w:tcPr>
            <w:tcW w:w="4456" w:type="dxa"/>
            <w:tcBorders>
              <w:top w:val="nil"/>
              <w:left w:val="nil"/>
              <w:bottom w:val="nil"/>
              <w:right w:val="nil"/>
            </w:tcBorders>
            <w:shd w:val="clear" w:color="auto" w:fill="auto"/>
            <w:noWrap/>
            <w:vAlign w:val="bottom"/>
            <w:hideMark/>
          </w:tcPr>
          <w:p w14:paraId="1A7D91F2" w14:textId="77777777" w:rsidR="008809E8" w:rsidRPr="00313145" w:rsidRDefault="008809E8" w:rsidP="000F70E8">
            <w:pPr>
              <w:spacing w:after="160" w:line="259" w:lineRule="auto"/>
              <w:rPr>
                <w:rFonts w:eastAsia="Calibri" w:hAnsi="Calibri"/>
                <w:spacing w:val="-2"/>
              </w:rPr>
            </w:pPr>
          </w:p>
        </w:tc>
        <w:tc>
          <w:tcPr>
            <w:tcW w:w="4364" w:type="dxa"/>
            <w:tcBorders>
              <w:top w:val="nil"/>
              <w:left w:val="nil"/>
              <w:bottom w:val="nil"/>
              <w:right w:val="nil"/>
            </w:tcBorders>
            <w:shd w:val="clear" w:color="auto" w:fill="auto"/>
            <w:noWrap/>
            <w:vAlign w:val="bottom"/>
            <w:hideMark/>
          </w:tcPr>
          <w:p w14:paraId="5E54A669" w14:textId="77777777" w:rsidR="008809E8" w:rsidRPr="00313145" w:rsidRDefault="008809E8" w:rsidP="000F70E8">
            <w:pPr>
              <w:spacing w:after="160" w:line="259" w:lineRule="auto"/>
              <w:rPr>
                <w:rFonts w:eastAsia="Calibri" w:hAnsi="Calibri"/>
                <w:spacing w:val="-2"/>
              </w:rPr>
            </w:pPr>
          </w:p>
        </w:tc>
      </w:tr>
      <w:tr w:rsidR="008809E8" w:rsidRPr="00313145" w14:paraId="55BB0707" w14:textId="77777777" w:rsidTr="000F70E8">
        <w:trPr>
          <w:trHeight w:val="315"/>
          <w:jc w:val="center"/>
        </w:trPr>
        <w:tc>
          <w:tcPr>
            <w:tcW w:w="8820" w:type="dxa"/>
            <w:gridSpan w:val="2"/>
            <w:tcBorders>
              <w:top w:val="single" w:sz="8" w:space="0" w:color="auto"/>
              <w:left w:val="single" w:sz="8" w:space="0" w:color="auto"/>
              <w:bottom w:val="single" w:sz="8" w:space="0" w:color="auto"/>
              <w:right w:val="single" w:sz="8" w:space="0" w:color="000000"/>
            </w:tcBorders>
            <w:shd w:val="clear" w:color="000000" w:fill="C4D79B"/>
            <w:noWrap/>
            <w:vAlign w:val="center"/>
            <w:hideMark/>
          </w:tcPr>
          <w:p w14:paraId="1FB09E71" w14:textId="77777777" w:rsidR="008809E8" w:rsidRPr="00313145" w:rsidRDefault="008809E8" w:rsidP="000F70E8">
            <w:pPr>
              <w:spacing w:after="160" w:line="259" w:lineRule="auto"/>
              <w:jc w:val="center"/>
              <w:rPr>
                <w:rFonts w:eastAsia="Calibri" w:hAnsi="Calibri"/>
                <w:b/>
                <w:bCs/>
                <w:spacing w:val="-2"/>
              </w:rPr>
            </w:pPr>
            <w:r w:rsidRPr="00313145">
              <w:rPr>
                <w:rFonts w:eastAsia="Calibri" w:hAnsi="Calibri"/>
                <w:b/>
                <w:bCs/>
                <w:spacing w:val="-2"/>
              </w:rPr>
              <w:lastRenderedPageBreak/>
              <w:t>Economic Potential</w:t>
            </w:r>
          </w:p>
        </w:tc>
      </w:tr>
      <w:tr w:rsidR="008809E8" w:rsidRPr="00313145" w14:paraId="1D32A40F" w14:textId="77777777" w:rsidTr="000F70E8">
        <w:trPr>
          <w:trHeight w:val="1035"/>
          <w:jc w:val="center"/>
        </w:trPr>
        <w:tc>
          <w:tcPr>
            <w:tcW w:w="8820" w:type="dxa"/>
            <w:gridSpan w:val="2"/>
            <w:tcBorders>
              <w:top w:val="nil"/>
              <w:left w:val="single" w:sz="4" w:space="0" w:color="auto"/>
              <w:bottom w:val="single" w:sz="4" w:space="0" w:color="auto"/>
              <w:right w:val="single" w:sz="4" w:space="0" w:color="auto"/>
            </w:tcBorders>
            <w:shd w:val="clear" w:color="auto" w:fill="auto"/>
            <w:vAlign w:val="center"/>
            <w:hideMark/>
          </w:tcPr>
          <w:p w14:paraId="0309774E" w14:textId="77777777" w:rsidR="008809E8" w:rsidRPr="00313145" w:rsidRDefault="008809E8" w:rsidP="000F70E8">
            <w:pPr>
              <w:spacing w:after="160" w:line="259" w:lineRule="auto"/>
              <w:rPr>
                <w:rFonts w:eastAsia="Calibri" w:hAnsi="Calibri"/>
                <w:spacing w:val="-2"/>
              </w:rPr>
            </w:pPr>
            <w:r w:rsidRPr="00313145">
              <w:rPr>
                <w:rFonts w:eastAsia="Calibri" w:hAnsi="Calibri"/>
                <w:spacing w:val="-2"/>
              </w:rPr>
              <w:t xml:space="preserve">Economic considers the most efficient measures that pass </w:t>
            </w:r>
            <w:r w:rsidRPr="00313145">
              <w:rPr>
                <w:rFonts w:eastAsia="Calibri" w:hAnsi="Calibri"/>
                <w:i/>
                <w:iCs/>
                <w:spacing w:val="-2"/>
              </w:rPr>
              <w:t>economic</w:t>
            </w:r>
            <w:r w:rsidRPr="00313145">
              <w:rPr>
                <w:rFonts w:eastAsia="Calibri" w:hAnsi="Calibri"/>
                <w:spacing w:val="-2"/>
              </w:rPr>
              <w:t xml:space="preserve"> screening tests and is a subset of Technical Potential</w:t>
            </w:r>
          </w:p>
        </w:tc>
      </w:tr>
      <w:tr w:rsidR="008809E8" w:rsidRPr="00313145" w14:paraId="036C5BA8" w14:textId="77777777" w:rsidTr="000F70E8">
        <w:trPr>
          <w:trHeight w:val="300"/>
          <w:jc w:val="center"/>
        </w:trPr>
        <w:tc>
          <w:tcPr>
            <w:tcW w:w="4456" w:type="dxa"/>
            <w:tcBorders>
              <w:top w:val="nil"/>
              <w:left w:val="nil"/>
              <w:bottom w:val="nil"/>
              <w:right w:val="nil"/>
            </w:tcBorders>
            <w:shd w:val="clear" w:color="auto" w:fill="auto"/>
            <w:noWrap/>
            <w:vAlign w:val="bottom"/>
            <w:hideMark/>
          </w:tcPr>
          <w:p w14:paraId="3ACC9A2F" w14:textId="77777777" w:rsidR="008809E8" w:rsidRPr="00313145" w:rsidRDefault="008809E8" w:rsidP="000F70E8">
            <w:pPr>
              <w:spacing w:after="160" w:line="259" w:lineRule="auto"/>
              <w:rPr>
                <w:rFonts w:eastAsia="Calibri" w:hAnsi="Calibri"/>
                <w:spacing w:val="-2"/>
              </w:rPr>
            </w:pPr>
            <w:r w:rsidRPr="00313145">
              <w:rPr>
                <w:rFonts w:eastAsia="Calibri" w:hAnsi="Calibri"/>
                <w:noProof/>
                <w:spacing w:val="-2"/>
              </w:rPr>
              <mc:AlternateContent>
                <mc:Choice Requires="wps">
                  <w:drawing>
                    <wp:anchor distT="0" distB="0" distL="114300" distR="114300" simplePos="0" relativeHeight="251659264" behindDoc="0" locked="0" layoutInCell="1" allowOverlap="1" wp14:anchorId="1B804172" wp14:editId="225B70AE">
                      <wp:simplePos x="0" y="0"/>
                      <wp:positionH relativeFrom="column">
                        <wp:posOffset>2381250</wp:posOffset>
                      </wp:positionH>
                      <wp:positionV relativeFrom="paragraph">
                        <wp:posOffset>19050</wp:posOffset>
                      </wp:positionV>
                      <wp:extent cx="619125" cy="400050"/>
                      <wp:effectExtent l="57150" t="38100" r="9525" b="114300"/>
                      <wp:wrapNone/>
                      <wp:docPr id="22"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400050"/>
                              </a:xfrm>
                              <a:prstGeom prst="downArrow">
                                <a:avLst/>
                              </a:prstGeom>
                              <a:solidFill>
                                <a:schemeClr val="tx1"/>
                              </a:solidFill>
                            </wps:spPr>
                            <wps:style>
                              <a:lnRef idx="0">
                                <a:schemeClr val="accent3"/>
                              </a:lnRef>
                              <a:fillRef idx="3">
                                <a:schemeClr val="accent3"/>
                              </a:fillRef>
                              <a:effectRef idx="3">
                                <a:schemeClr val="accent3"/>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A62D9E" id="Down Arrow 22" o:spid="_x0000_s1026" type="#_x0000_t67" style="position:absolute;margin-left:187.5pt;margin-top:1.5pt;width:48.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" adj="10800" fillcolor="black [3213]" stroked="f">
                      <v:shadow on="t" color="black" opacity="22937f" origin=",.5" offset="0,.63889mm"/>
                      <v:path arrowok="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240"/>
            </w:tblGrid>
            <w:tr w:rsidR="008809E8" w:rsidRPr="00313145" w14:paraId="03FD3C28" w14:textId="77777777" w:rsidTr="000F70E8">
              <w:trPr>
                <w:trHeight w:val="300"/>
                <w:tblCellSpacing w:w="0" w:type="dxa"/>
              </w:trPr>
              <w:tc>
                <w:tcPr>
                  <w:tcW w:w="4240" w:type="dxa"/>
                  <w:tcBorders>
                    <w:top w:val="nil"/>
                    <w:left w:val="nil"/>
                    <w:bottom w:val="nil"/>
                    <w:right w:val="nil"/>
                  </w:tcBorders>
                  <w:shd w:val="clear" w:color="auto" w:fill="auto"/>
                  <w:noWrap/>
                  <w:vAlign w:val="bottom"/>
                  <w:hideMark/>
                </w:tcPr>
                <w:p w14:paraId="5643D989" w14:textId="77777777" w:rsidR="008809E8" w:rsidRPr="00313145" w:rsidRDefault="008809E8" w:rsidP="000F70E8">
                  <w:pPr>
                    <w:spacing w:after="160" w:line="259" w:lineRule="auto"/>
                    <w:rPr>
                      <w:rFonts w:eastAsia="Calibri" w:hAnsi="Calibri"/>
                      <w:spacing w:val="-2"/>
                    </w:rPr>
                  </w:pPr>
                </w:p>
              </w:tc>
            </w:tr>
          </w:tbl>
          <w:p w14:paraId="24F986C7" w14:textId="77777777" w:rsidR="008809E8" w:rsidRPr="00313145" w:rsidRDefault="008809E8" w:rsidP="000F70E8">
            <w:pPr>
              <w:spacing w:after="160" w:line="259" w:lineRule="auto"/>
              <w:rPr>
                <w:rFonts w:eastAsia="Calibri" w:hAnsi="Calibri"/>
                <w:spacing w:val="-2"/>
              </w:rPr>
            </w:pPr>
          </w:p>
        </w:tc>
        <w:tc>
          <w:tcPr>
            <w:tcW w:w="4364" w:type="dxa"/>
            <w:tcBorders>
              <w:top w:val="nil"/>
              <w:left w:val="nil"/>
              <w:bottom w:val="nil"/>
              <w:right w:val="nil"/>
            </w:tcBorders>
            <w:shd w:val="clear" w:color="auto" w:fill="auto"/>
            <w:noWrap/>
            <w:vAlign w:val="bottom"/>
            <w:hideMark/>
          </w:tcPr>
          <w:p w14:paraId="13B43545" w14:textId="77777777" w:rsidR="008809E8" w:rsidRPr="00313145" w:rsidRDefault="008809E8" w:rsidP="000F70E8">
            <w:pPr>
              <w:spacing w:after="160" w:line="259" w:lineRule="auto"/>
              <w:rPr>
                <w:rFonts w:eastAsia="Calibri" w:hAnsi="Calibri"/>
                <w:spacing w:val="-2"/>
              </w:rPr>
            </w:pPr>
          </w:p>
        </w:tc>
      </w:tr>
      <w:tr w:rsidR="008809E8" w:rsidRPr="00313145" w14:paraId="0EF7A8EA" w14:textId="77777777" w:rsidTr="000F70E8">
        <w:trPr>
          <w:trHeight w:val="126"/>
          <w:jc w:val="center"/>
        </w:trPr>
        <w:tc>
          <w:tcPr>
            <w:tcW w:w="4456" w:type="dxa"/>
            <w:tcBorders>
              <w:top w:val="nil"/>
              <w:left w:val="nil"/>
              <w:bottom w:val="nil"/>
              <w:right w:val="nil"/>
            </w:tcBorders>
            <w:shd w:val="clear" w:color="auto" w:fill="auto"/>
            <w:noWrap/>
            <w:vAlign w:val="bottom"/>
            <w:hideMark/>
          </w:tcPr>
          <w:p w14:paraId="6F04E95C" w14:textId="77777777" w:rsidR="008809E8" w:rsidRPr="00313145" w:rsidRDefault="008809E8" w:rsidP="000F70E8">
            <w:pPr>
              <w:spacing w:after="160" w:line="259" w:lineRule="auto"/>
              <w:rPr>
                <w:rFonts w:eastAsia="Calibri" w:hAnsi="Calibri"/>
                <w:spacing w:val="-2"/>
              </w:rPr>
            </w:pPr>
          </w:p>
        </w:tc>
        <w:tc>
          <w:tcPr>
            <w:tcW w:w="4364" w:type="dxa"/>
            <w:tcBorders>
              <w:top w:val="nil"/>
              <w:left w:val="nil"/>
              <w:bottom w:val="nil"/>
              <w:right w:val="nil"/>
            </w:tcBorders>
            <w:shd w:val="clear" w:color="auto" w:fill="auto"/>
            <w:noWrap/>
            <w:vAlign w:val="bottom"/>
            <w:hideMark/>
          </w:tcPr>
          <w:p w14:paraId="2A796A81" w14:textId="77777777" w:rsidR="008809E8" w:rsidRPr="00313145" w:rsidRDefault="008809E8" w:rsidP="000F70E8">
            <w:pPr>
              <w:spacing w:after="160" w:line="259" w:lineRule="auto"/>
              <w:rPr>
                <w:rFonts w:eastAsia="Calibri" w:hAnsi="Calibri"/>
                <w:spacing w:val="-2"/>
              </w:rPr>
            </w:pPr>
          </w:p>
        </w:tc>
      </w:tr>
      <w:tr w:rsidR="008809E8" w:rsidRPr="00313145" w14:paraId="01742994" w14:textId="77777777" w:rsidTr="000F70E8">
        <w:trPr>
          <w:trHeight w:val="315"/>
          <w:jc w:val="center"/>
        </w:trPr>
        <w:tc>
          <w:tcPr>
            <w:tcW w:w="8820" w:type="dxa"/>
            <w:gridSpan w:val="2"/>
            <w:tcBorders>
              <w:top w:val="single" w:sz="8" w:space="0" w:color="auto"/>
              <w:left w:val="single" w:sz="8" w:space="0" w:color="auto"/>
              <w:bottom w:val="single" w:sz="8" w:space="0" w:color="auto"/>
              <w:right w:val="single" w:sz="8" w:space="0" w:color="000000"/>
            </w:tcBorders>
            <w:shd w:val="clear" w:color="000000" w:fill="76933C"/>
            <w:noWrap/>
            <w:vAlign w:val="center"/>
            <w:hideMark/>
          </w:tcPr>
          <w:p w14:paraId="4E17C883" w14:textId="77777777" w:rsidR="008809E8" w:rsidRPr="00313145" w:rsidRDefault="008809E8" w:rsidP="000F70E8">
            <w:pPr>
              <w:spacing w:after="160" w:line="259" w:lineRule="auto"/>
              <w:jc w:val="center"/>
              <w:rPr>
                <w:rFonts w:eastAsia="Calibri" w:hAnsi="Calibri"/>
                <w:b/>
                <w:bCs/>
                <w:spacing w:val="-2"/>
              </w:rPr>
            </w:pPr>
            <w:r w:rsidRPr="00313145">
              <w:rPr>
                <w:rFonts w:eastAsia="Calibri" w:hAnsi="Calibri"/>
                <w:b/>
                <w:bCs/>
                <w:spacing w:val="-2"/>
              </w:rPr>
              <w:t>Achievable Potential</w:t>
            </w:r>
          </w:p>
        </w:tc>
      </w:tr>
      <w:tr w:rsidR="008809E8" w:rsidRPr="00313145" w14:paraId="1FCC7F47" w14:textId="77777777" w:rsidTr="000F70E8">
        <w:trPr>
          <w:trHeight w:val="881"/>
          <w:jc w:val="center"/>
        </w:trPr>
        <w:tc>
          <w:tcPr>
            <w:tcW w:w="8820" w:type="dxa"/>
            <w:gridSpan w:val="2"/>
            <w:tcBorders>
              <w:top w:val="nil"/>
              <w:left w:val="single" w:sz="4" w:space="0" w:color="auto"/>
              <w:bottom w:val="single" w:sz="4" w:space="0" w:color="auto"/>
              <w:right w:val="single" w:sz="4" w:space="0" w:color="auto"/>
            </w:tcBorders>
            <w:shd w:val="clear" w:color="auto" w:fill="auto"/>
            <w:vAlign w:val="center"/>
            <w:hideMark/>
          </w:tcPr>
          <w:p w14:paraId="606BBA07" w14:textId="77777777" w:rsidR="008809E8" w:rsidRPr="00313145" w:rsidRDefault="008809E8" w:rsidP="000F70E8">
            <w:pPr>
              <w:spacing w:after="160" w:line="259" w:lineRule="auto"/>
              <w:rPr>
                <w:rFonts w:eastAsia="Calibri" w:hAnsi="Calibri"/>
                <w:spacing w:val="-2"/>
              </w:rPr>
            </w:pPr>
            <w:r w:rsidRPr="00313145">
              <w:rPr>
                <w:rFonts w:eastAsia="Calibri" w:hAnsi="Calibri"/>
                <w:spacing w:val="-2"/>
              </w:rPr>
              <w:t>Achievable embodies a set of assumptions about the decisions consumers make regarding the efficiency of the equipment they purchase to simulate a realistic estimate of real-life conditions</w:t>
            </w:r>
          </w:p>
        </w:tc>
      </w:tr>
    </w:tbl>
    <w:p w14:paraId="05160BC4" w14:textId="77777777" w:rsidR="000C114C" w:rsidRDefault="000C114C" w:rsidP="00075DDB">
      <w:pPr>
        <w:spacing w:after="0" w:line="240" w:lineRule="auto"/>
        <w:ind w:right="86"/>
        <w:contextualSpacing/>
        <w:jc w:val="both"/>
        <w:rPr>
          <w:b/>
          <w:i/>
        </w:rPr>
      </w:pPr>
    </w:p>
    <w:p w14:paraId="58D2B45E" w14:textId="77777777" w:rsidR="006809C1" w:rsidRPr="00E147C5" w:rsidRDefault="006809C1" w:rsidP="00075DDB">
      <w:pPr>
        <w:spacing w:after="0" w:line="240" w:lineRule="auto"/>
        <w:ind w:right="86"/>
        <w:contextualSpacing/>
        <w:jc w:val="both"/>
        <w:rPr>
          <w:b/>
          <w:i/>
        </w:rPr>
      </w:pPr>
    </w:p>
    <w:p w14:paraId="62AD3272" w14:textId="77777777" w:rsidR="00525FE4" w:rsidRPr="00E147C5" w:rsidRDefault="00525FE4" w:rsidP="004E6B25">
      <w:pPr>
        <w:pStyle w:val="Heading1"/>
      </w:pPr>
      <w:bookmarkStart w:id="15" w:name="_Toc465678024"/>
      <w:r w:rsidRPr="00E147C5">
        <w:t>DSM Portfolio Updates and Planning</w:t>
      </w:r>
      <w:bookmarkEnd w:id="15"/>
    </w:p>
    <w:p w14:paraId="29751B81" w14:textId="5BB557E1" w:rsidR="004B54B4" w:rsidRPr="00313145" w:rsidRDefault="004B54B4" w:rsidP="00FC7240">
      <w:pPr>
        <w:spacing w:after="160"/>
        <w:rPr>
          <w:rFonts w:eastAsia="Calibri" w:hAnsi="Calibri"/>
          <w:spacing w:val="-2"/>
        </w:rPr>
      </w:pPr>
      <w:r w:rsidRPr="00313145">
        <w:rPr>
          <w:rFonts w:eastAsia="Calibri" w:hAnsi="Calibri"/>
          <w:spacing w:val="-2"/>
        </w:rPr>
        <w:t>TEA</w:t>
      </w:r>
      <w:r>
        <w:rPr>
          <w:rFonts w:eastAsia="Calibri" w:hAnsi="Calibri"/>
          <w:spacing w:val="-2"/>
        </w:rPr>
        <w:t>-</w:t>
      </w:r>
      <w:r w:rsidRPr="00313145">
        <w:rPr>
          <w:rFonts w:eastAsia="Calibri" w:hAnsi="Calibri"/>
          <w:spacing w:val="-2"/>
        </w:rPr>
        <w:t>P</w:t>
      </w:r>
      <w:r>
        <w:rPr>
          <w:rFonts w:eastAsia="Calibri" w:hAnsi="Calibri"/>
          <w:spacing w:val="-2"/>
        </w:rPr>
        <w:t>ot</w:t>
      </w:r>
      <w:r w:rsidRPr="00313145">
        <w:rPr>
          <w:rFonts w:eastAsia="Calibri" w:hAnsi="Calibri"/>
          <w:spacing w:val="-2"/>
        </w:rPr>
        <w:t xml:space="preserve"> provides the Company with a much more nuanced and manageable method to developing </w:t>
      </w:r>
      <w:r w:rsidR="00AA15BC">
        <w:rPr>
          <w:rFonts w:eastAsia="Calibri" w:hAnsi="Calibri"/>
          <w:spacing w:val="-2"/>
        </w:rPr>
        <w:t>its</w:t>
      </w:r>
      <w:r w:rsidR="00AA15BC" w:rsidRPr="00313145">
        <w:rPr>
          <w:rFonts w:eastAsia="Calibri" w:hAnsi="Calibri"/>
          <w:spacing w:val="-2"/>
        </w:rPr>
        <w:t xml:space="preserve"> </w:t>
      </w:r>
      <w:r w:rsidRPr="00313145">
        <w:rPr>
          <w:rFonts w:eastAsia="Calibri" w:hAnsi="Calibri"/>
          <w:spacing w:val="-2"/>
        </w:rPr>
        <w:t>portfolio than was used in the past.</w:t>
      </w:r>
    </w:p>
    <w:p w14:paraId="0CACE069" w14:textId="77777777" w:rsidR="004B54B4" w:rsidRPr="00313145" w:rsidRDefault="004B54B4" w:rsidP="00FC7240">
      <w:pPr>
        <w:spacing w:after="160"/>
        <w:rPr>
          <w:rFonts w:eastAsia="Calibri" w:hAnsi="Calibri"/>
          <w:spacing w:val="-2"/>
        </w:rPr>
      </w:pPr>
      <w:r w:rsidRPr="00313145">
        <w:rPr>
          <w:rFonts w:eastAsia="Calibri" w:hAnsi="Calibri"/>
          <w:spacing w:val="-2"/>
        </w:rPr>
        <w:lastRenderedPageBreak/>
        <w:t>The Company</w:t>
      </w:r>
      <w:r w:rsidRPr="00313145">
        <w:rPr>
          <w:rFonts w:eastAsia="Calibri" w:hAnsi="Calibri"/>
          <w:spacing w:val="-2"/>
        </w:rPr>
        <w:t>’</w:t>
      </w:r>
      <w:r w:rsidRPr="00313145">
        <w:rPr>
          <w:rFonts w:eastAsia="Calibri" w:hAnsi="Calibri"/>
          <w:spacing w:val="-2"/>
        </w:rPr>
        <w:t xml:space="preserve">s objectives in developing </w:t>
      </w:r>
      <w:r>
        <w:rPr>
          <w:rFonts w:eastAsia="Calibri" w:hAnsi="Calibri"/>
          <w:spacing w:val="-2"/>
        </w:rPr>
        <w:t>its</w:t>
      </w:r>
      <w:r w:rsidRPr="00313145">
        <w:rPr>
          <w:rFonts w:eastAsia="Calibri" w:hAnsi="Calibri"/>
          <w:spacing w:val="-2"/>
        </w:rPr>
        <w:t xml:space="preserve"> rebate offerings center on the desire to: </w:t>
      </w:r>
    </w:p>
    <w:p w14:paraId="5F29C6A1" w14:textId="77777777" w:rsidR="004B54B4" w:rsidRPr="00313145" w:rsidRDefault="004B54B4" w:rsidP="00FC7240">
      <w:pPr>
        <w:widowControl/>
        <w:numPr>
          <w:ilvl w:val="0"/>
          <w:numId w:val="14"/>
        </w:numPr>
        <w:spacing w:after="160"/>
        <w:jc w:val="both"/>
        <w:rPr>
          <w:rFonts w:eastAsia="Calibri" w:hAnsi="Calibri"/>
          <w:spacing w:val="-2"/>
        </w:rPr>
      </w:pPr>
      <w:r w:rsidRPr="00313145">
        <w:rPr>
          <w:rFonts w:eastAsia="Calibri" w:hAnsi="Calibri"/>
          <w:spacing w:val="-2"/>
        </w:rPr>
        <w:t>Maximize the inclusiveness of viable, industry-acknowledged conservation measures</w:t>
      </w:r>
    </w:p>
    <w:p w14:paraId="60B5E7F3" w14:textId="77777777" w:rsidR="004B54B4" w:rsidRPr="00313145" w:rsidRDefault="004B54B4" w:rsidP="00FC7240">
      <w:pPr>
        <w:widowControl/>
        <w:numPr>
          <w:ilvl w:val="0"/>
          <w:numId w:val="14"/>
        </w:numPr>
        <w:spacing w:after="160"/>
        <w:jc w:val="both"/>
        <w:rPr>
          <w:rFonts w:eastAsia="Calibri" w:hAnsi="Calibri"/>
          <w:spacing w:val="-2"/>
        </w:rPr>
      </w:pPr>
      <w:r w:rsidRPr="00313145">
        <w:rPr>
          <w:rFonts w:eastAsia="Calibri" w:hAnsi="Calibri"/>
          <w:spacing w:val="-2"/>
        </w:rPr>
        <w:t>Maintain incentive levels that send meaningful price signals to consumers to upgrade to high-efficiency natural gas equipment and energy saving measures</w:t>
      </w:r>
    </w:p>
    <w:p w14:paraId="3D9050D6" w14:textId="0B3EE86E" w:rsidR="004B54B4" w:rsidRPr="00313145" w:rsidRDefault="004B54B4" w:rsidP="00FC7240">
      <w:pPr>
        <w:widowControl/>
        <w:numPr>
          <w:ilvl w:val="0"/>
          <w:numId w:val="14"/>
        </w:numPr>
        <w:spacing w:after="160"/>
        <w:jc w:val="both"/>
        <w:rPr>
          <w:rFonts w:eastAsia="Calibri" w:hAnsi="Calibri"/>
          <w:spacing w:val="-2"/>
        </w:rPr>
      </w:pPr>
      <w:r w:rsidRPr="00313145">
        <w:rPr>
          <w:rFonts w:eastAsia="Calibri" w:hAnsi="Calibri"/>
          <w:spacing w:val="-2"/>
        </w:rPr>
        <w:t>Remain cost effective at the Company</w:t>
      </w:r>
      <w:r w:rsidRPr="00313145">
        <w:rPr>
          <w:rFonts w:eastAsia="Calibri" w:hAnsi="Calibri"/>
          <w:spacing w:val="-2"/>
        </w:rPr>
        <w:t>’</w:t>
      </w:r>
      <w:r w:rsidRPr="00313145">
        <w:rPr>
          <w:rFonts w:eastAsia="Calibri" w:hAnsi="Calibri"/>
          <w:spacing w:val="-2"/>
        </w:rPr>
        <w:t xml:space="preserve">s </w:t>
      </w:r>
      <w:r w:rsidR="009F2FB8">
        <w:rPr>
          <w:rFonts w:eastAsia="Calibri" w:hAnsi="Calibri"/>
          <w:spacing w:val="-2"/>
        </w:rPr>
        <w:t xml:space="preserve">draft 2016 IRP </w:t>
      </w:r>
      <w:r w:rsidRPr="00313145">
        <w:rPr>
          <w:rFonts w:eastAsia="Calibri" w:hAnsi="Calibri"/>
          <w:spacing w:val="-2"/>
        </w:rPr>
        <w:t>avoided costs</w:t>
      </w:r>
    </w:p>
    <w:p w14:paraId="33FAD43A" w14:textId="78517D55" w:rsidR="00525FE4" w:rsidRPr="004B54B4" w:rsidRDefault="002E01B8" w:rsidP="004E6B25">
      <w:pPr>
        <w:ind w:right="-7"/>
        <w:contextualSpacing/>
        <w:jc w:val="both"/>
      </w:pPr>
      <w:r>
        <w:rPr>
          <w:spacing w:val="-3"/>
        </w:rPr>
        <w:t>Below</w:t>
      </w:r>
      <w:r w:rsidR="004B54B4">
        <w:rPr>
          <w:spacing w:val="-3"/>
        </w:rPr>
        <w:t xml:space="preserve"> is a brief snapshot of </w:t>
      </w:r>
      <w:r w:rsidR="00857381" w:rsidRPr="004B54B4">
        <w:rPr>
          <w:spacing w:val="-3"/>
        </w:rPr>
        <w:t>a f</w:t>
      </w:r>
      <w:r w:rsidR="00F22B47" w:rsidRPr="004B54B4">
        <w:rPr>
          <w:spacing w:val="-3"/>
        </w:rPr>
        <w:t>e</w:t>
      </w:r>
      <w:r w:rsidR="00857381" w:rsidRPr="004B54B4">
        <w:rPr>
          <w:spacing w:val="-3"/>
        </w:rPr>
        <w:t>w</w:t>
      </w:r>
      <w:r w:rsidR="00F22B47" w:rsidRPr="004B54B4">
        <w:rPr>
          <w:spacing w:val="-3"/>
        </w:rPr>
        <w:t xml:space="preserve"> </w:t>
      </w:r>
      <w:r w:rsidR="004B54B4">
        <w:rPr>
          <w:spacing w:val="-3"/>
        </w:rPr>
        <w:t xml:space="preserve">of the </w:t>
      </w:r>
      <w:r w:rsidR="00F22B47" w:rsidRPr="004B54B4">
        <w:rPr>
          <w:spacing w:val="-3"/>
        </w:rPr>
        <w:t>ele</w:t>
      </w:r>
      <w:r w:rsidR="00857381" w:rsidRPr="004B54B4">
        <w:rPr>
          <w:spacing w:val="-3"/>
        </w:rPr>
        <w:t xml:space="preserve">ments that </w:t>
      </w:r>
      <w:r w:rsidR="004B54B4">
        <w:rPr>
          <w:spacing w:val="-3"/>
        </w:rPr>
        <w:lastRenderedPageBreak/>
        <w:t>go</w:t>
      </w:r>
      <w:r w:rsidR="004D0436" w:rsidRPr="004B54B4">
        <w:rPr>
          <w:spacing w:val="-3"/>
        </w:rPr>
        <w:t xml:space="preserve"> </w:t>
      </w:r>
      <w:r w:rsidR="00857381" w:rsidRPr="004B54B4">
        <w:rPr>
          <w:spacing w:val="-3"/>
        </w:rPr>
        <w:t>into the process by which the Company narrows down its portfolio</w:t>
      </w:r>
      <w:r w:rsidR="004B54B4">
        <w:rPr>
          <w:spacing w:val="-3"/>
        </w:rPr>
        <w:t>, in collaboration with its CAG.</w:t>
      </w:r>
    </w:p>
    <w:p w14:paraId="38AC926F" w14:textId="77777777" w:rsidR="00857381" w:rsidRPr="002C2B2C" w:rsidRDefault="00857381" w:rsidP="00D012EB">
      <w:pPr>
        <w:pStyle w:val="Heading2"/>
      </w:pPr>
      <w:bookmarkStart w:id="16" w:name="_Budgeting_Parameters"/>
      <w:bookmarkStart w:id="17" w:name="_Toc465678025"/>
      <w:bookmarkEnd w:id="16"/>
      <w:r w:rsidRPr="002C2B2C">
        <w:t>Budget</w:t>
      </w:r>
      <w:r w:rsidR="00F22B47" w:rsidRPr="002C2B2C">
        <w:t>ing Parameters</w:t>
      </w:r>
      <w:bookmarkEnd w:id="17"/>
    </w:p>
    <w:p w14:paraId="4F7A6C3D" w14:textId="77777777" w:rsidR="000C114C" w:rsidRDefault="00151187" w:rsidP="009F2FB8">
      <w:pPr>
        <w:contextualSpacing/>
        <w:jc w:val="both"/>
      </w:pPr>
      <w:r>
        <w:t>The Company</w:t>
      </w:r>
      <w:r w:rsidRPr="00151187">
        <w:t xml:space="preserve"> </w:t>
      </w:r>
      <w:r w:rsidR="00525FE4" w:rsidRPr="00151187">
        <w:t>set</w:t>
      </w:r>
      <w:r>
        <w:t>s</w:t>
      </w:r>
      <w:r w:rsidR="00525FE4" w:rsidRPr="00151187">
        <w:t xml:space="preserve"> an administrative budget in order to plan and operate programs. This budget must ensure an acceptable ratio of costs balanced with therm savings achievements. Since therm savings offset the costs of administrative investment, the greater the achievement, the mo</w:t>
      </w:r>
      <w:r w:rsidR="00A22EA0" w:rsidRPr="00151187">
        <w:t xml:space="preserve">re cost-effective </w:t>
      </w:r>
      <w:r>
        <w:t>the Company’s</w:t>
      </w:r>
      <w:r w:rsidRPr="00151187">
        <w:t xml:space="preserve"> </w:t>
      </w:r>
      <w:r w:rsidR="00A22EA0" w:rsidRPr="00151187">
        <w:t>programs.</w:t>
      </w:r>
      <w:r w:rsidR="00525FE4" w:rsidRPr="00151187">
        <w:t xml:space="preserve"> If the budget or therm savings upon which the portfolio is built are unrealistic, </w:t>
      </w:r>
      <w:r>
        <w:t xml:space="preserve">there is a </w:t>
      </w:r>
      <w:r w:rsidR="00525FE4" w:rsidRPr="00151187">
        <w:t>risk</w:t>
      </w:r>
      <w:r>
        <w:t xml:space="preserve"> of</w:t>
      </w:r>
      <w:r w:rsidR="00525FE4" w:rsidRPr="00151187">
        <w:t xml:space="preserve"> developing a </w:t>
      </w:r>
      <w:r w:rsidR="00525FE4" w:rsidRPr="00151187">
        <w:lastRenderedPageBreak/>
        <w:t xml:space="preserve">scale-dependent portfolio </w:t>
      </w:r>
      <w:r w:rsidR="00714DE6" w:rsidRPr="00151187">
        <w:t xml:space="preserve">unable to </w:t>
      </w:r>
      <w:r w:rsidR="00857381" w:rsidRPr="00151187">
        <w:t>maintain cost effectiveness</w:t>
      </w:r>
      <w:r w:rsidR="000C114C" w:rsidRPr="00151187">
        <w:t>.</w:t>
      </w:r>
    </w:p>
    <w:p w14:paraId="2ADE6880" w14:textId="77777777" w:rsidR="00D5321D" w:rsidRDefault="00D5321D" w:rsidP="00345614">
      <w:pPr>
        <w:contextualSpacing/>
        <w:jc w:val="both"/>
      </w:pPr>
    </w:p>
    <w:p w14:paraId="290D0FB2" w14:textId="742CC9FF" w:rsidR="00D5321D" w:rsidRDefault="00D5321D" w:rsidP="008663BB">
      <w:pPr>
        <w:contextualSpacing/>
        <w:jc w:val="both"/>
      </w:pPr>
      <w:r>
        <w:t xml:space="preserve">The Company recognizes the need to increase program performance commensurate with higher savings goals.  Traditionally it has geared toward a conservative approach when establishing administrative budgets and estimating costs.  In fact, the Company repeatedly looked to decrease administrative costs in past program years to offset lower avoided costs and maintain as robust a program portfolio as feasible.  In the new realm </w:t>
      </w:r>
      <w:r>
        <w:lastRenderedPageBreak/>
        <w:t xml:space="preserve">of increased program achievable goals and expectations the Company took a close look at areas where it could invest more heavily to meet those goals and encourage uptake. </w:t>
      </w:r>
    </w:p>
    <w:p w14:paraId="751FD89B" w14:textId="77777777" w:rsidR="00D5321D" w:rsidRDefault="00D5321D">
      <w:pPr>
        <w:contextualSpacing/>
        <w:jc w:val="both"/>
      </w:pPr>
    </w:p>
    <w:p w14:paraId="61C5B44F" w14:textId="1C8683A0" w:rsidR="00D5321D" w:rsidRPr="000270AF" w:rsidRDefault="00D5321D">
      <w:pPr>
        <w:contextualSpacing/>
        <w:jc w:val="both"/>
      </w:pPr>
      <w:r>
        <w:t>I</w:t>
      </w:r>
      <w:r w:rsidRPr="007569D8">
        <w:t xml:space="preserve">n order to maintain a conservative budget to protect the </w:t>
      </w:r>
      <w:r>
        <w:t>CIP’s</w:t>
      </w:r>
      <w:r w:rsidRPr="00564E2B">
        <w:t xml:space="preserve"> cost-effectiveness on the portfolio level, past </w:t>
      </w:r>
      <w:r w:rsidR="006F20C4">
        <w:t>benefit cost ratios</w:t>
      </w:r>
      <w:r w:rsidRPr="00564E2B">
        <w:t xml:space="preserve"> were reviewed in order to determi</w:t>
      </w:r>
      <w:r w:rsidRPr="007569D8">
        <w:t xml:space="preserve">ne how much could be available to invest </w:t>
      </w:r>
      <w:r>
        <w:t>toward</w:t>
      </w:r>
      <w:r w:rsidRPr="007569D8">
        <w:t xml:space="preserve"> increasing </w:t>
      </w:r>
      <w:r>
        <w:t xml:space="preserve">program </w:t>
      </w:r>
      <w:r w:rsidRPr="007569D8">
        <w:t xml:space="preserve">uptake. It was determined under a worst-case-scenario, where therm savings achieved yielded the lowest cost-effectiveness over the past five years </w:t>
      </w:r>
      <w:r w:rsidRPr="007569D8">
        <w:lastRenderedPageBreak/>
        <w:t xml:space="preserve">(2013), a sufficient buffer </w:t>
      </w:r>
      <w:r w:rsidR="0073491C">
        <w:t xml:space="preserve">existed </w:t>
      </w:r>
      <w:r w:rsidRPr="007569D8">
        <w:t xml:space="preserve">to both increase the rebate amounts for measures with high enough benefit-cost ratios to 50 percent of incremental costs, as well as </w:t>
      </w:r>
      <w:r w:rsidRPr="00756CF0">
        <w:t>bring the Resid</w:t>
      </w:r>
      <w:r w:rsidRPr="000270AF">
        <w:t>ential delivery in-house in order to improve customer service satisfaction</w:t>
      </w:r>
      <w:r w:rsidR="00FC7240">
        <w:t>,</w:t>
      </w:r>
      <w:r w:rsidRPr="000270AF">
        <w:t xml:space="preserve"> provide an up-to-date online application processing experience</w:t>
      </w:r>
      <w:r w:rsidR="00FC7240">
        <w:t>,</w:t>
      </w:r>
      <w:r w:rsidRPr="000270AF">
        <w:t xml:space="preserve"> and allow for faster and more accurate data acquisition.</w:t>
      </w:r>
    </w:p>
    <w:p w14:paraId="78A31A3B" w14:textId="77777777" w:rsidR="00D5321D" w:rsidRPr="000270AF" w:rsidRDefault="00D5321D">
      <w:pPr>
        <w:contextualSpacing/>
        <w:jc w:val="both"/>
      </w:pPr>
    </w:p>
    <w:p w14:paraId="243239FA" w14:textId="76AE13A8" w:rsidR="00D5321D" w:rsidRPr="00FC7240" w:rsidRDefault="00D5321D" w:rsidP="00CD49A6">
      <w:pPr>
        <w:jc w:val="both"/>
      </w:pPr>
      <w:r w:rsidRPr="000270AF">
        <w:t xml:space="preserve">For example, </w:t>
      </w:r>
      <w:r w:rsidRPr="00FC7240">
        <w:t xml:space="preserve">using the three year average of therm savings achieved (648,000) with the Company’s three year average benefit/cost ratio (1.606), under the current </w:t>
      </w:r>
      <w:r w:rsidRPr="00FC7240">
        <w:lastRenderedPageBreak/>
        <w:t>Avoided Costs available at the time, as well as an increased 2017 administrative budget, the cushion (which could be used on admin</w:t>
      </w:r>
      <w:r w:rsidR="009D4CEF">
        <w:t>, program marketing</w:t>
      </w:r>
      <w:r w:rsidRPr="00FC7240">
        <w:t xml:space="preserve"> and/or a combination of rebate increases under “costs” in the Utility Cost Test) was approximately </w:t>
      </w:r>
      <w:r w:rsidR="00FC324E" w:rsidRPr="00FC7240">
        <w:rPr>
          <w:bCs/>
        </w:rPr>
        <w:t>$</w:t>
      </w:r>
      <w:r w:rsidRPr="00FC7240">
        <w:rPr>
          <w:bCs/>
        </w:rPr>
        <w:t>1.45 million</w:t>
      </w:r>
      <w:r w:rsidRPr="00FC7240">
        <w:t>.</w:t>
      </w:r>
    </w:p>
    <w:p w14:paraId="35E6FEEB" w14:textId="6EF98588" w:rsidR="00D5321D" w:rsidRPr="00FC7240" w:rsidRDefault="00D5321D">
      <w:pPr>
        <w:contextualSpacing/>
        <w:jc w:val="both"/>
      </w:pPr>
      <w:r w:rsidRPr="00FC7240">
        <w:t>In addition, the numbers were explored for the worst case scenario mentioned above.  Looking at the lowest performing year (as measured by benefit/cost ratios) 2013 measured 1.306</w:t>
      </w:r>
      <w:r w:rsidR="00937B70" w:rsidRPr="00FC7240">
        <w:t xml:space="preserve"> at a portfolio level</w:t>
      </w:r>
      <w:r w:rsidRPr="00FC7240">
        <w:t xml:space="preserve">, when administrative costs were higher than in 2015 and deemed therm savings achieved were the lowest in six years (471,000). Under this scenario a significant buffer would </w:t>
      </w:r>
      <w:r w:rsidRPr="00FC7240">
        <w:lastRenderedPageBreak/>
        <w:t>still exist for increasing administrative efforts</w:t>
      </w:r>
      <w:r w:rsidR="00FC324E" w:rsidRPr="00FC7240">
        <w:t xml:space="preserve"> by approximately half of the best case cushion noted above.</w:t>
      </w:r>
    </w:p>
    <w:p w14:paraId="79CE41B4" w14:textId="77777777" w:rsidR="00D5321D" w:rsidRPr="00FC7240" w:rsidRDefault="00D5321D">
      <w:pPr>
        <w:contextualSpacing/>
        <w:jc w:val="both"/>
      </w:pPr>
    </w:p>
    <w:p w14:paraId="2ACA45FA" w14:textId="2073DFEA" w:rsidR="00D5321D" w:rsidRPr="00756CF0" w:rsidRDefault="00D5321D">
      <w:pPr>
        <w:contextualSpacing/>
        <w:jc w:val="both"/>
      </w:pPr>
      <w:r w:rsidRPr="00FC7240">
        <w:t xml:space="preserve">Utilizing these two scenarios for best and worst cases helped set budget guidelines to </w:t>
      </w:r>
      <w:r w:rsidR="001121DE">
        <w:t>determine which</w:t>
      </w:r>
      <w:r w:rsidRPr="00FC7240">
        <w:t xml:space="preserve"> investments could yield the greatest potential increases in therm savings for the program. The Company discussed the necessary increase in administrative budgetary costs throughout its CAG meetings in 2015 leading up to implementation of the residential internal program delivery model.</w:t>
      </w:r>
      <w:r w:rsidR="00FC324E" w:rsidRPr="00FC7240">
        <w:t xml:space="preserve"> The Company continues to monitor the effects of ever changing avoided cost impacts to </w:t>
      </w:r>
      <w:r w:rsidR="00FC324E" w:rsidRPr="00FC7240">
        <w:lastRenderedPageBreak/>
        <w:t xml:space="preserve">the CIP’s budgetary options. </w:t>
      </w:r>
    </w:p>
    <w:p w14:paraId="269737AE" w14:textId="77777777" w:rsidR="00525FE4" w:rsidRPr="002C2B2C" w:rsidRDefault="00857381" w:rsidP="002C2B2C">
      <w:r w:rsidRPr="002C2B2C">
        <w:t>Incentive Level</w:t>
      </w:r>
    </w:p>
    <w:p w14:paraId="123FC7AF" w14:textId="3CB3C7D1" w:rsidR="00857381" w:rsidRPr="00ED616A" w:rsidRDefault="002E01B8">
      <w:pPr>
        <w:widowControl/>
        <w:spacing w:after="0"/>
        <w:contextualSpacing/>
        <w:jc w:val="both"/>
        <w:rPr>
          <w:highlight w:val="yellow"/>
        </w:rPr>
      </w:pPr>
      <w:r>
        <w:t>T</w:t>
      </w:r>
      <w:r w:rsidRPr="00ED616A">
        <w:t xml:space="preserve">he Company is </w:t>
      </w:r>
      <w:r>
        <w:t>planning to</w:t>
      </w:r>
      <w:r w:rsidRPr="00ED616A">
        <w:t xml:space="preserve"> increas</w:t>
      </w:r>
      <w:r>
        <w:t>e some</w:t>
      </w:r>
      <w:r w:rsidRPr="00ED616A">
        <w:t xml:space="preserve"> incentive level</w:t>
      </w:r>
      <w:r>
        <w:t>s</w:t>
      </w:r>
      <w:r w:rsidRPr="00ED616A">
        <w:t xml:space="preserve"> to encourage additional uptake from </w:t>
      </w:r>
      <w:r>
        <w:t>the</w:t>
      </w:r>
      <w:r w:rsidRPr="004B54B4">
        <w:t xml:space="preserve"> base </w:t>
      </w:r>
      <w:r>
        <w:t xml:space="preserve">30% level </w:t>
      </w:r>
      <w:r w:rsidRPr="004B54B4">
        <w:t>to 50% of incremental cost</w:t>
      </w:r>
      <w:r>
        <w:t>s, where cost-effectiveness permits</w:t>
      </w:r>
      <w:r w:rsidRPr="004B54B4">
        <w:t xml:space="preserve">. </w:t>
      </w:r>
      <w:r w:rsidR="001A5A9B">
        <w:t>It has</w:t>
      </w:r>
      <w:r w:rsidRPr="004B54B4">
        <w:t xml:space="preserve"> modeled this scenario in </w:t>
      </w:r>
      <w:r w:rsidRPr="00496A8A">
        <w:t>TEA-Pot</w:t>
      </w:r>
      <w:r w:rsidRPr="00881D8B">
        <w:t xml:space="preserve"> for 2017</w:t>
      </w:r>
      <w:r w:rsidRPr="00086E03">
        <w:t xml:space="preserve"> onward</w:t>
      </w:r>
      <w:r w:rsidRPr="00AC330F">
        <w:t xml:space="preserve"> under the (admin</w:t>
      </w:r>
      <w:r>
        <w:t>istrative cost</w:t>
      </w:r>
      <w:r w:rsidRPr="00AC330F">
        <w:t xml:space="preserve"> inclusive) Achievable potential later in this plan for reference. </w:t>
      </w:r>
      <w:r w:rsidR="00857381" w:rsidRPr="00804108">
        <w:t>Incentive levels had been</w:t>
      </w:r>
      <w:r>
        <w:t xml:space="preserve"> previously</w:t>
      </w:r>
      <w:r w:rsidR="00857381" w:rsidRPr="00804108">
        <w:t xml:space="preserve"> set to</w:t>
      </w:r>
      <w:r>
        <w:t xml:space="preserve"> around</w:t>
      </w:r>
      <w:r w:rsidR="00857381" w:rsidRPr="00804108">
        <w:t xml:space="preserve"> </w:t>
      </w:r>
      <w:r>
        <w:t>30 percent</w:t>
      </w:r>
      <w:r w:rsidR="00857381" w:rsidRPr="00804108">
        <w:t xml:space="preserve"> of incremental costs as determined by Nexant and</w:t>
      </w:r>
      <w:r>
        <w:t xml:space="preserve"> programmatic data.</w:t>
      </w:r>
    </w:p>
    <w:p w14:paraId="33DC4444" w14:textId="77777777" w:rsidR="00A22EA0" w:rsidRPr="00351143" w:rsidRDefault="00A22EA0">
      <w:pPr>
        <w:widowControl/>
        <w:spacing w:after="0"/>
        <w:contextualSpacing/>
        <w:jc w:val="both"/>
        <w:rPr>
          <w:highlight w:val="yellow"/>
        </w:rPr>
      </w:pPr>
    </w:p>
    <w:p w14:paraId="2433A751" w14:textId="77777777" w:rsidR="00857381" w:rsidRPr="002C2B2C" w:rsidRDefault="00857381" w:rsidP="00D012EB">
      <w:pPr>
        <w:pStyle w:val="Heading2"/>
      </w:pPr>
      <w:bookmarkStart w:id="18" w:name="_Toc465678026"/>
      <w:r w:rsidRPr="002C2B2C">
        <w:lastRenderedPageBreak/>
        <w:t>Targets</w:t>
      </w:r>
      <w:bookmarkEnd w:id="18"/>
    </w:p>
    <w:p w14:paraId="6CA69442" w14:textId="4D4DCEFA" w:rsidR="00857381" w:rsidRPr="00ED616A" w:rsidRDefault="00496A8A">
      <w:pPr>
        <w:jc w:val="both"/>
      </w:pPr>
      <w:r w:rsidRPr="00496A8A">
        <w:t>TEA-Pot</w:t>
      </w:r>
      <w:r w:rsidR="00857381" w:rsidRPr="00881D8B">
        <w:t xml:space="preserve"> generated targets will be acknowledged in</w:t>
      </w:r>
      <w:r w:rsidR="00857381" w:rsidRPr="00086E03">
        <w:t xml:space="preserve"> the conservation plan as </w:t>
      </w:r>
      <w:r w:rsidR="00857381" w:rsidRPr="00AC330F">
        <w:rPr>
          <w:i/>
        </w:rPr>
        <w:t>aspirational</w:t>
      </w:r>
      <w:r w:rsidR="00857381" w:rsidRPr="003913CE">
        <w:t xml:space="preserve"> targets and those </w:t>
      </w:r>
      <w:r w:rsidR="001A5A9B">
        <w:t>which the Company</w:t>
      </w:r>
      <w:r w:rsidR="001A5A9B" w:rsidRPr="003913CE">
        <w:t xml:space="preserve"> </w:t>
      </w:r>
      <w:r w:rsidR="00857381" w:rsidRPr="003913CE">
        <w:t xml:space="preserve">will aggressively strive towards throughout the year. However, the programs will be built in a way that ensures cost-effectiveness can be maintained even if </w:t>
      </w:r>
      <w:r w:rsidR="001A5A9B">
        <w:t>final numbers</w:t>
      </w:r>
      <w:r w:rsidR="001A5A9B" w:rsidRPr="003913CE">
        <w:t xml:space="preserve"> </w:t>
      </w:r>
      <w:r w:rsidR="00857381" w:rsidRPr="003913CE">
        <w:t>fall short of that target.</w:t>
      </w:r>
      <w:r w:rsidR="00F22B47" w:rsidRPr="003913CE">
        <w:t xml:space="preserve"> See Sect</w:t>
      </w:r>
      <w:r w:rsidR="00F22B47" w:rsidRPr="00ED616A">
        <w:t xml:space="preserve">ion </w:t>
      </w:r>
      <w:hyperlink w:anchor="_CY_2017_&amp;" w:history="1">
        <w:r w:rsidR="00F8214F" w:rsidRPr="00F8214F">
          <w:rPr>
            <w:rStyle w:val="Hyperlink"/>
          </w:rPr>
          <w:t xml:space="preserve">CY </w:t>
        </w:r>
        <w:r w:rsidR="00F22B47" w:rsidRPr="00F8214F">
          <w:rPr>
            <w:rStyle w:val="Hyperlink"/>
          </w:rPr>
          <w:t>201</w:t>
        </w:r>
        <w:r w:rsidR="00151187" w:rsidRPr="00F8214F">
          <w:rPr>
            <w:rStyle w:val="Hyperlink"/>
          </w:rPr>
          <w:t>7</w:t>
        </w:r>
        <w:r w:rsidR="00F22B47" w:rsidRPr="00F8214F">
          <w:rPr>
            <w:rStyle w:val="Hyperlink"/>
          </w:rPr>
          <w:t>-201</w:t>
        </w:r>
        <w:r w:rsidR="00151187" w:rsidRPr="00F8214F">
          <w:rPr>
            <w:rStyle w:val="Hyperlink"/>
          </w:rPr>
          <w:t>8</w:t>
        </w:r>
        <w:r w:rsidR="00F22B47" w:rsidRPr="00F8214F">
          <w:rPr>
            <w:rStyle w:val="Hyperlink"/>
          </w:rPr>
          <w:t xml:space="preserve"> </w:t>
        </w:r>
        <w:r w:rsidR="00F8214F" w:rsidRPr="00F8214F">
          <w:rPr>
            <w:rStyle w:val="Hyperlink"/>
          </w:rPr>
          <w:t>T</w:t>
        </w:r>
        <w:r w:rsidR="00F22B47" w:rsidRPr="00F8214F">
          <w:rPr>
            <w:rStyle w:val="Hyperlink"/>
          </w:rPr>
          <w:t>argets</w:t>
        </w:r>
      </w:hyperlink>
      <w:r w:rsidR="00F22B47" w:rsidRPr="00ED616A">
        <w:t xml:space="preserve"> for additional details.</w:t>
      </w:r>
    </w:p>
    <w:p w14:paraId="4D928CE8" w14:textId="77777777" w:rsidR="00525FE4" w:rsidRPr="002C2B2C" w:rsidRDefault="00525FE4" w:rsidP="00D012EB">
      <w:pPr>
        <w:pStyle w:val="Heading2"/>
      </w:pPr>
      <w:bookmarkStart w:id="19" w:name="_Toc465678027"/>
      <w:r w:rsidRPr="002C2B2C">
        <w:t>Commercial/Industrial Scenarios</w:t>
      </w:r>
      <w:bookmarkEnd w:id="19"/>
    </w:p>
    <w:p w14:paraId="0A346D89" w14:textId="1E4F5F08" w:rsidR="00525FE4" w:rsidRPr="004B54B4" w:rsidRDefault="00525FE4">
      <w:pPr>
        <w:jc w:val="both"/>
      </w:pPr>
      <w:r w:rsidRPr="004B54B4">
        <w:t xml:space="preserve">It is important to note </w:t>
      </w:r>
      <w:r w:rsidR="00387FFA">
        <w:t xml:space="preserve">that </w:t>
      </w:r>
      <w:r w:rsidRPr="004B54B4">
        <w:t xml:space="preserve">the screen conducted with the </w:t>
      </w:r>
      <w:r w:rsidR="00496A8A" w:rsidRPr="00496A8A">
        <w:t>TEA-Pot</w:t>
      </w:r>
      <w:r w:rsidRPr="00881D8B">
        <w:t xml:space="preserve"> tool and internal valuation mechanism for the Commercial/Industrial sector was performed to assess </w:t>
      </w:r>
      <w:r w:rsidR="002E01B8">
        <w:lastRenderedPageBreak/>
        <w:t xml:space="preserve">both </w:t>
      </w:r>
      <w:r w:rsidRPr="00881D8B">
        <w:t xml:space="preserve">viable </w:t>
      </w:r>
      <w:r w:rsidRPr="002E01B8">
        <w:t>prescriptive</w:t>
      </w:r>
      <w:r w:rsidRPr="003913CE">
        <w:t xml:space="preserve"> </w:t>
      </w:r>
      <w:r w:rsidR="002E01B8">
        <w:t xml:space="preserve">and custom </w:t>
      </w:r>
      <w:r w:rsidRPr="003913CE">
        <w:t>measures</w:t>
      </w:r>
      <w:r w:rsidR="002E01B8">
        <w:t>’</w:t>
      </w:r>
      <w:r w:rsidRPr="003913CE">
        <w:t xml:space="preserve"> </w:t>
      </w:r>
      <w:r w:rsidR="002E01B8">
        <w:t>potential, thus reflecting inclusion of all available measures from Nexant’s Potential Study. For reference</w:t>
      </w:r>
      <w:r w:rsidRPr="00AC330F">
        <w:t xml:space="preserve">, program experience has demonstrated </w:t>
      </w:r>
      <w:r w:rsidR="002E01B8">
        <w:t xml:space="preserve">the </w:t>
      </w:r>
      <w:r w:rsidRPr="00AC330F">
        <w:t xml:space="preserve">prescriptive portion of savings from the </w:t>
      </w:r>
      <w:r w:rsidR="002E01B8">
        <w:t>p</w:t>
      </w:r>
      <w:r w:rsidRPr="00AC330F">
        <w:t>rogram is fairly consi</w:t>
      </w:r>
      <w:r w:rsidRPr="003913CE">
        <w:t xml:space="preserve">stent, with an average of </w:t>
      </w:r>
      <w:r w:rsidR="009F2FB8">
        <w:t>around two-thirds</w:t>
      </w:r>
      <w:r w:rsidRPr="003913CE">
        <w:t xml:space="preserve"> of therm savings coming from custom projects. The</w:t>
      </w:r>
      <w:r w:rsidR="002E01B8">
        <w:t xml:space="preserve"> </w:t>
      </w:r>
      <w:r w:rsidR="000F58E2" w:rsidRPr="00920B4B">
        <w:t>full program fore</w:t>
      </w:r>
      <w:r w:rsidR="000F58E2" w:rsidRPr="00351143">
        <w:t xml:space="preserve">cast for planning </w:t>
      </w:r>
      <w:r w:rsidR="004D0436" w:rsidRPr="004B54B4">
        <w:t>purposes</w:t>
      </w:r>
      <w:r w:rsidR="002E01B8">
        <w:t xml:space="preserve"> also included the same review of measures by market segment and vintage to allow for a portion of the measures’ incentive levels to be increased from 30% to 50%, with the aim of increasing program participation</w:t>
      </w:r>
      <w:r w:rsidRPr="004B54B4">
        <w:t>.</w:t>
      </w:r>
    </w:p>
    <w:p w14:paraId="185ADEAA" w14:textId="77777777" w:rsidR="00EE0C01" w:rsidRPr="00151187" w:rsidRDefault="00485926" w:rsidP="00D012EB">
      <w:pPr>
        <w:pStyle w:val="Heading2"/>
      </w:pPr>
      <w:bookmarkStart w:id="20" w:name="_Toc465678028"/>
      <w:r w:rsidRPr="004B54B4">
        <w:lastRenderedPageBreak/>
        <w:t xml:space="preserve">Most Recent </w:t>
      </w:r>
      <w:r w:rsidR="00525FE4" w:rsidRPr="00151187">
        <w:t xml:space="preserve">Program </w:t>
      </w:r>
      <w:r w:rsidRPr="00151187">
        <w:t>Update</w:t>
      </w:r>
      <w:bookmarkEnd w:id="20"/>
    </w:p>
    <w:p w14:paraId="7A143423" w14:textId="5FE2634A" w:rsidR="00525FE4" w:rsidRPr="00151187" w:rsidRDefault="00787DBF" w:rsidP="002C2B2C">
      <w:pPr>
        <w:jc w:val="both"/>
      </w:pPr>
      <w:r>
        <w:t>T</w:t>
      </w:r>
      <w:r w:rsidR="00151187">
        <w:t xml:space="preserve">he Company frequently re-evaluates its program offerings </w:t>
      </w:r>
      <w:r>
        <w:t xml:space="preserve">in the changing context of </w:t>
      </w:r>
      <w:r w:rsidR="00151187">
        <w:t>avoided costs, building code</w:t>
      </w:r>
      <w:r w:rsidR="00243285">
        <w:t>s</w:t>
      </w:r>
      <w:r w:rsidR="00151187">
        <w:t xml:space="preserve"> and ENERGY STAR updates</w:t>
      </w:r>
      <w:r w:rsidR="00243285">
        <w:t xml:space="preserve">. This approach is consistent </w:t>
      </w:r>
      <w:r w:rsidR="00804108">
        <w:t>with</w:t>
      </w:r>
      <w:r w:rsidR="00151187">
        <w:t xml:space="preserve"> </w:t>
      </w:r>
      <w:r w:rsidR="00804108">
        <w:t xml:space="preserve">how technology on the </w:t>
      </w:r>
      <w:r w:rsidR="00151187">
        <w:t xml:space="preserve">market </w:t>
      </w:r>
      <w:r w:rsidR="00804108">
        <w:t xml:space="preserve">gradually increases in efficiency (i.e. market </w:t>
      </w:r>
      <w:r w:rsidR="00151187">
        <w:t>transformation</w:t>
      </w:r>
      <w:r w:rsidR="00804108">
        <w:t>)</w:t>
      </w:r>
      <w:r w:rsidR="00151187">
        <w:t>.</w:t>
      </w:r>
      <w:r w:rsidR="00804108">
        <w:t xml:space="preserve">  As per UG-152286</w:t>
      </w:r>
      <w:r w:rsidR="00804108">
        <w:rPr>
          <w:rStyle w:val="FootnoteReference"/>
        </w:rPr>
        <w:footnoteReference w:id="3"/>
      </w:r>
      <w:r w:rsidR="00804108">
        <w:t xml:space="preserve"> the Company is committed to updating the tariffs for the Conservation program at least once per year.  </w:t>
      </w:r>
      <w:r w:rsidR="00151187">
        <w:t xml:space="preserve">On July 13, 2016 the Company met with its </w:t>
      </w:r>
      <w:r w:rsidR="00151187">
        <w:lastRenderedPageBreak/>
        <w:t xml:space="preserve">CAG to discuss </w:t>
      </w:r>
      <w:r w:rsidR="00804108">
        <w:t>alterations</w:t>
      </w:r>
      <w:r w:rsidR="00151187">
        <w:t xml:space="preserve"> to the program including removal of a furnace upgrade to the ENERGY STAR </w:t>
      </w:r>
      <w:r w:rsidR="00804108">
        <w:t xml:space="preserve">whole home bundle, inclusion of the Demand Control Ventilation commercial rebate (as </w:t>
      </w:r>
      <w:r w:rsidR="00E147C5">
        <w:t xml:space="preserve">noted in the Company’s </w:t>
      </w:r>
      <w:r w:rsidR="00804108">
        <w:t xml:space="preserve">2016 Conservation Plan) </w:t>
      </w:r>
      <w:r w:rsidR="00151187">
        <w:t xml:space="preserve"> and revisions to the residential air sealing rebate cr</w:t>
      </w:r>
      <w:r w:rsidR="00804108">
        <w:t>iteria.</w:t>
      </w:r>
      <w:r w:rsidR="00151187">
        <w:t xml:space="preserve"> </w:t>
      </w:r>
      <w:r w:rsidR="00941623">
        <w:t>The</w:t>
      </w:r>
      <w:r w:rsidR="00525FE4" w:rsidRPr="00151187">
        <w:t xml:space="preserve"> Company submitted </w:t>
      </w:r>
      <w:r w:rsidR="00804108">
        <w:t>these</w:t>
      </w:r>
      <w:r w:rsidR="00804108" w:rsidRPr="00151187">
        <w:t xml:space="preserve"> </w:t>
      </w:r>
      <w:r w:rsidR="00525FE4" w:rsidRPr="00151187">
        <w:t xml:space="preserve">proposed program updates after consultation with its CAG to the WUTC </w:t>
      </w:r>
      <w:r w:rsidR="00804108">
        <w:t xml:space="preserve">and they </w:t>
      </w:r>
      <w:r w:rsidR="00525FE4" w:rsidRPr="00151187">
        <w:t xml:space="preserve">were approved with an effective date of </w:t>
      </w:r>
      <w:r w:rsidR="00804108">
        <w:t>October 10</w:t>
      </w:r>
      <w:r w:rsidR="00E147C5">
        <w:t>th</w:t>
      </w:r>
      <w:r w:rsidR="00525FE4" w:rsidRPr="00151187">
        <w:t>, 201</w:t>
      </w:r>
      <w:r w:rsidR="00804108">
        <w:t>6</w:t>
      </w:r>
      <w:r w:rsidR="00525FE4" w:rsidRPr="00151187">
        <w:t>.</w:t>
      </w:r>
      <w:r w:rsidR="00E147C5">
        <w:t xml:space="preserve"> See section: </w:t>
      </w:r>
      <w:hyperlink w:anchor="_Program_Offerings_as" w:history="1">
        <w:r w:rsidR="00E147C5" w:rsidRPr="002C2B2C">
          <w:rPr>
            <w:rStyle w:val="Hyperlink"/>
            <w:i/>
          </w:rPr>
          <w:t>Program Offerings as of October 10th 2016</w:t>
        </w:r>
      </w:hyperlink>
      <w:r w:rsidR="00E147C5">
        <w:t xml:space="preserve"> for further detail around the current measures offe</w:t>
      </w:r>
      <w:r w:rsidR="00E1444F">
        <w:t>red through Cascade’s programs.</w:t>
      </w:r>
    </w:p>
    <w:p w14:paraId="2EABEB45" w14:textId="4BB129E9" w:rsidR="00525FE4" w:rsidRPr="00351143" w:rsidRDefault="00525FE4">
      <w:pPr>
        <w:ind w:right="-7"/>
        <w:contextualSpacing/>
        <w:jc w:val="both"/>
      </w:pPr>
      <w:r w:rsidRPr="00804108">
        <w:lastRenderedPageBreak/>
        <w:t xml:space="preserve">The Company will continue to monitor the state of natural gas conservation technologies within its service territory and make adjustments commensurate with </w:t>
      </w:r>
      <w:r w:rsidRPr="00E147C5">
        <w:t xml:space="preserve">evolving </w:t>
      </w:r>
      <w:r w:rsidR="009C2DE3" w:rsidRPr="00E147C5">
        <w:t>ENERGY STAR</w:t>
      </w:r>
      <w:r w:rsidRPr="00E147C5">
        <w:t xml:space="preserve"> standards and code requirements</w:t>
      </w:r>
      <w:r w:rsidR="009F226E">
        <w:t xml:space="preserve">. Cascade will also </w:t>
      </w:r>
      <w:r w:rsidRPr="00E147C5">
        <w:t>monitor new and promising technologies available to optimize the use of natural gas in customers’ homes. Such measures may include a natural gas heat pump as they become more widespread throughout the market place, or potentially Boiler Pipe Insulation</w:t>
      </w:r>
      <w:r w:rsidRPr="00086E03">
        <w:t xml:space="preserve">. </w:t>
      </w:r>
      <w:r w:rsidR="00485926" w:rsidRPr="00AC330F">
        <w:t xml:space="preserve">The Company is also </w:t>
      </w:r>
      <w:r w:rsidR="00E147C5">
        <w:t xml:space="preserve">continuing to </w:t>
      </w:r>
      <w:r w:rsidR="00485926" w:rsidRPr="00AC330F">
        <w:t xml:space="preserve">monitor the residential natural gas furnace standards as well as water </w:t>
      </w:r>
      <w:r w:rsidR="00485926" w:rsidRPr="003913CE">
        <w:t xml:space="preserve">heater criteria and will alter the program offerings </w:t>
      </w:r>
      <w:r w:rsidR="00485926" w:rsidRPr="003913CE">
        <w:lastRenderedPageBreak/>
        <w:t xml:space="preserve">as standards and building codes </w:t>
      </w:r>
      <w:r w:rsidR="00CD10B5" w:rsidRPr="00ED616A">
        <w:t xml:space="preserve">change in the next few years. </w:t>
      </w:r>
    </w:p>
    <w:p w14:paraId="146D91A2" w14:textId="77777777" w:rsidR="00FB4ABD" w:rsidRPr="00387FFA" w:rsidRDefault="00FB4ABD">
      <w:pPr>
        <w:pStyle w:val="Heading1"/>
      </w:pPr>
      <w:bookmarkStart w:id="21" w:name="_Residential_Program_Delivery"/>
      <w:bookmarkStart w:id="22" w:name="_Toc465678029"/>
      <w:bookmarkEnd w:id="21"/>
      <w:r w:rsidRPr="00387FFA">
        <w:t>Residential Program Delivery Changes f</w:t>
      </w:r>
      <w:r w:rsidR="00C519AA" w:rsidRPr="00387FFA">
        <w:t>rom</w:t>
      </w:r>
      <w:r w:rsidRPr="00387FFA">
        <w:t xml:space="preserve"> 2016</w:t>
      </w:r>
      <w:bookmarkEnd w:id="22"/>
    </w:p>
    <w:p w14:paraId="4A78A5FA" w14:textId="00A3B691" w:rsidR="00EC56C2" w:rsidRPr="004F3555" w:rsidRDefault="00EC56C2" w:rsidP="002C2B2C">
      <w:pPr>
        <w:spacing w:after="160"/>
        <w:jc w:val="both"/>
        <w:rPr>
          <w:rFonts w:eastAsia="Calibri" w:hAnsi="Calibri"/>
          <w:spacing w:val="-2"/>
        </w:rPr>
      </w:pPr>
      <w:r w:rsidRPr="004F3555">
        <w:rPr>
          <w:rFonts w:eastAsia="Calibri" w:hAnsi="Calibri"/>
          <w:spacing w:val="-2"/>
        </w:rPr>
        <w:t xml:space="preserve">Calendar Year 2016 </w:t>
      </w:r>
      <w:r>
        <w:rPr>
          <w:rFonts w:eastAsia="Calibri" w:hAnsi="Calibri"/>
          <w:spacing w:val="-2"/>
        </w:rPr>
        <w:t>was</w:t>
      </w:r>
      <w:r w:rsidRPr="004F3555">
        <w:rPr>
          <w:rFonts w:eastAsia="Calibri" w:hAnsi="Calibri"/>
          <w:spacing w:val="-2"/>
        </w:rPr>
        <w:t xml:space="preserve"> a transition year for the Conservation Department as the Company set the stage for expansion of program savings into the next 10 years.</w:t>
      </w:r>
    </w:p>
    <w:p w14:paraId="11845585" w14:textId="0D63EDF2" w:rsidR="00EC56C2" w:rsidRPr="004F3555" w:rsidRDefault="00EC56C2" w:rsidP="002C2B2C">
      <w:pPr>
        <w:spacing w:after="160"/>
        <w:jc w:val="both"/>
      </w:pPr>
      <w:r w:rsidRPr="004F3555">
        <w:t>For the past two years</w:t>
      </w:r>
      <w:r>
        <w:t>,</w:t>
      </w:r>
      <w:r w:rsidRPr="004F3555">
        <w:t xml:space="preserve"> the residential programs </w:t>
      </w:r>
      <w:r w:rsidR="00787DBF">
        <w:t>had been</w:t>
      </w:r>
      <w:r w:rsidR="00787DBF" w:rsidRPr="004F3555">
        <w:t xml:space="preserve"> </w:t>
      </w:r>
      <w:r w:rsidRPr="004F3555">
        <w:t>delivered through a mix of third party implementation and internal program oversight</w:t>
      </w:r>
      <w:r w:rsidR="00FC7240">
        <w:t xml:space="preserve"> </w:t>
      </w:r>
      <w:r w:rsidR="00C21A7B">
        <w:t xml:space="preserve">which impaired transparency and data quality and required a high level </w:t>
      </w:r>
      <w:r w:rsidR="00C21A7B">
        <w:lastRenderedPageBreak/>
        <w:t>of Cascade intervention and oversight</w:t>
      </w:r>
      <w:r w:rsidRPr="004F3555">
        <w:t xml:space="preserve">. In </w:t>
      </w:r>
      <w:r w:rsidR="00C21A7B">
        <w:t>order</w:t>
      </w:r>
      <w:r w:rsidRPr="004F3555">
        <w:t xml:space="preserve"> to pursue a </w:t>
      </w:r>
      <w:r w:rsidR="00C21A7B">
        <w:t>strategic</w:t>
      </w:r>
      <w:r w:rsidRPr="004F3555">
        <w:t xml:space="preserve"> affordable and simplified delivery model the Company began </w:t>
      </w:r>
      <w:r w:rsidR="00C21A7B">
        <w:t xml:space="preserve">to </w:t>
      </w:r>
      <w:r w:rsidRPr="004F3555">
        <w:t>explor</w:t>
      </w:r>
      <w:r w:rsidR="00C21A7B">
        <w:t>e</w:t>
      </w:r>
      <w:r w:rsidRPr="004F3555">
        <w:t xml:space="preserve"> internal </w:t>
      </w:r>
      <w:r w:rsidR="00C21A7B">
        <w:t xml:space="preserve">conservation </w:t>
      </w:r>
      <w:r w:rsidRPr="004F3555">
        <w:t xml:space="preserve">program </w:t>
      </w:r>
      <w:r w:rsidR="00C21A7B">
        <w:t xml:space="preserve">delivery </w:t>
      </w:r>
      <w:r w:rsidRPr="004F3555">
        <w:t xml:space="preserve">options for </w:t>
      </w:r>
      <w:r>
        <w:t>its</w:t>
      </w:r>
      <w:r w:rsidRPr="004F3555">
        <w:t xml:space="preserve"> residential program in the summer of 2015</w:t>
      </w:r>
      <w:r w:rsidR="00C21A7B">
        <w:t>,</w:t>
      </w:r>
      <w:r w:rsidR="00E333B0">
        <w:t xml:space="preserve"> </w:t>
      </w:r>
      <w:r w:rsidR="00C21A7B">
        <w:t>in light of</w:t>
      </w:r>
      <w:r w:rsidR="00FC7240">
        <w:t xml:space="preserve"> </w:t>
      </w:r>
      <w:r w:rsidRPr="004F3555">
        <w:t>the</w:t>
      </w:r>
      <w:r w:rsidR="00C21A7B">
        <w:t xml:space="preserve"> expiration of the</w:t>
      </w:r>
      <w:r w:rsidRPr="004F3555">
        <w:t xml:space="preserve"> existing vendor contract </w:t>
      </w:r>
      <w:r w:rsidR="00C21A7B">
        <w:t>at</w:t>
      </w:r>
      <w:r w:rsidRPr="004F3555">
        <w:t xml:space="preserve"> the end of the year. Internal delivery</w:t>
      </w:r>
      <w:r w:rsidR="00E333B0">
        <w:t xml:space="preserve"> </w:t>
      </w:r>
      <w:r w:rsidR="00C21A7B">
        <w:t>allows</w:t>
      </w:r>
      <w:r w:rsidRPr="004F3555">
        <w:t xml:space="preserve"> the Company </w:t>
      </w:r>
      <w:r w:rsidR="00C21A7B">
        <w:t xml:space="preserve">to </w:t>
      </w:r>
      <w:r w:rsidRPr="004F3555">
        <w:t>ma</w:t>
      </w:r>
      <w:r w:rsidR="00E333B0">
        <w:t xml:space="preserve">nage </w:t>
      </w:r>
      <w:r w:rsidRPr="004F3555">
        <w:t>the customer rebate experience</w:t>
      </w:r>
      <w:r w:rsidR="00E333B0">
        <w:t xml:space="preserve"> </w:t>
      </w:r>
      <w:r w:rsidR="00C21A7B">
        <w:t>for</w:t>
      </w:r>
      <w:r w:rsidR="00C21A7B" w:rsidRPr="004F3555">
        <w:t xml:space="preserve"> </w:t>
      </w:r>
      <w:r w:rsidR="00C21A7B">
        <w:t>more efficient</w:t>
      </w:r>
      <w:r w:rsidRPr="004F3555">
        <w:t xml:space="preserve"> rebate processing from start to finish, </w:t>
      </w:r>
      <w:r w:rsidR="00C21A7B">
        <w:t>effective</w:t>
      </w:r>
      <w:r w:rsidRPr="004F3555">
        <w:t xml:space="preserve"> data quality and data management </w:t>
      </w:r>
      <w:r w:rsidR="00E333B0">
        <w:t xml:space="preserve">resulting in </w:t>
      </w:r>
      <w:r w:rsidR="00C21A7B">
        <w:t xml:space="preserve">a best in class customer experience as noted </w:t>
      </w:r>
      <w:r w:rsidR="00E333B0">
        <w:t>in the most recent</w:t>
      </w:r>
      <w:r w:rsidR="00C21A7B">
        <w:t xml:space="preserve"> JD Edwards survey of midsized gas companies</w:t>
      </w:r>
      <w:r w:rsidR="002C2B2C">
        <w:t>.</w:t>
      </w:r>
    </w:p>
    <w:p w14:paraId="1CD17FCC" w14:textId="6D50B5F1" w:rsidR="00EC56C2" w:rsidRDefault="00EC56C2" w:rsidP="002C2B2C">
      <w:pPr>
        <w:spacing w:after="160"/>
        <w:jc w:val="both"/>
        <w:rPr>
          <w:rFonts w:eastAsia="Calibri"/>
          <w:spacing w:val="-2"/>
        </w:rPr>
      </w:pPr>
      <w:r>
        <w:rPr>
          <w:rFonts w:eastAsia="Calibri"/>
          <w:spacing w:val="-2"/>
        </w:rPr>
        <w:lastRenderedPageBreak/>
        <w:t>The Company also recognized administrative funding and budgets for program implementation needed to increase to accommodate the higher savings targets</w:t>
      </w:r>
      <w:r w:rsidR="00440A86">
        <w:rPr>
          <w:rFonts w:eastAsia="Calibri"/>
          <w:spacing w:val="-2"/>
        </w:rPr>
        <w:t xml:space="preserve"> (see</w:t>
      </w:r>
      <w:r w:rsidR="00440A86" w:rsidRPr="00440A86">
        <w:rPr>
          <w:b/>
          <w:bCs/>
        </w:rPr>
        <w:t xml:space="preserve"> </w:t>
      </w:r>
      <w:hyperlink w:anchor="_Budgeting_Parameters" w:history="1">
        <w:r w:rsidR="00440A86" w:rsidRPr="002C2B2C">
          <w:rPr>
            <w:rStyle w:val="Hyperlink"/>
            <w:rFonts w:eastAsia="Calibri"/>
            <w:bCs/>
            <w:i/>
            <w:spacing w:val="-2"/>
          </w:rPr>
          <w:t>Budgeting Parameters</w:t>
        </w:r>
      </w:hyperlink>
      <w:r w:rsidR="00440A86">
        <w:rPr>
          <w:rFonts w:eastAsia="Calibri"/>
          <w:bCs/>
          <w:i/>
          <w:spacing w:val="-2"/>
        </w:rPr>
        <w:t xml:space="preserve"> </w:t>
      </w:r>
      <w:r w:rsidR="00440A86" w:rsidRPr="00E333B0">
        <w:rPr>
          <w:rFonts w:eastAsia="Calibri"/>
          <w:bCs/>
          <w:spacing w:val="-2"/>
        </w:rPr>
        <w:t>for further details</w:t>
      </w:r>
      <w:r w:rsidR="00440A86">
        <w:rPr>
          <w:rFonts w:eastAsia="Calibri"/>
          <w:bCs/>
          <w:i/>
          <w:spacing w:val="-2"/>
        </w:rPr>
        <w:t>)</w:t>
      </w:r>
      <w:r>
        <w:rPr>
          <w:rFonts w:eastAsia="Calibri"/>
          <w:spacing w:val="-2"/>
        </w:rPr>
        <w:t xml:space="preserve">. </w:t>
      </w:r>
      <w:r w:rsidR="0060155C">
        <w:rPr>
          <w:rFonts w:eastAsia="Calibri"/>
          <w:spacing w:val="-2"/>
        </w:rPr>
        <w:t xml:space="preserve">Historically, the </w:t>
      </w:r>
      <w:r>
        <w:rPr>
          <w:rFonts w:eastAsia="Calibri"/>
          <w:spacing w:val="-2"/>
        </w:rPr>
        <w:t xml:space="preserve">Company has taken a conservative approach and attempted to reduce administrative budgets as much as possible to accommodate lower gas costs and maintain cost effectiveness of the programs. However, during discussions with the prior residential program delivery </w:t>
      </w:r>
      <w:r w:rsidRPr="00146D0E">
        <w:rPr>
          <w:rFonts w:eastAsia="Calibri"/>
          <w:spacing w:val="-2"/>
        </w:rPr>
        <w:t xml:space="preserve">vendor the Company </w:t>
      </w:r>
      <w:r>
        <w:rPr>
          <w:rFonts w:eastAsia="Calibri"/>
          <w:spacing w:val="-2"/>
        </w:rPr>
        <w:t xml:space="preserve">came to </w:t>
      </w:r>
      <w:r w:rsidRPr="00146D0E">
        <w:rPr>
          <w:rFonts w:eastAsia="Calibri"/>
          <w:spacing w:val="-2"/>
        </w:rPr>
        <w:t>underst</w:t>
      </w:r>
      <w:r w:rsidR="00440A86">
        <w:rPr>
          <w:rFonts w:eastAsia="Calibri"/>
          <w:spacing w:val="-2"/>
        </w:rPr>
        <w:t>and</w:t>
      </w:r>
      <w:r w:rsidRPr="00146D0E">
        <w:rPr>
          <w:rFonts w:eastAsia="Calibri"/>
          <w:spacing w:val="-2"/>
        </w:rPr>
        <w:t xml:space="preserve"> expenses for </w:t>
      </w:r>
      <w:r>
        <w:rPr>
          <w:rFonts w:eastAsia="Calibri"/>
          <w:spacing w:val="-2"/>
        </w:rPr>
        <w:t xml:space="preserve">delivery of the residential programs </w:t>
      </w:r>
      <w:r w:rsidRPr="00146D0E">
        <w:rPr>
          <w:rFonts w:eastAsia="Calibri"/>
          <w:spacing w:val="-2"/>
        </w:rPr>
        <w:t xml:space="preserve">would increase for </w:t>
      </w:r>
      <w:r w:rsidRPr="00146D0E">
        <w:rPr>
          <w:rFonts w:eastAsia="Calibri"/>
          <w:spacing w:val="-2"/>
        </w:rPr>
        <w:lastRenderedPageBreak/>
        <w:t>2016 as initial estimates of administrative costs for delivery of</w:t>
      </w:r>
      <w:r>
        <w:rPr>
          <w:rFonts w:eastAsia="Calibri"/>
          <w:spacing w:val="-2"/>
        </w:rPr>
        <w:t xml:space="preserve"> the Cascade </w:t>
      </w:r>
      <w:r w:rsidRPr="00146D0E">
        <w:rPr>
          <w:rFonts w:eastAsia="Calibri"/>
          <w:spacing w:val="-2"/>
        </w:rPr>
        <w:t xml:space="preserve">residential rebate programs </w:t>
      </w:r>
      <w:r w:rsidR="00E333B0">
        <w:rPr>
          <w:rFonts w:eastAsia="Calibri"/>
          <w:spacing w:val="-2"/>
        </w:rPr>
        <w:t xml:space="preserve">by the vendor </w:t>
      </w:r>
      <w:r w:rsidRPr="00146D0E">
        <w:rPr>
          <w:rFonts w:eastAsia="Calibri"/>
          <w:spacing w:val="-2"/>
        </w:rPr>
        <w:t xml:space="preserve">were not adequate to cover the vendor’s costs. </w:t>
      </w:r>
    </w:p>
    <w:p w14:paraId="2C207C98" w14:textId="66DD252B" w:rsidR="00EC56C2" w:rsidRPr="00146D0E" w:rsidRDefault="00C21A7B" w:rsidP="002C2B2C">
      <w:pPr>
        <w:overflowPunct w:val="0"/>
        <w:autoSpaceDE w:val="0"/>
        <w:autoSpaceDN w:val="0"/>
        <w:adjustRightInd w:val="0"/>
        <w:spacing w:after="160"/>
        <w:jc w:val="both"/>
        <w:textAlignment w:val="baseline"/>
        <w:rPr>
          <w:rFonts w:eastAsia="Calibri"/>
          <w:spacing w:val="-2"/>
        </w:rPr>
      </w:pPr>
      <w:r>
        <w:rPr>
          <w:rFonts w:eastAsia="Calibri"/>
          <w:spacing w:val="-2"/>
        </w:rPr>
        <w:t>T</w:t>
      </w:r>
      <w:r w:rsidR="00EC56C2" w:rsidRPr="00146D0E">
        <w:rPr>
          <w:rFonts w:eastAsia="Calibri"/>
          <w:spacing w:val="-2"/>
        </w:rPr>
        <w:t xml:space="preserve">ransitioning to an internal delivery model </w:t>
      </w:r>
      <w:r w:rsidR="00EC56C2">
        <w:rPr>
          <w:rFonts w:eastAsia="Calibri"/>
          <w:spacing w:val="-2"/>
        </w:rPr>
        <w:t>wa</w:t>
      </w:r>
      <w:r w:rsidR="00EC56C2" w:rsidRPr="00146D0E">
        <w:rPr>
          <w:rFonts w:eastAsia="Calibri"/>
          <w:spacing w:val="-2"/>
        </w:rPr>
        <w:t>s not a lower</w:t>
      </w:r>
      <w:r>
        <w:rPr>
          <w:rFonts w:eastAsia="Calibri"/>
          <w:spacing w:val="-2"/>
        </w:rPr>
        <w:t xml:space="preserve"> upfront</w:t>
      </w:r>
      <w:r w:rsidR="00EC56C2" w:rsidRPr="00146D0E">
        <w:rPr>
          <w:rFonts w:eastAsia="Calibri"/>
          <w:spacing w:val="-2"/>
        </w:rPr>
        <w:t xml:space="preserve"> co</w:t>
      </w:r>
      <w:r w:rsidR="00EC56C2">
        <w:rPr>
          <w:rFonts w:eastAsia="Calibri"/>
          <w:spacing w:val="-2"/>
        </w:rPr>
        <w:t xml:space="preserve">st option as the </w:t>
      </w:r>
      <w:r>
        <w:rPr>
          <w:rFonts w:eastAsia="Calibri"/>
          <w:spacing w:val="-2"/>
        </w:rPr>
        <w:t xml:space="preserve">decision </w:t>
      </w:r>
      <w:r w:rsidR="00EC56C2">
        <w:rPr>
          <w:rFonts w:eastAsia="Calibri"/>
          <w:spacing w:val="-2"/>
        </w:rPr>
        <w:t>necessitated</w:t>
      </w:r>
      <w:r w:rsidR="00EC56C2" w:rsidRPr="00146D0E">
        <w:rPr>
          <w:rFonts w:eastAsia="Calibri"/>
          <w:spacing w:val="-2"/>
        </w:rPr>
        <w:t xml:space="preserve"> adding two </w:t>
      </w:r>
      <w:r w:rsidR="00EC56C2">
        <w:rPr>
          <w:rFonts w:eastAsia="Calibri"/>
          <w:spacing w:val="-2"/>
        </w:rPr>
        <w:t>internal</w:t>
      </w:r>
      <w:r w:rsidR="00EC56C2" w:rsidRPr="00146D0E">
        <w:rPr>
          <w:rFonts w:eastAsia="Calibri"/>
          <w:spacing w:val="-2"/>
        </w:rPr>
        <w:t xml:space="preserve"> staff to support </w:t>
      </w:r>
      <w:r w:rsidR="00EC56C2">
        <w:rPr>
          <w:rFonts w:eastAsia="Calibri"/>
          <w:spacing w:val="-2"/>
        </w:rPr>
        <w:t xml:space="preserve">residential rebate </w:t>
      </w:r>
      <w:r w:rsidR="00EC56C2" w:rsidRPr="00146D0E">
        <w:rPr>
          <w:rFonts w:eastAsia="Calibri"/>
          <w:spacing w:val="-2"/>
        </w:rPr>
        <w:t>processing</w:t>
      </w:r>
      <w:r w:rsidR="00EC56C2">
        <w:rPr>
          <w:rFonts w:eastAsia="Calibri"/>
          <w:spacing w:val="-2"/>
        </w:rPr>
        <w:t xml:space="preserve"> and Trade Ally management</w:t>
      </w:r>
      <w:r>
        <w:rPr>
          <w:rFonts w:eastAsia="Calibri"/>
          <w:spacing w:val="-2"/>
        </w:rPr>
        <w:t>.</w:t>
      </w:r>
      <w:r w:rsidR="00EC56C2" w:rsidRPr="00146D0E">
        <w:rPr>
          <w:rFonts w:eastAsia="Calibri"/>
          <w:spacing w:val="-2"/>
        </w:rPr>
        <w:t xml:space="preserve"> </w:t>
      </w:r>
      <w:r w:rsidR="000A17A2">
        <w:rPr>
          <w:rFonts w:eastAsia="Calibri"/>
          <w:spacing w:val="-2"/>
        </w:rPr>
        <w:t xml:space="preserve">In the long term </w:t>
      </w:r>
      <w:r w:rsidR="00EC56C2" w:rsidRPr="00146D0E">
        <w:rPr>
          <w:rFonts w:eastAsia="Calibri"/>
          <w:spacing w:val="-2"/>
        </w:rPr>
        <w:t xml:space="preserve">it </w:t>
      </w:r>
      <w:r w:rsidR="000A17A2">
        <w:rPr>
          <w:rFonts w:eastAsia="Calibri"/>
          <w:spacing w:val="-2"/>
        </w:rPr>
        <w:t>will</w:t>
      </w:r>
      <w:r w:rsidR="000A17A2" w:rsidRPr="00146D0E">
        <w:rPr>
          <w:rFonts w:eastAsia="Calibri"/>
          <w:spacing w:val="-2"/>
        </w:rPr>
        <w:t xml:space="preserve"> </w:t>
      </w:r>
      <w:r w:rsidR="00EC56C2" w:rsidRPr="00146D0E">
        <w:rPr>
          <w:rFonts w:eastAsia="Calibri"/>
          <w:spacing w:val="-2"/>
        </w:rPr>
        <w:t xml:space="preserve">provide </w:t>
      </w:r>
      <w:r w:rsidR="000A17A2">
        <w:rPr>
          <w:rFonts w:eastAsia="Calibri"/>
          <w:spacing w:val="-2"/>
        </w:rPr>
        <w:t xml:space="preserve">customer experience </w:t>
      </w:r>
      <w:r w:rsidR="00EC56C2" w:rsidRPr="00146D0E">
        <w:rPr>
          <w:rFonts w:eastAsia="Calibri"/>
          <w:spacing w:val="-2"/>
        </w:rPr>
        <w:t xml:space="preserve">continuity and </w:t>
      </w:r>
      <w:r w:rsidR="00EC56C2">
        <w:rPr>
          <w:rFonts w:eastAsia="Calibri"/>
          <w:spacing w:val="-2"/>
        </w:rPr>
        <w:t>data management security</w:t>
      </w:r>
      <w:r w:rsidR="00EC56C2" w:rsidRPr="00146D0E">
        <w:rPr>
          <w:rFonts w:eastAsia="Calibri"/>
          <w:spacing w:val="-2"/>
        </w:rPr>
        <w:t xml:space="preserve"> in future years </w:t>
      </w:r>
      <w:r w:rsidR="00EC56C2">
        <w:rPr>
          <w:rFonts w:eastAsia="Calibri"/>
          <w:spacing w:val="-2"/>
        </w:rPr>
        <w:t xml:space="preserve">when taken hand-in-hand with </w:t>
      </w:r>
      <w:r w:rsidR="000A17A2">
        <w:rPr>
          <w:rFonts w:eastAsia="Calibri"/>
          <w:spacing w:val="-2"/>
        </w:rPr>
        <w:t>the Nexant</w:t>
      </w:r>
      <w:r w:rsidR="00EC56C2" w:rsidRPr="00146D0E">
        <w:rPr>
          <w:rFonts w:eastAsia="Calibri"/>
          <w:spacing w:val="-2"/>
        </w:rPr>
        <w:t xml:space="preserve"> software solution.</w:t>
      </w:r>
    </w:p>
    <w:p w14:paraId="755891A2" w14:textId="4CE7D6FC" w:rsidR="00EC56C2" w:rsidRPr="00146D0E" w:rsidRDefault="000A17A2" w:rsidP="002C2B2C">
      <w:pPr>
        <w:overflowPunct w:val="0"/>
        <w:autoSpaceDE w:val="0"/>
        <w:autoSpaceDN w:val="0"/>
        <w:adjustRightInd w:val="0"/>
        <w:spacing w:after="160"/>
        <w:jc w:val="both"/>
        <w:textAlignment w:val="baseline"/>
        <w:rPr>
          <w:rFonts w:eastAsia="Calibri"/>
          <w:spacing w:val="-2"/>
        </w:rPr>
      </w:pPr>
      <w:r>
        <w:rPr>
          <w:rFonts w:eastAsia="Calibri"/>
          <w:spacing w:val="-2"/>
        </w:rPr>
        <w:t>T</w:t>
      </w:r>
      <w:r w:rsidR="00EC56C2" w:rsidRPr="00146D0E">
        <w:rPr>
          <w:rFonts w:eastAsia="Calibri"/>
          <w:spacing w:val="-2"/>
        </w:rPr>
        <w:t xml:space="preserve">he Company </w:t>
      </w:r>
      <w:r w:rsidR="00EC56C2">
        <w:rPr>
          <w:rFonts w:eastAsia="Calibri"/>
          <w:spacing w:val="-2"/>
        </w:rPr>
        <w:t>submitted a</w:t>
      </w:r>
      <w:r w:rsidR="00110700">
        <w:rPr>
          <w:rFonts w:eastAsia="Calibri"/>
          <w:spacing w:val="-2"/>
        </w:rPr>
        <w:t xml:space="preserve"> request for proposals</w:t>
      </w:r>
      <w:r w:rsidR="00EC56C2">
        <w:rPr>
          <w:rFonts w:eastAsia="Calibri"/>
          <w:spacing w:val="-2"/>
        </w:rPr>
        <w:t xml:space="preserve"> </w:t>
      </w:r>
      <w:r>
        <w:rPr>
          <w:rFonts w:eastAsia="Calibri"/>
          <w:spacing w:val="-2"/>
        </w:rPr>
        <w:t xml:space="preserve">for an </w:t>
      </w:r>
      <w:r>
        <w:rPr>
          <w:rFonts w:eastAsia="Calibri"/>
          <w:spacing w:val="-2"/>
        </w:rPr>
        <w:lastRenderedPageBreak/>
        <w:t>Energy Efficiency incentive</w:t>
      </w:r>
      <w:r w:rsidR="00EC56C2" w:rsidRPr="00146D0E">
        <w:rPr>
          <w:rFonts w:eastAsia="Calibri"/>
          <w:spacing w:val="-2"/>
        </w:rPr>
        <w:t xml:space="preserve"> software </w:t>
      </w:r>
      <w:r>
        <w:rPr>
          <w:rFonts w:eastAsia="Calibri"/>
          <w:spacing w:val="-2"/>
        </w:rPr>
        <w:t>platform which</w:t>
      </w:r>
      <w:r w:rsidR="00EC56C2" w:rsidRPr="00146D0E">
        <w:rPr>
          <w:rFonts w:eastAsia="Calibri"/>
          <w:spacing w:val="-2"/>
        </w:rPr>
        <w:t xml:space="preserve"> </w:t>
      </w:r>
      <w:r w:rsidR="00EC56C2">
        <w:rPr>
          <w:rFonts w:eastAsia="Calibri"/>
          <w:spacing w:val="-2"/>
        </w:rPr>
        <w:t>allow</w:t>
      </w:r>
      <w:r>
        <w:rPr>
          <w:rFonts w:eastAsia="Calibri"/>
          <w:spacing w:val="-2"/>
        </w:rPr>
        <w:t>s</w:t>
      </w:r>
      <w:r w:rsidR="00EC56C2">
        <w:rPr>
          <w:rFonts w:eastAsia="Calibri"/>
          <w:spacing w:val="-2"/>
        </w:rPr>
        <w:t xml:space="preserve"> </w:t>
      </w:r>
      <w:r w:rsidR="00EC56C2" w:rsidRPr="00146D0E">
        <w:rPr>
          <w:rFonts w:eastAsia="Calibri"/>
          <w:spacing w:val="-2"/>
        </w:rPr>
        <w:t>customer</w:t>
      </w:r>
      <w:r w:rsidR="00EC56C2">
        <w:rPr>
          <w:rFonts w:eastAsia="Calibri"/>
          <w:spacing w:val="-2"/>
        </w:rPr>
        <w:t xml:space="preserve"> submission via an online </w:t>
      </w:r>
      <w:r w:rsidR="00EC56C2" w:rsidRPr="00146D0E">
        <w:rPr>
          <w:rFonts w:eastAsia="Calibri"/>
          <w:spacing w:val="-2"/>
        </w:rPr>
        <w:t xml:space="preserve">rebate portal. </w:t>
      </w:r>
      <w:r>
        <w:rPr>
          <w:rFonts w:eastAsia="Calibri"/>
          <w:spacing w:val="-2"/>
        </w:rPr>
        <w:t xml:space="preserve">In </w:t>
      </w:r>
      <w:r w:rsidR="00EC56C2" w:rsidRPr="00146D0E">
        <w:rPr>
          <w:rFonts w:eastAsia="Calibri"/>
          <w:spacing w:val="-2"/>
        </w:rPr>
        <w:t xml:space="preserve">the summer </w:t>
      </w:r>
      <w:r w:rsidR="00EC56C2">
        <w:rPr>
          <w:rFonts w:eastAsia="Calibri"/>
          <w:spacing w:val="-2"/>
        </w:rPr>
        <w:t xml:space="preserve">of 2015 </w:t>
      </w:r>
      <w:r w:rsidR="00EC56C2" w:rsidRPr="00146D0E">
        <w:rPr>
          <w:rFonts w:eastAsia="Calibri"/>
          <w:spacing w:val="-2"/>
        </w:rPr>
        <w:t xml:space="preserve">Cascade </w:t>
      </w:r>
      <w:r>
        <w:rPr>
          <w:rFonts w:eastAsia="Calibri"/>
          <w:spacing w:val="-2"/>
        </w:rPr>
        <w:t xml:space="preserve">vetted </w:t>
      </w:r>
      <w:r w:rsidR="00EC56C2" w:rsidRPr="00146D0E">
        <w:rPr>
          <w:rFonts w:eastAsia="Calibri"/>
          <w:spacing w:val="-2"/>
        </w:rPr>
        <w:t xml:space="preserve">various software implementation companies to </w:t>
      </w:r>
      <w:r>
        <w:rPr>
          <w:rFonts w:eastAsia="Calibri"/>
          <w:spacing w:val="-2"/>
        </w:rPr>
        <w:t>better understand</w:t>
      </w:r>
      <w:r w:rsidRPr="00146D0E">
        <w:rPr>
          <w:rFonts w:eastAsia="Calibri"/>
          <w:spacing w:val="-2"/>
        </w:rPr>
        <w:t xml:space="preserve"> </w:t>
      </w:r>
      <w:r>
        <w:rPr>
          <w:rFonts w:eastAsia="Calibri"/>
          <w:spacing w:val="-2"/>
        </w:rPr>
        <w:t xml:space="preserve">the potential benefits of </w:t>
      </w:r>
      <w:r w:rsidR="00EC56C2" w:rsidRPr="00146D0E">
        <w:rPr>
          <w:rFonts w:eastAsia="Calibri"/>
          <w:spacing w:val="-2"/>
        </w:rPr>
        <w:t>cloud based software</w:t>
      </w:r>
      <w:r>
        <w:rPr>
          <w:rFonts w:eastAsia="Calibri"/>
          <w:spacing w:val="-2"/>
        </w:rPr>
        <w:t xml:space="preserve"> offerings</w:t>
      </w:r>
      <w:r w:rsidR="00EC56C2" w:rsidRPr="00146D0E">
        <w:rPr>
          <w:rFonts w:eastAsia="Calibri"/>
          <w:spacing w:val="-2"/>
        </w:rPr>
        <w:t xml:space="preserve"> </w:t>
      </w:r>
      <w:r w:rsidR="00EC56C2">
        <w:rPr>
          <w:rFonts w:eastAsia="Calibri"/>
          <w:spacing w:val="-2"/>
        </w:rPr>
        <w:t>for</w:t>
      </w:r>
      <w:r w:rsidR="00EC56C2" w:rsidRPr="00146D0E">
        <w:rPr>
          <w:rFonts w:eastAsia="Calibri"/>
          <w:spacing w:val="-2"/>
        </w:rPr>
        <w:t xml:space="preserve"> internal residential program delivery. </w:t>
      </w:r>
    </w:p>
    <w:p w14:paraId="61D7D974" w14:textId="4C60DDC7" w:rsidR="00EC56C2" w:rsidRDefault="00EC56C2" w:rsidP="002C2B2C">
      <w:pPr>
        <w:spacing w:after="160"/>
        <w:jc w:val="both"/>
        <w:rPr>
          <w:rFonts w:eastAsia="Calibri"/>
          <w:spacing w:val="-2"/>
        </w:rPr>
      </w:pPr>
      <w:r w:rsidRPr="00146D0E">
        <w:rPr>
          <w:rFonts w:eastAsia="Calibri"/>
          <w:spacing w:val="-2"/>
        </w:rPr>
        <w:t xml:space="preserve">In late summer the Company engaged in conversations with its </w:t>
      </w:r>
      <w:r>
        <w:rPr>
          <w:rFonts w:eastAsia="Calibri"/>
          <w:spacing w:val="-2"/>
        </w:rPr>
        <w:t xml:space="preserve">CAG </w:t>
      </w:r>
      <w:r w:rsidRPr="00146D0E">
        <w:rPr>
          <w:rFonts w:eastAsia="Calibri"/>
          <w:spacing w:val="-2"/>
        </w:rPr>
        <w:t xml:space="preserve">about proposed program delivery changes and advised it would send out an RFP for software support. </w:t>
      </w:r>
      <w:r w:rsidR="000A17A2">
        <w:rPr>
          <w:rFonts w:eastAsia="Calibri"/>
          <w:spacing w:val="-2"/>
        </w:rPr>
        <w:t xml:space="preserve">All RFPs received a response and the current </w:t>
      </w:r>
      <w:r w:rsidRPr="00146D0E">
        <w:rPr>
          <w:rFonts w:eastAsia="Calibri"/>
          <w:spacing w:val="-2"/>
        </w:rPr>
        <w:t xml:space="preserve">software </w:t>
      </w:r>
      <w:r w:rsidR="000A17A2">
        <w:rPr>
          <w:rFonts w:eastAsia="Calibri"/>
          <w:spacing w:val="-2"/>
        </w:rPr>
        <w:t>platform</w:t>
      </w:r>
      <w:r w:rsidR="000A17A2" w:rsidRPr="00146D0E">
        <w:rPr>
          <w:rFonts w:eastAsia="Calibri"/>
          <w:spacing w:val="-2"/>
        </w:rPr>
        <w:t xml:space="preserve"> </w:t>
      </w:r>
      <w:r w:rsidRPr="00146D0E">
        <w:rPr>
          <w:rFonts w:eastAsia="Calibri"/>
          <w:spacing w:val="-2"/>
        </w:rPr>
        <w:t>vendor</w:t>
      </w:r>
      <w:r w:rsidR="000A17A2">
        <w:rPr>
          <w:rFonts w:eastAsia="Calibri"/>
          <w:spacing w:val="-2"/>
        </w:rPr>
        <w:t>, Nexant Inc.,</w:t>
      </w:r>
      <w:r w:rsidRPr="00146D0E">
        <w:rPr>
          <w:rFonts w:eastAsia="Calibri"/>
          <w:spacing w:val="-2"/>
        </w:rPr>
        <w:t xml:space="preserve"> </w:t>
      </w:r>
      <w:r>
        <w:rPr>
          <w:rFonts w:eastAsia="Calibri"/>
          <w:spacing w:val="-2"/>
        </w:rPr>
        <w:t>was chosen in November 2015</w:t>
      </w:r>
      <w:r w:rsidR="000A17A2">
        <w:rPr>
          <w:rFonts w:eastAsia="Calibri"/>
          <w:spacing w:val="-2"/>
        </w:rPr>
        <w:t>.</w:t>
      </w:r>
      <w:r>
        <w:rPr>
          <w:rFonts w:eastAsia="Calibri"/>
          <w:spacing w:val="-2"/>
        </w:rPr>
        <w:t xml:space="preserve"> </w:t>
      </w:r>
      <w:r w:rsidR="000A17A2">
        <w:rPr>
          <w:rFonts w:eastAsia="Calibri"/>
          <w:spacing w:val="-2"/>
        </w:rPr>
        <w:t>W</w:t>
      </w:r>
      <w:r>
        <w:rPr>
          <w:rFonts w:eastAsia="Calibri"/>
          <w:spacing w:val="-2"/>
        </w:rPr>
        <w:t xml:space="preserve">ork started immediately to customize </w:t>
      </w:r>
      <w:r>
        <w:rPr>
          <w:rFonts w:eastAsia="Calibri"/>
          <w:spacing w:val="-2"/>
        </w:rPr>
        <w:lastRenderedPageBreak/>
        <w:t xml:space="preserve">the Nexant Inc. iDSM Central and iTrade Ally product to Cascade’s needs. The program’s residential </w:t>
      </w:r>
      <w:r w:rsidRPr="00146D0E">
        <w:rPr>
          <w:rFonts w:eastAsia="Calibri"/>
          <w:spacing w:val="-2"/>
        </w:rPr>
        <w:t xml:space="preserve">delivery vendor (EGIA) agreed to continue processing residential rebates and work with the </w:t>
      </w:r>
      <w:r w:rsidR="000A17A2">
        <w:rPr>
          <w:rFonts w:eastAsia="Calibri"/>
          <w:spacing w:val="-2"/>
        </w:rPr>
        <w:t>C</w:t>
      </w:r>
      <w:r w:rsidR="000A17A2" w:rsidRPr="00146D0E">
        <w:rPr>
          <w:rFonts w:eastAsia="Calibri"/>
          <w:spacing w:val="-2"/>
        </w:rPr>
        <w:t xml:space="preserve">ompany </w:t>
      </w:r>
      <w:r w:rsidRPr="00146D0E">
        <w:rPr>
          <w:rFonts w:eastAsia="Calibri"/>
          <w:spacing w:val="-2"/>
        </w:rPr>
        <w:t xml:space="preserve">through the first few months of CY 2016 </w:t>
      </w:r>
      <w:r>
        <w:rPr>
          <w:rFonts w:eastAsia="Calibri"/>
          <w:spacing w:val="-2"/>
        </w:rPr>
        <w:t>as their program delivery ramped</w:t>
      </w:r>
      <w:r w:rsidRPr="00146D0E">
        <w:rPr>
          <w:rFonts w:eastAsia="Calibri"/>
          <w:spacing w:val="-2"/>
        </w:rPr>
        <w:t xml:space="preserve"> down and the </w:t>
      </w:r>
      <w:r>
        <w:rPr>
          <w:rFonts w:eastAsia="Calibri"/>
          <w:spacing w:val="-2"/>
        </w:rPr>
        <w:t xml:space="preserve">new </w:t>
      </w:r>
      <w:r w:rsidRPr="00146D0E">
        <w:rPr>
          <w:rFonts w:eastAsia="Calibri"/>
          <w:spacing w:val="-2"/>
        </w:rPr>
        <w:t xml:space="preserve">software and </w:t>
      </w:r>
      <w:r>
        <w:rPr>
          <w:rFonts w:eastAsia="Calibri"/>
          <w:spacing w:val="-2"/>
        </w:rPr>
        <w:t xml:space="preserve">commensurate </w:t>
      </w:r>
      <w:r w:rsidRPr="00146D0E">
        <w:rPr>
          <w:rFonts w:eastAsia="Calibri"/>
          <w:spacing w:val="-2"/>
        </w:rPr>
        <w:t xml:space="preserve">internal delivery </w:t>
      </w:r>
      <w:r>
        <w:rPr>
          <w:rFonts w:eastAsia="Calibri"/>
          <w:spacing w:val="-2"/>
        </w:rPr>
        <w:t xml:space="preserve">processes ramped up.  </w:t>
      </w:r>
    </w:p>
    <w:p w14:paraId="30BE1CAB" w14:textId="3B29059E" w:rsidR="00EC56C2" w:rsidRDefault="000A17A2" w:rsidP="002C2B2C">
      <w:pPr>
        <w:spacing w:after="160"/>
        <w:jc w:val="both"/>
        <w:rPr>
          <w:rFonts w:eastAsia="Calibri"/>
          <w:spacing w:val="-2"/>
        </w:rPr>
      </w:pPr>
      <w:r>
        <w:rPr>
          <w:rFonts w:eastAsia="Calibri"/>
          <w:spacing w:val="-2"/>
        </w:rPr>
        <w:t xml:space="preserve">Over the </w:t>
      </w:r>
      <w:r w:rsidR="00AE3903">
        <w:rPr>
          <w:rFonts w:eastAsia="Calibri"/>
          <w:spacing w:val="-2"/>
        </w:rPr>
        <w:t xml:space="preserve">past ten </w:t>
      </w:r>
      <w:r w:rsidR="00EC56C2">
        <w:rPr>
          <w:rFonts w:eastAsia="Calibri"/>
          <w:spacing w:val="-2"/>
        </w:rPr>
        <w:t xml:space="preserve">months </w:t>
      </w:r>
      <w:r>
        <w:rPr>
          <w:rFonts w:eastAsia="Calibri"/>
          <w:spacing w:val="-2"/>
        </w:rPr>
        <w:t>of internal</w:t>
      </w:r>
      <w:r w:rsidR="00EC56C2">
        <w:rPr>
          <w:rFonts w:eastAsia="Calibri"/>
          <w:spacing w:val="-2"/>
        </w:rPr>
        <w:t xml:space="preserve"> residential </w:t>
      </w:r>
      <w:r>
        <w:rPr>
          <w:rFonts w:eastAsia="Calibri"/>
          <w:spacing w:val="-2"/>
        </w:rPr>
        <w:t xml:space="preserve">program delivery, </w:t>
      </w:r>
      <w:r w:rsidR="00EC56C2">
        <w:rPr>
          <w:rFonts w:eastAsia="Calibri"/>
          <w:spacing w:val="-2"/>
        </w:rPr>
        <w:t xml:space="preserve">it has become apparent internal implementation of the programs has allowed </w:t>
      </w:r>
      <w:r w:rsidR="00AE3903">
        <w:rPr>
          <w:rFonts w:eastAsia="Calibri"/>
          <w:spacing w:val="-2"/>
        </w:rPr>
        <w:t>for</w:t>
      </w:r>
      <w:r w:rsidR="00EC56C2">
        <w:rPr>
          <w:rFonts w:eastAsia="Calibri"/>
          <w:spacing w:val="-2"/>
        </w:rPr>
        <w:t xml:space="preserve"> greater insight into areas to improve the experience for the customer. The </w:t>
      </w:r>
      <w:r>
        <w:rPr>
          <w:rFonts w:eastAsia="Calibri"/>
          <w:spacing w:val="-2"/>
        </w:rPr>
        <w:t>more streamlined and frictionless the</w:t>
      </w:r>
      <w:r w:rsidR="00EC56C2">
        <w:rPr>
          <w:rFonts w:eastAsia="Calibri"/>
          <w:spacing w:val="-2"/>
        </w:rPr>
        <w:t xml:space="preserve"> process to apply, </w:t>
      </w:r>
      <w:r w:rsidR="00EC56C2">
        <w:rPr>
          <w:rFonts w:eastAsia="Calibri"/>
          <w:spacing w:val="-2"/>
        </w:rPr>
        <w:lastRenderedPageBreak/>
        <w:t>the more likely he or she is to recall the programs positively when making future home and business energy choices, and consequently the more likely to choose higher-efficiency upgrades. The Company has thoroughly reviewed and revised its residential applications and program requirements to remove barriers while increasing ease of submission and maintaining program integrity. Improvements to the process include removal of the “Paid in full” requirement (which allows and encourages equipment financing when appropriate for the customer) as well as increased messaging to contrac</w:t>
      </w:r>
      <w:r w:rsidR="00EC56C2">
        <w:rPr>
          <w:rFonts w:eastAsia="Calibri"/>
          <w:spacing w:val="-2"/>
        </w:rPr>
        <w:lastRenderedPageBreak/>
        <w:t xml:space="preserve">tors to include all relevant install data on the invoice, negating the need for repeat data entry by the customer.     </w:t>
      </w:r>
    </w:p>
    <w:p w14:paraId="085EAAAF" w14:textId="7EDE32A2" w:rsidR="00EC56C2" w:rsidRDefault="00EC56C2" w:rsidP="002C2B2C">
      <w:pPr>
        <w:spacing w:after="160" w:line="259" w:lineRule="auto"/>
        <w:jc w:val="both"/>
        <w:rPr>
          <w:rFonts w:eastAsia="Calibri"/>
          <w:spacing w:val="-2"/>
        </w:rPr>
      </w:pPr>
      <w:r>
        <w:rPr>
          <w:rFonts w:eastAsia="Calibri"/>
          <w:spacing w:val="-2"/>
        </w:rPr>
        <w:t>One additional item to note is recognition of the improvements to the program in reviewing and processing</w:t>
      </w:r>
      <w:r w:rsidR="00F863ED">
        <w:rPr>
          <w:rFonts w:eastAsia="Calibri"/>
          <w:spacing w:val="-2"/>
        </w:rPr>
        <w:t xml:space="preserve"> of rebate</w:t>
      </w:r>
      <w:r>
        <w:rPr>
          <w:rFonts w:eastAsia="Calibri"/>
          <w:spacing w:val="-2"/>
        </w:rPr>
        <w:t xml:space="preserve"> applications with missing data – thereby reducing the amount of “Disqualified” applicants. </w:t>
      </w:r>
      <w:r w:rsidR="00A51652">
        <w:rPr>
          <w:rFonts w:eastAsia="Calibri"/>
          <w:spacing w:val="-2"/>
        </w:rPr>
        <w:t>The Company estimates a reduction in DNQ’</w:t>
      </w:r>
      <w:r w:rsidR="00E333B0">
        <w:rPr>
          <w:rFonts w:eastAsia="Calibri"/>
          <w:spacing w:val="-2"/>
        </w:rPr>
        <w:t>d</w:t>
      </w:r>
      <w:r w:rsidR="00A51652">
        <w:rPr>
          <w:rFonts w:eastAsia="Calibri"/>
          <w:spacing w:val="-2"/>
        </w:rPr>
        <w:t xml:space="preserve"> projects by</w:t>
      </w:r>
      <w:r>
        <w:rPr>
          <w:rFonts w:eastAsia="Calibri"/>
          <w:spacing w:val="-2"/>
        </w:rPr>
        <w:t xml:space="preserve"> 66%, which could reflect the reality that two-thirds of the projects previously disqualified between May 2013 and January 2016 could have been approved if some additional follow-up had been performed. Previously, the vendor administering the residential programs did not </w:t>
      </w:r>
      <w:r>
        <w:rPr>
          <w:rFonts w:eastAsia="Calibri"/>
          <w:spacing w:val="-2"/>
        </w:rPr>
        <w:lastRenderedPageBreak/>
        <w:t xml:space="preserve">allocate adequate resources toward project follow up, resulting in a significant portion of the residential rebates sitting in limbo awaiting additional data from either contractors or customers to allow the program to either approve or disqualify the submissions. While it is important to acknowledge the onus is ultimately on the customer to provide all required data, it’s also important to contribute to their success and help with what can be a confusing application process (when feasible within administrative budgetary constraints). </w:t>
      </w:r>
      <w:r w:rsidR="0045165E">
        <w:rPr>
          <w:rFonts w:eastAsia="Calibri"/>
          <w:spacing w:val="-2"/>
        </w:rPr>
        <w:t xml:space="preserve">The </w:t>
      </w:r>
      <w:r w:rsidR="00754E5F">
        <w:rPr>
          <w:rFonts w:eastAsia="Calibri"/>
          <w:spacing w:val="-2"/>
        </w:rPr>
        <w:t>in house</w:t>
      </w:r>
      <w:r w:rsidR="0045165E">
        <w:rPr>
          <w:rFonts w:eastAsia="Calibri"/>
          <w:spacing w:val="-2"/>
        </w:rPr>
        <w:t xml:space="preserve"> program provides the technical resources to advise the customer during the pre-purchase decision-making step, facilitating a more informed choice by the customer and less </w:t>
      </w:r>
      <w:r w:rsidR="0045165E">
        <w:rPr>
          <w:rFonts w:eastAsia="Calibri"/>
          <w:spacing w:val="-2"/>
        </w:rPr>
        <w:lastRenderedPageBreak/>
        <w:t>follow up during rebate processing.</w:t>
      </w:r>
    </w:p>
    <w:p w14:paraId="32C6B7E5" w14:textId="4DD74487" w:rsidR="00EC56C2" w:rsidRDefault="00EC56C2" w:rsidP="002C2B2C">
      <w:pPr>
        <w:spacing w:after="160"/>
        <w:jc w:val="both"/>
        <w:rPr>
          <w:rFonts w:eastAsia="Calibri"/>
          <w:spacing w:val="-2"/>
        </w:rPr>
      </w:pPr>
      <w:r>
        <w:rPr>
          <w:rFonts w:eastAsia="Calibri"/>
          <w:spacing w:val="-2"/>
        </w:rPr>
        <w:t xml:space="preserve">Upon transition of the existing files to the Company it was determined a significant portion of the pending applications could be processed and approved if additional administrative time was allocated to the process. While this effort did require a significant amount of time and effort from the internal team to resolve the missing data projects, and unfortunately caused a backlog of newer projects in the process, it has allowed the program to more accurately portray savings associated with equipment and weatherization measures that had already </w:t>
      </w:r>
      <w:r>
        <w:rPr>
          <w:rFonts w:eastAsia="Calibri"/>
          <w:spacing w:val="-2"/>
        </w:rPr>
        <w:lastRenderedPageBreak/>
        <w:t xml:space="preserve">been installed and should be counted toward the program achievements.    </w:t>
      </w:r>
    </w:p>
    <w:p w14:paraId="0C898823" w14:textId="75EADAC2" w:rsidR="00EC56C2" w:rsidRPr="004F3555" w:rsidRDefault="00EC56C2" w:rsidP="002C2B2C">
      <w:pPr>
        <w:spacing w:after="160"/>
        <w:jc w:val="both"/>
        <w:rPr>
          <w:rFonts w:eastAsia="Calibri"/>
          <w:spacing w:val="-2"/>
        </w:rPr>
      </w:pPr>
      <w:r>
        <w:rPr>
          <w:rFonts w:eastAsia="Calibri"/>
          <w:spacing w:val="-2"/>
        </w:rPr>
        <w:t xml:space="preserve">During the residential program transition planning phase the Company also began to alter a few key elements of the program administration to increase the timeliness of reporting related to program accomplishments. Supporting the capacity to create a timelier snapshot of current program accomplishments would allow the Company to more nimbly pivot efforts as the need arose and better enable the Company to react to market trends in building construction and efficiency. One of the elements explored was altering the reporting methodology </w:t>
      </w:r>
      <w:r>
        <w:rPr>
          <w:rFonts w:eastAsia="Calibri"/>
          <w:spacing w:val="-2"/>
        </w:rPr>
        <w:lastRenderedPageBreak/>
        <w:t xml:space="preserve">from tracking per </w:t>
      </w:r>
      <w:r w:rsidR="0045165E">
        <w:rPr>
          <w:rFonts w:eastAsia="Calibri"/>
          <w:spacing w:val="-2"/>
        </w:rPr>
        <w:t xml:space="preserve">Paid Date </w:t>
      </w:r>
      <w:r>
        <w:rPr>
          <w:rFonts w:eastAsia="Calibri"/>
          <w:spacing w:val="-2"/>
        </w:rPr>
        <w:t xml:space="preserve">versus </w:t>
      </w:r>
      <w:r w:rsidR="0045165E">
        <w:rPr>
          <w:rFonts w:eastAsia="Calibri"/>
          <w:spacing w:val="-2"/>
        </w:rPr>
        <w:t xml:space="preserve">Install Date </w:t>
      </w:r>
      <w:r w:rsidR="007B3867">
        <w:rPr>
          <w:rFonts w:eastAsia="Calibri"/>
          <w:spacing w:val="-2"/>
        </w:rPr>
        <w:t>as discussed in the 2016 Conservation Plan</w:t>
      </w:r>
      <w:r>
        <w:rPr>
          <w:rFonts w:eastAsia="Calibri"/>
          <w:spacing w:val="-2"/>
        </w:rPr>
        <w:t xml:space="preserve">.  </w:t>
      </w:r>
    </w:p>
    <w:p w14:paraId="1338662F" w14:textId="566CD937" w:rsidR="00EC56C2" w:rsidRDefault="00EC56C2" w:rsidP="002C2B2C">
      <w:pPr>
        <w:jc w:val="both"/>
        <w:rPr>
          <w:rFonts w:eastAsia="Calibri"/>
          <w:spacing w:val="-2"/>
        </w:rPr>
      </w:pPr>
      <w:r w:rsidRPr="00AF0935">
        <w:rPr>
          <w:rFonts w:eastAsia="Calibri"/>
          <w:spacing w:val="-2"/>
        </w:rPr>
        <w:t>Historically</w:t>
      </w:r>
      <w:r w:rsidR="00A51652">
        <w:rPr>
          <w:rFonts w:eastAsia="Calibri"/>
          <w:spacing w:val="-2"/>
        </w:rPr>
        <w:t>,</w:t>
      </w:r>
      <w:r w:rsidRPr="00AF0935">
        <w:rPr>
          <w:rFonts w:eastAsia="Calibri"/>
          <w:spacing w:val="-2"/>
        </w:rPr>
        <w:t xml:space="preserve"> the Company track</w:t>
      </w:r>
      <w:r>
        <w:rPr>
          <w:rFonts w:eastAsia="Calibri"/>
          <w:spacing w:val="-2"/>
        </w:rPr>
        <w:t>ed</w:t>
      </w:r>
      <w:r w:rsidRPr="00AF0935">
        <w:rPr>
          <w:rFonts w:eastAsia="Calibri"/>
          <w:spacing w:val="-2"/>
        </w:rPr>
        <w:t xml:space="preserve"> rebate submissions </w:t>
      </w:r>
      <w:r>
        <w:rPr>
          <w:rFonts w:eastAsia="Calibri"/>
          <w:spacing w:val="-2"/>
        </w:rPr>
        <w:t>by the</w:t>
      </w:r>
      <w:r w:rsidRPr="00AF0935">
        <w:rPr>
          <w:rFonts w:eastAsia="Calibri"/>
          <w:spacing w:val="-2"/>
        </w:rPr>
        <w:t xml:space="preserve"> date the measure or upgrade </w:t>
      </w:r>
      <w:r>
        <w:rPr>
          <w:rFonts w:eastAsia="Calibri"/>
          <w:spacing w:val="-2"/>
        </w:rPr>
        <w:t>wa</w:t>
      </w:r>
      <w:r w:rsidRPr="00AF0935">
        <w:rPr>
          <w:rFonts w:eastAsia="Calibri"/>
          <w:spacing w:val="-2"/>
        </w:rPr>
        <w:t xml:space="preserve">s installed at the premise. </w:t>
      </w:r>
      <w:r>
        <w:rPr>
          <w:rFonts w:eastAsia="Calibri"/>
          <w:spacing w:val="-2"/>
        </w:rPr>
        <w:t>CAG</w:t>
      </w:r>
      <w:r w:rsidRPr="00AF0935">
        <w:rPr>
          <w:rFonts w:eastAsia="Calibri"/>
          <w:spacing w:val="-2"/>
        </w:rPr>
        <w:t xml:space="preserve"> members requested the Company pursue </w:t>
      </w:r>
      <w:r>
        <w:rPr>
          <w:rFonts w:eastAsia="Calibri"/>
          <w:spacing w:val="-2"/>
        </w:rPr>
        <w:t>tracking via the date a rebate wa</w:t>
      </w:r>
      <w:r w:rsidRPr="00AF0935">
        <w:rPr>
          <w:rFonts w:eastAsia="Calibri"/>
          <w:spacing w:val="-2"/>
        </w:rPr>
        <w:t xml:space="preserve">s paid rather than the </w:t>
      </w:r>
      <w:r>
        <w:rPr>
          <w:rFonts w:eastAsia="Calibri"/>
          <w:spacing w:val="-2"/>
        </w:rPr>
        <w:t>previous</w:t>
      </w:r>
      <w:r w:rsidRPr="00AF0935">
        <w:rPr>
          <w:rFonts w:eastAsia="Calibri"/>
          <w:spacing w:val="-2"/>
        </w:rPr>
        <w:t xml:space="preserve"> install date method to help reduce lag-time in reporting </w:t>
      </w:r>
      <w:r>
        <w:rPr>
          <w:rFonts w:eastAsia="Calibri"/>
          <w:spacing w:val="-2"/>
        </w:rPr>
        <w:t xml:space="preserve">savings. The Company </w:t>
      </w:r>
      <w:r w:rsidRPr="00AF0935">
        <w:rPr>
          <w:rFonts w:eastAsia="Calibri"/>
          <w:spacing w:val="-2"/>
        </w:rPr>
        <w:t xml:space="preserve">agreed to transition </w:t>
      </w:r>
      <w:r>
        <w:rPr>
          <w:rFonts w:eastAsia="Calibri"/>
          <w:spacing w:val="-2"/>
        </w:rPr>
        <w:t>the</w:t>
      </w:r>
      <w:r w:rsidRPr="00AF0935">
        <w:rPr>
          <w:rFonts w:eastAsia="Calibri"/>
          <w:spacing w:val="-2"/>
        </w:rPr>
        <w:t xml:space="preserve"> program reporting model to track savings based on the date the rebate </w:t>
      </w:r>
      <w:r>
        <w:rPr>
          <w:rFonts w:eastAsia="Calibri"/>
          <w:spacing w:val="-2"/>
        </w:rPr>
        <w:t>was</w:t>
      </w:r>
      <w:r w:rsidRPr="00AF0935">
        <w:rPr>
          <w:rFonts w:eastAsia="Calibri"/>
          <w:spacing w:val="-2"/>
        </w:rPr>
        <w:t xml:space="preserve"> paid, which </w:t>
      </w:r>
      <w:r>
        <w:rPr>
          <w:rFonts w:eastAsia="Calibri"/>
          <w:spacing w:val="-2"/>
        </w:rPr>
        <w:t>makes</w:t>
      </w:r>
      <w:r w:rsidRPr="00AF0935">
        <w:rPr>
          <w:rFonts w:eastAsia="Calibri"/>
          <w:spacing w:val="-2"/>
        </w:rPr>
        <w:t xml:space="preserve"> annual reporting more straightforward</w:t>
      </w:r>
      <w:r>
        <w:rPr>
          <w:rFonts w:eastAsia="Calibri"/>
          <w:spacing w:val="-2"/>
        </w:rPr>
        <w:t xml:space="preserve"> and allows </w:t>
      </w:r>
      <w:r w:rsidR="001A5A9B">
        <w:rPr>
          <w:rFonts w:eastAsia="Calibri"/>
          <w:spacing w:val="-2"/>
        </w:rPr>
        <w:t xml:space="preserve">the Company </w:t>
      </w:r>
      <w:r>
        <w:rPr>
          <w:rFonts w:eastAsia="Calibri"/>
          <w:spacing w:val="-2"/>
        </w:rPr>
        <w:t xml:space="preserve">to accommodate the earlier submission deadline </w:t>
      </w:r>
      <w:r w:rsidR="001A5A9B">
        <w:rPr>
          <w:rFonts w:eastAsia="Calibri"/>
          <w:spacing w:val="-2"/>
        </w:rPr>
        <w:t>of</w:t>
      </w:r>
      <w:r>
        <w:rPr>
          <w:rFonts w:eastAsia="Calibri"/>
          <w:spacing w:val="-2"/>
        </w:rPr>
        <w:t xml:space="preserve"> </w:t>
      </w:r>
      <w:r>
        <w:rPr>
          <w:rFonts w:eastAsia="Calibri"/>
          <w:spacing w:val="-2"/>
        </w:rPr>
        <w:lastRenderedPageBreak/>
        <w:t>June 1</w:t>
      </w:r>
      <w:r w:rsidRPr="00AF0935">
        <w:rPr>
          <w:rFonts w:eastAsia="Calibri"/>
          <w:spacing w:val="-2"/>
          <w:vertAlign w:val="superscript"/>
        </w:rPr>
        <w:t>st</w:t>
      </w:r>
      <w:r>
        <w:rPr>
          <w:rFonts w:eastAsia="Calibri"/>
          <w:spacing w:val="-2"/>
        </w:rPr>
        <w:t xml:space="preserve"> to the Commission each year</w:t>
      </w:r>
      <w:r w:rsidRPr="00AF0935">
        <w:rPr>
          <w:rFonts w:eastAsia="Calibri"/>
          <w:spacing w:val="-2"/>
        </w:rPr>
        <w:t xml:space="preserve">.  </w:t>
      </w:r>
    </w:p>
    <w:p w14:paraId="333AB8DB" w14:textId="2D495CF9" w:rsidR="00EC56C2" w:rsidRDefault="00EC56C2" w:rsidP="002C2B2C">
      <w:pPr>
        <w:jc w:val="both"/>
        <w:rPr>
          <w:rFonts w:eastAsia="Calibri"/>
          <w:spacing w:val="-2"/>
        </w:rPr>
      </w:pPr>
      <w:r w:rsidRPr="00AF0935">
        <w:rPr>
          <w:rFonts w:eastAsia="Calibri"/>
          <w:spacing w:val="-2"/>
        </w:rPr>
        <w:t xml:space="preserve">The Company </w:t>
      </w:r>
      <w:r>
        <w:rPr>
          <w:rFonts w:eastAsia="Calibri"/>
          <w:spacing w:val="-2"/>
        </w:rPr>
        <w:t>also altered</w:t>
      </w:r>
      <w:r w:rsidRPr="00AF0935">
        <w:rPr>
          <w:rFonts w:eastAsia="Calibri"/>
          <w:spacing w:val="-2"/>
        </w:rPr>
        <w:t xml:space="preserve"> the requirement for submission of rebates to require they be sent to the </w:t>
      </w:r>
      <w:r>
        <w:rPr>
          <w:rFonts w:eastAsia="Calibri"/>
          <w:spacing w:val="-2"/>
        </w:rPr>
        <w:t>u</w:t>
      </w:r>
      <w:r w:rsidRPr="00AF0935">
        <w:rPr>
          <w:rFonts w:eastAsia="Calibri"/>
          <w:spacing w:val="-2"/>
        </w:rPr>
        <w:t xml:space="preserve">tility within 90 days of install (as opposed to previous </w:t>
      </w:r>
      <w:r w:rsidR="00780FD7">
        <w:rPr>
          <w:rFonts w:eastAsia="Calibri"/>
          <w:spacing w:val="-2"/>
        </w:rPr>
        <w:t>guidelines</w:t>
      </w:r>
      <w:r w:rsidR="00780FD7" w:rsidRPr="00AF0935">
        <w:rPr>
          <w:rFonts w:eastAsia="Calibri"/>
          <w:spacing w:val="-2"/>
        </w:rPr>
        <w:t xml:space="preserve"> </w:t>
      </w:r>
      <w:r w:rsidRPr="00AF0935">
        <w:rPr>
          <w:rFonts w:eastAsia="Calibri"/>
          <w:spacing w:val="-2"/>
        </w:rPr>
        <w:t>to submit by March 1 of the following year after install). The combination of these two changes should help the programs avoid the standard influx of rebate applications in the following year</w:t>
      </w:r>
      <w:r w:rsidR="004F491F">
        <w:rPr>
          <w:rFonts w:eastAsia="Calibri"/>
          <w:spacing w:val="-2"/>
        </w:rPr>
        <w:t>,</w:t>
      </w:r>
      <w:r w:rsidRPr="00AF0935">
        <w:rPr>
          <w:rFonts w:eastAsia="Calibri"/>
          <w:spacing w:val="-2"/>
        </w:rPr>
        <w:t xml:space="preserve"> </w:t>
      </w:r>
      <w:r>
        <w:rPr>
          <w:rFonts w:eastAsia="Calibri"/>
          <w:spacing w:val="-2"/>
        </w:rPr>
        <w:t>thereby</w:t>
      </w:r>
      <w:r w:rsidRPr="00AF0935">
        <w:rPr>
          <w:rFonts w:eastAsia="Calibri"/>
          <w:spacing w:val="-2"/>
        </w:rPr>
        <w:t xml:space="preserve"> enabl</w:t>
      </w:r>
      <w:r>
        <w:rPr>
          <w:rFonts w:eastAsia="Calibri"/>
          <w:spacing w:val="-2"/>
        </w:rPr>
        <w:t>ing</w:t>
      </w:r>
      <w:r w:rsidRPr="00AF0935">
        <w:rPr>
          <w:rFonts w:eastAsia="Calibri"/>
          <w:spacing w:val="-2"/>
        </w:rPr>
        <w:t xml:space="preserve"> greater transparency into program accomplishments throughout the year.</w:t>
      </w:r>
    </w:p>
    <w:p w14:paraId="18C9229D" w14:textId="77777777" w:rsidR="00EC56C2" w:rsidRDefault="00EC56C2" w:rsidP="002C2B2C">
      <w:pPr>
        <w:jc w:val="both"/>
        <w:rPr>
          <w:rFonts w:eastAsia="Calibri"/>
          <w:spacing w:val="-2"/>
        </w:rPr>
      </w:pPr>
      <w:r w:rsidRPr="00AF0935">
        <w:rPr>
          <w:rFonts w:eastAsia="Calibri"/>
          <w:spacing w:val="-2"/>
        </w:rPr>
        <w:t xml:space="preserve">All program updates and changes have an effect on the savings the Company is able to achieve. These </w:t>
      </w:r>
      <w:r>
        <w:rPr>
          <w:rFonts w:eastAsia="Calibri"/>
          <w:spacing w:val="-2"/>
        </w:rPr>
        <w:t xml:space="preserve">noted </w:t>
      </w:r>
      <w:r>
        <w:rPr>
          <w:rFonts w:eastAsia="Calibri"/>
          <w:spacing w:val="-2"/>
        </w:rPr>
        <w:lastRenderedPageBreak/>
        <w:t xml:space="preserve">changes </w:t>
      </w:r>
      <w:r w:rsidRPr="00AF0935">
        <w:rPr>
          <w:rFonts w:eastAsia="Calibri"/>
          <w:spacing w:val="-2"/>
        </w:rPr>
        <w:t xml:space="preserve">allow </w:t>
      </w:r>
      <w:r>
        <w:rPr>
          <w:rFonts w:eastAsia="Calibri"/>
          <w:spacing w:val="-2"/>
        </w:rPr>
        <w:t xml:space="preserve">Cascade </w:t>
      </w:r>
      <w:r w:rsidRPr="00AF0935">
        <w:rPr>
          <w:rFonts w:eastAsia="Calibri"/>
          <w:spacing w:val="-2"/>
        </w:rPr>
        <w:t xml:space="preserve">staff to </w:t>
      </w:r>
      <w:r>
        <w:rPr>
          <w:rFonts w:eastAsia="Calibri"/>
          <w:spacing w:val="-2"/>
        </w:rPr>
        <w:t xml:space="preserve">focus </w:t>
      </w:r>
      <w:r w:rsidRPr="00AF0935">
        <w:rPr>
          <w:rFonts w:eastAsia="Calibri"/>
          <w:spacing w:val="-2"/>
        </w:rPr>
        <w:t xml:space="preserve">more time </w:t>
      </w:r>
      <w:r>
        <w:rPr>
          <w:rFonts w:eastAsia="Calibri"/>
          <w:spacing w:val="-2"/>
        </w:rPr>
        <w:t>on</w:t>
      </w:r>
      <w:r w:rsidRPr="00AF0935">
        <w:rPr>
          <w:rFonts w:eastAsia="Calibri"/>
          <w:spacing w:val="-2"/>
        </w:rPr>
        <w:t xml:space="preserve"> implementing the program and </w:t>
      </w:r>
      <w:r>
        <w:rPr>
          <w:rFonts w:eastAsia="Calibri"/>
          <w:spacing w:val="-2"/>
        </w:rPr>
        <w:t xml:space="preserve">looking toward future </w:t>
      </w:r>
      <w:r w:rsidRPr="00AF0935">
        <w:rPr>
          <w:rFonts w:eastAsia="Calibri"/>
          <w:spacing w:val="-2"/>
        </w:rPr>
        <w:t xml:space="preserve">outreach </w:t>
      </w:r>
      <w:r>
        <w:rPr>
          <w:rFonts w:eastAsia="Calibri"/>
          <w:spacing w:val="-2"/>
        </w:rPr>
        <w:t xml:space="preserve">opportunities </w:t>
      </w:r>
      <w:r w:rsidRPr="00AF0935">
        <w:rPr>
          <w:rFonts w:eastAsia="Calibri"/>
          <w:spacing w:val="-2"/>
        </w:rPr>
        <w:t xml:space="preserve">to bring in additional savings.  </w:t>
      </w:r>
    </w:p>
    <w:p w14:paraId="2D550FF3" w14:textId="28D5FB95" w:rsidR="00EC56C2" w:rsidRPr="00AF0935" w:rsidRDefault="00EC56C2" w:rsidP="002C2B2C">
      <w:pPr>
        <w:jc w:val="both"/>
        <w:rPr>
          <w:rFonts w:eastAsia="Calibri"/>
          <w:spacing w:val="-2"/>
        </w:rPr>
      </w:pPr>
      <w:r>
        <w:rPr>
          <w:rFonts w:eastAsia="Calibri"/>
          <w:spacing w:val="-2"/>
        </w:rPr>
        <w:t>Outside of the significant updates to the residential pro</w:t>
      </w:r>
      <w:r w:rsidR="00BC252F">
        <w:rPr>
          <w:rFonts w:eastAsia="Calibri"/>
          <w:spacing w:val="-2"/>
        </w:rPr>
        <w:t xml:space="preserve">gram in the past year aimed at </w:t>
      </w:r>
      <w:r>
        <w:rPr>
          <w:rFonts w:eastAsia="Calibri"/>
          <w:spacing w:val="-2"/>
        </w:rPr>
        <w:t xml:space="preserve">achieving increased savings goals, Cascade also increased its administrative support for the Commercial and Industrial Conservation Incentive Program. While the internal staff have been increasing efforts and support, Lockheed Martin, the Commercial program delivery vendor, has significantly increased its support of the program as well by performing additional outreach to commercial and industrial </w:t>
      </w:r>
      <w:r>
        <w:rPr>
          <w:rFonts w:eastAsia="Calibri"/>
          <w:spacing w:val="-2"/>
        </w:rPr>
        <w:lastRenderedPageBreak/>
        <w:t xml:space="preserve">Trade Ally Contractors, and implementing a marketing and outreach campaign to notify customers of available offers while highlighting success stories in the local communities to encourage additional uptake. This is an ongoing effort and will be discussed further under the Outreach section in this </w:t>
      </w:r>
      <w:r w:rsidR="007B3867">
        <w:rPr>
          <w:rFonts w:eastAsia="Calibri"/>
          <w:spacing w:val="-2"/>
        </w:rPr>
        <w:t>plan</w:t>
      </w:r>
      <w:r>
        <w:rPr>
          <w:rFonts w:eastAsia="Calibri"/>
          <w:spacing w:val="-2"/>
        </w:rPr>
        <w:t xml:space="preserve">. It’s also relevant to note the increased </w:t>
      </w:r>
      <w:r w:rsidR="00723055">
        <w:rPr>
          <w:rFonts w:eastAsia="Calibri"/>
          <w:spacing w:val="-2"/>
        </w:rPr>
        <w:t xml:space="preserve">internal staffing </w:t>
      </w:r>
      <w:r>
        <w:rPr>
          <w:rFonts w:eastAsia="Calibri"/>
          <w:spacing w:val="-2"/>
        </w:rPr>
        <w:t xml:space="preserve">support on the residential side </w:t>
      </w:r>
      <w:r w:rsidR="00723055">
        <w:rPr>
          <w:rFonts w:eastAsia="Calibri"/>
          <w:spacing w:val="-2"/>
        </w:rPr>
        <w:t>of the program</w:t>
      </w:r>
      <w:r>
        <w:rPr>
          <w:rFonts w:eastAsia="Calibri"/>
          <w:spacing w:val="-2"/>
        </w:rPr>
        <w:t xml:space="preserve">, as well as </w:t>
      </w:r>
      <w:r w:rsidR="00AA15BC">
        <w:rPr>
          <w:rFonts w:eastAsia="Calibri"/>
          <w:spacing w:val="-2"/>
        </w:rPr>
        <w:t xml:space="preserve">the </w:t>
      </w:r>
      <w:r>
        <w:rPr>
          <w:rFonts w:eastAsia="Calibri"/>
          <w:spacing w:val="-2"/>
        </w:rPr>
        <w:t xml:space="preserve">investment in the internal software package, positions </w:t>
      </w:r>
      <w:r w:rsidR="00AA15BC">
        <w:rPr>
          <w:rFonts w:eastAsia="Calibri"/>
          <w:spacing w:val="-2"/>
        </w:rPr>
        <w:t xml:space="preserve">the Company </w:t>
      </w:r>
      <w:r>
        <w:rPr>
          <w:rFonts w:eastAsia="Calibri"/>
          <w:spacing w:val="-2"/>
        </w:rPr>
        <w:t>to grow the commercial program into the future in a variety of ways</w:t>
      </w:r>
      <w:r w:rsidR="007B3867">
        <w:rPr>
          <w:rFonts w:eastAsia="Calibri"/>
          <w:spacing w:val="-2"/>
        </w:rPr>
        <w:t xml:space="preserve"> </w:t>
      </w:r>
      <w:r>
        <w:rPr>
          <w:rFonts w:eastAsia="Calibri"/>
          <w:spacing w:val="-2"/>
        </w:rPr>
        <w:t xml:space="preserve">whether through the existing vendor or through a combination of more robust internal support paired </w:t>
      </w:r>
      <w:r>
        <w:rPr>
          <w:rFonts w:eastAsia="Calibri"/>
          <w:spacing w:val="-2"/>
        </w:rPr>
        <w:lastRenderedPageBreak/>
        <w:t xml:space="preserve">with the expertise of the external vendor’s experience and known achievements. </w:t>
      </w:r>
    </w:p>
    <w:p w14:paraId="350BD69B" w14:textId="77777777" w:rsidR="00525FE4" w:rsidRPr="00E147C5" w:rsidRDefault="00525FE4" w:rsidP="00D012EB">
      <w:pPr>
        <w:pStyle w:val="Heading2"/>
      </w:pPr>
      <w:bookmarkStart w:id="23" w:name="_Program_Offerings_as"/>
      <w:bookmarkStart w:id="24" w:name="_Toc465678030"/>
      <w:bookmarkEnd w:id="23"/>
      <w:r w:rsidRPr="00E147C5">
        <w:t xml:space="preserve">Program Offerings </w:t>
      </w:r>
      <w:r w:rsidR="00583A28" w:rsidRPr="00E147C5">
        <w:t>as of October 10th</w:t>
      </w:r>
      <w:r w:rsidR="00DB2C52" w:rsidRPr="00E147C5">
        <w:t xml:space="preserve"> 2016</w:t>
      </w:r>
      <w:bookmarkEnd w:id="24"/>
    </w:p>
    <w:p w14:paraId="2234BA3F" w14:textId="1FDCD00C" w:rsidR="009C2DE3" w:rsidRPr="003913CE" w:rsidRDefault="00525FE4" w:rsidP="00345614">
      <w:pPr>
        <w:ind w:right="-7"/>
        <w:contextualSpacing/>
        <w:jc w:val="both"/>
      </w:pPr>
      <w:r w:rsidRPr="00E147C5">
        <w:t xml:space="preserve">As suggested above, all items offered at the time of </w:t>
      </w:r>
      <w:r w:rsidR="00797894">
        <w:t xml:space="preserve">this writing are based on the </w:t>
      </w:r>
      <w:r w:rsidR="00096F4E">
        <w:t xml:space="preserve">draft </w:t>
      </w:r>
      <w:r w:rsidRPr="00E147C5">
        <w:t>201</w:t>
      </w:r>
      <w:r w:rsidR="00797894">
        <w:t>6</w:t>
      </w:r>
      <w:r w:rsidRPr="00E147C5">
        <w:t xml:space="preserve"> Integrated Resources Plan</w:t>
      </w:r>
      <w:r w:rsidR="00096F4E">
        <w:t>,</w:t>
      </w:r>
      <w:r w:rsidRPr="00E147C5">
        <w:t xml:space="preserve"> based on the Company’s best understanding of avoided costs as outlined in Appendix H and savings assumptions and targets were built from the Nexant Study, </w:t>
      </w:r>
      <w:r w:rsidR="00496A8A" w:rsidRPr="00496A8A">
        <w:t>TEA-Pot</w:t>
      </w:r>
      <w:r w:rsidRPr="00881D8B">
        <w:t xml:space="preserve"> modeling tool and on-the-</w:t>
      </w:r>
      <w:r w:rsidRPr="00086E03">
        <w:t>ground knowledge of Cascade’s Washington service area. The Company’s conservation portfolios and pro</w:t>
      </w:r>
      <w:r w:rsidRPr="00086E03">
        <w:lastRenderedPageBreak/>
        <w:t>grams are subject to modification following the acknowledgement of this more recent IRP, and/or following any and all changes to the underlying data or circ</w:t>
      </w:r>
      <w:r w:rsidRPr="00AC330F">
        <w:t>umstances surrounding the assessment and measurement of program cost-effectiveness. Customer participation levels will be commensurate with a cost-effective natural gas conservation measure mix that Cascade maintain</w:t>
      </w:r>
      <w:r w:rsidR="004F491F">
        <w:t>s</w:t>
      </w:r>
      <w:r w:rsidRPr="00AC330F">
        <w:t xml:space="preserve"> in its portfolio. </w:t>
      </w:r>
    </w:p>
    <w:p w14:paraId="5BD9D6BB" w14:textId="77777777" w:rsidR="00844F94" w:rsidRPr="00ED616A" w:rsidRDefault="00844F94" w:rsidP="008663BB">
      <w:pPr>
        <w:ind w:right="-7"/>
        <w:contextualSpacing/>
        <w:jc w:val="both"/>
      </w:pPr>
    </w:p>
    <w:p w14:paraId="4F0FA796" w14:textId="50DA0F3E" w:rsidR="00C20A71" w:rsidRDefault="000B12E2">
      <w:pPr>
        <w:ind w:right="-7"/>
        <w:contextualSpacing/>
        <w:jc w:val="both"/>
      </w:pPr>
      <w:r w:rsidRPr="00ED616A">
        <w:t>Curr</w:t>
      </w:r>
      <w:r w:rsidRPr="00920B4B">
        <w:t xml:space="preserve">ent program offerings for the residential and prescriptive commercial/industrial program </w:t>
      </w:r>
      <w:r w:rsidRPr="004B54B4">
        <w:t xml:space="preserve">can be found </w:t>
      </w:r>
      <w:r w:rsidR="00583A28" w:rsidRPr="00151187">
        <w:t>on the following pages</w:t>
      </w:r>
      <w:r w:rsidR="00C20A71">
        <w:t>.</w:t>
      </w:r>
    </w:p>
    <w:p w14:paraId="5887963D" w14:textId="77777777" w:rsidR="00C20A71" w:rsidRDefault="00C20A71">
      <w:pPr>
        <w:widowControl/>
        <w:spacing w:after="0" w:line="240" w:lineRule="auto"/>
      </w:pPr>
      <w:r>
        <w:lastRenderedPageBreak/>
        <w:br w:type="page"/>
      </w:r>
    </w:p>
    <w:p w14:paraId="626B7E53" w14:textId="649B7E65" w:rsidR="00C20A71" w:rsidRDefault="00C20A71">
      <w:pPr>
        <w:widowControl/>
        <w:spacing w:after="0" w:line="240" w:lineRule="auto"/>
      </w:pPr>
      <w:r>
        <w:lastRenderedPageBreak/>
        <w:br w:type="page"/>
      </w:r>
    </w:p>
    <w:p w14:paraId="3C4CD989" w14:textId="77777777" w:rsidR="00FF4912" w:rsidRPr="00ED616A" w:rsidRDefault="00FF4912">
      <w:pPr>
        <w:ind w:right="-7"/>
        <w:contextualSpacing/>
        <w:jc w:val="both"/>
      </w:pPr>
    </w:p>
    <w:p w14:paraId="16FD0B08" w14:textId="77777777" w:rsidR="000B12E2" w:rsidRPr="00E147C5" w:rsidRDefault="000B12E2">
      <w:pPr>
        <w:ind w:right="-7"/>
        <w:contextualSpacing/>
        <w:jc w:val="both"/>
      </w:pPr>
    </w:p>
    <w:p w14:paraId="3F50B124" w14:textId="77777777" w:rsidR="002C2B2C" w:rsidRDefault="002C2B2C">
      <w:pPr>
        <w:widowControl/>
        <w:spacing w:after="0" w:line="240" w:lineRule="auto"/>
      </w:pPr>
      <w:r>
        <w:br w:type="page"/>
      </w:r>
    </w:p>
    <w:p w14:paraId="159989ED" w14:textId="35EC803A" w:rsidR="00844F94" w:rsidRDefault="00525FE4">
      <w:pPr>
        <w:ind w:right="-7"/>
        <w:contextualSpacing/>
        <w:jc w:val="both"/>
      </w:pPr>
      <w:r w:rsidRPr="00E147C5">
        <w:lastRenderedPageBreak/>
        <w:t>For the following tables please note</w:t>
      </w:r>
      <w:r w:rsidR="008D1381" w:rsidRPr="00E147C5">
        <w:t xml:space="preserve"> </w:t>
      </w:r>
      <w:r w:rsidRPr="00E147C5">
        <w:t xml:space="preserve">– levelized costs displayed include administrative costs. </w:t>
      </w:r>
      <w:r w:rsidR="009C2DE3" w:rsidRPr="00E147C5">
        <w:t>As mentioned</w:t>
      </w:r>
      <w:r w:rsidR="004F491F">
        <w:t>,</w:t>
      </w:r>
      <w:r w:rsidR="009C2DE3" w:rsidRPr="00E147C5">
        <w:t xml:space="preserve"> t</w:t>
      </w:r>
      <w:r w:rsidRPr="00E147C5">
        <w:t>he Company include</w:t>
      </w:r>
      <w:r w:rsidR="00780FD7">
        <w:t>s</w:t>
      </w:r>
      <w:r w:rsidRPr="00E147C5">
        <w:t xml:space="preserve"> the administrative costs at the </w:t>
      </w:r>
      <w:r w:rsidR="009C2DE3" w:rsidRPr="00E147C5">
        <w:t>achievable</w:t>
      </w:r>
      <w:r w:rsidRPr="00E147C5">
        <w:t xml:space="preserve"> level, </w:t>
      </w:r>
      <w:r w:rsidR="009C2DE3" w:rsidRPr="00E147C5">
        <w:t>which</w:t>
      </w:r>
      <w:r w:rsidRPr="00E147C5">
        <w:t xml:space="preserve"> are </w:t>
      </w:r>
      <w:r w:rsidR="009C2DE3" w:rsidRPr="00E147C5">
        <w:t>used for</w:t>
      </w:r>
      <w:r w:rsidRPr="00E147C5">
        <w:t xml:space="preserve"> planning </w:t>
      </w:r>
      <w:r w:rsidR="004F491F">
        <w:t xml:space="preserve">and </w:t>
      </w:r>
      <w:r w:rsidR="00896AA4">
        <w:t>are in turn represented</w:t>
      </w:r>
      <w:r w:rsidR="004F491F">
        <w:t xml:space="preserve"> within</w:t>
      </w:r>
      <w:r w:rsidRPr="00E147C5">
        <w:t xml:space="preserve"> </w:t>
      </w:r>
      <w:r w:rsidR="00780FD7">
        <w:t xml:space="preserve">the </w:t>
      </w:r>
      <w:r w:rsidRPr="00E147C5">
        <w:t>annual report. Also</w:t>
      </w:r>
      <w:r w:rsidR="004F491F">
        <w:t xml:space="preserve"> note</w:t>
      </w:r>
      <w:r w:rsidRPr="00E147C5">
        <w:t xml:space="preserve">, levelized costs </w:t>
      </w:r>
      <w:r w:rsidR="004F491F">
        <w:t>differ</w:t>
      </w:r>
      <w:r w:rsidR="009C2DE3" w:rsidRPr="00E147C5">
        <w:t xml:space="preserve"> for some measures depending on the</w:t>
      </w:r>
      <w:r w:rsidR="004F491F">
        <w:t xml:space="preserve"> customer’s geographic location</w:t>
      </w:r>
      <w:r w:rsidRPr="00E147C5">
        <w:t xml:space="preserve"> since Cascade tracks therm savings dependent </w:t>
      </w:r>
      <w:r w:rsidR="00896AA4">
        <w:t xml:space="preserve">on </w:t>
      </w:r>
      <w:r w:rsidRPr="00E147C5">
        <w:t>which of Washington’s three climate zones the measure is installe</w:t>
      </w:r>
      <w:r w:rsidR="00DC5354">
        <w:t>d</w:t>
      </w:r>
      <w:r w:rsidR="00896AA4">
        <w:t xml:space="preserve"> within</w:t>
      </w:r>
      <w:r w:rsidRPr="00E147C5">
        <w:t xml:space="preserve">. The range below </w:t>
      </w:r>
      <w:r w:rsidR="009C2DE3" w:rsidRPr="00E147C5">
        <w:t>is based on the 201</w:t>
      </w:r>
      <w:r w:rsidR="00583A28" w:rsidRPr="00E147C5">
        <w:t>5</w:t>
      </w:r>
      <w:r w:rsidR="009C2DE3" w:rsidRPr="00E147C5">
        <w:t xml:space="preserve"> </w:t>
      </w:r>
      <w:r w:rsidR="00896AA4">
        <w:t xml:space="preserve">Cascade Natural Gas </w:t>
      </w:r>
      <w:r w:rsidR="009C2DE3" w:rsidRPr="00E147C5">
        <w:t xml:space="preserve">Conservation Incentive Program </w:t>
      </w:r>
      <w:r w:rsidR="00896AA4">
        <w:t xml:space="preserve">Annual </w:t>
      </w:r>
      <w:r w:rsidR="009C2DE3" w:rsidRPr="00E147C5">
        <w:t>Report.</w:t>
      </w:r>
      <w:r w:rsidR="00896AA4">
        <w:t xml:space="preserve"> Blank entries indicate zero installs in CY 2015 in the specified </w:t>
      </w:r>
      <w:r w:rsidR="00896AA4">
        <w:lastRenderedPageBreak/>
        <w:t>Climate Zone.</w:t>
      </w:r>
    </w:p>
    <w:p w14:paraId="3A6874F3" w14:textId="77777777" w:rsidR="00896AA4" w:rsidRPr="00F657A9" w:rsidRDefault="00896AA4">
      <w:pPr>
        <w:ind w:right="-7"/>
        <w:contextualSpacing/>
        <w:jc w:val="both"/>
        <w:rPr>
          <w:sz w:val="18"/>
        </w:rPr>
      </w:pPr>
    </w:p>
    <w:p w14:paraId="3E4D0EB5" w14:textId="412BA712" w:rsidR="00525FE4" w:rsidRPr="00F657A9" w:rsidRDefault="00525FE4">
      <w:pPr>
        <w:ind w:right="-7"/>
        <w:contextualSpacing/>
        <w:jc w:val="center"/>
        <w:rPr>
          <w:b/>
          <w:sz w:val="18"/>
        </w:rPr>
      </w:pPr>
      <w:r w:rsidRPr="00F657A9">
        <w:rPr>
          <w:b/>
          <w:sz w:val="18"/>
        </w:rPr>
        <w:t xml:space="preserve">Table </w:t>
      </w:r>
      <w:r w:rsidR="00BE0C95" w:rsidRPr="00F657A9">
        <w:rPr>
          <w:b/>
          <w:sz w:val="18"/>
        </w:rPr>
        <w:t>4</w:t>
      </w:r>
    </w:p>
    <w:p w14:paraId="3790B98F" w14:textId="77777777" w:rsidR="002964FC" w:rsidRPr="00F657A9" w:rsidRDefault="00CA05C7">
      <w:pPr>
        <w:ind w:right="-7"/>
        <w:contextualSpacing/>
        <w:jc w:val="center"/>
        <w:rPr>
          <w:b/>
          <w:sz w:val="18"/>
        </w:rPr>
      </w:pPr>
      <w:r w:rsidRPr="00F657A9">
        <w:rPr>
          <w:b/>
          <w:sz w:val="18"/>
        </w:rPr>
        <w:t>Residential Program Offerings from Tariff 300</w:t>
      </w:r>
      <w:r w:rsidR="00AE3903" w:rsidRPr="00F657A9">
        <w:rPr>
          <w:b/>
          <w:sz w:val="18"/>
        </w:rPr>
        <w:t xml:space="preserve"> as of the 2015 Annual Report</w:t>
      </w:r>
    </w:p>
    <w:tbl>
      <w:tblPr>
        <w:tblW w:w="9820" w:type="dxa"/>
        <w:jc w:val="center"/>
        <w:tblLook w:val="04A0" w:firstRow="1" w:lastRow="0" w:firstColumn="1" w:lastColumn="0" w:noHBand="0" w:noVBand="1"/>
      </w:tblPr>
      <w:tblGrid>
        <w:gridCol w:w="6243"/>
        <w:gridCol w:w="631"/>
        <w:gridCol w:w="883"/>
        <w:gridCol w:w="1018"/>
        <w:gridCol w:w="1045"/>
      </w:tblGrid>
      <w:tr w:rsidR="002964FC" w:rsidRPr="00746905" w14:paraId="677F6626" w14:textId="77777777" w:rsidTr="009D4CEF">
        <w:trPr>
          <w:trHeight w:val="735"/>
          <w:tblHeader/>
          <w:jc w:val="center"/>
        </w:trPr>
        <w:tc>
          <w:tcPr>
            <w:tcW w:w="6243" w:type="dxa"/>
            <w:tcBorders>
              <w:top w:val="single" w:sz="8" w:space="0" w:color="auto"/>
              <w:left w:val="single" w:sz="8" w:space="0" w:color="auto"/>
              <w:bottom w:val="nil"/>
              <w:right w:val="single" w:sz="8" w:space="0" w:color="auto"/>
            </w:tcBorders>
            <w:shd w:val="clear" w:color="000000" w:fill="C2D69B"/>
            <w:vAlign w:val="center"/>
            <w:hideMark/>
          </w:tcPr>
          <w:p w14:paraId="462B6975" w14:textId="77777777" w:rsidR="002964FC" w:rsidRPr="00746905" w:rsidRDefault="002964FC" w:rsidP="0005601F">
            <w:pPr>
              <w:widowControl/>
              <w:spacing w:after="0" w:line="240" w:lineRule="auto"/>
              <w:jc w:val="center"/>
              <w:rPr>
                <w:rFonts w:ascii="Calibri" w:hAnsi="Calibri" w:cs="Times New Roman"/>
                <w:b/>
                <w:bCs/>
                <w:color w:val="000000"/>
                <w:sz w:val="18"/>
                <w:szCs w:val="18"/>
              </w:rPr>
            </w:pPr>
            <w:r w:rsidRPr="00746905">
              <w:rPr>
                <w:rFonts w:ascii="Calibri" w:hAnsi="Calibri" w:cs="Times New Roman"/>
                <w:b/>
                <w:bCs/>
                <w:color w:val="000000"/>
                <w:sz w:val="18"/>
                <w:szCs w:val="18"/>
              </w:rPr>
              <w:t>MEASURE</w:t>
            </w:r>
          </w:p>
        </w:tc>
        <w:tc>
          <w:tcPr>
            <w:tcW w:w="631" w:type="dxa"/>
            <w:tcBorders>
              <w:top w:val="single" w:sz="8" w:space="0" w:color="auto"/>
              <w:left w:val="nil"/>
              <w:bottom w:val="nil"/>
              <w:right w:val="single" w:sz="8" w:space="0" w:color="auto"/>
            </w:tcBorders>
            <w:shd w:val="clear" w:color="000000" w:fill="C2D69B"/>
            <w:vAlign w:val="center"/>
            <w:hideMark/>
          </w:tcPr>
          <w:p w14:paraId="0A79846D" w14:textId="77777777" w:rsidR="002964FC" w:rsidRPr="00746905" w:rsidRDefault="002964FC" w:rsidP="0005601F">
            <w:pPr>
              <w:widowControl/>
              <w:spacing w:after="0" w:line="240" w:lineRule="auto"/>
              <w:jc w:val="center"/>
              <w:rPr>
                <w:rFonts w:ascii="Calibri" w:hAnsi="Calibri" w:cs="Times New Roman"/>
                <w:b/>
                <w:bCs/>
                <w:color w:val="000000"/>
                <w:sz w:val="18"/>
                <w:szCs w:val="18"/>
              </w:rPr>
            </w:pPr>
            <w:r w:rsidRPr="00746905">
              <w:rPr>
                <w:rFonts w:ascii="Calibri" w:hAnsi="Calibri" w:cs="Times New Roman"/>
                <w:b/>
                <w:bCs/>
                <w:color w:val="000000"/>
                <w:sz w:val="18"/>
                <w:szCs w:val="18"/>
              </w:rPr>
              <w:t>ZONE</w:t>
            </w:r>
          </w:p>
        </w:tc>
        <w:tc>
          <w:tcPr>
            <w:tcW w:w="883" w:type="dxa"/>
            <w:tcBorders>
              <w:top w:val="single" w:sz="8" w:space="0" w:color="auto"/>
              <w:left w:val="nil"/>
              <w:bottom w:val="nil"/>
              <w:right w:val="single" w:sz="8" w:space="0" w:color="auto"/>
            </w:tcBorders>
            <w:shd w:val="clear" w:color="000000" w:fill="C2D69B"/>
            <w:vAlign w:val="center"/>
            <w:hideMark/>
          </w:tcPr>
          <w:p w14:paraId="72D9F1AE" w14:textId="77777777" w:rsidR="002964FC" w:rsidRPr="00746905" w:rsidRDefault="002964FC" w:rsidP="0005601F">
            <w:pPr>
              <w:widowControl/>
              <w:spacing w:after="0" w:line="240" w:lineRule="auto"/>
              <w:jc w:val="center"/>
              <w:rPr>
                <w:rFonts w:ascii="Calibri" w:hAnsi="Calibri" w:cs="Times New Roman"/>
                <w:b/>
                <w:bCs/>
                <w:color w:val="000000"/>
                <w:sz w:val="18"/>
                <w:szCs w:val="18"/>
              </w:rPr>
            </w:pPr>
            <w:r w:rsidRPr="00746905">
              <w:rPr>
                <w:rFonts w:ascii="Calibri" w:hAnsi="Calibri" w:cs="Times New Roman"/>
                <w:b/>
                <w:bCs/>
                <w:color w:val="000000"/>
                <w:sz w:val="18"/>
                <w:szCs w:val="18"/>
              </w:rPr>
              <w:t>ANNUAL THERM SAVINGS</w:t>
            </w:r>
          </w:p>
        </w:tc>
        <w:tc>
          <w:tcPr>
            <w:tcW w:w="1018" w:type="dxa"/>
            <w:tcBorders>
              <w:top w:val="single" w:sz="8" w:space="0" w:color="auto"/>
              <w:left w:val="nil"/>
              <w:bottom w:val="nil"/>
              <w:right w:val="single" w:sz="8" w:space="0" w:color="auto"/>
            </w:tcBorders>
            <w:shd w:val="clear" w:color="000000" w:fill="C2D69B"/>
            <w:vAlign w:val="center"/>
            <w:hideMark/>
          </w:tcPr>
          <w:p w14:paraId="2E19A73C" w14:textId="77777777" w:rsidR="002964FC" w:rsidRPr="00746905" w:rsidRDefault="002964FC" w:rsidP="0005601F">
            <w:pPr>
              <w:widowControl/>
              <w:spacing w:after="0" w:line="240" w:lineRule="auto"/>
              <w:jc w:val="center"/>
              <w:rPr>
                <w:rFonts w:ascii="Calibri" w:hAnsi="Calibri" w:cs="Times New Roman"/>
                <w:b/>
                <w:bCs/>
                <w:color w:val="000000"/>
                <w:sz w:val="18"/>
                <w:szCs w:val="18"/>
              </w:rPr>
            </w:pPr>
            <w:r w:rsidRPr="00746905">
              <w:rPr>
                <w:rFonts w:ascii="Calibri" w:hAnsi="Calibri" w:cs="Times New Roman"/>
                <w:b/>
                <w:bCs/>
                <w:color w:val="000000"/>
                <w:sz w:val="18"/>
                <w:szCs w:val="18"/>
              </w:rPr>
              <w:t>PROGRAM REBATE</w:t>
            </w:r>
          </w:p>
        </w:tc>
        <w:tc>
          <w:tcPr>
            <w:tcW w:w="1045" w:type="dxa"/>
            <w:tcBorders>
              <w:top w:val="single" w:sz="8" w:space="0" w:color="auto"/>
              <w:left w:val="nil"/>
              <w:bottom w:val="nil"/>
              <w:right w:val="single" w:sz="8" w:space="0" w:color="auto"/>
            </w:tcBorders>
            <w:shd w:val="clear" w:color="000000" w:fill="C2D69B"/>
            <w:vAlign w:val="center"/>
            <w:hideMark/>
          </w:tcPr>
          <w:p w14:paraId="2931686A" w14:textId="77777777" w:rsidR="002964FC" w:rsidRPr="00746905" w:rsidRDefault="002964FC" w:rsidP="0005601F">
            <w:pPr>
              <w:widowControl/>
              <w:spacing w:after="0" w:line="240" w:lineRule="auto"/>
              <w:jc w:val="center"/>
              <w:rPr>
                <w:rFonts w:ascii="Calibri" w:hAnsi="Calibri" w:cs="Times New Roman"/>
                <w:b/>
                <w:bCs/>
                <w:color w:val="000000"/>
                <w:sz w:val="18"/>
                <w:szCs w:val="18"/>
              </w:rPr>
            </w:pPr>
            <w:r w:rsidRPr="00746905">
              <w:rPr>
                <w:rFonts w:ascii="Calibri" w:hAnsi="Calibri" w:cs="Times New Roman"/>
                <w:b/>
                <w:bCs/>
                <w:color w:val="000000"/>
                <w:sz w:val="18"/>
                <w:szCs w:val="18"/>
              </w:rPr>
              <w:t>UC w/Delivery &amp; Admin</w:t>
            </w:r>
          </w:p>
        </w:tc>
      </w:tr>
      <w:tr w:rsidR="002964FC" w:rsidRPr="00746905" w14:paraId="203779D1" w14:textId="77777777" w:rsidTr="009D4CEF">
        <w:trPr>
          <w:trHeight w:val="315"/>
          <w:tblHeader/>
          <w:jc w:val="center"/>
        </w:trPr>
        <w:tc>
          <w:tcPr>
            <w:tcW w:w="9820" w:type="dxa"/>
            <w:gridSpan w:val="5"/>
            <w:tcBorders>
              <w:top w:val="single" w:sz="8" w:space="0" w:color="auto"/>
              <w:left w:val="single" w:sz="8" w:space="0" w:color="auto"/>
              <w:bottom w:val="single" w:sz="8" w:space="0" w:color="auto"/>
              <w:right w:val="single" w:sz="8" w:space="0" w:color="000000"/>
            </w:tcBorders>
            <w:shd w:val="clear" w:color="000000" w:fill="C2D69B"/>
            <w:vAlign w:val="center"/>
            <w:hideMark/>
          </w:tcPr>
          <w:p w14:paraId="1D7EB020" w14:textId="77777777" w:rsidR="002964FC" w:rsidRPr="00746905" w:rsidRDefault="002964FC" w:rsidP="0005601F">
            <w:pPr>
              <w:widowControl/>
              <w:spacing w:after="0" w:line="240" w:lineRule="auto"/>
              <w:jc w:val="center"/>
              <w:rPr>
                <w:rFonts w:ascii="Calibri" w:hAnsi="Calibri" w:cs="Times New Roman"/>
                <w:b/>
                <w:bCs/>
                <w:color w:val="000000"/>
                <w:sz w:val="18"/>
                <w:szCs w:val="18"/>
              </w:rPr>
            </w:pPr>
            <w:r w:rsidRPr="00746905">
              <w:rPr>
                <w:rFonts w:ascii="Calibri" w:hAnsi="Calibri" w:cs="Times New Roman"/>
                <w:b/>
                <w:bCs/>
                <w:color w:val="000000"/>
                <w:sz w:val="18"/>
                <w:szCs w:val="18"/>
              </w:rPr>
              <w:t>New and Existing Home Measures</w:t>
            </w:r>
          </w:p>
        </w:tc>
      </w:tr>
      <w:tr w:rsidR="002964FC" w:rsidRPr="00746905" w14:paraId="0C9B57E0"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0B4917A1"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90% AFUE New Gas Furnace(New construction) </w:t>
            </w:r>
            <w:r w:rsidRPr="00746905">
              <w:rPr>
                <w:rFonts w:ascii="Calibri" w:hAnsi="Calibri" w:cs="Times New Roman"/>
                <w:b/>
                <w:bCs/>
                <w:color w:val="000000"/>
                <w:sz w:val="18"/>
                <w:szCs w:val="18"/>
              </w:rPr>
              <w:t>(Discontinued 09/02/2014</w:t>
            </w:r>
            <w:r w:rsidRPr="00746905">
              <w:rPr>
                <w:rFonts w:ascii="Calibri" w:hAnsi="Calibri" w:cs="Times New Roman"/>
                <w:color w:val="000000"/>
                <w:sz w:val="18"/>
                <w:szCs w:val="18"/>
              </w:rPr>
              <w:t>)</w:t>
            </w:r>
          </w:p>
        </w:tc>
        <w:tc>
          <w:tcPr>
            <w:tcW w:w="631" w:type="dxa"/>
            <w:tcBorders>
              <w:top w:val="nil"/>
              <w:left w:val="nil"/>
              <w:bottom w:val="single" w:sz="8" w:space="0" w:color="auto"/>
              <w:right w:val="single" w:sz="8" w:space="0" w:color="auto"/>
            </w:tcBorders>
            <w:shd w:val="clear" w:color="auto" w:fill="auto"/>
            <w:noWrap/>
            <w:vAlign w:val="center"/>
            <w:hideMark/>
          </w:tcPr>
          <w:p w14:paraId="0E1C20A8"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w:t>
            </w:r>
          </w:p>
        </w:tc>
        <w:tc>
          <w:tcPr>
            <w:tcW w:w="883" w:type="dxa"/>
            <w:tcBorders>
              <w:top w:val="nil"/>
              <w:left w:val="nil"/>
              <w:bottom w:val="single" w:sz="8" w:space="0" w:color="auto"/>
              <w:right w:val="single" w:sz="8" w:space="0" w:color="auto"/>
            </w:tcBorders>
            <w:shd w:val="clear" w:color="auto" w:fill="auto"/>
            <w:noWrap/>
            <w:vAlign w:val="center"/>
            <w:hideMark/>
          </w:tcPr>
          <w:p w14:paraId="681D841A"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65</w:t>
            </w:r>
          </w:p>
        </w:tc>
        <w:tc>
          <w:tcPr>
            <w:tcW w:w="1018" w:type="dxa"/>
            <w:tcBorders>
              <w:top w:val="nil"/>
              <w:left w:val="nil"/>
              <w:bottom w:val="single" w:sz="8" w:space="0" w:color="auto"/>
              <w:right w:val="single" w:sz="8" w:space="0" w:color="auto"/>
            </w:tcBorders>
            <w:shd w:val="clear" w:color="auto" w:fill="auto"/>
            <w:noWrap/>
            <w:vAlign w:val="center"/>
            <w:hideMark/>
          </w:tcPr>
          <w:p w14:paraId="4F61C6B1"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$150.00 </w:t>
            </w:r>
          </w:p>
        </w:tc>
        <w:tc>
          <w:tcPr>
            <w:tcW w:w="1045" w:type="dxa"/>
            <w:tcBorders>
              <w:top w:val="nil"/>
              <w:left w:val="nil"/>
              <w:bottom w:val="single" w:sz="8" w:space="0" w:color="auto"/>
              <w:right w:val="single" w:sz="8" w:space="0" w:color="auto"/>
            </w:tcBorders>
            <w:shd w:val="clear" w:color="auto" w:fill="auto"/>
            <w:noWrap/>
            <w:vAlign w:val="center"/>
            <w:hideMark/>
          </w:tcPr>
          <w:p w14:paraId="751047B1"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$0.356 </w:t>
            </w:r>
          </w:p>
        </w:tc>
      </w:tr>
      <w:tr w:rsidR="002964FC" w:rsidRPr="00746905" w14:paraId="1B1F9AFA"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3E86E88B"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90% AFUE New Gas Furnace(New construction) </w:t>
            </w:r>
            <w:r w:rsidRPr="00746905">
              <w:rPr>
                <w:rFonts w:ascii="Calibri" w:hAnsi="Calibri" w:cs="Times New Roman"/>
                <w:b/>
                <w:bCs/>
                <w:color w:val="000000"/>
                <w:sz w:val="18"/>
                <w:szCs w:val="18"/>
              </w:rPr>
              <w:t>(Discontinued 09/02/2014</w:t>
            </w:r>
            <w:r w:rsidRPr="00746905">
              <w:rPr>
                <w:rFonts w:ascii="Calibri" w:hAnsi="Calibri" w:cs="Times New Roman"/>
                <w:color w:val="000000"/>
                <w:sz w:val="18"/>
                <w:szCs w:val="18"/>
              </w:rPr>
              <w:t>)</w:t>
            </w:r>
          </w:p>
        </w:tc>
        <w:tc>
          <w:tcPr>
            <w:tcW w:w="631" w:type="dxa"/>
            <w:tcBorders>
              <w:top w:val="nil"/>
              <w:left w:val="nil"/>
              <w:bottom w:val="single" w:sz="8" w:space="0" w:color="auto"/>
              <w:right w:val="single" w:sz="8" w:space="0" w:color="auto"/>
            </w:tcBorders>
            <w:shd w:val="clear" w:color="auto" w:fill="auto"/>
            <w:noWrap/>
            <w:vAlign w:val="center"/>
            <w:hideMark/>
          </w:tcPr>
          <w:p w14:paraId="5893F0DD"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3E8C3C5B"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61</w:t>
            </w:r>
          </w:p>
        </w:tc>
        <w:tc>
          <w:tcPr>
            <w:tcW w:w="1018" w:type="dxa"/>
            <w:tcBorders>
              <w:top w:val="nil"/>
              <w:left w:val="nil"/>
              <w:bottom w:val="single" w:sz="8" w:space="0" w:color="auto"/>
              <w:right w:val="single" w:sz="8" w:space="0" w:color="auto"/>
            </w:tcBorders>
            <w:shd w:val="clear" w:color="auto" w:fill="auto"/>
            <w:noWrap/>
            <w:vAlign w:val="center"/>
            <w:hideMark/>
          </w:tcPr>
          <w:p w14:paraId="24F44261"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$150.00 </w:t>
            </w:r>
          </w:p>
        </w:tc>
        <w:tc>
          <w:tcPr>
            <w:tcW w:w="1045" w:type="dxa"/>
            <w:tcBorders>
              <w:top w:val="nil"/>
              <w:left w:val="nil"/>
              <w:bottom w:val="single" w:sz="8" w:space="0" w:color="auto"/>
              <w:right w:val="single" w:sz="8" w:space="0" w:color="auto"/>
            </w:tcBorders>
            <w:shd w:val="clear" w:color="auto" w:fill="auto"/>
            <w:noWrap/>
            <w:vAlign w:val="center"/>
            <w:hideMark/>
          </w:tcPr>
          <w:p w14:paraId="49A35C7A" w14:textId="77777777" w:rsidR="002964FC" w:rsidRPr="00746905" w:rsidRDefault="002964FC" w:rsidP="0005601F">
            <w:pPr>
              <w:widowControl/>
              <w:spacing w:after="0" w:line="240" w:lineRule="auto"/>
              <w:rPr>
                <w:rFonts w:ascii="Calibri" w:hAnsi="Calibri" w:cs="Times New Roman"/>
                <w:color w:val="000000"/>
                <w:sz w:val="18"/>
                <w:szCs w:val="18"/>
              </w:rPr>
            </w:pPr>
            <w:r w:rsidRPr="00746905">
              <w:rPr>
                <w:rFonts w:ascii="Calibri" w:hAnsi="Calibri" w:cs="Times New Roman"/>
                <w:color w:val="000000"/>
                <w:sz w:val="18"/>
                <w:szCs w:val="18"/>
              </w:rPr>
              <w:t> </w:t>
            </w:r>
          </w:p>
        </w:tc>
      </w:tr>
      <w:tr w:rsidR="002964FC" w:rsidRPr="00746905" w14:paraId="21D8FE8E"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26891674"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90% AFUE New Gas Furnace(New construction) </w:t>
            </w:r>
            <w:r w:rsidRPr="00746905">
              <w:rPr>
                <w:rFonts w:ascii="Calibri" w:hAnsi="Calibri" w:cs="Times New Roman"/>
                <w:b/>
                <w:bCs/>
                <w:color w:val="000000"/>
                <w:sz w:val="18"/>
                <w:szCs w:val="18"/>
              </w:rPr>
              <w:t>(Discontinued 09/02/2014</w:t>
            </w:r>
            <w:r w:rsidRPr="00746905">
              <w:rPr>
                <w:rFonts w:ascii="Calibri" w:hAnsi="Calibri" w:cs="Times New Roman"/>
                <w:color w:val="000000"/>
                <w:sz w:val="18"/>
                <w:szCs w:val="18"/>
              </w:rPr>
              <w:t>)</w:t>
            </w:r>
          </w:p>
        </w:tc>
        <w:tc>
          <w:tcPr>
            <w:tcW w:w="631" w:type="dxa"/>
            <w:tcBorders>
              <w:top w:val="nil"/>
              <w:left w:val="nil"/>
              <w:bottom w:val="single" w:sz="8" w:space="0" w:color="auto"/>
              <w:right w:val="single" w:sz="8" w:space="0" w:color="auto"/>
            </w:tcBorders>
            <w:shd w:val="clear" w:color="auto" w:fill="auto"/>
            <w:noWrap/>
            <w:vAlign w:val="center"/>
            <w:hideMark/>
          </w:tcPr>
          <w:p w14:paraId="742F2B5E"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509F9D13"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81</w:t>
            </w:r>
          </w:p>
        </w:tc>
        <w:tc>
          <w:tcPr>
            <w:tcW w:w="1018" w:type="dxa"/>
            <w:tcBorders>
              <w:top w:val="nil"/>
              <w:left w:val="nil"/>
              <w:bottom w:val="single" w:sz="8" w:space="0" w:color="auto"/>
              <w:right w:val="single" w:sz="8" w:space="0" w:color="auto"/>
            </w:tcBorders>
            <w:shd w:val="clear" w:color="auto" w:fill="auto"/>
            <w:noWrap/>
            <w:vAlign w:val="center"/>
            <w:hideMark/>
          </w:tcPr>
          <w:p w14:paraId="1659B959"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$150.00 </w:t>
            </w:r>
          </w:p>
        </w:tc>
        <w:tc>
          <w:tcPr>
            <w:tcW w:w="1045" w:type="dxa"/>
            <w:tcBorders>
              <w:top w:val="nil"/>
              <w:left w:val="nil"/>
              <w:bottom w:val="single" w:sz="8" w:space="0" w:color="auto"/>
              <w:right w:val="single" w:sz="8" w:space="0" w:color="auto"/>
            </w:tcBorders>
            <w:shd w:val="clear" w:color="auto" w:fill="auto"/>
            <w:noWrap/>
            <w:vAlign w:val="center"/>
            <w:hideMark/>
          </w:tcPr>
          <w:p w14:paraId="0B283DD6" w14:textId="77777777" w:rsidR="002964FC" w:rsidRPr="00746905" w:rsidRDefault="002964FC" w:rsidP="0005601F">
            <w:pPr>
              <w:widowControl/>
              <w:spacing w:after="0" w:line="240" w:lineRule="auto"/>
              <w:rPr>
                <w:rFonts w:ascii="Calibri" w:hAnsi="Calibri" w:cs="Times New Roman"/>
                <w:color w:val="000000"/>
                <w:sz w:val="18"/>
                <w:szCs w:val="18"/>
              </w:rPr>
            </w:pPr>
            <w:r w:rsidRPr="00746905">
              <w:rPr>
                <w:rFonts w:ascii="Calibri" w:hAnsi="Calibri" w:cs="Times New Roman"/>
                <w:color w:val="000000"/>
                <w:sz w:val="18"/>
                <w:szCs w:val="18"/>
              </w:rPr>
              <w:t> </w:t>
            </w:r>
          </w:p>
        </w:tc>
      </w:tr>
      <w:tr w:rsidR="002964FC" w:rsidRPr="00746905" w14:paraId="6E536D62"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1CAA4FD3"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90% AFUE New Gas Furnace(Existing) </w:t>
            </w:r>
            <w:r w:rsidRPr="00746905">
              <w:rPr>
                <w:rFonts w:ascii="Calibri" w:hAnsi="Calibri" w:cs="Times New Roman"/>
                <w:b/>
                <w:bCs/>
                <w:color w:val="000000"/>
                <w:sz w:val="18"/>
                <w:szCs w:val="18"/>
              </w:rPr>
              <w:t>(Discontinued 09/02/2014)</w:t>
            </w:r>
          </w:p>
        </w:tc>
        <w:tc>
          <w:tcPr>
            <w:tcW w:w="631" w:type="dxa"/>
            <w:tcBorders>
              <w:top w:val="nil"/>
              <w:left w:val="nil"/>
              <w:bottom w:val="single" w:sz="8" w:space="0" w:color="auto"/>
              <w:right w:val="single" w:sz="8" w:space="0" w:color="auto"/>
            </w:tcBorders>
            <w:shd w:val="clear" w:color="auto" w:fill="auto"/>
            <w:noWrap/>
            <w:vAlign w:val="center"/>
            <w:hideMark/>
          </w:tcPr>
          <w:p w14:paraId="4CC51B02"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w:t>
            </w:r>
          </w:p>
        </w:tc>
        <w:tc>
          <w:tcPr>
            <w:tcW w:w="883" w:type="dxa"/>
            <w:tcBorders>
              <w:top w:val="nil"/>
              <w:left w:val="nil"/>
              <w:bottom w:val="single" w:sz="8" w:space="0" w:color="auto"/>
              <w:right w:val="single" w:sz="8" w:space="0" w:color="auto"/>
            </w:tcBorders>
            <w:shd w:val="clear" w:color="auto" w:fill="auto"/>
            <w:noWrap/>
            <w:vAlign w:val="center"/>
            <w:hideMark/>
          </w:tcPr>
          <w:p w14:paraId="40A9EEE6"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81</w:t>
            </w:r>
          </w:p>
        </w:tc>
        <w:tc>
          <w:tcPr>
            <w:tcW w:w="1018" w:type="dxa"/>
            <w:tcBorders>
              <w:top w:val="nil"/>
              <w:left w:val="nil"/>
              <w:bottom w:val="single" w:sz="8" w:space="0" w:color="auto"/>
              <w:right w:val="single" w:sz="8" w:space="0" w:color="auto"/>
            </w:tcBorders>
            <w:shd w:val="clear" w:color="auto" w:fill="auto"/>
            <w:noWrap/>
            <w:vAlign w:val="center"/>
            <w:hideMark/>
          </w:tcPr>
          <w:p w14:paraId="523EB8DB"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$150.00 </w:t>
            </w:r>
          </w:p>
        </w:tc>
        <w:tc>
          <w:tcPr>
            <w:tcW w:w="1045" w:type="dxa"/>
            <w:tcBorders>
              <w:top w:val="nil"/>
              <w:left w:val="nil"/>
              <w:bottom w:val="single" w:sz="8" w:space="0" w:color="auto"/>
              <w:right w:val="single" w:sz="8" w:space="0" w:color="auto"/>
            </w:tcBorders>
            <w:shd w:val="clear" w:color="auto" w:fill="auto"/>
            <w:noWrap/>
            <w:vAlign w:val="center"/>
            <w:hideMark/>
          </w:tcPr>
          <w:p w14:paraId="4B469874"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$0.319 </w:t>
            </w:r>
          </w:p>
        </w:tc>
      </w:tr>
      <w:tr w:rsidR="002964FC" w:rsidRPr="00746905" w14:paraId="367A3E2A"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1198413D"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90% AFUE New Gas Furnace(Existing) </w:t>
            </w:r>
            <w:r w:rsidRPr="00746905">
              <w:rPr>
                <w:rFonts w:ascii="Calibri" w:hAnsi="Calibri" w:cs="Times New Roman"/>
                <w:b/>
                <w:bCs/>
                <w:color w:val="000000"/>
                <w:sz w:val="18"/>
                <w:szCs w:val="18"/>
              </w:rPr>
              <w:t>(Discontinued 09/02/2014)</w:t>
            </w:r>
          </w:p>
        </w:tc>
        <w:tc>
          <w:tcPr>
            <w:tcW w:w="631" w:type="dxa"/>
            <w:tcBorders>
              <w:top w:val="nil"/>
              <w:left w:val="nil"/>
              <w:bottom w:val="single" w:sz="8" w:space="0" w:color="auto"/>
              <w:right w:val="single" w:sz="8" w:space="0" w:color="auto"/>
            </w:tcBorders>
            <w:shd w:val="clear" w:color="auto" w:fill="auto"/>
            <w:noWrap/>
            <w:vAlign w:val="center"/>
            <w:hideMark/>
          </w:tcPr>
          <w:p w14:paraId="190B8593"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6A1005A8"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75</w:t>
            </w:r>
          </w:p>
        </w:tc>
        <w:tc>
          <w:tcPr>
            <w:tcW w:w="1018" w:type="dxa"/>
            <w:tcBorders>
              <w:top w:val="nil"/>
              <w:left w:val="nil"/>
              <w:bottom w:val="single" w:sz="8" w:space="0" w:color="auto"/>
              <w:right w:val="single" w:sz="8" w:space="0" w:color="auto"/>
            </w:tcBorders>
            <w:shd w:val="clear" w:color="auto" w:fill="auto"/>
            <w:noWrap/>
            <w:vAlign w:val="center"/>
            <w:hideMark/>
          </w:tcPr>
          <w:p w14:paraId="03B5F326"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$150.00 </w:t>
            </w:r>
          </w:p>
        </w:tc>
        <w:tc>
          <w:tcPr>
            <w:tcW w:w="1045" w:type="dxa"/>
            <w:tcBorders>
              <w:top w:val="nil"/>
              <w:left w:val="nil"/>
              <w:bottom w:val="single" w:sz="8" w:space="0" w:color="auto"/>
              <w:right w:val="single" w:sz="8" w:space="0" w:color="auto"/>
            </w:tcBorders>
            <w:shd w:val="clear" w:color="auto" w:fill="auto"/>
            <w:noWrap/>
            <w:vAlign w:val="center"/>
            <w:hideMark/>
          </w:tcPr>
          <w:p w14:paraId="763DA89B" w14:textId="77777777" w:rsidR="002964FC" w:rsidRPr="00746905" w:rsidRDefault="002964FC" w:rsidP="0005601F">
            <w:pPr>
              <w:widowControl/>
              <w:spacing w:after="0" w:line="240" w:lineRule="auto"/>
              <w:rPr>
                <w:rFonts w:ascii="Calibri" w:hAnsi="Calibri" w:cs="Times New Roman"/>
                <w:color w:val="000000"/>
                <w:sz w:val="18"/>
                <w:szCs w:val="18"/>
              </w:rPr>
            </w:pPr>
            <w:r w:rsidRPr="00746905">
              <w:rPr>
                <w:rFonts w:ascii="Calibri" w:hAnsi="Calibri" w:cs="Times New Roman"/>
                <w:color w:val="000000"/>
                <w:sz w:val="18"/>
                <w:szCs w:val="18"/>
              </w:rPr>
              <w:t> </w:t>
            </w:r>
          </w:p>
        </w:tc>
      </w:tr>
      <w:tr w:rsidR="002964FC" w:rsidRPr="00746905" w14:paraId="2B8FB0FD"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0AAFB4D7"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90% AFUE New Gas Furnace(Existing) </w:t>
            </w:r>
            <w:r w:rsidRPr="00746905">
              <w:rPr>
                <w:rFonts w:ascii="Calibri" w:hAnsi="Calibri" w:cs="Times New Roman"/>
                <w:b/>
                <w:bCs/>
                <w:color w:val="000000"/>
                <w:sz w:val="18"/>
                <w:szCs w:val="18"/>
              </w:rPr>
              <w:t>(Discontinued 09/02/2014)</w:t>
            </w:r>
          </w:p>
        </w:tc>
        <w:tc>
          <w:tcPr>
            <w:tcW w:w="631" w:type="dxa"/>
            <w:tcBorders>
              <w:top w:val="nil"/>
              <w:left w:val="nil"/>
              <w:bottom w:val="single" w:sz="8" w:space="0" w:color="auto"/>
              <w:right w:val="single" w:sz="8" w:space="0" w:color="auto"/>
            </w:tcBorders>
            <w:shd w:val="clear" w:color="auto" w:fill="auto"/>
            <w:noWrap/>
            <w:vAlign w:val="center"/>
            <w:hideMark/>
          </w:tcPr>
          <w:p w14:paraId="11B95EF2"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0F7C1E4B"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99</w:t>
            </w:r>
          </w:p>
        </w:tc>
        <w:tc>
          <w:tcPr>
            <w:tcW w:w="1018" w:type="dxa"/>
            <w:tcBorders>
              <w:top w:val="nil"/>
              <w:left w:val="nil"/>
              <w:bottom w:val="single" w:sz="8" w:space="0" w:color="auto"/>
              <w:right w:val="single" w:sz="8" w:space="0" w:color="auto"/>
            </w:tcBorders>
            <w:shd w:val="clear" w:color="auto" w:fill="auto"/>
            <w:noWrap/>
            <w:vAlign w:val="center"/>
            <w:hideMark/>
          </w:tcPr>
          <w:p w14:paraId="27A2D573"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$150.00 </w:t>
            </w:r>
          </w:p>
        </w:tc>
        <w:tc>
          <w:tcPr>
            <w:tcW w:w="1045" w:type="dxa"/>
            <w:tcBorders>
              <w:top w:val="nil"/>
              <w:left w:val="nil"/>
              <w:bottom w:val="single" w:sz="8" w:space="0" w:color="auto"/>
              <w:right w:val="single" w:sz="8" w:space="0" w:color="auto"/>
            </w:tcBorders>
            <w:shd w:val="clear" w:color="auto" w:fill="auto"/>
            <w:noWrap/>
            <w:vAlign w:val="center"/>
            <w:hideMark/>
          </w:tcPr>
          <w:p w14:paraId="2CE36B14" w14:textId="77777777" w:rsidR="002964FC" w:rsidRPr="00746905" w:rsidRDefault="002964FC" w:rsidP="0005601F">
            <w:pPr>
              <w:widowControl/>
              <w:spacing w:after="0" w:line="240" w:lineRule="auto"/>
              <w:rPr>
                <w:rFonts w:ascii="Calibri" w:hAnsi="Calibri" w:cs="Times New Roman"/>
                <w:color w:val="000000"/>
                <w:sz w:val="18"/>
                <w:szCs w:val="18"/>
              </w:rPr>
            </w:pPr>
            <w:r w:rsidRPr="00746905">
              <w:rPr>
                <w:rFonts w:ascii="Calibri" w:hAnsi="Calibri" w:cs="Times New Roman"/>
                <w:color w:val="000000"/>
                <w:sz w:val="18"/>
                <w:szCs w:val="18"/>
              </w:rPr>
              <w:t> </w:t>
            </w:r>
          </w:p>
        </w:tc>
      </w:tr>
      <w:tr w:rsidR="002964FC" w:rsidRPr="00746905" w14:paraId="2FC5A436"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4285A1C4"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95% AFUE New Gas Furnace(New &amp; Existing)</w:t>
            </w:r>
          </w:p>
        </w:tc>
        <w:tc>
          <w:tcPr>
            <w:tcW w:w="631" w:type="dxa"/>
            <w:tcBorders>
              <w:top w:val="nil"/>
              <w:left w:val="nil"/>
              <w:bottom w:val="single" w:sz="8" w:space="0" w:color="auto"/>
              <w:right w:val="single" w:sz="8" w:space="0" w:color="auto"/>
            </w:tcBorders>
            <w:shd w:val="clear" w:color="auto" w:fill="auto"/>
            <w:noWrap/>
            <w:vAlign w:val="center"/>
            <w:hideMark/>
          </w:tcPr>
          <w:p w14:paraId="1B9BBD76"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w:t>
            </w:r>
          </w:p>
        </w:tc>
        <w:tc>
          <w:tcPr>
            <w:tcW w:w="883" w:type="dxa"/>
            <w:tcBorders>
              <w:top w:val="nil"/>
              <w:left w:val="nil"/>
              <w:bottom w:val="single" w:sz="8" w:space="0" w:color="auto"/>
              <w:right w:val="single" w:sz="8" w:space="0" w:color="auto"/>
            </w:tcBorders>
            <w:shd w:val="clear" w:color="auto" w:fill="auto"/>
            <w:noWrap/>
            <w:vAlign w:val="center"/>
            <w:hideMark/>
          </w:tcPr>
          <w:p w14:paraId="40C028DD"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111</w:t>
            </w:r>
          </w:p>
        </w:tc>
        <w:tc>
          <w:tcPr>
            <w:tcW w:w="1018" w:type="dxa"/>
            <w:tcBorders>
              <w:top w:val="nil"/>
              <w:left w:val="nil"/>
              <w:bottom w:val="single" w:sz="8" w:space="0" w:color="auto"/>
              <w:right w:val="single" w:sz="8" w:space="0" w:color="auto"/>
            </w:tcBorders>
            <w:shd w:val="clear" w:color="auto" w:fill="auto"/>
            <w:noWrap/>
            <w:vAlign w:val="center"/>
            <w:hideMark/>
          </w:tcPr>
          <w:p w14:paraId="26EC8DB0"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$250.00 </w:t>
            </w:r>
          </w:p>
        </w:tc>
        <w:tc>
          <w:tcPr>
            <w:tcW w:w="1045" w:type="dxa"/>
            <w:tcBorders>
              <w:top w:val="nil"/>
              <w:left w:val="nil"/>
              <w:bottom w:val="single" w:sz="8" w:space="0" w:color="auto"/>
              <w:right w:val="single" w:sz="8" w:space="0" w:color="auto"/>
            </w:tcBorders>
            <w:shd w:val="clear" w:color="auto" w:fill="auto"/>
            <w:noWrap/>
            <w:vAlign w:val="center"/>
            <w:hideMark/>
          </w:tcPr>
          <w:p w14:paraId="5C0465E3"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$0.352 </w:t>
            </w:r>
          </w:p>
        </w:tc>
      </w:tr>
      <w:tr w:rsidR="002964FC" w:rsidRPr="00746905" w14:paraId="19B0D1F5"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4C3970ED"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95% AFUE New Gas Furnace(New &amp; Existing)</w:t>
            </w:r>
          </w:p>
        </w:tc>
        <w:tc>
          <w:tcPr>
            <w:tcW w:w="631" w:type="dxa"/>
            <w:tcBorders>
              <w:top w:val="nil"/>
              <w:left w:val="nil"/>
              <w:bottom w:val="single" w:sz="8" w:space="0" w:color="auto"/>
              <w:right w:val="single" w:sz="8" w:space="0" w:color="auto"/>
            </w:tcBorders>
            <w:shd w:val="clear" w:color="auto" w:fill="auto"/>
            <w:noWrap/>
            <w:vAlign w:val="center"/>
            <w:hideMark/>
          </w:tcPr>
          <w:p w14:paraId="52AE0E9C"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7A7360B1"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110</w:t>
            </w:r>
          </w:p>
        </w:tc>
        <w:tc>
          <w:tcPr>
            <w:tcW w:w="1018" w:type="dxa"/>
            <w:tcBorders>
              <w:top w:val="nil"/>
              <w:left w:val="nil"/>
              <w:bottom w:val="single" w:sz="8" w:space="0" w:color="auto"/>
              <w:right w:val="single" w:sz="8" w:space="0" w:color="auto"/>
            </w:tcBorders>
            <w:shd w:val="clear" w:color="auto" w:fill="auto"/>
            <w:noWrap/>
            <w:vAlign w:val="center"/>
            <w:hideMark/>
          </w:tcPr>
          <w:p w14:paraId="37516754"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$250.00 </w:t>
            </w:r>
          </w:p>
        </w:tc>
        <w:tc>
          <w:tcPr>
            <w:tcW w:w="1045" w:type="dxa"/>
            <w:tcBorders>
              <w:top w:val="nil"/>
              <w:left w:val="nil"/>
              <w:bottom w:val="single" w:sz="8" w:space="0" w:color="auto"/>
              <w:right w:val="single" w:sz="8" w:space="0" w:color="auto"/>
            </w:tcBorders>
            <w:shd w:val="clear" w:color="auto" w:fill="auto"/>
            <w:noWrap/>
            <w:vAlign w:val="center"/>
            <w:hideMark/>
          </w:tcPr>
          <w:p w14:paraId="48F5D31D"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$0.353 </w:t>
            </w:r>
          </w:p>
        </w:tc>
      </w:tr>
      <w:tr w:rsidR="002964FC" w:rsidRPr="00746905" w14:paraId="22D65D39"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2F73765A"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95% AFUE New Gas Furnace(New &amp; Existing)</w:t>
            </w:r>
          </w:p>
        </w:tc>
        <w:tc>
          <w:tcPr>
            <w:tcW w:w="631" w:type="dxa"/>
            <w:tcBorders>
              <w:top w:val="nil"/>
              <w:left w:val="nil"/>
              <w:bottom w:val="single" w:sz="8" w:space="0" w:color="auto"/>
              <w:right w:val="single" w:sz="8" w:space="0" w:color="auto"/>
            </w:tcBorders>
            <w:shd w:val="clear" w:color="auto" w:fill="auto"/>
            <w:noWrap/>
            <w:vAlign w:val="center"/>
            <w:hideMark/>
          </w:tcPr>
          <w:p w14:paraId="7B902612"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64117666"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111</w:t>
            </w:r>
          </w:p>
        </w:tc>
        <w:tc>
          <w:tcPr>
            <w:tcW w:w="1018" w:type="dxa"/>
            <w:tcBorders>
              <w:top w:val="nil"/>
              <w:left w:val="nil"/>
              <w:bottom w:val="single" w:sz="8" w:space="0" w:color="auto"/>
              <w:right w:val="single" w:sz="8" w:space="0" w:color="auto"/>
            </w:tcBorders>
            <w:shd w:val="clear" w:color="auto" w:fill="auto"/>
            <w:noWrap/>
            <w:vAlign w:val="center"/>
            <w:hideMark/>
          </w:tcPr>
          <w:p w14:paraId="0CF81C9F"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$250.00 </w:t>
            </w:r>
          </w:p>
        </w:tc>
        <w:tc>
          <w:tcPr>
            <w:tcW w:w="1045" w:type="dxa"/>
            <w:tcBorders>
              <w:top w:val="nil"/>
              <w:left w:val="nil"/>
              <w:bottom w:val="single" w:sz="8" w:space="0" w:color="auto"/>
              <w:right w:val="single" w:sz="8" w:space="0" w:color="auto"/>
            </w:tcBorders>
            <w:shd w:val="clear" w:color="auto" w:fill="auto"/>
            <w:noWrap/>
            <w:vAlign w:val="center"/>
            <w:hideMark/>
          </w:tcPr>
          <w:p w14:paraId="256EB304"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$0.352 </w:t>
            </w:r>
          </w:p>
        </w:tc>
      </w:tr>
      <w:tr w:rsidR="002964FC" w:rsidRPr="00746905" w14:paraId="17A5ADA5"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14C31319"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80% AFUE Hearth </w:t>
            </w:r>
            <w:r w:rsidRPr="00746905">
              <w:rPr>
                <w:rFonts w:ascii="Calibri" w:hAnsi="Calibri" w:cs="Times New Roman"/>
                <w:i/>
                <w:iCs/>
                <w:color w:val="000000"/>
                <w:sz w:val="18"/>
                <w:szCs w:val="18"/>
              </w:rPr>
              <w:t>(Incentive decreased effective 09/02/2014)</w:t>
            </w:r>
          </w:p>
        </w:tc>
        <w:tc>
          <w:tcPr>
            <w:tcW w:w="631" w:type="dxa"/>
            <w:tcBorders>
              <w:top w:val="nil"/>
              <w:left w:val="nil"/>
              <w:bottom w:val="single" w:sz="8" w:space="0" w:color="auto"/>
              <w:right w:val="single" w:sz="8" w:space="0" w:color="auto"/>
            </w:tcBorders>
            <w:shd w:val="clear" w:color="auto" w:fill="auto"/>
            <w:noWrap/>
            <w:vAlign w:val="center"/>
            <w:hideMark/>
          </w:tcPr>
          <w:p w14:paraId="1AC07330"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w:t>
            </w:r>
          </w:p>
        </w:tc>
        <w:tc>
          <w:tcPr>
            <w:tcW w:w="883" w:type="dxa"/>
            <w:tcBorders>
              <w:top w:val="nil"/>
              <w:left w:val="nil"/>
              <w:bottom w:val="single" w:sz="8" w:space="0" w:color="auto"/>
              <w:right w:val="single" w:sz="8" w:space="0" w:color="auto"/>
            </w:tcBorders>
            <w:shd w:val="clear" w:color="auto" w:fill="auto"/>
            <w:noWrap/>
            <w:vAlign w:val="center"/>
            <w:hideMark/>
          </w:tcPr>
          <w:p w14:paraId="640FA864"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75</w:t>
            </w:r>
          </w:p>
        </w:tc>
        <w:tc>
          <w:tcPr>
            <w:tcW w:w="1018" w:type="dxa"/>
            <w:tcBorders>
              <w:top w:val="nil"/>
              <w:left w:val="nil"/>
              <w:bottom w:val="single" w:sz="8" w:space="0" w:color="auto"/>
              <w:right w:val="single" w:sz="8" w:space="0" w:color="auto"/>
            </w:tcBorders>
            <w:shd w:val="clear" w:color="auto" w:fill="auto"/>
            <w:noWrap/>
            <w:vAlign w:val="center"/>
            <w:hideMark/>
          </w:tcPr>
          <w:p w14:paraId="47BBE7C2"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$250.00 </w:t>
            </w:r>
          </w:p>
        </w:tc>
        <w:tc>
          <w:tcPr>
            <w:tcW w:w="1045" w:type="dxa"/>
            <w:tcBorders>
              <w:top w:val="nil"/>
              <w:left w:val="nil"/>
              <w:bottom w:val="single" w:sz="8" w:space="0" w:color="auto"/>
              <w:right w:val="single" w:sz="8" w:space="0" w:color="auto"/>
            </w:tcBorders>
            <w:shd w:val="clear" w:color="auto" w:fill="auto"/>
            <w:noWrap/>
            <w:vAlign w:val="center"/>
            <w:hideMark/>
          </w:tcPr>
          <w:p w14:paraId="0EB6D8BE"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$0.409 </w:t>
            </w:r>
          </w:p>
        </w:tc>
      </w:tr>
      <w:tr w:rsidR="002964FC" w:rsidRPr="00746905" w14:paraId="2F0BAB97"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4A034465"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80% AFUE Hearth</w:t>
            </w:r>
            <w:r w:rsidRPr="00746905">
              <w:rPr>
                <w:rFonts w:ascii="Calibri" w:hAnsi="Calibri" w:cs="Times New Roman"/>
                <w:i/>
                <w:iCs/>
                <w:color w:val="000000"/>
                <w:sz w:val="18"/>
                <w:szCs w:val="18"/>
              </w:rPr>
              <w:t xml:space="preserve"> (Incentive decreased effective 09/02/2014)</w:t>
            </w:r>
          </w:p>
        </w:tc>
        <w:tc>
          <w:tcPr>
            <w:tcW w:w="631" w:type="dxa"/>
            <w:tcBorders>
              <w:top w:val="nil"/>
              <w:left w:val="nil"/>
              <w:bottom w:val="single" w:sz="8" w:space="0" w:color="auto"/>
              <w:right w:val="single" w:sz="8" w:space="0" w:color="auto"/>
            </w:tcBorders>
            <w:shd w:val="clear" w:color="auto" w:fill="auto"/>
            <w:noWrap/>
            <w:vAlign w:val="center"/>
            <w:hideMark/>
          </w:tcPr>
          <w:p w14:paraId="7A63AC08"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5CCBAAD6"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75</w:t>
            </w:r>
          </w:p>
        </w:tc>
        <w:tc>
          <w:tcPr>
            <w:tcW w:w="1018" w:type="dxa"/>
            <w:tcBorders>
              <w:top w:val="nil"/>
              <w:left w:val="nil"/>
              <w:bottom w:val="single" w:sz="8" w:space="0" w:color="auto"/>
              <w:right w:val="single" w:sz="8" w:space="0" w:color="auto"/>
            </w:tcBorders>
            <w:shd w:val="clear" w:color="auto" w:fill="auto"/>
            <w:noWrap/>
            <w:vAlign w:val="center"/>
            <w:hideMark/>
          </w:tcPr>
          <w:p w14:paraId="0C65BE38"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$250.00 </w:t>
            </w:r>
          </w:p>
        </w:tc>
        <w:tc>
          <w:tcPr>
            <w:tcW w:w="1045" w:type="dxa"/>
            <w:tcBorders>
              <w:top w:val="nil"/>
              <w:left w:val="nil"/>
              <w:bottom w:val="single" w:sz="8" w:space="0" w:color="auto"/>
              <w:right w:val="single" w:sz="8" w:space="0" w:color="auto"/>
            </w:tcBorders>
            <w:shd w:val="clear" w:color="auto" w:fill="auto"/>
            <w:noWrap/>
            <w:vAlign w:val="center"/>
            <w:hideMark/>
          </w:tcPr>
          <w:p w14:paraId="363F2217"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$0.409 </w:t>
            </w:r>
          </w:p>
        </w:tc>
      </w:tr>
      <w:tr w:rsidR="002964FC" w:rsidRPr="00746905" w14:paraId="0C1B3E75"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6DC29486"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80% AFUE Hearth </w:t>
            </w:r>
            <w:r w:rsidRPr="00746905">
              <w:rPr>
                <w:rFonts w:ascii="Calibri" w:hAnsi="Calibri" w:cs="Times New Roman"/>
                <w:i/>
                <w:iCs/>
                <w:color w:val="000000"/>
                <w:sz w:val="18"/>
                <w:szCs w:val="18"/>
              </w:rPr>
              <w:t>(Incentive decreased effective 09/02/2014</w:t>
            </w:r>
            <w:r w:rsidRPr="00746905">
              <w:rPr>
                <w:rFonts w:ascii="Calibri" w:hAnsi="Calibri" w:cs="Times New Roman"/>
                <w:color w:val="000000"/>
                <w:sz w:val="18"/>
                <w:szCs w:val="18"/>
              </w:rPr>
              <w:t>)</w:t>
            </w:r>
          </w:p>
        </w:tc>
        <w:tc>
          <w:tcPr>
            <w:tcW w:w="631" w:type="dxa"/>
            <w:tcBorders>
              <w:top w:val="nil"/>
              <w:left w:val="nil"/>
              <w:bottom w:val="single" w:sz="8" w:space="0" w:color="auto"/>
              <w:right w:val="single" w:sz="8" w:space="0" w:color="auto"/>
            </w:tcBorders>
            <w:shd w:val="clear" w:color="auto" w:fill="auto"/>
            <w:noWrap/>
            <w:vAlign w:val="center"/>
            <w:hideMark/>
          </w:tcPr>
          <w:p w14:paraId="5CC8BC42"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1BEB1941"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75</w:t>
            </w:r>
          </w:p>
        </w:tc>
        <w:tc>
          <w:tcPr>
            <w:tcW w:w="1018" w:type="dxa"/>
            <w:tcBorders>
              <w:top w:val="nil"/>
              <w:left w:val="nil"/>
              <w:bottom w:val="single" w:sz="8" w:space="0" w:color="auto"/>
              <w:right w:val="single" w:sz="8" w:space="0" w:color="auto"/>
            </w:tcBorders>
            <w:shd w:val="clear" w:color="auto" w:fill="auto"/>
            <w:noWrap/>
            <w:vAlign w:val="center"/>
            <w:hideMark/>
          </w:tcPr>
          <w:p w14:paraId="25348DF5"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$250.00 </w:t>
            </w:r>
          </w:p>
        </w:tc>
        <w:tc>
          <w:tcPr>
            <w:tcW w:w="1045" w:type="dxa"/>
            <w:tcBorders>
              <w:top w:val="nil"/>
              <w:left w:val="nil"/>
              <w:bottom w:val="single" w:sz="8" w:space="0" w:color="auto"/>
              <w:right w:val="single" w:sz="8" w:space="0" w:color="auto"/>
            </w:tcBorders>
            <w:shd w:val="clear" w:color="auto" w:fill="auto"/>
            <w:noWrap/>
            <w:vAlign w:val="center"/>
            <w:hideMark/>
          </w:tcPr>
          <w:p w14:paraId="6C36C472"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$0.409 </w:t>
            </w:r>
          </w:p>
        </w:tc>
      </w:tr>
      <w:tr w:rsidR="002964FC" w:rsidRPr="00746905" w14:paraId="0A4FC1BD"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0C37B758"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70% FE Hearth </w:t>
            </w:r>
            <w:r w:rsidRPr="00746905">
              <w:rPr>
                <w:rFonts w:ascii="Calibri" w:hAnsi="Calibri" w:cs="Times New Roman"/>
                <w:b/>
                <w:bCs/>
                <w:color w:val="000000"/>
                <w:sz w:val="18"/>
                <w:szCs w:val="18"/>
              </w:rPr>
              <w:t>OLD</w:t>
            </w:r>
          </w:p>
        </w:tc>
        <w:tc>
          <w:tcPr>
            <w:tcW w:w="631" w:type="dxa"/>
            <w:tcBorders>
              <w:top w:val="nil"/>
              <w:left w:val="nil"/>
              <w:bottom w:val="single" w:sz="8" w:space="0" w:color="auto"/>
              <w:right w:val="single" w:sz="8" w:space="0" w:color="auto"/>
            </w:tcBorders>
            <w:shd w:val="clear" w:color="auto" w:fill="auto"/>
            <w:noWrap/>
            <w:vAlign w:val="center"/>
            <w:hideMark/>
          </w:tcPr>
          <w:p w14:paraId="50815E38"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w:t>
            </w:r>
          </w:p>
        </w:tc>
        <w:tc>
          <w:tcPr>
            <w:tcW w:w="883" w:type="dxa"/>
            <w:tcBorders>
              <w:top w:val="nil"/>
              <w:left w:val="nil"/>
              <w:bottom w:val="single" w:sz="8" w:space="0" w:color="auto"/>
              <w:right w:val="single" w:sz="8" w:space="0" w:color="auto"/>
            </w:tcBorders>
            <w:shd w:val="clear" w:color="auto" w:fill="auto"/>
            <w:noWrap/>
            <w:vAlign w:val="center"/>
            <w:hideMark/>
          </w:tcPr>
          <w:p w14:paraId="0E086D7A"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56</w:t>
            </w:r>
          </w:p>
        </w:tc>
        <w:tc>
          <w:tcPr>
            <w:tcW w:w="1018" w:type="dxa"/>
            <w:tcBorders>
              <w:top w:val="nil"/>
              <w:left w:val="nil"/>
              <w:bottom w:val="single" w:sz="8" w:space="0" w:color="auto"/>
              <w:right w:val="single" w:sz="8" w:space="0" w:color="auto"/>
            </w:tcBorders>
            <w:shd w:val="clear" w:color="auto" w:fill="auto"/>
            <w:noWrap/>
            <w:vAlign w:val="center"/>
            <w:hideMark/>
          </w:tcPr>
          <w:p w14:paraId="745CA0B5"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$200.00 </w:t>
            </w:r>
          </w:p>
        </w:tc>
        <w:tc>
          <w:tcPr>
            <w:tcW w:w="1045" w:type="dxa"/>
            <w:tcBorders>
              <w:top w:val="nil"/>
              <w:left w:val="nil"/>
              <w:bottom w:val="single" w:sz="8" w:space="0" w:color="auto"/>
              <w:right w:val="single" w:sz="8" w:space="0" w:color="auto"/>
            </w:tcBorders>
            <w:shd w:val="clear" w:color="auto" w:fill="auto"/>
            <w:noWrap/>
            <w:vAlign w:val="center"/>
            <w:hideMark/>
          </w:tcPr>
          <w:p w14:paraId="208E3338"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$0.426 </w:t>
            </w:r>
          </w:p>
        </w:tc>
      </w:tr>
      <w:tr w:rsidR="002964FC" w:rsidRPr="00746905" w14:paraId="4586D29A"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30C833B2"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70% FE Hearth </w:t>
            </w:r>
            <w:r w:rsidRPr="00746905">
              <w:rPr>
                <w:rFonts w:ascii="Calibri" w:hAnsi="Calibri" w:cs="Times New Roman"/>
                <w:b/>
                <w:bCs/>
                <w:color w:val="000000"/>
                <w:sz w:val="18"/>
                <w:szCs w:val="18"/>
              </w:rPr>
              <w:t>OLD</w:t>
            </w:r>
          </w:p>
        </w:tc>
        <w:tc>
          <w:tcPr>
            <w:tcW w:w="631" w:type="dxa"/>
            <w:tcBorders>
              <w:top w:val="nil"/>
              <w:left w:val="nil"/>
              <w:bottom w:val="single" w:sz="8" w:space="0" w:color="auto"/>
              <w:right w:val="single" w:sz="8" w:space="0" w:color="auto"/>
            </w:tcBorders>
            <w:shd w:val="clear" w:color="auto" w:fill="auto"/>
            <w:noWrap/>
            <w:vAlign w:val="center"/>
            <w:hideMark/>
          </w:tcPr>
          <w:p w14:paraId="0B740ACF"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7DCF6430"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56</w:t>
            </w:r>
          </w:p>
        </w:tc>
        <w:tc>
          <w:tcPr>
            <w:tcW w:w="1018" w:type="dxa"/>
            <w:tcBorders>
              <w:top w:val="nil"/>
              <w:left w:val="nil"/>
              <w:bottom w:val="single" w:sz="8" w:space="0" w:color="auto"/>
              <w:right w:val="single" w:sz="8" w:space="0" w:color="auto"/>
            </w:tcBorders>
            <w:shd w:val="clear" w:color="auto" w:fill="auto"/>
            <w:noWrap/>
            <w:vAlign w:val="center"/>
            <w:hideMark/>
          </w:tcPr>
          <w:p w14:paraId="18438019"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$200.00 </w:t>
            </w:r>
          </w:p>
        </w:tc>
        <w:tc>
          <w:tcPr>
            <w:tcW w:w="1045" w:type="dxa"/>
            <w:tcBorders>
              <w:top w:val="nil"/>
              <w:left w:val="nil"/>
              <w:bottom w:val="single" w:sz="8" w:space="0" w:color="auto"/>
              <w:right w:val="single" w:sz="8" w:space="0" w:color="auto"/>
            </w:tcBorders>
            <w:shd w:val="clear" w:color="auto" w:fill="auto"/>
            <w:noWrap/>
            <w:vAlign w:val="center"/>
            <w:hideMark/>
          </w:tcPr>
          <w:p w14:paraId="7095FFE4"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$0.426 </w:t>
            </w:r>
          </w:p>
        </w:tc>
      </w:tr>
      <w:tr w:rsidR="002964FC" w:rsidRPr="00746905" w14:paraId="3B7D7073"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604A32B0"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70% FE Hearth </w:t>
            </w:r>
            <w:r w:rsidRPr="00746905">
              <w:rPr>
                <w:rFonts w:ascii="Calibri" w:hAnsi="Calibri" w:cs="Times New Roman"/>
                <w:b/>
                <w:bCs/>
                <w:color w:val="000000"/>
                <w:sz w:val="18"/>
                <w:szCs w:val="18"/>
              </w:rPr>
              <w:t>OLD</w:t>
            </w:r>
          </w:p>
        </w:tc>
        <w:tc>
          <w:tcPr>
            <w:tcW w:w="631" w:type="dxa"/>
            <w:tcBorders>
              <w:top w:val="nil"/>
              <w:left w:val="nil"/>
              <w:bottom w:val="single" w:sz="8" w:space="0" w:color="auto"/>
              <w:right w:val="single" w:sz="8" w:space="0" w:color="auto"/>
            </w:tcBorders>
            <w:shd w:val="clear" w:color="auto" w:fill="auto"/>
            <w:noWrap/>
            <w:vAlign w:val="center"/>
            <w:hideMark/>
          </w:tcPr>
          <w:p w14:paraId="1987747D"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7C8C9E1F"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56</w:t>
            </w:r>
          </w:p>
        </w:tc>
        <w:tc>
          <w:tcPr>
            <w:tcW w:w="1018" w:type="dxa"/>
            <w:tcBorders>
              <w:top w:val="nil"/>
              <w:left w:val="nil"/>
              <w:bottom w:val="single" w:sz="8" w:space="0" w:color="auto"/>
              <w:right w:val="single" w:sz="8" w:space="0" w:color="auto"/>
            </w:tcBorders>
            <w:shd w:val="clear" w:color="auto" w:fill="auto"/>
            <w:noWrap/>
            <w:vAlign w:val="center"/>
            <w:hideMark/>
          </w:tcPr>
          <w:p w14:paraId="399B0CBD"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$200.00 </w:t>
            </w:r>
          </w:p>
        </w:tc>
        <w:tc>
          <w:tcPr>
            <w:tcW w:w="1045" w:type="dxa"/>
            <w:tcBorders>
              <w:top w:val="nil"/>
              <w:left w:val="nil"/>
              <w:bottom w:val="single" w:sz="8" w:space="0" w:color="auto"/>
              <w:right w:val="single" w:sz="8" w:space="0" w:color="auto"/>
            </w:tcBorders>
            <w:shd w:val="clear" w:color="auto" w:fill="auto"/>
            <w:noWrap/>
            <w:vAlign w:val="center"/>
            <w:hideMark/>
          </w:tcPr>
          <w:p w14:paraId="0C4483B5"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$0.426 </w:t>
            </w:r>
          </w:p>
        </w:tc>
      </w:tr>
      <w:tr w:rsidR="002964FC" w:rsidRPr="00746905" w14:paraId="7DC3A4D3"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564FC05F"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70% FE Hearth </w:t>
            </w:r>
            <w:r w:rsidRPr="00746905">
              <w:rPr>
                <w:rFonts w:ascii="Calibri" w:hAnsi="Calibri" w:cs="Times New Roman"/>
                <w:i/>
                <w:iCs/>
                <w:color w:val="000000"/>
                <w:sz w:val="18"/>
                <w:szCs w:val="18"/>
              </w:rPr>
              <w:t>(Incentive decreased effective 09/02/2014)</w:t>
            </w:r>
          </w:p>
        </w:tc>
        <w:tc>
          <w:tcPr>
            <w:tcW w:w="631" w:type="dxa"/>
            <w:tcBorders>
              <w:top w:val="nil"/>
              <w:left w:val="nil"/>
              <w:bottom w:val="single" w:sz="8" w:space="0" w:color="auto"/>
              <w:right w:val="single" w:sz="8" w:space="0" w:color="auto"/>
            </w:tcBorders>
            <w:shd w:val="clear" w:color="auto" w:fill="auto"/>
            <w:noWrap/>
            <w:vAlign w:val="center"/>
            <w:hideMark/>
          </w:tcPr>
          <w:p w14:paraId="4C93D91F"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w:t>
            </w:r>
          </w:p>
        </w:tc>
        <w:tc>
          <w:tcPr>
            <w:tcW w:w="883" w:type="dxa"/>
            <w:tcBorders>
              <w:top w:val="nil"/>
              <w:left w:val="nil"/>
              <w:bottom w:val="single" w:sz="8" w:space="0" w:color="auto"/>
              <w:right w:val="single" w:sz="8" w:space="0" w:color="auto"/>
            </w:tcBorders>
            <w:shd w:val="clear" w:color="auto" w:fill="auto"/>
            <w:noWrap/>
            <w:vAlign w:val="center"/>
            <w:hideMark/>
          </w:tcPr>
          <w:p w14:paraId="5EFD6795"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56</w:t>
            </w:r>
          </w:p>
        </w:tc>
        <w:tc>
          <w:tcPr>
            <w:tcW w:w="1018" w:type="dxa"/>
            <w:tcBorders>
              <w:top w:val="nil"/>
              <w:left w:val="nil"/>
              <w:bottom w:val="single" w:sz="8" w:space="0" w:color="auto"/>
              <w:right w:val="single" w:sz="8" w:space="0" w:color="auto"/>
            </w:tcBorders>
            <w:shd w:val="clear" w:color="auto" w:fill="auto"/>
            <w:noWrap/>
            <w:vAlign w:val="center"/>
            <w:hideMark/>
          </w:tcPr>
          <w:p w14:paraId="3A7B997E"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$150.00 </w:t>
            </w:r>
          </w:p>
        </w:tc>
        <w:tc>
          <w:tcPr>
            <w:tcW w:w="1045" w:type="dxa"/>
            <w:tcBorders>
              <w:top w:val="nil"/>
              <w:left w:val="nil"/>
              <w:bottom w:val="single" w:sz="8" w:space="0" w:color="auto"/>
              <w:right w:val="single" w:sz="8" w:space="0" w:color="auto"/>
            </w:tcBorders>
            <w:shd w:val="clear" w:color="auto" w:fill="auto"/>
            <w:noWrap/>
            <w:vAlign w:val="center"/>
            <w:hideMark/>
          </w:tcPr>
          <w:p w14:paraId="32BC52DD"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$0.360 </w:t>
            </w:r>
          </w:p>
        </w:tc>
      </w:tr>
      <w:tr w:rsidR="002964FC" w:rsidRPr="00746905" w14:paraId="663A5858"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559729DD"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70% FE Hearth </w:t>
            </w:r>
            <w:r w:rsidRPr="00746905">
              <w:rPr>
                <w:rFonts w:ascii="Calibri" w:hAnsi="Calibri" w:cs="Times New Roman"/>
                <w:i/>
                <w:iCs/>
                <w:color w:val="000000"/>
                <w:sz w:val="18"/>
                <w:szCs w:val="18"/>
              </w:rPr>
              <w:t>(Incentive decreased effective 09/02/2014)</w:t>
            </w:r>
          </w:p>
        </w:tc>
        <w:tc>
          <w:tcPr>
            <w:tcW w:w="631" w:type="dxa"/>
            <w:tcBorders>
              <w:top w:val="nil"/>
              <w:left w:val="nil"/>
              <w:bottom w:val="single" w:sz="8" w:space="0" w:color="auto"/>
              <w:right w:val="single" w:sz="8" w:space="0" w:color="auto"/>
            </w:tcBorders>
            <w:shd w:val="clear" w:color="auto" w:fill="auto"/>
            <w:noWrap/>
            <w:vAlign w:val="center"/>
            <w:hideMark/>
          </w:tcPr>
          <w:p w14:paraId="232DDCD4"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317D66D1"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56</w:t>
            </w:r>
          </w:p>
        </w:tc>
        <w:tc>
          <w:tcPr>
            <w:tcW w:w="1018" w:type="dxa"/>
            <w:tcBorders>
              <w:top w:val="nil"/>
              <w:left w:val="nil"/>
              <w:bottom w:val="single" w:sz="8" w:space="0" w:color="auto"/>
              <w:right w:val="single" w:sz="8" w:space="0" w:color="auto"/>
            </w:tcBorders>
            <w:shd w:val="clear" w:color="auto" w:fill="auto"/>
            <w:noWrap/>
            <w:vAlign w:val="center"/>
            <w:hideMark/>
          </w:tcPr>
          <w:p w14:paraId="32DE2370"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$150.00 </w:t>
            </w:r>
          </w:p>
        </w:tc>
        <w:tc>
          <w:tcPr>
            <w:tcW w:w="1045" w:type="dxa"/>
            <w:tcBorders>
              <w:top w:val="nil"/>
              <w:left w:val="nil"/>
              <w:bottom w:val="single" w:sz="8" w:space="0" w:color="auto"/>
              <w:right w:val="single" w:sz="8" w:space="0" w:color="auto"/>
            </w:tcBorders>
            <w:shd w:val="clear" w:color="auto" w:fill="auto"/>
            <w:noWrap/>
            <w:vAlign w:val="center"/>
            <w:hideMark/>
          </w:tcPr>
          <w:p w14:paraId="0F024C6B"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$0.360 </w:t>
            </w:r>
          </w:p>
        </w:tc>
      </w:tr>
      <w:tr w:rsidR="002964FC" w:rsidRPr="00746905" w14:paraId="618AF8EF"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675C2000"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70% FE Hearth </w:t>
            </w:r>
            <w:r w:rsidRPr="00746905">
              <w:rPr>
                <w:rFonts w:ascii="Calibri" w:hAnsi="Calibri" w:cs="Times New Roman"/>
                <w:i/>
                <w:iCs/>
                <w:color w:val="000000"/>
                <w:sz w:val="18"/>
                <w:szCs w:val="18"/>
              </w:rPr>
              <w:t>(Incentive decreased effective 09/02/2014)</w:t>
            </w:r>
          </w:p>
        </w:tc>
        <w:tc>
          <w:tcPr>
            <w:tcW w:w="631" w:type="dxa"/>
            <w:tcBorders>
              <w:top w:val="nil"/>
              <w:left w:val="nil"/>
              <w:bottom w:val="single" w:sz="8" w:space="0" w:color="auto"/>
              <w:right w:val="single" w:sz="8" w:space="0" w:color="auto"/>
            </w:tcBorders>
            <w:shd w:val="clear" w:color="auto" w:fill="auto"/>
            <w:noWrap/>
            <w:vAlign w:val="center"/>
            <w:hideMark/>
          </w:tcPr>
          <w:p w14:paraId="54449FC0"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67B17D56"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56</w:t>
            </w:r>
          </w:p>
        </w:tc>
        <w:tc>
          <w:tcPr>
            <w:tcW w:w="1018" w:type="dxa"/>
            <w:tcBorders>
              <w:top w:val="nil"/>
              <w:left w:val="nil"/>
              <w:bottom w:val="single" w:sz="8" w:space="0" w:color="auto"/>
              <w:right w:val="single" w:sz="8" w:space="0" w:color="auto"/>
            </w:tcBorders>
            <w:shd w:val="clear" w:color="auto" w:fill="auto"/>
            <w:noWrap/>
            <w:vAlign w:val="center"/>
            <w:hideMark/>
          </w:tcPr>
          <w:p w14:paraId="1F223E5C"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$150.00 </w:t>
            </w:r>
          </w:p>
        </w:tc>
        <w:tc>
          <w:tcPr>
            <w:tcW w:w="1045" w:type="dxa"/>
            <w:tcBorders>
              <w:top w:val="nil"/>
              <w:left w:val="nil"/>
              <w:bottom w:val="single" w:sz="8" w:space="0" w:color="auto"/>
              <w:right w:val="single" w:sz="8" w:space="0" w:color="auto"/>
            </w:tcBorders>
            <w:shd w:val="clear" w:color="auto" w:fill="auto"/>
            <w:noWrap/>
            <w:vAlign w:val="center"/>
            <w:hideMark/>
          </w:tcPr>
          <w:p w14:paraId="7FBF1B65"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$0.360 </w:t>
            </w:r>
          </w:p>
        </w:tc>
      </w:tr>
      <w:tr w:rsidR="002964FC" w:rsidRPr="00746905" w14:paraId="2732F2ED"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2B7CE3C8"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High Efficiency Entryway Door</w:t>
            </w:r>
          </w:p>
        </w:tc>
        <w:tc>
          <w:tcPr>
            <w:tcW w:w="631" w:type="dxa"/>
            <w:tcBorders>
              <w:top w:val="nil"/>
              <w:left w:val="nil"/>
              <w:bottom w:val="single" w:sz="8" w:space="0" w:color="auto"/>
              <w:right w:val="single" w:sz="8" w:space="0" w:color="auto"/>
            </w:tcBorders>
            <w:shd w:val="clear" w:color="auto" w:fill="auto"/>
            <w:noWrap/>
            <w:vAlign w:val="center"/>
            <w:hideMark/>
          </w:tcPr>
          <w:p w14:paraId="713B4C44"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w:t>
            </w:r>
          </w:p>
        </w:tc>
        <w:tc>
          <w:tcPr>
            <w:tcW w:w="883" w:type="dxa"/>
            <w:tcBorders>
              <w:top w:val="nil"/>
              <w:left w:val="nil"/>
              <w:bottom w:val="single" w:sz="8" w:space="0" w:color="auto"/>
              <w:right w:val="single" w:sz="8" w:space="0" w:color="auto"/>
            </w:tcBorders>
            <w:shd w:val="clear" w:color="auto" w:fill="auto"/>
            <w:noWrap/>
            <w:vAlign w:val="center"/>
            <w:hideMark/>
          </w:tcPr>
          <w:p w14:paraId="0AE9BA07"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13</w:t>
            </w:r>
          </w:p>
        </w:tc>
        <w:tc>
          <w:tcPr>
            <w:tcW w:w="1018" w:type="dxa"/>
            <w:tcBorders>
              <w:top w:val="nil"/>
              <w:left w:val="nil"/>
              <w:bottom w:val="single" w:sz="8" w:space="0" w:color="auto"/>
              <w:right w:val="single" w:sz="8" w:space="0" w:color="auto"/>
            </w:tcBorders>
            <w:shd w:val="clear" w:color="auto" w:fill="auto"/>
            <w:noWrap/>
            <w:vAlign w:val="center"/>
            <w:hideMark/>
          </w:tcPr>
          <w:p w14:paraId="4392529E"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$50.00 </w:t>
            </w:r>
          </w:p>
        </w:tc>
        <w:tc>
          <w:tcPr>
            <w:tcW w:w="1045" w:type="dxa"/>
            <w:tcBorders>
              <w:top w:val="nil"/>
              <w:left w:val="nil"/>
              <w:bottom w:val="single" w:sz="8" w:space="0" w:color="auto"/>
              <w:right w:val="single" w:sz="8" w:space="0" w:color="auto"/>
            </w:tcBorders>
            <w:shd w:val="clear" w:color="auto" w:fill="auto"/>
            <w:noWrap/>
            <w:vAlign w:val="center"/>
            <w:hideMark/>
          </w:tcPr>
          <w:p w14:paraId="5F785A74"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$0.390 </w:t>
            </w:r>
          </w:p>
        </w:tc>
      </w:tr>
      <w:tr w:rsidR="002964FC" w:rsidRPr="00746905" w14:paraId="43E8BFF4"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689E3F51"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High Efficiency Entryway Door</w:t>
            </w:r>
          </w:p>
        </w:tc>
        <w:tc>
          <w:tcPr>
            <w:tcW w:w="631" w:type="dxa"/>
            <w:tcBorders>
              <w:top w:val="nil"/>
              <w:left w:val="nil"/>
              <w:bottom w:val="single" w:sz="8" w:space="0" w:color="auto"/>
              <w:right w:val="single" w:sz="8" w:space="0" w:color="auto"/>
            </w:tcBorders>
            <w:shd w:val="clear" w:color="auto" w:fill="auto"/>
            <w:noWrap/>
            <w:vAlign w:val="center"/>
            <w:hideMark/>
          </w:tcPr>
          <w:p w14:paraId="19F002BC"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27A5A6E3"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13</w:t>
            </w:r>
          </w:p>
        </w:tc>
        <w:tc>
          <w:tcPr>
            <w:tcW w:w="1018" w:type="dxa"/>
            <w:tcBorders>
              <w:top w:val="nil"/>
              <w:left w:val="nil"/>
              <w:bottom w:val="single" w:sz="8" w:space="0" w:color="auto"/>
              <w:right w:val="single" w:sz="8" w:space="0" w:color="auto"/>
            </w:tcBorders>
            <w:shd w:val="clear" w:color="auto" w:fill="auto"/>
            <w:noWrap/>
            <w:vAlign w:val="center"/>
            <w:hideMark/>
          </w:tcPr>
          <w:p w14:paraId="19001BF9"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$50.00 </w:t>
            </w:r>
          </w:p>
        </w:tc>
        <w:tc>
          <w:tcPr>
            <w:tcW w:w="1045" w:type="dxa"/>
            <w:tcBorders>
              <w:top w:val="nil"/>
              <w:left w:val="nil"/>
              <w:bottom w:val="single" w:sz="8" w:space="0" w:color="auto"/>
              <w:right w:val="single" w:sz="8" w:space="0" w:color="auto"/>
            </w:tcBorders>
            <w:shd w:val="clear" w:color="auto" w:fill="auto"/>
            <w:noWrap/>
            <w:vAlign w:val="center"/>
            <w:hideMark/>
          </w:tcPr>
          <w:p w14:paraId="343DDA34" w14:textId="77777777" w:rsidR="002964FC" w:rsidRPr="00746905" w:rsidRDefault="002964FC" w:rsidP="0005601F">
            <w:pPr>
              <w:widowControl/>
              <w:spacing w:after="0" w:line="240" w:lineRule="auto"/>
              <w:rPr>
                <w:rFonts w:ascii="Calibri" w:hAnsi="Calibri" w:cs="Times New Roman"/>
                <w:color w:val="000000"/>
                <w:sz w:val="18"/>
                <w:szCs w:val="18"/>
              </w:rPr>
            </w:pPr>
            <w:r w:rsidRPr="00746905">
              <w:rPr>
                <w:rFonts w:ascii="Calibri" w:hAnsi="Calibri" w:cs="Times New Roman"/>
                <w:color w:val="000000"/>
                <w:sz w:val="18"/>
                <w:szCs w:val="18"/>
              </w:rPr>
              <w:t> </w:t>
            </w:r>
          </w:p>
        </w:tc>
      </w:tr>
      <w:tr w:rsidR="002964FC" w:rsidRPr="00746905" w14:paraId="668AC18D"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5318BCEB"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High Efficiency Entryway Door</w:t>
            </w:r>
          </w:p>
        </w:tc>
        <w:tc>
          <w:tcPr>
            <w:tcW w:w="631" w:type="dxa"/>
            <w:tcBorders>
              <w:top w:val="nil"/>
              <w:left w:val="nil"/>
              <w:bottom w:val="single" w:sz="8" w:space="0" w:color="auto"/>
              <w:right w:val="single" w:sz="8" w:space="0" w:color="auto"/>
            </w:tcBorders>
            <w:shd w:val="clear" w:color="auto" w:fill="auto"/>
            <w:noWrap/>
            <w:vAlign w:val="center"/>
            <w:hideMark/>
          </w:tcPr>
          <w:p w14:paraId="771475EF"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66FD479C"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13</w:t>
            </w:r>
          </w:p>
        </w:tc>
        <w:tc>
          <w:tcPr>
            <w:tcW w:w="1018" w:type="dxa"/>
            <w:tcBorders>
              <w:top w:val="nil"/>
              <w:left w:val="nil"/>
              <w:bottom w:val="single" w:sz="8" w:space="0" w:color="auto"/>
              <w:right w:val="single" w:sz="8" w:space="0" w:color="auto"/>
            </w:tcBorders>
            <w:shd w:val="clear" w:color="auto" w:fill="auto"/>
            <w:noWrap/>
            <w:vAlign w:val="center"/>
            <w:hideMark/>
          </w:tcPr>
          <w:p w14:paraId="1DB11A32"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$50.00 </w:t>
            </w:r>
          </w:p>
        </w:tc>
        <w:tc>
          <w:tcPr>
            <w:tcW w:w="1045" w:type="dxa"/>
            <w:tcBorders>
              <w:top w:val="nil"/>
              <w:left w:val="nil"/>
              <w:bottom w:val="single" w:sz="8" w:space="0" w:color="auto"/>
              <w:right w:val="single" w:sz="8" w:space="0" w:color="auto"/>
            </w:tcBorders>
            <w:shd w:val="clear" w:color="auto" w:fill="auto"/>
            <w:noWrap/>
            <w:vAlign w:val="center"/>
            <w:hideMark/>
          </w:tcPr>
          <w:p w14:paraId="2E46A092"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$0.390 </w:t>
            </w:r>
          </w:p>
        </w:tc>
      </w:tr>
      <w:tr w:rsidR="002964FC" w:rsidRPr="00746905" w14:paraId="744B3E1A"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7430271F"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High Efficiency Combination Radiant Heat </w:t>
            </w:r>
            <w:r w:rsidRPr="00746905">
              <w:rPr>
                <w:rFonts w:ascii="Calibri" w:hAnsi="Calibri" w:cs="Times New Roman"/>
                <w:b/>
                <w:bCs/>
                <w:color w:val="000000"/>
                <w:sz w:val="18"/>
                <w:szCs w:val="18"/>
              </w:rPr>
              <w:t>OLD</w:t>
            </w:r>
          </w:p>
        </w:tc>
        <w:tc>
          <w:tcPr>
            <w:tcW w:w="631" w:type="dxa"/>
            <w:tcBorders>
              <w:top w:val="nil"/>
              <w:left w:val="nil"/>
              <w:bottom w:val="single" w:sz="8" w:space="0" w:color="auto"/>
              <w:right w:val="single" w:sz="8" w:space="0" w:color="auto"/>
            </w:tcBorders>
            <w:shd w:val="clear" w:color="auto" w:fill="auto"/>
            <w:noWrap/>
            <w:vAlign w:val="center"/>
            <w:hideMark/>
          </w:tcPr>
          <w:p w14:paraId="7659B57D"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w:t>
            </w:r>
          </w:p>
        </w:tc>
        <w:tc>
          <w:tcPr>
            <w:tcW w:w="883" w:type="dxa"/>
            <w:tcBorders>
              <w:top w:val="nil"/>
              <w:left w:val="nil"/>
              <w:bottom w:val="single" w:sz="8" w:space="0" w:color="auto"/>
              <w:right w:val="single" w:sz="8" w:space="0" w:color="auto"/>
            </w:tcBorders>
            <w:shd w:val="clear" w:color="auto" w:fill="auto"/>
            <w:noWrap/>
            <w:vAlign w:val="center"/>
            <w:hideMark/>
          </w:tcPr>
          <w:p w14:paraId="6A946588"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475</w:t>
            </w:r>
          </w:p>
        </w:tc>
        <w:tc>
          <w:tcPr>
            <w:tcW w:w="1018" w:type="dxa"/>
            <w:tcBorders>
              <w:top w:val="nil"/>
              <w:left w:val="nil"/>
              <w:bottom w:val="single" w:sz="8" w:space="0" w:color="auto"/>
              <w:right w:val="single" w:sz="8" w:space="0" w:color="auto"/>
            </w:tcBorders>
            <w:shd w:val="clear" w:color="auto" w:fill="auto"/>
            <w:noWrap/>
            <w:vAlign w:val="center"/>
            <w:hideMark/>
          </w:tcPr>
          <w:p w14:paraId="5A080C9D"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$1,000.00 </w:t>
            </w:r>
          </w:p>
        </w:tc>
        <w:tc>
          <w:tcPr>
            <w:tcW w:w="1045" w:type="dxa"/>
            <w:tcBorders>
              <w:top w:val="nil"/>
              <w:left w:val="nil"/>
              <w:bottom w:val="single" w:sz="8" w:space="0" w:color="auto"/>
              <w:right w:val="single" w:sz="8" w:space="0" w:color="auto"/>
            </w:tcBorders>
            <w:shd w:val="clear" w:color="auto" w:fill="auto"/>
            <w:noWrap/>
            <w:vAlign w:val="center"/>
            <w:hideMark/>
          </w:tcPr>
          <w:p w14:paraId="01D8C6B2"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$0.307 </w:t>
            </w:r>
          </w:p>
        </w:tc>
      </w:tr>
      <w:tr w:rsidR="002964FC" w:rsidRPr="00746905" w14:paraId="0847B7A0"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059A686F"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High Efficiency Combination Radiant Heat </w:t>
            </w:r>
            <w:r w:rsidRPr="00746905">
              <w:rPr>
                <w:rFonts w:ascii="Calibri" w:hAnsi="Calibri" w:cs="Times New Roman"/>
                <w:b/>
                <w:bCs/>
                <w:color w:val="000000"/>
                <w:sz w:val="18"/>
                <w:szCs w:val="18"/>
              </w:rPr>
              <w:t>OLD</w:t>
            </w:r>
          </w:p>
        </w:tc>
        <w:tc>
          <w:tcPr>
            <w:tcW w:w="631" w:type="dxa"/>
            <w:tcBorders>
              <w:top w:val="nil"/>
              <w:left w:val="nil"/>
              <w:bottom w:val="single" w:sz="8" w:space="0" w:color="auto"/>
              <w:right w:val="single" w:sz="8" w:space="0" w:color="auto"/>
            </w:tcBorders>
            <w:shd w:val="clear" w:color="auto" w:fill="auto"/>
            <w:noWrap/>
            <w:vAlign w:val="center"/>
            <w:hideMark/>
          </w:tcPr>
          <w:p w14:paraId="0FA50D78"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4A026F56"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468</w:t>
            </w:r>
          </w:p>
        </w:tc>
        <w:tc>
          <w:tcPr>
            <w:tcW w:w="1018" w:type="dxa"/>
            <w:tcBorders>
              <w:top w:val="nil"/>
              <w:left w:val="nil"/>
              <w:bottom w:val="single" w:sz="8" w:space="0" w:color="auto"/>
              <w:right w:val="single" w:sz="8" w:space="0" w:color="auto"/>
            </w:tcBorders>
            <w:shd w:val="clear" w:color="auto" w:fill="auto"/>
            <w:noWrap/>
            <w:vAlign w:val="center"/>
            <w:hideMark/>
          </w:tcPr>
          <w:p w14:paraId="5A761FAA"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$1,000.00 </w:t>
            </w:r>
          </w:p>
        </w:tc>
        <w:tc>
          <w:tcPr>
            <w:tcW w:w="1045" w:type="dxa"/>
            <w:tcBorders>
              <w:top w:val="nil"/>
              <w:left w:val="nil"/>
              <w:bottom w:val="single" w:sz="8" w:space="0" w:color="auto"/>
              <w:right w:val="single" w:sz="8" w:space="0" w:color="auto"/>
            </w:tcBorders>
            <w:shd w:val="clear" w:color="auto" w:fill="auto"/>
            <w:noWrap/>
            <w:vAlign w:val="center"/>
            <w:hideMark/>
          </w:tcPr>
          <w:p w14:paraId="00A9AC68" w14:textId="77777777" w:rsidR="002964FC" w:rsidRPr="00746905" w:rsidRDefault="002964FC" w:rsidP="0005601F">
            <w:pPr>
              <w:widowControl/>
              <w:spacing w:after="0" w:line="240" w:lineRule="auto"/>
              <w:rPr>
                <w:rFonts w:ascii="Calibri" w:hAnsi="Calibri" w:cs="Times New Roman"/>
                <w:color w:val="000000"/>
                <w:sz w:val="18"/>
                <w:szCs w:val="18"/>
              </w:rPr>
            </w:pPr>
            <w:r w:rsidRPr="00746905">
              <w:rPr>
                <w:rFonts w:ascii="Calibri" w:hAnsi="Calibri" w:cs="Times New Roman"/>
                <w:color w:val="000000"/>
                <w:sz w:val="18"/>
                <w:szCs w:val="18"/>
              </w:rPr>
              <w:t> </w:t>
            </w:r>
          </w:p>
        </w:tc>
      </w:tr>
      <w:tr w:rsidR="002964FC" w:rsidRPr="00746905" w14:paraId="18BB9AD3"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425C1E30"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High Efficiency Combination Radiant Heat </w:t>
            </w:r>
            <w:r w:rsidRPr="00746905">
              <w:rPr>
                <w:rFonts w:ascii="Calibri" w:hAnsi="Calibri" w:cs="Times New Roman"/>
                <w:b/>
                <w:bCs/>
                <w:color w:val="000000"/>
                <w:sz w:val="18"/>
                <w:szCs w:val="18"/>
              </w:rPr>
              <w:t>OLD</w:t>
            </w:r>
          </w:p>
        </w:tc>
        <w:tc>
          <w:tcPr>
            <w:tcW w:w="631" w:type="dxa"/>
            <w:tcBorders>
              <w:top w:val="nil"/>
              <w:left w:val="nil"/>
              <w:bottom w:val="single" w:sz="8" w:space="0" w:color="auto"/>
              <w:right w:val="single" w:sz="8" w:space="0" w:color="auto"/>
            </w:tcBorders>
            <w:shd w:val="clear" w:color="auto" w:fill="auto"/>
            <w:noWrap/>
            <w:vAlign w:val="center"/>
            <w:hideMark/>
          </w:tcPr>
          <w:p w14:paraId="62FEEB18"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688DDD2B"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476</w:t>
            </w:r>
          </w:p>
        </w:tc>
        <w:tc>
          <w:tcPr>
            <w:tcW w:w="1018" w:type="dxa"/>
            <w:tcBorders>
              <w:top w:val="nil"/>
              <w:left w:val="nil"/>
              <w:bottom w:val="single" w:sz="8" w:space="0" w:color="auto"/>
              <w:right w:val="single" w:sz="8" w:space="0" w:color="auto"/>
            </w:tcBorders>
            <w:shd w:val="clear" w:color="auto" w:fill="auto"/>
            <w:noWrap/>
            <w:vAlign w:val="center"/>
            <w:hideMark/>
          </w:tcPr>
          <w:p w14:paraId="256AB894"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$1,000.00 </w:t>
            </w:r>
          </w:p>
        </w:tc>
        <w:tc>
          <w:tcPr>
            <w:tcW w:w="1045" w:type="dxa"/>
            <w:tcBorders>
              <w:top w:val="nil"/>
              <w:left w:val="nil"/>
              <w:bottom w:val="single" w:sz="8" w:space="0" w:color="auto"/>
              <w:right w:val="single" w:sz="8" w:space="0" w:color="auto"/>
            </w:tcBorders>
            <w:shd w:val="clear" w:color="auto" w:fill="auto"/>
            <w:noWrap/>
            <w:vAlign w:val="center"/>
            <w:hideMark/>
          </w:tcPr>
          <w:p w14:paraId="0A37C635" w14:textId="77777777" w:rsidR="002964FC" w:rsidRPr="00746905" w:rsidRDefault="002964FC" w:rsidP="0005601F">
            <w:pPr>
              <w:widowControl/>
              <w:spacing w:after="0" w:line="240" w:lineRule="auto"/>
              <w:rPr>
                <w:rFonts w:ascii="Calibri" w:hAnsi="Calibri" w:cs="Times New Roman"/>
                <w:color w:val="000000"/>
                <w:sz w:val="18"/>
                <w:szCs w:val="18"/>
              </w:rPr>
            </w:pPr>
            <w:r w:rsidRPr="00746905">
              <w:rPr>
                <w:rFonts w:ascii="Calibri" w:hAnsi="Calibri" w:cs="Times New Roman"/>
                <w:color w:val="000000"/>
                <w:sz w:val="18"/>
                <w:szCs w:val="18"/>
              </w:rPr>
              <w:t> </w:t>
            </w:r>
          </w:p>
        </w:tc>
      </w:tr>
      <w:tr w:rsidR="002964FC" w:rsidRPr="00746905" w14:paraId="2C90AD65" w14:textId="77777777" w:rsidTr="009D4CEF">
        <w:trPr>
          <w:trHeight w:val="315"/>
          <w:tblHeader/>
          <w:jc w:val="center"/>
        </w:trPr>
        <w:tc>
          <w:tcPr>
            <w:tcW w:w="6243" w:type="dxa"/>
            <w:tcBorders>
              <w:top w:val="single" w:sz="8" w:space="0" w:color="auto"/>
              <w:left w:val="single" w:sz="8" w:space="0" w:color="auto"/>
              <w:bottom w:val="single" w:sz="8" w:space="0" w:color="auto"/>
              <w:right w:val="single" w:sz="8" w:space="0" w:color="auto"/>
            </w:tcBorders>
            <w:shd w:val="clear" w:color="auto" w:fill="C2D69B" w:themeFill="accent3" w:themeFillTint="99"/>
            <w:noWrap/>
            <w:vAlign w:val="center"/>
          </w:tcPr>
          <w:p w14:paraId="702F53A3"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b/>
                <w:bCs/>
                <w:color w:val="000000"/>
                <w:sz w:val="18"/>
                <w:szCs w:val="18"/>
              </w:rPr>
              <w:t>MEASURE</w:t>
            </w:r>
          </w:p>
        </w:tc>
        <w:tc>
          <w:tcPr>
            <w:tcW w:w="631" w:type="dxa"/>
            <w:tcBorders>
              <w:top w:val="single" w:sz="8" w:space="0" w:color="auto"/>
              <w:left w:val="nil"/>
              <w:bottom w:val="single" w:sz="8" w:space="0" w:color="auto"/>
              <w:right w:val="single" w:sz="8" w:space="0" w:color="auto"/>
            </w:tcBorders>
            <w:shd w:val="clear" w:color="auto" w:fill="C2D69B" w:themeFill="accent3" w:themeFillTint="99"/>
            <w:noWrap/>
            <w:vAlign w:val="center"/>
          </w:tcPr>
          <w:p w14:paraId="62A87CE3"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b/>
                <w:bCs/>
                <w:color w:val="000000"/>
                <w:sz w:val="18"/>
                <w:szCs w:val="18"/>
              </w:rPr>
              <w:t>ZONE</w:t>
            </w:r>
          </w:p>
        </w:tc>
        <w:tc>
          <w:tcPr>
            <w:tcW w:w="883" w:type="dxa"/>
            <w:tcBorders>
              <w:top w:val="single" w:sz="8" w:space="0" w:color="auto"/>
              <w:left w:val="nil"/>
              <w:bottom w:val="single" w:sz="8" w:space="0" w:color="auto"/>
              <w:right w:val="single" w:sz="8" w:space="0" w:color="auto"/>
            </w:tcBorders>
            <w:shd w:val="clear" w:color="auto" w:fill="C2D69B" w:themeFill="accent3" w:themeFillTint="99"/>
            <w:noWrap/>
            <w:vAlign w:val="center"/>
          </w:tcPr>
          <w:p w14:paraId="74CC0739"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b/>
                <w:bCs/>
                <w:color w:val="000000"/>
                <w:sz w:val="18"/>
                <w:szCs w:val="18"/>
              </w:rPr>
              <w:t>ANNUAL THERM SAVINGS</w:t>
            </w:r>
          </w:p>
        </w:tc>
        <w:tc>
          <w:tcPr>
            <w:tcW w:w="1018" w:type="dxa"/>
            <w:tcBorders>
              <w:top w:val="single" w:sz="8" w:space="0" w:color="auto"/>
              <w:left w:val="nil"/>
              <w:bottom w:val="single" w:sz="8" w:space="0" w:color="auto"/>
              <w:right w:val="single" w:sz="8" w:space="0" w:color="auto"/>
            </w:tcBorders>
            <w:shd w:val="clear" w:color="auto" w:fill="C2D69B" w:themeFill="accent3" w:themeFillTint="99"/>
            <w:noWrap/>
            <w:vAlign w:val="center"/>
          </w:tcPr>
          <w:p w14:paraId="523E1216"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b/>
                <w:bCs/>
                <w:color w:val="000000"/>
                <w:sz w:val="18"/>
                <w:szCs w:val="18"/>
              </w:rPr>
              <w:t>PROGRAM REBATE</w:t>
            </w:r>
          </w:p>
        </w:tc>
        <w:tc>
          <w:tcPr>
            <w:tcW w:w="1045" w:type="dxa"/>
            <w:tcBorders>
              <w:top w:val="single" w:sz="8" w:space="0" w:color="auto"/>
              <w:left w:val="nil"/>
              <w:bottom w:val="single" w:sz="8" w:space="0" w:color="auto"/>
              <w:right w:val="single" w:sz="8" w:space="0" w:color="auto"/>
            </w:tcBorders>
            <w:shd w:val="clear" w:color="auto" w:fill="C2D69B" w:themeFill="accent3" w:themeFillTint="99"/>
            <w:noWrap/>
            <w:vAlign w:val="center"/>
          </w:tcPr>
          <w:p w14:paraId="3248C3EA"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b/>
                <w:bCs/>
                <w:color w:val="000000"/>
                <w:sz w:val="18"/>
                <w:szCs w:val="18"/>
              </w:rPr>
              <w:t>UC w/Delivery &amp; Admin</w:t>
            </w:r>
          </w:p>
        </w:tc>
      </w:tr>
      <w:tr w:rsidR="002964FC" w:rsidRPr="00746905" w14:paraId="7258C628"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4558B6CF"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High Efficiency Combination Radiant Heat </w:t>
            </w:r>
            <w:r w:rsidRPr="00746905">
              <w:rPr>
                <w:rFonts w:ascii="Calibri" w:hAnsi="Calibri" w:cs="Times New Roman"/>
                <w:i/>
                <w:iCs/>
                <w:color w:val="000000"/>
                <w:sz w:val="18"/>
                <w:szCs w:val="18"/>
              </w:rPr>
              <w:t>(Incentive decreased effective 09/02/2014</w:t>
            </w:r>
            <w:r w:rsidRPr="00746905">
              <w:rPr>
                <w:rFonts w:ascii="Calibri" w:hAnsi="Calibri" w:cs="Times New Roman"/>
                <w:color w:val="000000"/>
                <w:sz w:val="18"/>
                <w:szCs w:val="18"/>
              </w:rPr>
              <w:t>)</w:t>
            </w:r>
          </w:p>
        </w:tc>
        <w:tc>
          <w:tcPr>
            <w:tcW w:w="631" w:type="dxa"/>
            <w:tcBorders>
              <w:top w:val="nil"/>
              <w:left w:val="nil"/>
              <w:bottom w:val="single" w:sz="8" w:space="0" w:color="auto"/>
              <w:right w:val="single" w:sz="8" w:space="0" w:color="auto"/>
            </w:tcBorders>
            <w:shd w:val="clear" w:color="auto" w:fill="auto"/>
            <w:noWrap/>
            <w:vAlign w:val="center"/>
            <w:hideMark/>
          </w:tcPr>
          <w:p w14:paraId="776A0919"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w:t>
            </w:r>
          </w:p>
        </w:tc>
        <w:tc>
          <w:tcPr>
            <w:tcW w:w="883" w:type="dxa"/>
            <w:tcBorders>
              <w:top w:val="nil"/>
              <w:left w:val="nil"/>
              <w:bottom w:val="single" w:sz="8" w:space="0" w:color="auto"/>
              <w:right w:val="single" w:sz="8" w:space="0" w:color="auto"/>
            </w:tcBorders>
            <w:shd w:val="clear" w:color="auto" w:fill="auto"/>
            <w:noWrap/>
            <w:vAlign w:val="center"/>
            <w:hideMark/>
          </w:tcPr>
          <w:p w14:paraId="39EC057C"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475</w:t>
            </w:r>
          </w:p>
        </w:tc>
        <w:tc>
          <w:tcPr>
            <w:tcW w:w="1018" w:type="dxa"/>
            <w:tcBorders>
              <w:top w:val="nil"/>
              <w:left w:val="nil"/>
              <w:bottom w:val="single" w:sz="8" w:space="0" w:color="auto"/>
              <w:right w:val="single" w:sz="8" w:space="0" w:color="auto"/>
            </w:tcBorders>
            <w:shd w:val="clear" w:color="auto" w:fill="auto"/>
            <w:noWrap/>
            <w:vAlign w:val="center"/>
            <w:hideMark/>
          </w:tcPr>
          <w:p w14:paraId="2E9B3433"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$825.00 </w:t>
            </w:r>
          </w:p>
        </w:tc>
        <w:tc>
          <w:tcPr>
            <w:tcW w:w="1045" w:type="dxa"/>
            <w:tcBorders>
              <w:top w:val="nil"/>
              <w:left w:val="nil"/>
              <w:bottom w:val="single" w:sz="8" w:space="0" w:color="auto"/>
              <w:right w:val="single" w:sz="8" w:space="0" w:color="auto"/>
            </w:tcBorders>
            <w:shd w:val="clear" w:color="auto" w:fill="auto"/>
            <w:noWrap/>
            <w:vAlign w:val="center"/>
            <w:hideMark/>
          </w:tcPr>
          <w:p w14:paraId="132E4D51"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$0.280 </w:t>
            </w:r>
          </w:p>
        </w:tc>
      </w:tr>
      <w:tr w:rsidR="002964FC" w:rsidRPr="00746905" w14:paraId="15E751AC"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52B6F367"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High Efficiency Combination Radiant Heat </w:t>
            </w:r>
            <w:r w:rsidRPr="00746905">
              <w:rPr>
                <w:rFonts w:ascii="Calibri" w:hAnsi="Calibri" w:cs="Times New Roman"/>
                <w:i/>
                <w:iCs/>
                <w:color w:val="000000"/>
                <w:sz w:val="18"/>
                <w:szCs w:val="18"/>
              </w:rPr>
              <w:t>(Incentive decreased effective 09/02/2014)</w:t>
            </w:r>
          </w:p>
        </w:tc>
        <w:tc>
          <w:tcPr>
            <w:tcW w:w="631" w:type="dxa"/>
            <w:tcBorders>
              <w:top w:val="nil"/>
              <w:left w:val="nil"/>
              <w:bottom w:val="single" w:sz="8" w:space="0" w:color="auto"/>
              <w:right w:val="single" w:sz="8" w:space="0" w:color="auto"/>
            </w:tcBorders>
            <w:shd w:val="clear" w:color="auto" w:fill="auto"/>
            <w:noWrap/>
            <w:vAlign w:val="center"/>
            <w:hideMark/>
          </w:tcPr>
          <w:p w14:paraId="4FA48E75"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76FA08C0"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468</w:t>
            </w:r>
          </w:p>
        </w:tc>
        <w:tc>
          <w:tcPr>
            <w:tcW w:w="1018" w:type="dxa"/>
            <w:tcBorders>
              <w:top w:val="nil"/>
              <w:left w:val="nil"/>
              <w:bottom w:val="single" w:sz="8" w:space="0" w:color="auto"/>
              <w:right w:val="single" w:sz="8" w:space="0" w:color="auto"/>
            </w:tcBorders>
            <w:shd w:val="clear" w:color="auto" w:fill="auto"/>
            <w:noWrap/>
            <w:vAlign w:val="center"/>
            <w:hideMark/>
          </w:tcPr>
          <w:p w14:paraId="712E9D51"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$825.00 </w:t>
            </w:r>
          </w:p>
        </w:tc>
        <w:tc>
          <w:tcPr>
            <w:tcW w:w="1045" w:type="dxa"/>
            <w:tcBorders>
              <w:top w:val="nil"/>
              <w:left w:val="nil"/>
              <w:bottom w:val="single" w:sz="8" w:space="0" w:color="auto"/>
              <w:right w:val="single" w:sz="8" w:space="0" w:color="auto"/>
            </w:tcBorders>
            <w:shd w:val="clear" w:color="auto" w:fill="auto"/>
            <w:noWrap/>
            <w:vAlign w:val="center"/>
            <w:hideMark/>
          </w:tcPr>
          <w:p w14:paraId="2456181A"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$0.282 </w:t>
            </w:r>
          </w:p>
        </w:tc>
      </w:tr>
      <w:tr w:rsidR="002964FC" w:rsidRPr="00746905" w14:paraId="2A9530D7"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6634FE1C"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High Efficiency Combination Radiant Heat </w:t>
            </w:r>
            <w:r w:rsidRPr="00746905">
              <w:rPr>
                <w:rFonts w:ascii="Calibri" w:hAnsi="Calibri" w:cs="Times New Roman"/>
                <w:i/>
                <w:iCs/>
                <w:color w:val="000000"/>
                <w:sz w:val="18"/>
                <w:szCs w:val="18"/>
              </w:rPr>
              <w:t>(Incentive decreased effective 09/02/2014)</w:t>
            </w:r>
          </w:p>
        </w:tc>
        <w:tc>
          <w:tcPr>
            <w:tcW w:w="631" w:type="dxa"/>
            <w:tcBorders>
              <w:top w:val="nil"/>
              <w:left w:val="nil"/>
              <w:bottom w:val="single" w:sz="8" w:space="0" w:color="auto"/>
              <w:right w:val="single" w:sz="8" w:space="0" w:color="auto"/>
            </w:tcBorders>
            <w:shd w:val="clear" w:color="auto" w:fill="auto"/>
            <w:noWrap/>
            <w:vAlign w:val="center"/>
            <w:hideMark/>
          </w:tcPr>
          <w:p w14:paraId="1A057514"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5E69523C"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476</w:t>
            </w:r>
          </w:p>
        </w:tc>
        <w:tc>
          <w:tcPr>
            <w:tcW w:w="1018" w:type="dxa"/>
            <w:tcBorders>
              <w:top w:val="nil"/>
              <w:left w:val="nil"/>
              <w:bottom w:val="single" w:sz="8" w:space="0" w:color="auto"/>
              <w:right w:val="single" w:sz="8" w:space="0" w:color="auto"/>
            </w:tcBorders>
            <w:shd w:val="clear" w:color="auto" w:fill="auto"/>
            <w:noWrap/>
            <w:vAlign w:val="center"/>
            <w:hideMark/>
          </w:tcPr>
          <w:p w14:paraId="0984BD10"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$825.00 </w:t>
            </w:r>
          </w:p>
        </w:tc>
        <w:tc>
          <w:tcPr>
            <w:tcW w:w="1045" w:type="dxa"/>
            <w:tcBorders>
              <w:top w:val="nil"/>
              <w:left w:val="nil"/>
              <w:bottom w:val="single" w:sz="8" w:space="0" w:color="auto"/>
              <w:right w:val="single" w:sz="8" w:space="0" w:color="auto"/>
            </w:tcBorders>
            <w:shd w:val="clear" w:color="auto" w:fill="auto"/>
            <w:noWrap/>
            <w:vAlign w:val="center"/>
            <w:hideMark/>
          </w:tcPr>
          <w:p w14:paraId="4455CC8E" w14:textId="77777777" w:rsidR="002964FC" w:rsidRPr="00746905" w:rsidRDefault="002964FC" w:rsidP="0005601F">
            <w:pPr>
              <w:widowControl/>
              <w:spacing w:after="0" w:line="240" w:lineRule="auto"/>
              <w:rPr>
                <w:color w:val="000000"/>
                <w:sz w:val="20"/>
                <w:szCs w:val="20"/>
              </w:rPr>
            </w:pPr>
            <w:r w:rsidRPr="00746905">
              <w:rPr>
                <w:color w:val="000000"/>
                <w:sz w:val="20"/>
                <w:szCs w:val="20"/>
              </w:rPr>
              <w:t> </w:t>
            </w:r>
          </w:p>
        </w:tc>
      </w:tr>
      <w:tr w:rsidR="002964FC" w:rsidRPr="00746905" w14:paraId="16517DF2"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387F65FF"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.64 Water Heater </w:t>
            </w:r>
            <w:r w:rsidRPr="00746905">
              <w:rPr>
                <w:rFonts w:ascii="Calibri" w:hAnsi="Calibri" w:cs="Times New Roman"/>
                <w:b/>
                <w:bCs/>
                <w:color w:val="000000"/>
                <w:sz w:val="18"/>
                <w:szCs w:val="18"/>
              </w:rPr>
              <w:t>(Discontinued 09/02/2014)</w:t>
            </w:r>
          </w:p>
        </w:tc>
        <w:tc>
          <w:tcPr>
            <w:tcW w:w="631" w:type="dxa"/>
            <w:tcBorders>
              <w:top w:val="nil"/>
              <w:left w:val="nil"/>
              <w:bottom w:val="single" w:sz="8" w:space="0" w:color="auto"/>
              <w:right w:val="single" w:sz="8" w:space="0" w:color="auto"/>
            </w:tcBorders>
            <w:shd w:val="clear" w:color="auto" w:fill="auto"/>
            <w:noWrap/>
            <w:vAlign w:val="center"/>
            <w:hideMark/>
          </w:tcPr>
          <w:p w14:paraId="0A78C2D4"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w:t>
            </w:r>
          </w:p>
        </w:tc>
        <w:tc>
          <w:tcPr>
            <w:tcW w:w="883" w:type="dxa"/>
            <w:tcBorders>
              <w:top w:val="nil"/>
              <w:left w:val="nil"/>
              <w:bottom w:val="single" w:sz="8" w:space="0" w:color="auto"/>
              <w:right w:val="single" w:sz="8" w:space="0" w:color="auto"/>
            </w:tcBorders>
            <w:shd w:val="clear" w:color="auto" w:fill="auto"/>
            <w:noWrap/>
            <w:vAlign w:val="center"/>
            <w:hideMark/>
          </w:tcPr>
          <w:p w14:paraId="55D6F4AA"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33</w:t>
            </w:r>
          </w:p>
        </w:tc>
        <w:tc>
          <w:tcPr>
            <w:tcW w:w="1018" w:type="dxa"/>
            <w:tcBorders>
              <w:top w:val="nil"/>
              <w:left w:val="nil"/>
              <w:bottom w:val="single" w:sz="8" w:space="0" w:color="auto"/>
              <w:right w:val="single" w:sz="8" w:space="0" w:color="auto"/>
            </w:tcBorders>
            <w:shd w:val="clear" w:color="auto" w:fill="auto"/>
            <w:noWrap/>
            <w:vAlign w:val="center"/>
            <w:hideMark/>
          </w:tcPr>
          <w:p w14:paraId="3274F9B2"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$40.00 </w:t>
            </w:r>
          </w:p>
        </w:tc>
        <w:tc>
          <w:tcPr>
            <w:tcW w:w="1045" w:type="dxa"/>
            <w:tcBorders>
              <w:top w:val="nil"/>
              <w:left w:val="nil"/>
              <w:bottom w:val="single" w:sz="8" w:space="0" w:color="auto"/>
              <w:right w:val="single" w:sz="8" w:space="0" w:color="auto"/>
            </w:tcBorders>
            <w:shd w:val="clear" w:color="auto" w:fill="auto"/>
            <w:noWrap/>
            <w:vAlign w:val="center"/>
            <w:hideMark/>
          </w:tcPr>
          <w:p w14:paraId="4C9BF6A2"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$0.360 </w:t>
            </w:r>
          </w:p>
        </w:tc>
      </w:tr>
      <w:tr w:rsidR="002964FC" w:rsidRPr="00746905" w14:paraId="1FDDB5FD"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4F595F44"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.64 Water Heater </w:t>
            </w:r>
            <w:r w:rsidRPr="00746905">
              <w:rPr>
                <w:rFonts w:ascii="Calibri" w:hAnsi="Calibri" w:cs="Times New Roman"/>
                <w:b/>
                <w:bCs/>
                <w:color w:val="000000"/>
                <w:sz w:val="18"/>
                <w:szCs w:val="18"/>
              </w:rPr>
              <w:t>(Discontinued 09/02/2014)</w:t>
            </w:r>
          </w:p>
        </w:tc>
        <w:tc>
          <w:tcPr>
            <w:tcW w:w="631" w:type="dxa"/>
            <w:tcBorders>
              <w:top w:val="nil"/>
              <w:left w:val="nil"/>
              <w:bottom w:val="single" w:sz="8" w:space="0" w:color="auto"/>
              <w:right w:val="single" w:sz="8" w:space="0" w:color="auto"/>
            </w:tcBorders>
            <w:shd w:val="clear" w:color="auto" w:fill="auto"/>
            <w:noWrap/>
            <w:vAlign w:val="center"/>
            <w:hideMark/>
          </w:tcPr>
          <w:p w14:paraId="32A88FF1"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07A6DB09"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33</w:t>
            </w:r>
          </w:p>
        </w:tc>
        <w:tc>
          <w:tcPr>
            <w:tcW w:w="1018" w:type="dxa"/>
            <w:tcBorders>
              <w:top w:val="nil"/>
              <w:left w:val="nil"/>
              <w:bottom w:val="single" w:sz="8" w:space="0" w:color="auto"/>
              <w:right w:val="single" w:sz="8" w:space="0" w:color="auto"/>
            </w:tcBorders>
            <w:shd w:val="clear" w:color="auto" w:fill="auto"/>
            <w:noWrap/>
            <w:vAlign w:val="center"/>
            <w:hideMark/>
          </w:tcPr>
          <w:p w14:paraId="272D8A83"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$40.00 </w:t>
            </w:r>
          </w:p>
        </w:tc>
        <w:tc>
          <w:tcPr>
            <w:tcW w:w="1045" w:type="dxa"/>
            <w:tcBorders>
              <w:top w:val="nil"/>
              <w:left w:val="nil"/>
              <w:bottom w:val="single" w:sz="8" w:space="0" w:color="auto"/>
              <w:right w:val="single" w:sz="8" w:space="0" w:color="auto"/>
            </w:tcBorders>
            <w:shd w:val="clear" w:color="auto" w:fill="auto"/>
            <w:noWrap/>
            <w:vAlign w:val="center"/>
            <w:hideMark/>
          </w:tcPr>
          <w:p w14:paraId="19279DCE"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$0.360 </w:t>
            </w:r>
          </w:p>
        </w:tc>
      </w:tr>
      <w:tr w:rsidR="002964FC" w:rsidRPr="00746905" w14:paraId="701649EA"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179B6FB2"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.64 Water Heater </w:t>
            </w:r>
            <w:r w:rsidRPr="00746905">
              <w:rPr>
                <w:rFonts w:ascii="Calibri" w:hAnsi="Calibri" w:cs="Times New Roman"/>
                <w:b/>
                <w:bCs/>
                <w:color w:val="000000"/>
                <w:sz w:val="18"/>
                <w:szCs w:val="18"/>
              </w:rPr>
              <w:t>(Discontinued 09/02/2014)</w:t>
            </w:r>
          </w:p>
        </w:tc>
        <w:tc>
          <w:tcPr>
            <w:tcW w:w="631" w:type="dxa"/>
            <w:tcBorders>
              <w:top w:val="nil"/>
              <w:left w:val="nil"/>
              <w:bottom w:val="single" w:sz="8" w:space="0" w:color="auto"/>
              <w:right w:val="single" w:sz="8" w:space="0" w:color="auto"/>
            </w:tcBorders>
            <w:shd w:val="clear" w:color="auto" w:fill="auto"/>
            <w:noWrap/>
            <w:vAlign w:val="center"/>
            <w:hideMark/>
          </w:tcPr>
          <w:p w14:paraId="4118CFC3"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6FE74C58"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33</w:t>
            </w:r>
          </w:p>
        </w:tc>
        <w:tc>
          <w:tcPr>
            <w:tcW w:w="1018" w:type="dxa"/>
            <w:tcBorders>
              <w:top w:val="nil"/>
              <w:left w:val="nil"/>
              <w:bottom w:val="single" w:sz="8" w:space="0" w:color="auto"/>
              <w:right w:val="single" w:sz="8" w:space="0" w:color="auto"/>
            </w:tcBorders>
            <w:shd w:val="clear" w:color="auto" w:fill="auto"/>
            <w:noWrap/>
            <w:vAlign w:val="center"/>
            <w:hideMark/>
          </w:tcPr>
          <w:p w14:paraId="1768CA60"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$40.00 </w:t>
            </w:r>
          </w:p>
        </w:tc>
        <w:tc>
          <w:tcPr>
            <w:tcW w:w="1045" w:type="dxa"/>
            <w:tcBorders>
              <w:top w:val="nil"/>
              <w:left w:val="nil"/>
              <w:bottom w:val="single" w:sz="8" w:space="0" w:color="auto"/>
              <w:right w:val="single" w:sz="8" w:space="0" w:color="auto"/>
            </w:tcBorders>
            <w:shd w:val="clear" w:color="auto" w:fill="auto"/>
            <w:noWrap/>
            <w:vAlign w:val="center"/>
            <w:hideMark/>
          </w:tcPr>
          <w:p w14:paraId="2A2888D6"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$0.360 </w:t>
            </w:r>
          </w:p>
        </w:tc>
      </w:tr>
      <w:tr w:rsidR="002964FC" w:rsidRPr="00746905" w14:paraId="6B7F453D"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221E7D7C"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.67 Water Heater</w:t>
            </w:r>
          </w:p>
        </w:tc>
        <w:tc>
          <w:tcPr>
            <w:tcW w:w="631" w:type="dxa"/>
            <w:tcBorders>
              <w:top w:val="nil"/>
              <w:left w:val="nil"/>
              <w:bottom w:val="single" w:sz="8" w:space="0" w:color="auto"/>
              <w:right w:val="single" w:sz="8" w:space="0" w:color="auto"/>
            </w:tcBorders>
            <w:shd w:val="clear" w:color="auto" w:fill="auto"/>
            <w:noWrap/>
            <w:vAlign w:val="center"/>
            <w:hideMark/>
          </w:tcPr>
          <w:p w14:paraId="06C0D20C"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w:t>
            </w:r>
          </w:p>
        </w:tc>
        <w:tc>
          <w:tcPr>
            <w:tcW w:w="883" w:type="dxa"/>
            <w:tcBorders>
              <w:top w:val="nil"/>
              <w:left w:val="nil"/>
              <w:bottom w:val="single" w:sz="8" w:space="0" w:color="auto"/>
              <w:right w:val="single" w:sz="8" w:space="0" w:color="auto"/>
            </w:tcBorders>
            <w:shd w:val="clear" w:color="auto" w:fill="auto"/>
            <w:noWrap/>
            <w:vAlign w:val="center"/>
            <w:hideMark/>
          </w:tcPr>
          <w:p w14:paraId="2E46BB3A"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33</w:t>
            </w:r>
          </w:p>
        </w:tc>
        <w:tc>
          <w:tcPr>
            <w:tcW w:w="1018" w:type="dxa"/>
            <w:tcBorders>
              <w:top w:val="nil"/>
              <w:left w:val="nil"/>
              <w:bottom w:val="single" w:sz="8" w:space="0" w:color="auto"/>
              <w:right w:val="single" w:sz="8" w:space="0" w:color="auto"/>
            </w:tcBorders>
            <w:shd w:val="clear" w:color="auto" w:fill="auto"/>
            <w:noWrap/>
            <w:vAlign w:val="center"/>
            <w:hideMark/>
          </w:tcPr>
          <w:p w14:paraId="6A8961A1"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$45.00 </w:t>
            </w:r>
          </w:p>
        </w:tc>
        <w:tc>
          <w:tcPr>
            <w:tcW w:w="1045" w:type="dxa"/>
            <w:tcBorders>
              <w:top w:val="nil"/>
              <w:left w:val="nil"/>
              <w:bottom w:val="single" w:sz="8" w:space="0" w:color="auto"/>
              <w:right w:val="single" w:sz="8" w:space="0" w:color="auto"/>
            </w:tcBorders>
            <w:shd w:val="clear" w:color="auto" w:fill="auto"/>
            <w:noWrap/>
            <w:vAlign w:val="center"/>
            <w:hideMark/>
          </w:tcPr>
          <w:p w14:paraId="33735B38"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$0.304 </w:t>
            </w:r>
          </w:p>
        </w:tc>
      </w:tr>
      <w:tr w:rsidR="002964FC" w:rsidRPr="00746905" w14:paraId="30CB3177"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0C902375"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.67 Water Heater</w:t>
            </w:r>
          </w:p>
        </w:tc>
        <w:tc>
          <w:tcPr>
            <w:tcW w:w="631" w:type="dxa"/>
            <w:tcBorders>
              <w:top w:val="nil"/>
              <w:left w:val="nil"/>
              <w:bottom w:val="single" w:sz="8" w:space="0" w:color="auto"/>
              <w:right w:val="single" w:sz="8" w:space="0" w:color="auto"/>
            </w:tcBorders>
            <w:shd w:val="clear" w:color="auto" w:fill="auto"/>
            <w:noWrap/>
            <w:vAlign w:val="center"/>
            <w:hideMark/>
          </w:tcPr>
          <w:p w14:paraId="10AD015E"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581A4006"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33</w:t>
            </w:r>
          </w:p>
        </w:tc>
        <w:tc>
          <w:tcPr>
            <w:tcW w:w="1018" w:type="dxa"/>
            <w:tcBorders>
              <w:top w:val="nil"/>
              <w:left w:val="nil"/>
              <w:bottom w:val="single" w:sz="8" w:space="0" w:color="auto"/>
              <w:right w:val="single" w:sz="8" w:space="0" w:color="auto"/>
            </w:tcBorders>
            <w:shd w:val="clear" w:color="auto" w:fill="auto"/>
            <w:noWrap/>
            <w:vAlign w:val="center"/>
            <w:hideMark/>
          </w:tcPr>
          <w:p w14:paraId="02170DF6"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$45.00 </w:t>
            </w:r>
          </w:p>
        </w:tc>
        <w:tc>
          <w:tcPr>
            <w:tcW w:w="1045" w:type="dxa"/>
            <w:tcBorders>
              <w:top w:val="nil"/>
              <w:left w:val="nil"/>
              <w:bottom w:val="single" w:sz="8" w:space="0" w:color="auto"/>
              <w:right w:val="single" w:sz="8" w:space="0" w:color="auto"/>
            </w:tcBorders>
            <w:shd w:val="clear" w:color="auto" w:fill="auto"/>
            <w:noWrap/>
            <w:vAlign w:val="center"/>
            <w:hideMark/>
          </w:tcPr>
          <w:p w14:paraId="497F396F"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$0.304 </w:t>
            </w:r>
          </w:p>
        </w:tc>
      </w:tr>
      <w:tr w:rsidR="002964FC" w:rsidRPr="00746905" w14:paraId="49643251"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7E358069"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.67 Water Heater</w:t>
            </w:r>
          </w:p>
        </w:tc>
        <w:tc>
          <w:tcPr>
            <w:tcW w:w="631" w:type="dxa"/>
            <w:tcBorders>
              <w:top w:val="nil"/>
              <w:left w:val="nil"/>
              <w:bottom w:val="single" w:sz="8" w:space="0" w:color="auto"/>
              <w:right w:val="single" w:sz="8" w:space="0" w:color="auto"/>
            </w:tcBorders>
            <w:shd w:val="clear" w:color="auto" w:fill="auto"/>
            <w:noWrap/>
            <w:vAlign w:val="center"/>
            <w:hideMark/>
          </w:tcPr>
          <w:p w14:paraId="658C48B5"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51CE3EAA"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33</w:t>
            </w:r>
          </w:p>
        </w:tc>
        <w:tc>
          <w:tcPr>
            <w:tcW w:w="1018" w:type="dxa"/>
            <w:tcBorders>
              <w:top w:val="nil"/>
              <w:left w:val="nil"/>
              <w:bottom w:val="single" w:sz="8" w:space="0" w:color="auto"/>
              <w:right w:val="single" w:sz="8" w:space="0" w:color="auto"/>
            </w:tcBorders>
            <w:shd w:val="clear" w:color="auto" w:fill="auto"/>
            <w:noWrap/>
            <w:vAlign w:val="center"/>
            <w:hideMark/>
          </w:tcPr>
          <w:p w14:paraId="7046E3B6"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$45.00 </w:t>
            </w:r>
          </w:p>
        </w:tc>
        <w:tc>
          <w:tcPr>
            <w:tcW w:w="1045" w:type="dxa"/>
            <w:tcBorders>
              <w:top w:val="nil"/>
              <w:left w:val="nil"/>
              <w:bottom w:val="single" w:sz="8" w:space="0" w:color="auto"/>
              <w:right w:val="single" w:sz="8" w:space="0" w:color="auto"/>
            </w:tcBorders>
            <w:shd w:val="clear" w:color="auto" w:fill="auto"/>
            <w:noWrap/>
            <w:vAlign w:val="center"/>
            <w:hideMark/>
          </w:tcPr>
          <w:p w14:paraId="6A9AA2CB"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$0.304 </w:t>
            </w:r>
          </w:p>
        </w:tc>
      </w:tr>
      <w:tr w:rsidR="002964FC" w:rsidRPr="00746905" w14:paraId="5375A482"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23EB2ED6"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.91 Tankless Hot Water Heater</w:t>
            </w:r>
          </w:p>
        </w:tc>
        <w:tc>
          <w:tcPr>
            <w:tcW w:w="631" w:type="dxa"/>
            <w:tcBorders>
              <w:top w:val="nil"/>
              <w:left w:val="nil"/>
              <w:bottom w:val="single" w:sz="8" w:space="0" w:color="auto"/>
              <w:right w:val="single" w:sz="8" w:space="0" w:color="auto"/>
            </w:tcBorders>
            <w:shd w:val="clear" w:color="auto" w:fill="auto"/>
            <w:noWrap/>
            <w:vAlign w:val="center"/>
            <w:hideMark/>
          </w:tcPr>
          <w:p w14:paraId="10708051"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w:t>
            </w:r>
          </w:p>
        </w:tc>
        <w:tc>
          <w:tcPr>
            <w:tcW w:w="883" w:type="dxa"/>
            <w:tcBorders>
              <w:top w:val="nil"/>
              <w:left w:val="nil"/>
              <w:bottom w:val="single" w:sz="8" w:space="0" w:color="auto"/>
              <w:right w:val="single" w:sz="8" w:space="0" w:color="auto"/>
            </w:tcBorders>
            <w:shd w:val="clear" w:color="auto" w:fill="auto"/>
            <w:noWrap/>
            <w:vAlign w:val="center"/>
            <w:hideMark/>
          </w:tcPr>
          <w:p w14:paraId="46F75C39"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54</w:t>
            </w:r>
          </w:p>
        </w:tc>
        <w:tc>
          <w:tcPr>
            <w:tcW w:w="1018" w:type="dxa"/>
            <w:tcBorders>
              <w:top w:val="nil"/>
              <w:left w:val="nil"/>
              <w:bottom w:val="single" w:sz="8" w:space="0" w:color="auto"/>
              <w:right w:val="single" w:sz="8" w:space="0" w:color="auto"/>
            </w:tcBorders>
            <w:shd w:val="clear" w:color="auto" w:fill="auto"/>
            <w:noWrap/>
            <w:vAlign w:val="center"/>
            <w:hideMark/>
          </w:tcPr>
          <w:p w14:paraId="1A99C469"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$150.00 </w:t>
            </w:r>
          </w:p>
        </w:tc>
        <w:tc>
          <w:tcPr>
            <w:tcW w:w="1045" w:type="dxa"/>
            <w:tcBorders>
              <w:top w:val="nil"/>
              <w:left w:val="nil"/>
              <w:bottom w:val="single" w:sz="8" w:space="0" w:color="auto"/>
              <w:right w:val="single" w:sz="8" w:space="0" w:color="auto"/>
            </w:tcBorders>
            <w:shd w:val="clear" w:color="auto" w:fill="auto"/>
            <w:noWrap/>
            <w:vAlign w:val="center"/>
            <w:hideMark/>
          </w:tcPr>
          <w:p w14:paraId="1810B17C"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$0.394 </w:t>
            </w:r>
          </w:p>
        </w:tc>
      </w:tr>
      <w:tr w:rsidR="002964FC" w:rsidRPr="00746905" w14:paraId="7C576D6F"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6334ED7C"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.91 Tankless Hot Water Heater</w:t>
            </w:r>
          </w:p>
        </w:tc>
        <w:tc>
          <w:tcPr>
            <w:tcW w:w="631" w:type="dxa"/>
            <w:tcBorders>
              <w:top w:val="nil"/>
              <w:left w:val="nil"/>
              <w:bottom w:val="single" w:sz="8" w:space="0" w:color="auto"/>
              <w:right w:val="single" w:sz="8" w:space="0" w:color="auto"/>
            </w:tcBorders>
            <w:shd w:val="clear" w:color="auto" w:fill="auto"/>
            <w:noWrap/>
            <w:vAlign w:val="center"/>
            <w:hideMark/>
          </w:tcPr>
          <w:p w14:paraId="00879B39"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6D5A7FC5"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54</w:t>
            </w:r>
          </w:p>
        </w:tc>
        <w:tc>
          <w:tcPr>
            <w:tcW w:w="1018" w:type="dxa"/>
            <w:tcBorders>
              <w:top w:val="nil"/>
              <w:left w:val="nil"/>
              <w:bottom w:val="single" w:sz="8" w:space="0" w:color="auto"/>
              <w:right w:val="single" w:sz="8" w:space="0" w:color="auto"/>
            </w:tcBorders>
            <w:shd w:val="clear" w:color="auto" w:fill="auto"/>
            <w:noWrap/>
            <w:vAlign w:val="center"/>
            <w:hideMark/>
          </w:tcPr>
          <w:p w14:paraId="43E48CE6"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$150.00 </w:t>
            </w:r>
          </w:p>
        </w:tc>
        <w:tc>
          <w:tcPr>
            <w:tcW w:w="1045" w:type="dxa"/>
            <w:tcBorders>
              <w:top w:val="nil"/>
              <w:left w:val="nil"/>
              <w:bottom w:val="single" w:sz="8" w:space="0" w:color="auto"/>
              <w:right w:val="single" w:sz="8" w:space="0" w:color="auto"/>
            </w:tcBorders>
            <w:shd w:val="clear" w:color="auto" w:fill="auto"/>
            <w:noWrap/>
            <w:vAlign w:val="center"/>
            <w:hideMark/>
          </w:tcPr>
          <w:p w14:paraId="31FE1AD0"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$0.394 </w:t>
            </w:r>
          </w:p>
        </w:tc>
      </w:tr>
      <w:tr w:rsidR="002964FC" w:rsidRPr="00746905" w14:paraId="12BD6422"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410E2D4A"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.91 Tankless Hot Water Heater</w:t>
            </w:r>
          </w:p>
        </w:tc>
        <w:tc>
          <w:tcPr>
            <w:tcW w:w="631" w:type="dxa"/>
            <w:tcBorders>
              <w:top w:val="nil"/>
              <w:left w:val="nil"/>
              <w:bottom w:val="single" w:sz="8" w:space="0" w:color="auto"/>
              <w:right w:val="single" w:sz="8" w:space="0" w:color="auto"/>
            </w:tcBorders>
            <w:shd w:val="clear" w:color="auto" w:fill="auto"/>
            <w:noWrap/>
            <w:vAlign w:val="center"/>
            <w:hideMark/>
          </w:tcPr>
          <w:p w14:paraId="57EC545C"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206D3D84"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54</w:t>
            </w:r>
          </w:p>
        </w:tc>
        <w:tc>
          <w:tcPr>
            <w:tcW w:w="1018" w:type="dxa"/>
            <w:tcBorders>
              <w:top w:val="nil"/>
              <w:left w:val="nil"/>
              <w:bottom w:val="single" w:sz="8" w:space="0" w:color="auto"/>
              <w:right w:val="single" w:sz="8" w:space="0" w:color="auto"/>
            </w:tcBorders>
            <w:shd w:val="clear" w:color="auto" w:fill="auto"/>
            <w:noWrap/>
            <w:vAlign w:val="center"/>
            <w:hideMark/>
          </w:tcPr>
          <w:p w14:paraId="19DDC09B"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$150.00 </w:t>
            </w:r>
          </w:p>
        </w:tc>
        <w:tc>
          <w:tcPr>
            <w:tcW w:w="1045" w:type="dxa"/>
            <w:tcBorders>
              <w:top w:val="nil"/>
              <w:left w:val="nil"/>
              <w:bottom w:val="single" w:sz="8" w:space="0" w:color="auto"/>
              <w:right w:val="single" w:sz="8" w:space="0" w:color="auto"/>
            </w:tcBorders>
            <w:shd w:val="clear" w:color="auto" w:fill="auto"/>
            <w:noWrap/>
            <w:vAlign w:val="center"/>
            <w:hideMark/>
          </w:tcPr>
          <w:p w14:paraId="6B32B101"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$0.394 </w:t>
            </w:r>
          </w:p>
        </w:tc>
      </w:tr>
      <w:tr w:rsidR="002964FC" w:rsidRPr="00746905" w14:paraId="4241C47F"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06B72E11"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Energy Saver Kit (Kit 1)</w:t>
            </w:r>
          </w:p>
        </w:tc>
        <w:tc>
          <w:tcPr>
            <w:tcW w:w="631" w:type="dxa"/>
            <w:tcBorders>
              <w:top w:val="nil"/>
              <w:left w:val="nil"/>
              <w:bottom w:val="single" w:sz="8" w:space="0" w:color="auto"/>
              <w:right w:val="single" w:sz="8" w:space="0" w:color="auto"/>
            </w:tcBorders>
            <w:shd w:val="clear" w:color="auto" w:fill="auto"/>
            <w:noWrap/>
            <w:vAlign w:val="center"/>
            <w:hideMark/>
          </w:tcPr>
          <w:p w14:paraId="3C6F011E"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w:t>
            </w:r>
          </w:p>
        </w:tc>
        <w:tc>
          <w:tcPr>
            <w:tcW w:w="883" w:type="dxa"/>
            <w:tcBorders>
              <w:top w:val="nil"/>
              <w:left w:val="nil"/>
              <w:bottom w:val="single" w:sz="8" w:space="0" w:color="auto"/>
              <w:right w:val="single" w:sz="8" w:space="0" w:color="auto"/>
            </w:tcBorders>
            <w:shd w:val="clear" w:color="auto" w:fill="auto"/>
            <w:noWrap/>
            <w:vAlign w:val="center"/>
            <w:hideMark/>
          </w:tcPr>
          <w:p w14:paraId="098AA58E"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17</w:t>
            </w:r>
          </w:p>
        </w:tc>
        <w:tc>
          <w:tcPr>
            <w:tcW w:w="1018" w:type="dxa"/>
            <w:tcBorders>
              <w:top w:val="nil"/>
              <w:left w:val="nil"/>
              <w:bottom w:val="single" w:sz="8" w:space="0" w:color="auto"/>
              <w:right w:val="single" w:sz="8" w:space="0" w:color="auto"/>
            </w:tcBorders>
            <w:shd w:val="clear" w:color="auto" w:fill="auto"/>
            <w:noWrap/>
            <w:vAlign w:val="center"/>
            <w:hideMark/>
          </w:tcPr>
          <w:p w14:paraId="26FE0145"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$10.00 </w:t>
            </w:r>
          </w:p>
        </w:tc>
        <w:tc>
          <w:tcPr>
            <w:tcW w:w="1045" w:type="dxa"/>
            <w:tcBorders>
              <w:top w:val="nil"/>
              <w:left w:val="nil"/>
              <w:bottom w:val="single" w:sz="8" w:space="0" w:color="auto"/>
              <w:right w:val="single" w:sz="8" w:space="0" w:color="auto"/>
            </w:tcBorders>
            <w:shd w:val="clear" w:color="auto" w:fill="auto"/>
            <w:noWrap/>
            <w:vAlign w:val="center"/>
            <w:hideMark/>
          </w:tcPr>
          <w:p w14:paraId="79836EE2"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$0.339 </w:t>
            </w:r>
          </w:p>
        </w:tc>
      </w:tr>
      <w:tr w:rsidR="002964FC" w:rsidRPr="00746905" w14:paraId="11750D09"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701C014B"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Energy Saver Kit (Kit 1)</w:t>
            </w:r>
          </w:p>
        </w:tc>
        <w:tc>
          <w:tcPr>
            <w:tcW w:w="631" w:type="dxa"/>
            <w:tcBorders>
              <w:top w:val="nil"/>
              <w:left w:val="nil"/>
              <w:bottom w:val="single" w:sz="8" w:space="0" w:color="auto"/>
              <w:right w:val="single" w:sz="8" w:space="0" w:color="auto"/>
            </w:tcBorders>
            <w:shd w:val="clear" w:color="auto" w:fill="auto"/>
            <w:noWrap/>
            <w:vAlign w:val="center"/>
            <w:hideMark/>
          </w:tcPr>
          <w:p w14:paraId="7D6A8D2F"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7BB73656"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17</w:t>
            </w:r>
          </w:p>
        </w:tc>
        <w:tc>
          <w:tcPr>
            <w:tcW w:w="1018" w:type="dxa"/>
            <w:tcBorders>
              <w:top w:val="nil"/>
              <w:left w:val="nil"/>
              <w:bottom w:val="single" w:sz="8" w:space="0" w:color="auto"/>
              <w:right w:val="single" w:sz="8" w:space="0" w:color="auto"/>
            </w:tcBorders>
            <w:shd w:val="clear" w:color="auto" w:fill="auto"/>
            <w:noWrap/>
            <w:vAlign w:val="center"/>
            <w:hideMark/>
          </w:tcPr>
          <w:p w14:paraId="3EAC8198"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$10.00 </w:t>
            </w:r>
          </w:p>
        </w:tc>
        <w:tc>
          <w:tcPr>
            <w:tcW w:w="1045" w:type="dxa"/>
            <w:tcBorders>
              <w:top w:val="nil"/>
              <w:left w:val="nil"/>
              <w:bottom w:val="single" w:sz="8" w:space="0" w:color="auto"/>
              <w:right w:val="single" w:sz="8" w:space="0" w:color="auto"/>
            </w:tcBorders>
            <w:shd w:val="clear" w:color="auto" w:fill="auto"/>
            <w:noWrap/>
            <w:vAlign w:val="center"/>
            <w:hideMark/>
          </w:tcPr>
          <w:p w14:paraId="7AF483E6"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$0.339 </w:t>
            </w:r>
          </w:p>
        </w:tc>
      </w:tr>
      <w:tr w:rsidR="002964FC" w:rsidRPr="00746905" w14:paraId="302BD5A4"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5281DD1F"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Energy Saver Kit (Kit 1)</w:t>
            </w:r>
          </w:p>
        </w:tc>
        <w:tc>
          <w:tcPr>
            <w:tcW w:w="631" w:type="dxa"/>
            <w:tcBorders>
              <w:top w:val="nil"/>
              <w:left w:val="nil"/>
              <w:bottom w:val="single" w:sz="8" w:space="0" w:color="auto"/>
              <w:right w:val="single" w:sz="8" w:space="0" w:color="auto"/>
            </w:tcBorders>
            <w:shd w:val="clear" w:color="auto" w:fill="auto"/>
            <w:noWrap/>
            <w:vAlign w:val="center"/>
            <w:hideMark/>
          </w:tcPr>
          <w:p w14:paraId="5B0CD9B5"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1708E0BA"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17</w:t>
            </w:r>
          </w:p>
        </w:tc>
        <w:tc>
          <w:tcPr>
            <w:tcW w:w="1018" w:type="dxa"/>
            <w:tcBorders>
              <w:top w:val="nil"/>
              <w:left w:val="nil"/>
              <w:bottom w:val="single" w:sz="8" w:space="0" w:color="auto"/>
              <w:right w:val="single" w:sz="8" w:space="0" w:color="auto"/>
            </w:tcBorders>
            <w:shd w:val="clear" w:color="auto" w:fill="auto"/>
            <w:noWrap/>
            <w:vAlign w:val="center"/>
            <w:hideMark/>
          </w:tcPr>
          <w:p w14:paraId="4AA20F98"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$10.00 </w:t>
            </w:r>
          </w:p>
        </w:tc>
        <w:tc>
          <w:tcPr>
            <w:tcW w:w="1045" w:type="dxa"/>
            <w:tcBorders>
              <w:top w:val="nil"/>
              <w:left w:val="nil"/>
              <w:bottom w:val="single" w:sz="8" w:space="0" w:color="auto"/>
              <w:right w:val="single" w:sz="8" w:space="0" w:color="auto"/>
            </w:tcBorders>
            <w:shd w:val="clear" w:color="auto" w:fill="auto"/>
            <w:noWrap/>
            <w:vAlign w:val="center"/>
            <w:hideMark/>
          </w:tcPr>
          <w:p w14:paraId="463D13C2"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$0.339 </w:t>
            </w:r>
          </w:p>
        </w:tc>
      </w:tr>
      <w:tr w:rsidR="002964FC" w:rsidRPr="00746905" w14:paraId="3864BFF2"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1CAFB817"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Energy Saver Kit (Kit 2)</w:t>
            </w:r>
          </w:p>
        </w:tc>
        <w:tc>
          <w:tcPr>
            <w:tcW w:w="631" w:type="dxa"/>
            <w:tcBorders>
              <w:top w:val="nil"/>
              <w:left w:val="nil"/>
              <w:bottom w:val="single" w:sz="8" w:space="0" w:color="auto"/>
              <w:right w:val="single" w:sz="8" w:space="0" w:color="auto"/>
            </w:tcBorders>
            <w:shd w:val="clear" w:color="auto" w:fill="auto"/>
            <w:noWrap/>
            <w:vAlign w:val="center"/>
            <w:hideMark/>
          </w:tcPr>
          <w:p w14:paraId="1C361716"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w:t>
            </w:r>
          </w:p>
        </w:tc>
        <w:tc>
          <w:tcPr>
            <w:tcW w:w="883" w:type="dxa"/>
            <w:tcBorders>
              <w:top w:val="nil"/>
              <w:left w:val="nil"/>
              <w:bottom w:val="single" w:sz="8" w:space="0" w:color="auto"/>
              <w:right w:val="single" w:sz="8" w:space="0" w:color="auto"/>
            </w:tcBorders>
            <w:shd w:val="clear" w:color="auto" w:fill="auto"/>
            <w:noWrap/>
            <w:vAlign w:val="center"/>
            <w:hideMark/>
          </w:tcPr>
          <w:p w14:paraId="62205A77"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31</w:t>
            </w:r>
          </w:p>
        </w:tc>
        <w:tc>
          <w:tcPr>
            <w:tcW w:w="1018" w:type="dxa"/>
            <w:tcBorders>
              <w:top w:val="nil"/>
              <w:left w:val="nil"/>
              <w:bottom w:val="single" w:sz="8" w:space="0" w:color="auto"/>
              <w:right w:val="single" w:sz="8" w:space="0" w:color="auto"/>
            </w:tcBorders>
            <w:shd w:val="clear" w:color="auto" w:fill="auto"/>
            <w:noWrap/>
            <w:vAlign w:val="center"/>
            <w:hideMark/>
          </w:tcPr>
          <w:p w14:paraId="0E3B7F45"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$16.00 </w:t>
            </w:r>
          </w:p>
        </w:tc>
        <w:tc>
          <w:tcPr>
            <w:tcW w:w="1045" w:type="dxa"/>
            <w:tcBorders>
              <w:top w:val="nil"/>
              <w:left w:val="nil"/>
              <w:bottom w:val="single" w:sz="8" w:space="0" w:color="auto"/>
              <w:right w:val="single" w:sz="8" w:space="0" w:color="auto"/>
            </w:tcBorders>
            <w:shd w:val="clear" w:color="auto" w:fill="auto"/>
            <w:noWrap/>
            <w:vAlign w:val="center"/>
            <w:hideMark/>
          </w:tcPr>
          <w:p w14:paraId="1B8E2D18"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$0.330 </w:t>
            </w:r>
          </w:p>
        </w:tc>
      </w:tr>
      <w:tr w:rsidR="002964FC" w:rsidRPr="00746905" w14:paraId="31102B29"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0C2472AC"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Energy Saver Kit (Kit 2)</w:t>
            </w:r>
          </w:p>
        </w:tc>
        <w:tc>
          <w:tcPr>
            <w:tcW w:w="631" w:type="dxa"/>
            <w:tcBorders>
              <w:top w:val="nil"/>
              <w:left w:val="nil"/>
              <w:bottom w:val="single" w:sz="8" w:space="0" w:color="auto"/>
              <w:right w:val="single" w:sz="8" w:space="0" w:color="auto"/>
            </w:tcBorders>
            <w:shd w:val="clear" w:color="auto" w:fill="auto"/>
            <w:noWrap/>
            <w:vAlign w:val="center"/>
            <w:hideMark/>
          </w:tcPr>
          <w:p w14:paraId="6D4FD619"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2AD55DF7"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31</w:t>
            </w:r>
          </w:p>
        </w:tc>
        <w:tc>
          <w:tcPr>
            <w:tcW w:w="1018" w:type="dxa"/>
            <w:tcBorders>
              <w:top w:val="nil"/>
              <w:left w:val="nil"/>
              <w:bottom w:val="single" w:sz="8" w:space="0" w:color="auto"/>
              <w:right w:val="single" w:sz="8" w:space="0" w:color="auto"/>
            </w:tcBorders>
            <w:shd w:val="clear" w:color="auto" w:fill="auto"/>
            <w:noWrap/>
            <w:vAlign w:val="center"/>
            <w:hideMark/>
          </w:tcPr>
          <w:p w14:paraId="5682A153"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$16.00 </w:t>
            </w:r>
          </w:p>
        </w:tc>
        <w:tc>
          <w:tcPr>
            <w:tcW w:w="1045" w:type="dxa"/>
            <w:tcBorders>
              <w:top w:val="nil"/>
              <w:left w:val="nil"/>
              <w:bottom w:val="single" w:sz="8" w:space="0" w:color="auto"/>
              <w:right w:val="single" w:sz="8" w:space="0" w:color="auto"/>
            </w:tcBorders>
            <w:shd w:val="clear" w:color="auto" w:fill="auto"/>
            <w:noWrap/>
            <w:vAlign w:val="center"/>
            <w:hideMark/>
          </w:tcPr>
          <w:p w14:paraId="6C73C9C3"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$0.330 </w:t>
            </w:r>
          </w:p>
        </w:tc>
      </w:tr>
      <w:tr w:rsidR="002964FC" w:rsidRPr="00746905" w14:paraId="4882234E"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54549E55"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Energy Saver Kit (Kit 2)</w:t>
            </w:r>
          </w:p>
        </w:tc>
        <w:tc>
          <w:tcPr>
            <w:tcW w:w="631" w:type="dxa"/>
            <w:tcBorders>
              <w:top w:val="nil"/>
              <w:left w:val="nil"/>
              <w:bottom w:val="single" w:sz="8" w:space="0" w:color="auto"/>
              <w:right w:val="single" w:sz="8" w:space="0" w:color="auto"/>
            </w:tcBorders>
            <w:shd w:val="clear" w:color="auto" w:fill="auto"/>
            <w:noWrap/>
            <w:vAlign w:val="center"/>
            <w:hideMark/>
          </w:tcPr>
          <w:p w14:paraId="4D4B05EF"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522F809C"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31</w:t>
            </w:r>
          </w:p>
        </w:tc>
        <w:tc>
          <w:tcPr>
            <w:tcW w:w="1018" w:type="dxa"/>
            <w:tcBorders>
              <w:top w:val="nil"/>
              <w:left w:val="nil"/>
              <w:bottom w:val="single" w:sz="8" w:space="0" w:color="auto"/>
              <w:right w:val="single" w:sz="8" w:space="0" w:color="auto"/>
            </w:tcBorders>
            <w:shd w:val="clear" w:color="auto" w:fill="auto"/>
            <w:noWrap/>
            <w:vAlign w:val="center"/>
            <w:hideMark/>
          </w:tcPr>
          <w:p w14:paraId="0365B1E6"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$16.00 </w:t>
            </w:r>
          </w:p>
        </w:tc>
        <w:tc>
          <w:tcPr>
            <w:tcW w:w="1045" w:type="dxa"/>
            <w:tcBorders>
              <w:top w:val="nil"/>
              <w:left w:val="nil"/>
              <w:bottom w:val="single" w:sz="8" w:space="0" w:color="auto"/>
              <w:right w:val="single" w:sz="8" w:space="0" w:color="auto"/>
            </w:tcBorders>
            <w:shd w:val="clear" w:color="auto" w:fill="auto"/>
            <w:noWrap/>
            <w:vAlign w:val="center"/>
            <w:hideMark/>
          </w:tcPr>
          <w:p w14:paraId="6F667422"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$0.330 </w:t>
            </w:r>
          </w:p>
        </w:tc>
      </w:tr>
      <w:tr w:rsidR="002964FC" w:rsidRPr="00746905" w14:paraId="340B8937" w14:textId="77777777" w:rsidTr="009D4CEF">
        <w:trPr>
          <w:trHeight w:val="315"/>
          <w:tblHeader/>
          <w:jc w:val="center"/>
        </w:trPr>
        <w:tc>
          <w:tcPr>
            <w:tcW w:w="9820" w:type="dxa"/>
            <w:gridSpan w:val="5"/>
            <w:tcBorders>
              <w:top w:val="single" w:sz="8" w:space="0" w:color="auto"/>
              <w:left w:val="single" w:sz="8" w:space="0" w:color="auto"/>
              <w:bottom w:val="single" w:sz="8" w:space="0" w:color="auto"/>
              <w:right w:val="single" w:sz="8" w:space="0" w:color="000000"/>
            </w:tcBorders>
            <w:shd w:val="clear" w:color="000000" w:fill="C2D69B"/>
            <w:vAlign w:val="center"/>
            <w:hideMark/>
          </w:tcPr>
          <w:p w14:paraId="439130D7" w14:textId="77777777" w:rsidR="002964FC" w:rsidRPr="00746905" w:rsidRDefault="002964FC" w:rsidP="0005601F">
            <w:pPr>
              <w:widowControl/>
              <w:spacing w:after="0" w:line="240" w:lineRule="auto"/>
              <w:jc w:val="center"/>
              <w:rPr>
                <w:rFonts w:ascii="Calibri" w:hAnsi="Calibri" w:cs="Times New Roman"/>
                <w:b/>
                <w:bCs/>
                <w:color w:val="000000"/>
                <w:sz w:val="18"/>
                <w:szCs w:val="18"/>
              </w:rPr>
            </w:pPr>
            <w:r w:rsidRPr="00746905">
              <w:rPr>
                <w:rFonts w:ascii="Calibri" w:hAnsi="Calibri" w:cs="Times New Roman"/>
                <w:b/>
                <w:bCs/>
                <w:color w:val="000000"/>
                <w:sz w:val="18"/>
                <w:szCs w:val="18"/>
              </w:rPr>
              <w:t>Existing Homes Measures</w:t>
            </w:r>
          </w:p>
        </w:tc>
      </w:tr>
      <w:tr w:rsidR="002964FC" w:rsidRPr="00746905" w14:paraId="181E27DD"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399BC60B"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Ceiling Insulation</w:t>
            </w:r>
          </w:p>
        </w:tc>
        <w:tc>
          <w:tcPr>
            <w:tcW w:w="631" w:type="dxa"/>
            <w:tcBorders>
              <w:top w:val="nil"/>
              <w:left w:val="nil"/>
              <w:bottom w:val="single" w:sz="8" w:space="0" w:color="auto"/>
              <w:right w:val="single" w:sz="8" w:space="0" w:color="auto"/>
            </w:tcBorders>
            <w:shd w:val="clear" w:color="auto" w:fill="auto"/>
            <w:noWrap/>
            <w:vAlign w:val="center"/>
            <w:hideMark/>
          </w:tcPr>
          <w:p w14:paraId="28095D47"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w:t>
            </w:r>
          </w:p>
        </w:tc>
        <w:tc>
          <w:tcPr>
            <w:tcW w:w="883" w:type="dxa"/>
            <w:tcBorders>
              <w:top w:val="nil"/>
              <w:left w:val="nil"/>
              <w:bottom w:val="single" w:sz="8" w:space="0" w:color="auto"/>
              <w:right w:val="single" w:sz="8" w:space="0" w:color="auto"/>
            </w:tcBorders>
            <w:shd w:val="clear" w:color="auto" w:fill="auto"/>
            <w:noWrap/>
            <w:vAlign w:val="center"/>
            <w:hideMark/>
          </w:tcPr>
          <w:p w14:paraId="0A4C3900"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0.062</w:t>
            </w:r>
          </w:p>
        </w:tc>
        <w:tc>
          <w:tcPr>
            <w:tcW w:w="1018" w:type="dxa"/>
            <w:tcBorders>
              <w:top w:val="nil"/>
              <w:left w:val="nil"/>
              <w:bottom w:val="single" w:sz="8" w:space="0" w:color="auto"/>
              <w:right w:val="single" w:sz="8" w:space="0" w:color="auto"/>
            </w:tcBorders>
            <w:shd w:val="clear" w:color="auto" w:fill="auto"/>
            <w:noWrap/>
            <w:vAlign w:val="center"/>
            <w:hideMark/>
          </w:tcPr>
          <w:p w14:paraId="29335E10"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$0.30 </w:t>
            </w:r>
          </w:p>
        </w:tc>
        <w:tc>
          <w:tcPr>
            <w:tcW w:w="1045" w:type="dxa"/>
            <w:tcBorders>
              <w:top w:val="nil"/>
              <w:left w:val="nil"/>
              <w:bottom w:val="single" w:sz="8" w:space="0" w:color="auto"/>
              <w:right w:val="single" w:sz="8" w:space="0" w:color="auto"/>
            </w:tcBorders>
            <w:shd w:val="clear" w:color="auto" w:fill="auto"/>
            <w:noWrap/>
            <w:vAlign w:val="center"/>
            <w:hideMark/>
          </w:tcPr>
          <w:p w14:paraId="32AC53F8"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$0.346 </w:t>
            </w:r>
          </w:p>
        </w:tc>
      </w:tr>
      <w:tr w:rsidR="002964FC" w:rsidRPr="00746905" w14:paraId="157FA341"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57EC09CC"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Ceiling Insulation</w:t>
            </w:r>
          </w:p>
        </w:tc>
        <w:tc>
          <w:tcPr>
            <w:tcW w:w="631" w:type="dxa"/>
            <w:tcBorders>
              <w:top w:val="nil"/>
              <w:left w:val="nil"/>
              <w:bottom w:val="single" w:sz="8" w:space="0" w:color="auto"/>
              <w:right w:val="single" w:sz="8" w:space="0" w:color="auto"/>
            </w:tcBorders>
            <w:shd w:val="clear" w:color="auto" w:fill="auto"/>
            <w:noWrap/>
            <w:vAlign w:val="center"/>
            <w:hideMark/>
          </w:tcPr>
          <w:p w14:paraId="1540C003"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7012F1F4"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0.057</w:t>
            </w:r>
          </w:p>
        </w:tc>
        <w:tc>
          <w:tcPr>
            <w:tcW w:w="1018" w:type="dxa"/>
            <w:tcBorders>
              <w:top w:val="nil"/>
              <w:left w:val="nil"/>
              <w:bottom w:val="single" w:sz="8" w:space="0" w:color="auto"/>
              <w:right w:val="single" w:sz="8" w:space="0" w:color="auto"/>
            </w:tcBorders>
            <w:shd w:val="clear" w:color="auto" w:fill="auto"/>
            <w:noWrap/>
            <w:vAlign w:val="center"/>
            <w:hideMark/>
          </w:tcPr>
          <w:p w14:paraId="21D906B1"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$0.30 </w:t>
            </w:r>
          </w:p>
        </w:tc>
        <w:tc>
          <w:tcPr>
            <w:tcW w:w="1045" w:type="dxa"/>
            <w:tcBorders>
              <w:top w:val="nil"/>
              <w:left w:val="nil"/>
              <w:bottom w:val="single" w:sz="8" w:space="0" w:color="auto"/>
              <w:right w:val="single" w:sz="8" w:space="0" w:color="auto"/>
            </w:tcBorders>
            <w:shd w:val="clear" w:color="auto" w:fill="auto"/>
            <w:noWrap/>
            <w:vAlign w:val="center"/>
            <w:hideMark/>
          </w:tcPr>
          <w:p w14:paraId="1DE2811B"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$0.367 </w:t>
            </w:r>
          </w:p>
        </w:tc>
      </w:tr>
      <w:tr w:rsidR="002964FC" w:rsidRPr="00746905" w14:paraId="08BB69D1"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5CA6C22A"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Ceiling Insulation</w:t>
            </w:r>
          </w:p>
        </w:tc>
        <w:tc>
          <w:tcPr>
            <w:tcW w:w="631" w:type="dxa"/>
            <w:tcBorders>
              <w:top w:val="nil"/>
              <w:left w:val="nil"/>
              <w:bottom w:val="single" w:sz="8" w:space="0" w:color="auto"/>
              <w:right w:val="single" w:sz="8" w:space="0" w:color="auto"/>
            </w:tcBorders>
            <w:shd w:val="clear" w:color="auto" w:fill="auto"/>
            <w:noWrap/>
            <w:vAlign w:val="center"/>
            <w:hideMark/>
          </w:tcPr>
          <w:p w14:paraId="04739F07"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62A873E2"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0.067</w:t>
            </w:r>
          </w:p>
        </w:tc>
        <w:tc>
          <w:tcPr>
            <w:tcW w:w="1018" w:type="dxa"/>
            <w:tcBorders>
              <w:top w:val="nil"/>
              <w:left w:val="nil"/>
              <w:bottom w:val="single" w:sz="8" w:space="0" w:color="auto"/>
              <w:right w:val="single" w:sz="8" w:space="0" w:color="auto"/>
            </w:tcBorders>
            <w:shd w:val="clear" w:color="auto" w:fill="auto"/>
            <w:noWrap/>
            <w:vAlign w:val="center"/>
            <w:hideMark/>
          </w:tcPr>
          <w:p w14:paraId="7372829C"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$0.30 </w:t>
            </w:r>
          </w:p>
        </w:tc>
        <w:tc>
          <w:tcPr>
            <w:tcW w:w="1045" w:type="dxa"/>
            <w:tcBorders>
              <w:top w:val="nil"/>
              <w:left w:val="nil"/>
              <w:bottom w:val="single" w:sz="8" w:space="0" w:color="auto"/>
              <w:right w:val="single" w:sz="8" w:space="0" w:color="auto"/>
            </w:tcBorders>
            <w:shd w:val="clear" w:color="auto" w:fill="auto"/>
            <w:noWrap/>
            <w:vAlign w:val="center"/>
            <w:hideMark/>
          </w:tcPr>
          <w:p w14:paraId="0B098EE4"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$0.328 </w:t>
            </w:r>
          </w:p>
        </w:tc>
      </w:tr>
      <w:tr w:rsidR="002964FC" w:rsidRPr="00746905" w14:paraId="19CDAE3E"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18D7381E"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Floor Insulation </w:t>
            </w:r>
            <w:r w:rsidRPr="00746905">
              <w:rPr>
                <w:rFonts w:ascii="Calibri" w:hAnsi="Calibri" w:cs="Times New Roman"/>
                <w:b/>
                <w:bCs/>
                <w:color w:val="000000"/>
                <w:sz w:val="18"/>
                <w:szCs w:val="18"/>
              </w:rPr>
              <w:t>OLD</w:t>
            </w:r>
          </w:p>
        </w:tc>
        <w:tc>
          <w:tcPr>
            <w:tcW w:w="631" w:type="dxa"/>
            <w:tcBorders>
              <w:top w:val="nil"/>
              <w:left w:val="nil"/>
              <w:bottom w:val="single" w:sz="8" w:space="0" w:color="auto"/>
              <w:right w:val="single" w:sz="8" w:space="0" w:color="auto"/>
            </w:tcBorders>
            <w:shd w:val="clear" w:color="auto" w:fill="auto"/>
            <w:noWrap/>
            <w:vAlign w:val="center"/>
            <w:hideMark/>
          </w:tcPr>
          <w:p w14:paraId="13908B6D"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w:t>
            </w:r>
          </w:p>
        </w:tc>
        <w:tc>
          <w:tcPr>
            <w:tcW w:w="883" w:type="dxa"/>
            <w:tcBorders>
              <w:top w:val="nil"/>
              <w:left w:val="nil"/>
              <w:bottom w:val="single" w:sz="8" w:space="0" w:color="auto"/>
              <w:right w:val="single" w:sz="8" w:space="0" w:color="auto"/>
            </w:tcBorders>
            <w:shd w:val="clear" w:color="auto" w:fill="auto"/>
            <w:noWrap/>
            <w:vAlign w:val="center"/>
            <w:hideMark/>
          </w:tcPr>
          <w:p w14:paraId="2B4194BD"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0.056</w:t>
            </w:r>
          </w:p>
        </w:tc>
        <w:tc>
          <w:tcPr>
            <w:tcW w:w="1018" w:type="dxa"/>
            <w:tcBorders>
              <w:top w:val="nil"/>
              <w:left w:val="nil"/>
              <w:bottom w:val="single" w:sz="8" w:space="0" w:color="auto"/>
              <w:right w:val="single" w:sz="8" w:space="0" w:color="auto"/>
            </w:tcBorders>
            <w:shd w:val="clear" w:color="auto" w:fill="auto"/>
            <w:noWrap/>
            <w:vAlign w:val="center"/>
            <w:hideMark/>
          </w:tcPr>
          <w:p w14:paraId="0DF3DCB9"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$0.45 </w:t>
            </w:r>
          </w:p>
        </w:tc>
        <w:tc>
          <w:tcPr>
            <w:tcW w:w="1045" w:type="dxa"/>
            <w:tcBorders>
              <w:top w:val="nil"/>
              <w:left w:val="nil"/>
              <w:bottom w:val="single" w:sz="8" w:space="0" w:color="auto"/>
              <w:right w:val="single" w:sz="8" w:space="0" w:color="auto"/>
            </w:tcBorders>
            <w:shd w:val="clear" w:color="auto" w:fill="auto"/>
            <w:noWrap/>
            <w:vAlign w:val="center"/>
            <w:hideMark/>
          </w:tcPr>
          <w:p w14:paraId="5F675250"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$0.504 </w:t>
            </w:r>
          </w:p>
        </w:tc>
      </w:tr>
      <w:tr w:rsidR="002964FC" w:rsidRPr="00746905" w14:paraId="428506BB"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02A23893"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Floor Insulation </w:t>
            </w:r>
            <w:r w:rsidRPr="00746905">
              <w:rPr>
                <w:rFonts w:ascii="Calibri" w:hAnsi="Calibri" w:cs="Times New Roman"/>
                <w:b/>
                <w:bCs/>
                <w:color w:val="000000"/>
                <w:sz w:val="18"/>
                <w:szCs w:val="18"/>
              </w:rPr>
              <w:t>OLD</w:t>
            </w:r>
          </w:p>
        </w:tc>
        <w:tc>
          <w:tcPr>
            <w:tcW w:w="631" w:type="dxa"/>
            <w:tcBorders>
              <w:top w:val="nil"/>
              <w:left w:val="nil"/>
              <w:bottom w:val="single" w:sz="8" w:space="0" w:color="auto"/>
              <w:right w:val="single" w:sz="8" w:space="0" w:color="auto"/>
            </w:tcBorders>
            <w:shd w:val="clear" w:color="auto" w:fill="auto"/>
            <w:noWrap/>
            <w:vAlign w:val="center"/>
            <w:hideMark/>
          </w:tcPr>
          <w:p w14:paraId="24610DC9"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3A5A9C35"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0.054</w:t>
            </w:r>
          </w:p>
        </w:tc>
        <w:tc>
          <w:tcPr>
            <w:tcW w:w="1018" w:type="dxa"/>
            <w:tcBorders>
              <w:top w:val="nil"/>
              <w:left w:val="nil"/>
              <w:bottom w:val="single" w:sz="8" w:space="0" w:color="auto"/>
              <w:right w:val="single" w:sz="8" w:space="0" w:color="auto"/>
            </w:tcBorders>
            <w:shd w:val="clear" w:color="auto" w:fill="auto"/>
            <w:noWrap/>
            <w:vAlign w:val="center"/>
            <w:hideMark/>
          </w:tcPr>
          <w:p w14:paraId="412772F9"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$0.45 </w:t>
            </w:r>
          </w:p>
        </w:tc>
        <w:tc>
          <w:tcPr>
            <w:tcW w:w="1045" w:type="dxa"/>
            <w:tcBorders>
              <w:top w:val="nil"/>
              <w:left w:val="nil"/>
              <w:bottom w:val="single" w:sz="8" w:space="0" w:color="auto"/>
              <w:right w:val="single" w:sz="8" w:space="0" w:color="auto"/>
            </w:tcBorders>
            <w:shd w:val="clear" w:color="auto" w:fill="auto"/>
            <w:noWrap/>
            <w:vAlign w:val="center"/>
            <w:hideMark/>
          </w:tcPr>
          <w:p w14:paraId="21728C81"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$0.519 </w:t>
            </w:r>
          </w:p>
        </w:tc>
      </w:tr>
      <w:tr w:rsidR="002964FC" w:rsidRPr="00746905" w14:paraId="3601F587"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046013EC"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Floor Insulation </w:t>
            </w:r>
            <w:r w:rsidRPr="00746905">
              <w:rPr>
                <w:rFonts w:ascii="Calibri" w:hAnsi="Calibri" w:cs="Times New Roman"/>
                <w:b/>
                <w:bCs/>
                <w:color w:val="000000"/>
                <w:sz w:val="18"/>
                <w:szCs w:val="18"/>
              </w:rPr>
              <w:t>OLD</w:t>
            </w:r>
          </w:p>
        </w:tc>
        <w:tc>
          <w:tcPr>
            <w:tcW w:w="631" w:type="dxa"/>
            <w:tcBorders>
              <w:top w:val="nil"/>
              <w:left w:val="nil"/>
              <w:bottom w:val="single" w:sz="8" w:space="0" w:color="auto"/>
              <w:right w:val="single" w:sz="8" w:space="0" w:color="auto"/>
            </w:tcBorders>
            <w:shd w:val="clear" w:color="auto" w:fill="auto"/>
            <w:noWrap/>
            <w:vAlign w:val="center"/>
            <w:hideMark/>
          </w:tcPr>
          <w:p w14:paraId="74E8EBFE"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26B2765F"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0.059</w:t>
            </w:r>
          </w:p>
        </w:tc>
        <w:tc>
          <w:tcPr>
            <w:tcW w:w="1018" w:type="dxa"/>
            <w:tcBorders>
              <w:top w:val="nil"/>
              <w:left w:val="nil"/>
              <w:bottom w:val="single" w:sz="8" w:space="0" w:color="auto"/>
              <w:right w:val="single" w:sz="8" w:space="0" w:color="auto"/>
            </w:tcBorders>
            <w:shd w:val="clear" w:color="auto" w:fill="auto"/>
            <w:noWrap/>
            <w:vAlign w:val="center"/>
            <w:hideMark/>
          </w:tcPr>
          <w:p w14:paraId="2773E12C"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$0.45 </w:t>
            </w:r>
          </w:p>
        </w:tc>
        <w:tc>
          <w:tcPr>
            <w:tcW w:w="1045" w:type="dxa"/>
            <w:tcBorders>
              <w:top w:val="nil"/>
              <w:left w:val="nil"/>
              <w:bottom w:val="single" w:sz="8" w:space="0" w:color="auto"/>
              <w:right w:val="single" w:sz="8" w:space="0" w:color="auto"/>
            </w:tcBorders>
            <w:shd w:val="clear" w:color="auto" w:fill="auto"/>
            <w:noWrap/>
            <w:vAlign w:val="center"/>
            <w:hideMark/>
          </w:tcPr>
          <w:p w14:paraId="2392137A"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$0.484 </w:t>
            </w:r>
          </w:p>
        </w:tc>
      </w:tr>
      <w:tr w:rsidR="002964FC" w:rsidRPr="00746905" w14:paraId="108794C9"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04351D74"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Floor Insulation </w:t>
            </w:r>
            <w:r w:rsidRPr="00746905">
              <w:rPr>
                <w:rFonts w:ascii="Calibri" w:hAnsi="Calibri" w:cs="Times New Roman"/>
                <w:i/>
                <w:iCs/>
                <w:color w:val="000000"/>
                <w:sz w:val="18"/>
                <w:szCs w:val="18"/>
              </w:rPr>
              <w:t>(Incentive decreased effective 09/02/2014</w:t>
            </w:r>
            <w:r w:rsidRPr="00746905">
              <w:rPr>
                <w:rFonts w:ascii="Calibri" w:hAnsi="Calibri" w:cs="Times New Roman"/>
                <w:color w:val="000000"/>
                <w:sz w:val="18"/>
                <w:szCs w:val="18"/>
              </w:rPr>
              <w:t>)</w:t>
            </w:r>
          </w:p>
        </w:tc>
        <w:tc>
          <w:tcPr>
            <w:tcW w:w="631" w:type="dxa"/>
            <w:tcBorders>
              <w:top w:val="nil"/>
              <w:left w:val="nil"/>
              <w:bottom w:val="single" w:sz="8" w:space="0" w:color="auto"/>
              <w:right w:val="single" w:sz="8" w:space="0" w:color="auto"/>
            </w:tcBorders>
            <w:shd w:val="clear" w:color="auto" w:fill="auto"/>
            <w:noWrap/>
            <w:vAlign w:val="center"/>
            <w:hideMark/>
          </w:tcPr>
          <w:p w14:paraId="04B7A3B7"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w:t>
            </w:r>
          </w:p>
        </w:tc>
        <w:tc>
          <w:tcPr>
            <w:tcW w:w="883" w:type="dxa"/>
            <w:tcBorders>
              <w:top w:val="nil"/>
              <w:left w:val="nil"/>
              <w:bottom w:val="single" w:sz="8" w:space="0" w:color="auto"/>
              <w:right w:val="single" w:sz="8" w:space="0" w:color="auto"/>
            </w:tcBorders>
            <w:shd w:val="clear" w:color="auto" w:fill="auto"/>
            <w:noWrap/>
            <w:vAlign w:val="center"/>
            <w:hideMark/>
          </w:tcPr>
          <w:p w14:paraId="14105C47"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0.056</w:t>
            </w:r>
          </w:p>
        </w:tc>
        <w:tc>
          <w:tcPr>
            <w:tcW w:w="1018" w:type="dxa"/>
            <w:tcBorders>
              <w:top w:val="nil"/>
              <w:left w:val="nil"/>
              <w:bottom w:val="single" w:sz="8" w:space="0" w:color="auto"/>
              <w:right w:val="single" w:sz="8" w:space="0" w:color="auto"/>
            </w:tcBorders>
            <w:shd w:val="clear" w:color="auto" w:fill="auto"/>
            <w:noWrap/>
            <w:vAlign w:val="center"/>
            <w:hideMark/>
          </w:tcPr>
          <w:p w14:paraId="52B0DD7E"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$0.30 </w:t>
            </w:r>
          </w:p>
        </w:tc>
        <w:tc>
          <w:tcPr>
            <w:tcW w:w="1045" w:type="dxa"/>
            <w:tcBorders>
              <w:top w:val="nil"/>
              <w:left w:val="nil"/>
              <w:bottom w:val="single" w:sz="8" w:space="0" w:color="auto"/>
              <w:right w:val="single" w:sz="8" w:space="0" w:color="auto"/>
            </w:tcBorders>
            <w:shd w:val="clear" w:color="auto" w:fill="auto"/>
            <w:noWrap/>
            <w:vAlign w:val="center"/>
            <w:hideMark/>
          </w:tcPr>
          <w:p w14:paraId="662E1279"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$0.372 </w:t>
            </w:r>
          </w:p>
        </w:tc>
      </w:tr>
      <w:tr w:rsidR="002964FC" w:rsidRPr="00746905" w14:paraId="20F9D7EF"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3C639AEB"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Floor Insulation </w:t>
            </w:r>
            <w:r w:rsidRPr="00746905">
              <w:rPr>
                <w:rFonts w:ascii="Calibri" w:hAnsi="Calibri" w:cs="Times New Roman"/>
                <w:i/>
                <w:iCs/>
                <w:color w:val="000000"/>
                <w:sz w:val="18"/>
                <w:szCs w:val="18"/>
              </w:rPr>
              <w:t>(Incentive decreased effective 09/02/2014</w:t>
            </w:r>
            <w:r w:rsidRPr="00746905">
              <w:rPr>
                <w:rFonts w:ascii="Calibri" w:hAnsi="Calibri" w:cs="Times New Roman"/>
                <w:color w:val="000000"/>
                <w:sz w:val="18"/>
                <w:szCs w:val="18"/>
              </w:rPr>
              <w:t>)</w:t>
            </w:r>
          </w:p>
        </w:tc>
        <w:tc>
          <w:tcPr>
            <w:tcW w:w="631" w:type="dxa"/>
            <w:tcBorders>
              <w:top w:val="nil"/>
              <w:left w:val="nil"/>
              <w:bottom w:val="single" w:sz="8" w:space="0" w:color="auto"/>
              <w:right w:val="single" w:sz="8" w:space="0" w:color="auto"/>
            </w:tcBorders>
            <w:shd w:val="clear" w:color="auto" w:fill="auto"/>
            <w:noWrap/>
            <w:vAlign w:val="center"/>
            <w:hideMark/>
          </w:tcPr>
          <w:p w14:paraId="543AF02D"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741CE123"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0.054</w:t>
            </w:r>
          </w:p>
        </w:tc>
        <w:tc>
          <w:tcPr>
            <w:tcW w:w="1018" w:type="dxa"/>
            <w:tcBorders>
              <w:top w:val="nil"/>
              <w:left w:val="nil"/>
              <w:bottom w:val="single" w:sz="8" w:space="0" w:color="auto"/>
              <w:right w:val="single" w:sz="8" w:space="0" w:color="auto"/>
            </w:tcBorders>
            <w:shd w:val="clear" w:color="auto" w:fill="auto"/>
            <w:noWrap/>
            <w:vAlign w:val="center"/>
            <w:hideMark/>
          </w:tcPr>
          <w:p w14:paraId="12F5E00C"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$0.30 </w:t>
            </w:r>
          </w:p>
        </w:tc>
        <w:tc>
          <w:tcPr>
            <w:tcW w:w="1045" w:type="dxa"/>
            <w:tcBorders>
              <w:top w:val="nil"/>
              <w:left w:val="nil"/>
              <w:bottom w:val="single" w:sz="8" w:space="0" w:color="auto"/>
              <w:right w:val="single" w:sz="8" w:space="0" w:color="auto"/>
            </w:tcBorders>
            <w:shd w:val="clear" w:color="auto" w:fill="auto"/>
            <w:noWrap/>
            <w:vAlign w:val="center"/>
            <w:hideMark/>
          </w:tcPr>
          <w:p w14:paraId="7DA0E839"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$0.381 </w:t>
            </w:r>
          </w:p>
        </w:tc>
      </w:tr>
      <w:tr w:rsidR="002964FC" w:rsidRPr="00746905" w14:paraId="4357A53D"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2BDD9DA7"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Floor Insulation </w:t>
            </w:r>
            <w:r w:rsidRPr="00746905">
              <w:rPr>
                <w:rFonts w:ascii="Calibri" w:hAnsi="Calibri" w:cs="Times New Roman"/>
                <w:i/>
                <w:iCs/>
                <w:color w:val="000000"/>
                <w:sz w:val="18"/>
                <w:szCs w:val="18"/>
              </w:rPr>
              <w:t>(Incentive decreased effective 09/02/2014)</w:t>
            </w:r>
          </w:p>
        </w:tc>
        <w:tc>
          <w:tcPr>
            <w:tcW w:w="631" w:type="dxa"/>
            <w:tcBorders>
              <w:top w:val="nil"/>
              <w:left w:val="nil"/>
              <w:bottom w:val="single" w:sz="8" w:space="0" w:color="auto"/>
              <w:right w:val="single" w:sz="8" w:space="0" w:color="auto"/>
            </w:tcBorders>
            <w:shd w:val="clear" w:color="auto" w:fill="auto"/>
            <w:noWrap/>
            <w:vAlign w:val="center"/>
            <w:hideMark/>
          </w:tcPr>
          <w:p w14:paraId="6FF5E17D"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46D85FBC"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0.059</w:t>
            </w:r>
          </w:p>
        </w:tc>
        <w:tc>
          <w:tcPr>
            <w:tcW w:w="1018" w:type="dxa"/>
            <w:tcBorders>
              <w:top w:val="nil"/>
              <w:left w:val="nil"/>
              <w:bottom w:val="single" w:sz="8" w:space="0" w:color="auto"/>
              <w:right w:val="single" w:sz="8" w:space="0" w:color="auto"/>
            </w:tcBorders>
            <w:shd w:val="clear" w:color="auto" w:fill="auto"/>
            <w:noWrap/>
            <w:vAlign w:val="center"/>
            <w:hideMark/>
          </w:tcPr>
          <w:p w14:paraId="75DD9BB7"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$0.30 </w:t>
            </w:r>
          </w:p>
        </w:tc>
        <w:tc>
          <w:tcPr>
            <w:tcW w:w="1045" w:type="dxa"/>
            <w:tcBorders>
              <w:top w:val="nil"/>
              <w:left w:val="nil"/>
              <w:bottom w:val="single" w:sz="8" w:space="0" w:color="auto"/>
              <w:right w:val="single" w:sz="8" w:space="0" w:color="auto"/>
            </w:tcBorders>
            <w:shd w:val="clear" w:color="auto" w:fill="auto"/>
            <w:noWrap/>
            <w:vAlign w:val="center"/>
            <w:hideMark/>
          </w:tcPr>
          <w:p w14:paraId="51ABB550"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$0.358 </w:t>
            </w:r>
          </w:p>
        </w:tc>
      </w:tr>
      <w:tr w:rsidR="002964FC" w:rsidRPr="00746905" w14:paraId="7E3D294B"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146AF393"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Wall Insulation </w:t>
            </w:r>
            <w:r w:rsidRPr="00746905">
              <w:rPr>
                <w:rFonts w:ascii="Calibri" w:hAnsi="Calibri" w:cs="Times New Roman"/>
                <w:b/>
                <w:bCs/>
                <w:color w:val="000000"/>
                <w:sz w:val="18"/>
                <w:szCs w:val="18"/>
              </w:rPr>
              <w:t>OLD</w:t>
            </w:r>
          </w:p>
        </w:tc>
        <w:tc>
          <w:tcPr>
            <w:tcW w:w="631" w:type="dxa"/>
            <w:tcBorders>
              <w:top w:val="nil"/>
              <w:left w:val="nil"/>
              <w:bottom w:val="single" w:sz="8" w:space="0" w:color="auto"/>
              <w:right w:val="single" w:sz="8" w:space="0" w:color="auto"/>
            </w:tcBorders>
            <w:shd w:val="clear" w:color="auto" w:fill="auto"/>
            <w:noWrap/>
            <w:vAlign w:val="center"/>
            <w:hideMark/>
          </w:tcPr>
          <w:p w14:paraId="660EFCC8"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w:t>
            </w:r>
          </w:p>
        </w:tc>
        <w:tc>
          <w:tcPr>
            <w:tcW w:w="883" w:type="dxa"/>
            <w:tcBorders>
              <w:top w:val="nil"/>
              <w:left w:val="nil"/>
              <w:bottom w:val="single" w:sz="8" w:space="0" w:color="auto"/>
              <w:right w:val="single" w:sz="8" w:space="0" w:color="auto"/>
            </w:tcBorders>
            <w:shd w:val="clear" w:color="auto" w:fill="auto"/>
            <w:noWrap/>
            <w:vAlign w:val="center"/>
            <w:hideMark/>
          </w:tcPr>
          <w:p w14:paraId="68046F34"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0.071</w:t>
            </w:r>
          </w:p>
        </w:tc>
        <w:tc>
          <w:tcPr>
            <w:tcW w:w="1018" w:type="dxa"/>
            <w:tcBorders>
              <w:top w:val="nil"/>
              <w:left w:val="nil"/>
              <w:bottom w:val="single" w:sz="8" w:space="0" w:color="auto"/>
              <w:right w:val="single" w:sz="8" w:space="0" w:color="auto"/>
            </w:tcBorders>
            <w:shd w:val="clear" w:color="auto" w:fill="auto"/>
            <w:noWrap/>
            <w:vAlign w:val="center"/>
            <w:hideMark/>
          </w:tcPr>
          <w:p w14:paraId="0D2B02F9"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$0.40 </w:t>
            </w:r>
          </w:p>
        </w:tc>
        <w:tc>
          <w:tcPr>
            <w:tcW w:w="1045" w:type="dxa"/>
            <w:tcBorders>
              <w:top w:val="nil"/>
              <w:left w:val="nil"/>
              <w:bottom w:val="single" w:sz="8" w:space="0" w:color="auto"/>
              <w:right w:val="single" w:sz="8" w:space="0" w:color="auto"/>
            </w:tcBorders>
            <w:shd w:val="clear" w:color="auto" w:fill="auto"/>
            <w:noWrap/>
            <w:vAlign w:val="center"/>
            <w:hideMark/>
          </w:tcPr>
          <w:p w14:paraId="461DBF35"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$0.385 </w:t>
            </w:r>
          </w:p>
        </w:tc>
      </w:tr>
      <w:tr w:rsidR="002964FC" w:rsidRPr="00746905" w14:paraId="0287FEB5"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0B6628AC"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Wall Insulation </w:t>
            </w:r>
            <w:r w:rsidRPr="00746905">
              <w:rPr>
                <w:rFonts w:ascii="Calibri" w:hAnsi="Calibri" w:cs="Times New Roman"/>
                <w:b/>
                <w:bCs/>
                <w:color w:val="000000"/>
                <w:sz w:val="18"/>
                <w:szCs w:val="18"/>
              </w:rPr>
              <w:t>OLD</w:t>
            </w:r>
          </w:p>
        </w:tc>
        <w:tc>
          <w:tcPr>
            <w:tcW w:w="631" w:type="dxa"/>
            <w:tcBorders>
              <w:top w:val="nil"/>
              <w:left w:val="nil"/>
              <w:bottom w:val="single" w:sz="8" w:space="0" w:color="auto"/>
              <w:right w:val="single" w:sz="8" w:space="0" w:color="auto"/>
            </w:tcBorders>
            <w:shd w:val="clear" w:color="auto" w:fill="auto"/>
            <w:noWrap/>
            <w:vAlign w:val="center"/>
            <w:hideMark/>
          </w:tcPr>
          <w:p w14:paraId="6932FCB7"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6415D517"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0.065</w:t>
            </w:r>
          </w:p>
        </w:tc>
        <w:tc>
          <w:tcPr>
            <w:tcW w:w="1018" w:type="dxa"/>
            <w:tcBorders>
              <w:top w:val="nil"/>
              <w:left w:val="nil"/>
              <w:bottom w:val="single" w:sz="8" w:space="0" w:color="auto"/>
              <w:right w:val="single" w:sz="8" w:space="0" w:color="auto"/>
            </w:tcBorders>
            <w:shd w:val="clear" w:color="auto" w:fill="auto"/>
            <w:noWrap/>
            <w:vAlign w:val="center"/>
            <w:hideMark/>
          </w:tcPr>
          <w:p w14:paraId="349CC0AD"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$0.40 </w:t>
            </w:r>
          </w:p>
        </w:tc>
        <w:tc>
          <w:tcPr>
            <w:tcW w:w="1045" w:type="dxa"/>
            <w:tcBorders>
              <w:top w:val="nil"/>
              <w:left w:val="nil"/>
              <w:bottom w:val="single" w:sz="8" w:space="0" w:color="auto"/>
              <w:right w:val="single" w:sz="8" w:space="0" w:color="auto"/>
            </w:tcBorders>
            <w:shd w:val="clear" w:color="auto" w:fill="auto"/>
            <w:noWrap/>
            <w:vAlign w:val="center"/>
            <w:hideMark/>
          </w:tcPr>
          <w:p w14:paraId="7C988735" w14:textId="77777777" w:rsidR="002964FC" w:rsidRPr="00746905" w:rsidRDefault="002964FC" w:rsidP="0005601F">
            <w:pPr>
              <w:widowControl/>
              <w:spacing w:after="0" w:line="240" w:lineRule="auto"/>
              <w:rPr>
                <w:color w:val="000000"/>
                <w:sz w:val="20"/>
                <w:szCs w:val="20"/>
              </w:rPr>
            </w:pPr>
            <w:r w:rsidRPr="00746905">
              <w:rPr>
                <w:color w:val="000000"/>
                <w:sz w:val="20"/>
                <w:szCs w:val="20"/>
              </w:rPr>
              <w:t> </w:t>
            </w:r>
          </w:p>
        </w:tc>
      </w:tr>
      <w:tr w:rsidR="002964FC" w:rsidRPr="00746905" w14:paraId="765BCC63"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3643225F"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Wall Insulation </w:t>
            </w:r>
            <w:r w:rsidRPr="00746905">
              <w:rPr>
                <w:rFonts w:ascii="Calibri" w:hAnsi="Calibri" w:cs="Times New Roman"/>
                <w:b/>
                <w:bCs/>
                <w:color w:val="000000"/>
                <w:sz w:val="18"/>
                <w:szCs w:val="18"/>
              </w:rPr>
              <w:t>OLD</w:t>
            </w:r>
          </w:p>
        </w:tc>
        <w:tc>
          <w:tcPr>
            <w:tcW w:w="631" w:type="dxa"/>
            <w:tcBorders>
              <w:top w:val="nil"/>
              <w:left w:val="nil"/>
              <w:bottom w:val="single" w:sz="8" w:space="0" w:color="auto"/>
              <w:right w:val="single" w:sz="8" w:space="0" w:color="auto"/>
            </w:tcBorders>
            <w:shd w:val="clear" w:color="auto" w:fill="auto"/>
            <w:noWrap/>
            <w:vAlign w:val="center"/>
            <w:hideMark/>
          </w:tcPr>
          <w:p w14:paraId="488A6E54"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01B778DE"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0.076</w:t>
            </w:r>
          </w:p>
        </w:tc>
        <w:tc>
          <w:tcPr>
            <w:tcW w:w="1018" w:type="dxa"/>
            <w:tcBorders>
              <w:top w:val="nil"/>
              <w:left w:val="nil"/>
              <w:bottom w:val="single" w:sz="8" w:space="0" w:color="auto"/>
              <w:right w:val="single" w:sz="8" w:space="0" w:color="auto"/>
            </w:tcBorders>
            <w:shd w:val="clear" w:color="auto" w:fill="auto"/>
            <w:noWrap/>
            <w:vAlign w:val="center"/>
            <w:hideMark/>
          </w:tcPr>
          <w:p w14:paraId="76A482C9"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$0.40 </w:t>
            </w:r>
          </w:p>
        </w:tc>
        <w:tc>
          <w:tcPr>
            <w:tcW w:w="1045" w:type="dxa"/>
            <w:tcBorders>
              <w:top w:val="nil"/>
              <w:left w:val="nil"/>
              <w:bottom w:val="single" w:sz="8" w:space="0" w:color="auto"/>
              <w:right w:val="single" w:sz="8" w:space="0" w:color="auto"/>
            </w:tcBorders>
            <w:shd w:val="clear" w:color="auto" w:fill="auto"/>
            <w:noWrap/>
            <w:vAlign w:val="center"/>
            <w:hideMark/>
          </w:tcPr>
          <w:p w14:paraId="203A4452"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$0.367 </w:t>
            </w:r>
          </w:p>
        </w:tc>
      </w:tr>
      <w:tr w:rsidR="002964FC" w:rsidRPr="00746905" w14:paraId="0E7A4FCE"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3ABCE08F"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Wall Insulation </w:t>
            </w:r>
            <w:r w:rsidRPr="00746905">
              <w:rPr>
                <w:rFonts w:ascii="Calibri" w:hAnsi="Calibri" w:cs="Times New Roman"/>
                <w:i/>
                <w:iCs/>
                <w:color w:val="000000"/>
                <w:sz w:val="18"/>
                <w:szCs w:val="18"/>
              </w:rPr>
              <w:t>(Incentive decreased effective 09/02/2014)</w:t>
            </w:r>
          </w:p>
        </w:tc>
        <w:tc>
          <w:tcPr>
            <w:tcW w:w="631" w:type="dxa"/>
            <w:tcBorders>
              <w:top w:val="nil"/>
              <w:left w:val="nil"/>
              <w:bottom w:val="single" w:sz="8" w:space="0" w:color="auto"/>
              <w:right w:val="single" w:sz="8" w:space="0" w:color="auto"/>
            </w:tcBorders>
            <w:shd w:val="clear" w:color="auto" w:fill="auto"/>
            <w:noWrap/>
            <w:vAlign w:val="center"/>
            <w:hideMark/>
          </w:tcPr>
          <w:p w14:paraId="7AFFABAE"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w:t>
            </w:r>
          </w:p>
        </w:tc>
        <w:tc>
          <w:tcPr>
            <w:tcW w:w="883" w:type="dxa"/>
            <w:tcBorders>
              <w:top w:val="nil"/>
              <w:left w:val="nil"/>
              <w:bottom w:val="single" w:sz="8" w:space="0" w:color="auto"/>
              <w:right w:val="single" w:sz="8" w:space="0" w:color="auto"/>
            </w:tcBorders>
            <w:shd w:val="clear" w:color="auto" w:fill="auto"/>
            <w:noWrap/>
            <w:vAlign w:val="center"/>
            <w:hideMark/>
          </w:tcPr>
          <w:p w14:paraId="3D6A3B55"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0.071</w:t>
            </w:r>
          </w:p>
        </w:tc>
        <w:tc>
          <w:tcPr>
            <w:tcW w:w="1018" w:type="dxa"/>
            <w:tcBorders>
              <w:top w:val="nil"/>
              <w:left w:val="nil"/>
              <w:bottom w:val="single" w:sz="8" w:space="0" w:color="auto"/>
              <w:right w:val="single" w:sz="8" w:space="0" w:color="auto"/>
            </w:tcBorders>
            <w:shd w:val="clear" w:color="auto" w:fill="auto"/>
            <w:noWrap/>
            <w:vAlign w:val="center"/>
            <w:hideMark/>
          </w:tcPr>
          <w:p w14:paraId="2F72EECB"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$0.35 </w:t>
            </w:r>
          </w:p>
        </w:tc>
        <w:tc>
          <w:tcPr>
            <w:tcW w:w="1045" w:type="dxa"/>
            <w:tcBorders>
              <w:top w:val="nil"/>
              <w:left w:val="nil"/>
              <w:bottom w:val="single" w:sz="8" w:space="0" w:color="auto"/>
              <w:right w:val="single" w:sz="8" w:space="0" w:color="auto"/>
            </w:tcBorders>
            <w:shd w:val="clear" w:color="auto" w:fill="auto"/>
            <w:noWrap/>
            <w:vAlign w:val="center"/>
            <w:hideMark/>
          </w:tcPr>
          <w:p w14:paraId="673F9D16"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$0.350 </w:t>
            </w:r>
          </w:p>
        </w:tc>
      </w:tr>
      <w:tr w:rsidR="002964FC" w:rsidRPr="00746905" w14:paraId="7821EF01"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05543A27"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Wall Insulation</w:t>
            </w:r>
            <w:r w:rsidRPr="00746905">
              <w:rPr>
                <w:rFonts w:ascii="Calibri" w:hAnsi="Calibri" w:cs="Times New Roman"/>
                <w:i/>
                <w:iCs/>
                <w:color w:val="000000"/>
                <w:sz w:val="18"/>
                <w:szCs w:val="18"/>
              </w:rPr>
              <w:t xml:space="preserve"> (Incentive decreased effective 09/02/2014)</w:t>
            </w:r>
          </w:p>
        </w:tc>
        <w:tc>
          <w:tcPr>
            <w:tcW w:w="631" w:type="dxa"/>
            <w:tcBorders>
              <w:top w:val="nil"/>
              <w:left w:val="nil"/>
              <w:bottom w:val="single" w:sz="8" w:space="0" w:color="auto"/>
              <w:right w:val="single" w:sz="8" w:space="0" w:color="auto"/>
            </w:tcBorders>
            <w:shd w:val="clear" w:color="auto" w:fill="auto"/>
            <w:noWrap/>
            <w:vAlign w:val="center"/>
            <w:hideMark/>
          </w:tcPr>
          <w:p w14:paraId="0B479302"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53DF66FA"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0.065</w:t>
            </w:r>
          </w:p>
        </w:tc>
        <w:tc>
          <w:tcPr>
            <w:tcW w:w="1018" w:type="dxa"/>
            <w:tcBorders>
              <w:top w:val="nil"/>
              <w:left w:val="nil"/>
              <w:bottom w:val="single" w:sz="8" w:space="0" w:color="auto"/>
              <w:right w:val="single" w:sz="8" w:space="0" w:color="auto"/>
            </w:tcBorders>
            <w:shd w:val="clear" w:color="auto" w:fill="auto"/>
            <w:noWrap/>
            <w:vAlign w:val="center"/>
            <w:hideMark/>
          </w:tcPr>
          <w:p w14:paraId="3C7E67F3"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$0.35 </w:t>
            </w:r>
          </w:p>
        </w:tc>
        <w:tc>
          <w:tcPr>
            <w:tcW w:w="1045" w:type="dxa"/>
            <w:tcBorders>
              <w:top w:val="nil"/>
              <w:left w:val="nil"/>
              <w:bottom w:val="single" w:sz="8" w:space="0" w:color="auto"/>
              <w:right w:val="single" w:sz="8" w:space="0" w:color="auto"/>
            </w:tcBorders>
            <w:shd w:val="clear" w:color="auto" w:fill="auto"/>
            <w:noWrap/>
            <w:vAlign w:val="center"/>
            <w:hideMark/>
          </w:tcPr>
          <w:p w14:paraId="5866BB07"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$0.373 </w:t>
            </w:r>
          </w:p>
        </w:tc>
      </w:tr>
      <w:tr w:rsidR="002964FC" w:rsidRPr="00746905" w14:paraId="46261383"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48DAF60B"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Wall Insulation  </w:t>
            </w:r>
            <w:r w:rsidRPr="00746905">
              <w:rPr>
                <w:rFonts w:ascii="Calibri" w:hAnsi="Calibri" w:cs="Times New Roman"/>
                <w:i/>
                <w:iCs/>
                <w:color w:val="000000"/>
                <w:sz w:val="18"/>
                <w:szCs w:val="18"/>
              </w:rPr>
              <w:t>(Incentive decreased effective 09/02/2014)</w:t>
            </w:r>
          </w:p>
        </w:tc>
        <w:tc>
          <w:tcPr>
            <w:tcW w:w="631" w:type="dxa"/>
            <w:tcBorders>
              <w:top w:val="nil"/>
              <w:left w:val="nil"/>
              <w:bottom w:val="single" w:sz="8" w:space="0" w:color="auto"/>
              <w:right w:val="single" w:sz="8" w:space="0" w:color="auto"/>
            </w:tcBorders>
            <w:shd w:val="clear" w:color="auto" w:fill="auto"/>
            <w:noWrap/>
            <w:vAlign w:val="center"/>
            <w:hideMark/>
          </w:tcPr>
          <w:p w14:paraId="131DE76E"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7D441BDB"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0.076</w:t>
            </w:r>
          </w:p>
        </w:tc>
        <w:tc>
          <w:tcPr>
            <w:tcW w:w="1018" w:type="dxa"/>
            <w:tcBorders>
              <w:top w:val="nil"/>
              <w:left w:val="nil"/>
              <w:bottom w:val="single" w:sz="8" w:space="0" w:color="auto"/>
              <w:right w:val="single" w:sz="8" w:space="0" w:color="auto"/>
            </w:tcBorders>
            <w:shd w:val="clear" w:color="auto" w:fill="auto"/>
            <w:noWrap/>
            <w:vAlign w:val="center"/>
            <w:hideMark/>
          </w:tcPr>
          <w:p w14:paraId="38EDA9E7"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$0.35 </w:t>
            </w:r>
          </w:p>
        </w:tc>
        <w:tc>
          <w:tcPr>
            <w:tcW w:w="1045" w:type="dxa"/>
            <w:tcBorders>
              <w:top w:val="nil"/>
              <w:left w:val="nil"/>
              <w:bottom w:val="single" w:sz="8" w:space="0" w:color="auto"/>
              <w:right w:val="single" w:sz="8" w:space="0" w:color="auto"/>
            </w:tcBorders>
            <w:shd w:val="clear" w:color="auto" w:fill="auto"/>
            <w:noWrap/>
            <w:vAlign w:val="center"/>
            <w:hideMark/>
          </w:tcPr>
          <w:p w14:paraId="109BDAD0"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$0.334 </w:t>
            </w:r>
          </w:p>
        </w:tc>
      </w:tr>
      <w:tr w:rsidR="002964FC" w:rsidRPr="00746905" w14:paraId="23419752" w14:textId="77777777" w:rsidTr="009D4CEF">
        <w:trPr>
          <w:trHeight w:val="300"/>
          <w:tblHeader/>
          <w:jc w:val="center"/>
        </w:trPr>
        <w:tc>
          <w:tcPr>
            <w:tcW w:w="6243" w:type="dxa"/>
            <w:tcBorders>
              <w:top w:val="single" w:sz="8" w:space="0" w:color="auto"/>
              <w:left w:val="single" w:sz="8" w:space="0" w:color="auto"/>
              <w:bottom w:val="single" w:sz="8" w:space="0" w:color="auto"/>
              <w:right w:val="single" w:sz="8" w:space="0" w:color="000000"/>
            </w:tcBorders>
            <w:shd w:val="clear" w:color="000000" w:fill="C2D69B"/>
            <w:vAlign w:val="center"/>
          </w:tcPr>
          <w:p w14:paraId="3DC75A0A" w14:textId="77777777" w:rsidR="002964FC" w:rsidRPr="00746905" w:rsidRDefault="002964FC" w:rsidP="0005601F">
            <w:pPr>
              <w:widowControl/>
              <w:spacing w:after="0" w:line="240" w:lineRule="auto"/>
              <w:jc w:val="center"/>
              <w:rPr>
                <w:rFonts w:ascii="Calibri" w:hAnsi="Calibri" w:cs="Times New Roman"/>
                <w:b/>
                <w:bCs/>
                <w:color w:val="000000"/>
                <w:sz w:val="18"/>
                <w:szCs w:val="18"/>
              </w:rPr>
            </w:pPr>
            <w:r w:rsidRPr="00746905">
              <w:rPr>
                <w:rFonts w:ascii="Calibri" w:hAnsi="Calibri" w:cs="Times New Roman"/>
                <w:b/>
                <w:bCs/>
                <w:color w:val="000000"/>
                <w:sz w:val="18"/>
                <w:szCs w:val="18"/>
              </w:rPr>
              <w:t>MEASURE</w:t>
            </w:r>
          </w:p>
        </w:tc>
        <w:tc>
          <w:tcPr>
            <w:tcW w:w="631" w:type="dxa"/>
            <w:tcBorders>
              <w:top w:val="single" w:sz="8" w:space="0" w:color="auto"/>
              <w:left w:val="single" w:sz="8" w:space="0" w:color="auto"/>
              <w:bottom w:val="single" w:sz="8" w:space="0" w:color="auto"/>
              <w:right w:val="single" w:sz="8" w:space="0" w:color="000000"/>
            </w:tcBorders>
            <w:shd w:val="clear" w:color="000000" w:fill="C2D69B"/>
            <w:vAlign w:val="center"/>
          </w:tcPr>
          <w:p w14:paraId="23D5F61F" w14:textId="77777777" w:rsidR="002964FC" w:rsidRPr="00746905" w:rsidRDefault="002964FC" w:rsidP="0005601F">
            <w:pPr>
              <w:widowControl/>
              <w:spacing w:after="0" w:line="240" w:lineRule="auto"/>
              <w:jc w:val="center"/>
              <w:rPr>
                <w:rFonts w:ascii="Calibri" w:hAnsi="Calibri" w:cs="Times New Roman"/>
                <w:b/>
                <w:bCs/>
                <w:color w:val="000000"/>
                <w:sz w:val="18"/>
                <w:szCs w:val="18"/>
              </w:rPr>
            </w:pPr>
            <w:r w:rsidRPr="00746905">
              <w:rPr>
                <w:rFonts w:ascii="Calibri" w:hAnsi="Calibri" w:cs="Times New Roman"/>
                <w:b/>
                <w:bCs/>
                <w:color w:val="000000"/>
                <w:sz w:val="18"/>
                <w:szCs w:val="18"/>
              </w:rPr>
              <w:t>ZONE</w:t>
            </w:r>
          </w:p>
        </w:tc>
        <w:tc>
          <w:tcPr>
            <w:tcW w:w="883" w:type="dxa"/>
            <w:tcBorders>
              <w:top w:val="single" w:sz="8" w:space="0" w:color="auto"/>
              <w:left w:val="single" w:sz="8" w:space="0" w:color="auto"/>
              <w:bottom w:val="single" w:sz="8" w:space="0" w:color="auto"/>
              <w:right w:val="single" w:sz="8" w:space="0" w:color="000000"/>
            </w:tcBorders>
            <w:shd w:val="clear" w:color="000000" w:fill="C2D69B"/>
            <w:vAlign w:val="center"/>
          </w:tcPr>
          <w:p w14:paraId="624FB77C" w14:textId="77777777" w:rsidR="002964FC" w:rsidRPr="00746905" w:rsidRDefault="002964FC" w:rsidP="0005601F">
            <w:pPr>
              <w:widowControl/>
              <w:spacing w:after="0" w:line="240" w:lineRule="auto"/>
              <w:jc w:val="center"/>
              <w:rPr>
                <w:rFonts w:ascii="Calibri" w:hAnsi="Calibri" w:cs="Times New Roman"/>
                <w:b/>
                <w:bCs/>
                <w:color w:val="000000"/>
                <w:sz w:val="18"/>
                <w:szCs w:val="18"/>
              </w:rPr>
            </w:pPr>
            <w:r w:rsidRPr="00746905">
              <w:rPr>
                <w:rFonts w:ascii="Calibri" w:hAnsi="Calibri" w:cs="Times New Roman"/>
                <w:b/>
                <w:bCs/>
                <w:color w:val="000000"/>
                <w:sz w:val="18"/>
                <w:szCs w:val="18"/>
              </w:rPr>
              <w:t>ANNUAL THERM SAVINGS</w:t>
            </w:r>
          </w:p>
        </w:tc>
        <w:tc>
          <w:tcPr>
            <w:tcW w:w="1018" w:type="dxa"/>
            <w:tcBorders>
              <w:top w:val="single" w:sz="8" w:space="0" w:color="auto"/>
              <w:left w:val="single" w:sz="8" w:space="0" w:color="auto"/>
              <w:bottom w:val="single" w:sz="8" w:space="0" w:color="auto"/>
              <w:right w:val="single" w:sz="8" w:space="0" w:color="000000"/>
            </w:tcBorders>
            <w:shd w:val="clear" w:color="000000" w:fill="C2D69B"/>
            <w:vAlign w:val="center"/>
          </w:tcPr>
          <w:p w14:paraId="273F010A" w14:textId="77777777" w:rsidR="002964FC" w:rsidRPr="00746905" w:rsidRDefault="002964FC" w:rsidP="0005601F">
            <w:pPr>
              <w:widowControl/>
              <w:spacing w:after="0" w:line="240" w:lineRule="auto"/>
              <w:jc w:val="center"/>
              <w:rPr>
                <w:rFonts w:ascii="Calibri" w:hAnsi="Calibri" w:cs="Times New Roman"/>
                <w:b/>
                <w:bCs/>
                <w:color w:val="000000"/>
                <w:sz w:val="18"/>
                <w:szCs w:val="18"/>
              </w:rPr>
            </w:pPr>
            <w:r w:rsidRPr="00746905">
              <w:rPr>
                <w:rFonts w:ascii="Calibri" w:hAnsi="Calibri" w:cs="Times New Roman"/>
                <w:b/>
                <w:bCs/>
                <w:color w:val="000000"/>
                <w:sz w:val="18"/>
                <w:szCs w:val="18"/>
              </w:rPr>
              <w:t>PROGRAM REBATE</w:t>
            </w:r>
          </w:p>
        </w:tc>
        <w:tc>
          <w:tcPr>
            <w:tcW w:w="1045" w:type="dxa"/>
            <w:tcBorders>
              <w:top w:val="single" w:sz="8" w:space="0" w:color="auto"/>
              <w:left w:val="single" w:sz="8" w:space="0" w:color="auto"/>
              <w:bottom w:val="single" w:sz="8" w:space="0" w:color="auto"/>
              <w:right w:val="single" w:sz="8" w:space="0" w:color="000000"/>
            </w:tcBorders>
            <w:shd w:val="clear" w:color="000000" w:fill="C2D69B"/>
            <w:vAlign w:val="center"/>
          </w:tcPr>
          <w:p w14:paraId="3717B32D" w14:textId="77777777" w:rsidR="002964FC" w:rsidRPr="00746905" w:rsidRDefault="002964FC" w:rsidP="0005601F">
            <w:pPr>
              <w:widowControl/>
              <w:spacing w:after="0" w:line="240" w:lineRule="auto"/>
              <w:jc w:val="center"/>
              <w:rPr>
                <w:rFonts w:ascii="Calibri" w:hAnsi="Calibri" w:cs="Times New Roman"/>
                <w:b/>
                <w:bCs/>
                <w:color w:val="000000"/>
                <w:sz w:val="18"/>
                <w:szCs w:val="18"/>
              </w:rPr>
            </w:pPr>
            <w:r w:rsidRPr="00746905">
              <w:rPr>
                <w:rFonts w:ascii="Calibri" w:hAnsi="Calibri" w:cs="Times New Roman"/>
                <w:b/>
                <w:bCs/>
                <w:color w:val="000000"/>
                <w:sz w:val="18"/>
                <w:szCs w:val="18"/>
              </w:rPr>
              <w:t>UC w/Delivery &amp; Admin</w:t>
            </w:r>
          </w:p>
        </w:tc>
      </w:tr>
      <w:tr w:rsidR="002964FC" w:rsidRPr="00746905" w14:paraId="70CF8B0A" w14:textId="77777777" w:rsidTr="009D4CEF">
        <w:trPr>
          <w:trHeight w:val="300"/>
          <w:tblHeader/>
          <w:jc w:val="center"/>
        </w:trPr>
        <w:tc>
          <w:tcPr>
            <w:tcW w:w="9820" w:type="dxa"/>
            <w:gridSpan w:val="5"/>
            <w:tcBorders>
              <w:top w:val="single" w:sz="8" w:space="0" w:color="auto"/>
              <w:left w:val="single" w:sz="8" w:space="0" w:color="auto"/>
              <w:bottom w:val="single" w:sz="8" w:space="0" w:color="auto"/>
              <w:right w:val="single" w:sz="8" w:space="0" w:color="000000"/>
            </w:tcBorders>
            <w:shd w:val="clear" w:color="000000" w:fill="C2D69B"/>
            <w:vAlign w:val="center"/>
            <w:hideMark/>
          </w:tcPr>
          <w:p w14:paraId="2656F3B1" w14:textId="77777777" w:rsidR="002964FC" w:rsidRPr="00746905" w:rsidRDefault="002964FC" w:rsidP="0005601F">
            <w:pPr>
              <w:widowControl/>
              <w:spacing w:after="0" w:line="240" w:lineRule="auto"/>
              <w:jc w:val="center"/>
              <w:rPr>
                <w:rFonts w:ascii="Calibri" w:hAnsi="Calibri" w:cs="Times New Roman"/>
                <w:b/>
                <w:bCs/>
                <w:color w:val="000000"/>
                <w:sz w:val="18"/>
                <w:szCs w:val="18"/>
              </w:rPr>
            </w:pPr>
            <w:r w:rsidRPr="00746905">
              <w:rPr>
                <w:rFonts w:ascii="Calibri" w:hAnsi="Calibri" w:cs="Times New Roman"/>
                <w:b/>
                <w:bCs/>
                <w:color w:val="000000"/>
                <w:sz w:val="18"/>
                <w:szCs w:val="18"/>
              </w:rPr>
              <w:t>Efficient New Home Package Measures</w:t>
            </w:r>
          </w:p>
        </w:tc>
      </w:tr>
      <w:tr w:rsidR="002964FC" w:rsidRPr="00746905" w14:paraId="28D6F836" w14:textId="77777777" w:rsidTr="009D4CEF">
        <w:trPr>
          <w:trHeight w:val="300"/>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6515F23F"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Energy * Certified Home (BOP 1) </w:t>
            </w:r>
            <w:r w:rsidRPr="00746905">
              <w:rPr>
                <w:rFonts w:ascii="Calibri" w:hAnsi="Calibri" w:cs="Times New Roman"/>
                <w:i/>
                <w:iCs/>
                <w:color w:val="000000"/>
                <w:sz w:val="18"/>
                <w:szCs w:val="18"/>
              </w:rPr>
              <w:t xml:space="preserve"> (Incentive Increase effective 09/02/2014)</w:t>
            </w:r>
          </w:p>
        </w:tc>
        <w:tc>
          <w:tcPr>
            <w:tcW w:w="631" w:type="dxa"/>
            <w:tcBorders>
              <w:top w:val="nil"/>
              <w:left w:val="nil"/>
              <w:bottom w:val="single" w:sz="8" w:space="0" w:color="auto"/>
              <w:right w:val="single" w:sz="8" w:space="0" w:color="auto"/>
            </w:tcBorders>
            <w:shd w:val="clear" w:color="auto" w:fill="auto"/>
            <w:noWrap/>
            <w:vAlign w:val="center"/>
            <w:hideMark/>
          </w:tcPr>
          <w:p w14:paraId="15FB3F38"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62B50322"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200</w:t>
            </w:r>
          </w:p>
        </w:tc>
        <w:tc>
          <w:tcPr>
            <w:tcW w:w="1018" w:type="dxa"/>
            <w:tcBorders>
              <w:top w:val="nil"/>
              <w:left w:val="nil"/>
              <w:bottom w:val="single" w:sz="8" w:space="0" w:color="auto"/>
              <w:right w:val="single" w:sz="8" w:space="0" w:color="auto"/>
            </w:tcBorders>
            <w:shd w:val="clear" w:color="auto" w:fill="auto"/>
            <w:noWrap/>
            <w:vAlign w:val="center"/>
            <w:hideMark/>
          </w:tcPr>
          <w:p w14:paraId="55462D9B"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$600.00 </w:t>
            </w:r>
          </w:p>
        </w:tc>
        <w:tc>
          <w:tcPr>
            <w:tcW w:w="1045" w:type="dxa"/>
            <w:tcBorders>
              <w:top w:val="nil"/>
              <w:left w:val="nil"/>
              <w:bottom w:val="single" w:sz="8" w:space="0" w:color="auto"/>
              <w:right w:val="single" w:sz="8" w:space="0" w:color="auto"/>
            </w:tcBorders>
            <w:shd w:val="clear" w:color="auto" w:fill="auto"/>
            <w:noWrap/>
            <w:vAlign w:val="center"/>
            <w:hideMark/>
          </w:tcPr>
          <w:p w14:paraId="00506FA0" w14:textId="77777777" w:rsidR="002964FC" w:rsidRPr="00746905" w:rsidRDefault="002964FC" w:rsidP="0005601F">
            <w:pPr>
              <w:widowControl/>
              <w:spacing w:after="0" w:line="240" w:lineRule="auto"/>
              <w:rPr>
                <w:rFonts w:ascii="Calibri" w:hAnsi="Calibri" w:cs="Times New Roman"/>
                <w:color w:val="000000"/>
                <w:sz w:val="18"/>
                <w:szCs w:val="18"/>
              </w:rPr>
            </w:pPr>
            <w:r w:rsidRPr="00746905">
              <w:rPr>
                <w:rFonts w:ascii="Calibri" w:hAnsi="Calibri" w:cs="Times New Roman"/>
                <w:color w:val="000000"/>
                <w:sz w:val="18"/>
                <w:szCs w:val="18"/>
              </w:rPr>
              <w:t> </w:t>
            </w:r>
          </w:p>
        </w:tc>
      </w:tr>
      <w:tr w:rsidR="002964FC" w:rsidRPr="00746905" w14:paraId="00DEACD6"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59FCF41A"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Energy * Certified Home (BOP 1)  </w:t>
            </w:r>
            <w:r w:rsidRPr="00746905">
              <w:rPr>
                <w:rFonts w:ascii="Calibri" w:hAnsi="Calibri" w:cs="Times New Roman"/>
                <w:i/>
                <w:iCs/>
                <w:color w:val="000000"/>
                <w:sz w:val="18"/>
                <w:szCs w:val="18"/>
              </w:rPr>
              <w:t>(Incentive Increase effective 09/02/2014)</w:t>
            </w:r>
          </w:p>
        </w:tc>
        <w:tc>
          <w:tcPr>
            <w:tcW w:w="631" w:type="dxa"/>
            <w:tcBorders>
              <w:top w:val="nil"/>
              <w:left w:val="nil"/>
              <w:bottom w:val="single" w:sz="8" w:space="0" w:color="auto"/>
              <w:right w:val="single" w:sz="8" w:space="0" w:color="auto"/>
            </w:tcBorders>
            <w:shd w:val="clear" w:color="auto" w:fill="auto"/>
            <w:noWrap/>
            <w:vAlign w:val="center"/>
            <w:hideMark/>
          </w:tcPr>
          <w:p w14:paraId="582D726B"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628B5F11"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207</w:t>
            </w:r>
          </w:p>
        </w:tc>
        <w:tc>
          <w:tcPr>
            <w:tcW w:w="1018" w:type="dxa"/>
            <w:tcBorders>
              <w:top w:val="nil"/>
              <w:left w:val="nil"/>
              <w:bottom w:val="single" w:sz="8" w:space="0" w:color="auto"/>
              <w:right w:val="single" w:sz="8" w:space="0" w:color="auto"/>
            </w:tcBorders>
            <w:shd w:val="clear" w:color="auto" w:fill="auto"/>
            <w:noWrap/>
            <w:vAlign w:val="center"/>
            <w:hideMark/>
          </w:tcPr>
          <w:p w14:paraId="17CAF41B"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$600.00 </w:t>
            </w:r>
          </w:p>
        </w:tc>
        <w:tc>
          <w:tcPr>
            <w:tcW w:w="1045" w:type="dxa"/>
            <w:tcBorders>
              <w:top w:val="nil"/>
              <w:left w:val="nil"/>
              <w:bottom w:val="single" w:sz="8" w:space="0" w:color="auto"/>
              <w:right w:val="single" w:sz="8" w:space="0" w:color="auto"/>
            </w:tcBorders>
            <w:shd w:val="clear" w:color="auto" w:fill="auto"/>
            <w:noWrap/>
            <w:vAlign w:val="center"/>
            <w:hideMark/>
          </w:tcPr>
          <w:p w14:paraId="60037CFC"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$0.297 </w:t>
            </w:r>
          </w:p>
        </w:tc>
      </w:tr>
      <w:tr w:rsidR="002964FC" w:rsidRPr="00746905" w14:paraId="25F7790B"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799946AF"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Energy * Plus Certified Home </w:t>
            </w:r>
            <w:r w:rsidRPr="00746905">
              <w:rPr>
                <w:rFonts w:ascii="Calibri" w:hAnsi="Calibri" w:cs="Times New Roman"/>
                <w:b/>
                <w:bCs/>
                <w:color w:val="000000"/>
                <w:sz w:val="18"/>
                <w:szCs w:val="18"/>
              </w:rPr>
              <w:t>(Discontinued 09/02/2014)</w:t>
            </w:r>
          </w:p>
        </w:tc>
        <w:tc>
          <w:tcPr>
            <w:tcW w:w="631" w:type="dxa"/>
            <w:tcBorders>
              <w:top w:val="nil"/>
              <w:left w:val="nil"/>
              <w:bottom w:val="single" w:sz="8" w:space="0" w:color="auto"/>
              <w:right w:val="single" w:sz="8" w:space="0" w:color="auto"/>
            </w:tcBorders>
            <w:shd w:val="clear" w:color="auto" w:fill="auto"/>
            <w:noWrap/>
            <w:vAlign w:val="center"/>
            <w:hideMark/>
          </w:tcPr>
          <w:p w14:paraId="0839A994"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w:t>
            </w:r>
          </w:p>
        </w:tc>
        <w:tc>
          <w:tcPr>
            <w:tcW w:w="883" w:type="dxa"/>
            <w:tcBorders>
              <w:top w:val="nil"/>
              <w:left w:val="nil"/>
              <w:bottom w:val="single" w:sz="8" w:space="0" w:color="auto"/>
              <w:right w:val="single" w:sz="8" w:space="0" w:color="auto"/>
            </w:tcBorders>
            <w:shd w:val="clear" w:color="auto" w:fill="auto"/>
            <w:noWrap/>
            <w:vAlign w:val="center"/>
            <w:hideMark/>
          </w:tcPr>
          <w:p w14:paraId="272B5754"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235</w:t>
            </w:r>
          </w:p>
        </w:tc>
        <w:tc>
          <w:tcPr>
            <w:tcW w:w="1018" w:type="dxa"/>
            <w:tcBorders>
              <w:top w:val="nil"/>
              <w:left w:val="nil"/>
              <w:bottom w:val="single" w:sz="8" w:space="0" w:color="auto"/>
              <w:right w:val="single" w:sz="8" w:space="0" w:color="auto"/>
            </w:tcBorders>
            <w:shd w:val="clear" w:color="auto" w:fill="auto"/>
            <w:noWrap/>
            <w:vAlign w:val="center"/>
            <w:hideMark/>
          </w:tcPr>
          <w:p w14:paraId="44C1ECB6"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$550.00 </w:t>
            </w:r>
          </w:p>
        </w:tc>
        <w:tc>
          <w:tcPr>
            <w:tcW w:w="1045" w:type="dxa"/>
            <w:tcBorders>
              <w:top w:val="nil"/>
              <w:left w:val="nil"/>
              <w:bottom w:val="single" w:sz="8" w:space="0" w:color="auto"/>
              <w:right w:val="single" w:sz="8" w:space="0" w:color="auto"/>
            </w:tcBorders>
            <w:shd w:val="clear" w:color="auto" w:fill="auto"/>
            <w:noWrap/>
            <w:vAlign w:val="center"/>
            <w:hideMark/>
          </w:tcPr>
          <w:p w14:paraId="5EA2C8A0" w14:textId="77777777" w:rsidR="002964FC" w:rsidRPr="00746905" w:rsidRDefault="002964FC" w:rsidP="0005601F">
            <w:pPr>
              <w:widowControl/>
              <w:spacing w:after="0" w:line="240" w:lineRule="auto"/>
              <w:rPr>
                <w:rFonts w:ascii="Calibri" w:hAnsi="Calibri" w:cs="Times New Roman"/>
                <w:color w:val="000000"/>
                <w:sz w:val="18"/>
                <w:szCs w:val="18"/>
              </w:rPr>
            </w:pPr>
            <w:r w:rsidRPr="00746905">
              <w:rPr>
                <w:rFonts w:ascii="Calibri" w:hAnsi="Calibri" w:cs="Times New Roman"/>
                <w:color w:val="000000"/>
                <w:sz w:val="18"/>
                <w:szCs w:val="18"/>
              </w:rPr>
              <w:t> </w:t>
            </w:r>
          </w:p>
        </w:tc>
      </w:tr>
      <w:tr w:rsidR="002964FC" w:rsidRPr="00746905" w14:paraId="70E08D57"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21EB6973"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Energy * Plus Certified Home </w:t>
            </w:r>
            <w:r w:rsidRPr="00746905">
              <w:rPr>
                <w:rFonts w:ascii="Calibri" w:hAnsi="Calibri" w:cs="Times New Roman"/>
                <w:b/>
                <w:bCs/>
                <w:color w:val="000000"/>
                <w:sz w:val="18"/>
                <w:szCs w:val="18"/>
              </w:rPr>
              <w:t>(Discontinued 09/02/2014)</w:t>
            </w:r>
          </w:p>
        </w:tc>
        <w:tc>
          <w:tcPr>
            <w:tcW w:w="631" w:type="dxa"/>
            <w:tcBorders>
              <w:top w:val="nil"/>
              <w:left w:val="nil"/>
              <w:bottom w:val="single" w:sz="8" w:space="0" w:color="auto"/>
              <w:right w:val="single" w:sz="8" w:space="0" w:color="auto"/>
            </w:tcBorders>
            <w:shd w:val="clear" w:color="auto" w:fill="auto"/>
            <w:noWrap/>
            <w:vAlign w:val="center"/>
            <w:hideMark/>
          </w:tcPr>
          <w:p w14:paraId="5F391B12"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2CD06785"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221</w:t>
            </w:r>
          </w:p>
        </w:tc>
        <w:tc>
          <w:tcPr>
            <w:tcW w:w="1018" w:type="dxa"/>
            <w:tcBorders>
              <w:top w:val="nil"/>
              <w:left w:val="nil"/>
              <w:bottom w:val="single" w:sz="8" w:space="0" w:color="auto"/>
              <w:right w:val="single" w:sz="8" w:space="0" w:color="auto"/>
            </w:tcBorders>
            <w:shd w:val="clear" w:color="auto" w:fill="auto"/>
            <w:noWrap/>
            <w:vAlign w:val="center"/>
            <w:hideMark/>
          </w:tcPr>
          <w:p w14:paraId="522014F5"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$550.00 </w:t>
            </w:r>
          </w:p>
        </w:tc>
        <w:tc>
          <w:tcPr>
            <w:tcW w:w="1045" w:type="dxa"/>
            <w:tcBorders>
              <w:top w:val="nil"/>
              <w:left w:val="nil"/>
              <w:bottom w:val="single" w:sz="8" w:space="0" w:color="auto"/>
              <w:right w:val="single" w:sz="8" w:space="0" w:color="auto"/>
            </w:tcBorders>
            <w:shd w:val="clear" w:color="auto" w:fill="auto"/>
            <w:noWrap/>
            <w:vAlign w:val="center"/>
            <w:hideMark/>
          </w:tcPr>
          <w:p w14:paraId="33D0EB53" w14:textId="77777777" w:rsidR="002964FC" w:rsidRPr="00746905" w:rsidRDefault="002964FC" w:rsidP="0005601F">
            <w:pPr>
              <w:widowControl/>
              <w:spacing w:after="0" w:line="240" w:lineRule="auto"/>
              <w:rPr>
                <w:rFonts w:ascii="Calibri" w:hAnsi="Calibri" w:cs="Times New Roman"/>
                <w:color w:val="000000"/>
                <w:sz w:val="18"/>
                <w:szCs w:val="18"/>
              </w:rPr>
            </w:pPr>
            <w:r w:rsidRPr="00746905">
              <w:rPr>
                <w:rFonts w:ascii="Calibri" w:hAnsi="Calibri" w:cs="Times New Roman"/>
                <w:color w:val="000000"/>
                <w:sz w:val="18"/>
                <w:szCs w:val="18"/>
              </w:rPr>
              <w:t> </w:t>
            </w:r>
          </w:p>
        </w:tc>
      </w:tr>
      <w:tr w:rsidR="002964FC" w:rsidRPr="00746905" w14:paraId="7E556176"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719B39AA"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Energy * Plus Certified Home </w:t>
            </w:r>
            <w:r w:rsidRPr="00746905">
              <w:rPr>
                <w:rFonts w:ascii="Calibri" w:hAnsi="Calibri" w:cs="Times New Roman"/>
                <w:b/>
                <w:bCs/>
                <w:color w:val="000000"/>
                <w:sz w:val="18"/>
                <w:szCs w:val="18"/>
              </w:rPr>
              <w:t>(Discontinued 09/02/2014)</w:t>
            </w:r>
          </w:p>
        </w:tc>
        <w:tc>
          <w:tcPr>
            <w:tcW w:w="631" w:type="dxa"/>
            <w:tcBorders>
              <w:top w:val="nil"/>
              <w:left w:val="nil"/>
              <w:bottom w:val="single" w:sz="8" w:space="0" w:color="auto"/>
              <w:right w:val="single" w:sz="8" w:space="0" w:color="auto"/>
            </w:tcBorders>
            <w:shd w:val="clear" w:color="auto" w:fill="auto"/>
            <w:noWrap/>
            <w:vAlign w:val="center"/>
            <w:hideMark/>
          </w:tcPr>
          <w:p w14:paraId="6B0020B9"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7EF43DAF"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296</w:t>
            </w:r>
          </w:p>
        </w:tc>
        <w:tc>
          <w:tcPr>
            <w:tcW w:w="1018" w:type="dxa"/>
            <w:tcBorders>
              <w:top w:val="nil"/>
              <w:left w:val="nil"/>
              <w:bottom w:val="single" w:sz="8" w:space="0" w:color="auto"/>
              <w:right w:val="single" w:sz="8" w:space="0" w:color="auto"/>
            </w:tcBorders>
            <w:shd w:val="clear" w:color="auto" w:fill="auto"/>
            <w:noWrap/>
            <w:vAlign w:val="center"/>
            <w:hideMark/>
          </w:tcPr>
          <w:p w14:paraId="7AEF52BD"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$550.00 </w:t>
            </w:r>
          </w:p>
        </w:tc>
        <w:tc>
          <w:tcPr>
            <w:tcW w:w="1045" w:type="dxa"/>
            <w:tcBorders>
              <w:top w:val="nil"/>
              <w:left w:val="nil"/>
              <w:bottom w:val="single" w:sz="8" w:space="0" w:color="auto"/>
              <w:right w:val="single" w:sz="8" w:space="0" w:color="auto"/>
            </w:tcBorders>
            <w:shd w:val="clear" w:color="auto" w:fill="auto"/>
            <w:noWrap/>
            <w:vAlign w:val="center"/>
            <w:hideMark/>
          </w:tcPr>
          <w:p w14:paraId="4A4619B7"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$0.236 </w:t>
            </w:r>
          </w:p>
        </w:tc>
      </w:tr>
      <w:tr w:rsidR="002964FC" w:rsidRPr="00746905" w14:paraId="129B1FEC"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2C88DFDC"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Built Green Certified Home</w:t>
            </w:r>
          </w:p>
        </w:tc>
        <w:tc>
          <w:tcPr>
            <w:tcW w:w="631" w:type="dxa"/>
            <w:tcBorders>
              <w:top w:val="nil"/>
              <w:left w:val="nil"/>
              <w:bottom w:val="single" w:sz="8" w:space="0" w:color="auto"/>
              <w:right w:val="single" w:sz="8" w:space="0" w:color="auto"/>
            </w:tcBorders>
            <w:shd w:val="clear" w:color="auto" w:fill="auto"/>
            <w:noWrap/>
            <w:vAlign w:val="center"/>
            <w:hideMark/>
          </w:tcPr>
          <w:p w14:paraId="1A00B54B"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w:t>
            </w:r>
          </w:p>
        </w:tc>
        <w:tc>
          <w:tcPr>
            <w:tcW w:w="883" w:type="dxa"/>
            <w:tcBorders>
              <w:top w:val="nil"/>
              <w:left w:val="nil"/>
              <w:bottom w:val="single" w:sz="8" w:space="0" w:color="auto"/>
              <w:right w:val="single" w:sz="8" w:space="0" w:color="auto"/>
            </w:tcBorders>
            <w:shd w:val="clear" w:color="auto" w:fill="auto"/>
            <w:noWrap/>
            <w:vAlign w:val="center"/>
            <w:hideMark/>
          </w:tcPr>
          <w:p w14:paraId="2837C4D5"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209</w:t>
            </w:r>
          </w:p>
        </w:tc>
        <w:tc>
          <w:tcPr>
            <w:tcW w:w="1018" w:type="dxa"/>
            <w:tcBorders>
              <w:top w:val="nil"/>
              <w:left w:val="nil"/>
              <w:bottom w:val="single" w:sz="8" w:space="0" w:color="auto"/>
              <w:right w:val="single" w:sz="8" w:space="0" w:color="auto"/>
            </w:tcBorders>
            <w:shd w:val="clear" w:color="auto" w:fill="auto"/>
            <w:noWrap/>
            <w:vAlign w:val="center"/>
            <w:hideMark/>
          </w:tcPr>
          <w:p w14:paraId="7E86D6E6"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$600.00 </w:t>
            </w:r>
          </w:p>
        </w:tc>
        <w:tc>
          <w:tcPr>
            <w:tcW w:w="1045" w:type="dxa"/>
            <w:tcBorders>
              <w:top w:val="nil"/>
              <w:left w:val="nil"/>
              <w:bottom w:val="single" w:sz="8" w:space="0" w:color="auto"/>
              <w:right w:val="single" w:sz="8" w:space="0" w:color="auto"/>
            </w:tcBorders>
            <w:shd w:val="clear" w:color="auto" w:fill="auto"/>
            <w:noWrap/>
            <w:vAlign w:val="center"/>
            <w:hideMark/>
          </w:tcPr>
          <w:p w14:paraId="15EF2640"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$0.296 </w:t>
            </w:r>
          </w:p>
        </w:tc>
      </w:tr>
      <w:tr w:rsidR="002964FC" w:rsidRPr="00746905" w14:paraId="3979A13D"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64245CD3"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Built Green Certified Home</w:t>
            </w:r>
          </w:p>
        </w:tc>
        <w:tc>
          <w:tcPr>
            <w:tcW w:w="631" w:type="dxa"/>
            <w:tcBorders>
              <w:top w:val="nil"/>
              <w:left w:val="nil"/>
              <w:bottom w:val="single" w:sz="8" w:space="0" w:color="auto"/>
              <w:right w:val="single" w:sz="8" w:space="0" w:color="auto"/>
            </w:tcBorders>
            <w:shd w:val="clear" w:color="auto" w:fill="auto"/>
            <w:noWrap/>
            <w:vAlign w:val="center"/>
            <w:hideMark/>
          </w:tcPr>
          <w:p w14:paraId="6209FE6A"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34721AB3"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203</w:t>
            </w:r>
          </w:p>
        </w:tc>
        <w:tc>
          <w:tcPr>
            <w:tcW w:w="1018" w:type="dxa"/>
            <w:tcBorders>
              <w:top w:val="nil"/>
              <w:left w:val="nil"/>
              <w:bottom w:val="single" w:sz="8" w:space="0" w:color="auto"/>
              <w:right w:val="single" w:sz="8" w:space="0" w:color="auto"/>
            </w:tcBorders>
            <w:shd w:val="clear" w:color="auto" w:fill="auto"/>
            <w:noWrap/>
            <w:vAlign w:val="center"/>
            <w:hideMark/>
          </w:tcPr>
          <w:p w14:paraId="187717FA"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$600.00 </w:t>
            </w:r>
          </w:p>
        </w:tc>
        <w:tc>
          <w:tcPr>
            <w:tcW w:w="1045" w:type="dxa"/>
            <w:tcBorders>
              <w:top w:val="nil"/>
              <w:left w:val="nil"/>
              <w:bottom w:val="single" w:sz="8" w:space="0" w:color="auto"/>
              <w:right w:val="single" w:sz="8" w:space="0" w:color="auto"/>
            </w:tcBorders>
            <w:shd w:val="clear" w:color="auto" w:fill="auto"/>
            <w:noWrap/>
            <w:vAlign w:val="center"/>
            <w:hideMark/>
          </w:tcPr>
          <w:p w14:paraId="2BDF8838" w14:textId="77777777" w:rsidR="002964FC" w:rsidRPr="00746905" w:rsidRDefault="002964FC" w:rsidP="0005601F">
            <w:pPr>
              <w:widowControl/>
              <w:spacing w:after="0" w:line="240" w:lineRule="auto"/>
              <w:rPr>
                <w:rFonts w:ascii="Calibri" w:hAnsi="Calibri" w:cs="Times New Roman"/>
                <w:color w:val="000000"/>
                <w:sz w:val="18"/>
                <w:szCs w:val="18"/>
              </w:rPr>
            </w:pPr>
            <w:r w:rsidRPr="00746905">
              <w:rPr>
                <w:rFonts w:ascii="Calibri" w:hAnsi="Calibri" w:cs="Times New Roman"/>
                <w:color w:val="000000"/>
                <w:sz w:val="18"/>
                <w:szCs w:val="18"/>
              </w:rPr>
              <w:t> </w:t>
            </w:r>
          </w:p>
        </w:tc>
      </w:tr>
      <w:tr w:rsidR="002964FC" w:rsidRPr="00746905" w14:paraId="2ECBE8A5"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0A2B7349"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Built Green Certified Home</w:t>
            </w:r>
          </w:p>
        </w:tc>
        <w:tc>
          <w:tcPr>
            <w:tcW w:w="631" w:type="dxa"/>
            <w:tcBorders>
              <w:top w:val="nil"/>
              <w:left w:val="nil"/>
              <w:bottom w:val="single" w:sz="8" w:space="0" w:color="auto"/>
              <w:right w:val="single" w:sz="8" w:space="0" w:color="auto"/>
            </w:tcBorders>
            <w:shd w:val="clear" w:color="auto" w:fill="auto"/>
            <w:noWrap/>
            <w:vAlign w:val="center"/>
            <w:hideMark/>
          </w:tcPr>
          <w:p w14:paraId="3FF26DFE"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52728522"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210</w:t>
            </w:r>
          </w:p>
        </w:tc>
        <w:tc>
          <w:tcPr>
            <w:tcW w:w="1018" w:type="dxa"/>
            <w:tcBorders>
              <w:top w:val="nil"/>
              <w:left w:val="nil"/>
              <w:bottom w:val="single" w:sz="8" w:space="0" w:color="auto"/>
              <w:right w:val="single" w:sz="8" w:space="0" w:color="auto"/>
            </w:tcBorders>
            <w:shd w:val="clear" w:color="auto" w:fill="auto"/>
            <w:noWrap/>
            <w:vAlign w:val="center"/>
            <w:hideMark/>
          </w:tcPr>
          <w:p w14:paraId="0E6A5DB8"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$600.00 </w:t>
            </w:r>
          </w:p>
        </w:tc>
        <w:tc>
          <w:tcPr>
            <w:tcW w:w="1045" w:type="dxa"/>
            <w:tcBorders>
              <w:top w:val="nil"/>
              <w:left w:val="nil"/>
              <w:bottom w:val="single" w:sz="8" w:space="0" w:color="auto"/>
              <w:right w:val="single" w:sz="8" w:space="0" w:color="auto"/>
            </w:tcBorders>
            <w:shd w:val="clear" w:color="auto" w:fill="auto"/>
            <w:noWrap/>
            <w:vAlign w:val="center"/>
            <w:hideMark/>
          </w:tcPr>
          <w:p w14:paraId="219A12B2" w14:textId="77777777" w:rsidR="002964FC" w:rsidRPr="00746905" w:rsidRDefault="002964FC" w:rsidP="0005601F">
            <w:pPr>
              <w:widowControl/>
              <w:spacing w:after="0" w:line="240" w:lineRule="auto"/>
              <w:rPr>
                <w:rFonts w:ascii="Calibri" w:hAnsi="Calibri" w:cs="Times New Roman"/>
                <w:color w:val="000000"/>
                <w:sz w:val="18"/>
                <w:szCs w:val="18"/>
              </w:rPr>
            </w:pPr>
            <w:r w:rsidRPr="00746905">
              <w:rPr>
                <w:rFonts w:ascii="Calibri" w:hAnsi="Calibri" w:cs="Times New Roman"/>
                <w:color w:val="000000"/>
                <w:sz w:val="18"/>
                <w:szCs w:val="18"/>
              </w:rPr>
              <w:t> </w:t>
            </w:r>
          </w:p>
        </w:tc>
      </w:tr>
      <w:tr w:rsidR="002964FC" w:rsidRPr="00746905" w14:paraId="2312028B"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5FA8BB56"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95% AFUE Gas Furnace Upgrade E* </w:t>
            </w:r>
            <w:r w:rsidRPr="00746905">
              <w:rPr>
                <w:rFonts w:ascii="Calibri" w:hAnsi="Calibri" w:cs="Times New Roman"/>
                <w:b/>
                <w:bCs/>
                <w:color w:val="000000"/>
                <w:sz w:val="18"/>
                <w:szCs w:val="18"/>
              </w:rPr>
              <w:t>OLD</w:t>
            </w:r>
          </w:p>
        </w:tc>
        <w:tc>
          <w:tcPr>
            <w:tcW w:w="631" w:type="dxa"/>
            <w:tcBorders>
              <w:top w:val="nil"/>
              <w:left w:val="nil"/>
              <w:bottom w:val="single" w:sz="8" w:space="0" w:color="auto"/>
              <w:right w:val="single" w:sz="8" w:space="0" w:color="auto"/>
            </w:tcBorders>
            <w:shd w:val="clear" w:color="auto" w:fill="auto"/>
            <w:noWrap/>
            <w:vAlign w:val="center"/>
            <w:hideMark/>
          </w:tcPr>
          <w:p w14:paraId="6727B153"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w:t>
            </w:r>
          </w:p>
        </w:tc>
        <w:tc>
          <w:tcPr>
            <w:tcW w:w="883" w:type="dxa"/>
            <w:tcBorders>
              <w:top w:val="nil"/>
              <w:left w:val="nil"/>
              <w:bottom w:val="single" w:sz="8" w:space="0" w:color="auto"/>
              <w:right w:val="single" w:sz="8" w:space="0" w:color="auto"/>
            </w:tcBorders>
            <w:shd w:val="clear" w:color="auto" w:fill="auto"/>
            <w:noWrap/>
            <w:vAlign w:val="center"/>
            <w:hideMark/>
          </w:tcPr>
          <w:p w14:paraId="78CAAA3F"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111</w:t>
            </w:r>
          </w:p>
        </w:tc>
        <w:tc>
          <w:tcPr>
            <w:tcW w:w="1018" w:type="dxa"/>
            <w:tcBorders>
              <w:top w:val="nil"/>
              <w:left w:val="nil"/>
              <w:bottom w:val="single" w:sz="8" w:space="0" w:color="auto"/>
              <w:right w:val="single" w:sz="8" w:space="0" w:color="auto"/>
            </w:tcBorders>
            <w:shd w:val="clear" w:color="auto" w:fill="auto"/>
            <w:noWrap/>
            <w:vAlign w:val="center"/>
            <w:hideMark/>
          </w:tcPr>
          <w:p w14:paraId="11F21EB6"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$200.00 </w:t>
            </w:r>
          </w:p>
        </w:tc>
        <w:tc>
          <w:tcPr>
            <w:tcW w:w="1045" w:type="dxa"/>
            <w:tcBorders>
              <w:top w:val="nil"/>
              <w:left w:val="nil"/>
              <w:bottom w:val="single" w:sz="8" w:space="0" w:color="auto"/>
              <w:right w:val="single" w:sz="8" w:space="0" w:color="auto"/>
            </w:tcBorders>
            <w:shd w:val="clear" w:color="auto" w:fill="auto"/>
            <w:noWrap/>
            <w:vAlign w:val="center"/>
            <w:hideMark/>
          </w:tcPr>
          <w:p w14:paraId="1090EE48" w14:textId="77777777" w:rsidR="002964FC" w:rsidRPr="00746905" w:rsidRDefault="002964FC" w:rsidP="0005601F">
            <w:pPr>
              <w:widowControl/>
              <w:spacing w:after="0" w:line="240" w:lineRule="auto"/>
              <w:rPr>
                <w:rFonts w:ascii="Calibri" w:hAnsi="Calibri" w:cs="Times New Roman"/>
                <w:color w:val="000000"/>
                <w:sz w:val="18"/>
                <w:szCs w:val="18"/>
              </w:rPr>
            </w:pPr>
            <w:r w:rsidRPr="00746905">
              <w:rPr>
                <w:rFonts w:ascii="Calibri" w:hAnsi="Calibri" w:cs="Times New Roman"/>
                <w:color w:val="000000"/>
                <w:sz w:val="18"/>
                <w:szCs w:val="18"/>
              </w:rPr>
              <w:t> </w:t>
            </w:r>
          </w:p>
        </w:tc>
      </w:tr>
      <w:tr w:rsidR="002964FC" w:rsidRPr="00746905" w14:paraId="06D2E8CF"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04F865CB"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95% AFUE Gas Furnace Upgrade E* </w:t>
            </w:r>
            <w:r w:rsidRPr="00746905">
              <w:rPr>
                <w:rFonts w:ascii="Calibri" w:hAnsi="Calibri" w:cs="Times New Roman"/>
                <w:b/>
                <w:bCs/>
                <w:color w:val="000000"/>
                <w:sz w:val="18"/>
                <w:szCs w:val="18"/>
              </w:rPr>
              <w:t>OLD</w:t>
            </w:r>
          </w:p>
        </w:tc>
        <w:tc>
          <w:tcPr>
            <w:tcW w:w="631" w:type="dxa"/>
            <w:tcBorders>
              <w:top w:val="nil"/>
              <w:left w:val="nil"/>
              <w:bottom w:val="single" w:sz="8" w:space="0" w:color="auto"/>
              <w:right w:val="single" w:sz="8" w:space="0" w:color="auto"/>
            </w:tcBorders>
            <w:shd w:val="clear" w:color="auto" w:fill="auto"/>
            <w:noWrap/>
            <w:vAlign w:val="center"/>
            <w:hideMark/>
          </w:tcPr>
          <w:p w14:paraId="4865C150"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02B5E61E"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110</w:t>
            </w:r>
          </w:p>
        </w:tc>
        <w:tc>
          <w:tcPr>
            <w:tcW w:w="1018" w:type="dxa"/>
            <w:tcBorders>
              <w:top w:val="nil"/>
              <w:left w:val="nil"/>
              <w:bottom w:val="single" w:sz="8" w:space="0" w:color="auto"/>
              <w:right w:val="single" w:sz="8" w:space="0" w:color="auto"/>
            </w:tcBorders>
            <w:shd w:val="clear" w:color="auto" w:fill="auto"/>
            <w:noWrap/>
            <w:vAlign w:val="center"/>
            <w:hideMark/>
          </w:tcPr>
          <w:p w14:paraId="1749CE63"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$200.00 </w:t>
            </w:r>
          </w:p>
        </w:tc>
        <w:tc>
          <w:tcPr>
            <w:tcW w:w="1045" w:type="dxa"/>
            <w:tcBorders>
              <w:top w:val="nil"/>
              <w:left w:val="nil"/>
              <w:bottom w:val="single" w:sz="8" w:space="0" w:color="auto"/>
              <w:right w:val="single" w:sz="8" w:space="0" w:color="auto"/>
            </w:tcBorders>
            <w:shd w:val="clear" w:color="auto" w:fill="auto"/>
            <w:noWrap/>
            <w:vAlign w:val="center"/>
            <w:hideMark/>
          </w:tcPr>
          <w:p w14:paraId="057F7C5F" w14:textId="77777777" w:rsidR="002964FC" w:rsidRPr="00746905" w:rsidRDefault="002964FC" w:rsidP="0005601F">
            <w:pPr>
              <w:widowControl/>
              <w:spacing w:after="0" w:line="240" w:lineRule="auto"/>
              <w:rPr>
                <w:rFonts w:ascii="Calibri" w:hAnsi="Calibri" w:cs="Times New Roman"/>
                <w:color w:val="000000"/>
                <w:sz w:val="18"/>
                <w:szCs w:val="18"/>
              </w:rPr>
            </w:pPr>
            <w:r w:rsidRPr="00746905">
              <w:rPr>
                <w:rFonts w:ascii="Calibri" w:hAnsi="Calibri" w:cs="Times New Roman"/>
                <w:color w:val="000000"/>
                <w:sz w:val="18"/>
                <w:szCs w:val="18"/>
              </w:rPr>
              <w:t> </w:t>
            </w:r>
          </w:p>
        </w:tc>
      </w:tr>
      <w:tr w:rsidR="002964FC" w:rsidRPr="00746905" w14:paraId="34DC0C6A"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643A0BB0"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95% AFUE Gas Furnace Upgrade E* </w:t>
            </w:r>
            <w:r w:rsidRPr="00746905">
              <w:rPr>
                <w:rFonts w:ascii="Calibri" w:hAnsi="Calibri" w:cs="Times New Roman"/>
                <w:b/>
                <w:bCs/>
                <w:color w:val="000000"/>
                <w:sz w:val="18"/>
                <w:szCs w:val="18"/>
              </w:rPr>
              <w:t>OLD</w:t>
            </w:r>
          </w:p>
        </w:tc>
        <w:tc>
          <w:tcPr>
            <w:tcW w:w="631" w:type="dxa"/>
            <w:tcBorders>
              <w:top w:val="nil"/>
              <w:left w:val="nil"/>
              <w:bottom w:val="single" w:sz="8" w:space="0" w:color="auto"/>
              <w:right w:val="single" w:sz="8" w:space="0" w:color="auto"/>
            </w:tcBorders>
            <w:shd w:val="clear" w:color="auto" w:fill="auto"/>
            <w:noWrap/>
            <w:vAlign w:val="center"/>
            <w:hideMark/>
          </w:tcPr>
          <w:p w14:paraId="21DF4B83"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0E609BA3"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111</w:t>
            </w:r>
          </w:p>
        </w:tc>
        <w:tc>
          <w:tcPr>
            <w:tcW w:w="1018" w:type="dxa"/>
            <w:tcBorders>
              <w:top w:val="nil"/>
              <w:left w:val="nil"/>
              <w:bottom w:val="single" w:sz="8" w:space="0" w:color="auto"/>
              <w:right w:val="single" w:sz="8" w:space="0" w:color="auto"/>
            </w:tcBorders>
            <w:shd w:val="clear" w:color="auto" w:fill="auto"/>
            <w:noWrap/>
            <w:vAlign w:val="center"/>
            <w:hideMark/>
          </w:tcPr>
          <w:p w14:paraId="2B3F74CA"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$200.00 </w:t>
            </w:r>
          </w:p>
        </w:tc>
        <w:tc>
          <w:tcPr>
            <w:tcW w:w="1045" w:type="dxa"/>
            <w:tcBorders>
              <w:top w:val="nil"/>
              <w:left w:val="nil"/>
              <w:bottom w:val="single" w:sz="8" w:space="0" w:color="auto"/>
              <w:right w:val="single" w:sz="8" w:space="0" w:color="auto"/>
            </w:tcBorders>
            <w:shd w:val="clear" w:color="auto" w:fill="auto"/>
            <w:noWrap/>
            <w:vAlign w:val="center"/>
            <w:hideMark/>
          </w:tcPr>
          <w:p w14:paraId="3C70222E"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$0.315 </w:t>
            </w:r>
          </w:p>
        </w:tc>
      </w:tr>
      <w:tr w:rsidR="002964FC" w:rsidRPr="00746905" w14:paraId="66AFB532"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78D4FFD8"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95% AFUE Gas Furnace Upgrade E* </w:t>
            </w:r>
            <w:r w:rsidRPr="00746905">
              <w:rPr>
                <w:rFonts w:ascii="Calibri" w:hAnsi="Calibri" w:cs="Times New Roman"/>
                <w:i/>
                <w:iCs/>
                <w:color w:val="000000"/>
                <w:sz w:val="18"/>
                <w:szCs w:val="18"/>
              </w:rPr>
              <w:t>(Incentive Increase effective 09/02/2014)</w:t>
            </w:r>
          </w:p>
        </w:tc>
        <w:tc>
          <w:tcPr>
            <w:tcW w:w="631" w:type="dxa"/>
            <w:tcBorders>
              <w:top w:val="nil"/>
              <w:left w:val="nil"/>
              <w:bottom w:val="single" w:sz="8" w:space="0" w:color="auto"/>
              <w:right w:val="single" w:sz="8" w:space="0" w:color="auto"/>
            </w:tcBorders>
            <w:shd w:val="clear" w:color="auto" w:fill="auto"/>
            <w:noWrap/>
            <w:vAlign w:val="center"/>
            <w:hideMark/>
          </w:tcPr>
          <w:p w14:paraId="1E67EA4C"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w:t>
            </w:r>
          </w:p>
        </w:tc>
        <w:tc>
          <w:tcPr>
            <w:tcW w:w="883" w:type="dxa"/>
            <w:tcBorders>
              <w:top w:val="nil"/>
              <w:left w:val="nil"/>
              <w:bottom w:val="single" w:sz="8" w:space="0" w:color="auto"/>
              <w:right w:val="single" w:sz="8" w:space="0" w:color="auto"/>
            </w:tcBorders>
            <w:shd w:val="clear" w:color="auto" w:fill="auto"/>
            <w:noWrap/>
            <w:vAlign w:val="center"/>
            <w:hideMark/>
          </w:tcPr>
          <w:p w14:paraId="13941D95"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111</w:t>
            </w:r>
          </w:p>
        </w:tc>
        <w:tc>
          <w:tcPr>
            <w:tcW w:w="1018" w:type="dxa"/>
            <w:tcBorders>
              <w:top w:val="nil"/>
              <w:left w:val="nil"/>
              <w:bottom w:val="single" w:sz="8" w:space="0" w:color="auto"/>
              <w:right w:val="single" w:sz="8" w:space="0" w:color="auto"/>
            </w:tcBorders>
            <w:shd w:val="clear" w:color="auto" w:fill="auto"/>
            <w:noWrap/>
            <w:vAlign w:val="center"/>
            <w:hideMark/>
          </w:tcPr>
          <w:p w14:paraId="343FAAE8"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$250.00 </w:t>
            </w:r>
          </w:p>
        </w:tc>
        <w:tc>
          <w:tcPr>
            <w:tcW w:w="1045" w:type="dxa"/>
            <w:tcBorders>
              <w:top w:val="nil"/>
              <w:left w:val="nil"/>
              <w:bottom w:val="single" w:sz="8" w:space="0" w:color="auto"/>
              <w:right w:val="single" w:sz="8" w:space="0" w:color="auto"/>
            </w:tcBorders>
            <w:shd w:val="clear" w:color="auto" w:fill="auto"/>
            <w:noWrap/>
            <w:vAlign w:val="center"/>
            <w:hideMark/>
          </w:tcPr>
          <w:p w14:paraId="098C4E97"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$0.352 </w:t>
            </w:r>
          </w:p>
        </w:tc>
      </w:tr>
      <w:tr w:rsidR="002964FC" w:rsidRPr="00746905" w14:paraId="5E4990F1"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7DC71DCC"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95% AFUE Gas Furnace Upgrade E* </w:t>
            </w:r>
            <w:r w:rsidRPr="00746905">
              <w:rPr>
                <w:rFonts w:ascii="Calibri" w:hAnsi="Calibri" w:cs="Times New Roman"/>
                <w:i/>
                <w:iCs/>
                <w:color w:val="000000"/>
                <w:sz w:val="18"/>
                <w:szCs w:val="18"/>
              </w:rPr>
              <w:t>(Incentive Increase effective 09/02/2014)</w:t>
            </w:r>
          </w:p>
        </w:tc>
        <w:tc>
          <w:tcPr>
            <w:tcW w:w="631" w:type="dxa"/>
            <w:tcBorders>
              <w:top w:val="nil"/>
              <w:left w:val="nil"/>
              <w:bottom w:val="single" w:sz="8" w:space="0" w:color="auto"/>
              <w:right w:val="single" w:sz="8" w:space="0" w:color="auto"/>
            </w:tcBorders>
            <w:shd w:val="clear" w:color="auto" w:fill="auto"/>
            <w:noWrap/>
            <w:vAlign w:val="center"/>
            <w:hideMark/>
          </w:tcPr>
          <w:p w14:paraId="5ACF04C2"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2</w:t>
            </w:r>
          </w:p>
        </w:tc>
        <w:tc>
          <w:tcPr>
            <w:tcW w:w="883" w:type="dxa"/>
            <w:tcBorders>
              <w:top w:val="nil"/>
              <w:left w:val="nil"/>
              <w:bottom w:val="single" w:sz="8" w:space="0" w:color="auto"/>
              <w:right w:val="single" w:sz="8" w:space="0" w:color="auto"/>
            </w:tcBorders>
            <w:shd w:val="clear" w:color="auto" w:fill="auto"/>
            <w:noWrap/>
            <w:vAlign w:val="center"/>
            <w:hideMark/>
          </w:tcPr>
          <w:p w14:paraId="52F664A9"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110</w:t>
            </w:r>
          </w:p>
        </w:tc>
        <w:tc>
          <w:tcPr>
            <w:tcW w:w="1018" w:type="dxa"/>
            <w:tcBorders>
              <w:top w:val="nil"/>
              <w:left w:val="nil"/>
              <w:bottom w:val="single" w:sz="8" w:space="0" w:color="auto"/>
              <w:right w:val="single" w:sz="8" w:space="0" w:color="auto"/>
            </w:tcBorders>
            <w:shd w:val="clear" w:color="auto" w:fill="auto"/>
            <w:noWrap/>
            <w:vAlign w:val="center"/>
            <w:hideMark/>
          </w:tcPr>
          <w:p w14:paraId="51808D99"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$250.00 </w:t>
            </w:r>
          </w:p>
        </w:tc>
        <w:tc>
          <w:tcPr>
            <w:tcW w:w="1045" w:type="dxa"/>
            <w:tcBorders>
              <w:top w:val="nil"/>
              <w:left w:val="nil"/>
              <w:bottom w:val="single" w:sz="8" w:space="0" w:color="auto"/>
              <w:right w:val="single" w:sz="8" w:space="0" w:color="auto"/>
            </w:tcBorders>
            <w:shd w:val="clear" w:color="auto" w:fill="auto"/>
            <w:noWrap/>
            <w:vAlign w:val="center"/>
            <w:hideMark/>
          </w:tcPr>
          <w:p w14:paraId="4BC4F721" w14:textId="77777777" w:rsidR="002964FC" w:rsidRPr="00746905" w:rsidRDefault="002964FC" w:rsidP="0005601F">
            <w:pPr>
              <w:widowControl/>
              <w:spacing w:after="0" w:line="240" w:lineRule="auto"/>
              <w:rPr>
                <w:color w:val="000000"/>
                <w:sz w:val="20"/>
                <w:szCs w:val="20"/>
              </w:rPr>
            </w:pPr>
            <w:r w:rsidRPr="00746905">
              <w:rPr>
                <w:color w:val="000000"/>
                <w:sz w:val="20"/>
                <w:szCs w:val="20"/>
              </w:rPr>
              <w:t> </w:t>
            </w:r>
          </w:p>
        </w:tc>
      </w:tr>
      <w:tr w:rsidR="002964FC" w:rsidRPr="00746905" w14:paraId="02A2C7CE"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474A533A"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95% AFUE Gas Furnace Upgrade E* </w:t>
            </w:r>
            <w:r w:rsidRPr="00746905">
              <w:rPr>
                <w:rFonts w:ascii="Calibri" w:hAnsi="Calibri" w:cs="Times New Roman"/>
                <w:i/>
                <w:iCs/>
                <w:color w:val="000000"/>
                <w:sz w:val="18"/>
                <w:szCs w:val="18"/>
              </w:rPr>
              <w:t>(Incentive Increase effective 09/02/2014)</w:t>
            </w:r>
          </w:p>
        </w:tc>
        <w:tc>
          <w:tcPr>
            <w:tcW w:w="631" w:type="dxa"/>
            <w:tcBorders>
              <w:top w:val="nil"/>
              <w:left w:val="nil"/>
              <w:bottom w:val="single" w:sz="8" w:space="0" w:color="auto"/>
              <w:right w:val="single" w:sz="8" w:space="0" w:color="auto"/>
            </w:tcBorders>
            <w:shd w:val="clear" w:color="auto" w:fill="auto"/>
            <w:noWrap/>
            <w:vAlign w:val="center"/>
            <w:hideMark/>
          </w:tcPr>
          <w:p w14:paraId="0967C492"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3</w:t>
            </w:r>
          </w:p>
        </w:tc>
        <w:tc>
          <w:tcPr>
            <w:tcW w:w="883" w:type="dxa"/>
            <w:tcBorders>
              <w:top w:val="nil"/>
              <w:left w:val="nil"/>
              <w:bottom w:val="single" w:sz="8" w:space="0" w:color="auto"/>
              <w:right w:val="single" w:sz="8" w:space="0" w:color="auto"/>
            </w:tcBorders>
            <w:shd w:val="clear" w:color="auto" w:fill="auto"/>
            <w:noWrap/>
            <w:vAlign w:val="center"/>
            <w:hideMark/>
          </w:tcPr>
          <w:p w14:paraId="6CECC91D"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111</w:t>
            </w:r>
          </w:p>
        </w:tc>
        <w:tc>
          <w:tcPr>
            <w:tcW w:w="1018" w:type="dxa"/>
            <w:tcBorders>
              <w:top w:val="nil"/>
              <w:left w:val="nil"/>
              <w:bottom w:val="single" w:sz="8" w:space="0" w:color="auto"/>
              <w:right w:val="single" w:sz="8" w:space="0" w:color="auto"/>
            </w:tcBorders>
            <w:shd w:val="clear" w:color="auto" w:fill="auto"/>
            <w:noWrap/>
            <w:vAlign w:val="center"/>
            <w:hideMark/>
          </w:tcPr>
          <w:p w14:paraId="52EC4097" w14:textId="77777777" w:rsidR="002964FC" w:rsidRPr="00746905" w:rsidRDefault="002964FC" w:rsidP="0005601F">
            <w:pPr>
              <w:widowControl/>
              <w:spacing w:after="0" w:line="240" w:lineRule="auto"/>
              <w:jc w:val="center"/>
              <w:rPr>
                <w:rFonts w:ascii="Calibri" w:hAnsi="Calibri" w:cs="Times New Roman"/>
                <w:color w:val="000000"/>
                <w:sz w:val="18"/>
                <w:szCs w:val="18"/>
              </w:rPr>
            </w:pPr>
            <w:r w:rsidRPr="00746905">
              <w:rPr>
                <w:rFonts w:ascii="Calibri" w:hAnsi="Calibri" w:cs="Times New Roman"/>
                <w:color w:val="000000"/>
                <w:sz w:val="18"/>
                <w:szCs w:val="18"/>
              </w:rPr>
              <w:t xml:space="preserve">$250.00 </w:t>
            </w:r>
          </w:p>
        </w:tc>
        <w:tc>
          <w:tcPr>
            <w:tcW w:w="1045" w:type="dxa"/>
            <w:tcBorders>
              <w:top w:val="nil"/>
              <w:left w:val="nil"/>
              <w:bottom w:val="single" w:sz="8" w:space="0" w:color="auto"/>
              <w:right w:val="single" w:sz="8" w:space="0" w:color="auto"/>
            </w:tcBorders>
            <w:shd w:val="clear" w:color="auto" w:fill="auto"/>
            <w:noWrap/>
            <w:vAlign w:val="center"/>
            <w:hideMark/>
          </w:tcPr>
          <w:p w14:paraId="4C76BFA4" w14:textId="77777777" w:rsidR="002964FC" w:rsidRPr="00746905" w:rsidRDefault="002964FC" w:rsidP="0005601F">
            <w:pPr>
              <w:widowControl/>
              <w:spacing w:after="0" w:line="240" w:lineRule="auto"/>
              <w:jc w:val="right"/>
              <w:rPr>
                <w:rFonts w:ascii="Calibri" w:hAnsi="Calibri" w:cs="Times New Roman"/>
                <w:color w:val="000000"/>
                <w:sz w:val="18"/>
                <w:szCs w:val="18"/>
              </w:rPr>
            </w:pPr>
            <w:r w:rsidRPr="00746905">
              <w:rPr>
                <w:rFonts w:ascii="Calibri" w:hAnsi="Calibri" w:cs="Times New Roman"/>
                <w:color w:val="000000"/>
                <w:sz w:val="18"/>
                <w:szCs w:val="18"/>
              </w:rPr>
              <w:t xml:space="preserve">$0.352 </w:t>
            </w:r>
          </w:p>
        </w:tc>
      </w:tr>
      <w:tr w:rsidR="002964FC" w:rsidRPr="00746905" w14:paraId="6CD92F2E" w14:textId="77777777" w:rsidTr="009D4CEF">
        <w:trPr>
          <w:trHeight w:val="315"/>
          <w:tblHeader/>
          <w:jc w:val="center"/>
        </w:trPr>
        <w:tc>
          <w:tcPr>
            <w:tcW w:w="6243" w:type="dxa"/>
            <w:tcBorders>
              <w:top w:val="nil"/>
              <w:left w:val="single" w:sz="8" w:space="0" w:color="auto"/>
              <w:bottom w:val="single" w:sz="8" w:space="0" w:color="auto"/>
              <w:right w:val="single" w:sz="8" w:space="0" w:color="auto"/>
            </w:tcBorders>
            <w:shd w:val="clear" w:color="auto" w:fill="auto"/>
            <w:noWrap/>
            <w:vAlign w:val="center"/>
            <w:hideMark/>
          </w:tcPr>
          <w:p w14:paraId="39D7D96B" w14:textId="77777777" w:rsidR="002964FC" w:rsidRPr="00746905" w:rsidRDefault="002964FC" w:rsidP="0005601F">
            <w:pPr>
              <w:widowControl/>
              <w:spacing w:after="0" w:line="240" w:lineRule="auto"/>
              <w:jc w:val="center"/>
              <w:rPr>
                <w:rFonts w:ascii="Calibri" w:hAnsi="Calibri" w:cs="Times New Roman"/>
                <w:b/>
                <w:bCs/>
                <w:color w:val="000000"/>
                <w:sz w:val="18"/>
                <w:szCs w:val="18"/>
              </w:rPr>
            </w:pPr>
            <w:r w:rsidRPr="00746905">
              <w:rPr>
                <w:rFonts w:ascii="Calibri" w:hAnsi="Calibri" w:cs="Times New Roman"/>
                <w:b/>
                <w:bCs/>
                <w:color w:val="000000"/>
                <w:sz w:val="18"/>
                <w:szCs w:val="18"/>
              </w:rPr>
              <w:t>TOTAL PROGRAM</w:t>
            </w:r>
          </w:p>
        </w:tc>
        <w:tc>
          <w:tcPr>
            <w:tcW w:w="631" w:type="dxa"/>
            <w:tcBorders>
              <w:top w:val="nil"/>
              <w:left w:val="nil"/>
              <w:bottom w:val="single" w:sz="8" w:space="0" w:color="auto"/>
              <w:right w:val="single" w:sz="8" w:space="0" w:color="auto"/>
            </w:tcBorders>
            <w:shd w:val="clear" w:color="auto" w:fill="auto"/>
            <w:noWrap/>
            <w:vAlign w:val="center"/>
            <w:hideMark/>
          </w:tcPr>
          <w:p w14:paraId="28BC9E77" w14:textId="77777777" w:rsidR="002964FC" w:rsidRPr="00746905" w:rsidRDefault="002964FC" w:rsidP="0005601F">
            <w:pPr>
              <w:widowControl/>
              <w:spacing w:after="0" w:line="240" w:lineRule="auto"/>
              <w:rPr>
                <w:color w:val="000000"/>
                <w:sz w:val="20"/>
                <w:szCs w:val="20"/>
              </w:rPr>
            </w:pPr>
            <w:r w:rsidRPr="00746905">
              <w:rPr>
                <w:color w:val="000000"/>
                <w:sz w:val="20"/>
                <w:szCs w:val="20"/>
              </w:rPr>
              <w:t> </w:t>
            </w:r>
          </w:p>
        </w:tc>
        <w:tc>
          <w:tcPr>
            <w:tcW w:w="883" w:type="dxa"/>
            <w:tcBorders>
              <w:top w:val="nil"/>
              <w:left w:val="nil"/>
              <w:bottom w:val="single" w:sz="8" w:space="0" w:color="auto"/>
              <w:right w:val="single" w:sz="8" w:space="0" w:color="auto"/>
            </w:tcBorders>
            <w:shd w:val="clear" w:color="auto" w:fill="auto"/>
            <w:noWrap/>
            <w:vAlign w:val="center"/>
            <w:hideMark/>
          </w:tcPr>
          <w:p w14:paraId="6717F55F" w14:textId="77777777" w:rsidR="002964FC" w:rsidRPr="00746905" w:rsidRDefault="002964FC" w:rsidP="0005601F">
            <w:pPr>
              <w:widowControl/>
              <w:spacing w:after="0" w:line="240" w:lineRule="auto"/>
              <w:rPr>
                <w:color w:val="000000"/>
                <w:sz w:val="20"/>
                <w:szCs w:val="20"/>
              </w:rPr>
            </w:pPr>
            <w:r w:rsidRPr="00746905">
              <w:rPr>
                <w:color w:val="000000"/>
                <w:sz w:val="20"/>
                <w:szCs w:val="20"/>
              </w:rPr>
              <w:t> </w:t>
            </w:r>
          </w:p>
        </w:tc>
        <w:tc>
          <w:tcPr>
            <w:tcW w:w="1018" w:type="dxa"/>
            <w:tcBorders>
              <w:top w:val="nil"/>
              <w:left w:val="nil"/>
              <w:bottom w:val="single" w:sz="8" w:space="0" w:color="auto"/>
              <w:right w:val="single" w:sz="8" w:space="0" w:color="auto"/>
            </w:tcBorders>
            <w:shd w:val="clear" w:color="auto" w:fill="auto"/>
            <w:noWrap/>
            <w:vAlign w:val="center"/>
            <w:hideMark/>
          </w:tcPr>
          <w:p w14:paraId="1D2D3BEB" w14:textId="77777777" w:rsidR="002964FC" w:rsidRPr="00746905" w:rsidRDefault="002964FC" w:rsidP="0005601F">
            <w:pPr>
              <w:widowControl/>
              <w:spacing w:after="0" w:line="240" w:lineRule="auto"/>
              <w:rPr>
                <w:color w:val="000000"/>
                <w:sz w:val="20"/>
                <w:szCs w:val="20"/>
              </w:rPr>
            </w:pPr>
            <w:r w:rsidRPr="00746905">
              <w:rPr>
                <w:color w:val="000000"/>
                <w:sz w:val="20"/>
                <w:szCs w:val="20"/>
              </w:rPr>
              <w:t> </w:t>
            </w:r>
          </w:p>
        </w:tc>
        <w:tc>
          <w:tcPr>
            <w:tcW w:w="1045" w:type="dxa"/>
            <w:tcBorders>
              <w:top w:val="nil"/>
              <w:left w:val="nil"/>
              <w:bottom w:val="single" w:sz="8" w:space="0" w:color="auto"/>
              <w:right w:val="single" w:sz="8" w:space="0" w:color="auto"/>
            </w:tcBorders>
            <w:shd w:val="clear" w:color="auto" w:fill="auto"/>
            <w:noWrap/>
            <w:vAlign w:val="center"/>
            <w:hideMark/>
          </w:tcPr>
          <w:p w14:paraId="6B606A41" w14:textId="77777777" w:rsidR="002964FC" w:rsidRPr="00746905" w:rsidRDefault="002964FC" w:rsidP="0005601F">
            <w:pPr>
              <w:widowControl/>
              <w:spacing w:after="0" w:line="240" w:lineRule="auto"/>
              <w:jc w:val="right"/>
              <w:rPr>
                <w:rFonts w:ascii="Calibri" w:hAnsi="Calibri" w:cs="Times New Roman"/>
                <w:b/>
                <w:bCs/>
                <w:color w:val="000000"/>
                <w:sz w:val="18"/>
                <w:szCs w:val="18"/>
              </w:rPr>
            </w:pPr>
            <w:r w:rsidRPr="00746905">
              <w:rPr>
                <w:rFonts w:ascii="Calibri" w:hAnsi="Calibri" w:cs="Times New Roman"/>
                <w:b/>
                <w:bCs/>
                <w:color w:val="000000"/>
                <w:sz w:val="18"/>
                <w:szCs w:val="18"/>
              </w:rPr>
              <w:t xml:space="preserve">$0.349 </w:t>
            </w:r>
          </w:p>
        </w:tc>
      </w:tr>
    </w:tbl>
    <w:p w14:paraId="2D3A05C7" w14:textId="73A5B7FF" w:rsidR="00CA05C7" w:rsidRPr="00F657A9" w:rsidRDefault="00CA05C7">
      <w:pPr>
        <w:ind w:right="-7"/>
        <w:contextualSpacing/>
        <w:jc w:val="center"/>
        <w:rPr>
          <w:b/>
          <w:sz w:val="18"/>
        </w:rPr>
      </w:pPr>
    </w:p>
    <w:p w14:paraId="31299C39" w14:textId="139C71BE" w:rsidR="002C2B2C" w:rsidRDefault="002C2B2C">
      <w:pPr>
        <w:widowControl/>
        <w:spacing w:after="0" w:line="240" w:lineRule="auto"/>
        <w:rPr>
          <w:b/>
          <w:sz w:val="18"/>
        </w:rPr>
      </w:pPr>
    </w:p>
    <w:p w14:paraId="4670FCAC" w14:textId="1480EDA5" w:rsidR="00525FE4" w:rsidRPr="00F657A9" w:rsidRDefault="00525FE4" w:rsidP="0068556F">
      <w:pPr>
        <w:spacing w:after="0"/>
        <w:ind w:right="-7"/>
        <w:contextualSpacing/>
        <w:jc w:val="center"/>
        <w:rPr>
          <w:b/>
          <w:sz w:val="18"/>
        </w:rPr>
      </w:pPr>
      <w:r w:rsidRPr="00F657A9">
        <w:rPr>
          <w:b/>
          <w:sz w:val="18"/>
        </w:rPr>
        <w:t xml:space="preserve">Table </w:t>
      </w:r>
      <w:r w:rsidR="00121E99" w:rsidRPr="00F657A9">
        <w:rPr>
          <w:b/>
          <w:sz w:val="18"/>
        </w:rPr>
        <w:t>5</w:t>
      </w:r>
    </w:p>
    <w:p w14:paraId="779A395C" w14:textId="19B289D2" w:rsidR="00525FE4" w:rsidRPr="00F657A9" w:rsidRDefault="00525FE4" w:rsidP="0068556F">
      <w:pPr>
        <w:spacing w:after="0"/>
        <w:ind w:right="-7"/>
        <w:contextualSpacing/>
        <w:jc w:val="center"/>
        <w:rPr>
          <w:b/>
          <w:sz w:val="18"/>
        </w:rPr>
      </w:pPr>
      <w:r w:rsidRPr="00F657A9">
        <w:rPr>
          <w:b/>
          <w:sz w:val="18"/>
        </w:rPr>
        <w:t>Commercial</w:t>
      </w:r>
      <w:r w:rsidR="00AE3903" w:rsidRPr="00F657A9">
        <w:rPr>
          <w:b/>
          <w:sz w:val="18"/>
        </w:rPr>
        <w:t>/</w:t>
      </w:r>
      <w:r w:rsidR="008528E6" w:rsidRPr="00F657A9">
        <w:rPr>
          <w:b/>
          <w:sz w:val="18"/>
        </w:rPr>
        <w:t xml:space="preserve">Industrial </w:t>
      </w:r>
      <w:r w:rsidRPr="00F657A9">
        <w:rPr>
          <w:b/>
          <w:sz w:val="18"/>
        </w:rPr>
        <w:t>Program Offerings from Tariff 302</w:t>
      </w:r>
      <w:r w:rsidR="00AE3903" w:rsidRPr="00F657A9">
        <w:rPr>
          <w:b/>
          <w:sz w:val="18"/>
        </w:rPr>
        <w:t xml:space="preserve"> as of the 2015 Annual Report </w:t>
      </w:r>
    </w:p>
    <w:tbl>
      <w:tblPr>
        <w:tblStyle w:val="TableGrid"/>
        <w:tblW w:w="0" w:type="auto"/>
        <w:jc w:val="center"/>
        <w:tblLook w:val="04A0" w:firstRow="1" w:lastRow="0" w:firstColumn="1" w:lastColumn="0" w:noHBand="0" w:noVBand="1"/>
      </w:tblPr>
      <w:tblGrid>
        <w:gridCol w:w="3361"/>
        <w:gridCol w:w="2158"/>
        <w:gridCol w:w="956"/>
        <w:gridCol w:w="1620"/>
        <w:gridCol w:w="1823"/>
      </w:tblGrid>
      <w:tr w:rsidR="002964FC" w:rsidRPr="000F70E8" w14:paraId="2C5D2F38" w14:textId="77777777" w:rsidTr="009D4CEF">
        <w:trPr>
          <w:trHeight w:val="264"/>
          <w:tblHeader/>
          <w:jc w:val="center"/>
        </w:trPr>
        <w:tc>
          <w:tcPr>
            <w:tcW w:w="3361" w:type="dxa"/>
            <w:tcBorders>
              <w:top w:val="single" w:sz="4" w:space="0" w:color="auto"/>
              <w:left w:val="single" w:sz="4" w:space="0" w:color="auto"/>
              <w:bottom w:val="nil"/>
              <w:right w:val="nil"/>
            </w:tcBorders>
            <w:shd w:val="clear" w:color="auto" w:fill="C2D69B" w:themeFill="accent3" w:themeFillTint="99"/>
            <w:noWrap/>
            <w:vAlign w:val="center"/>
            <w:hideMark/>
          </w:tcPr>
          <w:p w14:paraId="40D3C52B" w14:textId="7F165A16" w:rsidR="002964FC" w:rsidRPr="000F70E8" w:rsidRDefault="002964FC" w:rsidP="00184B44">
            <w:pPr>
              <w:spacing w:after="0" w:line="240" w:lineRule="auto"/>
              <w:ind w:right="83"/>
              <w:contextualSpacing/>
              <w:jc w:val="center"/>
              <w:rPr>
                <w:rFonts w:asciiTheme="minorHAnsi" w:hAnsiTheme="minorHAnsi"/>
                <w:b/>
                <w:bCs/>
                <w:sz w:val="18"/>
                <w:szCs w:val="18"/>
              </w:rPr>
            </w:pPr>
          </w:p>
        </w:tc>
        <w:tc>
          <w:tcPr>
            <w:tcW w:w="2158" w:type="dxa"/>
            <w:tcBorders>
              <w:top w:val="single" w:sz="4" w:space="0" w:color="auto"/>
              <w:left w:val="nil"/>
              <w:bottom w:val="nil"/>
              <w:right w:val="nil"/>
            </w:tcBorders>
            <w:shd w:val="clear" w:color="auto" w:fill="C2D69B" w:themeFill="accent3" w:themeFillTint="99"/>
            <w:noWrap/>
            <w:vAlign w:val="center"/>
            <w:hideMark/>
          </w:tcPr>
          <w:p w14:paraId="173FE6A7" w14:textId="77777777" w:rsidR="002964FC" w:rsidRPr="000F70E8" w:rsidRDefault="002964FC" w:rsidP="00184B44">
            <w:pPr>
              <w:spacing w:after="0" w:line="240" w:lineRule="auto"/>
              <w:ind w:right="83"/>
              <w:contextualSpacing/>
              <w:jc w:val="center"/>
              <w:rPr>
                <w:rFonts w:asciiTheme="minorHAnsi" w:hAnsiTheme="minorHAnsi"/>
                <w:b/>
                <w:bCs/>
                <w:sz w:val="18"/>
                <w:szCs w:val="18"/>
              </w:rPr>
            </w:pPr>
            <w:r w:rsidRPr="000F70E8">
              <w:rPr>
                <w:rFonts w:asciiTheme="minorHAnsi" w:hAnsiTheme="minorHAnsi"/>
                <w:b/>
                <w:bCs/>
                <w:sz w:val="18"/>
                <w:szCs w:val="18"/>
              </w:rPr>
              <w:t>ANNUAL THERM</w:t>
            </w:r>
          </w:p>
        </w:tc>
        <w:tc>
          <w:tcPr>
            <w:tcW w:w="956" w:type="dxa"/>
            <w:tcBorders>
              <w:top w:val="single" w:sz="4" w:space="0" w:color="auto"/>
              <w:left w:val="nil"/>
              <w:bottom w:val="nil"/>
              <w:right w:val="nil"/>
            </w:tcBorders>
            <w:shd w:val="clear" w:color="auto" w:fill="C2D69B" w:themeFill="accent3" w:themeFillTint="99"/>
            <w:noWrap/>
            <w:vAlign w:val="center"/>
            <w:hideMark/>
          </w:tcPr>
          <w:p w14:paraId="09805AF4" w14:textId="178AE95E" w:rsidR="002964FC" w:rsidRPr="000F70E8" w:rsidRDefault="002964FC" w:rsidP="00184B44">
            <w:pPr>
              <w:spacing w:after="0" w:line="240" w:lineRule="auto"/>
              <w:ind w:right="83"/>
              <w:contextualSpacing/>
              <w:jc w:val="center"/>
              <w:rPr>
                <w:rFonts w:asciiTheme="minorHAnsi" w:hAnsiTheme="minorHAnsi"/>
                <w:b/>
                <w:bCs/>
                <w:sz w:val="18"/>
                <w:szCs w:val="18"/>
              </w:rPr>
            </w:pPr>
          </w:p>
        </w:tc>
        <w:tc>
          <w:tcPr>
            <w:tcW w:w="1620" w:type="dxa"/>
            <w:tcBorders>
              <w:top w:val="single" w:sz="4" w:space="0" w:color="auto"/>
              <w:left w:val="nil"/>
              <w:bottom w:val="nil"/>
              <w:right w:val="nil"/>
            </w:tcBorders>
            <w:shd w:val="clear" w:color="auto" w:fill="C2D69B" w:themeFill="accent3" w:themeFillTint="99"/>
            <w:noWrap/>
            <w:vAlign w:val="center"/>
            <w:hideMark/>
          </w:tcPr>
          <w:p w14:paraId="1C2E04A8" w14:textId="77777777" w:rsidR="002964FC" w:rsidRPr="000F70E8" w:rsidRDefault="002964FC" w:rsidP="00184B44">
            <w:pPr>
              <w:spacing w:after="0" w:line="240" w:lineRule="auto"/>
              <w:ind w:right="83"/>
              <w:contextualSpacing/>
              <w:jc w:val="center"/>
              <w:rPr>
                <w:rFonts w:asciiTheme="minorHAnsi" w:hAnsiTheme="minorHAnsi"/>
                <w:b/>
                <w:bCs/>
                <w:sz w:val="18"/>
                <w:szCs w:val="18"/>
              </w:rPr>
            </w:pPr>
            <w:r w:rsidRPr="000F70E8">
              <w:rPr>
                <w:rFonts w:asciiTheme="minorHAnsi" w:hAnsiTheme="minorHAnsi"/>
                <w:b/>
                <w:bCs/>
                <w:sz w:val="18"/>
                <w:szCs w:val="18"/>
              </w:rPr>
              <w:t>PROGRAM</w:t>
            </w:r>
          </w:p>
        </w:tc>
        <w:tc>
          <w:tcPr>
            <w:tcW w:w="1823" w:type="dxa"/>
            <w:vMerge w:val="restart"/>
            <w:tcBorders>
              <w:top w:val="single" w:sz="4" w:space="0" w:color="auto"/>
              <w:left w:val="nil"/>
              <w:right w:val="single" w:sz="4" w:space="0" w:color="auto"/>
            </w:tcBorders>
            <w:shd w:val="clear" w:color="auto" w:fill="C2D69B" w:themeFill="accent3" w:themeFillTint="99"/>
            <w:noWrap/>
            <w:vAlign w:val="center"/>
            <w:hideMark/>
          </w:tcPr>
          <w:p w14:paraId="2C75557C" w14:textId="326F2396" w:rsidR="002964FC" w:rsidRPr="000F70E8" w:rsidRDefault="002964FC" w:rsidP="00184B44">
            <w:pPr>
              <w:spacing w:after="0" w:line="240" w:lineRule="auto"/>
              <w:ind w:right="83"/>
              <w:contextualSpacing/>
              <w:jc w:val="center"/>
              <w:rPr>
                <w:rFonts w:asciiTheme="minorHAnsi" w:hAnsiTheme="minorHAnsi"/>
                <w:b/>
                <w:bCs/>
                <w:sz w:val="18"/>
                <w:szCs w:val="18"/>
              </w:rPr>
            </w:pPr>
            <w:r w:rsidRPr="00746905">
              <w:rPr>
                <w:rFonts w:ascii="Calibri" w:hAnsi="Calibri" w:cs="Times New Roman"/>
                <w:b/>
                <w:bCs/>
                <w:color w:val="000000"/>
                <w:sz w:val="18"/>
                <w:szCs w:val="18"/>
              </w:rPr>
              <w:t>UC w/Delivery &amp; Admin</w:t>
            </w:r>
          </w:p>
        </w:tc>
      </w:tr>
      <w:tr w:rsidR="002964FC" w:rsidRPr="000F70E8" w14:paraId="1772E1F2" w14:textId="77777777" w:rsidTr="009D4CEF">
        <w:trPr>
          <w:trHeight w:val="264"/>
          <w:tblHeader/>
          <w:jc w:val="center"/>
        </w:trPr>
        <w:tc>
          <w:tcPr>
            <w:tcW w:w="3361" w:type="dxa"/>
            <w:tcBorders>
              <w:top w:val="nil"/>
              <w:left w:val="single" w:sz="4" w:space="0" w:color="auto"/>
              <w:bottom w:val="single" w:sz="4" w:space="0" w:color="auto"/>
              <w:right w:val="nil"/>
            </w:tcBorders>
            <w:shd w:val="clear" w:color="auto" w:fill="C2D69B" w:themeFill="accent3" w:themeFillTint="99"/>
            <w:noWrap/>
            <w:vAlign w:val="center"/>
            <w:hideMark/>
          </w:tcPr>
          <w:p w14:paraId="0DE94187" w14:textId="2D50E9C1" w:rsidR="002964FC" w:rsidRPr="000F70E8" w:rsidRDefault="002964FC" w:rsidP="00184B44">
            <w:pPr>
              <w:spacing w:after="0" w:line="240" w:lineRule="auto"/>
              <w:ind w:right="83"/>
              <w:contextualSpacing/>
              <w:jc w:val="center"/>
              <w:rPr>
                <w:rFonts w:asciiTheme="minorHAnsi" w:hAnsiTheme="minorHAnsi"/>
                <w:b/>
                <w:bCs/>
                <w:sz w:val="18"/>
                <w:szCs w:val="18"/>
              </w:rPr>
            </w:pPr>
            <w:r w:rsidRPr="000F70E8">
              <w:rPr>
                <w:rFonts w:asciiTheme="minorHAnsi" w:hAnsiTheme="minorHAnsi"/>
                <w:b/>
                <w:bCs/>
                <w:sz w:val="18"/>
                <w:szCs w:val="18"/>
              </w:rPr>
              <w:t>MEASURE</w:t>
            </w:r>
            <w:r>
              <w:rPr>
                <w:rFonts w:asciiTheme="minorHAnsi" w:hAnsiTheme="minorHAnsi"/>
                <w:b/>
                <w:bCs/>
                <w:sz w:val="18"/>
                <w:szCs w:val="18"/>
              </w:rPr>
              <w:t>S</w:t>
            </w:r>
          </w:p>
        </w:tc>
        <w:tc>
          <w:tcPr>
            <w:tcW w:w="2158" w:type="dxa"/>
            <w:tcBorders>
              <w:top w:val="nil"/>
              <w:left w:val="nil"/>
              <w:bottom w:val="single" w:sz="4" w:space="0" w:color="auto"/>
              <w:right w:val="nil"/>
            </w:tcBorders>
            <w:shd w:val="clear" w:color="auto" w:fill="C2D69B" w:themeFill="accent3" w:themeFillTint="99"/>
            <w:noWrap/>
            <w:vAlign w:val="center"/>
            <w:hideMark/>
          </w:tcPr>
          <w:p w14:paraId="488384C6" w14:textId="77777777" w:rsidR="002964FC" w:rsidRPr="000F70E8" w:rsidRDefault="002964FC" w:rsidP="00184B44">
            <w:pPr>
              <w:spacing w:after="0" w:line="240" w:lineRule="auto"/>
              <w:ind w:right="83"/>
              <w:contextualSpacing/>
              <w:jc w:val="center"/>
              <w:rPr>
                <w:rFonts w:asciiTheme="minorHAnsi" w:hAnsiTheme="minorHAnsi"/>
                <w:b/>
                <w:bCs/>
                <w:sz w:val="18"/>
                <w:szCs w:val="18"/>
              </w:rPr>
            </w:pPr>
            <w:r w:rsidRPr="000F70E8">
              <w:rPr>
                <w:rFonts w:asciiTheme="minorHAnsi" w:hAnsiTheme="minorHAnsi"/>
                <w:b/>
                <w:bCs/>
                <w:sz w:val="18"/>
                <w:szCs w:val="18"/>
              </w:rPr>
              <w:t>SAVINGS/UNIT</w:t>
            </w:r>
          </w:p>
        </w:tc>
        <w:tc>
          <w:tcPr>
            <w:tcW w:w="956" w:type="dxa"/>
            <w:tcBorders>
              <w:top w:val="nil"/>
              <w:left w:val="nil"/>
              <w:bottom w:val="single" w:sz="4" w:space="0" w:color="auto"/>
              <w:right w:val="nil"/>
            </w:tcBorders>
            <w:shd w:val="clear" w:color="auto" w:fill="C2D69B" w:themeFill="accent3" w:themeFillTint="99"/>
            <w:noWrap/>
            <w:vAlign w:val="center"/>
            <w:hideMark/>
          </w:tcPr>
          <w:p w14:paraId="78898AA0" w14:textId="77777777" w:rsidR="002964FC" w:rsidRPr="000F70E8" w:rsidRDefault="002964FC" w:rsidP="00184B44">
            <w:pPr>
              <w:spacing w:after="0" w:line="240" w:lineRule="auto"/>
              <w:ind w:right="83"/>
              <w:contextualSpacing/>
              <w:jc w:val="center"/>
              <w:rPr>
                <w:rFonts w:asciiTheme="minorHAnsi" w:hAnsiTheme="minorHAnsi"/>
                <w:b/>
                <w:bCs/>
                <w:sz w:val="18"/>
                <w:szCs w:val="18"/>
              </w:rPr>
            </w:pPr>
            <w:r w:rsidRPr="000F70E8">
              <w:rPr>
                <w:rFonts w:asciiTheme="minorHAnsi" w:hAnsiTheme="minorHAnsi"/>
                <w:b/>
                <w:bCs/>
                <w:sz w:val="18"/>
                <w:szCs w:val="18"/>
              </w:rPr>
              <w:t>UNITS</w:t>
            </w:r>
          </w:p>
        </w:tc>
        <w:tc>
          <w:tcPr>
            <w:tcW w:w="1620" w:type="dxa"/>
            <w:tcBorders>
              <w:top w:val="nil"/>
              <w:left w:val="nil"/>
              <w:bottom w:val="single" w:sz="4" w:space="0" w:color="auto"/>
              <w:right w:val="nil"/>
            </w:tcBorders>
            <w:shd w:val="clear" w:color="auto" w:fill="C2D69B" w:themeFill="accent3" w:themeFillTint="99"/>
            <w:noWrap/>
            <w:vAlign w:val="center"/>
            <w:hideMark/>
          </w:tcPr>
          <w:p w14:paraId="4F980F24" w14:textId="77777777" w:rsidR="002964FC" w:rsidRPr="000F70E8" w:rsidRDefault="002964FC" w:rsidP="00184B44">
            <w:pPr>
              <w:spacing w:after="0" w:line="240" w:lineRule="auto"/>
              <w:ind w:right="83"/>
              <w:contextualSpacing/>
              <w:jc w:val="center"/>
              <w:rPr>
                <w:rFonts w:asciiTheme="minorHAnsi" w:hAnsiTheme="minorHAnsi"/>
                <w:b/>
                <w:bCs/>
                <w:sz w:val="18"/>
                <w:szCs w:val="18"/>
              </w:rPr>
            </w:pPr>
            <w:r w:rsidRPr="000F70E8">
              <w:rPr>
                <w:rFonts w:asciiTheme="minorHAnsi" w:hAnsiTheme="minorHAnsi"/>
                <w:b/>
                <w:bCs/>
                <w:sz w:val="18"/>
                <w:szCs w:val="18"/>
              </w:rPr>
              <w:t>REBATE</w:t>
            </w:r>
          </w:p>
        </w:tc>
        <w:tc>
          <w:tcPr>
            <w:tcW w:w="1823" w:type="dxa"/>
            <w:vMerge/>
            <w:tcBorders>
              <w:left w:val="nil"/>
              <w:bottom w:val="single" w:sz="4" w:space="0" w:color="auto"/>
              <w:right w:val="single" w:sz="4" w:space="0" w:color="auto"/>
            </w:tcBorders>
            <w:shd w:val="clear" w:color="auto" w:fill="C2D69B" w:themeFill="accent3" w:themeFillTint="99"/>
            <w:noWrap/>
            <w:vAlign w:val="center"/>
            <w:hideMark/>
          </w:tcPr>
          <w:p w14:paraId="1789AB07" w14:textId="1CD39EB6" w:rsidR="002964FC" w:rsidRPr="000F70E8" w:rsidRDefault="002964FC" w:rsidP="00184B44">
            <w:pPr>
              <w:spacing w:after="0" w:line="240" w:lineRule="auto"/>
              <w:ind w:right="83"/>
              <w:contextualSpacing/>
              <w:jc w:val="center"/>
              <w:rPr>
                <w:rFonts w:asciiTheme="minorHAnsi" w:hAnsiTheme="minorHAnsi"/>
                <w:b/>
                <w:bCs/>
                <w:sz w:val="18"/>
                <w:szCs w:val="18"/>
              </w:rPr>
            </w:pPr>
          </w:p>
        </w:tc>
      </w:tr>
      <w:tr w:rsidR="00184B44" w:rsidRPr="000F70E8" w14:paraId="650125C1" w14:textId="77777777" w:rsidTr="009D4CEF">
        <w:trPr>
          <w:trHeight w:val="372"/>
          <w:jc w:val="center"/>
        </w:trPr>
        <w:tc>
          <w:tcPr>
            <w:tcW w:w="3361" w:type="dxa"/>
            <w:tcBorders>
              <w:top w:val="single" w:sz="4" w:space="0" w:color="auto"/>
            </w:tcBorders>
            <w:noWrap/>
            <w:vAlign w:val="center"/>
            <w:hideMark/>
          </w:tcPr>
          <w:p w14:paraId="2D52AF72" w14:textId="121E3E83" w:rsidR="00184B44" w:rsidRPr="00184B44" w:rsidRDefault="00184B44" w:rsidP="00184B44">
            <w:pPr>
              <w:spacing w:after="0" w:line="240" w:lineRule="auto"/>
              <w:ind w:right="83"/>
              <w:contextualSpacing/>
              <w:jc w:val="center"/>
              <w:rPr>
                <w:rFonts w:asciiTheme="minorHAnsi" w:hAnsiTheme="minorHAnsi"/>
                <w:b/>
                <w:bCs/>
                <w:i/>
                <w:sz w:val="18"/>
                <w:szCs w:val="18"/>
              </w:rPr>
            </w:pPr>
            <w:r w:rsidRPr="00184B44">
              <w:rPr>
                <w:rFonts w:asciiTheme="minorHAnsi" w:hAnsiTheme="minorHAnsi"/>
                <w:b/>
                <w:bCs/>
                <w:i/>
                <w:sz w:val="18"/>
                <w:szCs w:val="18"/>
              </w:rPr>
              <w:t>Prescriptive Measures</w:t>
            </w:r>
          </w:p>
        </w:tc>
        <w:tc>
          <w:tcPr>
            <w:tcW w:w="2158" w:type="dxa"/>
            <w:tcBorders>
              <w:top w:val="single" w:sz="4" w:space="0" w:color="auto"/>
            </w:tcBorders>
            <w:noWrap/>
            <w:vAlign w:val="center"/>
            <w:hideMark/>
          </w:tcPr>
          <w:p w14:paraId="58217A89" w14:textId="507AEE66" w:rsidR="00184B44" w:rsidRPr="000F70E8" w:rsidRDefault="00184B44" w:rsidP="00184B44">
            <w:pPr>
              <w:spacing w:after="0" w:line="240" w:lineRule="auto"/>
              <w:ind w:right="83"/>
              <w:contextualSpacing/>
              <w:jc w:val="center"/>
              <w:rPr>
                <w:rFonts w:asciiTheme="minorHAnsi" w:hAnsiTheme="minorHAnsi"/>
                <w:b/>
                <w:sz w:val="18"/>
                <w:szCs w:val="18"/>
              </w:rPr>
            </w:pPr>
          </w:p>
        </w:tc>
        <w:tc>
          <w:tcPr>
            <w:tcW w:w="956" w:type="dxa"/>
            <w:tcBorders>
              <w:top w:val="single" w:sz="4" w:space="0" w:color="auto"/>
            </w:tcBorders>
            <w:noWrap/>
            <w:vAlign w:val="center"/>
            <w:hideMark/>
          </w:tcPr>
          <w:p w14:paraId="1766B69C" w14:textId="1718941A" w:rsidR="00184B44" w:rsidRPr="000F70E8" w:rsidRDefault="00184B44" w:rsidP="00184B44">
            <w:pPr>
              <w:spacing w:after="0" w:line="240" w:lineRule="auto"/>
              <w:ind w:right="83"/>
              <w:contextualSpacing/>
              <w:jc w:val="center"/>
              <w:rPr>
                <w:rFonts w:asciiTheme="minorHAnsi" w:hAnsiTheme="minorHAnsi"/>
                <w:b/>
                <w:sz w:val="18"/>
                <w:szCs w:val="18"/>
              </w:rPr>
            </w:pPr>
          </w:p>
        </w:tc>
        <w:tc>
          <w:tcPr>
            <w:tcW w:w="1620" w:type="dxa"/>
            <w:tcBorders>
              <w:top w:val="single" w:sz="4" w:space="0" w:color="auto"/>
            </w:tcBorders>
            <w:noWrap/>
            <w:vAlign w:val="center"/>
            <w:hideMark/>
          </w:tcPr>
          <w:p w14:paraId="5A78342B" w14:textId="24F66324" w:rsidR="00184B44" w:rsidRPr="000F70E8" w:rsidRDefault="00184B44" w:rsidP="00184B44">
            <w:pPr>
              <w:spacing w:after="0" w:line="240" w:lineRule="auto"/>
              <w:ind w:right="83"/>
              <w:contextualSpacing/>
              <w:jc w:val="center"/>
              <w:rPr>
                <w:rFonts w:asciiTheme="minorHAnsi" w:hAnsiTheme="minorHAnsi"/>
                <w:b/>
                <w:sz w:val="18"/>
                <w:szCs w:val="18"/>
              </w:rPr>
            </w:pPr>
          </w:p>
        </w:tc>
        <w:tc>
          <w:tcPr>
            <w:tcW w:w="1823" w:type="dxa"/>
            <w:tcBorders>
              <w:top w:val="single" w:sz="4" w:space="0" w:color="auto"/>
            </w:tcBorders>
            <w:noWrap/>
            <w:vAlign w:val="center"/>
            <w:hideMark/>
          </w:tcPr>
          <w:p w14:paraId="507649FC" w14:textId="1B4630AD" w:rsidR="00184B44" w:rsidRPr="000F70E8" w:rsidRDefault="00184B44" w:rsidP="00184B44">
            <w:pPr>
              <w:spacing w:after="0" w:line="240" w:lineRule="auto"/>
              <w:ind w:right="83"/>
              <w:contextualSpacing/>
              <w:rPr>
                <w:rFonts w:asciiTheme="minorHAnsi" w:hAnsiTheme="minorHAnsi"/>
                <w:b/>
                <w:sz w:val="18"/>
                <w:szCs w:val="18"/>
              </w:rPr>
            </w:pPr>
          </w:p>
        </w:tc>
      </w:tr>
      <w:tr w:rsidR="00184B44" w:rsidRPr="000F70E8" w14:paraId="4DD3A54F" w14:textId="77777777" w:rsidTr="009D4CEF">
        <w:trPr>
          <w:trHeight w:val="264"/>
          <w:jc w:val="center"/>
        </w:trPr>
        <w:tc>
          <w:tcPr>
            <w:tcW w:w="3361" w:type="dxa"/>
            <w:noWrap/>
            <w:vAlign w:val="center"/>
            <w:hideMark/>
          </w:tcPr>
          <w:p w14:paraId="78125BD0"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HVAC Unit Heater</w:t>
            </w:r>
          </w:p>
        </w:tc>
        <w:tc>
          <w:tcPr>
            <w:tcW w:w="2158" w:type="dxa"/>
            <w:noWrap/>
            <w:vAlign w:val="center"/>
            <w:hideMark/>
          </w:tcPr>
          <w:p w14:paraId="735940AE"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0.61</w:t>
            </w:r>
          </w:p>
        </w:tc>
        <w:tc>
          <w:tcPr>
            <w:tcW w:w="956" w:type="dxa"/>
            <w:noWrap/>
            <w:vAlign w:val="center"/>
            <w:hideMark/>
          </w:tcPr>
          <w:p w14:paraId="421358CF"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kBtu/hr</w:t>
            </w:r>
          </w:p>
        </w:tc>
        <w:tc>
          <w:tcPr>
            <w:tcW w:w="1620" w:type="dxa"/>
            <w:noWrap/>
            <w:vAlign w:val="center"/>
            <w:hideMark/>
          </w:tcPr>
          <w:p w14:paraId="7B42D1F1" w14:textId="3FD76D0A"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1.50</w:t>
            </w:r>
          </w:p>
        </w:tc>
        <w:tc>
          <w:tcPr>
            <w:tcW w:w="1823" w:type="dxa"/>
            <w:noWrap/>
            <w:vAlign w:val="center"/>
            <w:hideMark/>
          </w:tcPr>
          <w:p w14:paraId="4D7CF519" w14:textId="3EEA0B4A" w:rsidR="00184B44" w:rsidRPr="000F70E8" w:rsidRDefault="00184B44" w:rsidP="00184B44">
            <w:pPr>
              <w:spacing w:after="0" w:line="240" w:lineRule="auto"/>
              <w:ind w:right="83"/>
              <w:contextualSpacing/>
              <w:rPr>
                <w:rFonts w:asciiTheme="minorHAnsi" w:hAnsiTheme="minorHAnsi"/>
                <w:b/>
                <w:sz w:val="18"/>
                <w:szCs w:val="18"/>
              </w:rPr>
            </w:pPr>
          </w:p>
        </w:tc>
      </w:tr>
      <w:tr w:rsidR="00184B44" w:rsidRPr="000F70E8" w14:paraId="4E7AE7C5" w14:textId="77777777" w:rsidTr="009D4CEF">
        <w:trPr>
          <w:trHeight w:val="264"/>
          <w:jc w:val="center"/>
        </w:trPr>
        <w:tc>
          <w:tcPr>
            <w:tcW w:w="3361" w:type="dxa"/>
            <w:noWrap/>
            <w:vAlign w:val="center"/>
            <w:hideMark/>
          </w:tcPr>
          <w:p w14:paraId="4B79B0C0"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HVAC Unit Heater</w:t>
            </w:r>
          </w:p>
        </w:tc>
        <w:tc>
          <w:tcPr>
            <w:tcW w:w="2158" w:type="dxa"/>
            <w:noWrap/>
            <w:vAlign w:val="center"/>
            <w:hideMark/>
          </w:tcPr>
          <w:p w14:paraId="167E828E"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1.10</w:t>
            </w:r>
          </w:p>
        </w:tc>
        <w:tc>
          <w:tcPr>
            <w:tcW w:w="956" w:type="dxa"/>
            <w:noWrap/>
            <w:vAlign w:val="center"/>
            <w:hideMark/>
          </w:tcPr>
          <w:p w14:paraId="0E633C09"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kBtu/hr</w:t>
            </w:r>
          </w:p>
        </w:tc>
        <w:tc>
          <w:tcPr>
            <w:tcW w:w="1620" w:type="dxa"/>
            <w:noWrap/>
            <w:vAlign w:val="center"/>
            <w:hideMark/>
          </w:tcPr>
          <w:p w14:paraId="1002CC76" w14:textId="0434019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3.00</w:t>
            </w:r>
          </w:p>
        </w:tc>
        <w:tc>
          <w:tcPr>
            <w:tcW w:w="1823" w:type="dxa"/>
            <w:noWrap/>
            <w:vAlign w:val="center"/>
            <w:hideMark/>
          </w:tcPr>
          <w:p w14:paraId="566A7E44" w14:textId="25636247"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0.421</w:t>
            </w:r>
          </w:p>
        </w:tc>
      </w:tr>
      <w:tr w:rsidR="00184B44" w:rsidRPr="000F70E8" w14:paraId="2326D97D" w14:textId="77777777" w:rsidTr="009D4CEF">
        <w:trPr>
          <w:trHeight w:val="264"/>
          <w:jc w:val="center"/>
        </w:trPr>
        <w:tc>
          <w:tcPr>
            <w:tcW w:w="3361" w:type="dxa"/>
            <w:noWrap/>
            <w:vAlign w:val="center"/>
            <w:hideMark/>
          </w:tcPr>
          <w:p w14:paraId="5C1A4E13" w14:textId="70BE074C"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Warm Air Furnace</w:t>
            </w:r>
          </w:p>
        </w:tc>
        <w:tc>
          <w:tcPr>
            <w:tcW w:w="2158" w:type="dxa"/>
            <w:noWrap/>
            <w:vAlign w:val="center"/>
            <w:hideMark/>
          </w:tcPr>
          <w:p w14:paraId="7832231D"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1.10</w:t>
            </w:r>
          </w:p>
        </w:tc>
        <w:tc>
          <w:tcPr>
            <w:tcW w:w="956" w:type="dxa"/>
            <w:noWrap/>
            <w:vAlign w:val="center"/>
            <w:hideMark/>
          </w:tcPr>
          <w:p w14:paraId="367A052C"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kBtu/hr</w:t>
            </w:r>
          </w:p>
        </w:tc>
        <w:tc>
          <w:tcPr>
            <w:tcW w:w="1620" w:type="dxa"/>
            <w:noWrap/>
            <w:vAlign w:val="center"/>
            <w:hideMark/>
          </w:tcPr>
          <w:p w14:paraId="022549B9" w14:textId="166F88E8"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3.00</w:t>
            </w:r>
          </w:p>
        </w:tc>
        <w:tc>
          <w:tcPr>
            <w:tcW w:w="1823" w:type="dxa"/>
            <w:noWrap/>
            <w:vAlign w:val="center"/>
            <w:hideMark/>
          </w:tcPr>
          <w:p w14:paraId="6B89DE6D" w14:textId="77506183"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0.421</w:t>
            </w:r>
          </w:p>
        </w:tc>
      </w:tr>
      <w:tr w:rsidR="00184B44" w:rsidRPr="000F70E8" w14:paraId="143BA4CE" w14:textId="77777777" w:rsidTr="009D4CEF">
        <w:trPr>
          <w:trHeight w:val="240"/>
          <w:jc w:val="center"/>
        </w:trPr>
        <w:tc>
          <w:tcPr>
            <w:tcW w:w="3361" w:type="dxa"/>
            <w:noWrap/>
            <w:vAlign w:val="center"/>
            <w:hideMark/>
          </w:tcPr>
          <w:p w14:paraId="24724B61"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Radiant Heating</w:t>
            </w:r>
          </w:p>
        </w:tc>
        <w:tc>
          <w:tcPr>
            <w:tcW w:w="2158" w:type="dxa"/>
            <w:noWrap/>
            <w:vAlign w:val="center"/>
            <w:hideMark/>
          </w:tcPr>
          <w:p w14:paraId="4FC2A034"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4.33</w:t>
            </w:r>
          </w:p>
        </w:tc>
        <w:tc>
          <w:tcPr>
            <w:tcW w:w="956" w:type="dxa"/>
            <w:noWrap/>
            <w:vAlign w:val="center"/>
            <w:hideMark/>
          </w:tcPr>
          <w:p w14:paraId="7888CE2B"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kBtu/hr</w:t>
            </w:r>
          </w:p>
        </w:tc>
        <w:tc>
          <w:tcPr>
            <w:tcW w:w="1620" w:type="dxa"/>
            <w:noWrap/>
            <w:vAlign w:val="center"/>
            <w:hideMark/>
          </w:tcPr>
          <w:p w14:paraId="335A3B50" w14:textId="31155565"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6.50</w:t>
            </w:r>
          </w:p>
        </w:tc>
        <w:tc>
          <w:tcPr>
            <w:tcW w:w="1823" w:type="dxa"/>
            <w:noWrap/>
            <w:vAlign w:val="center"/>
          </w:tcPr>
          <w:p w14:paraId="27A230EC" w14:textId="52A11173" w:rsidR="00184B44" w:rsidRPr="000F70E8" w:rsidRDefault="00184B44" w:rsidP="00184B44">
            <w:pPr>
              <w:spacing w:after="0" w:line="240" w:lineRule="auto"/>
              <w:ind w:right="83"/>
              <w:contextualSpacing/>
              <w:rPr>
                <w:rFonts w:asciiTheme="minorHAnsi" w:hAnsiTheme="minorHAnsi"/>
                <w:b/>
                <w:sz w:val="18"/>
                <w:szCs w:val="18"/>
              </w:rPr>
            </w:pPr>
          </w:p>
        </w:tc>
      </w:tr>
      <w:tr w:rsidR="00184B44" w:rsidRPr="000F70E8" w14:paraId="072D0FE4" w14:textId="77777777" w:rsidTr="009D4CEF">
        <w:trPr>
          <w:trHeight w:val="264"/>
          <w:jc w:val="center"/>
        </w:trPr>
        <w:tc>
          <w:tcPr>
            <w:tcW w:w="3361" w:type="dxa"/>
            <w:noWrap/>
            <w:vAlign w:val="center"/>
            <w:hideMark/>
          </w:tcPr>
          <w:p w14:paraId="4F2E28DC" w14:textId="5F41EF23"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Insulation-Attic</w:t>
            </w:r>
          </w:p>
        </w:tc>
        <w:tc>
          <w:tcPr>
            <w:tcW w:w="2158" w:type="dxa"/>
            <w:noWrap/>
            <w:vAlign w:val="center"/>
            <w:hideMark/>
          </w:tcPr>
          <w:p w14:paraId="38E25857"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0.40</w:t>
            </w:r>
          </w:p>
        </w:tc>
        <w:tc>
          <w:tcPr>
            <w:tcW w:w="956" w:type="dxa"/>
            <w:noWrap/>
            <w:vAlign w:val="center"/>
            <w:hideMark/>
          </w:tcPr>
          <w:p w14:paraId="5E63C1F8"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sq. ft.</w:t>
            </w:r>
          </w:p>
        </w:tc>
        <w:tc>
          <w:tcPr>
            <w:tcW w:w="1620" w:type="dxa"/>
            <w:noWrap/>
            <w:vAlign w:val="center"/>
            <w:hideMark/>
          </w:tcPr>
          <w:p w14:paraId="3415220F" w14:textId="6B316499"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0.50</w:t>
            </w:r>
          </w:p>
        </w:tc>
        <w:tc>
          <w:tcPr>
            <w:tcW w:w="1823" w:type="dxa"/>
            <w:noWrap/>
            <w:vAlign w:val="center"/>
          </w:tcPr>
          <w:p w14:paraId="29C8608F" w14:textId="08273EB9" w:rsidR="00184B44" w:rsidRPr="000F70E8" w:rsidRDefault="00184B44" w:rsidP="00184B44">
            <w:pPr>
              <w:spacing w:after="0" w:line="240" w:lineRule="auto"/>
              <w:ind w:right="83"/>
              <w:contextualSpacing/>
              <w:rPr>
                <w:rFonts w:asciiTheme="minorHAnsi" w:hAnsiTheme="minorHAnsi"/>
                <w:b/>
                <w:sz w:val="18"/>
                <w:szCs w:val="18"/>
              </w:rPr>
            </w:pPr>
          </w:p>
        </w:tc>
      </w:tr>
      <w:tr w:rsidR="00184B44" w:rsidRPr="000F70E8" w14:paraId="54A699B3" w14:textId="77777777" w:rsidTr="009D4CEF">
        <w:trPr>
          <w:trHeight w:val="264"/>
          <w:jc w:val="center"/>
        </w:trPr>
        <w:tc>
          <w:tcPr>
            <w:tcW w:w="3361" w:type="dxa"/>
            <w:noWrap/>
            <w:vAlign w:val="center"/>
            <w:hideMark/>
          </w:tcPr>
          <w:p w14:paraId="66C74B4F" w14:textId="0459535F"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Insulation-Attic</w:t>
            </w:r>
          </w:p>
        </w:tc>
        <w:tc>
          <w:tcPr>
            <w:tcW w:w="2158" w:type="dxa"/>
            <w:noWrap/>
            <w:vAlign w:val="center"/>
            <w:hideMark/>
          </w:tcPr>
          <w:p w14:paraId="06A0F95C"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0.22</w:t>
            </w:r>
          </w:p>
        </w:tc>
        <w:tc>
          <w:tcPr>
            <w:tcW w:w="956" w:type="dxa"/>
            <w:noWrap/>
            <w:vAlign w:val="center"/>
            <w:hideMark/>
          </w:tcPr>
          <w:p w14:paraId="688AE1DC"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sq. ft.</w:t>
            </w:r>
          </w:p>
        </w:tc>
        <w:tc>
          <w:tcPr>
            <w:tcW w:w="1620" w:type="dxa"/>
            <w:noWrap/>
            <w:vAlign w:val="center"/>
            <w:hideMark/>
          </w:tcPr>
          <w:p w14:paraId="3307B1E7" w14:textId="3C5A7F88"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0.50</w:t>
            </w:r>
          </w:p>
        </w:tc>
        <w:tc>
          <w:tcPr>
            <w:tcW w:w="1823" w:type="dxa"/>
            <w:noWrap/>
            <w:vAlign w:val="center"/>
          </w:tcPr>
          <w:p w14:paraId="4940C3DC" w14:textId="649DFFCB" w:rsidR="00184B44" w:rsidRPr="000F70E8" w:rsidRDefault="00184B44" w:rsidP="00184B44">
            <w:pPr>
              <w:spacing w:after="0" w:line="240" w:lineRule="auto"/>
              <w:ind w:right="83"/>
              <w:contextualSpacing/>
              <w:rPr>
                <w:rFonts w:asciiTheme="minorHAnsi" w:hAnsiTheme="minorHAnsi"/>
                <w:b/>
                <w:sz w:val="18"/>
                <w:szCs w:val="18"/>
              </w:rPr>
            </w:pPr>
          </w:p>
        </w:tc>
      </w:tr>
      <w:tr w:rsidR="00184B44" w:rsidRPr="000F70E8" w14:paraId="35827E22" w14:textId="77777777" w:rsidTr="009D4CEF">
        <w:trPr>
          <w:trHeight w:val="264"/>
          <w:jc w:val="center"/>
        </w:trPr>
        <w:tc>
          <w:tcPr>
            <w:tcW w:w="3361" w:type="dxa"/>
            <w:noWrap/>
            <w:vAlign w:val="center"/>
            <w:hideMark/>
          </w:tcPr>
          <w:p w14:paraId="16634C82" w14:textId="26C02B6D"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Insulation-Attic</w:t>
            </w:r>
          </w:p>
        </w:tc>
        <w:tc>
          <w:tcPr>
            <w:tcW w:w="2158" w:type="dxa"/>
            <w:noWrap/>
            <w:vAlign w:val="center"/>
            <w:hideMark/>
          </w:tcPr>
          <w:p w14:paraId="7A7AE0F4"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0.41</w:t>
            </w:r>
          </w:p>
        </w:tc>
        <w:tc>
          <w:tcPr>
            <w:tcW w:w="956" w:type="dxa"/>
            <w:noWrap/>
            <w:vAlign w:val="center"/>
            <w:hideMark/>
          </w:tcPr>
          <w:p w14:paraId="5714E6A7"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sq. ft.</w:t>
            </w:r>
          </w:p>
        </w:tc>
        <w:tc>
          <w:tcPr>
            <w:tcW w:w="1620" w:type="dxa"/>
            <w:noWrap/>
            <w:vAlign w:val="center"/>
            <w:hideMark/>
          </w:tcPr>
          <w:p w14:paraId="57E171CD" w14:textId="29A623A1"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0.65</w:t>
            </w:r>
          </w:p>
        </w:tc>
        <w:tc>
          <w:tcPr>
            <w:tcW w:w="1823" w:type="dxa"/>
            <w:noWrap/>
            <w:vAlign w:val="center"/>
          </w:tcPr>
          <w:p w14:paraId="7ED7BD34" w14:textId="1C6AFE9E" w:rsidR="00184B44" w:rsidRPr="000F70E8" w:rsidRDefault="00184B44" w:rsidP="00184B44">
            <w:pPr>
              <w:spacing w:after="0" w:line="240" w:lineRule="auto"/>
              <w:ind w:right="83"/>
              <w:contextualSpacing/>
              <w:rPr>
                <w:rFonts w:asciiTheme="minorHAnsi" w:hAnsiTheme="minorHAnsi"/>
                <w:b/>
                <w:sz w:val="18"/>
                <w:szCs w:val="18"/>
              </w:rPr>
            </w:pPr>
          </w:p>
        </w:tc>
      </w:tr>
      <w:tr w:rsidR="00184B44" w:rsidRPr="000F70E8" w14:paraId="77E52015" w14:textId="77777777" w:rsidTr="009D4CEF">
        <w:trPr>
          <w:trHeight w:val="264"/>
          <w:jc w:val="center"/>
        </w:trPr>
        <w:tc>
          <w:tcPr>
            <w:tcW w:w="3361" w:type="dxa"/>
            <w:noWrap/>
            <w:vAlign w:val="center"/>
            <w:hideMark/>
          </w:tcPr>
          <w:p w14:paraId="6A2DBD22" w14:textId="051C8E29"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Insulation-Attic</w:t>
            </w:r>
          </w:p>
        </w:tc>
        <w:tc>
          <w:tcPr>
            <w:tcW w:w="2158" w:type="dxa"/>
            <w:noWrap/>
            <w:vAlign w:val="center"/>
            <w:hideMark/>
          </w:tcPr>
          <w:p w14:paraId="77BDB8EF"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0.23</w:t>
            </w:r>
          </w:p>
        </w:tc>
        <w:tc>
          <w:tcPr>
            <w:tcW w:w="956" w:type="dxa"/>
            <w:noWrap/>
            <w:vAlign w:val="center"/>
            <w:hideMark/>
          </w:tcPr>
          <w:p w14:paraId="446CA521"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sq. ft.</w:t>
            </w:r>
          </w:p>
        </w:tc>
        <w:tc>
          <w:tcPr>
            <w:tcW w:w="1620" w:type="dxa"/>
            <w:noWrap/>
            <w:vAlign w:val="center"/>
            <w:hideMark/>
          </w:tcPr>
          <w:p w14:paraId="1707CA04" w14:textId="456219E9"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0.65</w:t>
            </w:r>
          </w:p>
        </w:tc>
        <w:tc>
          <w:tcPr>
            <w:tcW w:w="1823" w:type="dxa"/>
            <w:noWrap/>
            <w:vAlign w:val="center"/>
          </w:tcPr>
          <w:p w14:paraId="20DDCBEE" w14:textId="4FB6AE24" w:rsidR="00184B44" w:rsidRPr="000F70E8" w:rsidRDefault="00184B44" w:rsidP="00184B44">
            <w:pPr>
              <w:spacing w:after="0" w:line="240" w:lineRule="auto"/>
              <w:ind w:right="83"/>
              <w:contextualSpacing/>
              <w:rPr>
                <w:rFonts w:asciiTheme="minorHAnsi" w:hAnsiTheme="minorHAnsi"/>
                <w:b/>
                <w:sz w:val="18"/>
                <w:szCs w:val="18"/>
              </w:rPr>
            </w:pPr>
          </w:p>
        </w:tc>
      </w:tr>
      <w:tr w:rsidR="00184B44" w:rsidRPr="000F70E8" w14:paraId="5F5A35F3" w14:textId="77777777" w:rsidTr="009D4CEF">
        <w:trPr>
          <w:trHeight w:val="264"/>
          <w:jc w:val="center"/>
        </w:trPr>
        <w:tc>
          <w:tcPr>
            <w:tcW w:w="3361" w:type="dxa"/>
            <w:noWrap/>
            <w:vAlign w:val="center"/>
            <w:hideMark/>
          </w:tcPr>
          <w:p w14:paraId="2C0CAF6E" w14:textId="514F4D44"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Insulation-Roof</w:t>
            </w:r>
          </w:p>
        </w:tc>
        <w:tc>
          <w:tcPr>
            <w:tcW w:w="2158" w:type="dxa"/>
            <w:noWrap/>
            <w:vAlign w:val="center"/>
            <w:hideMark/>
          </w:tcPr>
          <w:p w14:paraId="7DB2D4B7"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0.45</w:t>
            </w:r>
          </w:p>
        </w:tc>
        <w:tc>
          <w:tcPr>
            <w:tcW w:w="956" w:type="dxa"/>
            <w:noWrap/>
            <w:vAlign w:val="center"/>
            <w:hideMark/>
          </w:tcPr>
          <w:p w14:paraId="509774CE"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sq. ft.</w:t>
            </w:r>
          </w:p>
        </w:tc>
        <w:tc>
          <w:tcPr>
            <w:tcW w:w="1620" w:type="dxa"/>
            <w:noWrap/>
            <w:vAlign w:val="center"/>
            <w:hideMark/>
          </w:tcPr>
          <w:p w14:paraId="5D68D448" w14:textId="335DE593"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0.60</w:t>
            </w:r>
          </w:p>
        </w:tc>
        <w:tc>
          <w:tcPr>
            <w:tcW w:w="1823" w:type="dxa"/>
            <w:noWrap/>
            <w:vAlign w:val="center"/>
          </w:tcPr>
          <w:p w14:paraId="19A4B902" w14:textId="2E438481" w:rsidR="00184B44" w:rsidRPr="000F70E8" w:rsidRDefault="00184B44" w:rsidP="00184B44">
            <w:pPr>
              <w:spacing w:after="0" w:line="240" w:lineRule="auto"/>
              <w:ind w:right="83"/>
              <w:contextualSpacing/>
              <w:rPr>
                <w:rFonts w:asciiTheme="minorHAnsi" w:hAnsiTheme="minorHAnsi"/>
                <w:b/>
                <w:sz w:val="18"/>
                <w:szCs w:val="18"/>
              </w:rPr>
            </w:pPr>
          </w:p>
        </w:tc>
      </w:tr>
      <w:tr w:rsidR="00184B44" w:rsidRPr="000F70E8" w14:paraId="29AFFBDF" w14:textId="77777777" w:rsidTr="009D4CEF">
        <w:trPr>
          <w:trHeight w:val="264"/>
          <w:jc w:val="center"/>
        </w:trPr>
        <w:tc>
          <w:tcPr>
            <w:tcW w:w="3361" w:type="dxa"/>
            <w:noWrap/>
            <w:vAlign w:val="center"/>
            <w:hideMark/>
          </w:tcPr>
          <w:p w14:paraId="22D49C45" w14:textId="4C617131"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Insulation-Roof</w:t>
            </w:r>
          </w:p>
        </w:tc>
        <w:tc>
          <w:tcPr>
            <w:tcW w:w="2158" w:type="dxa"/>
            <w:noWrap/>
            <w:vAlign w:val="center"/>
            <w:hideMark/>
          </w:tcPr>
          <w:p w14:paraId="517BD99C"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0.25</w:t>
            </w:r>
          </w:p>
        </w:tc>
        <w:tc>
          <w:tcPr>
            <w:tcW w:w="956" w:type="dxa"/>
            <w:noWrap/>
            <w:vAlign w:val="center"/>
            <w:hideMark/>
          </w:tcPr>
          <w:p w14:paraId="175807A5"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sq. ft.</w:t>
            </w:r>
          </w:p>
        </w:tc>
        <w:tc>
          <w:tcPr>
            <w:tcW w:w="1620" w:type="dxa"/>
            <w:noWrap/>
            <w:vAlign w:val="center"/>
            <w:hideMark/>
          </w:tcPr>
          <w:p w14:paraId="272A13D8" w14:textId="2BDA86C8"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0.60</w:t>
            </w:r>
          </w:p>
        </w:tc>
        <w:tc>
          <w:tcPr>
            <w:tcW w:w="1823" w:type="dxa"/>
            <w:noWrap/>
            <w:vAlign w:val="center"/>
          </w:tcPr>
          <w:p w14:paraId="14480336" w14:textId="6F3F1224" w:rsidR="00184B44" w:rsidRPr="000F70E8" w:rsidRDefault="00184B44" w:rsidP="00184B44">
            <w:pPr>
              <w:spacing w:after="0" w:line="240" w:lineRule="auto"/>
              <w:ind w:right="83"/>
              <w:contextualSpacing/>
              <w:rPr>
                <w:rFonts w:asciiTheme="minorHAnsi" w:hAnsiTheme="minorHAnsi"/>
                <w:b/>
                <w:sz w:val="18"/>
                <w:szCs w:val="18"/>
              </w:rPr>
            </w:pPr>
          </w:p>
        </w:tc>
      </w:tr>
      <w:tr w:rsidR="00184B44" w:rsidRPr="000F70E8" w14:paraId="2010B198" w14:textId="77777777" w:rsidTr="009D4CEF">
        <w:trPr>
          <w:trHeight w:val="264"/>
          <w:jc w:val="center"/>
        </w:trPr>
        <w:tc>
          <w:tcPr>
            <w:tcW w:w="3361" w:type="dxa"/>
            <w:noWrap/>
            <w:vAlign w:val="center"/>
            <w:hideMark/>
          </w:tcPr>
          <w:p w14:paraId="5F5E57E7" w14:textId="22A8ACCC"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Insulation-Roof</w:t>
            </w:r>
          </w:p>
        </w:tc>
        <w:tc>
          <w:tcPr>
            <w:tcW w:w="2158" w:type="dxa"/>
            <w:noWrap/>
            <w:vAlign w:val="center"/>
            <w:hideMark/>
          </w:tcPr>
          <w:p w14:paraId="415F141B"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0.46</w:t>
            </w:r>
          </w:p>
        </w:tc>
        <w:tc>
          <w:tcPr>
            <w:tcW w:w="956" w:type="dxa"/>
            <w:noWrap/>
            <w:vAlign w:val="center"/>
            <w:hideMark/>
          </w:tcPr>
          <w:p w14:paraId="77932BD1"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sq. ft.</w:t>
            </w:r>
          </w:p>
        </w:tc>
        <w:tc>
          <w:tcPr>
            <w:tcW w:w="1620" w:type="dxa"/>
            <w:noWrap/>
            <w:vAlign w:val="center"/>
            <w:hideMark/>
          </w:tcPr>
          <w:p w14:paraId="6404F339" w14:textId="7A9AE599"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0.80</w:t>
            </w:r>
          </w:p>
        </w:tc>
        <w:tc>
          <w:tcPr>
            <w:tcW w:w="1823" w:type="dxa"/>
            <w:noWrap/>
            <w:vAlign w:val="center"/>
          </w:tcPr>
          <w:p w14:paraId="2CF3CD1E" w14:textId="61A7E1A4" w:rsidR="00184B44" w:rsidRPr="000F70E8" w:rsidRDefault="00184B44" w:rsidP="00184B44">
            <w:pPr>
              <w:spacing w:after="0" w:line="240" w:lineRule="auto"/>
              <w:ind w:right="83"/>
              <w:contextualSpacing/>
              <w:rPr>
                <w:rFonts w:asciiTheme="minorHAnsi" w:hAnsiTheme="minorHAnsi"/>
                <w:b/>
                <w:sz w:val="18"/>
                <w:szCs w:val="18"/>
              </w:rPr>
            </w:pPr>
          </w:p>
        </w:tc>
      </w:tr>
      <w:tr w:rsidR="00184B44" w:rsidRPr="000F70E8" w14:paraId="494C1171" w14:textId="77777777" w:rsidTr="009D4CEF">
        <w:trPr>
          <w:trHeight w:val="264"/>
          <w:jc w:val="center"/>
        </w:trPr>
        <w:tc>
          <w:tcPr>
            <w:tcW w:w="3361" w:type="dxa"/>
            <w:noWrap/>
            <w:vAlign w:val="center"/>
            <w:hideMark/>
          </w:tcPr>
          <w:p w14:paraId="3B79E8D0" w14:textId="40A60EA2"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Insulation-Roof</w:t>
            </w:r>
          </w:p>
        </w:tc>
        <w:tc>
          <w:tcPr>
            <w:tcW w:w="2158" w:type="dxa"/>
            <w:noWrap/>
            <w:vAlign w:val="center"/>
            <w:hideMark/>
          </w:tcPr>
          <w:p w14:paraId="4EE5502C"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0.25</w:t>
            </w:r>
          </w:p>
        </w:tc>
        <w:tc>
          <w:tcPr>
            <w:tcW w:w="956" w:type="dxa"/>
            <w:noWrap/>
            <w:vAlign w:val="center"/>
            <w:hideMark/>
          </w:tcPr>
          <w:p w14:paraId="4E41954E"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sq. ft.</w:t>
            </w:r>
          </w:p>
        </w:tc>
        <w:tc>
          <w:tcPr>
            <w:tcW w:w="1620" w:type="dxa"/>
            <w:noWrap/>
            <w:vAlign w:val="center"/>
            <w:hideMark/>
          </w:tcPr>
          <w:p w14:paraId="4509ABB3" w14:textId="46B93A5F"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0.80</w:t>
            </w:r>
          </w:p>
        </w:tc>
        <w:tc>
          <w:tcPr>
            <w:tcW w:w="1823" w:type="dxa"/>
            <w:noWrap/>
            <w:vAlign w:val="center"/>
          </w:tcPr>
          <w:p w14:paraId="1F0CCE1E" w14:textId="00884672" w:rsidR="00184B44" w:rsidRPr="000F70E8" w:rsidRDefault="00184B44" w:rsidP="00184B44">
            <w:pPr>
              <w:spacing w:after="0" w:line="240" w:lineRule="auto"/>
              <w:ind w:right="83"/>
              <w:contextualSpacing/>
              <w:rPr>
                <w:rFonts w:asciiTheme="minorHAnsi" w:hAnsiTheme="minorHAnsi"/>
                <w:b/>
                <w:sz w:val="18"/>
                <w:szCs w:val="18"/>
              </w:rPr>
            </w:pPr>
          </w:p>
        </w:tc>
      </w:tr>
      <w:tr w:rsidR="00184B44" w:rsidRPr="000F70E8" w14:paraId="21BCAC63" w14:textId="77777777" w:rsidTr="009D4CEF">
        <w:trPr>
          <w:trHeight w:val="264"/>
          <w:jc w:val="center"/>
        </w:trPr>
        <w:tc>
          <w:tcPr>
            <w:tcW w:w="3361" w:type="dxa"/>
            <w:noWrap/>
            <w:vAlign w:val="center"/>
            <w:hideMark/>
          </w:tcPr>
          <w:p w14:paraId="0645ECE7" w14:textId="2F1191A8"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Insulation-Wall</w:t>
            </w:r>
          </w:p>
        </w:tc>
        <w:tc>
          <w:tcPr>
            <w:tcW w:w="2158" w:type="dxa"/>
            <w:noWrap/>
            <w:vAlign w:val="center"/>
            <w:hideMark/>
          </w:tcPr>
          <w:p w14:paraId="439E0D05"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0.22</w:t>
            </w:r>
          </w:p>
        </w:tc>
        <w:tc>
          <w:tcPr>
            <w:tcW w:w="956" w:type="dxa"/>
            <w:noWrap/>
            <w:vAlign w:val="center"/>
            <w:hideMark/>
          </w:tcPr>
          <w:p w14:paraId="21664E03"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sq. ft.</w:t>
            </w:r>
          </w:p>
        </w:tc>
        <w:tc>
          <w:tcPr>
            <w:tcW w:w="1620" w:type="dxa"/>
            <w:noWrap/>
            <w:vAlign w:val="center"/>
            <w:hideMark/>
          </w:tcPr>
          <w:p w14:paraId="6CCB90B8" w14:textId="3827AA48"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0.30</w:t>
            </w:r>
          </w:p>
        </w:tc>
        <w:tc>
          <w:tcPr>
            <w:tcW w:w="1823" w:type="dxa"/>
            <w:noWrap/>
            <w:vAlign w:val="center"/>
          </w:tcPr>
          <w:p w14:paraId="587BD58F" w14:textId="07032C2E" w:rsidR="00184B44" w:rsidRPr="000F70E8" w:rsidRDefault="00184B44" w:rsidP="00184B44">
            <w:pPr>
              <w:spacing w:after="0" w:line="240" w:lineRule="auto"/>
              <w:ind w:right="83"/>
              <w:contextualSpacing/>
              <w:rPr>
                <w:rFonts w:asciiTheme="minorHAnsi" w:hAnsiTheme="minorHAnsi"/>
                <w:b/>
                <w:sz w:val="18"/>
                <w:szCs w:val="18"/>
              </w:rPr>
            </w:pPr>
          </w:p>
        </w:tc>
      </w:tr>
      <w:tr w:rsidR="00184B44" w:rsidRPr="000F70E8" w14:paraId="7D39AB62" w14:textId="77777777" w:rsidTr="009D4CEF">
        <w:trPr>
          <w:trHeight w:val="264"/>
          <w:jc w:val="center"/>
        </w:trPr>
        <w:tc>
          <w:tcPr>
            <w:tcW w:w="3361" w:type="dxa"/>
            <w:noWrap/>
            <w:vAlign w:val="center"/>
            <w:hideMark/>
          </w:tcPr>
          <w:p w14:paraId="5E2E18D8" w14:textId="0037F8F1"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Insulation-Wall</w:t>
            </w:r>
          </w:p>
        </w:tc>
        <w:tc>
          <w:tcPr>
            <w:tcW w:w="2158" w:type="dxa"/>
            <w:noWrap/>
            <w:vAlign w:val="center"/>
            <w:hideMark/>
          </w:tcPr>
          <w:p w14:paraId="297C103B"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0.12</w:t>
            </w:r>
          </w:p>
        </w:tc>
        <w:tc>
          <w:tcPr>
            <w:tcW w:w="956" w:type="dxa"/>
            <w:noWrap/>
            <w:vAlign w:val="center"/>
            <w:hideMark/>
          </w:tcPr>
          <w:p w14:paraId="17876148"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sq. ft.</w:t>
            </w:r>
          </w:p>
        </w:tc>
        <w:tc>
          <w:tcPr>
            <w:tcW w:w="1620" w:type="dxa"/>
            <w:noWrap/>
            <w:vAlign w:val="center"/>
            <w:hideMark/>
          </w:tcPr>
          <w:p w14:paraId="3FABC353" w14:textId="41078126"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0.30</w:t>
            </w:r>
          </w:p>
        </w:tc>
        <w:tc>
          <w:tcPr>
            <w:tcW w:w="1823" w:type="dxa"/>
            <w:noWrap/>
            <w:vAlign w:val="center"/>
          </w:tcPr>
          <w:p w14:paraId="3B711B86" w14:textId="1FC28CFF" w:rsidR="00184B44" w:rsidRPr="000F70E8" w:rsidRDefault="00184B44" w:rsidP="00184B44">
            <w:pPr>
              <w:spacing w:after="0" w:line="240" w:lineRule="auto"/>
              <w:ind w:right="83"/>
              <w:contextualSpacing/>
              <w:rPr>
                <w:rFonts w:asciiTheme="minorHAnsi" w:hAnsiTheme="minorHAnsi"/>
                <w:b/>
                <w:sz w:val="18"/>
                <w:szCs w:val="18"/>
              </w:rPr>
            </w:pPr>
          </w:p>
        </w:tc>
      </w:tr>
      <w:tr w:rsidR="00184B44" w:rsidRPr="000F70E8" w14:paraId="68EDF4DA" w14:textId="77777777" w:rsidTr="009D4CEF">
        <w:trPr>
          <w:trHeight w:val="264"/>
          <w:jc w:val="center"/>
        </w:trPr>
        <w:tc>
          <w:tcPr>
            <w:tcW w:w="3361" w:type="dxa"/>
            <w:noWrap/>
            <w:vAlign w:val="center"/>
            <w:hideMark/>
          </w:tcPr>
          <w:p w14:paraId="2870C849" w14:textId="40763F53"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Insulation-Wall</w:t>
            </w:r>
          </w:p>
        </w:tc>
        <w:tc>
          <w:tcPr>
            <w:tcW w:w="2158" w:type="dxa"/>
            <w:noWrap/>
            <w:vAlign w:val="center"/>
            <w:hideMark/>
          </w:tcPr>
          <w:p w14:paraId="09C071C3"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0.24</w:t>
            </w:r>
          </w:p>
        </w:tc>
        <w:tc>
          <w:tcPr>
            <w:tcW w:w="956" w:type="dxa"/>
            <w:noWrap/>
            <w:vAlign w:val="center"/>
            <w:hideMark/>
          </w:tcPr>
          <w:p w14:paraId="36D90621"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sq. ft.</w:t>
            </w:r>
          </w:p>
        </w:tc>
        <w:tc>
          <w:tcPr>
            <w:tcW w:w="1620" w:type="dxa"/>
            <w:noWrap/>
            <w:vAlign w:val="center"/>
            <w:hideMark/>
          </w:tcPr>
          <w:p w14:paraId="3ECCF3FC" w14:textId="1E1D0340"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0.40</w:t>
            </w:r>
          </w:p>
        </w:tc>
        <w:tc>
          <w:tcPr>
            <w:tcW w:w="1823" w:type="dxa"/>
            <w:noWrap/>
            <w:vAlign w:val="center"/>
          </w:tcPr>
          <w:p w14:paraId="57B8D5C6" w14:textId="05A7DF08" w:rsidR="00184B44" w:rsidRPr="000F70E8" w:rsidRDefault="00184B44" w:rsidP="00184B44">
            <w:pPr>
              <w:spacing w:after="0" w:line="240" w:lineRule="auto"/>
              <w:ind w:right="83"/>
              <w:contextualSpacing/>
              <w:rPr>
                <w:rFonts w:asciiTheme="minorHAnsi" w:hAnsiTheme="minorHAnsi"/>
                <w:b/>
                <w:sz w:val="18"/>
                <w:szCs w:val="18"/>
              </w:rPr>
            </w:pPr>
          </w:p>
        </w:tc>
      </w:tr>
      <w:tr w:rsidR="00184B44" w:rsidRPr="000F70E8" w14:paraId="7A24BE85" w14:textId="77777777" w:rsidTr="009D4CEF">
        <w:trPr>
          <w:trHeight w:val="264"/>
          <w:jc w:val="center"/>
        </w:trPr>
        <w:tc>
          <w:tcPr>
            <w:tcW w:w="3361" w:type="dxa"/>
            <w:noWrap/>
            <w:vAlign w:val="center"/>
            <w:hideMark/>
          </w:tcPr>
          <w:p w14:paraId="0BD74CEE" w14:textId="4178BDF0"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Insulation-Wall</w:t>
            </w:r>
          </w:p>
        </w:tc>
        <w:tc>
          <w:tcPr>
            <w:tcW w:w="2158" w:type="dxa"/>
            <w:noWrap/>
            <w:vAlign w:val="center"/>
            <w:hideMark/>
          </w:tcPr>
          <w:p w14:paraId="5DAEF1FE"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0.14</w:t>
            </w:r>
          </w:p>
        </w:tc>
        <w:tc>
          <w:tcPr>
            <w:tcW w:w="956" w:type="dxa"/>
            <w:noWrap/>
            <w:vAlign w:val="center"/>
            <w:hideMark/>
          </w:tcPr>
          <w:p w14:paraId="1B868B92"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sq. ft.</w:t>
            </w:r>
          </w:p>
        </w:tc>
        <w:tc>
          <w:tcPr>
            <w:tcW w:w="1620" w:type="dxa"/>
            <w:noWrap/>
            <w:vAlign w:val="center"/>
            <w:hideMark/>
          </w:tcPr>
          <w:p w14:paraId="13A521E7" w14:textId="473106B8"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0.40</w:t>
            </w:r>
          </w:p>
        </w:tc>
        <w:tc>
          <w:tcPr>
            <w:tcW w:w="1823" w:type="dxa"/>
            <w:noWrap/>
            <w:vAlign w:val="center"/>
          </w:tcPr>
          <w:p w14:paraId="411267CB" w14:textId="1423DD36" w:rsidR="00184B44" w:rsidRPr="000F70E8" w:rsidRDefault="00184B44" w:rsidP="00184B44">
            <w:pPr>
              <w:spacing w:after="0" w:line="240" w:lineRule="auto"/>
              <w:ind w:right="83"/>
              <w:contextualSpacing/>
              <w:rPr>
                <w:rFonts w:asciiTheme="minorHAnsi" w:hAnsiTheme="minorHAnsi"/>
                <w:b/>
                <w:sz w:val="18"/>
                <w:szCs w:val="18"/>
              </w:rPr>
            </w:pPr>
          </w:p>
        </w:tc>
      </w:tr>
      <w:tr w:rsidR="00184B44" w:rsidRPr="000F70E8" w14:paraId="1F3013D4" w14:textId="77777777" w:rsidTr="009D4CEF">
        <w:trPr>
          <w:trHeight w:val="264"/>
          <w:jc w:val="center"/>
        </w:trPr>
        <w:tc>
          <w:tcPr>
            <w:tcW w:w="3361" w:type="dxa"/>
            <w:noWrap/>
            <w:vAlign w:val="center"/>
            <w:hideMark/>
          </w:tcPr>
          <w:p w14:paraId="6EADE41B"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Domestic Hot Water Tanks</w:t>
            </w:r>
          </w:p>
        </w:tc>
        <w:tc>
          <w:tcPr>
            <w:tcW w:w="2158" w:type="dxa"/>
            <w:noWrap/>
            <w:vAlign w:val="center"/>
            <w:hideMark/>
          </w:tcPr>
          <w:p w14:paraId="2014E050"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0.79</w:t>
            </w:r>
          </w:p>
        </w:tc>
        <w:tc>
          <w:tcPr>
            <w:tcW w:w="956" w:type="dxa"/>
            <w:noWrap/>
            <w:vAlign w:val="center"/>
            <w:hideMark/>
          </w:tcPr>
          <w:p w14:paraId="5BEE2451"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kBtu/hr</w:t>
            </w:r>
          </w:p>
        </w:tc>
        <w:tc>
          <w:tcPr>
            <w:tcW w:w="1620" w:type="dxa"/>
            <w:noWrap/>
            <w:vAlign w:val="center"/>
            <w:hideMark/>
          </w:tcPr>
          <w:p w14:paraId="59F42DA9" w14:textId="36A997C4"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2.50</w:t>
            </w:r>
          </w:p>
        </w:tc>
        <w:tc>
          <w:tcPr>
            <w:tcW w:w="1823" w:type="dxa"/>
            <w:noWrap/>
            <w:vAlign w:val="center"/>
            <w:hideMark/>
          </w:tcPr>
          <w:p w14:paraId="07889E5D" w14:textId="04B1D05D"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0.518</w:t>
            </w:r>
          </w:p>
        </w:tc>
      </w:tr>
      <w:tr w:rsidR="00184B44" w:rsidRPr="000F70E8" w14:paraId="3D473591" w14:textId="77777777" w:rsidTr="009D4CEF">
        <w:trPr>
          <w:trHeight w:val="264"/>
          <w:jc w:val="center"/>
        </w:trPr>
        <w:tc>
          <w:tcPr>
            <w:tcW w:w="3361" w:type="dxa"/>
            <w:noWrap/>
            <w:vAlign w:val="center"/>
            <w:hideMark/>
          </w:tcPr>
          <w:p w14:paraId="12756EC8"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Boiler Vent Damper</w:t>
            </w:r>
          </w:p>
        </w:tc>
        <w:tc>
          <w:tcPr>
            <w:tcW w:w="2158" w:type="dxa"/>
            <w:noWrap/>
            <w:vAlign w:val="center"/>
            <w:hideMark/>
          </w:tcPr>
          <w:p w14:paraId="3E279C10"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270.00</w:t>
            </w:r>
          </w:p>
        </w:tc>
        <w:tc>
          <w:tcPr>
            <w:tcW w:w="956" w:type="dxa"/>
            <w:noWrap/>
            <w:vAlign w:val="center"/>
            <w:hideMark/>
          </w:tcPr>
          <w:p w14:paraId="109AEE81"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kBtu/hr</w:t>
            </w:r>
          </w:p>
        </w:tc>
        <w:tc>
          <w:tcPr>
            <w:tcW w:w="1620" w:type="dxa"/>
            <w:noWrap/>
            <w:vAlign w:val="center"/>
            <w:hideMark/>
          </w:tcPr>
          <w:p w14:paraId="22BC726D" w14:textId="0F251760"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1,000.00</w:t>
            </w:r>
          </w:p>
        </w:tc>
        <w:tc>
          <w:tcPr>
            <w:tcW w:w="1823" w:type="dxa"/>
            <w:noWrap/>
            <w:vAlign w:val="center"/>
            <w:hideMark/>
          </w:tcPr>
          <w:p w14:paraId="327E95D7" w14:textId="6D4D8981" w:rsidR="00184B44" w:rsidRPr="000F70E8" w:rsidRDefault="00184B44" w:rsidP="00184B44">
            <w:pPr>
              <w:spacing w:after="0" w:line="240" w:lineRule="auto"/>
              <w:ind w:right="83"/>
              <w:contextualSpacing/>
              <w:rPr>
                <w:rFonts w:asciiTheme="minorHAnsi" w:hAnsiTheme="minorHAnsi"/>
                <w:b/>
                <w:sz w:val="18"/>
                <w:szCs w:val="18"/>
              </w:rPr>
            </w:pPr>
          </w:p>
        </w:tc>
      </w:tr>
      <w:tr w:rsidR="00184B44" w:rsidRPr="000F70E8" w14:paraId="24C1A707" w14:textId="77777777" w:rsidTr="009D4CEF">
        <w:trPr>
          <w:trHeight w:val="264"/>
          <w:jc w:val="center"/>
        </w:trPr>
        <w:tc>
          <w:tcPr>
            <w:tcW w:w="3361" w:type="dxa"/>
            <w:noWrap/>
            <w:vAlign w:val="center"/>
            <w:hideMark/>
          </w:tcPr>
          <w:p w14:paraId="6FDEDB0F"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Gas Fryer</w:t>
            </w:r>
          </w:p>
        </w:tc>
        <w:tc>
          <w:tcPr>
            <w:tcW w:w="2158" w:type="dxa"/>
            <w:noWrap/>
            <w:vAlign w:val="center"/>
            <w:hideMark/>
          </w:tcPr>
          <w:p w14:paraId="5386B10E"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548.00</w:t>
            </w:r>
          </w:p>
        </w:tc>
        <w:tc>
          <w:tcPr>
            <w:tcW w:w="956" w:type="dxa"/>
            <w:noWrap/>
            <w:vAlign w:val="center"/>
            <w:hideMark/>
          </w:tcPr>
          <w:p w14:paraId="7143416C"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each</w:t>
            </w:r>
          </w:p>
        </w:tc>
        <w:tc>
          <w:tcPr>
            <w:tcW w:w="1620" w:type="dxa"/>
            <w:noWrap/>
            <w:vAlign w:val="center"/>
            <w:hideMark/>
          </w:tcPr>
          <w:p w14:paraId="3C31B62F" w14:textId="71C5239C"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600.00</w:t>
            </w:r>
          </w:p>
        </w:tc>
        <w:tc>
          <w:tcPr>
            <w:tcW w:w="1823" w:type="dxa"/>
            <w:noWrap/>
            <w:vAlign w:val="center"/>
            <w:hideMark/>
          </w:tcPr>
          <w:p w14:paraId="5A26FCEB" w14:textId="56D7DA0E"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0.542</w:t>
            </w:r>
          </w:p>
        </w:tc>
      </w:tr>
      <w:tr w:rsidR="00184B44" w:rsidRPr="000F70E8" w14:paraId="432396C1" w14:textId="77777777" w:rsidTr="009D4CEF">
        <w:trPr>
          <w:trHeight w:val="264"/>
          <w:jc w:val="center"/>
        </w:trPr>
        <w:tc>
          <w:tcPr>
            <w:tcW w:w="3361" w:type="dxa"/>
            <w:noWrap/>
            <w:vAlign w:val="center"/>
            <w:hideMark/>
          </w:tcPr>
          <w:p w14:paraId="34318159"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Clothes Washer</w:t>
            </w:r>
          </w:p>
        </w:tc>
        <w:tc>
          <w:tcPr>
            <w:tcW w:w="2158" w:type="dxa"/>
            <w:noWrap/>
            <w:vAlign w:val="center"/>
            <w:hideMark/>
          </w:tcPr>
          <w:p w14:paraId="6A3C09F2"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90.00</w:t>
            </w:r>
          </w:p>
        </w:tc>
        <w:tc>
          <w:tcPr>
            <w:tcW w:w="956" w:type="dxa"/>
            <w:noWrap/>
            <w:vAlign w:val="center"/>
            <w:hideMark/>
          </w:tcPr>
          <w:p w14:paraId="1C568838"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each</w:t>
            </w:r>
          </w:p>
        </w:tc>
        <w:tc>
          <w:tcPr>
            <w:tcW w:w="1620" w:type="dxa"/>
            <w:noWrap/>
            <w:vAlign w:val="center"/>
            <w:hideMark/>
          </w:tcPr>
          <w:p w14:paraId="3EB4971F" w14:textId="5B1B7111"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180.00</w:t>
            </w:r>
          </w:p>
        </w:tc>
        <w:tc>
          <w:tcPr>
            <w:tcW w:w="1823" w:type="dxa"/>
            <w:noWrap/>
            <w:vAlign w:val="center"/>
            <w:hideMark/>
          </w:tcPr>
          <w:p w14:paraId="311664BE" w14:textId="5576F2F5"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0.563</w:t>
            </w:r>
          </w:p>
        </w:tc>
      </w:tr>
      <w:tr w:rsidR="00184B44" w:rsidRPr="000F70E8" w14:paraId="2045829F" w14:textId="77777777" w:rsidTr="009D4CEF">
        <w:trPr>
          <w:trHeight w:val="264"/>
          <w:jc w:val="center"/>
        </w:trPr>
        <w:tc>
          <w:tcPr>
            <w:tcW w:w="3361" w:type="dxa"/>
            <w:noWrap/>
            <w:vAlign w:val="center"/>
            <w:hideMark/>
          </w:tcPr>
          <w:p w14:paraId="475B39C3"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Steam Trap (New Tariff)</w:t>
            </w:r>
          </w:p>
        </w:tc>
        <w:tc>
          <w:tcPr>
            <w:tcW w:w="2158" w:type="dxa"/>
            <w:noWrap/>
            <w:vAlign w:val="center"/>
            <w:hideMark/>
          </w:tcPr>
          <w:p w14:paraId="11C3CAE7"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136.90</w:t>
            </w:r>
          </w:p>
        </w:tc>
        <w:tc>
          <w:tcPr>
            <w:tcW w:w="956" w:type="dxa"/>
            <w:noWrap/>
            <w:vAlign w:val="center"/>
            <w:hideMark/>
          </w:tcPr>
          <w:p w14:paraId="1F4BCA53"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kBtu/hr</w:t>
            </w:r>
          </w:p>
        </w:tc>
        <w:tc>
          <w:tcPr>
            <w:tcW w:w="1620" w:type="dxa"/>
            <w:noWrap/>
            <w:vAlign w:val="center"/>
            <w:hideMark/>
          </w:tcPr>
          <w:p w14:paraId="399D93CA" w14:textId="512F1B8B"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125.00</w:t>
            </w:r>
          </w:p>
        </w:tc>
        <w:tc>
          <w:tcPr>
            <w:tcW w:w="1823" w:type="dxa"/>
            <w:noWrap/>
            <w:vAlign w:val="center"/>
            <w:hideMark/>
          </w:tcPr>
          <w:p w14:paraId="6D3B8AB7" w14:textId="23035C29"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0.577</w:t>
            </w:r>
          </w:p>
        </w:tc>
      </w:tr>
      <w:tr w:rsidR="00184B44" w:rsidRPr="000F70E8" w14:paraId="1436D449" w14:textId="77777777" w:rsidTr="009D4CEF">
        <w:trPr>
          <w:trHeight w:val="264"/>
          <w:jc w:val="center"/>
        </w:trPr>
        <w:tc>
          <w:tcPr>
            <w:tcW w:w="3361" w:type="dxa"/>
            <w:noWrap/>
            <w:vAlign w:val="center"/>
            <w:hideMark/>
          </w:tcPr>
          <w:p w14:paraId="25B0D638"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Boiler</w:t>
            </w:r>
          </w:p>
        </w:tc>
        <w:tc>
          <w:tcPr>
            <w:tcW w:w="2158" w:type="dxa"/>
            <w:noWrap/>
            <w:vAlign w:val="center"/>
            <w:hideMark/>
          </w:tcPr>
          <w:p w14:paraId="0C16EEA0"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1.50</w:t>
            </w:r>
          </w:p>
        </w:tc>
        <w:tc>
          <w:tcPr>
            <w:tcW w:w="956" w:type="dxa"/>
            <w:noWrap/>
            <w:vAlign w:val="center"/>
            <w:hideMark/>
          </w:tcPr>
          <w:p w14:paraId="66CD2027"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kBtu/hr</w:t>
            </w:r>
          </w:p>
        </w:tc>
        <w:tc>
          <w:tcPr>
            <w:tcW w:w="1620" w:type="dxa"/>
            <w:noWrap/>
            <w:vAlign w:val="center"/>
            <w:hideMark/>
          </w:tcPr>
          <w:p w14:paraId="66576290" w14:textId="5F0AA333"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4.00</w:t>
            </w:r>
          </w:p>
        </w:tc>
        <w:tc>
          <w:tcPr>
            <w:tcW w:w="1823" w:type="dxa"/>
            <w:noWrap/>
            <w:vAlign w:val="center"/>
            <w:hideMark/>
          </w:tcPr>
          <w:p w14:paraId="416D2BD1" w14:textId="16D15C35"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0.388</w:t>
            </w:r>
          </w:p>
        </w:tc>
      </w:tr>
      <w:tr w:rsidR="00184B44" w:rsidRPr="000F70E8" w14:paraId="2F54B2C4" w14:textId="77777777" w:rsidTr="009D4CEF">
        <w:trPr>
          <w:trHeight w:val="264"/>
          <w:jc w:val="center"/>
        </w:trPr>
        <w:tc>
          <w:tcPr>
            <w:tcW w:w="3361" w:type="dxa"/>
            <w:noWrap/>
            <w:vAlign w:val="center"/>
            <w:hideMark/>
          </w:tcPr>
          <w:p w14:paraId="167AA274"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DHW Tankless Water Heater</w:t>
            </w:r>
          </w:p>
        </w:tc>
        <w:tc>
          <w:tcPr>
            <w:tcW w:w="2158" w:type="dxa"/>
            <w:noWrap/>
            <w:vAlign w:val="center"/>
            <w:hideMark/>
          </w:tcPr>
          <w:p w14:paraId="79B6FCE0"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35.00</w:t>
            </w:r>
          </w:p>
        </w:tc>
        <w:tc>
          <w:tcPr>
            <w:tcW w:w="956" w:type="dxa"/>
            <w:noWrap/>
            <w:vAlign w:val="center"/>
            <w:hideMark/>
          </w:tcPr>
          <w:p w14:paraId="7C101B2D"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gpm</w:t>
            </w:r>
          </w:p>
        </w:tc>
        <w:tc>
          <w:tcPr>
            <w:tcW w:w="1620" w:type="dxa"/>
            <w:noWrap/>
            <w:vAlign w:val="center"/>
            <w:hideMark/>
          </w:tcPr>
          <w:p w14:paraId="10EF8CA7" w14:textId="20E34C65"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60.00</w:t>
            </w:r>
          </w:p>
        </w:tc>
        <w:tc>
          <w:tcPr>
            <w:tcW w:w="1823" w:type="dxa"/>
            <w:noWrap/>
            <w:vAlign w:val="center"/>
            <w:hideMark/>
          </w:tcPr>
          <w:p w14:paraId="50F3AD85" w14:textId="6B52EF9E"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0.340</w:t>
            </w:r>
          </w:p>
        </w:tc>
      </w:tr>
      <w:tr w:rsidR="00184B44" w:rsidRPr="000F70E8" w14:paraId="23DBA974" w14:textId="77777777" w:rsidTr="009D4CEF">
        <w:trPr>
          <w:trHeight w:val="264"/>
          <w:jc w:val="center"/>
        </w:trPr>
        <w:tc>
          <w:tcPr>
            <w:tcW w:w="3361" w:type="dxa"/>
            <w:noWrap/>
            <w:vAlign w:val="center"/>
            <w:hideMark/>
          </w:tcPr>
          <w:p w14:paraId="5F5ACECF"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Gas Convection Oven</w:t>
            </w:r>
          </w:p>
        </w:tc>
        <w:tc>
          <w:tcPr>
            <w:tcW w:w="2158" w:type="dxa"/>
            <w:noWrap/>
            <w:vAlign w:val="center"/>
            <w:hideMark/>
          </w:tcPr>
          <w:p w14:paraId="39BCD196"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261.00</w:t>
            </w:r>
          </w:p>
        </w:tc>
        <w:tc>
          <w:tcPr>
            <w:tcW w:w="956" w:type="dxa"/>
            <w:noWrap/>
            <w:vAlign w:val="center"/>
            <w:hideMark/>
          </w:tcPr>
          <w:p w14:paraId="1BC14109"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each</w:t>
            </w:r>
          </w:p>
        </w:tc>
        <w:tc>
          <w:tcPr>
            <w:tcW w:w="1620" w:type="dxa"/>
            <w:noWrap/>
            <w:vAlign w:val="center"/>
            <w:hideMark/>
          </w:tcPr>
          <w:p w14:paraId="5FE8AC11" w14:textId="38426ADE"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400.00</w:t>
            </w:r>
          </w:p>
        </w:tc>
        <w:tc>
          <w:tcPr>
            <w:tcW w:w="1823" w:type="dxa"/>
            <w:noWrap/>
            <w:vAlign w:val="center"/>
          </w:tcPr>
          <w:p w14:paraId="7C1DF20C" w14:textId="1890B507" w:rsidR="00184B44" w:rsidRPr="000F70E8" w:rsidRDefault="00184B44" w:rsidP="00184B44">
            <w:pPr>
              <w:spacing w:after="0" w:line="240" w:lineRule="auto"/>
              <w:ind w:right="83"/>
              <w:contextualSpacing/>
              <w:rPr>
                <w:rFonts w:asciiTheme="minorHAnsi" w:hAnsiTheme="minorHAnsi"/>
                <w:b/>
                <w:sz w:val="18"/>
                <w:szCs w:val="18"/>
              </w:rPr>
            </w:pPr>
          </w:p>
        </w:tc>
      </w:tr>
      <w:tr w:rsidR="00184B44" w:rsidRPr="000F70E8" w14:paraId="263D8148" w14:textId="77777777" w:rsidTr="009D4CEF">
        <w:trPr>
          <w:trHeight w:val="264"/>
          <w:jc w:val="center"/>
        </w:trPr>
        <w:tc>
          <w:tcPr>
            <w:tcW w:w="3361" w:type="dxa"/>
            <w:noWrap/>
            <w:vAlign w:val="center"/>
            <w:hideMark/>
          </w:tcPr>
          <w:p w14:paraId="3D007A9E"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Conn 6 Pan Gas Steamer</w:t>
            </w:r>
          </w:p>
        </w:tc>
        <w:tc>
          <w:tcPr>
            <w:tcW w:w="2158" w:type="dxa"/>
            <w:noWrap/>
            <w:vAlign w:val="center"/>
            <w:hideMark/>
          </w:tcPr>
          <w:p w14:paraId="566CD112"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912.00</w:t>
            </w:r>
          </w:p>
        </w:tc>
        <w:tc>
          <w:tcPr>
            <w:tcW w:w="956" w:type="dxa"/>
            <w:noWrap/>
            <w:vAlign w:val="center"/>
            <w:hideMark/>
          </w:tcPr>
          <w:p w14:paraId="279D78EE"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each</w:t>
            </w:r>
          </w:p>
        </w:tc>
        <w:tc>
          <w:tcPr>
            <w:tcW w:w="1620" w:type="dxa"/>
            <w:noWrap/>
            <w:vAlign w:val="center"/>
            <w:hideMark/>
          </w:tcPr>
          <w:p w14:paraId="5F3510AF" w14:textId="45697EB0"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1,200.00</w:t>
            </w:r>
          </w:p>
        </w:tc>
        <w:tc>
          <w:tcPr>
            <w:tcW w:w="1823" w:type="dxa"/>
            <w:noWrap/>
            <w:vAlign w:val="center"/>
          </w:tcPr>
          <w:p w14:paraId="11CDFBB1" w14:textId="027D8FEF" w:rsidR="00184B44" w:rsidRPr="000F70E8" w:rsidRDefault="00184B44" w:rsidP="00184B44">
            <w:pPr>
              <w:spacing w:after="0" w:line="240" w:lineRule="auto"/>
              <w:ind w:right="83"/>
              <w:contextualSpacing/>
              <w:rPr>
                <w:rFonts w:asciiTheme="minorHAnsi" w:hAnsiTheme="minorHAnsi"/>
                <w:b/>
                <w:sz w:val="18"/>
                <w:szCs w:val="18"/>
              </w:rPr>
            </w:pPr>
          </w:p>
        </w:tc>
      </w:tr>
      <w:tr w:rsidR="00184B44" w:rsidRPr="000F70E8" w14:paraId="07DE25EF" w14:textId="77777777" w:rsidTr="009D4CEF">
        <w:trPr>
          <w:trHeight w:val="264"/>
          <w:jc w:val="center"/>
        </w:trPr>
        <w:tc>
          <w:tcPr>
            <w:tcW w:w="3361" w:type="dxa"/>
            <w:noWrap/>
            <w:vAlign w:val="center"/>
            <w:hideMark/>
          </w:tcPr>
          <w:p w14:paraId="209561AD"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Conn 6 Pan Gas Steamer</w:t>
            </w:r>
          </w:p>
        </w:tc>
        <w:tc>
          <w:tcPr>
            <w:tcW w:w="2158" w:type="dxa"/>
            <w:noWrap/>
            <w:vAlign w:val="center"/>
            <w:hideMark/>
          </w:tcPr>
          <w:p w14:paraId="1DD0FE5F"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448.00</w:t>
            </w:r>
          </w:p>
        </w:tc>
        <w:tc>
          <w:tcPr>
            <w:tcW w:w="956" w:type="dxa"/>
            <w:noWrap/>
            <w:vAlign w:val="center"/>
            <w:hideMark/>
          </w:tcPr>
          <w:p w14:paraId="75BB31CA"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each</w:t>
            </w:r>
          </w:p>
        </w:tc>
        <w:tc>
          <w:tcPr>
            <w:tcW w:w="1620" w:type="dxa"/>
            <w:noWrap/>
            <w:vAlign w:val="center"/>
            <w:hideMark/>
          </w:tcPr>
          <w:p w14:paraId="297203D3" w14:textId="4D216286"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600.00</w:t>
            </w:r>
          </w:p>
        </w:tc>
        <w:tc>
          <w:tcPr>
            <w:tcW w:w="1823" w:type="dxa"/>
            <w:noWrap/>
            <w:vAlign w:val="center"/>
          </w:tcPr>
          <w:p w14:paraId="16098FCB" w14:textId="260774C1" w:rsidR="00184B44" w:rsidRPr="000F70E8" w:rsidRDefault="00184B44" w:rsidP="00184B44">
            <w:pPr>
              <w:spacing w:after="0" w:line="240" w:lineRule="auto"/>
              <w:ind w:right="83"/>
              <w:contextualSpacing/>
              <w:rPr>
                <w:rFonts w:asciiTheme="minorHAnsi" w:hAnsiTheme="minorHAnsi"/>
                <w:b/>
                <w:sz w:val="18"/>
                <w:szCs w:val="18"/>
              </w:rPr>
            </w:pPr>
          </w:p>
        </w:tc>
      </w:tr>
      <w:tr w:rsidR="00184B44" w:rsidRPr="000F70E8" w14:paraId="2385F27A" w14:textId="77777777" w:rsidTr="009D4CEF">
        <w:trPr>
          <w:trHeight w:val="264"/>
          <w:jc w:val="center"/>
        </w:trPr>
        <w:tc>
          <w:tcPr>
            <w:tcW w:w="3361" w:type="dxa"/>
            <w:noWrap/>
            <w:vAlign w:val="center"/>
            <w:hideMark/>
          </w:tcPr>
          <w:p w14:paraId="7061E45D"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Double Rack Oven</w:t>
            </w:r>
          </w:p>
        </w:tc>
        <w:tc>
          <w:tcPr>
            <w:tcW w:w="2158" w:type="dxa"/>
            <w:noWrap/>
            <w:vAlign w:val="center"/>
            <w:hideMark/>
          </w:tcPr>
          <w:p w14:paraId="7682B9DE"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1,806.00</w:t>
            </w:r>
          </w:p>
        </w:tc>
        <w:tc>
          <w:tcPr>
            <w:tcW w:w="956" w:type="dxa"/>
            <w:noWrap/>
            <w:vAlign w:val="center"/>
            <w:hideMark/>
          </w:tcPr>
          <w:p w14:paraId="1021840B"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each</w:t>
            </w:r>
          </w:p>
        </w:tc>
        <w:tc>
          <w:tcPr>
            <w:tcW w:w="1620" w:type="dxa"/>
            <w:noWrap/>
            <w:vAlign w:val="center"/>
            <w:hideMark/>
          </w:tcPr>
          <w:p w14:paraId="70D3605A" w14:textId="28EDC7B6"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2,000.00</w:t>
            </w:r>
          </w:p>
        </w:tc>
        <w:tc>
          <w:tcPr>
            <w:tcW w:w="1823" w:type="dxa"/>
            <w:noWrap/>
            <w:vAlign w:val="center"/>
          </w:tcPr>
          <w:p w14:paraId="78244C09" w14:textId="0716DB0C" w:rsidR="00184B44" w:rsidRPr="000F70E8" w:rsidRDefault="00184B44" w:rsidP="00184B44">
            <w:pPr>
              <w:spacing w:after="0" w:line="240" w:lineRule="auto"/>
              <w:ind w:right="83"/>
              <w:contextualSpacing/>
              <w:rPr>
                <w:rFonts w:asciiTheme="minorHAnsi" w:hAnsiTheme="minorHAnsi"/>
                <w:b/>
                <w:sz w:val="18"/>
                <w:szCs w:val="18"/>
              </w:rPr>
            </w:pPr>
          </w:p>
        </w:tc>
      </w:tr>
      <w:tr w:rsidR="00184B44" w:rsidRPr="000F70E8" w14:paraId="7C5F8DC9" w14:textId="77777777" w:rsidTr="009D4CEF">
        <w:trPr>
          <w:trHeight w:val="264"/>
          <w:jc w:val="center"/>
        </w:trPr>
        <w:tc>
          <w:tcPr>
            <w:tcW w:w="3361" w:type="dxa"/>
            <w:noWrap/>
            <w:vAlign w:val="center"/>
            <w:hideMark/>
          </w:tcPr>
          <w:p w14:paraId="64B3F9E0"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Gas Griddle</w:t>
            </w:r>
          </w:p>
        </w:tc>
        <w:tc>
          <w:tcPr>
            <w:tcW w:w="2158" w:type="dxa"/>
            <w:noWrap/>
            <w:vAlign w:val="center"/>
            <w:hideMark/>
          </w:tcPr>
          <w:p w14:paraId="6785F21F"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158.00</w:t>
            </w:r>
          </w:p>
        </w:tc>
        <w:tc>
          <w:tcPr>
            <w:tcW w:w="956" w:type="dxa"/>
            <w:noWrap/>
            <w:vAlign w:val="center"/>
            <w:hideMark/>
          </w:tcPr>
          <w:p w14:paraId="18A670BF"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each</w:t>
            </w:r>
          </w:p>
        </w:tc>
        <w:tc>
          <w:tcPr>
            <w:tcW w:w="1620" w:type="dxa"/>
            <w:noWrap/>
            <w:vAlign w:val="center"/>
            <w:hideMark/>
          </w:tcPr>
          <w:p w14:paraId="44400EED" w14:textId="2977CDC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200.00</w:t>
            </w:r>
          </w:p>
        </w:tc>
        <w:tc>
          <w:tcPr>
            <w:tcW w:w="1823" w:type="dxa"/>
            <w:noWrap/>
            <w:vAlign w:val="center"/>
          </w:tcPr>
          <w:p w14:paraId="68897522" w14:textId="12DE180E" w:rsidR="00184B44" w:rsidRPr="000F70E8" w:rsidRDefault="00184B44" w:rsidP="00184B44">
            <w:pPr>
              <w:spacing w:after="0" w:line="240" w:lineRule="auto"/>
              <w:ind w:right="83"/>
              <w:contextualSpacing/>
              <w:rPr>
                <w:rFonts w:asciiTheme="minorHAnsi" w:hAnsiTheme="minorHAnsi"/>
                <w:b/>
                <w:sz w:val="18"/>
                <w:szCs w:val="18"/>
              </w:rPr>
            </w:pPr>
          </w:p>
        </w:tc>
      </w:tr>
      <w:tr w:rsidR="00184B44" w:rsidRPr="000F70E8" w14:paraId="7AE5B66E" w14:textId="77777777" w:rsidTr="009D4CEF">
        <w:trPr>
          <w:trHeight w:val="264"/>
          <w:jc w:val="center"/>
        </w:trPr>
        <w:tc>
          <w:tcPr>
            <w:tcW w:w="3361" w:type="dxa"/>
            <w:noWrap/>
            <w:vAlign w:val="center"/>
            <w:hideMark/>
          </w:tcPr>
          <w:p w14:paraId="78CF628F"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Gas Fryer (New Tariff)</w:t>
            </w:r>
          </w:p>
        </w:tc>
        <w:tc>
          <w:tcPr>
            <w:tcW w:w="2158" w:type="dxa"/>
            <w:noWrap/>
            <w:vAlign w:val="center"/>
            <w:hideMark/>
          </w:tcPr>
          <w:p w14:paraId="4705029B"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272.00</w:t>
            </w:r>
          </w:p>
        </w:tc>
        <w:tc>
          <w:tcPr>
            <w:tcW w:w="956" w:type="dxa"/>
            <w:noWrap/>
            <w:vAlign w:val="center"/>
            <w:hideMark/>
          </w:tcPr>
          <w:p w14:paraId="2641DB7D"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each</w:t>
            </w:r>
          </w:p>
        </w:tc>
        <w:tc>
          <w:tcPr>
            <w:tcW w:w="1620" w:type="dxa"/>
            <w:noWrap/>
            <w:vAlign w:val="center"/>
            <w:hideMark/>
          </w:tcPr>
          <w:p w14:paraId="478E0275" w14:textId="3896B32A"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600.00</w:t>
            </w:r>
          </w:p>
        </w:tc>
        <w:tc>
          <w:tcPr>
            <w:tcW w:w="1823" w:type="dxa"/>
            <w:noWrap/>
            <w:vAlign w:val="center"/>
            <w:hideMark/>
          </w:tcPr>
          <w:p w14:paraId="2E011740" w14:textId="0316EE20"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0.510</w:t>
            </w:r>
          </w:p>
        </w:tc>
      </w:tr>
      <w:tr w:rsidR="00184B44" w:rsidRPr="000F70E8" w14:paraId="523D9139" w14:textId="77777777" w:rsidTr="009D4CEF">
        <w:trPr>
          <w:trHeight w:val="264"/>
          <w:jc w:val="center"/>
        </w:trPr>
        <w:tc>
          <w:tcPr>
            <w:tcW w:w="3361" w:type="dxa"/>
            <w:noWrap/>
            <w:vAlign w:val="center"/>
            <w:hideMark/>
          </w:tcPr>
          <w:p w14:paraId="5994A567"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Attic Insulation Tier 1 (New Tariff)</w:t>
            </w:r>
          </w:p>
        </w:tc>
        <w:tc>
          <w:tcPr>
            <w:tcW w:w="2158" w:type="dxa"/>
            <w:noWrap/>
            <w:vAlign w:val="center"/>
            <w:hideMark/>
          </w:tcPr>
          <w:p w14:paraId="369A3B9B"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0.31</w:t>
            </w:r>
          </w:p>
        </w:tc>
        <w:tc>
          <w:tcPr>
            <w:tcW w:w="956" w:type="dxa"/>
            <w:noWrap/>
            <w:vAlign w:val="center"/>
            <w:hideMark/>
          </w:tcPr>
          <w:p w14:paraId="55ED8552"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sq. ft.</w:t>
            </w:r>
          </w:p>
        </w:tc>
        <w:tc>
          <w:tcPr>
            <w:tcW w:w="1620" w:type="dxa"/>
            <w:noWrap/>
            <w:vAlign w:val="center"/>
            <w:hideMark/>
          </w:tcPr>
          <w:p w14:paraId="142076BB" w14:textId="7447CBC6"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0.50</w:t>
            </w:r>
          </w:p>
        </w:tc>
        <w:tc>
          <w:tcPr>
            <w:tcW w:w="1823" w:type="dxa"/>
            <w:noWrap/>
            <w:vAlign w:val="center"/>
            <w:hideMark/>
          </w:tcPr>
          <w:p w14:paraId="3C77928A" w14:textId="10DC2E96"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0.245</w:t>
            </w:r>
          </w:p>
        </w:tc>
      </w:tr>
      <w:tr w:rsidR="00184B44" w:rsidRPr="000F70E8" w14:paraId="2DFE1805" w14:textId="77777777" w:rsidTr="009D4CEF">
        <w:trPr>
          <w:trHeight w:val="264"/>
          <w:jc w:val="center"/>
        </w:trPr>
        <w:tc>
          <w:tcPr>
            <w:tcW w:w="3361" w:type="dxa"/>
            <w:noWrap/>
            <w:vAlign w:val="center"/>
            <w:hideMark/>
          </w:tcPr>
          <w:p w14:paraId="1EF9106D"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Wall Insulation Tier 2 (New Tariff)</w:t>
            </w:r>
          </w:p>
        </w:tc>
        <w:tc>
          <w:tcPr>
            <w:tcW w:w="2158" w:type="dxa"/>
            <w:noWrap/>
            <w:vAlign w:val="center"/>
            <w:hideMark/>
          </w:tcPr>
          <w:p w14:paraId="53F7DB78"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0.19</w:t>
            </w:r>
          </w:p>
        </w:tc>
        <w:tc>
          <w:tcPr>
            <w:tcW w:w="956" w:type="dxa"/>
            <w:noWrap/>
            <w:vAlign w:val="center"/>
            <w:hideMark/>
          </w:tcPr>
          <w:p w14:paraId="66AB7B6F"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sq. ft.</w:t>
            </w:r>
          </w:p>
        </w:tc>
        <w:tc>
          <w:tcPr>
            <w:tcW w:w="1620" w:type="dxa"/>
            <w:noWrap/>
            <w:vAlign w:val="center"/>
            <w:hideMark/>
          </w:tcPr>
          <w:p w14:paraId="5BAB404B" w14:textId="4FFB760C"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0.56</w:t>
            </w:r>
          </w:p>
        </w:tc>
        <w:tc>
          <w:tcPr>
            <w:tcW w:w="1823" w:type="dxa"/>
            <w:noWrap/>
            <w:vAlign w:val="center"/>
            <w:hideMark/>
          </w:tcPr>
          <w:p w14:paraId="53CE5775" w14:textId="1861CCA9"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0.323</w:t>
            </w:r>
          </w:p>
        </w:tc>
      </w:tr>
      <w:tr w:rsidR="00184B44" w:rsidRPr="000F70E8" w14:paraId="6F0B7CD3" w14:textId="77777777" w:rsidTr="009D4CEF">
        <w:trPr>
          <w:trHeight w:val="264"/>
          <w:jc w:val="center"/>
        </w:trPr>
        <w:tc>
          <w:tcPr>
            <w:tcW w:w="3361" w:type="dxa"/>
            <w:noWrap/>
            <w:vAlign w:val="center"/>
            <w:hideMark/>
          </w:tcPr>
          <w:p w14:paraId="07EC3C9B"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Motion Control Faucet</w:t>
            </w:r>
          </w:p>
        </w:tc>
        <w:tc>
          <w:tcPr>
            <w:tcW w:w="2158" w:type="dxa"/>
            <w:noWrap/>
            <w:vAlign w:val="center"/>
            <w:hideMark/>
          </w:tcPr>
          <w:p w14:paraId="0CDDB00C"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136.00</w:t>
            </w:r>
          </w:p>
        </w:tc>
        <w:tc>
          <w:tcPr>
            <w:tcW w:w="956" w:type="dxa"/>
            <w:noWrap/>
            <w:vAlign w:val="center"/>
            <w:hideMark/>
          </w:tcPr>
          <w:p w14:paraId="2FB77681"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each</w:t>
            </w:r>
          </w:p>
        </w:tc>
        <w:tc>
          <w:tcPr>
            <w:tcW w:w="1620" w:type="dxa"/>
            <w:noWrap/>
            <w:vAlign w:val="center"/>
            <w:hideMark/>
          </w:tcPr>
          <w:p w14:paraId="2C4A0AE8" w14:textId="2975949E"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105.00</w:t>
            </w:r>
          </w:p>
        </w:tc>
        <w:tc>
          <w:tcPr>
            <w:tcW w:w="1823" w:type="dxa"/>
            <w:noWrap/>
            <w:vAlign w:val="center"/>
            <w:hideMark/>
          </w:tcPr>
          <w:p w14:paraId="2F912A2B" w14:textId="26CCE4F1"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0.745</w:t>
            </w:r>
          </w:p>
        </w:tc>
      </w:tr>
      <w:tr w:rsidR="00184B44" w:rsidRPr="000F70E8" w14:paraId="3133167B" w14:textId="77777777" w:rsidTr="009D4CEF">
        <w:trPr>
          <w:trHeight w:val="264"/>
          <w:jc w:val="center"/>
        </w:trPr>
        <w:tc>
          <w:tcPr>
            <w:tcW w:w="3361" w:type="dxa"/>
            <w:noWrap/>
            <w:vAlign w:val="center"/>
            <w:hideMark/>
          </w:tcPr>
          <w:p w14:paraId="26C09640"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Gas Convection Oven</w:t>
            </w:r>
          </w:p>
        </w:tc>
        <w:tc>
          <w:tcPr>
            <w:tcW w:w="2158" w:type="dxa"/>
            <w:noWrap/>
            <w:vAlign w:val="center"/>
            <w:hideMark/>
          </w:tcPr>
          <w:p w14:paraId="4550E8CC"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213.00</w:t>
            </w:r>
          </w:p>
        </w:tc>
        <w:tc>
          <w:tcPr>
            <w:tcW w:w="956" w:type="dxa"/>
            <w:noWrap/>
            <w:vAlign w:val="center"/>
            <w:hideMark/>
          </w:tcPr>
          <w:p w14:paraId="4BFFA1E4"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each</w:t>
            </w:r>
          </w:p>
        </w:tc>
        <w:tc>
          <w:tcPr>
            <w:tcW w:w="1620" w:type="dxa"/>
            <w:noWrap/>
            <w:vAlign w:val="center"/>
            <w:hideMark/>
          </w:tcPr>
          <w:p w14:paraId="28F2821E" w14:textId="1777D05E"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450.00</w:t>
            </w:r>
          </w:p>
        </w:tc>
        <w:tc>
          <w:tcPr>
            <w:tcW w:w="1823" w:type="dxa"/>
            <w:noWrap/>
            <w:vAlign w:val="center"/>
            <w:hideMark/>
          </w:tcPr>
          <w:p w14:paraId="7A768E04" w14:textId="7E162F47"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0.500</w:t>
            </w:r>
          </w:p>
        </w:tc>
      </w:tr>
      <w:tr w:rsidR="00184B44" w:rsidRPr="000F70E8" w14:paraId="6FFD3EA8" w14:textId="77777777" w:rsidTr="009D4CEF">
        <w:trPr>
          <w:trHeight w:val="264"/>
          <w:jc w:val="center"/>
        </w:trPr>
        <w:tc>
          <w:tcPr>
            <w:tcW w:w="3361" w:type="dxa"/>
            <w:noWrap/>
            <w:vAlign w:val="center"/>
            <w:hideMark/>
          </w:tcPr>
          <w:p w14:paraId="0FF23D3C"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Radiant Heating (New Tariff)</w:t>
            </w:r>
          </w:p>
        </w:tc>
        <w:tc>
          <w:tcPr>
            <w:tcW w:w="2158" w:type="dxa"/>
            <w:noWrap/>
            <w:vAlign w:val="center"/>
            <w:hideMark/>
          </w:tcPr>
          <w:p w14:paraId="5B23E463"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4.330</w:t>
            </w:r>
          </w:p>
        </w:tc>
        <w:tc>
          <w:tcPr>
            <w:tcW w:w="956" w:type="dxa"/>
            <w:noWrap/>
            <w:vAlign w:val="center"/>
            <w:hideMark/>
          </w:tcPr>
          <w:p w14:paraId="0AFD8FA5"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kBtu/hr</w:t>
            </w:r>
          </w:p>
        </w:tc>
        <w:tc>
          <w:tcPr>
            <w:tcW w:w="1620" w:type="dxa"/>
            <w:noWrap/>
            <w:vAlign w:val="center"/>
            <w:hideMark/>
          </w:tcPr>
          <w:p w14:paraId="3C7C7313" w14:textId="6635E51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6.95</w:t>
            </w:r>
          </w:p>
        </w:tc>
        <w:tc>
          <w:tcPr>
            <w:tcW w:w="1823" w:type="dxa"/>
            <w:noWrap/>
            <w:vAlign w:val="center"/>
            <w:hideMark/>
          </w:tcPr>
          <w:p w14:paraId="0D577A58" w14:textId="41369280"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0.331</w:t>
            </w:r>
          </w:p>
        </w:tc>
      </w:tr>
      <w:tr w:rsidR="00184B44" w:rsidRPr="000F70E8" w14:paraId="1CCD0AC0" w14:textId="77777777" w:rsidTr="009D4CEF">
        <w:trPr>
          <w:trHeight w:val="264"/>
          <w:jc w:val="center"/>
        </w:trPr>
        <w:tc>
          <w:tcPr>
            <w:tcW w:w="3361" w:type="dxa"/>
            <w:noWrap/>
            <w:vAlign w:val="center"/>
            <w:hideMark/>
          </w:tcPr>
          <w:p w14:paraId="6159B82D"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ESK A</w:t>
            </w:r>
          </w:p>
        </w:tc>
        <w:tc>
          <w:tcPr>
            <w:tcW w:w="2158" w:type="dxa"/>
            <w:noWrap/>
            <w:vAlign w:val="center"/>
            <w:hideMark/>
          </w:tcPr>
          <w:p w14:paraId="49FB8E02"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109.000</w:t>
            </w:r>
          </w:p>
        </w:tc>
        <w:tc>
          <w:tcPr>
            <w:tcW w:w="956" w:type="dxa"/>
            <w:noWrap/>
            <w:vAlign w:val="center"/>
            <w:hideMark/>
          </w:tcPr>
          <w:p w14:paraId="5283BFA3"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each</w:t>
            </w:r>
          </w:p>
        </w:tc>
        <w:tc>
          <w:tcPr>
            <w:tcW w:w="1620" w:type="dxa"/>
            <w:noWrap/>
            <w:vAlign w:val="center"/>
            <w:hideMark/>
          </w:tcPr>
          <w:p w14:paraId="235BB30C" w14:textId="20FA1784"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119.00</w:t>
            </w:r>
          </w:p>
        </w:tc>
        <w:tc>
          <w:tcPr>
            <w:tcW w:w="1823" w:type="dxa"/>
            <w:noWrap/>
            <w:vAlign w:val="center"/>
            <w:hideMark/>
          </w:tcPr>
          <w:p w14:paraId="0FF09D3E" w14:textId="794962B5"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0.818</w:t>
            </w:r>
          </w:p>
        </w:tc>
      </w:tr>
      <w:tr w:rsidR="00184B44" w:rsidRPr="000F70E8" w14:paraId="5DD30CFD" w14:textId="77777777" w:rsidTr="009D4CEF">
        <w:trPr>
          <w:trHeight w:val="264"/>
          <w:jc w:val="center"/>
        </w:trPr>
        <w:tc>
          <w:tcPr>
            <w:tcW w:w="3361" w:type="dxa"/>
            <w:noWrap/>
            <w:vAlign w:val="center"/>
            <w:hideMark/>
          </w:tcPr>
          <w:p w14:paraId="01221636"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ESK B</w:t>
            </w:r>
          </w:p>
        </w:tc>
        <w:tc>
          <w:tcPr>
            <w:tcW w:w="2158" w:type="dxa"/>
            <w:noWrap/>
            <w:vAlign w:val="center"/>
            <w:hideMark/>
          </w:tcPr>
          <w:p w14:paraId="13BABA69"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14.000</w:t>
            </w:r>
          </w:p>
        </w:tc>
        <w:tc>
          <w:tcPr>
            <w:tcW w:w="956" w:type="dxa"/>
            <w:noWrap/>
            <w:vAlign w:val="center"/>
            <w:hideMark/>
          </w:tcPr>
          <w:p w14:paraId="7D8E08BC"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each</w:t>
            </w:r>
          </w:p>
        </w:tc>
        <w:tc>
          <w:tcPr>
            <w:tcW w:w="1620" w:type="dxa"/>
            <w:noWrap/>
            <w:vAlign w:val="center"/>
            <w:hideMark/>
          </w:tcPr>
          <w:p w14:paraId="4CF221A6" w14:textId="70E6F9E3"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44.00</w:t>
            </w:r>
          </w:p>
        </w:tc>
        <w:tc>
          <w:tcPr>
            <w:tcW w:w="1823" w:type="dxa"/>
            <w:noWrap/>
            <w:vAlign w:val="center"/>
            <w:hideMark/>
          </w:tcPr>
          <w:p w14:paraId="0001BD97" w14:textId="66101D50"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0.705</w:t>
            </w:r>
          </w:p>
        </w:tc>
      </w:tr>
      <w:tr w:rsidR="00184B44" w:rsidRPr="000F70E8" w14:paraId="22B80FED" w14:textId="77777777" w:rsidTr="009D4CEF">
        <w:trPr>
          <w:trHeight w:val="285"/>
          <w:jc w:val="center"/>
        </w:trPr>
        <w:tc>
          <w:tcPr>
            <w:tcW w:w="3361" w:type="dxa"/>
            <w:noWrap/>
            <w:vAlign w:val="center"/>
            <w:hideMark/>
          </w:tcPr>
          <w:p w14:paraId="625980DF" w14:textId="77777777" w:rsidR="00184B44" w:rsidRPr="00184B44" w:rsidRDefault="00184B44" w:rsidP="00184B44">
            <w:pPr>
              <w:spacing w:after="0" w:line="240" w:lineRule="auto"/>
              <w:ind w:right="83"/>
              <w:contextualSpacing/>
              <w:jc w:val="center"/>
              <w:rPr>
                <w:rFonts w:asciiTheme="minorHAnsi" w:hAnsiTheme="minorHAnsi"/>
                <w:b/>
                <w:bCs/>
                <w:i/>
                <w:sz w:val="18"/>
                <w:szCs w:val="18"/>
              </w:rPr>
            </w:pPr>
            <w:r w:rsidRPr="00184B44">
              <w:rPr>
                <w:rFonts w:asciiTheme="minorHAnsi" w:hAnsiTheme="minorHAnsi"/>
                <w:b/>
                <w:bCs/>
                <w:i/>
                <w:sz w:val="18"/>
                <w:szCs w:val="18"/>
              </w:rPr>
              <w:t>Custom Measures</w:t>
            </w:r>
          </w:p>
        </w:tc>
        <w:tc>
          <w:tcPr>
            <w:tcW w:w="2158" w:type="dxa"/>
            <w:noWrap/>
            <w:vAlign w:val="center"/>
            <w:hideMark/>
          </w:tcPr>
          <w:p w14:paraId="1EB1C348" w14:textId="23CF98AB" w:rsidR="00184B44" w:rsidRPr="000F70E8" w:rsidRDefault="00184B44" w:rsidP="00184B44">
            <w:pPr>
              <w:spacing w:after="0" w:line="240" w:lineRule="auto"/>
              <w:ind w:right="83"/>
              <w:contextualSpacing/>
              <w:jc w:val="center"/>
              <w:rPr>
                <w:rFonts w:asciiTheme="minorHAnsi" w:hAnsiTheme="minorHAnsi"/>
                <w:b/>
                <w:sz w:val="18"/>
                <w:szCs w:val="18"/>
              </w:rPr>
            </w:pPr>
          </w:p>
        </w:tc>
        <w:tc>
          <w:tcPr>
            <w:tcW w:w="956" w:type="dxa"/>
            <w:noWrap/>
            <w:vAlign w:val="center"/>
            <w:hideMark/>
          </w:tcPr>
          <w:p w14:paraId="249D5396" w14:textId="6E20A4C5" w:rsidR="00184B44" w:rsidRPr="000F70E8" w:rsidRDefault="00184B44" w:rsidP="00184B44">
            <w:pPr>
              <w:spacing w:after="0" w:line="240" w:lineRule="auto"/>
              <w:ind w:right="83"/>
              <w:contextualSpacing/>
              <w:jc w:val="center"/>
              <w:rPr>
                <w:rFonts w:asciiTheme="minorHAnsi" w:hAnsiTheme="minorHAnsi"/>
                <w:b/>
                <w:sz w:val="18"/>
                <w:szCs w:val="18"/>
              </w:rPr>
            </w:pPr>
          </w:p>
        </w:tc>
        <w:tc>
          <w:tcPr>
            <w:tcW w:w="1620" w:type="dxa"/>
            <w:noWrap/>
            <w:vAlign w:val="center"/>
            <w:hideMark/>
          </w:tcPr>
          <w:p w14:paraId="429C5E56" w14:textId="755E12CC" w:rsidR="00184B44" w:rsidRPr="000F70E8" w:rsidRDefault="00184B44" w:rsidP="00184B44">
            <w:pPr>
              <w:spacing w:after="0" w:line="240" w:lineRule="auto"/>
              <w:ind w:right="83"/>
              <w:contextualSpacing/>
              <w:jc w:val="center"/>
              <w:rPr>
                <w:rFonts w:asciiTheme="minorHAnsi" w:hAnsiTheme="minorHAnsi"/>
                <w:b/>
                <w:sz w:val="18"/>
                <w:szCs w:val="18"/>
              </w:rPr>
            </w:pPr>
          </w:p>
        </w:tc>
        <w:tc>
          <w:tcPr>
            <w:tcW w:w="1823" w:type="dxa"/>
            <w:noWrap/>
            <w:vAlign w:val="center"/>
            <w:hideMark/>
          </w:tcPr>
          <w:p w14:paraId="03DBCF9B" w14:textId="3504186B" w:rsidR="00184B44" w:rsidRPr="000F70E8" w:rsidRDefault="00184B44" w:rsidP="00184B44">
            <w:pPr>
              <w:spacing w:after="0" w:line="240" w:lineRule="auto"/>
              <w:ind w:right="83"/>
              <w:contextualSpacing/>
              <w:rPr>
                <w:rFonts w:asciiTheme="minorHAnsi" w:hAnsiTheme="minorHAnsi"/>
                <w:b/>
                <w:sz w:val="18"/>
                <w:szCs w:val="18"/>
              </w:rPr>
            </w:pPr>
          </w:p>
        </w:tc>
      </w:tr>
      <w:tr w:rsidR="00184B44" w:rsidRPr="000F70E8" w14:paraId="1FE81304" w14:textId="77777777" w:rsidTr="009D4CEF">
        <w:trPr>
          <w:trHeight w:val="264"/>
          <w:jc w:val="center"/>
        </w:trPr>
        <w:tc>
          <w:tcPr>
            <w:tcW w:w="3361" w:type="dxa"/>
            <w:noWrap/>
            <w:vAlign w:val="center"/>
            <w:hideMark/>
          </w:tcPr>
          <w:p w14:paraId="0A47CDCB" w14:textId="20D1CB12" w:rsidR="00184B44" w:rsidRPr="000F70E8" w:rsidRDefault="00896AA4" w:rsidP="00184B44">
            <w:pPr>
              <w:spacing w:after="0" w:line="240" w:lineRule="auto"/>
              <w:ind w:right="83"/>
              <w:contextualSpacing/>
              <w:jc w:val="center"/>
              <w:rPr>
                <w:rFonts w:asciiTheme="minorHAnsi" w:hAnsiTheme="minorHAnsi"/>
                <w:b/>
                <w:sz w:val="18"/>
                <w:szCs w:val="18"/>
              </w:rPr>
            </w:pPr>
            <w:r>
              <w:rPr>
                <w:rFonts w:asciiTheme="minorHAnsi" w:hAnsiTheme="minorHAnsi"/>
                <w:b/>
                <w:sz w:val="18"/>
                <w:szCs w:val="18"/>
              </w:rPr>
              <w:t>Restaurant A</w:t>
            </w:r>
            <w:r w:rsidR="00184B44" w:rsidRPr="000F70E8">
              <w:rPr>
                <w:rFonts w:asciiTheme="minorHAnsi" w:hAnsiTheme="minorHAnsi"/>
                <w:b/>
                <w:sz w:val="18"/>
                <w:szCs w:val="18"/>
              </w:rPr>
              <w:t xml:space="preserve"> Standard and Custom</w:t>
            </w:r>
          </w:p>
        </w:tc>
        <w:tc>
          <w:tcPr>
            <w:tcW w:w="2158" w:type="dxa"/>
            <w:noWrap/>
            <w:vAlign w:val="center"/>
            <w:hideMark/>
          </w:tcPr>
          <w:p w14:paraId="7FAE9E4A"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1,892</w:t>
            </w:r>
          </w:p>
        </w:tc>
        <w:tc>
          <w:tcPr>
            <w:tcW w:w="956" w:type="dxa"/>
            <w:vAlign w:val="center"/>
            <w:hideMark/>
          </w:tcPr>
          <w:p w14:paraId="68FB69E7"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/unit</w:t>
            </w:r>
          </w:p>
        </w:tc>
        <w:tc>
          <w:tcPr>
            <w:tcW w:w="1620" w:type="dxa"/>
            <w:noWrap/>
            <w:vAlign w:val="center"/>
            <w:hideMark/>
          </w:tcPr>
          <w:p w14:paraId="101AA7DA" w14:textId="485B353E"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1,789.00</w:t>
            </w:r>
          </w:p>
        </w:tc>
        <w:tc>
          <w:tcPr>
            <w:tcW w:w="1823" w:type="dxa"/>
            <w:noWrap/>
            <w:vAlign w:val="center"/>
            <w:hideMark/>
          </w:tcPr>
          <w:p w14:paraId="69A5FD02" w14:textId="6CB9ECC4"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0.188</w:t>
            </w:r>
          </w:p>
        </w:tc>
      </w:tr>
      <w:tr w:rsidR="00184B44" w:rsidRPr="000F70E8" w14:paraId="72C19829" w14:textId="77777777" w:rsidTr="009D4CEF">
        <w:trPr>
          <w:trHeight w:val="264"/>
          <w:jc w:val="center"/>
        </w:trPr>
        <w:tc>
          <w:tcPr>
            <w:tcW w:w="3361" w:type="dxa"/>
            <w:noWrap/>
            <w:vAlign w:val="center"/>
            <w:hideMark/>
          </w:tcPr>
          <w:p w14:paraId="252E3967" w14:textId="571B8835" w:rsidR="00184B44" w:rsidRPr="000F70E8" w:rsidRDefault="00896AA4" w:rsidP="00896AA4">
            <w:pPr>
              <w:spacing w:after="0" w:line="240" w:lineRule="auto"/>
              <w:ind w:right="83"/>
              <w:contextualSpacing/>
              <w:jc w:val="center"/>
              <w:rPr>
                <w:rFonts w:asciiTheme="minorHAnsi" w:hAnsiTheme="minorHAnsi"/>
                <w:b/>
                <w:sz w:val="18"/>
                <w:szCs w:val="18"/>
              </w:rPr>
            </w:pPr>
            <w:r>
              <w:rPr>
                <w:rFonts w:asciiTheme="minorHAnsi" w:hAnsiTheme="minorHAnsi"/>
                <w:b/>
                <w:sz w:val="18"/>
                <w:szCs w:val="18"/>
              </w:rPr>
              <w:t>Junior</w:t>
            </w:r>
            <w:r w:rsidR="00184B44" w:rsidRPr="000F70E8">
              <w:rPr>
                <w:rFonts w:asciiTheme="minorHAnsi" w:hAnsiTheme="minorHAnsi"/>
                <w:b/>
                <w:sz w:val="18"/>
                <w:szCs w:val="18"/>
              </w:rPr>
              <w:t xml:space="preserve"> High </w:t>
            </w:r>
            <w:r>
              <w:rPr>
                <w:rFonts w:asciiTheme="minorHAnsi" w:hAnsiTheme="minorHAnsi"/>
                <w:b/>
                <w:sz w:val="18"/>
                <w:szCs w:val="18"/>
              </w:rPr>
              <w:t xml:space="preserve">School </w:t>
            </w:r>
            <w:r w:rsidR="00184B44" w:rsidRPr="000F70E8">
              <w:rPr>
                <w:rFonts w:asciiTheme="minorHAnsi" w:hAnsiTheme="minorHAnsi"/>
                <w:b/>
                <w:sz w:val="18"/>
                <w:szCs w:val="18"/>
              </w:rPr>
              <w:t>Standard &amp; Custom</w:t>
            </w:r>
          </w:p>
        </w:tc>
        <w:tc>
          <w:tcPr>
            <w:tcW w:w="2158" w:type="dxa"/>
            <w:noWrap/>
            <w:vAlign w:val="center"/>
            <w:hideMark/>
          </w:tcPr>
          <w:p w14:paraId="795CD9B0"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1,933</w:t>
            </w:r>
          </w:p>
        </w:tc>
        <w:tc>
          <w:tcPr>
            <w:tcW w:w="956" w:type="dxa"/>
            <w:vAlign w:val="center"/>
            <w:hideMark/>
          </w:tcPr>
          <w:p w14:paraId="7A183AC2"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/unit</w:t>
            </w:r>
          </w:p>
        </w:tc>
        <w:tc>
          <w:tcPr>
            <w:tcW w:w="1620" w:type="dxa"/>
            <w:noWrap/>
            <w:vAlign w:val="center"/>
            <w:hideMark/>
          </w:tcPr>
          <w:p w14:paraId="0E930E34" w14:textId="7498672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2,588.00</w:t>
            </w:r>
          </w:p>
        </w:tc>
        <w:tc>
          <w:tcPr>
            <w:tcW w:w="1823" w:type="dxa"/>
            <w:noWrap/>
            <w:vAlign w:val="center"/>
            <w:hideMark/>
          </w:tcPr>
          <w:p w14:paraId="3A949FC2" w14:textId="2330A26F"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0.160</w:t>
            </w:r>
          </w:p>
        </w:tc>
      </w:tr>
      <w:tr w:rsidR="00184B44" w:rsidRPr="000F70E8" w14:paraId="56D8DECC" w14:textId="77777777" w:rsidTr="009D4CEF">
        <w:trPr>
          <w:trHeight w:val="264"/>
          <w:jc w:val="center"/>
        </w:trPr>
        <w:tc>
          <w:tcPr>
            <w:tcW w:w="3361" w:type="dxa"/>
            <w:noWrap/>
            <w:vAlign w:val="center"/>
            <w:hideMark/>
          </w:tcPr>
          <w:p w14:paraId="07F75010" w14:textId="265D9D5F" w:rsidR="00184B44" w:rsidRPr="000F70E8" w:rsidRDefault="00896AA4" w:rsidP="00184B44">
            <w:pPr>
              <w:spacing w:after="0" w:line="240" w:lineRule="auto"/>
              <w:ind w:right="83"/>
              <w:contextualSpacing/>
              <w:jc w:val="center"/>
              <w:rPr>
                <w:rFonts w:asciiTheme="minorHAnsi" w:hAnsiTheme="minorHAnsi"/>
                <w:b/>
                <w:sz w:val="18"/>
                <w:szCs w:val="18"/>
              </w:rPr>
            </w:pPr>
            <w:r>
              <w:rPr>
                <w:rFonts w:asciiTheme="minorHAnsi" w:hAnsiTheme="minorHAnsi"/>
                <w:b/>
                <w:sz w:val="18"/>
                <w:szCs w:val="18"/>
              </w:rPr>
              <w:t>State Office A</w:t>
            </w:r>
            <w:r w:rsidR="00184B44" w:rsidRPr="000F70E8">
              <w:rPr>
                <w:rFonts w:asciiTheme="minorHAnsi" w:hAnsiTheme="minorHAnsi"/>
                <w:b/>
                <w:sz w:val="18"/>
                <w:szCs w:val="18"/>
              </w:rPr>
              <w:t xml:space="preserve"> Standard and Custom</w:t>
            </w:r>
          </w:p>
        </w:tc>
        <w:tc>
          <w:tcPr>
            <w:tcW w:w="2158" w:type="dxa"/>
            <w:noWrap/>
            <w:vAlign w:val="center"/>
            <w:hideMark/>
          </w:tcPr>
          <w:p w14:paraId="35C73055"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15,706</w:t>
            </w:r>
          </w:p>
        </w:tc>
        <w:tc>
          <w:tcPr>
            <w:tcW w:w="956" w:type="dxa"/>
            <w:vAlign w:val="center"/>
            <w:hideMark/>
          </w:tcPr>
          <w:p w14:paraId="35960166"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/unit</w:t>
            </w:r>
          </w:p>
        </w:tc>
        <w:tc>
          <w:tcPr>
            <w:tcW w:w="1620" w:type="dxa"/>
            <w:noWrap/>
            <w:vAlign w:val="center"/>
            <w:hideMark/>
          </w:tcPr>
          <w:p w14:paraId="56C07BB2" w14:textId="393A1A9D"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13,982.00</w:t>
            </w:r>
          </w:p>
        </w:tc>
        <w:tc>
          <w:tcPr>
            <w:tcW w:w="1823" w:type="dxa"/>
            <w:noWrap/>
            <w:vAlign w:val="center"/>
            <w:hideMark/>
          </w:tcPr>
          <w:p w14:paraId="31564D1B" w14:textId="1938F8BF"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0.210</w:t>
            </w:r>
          </w:p>
        </w:tc>
      </w:tr>
      <w:tr w:rsidR="00184B44" w:rsidRPr="000F70E8" w14:paraId="464F26C4" w14:textId="77777777" w:rsidTr="009D4CEF">
        <w:trPr>
          <w:trHeight w:val="264"/>
          <w:jc w:val="center"/>
        </w:trPr>
        <w:tc>
          <w:tcPr>
            <w:tcW w:w="3361" w:type="dxa"/>
            <w:noWrap/>
            <w:vAlign w:val="center"/>
            <w:hideMark/>
          </w:tcPr>
          <w:p w14:paraId="58E817B7" w14:textId="706B19F4"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xml:space="preserve">Elementary </w:t>
            </w:r>
            <w:r w:rsidR="00896AA4">
              <w:rPr>
                <w:rFonts w:asciiTheme="minorHAnsi" w:hAnsiTheme="minorHAnsi"/>
                <w:b/>
                <w:sz w:val="18"/>
                <w:szCs w:val="18"/>
              </w:rPr>
              <w:t xml:space="preserve">School </w:t>
            </w:r>
            <w:r w:rsidRPr="000F70E8">
              <w:rPr>
                <w:rFonts w:asciiTheme="minorHAnsi" w:hAnsiTheme="minorHAnsi"/>
                <w:b/>
                <w:sz w:val="18"/>
                <w:szCs w:val="18"/>
              </w:rPr>
              <w:t>Custom and Standard DHW Tank</w:t>
            </w:r>
          </w:p>
        </w:tc>
        <w:tc>
          <w:tcPr>
            <w:tcW w:w="2158" w:type="dxa"/>
            <w:noWrap/>
            <w:vAlign w:val="center"/>
            <w:hideMark/>
          </w:tcPr>
          <w:p w14:paraId="5AE2BEFD"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1,442</w:t>
            </w:r>
          </w:p>
        </w:tc>
        <w:tc>
          <w:tcPr>
            <w:tcW w:w="956" w:type="dxa"/>
            <w:vAlign w:val="center"/>
            <w:hideMark/>
          </w:tcPr>
          <w:p w14:paraId="47C5E53F"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/unit</w:t>
            </w:r>
          </w:p>
        </w:tc>
        <w:tc>
          <w:tcPr>
            <w:tcW w:w="1620" w:type="dxa"/>
            <w:noWrap/>
            <w:vAlign w:val="center"/>
            <w:hideMark/>
          </w:tcPr>
          <w:p w14:paraId="0DF88CF6" w14:textId="00E489D0"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1,818.00</w:t>
            </w:r>
          </w:p>
        </w:tc>
        <w:tc>
          <w:tcPr>
            <w:tcW w:w="1823" w:type="dxa"/>
            <w:noWrap/>
            <w:vAlign w:val="center"/>
            <w:hideMark/>
          </w:tcPr>
          <w:p w14:paraId="13448280" w14:textId="21F1B6B2"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0.187</w:t>
            </w:r>
          </w:p>
        </w:tc>
      </w:tr>
      <w:tr w:rsidR="00184B44" w:rsidRPr="000F70E8" w14:paraId="4CD5F9E7" w14:textId="77777777" w:rsidTr="009D4CEF">
        <w:trPr>
          <w:trHeight w:val="264"/>
          <w:jc w:val="center"/>
        </w:trPr>
        <w:tc>
          <w:tcPr>
            <w:tcW w:w="3361" w:type="dxa"/>
            <w:noWrap/>
            <w:vAlign w:val="center"/>
            <w:hideMark/>
          </w:tcPr>
          <w:p w14:paraId="658F04DE" w14:textId="57CF9AAD"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High School Control Upgrade, Boilers</w:t>
            </w:r>
          </w:p>
        </w:tc>
        <w:tc>
          <w:tcPr>
            <w:tcW w:w="2158" w:type="dxa"/>
            <w:noWrap/>
            <w:vAlign w:val="center"/>
            <w:hideMark/>
          </w:tcPr>
          <w:p w14:paraId="3ABAA66B"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7,504</w:t>
            </w:r>
          </w:p>
        </w:tc>
        <w:tc>
          <w:tcPr>
            <w:tcW w:w="956" w:type="dxa"/>
            <w:vAlign w:val="center"/>
            <w:hideMark/>
          </w:tcPr>
          <w:p w14:paraId="258F34AF"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/unit</w:t>
            </w:r>
          </w:p>
        </w:tc>
        <w:tc>
          <w:tcPr>
            <w:tcW w:w="1620" w:type="dxa"/>
            <w:noWrap/>
            <w:vAlign w:val="center"/>
            <w:hideMark/>
          </w:tcPr>
          <w:p w14:paraId="01E4E0F0" w14:textId="35A072EC"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9,459.00</w:t>
            </w:r>
          </w:p>
        </w:tc>
        <w:tc>
          <w:tcPr>
            <w:tcW w:w="1823" w:type="dxa"/>
            <w:noWrap/>
            <w:vAlign w:val="center"/>
            <w:hideMark/>
          </w:tcPr>
          <w:p w14:paraId="449615FA" w14:textId="3FF1A1B7"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0.187</w:t>
            </w:r>
          </w:p>
        </w:tc>
      </w:tr>
      <w:tr w:rsidR="00184B44" w:rsidRPr="000F70E8" w14:paraId="6F6ABF04" w14:textId="77777777" w:rsidTr="009D4CEF">
        <w:trPr>
          <w:trHeight w:val="264"/>
          <w:jc w:val="center"/>
        </w:trPr>
        <w:tc>
          <w:tcPr>
            <w:tcW w:w="3361" w:type="dxa"/>
            <w:noWrap/>
            <w:vAlign w:val="center"/>
            <w:hideMark/>
          </w:tcPr>
          <w:p w14:paraId="47E0FAD8" w14:textId="526DD469" w:rsidR="00184B44" w:rsidRPr="000F70E8" w:rsidRDefault="00896AA4" w:rsidP="00184B44">
            <w:pPr>
              <w:spacing w:after="0" w:line="240" w:lineRule="auto"/>
              <w:ind w:right="83"/>
              <w:contextualSpacing/>
              <w:jc w:val="center"/>
              <w:rPr>
                <w:rFonts w:asciiTheme="minorHAnsi" w:hAnsiTheme="minorHAnsi"/>
                <w:b/>
                <w:sz w:val="18"/>
                <w:szCs w:val="18"/>
              </w:rPr>
            </w:pPr>
            <w:r>
              <w:rPr>
                <w:rFonts w:asciiTheme="minorHAnsi" w:hAnsiTheme="minorHAnsi"/>
                <w:b/>
                <w:sz w:val="18"/>
                <w:szCs w:val="18"/>
              </w:rPr>
              <w:t>Event</w:t>
            </w:r>
            <w:r w:rsidRPr="000F70E8">
              <w:rPr>
                <w:rFonts w:asciiTheme="minorHAnsi" w:hAnsiTheme="minorHAnsi"/>
                <w:b/>
                <w:sz w:val="18"/>
                <w:szCs w:val="18"/>
              </w:rPr>
              <w:t xml:space="preserve"> </w:t>
            </w:r>
            <w:r w:rsidR="00184B44" w:rsidRPr="000F70E8">
              <w:rPr>
                <w:rFonts w:asciiTheme="minorHAnsi" w:hAnsiTheme="minorHAnsi"/>
                <w:b/>
                <w:sz w:val="18"/>
                <w:szCs w:val="18"/>
              </w:rPr>
              <w:t>Center DCV Control</w:t>
            </w:r>
          </w:p>
        </w:tc>
        <w:tc>
          <w:tcPr>
            <w:tcW w:w="2158" w:type="dxa"/>
            <w:noWrap/>
            <w:vAlign w:val="center"/>
            <w:hideMark/>
          </w:tcPr>
          <w:p w14:paraId="1D0407D6"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4,219</w:t>
            </w:r>
          </w:p>
        </w:tc>
        <w:tc>
          <w:tcPr>
            <w:tcW w:w="956" w:type="dxa"/>
            <w:vAlign w:val="center"/>
            <w:hideMark/>
          </w:tcPr>
          <w:p w14:paraId="3EAD6EA4"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/unit</w:t>
            </w:r>
          </w:p>
        </w:tc>
        <w:tc>
          <w:tcPr>
            <w:tcW w:w="1620" w:type="dxa"/>
            <w:noWrap/>
            <w:vAlign w:val="center"/>
            <w:hideMark/>
          </w:tcPr>
          <w:p w14:paraId="1E7A5183" w14:textId="28B90939"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2,250.00</w:t>
            </w:r>
          </w:p>
        </w:tc>
        <w:tc>
          <w:tcPr>
            <w:tcW w:w="1823" w:type="dxa"/>
            <w:noWrap/>
            <w:vAlign w:val="center"/>
            <w:hideMark/>
          </w:tcPr>
          <w:p w14:paraId="5595D073" w14:textId="6A10F883"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0.165</w:t>
            </w:r>
          </w:p>
        </w:tc>
      </w:tr>
      <w:tr w:rsidR="00184B44" w:rsidRPr="000F70E8" w14:paraId="2D4B309C" w14:textId="77777777" w:rsidTr="009D4CEF">
        <w:trPr>
          <w:trHeight w:val="264"/>
          <w:jc w:val="center"/>
        </w:trPr>
        <w:tc>
          <w:tcPr>
            <w:tcW w:w="3361" w:type="dxa"/>
            <w:noWrap/>
            <w:vAlign w:val="center"/>
            <w:hideMark/>
          </w:tcPr>
          <w:p w14:paraId="6D2EE43A" w14:textId="5A7A99C2" w:rsidR="00184B44" w:rsidRPr="000F70E8" w:rsidRDefault="00896AA4" w:rsidP="00184B44">
            <w:pPr>
              <w:spacing w:after="0" w:line="240" w:lineRule="auto"/>
              <w:ind w:right="83"/>
              <w:contextualSpacing/>
              <w:jc w:val="center"/>
              <w:rPr>
                <w:rFonts w:asciiTheme="minorHAnsi" w:hAnsiTheme="minorHAnsi"/>
                <w:b/>
                <w:sz w:val="18"/>
                <w:szCs w:val="18"/>
              </w:rPr>
            </w:pPr>
            <w:r>
              <w:rPr>
                <w:rFonts w:asciiTheme="minorHAnsi" w:hAnsiTheme="minorHAnsi"/>
                <w:b/>
                <w:sz w:val="18"/>
                <w:szCs w:val="18"/>
              </w:rPr>
              <w:t>Warehouse</w:t>
            </w:r>
            <w:r w:rsidR="00184B44" w:rsidRPr="000F70E8">
              <w:rPr>
                <w:rFonts w:asciiTheme="minorHAnsi" w:hAnsiTheme="minorHAnsi"/>
                <w:b/>
                <w:sz w:val="18"/>
                <w:szCs w:val="18"/>
              </w:rPr>
              <w:t xml:space="preserve"> Silverdale Custom Controls</w:t>
            </w:r>
          </w:p>
        </w:tc>
        <w:tc>
          <w:tcPr>
            <w:tcW w:w="2158" w:type="dxa"/>
            <w:noWrap/>
            <w:vAlign w:val="center"/>
            <w:hideMark/>
          </w:tcPr>
          <w:p w14:paraId="3AF674F0"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1,045</w:t>
            </w:r>
          </w:p>
        </w:tc>
        <w:tc>
          <w:tcPr>
            <w:tcW w:w="956" w:type="dxa"/>
            <w:vAlign w:val="center"/>
            <w:hideMark/>
          </w:tcPr>
          <w:p w14:paraId="1BF0FC5F"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/unit</w:t>
            </w:r>
          </w:p>
        </w:tc>
        <w:tc>
          <w:tcPr>
            <w:tcW w:w="1620" w:type="dxa"/>
            <w:noWrap/>
            <w:vAlign w:val="center"/>
            <w:hideMark/>
          </w:tcPr>
          <w:p w14:paraId="070E928B" w14:textId="23200063"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1,317.00</w:t>
            </w:r>
          </w:p>
        </w:tc>
        <w:tc>
          <w:tcPr>
            <w:tcW w:w="1823" w:type="dxa"/>
            <w:noWrap/>
            <w:vAlign w:val="center"/>
            <w:hideMark/>
          </w:tcPr>
          <w:p w14:paraId="5518A3A7" w14:textId="41F89EAB"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0.187</w:t>
            </w:r>
          </w:p>
        </w:tc>
      </w:tr>
      <w:tr w:rsidR="00184B44" w:rsidRPr="000F70E8" w14:paraId="79F367AE" w14:textId="77777777" w:rsidTr="009D4CEF">
        <w:trPr>
          <w:trHeight w:val="264"/>
          <w:jc w:val="center"/>
        </w:trPr>
        <w:tc>
          <w:tcPr>
            <w:tcW w:w="3361" w:type="dxa"/>
            <w:noWrap/>
            <w:vAlign w:val="center"/>
            <w:hideMark/>
          </w:tcPr>
          <w:p w14:paraId="38949C93" w14:textId="2C698A9C" w:rsidR="00184B44" w:rsidRPr="000F70E8" w:rsidRDefault="00896AA4" w:rsidP="00184B44">
            <w:pPr>
              <w:spacing w:after="0" w:line="240" w:lineRule="auto"/>
              <w:ind w:right="83"/>
              <w:contextualSpacing/>
              <w:jc w:val="center"/>
              <w:rPr>
                <w:rFonts w:asciiTheme="minorHAnsi" w:hAnsiTheme="minorHAnsi"/>
                <w:b/>
                <w:sz w:val="18"/>
                <w:szCs w:val="18"/>
              </w:rPr>
            </w:pPr>
            <w:r>
              <w:rPr>
                <w:rFonts w:asciiTheme="minorHAnsi" w:hAnsiTheme="minorHAnsi"/>
                <w:b/>
                <w:sz w:val="18"/>
                <w:szCs w:val="18"/>
              </w:rPr>
              <w:t>Commercial Building</w:t>
            </w:r>
            <w:r w:rsidR="00184B44" w:rsidRPr="000F70E8">
              <w:rPr>
                <w:rFonts w:asciiTheme="minorHAnsi" w:hAnsiTheme="minorHAnsi"/>
                <w:b/>
                <w:sz w:val="18"/>
                <w:szCs w:val="18"/>
              </w:rPr>
              <w:t xml:space="preserve"> Custom Insulation</w:t>
            </w:r>
          </w:p>
        </w:tc>
        <w:tc>
          <w:tcPr>
            <w:tcW w:w="2158" w:type="dxa"/>
            <w:noWrap/>
            <w:vAlign w:val="center"/>
            <w:hideMark/>
          </w:tcPr>
          <w:p w14:paraId="38478D51"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119</w:t>
            </w:r>
          </w:p>
        </w:tc>
        <w:tc>
          <w:tcPr>
            <w:tcW w:w="956" w:type="dxa"/>
            <w:vAlign w:val="center"/>
            <w:hideMark/>
          </w:tcPr>
          <w:p w14:paraId="2C053511"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/unit</w:t>
            </w:r>
          </w:p>
        </w:tc>
        <w:tc>
          <w:tcPr>
            <w:tcW w:w="1620" w:type="dxa"/>
            <w:noWrap/>
            <w:vAlign w:val="center"/>
            <w:hideMark/>
          </w:tcPr>
          <w:p w14:paraId="5ED1A271" w14:textId="6660D00A"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241.00</w:t>
            </w:r>
          </w:p>
        </w:tc>
        <w:tc>
          <w:tcPr>
            <w:tcW w:w="1823" w:type="dxa"/>
            <w:noWrap/>
            <w:vAlign w:val="center"/>
            <w:hideMark/>
          </w:tcPr>
          <w:p w14:paraId="2B51BE04" w14:textId="215FDC1B"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0.167</w:t>
            </w:r>
          </w:p>
        </w:tc>
      </w:tr>
      <w:tr w:rsidR="00184B44" w:rsidRPr="000F70E8" w14:paraId="39B243A4" w14:textId="77777777" w:rsidTr="009D4CEF">
        <w:trPr>
          <w:trHeight w:val="264"/>
          <w:jc w:val="center"/>
        </w:trPr>
        <w:tc>
          <w:tcPr>
            <w:tcW w:w="3361" w:type="dxa"/>
            <w:noWrap/>
            <w:vAlign w:val="center"/>
            <w:hideMark/>
          </w:tcPr>
          <w:p w14:paraId="09DD8250" w14:textId="67F7420F" w:rsidR="00184B44" w:rsidRPr="000F70E8" w:rsidRDefault="00896AA4" w:rsidP="00184B44">
            <w:pPr>
              <w:spacing w:after="0" w:line="240" w:lineRule="auto"/>
              <w:ind w:right="83"/>
              <w:contextualSpacing/>
              <w:jc w:val="center"/>
              <w:rPr>
                <w:rFonts w:asciiTheme="minorHAnsi" w:hAnsiTheme="minorHAnsi"/>
                <w:b/>
                <w:sz w:val="18"/>
                <w:szCs w:val="18"/>
              </w:rPr>
            </w:pPr>
            <w:r>
              <w:rPr>
                <w:rFonts w:asciiTheme="minorHAnsi" w:hAnsiTheme="minorHAnsi"/>
                <w:b/>
                <w:sz w:val="18"/>
                <w:szCs w:val="18"/>
              </w:rPr>
              <w:t>Industrial Manufacturing</w:t>
            </w:r>
            <w:r w:rsidR="00184B44" w:rsidRPr="000F70E8">
              <w:rPr>
                <w:rFonts w:asciiTheme="minorHAnsi" w:hAnsiTheme="minorHAnsi"/>
                <w:b/>
                <w:sz w:val="18"/>
                <w:szCs w:val="18"/>
              </w:rPr>
              <w:t xml:space="preserve"> Custom 2014+</w:t>
            </w:r>
          </w:p>
        </w:tc>
        <w:tc>
          <w:tcPr>
            <w:tcW w:w="2158" w:type="dxa"/>
            <w:noWrap/>
            <w:vAlign w:val="center"/>
            <w:hideMark/>
          </w:tcPr>
          <w:p w14:paraId="11DCF388" w14:textId="42C69218"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229,000</w:t>
            </w:r>
          </w:p>
        </w:tc>
        <w:tc>
          <w:tcPr>
            <w:tcW w:w="956" w:type="dxa"/>
            <w:vAlign w:val="center"/>
            <w:hideMark/>
          </w:tcPr>
          <w:p w14:paraId="64777249"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/unit</w:t>
            </w:r>
          </w:p>
        </w:tc>
        <w:tc>
          <w:tcPr>
            <w:tcW w:w="1620" w:type="dxa"/>
            <w:noWrap/>
            <w:vAlign w:val="center"/>
            <w:hideMark/>
          </w:tcPr>
          <w:p w14:paraId="5568381B" w14:textId="0E52F1DD"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145,750.00</w:t>
            </w:r>
          </w:p>
        </w:tc>
        <w:tc>
          <w:tcPr>
            <w:tcW w:w="1823" w:type="dxa"/>
            <w:noWrap/>
            <w:vAlign w:val="center"/>
            <w:hideMark/>
          </w:tcPr>
          <w:p w14:paraId="1A3D38A1" w14:textId="0FFE463E"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0.130</w:t>
            </w:r>
          </w:p>
        </w:tc>
      </w:tr>
      <w:tr w:rsidR="00184B44" w:rsidRPr="000F70E8" w14:paraId="2AE2342D" w14:textId="77777777" w:rsidTr="009D4CEF">
        <w:trPr>
          <w:trHeight w:val="264"/>
          <w:jc w:val="center"/>
        </w:trPr>
        <w:tc>
          <w:tcPr>
            <w:tcW w:w="3361" w:type="dxa"/>
            <w:noWrap/>
            <w:vAlign w:val="center"/>
            <w:hideMark/>
          </w:tcPr>
          <w:p w14:paraId="06D9CB8A" w14:textId="13AE2CEB" w:rsidR="00184B44" w:rsidRPr="000F70E8" w:rsidRDefault="00896AA4" w:rsidP="00184B44">
            <w:pPr>
              <w:spacing w:after="0" w:line="240" w:lineRule="auto"/>
              <w:ind w:right="83"/>
              <w:contextualSpacing/>
              <w:jc w:val="center"/>
              <w:rPr>
                <w:rFonts w:asciiTheme="minorHAnsi" w:hAnsiTheme="minorHAnsi"/>
                <w:b/>
                <w:sz w:val="18"/>
                <w:szCs w:val="18"/>
              </w:rPr>
            </w:pPr>
            <w:r>
              <w:rPr>
                <w:rFonts w:asciiTheme="minorHAnsi" w:hAnsiTheme="minorHAnsi"/>
                <w:b/>
                <w:sz w:val="18"/>
                <w:szCs w:val="18"/>
              </w:rPr>
              <w:t>Restaurant B</w:t>
            </w:r>
            <w:r w:rsidR="00184B44" w:rsidRPr="000F70E8">
              <w:rPr>
                <w:rFonts w:asciiTheme="minorHAnsi" w:hAnsiTheme="minorHAnsi"/>
                <w:b/>
                <w:sz w:val="18"/>
                <w:szCs w:val="18"/>
              </w:rPr>
              <w:t xml:space="preserve"> Combi Oven</w:t>
            </w:r>
          </w:p>
        </w:tc>
        <w:tc>
          <w:tcPr>
            <w:tcW w:w="2158" w:type="dxa"/>
            <w:noWrap/>
            <w:vAlign w:val="center"/>
            <w:hideMark/>
          </w:tcPr>
          <w:p w14:paraId="6C622241"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712</w:t>
            </w:r>
          </w:p>
        </w:tc>
        <w:tc>
          <w:tcPr>
            <w:tcW w:w="956" w:type="dxa"/>
            <w:vAlign w:val="center"/>
            <w:hideMark/>
          </w:tcPr>
          <w:p w14:paraId="0BC90F81"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/unit</w:t>
            </w:r>
          </w:p>
        </w:tc>
        <w:tc>
          <w:tcPr>
            <w:tcW w:w="1620" w:type="dxa"/>
            <w:noWrap/>
            <w:vAlign w:val="center"/>
            <w:hideMark/>
          </w:tcPr>
          <w:p w14:paraId="3B646CF4" w14:textId="3844CB58"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739.00</w:t>
            </w:r>
          </w:p>
        </w:tc>
        <w:tc>
          <w:tcPr>
            <w:tcW w:w="1823" w:type="dxa"/>
            <w:noWrap/>
            <w:vAlign w:val="center"/>
            <w:hideMark/>
          </w:tcPr>
          <w:p w14:paraId="16B4A31C" w14:textId="3E29FB40"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0.197</w:t>
            </w:r>
          </w:p>
        </w:tc>
      </w:tr>
      <w:tr w:rsidR="00184B44" w:rsidRPr="000F70E8" w14:paraId="34E064F5" w14:textId="77777777" w:rsidTr="009D4CEF">
        <w:trPr>
          <w:trHeight w:val="264"/>
          <w:jc w:val="center"/>
        </w:trPr>
        <w:tc>
          <w:tcPr>
            <w:tcW w:w="3361" w:type="dxa"/>
            <w:noWrap/>
            <w:vAlign w:val="center"/>
            <w:hideMark/>
          </w:tcPr>
          <w:p w14:paraId="42F8755E" w14:textId="1BFDE354" w:rsidR="00184B44" w:rsidRPr="000F70E8" w:rsidRDefault="00896AA4" w:rsidP="00184B44">
            <w:pPr>
              <w:spacing w:after="0" w:line="240" w:lineRule="auto"/>
              <w:ind w:right="83"/>
              <w:contextualSpacing/>
              <w:jc w:val="center"/>
              <w:rPr>
                <w:rFonts w:asciiTheme="minorHAnsi" w:hAnsiTheme="minorHAnsi"/>
                <w:b/>
                <w:sz w:val="18"/>
                <w:szCs w:val="18"/>
              </w:rPr>
            </w:pPr>
            <w:r>
              <w:rPr>
                <w:rFonts w:asciiTheme="minorHAnsi" w:hAnsiTheme="minorHAnsi"/>
                <w:b/>
                <w:sz w:val="18"/>
                <w:szCs w:val="18"/>
              </w:rPr>
              <w:t>State Offices B</w:t>
            </w:r>
            <w:r w:rsidR="00184B44" w:rsidRPr="000F70E8">
              <w:rPr>
                <w:rFonts w:asciiTheme="minorHAnsi" w:hAnsiTheme="minorHAnsi"/>
                <w:b/>
                <w:sz w:val="18"/>
                <w:szCs w:val="18"/>
              </w:rPr>
              <w:t xml:space="preserve"> Standard and Custom</w:t>
            </w:r>
          </w:p>
        </w:tc>
        <w:tc>
          <w:tcPr>
            <w:tcW w:w="2158" w:type="dxa"/>
            <w:noWrap/>
            <w:vAlign w:val="center"/>
            <w:hideMark/>
          </w:tcPr>
          <w:p w14:paraId="50BB7AE1" w14:textId="57BFDFDA"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6</w:t>
            </w:r>
            <w:r w:rsidR="004F00A4">
              <w:rPr>
                <w:rFonts w:asciiTheme="minorHAnsi" w:hAnsiTheme="minorHAnsi"/>
                <w:b/>
                <w:sz w:val="18"/>
                <w:szCs w:val="18"/>
              </w:rPr>
              <w:t>,</w:t>
            </w:r>
            <w:r w:rsidRPr="000F70E8">
              <w:rPr>
                <w:rFonts w:asciiTheme="minorHAnsi" w:hAnsiTheme="minorHAnsi"/>
                <w:b/>
                <w:sz w:val="18"/>
                <w:szCs w:val="18"/>
              </w:rPr>
              <w:t>613</w:t>
            </w:r>
          </w:p>
        </w:tc>
        <w:tc>
          <w:tcPr>
            <w:tcW w:w="956" w:type="dxa"/>
            <w:vAlign w:val="center"/>
            <w:hideMark/>
          </w:tcPr>
          <w:p w14:paraId="4365DA83"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/unit</w:t>
            </w:r>
          </w:p>
        </w:tc>
        <w:tc>
          <w:tcPr>
            <w:tcW w:w="1620" w:type="dxa"/>
            <w:noWrap/>
            <w:vAlign w:val="center"/>
            <w:hideMark/>
          </w:tcPr>
          <w:p w14:paraId="357CA616" w14:textId="5925A552"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3,059.00</w:t>
            </w:r>
          </w:p>
        </w:tc>
        <w:tc>
          <w:tcPr>
            <w:tcW w:w="1823" w:type="dxa"/>
            <w:noWrap/>
            <w:vAlign w:val="center"/>
            <w:hideMark/>
          </w:tcPr>
          <w:p w14:paraId="09FC734F" w14:textId="13343206"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0.284</w:t>
            </w:r>
          </w:p>
        </w:tc>
      </w:tr>
      <w:tr w:rsidR="00184B44" w:rsidRPr="000F70E8" w14:paraId="0D76AE6C" w14:textId="77777777" w:rsidTr="009D4CEF">
        <w:trPr>
          <w:trHeight w:val="264"/>
          <w:jc w:val="center"/>
        </w:trPr>
        <w:tc>
          <w:tcPr>
            <w:tcW w:w="3361" w:type="dxa"/>
            <w:noWrap/>
            <w:vAlign w:val="center"/>
            <w:hideMark/>
          </w:tcPr>
          <w:p w14:paraId="1F8DDAE1" w14:textId="7606CA94" w:rsidR="00184B44" w:rsidRPr="000F70E8" w:rsidRDefault="00896AA4" w:rsidP="00184B44">
            <w:pPr>
              <w:spacing w:after="0" w:line="240" w:lineRule="auto"/>
              <w:ind w:right="83"/>
              <w:contextualSpacing/>
              <w:jc w:val="center"/>
              <w:rPr>
                <w:rFonts w:asciiTheme="minorHAnsi" w:hAnsiTheme="minorHAnsi"/>
                <w:b/>
                <w:sz w:val="18"/>
                <w:szCs w:val="18"/>
              </w:rPr>
            </w:pPr>
            <w:r>
              <w:rPr>
                <w:rFonts w:asciiTheme="minorHAnsi" w:hAnsiTheme="minorHAnsi"/>
                <w:b/>
                <w:sz w:val="18"/>
                <w:szCs w:val="18"/>
              </w:rPr>
              <w:t>Industrial</w:t>
            </w:r>
            <w:r w:rsidR="00184B44" w:rsidRPr="000F70E8">
              <w:rPr>
                <w:rFonts w:asciiTheme="minorHAnsi" w:hAnsiTheme="minorHAnsi"/>
                <w:b/>
                <w:sz w:val="18"/>
                <w:szCs w:val="18"/>
              </w:rPr>
              <w:t xml:space="preserve"> Custom</w:t>
            </w:r>
          </w:p>
        </w:tc>
        <w:tc>
          <w:tcPr>
            <w:tcW w:w="2158" w:type="dxa"/>
            <w:noWrap/>
            <w:vAlign w:val="center"/>
            <w:hideMark/>
          </w:tcPr>
          <w:p w14:paraId="2012B558" w14:textId="56DF8360"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174</w:t>
            </w:r>
            <w:r w:rsidR="004F00A4">
              <w:rPr>
                <w:rFonts w:asciiTheme="minorHAnsi" w:hAnsiTheme="minorHAnsi"/>
                <w:b/>
                <w:sz w:val="18"/>
                <w:szCs w:val="18"/>
              </w:rPr>
              <w:t>,</w:t>
            </w:r>
            <w:r w:rsidRPr="000F70E8">
              <w:rPr>
                <w:rFonts w:asciiTheme="minorHAnsi" w:hAnsiTheme="minorHAnsi"/>
                <w:b/>
                <w:sz w:val="18"/>
                <w:szCs w:val="18"/>
              </w:rPr>
              <w:t>600</w:t>
            </w:r>
          </w:p>
        </w:tc>
        <w:tc>
          <w:tcPr>
            <w:tcW w:w="956" w:type="dxa"/>
            <w:vAlign w:val="center"/>
            <w:hideMark/>
          </w:tcPr>
          <w:p w14:paraId="08C3AF03"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/unit</w:t>
            </w:r>
          </w:p>
        </w:tc>
        <w:tc>
          <w:tcPr>
            <w:tcW w:w="1620" w:type="dxa"/>
            <w:noWrap/>
            <w:vAlign w:val="center"/>
            <w:hideMark/>
          </w:tcPr>
          <w:p w14:paraId="561DC8DA" w14:textId="61DC713B"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146,500.00</w:t>
            </w:r>
          </w:p>
        </w:tc>
        <w:tc>
          <w:tcPr>
            <w:tcW w:w="1823" w:type="dxa"/>
            <w:noWrap/>
            <w:vAlign w:val="center"/>
            <w:hideMark/>
          </w:tcPr>
          <w:p w14:paraId="4FAF26F7" w14:textId="12BFA711"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0.149</w:t>
            </w:r>
          </w:p>
        </w:tc>
      </w:tr>
      <w:tr w:rsidR="00184B44" w:rsidRPr="000F70E8" w14:paraId="27BEEF60" w14:textId="77777777" w:rsidTr="009D4CEF">
        <w:trPr>
          <w:trHeight w:val="264"/>
          <w:jc w:val="center"/>
        </w:trPr>
        <w:tc>
          <w:tcPr>
            <w:tcW w:w="3361" w:type="dxa"/>
            <w:noWrap/>
            <w:vAlign w:val="center"/>
            <w:hideMark/>
          </w:tcPr>
          <w:p w14:paraId="1D0E0CCD" w14:textId="7D969163" w:rsidR="00184B44" w:rsidRPr="000F70E8" w:rsidRDefault="00896AA4" w:rsidP="00184B44">
            <w:pPr>
              <w:spacing w:after="0" w:line="240" w:lineRule="auto"/>
              <w:ind w:right="83"/>
              <w:contextualSpacing/>
              <w:jc w:val="center"/>
              <w:rPr>
                <w:rFonts w:asciiTheme="minorHAnsi" w:hAnsiTheme="minorHAnsi"/>
                <w:b/>
                <w:sz w:val="18"/>
                <w:szCs w:val="18"/>
              </w:rPr>
            </w:pPr>
            <w:r>
              <w:rPr>
                <w:rFonts w:asciiTheme="minorHAnsi" w:hAnsiTheme="minorHAnsi"/>
                <w:b/>
                <w:sz w:val="18"/>
                <w:szCs w:val="18"/>
              </w:rPr>
              <w:t>Restaurant</w:t>
            </w:r>
            <w:r w:rsidR="004F00A4">
              <w:rPr>
                <w:rFonts w:asciiTheme="minorHAnsi" w:hAnsiTheme="minorHAnsi"/>
                <w:b/>
                <w:sz w:val="18"/>
                <w:szCs w:val="18"/>
              </w:rPr>
              <w:t xml:space="preserve"> C</w:t>
            </w:r>
            <w:r w:rsidR="00184B44" w:rsidRPr="000F70E8">
              <w:rPr>
                <w:rFonts w:asciiTheme="minorHAnsi" w:hAnsiTheme="minorHAnsi"/>
                <w:b/>
                <w:sz w:val="18"/>
                <w:szCs w:val="18"/>
              </w:rPr>
              <w:t>. Custom Dishwashers</w:t>
            </w:r>
          </w:p>
        </w:tc>
        <w:tc>
          <w:tcPr>
            <w:tcW w:w="2158" w:type="dxa"/>
            <w:noWrap/>
            <w:vAlign w:val="center"/>
            <w:hideMark/>
          </w:tcPr>
          <w:p w14:paraId="3F0DC45A"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244</w:t>
            </w:r>
          </w:p>
        </w:tc>
        <w:tc>
          <w:tcPr>
            <w:tcW w:w="956" w:type="dxa"/>
            <w:vAlign w:val="center"/>
            <w:hideMark/>
          </w:tcPr>
          <w:p w14:paraId="0E328D29"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/unit</w:t>
            </w:r>
          </w:p>
        </w:tc>
        <w:tc>
          <w:tcPr>
            <w:tcW w:w="1620" w:type="dxa"/>
            <w:noWrap/>
            <w:vAlign w:val="center"/>
            <w:hideMark/>
          </w:tcPr>
          <w:p w14:paraId="445E16EA" w14:textId="01592B28"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217.00</w:t>
            </w:r>
          </w:p>
        </w:tc>
        <w:tc>
          <w:tcPr>
            <w:tcW w:w="1823" w:type="dxa"/>
            <w:noWrap/>
            <w:vAlign w:val="center"/>
            <w:hideMark/>
          </w:tcPr>
          <w:p w14:paraId="68A1F19C" w14:textId="2FC08E81"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0.210</w:t>
            </w:r>
          </w:p>
        </w:tc>
      </w:tr>
      <w:tr w:rsidR="00184B44" w:rsidRPr="000F70E8" w14:paraId="61BD4635" w14:textId="77777777" w:rsidTr="009D4CEF">
        <w:trPr>
          <w:trHeight w:val="264"/>
          <w:jc w:val="center"/>
        </w:trPr>
        <w:tc>
          <w:tcPr>
            <w:tcW w:w="3361" w:type="dxa"/>
            <w:noWrap/>
            <w:vAlign w:val="center"/>
            <w:hideMark/>
          </w:tcPr>
          <w:p w14:paraId="62F1F975" w14:textId="14548C50" w:rsidR="00184B44" w:rsidRPr="000F70E8" w:rsidRDefault="004F00A4" w:rsidP="00184B44">
            <w:pPr>
              <w:spacing w:after="0" w:line="240" w:lineRule="auto"/>
              <w:ind w:right="83"/>
              <w:contextualSpacing/>
              <w:jc w:val="center"/>
              <w:rPr>
                <w:rFonts w:asciiTheme="minorHAnsi" w:hAnsiTheme="minorHAnsi"/>
                <w:b/>
                <w:sz w:val="18"/>
                <w:szCs w:val="18"/>
              </w:rPr>
            </w:pPr>
            <w:r>
              <w:rPr>
                <w:rFonts w:asciiTheme="minorHAnsi" w:hAnsiTheme="minorHAnsi"/>
                <w:b/>
                <w:sz w:val="18"/>
                <w:szCs w:val="18"/>
              </w:rPr>
              <w:t>Restaurant D</w:t>
            </w:r>
            <w:r w:rsidR="00184B44" w:rsidRPr="000F70E8">
              <w:rPr>
                <w:rFonts w:asciiTheme="minorHAnsi" w:hAnsiTheme="minorHAnsi"/>
                <w:b/>
                <w:sz w:val="18"/>
                <w:szCs w:val="18"/>
              </w:rPr>
              <w:t>. Custom Dishwashers</w:t>
            </w:r>
          </w:p>
        </w:tc>
        <w:tc>
          <w:tcPr>
            <w:tcW w:w="2158" w:type="dxa"/>
            <w:noWrap/>
            <w:vAlign w:val="center"/>
            <w:hideMark/>
          </w:tcPr>
          <w:p w14:paraId="77FBF78F"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422</w:t>
            </w:r>
          </w:p>
        </w:tc>
        <w:tc>
          <w:tcPr>
            <w:tcW w:w="956" w:type="dxa"/>
            <w:vAlign w:val="center"/>
            <w:hideMark/>
          </w:tcPr>
          <w:p w14:paraId="18552509"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/unit</w:t>
            </w:r>
          </w:p>
        </w:tc>
        <w:tc>
          <w:tcPr>
            <w:tcW w:w="1620" w:type="dxa"/>
            <w:noWrap/>
            <w:vAlign w:val="center"/>
            <w:hideMark/>
          </w:tcPr>
          <w:p w14:paraId="157A75F5" w14:textId="54EBA7FC"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438.00</w:t>
            </w:r>
          </w:p>
        </w:tc>
        <w:tc>
          <w:tcPr>
            <w:tcW w:w="1823" w:type="dxa"/>
            <w:noWrap/>
            <w:vAlign w:val="center"/>
            <w:hideMark/>
          </w:tcPr>
          <w:p w14:paraId="160BE783" w14:textId="426B1520"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0.197</w:t>
            </w:r>
          </w:p>
        </w:tc>
      </w:tr>
      <w:tr w:rsidR="00184B44" w:rsidRPr="000F70E8" w14:paraId="3CD6A692" w14:textId="77777777" w:rsidTr="009D4CEF">
        <w:trPr>
          <w:trHeight w:val="264"/>
          <w:jc w:val="center"/>
        </w:trPr>
        <w:tc>
          <w:tcPr>
            <w:tcW w:w="3361" w:type="dxa"/>
            <w:noWrap/>
            <w:vAlign w:val="center"/>
            <w:hideMark/>
          </w:tcPr>
          <w:p w14:paraId="353B533E" w14:textId="0A978A98" w:rsidR="00184B44" w:rsidRPr="000F70E8" w:rsidRDefault="004F00A4" w:rsidP="00184B44">
            <w:pPr>
              <w:spacing w:after="0" w:line="240" w:lineRule="auto"/>
              <w:ind w:right="83"/>
              <w:contextualSpacing/>
              <w:jc w:val="center"/>
              <w:rPr>
                <w:rFonts w:asciiTheme="minorHAnsi" w:hAnsiTheme="minorHAnsi"/>
                <w:b/>
                <w:sz w:val="18"/>
                <w:szCs w:val="18"/>
              </w:rPr>
            </w:pPr>
            <w:r>
              <w:rPr>
                <w:rFonts w:asciiTheme="minorHAnsi" w:hAnsiTheme="minorHAnsi"/>
                <w:b/>
                <w:sz w:val="18"/>
                <w:szCs w:val="18"/>
              </w:rPr>
              <w:t>Commercial Building</w:t>
            </w:r>
            <w:r w:rsidR="00184B44" w:rsidRPr="000F70E8">
              <w:rPr>
                <w:rFonts w:asciiTheme="minorHAnsi" w:hAnsiTheme="minorHAnsi"/>
                <w:b/>
                <w:sz w:val="18"/>
                <w:szCs w:val="18"/>
              </w:rPr>
              <w:t xml:space="preserve"> Custom</w:t>
            </w:r>
          </w:p>
        </w:tc>
        <w:tc>
          <w:tcPr>
            <w:tcW w:w="2158" w:type="dxa"/>
            <w:noWrap/>
            <w:vAlign w:val="center"/>
            <w:hideMark/>
          </w:tcPr>
          <w:p w14:paraId="3FF55242"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280</w:t>
            </w:r>
          </w:p>
        </w:tc>
        <w:tc>
          <w:tcPr>
            <w:tcW w:w="956" w:type="dxa"/>
            <w:vAlign w:val="center"/>
            <w:hideMark/>
          </w:tcPr>
          <w:p w14:paraId="4161748F"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/unit</w:t>
            </w:r>
          </w:p>
        </w:tc>
        <w:tc>
          <w:tcPr>
            <w:tcW w:w="1620" w:type="dxa"/>
            <w:noWrap/>
            <w:vAlign w:val="center"/>
            <w:hideMark/>
          </w:tcPr>
          <w:p w14:paraId="52C16FD5" w14:textId="6E6C16F8"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353.00</w:t>
            </w:r>
          </w:p>
        </w:tc>
        <w:tc>
          <w:tcPr>
            <w:tcW w:w="1823" w:type="dxa"/>
            <w:noWrap/>
            <w:vAlign w:val="center"/>
            <w:hideMark/>
          </w:tcPr>
          <w:p w14:paraId="61EC2F12" w14:textId="55F990C1"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0.187</w:t>
            </w:r>
          </w:p>
        </w:tc>
      </w:tr>
      <w:tr w:rsidR="00184B44" w:rsidRPr="000F70E8" w14:paraId="3F74778C" w14:textId="77777777" w:rsidTr="009D4CEF">
        <w:trPr>
          <w:trHeight w:val="264"/>
          <w:jc w:val="center"/>
        </w:trPr>
        <w:tc>
          <w:tcPr>
            <w:tcW w:w="3361" w:type="dxa"/>
            <w:noWrap/>
            <w:vAlign w:val="center"/>
            <w:hideMark/>
          </w:tcPr>
          <w:p w14:paraId="11C1117F" w14:textId="68ECA519"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High School Retro</w:t>
            </w:r>
            <w:r w:rsidR="004F00A4">
              <w:rPr>
                <w:rFonts w:asciiTheme="minorHAnsi" w:hAnsiTheme="minorHAnsi"/>
                <w:b/>
                <w:sz w:val="18"/>
                <w:szCs w:val="18"/>
              </w:rPr>
              <w:t>-</w:t>
            </w:r>
            <w:r w:rsidRPr="000F70E8">
              <w:rPr>
                <w:rFonts w:asciiTheme="minorHAnsi" w:hAnsiTheme="minorHAnsi"/>
                <w:b/>
                <w:sz w:val="18"/>
                <w:szCs w:val="18"/>
              </w:rPr>
              <w:t>commissioning</w:t>
            </w:r>
          </w:p>
        </w:tc>
        <w:tc>
          <w:tcPr>
            <w:tcW w:w="2158" w:type="dxa"/>
            <w:noWrap/>
            <w:vAlign w:val="center"/>
            <w:hideMark/>
          </w:tcPr>
          <w:p w14:paraId="36C9028A" w14:textId="76FB9033"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28</w:t>
            </w:r>
            <w:r w:rsidR="004F00A4">
              <w:rPr>
                <w:rFonts w:asciiTheme="minorHAnsi" w:hAnsiTheme="minorHAnsi"/>
                <w:b/>
                <w:sz w:val="18"/>
                <w:szCs w:val="18"/>
              </w:rPr>
              <w:t>,</w:t>
            </w:r>
            <w:r w:rsidRPr="000F70E8">
              <w:rPr>
                <w:rFonts w:asciiTheme="minorHAnsi" w:hAnsiTheme="minorHAnsi"/>
                <w:b/>
                <w:sz w:val="18"/>
                <w:szCs w:val="18"/>
              </w:rPr>
              <w:t>046</w:t>
            </w:r>
          </w:p>
        </w:tc>
        <w:tc>
          <w:tcPr>
            <w:tcW w:w="956" w:type="dxa"/>
            <w:vAlign w:val="center"/>
            <w:hideMark/>
          </w:tcPr>
          <w:p w14:paraId="587333F6"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/unit</w:t>
            </w:r>
          </w:p>
        </w:tc>
        <w:tc>
          <w:tcPr>
            <w:tcW w:w="1620" w:type="dxa"/>
            <w:noWrap/>
            <w:vAlign w:val="center"/>
            <w:hideMark/>
          </w:tcPr>
          <w:p w14:paraId="569D3750" w14:textId="5E7ED08F"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12,971.00</w:t>
            </w:r>
          </w:p>
        </w:tc>
        <w:tc>
          <w:tcPr>
            <w:tcW w:w="1823" w:type="dxa"/>
            <w:noWrap/>
            <w:vAlign w:val="center"/>
            <w:hideMark/>
          </w:tcPr>
          <w:p w14:paraId="685FD4D2" w14:textId="10A8B6C5"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0.284</w:t>
            </w:r>
          </w:p>
        </w:tc>
      </w:tr>
      <w:tr w:rsidR="00184B44" w:rsidRPr="000F70E8" w14:paraId="60C2568F" w14:textId="77777777" w:rsidTr="009D4CEF">
        <w:trPr>
          <w:trHeight w:val="264"/>
          <w:jc w:val="center"/>
        </w:trPr>
        <w:tc>
          <w:tcPr>
            <w:tcW w:w="3361" w:type="dxa"/>
            <w:noWrap/>
            <w:vAlign w:val="center"/>
            <w:hideMark/>
          </w:tcPr>
          <w:p w14:paraId="721B07FA" w14:textId="63630611" w:rsidR="00184B44" w:rsidRPr="000F70E8" w:rsidRDefault="00184B44" w:rsidP="004F00A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xml:space="preserve">State </w:t>
            </w:r>
            <w:r w:rsidR="004F00A4">
              <w:rPr>
                <w:rFonts w:asciiTheme="minorHAnsi" w:hAnsiTheme="minorHAnsi"/>
                <w:b/>
                <w:sz w:val="18"/>
                <w:szCs w:val="18"/>
              </w:rPr>
              <w:t>Offices</w:t>
            </w:r>
            <w:r w:rsidRPr="000F70E8">
              <w:rPr>
                <w:rFonts w:asciiTheme="minorHAnsi" w:hAnsiTheme="minorHAnsi"/>
                <w:b/>
                <w:sz w:val="18"/>
                <w:szCs w:val="18"/>
              </w:rPr>
              <w:t xml:space="preserve"> Standard and Custom</w:t>
            </w:r>
          </w:p>
        </w:tc>
        <w:tc>
          <w:tcPr>
            <w:tcW w:w="2158" w:type="dxa"/>
            <w:noWrap/>
            <w:vAlign w:val="center"/>
            <w:hideMark/>
          </w:tcPr>
          <w:p w14:paraId="120E0506" w14:textId="2BD7E4D9"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11</w:t>
            </w:r>
            <w:r w:rsidR="004F00A4">
              <w:rPr>
                <w:rFonts w:asciiTheme="minorHAnsi" w:hAnsiTheme="minorHAnsi"/>
                <w:b/>
                <w:sz w:val="18"/>
                <w:szCs w:val="18"/>
              </w:rPr>
              <w:t>,</w:t>
            </w:r>
            <w:r w:rsidRPr="000F70E8">
              <w:rPr>
                <w:rFonts w:asciiTheme="minorHAnsi" w:hAnsiTheme="minorHAnsi"/>
                <w:b/>
                <w:sz w:val="18"/>
                <w:szCs w:val="18"/>
              </w:rPr>
              <w:t>359</w:t>
            </w:r>
          </w:p>
        </w:tc>
        <w:tc>
          <w:tcPr>
            <w:tcW w:w="956" w:type="dxa"/>
            <w:vAlign w:val="center"/>
            <w:hideMark/>
          </w:tcPr>
          <w:p w14:paraId="3EE36CC1" w14:textId="77777777"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/unit</w:t>
            </w:r>
          </w:p>
        </w:tc>
        <w:tc>
          <w:tcPr>
            <w:tcW w:w="1620" w:type="dxa"/>
            <w:noWrap/>
            <w:vAlign w:val="center"/>
            <w:hideMark/>
          </w:tcPr>
          <w:p w14:paraId="35CFFD15" w14:textId="2C8A5D55" w:rsidR="00184B44" w:rsidRPr="000F70E8" w:rsidRDefault="00184B44" w:rsidP="00184B44">
            <w:pPr>
              <w:spacing w:after="0" w:line="240" w:lineRule="auto"/>
              <w:ind w:right="83"/>
              <w:contextualSpacing/>
              <w:jc w:val="center"/>
              <w:rPr>
                <w:rFonts w:asciiTheme="minorHAnsi" w:hAnsiTheme="minorHAnsi"/>
                <w:b/>
                <w:sz w:val="18"/>
                <w:szCs w:val="18"/>
              </w:rPr>
            </w:pPr>
            <w:r w:rsidRPr="000F70E8">
              <w:rPr>
                <w:rFonts w:asciiTheme="minorHAnsi" w:hAnsiTheme="minorHAnsi"/>
                <w:b/>
                <w:sz w:val="18"/>
                <w:szCs w:val="18"/>
              </w:rPr>
              <w:t>$           17,765.00</w:t>
            </w:r>
          </w:p>
        </w:tc>
        <w:tc>
          <w:tcPr>
            <w:tcW w:w="1823" w:type="dxa"/>
            <w:noWrap/>
            <w:vAlign w:val="center"/>
            <w:hideMark/>
          </w:tcPr>
          <w:p w14:paraId="072CE7B9" w14:textId="3DC83846" w:rsidR="00184B44" w:rsidRPr="000F70E8" w:rsidRDefault="00184B44" w:rsidP="00184B44">
            <w:pPr>
              <w:spacing w:after="0" w:line="240" w:lineRule="auto"/>
              <w:ind w:right="83"/>
              <w:contextualSpacing/>
              <w:rPr>
                <w:rFonts w:asciiTheme="minorHAnsi" w:hAnsiTheme="minorHAnsi"/>
                <w:b/>
                <w:sz w:val="18"/>
                <w:szCs w:val="18"/>
              </w:rPr>
            </w:pPr>
            <w:r w:rsidRPr="000F70E8">
              <w:rPr>
                <w:rFonts w:asciiTheme="minorHAnsi" w:hAnsiTheme="minorHAnsi"/>
                <w:b/>
                <w:sz w:val="18"/>
                <w:szCs w:val="18"/>
              </w:rPr>
              <w:t>$           0.176</w:t>
            </w:r>
          </w:p>
        </w:tc>
      </w:tr>
      <w:tr w:rsidR="00184B44" w:rsidRPr="000F70E8" w14:paraId="0168DD6B" w14:textId="77777777" w:rsidTr="009D4CEF">
        <w:trPr>
          <w:trHeight w:val="276"/>
          <w:jc w:val="center"/>
        </w:trPr>
        <w:tc>
          <w:tcPr>
            <w:tcW w:w="3361" w:type="dxa"/>
            <w:noWrap/>
            <w:vAlign w:val="center"/>
            <w:hideMark/>
          </w:tcPr>
          <w:p w14:paraId="14687051" w14:textId="77777777" w:rsidR="00184B44" w:rsidRPr="000F70E8" w:rsidRDefault="00184B44" w:rsidP="00184B44">
            <w:pPr>
              <w:spacing w:after="0" w:line="240" w:lineRule="auto"/>
              <w:ind w:right="83"/>
              <w:contextualSpacing/>
              <w:jc w:val="center"/>
              <w:rPr>
                <w:rFonts w:asciiTheme="minorHAnsi" w:hAnsiTheme="minorHAnsi"/>
                <w:b/>
                <w:bCs/>
                <w:sz w:val="18"/>
                <w:szCs w:val="18"/>
              </w:rPr>
            </w:pPr>
            <w:r w:rsidRPr="000F70E8">
              <w:rPr>
                <w:rFonts w:asciiTheme="minorHAnsi" w:hAnsiTheme="minorHAnsi"/>
                <w:b/>
                <w:bCs/>
                <w:sz w:val="18"/>
                <w:szCs w:val="18"/>
              </w:rPr>
              <w:t>TOTAL PROGRAM</w:t>
            </w:r>
          </w:p>
        </w:tc>
        <w:tc>
          <w:tcPr>
            <w:tcW w:w="2158" w:type="dxa"/>
            <w:noWrap/>
            <w:vAlign w:val="center"/>
            <w:hideMark/>
          </w:tcPr>
          <w:p w14:paraId="05A99E48" w14:textId="4FBEABF1" w:rsidR="00184B44" w:rsidRPr="000F70E8" w:rsidRDefault="00184B44" w:rsidP="00184B44">
            <w:pPr>
              <w:spacing w:after="0" w:line="240" w:lineRule="auto"/>
              <w:ind w:right="83"/>
              <w:contextualSpacing/>
              <w:jc w:val="center"/>
              <w:rPr>
                <w:rFonts w:asciiTheme="minorHAnsi" w:hAnsiTheme="minorHAnsi"/>
                <w:b/>
                <w:bCs/>
                <w:sz w:val="18"/>
                <w:szCs w:val="18"/>
              </w:rPr>
            </w:pPr>
          </w:p>
        </w:tc>
        <w:tc>
          <w:tcPr>
            <w:tcW w:w="956" w:type="dxa"/>
            <w:noWrap/>
            <w:vAlign w:val="center"/>
            <w:hideMark/>
          </w:tcPr>
          <w:p w14:paraId="5729F53D" w14:textId="60D70C59" w:rsidR="00184B44" w:rsidRPr="000F70E8" w:rsidRDefault="00184B44" w:rsidP="00184B44">
            <w:pPr>
              <w:spacing w:after="0" w:line="240" w:lineRule="auto"/>
              <w:ind w:right="83"/>
              <w:contextualSpacing/>
              <w:jc w:val="center"/>
              <w:rPr>
                <w:rFonts w:asciiTheme="minorHAnsi" w:hAnsiTheme="minorHAnsi"/>
                <w:b/>
                <w:bCs/>
                <w:sz w:val="18"/>
                <w:szCs w:val="18"/>
              </w:rPr>
            </w:pPr>
          </w:p>
        </w:tc>
        <w:tc>
          <w:tcPr>
            <w:tcW w:w="1620" w:type="dxa"/>
            <w:noWrap/>
            <w:vAlign w:val="center"/>
            <w:hideMark/>
          </w:tcPr>
          <w:p w14:paraId="7FB21121" w14:textId="35019D55" w:rsidR="00184B44" w:rsidRPr="000F70E8" w:rsidRDefault="00184B44" w:rsidP="00184B44">
            <w:pPr>
              <w:spacing w:after="0" w:line="240" w:lineRule="auto"/>
              <w:ind w:right="83"/>
              <w:contextualSpacing/>
              <w:jc w:val="center"/>
              <w:rPr>
                <w:rFonts w:asciiTheme="minorHAnsi" w:hAnsiTheme="minorHAnsi"/>
                <w:b/>
                <w:bCs/>
                <w:sz w:val="18"/>
                <w:szCs w:val="18"/>
              </w:rPr>
            </w:pPr>
          </w:p>
        </w:tc>
        <w:tc>
          <w:tcPr>
            <w:tcW w:w="1823" w:type="dxa"/>
            <w:noWrap/>
            <w:vAlign w:val="center"/>
            <w:hideMark/>
          </w:tcPr>
          <w:p w14:paraId="6D48155F" w14:textId="2E58D062" w:rsidR="00184B44" w:rsidRPr="000F70E8" w:rsidRDefault="00184B44" w:rsidP="00184B44">
            <w:pPr>
              <w:spacing w:after="0" w:line="240" w:lineRule="auto"/>
              <w:ind w:right="83"/>
              <w:contextualSpacing/>
              <w:rPr>
                <w:rFonts w:asciiTheme="minorHAnsi" w:hAnsiTheme="minorHAnsi"/>
                <w:b/>
                <w:bCs/>
                <w:sz w:val="18"/>
                <w:szCs w:val="18"/>
              </w:rPr>
            </w:pPr>
            <w:r w:rsidRPr="000F70E8">
              <w:rPr>
                <w:rFonts w:asciiTheme="minorHAnsi" w:hAnsiTheme="minorHAnsi"/>
                <w:b/>
                <w:bCs/>
                <w:sz w:val="18"/>
                <w:szCs w:val="18"/>
              </w:rPr>
              <w:t>$           0.216</w:t>
            </w:r>
          </w:p>
        </w:tc>
      </w:tr>
    </w:tbl>
    <w:p w14:paraId="378F9516" w14:textId="77777777" w:rsidR="008528E6" w:rsidRPr="00E147C5" w:rsidRDefault="008528E6" w:rsidP="0068556F">
      <w:pPr>
        <w:spacing w:after="0"/>
        <w:ind w:right="83"/>
        <w:jc w:val="both"/>
        <w:rPr>
          <w:b/>
        </w:rPr>
      </w:pPr>
    </w:p>
    <w:p w14:paraId="1A574CD4" w14:textId="77777777" w:rsidR="00525FE4" w:rsidRPr="00E147C5" w:rsidRDefault="00525FE4" w:rsidP="00D012EB">
      <w:pPr>
        <w:pStyle w:val="Heading2"/>
      </w:pPr>
      <w:bookmarkStart w:id="25" w:name="_Toc465678031"/>
      <w:r w:rsidRPr="00E147C5">
        <w:t>Washington Low Income Program</w:t>
      </w:r>
      <w:bookmarkEnd w:id="25"/>
      <w:r w:rsidRPr="00E147C5">
        <w:t xml:space="preserve"> </w:t>
      </w:r>
    </w:p>
    <w:p w14:paraId="7032B22F" w14:textId="77777777" w:rsidR="00076659" w:rsidRPr="00BD112E" w:rsidRDefault="00076659" w:rsidP="00C235C5">
      <w:pPr>
        <w:spacing w:after="0"/>
        <w:ind w:right="-7"/>
        <w:contextualSpacing/>
        <w:jc w:val="both"/>
      </w:pPr>
      <w:r w:rsidRPr="00BD112E">
        <w:t xml:space="preserve">The Low Income Weatherization Incentive Program (LI-WIP) offers rebates to </w:t>
      </w:r>
      <w:r>
        <w:t>weatherization</w:t>
      </w:r>
      <w:r w:rsidRPr="00BD112E">
        <w:t xml:space="preserve"> agencies </w:t>
      </w:r>
      <w:r>
        <w:t xml:space="preserve">performing work </w:t>
      </w:r>
      <w:r w:rsidRPr="00BD112E">
        <w:t>to increase energy efficiency in low-income households within Cascade</w:t>
      </w:r>
      <w:r>
        <w:t>’s</w:t>
      </w:r>
      <w:r w:rsidRPr="00BD112E">
        <w:t xml:space="preserve"> service territory</w:t>
      </w:r>
      <w:r>
        <w:t xml:space="preserve">. Rebates are provided </w:t>
      </w:r>
      <w:r w:rsidRPr="00BD112E">
        <w:t xml:space="preserve">for the installation of certain energy efficiency measures following the completion of a home energy evaluation performed by a qualifying Community Action Agency or Low Income Agency. </w:t>
      </w:r>
    </w:p>
    <w:p w14:paraId="63EAA46A" w14:textId="77777777" w:rsidR="00076659" w:rsidRPr="00BD112E" w:rsidRDefault="00076659" w:rsidP="00C235C5">
      <w:pPr>
        <w:spacing w:after="0"/>
        <w:ind w:right="-7"/>
        <w:contextualSpacing/>
        <w:jc w:val="both"/>
      </w:pPr>
    </w:p>
    <w:p w14:paraId="3BB27390" w14:textId="77777777" w:rsidR="00076659" w:rsidRPr="00BD112E" w:rsidRDefault="00076659" w:rsidP="00E977D8">
      <w:pPr>
        <w:widowControl/>
        <w:spacing w:after="0"/>
        <w:jc w:val="both"/>
        <w:rPr>
          <w:b/>
        </w:rPr>
      </w:pPr>
      <w:r w:rsidRPr="00BD112E">
        <w:t xml:space="preserve">The following measures qualify for a rebate through the current LI-WIP tariff. Calculations for rebates are based on projected annual therm savings of the measure(s) x 100% of the Avoided Cost per therm. </w:t>
      </w:r>
    </w:p>
    <w:p w14:paraId="48083B38" w14:textId="766705BB" w:rsidR="00075DDB" w:rsidRDefault="00075DDB">
      <w:pPr>
        <w:widowControl/>
        <w:spacing w:after="0" w:line="240" w:lineRule="auto"/>
        <w:rPr>
          <w:b/>
          <w:sz w:val="18"/>
        </w:rPr>
      </w:pPr>
    </w:p>
    <w:p w14:paraId="7ED4C05C" w14:textId="1473171A" w:rsidR="00076659" w:rsidRPr="00F657A9" w:rsidRDefault="00076659" w:rsidP="004E6B25">
      <w:pPr>
        <w:spacing w:after="0"/>
        <w:ind w:right="-7"/>
        <w:contextualSpacing/>
        <w:jc w:val="center"/>
        <w:rPr>
          <w:b/>
          <w:sz w:val="18"/>
        </w:rPr>
      </w:pPr>
      <w:r w:rsidRPr="00F657A9">
        <w:rPr>
          <w:b/>
          <w:sz w:val="18"/>
        </w:rPr>
        <w:t xml:space="preserve">Table </w:t>
      </w:r>
      <w:r w:rsidR="00121E99" w:rsidRPr="00F657A9">
        <w:rPr>
          <w:b/>
          <w:sz w:val="18"/>
        </w:rPr>
        <w:t>6</w:t>
      </w:r>
    </w:p>
    <w:p w14:paraId="42E494A4" w14:textId="77777777" w:rsidR="00076659" w:rsidRPr="00BD112E" w:rsidRDefault="00076659" w:rsidP="00076659">
      <w:pPr>
        <w:spacing w:after="0"/>
        <w:ind w:right="-7"/>
        <w:contextualSpacing/>
        <w:jc w:val="center"/>
      </w:pPr>
      <w:r w:rsidRPr="00BD112E">
        <w:t>Current Low Income Weatherization rebate offerings from Tariff 301</w:t>
      </w:r>
    </w:p>
    <w:tbl>
      <w:tblPr>
        <w:tblStyle w:val="TableGrid"/>
        <w:tblW w:w="0" w:type="auto"/>
        <w:jc w:val="center"/>
        <w:tblLook w:val="04A0" w:firstRow="1" w:lastRow="0" w:firstColumn="1" w:lastColumn="0" w:noHBand="0" w:noVBand="1"/>
      </w:tblPr>
      <w:tblGrid>
        <w:gridCol w:w="3850"/>
        <w:gridCol w:w="3296"/>
      </w:tblGrid>
      <w:tr w:rsidR="00076659" w:rsidRPr="00BD112E" w14:paraId="03DAF989" w14:textId="77777777" w:rsidTr="00076659">
        <w:trPr>
          <w:trHeight w:val="170"/>
          <w:jc w:val="center"/>
        </w:trPr>
        <w:tc>
          <w:tcPr>
            <w:tcW w:w="3850" w:type="dxa"/>
            <w:shd w:val="clear" w:color="auto" w:fill="A6A6A6" w:themeFill="background1" w:themeFillShade="A6"/>
          </w:tcPr>
          <w:p w14:paraId="56271DC9" w14:textId="77777777" w:rsidR="00076659" w:rsidRPr="00BD112E" w:rsidRDefault="00076659" w:rsidP="00076659">
            <w:pPr>
              <w:jc w:val="center"/>
              <w:rPr>
                <w:b/>
              </w:rPr>
            </w:pPr>
            <w:r w:rsidRPr="00BD112E">
              <w:rPr>
                <w:b/>
              </w:rPr>
              <w:t>Measure</w:t>
            </w:r>
          </w:p>
        </w:tc>
        <w:tc>
          <w:tcPr>
            <w:tcW w:w="3296" w:type="dxa"/>
            <w:shd w:val="clear" w:color="auto" w:fill="A6A6A6" w:themeFill="background1" w:themeFillShade="A6"/>
          </w:tcPr>
          <w:p w14:paraId="35AE896D" w14:textId="77777777" w:rsidR="00076659" w:rsidRPr="00BD112E" w:rsidRDefault="00076659" w:rsidP="00076659">
            <w:pPr>
              <w:jc w:val="center"/>
              <w:rPr>
                <w:b/>
              </w:rPr>
            </w:pPr>
            <w:r w:rsidRPr="00BD112E">
              <w:rPr>
                <w:b/>
              </w:rPr>
              <w:t>Avoided Cost per Therm</w:t>
            </w:r>
          </w:p>
        </w:tc>
      </w:tr>
      <w:tr w:rsidR="00076659" w:rsidRPr="00BD112E" w14:paraId="1100CF95" w14:textId="77777777" w:rsidTr="00076659">
        <w:trPr>
          <w:trHeight w:val="161"/>
          <w:jc w:val="center"/>
        </w:trPr>
        <w:tc>
          <w:tcPr>
            <w:tcW w:w="3850" w:type="dxa"/>
          </w:tcPr>
          <w:p w14:paraId="02A3B592" w14:textId="77777777" w:rsidR="00076659" w:rsidRPr="00BD112E" w:rsidRDefault="00076659" w:rsidP="00076659">
            <w:pPr>
              <w:pStyle w:val="ListParagraph"/>
              <w:rPr>
                <w:rFonts w:ascii="Arial" w:hAnsi="Arial" w:cs="Arial"/>
              </w:rPr>
            </w:pPr>
            <w:r w:rsidRPr="00BD112E">
              <w:rPr>
                <w:rFonts w:ascii="Arial" w:hAnsi="Arial" w:cs="Arial"/>
                <w:b/>
              </w:rPr>
              <w:t>Ceiling Insulation</w:t>
            </w:r>
          </w:p>
        </w:tc>
        <w:tc>
          <w:tcPr>
            <w:tcW w:w="3296" w:type="dxa"/>
          </w:tcPr>
          <w:p w14:paraId="5D794960" w14:textId="77777777" w:rsidR="00076659" w:rsidRPr="00BD112E" w:rsidRDefault="00076659" w:rsidP="00076659">
            <w:pPr>
              <w:pStyle w:val="ListParagraph"/>
              <w:rPr>
                <w:rFonts w:ascii="Arial" w:hAnsi="Arial" w:cs="Arial"/>
              </w:rPr>
            </w:pPr>
            <w:r w:rsidRPr="00BD112E">
              <w:rPr>
                <w:rFonts w:ascii="Arial" w:hAnsi="Arial" w:cs="Arial"/>
              </w:rPr>
              <w:t>$8.09</w:t>
            </w:r>
          </w:p>
        </w:tc>
      </w:tr>
      <w:tr w:rsidR="00076659" w:rsidRPr="00BD112E" w14:paraId="20F3EE1F" w14:textId="77777777" w:rsidTr="00076659">
        <w:trPr>
          <w:trHeight w:val="170"/>
          <w:jc w:val="center"/>
        </w:trPr>
        <w:tc>
          <w:tcPr>
            <w:tcW w:w="3850" w:type="dxa"/>
          </w:tcPr>
          <w:p w14:paraId="67283A3A" w14:textId="77777777" w:rsidR="00076659" w:rsidRPr="00BD112E" w:rsidRDefault="00076659" w:rsidP="00076659">
            <w:pPr>
              <w:pStyle w:val="ListParagraph"/>
              <w:rPr>
                <w:rFonts w:ascii="Arial" w:hAnsi="Arial" w:cs="Arial"/>
              </w:rPr>
            </w:pPr>
            <w:r w:rsidRPr="00BD112E">
              <w:rPr>
                <w:rFonts w:ascii="Arial" w:hAnsi="Arial" w:cs="Arial"/>
                <w:b/>
              </w:rPr>
              <w:t>Wall Insulation</w:t>
            </w:r>
          </w:p>
        </w:tc>
        <w:tc>
          <w:tcPr>
            <w:tcW w:w="3296" w:type="dxa"/>
          </w:tcPr>
          <w:p w14:paraId="0D4EBEA1" w14:textId="77777777" w:rsidR="00076659" w:rsidRPr="00BD112E" w:rsidRDefault="00076659" w:rsidP="00076659">
            <w:pPr>
              <w:pStyle w:val="ListParagraph"/>
              <w:rPr>
                <w:rFonts w:ascii="Arial" w:hAnsi="Arial" w:cs="Arial"/>
              </w:rPr>
            </w:pPr>
            <w:r w:rsidRPr="00BD112E">
              <w:rPr>
                <w:rFonts w:ascii="Arial" w:hAnsi="Arial" w:cs="Arial"/>
              </w:rPr>
              <w:t>$8.09</w:t>
            </w:r>
          </w:p>
        </w:tc>
      </w:tr>
      <w:tr w:rsidR="00076659" w:rsidRPr="00BD112E" w14:paraId="2EFEBBF8" w14:textId="77777777" w:rsidTr="00076659">
        <w:trPr>
          <w:trHeight w:val="161"/>
          <w:jc w:val="center"/>
        </w:trPr>
        <w:tc>
          <w:tcPr>
            <w:tcW w:w="3850" w:type="dxa"/>
          </w:tcPr>
          <w:p w14:paraId="4902E79D" w14:textId="77777777" w:rsidR="00076659" w:rsidRPr="00BD112E" w:rsidRDefault="00076659" w:rsidP="00076659">
            <w:pPr>
              <w:pStyle w:val="ListParagraph"/>
              <w:rPr>
                <w:rFonts w:ascii="Arial" w:hAnsi="Arial" w:cs="Arial"/>
              </w:rPr>
            </w:pPr>
            <w:r w:rsidRPr="00BD112E">
              <w:rPr>
                <w:rFonts w:ascii="Arial" w:hAnsi="Arial" w:cs="Arial"/>
                <w:b/>
              </w:rPr>
              <w:t>Floor Insulation</w:t>
            </w:r>
          </w:p>
        </w:tc>
        <w:tc>
          <w:tcPr>
            <w:tcW w:w="3296" w:type="dxa"/>
          </w:tcPr>
          <w:p w14:paraId="0F7C4F66" w14:textId="77777777" w:rsidR="00076659" w:rsidRPr="00BD112E" w:rsidRDefault="00076659" w:rsidP="00076659">
            <w:pPr>
              <w:pStyle w:val="ListParagraph"/>
              <w:rPr>
                <w:rFonts w:ascii="Arial" w:hAnsi="Arial" w:cs="Arial"/>
              </w:rPr>
            </w:pPr>
            <w:r w:rsidRPr="00BD112E">
              <w:rPr>
                <w:rFonts w:ascii="Arial" w:hAnsi="Arial" w:cs="Arial"/>
              </w:rPr>
              <w:t>$8.09</w:t>
            </w:r>
          </w:p>
        </w:tc>
      </w:tr>
      <w:tr w:rsidR="00076659" w:rsidRPr="00BD112E" w14:paraId="6ADCEAFD" w14:textId="77777777" w:rsidTr="00076659">
        <w:trPr>
          <w:trHeight w:val="170"/>
          <w:jc w:val="center"/>
        </w:trPr>
        <w:tc>
          <w:tcPr>
            <w:tcW w:w="3850" w:type="dxa"/>
          </w:tcPr>
          <w:p w14:paraId="7D7DF09B" w14:textId="77777777" w:rsidR="00076659" w:rsidRPr="00BD112E" w:rsidRDefault="00076659" w:rsidP="00076659">
            <w:pPr>
              <w:pStyle w:val="ListParagraph"/>
              <w:rPr>
                <w:rFonts w:ascii="Arial" w:hAnsi="Arial" w:cs="Arial"/>
              </w:rPr>
            </w:pPr>
            <w:r w:rsidRPr="00BD112E">
              <w:rPr>
                <w:rFonts w:ascii="Arial" w:hAnsi="Arial" w:cs="Arial"/>
                <w:b/>
              </w:rPr>
              <w:t>Duct Sealing &amp; Insulation</w:t>
            </w:r>
          </w:p>
        </w:tc>
        <w:tc>
          <w:tcPr>
            <w:tcW w:w="3296" w:type="dxa"/>
          </w:tcPr>
          <w:p w14:paraId="63847081" w14:textId="77777777" w:rsidR="00076659" w:rsidRPr="00BD112E" w:rsidRDefault="00076659" w:rsidP="00076659">
            <w:pPr>
              <w:pStyle w:val="ListParagraph"/>
              <w:rPr>
                <w:rFonts w:ascii="Arial" w:hAnsi="Arial" w:cs="Arial"/>
              </w:rPr>
            </w:pPr>
            <w:r w:rsidRPr="00BD112E">
              <w:rPr>
                <w:rFonts w:ascii="Arial" w:hAnsi="Arial" w:cs="Arial"/>
              </w:rPr>
              <w:t>$6.15</w:t>
            </w:r>
          </w:p>
        </w:tc>
      </w:tr>
      <w:tr w:rsidR="00076659" w:rsidRPr="00BD112E" w14:paraId="15B9965F" w14:textId="77777777" w:rsidTr="00076659">
        <w:trPr>
          <w:trHeight w:val="170"/>
          <w:jc w:val="center"/>
        </w:trPr>
        <w:tc>
          <w:tcPr>
            <w:tcW w:w="3850" w:type="dxa"/>
          </w:tcPr>
          <w:p w14:paraId="382FDBDB" w14:textId="77777777" w:rsidR="00076659" w:rsidRPr="00BD112E" w:rsidRDefault="00076659" w:rsidP="00076659">
            <w:pPr>
              <w:pStyle w:val="ListParagraph"/>
              <w:rPr>
                <w:rFonts w:ascii="Arial" w:hAnsi="Arial" w:cs="Arial"/>
              </w:rPr>
            </w:pPr>
            <w:r w:rsidRPr="00BD112E">
              <w:rPr>
                <w:rFonts w:ascii="Arial" w:hAnsi="Arial" w:cs="Arial"/>
                <w:b/>
              </w:rPr>
              <w:t>Infiltration Reduction</w:t>
            </w:r>
          </w:p>
        </w:tc>
        <w:tc>
          <w:tcPr>
            <w:tcW w:w="3296" w:type="dxa"/>
          </w:tcPr>
          <w:p w14:paraId="1F122246" w14:textId="77777777" w:rsidR="00076659" w:rsidRPr="00BD112E" w:rsidRDefault="00076659" w:rsidP="00076659">
            <w:pPr>
              <w:pStyle w:val="ListParagraph"/>
              <w:rPr>
                <w:rFonts w:ascii="Arial" w:hAnsi="Arial" w:cs="Arial"/>
              </w:rPr>
            </w:pPr>
            <w:r w:rsidRPr="00BD112E">
              <w:rPr>
                <w:rFonts w:ascii="Arial" w:hAnsi="Arial" w:cs="Arial"/>
              </w:rPr>
              <w:t>$6.15</w:t>
            </w:r>
          </w:p>
        </w:tc>
      </w:tr>
    </w:tbl>
    <w:p w14:paraId="0BCA842B" w14:textId="77777777" w:rsidR="00076659" w:rsidRPr="00BD112E" w:rsidRDefault="00076659" w:rsidP="00076659">
      <w:pPr>
        <w:tabs>
          <w:tab w:val="left" w:pos="-1440"/>
          <w:tab w:val="left" w:pos="-720"/>
          <w:tab w:val="left" w:pos="90"/>
          <w:tab w:val="left" w:pos="180"/>
          <w:tab w:val="left" w:pos="1080"/>
          <w:tab w:val="left" w:pos="1440"/>
        </w:tabs>
        <w:suppressAutoHyphens/>
        <w:ind w:right="83"/>
        <w:contextualSpacing/>
        <w:jc w:val="both"/>
      </w:pPr>
    </w:p>
    <w:p w14:paraId="0D262128" w14:textId="3F9372A7" w:rsidR="00076659" w:rsidRPr="00BD112E" w:rsidRDefault="00076659" w:rsidP="00076659">
      <w:pPr>
        <w:tabs>
          <w:tab w:val="left" w:pos="-1440"/>
          <w:tab w:val="left" w:pos="-720"/>
          <w:tab w:val="left" w:pos="90"/>
          <w:tab w:val="left" w:pos="180"/>
          <w:tab w:val="left" w:pos="1080"/>
          <w:tab w:val="left" w:pos="1440"/>
        </w:tabs>
        <w:suppressAutoHyphens/>
        <w:ind w:right="83"/>
        <w:contextualSpacing/>
        <w:jc w:val="both"/>
      </w:pPr>
      <w:r w:rsidRPr="00BD112E">
        <w:t>Cascade has partnered with low income weatherization providers since 2008, offering rebates to the agencies delivering essential home energy improvements to CNGC customers in the State of Washington. Achievements for each year have been provided in the table below.</w:t>
      </w:r>
    </w:p>
    <w:p w14:paraId="0AD2C5A4" w14:textId="1E49F1C0" w:rsidR="00076659" w:rsidRPr="00F657A9" w:rsidRDefault="00076659" w:rsidP="00076659">
      <w:pPr>
        <w:widowControl/>
        <w:spacing w:after="0" w:line="240" w:lineRule="auto"/>
        <w:jc w:val="center"/>
        <w:rPr>
          <w:rFonts w:eastAsia="Calibri"/>
          <w:b/>
          <w:sz w:val="18"/>
        </w:rPr>
      </w:pPr>
      <w:r w:rsidRPr="00F657A9">
        <w:rPr>
          <w:rFonts w:eastAsia="Calibri"/>
          <w:b/>
          <w:sz w:val="18"/>
        </w:rPr>
        <w:t xml:space="preserve">Table </w:t>
      </w:r>
      <w:r w:rsidR="00121E99" w:rsidRPr="00F657A9">
        <w:rPr>
          <w:rFonts w:eastAsia="Calibri"/>
          <w:b/>
          <w:sz w:val="18"/>
        </w:rPr>
        <w:t>7</w:t>
      </w:r>
    </w:p>
    <w:tbl>
      <w:tblPr>
        <w:tblW w:w="0" w:type="auto"/>
        <w:jc w:val="center"/>
        <w:tblCellMar>
          <w:left w:w="0" w:type="dxa"/>
          <w:right w:w="0" w:type="dxa"/>
        </w:tblCellMar>
        <w:tblLook w:val="04A0" w:firstRow="1" w:lastRow="0" w:firstColumn="1" w:lastColumn="0" w:noHBand="0" w:noVBand="1"/>
      </w:tblPr>
      <w:tblGrid>
        <w:gridCol w:w="1368"/>
        <w:gridCol w:w="1552"/>
        <w:gridCol w:w="1530"/>
      </w:tblGrid>
      <w:tr w:rsidR="00076659" w:rsidRPr="00B44E9F" w14:paraId="14035A6D" w14:textId="77777777" w:rsidTr="004F00A4">
        <w:trPr>
          <w:jc w:val="center"/>
        </w:trPr>
        <w:tc>
          <w:tcPr>
            <w:tcW w:w="4450" w:type="dxa"/>
            <w:gridSpan w:val="3"/>
            <w:tcBorders>
              <w:top w:val="single" w:sz="8" w:space="0" w:color="auto"/>
              <w:left w:val="single" w:sz="8" w:space="0" w:color="auto"/>
              <w:bottom w:val="single" w:sz="8" w:space="0" w:color="auto"/>
              <w:right w:val="single" w:sz="8" w:space="0" w:color="auto"/>
            </w:tcBorders>
            <w:shd w:val="clear" w:color="auto" w:fill="D6E3BC" w:themeFill="accent3" w:themeFillTint="66"/>
            <w:tcMar>
              <w:top w:w="0" w:type="dxa"/>
              <w:left w:w="108" w:type="dxa"/>
              <w:bottom w:w="0" w:type="dxa"/>
              <w:right w:w="108" w:type="dxa"/>
            </w:tcMar>
            <w:hideMark/>
          </w:tcPr>
          <w:p w14:paraId="52F4CA57" w14:textId="77777777" w:rsidR="00076659" w:rsidRPr="00B44E9F" w:rsidRDefault="00076659" w:rsidP="004F00A4">
            <w:pPr>
              <w:widowControl/>
              <w:spacing w:after="0" w:line="240" w:lineRule="auto"/>
              <w:jc w:val="center"/>
              <w:rPr>
                <w:rFonts w:eastAsia="Calibri"/>
                <w:b/>
                <w:bCs/>
              </w:rPr>
            </w:pPr>
            <w:r w:rsidRPr="00B44E9F">
              <w:rPr>
                <w:rFonts w:eastAsia="Calibri"/>
                <w:b/>
                <w:bCs/>
              </w:rPr>
              <w:t>Weatherization Incentive Program Participation Levels and Savings by Year</w:t>
            </w:r>
          </w:p>
        </w:tc>
      </w:tr>
      <w:tr w:rsidR="00A1410B" w:rsidRPr="00A1410B" w14:paraId="1F1C6E17" w14:textId="77777777" w:rsidTr="00076659">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0D3E0" w14:textId="77777777" w:rsidR="00076659" w:rsidRPr="004F00A4" w:rsidRDefault="00076659" w:rsidP="004F00A4">
            <w:pPr>
              <w:widowControl/>
              <w:spacing w:after="0" w:line="240" w:lineRule="auto"/>
              <w:jc w:val="center"/>
              <w:rPr>
                <w:rFonts w:eastAsia="Calibri"/>
                <w:b/>
                <w:bCs/>
              </w:rPr>
            </w:pPr>
            <w:r w:rsidRPr="004F00A4">
              <w:rPr>
                <w:rFonts w:eastAsia="Calibri"/>
                <w:b/>
                <w:bCs/>
              </w:rPr>
              <w:t>Year</w:t>
            </w:r>
          </w:p>
        </w:tc>
        <w:tc>
          <w:tcPr>
            <w:tcW w:w="1552" w:type="dxa"/>
            <w:tcBorders>
              <w:top w:val="nil"/>
              <w:left w:val="nil"/>
              <w:bottom w:val="single" w:sz="8" w:space="0" w:color="auto"/>
              <w:right w:val="single" w:sz="8" w:space="0" w:color="auto"/>
            </w:tcBorders>
            <w:tcMar>
              <w:top w:w="0" w:type="dxa"/>
              <w:left w:w="108" w:type="dxa"/>
              <w:bottom w:w="0" w:type="dxa"/>
              <w:right w:w="108" w:type="dxa"/>
            </w:tcMar>
            <w:hideMark/>
          </w:tcPr>
          <w:p w14:paraId="1DBD0EC5" w14:textId="77777777" w:rsidR="00076659" w:rsidRPr="004F00A4" w:rsidRDefault="00076659" w:rsidP="004F00A4">
            <w:pPr>
              <w:widowControl/>
              <w:spacing w:after="0" w:line="240" w:lineRule="auto"/>
              <w:jc w:val="center"/>
              <w:rPr>
                <w:rFonts w:eastAsia="Calibri"/>
                <w:b/>
                <w:bCs/>
              </w:rPr>
            </w:pPr>
            <w:r w:rsidRPr="004F00A4">
              <w:rPr>
                <w:rFonts w:eastAsia="Calibri"/>
                <w:b/>
                <w:bCs/>
              </w:rPr>
              <w:t>Number of Homes Served</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78EC5F99" w14:textId="77777777" w:rsidR="00076659" w:rsidRPr="004F00A4" w:rsidRDefault="00076659" w:rsidP="004F00A4">
            <w:pPr>
              <w:widowControl/>
              <w:spacing w:after="0" w:line="240" w:lineRule="auto"/>
              <w:jc w:val="center"/>
              <w:rPr>
                <w:rFonts w:eastAsia="Calibri"/>
                <w:b/>
                <w:bCs/>
              </w:rPr>
            </w:pPr>
            <w:r w:rsidRPr="004F00A4">
              <w:rPr>
                <w:rFonts w:eastAsia="Calibri"/>
                <w:b/>
                <w:bCs/>
              </w:rPr>
              <w:t>Therm Savings</w:t>
            </w:r>
          </w:p>
        </w:tc>
      </w:tr>
      <w:tr w:rsidR="00076659" w:rsidRPr="00B44E9F" w14:paraId="623B48B6" w14:textId="77777777" w:rsidTr="00076659">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8256D" w14:textId="77777777" w:rsidR="00076659" w:rsidRPr="00B44E9F" w:rsidRDefault="00076659" w:rsidP="004F00A4">
            <w:pPr>
              <w:widowControl/>
              <w:spacing w:after="0" w:line="240" w:lineRule="auto"/>
              <w:jc w:val="center"/>
              <w:rPr>
                <w:rFonts w:eastAsia="Calibri"/>
              </w:rPr>
            </w:pPr>
            <w:r w:rsidRPr="00B44E9F">
              <w:rPr>
                <w:rFonts w:eastAsia="Calibri"/>
              </w:rPr>
              <w:t>2008</w:t>
            </w:r>
          </w:p>
        </w:tc>
        <w:tc>
          <w:tcPr>
            <w:tcW w:w="1552" w:type="dxa"/>
            <w:tcBorders>
              <w:top w:val="nil"/>
              <w:left w:val="nil"/>
              <w:bottom w:val="single" w:sz="8" w:space="0" w:color="auto"/>
              <w:right w:val="single" w:sz="8" w:space="0" w:color="auto"/>
            </w:tcBorders>
            <w:tcMar>
              <w:top w:w="0" w:type="dxa"/>
              <w:left w:w="108" w:type="dxa"/>
              <w:bottom w:w="0" w:type="dxa"/>
              <w:right w:w="108" w:type="dxa"/>
            </w:tcMar>
            <w:hideMark/>
          </w:tcPr>
          <w:p w14:paraId="53807B7F" w14:textId="77777777" w:rsidR="00076659" w:rsidRPr="00B44E9F" w:rsidRDefault="00076659" w:rsidP="004F00A4">
            <w:pPr>
              <w:widowControl/>
              <w:spacing w:after="0" w:line="240" w:lineRule="auto"/>
              <w:jc w:val="center"/>
              <w:rPr>
                <w:rFonts w:eastAsia="Calibri"/>
              </w:rPr>
            </w:pPr>
            <w:r w:rsidRPr="00B44E9F">
              <w:rPr>
                <w:rFonts w:eastAsia="Calibri"/>
              </w:rPr>
              <w:t>46</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030E9A1F" w14:textId="77777777" w:rsidR="00076659" w:rsidRPr="00B44E9F" w:rsidRDefault="00076659" w:rsidP="004F00A4">
            <w:pPr>
              <w:widowControl/>
              <w:spacing w:after="0" w:line="240" w:lineRule="auto"/>
              <w:jc w:val="center"/>
              <w:rPr>
                <w:rFonts w:eastAsia="Calibri"/>
              </w:rPr>
            </w:pPr>
            <w:r w:rsidRPr="00B44E9F">
              <w:rPr>
                <w:rFonts w:eastAsia="Calibri"/>
              </w:rPr>
              <w:t>13,985</w:t>
            </w:r>
          </w:p>
        </w:tc>
      </w:tr>
      <w:tr w:rsidR="00076659" w:rsidRPr="00B44E9F" w14:paraId="2768A379" w14:textId="77777777" w:rsidTr="00076659">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169D4" w14:textId="77777777" w:rsidR="00076659" w:rsidRPr="00B44E9F" w:rsidRDefault="00076659" w:rsidP="004F00A4">
            <w:pPr>
              <w:widowControl/>
              <w:spacing w:after="0" w:line="240" w:lineRule="auto"/>
              <w:jc w:val="center"/>
              <w:rPr>
                <w:rFonts w:eastAsia="Calibri"/>
              </w:rPr>
            </w:pPr>
            <w:r w:rsidRPr="00B44E9F">
              <w:rPr>
                <w:rFonts w:eastAsia="Calibri"/>
              </w:rPr>
              <w:t>2009</w:t>
            </w:r>
          </w:p>
        </w:tc>
        <w:tc>
          <w:tcPr>
            <w:tcW w:w="1552" w:type="dxa"/>
            <w:tcBorders>
              <w:top w:val="nil"/>
              <w:left w:val="nil"/>
              <w:bottom w:val="single" w:sz="8" w:space="0" w:color="auto"/>
              <w:right w:val="single" w:sz="8" w:space="0" w:color="auto"/>
            </w:tcBorders>
            <w:tcMar>
              <w:top w:w="0" w:type="dxa"/>
              <w:left w:w="108" w:type="dxa"/>
              <w:bottom w:w="0" w:type="dxa"/>
              <w:right w:w="108" w:type="dxa"/>
            </w:tcMar>
            <w:hideMark/>
          </w:tcPr>
          <w:p w14:paraId="0F25B03A" w14:textId="77777777" w:rsidR="00076659" w:rsidRPr="00B44E9F" w:rsidRDefault="00076659" w:rsidP="004F00A4">
            <w:pPr>
              <w:widowControl/>
              <w:spacing w:after="0" w:line="240" w:lineRule="auto"/>
              <w:jc w:val="center"/>
              <w:rPr>
                <w:rFonts w:eastAsia="Calibri"/>
              </w:rPr>
            </w:pPr>
            <w:r w:rsidRPr="00B44E9F">
              <w:rPr>
                <w:rFonts w:eastAsia="Calibri"/>
              </w:rPr>
              <w:t>54</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33E65C1D" w14:textId="77777777" w:rsidR="00076659" w:rsidRPr="00B44E9F" w:rsidRDefault="00076659" w:rsidP="004F00A4">
            <w:pPr>
              <w:widowControl/>
              <w:spacing w:after="0" w:line="240" w:lineRule="auto"/>
              <w:jc w:val="center"/>
              <w:rPr>
                <w:rFonts w:eastAsia="Calibri"/>
              </w:rPr>
            </w:pPr>
            <w:r w:rsidRPr="00B44E9F">
              <w:rPr>
                <w:rFonts w:eastAsia="Calibri"/>
              </w:rPr>
              <w:t>14,733</w:t>
            </w:r>
          </w:p>
        </w:tc>
      </w:tr>
      <w:tr w:rsidR="00076659" w:rsidRPr="00B44E9F" w14:paraId="2332500A" w14:textId="77777777" w:rsidTr="00076659">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411C0" w14:textId="77777777" w:rsidR="00076659" w:rsidRPr="00B44E9F" w:rsidRDefault="00076659" w:rsidP="004F00A4">
            <w:pPr>
              <w:widowControl/>
              <w:spacing w:after="0" w:line="240" w:lineRule="auto"/>
              <w:jc w:val="center"/>
              <w:rPr>
                <w:rFonts w:eastAsia="Calibri"/>
              </w:rPr>
            </w:pPr>
            <w:r w:rsidRPr="00B44E9F">
              <w:rPr>
                <w:rFonts w:eastAsia="Calibri"/>
              </w:rPr>
              <w:t>2010</w:t>
            </w:r>
          </w:p>
        </w:tc>
        <w:tc>
          <w:tcPr>
            <w:tcW w:w="1552" w:type="dxa"/>
            <w:tcBorders>
              <w:top w:val="nil"/>
              <w:left w:val="nil"/>
              <w:bottom w:val="single" w:sz="8" w:space="0" w:color="auto"/>
              <w:right w:val="single" w:sz="8" w:space="0" w:color="auto"/>
            </w:tcBorders>
            <w:tcMar>
              <w:top w:w="0" w:type="dxa"/>
              <w:left w:w="108" w:type="dxa"/>
              <w:bottom w:w="0" w:type="dxa"/>
              <w:right w:w="108" w:type="dxa"/>
            </w:tcMar>
            <w:hideMark/>
          </w:tcPr>
          <w:p w14:paraId="5839E6D0" w14:textId="77777777" w:rsidR="00076659" w:rsidRPr="00B44E9F" w:rsidRDefault="00076659" w:rsidP="004F00A4">
            <w:pPr>
              <w:widowControl/>
              <w:spacing w:after="0" w:line="240" w:lineRule="auto"/>
              <w:jc w:val="center"/>
              <w:rPr>
                <w:rFonts w:eastAsia="Calibri"/>
              </w:rPr>
            </w:pPr>
            <w:r w:rsidRPr="00B44E9F">
              <w:rPr>
                <w:rFonts w:eastAsia="Calibri"/>
              </w:rPr>
              <w:t>112</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4058A157" w14:textId="77777777" w:rsidR="00076659" w:rsidRPr="00B44E9F" w:rsidRDefault="00076659" w:rsidP="004F00A4">
            <w:pPr>
              <w:widowControl/>
              <w:spacing w:after="0" w:line="240" w:lineRule="auto"/>
              <w:jc w:val="center"/>
              <w:rPr>
                <w:rFonts w:eastAsia="Calibri"/>
              </w:rPr>
            </w:pPr>
            <w:r w:rsidRPr="00B44E9F">
              <w:rPr>
                <w:rFonts w:eastAsia="Calibri"/>
              </w:rPr>
              <w:t>30,809</w:t>
            </w:r>
          </w:p>
        </w:tc>
      </w:tr>
      <w:tr w:rsidR="00076659" w:rsidRPr="00B44E9F" w14:paraId="6CEAABF5" w14:textId="77777777" w:rsidTr="00076659">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54368" w14:textId="77777777" w:rsidR="00076659" w:rsidRPr="00B44E9F" w:rsidRDefault="00076659" w:rsidP="004F00A4">
            <w:pPr>
              <w:widowControl/>
              <w:spacing w:after="0" w:line="240" w:lineRule="auto"/>
              <w:jc w:val="center"/>
              <w:rPr>
                <w:rFonts w:eastAsia="Calibri"/>
              </w:rPr>
            </w:pPr>
            <w:r w:rsidRPr="00B44E9F">
              <w:rPr>
                <w:rFonts w:eastAsia="Calibri"/>
              </w:rPr>
              <w:t>2011</w:t>
            </w:r>
          </w:p>
        </w:tc>
        <w:tc>
          <w:tcPr>
            <w:tcW w:w="1552" w:type="dxa"/>
            <w:tcBorders>
              <w:top w:val="nil"/>
              <w:left w:val="nil"/>
              <w:bottom w:val="single" w:sz="8" w:space="0" w:color="auto"/>
              <w:right w:val="single" w:sz="8" w:space="0" w:color="auto"/>
            </w:tcBorders>
            <w:tcMar>
              <w:top w:w="0" w:type="dxa"/>
              <w:left w:w="108" w:type="dxa"/>
              <w:bottom w:w="0" w:type="dxa"/>
              <w:right w:w="108" w:type="dxa"/>
            </w:tcMar>
            <w:hideMark/>
          </w:tcPr>
          <w:p w14:paraId="0267DA55" w14:textId="77777777" w:rsidR="00076659" w:rsidRPr="00B44E9F" w:rsidRDefault="00076659" w:rsidP="004F00A4">
            <w:pPr>
              <w:widowControl/>
              <w:spacing w:after="0" w:line="240" w:lineRule="auto"/>
              <w:jc w:val="center"/>
              <w:rPr>
                <w:rFonts w:eastAsia="Calibri"/>
              </w:rPr>
            </w:pPr>
            <w:r w:rsidRPr="00B44E9F">
              <w:rPr>
                <w:rFonts w:eastAsia="Calibri"/>
              </w:rPr>
              <w:t>84</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652F916B" w14:textId="77777777" w:rsidR="00076659" w:rsidRPr="00B44E9F" w:rsidRDefault="00076659" w:rsidP="004F00A4">
            <w:pPr>
              <w:widowControl/>
              <w:spacing w:after="0" w:line="240" w:lineRule="auto"/>
              <w:jc w:val="center"/>
              <w:rPr>
                <w:rFonts w:eastAsia="Calibri"/>
              </w:rPr>
            </w:pPr>
            <w:r w:rsidRPr="00B44E9F">
              <w:rPr>
                <w:rFonts w:eastAsia="Calibri"/>
              </w:rPr>
              <w:t>24,130</w:t>
            </w:r>
          </w:p>
        </w:tc>
      </w:tr>
      <w:tr w:rsidR="00076659" w:rsidRPr="00B44E9F" w14:paraId="04C74BA7" w14:textId="77777777" w:rsidTr="00076659">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3D10A" w14:textId="77777777" w:rsidR="00076659" w:rsidRPr="00B44E9F" w:rsidRDefault="00076659" w:rsidP="004F00A4">
            <w:pPr>
              <w:widowControl/>
              <w:spacing w:after="0" w:line="240" w:lineRule="auto"/>
              <w:jc w:val="center"/>
              <w:rPr>
                <w:rFonts w:eastAsia="Calibri"/>
              </w:rPr>
            </w:pPr>
            <w:r w:rsidRPr="00B44E9F">
              <w:rPr>
                <w:rFonts w:eastAsia="Calibri"/>
              </w:rPr>
              <w:t>2012</w:t>
            </w:r>
          </w:p>
        </w:tc>
        <w:tc>
          <w:tcPr>
            <w:tcW w:w="1552" w:type="dxa"/>
            <w:tcBorders>
              <w:top w:val="nil"/>
              <w:left w:val="nil"/>
              <w:bottom w:val="single" w:sz="8" w:space="0" w:color="auto"/>
              <w:right w:val="single" w:sz="8" w:space="0" w:color="auto"/>
            </w:tcBorders>
            <w:tcMar>
              <w:top w:w="0" w:type="dxa"/>
              <w:left w:w="108" w:type="dxa"/>
              <w:bottom w:w="0" w:type="dxa"/>
              <w:right w:w="108" w:type="dxa"/>
            </w:tcMar>
            <w:hideMark/>
          </w:tcPr>
          <w:p w14:paraId="360729DA" w14:textId="77777777" w:rsidR="00076659" w:rsidRPr="00B44E9F" w:rsidRDefault="00076659" w:rsidP="004F00A4">
            <w:pPr>
              <w:widowControl/>
              <w:spacing w:after="0" w:line="240" w:lineRule="auto"/>
              <w:jc w:val="center"/>
              <w:rPr>
                <w:rFonts w:eastAsia="Calibri"/>
              </w:rPr>
            </w:pPr>
            <w:r w:rsidRPr="00B44E9F">
              <w:rPr>
                <w:rFonts w:eastAsia="Calibri"/>
              </w:rPr>
              <w:t>64</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4BDD5309" w14:textId="77777777" w:rsidR="00076659" w:rsidRPr="00B44E9F" w:rsidRDefault="00076659" w:rsidP="004F00A4">
            <w:pPr>
              <w:widowControl/>
              <w:spacing w:after="0" w:line="240" w:lineRule="auto"/>
              <w:jc w:val="center"/>
              <w:rPr>
                <w:rFonts w:eastAsia="Calibri"/>
              </w:rPr>
            </w:pPr>
            <w:r w:rsidRPr="00B44E9F">
              <w:rPr>
                <w:rFonts w:eastAsia="Calibri"/>
              </w:rPr>
              <w:t>21,824</w:t>
            </w:r>
          </w:p>
        </w:tc>
      </w:tr>
      <w:tr w:rsidR="00076659" w:rsidRPr="00B44E9F" w14:paraId="2E93C558" w14:textId="77777777" w:rsidTr="00076659">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DEECD" w14:textId="77777777" w:rsidR="00076659" w:rsidRPr="00B44E9F" w:rsidRDefault="00076659" w:rsidP="004F00A4">
            <w:pPr>
              <w:widowControl/>
              <w:spacing w:after="0" w:line="240" w:lineRule="auto"/>
              <w:jc w:val="center"/>
              <w:rPr>
                <w:rFonts w:eastAsia="Calibri"/>
              </w:rPr>
            </w:pPr>
            <w:r w:rsidRPr="00B44E9F">
              <w:rPr>
                <w:rFonts w:eastAsia="Calibri"/>
              </w:rPr>
              <w:t>2013</w:t>
            </w:r>
          </w:p>
        </w:tc>
        <w:tc>
          <w:tcPr>
            <w:tcW w:w="1552" w:type="dxa"/>
            <w:tcBorders>
              <w:top w:val="nil"/>
              <w:left w:val="nil"/>
              <w:bottom w:val="single" w:sz="8" w:space="0" w:color="auto"/>
              <w:right w:val="single" w:sz="8" w:space="0" w:color="auto"/>
            </w:tcBorders>
            <w:tcMar>
              <w:top w:w="0" w:type="dxa"/>
              <w:left w:w="108" w:type="dxa"/>
              <w:bottom w:w="0" w:type="dxa"/>
              <w:right w:w="108" w:type="dxa"/>
            </w:tcMar>
            <w:hideMark/>
          </w:tcPr>
          <w:p w14:paraId="67AF23F5" w14:textId="77777777" w:rsidR="00076659" w:rsidRPr="00B44E9F" w:rsidRDefault="00076659" w:rsidP="004F00A4">
            <w:pPr>
              <w:widowControl/>
              <w:spacing w:after="0" w:line="240" w:lineRule="auto"/>
              <w:jc w:val="center"/>
              <w:rPr>
                <w:rFonts w:eastAsia="Calibri"/>
              </w:rPr>
            </w:pPr>
            <w:r w:rsidRPr="00B44E9F">
              <w:rPr>
                <w:rFonts w:eastAsia="Calibri"/>
              </w:rPr>
              <w:t>38</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45036703" w14:textId="77777777" w:rsidR="00076659" w:rsidRPr="00B44E9F" w:rsidRDefault="00076659" w:rsidP="004F00A4">
            <w:pPr>
              <w:widowControl/>
              <w:spacing w:after="0" w:line="240" w:lineRule="auto"/>
              <w:jc w:val="center"/>
              <w:rPr>
                <w:rFonts w:eastAsia="Calibri"/>
              </w:rPr>
            </w:pPr>
            <w:r w:rsidRPr="00B44E9F">
              <w:rPr>
                <w:rFonts w:eastAsia="Calibri"/>
              </w:rPr>
              <w:t>14,960</w:t>
            </w:r>
          </w:p>
        </w:tc>
      </w:tr>
      <w:tr w:rsidR="00076659" w:rsidRPr="00B44E9F" w14:paraId="7D24D120" w14:textId="77777777" w:rsidTr="00076659">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67FFB" w14:textId="77777777" w:rsidR="00076659" w:rsidRPr="00B44E9F" w:rsidRDefault="00076659" w:rsidP="004F00A4">
            <w:pPr>
              <w:widowControl/>
              <w:spacing w:after="0" w:line="240" w:lineRule="auto"/>
              <w:jc w:val="center"/>
              <w:rPr>
                <w:rFonts w:eastAsia="Calibri"/>
              </w:rPr>
            </w:pPr>
            <w:r w:rsidRPr="00B44E9F">
              <w:rPr>
                <w:rFonts w:eastAsia="Calibri"/>
              </w:rPr>
              <w:t>2014</w:t>
            </w:r>
          </w:p>
        </w:tc>
        <w:tc>
          <w:tcPr>
            <w:tcW w:w="1552" w:type="dxa"/>
            <w:tcBorders>
              <w:top w:val="nil"/>
              <w:left w:val="nil"/>
              <w:bottom w:val="single" w:sz="8" w:space="0" w:color="auto"/>
              <w:right w:val="single" w:sz="8" w:space="0" w:color="auto"/>
            </w:tcBorders>
            <w:tcMar>
              <w:top w:w="0" w:type="dxa"/>
              <w:left w:w="108" w:type="dxa"/>
              <w:bottom w:w="0" w:type="dxa"/>
              <w:right w:w="108" w:type="dxa"/>
            </w:tcMar>
            <w:hideMark/>
          </w:tcPr>
          <w:p w14:paraId="7268B72B" w14:textId="77777777" w:rsidR="00076659" w:rsidRPr="00B44E9F" w:rsidRDefault="00076659" w:rsidP="004F00A4">
            <w:pPr>
              <w:widowControl/>
              <w:spacing w:after="0" w:line="240" w:lineRule="auto"/>
              <w:jc w:val="center"/>
              <w:rPr>
                <w:rFonts w:eastAsia="Calibri"/>
              </w:rPr>
            </w:pPr>
            <w:r w:rsidRPr="00B44E9F">
              <w:rPr>
                <w:rFonts w:eastAsia="Calibri"/>
              </w:rPr>
              <w:t>21</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3647D78B" w14:textId="77777777" w:rsidR="00076659" w:rsidRPr="00B44E9F" w:rsidRDefault="00076659" w:rsidP="004F00A4">
            <w:pPr>
              <w:widowControl/>
              <w:spacing w:after="0" w:line="240" w:lineRule="auto"/>
              <w:jc w:val="center"/>
              <w:rPr>
                <w:rFonts w:eastAsia="Calibri"/>
              </w:rPr>
            </w:pPr>
            <w:r w:rsidRPr="00B44E9F">
              <w:rPr>
                <w:rFonts w:eastAsia="Calibri"/>
              </w:rPr>
              <w:t>7,338</w:t>
            </w:r>
          </w:p>
        </w:tc>
      </w:tr>
      <w:tr w:rsidR="00076659" w:rsidRPr="00B44E9F" w14:paraId="2F75C649" w14:textId="77777777" w:rsidTr="00076659">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7AC78" w14:textId="77777777" w:rsidR="00076659" w:rsidRPr="00B44E9F" w:rsidRDefault="00076659" w:rsidP="004F00A4">
            <w:pPr>
              <w:widowControl/>
              <w:spacing w:after="0" w:line="240" w:lineRule="auto"/>
              <w:jc w:val="center"/>
              <w:rPr>
                <w:rFonts w:eastAsia="Calibri"/>
              </w:rPr>
            </w:pPr>
            <w:r w:rsidRPr="00B44E9F">
              <w:rPr>
                <w:rFonts w:eastAsia="Calibri"/>
              </w:rPr>
              <w:t>2015</w:t>
            </w:r>
          </w:p>
        </w:tc>
        <w:tc>
          <w:tcPr>
            <w:tcW w:w="1552" w:type="dxa"/>
            <w:tcBorders>
              <w:top w:val="nil"/>
              <w:left w:val="nil"/>
              <w:bottom w:val="single" w:sz="8" w:space="0" w:color="auto"/>
              <w:right w:val="single" w:sz="8" w:space="0" w:color="auto"/>
            </w:tcBorders>
            <w:tcMar>
              <w:top w:w="0" w:type="dxa"/>
              <w:left w:w="108" w:type="dxa"/>
              <w:bottom w:w="0" w:type="dxa"/>
              <w:right w:w="108" w:type="dxa"/>
            </w:tcMar>
            <w:hideMark/>
          </w:tcPr>
          <w:p w14:paraId="72202406" w14:textId="77777777" w:rsidR="00076659" w:rsidRPr="00B44E9F" w:rsidRDefault="00076659" w:rsidP="004F00A4">
            <w:pPr>
              <w:widowControl/>
              <w:spacing w:after="0" w:line="240" w:lineRule="auto"/>
              <w:jc w:val="center"/>
              <w:rPr>
                <w:rFonts w:eastAsia="Calibri"/>
              </w:rPr>
            </w:pPr>
            <w:r w:rsidRPr="00B44E9F">
              <w:rPr>
                <w:rFonts w:eastAsia="Calibri"/>
              </w:rPr>
              <w:t>19</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5612EF5E" w14:textId="77777777" w:rsidR="00076659" w:rsidRPr="00B44E9F" w:rsidRDefault="00076659" w:rsidP="004F00A4">
            <w:pPr>
              <w:widowControl/>
              <w:spacing w:after="0" w:line="240" w:lineRule="auto"/>
              <w:jc w:val="center"/>
              <w:rPr>
                <w:rFonts w:eastAsia="Calibri"/>
              </w:rPr>
            </w:pPr>
            <w:r w:rsidRPr="00B44E9F">
              <w:rPr>
                <w:rFonts w:eastAsia="Calibri"/>
              </w:rPr>
              <w:t>11,724</w:t>
            </w:r>
          </w:p>
        </w:tc>
      </w:tr>
    </w:tbl>
    <w:p w14:paraId="5444AFE4" w14:textId="77777777" w:rsidR="00076659" w:rsidRDefault="00076659" w:rsidP="004E6B25">
      <w:pPr>
        <w:tabs>
          <w:tab w:val="left" w:pos="-1440"/>
          <w:tab w:val="left" w:pos="-720"/>
          <w:tab w:val="left" w:pos="90"/>
          <w:tab w:val="left" w:pos="180"/>
          <w:tab w:val="left" w:pos="1080"/>
          <w:tab w:val="left" w:pos="1440"/>
        </w:tabs>
        <w:suppressAutoHyphens/>
        <w:ind w:right="83"/>
        <w:contextualSpacing/>
        <w:jc w:val="both"/>
      </w:pPr>
      <w:r w:rsidRPr="00BD112E">
        <w:br/>
        <w:t xml:space="preserve">As demonstrated, participation by agencies in Cascade’s LI-WIP rose steadily from 2008 through 2010, peaking at 112 homes served in a single year. This success was reflective of the abundance of funds available through the American Recovery and Reinvestment Act of 2009 (ARRA). It also reflected a time when natural gas costs were higher, thus resulting in higher avoided cost payments associated with the work performed.  The higher energy burden of natural gas households at that time also resulted in greater prioritization of natural gas weatherization work. </w:t>
      </w:r>
    </w:p>
    <w:p w14:paraId="6A1CA1B5" w14:textId="77777777" w:rsidR="00076659" w:rsidRDefault="00076659" w:rsidP="004E6B25">
      <w:pPr>
        <w:tabs>
          <w:tab w:val="left" w:pos="-1440"/>
          <w:tab w:val="left" w:pos="-720"/>
          <w:tab w:val="left" w:pos="90"/>
          <w:tab w:val="left" w:pos="180"/>
          <w:tab w:val="left" w:pos="1080"/>
          <w:tab w:val="left" w:pos="1440"/>
        </w:tabs>
        <w:suppressAutoHyphens/>
        <w:ind w:right="83"/>
        <w:contextualSpacing/>
        <w:jc w:val="both"/>
      </w:pPr>
    </w:p>
    <w:p w14:paraId="67747B76" w14:textId="15CC1A29" w:rsidR="00076659" w:rsidRPr="00BD112E" w:rsidRDefault="00076659" w:rsidP="00C235C5">
      <w:pPr>
        <w:tabs>
          <w:tab w:val="left" w:pos="-1440"/>
          <w:tab w:val="left" w:pos="-720"/>
          <w:tab w:val="left" w:pos="90"/>
          <w:tab w:val="left" w:pos="180"/>
          <w:tab w:val="left" w:pos="1080"/>
          <w:tab w:val="left" w:pos="1440"/>
        </w:tabs>
        <w:suppressAutoHyphens/>
        <w:ind w:right="83"/>
        <w:contextualSpacing/>
        <w:jc w:val="both"/>
      </w:pPr>
      <w:r w:rsidRPr="00BD112E">
        <w:t xml:space="preserve">Since 2011, the number of CNGC natural gas homes served by the low income weatherization program has steadily declined. Several agencies that </w:t>
      </w:r>
      <w:r>
        <w:t xml:space="preserve">had only minimally participated in LI-WIP </w:t>
      </w:r>
      <w:r w:rsidRPr="00BD112E">
        <w:t xml:space="preserve">since the advent of </w:t>
      </w:r>
      <w:r w:rsidR="001A5A9B">
        <w:t>Cascade’s</w:t>
      </w:r>
      <w:r w:rsidR="001A5A9B" w:rsidRPr="00BD112E">
        <w:t xml:space="preserve"> </w:t>
      </w:r>
      <w:r w:rsidRPr="00BD112E">
        <w:t>program (even during the height of ARRA) have all but discontinued providing low income weatherization services to Cascade customers. More troubling is anecdotal feedback that formerly active weatherization agencies have begun to inform customers that no weatherization services are available to natural gas customers, despite the ongoing availability of Rate Schedule 301 LI-WIP offered by Cascade.</w:t>
      </w:r>
    </w:p>
    <w:p w14:paraId="7AB14E7B" w14:textId="77777777" w:rsidR="00076659" w:rsidRPr="00BD112E" w:rsidRDefault="00076659" w:rsidP="009F2FB8">
      <w:pPr>
        <w:tabs>
          <w:tab w:val="left" w:pos="-1440"/>
          <w:tab w:val="left" w:pos="-720"/>
          <w:tab w:val="left" w:pos="90"/>
          <w:tab w:val="left" w:pos="180"/>
          <w:tab w:val="left" w:pos="1080"/>
          <w:tab w:val="left" w:pos="1440"/>
        </w:tabs>
        <w:suppressAutoHyphens/>
        <w:ind w:right="83"/>
        <w:contextualSpacing/>
        <w:jc w:val="both"/>
      </w:pPr>
    </w:p>
    <w:p w14:paraId="7F1CC51B" w14:textId="52144E57" w:rsidR="00076659" w:rsidRPr="00BD112E" w:rsidRDefault="00076659" w:rsidP="009F2FB8">
      <w:pPr>
        <w:tabs>
          <w:tab w:val="left" w:pos="-1440"/>
          <w:tab w:val="left" w:pos="-720"/>
          <w:tab w:val="left" w:pos="90"/>
          <w:tab w:val="left" w:pos="180"/>
          <w:tab w:val="left" w:pos="1080"/>
          <w:tab w:val="left" w:pos="1440"/>
        </w:tabs>
        <w:suppressAutoHyphens/>
        <w:ind w:right="83"/>
        <w:contextualSpacing/>
        <w:jc w:val="both"/>
      </w:pPr>
      <w:r w:rsidRPr="00BD112E">
        <w:t xml:space="preserve">Fortunately, the low income weatherization agencies, with the support of The Energy Project, and the Company’s </w:t>
      </w:r>
      <w:r w:rsidR="00A1410B">
        <w:t xml:space="preserve">CAG </w:t>
      </w:r>
      <w:r w:rsidRPr="00BD112E">
        <w:t xml:space="preserve">have been extremely responsive to Cascade’s request for feedback and support in restructuring </w:t>
      </w:r>
      <w:r>
        <w:t>its</w:t>
      </w:r>
      <w:r w:rsidRPr="00BD112E">
        <w:t xml:space="preserve"> LI-WIP program to better accommodate the nee</w:t>
      </w:r>
      <w:r>
        <w:t>ds of the agencies with which the Company</w:t>
      </w:r>
      <w:r w:rsidRPr="00BD112E">
        <w:t xml:space="preserve"> partner</w:t>
      </w:r>
      <w:r>
        <w:t>s</w:t>
      </w:r>
      <w:r w:rsidRPr="00BD112E">
        <w:t>. The Company has further committed to coordinating with the CAG and Energy Project to present a proposal for overcoming barriers to the implementation of the LI-WIP program to the Commission by December 31, 2016.</w:t>
      </w:r>
    </w:p>
    <w:p w14:paraId="0DC2A9C1" w14:textId="77777777" w:rsidR="00076659" w:rsidRPr="00BD112E" w:rsidRDefault="00076659" w:rsidP="00AE3903">
      <w:pPr>
        <w:tabs>
          <w:tab w:val="left" w:pos="-1440"/>
          <w:tab w:val="left" w:pos="-720"/>
          <w:tab w:val="left" w:pos="90"/>
          <w:tab w:val="left" w:pos="180"/>
          <w:tab w:val="left" w:pos="1080"/>
          <w:tab w:val="left" w:pos="1440"/>
        </w:tabs>
        <w:suppressAutoHyphens/>
        <w:ind w:right="83"/>
        <w:contextualSpacing/>
        <w:jc w:val="both"/>
      </w:pPr>
    </w:p>
    <w:p w14:paraId="7FF6F7D9" w14:textId="77777777" w:rsidR="00076659" w:rsidRPr="00BD112E" w:rsidRDefault="00076659" w:rsidP="00345614">
      <w:pPr>
        <w:tabs>
          <w:tab w:val="left" w:pos="-1440"/>
          <w:tab w:val="left" w:pos="-720"/>
          <w:tab w:val="left" w:pos="90"/>
          <w:tab w:val="left" w:pos="180"/>
          <w:tab w:val="left" w:pos="1080"/>
          <w:tab w:val="left" w:pos="1440"/>
        </w:tabs>
        <w:suppressAutoHyphens/>
        <w:ind w:right="83"/>
        <w:contextualSpacing/>
        <w:jc w:val="both"/>
      </w:pPr>
      <w:r w:rsidRPr="00BD112E">
        <w:t>On Wednesday, October 5,</w:t>
      </w:r>
      <w:r>
        <w:t xml:space="preserve"> 2016</w:t>
      </w:r>
      <w:r w:rsidRPr="00BD112E">
        <w:t xml:space="preserve"> the Company presented the CAG with a discussion paper centered on potential revisions to Cascade’s LI-WIP. Points of discussion included:</w:t>
      </w:r>
    </w:p>
    <w:p w14:paraId="6B8DABFE" w14:textId="77777777" w:rsidR="009E23B1" w:rsidRDefault="00076659" w:rsidP="009E23B1">
      <w:pPr>
        <w:pStyle w:val="ListParagraph"/>
        <w:numPr>
          <w:ilvl w:val="0"/>
          <w:numId w:val="50"/>
        </w:numPr>
        <w:tabs>
          <w:tab w:val="left" w:pos="-1440"/>
          <w:tab w:val="left" w:pos="-720"/>
          <w:tab w:val="left" w:pos="90"/>
          <w:tab w:val="left" w:pos="180"/>
          <w:tab w:val="left" w:pos="1080"/>
          <w:tab w:val="left" w:pos="1440"/>
        </w:tabs>
        <w:suppressAutoHyphens/>
        <w:spacing w:line="276" w:lineRule="auto"/>
        <w:ind w:right="86"/>
        <w:jc w:val="both"/>
        <w:rPr>
          <w:rFonts w:ascii="Arial" w:hAnsi="Arial" w:cs="Arial"/>
        </w:rPr>
      </w:pPr>
      <w:r w:rsidRPr="00BD112E">
        <w:rPr>
          <w:rFonts w:ascii="Arial" w:hAnsi="Arial" w:cs="Arial"/>
        </w:rPr>
        <w:t>Identifying barriers to success, such as program design constraints; natural gas weatherization costs; and Federal guidelines. This included exploring the current design of the LI-WIP, Federal prioritization methods inhibiting deeper penetration of the program, and areas of potential improvement;</w:t>
      </w:r>
    </w:p>
    <w:p w14:paraId="408F3C83" w14:textId="55DF7F6C" w:rsidR="00076659" w:rsidRPr="00BD112E" w:rsidRDefault="00076659" w:rsidP="009E23B1">
      <w:pPr>
        <w:pStyle w:val="ListParagraph"/>
        <w:tabs>
          <w:tab w:val="left" w:pos="-1440"/>
          <w:tab w:val="left" w:pos="-720"/>
          <w:tab w:val="left" w:pos="90"/>
          <w:tab w:val="left" w:pos="180"/>
          <w:tab w:val="left" w:pos="1080"/>
          <w:tab w:val="left" w:pos="1440"/>
        </w:tabs>
        <w:suppressAutoHyphens/>
        <w:spacing w:line="276" w:lineRule="auto"/>
        <w:ind w:right="86"/>
        <w:jc w:val="both"/>
        <w:rPr>
          <w:rFonts w:ascii="Arial" w:hAnsi="Arial" w:cs="Arial"/>
        </w:rPr>
      </w:pPr>
    </w:p>
    <w:p w14:paraId="52115105" w14:textId="77777777" w:rsidR="00076659" w:rsidRPr="00BD112E" w:rsidRDefault="00076659" w:rsidP="009E23B1">
      <w:pPr>
        <w:pStyle w:val="ListParagraph"/>
        <w:numPr>
          <w:ilvl w:val="0"/>
          <w:numId w:val="50"/>
        </w:numPr>
        <w:tabs>
          <w:tab w:val="left" w:pos="-1440"/>
          <w:tab w:val="left" w:pos="-720"/>
          <w:tab w:val="left" w:pos="90"/>
          <w:tab w:val="left" w:pos="180"/>
          <w:tab w:val="left" w:pos="1080"/>
          <w:tab w:val="left" w:pos="1440"/>
        </w:tabs>
        <w:suppressAutoHyphens/>
        <w:spacing w:line="276" w:lineRule="auto"/>
        <w:ind w:right="83"/>
        <w:jc w:val="both"/>
        <w:rPr>
          <w:rFonts w:ascii="Arial" w:hAnsi="Arial" w:cs="Arial"/>
        </w:rPr>
      </w:pPr>
      <w:r w:rsidRPr="00BD112E">
        <w:rPr>
          <w:rFonts w:ascii="Arial" w:hAnsi="Arial" w:cs="Arial"/>
        </w:rPr>
        <w:t>Identifying potential solutions to increase program viability by addressing the limitations associated with the current funding mechanism; and potentially reconfiguring the current program design to meet the needs of the agencies delivering the program.</w:t>
      </w:r>
    </w:p>
    <w:p w14:paraId="7D5E0813" w14:textId="77777777" w:rsidR="00076659" w:rsidRDefault="00076659" w:rsidP="004E6B25">
      <w:pPr>
        <w:tabs>
          <w:tab w:val="left" w:pos="-1440"/>
          <w:tab w:val="left" w:pos="-720"/>
          <w:tab w:val="left" w:pos="90"/>
          <w:tab w:val="left" w:pos="180"/>
          <w:tab w:val="left" w:pos="1080"/>
          <w:tab w:val="left" w:pos="1440"/>
        </w:tabs>
        <w:suppressAutoHyphens/>
        <w:ind w:right="83"/>
        <w:jc w:val="both"/>
      </w:pPr>
      <w:r w:rsidRPr="00BD112E">
        <w:br/>
        <w:t xml:space="preserve">The Company found this meeting to be extremely productive. Following this discussion, Cascade staff integrated feedback from the CAG and Opportunity Council to map out a preliminary re-design to its LI-WIP, which will be modeled in part from the success of the ongoing Conservation Achievement Tariff (CAT) pilot operated by the Company in the State of Oregon. CAT bridges the gap between avoided energy costs payable under the traditional Oregon Low Income Energy Conservation (OLIEC) program, and the total installed cost of a qualified weatherization measure. </w:t>
      </w:r>
    </w:p>
    <w:p w14:paraId="1B68CA40" w14:textId="77777777" w:rsidR="00076659" w:rsidRDefault="00076659" w:rsidP="00C235C5">
      <w:pPr>
        <w:tabs>
          <w:tab w:val="left" w:pos="-1440"/>
          <w:tab w:val="left" w:pos="-720"/>
          <w:tab w:val="left" w:pos="90"/>
          <w:tab w:val="left" w:pos="180"/>
          <w:tab w:val="left" w:pos="1080"/>
          <w:tab w:val="left" w:pos="1440"/>
        </w:tabs>
        <w:suppressAutoHyphens/>
        <w:ind w:right="83"/>
        <w:jc w:val="both"/>
      </w:pPr>
      <w:r w:rsidRPr="00BD112E">
        <w:t xml:space="preserve">In the State of Washington, it has generally been acknowledged that low-income weatherization is different from standard-income conservation efforts in that it also helps customers mitigate their energy burden, reduces arrearages, and addresses the long term energy needs of a low income customer’s household in contrast to other programs such as bill assistance that address the immediate crisis. Supportive feedback from the Energy Project and the CAG on LI-WIP has led to consideration of the following proposed program modifications to Rate Schedule 301. </w:t>
      </w:r>
    </w:p>
    <w:p w14:paraId="1E23AAC8" w14:textId="6F2000AB" w:rsidR="00076659" w:rsidRPr="00BD112E" w:rsidRDefault="00076659" w:rsidP="009F2FB8">
      <w:pPr>
        <w:tabs>
          <w:tab w:val="left" w:pos="-1440"/>
          <w:tab w:val="left" w:pos="-720"/>
          <w:tab w:val="left" w:pos="90"/>
          <w:tab w:val="left" w:pos="180"/>
          <w:tab w:val="left" w:pos="1080"/>
          <w:tab w:val="left" w:pos="1440"/>
        </w:tabs>
        <w:suppressAutoHyphens/>
        <w:ind w:right="83"/>
        <w:jc w:val="both"/>
      </w:pPr>
      <w:r w:rsidRPr="00BD112E">
        <w:t xml:space="preserve">It is essential to note that these modifications will be further refined with the feedback of the Energy Project and the CAG in preparation for </w:t>
      </w:r>
      <w:r w:rsidR="001A5A9B">
        <w:t>the Company</w:t>
      </w:r>
      <w:r w:rsidR="001A5A9B" w:rsidRPr="00BD112E">
        <w:t xml:space="preserve"> </w:t>
      </w:r>
      <w:r w:rsidRPr="00BD112E">
        <w:t xml:space="preserve">filing to the Washington Utilities and Transportation Commission (WUTC) by December 31, 2016.  </w:t>
      </w:r>
    </w:p>
    <w:p w14:paraId="595B709A" w14:textId="77777777" w:rsidR="00076659" w:rsidRPr="00BD112E" w:rsidRDefault="00076659" w:rsidP="009F2FB8">
      <w:pPr>
        <w:tabs>
          <w:tab w:val="left" w:pos="-1440"/>
          <w:tab w:val="left" w:pos="-720"/>
          <w:tab w:val="left" w:pos="90"/>
          <w:tab w:val="left" w:pos="180"/>
          <w:tab w:val="left" w:pos="1080"/>
          <w:tab w:val="left" w:pos="1440"/>
        </w:tabs>
        <w:suppressAutoHyphens/>
        <w:ind w:right="83"/>
        <w:jc w:val="both"/>
      </w:pPr>
      <w:r w:rsidRPr="00BD112E">
        <w:t>Proposed changes to the Company’s LI-WIP include:</w:t>
      </w:r>
    </w:p>
    <w:p w14:paraId="23FBBBC2" w14:textId="77777777" w:rsidR="00076659" w:rsidRDefault="00076659" w:rsidP="004F00A4">
      <w:pPr>
        <w:pStyle w:val="ListParagraph"/>
        <w:numPr>
          <w:ilvl w:val="0"/>
          <w:numId w:val="51"/>
        </w:numPr>
        <w:tabs>
          <w:tab w:val="left" w:pos="-1440"/>
          <w:tab w:val="left" w:pos="-720"/>
          <w:tab w:val="left" w:pos="90"/>
          <w:tab w:val="left" w:pos="180"/>
          <w:tab w:val="left" w:pos="1080"/>
          <w:tab w:val="left" w:pos="1440"/>
        </w:tabs>
        <w:suppressAutoHyphens/>
        <w:spacing w:line="276" w:lineRule="auto"/>
        <w:ind w:right="83"/>
        <w:rPr>
          <w:rFonts w:ascii="Arial" w:hAnsi="Arial" w:cs="Arial"/>
        </w:rPr>
      </w:pPr>
      <w:r w:rsidRPr="00BD112E">
        <w:rPr>
          <w:rFonts w:ascii="Arial" w:hAnsi="Arial" w:cs="Arial"/>
        </w:rPr>
        <w:t xml:space="preserve">Expansion of </w:t>
      </w:r>
      <w:r>
        <w:rPr>
          <w:rFonts w:ascii="Arial" w:hAnsi="Arial" w:cs="Arial"/>
        </w:rPr>
        <w:t>qualified Energy Efficiency Measures to align more closely with the Washington State Department of Commerce’s Weatherization Priority List. This includes potential inclusion of measures such as water heater insulation, showerheads, aerators and furnaces and other measures that are eligible under the appropriate priority list for the Weatherization Agency’s region and the home type being weatherized, or that qualify with a savings-to-investment ratio of 1.0 or higher under the TREAT audit performed by a qualifying agency.</w:t>
      </w:r>
      <w:r>
        <w:rPr>
          <w:rFonts w:ascii="Arial" w:hAnsi="Arial" w:cs="Arial"/>
        </w:rPr>
        <w:br/>
      </w:r>
    </w:p>
    <w:p w14:paraId="0B5EC5F7" w14:textId="37A436F2" w:rsidR="00076659" w:rsidRPr="00F46B99" w:rsidRDefault="00076659" w:rsidP="004F00A4">
      <w:pPr>
        <w:pStyle w:val="ListParagraph"/>
        <w:numPr>
          <w:ilvl w:val="0"/>
          <w:numId w:val="51"/>
        </w:numPr>
        <w:tabs>
          <w:tab w:val="left" w:pos="-1440"/>
          <w:tab w:val="left" w:pos="-720"/>
          <w:tab w:val="left" w:pos="90"/>
          <w:tab w:val="left" w:pos="180"/>
          <w:tab w:val="left" w:pos="1080"/>
          <w:tab w:val="left" w:pos="1440"/>
        </w:tabs>
        <w:suppressAutoHyphens/>
        <w:spacing w:line="276" w:lineRule="auto"/>
        <w:ind w:right="83"/>
        <w:rPr>
          <w:rFonts w:ascii="Arial" w:hAnsi="Arial" w:cs="Arial"/>
        </w:rPr>
      </w:pPr>
      <w:r>
        <w:rPr>
          <w:rFonts w:ascii="Arial" w:hAnsi="Arial" w:cs="Arial"/>
        </w:rPr>
        <w:t xml:space="preserve">Project rebate payments to be expanded to include the total installed cost of approved measures as demonstrated through contractor invoices and/or </w:t>
      </w:r>
      <w:r w:rsidR="007B0456">
        <w:rPr>
          <w:rFonts w:ascii="Arial" w:hAnsi="Arial" w:cs="Arial"/>
        </w:rPr>
        <w:t xml:space="preserve">an </w:t>
      </w:r>
      <w:r>
        <w:rPr>
          <w:rFonts w:ascii="Arial" w:hAnsi="Arial" w:cs="Arial"/>
        </w:rPr>
        <w:t xml:space="preserve">itemized list of work performed. </w:t>
      </w:r>
      <w:r w:rsidRPr="00F46B99">
        <w:rPr>
          <w:rFonts w:ascii="Arial" w:hAnsi="Arial" w:cs="Arial"/>
        </w:rPr>
        <w:t>Project payments to be capped at $10k to manage costs and ensure as many homes as possible receive weatherization services.</w:t>
      </w:r>
    </w:p>
    <w:p w14:paraId="4DDD48F4" w14:textId="77777777" w:rsidR="00076659" w:rsidRDefault="00076659" w:rsidP="004F00A4">
      <w:pPr>
        <w:pStyle w:val="ListParagraph"/>
        <w:tabs>
          <w:tab w:val="left" w:pos="-1440"/>
          <w:tab w:val="left" w:pos="-720"/>
          <w:tab w:val="left" w:pos="90"/>
          <w:tab w:val="left" w:pos="180"/>
          <w:tab w:val="left" w:pos="1080"/>
          <w:tab w:val="left" w:pos="1440"/>
        </w:tabs>
        <w:suppressAutoHyphens/>
        <w:spacing w:line="276" w:lineRule="auto"/>
        <w:ind w:right="83"/>
        <w:rPr>
          <w:rFonts w:ascii="Arial" w:hAnsi="Arial" w:cs="Arial"/>
        </w:rPr>
      </w:pPr>
    </w:p>
    <w:p w14:paraId="3D44A9A2" w14:textId="77777777" w:rsidR="00076659" w:rsidRDefault="00076659" w:rsidP="004F00A4">
      <w:pPr>
        <w:pStyle w:val="ListParagraph"/>
        <w:numPr>
          <w:ilvl w:val="0"/>
          <w:numId w:val="51"/>
        </w:numPr>
        <w:tabs>
          <w:tab w:val="left" w:pos="-1440"/>
          <w:tab w:val="left" w:pos="-720"/>
          <w:tab w:val="left" w:pos="90"/>
          <w:tab w:val="left" w:pos="180"/>
          <w:tab w:val="left" w:pos="1080"/>
          <w:tab w:val="left" w:pos="1440"/>
        </w:tabs>
        <w:suppressAutoHyphens/>
        <w:spacing w:line="276" w:lineRule="auto"/>
        <w:ind w:right="83"/>
        <w:rPr>
          <w:rFonts w:ascii="Arial" w:hAnsi="Arial" w:cs="Arial"/>
        </w:rPr>
      </w:pPr>
      <w:r>
        <w:rPr>
          <w:rFonts w:ascii="Arial" w:hAnsi="Arial" w:cs="Arial"/>
        </w:rPr>
        <w:t>Inclusion of an audit and inspection fee to agencies for work performed, similar to the one offered via Cascade’s CAT pilot in Oregon.</w:t>
      </w:r>
    </w:p>
    <w:p w14:paraId="5C932EA9" w14:textId="0C44C977" w:rsidR="00076659" w:rsidRDefault="00AE2205" w:rsidP="00E977D8">
      <w:pPr>
        <w:tabs>
          <w:tab w:val="left" w:pos="-1440"/>
          <w:tab w:val="left" w:pos="-720"/>
          <w:tab w:val="left" w:pos="90"/>
          <w:tab w:val="left" w:pos="180"/>
          <w:tab w:val="left" w:pos="1080"/>
          <w:tab w:val="left" w:pos="1440"/>
        </w:tabs>
        <w:suppressAutoHyphens/>
        <w:ind w:right="83"/>
        <w:jc w:val="both"/>
      </w:pPr>
      <w:r>
        <w:br/>
      </w:r>
      <w:r w:rsidR="00076659">
        <w:t>Additional program terms and conditions will be reflected in the tariff and will also take the form of a memorandum of understanding (MOU) with each participating agency. The MOU will include individualized, realistic targets for each Agency to ensure as many low income natural gas homes as possible are served in Cascade’s service territory.</w:t>
      </w:r>
    </w:p>
    <w:p w14:paraId="35CDEEE6" w14:textId="77777777" w:rsidR="00E977D8" w:rsidRDefault="00076659" w:rsidP="00E977D8">
      <w:pPr>
        <w:widowControl/>
        <w:spacing w:after="0"/>
        <w:jc w:val="both"/>
      </w:pPr>
      <w:r>
        <w:t>Following the submission and approval of a revised LI-WIP tariff to the WUTC, Cascade will refine the anticipated therm savings and bu</w:t>
      </w:r>
      <w:r w:rsidR="00E977D8">
        <w:t>dgetary targets as appropriate.</w:t>
      </w:r>
    </w:p>
    <w:p w14:paraId="0F71132D" w14:textId="5BDD722C" w:rsidR="00525FE4" w:rsidRPr="00E147C5" w:rsidRDefault="00525FE4" w:rsidP="00E977D8">
      <w:pPr>
        <w:widowControl/>
        <w:spacing w:after="0"/>
        <w:jc w:val="both"/>
      </w:pPr>
    </w:p>
    <w:p w14:paraId="7FF9542D" w14:textId="77777777" w:rsidR="008D1381" w:rsidRPr="00E147C5" w:rsidRDefault="008D1381" w:rsidP="009F2FB8">
      <w:pPr>
        <w:pStyle w:val="Heading1"/>
      </w:pPr>
      <w:bookmarkStart w:id="26" w:name="_Conservation_Programs_in"/>
      <w:bookmarkStart w:id="27" w:name="_Toc465678032"/>
      <w:bookmarkEnd w:id="26"/>
      <w:r w:rsidRPr="00E147C5">
        <w:t>Conservation Programs in 201</w:t>
      </w:r>
      <w:r w:rsidR="00AC7A26" w:rsidRPr="00E147C5">
        <w:t>8</w:t>
      </w:r>
      <w:bookmarkEnd w:id="27"/>
    </w:p>
    <w:p w14:paraId="1B1F3058" w14:textId="6D28AD99" w:rsidR="00DE06AD" w:rsidRDefault="008D1381" w:rsidP="009F2FB8">
      <w:pPr>
        <w:widowControl/>
        <w:spacing w:after="0"/>
        <w:jc w:val="both"/>
      </w:pPr>
      <w:r w:rsidRPr="00E147C5">
        <w:t xml:space="preserve">The Company expects in </w:t>
      </w:r>
      <w:r w:rsidR="005E0145" w:rsidRPr="00E147C5">
        <w:t>the next year</w:t>
      </w:r>
      <w:r w:rsidRPr="00E147C5">
        <w:t xml:space="preserve"> to engage the CAG in discussions around viable rebate levels and potential portfolios for the 201</w:t>
      </w:r>
      <w:r w:rsidR="00DE06AD">
        <w:t>8</w:t>
      </w:r>
      <w:r w:rsidRPr="00E147C5">
        <w:t xml:space="preserve"> program year. </w:t>
      </w:r>
      <w:r w:rsidR="00DE06AD">
        <w:t>As mentioned in the previous iteration of the Plan</w:t>
      </w:r>
      <w:r w:rsidR="002678C1">
        <w:t>,</w:t>
      </w:r>
      <w:r w:rsidR="00DE06AD">
        <w:t xml:space="preserve"> t</w:t>
      </w:r>
      <w:r w:rsidRPr="00E147C5">
        <w:t xml:space="preserve">he </w:t>
      </w:r>
      <w:r w:rsidR="001B5A42">
        <w:t>A</w:t>
      </w:r>
      <w:r w:rsidR="001B5A42" w:rsidRPr="00E147C5">
        <w:t xml:space="preserve">dvisory </w:t>
      </w:r>
      <w:r w:rsidR="001B5A42">
        <w:t>G</w:t>
      </w:r>
      <w:r w:rsidR="001B5A42" w:rsidRPr="00E147C5">
        <w:t xml:space="preserve">roup </w:t>
      </w:r>
      <w:r w:rsidRPr="00E147C5">
        <w:t>show</w:t>
      </w:r>
      <w:r w:rsidR="00DE06AD">
        <w:t>ed</w:t>
      </w:r>
      <w:r w:rsidRPr="00E147C5">
        <w:t xml:space="preserve"> interest in the </w:t>
      </w:r>
      <w:r w:rsidR="00AA2061">
        <w:t>C</w:t>
      </w:r>
      <w:r w:rsidR="00AA2061" w:rsidRPr="00E147C5">
        <w:t xml:space="preserve">ompany </w:t>
      </w:r>
      <w:r w:rsidRPr="00E147C5">
        <w:t xml:space="preserve">moving away from </w:t>
      </w:r>
      <w:r w:rsidR="00DE06AD">
        <w:t>its</w:t>
      </w:r>
      <w:r w:rsidRPr="00E147C5">
        <w:t xml:space="preserve"> traditional method of maintaining the most robust cost-effective portfolio as feasible with rebates set near </w:t>
      </w:r>
      <w:r w:rsidR="006766E8">
        <w:t>30%</w:t>
      </w:r>
      <w:r w:rsidRPr="00E147C5">
        <w:t xml:space="preserve"> of the incremental cost of the measure</w:t>
      </w:r>
      <w:r w:rsidR="00DE06AD">
        <w:t>.  The Company will explore varying levels of incentive per viable measure near the end of Q1 2017</w:t>
      </w:r>
      <w:r w:rsidR="00415235">
        <w:t>,</w:t>
      </w:r>
      <w:r w:rsidR="00DE06AD">
        <w:t xml:space="preserve"> leaving additional opportunities to revie</w:t>
      </w:r>
      <w:r w:rsidR="005D6339">
        <w:t>w throughout 2017 and into 2018,</w:t>
      </w:r>
      <w:r w:rsidR="00DE06AD">
        <w:t xml:space="preserve"> with t</w:t>
      </w:r>
      <w:r w:rsidRPr="00E147C5">
        <w:t xml:space="preserve">he idea </w:t>
      </w:r>
      <w:r w:rsidR="00DE06AD">
        <w:t xml:space="preserve">being </w:t>
      </w:r>
      <w:r w:rsidRPr="00E147C5">
        <w:t>to increase the</w:t>
      </w:r>
      <w:r w:rsidR="006B7E6F" w:rsidRPr="00E147C5">
        <w:t xml:space="preserve"> incentive</w:t>
      </w:r>
      <w:r w:rsidRPr="00E147C5">
        <w:t xml:space="preserve"> levels to make them more enticing to consumers, without adversely affecting the programs or </w:t>
      </w:r>
      <w:r w:rsidR="005E0145" w:rsidRPr="00E147C5">
        <w:t xml:space="preserve">inadvertently promoting free-ridership. </w:t>
      </w:r>
    </w:p>
    <w:p w14:paraId="168E6C53" w14:textId="77777777" w:rsidR="00DE06AD" w:rsidRDefault="00DE06AD" w:rsidP="00AE3903">
      <w:pPr>
        <w:widowControl/>
        <w:spacing w:after="0"/>
        <w:jc w:val="both"/>
      </w:pPr>
    </w:p>
    <w:p w14:paraId="70DE6326" w14:textId="5472F101" w:rsidR="00DE06AD" w:rsidRDefault="00DE06AD" w:rsidP="00345614">
      <w:pPr>
        <w:widowControl/>
        <w:spacing w:after="0"/>
        <w:jc w:val="both"/>
      </w:pPr>
      <w:r>
        <w:t>As the Company becomes more familiar with the strengths and capabilities of the iDSM Central software, and continues to build the historical database through everyday use</w:t>
      </w:r>
      <w:r w:rsidR="004F00A4">
        <w:t>,</w:t>
      </w:r>
      <w:r>
        <w:t xml:space="preserve"> there is an opportunity to more fully capture actual installed equipment costs based on real data </w:t>
      </w:r>
      <w:r w:rsidR="004F00A4">
        <w:t xml:space="preserve">collected </w:t>
      </w:r>
      <w:r>
        <w:t xml:space="preserve">from the Company’s service territory.  One of the elements noted by Nexant Inc. in the potential study and evaluation from 2014 was a need for the Company to track the actual installed cost of measures on a regular basis.  Installers often do not provide a detailed invoice broken down to the level of equipment cost vs. labor, but when available it provides a key metric the Company can use in future program planning and evaluation.  The Company is using the 2017 year as a time to educate and condition its Trade Allies to provide all relevant data on invoices, including installed costs as available.  </w:t>
      </w:r>
    </w:p>
    <w:p w14:paraId="1E8E8F16" w14:textId="77777777" w:rsidR="00DE06AD" w:rsidRDefault="00DE06AD" w:rsidP="008663BB">
      <w:pPr>
        <w:widowControl/>
        <w:spacing w:after="0"/>
        <w:jc w:val="both"/>
      </w:pPr>
    </w:p>
    <w:p w14:paraId="5E13F038" w14:textId="1F8A72C1" w:rsidR="00DE06AD" w:rsidRDefault="00DE06AD">
      <w:pPr>
        <w:widowControl/>
        <w:spacing w:after="0"/>
        <w:jc w:val="both"/>
      </w:pPr>
      <w:r>
        <w:t xml:space="preserve">There is also a possibility </w:t>
      </w:r>
      <w:r w:rsidR="00A7564F">
        <w:t>i</w:t>
      </w:r>
      <w:r>
        <w:t xml:space="preserve">n 2018 the Company will be able to start tailoring targeted conservation efforts and offers in climate zones and towns where the potential in that zone is not being met.  Cascade’s </w:t>
      </w:r>
      <w:r w:rsidR="00950096">
        <w:t>new method of forecasting savings potential based on climate zone will allow close tracking of achievements throughout 2017, and po</w:t>
      </w:r>
      <w:r w:rsidR="00A7564F">
        <w:t>sition</w:t>
      </w:r>
      <w:r w:rsidR="00950096">
        <w:t xml:space="preserve"> the Company to act on this tracking in 2018 to pivot efforts as needs arise. </w:t>
      </w:r>
    </w:p>
    <w:p w14:paraId="3DF37B25" w14:textId="77777777" w:rsidR="00DE06AD" w:rsidRDefault="00DE06AD">
      <w:pPr>
        <w:widowControl/>
        <w:spacing w:after="0"/>
        <w:jc w:val="both"/>
      </w:pPr>
    </w:p>
    <w:p w14:paraId="40C81C5F" w14:textId="727FA826" w:rsidR="009D4CEF" w:rsidRDefault="00DE06AD">
      <w:pPr>
        <w:widowControl/>
        <w:spacing w:after="0"/>
        <w:jc w:val="both"/>
      </w:pPr>
      <w:r>
        <w:t>Calendar year 2018 also provides further opportunity to explore more robust messaging oppor</w:t>
      </w:r>
      <w:r w:rsidR="00C665C4">
        <w:t>tunities online for the program. A</w:t>
      </w:r>
      <w:r w:rsidR="00950096">
        <w:t>ll of these efforts will be geared toward increasing program uptake throughout the territory to meet the program goals as indicated by the TEA-Pot mode</w:t>
      </w:r>
      <w:r w:rsidR="00A7564F">
        <w:t>l</w:t>
      </w:r>
      <w:r w:rsidR="00950096">
        <w:t>.</w:t>
      </w:r>
      <w:r>
        <w:t xml:space="preserve"> </w:t>
      </w:r>
      <w:r w:rsidR="005E0145" w:rsidRPr="00E147C5">
        <w:t xml:space="preserve"> </w:t>
      </w:r>
    </w:p>
    <w:p w14:paraId="2662AFAB" w14:textId="77777777" w:rsidR="009D4CEF" w:rsidRDefault="009D4CEF">
      <w:pPr>
        <w:widowControl/>
        <w:spacing w:after="0" w:line="240" w:lineRule="auto"/>
      </w:pPr>
      <w:r>
        <w:br w:type="page"/>
      </w:r>
    </w:p>
    <w:p w14:paraId="158A377E" w14:textId="77777777" w:rsidR="008D1381" w:rsidRPr="00E147C5" w:rsidRDefault="008D1381">
      <w:pPr>
        <w:widowControl/>
        <w:spacing w:after="0"/>
        <w:jc w:val="both"/>
      </w:pPr>
    </w:p>
    <w:p w14:paraId="57F551DC" w14:textId="77777777" w:rsidR="008D1381" w:rsidRPr="00E147C5" w:rsidRDefault="008D1381">
      <w:pPr>
        <w:widowControl/>
        <w:spacing w:after="0"/>
        <w:jc w:val="both"/>
      </w:pPr>
    </w:p>
    <w:p w14:paraId="79524D98" w14:textId="77777777" w:rsidR="00F719B3" w:rsidRDefault="00F719B3" w:rsidP="00D012EB">
      <w:pPr>
        <w:pStyle w:val="Heading2"/>
      </w:pPr>
      <w:bookmarkStart w:id="28" w:name="_Toc465678033"/>
      <w:r>
        <w:t>Improved Granularity by Climate Zone</w:t>
      </w:r>
      <w:bookmarkEnd w:id="28"/>
    </w:p>
    <w:p w14:paraId="0F82C783" w14:textId="76C3354F" w:rsidR="002F0361" w:rsidRPr="00F657A9" w:rsidRDefault="002F0361" w:rsidP="00F657A9">
      <w:pPr>
        <w:spacing w:after="0"/>
        <w:jc w:val="center"/>
        <w:rPr>
          <w:b/>
          <w:sz w:val="18"/>
        </w:rPr>
      </w:pPr>
      <w:r w:rsidRPr="00F657A9">
        <w:rPr>
          <w:b/>
          <w:sz w:val="18"/>
        </w:rPr>
        <w:t>Figure 2</w:t>
      </w:r>
    </w:p>
    <w:p w14:paraId="272CA503" w14:textId="39E11402" w:rsidR="002F0361" w:rsidRPr="00F657A9" w:rsidRDefault="002F0361" w:rsidP="00F657A9">
      <w:pPr>
        <w:spacing w:after="0"/>
        <w:jc w:val="center"/>
        <w:rPr>
          <w:b/>
          <w:sz w:val="18"/>
        </w:rPr>
      </w:pPr>
      <w:r w:rsidRPr="00F657A9">
        <w:rPr>
          <w:b/>
          <w:sz w:val="18"/>
        </w:rPr>
        <w:t>Cascade Natural Gas Washington Climate Zone Map</w:t>
      </w:r>
    </w:p>
    <w:p w14:paraId="6577B6E7" w14:textId="48808EAC" w:rsidR="00F719B3" w:rsidRDefault="00BC252F" w:rsidP="00D91C36">
      <w:pPr>
        <w:jc w:val="center"/>
      </w:pPr>
      <w:bookmarkStart w:id="29" w:name="_Toc465088925"/>
      <w:bookmarkStart w:id="30" w:name="_Toc465153988"/>
      <w:r w:rsidRPr="00D91C36">
        <w:rPr>
          <w:noProof/>
        </w:rPr>
        <w:drawing>
          <wp:inline distT="0" distB="0" distL="0" distR="0" wp14:anchorId="06EE38BA" wp14:editId="7C02DBAF">
            <wp:extent cx="3757295" cy="2606040"/>
            <wp:effectExtent l="0" t="0" r="0" b="381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7" cstate="print">
                      <a:extLst>
                        <a:ext uri="{28A0092B-C50C-407E-A947-70E740481C1C}">
                          <a14:useLocalDpi xmlns:a14="http://schemas.microsoft.com/office/drawing/2010/main" val="0"/>
                        </a:ext>
                      </a:extLst>
                    </a:blip>
                    <a:srcRect t="-1760" b="31505"/>
                    <a:stretch/>
                  </pic:blipFill>
                  <pic:spPr bwMode="auto">
                    <a:xfrm>
                      <a:off x="0" y="0"/>
                      <a:ext cx="3761155" cy="2608717"/>
                    </a:xfrm>
                    <a:prstGeom prst="rect">
                      <a:avLst/>
                    </a:prstGeom>
                    <a:ln>
                      <a:noFill/>
                    </a:ln>
                    <a:extLst>
                      <a:ext uri="{53640926-AAD7-44D8-BBD7-CCE9431645EC}">
                        <a14:shadowObscured xmlns:a14="http://schemas.microsoft.com/office/drawing/2010/main"/>
                      </a:ext>
                    </a:extLst>
                  </pic:spPr>
                </pic:pic>
              </a:graphicData>
            </a:graphic>
          </wp:inline>
        </w:drawing>
      </w:r>
      <w:bookmarkEnd w:id="29"/>
      <w:bookmarkEnd w:id="30"/>
    </w:p>
    <w:p w14:paraId="0B8EF310" w14:textId="66635DA6" w:rsidR="00BC252F" w:rsidRPr="00AA4FA1" w:rsidRDefault="00BC252F" w:rsidP="00E977D8">
      <w:pPr>
        <w:tabs>
          <w:tab w:val="left" w:pos="-1440"/>
          <w:tab w:val="left" w:pos="-720"/>
          <w:tab w:val="left" w:pos="0"/>
          <w:tab w:val="left" w:pos="1080"/>
          <w:tab w:val="left" w:pos="1440"/>
        </w:tabs>
        <w:suppressAutoHyphens/>
        <w:overflowPunct w:val="0"/>
        <w:autoSpaceDE w:val="0"/>
        <w:autoSpaceDN w:val="0"/>
        <w:adjustRightInd w:val="0"/>
        <w:spacing w:before="107"/>
        <w:ind w:right="89"/>
        <w:jc w:val="both"/>
        <w:textAlignment w:val="baseline"/>
        <w:rPr>
          <w:spacing w:val="-4"/>
        </w:rPr>
      </w:pPr>
      <w:r>
        <w:rPr>
          <w:spacing w:val="-4"/>
        </w:rPr>
        <w:t>As noted f</w:t>
      </w:r>
      <w:r w:rsidRPr="00AA4FA1">
        <w:rPr>
          <w:spacing w:val="-4"/>
        </w:rPr>
        <w:t>or the first time, the Conservation Forecast was run at the climate zone level of granularity instead of</w:t>
      </w:r>
      <w:r w:rsidR="002F0361">
        <w:rPr>
          <w:spacing w:val="-4"/>
        </w:rPr>
        <w:t xml:space="preserve"> at a</w:t>
      </w:r>
      <w:r w:rsidRPr="00AA4FA1">
        <w:rPr>
          <w:spacing w:val="-4"/>
        </w:rPr>
        <w:t xml:space="preserve"> state wide</w:t>
      </w:r>
      <w:r w:rsidR="002F0361">
        <w:rPr>
          <w:spacing w:val="-4"/>
        </w:rPr>
        <w:t xml:space="preserve"> level</w:t>
      </w:r>
      <w:r w:rsidR="002964FC">
        <w:rPr>
          <w:spacing w:val="-4"/>
        </w:rPr>
        <w:t>, see Figure 2</w:t>
      </w:r>
      <w:r w:rsidRPr="00AA4FA1">
        <w:rPr>
          <w:spacing w:val="-4"/>
        </w:rPr>
        <w:t>.  By tailoring the inputs, each of the three climate zones was able to reflect its technical, economic and achievable potential individually.  This allow</w:t>
      </w:r>
      <w:r w:rsidR="00A7564F">
        <w:rPr>
          <w:spacing w:val="-4"/>
        </w:rPr>
        <w:t>s</w:t>
      </w:r>
      <w:r w:rsidRPr="00AA4FA1">
        <w:rPr>
          <w:spacing w:val="-4"/>
        </w:rPr>
        <w:t xml:space="preserve"> program administrators to tailor outreach to specific</w:t>
      </w:r>
      <w:r>
        <w:rPr>
          <w:spacing w:val="-4"/>
        </w:rPr>
        <w:t>,</w:t>
      </w:r>
      <w:r w:rsidRPr="00AA4FA1">
        <w:rPr>
          <w:spacing w:val="-4"/>
        </w:rPr>
        <w:t xml:space="preserve"> potentially underperforming areas</w:t>
      </w:r>
      <w:r w:rsidR="00A7564F">
        <w:rPr>
          <w:spacing w:val="-4"/>
        </w:rPr>
        <w:t>,</w:t>
      </w:r>
      <w:r w:rsidRPr="00AA4FA1">
        <w:rPr>
          <w:spacing w:val="-4"/>
        </w:rPr>
        <w:t xml:space="preserve"> and mimic other areas’ successful marketing campaigns </w:t>
      </w:r>
      <w:r w:rsidR="002F0361">
        <w:rPr>
          <w:spacing w:val="-4"/>
        </w:rPr>
        <w:t>if they</w:t>
      </w:r>
      <w:r w:rsidRPr="00AA4FA1">
        <w:rPr>
          <w:spacing w:val="-4"/>
        </w:rPr>
        <w:t xml:space="preserve"> surpass their </w:t>
      </w:r>
      <w:r w:rsidR="00A7564F">
        <w:rPr>
          <w:spacing w:val="-4"/>
        </w:rPr>
        <w:t>calculated</w:t>
      </w:r>
      <w:r w:rsidR="00A7564F" w:rsidRPr="00AA4FA1">
        <w:rPr>
          <w:spacing w:val="-4"/>
        </w:rPr>
        <w:t xml:space="preserve"> </w:t>
      </w:r>
      <w:r w:rsidRPr="00AA4FA1">
        <w:rPr>
          <w:spacing w:val="-4"/>
        </w:rPr>
        <w:t>potential.</w:t>
      </w:r>
    </w:p>
    <w:p w14:paraId="060F7293" w14:textId="61BC991E" w:rsidR="00BC252F" w:rsidRPr="00AA4FA1" w:rsidRDefault="00A7564F" w:rsidP="00E977D8">
      <w:pPr>
        <w:tabs>
          <w:tab w:val="left" w:pos="-1440"/>
          <w:tab w:val="left" w:pos="-720"/>
          <w:tab w:val="left" w:pos="0"/>
          <w:tab w:val="left" w:pos="1080"/>
          <w:tab w:val="left" w:pos="1440"/>
        </w:tabs>
        <w:suppressAutoHyphens/>
        <w:overflowPunct w:val="0"/>
        <w:autoSpaceDE w:val="0"/>
        <w:autoSpaceDN w:val="0"/>
        <w:adjustRightInd w:val="0"/>
        <w:spacing w:before="107"/>
        <w:ind w:right="89"/>
        <w:jc w:val="both"/>
        <w:textAlignment w:val="baseline"/>
        <w:rPr>
          <w:spacing w:val="-4"/>
        </w:rPr>
      </w:pPr>
      <w:r>
        <w:rPr>
          <w:spacing w:val="-4"/>
        </w:rPr>
        <w:t>U</w:t>
      </w:r>
      <w:r w:rsidR="00BC252F" w:rsidRPr="00AA4FA1">
        <w:rPr>
          <w:spacing w:val="-4"/>
        </w:rPr>
        <w:t xml:space="preserve">nique inputs </w:t>
      </w:r>
      <w:r>
        <w:rPr>
          <w:spacing w:val="-4"/>
        </w:rPr>
        <w:t>include</w:t>
      </w:r>
      <w:r w:rsidR="00BC252F" w:rsidRPr="00AA4FA1">
        <w:rPr>
          <w:spacing w:val="-4"/>
        </w:rPr>
        <w:t xml:space="preserve"> customer count and volume growth rate forecasts by customer class, </w:t>
      </w:r>
      <w:r w:rsidR="00AF73F4">
        <w:rPr>
          <w:spacing w:val="-4"/>
        </w:rPr>
        <w:t>(</w:t>
      </w:r>
      <w:r w:rsidR="00BC252F" w:rsidRPr="00AA4FA1">
        <w:rPr>
          <w:spacing w:val="-4"/>
        </w:rPr>
        <w:t>Residential, Commercial, and Industrial</w:t>
      </w:r>
      <w:r w:rsidR="00AF73F4">
        <w:rPr>
          <w:spacing w:val="-4"/>
        </w:rPr>
        <w:t>)</w:t>
      </w:r>
      <w:r w:rsidR="00BC252F" w:rsidRPr="00AA4FA1">
        <w:rPr>
          <w:spacing w:val="-4"/>
        </w:rPr>
        <w:t xml:space="preserve"> a</w:t>
      </w:r>
      <w:r w:rsidR="00AF73F4">
        <w:rPr>
          <w:spacing w:val="-4"/>
        </w:rPr>
        <w:t>s well as by</w:t>
      </w:r>
      <w:r w:rsidR="00BC252F" w:rsidRPr="00AA4FA1">
        <w:rPr>
          <w:spacing w:val="-4"/>
        </w:rPr>
        <w:t xml:space="preserve"> avoided costs.  All other factors were held constant across each </w:t>
      </w:r>
      <w:r>
        <w:rPr>
          <w:spacing w:val="-4"/>
        </w:rPr>
        <w:t>c</w:t>
      </w:r>
      <w:r w:rsidR="00BC252F" w:rsidRPr="00AA4FA1">
        <w:rPr>
          <w:spacing w:val="-4"/>
        </w:rPr>
        <w:t>limate</w:t>
      </w:r>
      <w:r>
        <w:rPr>
          <w:spacing w:val="-4"/>
        </w:rPr>
        <w:t xml:space="preserve"> z</w:t>
      </w:r>
      <w:r w:rsidR="00BC252F" w:rsidRPr="00AA4FA1">
        <w:rPr>
          <w:spacing w:val="-4"/>
        </w:rPr>
        <w:t>one’s scenario, such as the inflation rate, long term discount rate, load profile, transmission loss rate, cost effectiveness threshold, which measures were left at the 30% of incremental costs incentive level</w:t>
      </w:r>
      <w:r w:rsidR="00415235">
        <w:rPr>
          <w:spacing w:val="-4"/>
        </w:rPr>
        <w:t>s</w:t>
      </w:r>
      <w:r w:rsidR="00BC252F" w:rsidRPr="00AA4FA1">
        <w:rPr>
          <w:spacing w:val="-4"/>
        </w:rPr>
        <w:t xml:space="preserve"> or bumped to 50%, and the administrative levelized costs per therm</w:t>
      </w:r>
      <w:r w:rsidR="00415235">
        <w:rPr>
          <w:spacing w:val="-4"/>
        </w:rPr>
        <w:t xml:space="preserve"> by end use</w:t>
      </w:r>
      <w:r w:rsidR="00BC252F" w:rsidRPr="00AA4FA1">
        <w:rPr>
          <w:spacing w:val="-4"/>
        </w:rPr>
        <w:t xml:space="preserve">.  All factors of the model, as well as other changes introduced for the first time in this year’s IRP, are discussed further in depth in the following </w:t>
      </w:r>
      <w:hyperlink w:anchor="_Forward_Looking_Targets/" w:history="1">
        <w:r w:rsidR="00AE2205" w:rsidRPr="00AE2205">
          <w:rPr>
            <w:rStyle w:val="Hyperlink"/>
            <w:spacing w:val="-4"/>
          </w:rPr>
          <w:t>Forward Looking Targets/TEA-Pot Forecasts</w:t>
        </w:r>
      </w:hyperlink>
      <w:r w:rsidR="00BC252F" w:rsidRPr="00AA4FA1">
        <w:rPr>
          <w:spacing w:val="-4"/>
        </w:rPr>
        <w:t xml:space="preserve"> section</w:t>
      </w:r>
      <w:r w:rsidR="00AE2205">
        <w:rPr>
          <w:spacing w:val="-4"/>
        </w:rPr>
        <w:t xml:space="preserve"> below</w:t>
      </w:r>
      <w:r w:rsidR="00BC252F" w:rsidRPr="00AA4FA1">
        <w:rPr>
          <w:spacing w:val="-4"/>
        </w:rPr>
        <w:t>.</w:t>
      </w:r>
    </w:p>
    <w:p w14:paraId="355CA2F4" w14:textId="16826D51" w:rsidR="00BC252F" w:rsidRDefault="00BC252F" w:rsidP="00E977D8">
      <w:pPr>
        <w:tabs>
          <w:tab w:val="left" w:pos="-1440"/>
          <w:tab w:val="left" w:pos="-720"/>
          <w:tab w:val="left" w:pos="0"/>
          <w:tab w:val="left" w:pos="1080"/>
          <w:tab w:val="left" w:pos="1440"/>
        </w:tabs>
        <w:suppressAutoHyphens/>
        <w:overflowPunct w:val="0"/>
        <w:autoSpaceDE w:val="0"/>
        <w:autoSpaceDN w:val="0"/>
        <w:adjustRightInd w:val="0"/>
        <w:spacing w:before="107"/>
        <w:ind w:right="89"/>
        <w:jc w:val="both"/>
        <w:textAlignment w:val="baseline"/>
        <w:rPr>
          <w:spacing w:val="-4"/>
        </w:rPr>
      </w:pPr>
      <w:r w:rsidRPr="00AA4FA1">
        <w:rPr>
          <w:spacing w:val="-4"/>
        </w:rPr>
        <w:t>The results of both the Residential and Commercial/Industrial Incentive Programs’ climate zone level potential are summarized in the</w:t>
      </w:r>
      <w:r w:rsidR="002F0361">
        <w:rPr>
          <w:spacing w:val="-4"/>
        </w:rPr>
        <w:t xml:space="preserve"> following</w:t>
      </w:r>
      <w:r w:rsidRPr="00AA4FA1">
        <w:rPr>
          <w:spacing w:val="-4"/>
        </w:rPr>
        <w:t xml:space="preserve"> graphs.</w:t>
      </w:r>
    </w:p>
    <w:p w14:paraId="1349B196" w14:textId="7E700132" w:rsidR="00E1444F" w:rsidRDefault="00E1444F" w:rsidP="00E977D8">
      <w:pPr>
        <w:tabs>
          <w:tab w:val="left" w:pos="-1440"/>
          <w:tab w:val="left" w:pos="-720"/>
          <w:tab w:val="left" w:pos="0"/>
          <w:tab w:val="left" w:pos="1080"/>
          <w:tab w:val="left" w:pos="1440"/>
        </w:tabs>
        <w:suppressAutoHyphens/>
        <w:overflowPunct w:val="0"/>
        <w:autoSpaceDE w:val="0"/>
        <w:autoSpaceDN w:val="0"/>
        <w:adjustRightInd w:val="0"/>
        <w:spacing w:before="107"/>
        <w:ind w:right="89"/>
        <w:jc w:val="both"/>
        <w:textAlignment w:val="baseline"/>
        <w:rPr>
          <w:spacing w:val="-4"/>
        </w:rPr>
      </w:pPr>
      <w:r>
        <w:rPr>
          <w:spacing w:val="-4"/>
        </w:rPr>
        <w:t>N</w:t>
      </w:r>
      <w:r w:rsidRPr="00AA4FA1">
        <w:rPr>
          <w:spacing w:val="-4"/>
        </w:rPr>
        <w:t>ote</w:t>
      </w:r>
      <w:r>
        <w:rPr>
          <w:spacing w:val="-4"/>
        </w:rPr>
        <w:t>,</w:t>
      </w:r>
      <w:r w:rsidRPr="00AA4FA1">
        <w:rPr>
          <w:spacing w:val="-4"/>
        </w:rPr>
        <w:t xml:space="preserve"> Climate Zone 3</w:t>
      </w:r>
      <w:r>
        <w:rPr>
          <w:spacing w:val="-4"/>
        </w:rPr>
        <w:t xml:space="preserve"> contains </w:t>
      </w:r>
      <w:r w:rsidRPr="00AA4FA1">
        <w:rPr>
          <w:spacing w:val="-4"/>
        </w:rPr>
        <w:t xml:space="preserve">the Industrial customer class’s highest potential.  Large Industrial customers’ projects are not </w:t>
      </w:r>
      <w:r w:rsidRPr="00B36884">
        <w:rPr>
          <w:spacing w:val="-4"/>
        </w:rPr>
        <w:t>available every year, but when they are, they have a large impact on the Commercial &amp; Industrial program’s annual achievements and full program portfolio’s cost effectiveness.</w:t>
      </w:r>
    </w:p>
    <w:p w14:paraId="0D2E8922" w14:textId="3D0D6B22" w:rsidR="00E1444F" w:rsidRDefault="00E1444F" w:rsidP="00E977D8">
      <w:pPr>
        <w:spacing w:after="160"/>
        <w:jc w:val="both"/>
        <w:rPr>
          <w:spacing w:val="-4"/>
        </w:rPr>
      </w:pPr>
      <w:r w:rsidRPr="00A430FC">
        <w:rPr>
          <w:spacing w:val="-4"/>
        </w:rPr>
        <w:t xml:space="preserve">The Total CIP Forecasted Potential by Zone graph demonstrates Climate Zone 2’s lower potential compared to Climate Zones 1 and 3. </w:t>
      </w:r>
      <w:r w:rsidR="002F0361">
        <w:rPr>
          <w:spacing w:val="-4"/>
        </w:rPr>
        <w:t xml:space="preserve">The difference in potential can be tied to </w:t>
      </w:r>
      <w:r w:rsidRPr="00A430FC">
        <w:rPr>
          <w:spacing w:val="-4"/>
        </w:rPr>
        <w:t xml:space="preserve">its significantly lower customer counts and volume inputs, which </w:t>
      </w:r>
      <w:r>
        <w:rPr>
          <w:spacing w:val="-4"/>
        </w:rPr>
        <w:t>are</w:t>
      </w:r>
      <w:r w:rsidRPr="00A430FC">
        <w:rPr>
          <w:spacing w:val="-4"/>
        </w:rPr>
        <w:t xml:space="preserve"> partially offset by the lowest avoided costs in both the near and long term time horizons.</w:t>
      </w:r>
    </w:p>
    <w:p w14:paraId="7840367B" w14:textId="77777777" w:rsidR="00D012EB" w:rsidRDefault="00D012EB" w:rsidP="00E977D8">
      <w:pPr>
        <w:spacing w:after="160"/>
        <w:jc w:val="both"/>
        <w:rPr>
          <w:spacing w:val="-4"/>
        </w:rPr>
      </w:pPr>
    </w:p>
    <w:p w14:paraId="64B3D566" w14:textId="77777777" w:rsidR="00E1444F" w:rsidRPr="00086E03" w:rsidRDefault="00E1444F" w:rsidP="00D012EB">
      <w:pPr>
        <w:pStyle w:val="Heading2"/>
      </w:pPr>
      <w:bookmarkStart w:id="31" w:name="_Forward_Looking_Targets/"/>
      <w:bookmarkStart w:id="32" w:name="_Toc465678034"/>
      <w:bookmarkEnd w:id="31"/>
      <w:r w:rsidRPr="00E147C5">
        <w:t xml:space="preserve">Forward Looking Targets/ </w:t>
      </w:r>
      <w:r w:rsidRPr="00496A8A">
        <w:t>TEA-Pot</w:t>
      </w:r>
      <w:r w:rsidRPr="00881D8B">
        <w:t xml:space="preserve"> Forecasts</w:t>
      </w:r>
      <w:bookmarkEnd w:id="32"/>
    </w:p>
    <w:p w14:paraId="620EA1CA" w14:textId="633BB839" w:rsidR="00E1444F" w:rsidRDefault="00B41834" w:rsidP="00E977D8">
      <w:pPr>
        <w:pStyle w:val="BodyText"/>
        <w:spacing w:before="107" w:line="276" w:lineRule="auto"/>
        <w:ind w:right="86"/>
        <w:rPr>
          <w:b w:val="0"/>
          <w:spacing w:val="-4"/>
          <w:sz w:val="24"/>
          <w:szCs w:val="24"/>
        </w:rPr>
      </w:pPr>
      <w:r>
        <w:rPr>
          <w:b w:val="0"/>
          <w:spacing w:val="-4"/>
          <w:sz w:val="24"/>
          <w:szCs w:val="24"/>
        </w:rPr>
        <w:t xml:space="preserve">As mentioned previously the </w:t>
      </w:r>
      <w:r w:rsidR="00415235">
        <w:rPr>
          <w:b w:val="0"/>
          <w:spacing w:val="-4"/>
          <w:sz w:val="24"/>
          <w:szCs w:val="24"/>
        </w:rPr>
        <w:t>method</w:t>
      </w:r>
      <w:r>
        <w:rPr>
          <w:b w:val="0"/>
          <w:spacing w:val="-4"/>
          <w:sz w:val="24"/>
          <w:szCs w:val="24"/>
        </w:rPr>
        <w:t xml:space="preserve"> </w:t>
      </w:r>
      <w:r w:rsidR="00E1444F" w:rsidRPr="005D6339">
        <w:rPr>
          <w:b w:val="0"/>
          <w:spacing w:val="-4"/>
          <w:sz w:val="24"/>
          <w:szCs w:val="24"/>
        </w:rPr>
        <w:t>Cascade</w:t>
      </w:r>
      <w:r>
        <w:rPr>
          <w:b w:val="0"/>
          <w:spacing w:val="-4"/>
          <w:sz w:val="24"/>
          <w:szCs w:val="24"/>
        </w:rPr>
        <w:t xml:space="preserve"> uses to calculate potential is </w:t>
      </w:r>
      <w:r w:rsidR="00415235">
        <w:rPr>
          <w:b w:val="0"/>
          <w:spacing w:val="-4"/>
          <w:sz w:val="24"/>
          <w:szCs w:val="24"/>
        </w:rPr>
        <w:t xml:space="preserve">the </w:t>
      </w:r>
      <w:r>
        <w:rPr>
          <w:b w:val="0"/>
          <w:spacing w:val="-4"/>
          <w:sz w:val="24"/>
          <w:szCs w:val="24"/>
        </w:rPr>
        <w:t xml:space="preserve">TEA-Pot modeling tool </w:t>
      </w:r>
      <w:r w:rsidR="00415235">
        <w:rPr>
          <w:b w:val="0"/>
          <w:spacing w:val="-4"/>
          <w:sz w:val="24"/>
          <w:szCs w:val="24"/>
        </w:rPr>
        <w:t>(</w:t>
      </w:r>
      <w:r>
        <w:rPr>
          <w:b w:val="0"/>
          <w:spacing w:val="-4"/>
          <w:sz w:val="24"/>
          <w:szCs w:val="24"/>
        </w:rPr>
        <w:t>developed in 2013/2014 by Nexant Inc.</w:t>
      </w:r>
      <w:r w:rsidR="00415235">
        <w:rPr>
          <w:b w:val="0"/>
          <w:spacing w:val="-4"/>
          <w:sz w:val="24"/>
          <w:szCs w:val="24"/>
        </w:rPr>
        <w:t>)</w:t>
      </w:r>
      <w:r>
        <w:rPr>
          <w:b w:val="0"/>
          <w:spacing w:val="-4"/>
          <w:sz w:val="24"/>
          <w:szCs w:val="24"/>
        </w:rPr>
        <w:t xml:space="preserve"> </w:t>
      </w:r>
      <w:r w:rsidR="00E1444F" w:rsidRPr="005D6339">
        <w:rPr>
          <w:b w:val="0"/>
          <w:spacing w:val="-4"/>
          <w:sz w:val="24"/>
          <w:szCs w:val="24"/>
        </w:rPr>
        <w:t xml:space="preserve">The study’s analysis </w:t>
      </w:r>
      <w:r>
        <w:rPr>
          <w:b w:val="0"/>
          <w:spacing w:val="-4"/>
          <w:sz w:val="24"/>
          <w:szCs w:val="24"/>
        </w:rPr>
        <w:t xml:space="preserve">at the time was based </w:t>
      </w:r>
      <w:r w:rsidR="00E1444F" w:rsidRPr="005D6339">
        <w:rPr>
          <w:b w:val="0"/>
          <w:spacing w:val="-4"/>
          <w:sz w:val="24"/>
          <w:szCs w:val="24"/>
        </w:rPr>
        <w:t>on calendar year 2012 and tailored to Cascade’s distinct service territory.</w:t>
      </w:r>
    </w:p>
    <w:p w14:paraId="0038FD42" w14:textId="77777777" w:rsidR="00E977D8" w:rsidRPr="005D6339" w:rsidRDefault="00E977D8" w:rsidP="00E977D8">
      <w:pPr>
        <w:pStyle w:val="BodyText"/>
        <w:spacing w:beforeLines="107" w:before="256" w:line="276" w:lineRule="auto"/>
        <w:ind w:right="89"/>
        <w:contextualSpacing/>
        <w:rPr>
          <w:b w:val="0"/>
          <w:spacing w:val="-4"/>
          <w:sz w:val="24"/>
          <w:szCs w:val="24"/>
        </w:rPr>
      </w:pPr>
    </w:p>
    <w:p w14:paraId="01205EEF" w14:textId="3C37DD67" w:rsidR="00E1444F" w:rsidRDefault="00B41834" w:rsidP="00E977D8">
      <w:pPr>
        <w:pStyle w:val="BodyText"/>
        <w:spacing w:beforeLines="107" w:before="256" w:line="276" w:lineRule="auto"/>
        <w:contextualSpacing/>
        <w:rPr>
          <w:b w:val="0"/>
          <w:spacing w:val="-4"/>
          <w:sz w:val="24"/>
          <w:szCs w:val="24"/>
        </w:rPr>
      </w:pPr>
      <w:r>
        <w:rPr>
          <w:b w:val="0"/>
          <w:spacing w:val="-4"/>
          <w:sz w:val="24"/>
          <w:szCs w:val="24"/>
        </w:rPr>
        <w:t xml:space="preserve">The following section provides Cascade’s achievable forecast by climate zone and customer class as per TEA-Pot calculations from October 2016 for the </w:t>
      </w:r>
      <w:r w:rsidR="00415235">
        <w:rPr>
          <w:b w:val="0"/>
          <w:spacing w:val="-4"/>
          <w:sz w:val="24"/>
          <w:szCs w:val="24"/>
        </w:rPr>
        <w:t>10</w:t>
      </w:r>
      <w:r w:rsidR="00F42BA7">
        <w:rPr>
          <w:b w:val="0"/>
          <w:spacing w:val="-4"/>
          <w:sz w:val="24"/>
          <w:szCs w:val="24"/>
        </w:rPr>
        <w:t xml:space="preserve"> year horizon</w:t>
      </w:r>
      <w:r w:rsidR="002964FC">
        <w:rPr>
          <w:b w:val="0"/>
          <w:spacing w:val="-4"/>
          <w:sz w:val="24"/>
          <w:szCs w:val="24"/>
        </w:rPr>
        <w:t xml:space="preserve"> in Figures 3 through Figure 6</w:t>
      </w:r>
      <w:r w:rsidR="00F42BA7">
        <w:rPr>
          <w:b w:val="0"/>
          <w:spacing w:val="-4"/>
          <w:sz w:val="24"/>
          <w:szCs w:val="24"/>
        </w:rPr>
        <w:t>.</w:t>
      </w:r>
    </w:p>
    <w:p w14:paraId="46359B8C" w14:textId="77777777" w:rsidR="009D4CEF" w:rsidRDefault="009D4CEF" w:rsidP="00E977D8">
      <w:pPr>
        <w:pStyle w:val="BodyText"/>
        <w:spacing w:beforeLines="107" w:before="256" w:line="276" w:lineRule="auto"/>
        <w:contextualSpacing/>
        <w:rPr>
          <w:b w:val="0"/>
          <w:spacing w:val="-4"/>
          <w:sz w:val="24"/>
          <w:szCs w:val="24"/>
        </w:rPr>
      </w:pPr>
    </w:p>
    <w:p w14:paraId="119D2F9D" w14:textId="77777777" w:rsidR="009D4CEF" w:rsidRDefault="009D4CEF" w:rsidP="00E977D8">
      <w:pPr>
        <w:pStyle w:val="BodyText"/>
        <w:spacing w:beforeLines="107" w:before="256" w:line="276" w:lineRule="auto"/>
        <w:contextualSpacing/>
        <w:rPr>
          <w:b w:val="0"/>
          <w:spacing w:val="-4"/>
          <w:sz w:val="24"/>
          <w:szCs w:val="24"/>
        </w:rPr>
      </w:pPr>
    </w:p>
    <w:p w14:paraId="56386723" w14:textId="77777777" w:rsidR="009D4CEF" w:rsidRDefault="009D4CEF" w:rsidP="00E977D8">
      <w:pPr>
        <w:pStyle w:val="BodyText"/>
        <w:spacing w:beforeLines="107" w:before="256" w:line="276" w:lineRule="auto"/>
        <w:contextualSpacing/>
        <w:rPr>
          <w:b w:val="0"/>
          <w:spacing w:val="-4"/>
          <w:sz w:val="18"/>
          <w:szCs w:val="18"/>
        </w:rPr>
      </w:pPr>
    </w:p>
    <w:p w14:paraId="6D7B0A12" w14:textId="06BE8958" w:rsidR="002F0361" w:rsidRDefault="00BC252F" w:rsidP="00F659FE">
      <w:pPr>
        <w:spacing w:after="0"/>
        <w:jc w:val="center"/>
        <w:rPr>
          <w:b/>
          <w:spacing w:val="-4"/>
          <w:sz w:val="18"/>
          <w:szCs w:val="18"/>
        </w:rPr>
      </w:pPr>
      <w:r>
        <w:rPr>
          <w:b/>
          <w:spacing w:val="-4"/>
          <w:sz w:val="18"/>
          <w:szCs w:val="18"/>
        </w:rPr>
        <w:t>Figure</w:t>
      </w:r>
      <w:r w:rsidR="002F0361">
        <w:rPr>
          <w:b/>
          <w:spacing w:val="-4"/>
          <w:sz w:val="18"/>
          <w:szCs w:val="18"/>
        </w:rPr>
        <w:t xml:space="preserve"> 3</w:t>
      </w:r>
    </w:p>
    <w:p w14:paraId="767AB301" w14:textId="243E57E4" w:rsidR="00BC252F" w:rsidRDefault="00BC252F" w:rsidP="00F659FE">
      <w:pPr>
        <w:spacing w:after="0"/>
        <w:jc w:val="center"/>
        <w:rPr>
          <w:b/>
          <w:spacing w:val="-4"/>
          <w:sz w:val="18"/>
          <w:szCs w:val="18"/>
        </w:rPr>
      </w:pPr>
      <w:r>
        <w:rPr>
          <w:b/>
          <w:spacing w:val="-4"/>
          <w:sz w:val="18"/>
          <w:szCs w:val="18"/>
        </w:rPr>
        <w:t xml:space="preserve"> Zone 1 Achievable Conservation Forecast Potential by Customer Class</w:t>
      </w:r>
    </w:p>
    <w:p w14:paraId="273829C9" w14:textId="4B46EE05" w:rsidR="00BC252F" w:rsidRDefault="009B45C5" w:rsidP="00BC252F">
      <w:pPr>
        <w:jc w:val="center"/>
      </w:pPr>
      <w:r>
        <w:rPr>
          <w:noProof/>
        </w:rPr>
        <w:drawing>
          <wp:inline distT="0" distB="0" distL="0" distR="0" wp14:anchorId="6B6CF524" wp14:editId="61CB31EB">
            <wp:extent cx="5005070" cy="2200910"/>
            <wp:effectExtent l="0" t="0" r="508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05070" cy="2200910"/>
                    </a:xfrm>
                    <a:prstGeom prst="rect">
                      <a:avLst/>
                    </a:prstGeom>
                    <a:noFill/>
                  </pic:spPr>
                </pic:pic>
              </a:graphicData>
            </a:graphic>
          </wp:inline>
        </w:drawing>
      </w:r>
    </w:p>
    <w:p w14:paraId="4F119656" w14:textId="77777777" w:rsidR="009D4CEF" w:rsidRDefault="009D4CEF">
      <w:pPr>
        <w:widowControl/>
        <w:spacing w:after="0" w:line="240" w:lineRule="auto"/>
        <w:rPr>
          <w:b/>
          <w:spacing w:val="-4"/>
          <w:sz w:val="18"/>
          <w:szCs w:val="18"/>
        </w:rPr>
      </w:pPr>
      <w:r>
        <w:rPr>
          <w:b/>
          <w:spacing w:val="-4"/>
          <w:sz w:val="18"/>
          <w:szCs w:val="18"/>
        </w:rPr>
        <w:br w:type="page"/>
      </w:r>
    </w:p>
    <w:p w14:paraId="1319C05A" w14:textId="4CD98008" w:rsidR="002F0361" w:rsidRDefault="00BC252F" w:rsidP="00F659FE">
      <w:pPr>
        <w:spacing w:after="0" w:line="259" w:lineRule="auto"/>
        <w:jc w:val="center"/>
        <w:rPr>
          <w:b/>
          <w:spacing w:val="-4"/>
          <w:sz w:val="18"/>
          <w:szCs w:val="18"/>
        </w:rPr>
      </w:pPr>
      <w:r>
        <w:rPr>
          <w:b/>
          <w:spacing w:val="-4"/>
          <w:sz w:val="18"/>
          <w:szCs w:val="18"/>
        </w:rPr>
        <w:t>Figure</w:t>
      </w:r>
      <w:r w:rsidR="002F0361">
        <w:rPr>
          <w:b/>
          <w:spacing w:val="-4"/>
          <w:sz w:val="18"/>
          <w:szCs w:val="18"/>
        </w:rPr>
        <w:t xml:space="preserve"> 4</w:t>
      </w:r>
    </w:p>
    <w:p w14:paraId="51C8A9B8" w14:textId="5DF4F736" w:rsidR="00BC252F" w:rsidRDefault="00BC252F" w:rsidP="00BC252F">
      <w:pPr>
        <w:spacing w:after="160" w:line="259" w:lineRule="auto"/>
        <w:jc w:val="center"/>
        <w:rPr>
          <w:b/>
          <w:spacing w:val="-4"/>
          <w:sz w:val="18"/>
          <w:szCs w:val="18"/>
        </w:rPr>
      </w:pPr>
      <w:r>
        <w:rPr>
          <w:b/>
          <w:spacing w:val="-4"/>
          <w:sz w:val="18"/>
          <w:szCs w:val="18"/>
        </w:rPr>
        <w:t xml:space="preserve"> Zone 2 Achievable Conservation Forecast Potential by Customer Class</w:t>
      </w:r>
    </w:p>
    <w:p w14:paraId="011E3118" w14:textId="384893B6" w:rsidR="00BC252F" w:rsidRDefault="009B45C5" w:rsidP="00BC252F">
      <w:pPr>
        <w:jc w:val="center"/>
      </w:pPr>
      <w:r>
        <w:rPr>
          <w:noProof/>
        </w:rPr>
        <w:drawing>
          <wp:inline distT="0" distB="0" distL="0" distR="0" wp14:anchorId="7EDA2A33" wp14:editId="649B6397">
            <wp:extent cx="5011420" cy="22313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11420" cy="2231390"/>
                    </a:xfrm>
                    <a:prstGeom prst="rect">
                      <a:avLst/>
                    </a:prstGeom>
                    <a:noFill/>
                  </pic:spPr>
                </pic:pic>
              </a:graphicData>
            </a:graphic>
          </wp:inline>
        </w:drawing>
      </w:r>
    </w:p>
    <w:p w14:paraId="7B247D24" w14:textId="599260DC" w:rsidR="002F0361" w:rsidRDefault="00BC252F" w:rsidP="00F659FE">
      <w:pPr>
        <w:spacing w:after="0" w:line="259" w:lineRule="auto"/>
        <w:jc w:val="center"/>
        <w:rPr>
          <w:b/>
          <w:spacing w:val="-4"/>
          <w:sz w:val="18"/>
          <w:szCs w:val="18"/>
        </w:rPr>
      </w:pPr>
      <w:r>
        <w:rPr>
          <w:b/>
          <w:spacing w:val="-4"/>
          <w:sz w:val="18"/>
          <w:szCs w:val="18"/>
        </w:rPr>
        <w:t>Figure</w:t>
      </w:r>
      <w:r w:rsidR="00D624CF">
        <w:rPr>
          <w:b/>
          <w:spacing w:val="-4"/>
          <w:sz w:val="18"/>
          <w:szCs w:val="18"/>
        </w:rPr>
        <w:t xml:space="preserve"> </w:t>
      </w:r>
      <w:r w:rsidR="002F0361">
        <w:rPr>
          <w:b/>
          <w:spacing w:val="-4"/>
          <w:sz w:val="18"/>
          <w:szCs w:val="18"/>
        </w:rPr>
        <w:t>5</w:t>
      </w:r>
    </w:p>
    <w:p w14:paraId="35267786" w14:textId="41E1BF85" w:rsidR="00BC252F" w:rsidRDefault="00BC252F" w:rsidP="00F659FE">
      <w:pPr>
        <w:spacing w:after="0" w:line="259" w:lineRule="auto"/>
        <w:jc w:val="center"/>
        <w:rPr>
          <w:b/>
          <w:spacing w:val="-4"/>
          <w:sz w:val="18"/>
          <w:szCs w:val="18"/>
        </w:rPr>
      </w:pPr>
      <w:r>
        <w:rPr>
          <w:b/>
          <w:spacing w:val="-4"/>
          <w:sz w:val="18"/>
          <w:szCs w:val="18"/>
        </w:rPr>
        <w:t xml:space="preserve"> Zone 3 Achievable Conservation Forecast Potential by Customer Class</w:t>
      </w:r>
    </w:p>
    <w:p w14:paraId="2CFA40FA" w14:textId="59EAC89B" w:rsidR="00BC252F" w:rsidRPr="00BC252F" w:rsidRDefault="009B45C5" w:rsidP="00BC252F">
      <w:pPr>
        <w:jc w:val="center"/>
      </w:pPr>
      <w:r>
        <w:rPr>
          <w:noProof/>
        </w:rPr>
        <w:drawing>
          <wp:inline distT="0" distB="0" distL="0" distR="0" wp14:anchorId="615405FE" wp14:editId="47B084FD">
            <wp:extent cx="5011420" cy="21945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1420" cy="2194560"/>
                    </a:xfrm>
                    <a:prstGeom prst="rect">
                      <a:avLst/>
                    </a:prstGeom>
                    <a:noFill/>
                  </pic:spPr>
                </pic:pic>
              </a:graphicData>
            </a:graphic>
          </wp:inline>
        </w:drawing>
      </w:r>
    </w:p>
    <w:p w14:paraId="2DCDE4F2" w14:textId="34EE450E" w:rsidR="002F0361" w:rsidRDefault="00A63E4E" w:rsidP="00F659FE">
      <w:pPr>
        <w:spacing w:after="0" w:line="259" w:lineRule="auto"/>
        <w:jc w:val="center"/>
        <w:rPr>
          <w:b/>
          <w:spacing w:val="-4"/>
          <w:sz w:val="18"/>
          <w:szCs w:val="18"/>
        </w:rPr>
      </w:pPr>
      <w:r>
        <w:rPr>
          <w:b/>
          <w:spacing w:val="-4"/>
          <w:sz w:val="18"/>
          <w:szCs w:val="18"/>
        </w:rPr>
        <w:t>Figure 6</w:t>
      </w:r>
    </w:p>
    <w:p w14:paraId="78385D63" w14:textId="4ED4D115" w:rsidR="00A63E4E" w:rsidRDefault="00A63E4E" w:rsidP="00F659FE">
      <w:pPr>
        <w:spacing w:after="0" w:line="259" w:lineRule="auto"/>
        <w:jc w:val="center"/>
        <w:rPr>
          <w:b/>
          <w:spacing w:val="-4"/>
          <w:sz w:val="18"/>
          <w:szCs w:val="18"/>
        </w:rPr>
      </w:pPr>
      <w:r>
        <w:rPr>
          <w:b/>
          <w:spacing w:val="-4"/>
          <w:sz w:val="18"/>
          <w:szCs w:val="18"/>
        </w:rPr>
        <w:t xml:space="preserve"> Total CIP Forecasted Potential by Zone</w:t>
      </w:r>
    </w:p>
    <w:p w14:paraId="2563926E" w14:textId="4347CB7C" w:rsidR="00A63E4E" w:rsidRPr="00AA4FA1" w:rsidRDefault="009B45C5" w:rsidP="00A63E4E">
      <w:pPr>
        <w:spacing w:after="160" w:line="259" w:lineRule="auto"/>
        <w:jc w:val="center"/>
        <w:rPr>
          <w:rFonts w:eastAsiaTheme="minorHAnsi"/>
          <w:b/>
        </w:rPr>
      </w:pPr>
      <w:r>
        <w:rPr>
          <w:rFonts w:eastAsiaTheme="minorHAnsi"/>
          <w:b/>
          <w:noProof/>
        </w:rPr>
        <w:drawing>
          <wp:inline distT="0" distB="0" distL="0" distR="0" wp14:anchorId="2944D152" wp14:editId="58D3754C">
            <wp:extent cx="4993005" cy="22009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93005" cy="2200910"/>
                    </a:xfrm>
                    <a:prstGeom prst="rect">
                      <a:avLst/>
                    </a:prstGeom>
                    <a:noFill/>
                  </pic:spPr>
                </pic:pic>
              </a:graphicData>
            </a:graphic>
          </wp:inline>
        </w:drawing>
      </w:r>
    </w:p>
    <w:p w14:paraId="354BA676" w14:textId="77777777" w:rsidR="00F42BA7" w:rsidRDefault="00F42BA7" w:rsidP="001B3A8F">
      <w:pPr>
        <w:pStyle w:val="BodyText"/>
        <w:spacing w:before="107" w:line="276" w:lineRule="auto"/>
        <w:ind w:right="89"/>
        <w:rPr>
          <w:b w:val="0"/>
          <w:spacing w:val="-4"/>
          <w:sz w:val="24"/>
          <w:szCs w:val="24"/>
        </w:rPr>
      </w:pPr>
    </w:p>
    <w:p w14:paraId="6152B62F" w14:textId="77777777" w:rsidR="00F42BA7" w:rsidRDefault="00F659FE" w:rsidP="00F42BA7">
      <w:pPr>
        <w:pStyle w:val="BodyText"/>
        <w:spacing w:beforeLines="107" w:before="256" w:line="276" w:lineRule="auto"/>
        <w:ind w:right="89"/>
        <w:contextualSpacing/>
        <w:rPr>
          <w:b w:val="0"/>
          <w:spacing w:val="-4"/>
          <w:sz w:val="24"/>
          <w:szCs w:val="24"/>
        </w:rPr>
      </w:pPr>
      <w:r>
        <w:rPr>
          <w:b w:val="0"/>
          <w:spacing w:val="-4"/>
          <w:sz w:val="24"/>
          <w:szCs w:val="24"/>
        </w:rPr>
        <w:t>Cascade’s methodology has changed in two key ways along with the i</w:t>
      </w:r>
      <w:r w:rsidR="00B41834">
        <w:rPr>
          <w:b w:val="0"/>
          <w:spacing w:val="-4"/>
          <w:sz w:val="24"/>
          <w:szCs w:val="24"/>
        </w:rPr>
        <w:t>nclusion of the administrative costs in the model</w:t>
      </w:r>
      <w:r>
        <w:rPr>
          <w:b w:val="0"/>
          <w:spacing w:val="-4"/>
          <w:sz w:val="24"/>
          <w:szCs w:val="24"/>
        </w:rPr>
        <w:t>,</w:t>
      </w:r>
      <w:r w:rsidR="00B41834">
        <w:rPr>
          <w:b w:val="0"/>
          <w:spacing w:val="-4"/>
          <w:sz w:val="24"/>
          <w:szCs w:val="24"/>
        </w:rPr>
        <w:t xml:space="preserve"> </w:t>
      </w:r>
      <w:r>
        <w:rPr>
          <w:b w:val="0"/>
          <w:spacing w:val="-4"/>
          <w:sz w:val="24"/>
          <w:szCs w:val="24"/>
        </w:rPr>
        <w:t>and</w:t>
      </w:r>
      <w:r w:rsidR="00B41834">
        <w:rPr>
          <w:b w:val="0"/>
          <w:spacing w:val="-4"/>
          <w:sz w:val="24"/>
          <w:szCs w:val="24"/>
        </w:rPr>
        <w:t xml:space="preserve"> climate zone granularity</w:t>
      </w:r>
      <w:r>
        <w:rPr>
          <w:b w:val="0"/>
          <w:spacing w:val="-4"/>
          <w:sz w:val="24"/>
          <w:szCs w:val="24"/>
        </w:rPr>
        <w:t xml:space="preserve">. </w:t>
      </w:r>
      <w:r w:rsidR="005D6339" w:rsidRPr="005D6339">
        <w:rPr>
          <w:b w:val="0"/>
          <w:spacing w:val="-4"/>
          <w:sz w:val="24"/>
          <w:szCs w:val="24"/>
        </w:rPr>
        <w:t xml:space="preserve">First, on </w:t>
      </w:r>
      <w:r w:rsidR="00415235">
        <w:rPr>
          <w:b w:val="0"/>
          <w:spacing w:val="-4"/>
          <w:sz w:val="24"/>
          <w:szCs w:val="24"/>
        </w:rPr>
        <w:t xml:space="preserve">both the Residential and </w:t>
      </w:r>
      <w:r w:rsidR="005D6339" w:rsidRPr="005D6339">
        <w:rPr>
          <w:b w:val="0"/>
          <w:spacing w:val="-4"/>
          <w:sz w:val="24"/>
          <w:szCs w:val="24"/>
        </w:rPr>
        <w:t>the Commercial</w:t>
      </w:r>
      <w:r w:rsidR="00415235">
        <w:rPr>
          <w:b w:val="0"/>
          <w:spacing w:val="-4"/>
          <w:sz w:val="24"/>
          <w:szCs w:val="24"/>
        </w:rPr>
        <w:t>/</w:t>
      </w:r>
      <w:r w:rsidR="005D6339" w:rsidRPr="005D6339">
        <w:rPr>
          <w:b w:val="0"/>
          <w:spacing w:val="-4"/>
          <w:sz w:val="24"/>
          <w:szCs w:val="24"/>
        </w:rPr>
        <w:t>Industrial program</w:t>
      </w:r>
      <w:r w:rsidR="00415235">
        <w:rPr>
          <w:b w:val="0"/>
          <w:spacing w:val="-4"/>
          <w:sz w:val="24"/>
          <w:szCs w:val="24"/>
        </w:rPr>
        <w:t>s</w:t>
      </w:r>
      <w:r w:rsidR="005D6339" w:rsidRPr="005D6339">
        <w:rPr>
          <w:b w:val="0"/>
          <w:spacing w:val="-4"/>
          <w:sz w:val="24"/>
          <w:szCs w:val="24"/>
        </w:rPr>
        <w:t>, all measures from the study are used for all years of the time horizon</w:t>
      </w:r>
      <w:r w:rsidR="00415235">
        <w:rPr>
          <w:b w:val="0"/>
          <w:spacing w:val="-4"/>
          <w:sz w:val="24"/>
          <w:szCs w:val="24"/>
        </w:rPr>
        <w:t>.</w:t>
      </w:r>
      <w:r w:rsidR="005D6339" w:rsidRPr="005D6339">
        <w:rPr>
          <w:b w:val="0"/>
          <w:spacing w:val="-4"/>
          <w:sz w:val="24"/>
          <w:szCs w:val="24"/>
        </w:rPr>
        <w:t xml:space="preserve"> </w:t>
      </w:r>
      <w:r w:rsidR="00415235">
        <w:rPr>
          <w:b w:val="0"/>
          <w:spacing w:val="-4"/>
          <w:sz w:val="24"/>
          <w:szCs w:val="24"/>
        </w:rPr>
        <w:t xml:space="preserve">This methodology was implemented </w:t>
      </w:r>
      <w:r w:rsidR="005D6339" w:rsidRPr="005D6339">
        <w:rPr>
          <w:b w:val="0"/>
          <w:spacing w:val="-4"/>
          <w:sz w:val="24"/>
          <w:szCs w:val="24"/>
        </w:rPr>
        <w:t xml:space="preserve">instead of </w:t>
      </w:r>
      <w:r w:rsidR="00415235">
        <w:rPr>
          <w:b w:val="0"/>
          <w:spacing w:val="-4"/>
          <w:sz w:val="24"/>
          <w:szCs w:val="24"/>
        </w:rPr>
        <w:t>past Commercial/Industrial forecast modeling</w:t>
      </w:r>
      <w:r>
        <w:rPr>
          <w:b w:val="0"/>
          <w:spacing w:val="-4"/>
          <w:sz w:val="24"/>
          <w:szCs w:val="24"/>
        </w:rPr>
        <w:t xml:space="preserve"> where</w:t>
      </w:r>
      <w:r w:rsidR="00415235">
        <w:rPr>
          <w:b w:val="0"/>
          <w:spacing w:val="-4"/>
          <w:sz w:val="24"/>
          <w:szCs w:val="24"/>
        </w:rPr>
        <w:t xml:space="preserve"> solely the </w:t>
      </w:r>
      <w:r w:rsidR="005D6339" w:rsidRPr="005D6339">
        <w:rPr>
          <w:b w:val="0"/>
          <w:spacing w:val="-4"/>
          <w:sz w:val="24"/>
          <w:szCs w:val="24"/>
        </w:rPr>
        <w:t>prescriptive measures offered under the current tariff in place at the time of writing</w:t>
      </w:r>
      <w:r>
        <w:rPr>
          <w:b w:val="0"/>
          <w:spacing w:val="-4"/>
          <w:sz w:val="24"/>
          <w:szCs w:val="24"/>
        </w:rPr>
        <w:t xml:space="preserve"> were included in the forecast</w:t>
      </w:r>
      <w:r w:rsidR="005D6339" w:rsidRPr="005D6339">
        <w:rPr>
          <w:b w:val="0"/>
          <w:spacing w:val="-4"/>
          <w:sz w:val="24"/>
          <w:szCs w:val="24"/>
        </w:rPr>
        <w:t xml:space="preserve">.  This </w:t>
      </w:r>
      <w:r w:rsidR="00415235">
        <w:rPr>
          <w:b w:val="0"/>
          <w:spacing w:val="-4"/>
          <w:sz w:val="24"/>
          <w:szCs w:val="24"/>
        </w:rPr>
        <w:t xml:space="preserve">new methodology </w:t>
      </w:r>
      <w:r w:rsidR="005D6339" w:rsidRPr="005D6339">
        <w:rPr>
          <w:b w:val="0"/>
          <w:spacing w:val="-4"/>
          <w:sz w:val="24"/>
          <w:szCs w:val="24"/>
        </w:rPr>
        <w:t xml:space="preserve">accounts for capturing the savings inherent </w:t>
      </w:r>
      <w:r w:rsidR="003113C3">
        <w:rPr>
          <w:b w:val="0"/>
          <w:spacing w:val="-4"/>
          <w:sz w:val="24"/>
          <w:szCs w:val="24"/>
        </w:rPr>
        <w:t>to</w:t>
      </w:r>
      <w:r w:rsidR="005D6339" w:rsidRPr="005D6339">
        <w:rPr>
          <w:b w:val="0"/>
          <w:spacing w:val="-4"/>
          <w:sz w:val="24"/>
          <w:szCs w:val="24"/>
        </w:rPr>
        <w:t xml:space="preserve"> the custom project </w:t>
      </w:r>
      <w:r w:rsidR="003113C3">
        <w:rPr>
          <w:b w:val="0"/>
          <w:spacing w:val="-4"/>
          <w:sz w:val="24"/>
          <w:szCs w:val="24"/>
        </w:rPr>
        <w:t>sector</w:t>
      </w:r>
      <w:r w:rsidR="00B41834">
        <w:rPr>
          <w:b w:val="0"/>
          <w:spacing w:val="-4"/>
          <w:sz w:val="24"/>
          <w:szCs w:val="24"/>
        </w:rPr>
        <w:t xml:space="preserve"> </w:t>
      </w:r>
      <w:r w:rsidR="00415235">
        <w:rPr>
          <w:b w:val="0"/>
          <w:spacing w:val="-4"/>
          <w:sz w:val="24"/>
          <w:szCs w:val="24"/>
        </w:rPr>
        <w:t xml:space="preserve">more </w:t>
      </w:r>
      <w:r w:rsidR="00B41834">
        <w:rPr>
          <w:b w:val="0"/>
          <w:spacing w:val="-4"/>
          <w:sz w:val="24"/>
          <w:szCs w:val="24"/>
        </w:rPr>
        <w:t>accurately</w:t>
      </w:r>
      <w:r w:rsidR="005D6339" w:rsidRPr="005D6339">
        <w:rPr>
          <w:b w:val="0"/>
          <w:spacing w:val="-4"/>
          <w:sz w:val="24"/>
          <w:szCs w:val="24"/>
        </w:rPr>
        <w:t xml:space="preserve">, in addition to the prescriptive measure offerings, without applying a subjective percentage  of custom project therm savings </w:t>
      </w:r>
      <w:r w:rsidRPr="005D6339">
        <w:rPr>
          <w:b w:val="0"/>
          <w:spacing w:val="-4"/>
          <w:sz w:val="24"/>
          <w:szCs w:val="24"/>
        </w:rPr>
        <w:t>(based on historic performance)</w:t>
      </w:r>
      <w:r>
        <w:rPr>
          <w:b w:val="0"/>
          <w:spacing w:val="-4"/>
          <w:sz w:val="24"/>
          <w:szCs w:val="24"/>
        </w:rPr>
        <w:t xml:space="preserve"> </w:t>
      </w:r>
      <w:r w:rsidR="005D6339" w:rsidRPr="005D6339">
        <w:rPr>
          <w:b w:val="0"/>
          <w:spacing w:val="-4"/>
          <w:sz w:val="24"/>
          <w:szCs w:val="24"/>
        </w:rPr>
        <w:t xml:space="preserve">on top of the </w:t>
      </w:r>
      <w:r w:rsidR="003113C3">
        <w:rPr>
          <w:b w:val="0"/>
          <w:spacing w:val="-4"/>
          <w:sz w:val="24"/>
          <w:szCs w:val="24"/>
        </w:rPr>
        <w:t>prescriptive</w:t>
      </w:r>
      <w:r w:rsidR="003113C3" w:rsidRPr="005D6339">
        <w:rPr>
          <w:b w:val="0"/>
          <w:spacing w:val="-4"/>
          <w:sz w:val="24"/>
          <w:szCs w:val="24"/>
        </w:rPr>
        <w:t xml:space="preserve"> </w:t>
      </w:r>
      <w:r w:rsidR="005D6339" w:rsidRPr="005D6339">
        <w:rPr>
          <w:b w:val="0"/>
          <w:spacing w:val="-4"/>
          <w:sz w:val="24"/>
          <w:szCs w:val="24"/>
        </w:rPr>
        <w:t>savings</w:t>
      </w:r>
      <w:r w:rsidR="003113C3">
        <w:rPr>
          <w:b w:val="0"/>
          <w:spacing w:val="-4"/>
          <w:sz w:val="24"/>
          <w:szCs w:val="24"/>
        </w:rPr>
        <w:t xml:space="preserve"> estimate</w:t>
      </w:r>
      <w:r w:rsidR="005D6339" w:rsidRPr="005D6339">
        <w:rPr>
          <w:b w:val="0"/>
          <w:spacing w:val="-4"/>
          <w:sz w:val="24"/>
          <w:szCs w:val="24"/>
        </w:rPr>
        <w:t xml:space="preserve">. </w:t>
      </w:r>
      <w:r w:rsidR="001B3A8F">
        <w:rPr>
          <w:b w:val="0"/>
          <w:spacing w:val="-4"/>
          <w:sz w:val="24"/>
          <w:szCs w:val="24"/>
        </w:rPr>
        <w:t xml:space="preserve"> On the Residential side, this allows for a full review of the cost-effectiveness measures available in the Nexant Study’s library to be considered for future changes to th</w:t>
      </w:r>
      <w:r w:rsidR="00F42BA7">
        <w:rPr>
          <w:b w:val="0"/>
          <w:spacing w:val="-4"/>
          <w:sz w:val="24"/>
          <w:szCs w:val="24"/>
        </w:rPr>
        <w:t>e menu of efficiency offerings.</w:t>
      </w:r>
    </w:p>
    <w:p w14:paraId="60B54EE1" w14:textId="77777777" w:rsidR="00F42BA7" w:rsidRDefault="00F42BA7" w:rsidP="00F42BA7">
      <w:pPr>
        <w:pStyle w:val="BodyText"/>
        <w:spacing w:beforeLines="107" w:before="256" w:line="276" w:lineRule="auto"/>
        <w:ind w:right="89"/>
        <w:contextualSpacing/>
        <w:rPr>
          <w:b w:val="0"/>
          <w:spacing w:val="-4"/>
          <w:sz w:val="24"/>
          <w:szCs w:val="24"/>
        </w:rPr>
      </w:pPr>
    </w:p>
    <w:p w14:paraId="110284F0" w14:textId="2D53915B" w:rsidR="00F42BA7" w:rsidRDefault="005D6339" w:rsidP="00F42BA7">
      <w:pPr>
        <w:pStyle w:val="BodyText"/>
        <w:spacing w:beforeLines="107" w:before="256" w:line="276" w:lineRule="auto"/>
        <w:ind w:right="89"/>
        <w:contextualSpacing/>
        <w:rPr>
          <w:b w:val="0"/>
          <w:spacing w:val="-4"/>
          <w:sz w:val="24"/>
          <w:szCs w:val="24"/>
        </w:rPr>
      </w:pPr>
      <w:r w:rsidRPr="005D6339">
        <w:rPr>
          <w:b w:val="0"/>
          <w:spacing w:val="-4"/>
          <w:sz w:val="24"/>
          <w:szCs w:val="24"/>
        </w:rPr>
        <w:t>Second, for both the Residential and Commercial/Industrial programs, measures deemed cost effective at the 50% level of incremental costs were run through the model at the higher incentive level.  A higher incentive level yields a higher adoption curve because installation of the measure becomes more cost effective and thus more appealing to participants.  In return, a higher level of potential therm savings becomes possible. A full list of included measures’ cost effectiveness and incentive levels by customer class</w:t>
      </w:r>
      <w:r w:rsidR="001B3A8F">
        <w:rPr>
          <w:b w:val="0"/>
          <w:spacing w:val="-4"/>
          <w:sz w:val="24"/>
          <w:szCs w:val="24"/>
        </w:rPr>
        <w:t xml:space="preserve"> at the original base 30% incentive level</w:t>
      </w:r>
      <w:r w:rsidRPr="005D6339">
        <w:rPr>
          <w:b w:val="0"/>
          <w:spacing w:val="-4"/>
          <w:sz w:val="24"/>
          <w:szCs w:val="24"/>
        </w:rPr>
        <w:t xml:space="preserve"> are available in </w:t>
      </w:r>
      <w:r w:rsidRPr="00F659FE">
        <w:rPr>
          <w:b w:val="0"/>
          <w:i/>
          <w:spacing w:val="-4"/>
          <w:sz w:val="24"/>
          <w:szCs w:val="24"/>
        </w:rPr>
        <w:t>Appendix A</w:t>
      </w:r>
      <w:r w:rsidRPr="005D6339">
        <w:rPr>
          <w:b w:val="0"/>
          <w:spacing w:val="-4"/>
          <w:sz w:val="24"/>
          <w:szCs w:val="24"/>
        </w:rPr>
        <w:t>.</w:t>
      </w:r>
    </w:p>
    <w:p w14:paraId="269FF9C9" w14:textId="77777777" w:rsidR="00F42BA7" w:rsidRDefault="00F42BA7" w:rsidP="00F42BA7">
      <w:pPr>
        <w:pStyle w:val="BodyText"/>
        <w:spacing w:beforeLines="107" w:before="256" w:line="276" w:lineRule="auto"/>
        <w:ind w:right="89"/>
        <w:contextualSpacing/>
        <w:rPr>
          <w:b w:val="0"/>
          <w:spacing w:val="-4"/>
          <w:sz w:val="24"/>
          <w:szCs w:val="24"/>
        </w:rPr>
      </w:pPr>
    </w:p>
    <w:p w14:paraId="11733532" w14:textId="28B2941A" w:rsidR="0007791C" w:rsidRDefault="0007791C" w:rsidP="00F42BA7">
      <w:pPr>
        <w:pStyle w:val="BodyText"/>
        <w:spacing w:beforeLines="107" w:before="256" w:line="276" w:lineRule="auto"/>
        <w:ind w:right="89"/>
        <w:contextualSpacing/>
        <w:rPr>
          <w:b w:val="0"/>
          <w:spacing w:val="-4"/>
          <w:sz w:val="24"/>
          <w:szCs w:val="24"/>
        </w:rPr>
      </w:pPr>
      <w:r>
        <w:rPr>
          <w:b w:val="0"/>
          <w:spacing w:val="-4"/>
          <w:sz w:val="24"/>
          <w:szCs w:val="24"/>
        </w:rPr>
        <w:t xml:space="preserve">Below is a summary of the other model inputs, updated from </w:t>
      </w:r>
      <w:r w:rsidR="001B3A8F">
        <w:rPr>
          <w:b w:val="0"/>
          <w:spacing w:val="-4"/>
          <w:sz w:val="24"/>
          <w:szCs w:val="24"/>
        </w:rPr>
        <w:t>the 2016 Conservation Plan</w:t>
      </w:r>
      <w:r>
        <w:rPr>
          <w:b w:val="0"/>
          <w:spacing w:val="-4"/>
          <w:sz w:val="24"/>
          <w:szCs w:val="24"/>
        </w:rPr>
        <w:t>:</w:t>
      </w:r>
    </w:p>
    <w:p w14:paraId="623E6B02" w14:textId="77777777" w:rsidR="00F42BA7" w:rsidRDefault="00F42BA7" w:rsidP="00F42BA7">
      <w:pPr>
        <w:pStyle w:val="BodyText"/>
        <w:spacing w:beforeLines="107" w:before="256" w:line="276" w:lineRule="auto"/>
        <w:ind w:right="89"/>
        <w:contextualSpacing/>
        <w:rPr>
          <w:b w:val="0"/>
          <w:spacing w:val="-4"/>
          <w:sz w:val="24"/>
          <w:szCs w:val="24"/>
        </w:rPr>
      </w:pPr>
    </w:p>
    <w:p w14:paraId="0BCC84B3" w14:textId="77777777" w:rsidR="0007791C" w:rsidRDefault="0007791C" w:rsidP="00F42BA7">
      <w:pPr>
        <w:pStyle w:val="BodyText"/>
        <w:numPr>
          <w:ilvl w:val="0"/>
          <w:numId w:val="48"/>
        </w:numPr>
        <w:spacing w:beforeLines="107" w:before="256" w:line="276" w:lineRule="auto"/>
        <w:ind w:right="89"/>
        <w:contextualSpacing/>
        <w:rPr>
          <w:b w:val="0"/>
          <w:spacing w:val="-4"/>
          <w:sz w:val="24"/>
          <w:szCs w:val="24"/>
        </w:rPr>
      </w:pPr>
      <w:r>
        <w:rPr>
          <w:b w:val="0"/>
          <w:spacing w:val="-4"/>
          <w:sz w:val="24"/>
          <w:szCs w:val="24"/>
        </w:rPr>
        <w:t>Inflation rate decreased from 2.00% to 1.00% and is in line with the remainder of the IRP. It was also applied to the Administrative Costs per levelized therm by end use, based on 2015 Annual Report achievements. Thus, the decrease in inflation rate helped decrease the long term Administrative Costs’ forecast, and brought down the overall costs needed to acquire therm savings, thereby increasing the Benefit-Cost ratios for measures to pass cost-effectiveness.</w:t>
      </w:r>
    </w:p>
    <w:p w14:paraId="0F9C2783" w14:textId="77777777" w:rsidR="00F42BA7" w:rsidRDefault="00F42BA7" w:rsidP="00F42BA7">
      <w:pPr>
        <w:pStyle w:val="BodyText"/>
        <w:spacing w:beforeLines="107" w:before="256" w:line="276" w:lineRule="auto"/>
        <w:ind w:left="720" w:right="89"/>
        <w:contextualSpacing/>
        <w:rPr>
          <w:b w:val="0"/>
          <w:spacing w:val="-4"/>
          <w:sz w:val="24"/>
          <w:szCs w:val="24"/>
        </w:rPr>
      </w:pPr>
    </w:p>
    <w:p w14:paraId="400B9015" w14:textId="77777777" w:rsidR="0007791C" w:rsidRDefault="0007791C" w:rsidP="00F42BA7">
      <w:pPr>
        <w:pStyle w:val="BodyText"/>
        <w:numPr>
          <w:ilvl w:val="0"/>
          <w:numId w:val="48"/>
        </w:numPr>
        <w:spacing w:beforeLines="107" w:before="256" w:line="276" w:lineRule="auto"/>
        <w:ind w:right="89"/>
        <w:contextualSpacing/>
        <w:rPr>
          <w:b w:val="0"/>
          <w:spacing w:val="-4"/>
          <w:sz w:val="24"/>
          <w:szCs w:val="24"/>
        </w:rPr>
      </w:pPr>
      <w:r>
        <w:rPr>
          <w:b w:val="0"/>
          <w:spacing w:val="-4"/>
          <w:sz w:val="24"/>
          <w:szCs w:val="24"/>
        </w:rPr>
        <w:t>Transmission Loss rate decreased from</w:t>
      </w:r>
      <w:r w:rsidRPr="006F06EB">
        <w:rPr>
          <w:b w:val="0"/>
          <w:spacing w:val="-4"/>
          <w:sz w:val="24"/>
          <w:szCs w:val="24"/>
        </w:rPr>
        <w:t xml:space="preserve"> 0.1959% to 0.1348%</w:t>
      </w:r>
    </w:p>
    <w:p w14:paraId="74A482C3" w14:textId="77777777" w:rsidR="00F42BA7" w:rsidRDefault="00F42BA7" w:rsidP="00F42BA7">
      <w:pPr>
        <w:pStyle w:val="BodyText"/>
        <w:spacing w:beforeLines="107" w:before="256" w:line="276" w:lineRule="auto"/>
        <w:ind w:left="720" w:right="89"/>
        <w:contextualSpacing/>
        <w:rPr>
          <w:b w:val="0"/>
          <w:spacing w:val="-4"/>
          <w:sz w:val="24"/>
          <w:szCs w:val="24"/>
        </w:rPr>
      </w:pPr>
    </w:p>
    <w:p w14:paraId="16A3534B" w14:textId="2337DE01" w:rsidR="0007791C" w:rsidRDefault="0007791C" w:rsidP="00F42BA7">
      <w:pPr>
        <w:pStyle w:val="BodyText"/>
        <w:numPr>
          <w:ilvl w:val="0"/>
          <w:numId w:val="48"/>
        </w:numPr>
        <w:spacing w:beforeLines="107" w:before="256" w:line="276" w:lineRule="auto"/>
        <w:ind w:right="89"/>
        <w:contextualSpacing/>
        <w:rPr>
          <w:b w:val="0"/>
          <w:spacing w:val="-4"/>
          <w:sz w:val="24"/>
          <w:szCs w:val="24"/>
        </w:rPr>
      </w:pPr>
      <w:r>
        <w:rPr>
          <w:b w:val="0"/>
          <w:spacing w:val="-4"/>
          <w:sz w:val="24"/>
          <w:szCs w:val="24"/>
        </w:rPr>
        <w:t>Long Term Discount rate decreased from 4.17% to 3.52%, aligned with the rest of the IRP</w:t>
      </w:r>
      <w:r w:rsidR="000F2EE9">
        <w:rPr>
          <w:b w:val="0"/>
          <w:spacing w:val="-4"/>
          <w:sz w:val="24"/>
          <w:szCs w:val="24"/>
        </w:rPr>
        <w:t>’s</w:t>
      </w:r>
      <w:r>
        <w:rPr>
          <w:b w:val="0"/>
          <w:spacing w:val="-4"/>
          <w:sz w:val="24"/>
          <w:szCs w:val="24"/>
        </w:rPr>
        <w:t>’ models. Note, the lower the long term discount rate, the higher the therm savings potential because future years’ therm savings’ avoided cost values are discounted less, and thus more of the avoided costs can be included, thereby allowing the Benefit-Cost ratios for measures to pass the 0.90 cost-effectiveness threshold</w:t>
      </w:r>
      <w:r w:rsidR="000F2EE9">
        <w:rPr>
          <w:b w:val="0"/>
          <w:spacing w:val="-4"/>
          <w:sz w:val="24"/>
          <w:szCs w:val="24"/>
        </w:rPr>
        <w:t xml:space="preserve"> for inclusion in the modeling run</w:t>
      </w:r>
      <w:r w:rsidR="00F42BA7">
        <w:rPr>
          <w:b w:val="0"/>
          <w:spacing w:val="-4"/>
          <w:sz w:val="24"/>
          <w:szCs w:val="24"/>
        </w:rPr>
        <w:t xml:space="preserve">. </w:t>
      </w:r>
      <w:r w:rsidR="00C35D5B">
        <w:rPr>
          <w:b w:val="0"/>
          <w:spacing w:val="-4"/>
          <w:sz w:val="24"/>
          <w:szCs w:val="24"/>
        </w:rPr>
        <w:t>This approach recognizes the value of long-lived conservation measures and the generational benefits of deep energy savings.</w:t>
      </w:r>
    </w:p>
    <w:p w14:paraId="7F43323D" w14:textId="77777777" w:rsidR="00F42BA7" w:rsidRDefault="00F42BA7" w:rsidP="00F42BA7">
      <w:pPr>
        <w:pStyle w:val="BodyText"/>
        <w:spacing w:beforeLines="107" w:before="256" w:line="276" w:lineRule="auto"/>
        <w:ind w:right="89"/>
        <w:contextualSpacing/>
        <w:rPr>
          <w:b w:val="0"/>
          <w:spacing w:val="-4"/>
          <w:sz w:val="24"/>
          <w:szCs w:val="24"/>
        </w:rPr>
      </w:pPr>
    </w:p>
    <w:p w14:paraId="12BF19AC" w14:textId="152730EB" w:rsidR="0007791C" w:rsidRPr="00F42BA7" w:rsidRDefault="0007791C" w:rsidP="00F42BA7">
      <w:pPr>
        <w:pStyle w:val="BodyText"/>
        <w:numPr>
          <w:ilvl w:val="0"/>
          <w:numId w:val="48"/>
        </w:numPr>
        <w:spacing w:beforeLines="107" w:before="256" w:line="276" w:lineRule="auto"/>
        <w:ind w:right="89"/>
        <w:contextualSpacing/>
        <w:rPr>
          <w:b w:val="0"/>
          <w:spacing w:val="-4"/>
          <w:sz w:val="24"/>
          <w:szCs w:val="24"/>
        </w:rPr>
      </w:pPr>
      <w:r w:rsidRPr="008073A9">
        <w:rPr>
          <w:rFonts w:cs="Arial"/>
          <w:b w:val="0"/>
          <w:spacing w:val="-4"/>
          <w:sz w:val="24"/>
          <w:szCs w:val="24"/>
        </w:rPr>
        <w:t>Administrative Costs increased</w:t>
      </w:r>
      <w:r w:rsidRPr="00F47E17">
        <w:rPr>
          <w:rFonts w:eastAsia="Calibri" w:cs="Arial"/>
          <w:b w:val="0"/>
          <w:i/>
          <w:spacing w:val="-2"/>
          <w:sz w:val="24"/>
          <w:szCs w:val="24"/>
        </w:rPr>
        <w:t xml:space="preserve"> </w:t>
      </w:r>
      <w:r w:rsidRPr="008073A9">
        <w:rPr>
          <w:rFonts w:cs="Arial"/>
          <w:b w:val="0"/>
          <w:spacing w:val="-4"/>
          <w:sz w:val="24"/>
          <w:szCs w:val="24"/>
        </w:rPr>
        <w:t>to bring the Residential program administration in house, thereby increasing accuracy of reporting and improving control</w:t>
      </w:r>
      <w:r w:rsidRPr="00C96B99">
        <w:rPr>
          <w:rFonts w:cs="Arial"/>
          <w:b w:val="0"/>
          <w:spacing w:val="-4"/>
          <w:sz w:val="24"/>
          <w:szCs w:val="24"/>
        </w:rPr>
        <w:t xml:space="preserve"> of the customers’ rebate processing experiences</w:t>
      </w:r>
      <w:r>
        <w:rPr>
          <w:rFonts w:cs="Arial"/>
          <w:b w:val="0"/>
          <w:spacing w:val="-4"/>
          <w:sz w:val="24"/>
          <w:szCs w:val="24"/>
        </w:rPr>
        <w:t>.  It also allowed</w:t>
      </w:r>
      <w:r w:rsidRPr="00C96B99">
        <w:rPr>
          <w:rFonts w:cs="Arial"/>
          <w:b w:val="0"/>
          <w:spacing w:val="-4"/>
          <w:sz w:val="24"/>
          <w:szCs w:val="24"/>
        </w:rPr>
        <w:t xml:space="preserve"> expan</w:t>
      </w:r>
      <w:r>
        <w:rPr>
          <w:rFonts w:cs="Arial"/>
          <w:b w:val="0"/>
          <w:spacing w:val="-4"/>
          <w:sz w:val="24"/>
          <w:szCs w:val="24"/>
        </w:rPr>
        <w:t>sion of</w:t>
      </w:r>
      <w:r w:rsidRPr="00C96B99">
        <w:rPr>
          <w:rFonts w:cs="Arial"/>
          <w:b w:val="0"/>
          <w:spacing w:val="-4"/>
          <w:sz w:val="24"/>
          <w:szCs w:val="24"/>
        </w:rPr>
        <w:t xml:space="preserve"> Commercial</w:t>
      </w:r>
      <w:r>
        <w:rPr>
          <w:rFonts w:cs="Arial"/>
          <w:b w:val="0"/>
          <w:spacing w:val="-4"/>
          <w:sz w:val="24"/>
          <w:szCs w:val="24"/>
        </w:rPr>
        <w:t xml:space="preserve"> and </w:t>
      </w:r>
      <w:r w:rsidRPr="00C96B99">
        <w:rPr>
          <w:rFonts w:cs="Arial"/>
          <w:b w:val="0"/>
          <w:spacing w:val="-4"/>
          <w:sz w:val="24"/>
          <w:szCs w:val="24"/>
        </w:rPr>
        <w:t xml:space="preserve">Industrial </w:t>
      </w:r>
      <w:r>
        <w:rPr>
          <w:rFonts w:cs="Arial"/>
          <w:b w:val="0"/>
          <w:spacing w:val="-4"/>
          <w:sz w:val="24"/>
          <w:szCs w:val="24"/>
        </w:rPr>
        <w:t xml:space="preserve">CIP </w:t>
      </w:r>
      <w:r w:rsidRPr="00C96B99">
        <w:rPr>
          <w:rFonts w:cs="Arial"/>
          <w:b w:val="0"/>
          <w:spacing w:val="-4"/>
          <w:sz w:val="24"/>
          <w:szCs w:val="24"/>
        </w:rPr>
        <w:t>outreach. The 2017 budget was set at</w:t>
      </w:r>
      <w:r w:rsidRPr="00A6781C">
        <w:rPr>
          <w:rFonts w:cs="Arial"/>
          <w:b w:val="0"/>
          <w:spacing w:val="-4"/>
          <w:sz w:val="24"/>
          <w:szCs w:val="24"/>
        </w:rPr>
        <w:t xml:space="preserve"> $550,000 for the Residential program and $1 million for the Commercial/Industrial</w:t>
      </w:r>
      <w:r>
        <w:rPr>
          <w:rFonts w:cs="Arial"/>
          <w:b w:val="0"/>
          <w:spacing w:val="-4"/>
          <w:sz w:val="24"/>
          <w:szCs w:val="24"/>
        </w:rPr>
        <w:t xml:space="preserve"> to accommodate the additional outreach efforts</w:t>
      </w:r>
      <w:r w:rsidRPr="00A6781C">
        <w:rPr>
          <w:rFonts w:cs="Arial"/>
          <w:b w:val="0"/>
          <w:spacing w:val="-4"/>
          <w:sz w:val="24"/>
          <w:szCs w:val="24"/>
        </w:rPr>
        <w:t xml:space="preserve">. </w:t>
      </w:r>
      <w:r>
        <w:rPr>
          <w:rFonts w:cs="Arial"/>
          <w:b w:val="0"/>
          <w:spacing w:val="-4"/>
          <w:sz w:val="24"/>
          <w:szCs w:val="24"/>
        </w:rPr>
        <w:t xml:space="preserve">Note while this may appear to have a </w:t>
      </w:r>
      <w:r w:rsidRPr="00A6781C">
        <w:rPr>
          <w:rFonts w:cs="Arial"/>
          <w:b w:val="0"/>
          <w:spacing w:val="-4"/>
          <w:sz w:val="24"/>
          <w:szCs w:val="24"/>
        </w:rPr>
        <w:t xml:space="preserve">negative impact on the Benefit-Cost ratios for each measure, </w:t>
      </w:r>
      <w:r>
        <w:rPr>
          <w:rFonts w:cs="Arial"/>
          <w:b w:val="0"/>
          <w:spacing w:val="-4"/>
          <w:sz w:val="24"/>
          <w:szCs w:val="24"/>
        </w:rPr>
        <w:t>and raises</w:t>
      </w:r>
      <w:r w:rsidRPr="00A6781C">
        <w:rPr>
          <w:rFonts w:cs="Arial"/>
          <w:b w:val="0"/>
          <w:spacing w:val="-4"/>
          <w:sz w:val="24"/>
          <w:szCs w:val="24"/>
        </w:rPr>
        <w:t xml:space="preserve"> the costs needed to acquire therm savings</w:t>
      </w:r>
      <w:r w:rsidR="00654EEE">
        <w:rPr>
          <w:rFonts w:cs="Arial"/>
          <w:b w:val="0"/>
          <w:spacing w:val="-4"/>
          <w:sz w:val="24"/>
          <w:szCs w:val="24"/>
        </w:rPr>
        <w:t>,</w:t>
      </w:r>
      <w:r>
        <w:rPr>
          <w:rFonts w:cs="Arial"/>
          <w:b w:val="0"/>
          <w:spacing w:val="-4"/>
          <w:sz w:val="24"/>
          <w:szCs w:val="24"/>
        </w:rPr>
        <w:t xml:space="preserve"> it is necessary to accommodate higher therm savings goals</w:t>
      </w:r>
      <w:r w:rsidR="00F42BA7">
        <w:rPr>
          <w:rFonts w:cs="Arial"/>
          <w:b w:val="0"/>
          <w:spacing w:val="-4"/>
          <w:sz w:val="24"/>
          <w:szCs w:val="24"/>
        </w:rPr>
        <w:t>.</w:t>
      </w:r>
    </w:p>
    <w:p w14:paraId="626343A6" w14:textId="77777777" w:rsidR="00F42BA7" w:rsidRPr="00A6781C" w:rsidRDefault="00F42BA7" w:rsidP="00F42BA7">
      <w:pPr>
        <w:pStyle w:val="BodyText"/>
        <w:spacing w:beforeLines="107" w:before="256" w:line="276" w:lineRule="auto"/>
        <w:ind w:right="89"/>
        <w:contextualSpacing/>
        <w:rPr>
          <w:b w:val="0"/>
          <w:spacing w:val="-4"/>
          <w:sz w:val="24"/>
          <w:szCs w:val="24"/>
        </w:rPr>
      </w:pPr>
    </w:p>
    <w:p w14:paraId="48777DF9" w14:textId="337DBA25" w:rsidR="0007791C" w:rsidRDefault="0007791C" w:rsidP="00F42BA7">
      <w:pPr>
        <w:pStyle w:val="BodyText"/>
        <w:numPr>
          <w:ilvl w:val="0"/>
          <w:numId w:val="48"/>
        </w:numPr>
        <w:spacing w:beforeLines="107" w:before="256" w:line="276" w:lineRule="auto"/>
        <w:ind w:right="89"/>
        <w:contextualSpacing/>
        <w:rPr>
          <w:b w:val="0"/>
          <w:spacing w:val="-4"/>
          <w:sz w:val="24"/>
          <w:szCs w:val="24"/>
        </w:rPr>
      </w:pPr>
      <w:r>
        <w:rPr>
          <w:b w:val="0"/>
          <w:spacing w:val="-4"/>
          <w:sz w:val="24"/>
          <w:szCs w:val="24"/>
        </w:rPr>
        <w:t>Avoided Costs were updated per Appendix H and divided by Climate Zone</w:t>
      </w:r>
      <w:r w:rsidR="00654EEE">
        <w:rPr>
          <w:b w:val="0"/>
          <w:spacing w:val="-4"/>
          <w:sz w:val="24"/>
          <w:szCs w:val="24"/>
        </w:rPr>
        <w:t>.</w:t>
      </w:r>
      <w:r>
        <w:rPr>
          <w:b w:val="0"/>
          <w:spacing w:val="-4"/>
          <w:sz w:val="24"/>
          <w:szCs w:val="24"/>
        </w:rPr>
        <w:t xml:space="preserve"> </w:t>
      </w:r>
      <w:r w:rsidR="00654EEE">
        <w:rPr>
          <w:b w:val="0"/>
          <w:spacing w:val="-4"/>
          <w:sz w:val="24"/>
          <w:szCs w:val="24"/>
        </w:rPr>
        <w:t xml:space="preserve">It is important to note </w:t>
      </w:r>
      <w:r>
        <w:rPr>
          <w:b w:val="0"/>
          <w:spacing w:val="-4"/>
          <w:sz w:val="24"/>
          <w:szCs w:val="24"/>
        </w:rPr>
        <w:t>the higher the Avoided Costs, the higher the therm savings potential because Avoided Costs under the Utility Cost Test increase the Benefit-Cost ratio to allow more measures to be considered cost-effective. Conversely, the lower the avoided costs, the lower the therm savings potential forecasted.</w:t>
      </w:r>
    </w:p>
    <w:p w14:paraId="7163B590" w14:textId="77777777" w:rsidR="00F42BA7" w:rsidRDefault="00F42BA7" w:rsidP="00F42BA7">
      <w:pPr>
        <w:pStyle w:val="BodyText"/>
        <w:spacing w:beforeLines="107" w:before="256" w:line="276" w:lineRule="auto"/>
        <w:ind w:right="89"/>
        <w:contextualSpacing/>
        <w:rPr>
          <w:b w:val="0"/>
          <w:spacing w:val="-4"/>
          <w:sz w:val="24"/>
          <w:szCs w:val="24"/>
        </w:rPr>
      </w:pPr>
    </w:p>
    <w:p w14:paraId="28D7FB54" w14:textId="6DC15564" w:rsidR="0007791C" w:rsidRPr="00F42BA7" w:rsidRDefault="0007791C" w:rsidP="00F42BA7">
      <w:pPr>
        <w:pStyle w:val="BodyText"/>
        <w:numPr>
          <w:ilvl w:val="0"/>
          <w:numId w:val="48"/>
        </w:numPr>
        <w:spacing w:beforeLines="107" w:before="256" w:line="276" w:lineRule="auto"/>
        <w:ind w:right="89"/>
        <w:contextualSpacing/>
        <w:rPr>
          <w:b w:val="0"/>
          <w:spacing w:val="-4"/>
          <w:sz w:val="24"/>
          <w:szCs w:val="24"/>
        </w:rPr>
      </w:pPr>
      <w:r w:rsidRPr="0007791C">
        <w:rPr>
          <w:b w:val="0"/>
          <w:spacing w:val="-4"/>
          <w:sz w:val="24"/>
          <w:szCs w:val="24"/>
        </w:rPr>
        <w:t>Load Profile system wide and Customers and Volume</w:t>
      </w:r>
      <w:r w:rsidR="006E205B">
        <w:rPr>
          <w:b w:val="0"/>
          <w:spacing w:val="-4"/>
          <w:sz w:val="24"/>
          <w:szCs w:val="24"/>
        </w:rPr>
        <w:t xml:space="preserve"> Forecasts</w:t>
      </w:r>
      <w:r w:rsidRPr="0007791C">
        <w:rPr>
          <w:b w:val="0"/>
          <w:spacing w:val="-4"/>
          <w:sz w:val="24"/>
          <w:szCs w:val="24"/>
        </w:rPr>
        <w:t>, divided by Climate Zone, were updated per the Demand Forecast chapter.</w:t>
      </w:r>
    </w:p>
    <w:p w14:paraId="3DBE1605" w14:textId="2CF5BC90" w:rsidR="006E205B" w:rsidRPr="006E205B" w:rsidRDefault="0007791C" w:rsidP="00F42BA7">
      <w:pPr>
        <w:spacing w:beforeLines="107" w:before="256" w:after="0"/>
        <w:ind w:right="83"/>
        <w:contextualSpacing/>
        <w:jc w:val="both"/>
      </w:pPr>
      <w:r w:rsidRPr="006E205B">
        <w:t>Nexant’s model provides three levels of potential: Technical, Economic, and Achievable</w:t>
      </w:r>
      <w:r w:rsidR="001B3A8F">
        <w:t xml:space="preserve"> which are further defined below</w:t>
      </w:r>
    </w:p>
    <w:p w14:paraId="405F9782" w14:textId="4D743E0F" w:rsidR="006E205B" w:rsidRPr="006E205B" w:rsidRDefault="0007791C" w:rsidP="00F42BA7">
      <w:pPr>
        <w:pStyle w:val="ListParagraph"/>
        <w:numPr>
          <w:ilvl w:val="0"/>
          <w:numId w:val="49"/>
        </w:numPr>
        <w:spacing w:beforeLines="107" w:before="256" w:line="276" w:lineRule="auto"/>
        <w:ind w:right="83"/>
        <w:jc w:val="both"/>
        <w:rPr>
          <w:rFonts w:ascii="Arial" w:hAnsi="Arial" w:cs="Arial"/>
        </w:rPr>
      </w:pPr>
      <w:r w:rsidRPr="006E205B">
        <w:rPr>
          <w:rFonts w:ascii="Arial" w:hAnsi="Arial" w:cs="Arial"/>
          <w:i/>
        </w:rPr>
        <w:t>Technical Potential</w:t>
      </w:r>
      <w:r w:rsidRPr="006E205B">
        <w:rPr>
          <w:rFonts w:ascii="Arial" w:hAnsi="Arial" w:cs="Arial"/>
        </w:rPr>
        <w:t>: An estimate of all energy savings that could theoretically be accomplished if every customer that could potentially install a conservation measure did so without consideration of market barriers such as cost and customer awareness</w:t>
      </w:r>
      <w:r w:rsidR="006E205B" w:rsidRPr="006E205B">
        <w:rPr>
          <w:rFonts w:ascii="Arial" w:hAnsi="Arial" w:cs="Arial"/>
        </w:rPr>
        <w:t>.</w:t>
      </w:r>
    </w:p>
    <w:p w14:paraId="2E4419F7" w14:textId="6F90B464" w:rsidR="006E205B" w:rsidRDefault="0007791C" w:rsidP="00F42BA7">
      <w:pPr>
        <w:pStyle w:val="ListParagraph"/>
        <w:numPr>
          <w:ilvl w:val="0"/>
          <w:numId w:val="49"/>
        </w:numPr>
        <w:spacing w:beforeLines="107" w:before="256" w:line="276" w:lineRule="auto"/>
        <w:ind w:right="83"/>
        <w:jc w:val="both"/>
        <w:rPr>
          <w:rFonts w:ascii="Arial" w:hAnsi="Arial" w:cs="Arial"/>
        </w:rPr>
      </w:pPr>
      <w:r w:rsidRPr="006E205B">
        <w:rPr>
          <w:rFonts w:ascii="Arial" w:hAnsi="Arial" w:cs="Arial"/>
          <w:i/>
        </w:rPr>
        <w:t>Economic Potential</w:t>
      </w:r>
      <w:r w:rsidRPr="006E205B">
        <w:rPr>
          <w:rFonts w:ascii="Arial" w:hAnsi="Arial" w:cs="Arial"/>
        </w:rPr>
        <w:t>: The most efficient measures that pass economic screening tests and is a subset of Technical Potential. Because measures’ cost effectiveness differs by Climate Zone, market segmentation, and vintage, Cascade implements a 0.90 cost-effectiveness threshold in order to be able to include the largest breadth of measures feasible</w:t>
      </w:r>
      <w:r w:rsidR="006E205B" w:rsidRPr="006E205B">
        <w:rPr>
          <w:rFonts w:ascii="Arial" w:hAnsi="Arial" w:cs="Arial"/>
        </w:rPr>
        <w:t>.</w:t>
      </w:r>
    </w:p>
    <w:p w14:paraId="6A4FB50E" w14:textId="77777777" w:rsidR="00F42BA7" w:rsidRPr="006E205B" w:rsidRDefault="00F42BA7" w:rsidP="00F42BA7">
      <w:pPr>
        <w:pStyle w:val="ListParagraph"/>
        <w:spacing w:beforeLines="107" w:before="256" w:line="276" w:lineRule="auto"/>
        <w:ind w:right="83"/>
        <w:jc w:val="both"/>
        <w:rPr>
          <w:rFonts w:ascii="Arial" w:hAnsi="Arial" w:cs="Arial"/>
        </w:rPr>
      </w:pPr>
    </w:p>
    <w:p w14:paraId="4BCEE5B0" w14:textId="549E35B9" w:rsidR="0007791C" w:rsidRPr="006E205B" w:rsidRDefault="0007791C" w:rsidP="00F659FE">
      <w:pPr>
        <w:pStyle w:val="ListParagraph"/>
        <w:numPr>
          <w:ilvl w:val="0"/>
          <w:numId w:val="49"/>
        </w:numPr>
        <w:spacing w:line="276" w:lineRule="auto"/>
        <w:ind w:right="83"/>
        <w:jc w:val="both"/>
        <w:rPr>
          <w:rFonts w:ascii="Arial" w:hAnsi="Arial" w:cs="Arial"/>
        </w:rPr>
      </w:pPr>
      <w:r w:rsidRPr="006E205B">
        <w:rPr>
          <w:rFonts w:ascii="Arial" w:hAnsi="Arial" w:cs="Arial"/>
          <w:i/>
        </w:rPr>
        <w:t xml:space="preserve">Achievable Potential: </w:t>
      </w:r>
      <w:r w:rsidRPr="006E205B">
        <w:rPr>
          <w:rFonts w:ascii="Arial" w:hAnsi="Arial" w:cs="Arial"/>
        </w:rPr>
        <w:t>Embodies a set of assumptions about the decisions consumers make regarding the efficiency of the equipment they purchase to simulate a realistic estimate of real-life conditions</w:t>
      </w:r>
      <w:r w:rsidR="006E205B" w:rsidRPr="006E205B">
        <w:rPr>
          <w:rFonts w:ascii="Arial" w:hAnsi="Arial" w:cs="Arial"/>
        </w:rPr>
        <w:t>.</w:t>
      </w:r>
    </w:p>
    <w:p w14:paraId="05A4D401" w14:textId="77777777" w:rsidR="006E205B" w:rsidRPr="0007791C" w:rsidRDefault="006E205B" w:rsidP="004E6B25">
      <w:pPr>
        <w:spacing w:after="0"/>
        <w:ind w:right="83"/>
        <w:jc w:val="both"/>
      </w:pPr>
    </w:p>
    <w:p w14:paraId="2E79AA9B" w14:textId="32ED8E66" w:rsidR="00525FE4" w:rsidRDefault="0007791C" w:rsidP="004E6B25">
      <w:pPr>
        <w:spacing w:after="0"/>
        <w:ind w:right="83"/>
        <w:jc w:val="both"/>
      </w:pPr>
      <w:r w:rsidRPr="0007791C">
        <w:t xml:space="preserve">As mentioned in the previous section, the model was run individually by </w:t>
      </w:r>
      <w:r w:rsidR="000F2EE9">
        <w:t>c</w:t>
      </w:r>
      <w:r w:rsidRPr="0007791C">
        <w:t xml:space="preserve">limate </w:t>
      </w:r>
      <w:r w:rsidR="000F2EE9">
        <w:t>z</w:t>
      </w:r>
      <w:r w:rsidRPr="0007791C">
        <w:t xml:space="preserve">one in order to provide increased granularity. The outcomes shown in that section are by </w:t>
      </w:r>
      <w:r w:rsidR="000F2EE9">
        <w:t>c</w:t>
      </w:r>
      <w:r w:rsidRPr="0007791C">
        <w:t xml:space="preserve">limate </w:t>
      </w:r>
      <w:r w:rsidR="000F2EE9">
        <w:t>z</w:t>
      </w:r>
      <w:r w:rsidRPr="0007791C">
        <w:t xml:space="preserve">one, whereas the summary of the model’s output below combines Technical, Economic, and Achievable therm savings potentials, in addition to the past three years </w:t>
      </w:r>
      <w:r w:rsidR="000F2EE9">
        <w:t xml:space="preserve">of </w:t>
      </w:r>
      <w:r w:rsidRPr="0007791C">
        <w:t xml:space="preserve">program performance for perspective. Note, 2016 figures are not available at time of writing </w:t>
      </w:r>
      <w:r w:rsidR="00F659FE">
        <w:t>as</w:t>
      </w:r>
      <w:r w:rsidR="00F659FE" w:rsidRPr="0007791C">
        <w:t xml:space="preserve"> </w:t>
      </w:r>
      <w:r w:rsidRPr="0007791C">
        <w:t xml:space="preserve">the program year has not ended, January 1, 2016 through December 31, 2016. Further </w:t>
      </w:r>
      <w:r w:rsidR="00D624CF">
        <w:t>analysis and representations</w:t>
      </w:r>
      <w:r w:rsidR="00D624CF" w:rsidRPr="0007791C">
        <w:t xml:space="preserve"> </w:t>
      </w:r>
      <w:r w:rsidRPr="0007791C">
        <w:t xml:space="preserve">of </w:t>
      </w:r>
      <w:r w:rsidR="00D624CF">
        <w:t xml:space="preserve">these forecasts </w:t>
      </w:r>
      <w:r w:rsidRPr="0007791C">
        <w:t xml:space="preserve">can be found in </w:t>
      </w:r>
      <w:r w:rsidRPr="00D624CF">
        <w:rPr>
          <w:i/>
        </w:rPr>
        <w:t xml:space="preserve">Appendix </w:t>
      </w:r>
      <w:r w:rsidR="006E205B" w:rsidRPr="00D624CF">
        <w:rPr>
          <w:i/>
        </w:rPr>
        <w:t>A</w:t>
      </w:r>
      <w:r w:rsidRPr="0007791C">
        <w:t>.</w:t>
      </w:r>
    </w:p>
    <w:p w14:paraId="0F2FBBFE" w14:textId="77777777" w:rsidR="00F42BA7" w:rsidRDefault="00F42BA7" w:rsidP="00C235C5">
      <w:pPr>
        <w:spacing w:after="0"/>
        <w:ind w:right="83"/>
        <w:jc w:val="both"/>
      </w:pPr>
    </w:p>
    <w:p w14:paraId="1419383D" w14:textId="64CD3B8D" w:rsidR="00D624CF" w:rsidRPr="00F657A9" w:rsidRDefault="00B0242A" w:rsidP="00F657A9">
      <w:pPr>
        <w:widowControl/>
        <w:spacing w:after="0"/>
        <w:jc w:val="center"/>
        <w:rPr>
          <w:b/>
          <w:sz w:val="18"/>
        </w:rPr>
      </w:pPr>
      <w:r w:rsidRPr="00F657A9">
        <w:rPr>
          <w:b/>
          <w:sz w:val="18"/>
        </w:rPr>
        <w:t xml:space="preserve">Figure </w:t>
      </w:r>
      <w:r w:rsidR="00D624CF" w:rsidRPr="00F657A9">
        <w:rPr>
          <w:b/>
          <w:sz w:val="18"/>
        </w:rPr>
        <w:t>7</w:t>
      </w:r>
      <w:r w:rsidR="005D6339" w:rsidRPr="00F657A9">
        <w:rPr>
          <w:b/>
          <w:sz w:val="18"/>
        </w:rPr>
        <w:t xml:space="preserve"> </w:t>
      </w:r>
    </w:p>
    <w:p w14:paraId="76E0D07A" w14:textId="268F2D3D" w:rsidR="00964466" w:rsidRPr="00F657A9" w:rsidRDefault="005D6339" w:rsidP="00F657A9">
      <w:pPr>
        <w:widowControl/>
        <w:spacing w:after="0"/>
        <w:jc w:val="center"/>
        <w:rPr>
          <w:b/>
          <w:sz w:val="18"/>
        </w:rPr>
      </w:pPr>
      <w:r w:rsidRPr="00F657A9">
        <w:rPr>
          <w:b/>
          <w:sz w:val="18"/>
        </w:rPr>
        <w:t>Technical, Economic, Achievable 20 year potential snapshot</w:t>
      </w:r>
    </w:p>
    <w:p w14:paraId="29AAC365" w14:textId="317746C3" w:rsidR="00525FE4" w:rsidRPr="00881D8B" w:rsidRDefault="00525FE4" w:rsidP="0068556F">
      <w:pPr>
        <w:widowControl/>
        <w:jc w:val="center"/>
      </w:pPr>
      <w:r w:rsidRPr="00E147C5">
        <w:rPr>
          <w:noProof/>
        </w:rPr>
        <w:t xml:space="preserve"> </w:t>
      </w:r>
      <w:r w:rsidR="005D6339">
        <w:rPr>
          <w:b/>
          <w:noProof/>
          <w:spacing w:val="-4"/>
        </w:rPr>
        <w:drawing>
          <wp:inline distT="0" distB="0" distL="0" distR="0" wp14:anchorId="47E27E22" wp14:editId="33D7CDE6">
            <wp:extent cx="5036820" cy="303973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47079" cy="3045924"/>
                    </a:xfrm>
                    <a:prstGeom prst="rect">
                      <a:avLst/>
                    </a:prstGeom>
                    <a:noFill/>
                    <a:ln>
                      <a:noFill/>
                    </a:ln>
                  </pic:spPr>
                </pic:pic>
              </a:graphicData>
            </a:graphic>
          </wp:inline>
        </w:drawing>
      </w:r>
    </w:p>
    <w:p w14:paraId="4A007906" w14:textId="77777777" w:rsidR="00F42BA7" w:rsidRDefault="00F42BA7" w:rsidP="004E6B25">
      <w:pPr>
        <w:spacing w:after="0"/>
        <w:ind w:right="83"/>
        <w:jc w:val="both"/>
      </w:pPr>
    </w:p>
    <w:p w14:paraId="5EE0437D" w14:textId="3ABDF607" w:rsidR="00E33448" w:rsidRDefault="00525FE4" w:rsidP="004E6B25">
      <w:pPr>
        <w:spacing w:after="0"/>
        <w:ind w:right="83"/>
        <w:jc w:val="both"/>
      </w:pPr>
      <w:r w:rsidRPr="00881D8B">
        <w:t xml:space="preserve">The </w:t>
      </w:r>
      <w:r w:rsidR="002964FC">
        <w:t xml:space="preserve">Figure 7 </w:t>
      </w:r>
      <w:r w:rsidRPr="00881D8B">
        <w:t xml:space="preserve">line graph provides </w:t>
      </w:r>
      <w:r w:rsidR="005D6339">
        <w:t>two</w:t>
      </w:r>
      <w:r w:rsidR="004D74CF" w:rsidRPr="00AC330F">
        <w:t xml:space="preserve"> </w:t>
      </w:r>
      <w:r w:rsidRPr="003913CE">
        <w:t>separate lines denoting the savings potentials for Technical</w:t>
      </w:r>
      <w:r w:rsidR="005D6339">
        <w:t xml:space="preserve"> and</w:t>
      </w:r>
      <w:r w:rsidRPr="003913CE">
        <w:t xml:space="preserve"> Economic</w:t>
      </w:r>
      <w:r w:rsidR="005D6339">
        <w:t xml:space="preserve"> levels, followed by the</w:t>
      </w:r>
      <w:r w:rsidRPr="003913CE">
        <w:t xml:space="preserve"> Achievable</w:t>
      </w:r>
      <w:r w:rsidR="005D6339">
        <w:t xml:space="preserve"> Residential and Commercial</w:t>
      </w:r>
      <w:r w:rsidRPr="00ED616A">
        <w:t xml:space="preserve"> </w:t>
      </w:r>
      <w:r w:rsidR="005D6339">
        <w:t xml:space="preserve">/Industrial </w:t>
      </w:r>
      <w:r w:rsidRPr="00ED616A">
        <w:t>targets</w:t>
      </w:r>
      <w:r w:rsidR="00404742" w:rsidRPr="00920B4B">
        <w:t>.</w:t>
      </w:r>
      <w:r w:rsidRPr="00920B4B">
        <w:t xml:space="preserve"> </w:t>
      </w:r>
    </w:p>
    <w:p w14:paraId="3FF26091" w14:textId="77777777" w:rsidR="005D6339" w:rsidRPr="00881D8B" w:rsidRDefault="005D6339" w:rsidP="00C235C5">
      <w:pPr>
        <w:spacing w:after="0"/>
        <w:ind w:right="83"/>
        <w:jc w:val="both"/>
      </w:pPr>
    </w:p>
    <w:p w14:paraId="0301FB27" w14:textId="77777777" w:rsidR="00525FE4" w:rsidRPr="00920B4B" w:rsidRDefault="00525FE4" w:rsidP="00D012EB">
      <w:pPr>
        <w:pStyle w:val="Heading2"/>
      </w:pPr>
      <w:bookmarkStart w:id="33" w:name="_CY_2016_&amp;"/>
      <w:bookmarkStart w:id="34" w:name="_CY_2017_&amp;"/>
      <w:bookmarkStart w:id="35" w:name="_Toc465678035"/>
      <w:bookmarkEnd w:id="33"/>
      <w:bookmarkEnd w:id="34"/>
      <w:r w:rsidRPr="00881D8B">
        <w:t>CY 201</w:t>
      </w:r>
      <w:r w:rsidR="00950096">
        <w:t>7</w:t>
      </w:r>
      <w:r w:rsidRPr="00AC330F">
        <w:t xml:space="preserve"> &amp; 201</w:t>
      </w:r>
      <w:r w:rsidR="00950096">
        <w:t>8</w:t>
      </w:r>
      <w:r w:rsidRPr="003913CE">
        <w:t xml:space="preserve"> Targe</w:t>
      </w:r>
      <w:r w:rsidRPr="00ED616A">
        <w:t>ts</w:t>
      </w:r>
      <w:bookmarkEnd w:id="35"/>
      <w:r w:rsidRPr="00ED616A">
        <w:t xml:space="preserve"> </w:t>
      </w:r>
    </w:p>
    <w:p w14:paraId="7E0CBB8A" w14:textId="5E7C9DB2" w:rsidR="005C3825" w:rsidRPr="00ED616A" w:rsidRDefault="001A5A9B" w:rsidP="009F2FB8">
      <w:pPr>
        <w:spacing w:after="0"/>
        <w:ind w:right="83"/>
        <w:jc w:val="both"/>
      </w:pPr>
      <w:r>
        <w:t>Cascade is providing</w:t>
      </w:r>
      <w:r w:rsidR="00327D9E">
        <w:t xml:space="preserve"> targets the Company has reported for its conservation potential from the 2016 IRP </w:t>
      </w:r>
      <w:r>
        <w:t xml:space="preserve">in the following section </w:t>
      </w:r>
      <w:r w:rsidR="00327D9E">
        <w:t xml:space="preserve">(in review status at the time of writing of this Conservation Plan). </w:t>
      </w:r>
      <w:r>
        <w:t>The Company</w:t>
      </w:r>
      <w:r w:rsidRPr="00804108">
        <w:t xml:space="preserve"> </w:t>
      </w:r>
      <w:r w:rsidR="00E90F67" w:rsidRPr="00804108">
        <w:t>ha</w:t>
      </w:r>
      <w:r>
        <w:t>s</w:t>
      </w:r>
      <w:r w:rsidR="00E90F67" w:rsidRPr="00804108">
        <w:t xml:space="preserve"> included the </w:t>
      </w:r>
      <w:r w:rsidR="00327D9E">
        <w:t xml:space="preserve">most up to </w:t>
      </w:r>
      <w:r w:rsidR="000C3E00">
        <w:t xml:space="preserve">date </w:t>
      </w:r>
      <w:r w:rsidR="000C3E00" w:rsidRPr="00804108">
        <w:t>Achievable</w:t>
      </w:r>
      <w:r w:rsidR="00E90F67" w:rsidRPr="00804108">
        <w:t xml:space="preserve"> goals as per the </w:t>
      </w:r>
      <w:r w:rsidR="00496A8A" w:rsidRPr="00496A8A">
        <w:t>TEA-Pot</w:t>
      </w:r>
      <w:r w:rsidR="00E90F67" w:rsidRPr="00881D8B">
        <w:t xml:space="preserve"> mo</w:t>
      </w:r>
      <w:r w:rsidR="00E90F67" w:rsidRPr="00086E03">
        <w:t xml:space="preserve">del </w:t>
      </w:r>
      <w:r w:rsidR="00E90F67" w:rsidRPr="00AC330F">
        <w:rPr>
          <w:i/>
        </w:rPr>
        <w:t>inclusive</w:t>
      </w:r>
      <w:r w:rsidR="00E90F67" w:rsidRPr="003913CE">
        <w:t xml:space="preserve"> of administrative costs as aspirational goal</w:t>
      </w:r>
      <w:r>
        <w:t>s</w:t>
      </w:r>
      <w:r w:rsidR="00E90F67" w:rsidRPr="003913CE">
        <w:t xml:space="preserve"> for 201</w:t>
      </w:r>
      <w:r w:rsidR="00327D9E">
        <w:t>7</w:t>
      </w:r>
      <w:r w:rsidR="00E90F67" w:rsidRPr="003913CE">
        <w:t xml:space="preserve"> and 201</w:t>
      </w:r>
      <w:r w:rsidR="00327D9E">
        <w:t>8</w:t>
      </w:r>
      <w:r w:rsidR="00E90F67" w:rsidRPr="003913CE">
        <w:t xml:space="preserve">. These goals have been developed keeping in mind the alterations </w:t>
      </w:r>
      <w:r>
        <w:t>the Cascade</w:t>
      </w:r>
      <w:r w:rsidRPr="003913CE">
        <w:t xml:space="preserve"> </w:t>
      </w:r>
      <w:r w:rsidR="00E90F67" w:rsidRPr="003913CE">
        <w:t xml:space="preserve">program </w:t>
      </w:r>
      <w:r w:rsidR="00327D9E">
        <w:t xml:space="preserve">is currently </w:t>
      </w:r>
      <w:r w:rsidR="001B3A8F">
        <w:t>implementing</w:t>
      </w:r>
      <w:r w:rsidR="00327D9E">
        <w:t xml:space="preserve">. </w:t>
      </w:r>
      <w:r w:rsidR="00E90F67" w:rsidRPr="003913CE">
        <w:t xml:space="preserve"> </w:t>
      </w:r>
      <w:r w:rsidR="004A0D19" w:rsidRPr="00ED616A">
        <w:t xml:space="preserve"> </w:t>
      </w:r>
    </w:p>
    <w:p w14:paraId="49839C10" w14:textId="77777777" w:rsidR="005C3825" w:rsidRPr="00351143" w:rsidRDefault="005C3825" w:rsidP="00AE3903">
      <w:pPr>
        <w:spacing w:after="0"/>
        <w:ind w:right="83"/>
        <w:jc w:val="both"/>
      </w:pPr>
    </w:p>
    <w:p w14:paraId="5906F730" w14:textId="29FEDF8D" w:rsidR="005C3825" w:rsidRPr="00E147C5" w:rsidRDefault="00327D9E" w:rsidP="00415235">
      <w:pPr>
        <w:spacing w:after="0"/>
        <w:ind w:right="83"/>
        <w:jc w:val="both"/>
      </w:pPr>
      <w:r>
        <w:t>As mentioned</w:t>
      </w:r>
      <w:r w:rsidR="000F2EE9">
        <w:t>,</w:t>
      </w:r>
      <w:r>
        <w:t xml:space="preserve"> h</w:t>
      </w:r>
      <w:r w:rsidR="005C3825" w:rsidRPr="004B54B4">
        <w:t xml:space="preserve">istorically the Company </w:t>
      </w:r>
      <w:r>
        <w:t>tracked</w:t>
      </w:r>
      <w:r w:rsidRPr="004B54B4">
        <w:t xml:space="preserve"> </w:t>
      </w:r>
      <w:r w:rsidR="005C3825" w:rsidRPr="004B54B4">
        <w:t xml:space="preserve">rebate submissions to the date the measure or upgrade </w:t>
      </w:r>
      <w:r>
        <w:t>was</w:t>
      </w:r>
      <w:r w:rsidRPr="00804108">
        <w:t xml:space="preserve"> </w:t>
      </w:r>
      <w:r w:rsidR="005C3825" w:rsidRPr="00804108">
        <w:t>installed at the premise. C</w:t>
      </w:r>
      <w:r>
        <w:t>AG</w:t>
      </w:r>
      <w:r w:rsidR="005C3825" w:rsidRPr="00E147C5">
        <w:t xml:space="preserve"> members requested the Company </w:t>
      </w:r>
      <w:r w:rsidR="00CA43B6" w:rsidRPr="00E147C5">
        <w:t>track</w:t>
      </w:r>
      <w:r w:rsidR="005C3825" w:rsidRPr="00E147C5">
        <w:t xml:space="preserve"> via the date a rebate </w:t>
      </w:r>
      <w:r>
        <w:t>was</w:t>
      </w:r>
      <w:r w:rsidRPr="00E147C5">
        <w:t xml:space="preserve"> </w:t>
      </w:r>
      <w:r w:rsidR="005C3825" w:rsidRPr="00E147C5">
        <w:t>paid rather than the install date</w:t>
      </w:r>
      <w:r w:rsidR="001F7029" w:rsidRPr="00E147C5">
        <w:t xml:space="preserve"> method </w:t>
      </w:r>
      <w:r w:rsidR="005C3825" w:rsidRPr="00E147C5">
        <w:t xml:space="preserve">to reduce lag-time in reporting </w:t>
      </w:r>
      <w:r w:rsidR="00C20297" w:rsidRPr="00E147C5">
        <w:t xml:space="preserve">savings. The Company agreed to transition </w:t>
      </w:r>
      <w:r>
        <w:t>its</w:t>
      </w:r>
      <w:r w:rsidRPr="00E147C5">
        <w:t xml:space="preserve"> </w:t>
      </w:r>
      <w:r w:rsidR="00C20297" w:rsidRPr="00E147C5">
        <w:t>program reporting which should make annual reporting more straightforward</w:t>
      </w:r>
      <w:r>
        <w:t xml:space="preserve"> for the 2016 program’s Conservation Achievements Annual Report</w:t>
      </w:r>
      <w:r w:rsidR="00C20297" w:rsidRPr="00E147C5">
        <w:t xml:space="preserve">.  </w:t>
      </w:r>
    </w:p>
    <w:p w14:paraId="7B45E36C" w14:textId="77777777" w:rsidR="00C20297" w:rsidRPr="00E147C5" w:rsidRDefault="00C20297" w:rsidP="00345614">
      <w:pPr>
        <w:spacing w:after="0"/>
        <w:ind w:right="83"/>
        <w:jc w:val="both"/>
      </w:pPr>
    </w:p>
    <w:p w14:paraId="43329128" w14:textId="26F4D8D5" w:rsidR="00E90F67" w:rsidRPr="00E147C5" w:rsidRDefault="000F2EE9" w:rsidP="008663BB">
      <w:pPr>
        <w:spacing w:after="0"/>
        <w:ind w:right="83"/>
        <w:jc w:val="both"/>
      </w:pPr>
      <w:r>
        <w:t>In the next two years t</w:t>
      </w:r>
      <w:r w:rsidR="00702383" w:rsidRPr="00E147C5">
        <w:t xml:space="preserve">he Company </w:t>
      </w:r>
      <w:r w:rsidR="00CA43B6" w:rsidRPr="00E147C5">
        <w:t>will</w:t>
      </w:r>
      <w:r w:rsidR="00CA43B6">
        <w:t xml:space="preserve"> continue to </w:t>
      </w:r>
      <w:r w:rsidR="00814642" w:rsidRPr="00E147C5">
        <w:t>explore the cost-effectiveness of some of th</w:t>
      </w:r>
      <w:r w:rsidR="00CA43B6">
        <w:t>ose</w:t>
      </w:r>
      <w:r w:rsidR="00814642" w:rsidRPr="00E147C5">
        <w:t xml:space="preserve"> measures included in the full Nexant review </w:t>
      </w:r>
      <w:r>
        <w:t xml:space="preserve">and </w:t>
      </w:r>
      <w:r w:rsidR="00814642" w:rsidRPr="00E147C5">
        <w:t xml:space="preserve">not currently offered in </w:t>
      </w:r>
      <w:r w:rsidR="00CA43B6">
        <w:t>its</w:t>
      </w:r>
      <w:r w:rsidR="00CA43B6" w:rsidRPr="00E147C5">
        <w:t xml:space="preserve"> </w:t>
      </w:r>
      <w:r w:rsidR="00814642" w:rsidRPr="00E147C5">
        <w:t>portfolio</w:t>
      </w:r>
      <w:r w:rsidR="00CA43B6">
        <w:t xml:space="preserve"> based on availability to the marketplace, administrative costs in implementing and a variety of other elements.</w:t>
      </w:r>
      <w:r w:rsidR="00E90F67" w:rsidRPr="00E147C5">
        <w:t xml:space="preserve"> </w:t>
      </w:r>
    </w:p>
    <w:p w14:paraId="05F78D2B" w14:textId="77777777" w:rsidR="00394BD3" w:rsidRPr="00E147C5" w:rsidRDefault="00394BD3" w:rsidP="008663BB">
      <w:pPr>
        <w:spacing w:after="0"/>
        <w:ind w:right="83"/>
        <w:jc w:val="both"/>
      </w:pPr>
    </w:p>
    <w:p w14:paraId="04EF51BD" w14:textId="75BF8218" w:rsidR="00CA43B6" w:rsidRDefault="00394BD3">
      <w:pPr>
        <w:spacing w:after="0"/>
        <w:ind w:right="83"/>
        <w:jc w:val="both"/>
      </w:pPr>
      <w:r w:rsidRPr="00E147C5">
        <w:t xml:space="preserve">Note in </w:t>
      </w:r>
      <w:r w:rsidR="009462D2" w:rsidRPr="00E147C5">
        <w:t>the 201</w:t>
      </w:r>
      <w:r w:rsidR="00CA43B6">
        <w:t>6</w:t>
      </w:r>
      <w:r w:rsidR="009462D2" w:rsidRPr="00E147C5">
        <w:t xml:space="preserve"> </w:t>
      </w:r>
      <w:r w:rsidRPr="00E147C5">
        <w:t>IRP</w:t>
      </w:r>
      <w:r w:rsidR="009462D2" w:rsidRPr="00E147C5">
        <w:t>,</w:t>
      </w:r>
      <w:r w:rsidRPr="00E147C5">
        <w:t xml:space="preserve"> the Company </w:t>
      </w:r>
      <w:r w:rsidR="00CA43B6">
        <w:t>included</w:t>
      </w:r>
      <w:r w:rsidR="00CA43B6" w:rsidRPr="00E147C5">
        <w:t xml:space="preserve"> </w:t>
      </w:r>
      <w:r w:rsidR="00CA43B6">
        <w:t>the full breadth of measures from Nexant’s model f</w:t>
      </w:r>
      <w:r w:rsidRPr="00E147C5">
        <w:t xml:space="preserve">or </w:t>
      </w:r>
      <w:r w:rsidR="0007390D" w:rsidRPr="00E147C5">
        <w:t>CY</w:t>
      </w:r>
      <w:r w:rsidR="00CA43B6">
        <w:t xml:space="preserve"> </w:t>
      </w:r>
      <w:r w:rsidRPr="00E147C5">
        <w:t>201</w:t>
      </w:r>
      <w:r w:rsidR="00CA43B6">
        <w:t>7</w:t>
      </w:r>
      <w:r w:rsidRPr="00E147C5">
        <w:t xml:space="preserve"> &amp; </w:t>
      </w:r>
      <w:r w:rsidR="0007390D" w:rsidRPr="00E147C5">
        <w:t>CY</w:t>
      </w:r>
      <w:r w:rsidR="00CA43B6">
        <w:t xml:space="preserve"> </w:t>
      </w:r>
      <w:r w:rsidRPr="00E147C5">
        <w:t>201</w:t>
      </w:r>
      <w:r w:rsidR="00CA43B6">
        <w:t xml:space="preserve">8.  For 2017, based on the most recent TEA-Pot model and current program offerings, the on-the-ground realistic goal would be closer to </w:t>
      </w:r>
      <w:r w:rsidR="005632CE">
        <w:t>156,459 therms for Residential, with a total of 687,457</w:t>
      </w:r>
      <w:r w:rsidR="000F2EE9">
        <w:t xml:space="preserve"> including </w:t>
      </w:r>
      <w:r w:rsidR="00A1004D">
        <w:t>C</w:t>
      </w:r>
      <w:r w:rsidR="000F2EE9">
        <w:t>ommercial</w:t>
      </w:r>
      <w:r w:rsidR="005814B2">
        <w:t>. H</w:t>
      </w:r>
      <w:r w:rsidR="00CA43B6">
        <w:t xml:space="preserve">owever if the </w:t>
      </w:r>
      <w:r w:rsidR="004F4C3D">
        <w:t xml:space="preserve">Residential </w:t>
      </w:r>
      <w:r w:rsidR="00CA43B6">
        <w:t xml:space="preserve">program offerings in 2017 were altered significantly to include all possible measures in the </w:t>
      </w:r>
      <w:r w:rsidR="004F4C3D">
        <w:t xml:space="preserve">Residential </w:t>
      </w:r>
      <w:r w:rsidR="00CA43B6">
        <w:t xml:space="preserve">portfolio (the </w:t>
      </w:r>
      <w:r w:rsidR="004F4C3D">
        <w:t xml:space="preserve">Commercial </w:t>
      </w:r>
      <w:r w:rsidR="00CA43B6">
        <w:t xml:space="preserve">program is slightly different as all measures are encompassed under the custom option category) the goal would be that which is included as the “official” goals noted in this Plan.  </w:t>
      </w:r>
    </w:p>
    <w:p w14:paraId="6C1F6C17" w14:textId="77777777" w:rsidR="00CA43B6" w:rsidRDefault="00CA43B6">
      <w:pPr>
        <w:spacing w:after="0"/>
        <w:ind w:right="83"/>
        <w:jc w:val="both"/>
      </w:pPr>
    </w:p>
    <w:p w14:paraId="0AC8E8A3" w14:textId="4EEED864" w:rsidR="00880CCE" w:rsidRDefault="00CA43B6">
      <w:pPr>
        <w:spacing w:after="0"/>
        <w:ind w:right="83"/>
        <w:jc w:val="both"/>
      </w:pPr>
      <w:r>
        <w:t>T</w:t>
      </w:r>
      <w:r w:rsidR="00394BD3" w:rsidRPr="00E147C5">
        <w:t xml:space="preserve">he </w:t>
      </w:r>
      <w:r>
        <w:t xml:space="preserve">Company is aware </w:t>
      </w:r>
      <w:r w:rsidR="00392004">
        <w:t xml:space="preserve">it </w:t>
      </w:r>
      <w:r w:rsidR="00137A79">
        <w:t xml:space="preserve">is </w:t>
      </w:r>
      <w:r>
        <w:t xml:space="preserve">important to </w:t>
      </w:r>
      <w:r w:rsidR="00F30269">
        <w:t xml:space="preserve">demonstrate the level of savings that </w:t>
      </w:r>
      <w:r>
        <w:t xml:space="preserve">could be achieved should the </w:t>
      </w:r>
      <w:r w:rsidR="00394BD3" w:rsidRPr="00E147C5">
        <w:t xml:space="preserve">full breadth of offerings </w:t>
      </w:r>
      <w:r>
        <w:t xml:space="preserve">be included in the program portfolio throughout the 10 year plan horizon.  It is also important to recognize </w:t>
      </w:r>
      <w:r w:rsidR="00394BD3" w:rsidRPr="00E147C5">
        <w:t>the portfolio w</w:t>
      </w:r>
      <w:r>
        <w:t xml:space="preserve">ill </w:t>
      </w:r>
      <w:r w:rsidR="00394BD3" w:rsidRPr="00E147C5">
        <w:t xml:space="preserve">likely change </w:t>
      </w:r>
      <w:r>
        <w:t xml:space="preserve">throughout the next two years to accommodate </w:t>
      </w:r>
      <w:r w:rsidR="0007390D" w:rsidRPr="00E147C5">
        <w:t>building</w:t>
      </w:r>
      <w:r w:rsidR="006C6DB9">
        <w:t xml:space="preserve"> codes and technology updates.</w:t>
      </w:r>
    </w:p>
    <w:p w14:paraId="518C8BD7" w14:textId="77777777" w:rsidR="000F2EE9" w:rsidRDefault="000F2EE9">
      <w:pPr>
        <w:spacing w:after="0"/>
        <w:ind w:right="83"/>
        <w:jc w:val="both"/>
      </w:pPr>
    </w:p>
    <w:p w14:paraId="42194964" w14:textId="311B760A" w:rsidR="000F2EE9" w:rsidRPr="00ED616A" w:rsidRDefault="000F2EE9">
      <w:pPr>
        <w:spacing w:after="0"/>
        <w:ind w:right="83"/>
        <w:jc w:val="both"/>
      </w:pPr>
      <w:r>
        <w:t xml:space="preserve">The following graph shows the next </w:t>
      </w:r>
      <w:r w:rsidR="001B3A8F">
        <w:t>ten</w:t>
      </w:r>
      <w:r>
        <w:t xml:space="preserve"> years</w:t>
      </w:r>
      <w:r w:rsidR="00CA2120">
        <w:t>’</w:t>
      </w:r>
      <w:r>
        <w:t xml:space="preserve"> worth of savings potential in Cascade’s territory based on customer type under all three potential levels. </w:t>
      </w:r>
    </w:p>
    <w:p w14:paraId="1E44AF34" w14:textId="70C13C81" w:rsidR="00F42BA7" w:rsidRDefault="00F42BA7">
      <w:pPr>
        <w:widowControl/>
        <w:spacing w:after="0" w:line="240" w:lineRule="auto"/>
        <w:rPr>
          <w:b/>
        </w:rPr>
      </w:pPr>
      <w:r>
        <w:rPr>
          <w:b/>
        </w:rPr>
        <w:br w:type="page"/>
      </w:r>
    </w:p>
    <w:p w14:paraId="4C022825" w14:textId="3BF04FF7" w:rsidR="00880CCE" w:rsidRPr="00D624CF" w:rsidRDefault="00880CCE" w:rsidP="00E74785">
      <w:pPr>
        <w:spacing w:after="0"/>
        <w:ind w:right="83"/>
        <w:jc w:val="center"/>
        <w:rPr>
          <w:b/>
          <w:sz w:val="18"/>
        </w:rPr>
      </w:pPr>
      <w:r w:rsidRPr="00D624CF">
        <w:rPr>
          <w:b/>
          <w:sz w:val="18"/>
        </w:rPr>
        <w:t xml:space="preserve">Figure </w:t>
      </w:r>
      <w:r w:rsidR="00D624CF" w:rsidRPr="00D624CF">
        <w:rPr>
          <w:b/>
          <w:sz w:val="18"/>
        </w:rPr>
        <w:t>8</w:t>
      </w:r>
    </w:p>
    <w:p w14:paraId="09CAED82" w14:textId="741654F3" w:rsidR="00880CCE" w:rsidRPr="00881D8B" w:rsidRDefault="004A4963" w:rsidP="00137C7D">
      <w:pPr>
        <w:spacing w:after="0"/>
        <w:ind w:right="83"/>
        <w:jc w:val="center"/>
        <w:rPr>
          <w:b/>
        </w:rPr>
      </w:pPr>
      <w:r>
        <w:rPr>
          <w:b/>
          <w:noProof/>
        </w:rPr>
        <w:drawing>
          <wp:inline distT="0" distB="0" distL="0" distR="0" wp14:anchorId="5E1D90A8" wp14:editId="1474C0D9">
            <wp:extent cx="4907280" cy="3446410"/>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13440" cy="3450736"/>
                    </a:xfrm>
                    <a:prstGeom prst="rect">
                      <a:avLst/>
                    </a:prstGeom>
                    <a:noFill/>
                  </pic:spPr>
                </pic:pic>
              </a:graphicData>
            </a:graphic>
          </wp:inline>
        </w:drawing>
      </w:r>
    </w:p>
    <w:p w14:paraId="1FEAC1DF" w14:textId="31D2F4C6" w:rsidR="004A69A5" w:rsidRDefault="004A69A5">
      <w:pPr>
        <w:widowControl/>
        <w:spacing w:after="0" w:line="240" w:lineRule="auto"/>
        <w:rPr>
          <w:b/>
        </w:rPr>
      </w:pPr>
    </w:p>
    <w:p w14:paraId="53732EDA" w14:textId="30726DA9" w:rsidR="00F3325E" w:rsidRPr="00F657A9" w:rsidRDefault="00F3325E" w:rsidP="00F3325E">
      <w:pPr>
        <w:spacing w:after="0"/>
        <w:ind w:right="83"/>
        <w:jc w:val="center"/>
        <w:rPr>
          <w:b/>
          <w:sz w:val="18"/>
        </w:rPr>
      </w:pPr>
      <w:r w:rsidRPr="00F657A9">
        <w:rPr>
          <w:b/>
          <w:sz w:val="18"/>
        </w:rPr>
        <w:t xml:space="preserve">Figure </w:t>
      </w:r>
      <w:r w:rsidR="00D624CF" w:rsidRPr="00F657A9">
        <w:rPr>
          <w:b/>
          <w:sz w:val="18"/>
        </w:rPr>
        <w:t>9</w:t>
      </w:r>
    </w:p>
    <w:p w14:paraId="04D93F89" w14:textId="4214C8D6" w:rsidR="00F3325E" w:rsidRPr="00881D8B" w:rsidRDefault="004A4963" w:rsidP="00F3325E">
      <w:pPr>
        <w:spacing w:after="0"/>
        <w:ind w:right="83"/>
        <w:jc w:val="center"/>
      </w:pPr>
      <w:r>
        <w:rPr>
          <w:noProof/>
        </w:rPr>
        <w:drawing>
          <wp:inline distT="0" distB="0" distL="0" distR="0" wp14:anchorId="3269A198" wp14:editId="56171B6D">
            <wp:extent cx="4518213" cy="2581838"/>
            <wp:effectExtent l="0" t="0" r="1587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D67122F" w14:textId="77777777" w:rsidR="00F3325E" w:rsidRDefault="00F3325E" w:rsidP="0068556F">
      <w:pPr>
        <w:spacing w:after="0"/>
        <w:ind w:right="83"/>
        <w:jc w:val="both"/>
        <w:rPr>
          <w:b/>
          <w:u w:val="single"/>
        </w:rPr>
      </w:pPr>
    </w:p>
    <w:p w14:paraId="3E3163BF" w14:textId="77777777" w:rsidR="009D4CEF" w:rsidRPr="00881D8B" w:rsidRDefault="009D4CEF" w:rsidP="0068556F">
      <w:pPr>
        <w:spacing w:after="0"/>
        <w:ind w:right="83"/>
        <w:jc w:val="both"/>
        <w:rPr>
          <w:b/>
          <w:u w:val="single"/>
        </w:rPr>
      </w:pPr>
    </w:p>
    <w:p w14:paraId="2F69645A" w14:textId="384F76AA" w:rsidR="007D4FF2" w:rsidRDefault="00525FE4" w:rsidP="004E6B25">
      <w:pPr>
        <w:spacing w:after="0"/>
        <w:ind w:right="83"/>
        <w:jc w:val="both"/>
      </w:pPr>
      <w:r w:rsidRPr="00086E03">
        <w:t xml:space="preserve">These projected achievements are based on the Company’s current best estimates of its </w:t>
      </w:r>
      <w:r w:rsidR="00504E71">
        <w:t>A</w:t>
      </w:r>
      <w:r w:rsidR="00504E71" w:rsidRPr="00086E03">
        <w:t xml:space="preserve">chievable </w:t>
      </w:r>
      <w:r w:rsidRPr="00086E03">
        <w:t>p</w:t>
      </w:r>
      <w:r w:rsidRPr="00AC330F">
        <w:t>otential, which are based on projected gas costs and the Nexant Potential study of viable natural gas measures</w:t>
      </w:r>
      <w:r w:rsidR="00504E71">
        <w:t>. Projections</w:t>
      </w:r>
      <w:r w:rsidRPr="00AC330F">
        <w:t xml:space="preserve"> are subject to modification dependent upon updated forecasts</w:t>
      </w:r>
      <w:r w:rsidR="008B058B">
        <w:t>;</w:t>
      </w:r>
      <w:r w:rsidR="008B058B" w:rsidRPr="00AC330F">
        <w:t xml:space="preserve"> </w:t>
      </w:r>
      <w:r w:rsidRPr="00AC330F">
        <w:t>knowledge of evolving efficiency technologies</w:t>
      </w:r>
      <w:r w:rsidR="008B058B">
        <w:t>;</w:t>
      </w:r>
      <w:r w:rsidR="008B058B" w:rsidRPr="00AC330F">
        <w:t xml:space="preserve"> </w:t>
      </w:r>
      <w:r w:rsidRPr="00AC330F">
        <w:t>customer interest and program pa</w:t>
      </w:r>
      <w:r w:rsidRPr="003913CE">
        <w:t>rticipation levels</w:t>
      </w:r>
      <w:r w:rsidR="008B058B">
        <w:t>;</w:t>
      </w:r>
      <w:r w:rsidRPr="003913CE">
        <w:t xml:space="preserve"> and updates based on external influences. Budgets for FY 201</w:t>
      </w:r>
      <w:r w:rsidR="009F4EB5">
        <w:t>7</w:t>
      </w:r>
      <w:r w:rsidRPr="00ED616A">
        <w:t xml:space="preserve"> and 201</w:t>
      </w:r>
      <w:r w:rsidR="009F4EB5">
        <w:t>8</w:t>
      </w:r>
      <w:r w:rsidRPr="00920B4B">
        <w:t xml:space="preserve"> </w:t>
      </w:r>
      <w:r w:rsidR="009F4EB5">
        <w:t>are</w:t>
      </w:r>
      <w:r w:rsidRPr="00920B4B">
        <w:t xml:space="preserve"> based commensurately with these targets and adjusted to ensure maintenance of cost-effectiveness and appropriate levelized costs. The Company anticipates the </w:t>
      </w:r>
      <w:r w:rsidRPr="00351143">
        <w:t>budget</w:t>
      </w:r>
      <w:r w:rsidR="00BB0294" w:rsidRPr="004B54B4">
        <w:t xml:space="preserve"> on a portfolio level</w:t>
      </w:r>
      <w:r w:rsidRPr="00151187">
        <w:t xml:space="preserve"> for </w:t>
      </w:r>
      <w:r w:rsidR="00BB0294" w:rsidRPr="00804108">
        <w:t>201</w:t>
      </w:r>
      <w:r w:rsidR="009F4EB5">
        <w:t>7</w:t>
      </w:r>
      <w:r w:rsidR="00BB0294" w:rsidRPr="00804108">
        <w:t xml:space="preserve"> to </w:t>
      </w:r>
      <w:r w:rsidRPr="00E147C5">
        <w:t xml:space="preserve">be in the range of </w:t>
      </w:r>
      <w:r w:rsidRPr="00E147C5">
        <w:rPr>
          <w:b/>
        </w:rPr>
        <w:t>$</w:t>
      </w:r>
      <w:r w:rsidR="00BB0294" w:rsidRPr="00E147C5">
        <w:rPr>
          <w:b/>
        </w:rPr>
        <w:t>1.</w:t>
      </w:r>
      <w:r w:rsidR="00941623">
        <w:rPr>
          <w:b/>
        </w:rPr>
        <w:t>55</w:t>
      </w:r>
      <w:r w:rsidR="00BB0294" w:rsidRPr="00E147C5">
        <w:rPr>
          <w:b/>
        </w:rPr>
        <w:t xml:space="preserve"> mil</w:t>
      </w:r>
      <w:r w:rsidR="00932445" w:rsidRPr="00E147C5">
        <w:rPr>
          <w:b/>
        </w:rPr>
        <w:t>lion</w:t>
      </w:r>
      <w:r w:rsidRPr="00E147C5">
        <w:t xml:space="preserve"> in administrative costs</w:t>
      </w:r>
      <w:r w:rsidR="00BB0294" w:rsidRPr="00E147C5">
        <w:t xml:space="preserve"> to support the increased goals for the residential program</w:t>
      </w:r>
      <w:r w:rsidRPr="00E147C5">
        <w:t xml:space="preserve">. </w:t>
      </w:r>
      <w:r w:rsidR="00BB0294" w:rsidRPr="00E147C5">
        <w:t>FY 201</w:t>
      </w:r>
      <w:r w:rsidR="009F4EB5">
        <w:t>8</w:t>
      </w:r>
      <w:r w:rsidR="00BB0294" w:rsidRPr="00E147C5">
        <w:t xml:space="preserve"> is estimated to have a budget up to $</w:t>
      </w:r>
      <w:r w:rsidR="00BB0294" w:rsidRPr="00E147C5">
        <w:rPr>
          <w:b/>
        </w:rPr>
        <w:t>1.</w:t>
      </w:r>
      <w:r w:rsidR="00941623">
        <w:rPr>
          <w:b/>
        </w:rPr>
        <w:t>6</w:t>
      </w:r>
      <w:r w:rsidR="00BB0294" w:rsidRPr="00E147C5">
        <w:rPr>
          <w:b/>
        </w:rPr>
        <w:t xml:space="preserve"> mil</w:t>
      </w:r>
      <w:r w:rsidR="00941623">
        <w:rPr>
          <w:b/>
        </w:rPr>
        <w:t>lion</w:t>
      </w:r>
      <w:r w:rsidR="00BB0294" w:rsidRPr="00E147C5">
        <w:t xml:space="preserve">. </w:t>
      </w:r>
      <w:r w:rsidR="009F4EB5">
        <w:t xml:space="preserve">The 2017 budget is in line with that which was released in the 2016 Conservation Plan. </w:t>
      </w:r>
      <w:r w:rsidR="00BB0294" w:rsidRPr="00E147C5">
        <w:t>A</w:t>
      </w:r>
      <w:r w:rsidRPr="00E147C5">
        <w:t>dministrative costs for FY</w:t>
      </w:r>
      <w:r w:rsidR="00021C03" w:rsidRPr="00E147C5">
        <w:t xml:space="preserve"> </w:t>
      </w:r>
      <w:r w:rsidRPr="00E147C5">
        <w:t>201</w:t>
      </w:r>
      <w:r w:rsidR="009F4EB5">
        <w:t>7</w:t>
      </w:r>
      <w:r w:rsidRPr="00E147C5">
        <w:t xml:space="preserve"> </w:t>
      </w:r>
      <w:r w:rsidR="00BB0294" w:rsidRPr="00E147C5">
        <w:t>are</w:t>
      </w:r>
      <w:r w:rsidRPr="00E147C5">
        <w:t xml:space="preserve"> higher than those in </w:t>
      </w:r>
      <w:r w:rsidR="009F4EB5">
        <w:t>previous years</w:t>
      </w:r>
      <w:r w:rsidR="00BB0294" w:rsidRPr="00E147C5">
        <w:t xml:space="preserve"> </w:t>
      </w:r>
      <w:r w:rsidRPr="00E147C5">
        <w:t xml:space="preserve">due to the </w:t>
      </w:r>
      <w:r w:rsidR="00BB0294" w:rsidRPr="00E147C5">
        <w:t xml:space="preserve">transition of the </w:t>
      </w:r>
      <w:r w:rsidRPr="00E147C5">
        <w:t xml:space="preserve">Residential program </w:t>
      </w:r>
      <w:r w:rsidR="00BB0294" w:rsidRPr="00E147C5">
        <w:t>processing to internal delivery, as well as the initial implementation fee for the new software platform</w:t>
      </w:r>
      <w:r w:rsidR="003C6554">
        <w:t xml:space="preserve"> (costs for this one-time software implementation will be accounted for separately in the annual report</w:t>
      </w:r>
      <w:r w:rsidR="007D4FF2">
        <w:t xml:space="preserve"> outside of the standard cost benefit analysis</w:t>
      </w:r>
      <w:r w:rsidR="003C6554">
        <w:t>)</w:t>
      </w:r>
      <w:r w:rsidRPr="00E147C5">
        <w:t xml:space="preserve">. </w:t>
      </w:r>
    </w:p>
    <w:p w14:paraId="7FCB09CB" w14:textId="77777777" w:rsidR="007D4FF2" w:rsidRDefault="007D4FF2" w:rsidP="004E6B25">
      <w:pPr>
        <w:spacing w:after="0"/>
        <w:ind w:right="83"/>
        <w:jc w:val="both"/>
      </w:pPr>
    </w:p>
    <w:p w14:paraId="75897191" w14:textId="0FB0511D" w:rsidR="007D4FF2" w:rsidRDefault="009F4EB5" w:rsidP="004E6B25">
      <w:pPr>
        <w:spacing w:after="0"/>
        <w:ind w:right="83"/>
        <w:jc w:val="both"/>
      </w:pPr>
      <w:r>
        <w:t xml:space="preserve">Note some of the set-up and development costs for the software package will be paid in 2017 as opposed to 2016 due to a lag in invoicing from delays in meeting delivery timelines. </w:t>
      </w:r>
      <w:r w:rsidR="00525FE4" w:rsidRPr="00E147C5">
        <w:t xml:space="preserve">The Company also includes expected participation level costs for the </w:t>
      </w:r>
      <w:r w:rsidR="003C6554">
        <w:t>five</w:t>
      </w:r>
      <w:r w:rsidR="00525FE4" w:rsidRPr="00E147C5">
        <w:t xml:space="preserve"> year NEEA pilot (total </w:t>
      </w:r>
      <w:r w:rsidR="00525FE4" w:rsidRPr="00E147C5">
        <w:rPr>
          <w:b/>
        </w:rPr>
        <w:t>$1,70</w:t>
      </w:r>
      <w:r w:rsidR="008D41B2" w:rsidRPr="00E147C5">
        <w:rPr>
          <w:b/>
        </w:rPr>
        <w:t>5</w:t>
      </w:r>
      <w:r w:rsidR="00525FE4" w:rsidRPr="00E147C5">
        <w:rPr>
          <w:b/>
        </w:rPr>
        <w:t>,</w:t>
      </w:r>
      <w:r w:rsidR="008D41B2" w:rsidRPr="00E147C5">
        <w:rPr>
          <w:b/>
        </w:rPr>
        <w:t>130</w:t>
      </w:r>
      <w:r w:rsidR="00525FE4" w:rsidRPr="00E147C5">
        <w:t>) as agreed upon in January, 2015. The Company list</w:t>
      </w:r>
      <w:r w:rsidR="00BB0294" w:rsidRPr="00E147C5">
        <w:t>s</w:t>
      </w:r>
      <w:r w:rsidR="00525FE4" w:rsidRPr="00E147C5">
        <w:t xml:space="preserve"> these costs in the Annual Conservation Report and will </w:t>
      </w:r>
      <w:r w:rsidR="00BB0294" w:rsidRPr="00E147C5">
        <w:t xml:space="preserve">represent </w:t>
      </w:r>
      <w:r w:rsidR="00525FE4" w:rsidRPr="00E147C5">
        <w:t xml:space="preserve">the program’s cost-effectiveness primarily without the </w:t>
      </w:r>
      <w:r w:rsidR="00082EC1">
        <w:t xml:space="preserve">associated </w:t>
      </w:r>
      <w:r w:rsidR="00525FE4" w:rsidRPr="00E147C5">
        <w:t>NEEA pilot efforts</w:t>
      </w:r>
      <w:r w:rsidR="00082EC1">
        <w:t xml:space="preserve">, but also with the costs included in the analysis </w:t>
      </w:r>
      <w:r w:rsidR="00525FE4" w:rsidRPr="00E147C5">
        <w:t>to demonstrate its effect on cost-effectiveness</w:t>
      </w:r>
      <w:r w:rsidR="00082EC1">
        <w:t xml:space="preserve"> on the program as a whole</w:t>
      </w:r>
      <w:r w:rsidR="00525FE4" w:rsidRPr="00E147C5">
        <w:t xml:space="preserve">. </w:t>
      </w:r>
    </w:p>
    <w:p w14:paraId="14F110A3" w14:textId="77777777" w:rsidR="00D012EB" w:rsidRPr="00E147C5" w:rsidRDefault="00D012EB" w:rsidP="004E6B25">
      <w:pPr>
        <w:spacing w:after="0"/>
        <w:ind w:right="83"/>
        <w:jc w:val="both"/>
      </w:pPr>
    </w:p>
    <w:p w14:paraId="558E0543" w14:textId="77777777" w:rsidR="00525FE4" w:rsidRPr="007D4FF2" w:rsidRDefault="00525FE4" w:rsidP="007D4FF2">
      <w:pPr>
        <w:spacing w:after="0"/>
        <w:ind w:left="90" w:right="83"/>
        <w:jc w:val="center"/>
        <w:rPr>
          <w:b/>
          <w:sz w:val="18"/>
        </w:rPr>
      </w:pPr>
      <w:r w:rsidRPr="007D4FF2">
        <w:rPr>
          <w:b/>
          <w:sz w:val="18"/>
        </w:rPr>
        <w:t xml:space="preserve">Table </w:t>
      </w:r>
      <w:r w:rsidR="00F3325E" w:rsidRPr="007D4FF2">
        <w:rPr>
          <w:b/>
          <w:sz w:val="18"/>
        </w:rPr>
        <w:t>8</w:t>
      </w:r>
    </w:p>
    <w:p w14:paraId="7642B50C" w14:textId="78288B9C" w:rsidR="007D4FF2" w:rsidRPr="007D4FF2" w:rsidRDefault="007D4FF2" w:rsidP="007D4FF2">
      <w:pPr>
        <w:widowControl/>
        <w:spacing w:after="0"/>
        <w:jc w:val="center"/>
        <w:rPr>
          <w:b/>
          <w:sz w:val="18"/>
        </w:rPr>
      </w:pPr>
      <w:r w:rsidRPr="007D4FF2">
        <w:rPr>
          <w:b/>
          <w:sz w:val="18"/>
        </w:rPr>
        <w:t>Cascade Natural Gas NEEA Natural Gas Market Transformation Pilot Participation</w:t>
      </w:r>
    </w:p>
    <w:tbl>
      <w:tblPr>
        <w:tblStyle w:val="TableGrid"/>
        <w:tblW w:w="0" w:type="auto"/>
        <w:jc w:val="center"/>
        <w:tblLook w:val="04A0" w:firstRow="1" w:lastRow="0" w:firstColumn="1" w:lastColumn="0" w:noHBand="0" w:noVBand="1"/>
      </w:tblPr>
      <w:tblGrid>
        <w:gridCol w:w="869"/>
        <w:gridCol w:w="4294"/>
      </w:tblGrid>
      <w:tr w:rsidR="00525FE4" w:rsidRPr="00E147C5" w14:paraId="468543F7" w14:textId="77777777" w:rsidTr="00844F94">
        <w:trPr>
          <w:jc w:val="center"/>
        </w:trPr>
        <w:tc>
          <w:tcPr>
            <w:tcW w:w="869" w:type="dxa"/>
            <w:vAlign w:val="center"/>
          </w:tcPr>
          <w:p w14:paraId="446CBD6C" w14:textId="77777777" w:rsidR="00525FE4" w:rsidRPr="003913CE" w:rsidRDefault="00525FE4" w:rsidP="0068556F">
            <w:pPr>
              <w:pStyle w:val="ListParagraph"/>
              <w:spacing w:line="276" w:lineRule="auto"/>
              <w:ind w:left="0" w:right="83"/>
              <w:jc w:val="center"/>
              <w:rPr>
                <w:rFonts w:ascii="Arial" w:hAnsi="Arial" w:cs="Arial"/>
              </w:rPr>
            </w:pPr>
            <w:r w:rsidRPr="003913CE">
              <w:rPr>
                <w:rFonts w:ascii="Arial" w:hAnsi="Arial" w:cs="Arial"/>
              </w:rPr>
              <w:t>Year</w:t>
            </w:r>
          </w:p>
        </w:tc>
        <w:tc>
          <w:tcPr>
            <w:tcW w:w="4294" w:type="dxa"/>
            <w:vAlign w:val="center"/>
          </w:tcPr>
          <w:p w14:paraId="1AABA929" w14:textId="77777777" w:rsidR="00525FE4" w:rsidRPr="00ED616A" w:rsidRDefault="00525FE4" w:rsidP="0068556F">
            <w:pPr>
              <w:ind w:right="83"/>
              <w:jc w:val="center"/>
            </w:pPr>
            <w:r w:rsidRPr="00ED616A">
              <w:t>Cascade’s Washington Commitment at 9.3% of total budget for 5 year pilot</w:t>
            </w:r>
          </w:p>
        </w:tc>
      </w:tr>
      <w:tr w:rsidR="00525FE4" w:rsidRPr="00E147C5" w14:paraId="7A42384C" w14:textId="77777777" w:rsidTr="00844F94">
        <w:trPr>
          <w:jc w:val="center"/>
        </w:trPr>
        <w:tc>
          <w:tcPr>
            <w:tcW w:w="869" w:type="dxa"/>
            <w:vAlign w:val="center"/>
          </w:tcPr>
          <w:p w14:paraId="018D2BCF" w14:textId="77777777" w:rsidR="00525FE4" w:rsidRPr="00E147C5" w:rsidRDefault="00525FE4" w:rsidP="0068556F">
            <w:pPr>
              <w:pStyle w:val="ListParagraph"/>
              <w:spacing w:line="276" w:lineRule="auto"/>
              <w:ind w:left="0" w:right="83"/>
              <w:jc w:val="center"/>
              <w:rPr>
                <w:rFonts w:ascii="Arial" w:hAnsi="Arial" w:cs="Arial"/>
              </w:rPr>
            </w:pPr>
            <w:r w:rsidRPr="00E147C5">
              <w:rPr>
                <w:rFonts w:ascii="Arial" w:hAnsi="Arial" w:cs="Arial"/>
              </w:rPr>
              <w:t>2015</w:t>
            </w:r>
          </w:p>
        </w:tc>
        <w:tc>
          <w:tcPr>
            <w:tcW w:w="4294" w:type="dxa"/>
            <w:vAlign w:val="center"/>
          </w:tcPr>
          <w:p w14:paraId="1FD645D8" w14:textId="77777777" w:rsidR="00525FE4" w:rsidRPr="00E147C5" w:rsidRDefault="00525FE4" w:rsidP="0068556F">
            <w:pPr>
              <w:pStyle w:val="ListParagraph"/>
              <w:spacing w:line="276" w:lineRule="auto"/>
              <w:ind w:left="0" w:right="83"/>
              <w:jc w:val="center"/>
              <w:rPr>
                <w:rFonts w:ascii="Arial" w:hAnsi="Arial" w:cs="Arial"/>
              </w:rPr>
            </w:pPr>
            <w:r w:rsidRPr="00E147C5">
              <w:rPr>
                <w:rFonts w:ascii="Arial" w:hAnsi="Arial" w:cs="Arial"/>
              </w:rPr>
              <w:t>$145,</w:t>
            </w:r>
            <w:r w:rsidR="00BB0294" w:rsidRPr="00E147C5">
              <w:rPr>
                <w:rFonts w:ascii="Arial" w:hAnsi="Arial" w:cs="Arial"/>
              </w:rPr>
              <w:t>872</w:t>
            </w:r>
          </w:p>
        </w:tc>
      </w:tr>
      <w:tr w:rsidR="00525FE4" w:rsidRPr="00E147C5" w14:paraId="556D1223" w14:textId="77777777" w:rsidTr="006975F8">
        <w:trPr>
          <w:jc w:val="center"/>
        </w:trPr>
        <w:tc>
          <w:tcPr>
            <w:tcW w:w="869" w:type="dxa"/>
            <w:tcBorders>
              <w:bottom w:val="single" w:sz="4" w:space="0" w:color="auto"/>
            </w:tcBorders>
            <w:vAlign w:val="center"/>
          </w:tcPr>
          <w:p w14:paraId="5976B63A" w14:textId="77777777" w:rsidR="00525FE4" w:rsidRPr="00E147C5" w:rsidRDefault="00525FE4" w:rsidP="0068556F">
            <w:pPr>
              <w:pStyle w:val="ListParagraph"/>
              <w:spacing w:line="276" w:lineRule="auto"/>
              <w:ind w:left="0" w:right="83"/>
              <w:jc w:val="center"/>
              <w:rPr>
                <w:rFonts w:ascii="Arial" w:hAnsi="Arial" w:cs="Arial"/>
              </w:rPr>
            </w:pPr>
            <w:r w:rsidRPr="00E147C5">
              <w:rPr>
                <w:rFonts w:ascii="Arial" w:hAnsi="Arial" w:cs="Arial"/>
              </w:rPr>
              <w:t>2016</w:t>
            </w:r>
          </w:p>
        </w:tc>
        <w:tc>
          <w:tcPr>
            <w:tcW w:w="4294" w:type="dxa"/>
            <w:tcBorders>
              <w:bottom w:val="single" w:sz="4" w:space="0" w:color="auto"/>
            </w:tcBorders>
            <w:vAlign w:val="center"/>
          </w:tcPr>
          <w:p w14:paraId="3A39C5FB" w14:textId="77777777" w:rsidR="00525FE4" w:rsidRPr="00E147C5" w:rsidRDefault="00525FE4" w:rsidP="0068556F">
            <w:pPr>
              <w:pStyle w:val="ListParagraph"/>
              <w:spacing w:line="276" w:lineRule="auto"/>
              <w:ind w:left="0" w:right="83"/>
              <w:jc w:val="center"/>
              <w:rPr>
                <w:rFonts w:ascii="Arial" w:hAnsi="Arial" w:cs="Arial"/>
              </w:rPr>
            </w:pPr>
            <w:r w:rsidRPr="00E147C5">
              <w:rPr>
                <w:rFonts w:ascii="Arial" w:hAnsi="Arial" w:cs="Arial"/>
              </w:rPr>
              <w:t>$244,</w:t>
            </w:r>
            <w:r w:rsidR="00BB0294" w:rsidRPr="00E147C5">
              <w:rPr>
                <w:rFonts w:ascii="Arial" w:hAnsi="Arial" w:cs="Arial"/>
              </w:rPr>
              <w:t>996</w:t>
            </w:r>
          </w:p>
        </w:tc>
      </w:tr>
      <w:tr w:rsidR="00525FE4" w:rsidRPr="00E147C5" w14:paraId="51C35F17" w14:textId="77777777" w:rsidTr="006975F8">
        <w:trPr>
          <w:jc w:val="center"/>
        </w:trPr>
        <w:tc>
          <w:tcPr>
            <w:tcW w:w="869" w:type="dxa"/>
            <w:shd w:val="clear" w:color="auto" w:fill="C2D69B" w:themeFill="accent3" w:themeFillTint="99"/>
            <w:vAlign w:val="center"/>
          </w:tcPr>
          <w:p w14:paraId="545DAE64" w14:textId="77777777" w:rsidR="00525FE4" w:rsidRPr="00E147C5" w:rsidRDefault="00525FE4" w:rsidP="0068556F">
            <w:pPr>
              <w:pStyle w:val="ListParagraph"/>
              <w:spacing w:line="276" w:lineRule="auto"/>
              <w:ind w:left="0" w:right="83"/>
              <w:jc w:val="center"/>
              <w:rPr>
                <w:rFonts w:ascii="Arial" w:hAnsi="Arial" w:cs="Arial"/>
              </w:rPr>
            </w:pPr>
            <w:r w:rsidRPr="00E147C5">
              <w:rPr>
                <w:rFonts w:ascii="Arial" w:hAnsi="Arial" w:cs="Arial"/>
              </w:rPr>
              <w:t>2017</w:t>
            </w:r>
          </w:p>
        </w:tc>
        <w:tc>
          <w:tcPr>
            <w:tcW w:w="4294" w:type="dxa"/>
            <w:shd w:val="clear" w:color="auto" w:fill="C2D69B" w:themeFill="accent3" w:themeFillTint="99"/>
            <w:vAlign w:val="center"/>
          </w:tcPr>
          <w:p w14:paraId="28F81ED3" w14:textId="77777777" w:rsidR="00525FE4" w:rsidRPr="00E147C5" w:rsidRDefault="00525FE4" w:rsidP="0068556F">
            <w:pPr>
              <w:pStyle w:val="ListParagraph"/>
              <w:spacing w:line="276" w:lineRule="auto"/>
              <w:ind w:left="0" w:right="83"/>
              <w:jc w:val="center"/>
              <w:rPr>
                <w:rFonts w:ascii="Arial" w:hAnsi="Arial" w:cs="Arial"/>
              </w:rPr>
            </w:pPr>
            <w:r w:rsidRPr="00E147C5">
              <w:rPr>
                <w:rFonts w:ascii="Arial" w:hAnsi="Arial" w:cs="Arial"/>
              </w:rPr>
              <w:t>$313,</w:t>
            </w:r>
            <w:r w:rsidR="00BB0294" w:rsidRPr="00E147C5">
              <w:rPr>
                <w:rFonts w:ascii="Arial" w:hAnsi="Arial" w:cs="Arial"/>
              </w:rPr>
              <w:t>174</w:t>
            </w:r>
          </w:p>
        </w:tc>
      </w:tr>
      <w:tr w:rsidR="00525FE4" w:rsidRPr="00E147C5" w14:paraId="750D05AE" w14:textId="77777777" w:rsidTr="006975F8">
        <w:trPr>
          <w:jc w:val="center"/>
        </w:trPr>
        <w:tc>
          <w:tcPr>
            <w:tcW w:w="869" w:type="dxa"/>
            <w:shd w:val="clear" w:color="auto" w:fill="C2D69B" w:themeFill="accent3" w:themeFillTint="99"/>
            <w:vAlign w:val="center"/>
          </w:tcPr>
          <w:p w14:paraId="4F23D869" w14:textId="77777777" w:rsidR="00525FE4" w:rsidRPr="00E147C5" w:rsidRDefault="00525FE4" w:rsidP="0068556F">
            <w:pPr>
              <w:pStyle w:val="ListParagraph"/>
              <w:spacing w:line="276" w:lineRule="auto"/>
              <w:ind w:left="0" w:right="83"/>
              <w:jc w:val="center"/>
              <w:rPr>
                <w:rFonts w:ascii="Arial" w:hAnsi="Arial" w:cs="Arial"/>
              </w:rPr>
            </w:pPr>
            <w:r w:rsidRPr="00E147C5">
              <w:rPr>
                <w:rFonts w:ascii="Arial" w:hAnsi="Arial" w:cs="Arial"/>
              </w:rPr>
              <w:t>2018</w:t>
            </w:r>
          </w:p>
        </w:tc>
        <w:tc>
          <w:tcPr>
            <w:tcW w:w="4294" w:type="dxa"/>
            <w:shd w:val="clear" w:color="auto" w:fill="C2D69B" w:themeFill="accent3" w:themeFillTint="99"/>
            <w:vAlign w:val="center"/>
          </w:tcPr>
          <w:p w14:paraId="2D3212EE" w14:textId="77777777" w:rsidR="00525FE4" w:rsidRPr="00E147C5" w:rsidRDefault="00525FE4" w:rsidP="0068556F">
            <w:pPr>
              <w:pStyle w:val="ListParagraph"/>
              <w:spacing w:line="276" w:lineRule="auto"/>
              <w:ind w:left="0" w:right="83"/>
              <w:jc w:val="center"/>
              <w:rPr>
                <w:rFonts w:ascii="Arial" w:hAnsi="Arial" w:cs="Arial"/>
              </w:rPr>
            </w:pPr>
            <w:r w:rsidRPr="00E147C5">
              <w:rPr>
                <w:rFonts w:ascii="Arial" w:hAnsi="Arial" w:cs="Arial"/>
              </w:rPr>
              <w:t>$452,</w:t>
            </w:r>
            <w:r w:rsidR="00BB0294" w:rsidRPr="00E147C5">
              <w:rPr>
                <w:rFonts w:ascii="Arial" w:hAnsi="Arial" w:cs="Arial"/>
              </w:rPr>
              <w:t>285</w:t>
            </w:r>
          </w:p>
        </w:tc>
      </w:tr>
      <w:tr w:rsidR="00525FE4" w:rsidRPr="00E147C5" w14:paraId="3CCC83A8" w14:textId="77777777" w:rsidTr="00844F94">
        <w:trPr>
          <w:jc w:val="center"/>
        </w:trPr>
        <w:tc>
          <w:tcPr>
            <w:tcW w:w="869" w:type="dxa"/>
            <w:vAlign w:val="center"/>
          </w:tcPr>
          <w:p w14:paraId="0F9FE085" w14:textId="77777777" w:rsidR="00525FE4" w:rsidRPr="00E147C5" w:rsidRDefault="00525FE4" w:rsidP="0068556F">
            <w:pPr>
              <w:pStyle w:val="ListParagraph"/>
              <w:spacing w:line="276" w:lineRule="auto"/>
              <w:ind w:left="0" w:right="83"/>
              <w:jc w:val="center"/>
              <w:rPr>
                <w:rFonts w:ascii="Arial" w:hAnsi="Arial" w:cs="Arial"/>
              </w:rPr>
            </w:pPr>
            <w:r w:rsidRPr="00E147C5">
              <w:rPr>
                <w:rFonts w:ascii="Arial" w:hAnsi="Arial" w:cs="Arial"/>
              </w:rPr>
              <w:t>2019</w:t>
            </w:r>
          </w:p>
        </w:tc>
        <w:tc>
          <w:tcPr>
            <w:tcW w:w="4294" w:type="dxa"/>
            <w:vAlign w:val="center"/>
          </w:tcPr>
          <w:p w14:paraId="03750EFC" w14:textId="77777777" w:rsidR="00525FE4" w:rsidRPr="00E147C5" w:rsidRDefault="00525FE4" w:rsidP="0068556F">
            <w:pPr>
              <w:pStyle w:val="ListParagraph"/>
              <w:spacing w:line="276" w:lineRule="auto"/>
              <w:ind w:left="0" w:right="83"/>
              <w:jc w:val="center"/>
              <w:rPr>
                <w:rFonts w:ascii="Arial" w:hAnsi="Arial" w:cs="Arial"/>
              </w:rPr>
            </w:pPr>
            <w:r w:rsidRPr="00E147C5">
              <w:rPr>
                <w:rFonts w:ascii="Arial" w:hAnsi="Arial" w:cs="Arial"/>
              </w:rPr>
              <w:t>$548,</w:t>
            </w:r>
            <w:r w:rsidR="00BB0294" w:rsidRPr="00E147C5">
              <w:rPr>
                <w:rFonts w:ascii="Arial" w:hAnsi="Arial" w:cs="Arial"/>
              </w:rPr>
              <w:t>803</w:t>
            </w:r>
          </w:p>
        </w:tc>
      </w:tr>
      <w:tr w:rsidR="00525FE4" w:rsidRPr="00E147C5" w14:paraId="3C07835F" w14:textId="77777777" w:rsidTr="00844F94">
        <w:trPr>
          <w:jc w:val="center"/>
        </w:trPr>
        <w:tc>
          <w:tcPr>
            <w:tcW w:w="869" w:type="dxa"/>
            <w:vAlign w:val="center"/>
          </w:tcPr>
          <w:p w14:paraId="0CE3A105" w14:textId="77777777" w:rsidR="00525FE4" w:rsidRPr="00E147C5" w:rsidRDefault="00525FE4" w:rsidP="0068556F">
            <w:pPr>
              <w:pStyle w:val="ListParagraph"/>
              <w:spacing w:line="276" w:lineRule="auto"/>
              <w:ind w:left="0" w:right="83"/>
              <w:jc w:val="center"/>
              <w:rPr>
                <w:rFonts w:ascii="Arial" w:hAnsi="Arial" w:cs="Arial"/>
              </w:rPr>
            </w:pPr>
            <w:r w:rsidRPr="00E147C5">
              <w:rPr>
                <w:rFonts w:ascii="Arial" w:hAnsi="Arial" w:cs="Arial"/>
              </w:rPr>
              <w:t>Total</w:t>
            </w:r>
          </w:p>
        </w:tc>
        <w:tc>
          <w:tcPr>
            <w:tcW w:w="4294" w:type="dxa"/>
            <w:vAlign w:val="center"/>
          </w:tcPr>
          <w:p w14:paraId="13A50041" w14:textId="77777777" w:rsidR="00525FE4" w:rsidRPr="00E147C5" w:rsidRDefault="00525FE4" w:rsidP="0068556F">
            <w:pPr>
              <w:pStyle w:val="ListParagraph"/>
              <w:spacing w:line="276" w:lineRule="auto"/>
              <w:ind w:left="0" w:right="83"/>
              <w:jc w:val="center"/>
              <w:rPr>
                <w:rFonts w:ascii="Arial" w:hAnsi="Arial" w:cs="Arial"/>
              </w:rPr>
            </w:pPr>
            <w:r w:rsidRPr="00E147C5">
              <w:rPr>
                <w:rFonts w:ascii="Arial" w:hAnsi="Arial" w:cs="Arial"/>
              </w:rPr>
              <w:t>$1,70</w:t>
            </w:r>
            <w:r w:rsidR="00BB0294" w:rsidRPr="00E147C5">
              <w:rPr>
                <w:rFonts w:ascii="Arial" w:hAnsi="Arial" w:cs="Arial"/>
              </w:rPr>
              <w:t>5,130</w:t>
            </w:r>
          </w:p>
        </w:tc>
      </w:tr>
    </w:tbl>
    <w:p w14:paraId="0747B17A" w14:textId="77777777" w:rsidR="00525FE4" w:rsidRDefault="00525FE4" w:rsidP="0068556F">
      <w:pPr>
        <w:pStyle w:val="ListParagraph"/>
        <w:spacing w:line="276" w:lineRule="auto"/>
        <w:ind w:left="810" w:right="83"/>
        <w:jc w:val="both"/>
        <w:rPr>
          <w:rFonts w:ascii="Arial" w:hAnsi="Arial" w:cs="Arial"/>
        </w:rPr>
      </w:pPr>
    </w:p>
    <w:p w14:paraId="23C34314" w14:textId="77777777" w:rsidR="00D012EB" w:rsidRPr="00E147C5" w:rsidRDefault="00D012EB" w:rsidP="0068556F">
      <w:pPr>
        <w:pStyle w:val="ListParagraph"/>
        <w:spacing w:line="276" w:lineRule="auto"/>
        <w:ind w:left="810" w:right="83"/>
        <w:jc w:val="both"/>
        <w:rPr>
          <w:rFonts w:ascii="Arial" w:hAnsi="Arial" w:cs="Arial"/>
        </w:rPr>
      </w:pPr>
    </w:p>
    <w:p w14:paraId="1D665079" w14:textId="77777777" w:rsidR="00525FE4" w:rsidRPr="00E147C5" w:rsidRDefault="00B07BF3" w:rsidP="004E6B25">
      <w:pPr>
        <w:pStyle w:val="Heading1"/>
      </w:pPr>
      <w:bookmarkStart w:id="36" w:name="_Toc465678036"/>
      <w:r w:rsidRPr="00E147C5">
        <w:t>Long term</w:t>
      </w:r>
      <w:r w:rsidR="00525FE4" w:rsidRPr="00E147C5">
        <w:t xml:space="preserve"> Conservation Potential</w:t>
      </w:r>
      <w:bookmarkEnd w:id="36"/>
    </w:p>
    <w:p w14:paraId="48AE528F" w14:textId="396441C4" w:rsidR="008713FB" w:rsidRPr="00351143" w:rsidRDefault="00525FE4" w:rsidP="00BE0300">
      <w:pPr>
        <w:spacing w:after="0"/>
        <w:ind w:right="86"/>
        <w:contextualSpacing/>
        <w:jc w:val="both"/>
      </w:pPr>
      <w:r w:rsidRPr="00E147C5">
        <w:t>The Company provide</w:t>
      </w:r>
      <w:r w:rsidR="008940DA" w:rsidRPr="00E147C5">
        <w:t>d</w:t>
      </w:r>
      <w:r w:rsidRPr="00E147C5">
        <w:t xml:space="preserve"> </w:t>
      </w:r>
      <w:r w:rsidR="0072315A" w:rsidRPr="00E147C5">
        <w:t xml:space="preserve">a </w:t>
      </w:r>
      <w:r w:rsidRPr="00E147C5">
        <w:t>table</w:t>
      </w:r>
      <w:r w:rsidR="00082EC1">
        <w:t xml:space="preserve"> of</w:t>
      </w:r>
      <w:r w:rsidRPr="00E147C5">
        <w:t xml:space="preserve"> total CIP Forecast</w:t>
      </w:r>
      <w:r w:rsidR="001A5A9B">
        <w:t>ed therms</w:t>
      </w:r>
      <w:r w:rsidRPr="00E147C5">
        <w:t xml:space="preserve"> for Residential, Commercial and Industrial efficiency gains from 201</w:t>
      </w:r>
      <w:r w:rsidR="00137C7D">
        <w:t>7</w:t>
      </w:r>
      <w:r w:rsidRPr="00E147C5">
        <w:t>-203</w:t>
      </w:r>
      <w:r w:rsidR="00941623">
        <w:t>6</w:t>
      </w:r>
      <w:r w:rsidR="008940DA" w:rsidRPr="00E147C5">
        <w:t xml:space="preserve"> in the </w:t>
      </w:r>
      <w:r w:rsidR="00137C7D">
        <w:t xml:space="preserve">2016 </w:t>
      </w:r>
      <w:r w:rsidR="008940DA" w:rsidRPr="00E147C5">
        <w:t>IRP</w:t>
      </w:r>
      <w:r w:rsidRPr="00E147C5">
        <w:t xml:space="preserve">. </w:t>
      </w:r>
      <w:r w:rsidR="001A5A9B">
        <w:t>Cascade is</w:t>
      </w:r>
      <w:r w:rsidR="0072315A" w:rsidRPr="00E147C5">
        <w:t xml:space="preserve"> providing a clearer iteration of the incremental annual potential</w:t>
      </w:r>
      <w:r w:rsidRPr="00E147C5">
        <w:t xml:space="preserve"> savings </w:t>
      </w:r>
      <w:r w:rsidR="0072315A" w:rsidRPr="00E147C5">
        <w:t>for this Conservation Plan for years 201</w:t>
      </w:r>
      <w:r w:rsidR="003E6260">
        <w:t>7</w:t>
      </w:r>
      <w:r w:rsidR="0072315A" w:rsidRPr="00E147C5">
        <w:t>-202</w:t>
      </w:r>
      <w:r w:rsidR="00137C7D">
        <w:t>7</w:t>
      </w:r>
      <w:r w:rsidR="0072315A" w:rsidRPr="00E147C5">
        <w:t xml:space="preserve"> below</w:t>
      </w:r>
      <w:r w:rsidR="00BE0300">
        <w:t>.</w:t>
      </w:r>
    </w:p>
    <w:p w14:paraId="62A218E8" w14:textId="77777777" w:rsidR="008713FB" w:rsidRPr="004B54B4" w:rsidRDefault="008713FB" w:rsidP="008713FB">
      <w:pPr>
        <w:spacing w:after="0"/>
        <w:ind w:right="86"/>
        <w:contextualSpacing/>
        <w:jc w:val="both"/>
      </w:pPr>
    </w:p>
    <w:p w14:paraId="45C9D778" w14:textId="77777777" w:rsidR="009D4CEF" w:rsidRDefault="009D4CEF">
      <w:pPr>
        <w:widowControl/>
        <w:spacing w:after="0" w:line="240" w:lineRule="auto"/>
        <w:rPr>
          <w:b/>
        </w:rPr>
      </w:pPr>
      <w:r>
        <w:rPr>
          <w:b/>
        </w:rPr>
        <w:br w:type="page"/>
      </w:r>
    </w:p>
    <w:p w14:paraId="7FA257C4" w14:textId="07CC5AF3" w:rsidR="00525FE4" w:rsidRPr="00881D8B" w:rsidRDefault="00525FE4" w:rsidP="008713FB">
      <w:pPr>
        <w:spacing w:after="0"/>
        <w:ind w:right="86"/>
        <w:contextualSpacing/>
        <w:jc w:val="center"/>
        <w:rPr>
          <w:b/>
        </w:rPr>
      </w:pPr>
      <w:r w:rsidRPr="00151187">
        <w:rPr>
          <w:b/>
        </w:rPr>
        <w:t xml:space="preserve">Table </w:t>
      </w:r>
      <w:r w:rsidR="00021C03" w:rsidRPr="00804108">
        <w:rPr>
          <w:b/>
        </w:rPr>
        <w:t>9</w:t>
      </w:r>
    </w:p>
    <w:tbl>
      <w:tblPr>
        <w:tblW w:w="9910" w:type="dxa"/>
        <w:jc w:val="center"/>
        <w:tblLayout w:type="fixed"/>
        <w:tblLook w:val="04A0" w:firstRow="1" w:lastRow="0" w:firstColumn="1" w:lastColumn="0" w:noHBand="0" w:noVBand="1"/>
      </w:tblPr>
      <w:tblGrid>
        <w:gridCol w:w="640"/>
        <w:gridCol w:w="1080"/>
        <w:gridCol w:w="1080"/>
        <w:gridCol w:w="1170"/>
        <w:gridCol w:w="1260"/>
        <w:gridCol w:w="1350"/>
        <w:gridCol w:w="1260"/>
        <w:gridCol w:w="2070"/>
      </w:tblGrid>
      <w:tr w:rsidR="0072315A" w:rsidRPr="00E147C5" w14:paraId="3C0D27CF" w14:textId="77777777" w:rsidTr="009D4CEF">
        <w:trPr>
          <w:trHeight w:val="592"/>
          <w:jc w:val="center"/>
        </w:trPr>
        <w:tc>
          <w:tcPr>
            <w:tcW w:w="9910" w:type="dxa"/>
            <w:gridSpan w:val="8"/>
            <w:tcBorders>
              <w:top w:val="single" w:sz="8" w:space="0" w:color="auto"/>
              <w:left w:val="single" w:sz="8" w:space="0" w:color="auto"/>
              <w:bottom w:val="nil"/>
              <w:right w:val="single" w:sz="8" w:space="0" w:color="000000"/>
            </w:tcBorders>
            <w:shd w:val="clear" w:color="000000" w:fill="4BACC6"/>
            <w:vAlign w:val="center"/>
            <w:hideMark/>
          </w:tcPr>
          <w:p w14:paraId="120DF217" w14:textId="00725A59" w:rsidR="0072315A" w:rsidRPr="006975F8" w:rsidRDefault="005F3CBC" w:rsidP="00082EC1">
            <w:pPr>
              <w:widowControl/>
              <w:spacing w:after="0" w:line="240" w:lineRule="auto"/>
              <w:jc w:val="center"/>
              <w:rPr>
                <w:b/>
                <w:bCs/>
                <w:szCs w:val="20"/>
              </w:rPr>
            </w:pPr>
            <w:r w:rsidRPr="006975F8">
              <w:rPr>
                <w:b/>
                <w:bCs/>
                <w:szCs w:val="20"/>
              </w:rPr>
              <w:t>Total CIP Forecast 201</w:t>
            </w:r>
            <w:r w:rsidR="00082EC1">
              <w:rPr>
                <w:b/>
                <w:bCs/>
                <w:szCs w:val="20"/>
              </w:rPr>
              <w:t>7</w:t>
            </w:r>
            <w:r w:rsidRPr="006975F8">
              <w:rPr>
                <w:b/>
                <w:bCs/>
                <w:szCs w:val="20"/>
              </w:rPr>
              <w:t>-202</w:t>
            </w:r>
            <w:r w:rsidR="00082EC1">
              <w:rPr>
                <w:b/>
                <w:bCs/>
                <w:szCs w:val="20"/>
              </w:rPr>
              <w:t>7</w:t>
            </w:r>
          </w:p>
        </w:tc>
      </w:tr>
      <w:tr w:rsidR="0072315A" w:rsidRPr="00E147C5" w14:paraId="71B5991F" w14:textId="77777777" w:rsidTr="009D4CEF">
        <w:trPr>
          <w:trHeight w:val="333"/>
          <w:jc w:val="center"/>
        </w:trPr>
        <w:tc>
          <w:tcPr>
            <w:tcW w:w="9910" w:type="dxa"/>
            <w:gridSpan w:val="8"/>
            <w:tcBorders>
              <w:top w:val="nil"/>
              <w:left w:val="single" w:sz="8" w:space="0" w:color="auto"/>
              <w:bottom w:val="single" w:sz="8" w:space="0" w:color="auto"/>
              <w:right w:val="single" w:sz="8" w:space="0" w:color="000000"/>
            </w:tcBorders>
            <w:shd w:val="clear" w:color="000000" w:fill="4BACC6"/>
            <w:vAlign w:val="center"/>
            <w:hideMark/>
          </w:tcPr>
          <w:p w14:paraId="5FBD06AA" w14:textId="77777777" w:rsidR="0072315A" w:rsidRPr="006975F8" w:rsidRDefault="0072315A" w:rsidP="0072315A">
            <w:pPr>
              <w:widowControl/>
              <w:spacing w:after="0" w:line="240" w:lineRule="auto"/>
              <w:jc w:val="center"/>
              <w:rPr>
                <w:b/>
                <w:bCs/>
                <w:szCs w:val="20"/>
              </w:rPr>
            </w:pPr>
            <w:r w:rsidRPr="006975F8">
              <w:rPr>
                <w:b/>
                <w:bCs/>
                <w:szCs w:val="20"/>
              </w:rPr>
              <w:t>Incremental Annual Energy Savings</w:t>
            </w:r>
          </w:p>
        </w:tc>
      </w:tr>
      <w:tr w:rsidR="006975F8" w:rsidRPr="0072315A" w14:paraId="49A30167" w14:textId="77777777" w:rsidTr="009D4CEF">
        <w:trPr>
          <w:trHeight w:val="781"/>
          <w:jc w:val="center"/>
        </w:trPr>
        <w:tc>
          <w:tcPr>
            <w:tcW w:w="640" w:type="dxa"/>
            <w:tcBorders>
              <w:top w:val="nil"/>
              <w:left w:val="single" w:sz="8" w:space="0" w:color="auto"/>
              <w:bottom w:val="single" w:sz="8" w:space="0" w:color="auto"/>
              <w:right w:val="nil"/>
            </w:tcBorders>
            <w:shd w:val="clear" w:color="auto" w:fill="auto"/>
            <w:noWrap/>
            <w:vAlign w:val="center"/>
            <w:hideMark/>
          </w:tcPr>
          <w:p w14:paraId="5EC033A5" w14:textId="77777777" w:rsidR="006975F8" w:rsidRPr="005F3CBC" w:rsidRDefault="006975F8" w:rsidP="0072315A">
            <w:pPr>
              <w:widowControl/>
              <w:spacing w:after="0" w:line="240" w:lineRule="auto"/>
              <w:jc w:val="center"/>
              <w:rPr>
                <w:rFonts w:ascii="Calibri" w:hAnsi="Calibri" w:cs="Times New Roman"/>
                <w:b/>
                <w:bCs/>
                <w:color w:val="000000"/>
                <w:sz w:val="20"/>
                <w:szCs w:val="20"/>
              </w:rPr>
            </w:pPr>
            <w:r w:rsidRPr="005F3CBC">
              <w:rPr>
                <w:rFonts w:ascii="Calibri" w:hAnsi="Calibri" w:cs="Times New Roman"/>
                <w:b/>
                <w:bCs/>
                <w:color w:val="000000"/>
                <w:sz w:val="20"/>
                <w:szCs w:val="20"/>
              </w:rPr>
              <w:t>Year</w:t>
            </w:r>
          </w:p>
        </w:tc>
        <w:tc>
          <w:tcPr>
            <w:tcW w:w="1080" w:type="dxa"/>
            <w:tcBorders>
              <w:top w:val="nil"/>
              <w:left w:val="single" w:sz="8" w:space="0" w:color="auto"/>
              <w:bottom w:val="single" w:sz="8" w:space="0" w:color="auto"/>
              <w:right w:val="nil"/>
            </w:tcBorders>
            <w:shd w:val="clear" w:color="auto" w:fill="auto"/>
            <w:noWrap/>
            <w:vAlign w:val="center"/>
            <w:hideMark/>
          </w:tcPr>
          <w:p w14:paraId="0E8A24AD" w14:textId="77777777" w:rsidR="006975F8" w:rsidRPr="005F3CBC" w:rsidRDefault="006975F8" w:rsidP="0072315A">
            <w:pPr>
              <w:widowControl/>
              <w:spacing w:after="0" w:line="240" w:lineRule="auto"/>
              <w:jc w:val="center"/>
              <w:rPr>
                <w:rFonts w:ascii="Calibri" w:hAnsi="Calibri" w:cs="Times New Roman"/>
                <w:b/>
                <w:bCs/>
                <w:color w:val="000000"/>
                <w:sz w:val="20"/>
                <w:szCs w:val="20"/>
              </w:rPr>
            </w:pPr>
            <w:r w:rsidRPr="005F3CBC">
              <w:rPr>
                <w:rFonts w:ascii="Calibri" w:hAnsi="Calibri" w:cs="Times New Roman"/>
                <w:b/>
                <w:bCs/>
                <w:color w:val="000000"/>
                <w:sz w:val="20"/>
                <w:szCs w:val="20"/>
              </w:rPr>
              <w:t>Technical</w:t>
            </w:r>
          </w:p>
        </w:tc>
        <w:tc>
          <w:tcPr>
            <w:tcW w:w="1080" w:type="dxa"/>
            <w:tcBorders>
              <w:top w:val="nil"/>
              <w:left w:val="nil"/>
              <w:bottom w:val="single" w:sz="8" w:space="0" w:color="auto"/>
              <w:right w:val="nil"/>
            </w:tcBorders>
            <w:shd w:val="clear" w:color="auto" w:fill="auto"/>
            <w:noWrap/>
            <w:vAlign w:val="center"/>
            <w:hideMark/>
          </w:tcPr>
          <w:p w14:paraId="64ADAB41" w14:textId="77777777" w:rsidR="006975F8" w:rsidRPr="005F3CBC" w:rsidRDefault="006975F8" w:rsidP="0072315A">
            <w:pPr>
              <w:widowControl/>
              <w:spacing w:after="0" w:line="240" w:lineRule="auto"/>
              <w:jc w:val="center"/>
              <w:rPr>
                <w:rFonts w:ascii="Calibri" w:hAnsi="Calibri" w:cs="Times New Roman"/>
                <w:b/>
                <w:bCs/>
                <w:color w:val="000000"/>
                <w:sz w:val="20"/>
                <w:szCs w:val="20"/>
              </w:rPr>
            </w:pPr>
            <w:r w:rsidRPr="005F3CBC">
              <w:rPr>
                <w:rFonts w:ascii="Calibri" w:hAnsi="Calibri" w:cs="Times New Roman"/>
                <w:b/>
                <w:bCs/>
                <w:color w:val="000000"/>
                <w:sz w:val="20"/>
                <w:szCs w:val="20"/>
              </w:rPr>
              <w:t>Economic</w:t>
            </w:r>
          </w:p>
        </w:tc>
        <w:tc>
          <w:tcPr>
            <w:tcW w:w="1170" w:type="dxa"/>
            <w:tcBorders>
              <w:top w:val="nil"/>
              <w:left w:val="single" w:sz="8" w:space="0" w:color="auto"/>
              <w:bottom w:val="single" w:sz="8" w:space="0" w:color="auto"/>
              <w:right w:val="nil"/>
            </w:tcBorders>
            <w:shd w:val="clear" w:color="auto" w:fill="auto"/>
            <w:vAlign w:val="center"/>
            <w:hideMark/>
          </w:tcPr>
          <w:p w14:paraId="758FD578" w14:textId="77777777" w:rsidR="006975F8" w:rsidRPr="00410931" w:rsidRDefault="006975F8">
            <w:pPr>
              <w:widowControl/>
              <w:spacing w:after="0" w:line="240" w:lineRule="auto"/>
              <w:jc w:val="center"/>
              <w:rPr>
                <w:rFonts w:ascii="Calibri" w:hAnsi="Calibri" w:cs="Times New Roman"/>
                <w:b/>
                <w:bCs/>
                <w:color w:val="000000"/>
                <w:sz w:val="19"/>
                <w:szCs w:val="19"/>
              </w:rPr>
            </w:pPr>
            <w:r w:rsidRPr="00410931">
              <w:rPr>
                <w:rFonts w:ascii="Calibri" w:hAnsi="Calibri" w:cs="Times New Roman"/>
                <w:b/>
                <w:bCs/>
                <w:color w:val="000000"/>
                <w:sz w:val="19"/>
                <w:szCs w:val="19"/>
              </w:rPr>
              <w:t>Res</w:t>
            </w:r>
            <w:r>
              <w:rPr>
                <w:rFonts w:ascii="Calibri" w:hAnsi="Calibri" w:cs="Times New Roman"/>
                <w:b/>
                <w:bCs/>
                <w:color w:val="000000"/>
                <w:sz w:val="19"/>
                <w:szCs w:val="19"/>
              </w:rPr>
              <w:t>idential</w:t>
            </w:r>
            <w:r w:rsidRPr="00410931">
              <w:rPr>
                <w:rFonts w:ascii="Calibri" w:hAnsi="Calibri" w:cs="Times New Roman"/>
                <w:b/>
                <w:bCs/>
                <w:color w:val="000000"/>
                <w:sz w:val="19"/>
                <w:szCs w:val="19"/>
              </w:rPr>
              <w:t xml:space="preserve"> Achievable</w:t>
            </w:r>
          </w:p>
        </w:tc>
        <w:tc>
          <w:tcPr>
            <w:tcW w:w="1260" w:type="dxa"/>
            <w:tcBorders>
              <w:top w:val="nil"/>
              <w:left w:val="nil"/>
              <w:bottom w:val="single" w:sz="8" w:space="0" w:color="auto"/>
              <w:right w:val="nil"/>
            </w:tcBorders>
            <w:shd w:val="clear" w:color="auto" w:fill="auto"/>
            <w:vAlign w:val="center"/>
            <w:hideMark/>
          </w:tcPr>
          <w:p w14:paraId="29FD5C46" w14:textId="77777777" w:rsidR="006975F8" w:rsidRPr="005F3CBC" w:rsidRDefault="006975F8" w:rsidP="0072315A">
            <w:pPr>
              <w:widowControl/>
              <w:spacing w:after="0" w:line="240" w:lineRule="auto"/>
              <w:jc w:val="center"/>
              <w:rPr>
                <w:rFonts w:ascii="Calibri" w:hAnsi="Calibri" w:cs="Times New Roman"/>
                <w:b/>
                <w:bCs/>
                <w:color w:val="000000"/>
                <w:sz w:val="20"/>
                <w:szCs w:val="20"/>
              </w:rPr>
            </w:pPr>
            <w:r w:rsidRPr="005F3CBC">
              <w:rPr>
                <w:rFonts w:ascii="Calibri" w:hAnsi="Calibri" w:cs="Times New Roman"/>
                <w:b/>
                <w:bCs/>
                <w:color w:val="000000"/>
                <w:sz w:val="20"/>
                <w:szCs w:val="20"/>
              </w:rPr>
              <w:t>Commercial/Industrial Achievable*</w:t>
            </w:r>
          </w:p>
        </w:tc>
        <w:tc>
          <w:tcPr>
            <w:tcW w:w="1350" w:type="dxa"/>
            <w:tcBorders>
              <w:top w:val="nil"/>
              <w:left w:val="nil"/>
              <w:bottom w:val="single" w:sz="8" w:space="0" w:color="auto"/>
              <w:right w:val="single" w:sz="8" w:space="0" w:color="auto"/>
            </w:tcBorders>
            <w:shd w:val="clear" w:color="auto" w:fill="auto"/>
            <w:vAlign w:val="center"/>
            <w:hideMark/>
          </w:tcPr>
          <w:p w14:paraId="77C9B0AF" w14:textId="77777777" w:rsidR="006975F8" w:rsidRPr="005F3CBC" w:rsidRDefault="006975F8" w:rsidP="0072315A">
            <w:pPr>
              <w:widowControl/>
              <w:spacing w:after="0" w:line="240" w:lineRule="auto"/>
              <w:jc w:val="center"/>
              <w:rPr>
                <w:rFonts w:ascii="Calibri" w:hAnsi="Calibri" w:cs="Times New Roman"/>
                <w:b/>
                <w:bCs/>
                <w:color w:val="000000"/>
                <w:sz w:val="20"/>
                <w:szCs w:val="20"/>
              </w:rPr>
            </w:pPr>
            <w:r w:rsidRPr="005F3CBC">
              <w:rPr>
                <w:rFonts w:ascii="Calibri" w:hAnsi="Calibri" w:cs="Times New Roman"/>
                <w:b/>
                <w:bCs/>
                <w:color w:val="000000"/>
                <w:sz w:val="20"/>
                <w:szCs w:val="20"/>
              </w:rPr>
              <w:t>Total Achievable</w:t>
            </w:r>
          </w:p>
        </w:tc>
        <w:tc>
          <w:tcPr>
            <w:tcW w:w="1260" w:type="dxa"/>
            <w:tcBorders>
              <w:top w:val="nil"/>
              <w:left w:val="nil"/>
              <w:bottom w:val="single" w:sz="8" w:space="0" w:color="auto"/>
              <w:right w:val="nil"/>
            </w:tcBorders>
            <w:shd w:val="clear" w:color="auto" w:fill="auto"/>
            <w:vAlign w:val="center"/>
            <w:hideMark/>
          </w:tcPr>
          <w:p w14:paraId="0F8C1FD0" w14:textId="77777777" w:rsidR="006975F8" w:rsidRPr="005F3CBC" w:rsidRDefault="006975F8" w:rsidP="0072315A">
            <w:pPr>
              <w:widowControl/>
              <w:spacing w:after="0" w:line="240" w:lineRule="auto"/>
              <w:jc w:val="center"/>
              <w:rPr>
                <w:rFonts w:ascii="Calibri" w:hAnsi="Calibri" w:cs="Times New Roman"/>
                <w:b/>
                <w:bCs/>
                <w:sz w:val="20"/>
                <w:szCs w:val="20"/>
              </w:rPr>
            </w:pPr>
            <w:r w:rsidRPr="005F3CBC">
              <w:rPr>
                <w:rFonts w:ascii="Calibri" w:hAnsi="Calibri" w:cs="Times New Roman"/>
                <w:b/>
                <w:bCs/>
                <w:sz w:val="20"/>
                <w:szCs w:val="20"/>
              </w:rPr>
              <w:t xml:space="preserve"> Low Income </w:t>
            </w:r>
          </w:p>
        </w:tc>
        <w:tc>
          <w:tcPr>
            <w:tcW w:w="2070" w:type="dxa"/>
            <w:tcBorders>
              <w:top w:val="nil"/>
              <w:left w:val="single" w:sz="8" w:space="0" w:color="auto"/>
              <w:bottom w:val="single" w:sz="8" w:space="0" w:color="auto"/>
              <w:right w:val="single" w:sz="8" w:space="0" w:color="auto"/>
            </w:tcBorders>
            <w:shd w:val="clear" w:color="000000" w:fill="506E94"/>
            <w:vAlign w:val="center"/>
            <w:hideMark/>
          </w:tcPr>
          <w:p w14:paraId="0DAD3A52" w14:textId="77777777" w:rsidR="006975F8" w:rsidRPr="00410931" w:rsidRDefault="006975F8" w:rsidP="0072315A">
            <w:pPr>
              <w:widowControl/>
              <w:spacing w:after="0" w:line="240" w:lineRule="auto"/>
              <w:jc w:val="center"/>
              <w:rPr>
                <w:rFonts w:ascii="Calibri" w:hAnsi="Calibri" w:cs="Times New Roman"/>
                <w:b/>
                <w:bCs/>
                <w:sz w:val="19"/>
                <w:szCs w:val="19"/>
              </w:rPr>
            </w:pPr>
            <w:r w:rsidRPr="00410931">
              <w:rPr>
                <w:rFonts w:ascii="Calibri" w:hAnsi="Calibri" w:cs="Times New Roman"/>
                <w:b/>
                <w:bCs/>
                <w:sz w:val="19"/>
                <w:szCs w:val="19"/>
              </w:rPr>
              <w:t xml:space="preserve"> Conservation Plan </w:t>
            </w:r>
          </w:p>
        </w:tc>
      </w:tr>
      <w:tr w:rsidR="00E170EC" w:rsidRPr="0072315A" w14:paraId="4C2EB535" w14:textId="77777777" w:rsidTr="009D4CEF">
        <w:trPr>
          <w:trHeight w:val="615"/>
          <w:jc w:val="center"/>
        </w:trPr>
        <w:tc>
          <w:tcPr>
            <w:tcW w:w="640" w:type="dxa"/>
            <w:tcBorders>
              <w:top w:val="nil"/>
              <w:left w:val="single" w:sz="8" w:space="0" w:color="auto"/>
              <w:bottom w:val="nil"/>
              <w:right w:val="nil"/>
            </w:tcBorders>
            <w:shd w:val="clear" w:color="auto" w:fill="auto"/>
            <w:noWrap/>
            <w:vAlign w:val="center"/>
            <w:hideMark/>
          </w:tcPr>
          <w:p w14:paraId="0D79AD4E" w14:textId="77777777" w:rsidR="00E170EC" w:rsidRDefault="00E170EC" w:rsidP="00E170EC">
            <w:pPr>
              <w:widowControl/>
              <w:spacing w:after="0" w:line="240" w:lineRule="auto"/>
              <w:contextualSpacing/>
              <w:jc w:val="center"/>
              <w:rPr>
                <w:rFonts w:ascii="Calibri" w:hAnsi="Calibri"/>
                <w:color w:val="000000"/>
                <w:sz w:val="20"/>
                <w:szCs w:val="20"/>
              </w:rPr>
            </w:pPr>
            <w:r>
              <w:rPr>
                <w:rFonts w:ascii="Calibri" w:hAnsi="Calibri"/>
                <w:color w:val="000000"/>
                <w:sz w:val="20"/>
                <w:szCs w:val="20"/>
              </w:rPr>
              <w:t>2017</w:t>
            </w:r>
          </w:p>
        </w:tc>
        <w:tc>
          <w:tcPr>
            <w:tcW w:w="1080" w:type="dxa"/>
            <w:tcBorders>
              <w:top w:val="nil"/>
              <w:left w:val="single" w:sz="8" w:space="0" w:color="auto"/>
              <w:bottom w:val="nil"/>
              <w:right w:val="nil"/>
            </w:tcBorders>
            <w:shd w:val="clear" w:color="auto" w:fill="auto"/>
            <w:noWrap/>
            <w:vAlign w:val="center"/>
            <w:hideMark/>
          </w:tcPr>
          <w:p w14:paraId="0FFA377F" w14:textId="77777777" w:rsidR="00E170EC" w:rsidRDefault="00E170EC" w:rsidP="00E170EC">
            <w:pPr>
              <w:widowControl/>
              <w:spacing w:after="0" w:line="240" w:lineRule="auto"/>
              <w:contextualSpacing/>
              <w:jc w:val="center"/>
              <w:rPr>
                <w:rFonts w:ascii="Calibri" w:hAnsi="Calibri"/>
                <w:sz w:val="20"/>
                <w:szCs w:val="20"/>
              </w:rPr>
            </w:pPr>
            <w:r>
              <w:rPr>
                <w:rFonts w:ascii="Calibri" w:hAnsi="Calibri"/>
                <w:sz w:val="20"/>
                <w:szCs w:val="20"/>
              </w:rPr>
              <w:t>4,552,099</w:t>
            </w:r>
          </w:p>
        </w:tc>
        <w:tc>
          <w:tcPr>
            <w:tcW w:w="1080" w:type="dxa"/>
            <w:tcBorders>
              <w:top w:val="nil"/>
              <w:left w:val="nil"/>
              <w:bottom w:val="nil"/>
              <w:right w:val="nil"/>
            </w:tcBorders>
            <w:shd w:val="clear" w:color="auto" w:fill="auto"/>
            <w:noWrap/>
            <w:vAlign w:val="center"/>
            <w:hideMark/>
          </w:tcPr>
          <w:p w14:paraId="0D2FB26B" w14:textId="77777777" w:rsidR="00E170EC" w:rsidRDefault="00E170EC" w:rsidP="00E170EC">
            <w:pPr>
              <w:widowControl/>
              <w:spacing w:after="0" w:line="240" w:lineRule="auto"/>
              <w:contextualSpacing/>
              <w:jc w:val="center"/>
              <w:rPr>
                <w:rFonts w:ascii="Calibri" w:hAnsi="Calibri"/>
                <w:sz w:val="20"/>
                <w:szCs w:val="20"/>
              </w:rPr>
            </w:pPr>
            <w:r>
              <w:rPr>
                <w:rFonts w:ascii="Calibri" w:hAnsi="Calibri"/>
                <w:sz w:val="20"/>
                <w:szCs w:val="20"/>
              </w:rPr>
              <w:t>2,815,454</w:t>
            </w:r>
          </w:p>
        </w:tc>
        <w:tc>
          <w:tcPr>
            <w:tcW w:w="1170" w:type="dxa"/>
            <w:tcBorders>
              <w:top w:val="nil"/>
              <w:left w:val="single" w:sz="8" w:space="0" w:color="auto"/>
              <w:bottom w:val="nil"/>
              <w:right w:val="nil"/>
            </w:tcBorders>
            <w:shd w:val="clear" w:color="auto" w:fill="auto"/>
            <w:noWrap/>
            <w:vAlign w:val="center"/>
            <w:hideMark/>
          </w:tcPr>
          <w:p w14:paraId="79DC7DF2" w14:textId="77777777" w:rsidR="00E170EC" w:rsidRDefault="00E170EC" w:rsidP="00E170EC">
            <w:pPr>
              <w:widowControl/>
              <w:spacing w:after="0" w:line="240" w:lineRule="auto"/>
              <w:contextualSpacing/>
              <w:jc w:val="center"/>
              <w:rPr>
                <w:rFonts w:ascii="Calibri" w:hAnsi="Calibri"/>
                <w:sz w:val="20"/>
                <w:szCs w:val="20"/>
              </w:rPr>
            </w:pPr>
            <w:r>
              <w:rPr>
                <w:rFonts w:ascii="Calibri" w:hAnsi="Calibri"/>
                <w:sz w:val="20"/>
                <w:szCs w:val="20"/>
              </w:rPr>
              <w:t>323,878</w:t>
            </w:r>
          </w:p>
        </w:tc>
        <w:tc>
          <w:tcPr>
            <w:tcW w:w="1260" w:type="dxa"/>
            <w:tcBorders>
              <w:top w:val="nil"/>
              <w:left w:val="nil"/>
              <w:bottom w:val="nil"/>
              <w:right w:val="nil"/>
            </w:tcBorders>
            <w:shd w:val="clear" w:color="auto" w:fill="auto"/>
            <w:noWrap/>
            <w:vAlign w:val="center"/>
            <w:hideMark/>
          </w:tcPr>
          <w:p w14:paraId="1AD8AD45" w14:textId="77777777" w:rsidR="00E170EC" w:rsidRDefault="00E170EC" w:rsidP="00E170EC">
            <w:pPr>
              <w:widowControl/>
              <w:spacing w:after="0" w:line="240" w:lineRule="auto"/>
              <w:contextualSpacing/>
              <w:jc w:val="center"/>
              <w:rPr>
                <w:rFonts w:ascii="Calibri" w:hAnsi="Calibri"/>
                <w:sz w:val="20"/>
                <w:szCs w:val="20"/>
              </w:rPr>
            </w:pPr>
            <w:r>
              <w:rPr>
                <w:rFonts w:ascii="Calibri" w:hAnsi="Calibri"/>
                <w:sz w:val="20"/>
                <w:szCs w:val="20"/>
              </w:rPr>
              <w:t>515,998</w:t>
            </w:r>
          </w:p>
        </w:tc>
        <w:tc>
          <w:tcPr>
            <w:tcW w:w="1350" w:type="dxa"/>
            <w:tcBorders>
              <w:top w:val="nil"/>
              <w:left w:val="nil"/>
              <w:bottom w:val="nil"/>
              <w:right w:val="single" w:sz="8" w:space="0" w:color="auto"/>
            </w:tcBorders>
            <w:shd w:val="clear" w:color="auto" w:fill="auto"/>
            <w:noWrap/>
            <w:vAlign w:val="center"/>
            <w:hideMark/>
          </w:tcPr>
          <w:p w14:paraId="057BE964" w14:textId="77777777" w:rsidR="00E170EC" w:rsidRDefault="00E170EC" w:rsidP="00E170EC">
            <w:pPr>
              <w:widowControl/>
              <w:spacing w:after="0" w:line="240" w:lineRule="auto"/>
              <w:contextualSpacing/>
              <w:jc w:val="center"/>
              <w:rPr>
                <w:rFonts w:ascii="Calibri" w:hAnsi="Calibri"/>
                <w:sz w:val="20"/>
                <w:szCs w:val="20"/>
              </w:rPr>
            </w:pPr>
            <w:r>
              <w:rPr>
                <w:rFonts w:ascii="Calibri" w:hAnsi="Calibri"/>
                <w:sz w:val="20"/>
                <w:szCs w:val="20"/>
              </w:rPr>
              <w:t>839,876</w:t>
            </w:r>
          </w:p>
        </w:tc>
        <w:tc>
          <w:tcPr>
            <w:tcW w:w="1260" w:type="dxa"/>
            <w:tcBorders>
              <w:top w:val="nil"/>
              <w:left w:val="nil"/>
              <w:bottom w:val="nil"/>
              <w:right w:val="single" w:sz="8" w:space="0" w:color="auto"/>
            </w:tcBorders>
            <w:shd w:val="clear" w:color="auto" w:fill="auto"/>
            <w:noWrap/>
            <w:vAlign w:val="center"/>
            <w:hideMark/>
          </w:tcPr>
          <w:p w14:paraId="7DB55314" w14:textId="77777777" w:rsidR="00E170EC" w:rsidRPr="007D4FF2" w:rsidRDefault="00E170EC" w:rsidP="00E170EC">
            <w:pPr>
              <w:widowControl/>
              <w:spacing w:after="0" w:line="240" w:lineRule="auto"/>
              <w:contextualSpacing/>
              <w:jc w:val="center"/>
              <w:rPr>
                <w:rFonts w:ascii="Calibri" w:hAnsi="Calibri" w:cs="Times New Roman"/>
                <w:sz w:val="20"/>
                <w:szCs w:val="20"/>
              </w:rPr>
            </w:pPr>
            <w:r w:rsidRPr="007D4FF2">
              <w:rPr>
                <w:rFonts w:ascii="Calibri" w:hAnsi="Calibri" w:cs="Times New Roman"/>
                <w:sz w:val="20"/>
                <w:szCs w:val="20"/>
              </w:rPr>
              <w:t>15,000</w:t>
            </w:r>
          </w:p>
        </w:tc>
        <w:tc>
          <w:tcPr>
            <w:tcW w:w="2070" w:type="dxa"/>
            <w:tcBorders>
              <w:top w:val="nil"/>
              <w:left w:val="nil"/>
              <w:bottom w:val="nil"/>
              <w:right w:val="single" w:sz="8" w:space="0" w:color="auto"/>
            </w:tcBorders>
            <w:shd w:val="clear" w:color="000000" w:fill="91A8C4"/>
            <w:noWrap/>
            <w:vAlign w:val="center"/>
            <w:hideMark/>
          </w:tcPr>
          <w:p w14:paraId="3041177C" w14:textId="77777777" w:rsidR="00E170EC" w:rsidRPr="00E170EC" w:rsidRDefault="00E170EC" w:rsidP="00E170EC">
            <w:pPr>
              <w:spacing w:after="0" w:line="240" w:lineRule="auto"/>
              <w:contextualSpacing/>
              <w:jc w:val="center"/>
              <w:rPr>
                <w:rFonts w:asciiTheme="minorHAnsi" w:hAnsiTheme="minorHAnsi"/>
                <w:sz w:val="20"/>
              </w:rPr>
            </w:pPr>
            <w:r w:rsidRPr="00E170EC">
              <w:rPr>
                <w:rFonts w:asciiTheme="minorHAnsi" w:hAnsiTheme="minorHAnsi"/>
                <w:sz w:val="20"/>
              </w:rPr>
              <w:t>854,876</w:t>
            </w:r>
          </w:p>
        </w:tc>
      </w:tr>
      <w:tr w:rsidR="00E170EC" w:rsidRPr="0072315A" w14:paraId="2876DDB6" w14:textId="77777777" w:rsidTr="009D4CEF">
        <w:trPr>
          <w:trHeight w:val="615"/>
          <w:jc w:val="center"/>
        </w:trPr>
        <w:tc>
          <w:tcPr>
            <w:tcW w:w="640" w:type="dxa"/>
            <w:tcBorders>
              <w:top w:val="nil"/>
              <w:left w:val="single" w:sz="8" w:space="0" w:color="auto"/>
              <w:bottom w:val="nil"/>
              <w:right w:val="nil"/>
            </w:tcBorders>
            <w:shd w:val="clear" w:color="auto" w:fill="auto"/>
            <w:noWrap/>
            <w:vAlign w:val="center"/>
            <w:hideMark/>
          </w:tcPr>
          <w:p w14:paraId="36EA7ED5" w14:textId="77777777" w:rsidR="00E170EC" w:rsidRDefault="00E170EC" w:rsidP="00E170EC">
            <w:pPr>
              <w:spacing w:after="0" w:line="240" w:lineRule="auto"/>
              <w:contextualSpacing/>
              <w:jc w:val="center"/>
              <w:rPr>
                <w:rFonts w:ascii="Calibri" w:hAnsi="Calibri"/>
                <w:color w:val="000000"/>
                <w:sz w:val="20"/>
                <w:szCs w:val="20"/>
              </w:rPr>
            </w:pPr>
            <w:r>
              <w:rPr>
                <w:rFonts w:ascii="Calibri" w:hAnsi="Calibri"/>
                <w:color w:val="000000"/>
                <w:sz w:val="20"/>
                <w:szCs w:val="20"/>
              </w:rPr>
              <w:t>2018</w:t>
            </w:r>
          </w:p>
        </w:tc>
        <w:tc>
          <w:tcPr>
            <w:tcW w:w="1080" w:type="dxa"/>
            <w:tcBorders>
              <w:top w:val="nil"/>
              <w:left w:val="single" w:sz="8" w:space="0" w:color="auto"/>
              <w:bottom w:val="nil"/>
              <w:right w:val="nil"/>
            </w:tcBorders>
            <w:shd w:val="clear" w:color="auto" w:fill="auto"/>
            <w:noWrap/>
            <w:vAlign w:val="center"/>
            <w:hideMark/>
          </w:tcPr>
          <w:p w14:paraId="5D107D48"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4,622,799</w:t>
            </w:r>
          </w:p>
        </w:tc>
        <w:tc>
          <w:tcPr>
            <w:tcW w:w="1080" w:type="dxa"/>
            <w:tcBorders>
              <w:top w:val="nil"/>
              <w:left w:val="nil"/>
              <w:bottom w:val="nil"/>
              <w:right w:val="nil"/>
            </w:tcBorders>
            <w:shd w:val="clear" w:color="auto" w:fill="auto"/>
            <w:noWrap/>
            <w:vAlign w:val="center"/>
            <w:hideMark/>
          </w:tcPr>
          <w:p w14:paraId="5CA30D12"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2,858,324</w:t>
            </w:r>
          </w:p>
        </w:tc>
        <w:tc>
          <w:tcPr>
            <w:tcW w:w="1170" w:type="dxa"/>
            <w:tcBorders>
              <w:top w:val="nil"/>
              <w:left w:val="single" w:sz="8" w:space="0" w:color="auto"/>
              <w:bottom w:val="nil"/>
              <w:right w:val="nil"/>
            </w:tcBorders>
            <w:shd w:val="clear" w:color="auto" w:fill="auto"/>
            <w:noWrap/>
            <w:vAlign w:val="center"/>
            <w:hideMark/>
          </w:tcPr>
          <w:p w14:paraId="7639442D"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331,357</w:t>
            </w:r>
          </w:p>
        </w:tc>
        <w:tc>
          <w:tcPr>
            <w:tcW w:w="1260" w:type="dxa"/>
            <w:tcBorders>
              <w:top w:val="nil"/>
              <w:left w:val="nil"/>
              <w:bottom w:val="nil"/>
              <w:right w:val="nil"/>
            </w:tcBorders>
            <w:shd w:val="clear" w:color="auto" w:fill="auto"/>
            <w:noWrap/>
            <w:vAlign w:val="center"/>
            <w:hideMark/>
          </w:tcPr>
          <w:p w14:paraId="0DF96DFC"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545,217</w:t>
            </w:r>
          </w:p>
        </w:tc>
        <w:tc>
          <w:tcPr>
            <w:tcW w:w="1350" w:type="dxa"/>
            <w:tcBorders>
              <w:top w:val="nil"/>
              <w:left w:val="nil"/>
              <w:bottom w:val="nil"/>
              <w:right w:val="single" w:sz="8" w:space="0" w:color="auto"/>
            </w:tcBorders>
            <w:shd w:val="clear" w:color="auto" w:fill="auto"/>
            <w:noWrap/>
            <w:vAlign w:val="center"/>
            <w:hideMark/>
          </w:tcPr>
          <w:p w14:paraId="34FD04EF"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876,574</w:t>
            </w:r>
          </w:p>
        </w:tc>
        <w:tc>
          <w:tcPr>
            <w:tcW w:w="1260" w:type="dxa"/>
            <w:tcBorders>
              <w:top w:val="nil"/>
              <w:left w:val="nil"/>
              <w:bottom w:val="nil"/>
              <w:right w:val="single" w:sz="8" w:space="0" w:color="auto"/>
            </w:tcBorders>
            <w:shd w:val="clear" w:color="auto" w:fill="auto"/>
            <w:noWrap/>
            <w:vAlign w:val="center"/>
            <w:hideMark/>
          </w:tcPr>
          <w:p w14:paraId="69B31AFD" w14:textId="77777777" w:rsidR="00E170EC" w:rsidRPr="007D4FF2" w:rsidRDefault="00E170EC" w:rsidP="00E170EC">
            <w:pPr>
              <w:widowControl/>
              <w:spacing w:after="0" w:line="240" w:lineRule="auto"/>
              <w:contextualSpacing/>
              <w:jc w:val="center"/>
              <w:rPr>
                <w:rFonts w:ascii="Calibri" w:hAnsi="Calibri" w:cs="Times New Roman"/>
                <w:sz w:val="20"/>
                <w:szCs w:val="20"/>
              </w:rPr>
            </w:pPr>
            <w:r w:rsidRPr="007D4FF2">
              <w:rPr>
                <w:rFonts w:ascii="Calibri" w:hAnsi="Calibri" w:cs="Times New Roman"/>
                <w:sz w:val="20"/>
                <w:szCs w:val="20"/>
              </w:rPr>
              <w:t>15,000</w:t>
            </w:r>
          </w:p>
        </w:tc>
        <w:tc>
          <w:tcPr>
            <w:tcW w:w="2070" w:type="dxa"/>
            <w:tcBorders>
              <w:top w:val="nil"/>
              <w:left w:val="nil"/>
              <w:bottom w:val="nil"/>
              <w:right w:val="single" w:sz="8" w:space="0" w:color="auto"/>
            </w:tcBorders>
            <w:shd w:val="clear" w:color="000000" w:fill="91A8C4"/>
            <w:noWrap/>
            <w:vAlign w:val="center"/>
            <w:hideMark/>
          </w:tcPr>
          <w:p w14:paraId="171F57C5" w14:textId="77777777" w:rsidR="00E170EC" w:rsidRPr="00E170EC" w:rsidRDefault="00E170EC" w:rsidP="00E170EC">
            <w:pPr>
              <w:spacing w:after="0" w:line="240" w:lineRule="auto"/>
              <w:contextualSpacing/>
              <w:jc w:val="center"/>
              <w:rPr>
                <w:rFonts w:asciiTheme="minorHAnsi" w:hAnsiTheme="minorHAnsi"/>
                <w:sz w:val="20"/>
              </w:rPr>
            </w:pPr>
            <w:r w:rsidRPr="00E170EC">
              <w:rPr>
                <w:rFonts w:asciiTheme="minorHAnsi" w:hAnsiTheme="minorHAnsi"/>
                <w:sz w:val="20"/>
              </w:rPr>
              <w:t>891,574</w:t>
            </w:r>
          </w:p>
        </w:tc>
      </w:tr>
      <w:tr w:rsidR="00E170EC" w:rsidRPr="0072315A" w14:paraId="1DAEEFD6" w14:textId="77777777" w:rsidTr="009D4CEF">
        <w:trPr>
          <w:trHeight w:val="615"/>
          <w:jc w:val="center"/>
        </w:trPr>
        <w:tc>
          <w:tcPr>
            <w:tcW w:w="640" w:type="dxa"/>
            <w:tcBorders>
              <w:top w:val="nil"/>
              <w:left w:val="single" w:sz="8" w:space="0" w:color="auto"/>
              <w:bottom w:val="nil"/>
              <w:right w:val="nil"/>
            </w:tcBorders>
            <w:shd w:val="clear" w:color="auto" w:fill="auto"/>
            <w:noWrap/>
            <w:vAlign w:val="center"/>
            <w:hideMark/>
          </w:tcPr>
          <w:p w14:paraId="73244AFB" w14:textId="77777777" w:rsidR="00E170EC" w:rsidRDefault="00E170EC" w:rsidP="00E170EC">
            <w:pPr>
              <w:spacing w:after="0" w:line="240" w:lineRule="auto"/>
              <w:contextualSpacing/>
              <w:jc w:val="center"/>
              <w:rPr>
                <w:rFonts w:ascii="Calibri" w:hAnsi="Calibri"/>
                <w:color w:val="000000"/>
                <w:sz w:val="20"/>
                <w:szCs w:val="20"/>
              </w:rPr>
            </w:pPr>
            <w:r>
              <w:rPr>
                <w:rFonts w:ascii="Calibri" w:hAnsi="Calibri"/>
                <w:color w:val="000000"/>
                <w:sz w:val="20"/>
                <w:szCs w:val="20"/>
              </w:rPr>
              <w:t>2019</w:t>
            </w:r>
          </w:p>
        </w:tc>
        <w:tc>
          <w:tcPr>
            <w:tcW w:w="1080" w:type="dxa"/>
            <w:tcBorders>
              <w:top w:val="nil"/>
              <w:left w:val="single" w:sz="8" w:space="0" w:color="auto"/>
              <w:bottom w:val="nil"/>
              <w:right w:val="nil"/>
            </w:tcBorders>
            <w:shd w:val="clear" w:color="auto" w:fill="auto"/>
            <w:noWrap/>
            <w:vAlign w:val="center"/>
            <w:hideMark/>
          </w:tcPr>
          <w:p w14:paraId="525D8468"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4,686,406</w:t>
            </w:r>
          </w:p>
        </w:tc>
        <w:tc>
          <w:tcPr>
            <w:tcW w:w="1080" w:type="dxa"/>
            <w:tcBorders>
              <w:top w:val="nil"/>
              <w:left w:val="nil"/>
              <w:bottom w:val="nil"/>
              <w:right w:val="nil"/>
            </w:tcBorders>
            <w:shd w:val="clear" w:color="auto" w:fill="auto"/>
            <w:noWrap/>
            <w:vAlign w:val="center"/>
            <w:hideMark/>
          </w:tcPr>
          <w:p w14:paraId="68AD621F"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2,896,840</w:t>
            </w:r>
          </w:p>
        </w:tc>
        <w:tc>
          <w:tcPr>
            <w:tcW w:w="1170" w:type="dxa"/>
            <w:tcBorders>
              <w:top w:val="nil"/>
              <w:left w:val="single" w:sz="8" w:space="0" w:color="auto"/>
              <w:bottom w:val="nil"/>
              <w:right w:val="nil"/>
            </w:tcBorders>
            <w:shd w:val="clear" w:color="auto" w:fill="auto"/>
            <w:noWrap/>
            <w:vAlign w:val="center"/>
            <w:hideMark/>
          </w:tcPr>
          <w:p w14:paraId="5E9A1F05"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340,468</w:t>
            </w:r>
          </w:p>
        </w:tc>
        <w:tc>
          <w:tcPr>
            <w:tcW w:w="1260" w:type="dxa"/>
            <w:tcBorders>
              <w:top w:val="nil"/>
              <w:left w:val="nil"/>
              <w:bottom w:val="nil"/>
              <w:right w:val="nil"/>
            </w:tcBorders>
            <w:shd w:val="clear" w:color="auto" w:fill="auto"/>
            <w:noWrap/>
            <w:vAlign w:val="center"/>
            <w:hideMark/>
          </w:tcPr>
          <w:p w14:paraId="59A4E1E6"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580,973</w:t>
            </w:r>
          </w:p>
        </w:tc>
        <w:tc>
          <w:tcPr>
            <w:tcW w:w="1350" w:type="dxa"/>
            <w:tcBorders>
              <w:top w:val="nil"/>
              <w:left w:val="nil"/>
              <w:bottom w:val="nil"/>
              <w:right w:val="single" w:sz="8" w:space="0" w:color="auto"/>
            </w:tcBorders>
            <w:shd w:val="clear" w:color="auto" w:fill="auto"/>
            <w:noWrap/>
            <w:vAlign w:val="center"/>
            <w:hideMark/>
          </w:tcPr>
          <w:p w14:paraId="257B21A7"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921,441</w:t>
            </w:r>
          </w:p>
        </w:tc>
        <w:tc>
          <w:tcPr>
            <w:tcW w:w="1260" w:type="dxa"/>
            <w:tcBorders>
              <w:top w:val="nil"/>
              <w:left w:val="nil"/>
              <w:bottom w:val="nil"/>
              <w:right w:val="single" w:sz="8" w:space="0" w:color="auto"/>
            </w:tcBorders>
            <w:shd w:val="clear" w:color="auto" w:fill="auto"/>
            <w:noWrap/>
            <w:vAlign w:val="center"/>
            <w:hideMark/>
          </w:tcPr>
          <w:p w14:paraId="7FC6C91F" w14:textId="77777777" w:rsidR="00E170EC" w:rsidRPr="007D4FF2" w:rsidRDefault="00E170EC" w:rsidP="00E170EC">
            <w:pPr>
              <w:widowControl/>
              <w:spacing w:after="0" w:line="240" w:lineRule="auto"/>
              <w:contextualSpacing/>
              <w:jc w:val="center"/>
              <w:rPr>
                <w:rFonts w:ascii="Calibri" w:hAnsi="Calibri" w:cs="Times New Roman"/>
                <w:sz w:val="20"/>
                <w:szCs w:val="20"/>
              </w:rPr>
            </w:pPr>
            <w:r w:rsidRPr="007D4FF2">
              <w:rPr>
                <w:rFonts w:ascii="Calibri" w:hAnsi="Calibri" w:cs="Times New Roman"/>
                <w:sz w:val="20"/>
                <w:szCs w:val="20"/>
              </w:rPr>
              <w:t>25,000</w:t>
            </w:r>
          </w:p>
        </w:tc>
        <w:tc>
          <w:tcPr>
            <w:tcW w:w="2070" w:type="dxa"/>
            <w:tcBorders>
              <w:top w:val="nil"/>
              <w:left w:val="nil"/>
              <w:bottom w:val="nil"/>
              <w:right w:val="single" w:sz="8" w:space="0" w:color="auto"/>
            </w:tcBorders>
            <w:shd w:val="clear" w:color="000000" w:fill="91A8C4"/>
            <w:noWrap/>
            <w:vAlign w:val="center"/>
            <w:hideMark/>
          </w:tcPr>
          <w:p w14:paraId="081EB914" w14:textId="77777777" w:rsidR="00E170EC" w:rsidRPr="00E170EC" w:rsidRDefault="00E170EC" w:rsidP="00E170EC">
            <w:pPr>
              <w:spacing w:after="0" w:line="240" w:lineRule="auto"/>
              <w:contextualSpacing/>
              <w:jc w:val="center"/>
              <w:rPr>
                <w:rFonts w:asciiTheme="minorHAnsi" w:hAnsiTheme="minorHAnsi"/>
                <w:sz w:val="20"/>
              </w:rPr>
            </w:pPr>
            <w:r w:rsidRPr="00E170EC">
              <w:rPr>
                <w:rFonts w:asciiTheme="minorHAnsi" w:hAnsiTheme="minorHAnsi"/>
                <w:sz w:val="20"/>
              </w:rPr>
              <w:t>946,441</w:t>
            </w:r>
          </w:p>
        </w:tc>
      </w:tr>
      <w:tr w:rsidR="00E170EC" w:rsidRPr="0072315A" w14:paraId="38828FCB" w14:textId="77777777" w:rsidTr="009D4CEF">
        <w:trPr>
          <w:trHeight w:val="615"/>
          <w:jc w:val="center"/>
        </w:trPr>
        <w:tc>
          <w:tcPr>
            <w:tcW w:w="640" w:type="dxa"/>
            <w:tcBorders>
              <w:top w:val="nil"/>
              <w:left w:val="single" w:sz="8" w:space="0" w:color="auto"/>
              <w:bottom w:val="nil"/>
              <w:right w:val="nil"/>
            </w:tcBorders>
            <w:shd w:val="clear" w:color="auto" w:fill="auto"/>
            <w:noWrap/>
            <w:vAlign w:val="center"/>
            <w:hideMark/>
          </w:tcPr>
          <w:p w14:paraId="5B33A7BA" w14:textId="77777777" w:rsidR="00E170EC" w:rsidRDefault="00E170EC" w:rsidP="00E170EC">
            <w:pPr>
              <w:spacing w:after="0" w:line="240" w:lineRule="auto"/>
              <w:contextualSpacing/>
              <w:jc w:val="center"/>
              <w:rPr>
                <w:rFonts w:ascii="Calibri" w:hAnsi="Calibri"/>
                <w:color w:val="000000"/>
                <w:sz w:val="20"/>
                <w:szCs w:val="20"/>
              </w:rPr>
            </w:pPr>
            <w:r>
              <w:rPr>
                <w:rFonts w:ascii="Calibri" w:hAnsi="Calibri"/>
                <w:color w:val="000000"/>
                <w:sz w:val="20"/>
                <w:szCs w:val="20"/>
              </w:rPr>
              <w:t>2020</w:t>
            </w:r>
          </w:p>
        </w:tc>
        <w:tc>
          <w:tcPr>
            <w:tcW w:w="1080" w:type="dxa"/>
            <w:tcBorders>
              <w:top w:val="nil"/>
              <w:left w:val="single" w:sz="8" w:space="0" w:color="auto"/>
              <w:bottom w:val="nil"/>
              <w:right w:val="nil"/>
            </w:tcBorders>
            <w:shd w:val="clear" w:color="auto" w:fill="auto"/>
            <w:noWrap/>
            <w:vAlign w:val="center"/>
            <w:hideMark/>
          </w:tcPr>
          <w:p w14:paraId="67B6733E"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4,769,664</w:t>
            </w:r>
          </w:p>
        </w:tc>
        <w:tc>
          <w:tcPr>
            <w:tcW w:w="1080" w:type="dxa"/>
            <w:tcBorders>
              <w:top w:val="nil"/>
              <w:left w:val="nil"/>
              <w:bottom w:val="nil"/>
              <w:right w:val="nil"/>
            </w:tcBorders>
            <w:shd w:val="clear" w:color="auto" w:fill="auto"/>
            <w:noWrap/>
            <w:vAlign w:val="center"/>
            <w:hideMark/>
          </w:tcPr>
          <w:p w14:paraId="5D700835"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2,948,056</w:t>
            </w:r>
          </w:p>
        </w:tc>
        <w:tc>
          <w:tcPr>
            <w:tcW w:w="1170" w:type="dxa"/>
            <w:tcBorders>
              <w:top w:val="nil"/>
              <w:left w:val="single" w:sz="8" w:space="0" w:color="auto"/>
              <w:bottom w:val="nil"/>
              <w:right w:val="nil"/>
            </w:tcBorders>
            <w:shd w:val="clear" w:color="auto" w:fill="auto"/>
            <w:noWrap/>
            <w:vAlign w:val="center"/>
            <w:hideMark/>
          </w:tcPr>
          <w:p w14:paraId="2DF7CEAB"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352,843</w:t>
            </w:r>
          </w:p>
        </w:tc>
        <w:tc>
          <w:tcPr>
            <w:tcW w:w="1260" w:type="dxa"/>
            <w:tcBorders>
              <w:top w:val="nil"/>
              <w:left w:val="nil"/>
              <w:bottom w:val="nil"/>
              <w:right w:val="nil"/>
            </w:tcBorders>
            <w:shd w:val="clear" w:color="auto" w:fill="auto"/>
            <w:noWrap/>
            <w:vAlign w:val="center"/>
            <w:hideMark/>
          </w:tcPr>
          <w:p w14:paraId="16C041CD"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626,755</w:t>
            </w:r>
          </w:p>
        </w:tc>
        <w:tc>
          <w:tcPr>
            <w:tcW w:w="1350" w:type="dxa"/>
            <w:tcBorders>
              <w:top w:val="nil"/>
              <w:left w:val="nil"/>
              <w:bottom w:val="nil"/>
              <w:right w:val="single" w:sz="8" w:space="0" w:color="auto"/>
            </w:tcBorders>
            <w:shd w:val="clear" w:color="auto" w:fill="auto"/>
            <w:noWrap/>
            <w:vAlign w:val="center"/>
            <w:hideMark/>
          </w:tcPr>
          <w:p w14:paraId="68A91A7B"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979,599</w:t>
            </w:r>
          </w:p>
        </w:tc>
        <w:tc>
          <w:tcPr>
            <w:tcW w:w="1260" w:type="dxa"/>
            <w:tcBorders>
              <w:top w:val="nil"/>
              <w:left w:val="nil"/>
              <w:bottom w:val="nil"/>
              <w:right w:val="single" w:sz="8" w:space="0" w:color="auto"/>
            </w:tcBorders>
            <w:shd w:val="clear" w:color="auto" w:fill="auto"/>
            <w:noWrap/>
            <w:vAlign w:val="center"/>
            <w:hideMark/>
          </w:tcPr>
          <w:p w14:paraId="3A69C5B0" w14:textId="77777777" w:rsidR="00E170EC" w:rsidRPr="007D4FF2" w:rsidRDefault="00E170EC" w:rsidP="00E170EC">
            <w:pPr>
              <w:widowControl/>
              <w:spacing w:after="0" w:line="240" w:lineRule="auto"/>
              <w:contextualSpacing/>
              <w:jc w:val="center"/>
              <w:rPr>
                <w:rFonts w:ascii="Calibri" w:hAnsi="Calibri" w:cs="Times New Roman"/>
                <w:sz w:val="20"/>
                <w:szCs w:val="20"/>
              </w:rPr>
            </w:pPr>
            <w:r w:rsidRPr="007D4FF2">
              <w:rPr>
                <w:rFonts w:ascii="Calibri" w:hAnsi="Calibri" w:cs="Times New Roman"/>
                <w:sz w:val="20"/>
                <w:szCs w:val="20"/>
              </w:rPr>
              <w:t>25,000</w:t>
            </w:r>
          </w:p>
        </w:tc>
        <w:tc>
          <w:tcPr>
            <w:tcW w:w="2070" w:type="dxa"/>
            <w:tcBorders>
              <w:top w:val="nil"/>
              <w:left w:val="nil"/>
              <w:bottom w:val="nil"/>
              <w:right w:val="single" w:sz="8" w:space="0" w:color="auto"/>
            </w:tcBorders>
            <w:shd w:val="clear" w:color="000000" w:fill="91A8C4"/>
            <w:noWrap/>
            <w:vAlign w:val="center"/>
            <w:hideMark/>
          </w:tcPr>
          <w:p w14:paraId="06D1C516" w14:textId="77777777" w:rsidR="00E170EC" w:rsidRPr="00E170EC" w:rsidRDefault="00E170EC" w:rsidP="00E170EC">
            <w:pPr>
              <w:spacing w:after="0" w:line="240" w:lineRule="auto"/>
              <w:contextualSpacing/>
              <w:jc w:val="center"/>
              <w:rPr>
                <w:rFonts w:asciiTheme="minorHAnsi" w:hAnsiTheme="minorHAnsi"/>
                <w:sz w:val="20"/>
              </w:rPr>
            </w:pPr>
            <w:r w:rsidRPr="00E170EC">
              <w:rPr>
                <w:rFonts w:asciiTheme="minorHAnsi" w:hAnsiTheme="minorHAnsi"/>
                <w:sz w:val="20"/>
              </w:rPr>
              <w:t>1,004,599</w:t>
            </w:r>
          </w:p>
        </w:tc>
      </w:tr>
      <w:tr w:rsidR="00E170EC" w:rsidRPr="0072315A" w14:paraId="5013EEFD" w14:textId="77777777" w:rsidTr="009D4CEF">
        <w:trPr>
          <w:trHeight w:val="615"/>
          <w:jc w:val="center"/>
        </w:trPr>
        <w:tc>
          <w:tcPr>
            <w:tcW w:w="640" w:type="dxa"/>
            <w:tcBorders>
              <w:top w:val="nil"/>
              <w:left w:val="single" w:sz="8" w:space="0" w:color="auto"/>
              <w:bottom w:val="nil"/>
              <w:right w:val="nil"/>
            </w:tcBorders>
            <w:shd w:val="clear" w:color="auto" w:fill="auto"/>
            <w:noWrap/>
            <w:vAlign w:val="center"/>
            <w:hideMark/>
          </w:tcPr>
          <w:p w14:paraId="03D33E6F" w14:textId="77777777" w:rsidR="00E170EC" w:rsidRDefault="00E170EC" w:rsidP="00E170EC">
            <w:pPr>
              <w:spacing w:after="0" w:line="240" w:lineRule="auto"/>
              <w:contextualSpacing/>
              <w:jc w:val="center"/>
              <w:rPr>
                <w:rFonts w:ascii="Calibri" w:hAnsi="Calibri"/>
                <w:color w:val="000000"/>
                <w:sz w:val="20"/>
                <w:szCs w:val="20"/>
              </w:rPr>
            </w:pPr>
            <w:r>
              <w:rPr>
                <w:rFonts w:ascii="Calibri" w:hAnsi="Calibri"/>
                <w:color w:val="000000"/>
                <w:sz w:val="20"/>
                <w:szCs w:val="20"/>
              </w:rPr>
              <w:t>2021</w:t>
            </w:r>
          </w:p>
        </w:tc>
        <w:tc>
          <w:tcPr>
            <w:tcW w:w="1080" w:type="dxa"/>
            <w:tcBorders>
              <w:top w:val="nil"/>
              <w:left w:val="single" w:sz="8" w:space="0" w:color="auto"/>
              <w:bottom w:val="nil"/>
              <w:right w:val="nil"/>
            </w:tcBorders>
            <w:shd w:val="clear" w:color="auto" w:fill="auto"/>
            <w:noWrap/>
            <w:vAlign w:val="center"/>
            <w:hideMark/>
          </w:tcPr>
          <w:p w14:paraId="5A0EDA13"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4,817,844</w:t>
            </w:r>
          </w:p>
        </w:tc>
        <w:tc>
          <w:tcPr>
            <w:tcW w:w="1080" w:type="dxa"/>
            <w:tcBorders>
              <w:top w:val="nil"/>
              <w:left w:val="nil"/>
              <w:bottom w:val="nil"/>
              <w:right w:val="nil"/>
            </w:tcBorders>
            <w:shd w:val="clear" w:color="auto" w:fill="auto"/>
            <w:noWrap/>
            <w:vAlign w:val="center"/>
            <w:hideMark/>
          </w:tcPr>
          <w:p w14:paraId="06D0FC1F"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2,977,179</w:t>
            </w:r>
          </w:p>
        </w:tc>
        <w:tc>
          <w:tcPr>
            <w:tcW w:w="1170" w:type="dxa"/>
            <w:tcBorders>
              <w:top w:val="nil"/>
              <w:left w:val="single" w:sz="8" w:space="0" w:color="auto"/>
              <w:bottom w:val="nil"/>
              <w:right w:val="nil"/>
            </w:tcBorders>
            <w:shd w:val="clear" w:color="auto" w:fill="auto"/>
            <w:noWrap/>
            <w:vAlign w:val="center"/>
            <w:hideMark/>
          </w:tcPr>
          <w:p w14:paraId="1A64F659"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363,984</w:t>
            </w:r>
          </w:p>
        </w:tc>
        <w:tc>
          <w:tcPr>
            <w:tcW w:w="1260" w:type="dxa"/>
            <w:tcBorders>
              <w:top w:val="nil"/>
              <w:left w:val="nil"/>
              <w:bottom w:val="nil"/>
              <w:right w:val="nil"/>
            </w:tcBorders>
            <w:shd w:val="clear" w:color="auto" w:fill="auto"/>
            <w:noWrap/>
            <w:vAlign w:val="center"/>
            <w:hideMark/>
          </w:tcPr>
          <w:p w14:paraId="2E4B79F1"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675,894</w:t>
            </w:r>
          </w:p>
        </w:tc>
        <w:tc>
          <w:tcPr>
            <w:tcW w:w="1350" w:type="dxa"/>
            <w:tcBorders>
              <w:top w:val="nil"/>
              <w:left w:val="nil"/>
              <w:bottom w:val="nil"/>
              <w:right w:val="single" w:sz="8" w:space="0" w:color="auto"/>
            </w:tcBorders>
            <w:shd w:val="clear" w:color="auto" w:fill="auto"/>
            <w:noWrap/>
            <w:vAlign w:val="center"/>
            <w:hideMark/>
          </w:tcPr>
          <w:p w14:paraId="2091E294"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1,039,878</w:t>
            </w:r>
          </w:p>
        </w:tc>
        <w:tc>
          <w:tcPr>
            <w:tcW w:w="1260" w:type="dxa"/>
            <w:tcBorders>
              <w:top w:val="nil"/>
              <w:left w:val="nil"/>
              <w:bottom w:val="nil"/>
              <w:right w:val="single" w:sz="8" w:space="0" w:color="auto"/>
            </w:tcBorders>
            <w:shd w:val="clear" w:color="auto" w:fill="auto"/>
            <w:noWrap/>
            <w:vAlign w:val="center"/>
            <w:hideMark/>
          </w:tcPr>
          <w:p w14:paraId="17ADFAF2" w14:textId="77777777" w:rsidR="00E170EC" w:rsidRPr="007D4FF2" w:rsidRDefault="00E170EC" w:rsidP="00E170EC">
            <w:pPr>
              <w:widowControl/>
              <w:spacing w:after="0" w:line="240" w:lineRule="auto"/>
              <w:contextualSpacing/>
              <w:jc w:val="center"/>
              <w:rPr>
                <w:rFonts w:ascii="Calibri" w:hAnsi="Calibri" w:cs="Times New Roman"/>
                <w:sz w:val="20"/>
                <w:szCs w:val="20"/>
              </w:rPr>
            </w:pPr>
            <w:r w:rsidRPr="007D4FF2">
              <w:rPr>
                <w:rFonts w:ascii="Calibri" w:hAnsi="Calibri" w:cs="Times New Roman"/>
                <w:sz w:val="20"/>
                <w:szCs w:val="20"/>
              </w:rPr>
              <w:t>25,000</w:t>
            </w:r>
          </w:p>
        </w:tc>
        <w:tc>
          <w:tcPr>
            <w:tcW w:w="2070" w:type="dxa"/>
            <w:tcBorders>
              <w:top w:val="nil"/>
              <w:left w:val="nil"/>
              <w:bottom w:val="nil"/>
              <w:right w:val="single" w:sz="8" w:space="0" w:color="auto"/>
            </w:tcBorders>
            <w:shd w:val="clear" w:color="000000" w:fill="91A8C4"/>
            <w:noWrap/>
            <w:vAlign w:val="center"/>
            <w:hideMark/>
          </w:tcPr>
          <w:p w14:paraId="0880CBB7" w14:textId="77777777" w:rsidR="00E170EC" w:rsidRPr="00E170EC" w:rsidRDefault="00E170EC" w:rsidP="00E170EC">
            <w:pPr>
              <w:spacing w:after="0" w:line="240" w:lineRule="auto"/>
              <w:contextualSpacing/>
              <w:jc w:val="center"/>
              <w:rPr>
                <w:rFonts w:asciiTheme="minorHAnsi" w:hAnsiTheme="minorHAnsi"/>
                <w:sz w:val="20"/>
              </w:rPr>
            </w:pPr>
            <w:r w:rsidRPr="00E170EC">
              <w:rPr>
                <w:rFonts w:asciiTheme="minorHAnsi" w:hAnsiTheme="minorHAnsi"/>
                <w:sz w:val="20"/>
              </w:rPr>
              <w:t>1,064,878</w:t>
            </w:r>
          </w:p>
        </w:tc>
      </w:tr>
      <w:tr w:rsidR="00E170EC" w:rsidRPr="0072315A" w14:paraId="6DD86F8F" w14:textId="77777777" w:rsidTr="009D4CEF">
        <w:trPr>
          <w:trHeight w:val="615"/>
          <w:jc w:val="center"/>
        </w:trPr>
        <w:tc>
          <w:tcPr>
            <w:tcW w:w="640" w:type="dxa"/>
            <w:tcBorders>
              <w:top w:val="nil"/>
              <w:left w:val="single" w:sz="8" w:space="0" w:color="auto"/>
              <w:bottom w:val="nil"/>
              <w:right w:val="nil"/>
            </w:tcBorders>
            <w:shd w:val="clear" w:color="auto" w:fill="auto"/>
            <w:noWrap/>
            <w:vAlign w:val="center"/>
            <w:hideMark/>
          </w:tcPr>
          <w:p w14:paraId="27C45300" w14:textId="77777777" w:rsidR="00E170EC" w:rsidRDefault="00E170EC" w:rsidP="00E170EC">
            <w:pPr>
              <w:spacing w:after="0" w:line="240" w:lineRule="auto"/>
              <w:contextualSpacing/>
              <w:jc w:val="center"/>
              <w:rPr>
                <w:rFonts w:ascii="Calibri" w:hAnsi="Calibri"/>
                <w:color w:val="000000"/>
                <w:sz w:val="20"/>
                <w:szCs w:val="20"/>
              </w:rPr>
            </w:pPr>
            <w:r>
              <w:rPr>
                <w:rFonts w:ascii="Calibri" w:hAnsi="Calibri"/>
                <w:color w:val="000000"/>
                <w:sz w:val="20"/>
                <w:szCs w:val="20"/>
              </w:rPr>
              <w:t>2022</w:t>
            </w:r>
          </w:p>
        </w:tc>
        <w:tc>
          <w:tcPr>
            <w:tcW w:w="1080" w:type="dxa"/>
            <w:tcBorders>
              <w:top w:val="nil"/>
              <w:left w:val="single" w:sz="8" w:space="0" w:color="auto"/>
              <w:bottom w:val="nil"/>
              <w:right w:val="nil"/>
            </w:tcBorders>
            <w:shd w:val="clear" w:color="auto" w:fill="auto"/>
            <w:noWrap/>
            <w:vAlign w:val="center"/>
            <w:hideMark/>
          </w:tcPr>
          <w:p w14:paraId="31B100D7"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4,886,307</w:t>
            </w:r>
          </w:p>
        </w:tc>
        <w:tc>
          <w:tcPr>
            <w:tcW w:w="1080" w:type="dxa"/>
            <w:tcBorders>
              <w:top w:val="nil"/>
              <w:left w:val="nil"/>
              <w:bottom w:val="nil"/>
              <w:right w:val="nil"/>
            </w:tcBorders>
            <w:shd w:val="clear" w:color="auto" w:fill="auto"/>
            <w:noWrap/>
            <w:vAlign w:val="center"/>
            <w:hideMark/>
          </w:tcPr>
          <w:p w14:paraId="6E7A09C6"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3,018,791</w:t>
            </w:r>
          </w:p>
        </w:tc>
        <w:tc>
          <w:tcPr>
            <w:tcW w:w="1170" w:type="dxa"/>
            <w:tcBorders>
              <w:top w:val="nil"/>
              <w:left w:val="single" w:sz="8" w:space="0" w:color="auto"/>
              <w:bottom w:val="nil"/>
              <w:right w:val="nil"/>
            </w:tcBorders>
            <w:shd w:val="clear" w:color="auto" w:fill="auto"/>
            <w:noWrap/>
            <w:vAlign w:val="center"/>
            <w:hideMark/>
          </w:tcPr>
          <w:p w14:paraId="5AD5F0AE"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378,657</w:t>
            </w:r>
          </w:p>
        </w:tc>
        <w:tc>
          <w:tcPr>
            <w:tcW w:w="1260" w:type="dxa"/>
            <w:tcBorders>
              <w:top w:val="nil"/>
              <w:left w:val="nil"/>
              <w:bottom w:val="nil"/>
              <w:right w:val="nil"/>
            </w:tcBorders>
            <w:shd w:val="clear" w:color="auto" w:fill="auto"/>
            <w:noWrap/>
            <w:vAlign w:val="center"/>
            <w:hideMark/>
          </w:tcPr>
          <w:p w14:paraId="5C7F37DF"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735,221</w:t>
            </w:r>
          </w:p>
        </w:tc>
        <w:tc>
          <w:tcPr>
            <w:tcW w:w="1350" w:type="dxa"/>
            <w:tcBorders>
              <w:top w:val="nil"/>
              <w:left w:val="nil"/>
              <w:bottom w:val="nil"/>
              <w:right w:val="single" w:sz="8" w:space="0" w:color="auto"/>
            </w:tcBorders>
            <w:shd w:val="clear" w:color="auto" w:fill="auto"/>
            <w:noWrap/>
            <w:vAlign w:val="center"/>
            <w:hideMark/>
          </w:tcPr>
          <w:p w14:paraId="178F5F19"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1,113,877</w:t>
            </w:r>
          </w:p>
        </w:tc>
        <w:tc>
          <w:tcPr>
            <w:tcW w:w="1260" w:type="dxa"/>
            <w:tcBorders>
              <w:top w:val="nil"/>
              <w:left w:val="nil"/>
              <w:bottom w:val="nil"/>
              <w:right w:val="single" w:sz="8" w:space="0" w:color="auto"/>
            </w:tcBorders>
            <w:shd w:val="clear" w:color="auto" w:fill="auto"/>
            <w:noWrap/>
            <w:vAlign w:val="center"/>
            <w:hideMark/>
          </w:tcPr>
          <w:p w14:paraId="724009EF" w14:textId="77777777" w:rsidR="00E170EC" w:rsidRPr="007D4FF2" w:rsidRDefault="00E170EC" w:rsidP="00E170EC">
            <w:pPr>
              <w:widowControl/>
              <w:spacing w:after="0" w:line="240" w:lineRule="auto"/>
              <w:contextualSpacing/>
              <w:jc w:val="center"/>
              <w:rPr>
                <w:rFonts w:ascii="Calibri" w:hAnsi="Calibri" w:cs="Times New Roman"/>
                <w:sz w:val="20"/>
                <w:szCs w:val="20"/>
              </w:rPr>
            </w:pPr>
            <w:r w:rsidRPr="007D4FF2">
              <w:rPr>
                <w:rFonts w:ascii="Calibri" w:hAnsi="Calibri" w:cs="Times New Roman"/>
                <w:sz w:val="20"/>
                <w:szCs w:val="20"/>
              </w:rPr>
              <w:t>25,000</w:t>
            </w:r>
          </w:p>
        </w:tc>
        <w:tc>
          <w:tcPr>
            <w:tcW w:w="2070" w:type="dxa"/>
            <w:tcBorders>
              <w:top w:val="nil"/>
              <w:left w:val="nil"/>
              <w:bottom w:val="nil"/>
              <w:right w:val="single" w:sz="8" w:space="0" w:color="auto"/>
            </w:tcBorders>
            <w:shd w:val="clear" w:color="000000" w:fill="91A8C4"/>
            <w:noWrap/>
            <w:vAlign w:val="center"/>
            <w:hideMark/>
          </w:tcPr>
          <w:p w14:paraId="1DCA1D72" w14:textId="77777777" w:rsidR="00E170EC" w:rsidRPr="00E170EC" w:rsidRDefault="00E170EC" w:rsidP="00E170EC">
            <w:pPr>
              <w:spacing w:after="0" w:line="240" w:lineRule="auto"/>
              <w:contextualSpacing/>
              <w:jc w:val="center"/>
              <w:rPr>
                <w:rFonts w:asciiTheme="minorHAnsi" w:hAnsiTheme="minorHAnsi"/>
                <w:sz w:val="20"/>
              </w:rPr>
            </w:pPr>
            <w:r w:rsidRPr="00E170EC">
              <w:rPr>
                <w:rFonts w:asciiTheme="minorHAnsi" w:hAnsiTheme="minorHAnsi"/>
                <w:sz w:val="20"/>
              </w:rPr>
              <w:t>1,138,877</w:t>
            </w:r>
          </w:p>
        </w:tc>
      </w:tr>
      <w:tr w:rsidR="00E170EC" w:rsidRPr="0072315A" w14:paraId="5286D95C" w14:textId="77777777" w:rsidTr="009D4CEF">
        <w:trPr>
          <w:trHeight w:val="615"/>
          <w:jc w:val="center"/>
        </w:trPr>
        <w:tc>
          <w:tcPr>
            <w:tcW w:w="640" w:type="dxa"/>
            <w:tcBorders>
              <w:top w:val="nil"/>
              <w:left w:val="single" w:sz="8" w:space="0" w:color="auto"/>
              <w:bottom w:val="nil"/>
              <w:right w:val="nil"/>
            </w:tcBorders>
            <w:shd w:val="clear" w:color="auto" w:fill="auto"/>
            <w:noWrap/>
            <w:vAlign w:val="center"/>
            <w:hideMark/>
          </w:tcPr>
          <w:p w14:paraId="233CB64A" w14:textId="77777777" w:rsidR="00E170EC" w:rsidRDefault="00E170EC" w:rsidP="00E170EC">
            <w:pPr>
              <w:spacing w:after="0" w:line="240" w:lineRule="auto"/>
              <w:contextualSpacing/>
              <w:jc w:val="center"/>
              <w:rPr>
                <w:rFonts w:ascii="Calibri" w:hAnsi="Calibri"/>
                <w:color w:val="000000"/>
                <w:sz w:val="20"/>
                <w:szCs w:val="20"/>
              </w:rPr>
            </w:pPr>
            <w:r>
              <w:rPr>
                <w:rFonts w:ascii="Calibri" w:hAnsi="Calibri"/>
                <w:color w:val="000000"/>
                <w:sz w:val="20"/>
                <w:szCs w:val="20"/>
              </w:rPr>
              <w:t>2023</w:t>
            </w:r>
          </w:p>
        </w:tc>
        <w:tc>
          <w:tcPr>
            <w:tcW w:w="1080" w:type="dxa"/>
            <w:tcBorders>
              <w:top w:val="nil"/>
              <w:left w:val="single" w:sz="8" w:space="0" w:color="auto"/>
              <w:bottom w:val="nil"/>
              <w:right w:val="nil"/>
            </w:tcBorders>
            <w:shd w:val="clear" w:color="auto" w:fill="auto"/>
            <w:noWrap/>
            <w:vAlign w:val="center"/>
            <w:hideMark/>
          </w:tcPr>
          <w:p w14:paraId="6B29F9BD"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4,954,176</w:t>
            </w:r>
          </w:p>
        </w:tc>
        <w:tc>
          <w:tcPr>
            <w:tcW w:w="1080" w:type="dxa"/>
            <w:tcBorders>
              <w:top w:val="nil"/>
              <w:left w:val="nil"/>
              <w:bottom w:val="nil"/>
              <w:right w:val="nil"/>
            </w:tcBorders>
            <w:shd w:val="clear" w:color="auto" w:fill="auto"/>
            <w:noWrap/>
            <w:vAlign w:val="center"/>
            <w:hideMark/>
          </w:tcPr>
          <w:p w14:paraId="445EC517"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3,060,537</w:t>
            </w:r>
          </w:p>
        </w:tc>
        <w:tc>
          <w:tcPr>
            <w:tcW w:w="1170" w:type="dxa"/>
            <w:tcBorders>
              <w:top w:val="nil"/>
              <w:left w:val="single" w:sz="8" w:space="0" w:color="auto"/>
              <w:bottom w:val="nil"/>
              <w:right w:val="nil"/>
            </w:tcBorders>
            <w:shd w:val="clear" w:color="auto" w:fill="auto"/>
            <w:noWrap/>
            <w:vAlign w:val="center"/>
            <w:hideMark/>
          </w:tcPr>
          <w:p w14:paraId="02BBDFE5"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395,111</w:t>
            </w:r>
          </w:p>
        </w:tc>
        <w:tc>
          <w:tcPr>
            <w:tcW w:w="1260" w:type="dxa"/>
            <w:tcBorders>
              <w:top w:val="nil"/>
              <w:left w:val="nil"/>
              <w:bottom w:val="nil"/>
              <w:right w:val="nil"/>
            </w:tcBorders>
            <w:shd w:val="clear" w:color="auto" w:fill="auto"/>
            <w:noWrap/>
            <w:vAlign w:val="center"/>
            <w:hideMark/>
          </w:tcPr>
          <w:p w14:paraId="7C89142D"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800,558</w:t>
            </w:r>
          </w:p>
        </w:tc>
        <w:tc>
          <w:tcPr>
            <w:tcW w:w="1350" w:type="dxa"/>
            <w:tcBorders>
              <w:top w:val="nil"/>
              <w:left w:val="nil"/>
              <w:bottom w:val="nil"/>
              <w:right w:val="single" w:sz="8" w:space="0" w:color="auto"/>
            </w:tcBorders>
            <w:shd w:val="clear" w:color="auto" w:fill="auto"/>
            <w:noWrap/>
            <w:vAlign w:val="center"/>
            <w:hideMark/>
          </w:tcPr>
          <w:p w14:paraId="31D80733"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1,195,669</w:t>
            </w:r>
          </w:p>
        </w:tc>
        <w:tc>
          <w:tcPr>
            <w:tcW w:w="1260" w:type="dxa"/>
            <w:tcBorders>
              <w:top w:val="nil"/>
              <w:left w:val="nil"/>
              <w:bottom w:val="nil"/>
              <w:right w:val="single" w:sz="8" w:space="0" w:color="auto"/>
            </w:tcBorders>
            <w:shd w:val="clear" w:color="auto" w:fill="auto"/>
            <w:noWrap/>
            <w:vAlign w:val="center"/>
            <w:hideMark/>
          </w:tcPr>
          <w:p w14:paraId="4798FBE1" w14:textId="77777777" w:rsidR="00E170EC" w:rsidRPr="007D4FF2" w:rsidRDefault="00E170EC" w:rsidP="00E170EC">
            <w:pPr>
              <w:widowControl/>
              <w:spacing w:after="0" w:line="240" w:lineRule="auto"/>
              <w:contextualSpacing/>
              <w:jc w:val="center"/>
              <w:rPr>
                <w:rFonts w:ascii="Calibri" w:hAnsi="Calibri" w:cs="Times New Roman"/>
                <w:sz w:val="20"/>
                <w:szCs w:val="20"/>
              </w:rPr>
            </w:pPr>
            <w:r w:rsidRPr="007D4FF2">
              <w:rPr>
                <w:rFonts w:ascii="Calibri" w:hAnsi="Calibri" w:cs="Times New Roman"/>
                <w:sz w:val="20"/>
                <w:szCs w:val="20"/>
              </w:rPr>
              <w:t>25,000</w:t>
            </w:r>
          </w:p>
        </w:tc>
        <w:tc>
          <w:tcPr>
            <w:tcW w:w="2070" w:type="dxa"/>
            <w:tcBorders>
              <w:top w:val="nil"/>
              <w:left w:val="nil"/>
              <w:bottom w:val="nil"/>
              <w:right w:val="single" w:sz="8" w:space="0" w:color="auto"/>
            </w:tcBorders>
            <w:shd w:val="clear" w:color="000000" w:fill="91A8C4"/>
            <w:noWrap/>
            <w:vAlign w:val="center"/>
            <w:hideMark/>
          </w:tcPr>
          <w:p w14:paraId="5303C419" w14:textId="77777777" w:rsidR="00E170EC" w:rsidRPr="00E170EC" w:rsidRDefault="00E170EC" w:rsidP="00E170EC">
            <w:pPr>
              <w:spacing w:after="0" w:line="240" w:lineRule="auto"/>
              <w:contextualSpacing/>
              <w:jc w:val="center"/>
              <w:rPr>
                <w:rFonts w:asciiTheme="minorHAnsi" w:hAnsiTheme="minorHAnsi"/>
                <w:sz w:val="20"/>
              </w:rPr>
            </w:pPr>
            <w:r w:rsidRPr="00E170EC">
              <w:rPr>
                <w:rFonts w:asciiTheme="minorHAnsi" w:hAnsiTheme="minorHAnsi"/>
                <w:sz w:val="20"/>
              </w:rPr>
              <w:t>1,220,669</w:t>
            </w:r>
          </w:p>
        </w:tc>
      </w:tr>
      <w:tr w:rsidR="00E170EC" w:rsidRPr="0072315A" w14:paraId="4F471AD4" w14:textId="77777777" w:rsidTr="009D4CEF">
        <w:trPr>
          <w:trHeight w:val="615"/>
          <w:jc w:val="center"/>
        </w:trPr>
        <w:tc>
          <w:tcPr>
            <w:tcW w:w="640" w:type="dxa"/>
            <w:tcBorders>
              <w:top w:val="nil"/>
              <w:left w:val="single" w:sz="8" w:space="0" w:color="auto"/>
              <w:bottom w:val="nil"/>
              <w:right w:val="nil"/>
            </w:tcBorders>
            <w:shd w:val="clear" w:color="auto" w:fill="auto"/>
            <w:noWrap/>
            <w:vAlign w:val="center"/>
            <w:hideMark/>
          </w:tcPr>
          <w:p w14:paraId="1A4D75F1" w14:textId="77777777" w:rsidR="00E170EC" w:rsidRDefault="00E170EC" w:rsidP="00E170EC">
            <w:pPr>
              <w:spacing w:after="0" w:line="240" w:lineRule="auto"/>
              <w:contextualSpacing/>
              <w:jc w:val="center"/>
              <w:rPr>
                <w:rFonts w:ascii="Calibri" w:hAnsi="Calibri"/>
                <w:color w:val="000000"/>
                <w:sz w:val="20"/>
                <w:szCs w:val="20"/>
              </w:rPr>
            </w:pPr>
            <w:r>
              <w:rPr>
                <w:rFonts w:ascii="Calibri" w:hAnsi="Calibri"/>
                <w:color w:val="000000"/>
                <w:sz w:val="20"/>
                <w:szCs w:val="20"/>
              </w:rPr>
              <w:t>2024</w:t>
            </w:r>
          </w:p>
        </w:tc>
        <w:tc>
          <w:tcPr>
            <w:tcW w:w="1080" w:type="dxa"/>
            <w:tcBorders>
              <w:top w:val="nil"/>
              <w:left w:val="single" w:sz="8" w:space="0" w:color="auto"/>
              <w:bottom w:val="nil"/>
              <w:right w:val="nil"/>
            </w:tcBorders>
            <w:shd w:val="clear" w:color="auto" w:fill="auto"/>
            <w:noWrap/>
            <w:vAlign w:val="center"/>
            <w:hideMark/>
          </w:tcPr>
          <w:p w14:paraId="28B25806"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5,044,322</w:t>
            </w:r>
          </w:p>
        </w:tc>
        <w:tc>
          <w:tcPr>
            <w:tcW w:w="1080" w:type="dxa"/>
            <w:tcBorders>
              <w:top w:val="nil"/>
              <w:left w:val="nil"/>
              <w:bottom w:val="nil"/>
              <w:right w:val="nil"/>
            </w:tcBorders>
            <w:shd w:val="clear" w:color="auto" w:fill="auto"/>
            <w:noWrap/>
            <w:vAlign w:val="center"/>
            <w:hideMark/>
          </w:tcPr>
          <w:p w14:paraId="5CE79DDE"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3,115,644</w:t>
            </w:r>
          </w:p>
        </w:tc>
        <w:tc>
          <w:tcPr>
            <w:tcW w:w="1170" w:type="dxa"/>
            <w:tcBorders>
              <w:top w:val="nil"/>
              <w:left w:val="single" w:sz="8" w:space="0" w:color="auto"/>
              <w:bottom w:val="nil"/>
              <w:right w:val="nil"/>
            </w:tcBorders>
            <w:shd w:val="clear" w:color="auto" w:fill="auto"/>
            <w:noWrap/>
            <w:vAlign w:val="center"/>
            <w:hideMark/>
          </w:tcPr>
          <w:p w14:paraId="3CA036A0"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414,680</w:t>
            </w:r>
          </w:p>
        </w:tc>
        <w:tc>
          <w:tcPr>
            <w:tcW w:w="1260" w:type="dxa"/>
            <w:tcBorders>
              <w:top w:val="nil"/>
              <w:left w:val="nil"/>
              <w:bottom w:val="nil"/>
              <w:right w:val="nil"/>
            </w:tcBorders>
            <w:shd w:val="clear" w:color="auto" w:fill="auto"/>
            <w:noWrap/>
            <w:vAlign w:val="center"/>
            <w:hideMark/>
          </w:tcPr>
          <w:p w14:paraId="695C5DF5"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872,792</w:t>
            </w:r>
          </w:p>
        </w:tc>
        <w:tc>
          <w:tcPr>
            <w:tcW w:w="1350" w:type="dxa"/>
            <w:tcBorders>
              <w:top w:val="nil"/>
              <w:left w:val="nil"/>
              <w:bottom w:val="nil"/>
              <w:right w:val="single" w:sz="8" w:space="0" w:color="auto"/>
            </w:tcBorders>
            <w:shd w:val="clear" w:color="auto" w:fill="auto"/>
            <w:noWrap/>
            <w:vAlign w:val="center"/>
            <w:hideMark/>
          </w:tcPr>
          <w:p w14:paraId="178D64EF"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1,287,472</w:t>
            </w:r>
          </w:p>
        </w:tc>
        <w:tc>
          <w:tcPr>
            <w:tcW w:w="1260" w:type="dxa"/>
            <w:tcBorders>
              <w:top w:val="nil"/>
              <w:left w:val="nil"/>
              <w:bottom w:val="nil"/>
              <w:right w:val="single" w:sz="8" w:space="0" w:color="auto"/>
            </w:tcBorders>
            <w:shd w:val="clear" w:color="auto" w:fill="auto"/>
            <w:noWrap/>
            <w:vAlign w:val="center"/>
            <w:hideMark/>
          </w:tcPr>
          <w:p w14:paraId="2665F201" w14:textId="77777777" w:rsidR="00E170EC" w:rsidRPr="007D4FF2" w:rsidRDefault="00E170EC" w:rsidP="00E170EC">
            <w:pPr>
              <w:widowControl/>
              <w:spacing w:after="0" w:line="240" w:lineRule="auto"/>
              <w:contextualSpacing/>
              <w:jc w:val="center"/>
              <w:rPr>
                <w:rFonts w:ascii="Calibri" w:hAnsi="Calibri" w:cs="Times New Roman"/>
                <w:sz w:val="20"/>
                <w:szCs w:val="20"/>
              </w:rPr>
            </w:pPr>
            <w:r w:rsidRPr="007D4FF2">
              <w:rPr>
                <w:rFonts w:ascii="Calibri" w:hAnsi="Calibri" w:cs="Times New Roman"/>
                <w:sz w:val="20"/>
                <w:szCs w:val="20"/>
              </w:rPr>
              <w:t>25,000</w:t>
            </w:r>
          </w:p>
        </w:tc>
        <w:tc>
          <w:tcPr>
            <w:tcW w:w="2070" w:type="dxa"/>
            <w:tcBorders>
              <w:top w:val="nil"/>
              <w:left w:val="nil"/>
              <w:bottom w:val="nil"/>
              <w:right w:val="single" w:sz="8" w:space="0" w:color="auto"/>
            </w:tcBorders>
            <w:shd w:val="clear" w:color="000000" w:fill="91A8C4"/>
            <w:noWrap/>
            <w:vAlign w:val="center"/>
            <w:hideMark/>
          </w:tcPr>
          <w:p w14:paraId="3001C749" w14:textId="77777777" w:rsidR="00E170EC" w:rsidRPr="00E170EC" w:rsidRDefault="00E170EC" w:rsidP="00E170EC">
            <w:pPr>
              <w:spacing w:after="0" w:line="240" w:lineRule="auto"/>
              <w:contextualSpacing/>
              <w:jc w:val="center"/>
              <w:rPr>
                <w:rFonts w:asciiTheme="minorHAnsi" w:hAnsiTheme="minorHAnsi"/>
                <w:sz w:val="20"/>
              </w:rPr>
            </w:pPr>
            <w:r w:rsidRPr="00E170EC">
              <w:rPr>
                <w:rFonts w:asciiTheme="minorHAnsi" w:hAnsiTheme="minorHAnsi"/>
                <w:sz w:val="20"/>
              </w:rPr>
              <w:t>1,312,472</w:t>
            </w:r>
          </w:p>
        </w:tc>
      </w:tr>
      <w:tr w:rsidR="00E170EC" w:rsidRPr="0072315A" w14:paraId="344D319D" w14:textId="77777777" w:rsidTr="009D4CEF">
        <w:trPr>
          <w:trHeight w:val="615"/>
          <w:jc w:val="center"/>
        </w:trPr>
        <w:tc>
          <w:tcPr>
            <w:tcW w:w="640" w:type="dxa"/>
            <w:tcBorders>
              <w:top w:val="nil"/>
              <w:left w:val="single" w:sz="8" w:space="0" w:color="auto"/>
              <w:bottom w:val="nil"/>
              <w:right w:val="nil"/>
            </w:tcBorders>
            <w:shd w:val="clear" w:color="auto" w:fill="auto"/>
            <w:noWrap/>
            <w:vAlign w:val="center"/>
            <w:hideMark/>
          </w:tcPr>
          <w:p w14:paraId="75DD12A6" w14:textId="77777777" w:rsidR="00E170EC" w:rsidRDefault="00E170EC" w:rsidP="00E170EC">
            <w:pPr>
              <w:spacing w:after="0" w:line="240" w:lineRule="auto"/>
              <w:contextualSpacing/>
              <w:jc w:val="center"/>
              <w:rPr>
                <w:rFonts w:ascii="Calibri" w:hAnsi="Calibri"/>
                <w:color w:val="000000"/>
                <w:sz w:val="20"/>
                <w:szCs w:val="20"/>
              </w:rPr>
            </w:pPr>
            <w:r>
              <w:rPr>
                <w:rFonts w:ascii="Calibri" w:hAnsi="Calibri"/>
                <w:color w:val="000000"/>
                <w:sz w:val="20"/>
                <w:szCs w:val="20"/>
              </w:rPr>
              <w:t>2025</w:t>
            </w:r>
          </w:p>
        </w:tc>
        <w:tc>
          <w:tcPr>
            <w:tcW w:w="1080" w:type="dxa"/>
            <w:tcBorders>
              <w:top w:val="nil"/>
              <w:left w:val="single" w:sz="8" w:space="0" w:color="auto"/>
              <w:bottom w:val="nil"/>
              <w:right w:val="nil"/>
            </w:tcBorders>
            <w:shd w:val="clear" w:color="auto" w:fill="auto"/>
            <w:noWrap/>
            <w:vAlign w:val="center"/>
            <w:hideMark/>
          </w:tcPr>
          <w:p w14:paraId="3D217021"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5,093,061</w:t>
            </w:r>
          </w:p>
        </w:tc>
        <w:tc>
          <w:tcPr>
            <w:tcW w:w="1080" w:type="dxa"/>
            <w:tcBorders>
              <w:top w:val="nil"/>
              <w:left w:val="nil"/>
              <w:bottom w:val="nil"/>
              <w:right w:val="nil"/>
            </w:tcBorders>
            <w:shd w:val="clear" w:color="auto" w:fill="auto"/>
            <w:noWrap/>
            <w:vAlign w:val="center"/>
            <w:hideMark/>
          </w:tcPr>
          <w:p w14:paraId="46D76559"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3,145,133</w:t>
            </w:r>
          </w:p>
        </w:tc>
        <w:tc>
          <w:tcPr>
            <w:tcW w:w="1170" w:type="dxa"/>
            <w:tcBorders>
              <w:top w:val="nil"/>
              <w:left w:val="single" w:sz="8" w:space="0" w:color="auto"/>
              <w:bottom w:val="nil"/>
              <w:right w:val="nil"/>
            </w:tcBorders>
            <w:shd w:val="clear" w:color="auto" w:fill="auto"/>
            <w:noWrap/>
            <w:vAlign w:val="center"/>
            <w:hideMark/>
          </w:tcPr>
          <w:p w14:paraId="5057EC7C"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431,139</w:t>
            </w:r>
          </w:p>
        </w:tc>
        <w:tc>
          <w:tcPr>
            <w:tcW w:w="1260" w:type="dxa"/>
            <w:tcBorders>
              <w:top w:val="nil"/>
              <w:left w:val="nil"/>
              <w:bottom w:val="nil"/>
              <w:right w:val="nil"/>
            </w:tcBorders>
            <w:shd w:val="clear" w:color="auto" w:fill="auto"/>
            <w:noWrap/>
            <w:vAlign w:val="center"/>
            <w:hideMark/>
          </w:tcPr>
          <w:p w14:paraId="58183320"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938,231</w:t>
            </w:r>
          </w:p>
        </w:tc>
        <w:tc>
          <w:tcPr>
            <w:tcW w:w="1350" w:type="dxa"/>
            <w:tcBorders>
              <w:top w:val="nil"/>
              <w:left w:val="nil"/>
              <w:bottom w:val="nil"/>
              <w:right w:val="single" w:sz="8" w:space="0" w:color="auto"/>
            </w:tcBorders>
            <w:shd w:val="clear" w:color="auto" w:fill="auto"/>
            <w:noWrap/>
            <w:vAlign w:val="center"/>
            <w:hideMark/>
          </w:tcPr>
          <w:p w14:paraId="336E49E9"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1,369,370</w:t>
            </w:r>
          </w:p>
        </w:tc>
        <w:tc>
          <w:tcPr>
            <w:tcW w:w="1260" w:type="dxa"/>
            <w:tcBorders>
              <w:top w:val="nil"/>
              <w:left w:val="nil"/>
              <w:bottom w:val="nil"/>
              <w:right w:val="single" w:sz="8" w:space="0" w:color="auto"/>
            </w:tcBorders>
            <w:shd w:val="clear" w:color="auto" w:fill="auto"/>
            <w:noWrap/>
            <w:vAlign w:val="center"/>
            <w:hideMark/>
          </w:tcPr>
          <w:p w14:paraId="29165014" w14:textId="77777777" w:rsidR="00E170EC" w:rsidRPr="007D4FF2" w:rsidRDefault="00E170EC" w:rsidP="00E170EC">
            <w:pPr>
              <w:widowControl/>
              <w:spacing w:after="0" w:line="240" w:lineRule="auto"/>
              <w:contextualSpacing/>
              <w:jc w:val="center"/>
              <w:rPr>
                <w:rFonts w:ascii="Calibri" w:hAnsi="Calibri" w:cs="Times New Roman"/>
                <w:sz w:val="20"/>
                <w:szCs w:val="20"/>
              </w:rPr>
            </w:pPr>
            <w:r w:rsidRPr="007D4FF2">
              <w:rPr>
                <w:rFonts w:ascii="Calibri" w:hAnsi="Calibri" w:cs="Times New Roman"/>
                <w:sz w:val="20"/>
                <w:szCs w:val="20"/>
              </w:rPr>
              <w:t>25,000</w:t>
            </w:r>
          </w:p>
        </w:tc>
        <w:tc>
          <w:tcPr>
            <w:tcW w:w="2070" w:type="dxa"/>
            <w:tcBorders>
              <w:top w:val="nil"/>
              <w:left w:val="nil"/>
              <w:bottom w:val="nil"/>
              <w:right w:val="single" w:sz="8" w:space="0" w:color="auto"/>
            </w:tcBorders>
            <w:shd w:val="clear" w:color="000000" w:fill="91A8C4"/>
            <w:noWrap/>
            <w:vAlign w:val="center"/>
            <w:hideMark/>
          </w:tcPr>
          <w:p w14:paraId="580AE056" w14:textId="77777777" w:rsidR="00E170EC" w:rsidRPr="00E170EC" w:rsidRDefault="00E170EC" w:rsidP="00E170EC">
            <w:pPr>
              <w:spacing w:after="0" w:line="240" w:lineRule="auto"/>
              <w:contextualSpacing/>
              <w:jc w:val="center"/>
              <w:rPr>
                <w:rFonts w:asciiTheme="minorHAnsi" w:hAnsiTheme="minorHAnsi"/>
                <w:sz w:val="20"/>
              </w:rPr>
            </w:pPr>
            <w:r w:rsidRPr="00E170EC">
              <w:rPr>
                <w:rFonts w:asciiTheme="minorHAnsi" w:hAnsiTheme="minorHAnsi"/>
                <w:sz w:val="20"/>
              </w:rPr>
              <w:t>1,394,370</w:t>
            </w:r>
          </w:p>
        </w:tc>
      </w:tr>
      <w:tr w:rsidR="00E170EC" w:rsidRPr="0072315A" w14:paraId="31762C38" w14:textId="77777777" w:rsidTr="009D4CEF">
        <w:trPr>
          <w:trHeight w:val="615"/>
          <w:jc w:val="center"/>
        </w:trPr>
        <w:tc>
          <w:tcPr>
            <w:tcW w:w="640" w:type="dxa"/>
            <w:tcBorders>
              <w:top w:val="nil"/>
              <w:left w:val="single" w:sz="8" w:space="0" w:color="auto"/>
              <w:bottom w:val="nil"/>
              <w:right w:val="nil"/>
            </w:tcBorders>
            <w:shd w:val="clear" w:color="auto" w:fill="auto"/>
            <w:noWrap/>
            <w:vAlign w:val="center"/>
            <w:hideMark/>
          </w:tcPr>
          <w:p w14:paraId="10751CDE" w14:textId="77777777" w:rsidR="00E170EC" w:rsidRDefault="00E170EC" w:rsidP="00E170EC">
            <w:pPr>
              <w:spacing w:after="0" w:line="240" w:lineRule="auto"/>
              <w:contextualSpacing/>
              <w:jc w:val="center"/>
              <w:rPr>
                <w:rFonts w:ascii="Calibri" w:hAnsi="Calibri"/>
                <w:color w:val="000000"/>
                <w:sz w:val="20"/>
                <w:szCs w:val="20"/>
              </w:rPr>
            </w:pPr>
            <w:r>
              <w:rPr>
                <w:rFonts w:ascii="Calibri" w:hAnsi="Calibri"/>
                <w:color w:val="000000"/>
                <w:sz w:val="20"/>
                <w:szCs w:val="20"/>
              </w:rPr>
              <w:t>2026</w:t>
            </w:r>
          </w:p>
        </w:tc>
        <w:tc>
          <w:tcPr>
            <w:tcW w:w="1080" w:type="dxa"/>
            <w:tcBorders>
              <w:top w:val="nil"/>
              <w:left w:val="single" w:sz="8" w:space="0" w:color="auto"/>
              <w:bottom w:val="nil"/>
              <w:right w:val="nil"/>
            </w:tcBorders>
            <w:shd w:val="clear" w:color="auto" w:fill="auto"/>
            <w:noWrap/>
            <w:vAlign w:val="center"/>
            <w:hideMark/>
          </w:tcPr>
          <w:p w14:paraId="77E13967"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5,163,110</w:t>
            </w:r>
          </w:p>
        </w:tc>
        <w:tc>
          <w:tcPr>
            <w:tcW w:w="1080" w:type="dxa"/>
            <w:tcBorders>
              <w:top w:val="nil"/>
              <w:left w:val="nil"/>
              <w:bottom w:val="nil"/>
              <w:right w:val="nil"/>
            </w:tcBorders>
            <w:shd w:val="clear" w:color="auto" w:fill="auto"/>
            <w:noWrap/>
            <w:vAlign w:val="center"/>
            <w:hideMark/>
          </w:tcPr>
          <w:p w14:paraId="16640C92"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3,187,846</w:t>
            </w:r>
          </w:p>
        </w:tc>
        <w:tc>
          <w:tcPr>
            <w:tcW w:w="1170" w:type="dxa"/>
            <w:tcBorders>
              <w:top w:val="nil"/>
              <w:left w:val="single" w:sz="8" w:space="0" w:color="auto"/>
              <w:bottom w:val="nil"/>
              <w:right w:val="nil"/>
            </w:tcBorders>
            <w:shd w:val="clear" w:color="auto" w:fill="auto"/>
            <w:noWrap/>
            <w:vAlign w:val="center"/>
            <w:hideMark/>
          </w:tcPr>
          <w:p w14:paraId="1743031A"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449,272</w:t>
            </w:r>
          </w:p>
        </w:tc>
        <w:tc>
          <w:tcPr>
            <w:tcW w:w="1260" w:type="dxa"/>
            <w:tcBorders>
              <w:top w:val="nil"/>
              <w:left w:val="nil"/>
              <w:bottom w:val="nil"/>
              <w:right w:val="nil"/>
            </w:tcBorders>
            <w:shd w:val="clear" w:color="auto" w:fill="auto"/>
            <w:noWrap/>
            <w:vAlign w:val="center"/>
            <w:hideMark/>
          </w:tcPr>
          <w:p w14:paraId="00DAA98E"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1,004,324</w:t>
            </w:r>
          </w:p>
        </w:tc>
        <w:tc>
          <w:tcPr>
            <w:tcW w:w="1350" w:type="dxa"/>
            <w:tcBorders>
              <w:top w:val="nil"/>
              <w:left w:val="nil"/>
              <w:bottom w:val="nil"/>
              <w:right w:val="single" w:sz="8" w:space="0" w:color="auto"/>
            </w:tcBorders>
            <w:shd w:val="clear" w:color="auto" w:fill="auto"/>
            <w:noWrap/>
            <w:vAlign w:val="center"/>
            <w:hideMark/>
          </w:tcPr>
          <w:p w14:paraId="5FA76D66"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1,453,596</w:t>
            </w:r>
          </w:p>
        </w:tc>
        <w:tc>
          <w:tcPr>
            <w:tcW w:w="1260" w:type="dxa"/>
            <w:tcBorders>
              <w:top w:val="nil"/>
              <w:left w:val="nil"/>
              <w:bottom w:val="nil"/>
              <w:right w:val="single" w:sz="8" w:space="0" w:color="auto"/>
            </w:tcBorders>
            <w:shd w:val="clear" w:color="auto" w:fill="auto"/>
            <w:noWrap/>
            <w:vAlign w:val="center"/>
            <w:hideMark/>
          </w:tcPr>
          <w:p w14:paraId="351CC077" w14:textId="77777777" w:rsidR="00E170EC" w:rsidRPr="007D4FF2" w:rsidRDefault="00E170EC" w:rsidP="00E170EC">
            <w:pPr>
              <w:widowControl/>
              <w:spacing w:after="0" w:line="240" w:lineRule="auto"/>
              <w:contextualSpacing/>
              <w:jc w:val="center"/>
              <w:rPr>
                <w:rFonts w:ascii="Calibri" w:hAnsi="Calibri" w:cs="Times New Roman"/>
                <w:sz w:val="20"/>
                <w:szCs w:val="20"/>
              </w:rPr>
            </w:pPr>
            <w:r w:rsidRPr="007D4FF2">
              <w:rPr>
                <w:rFonts w:ascii="Calibri" w:hAnsi="Calibri" w:cs="Times New Roman"/>
                <w:sz w:val="20"/>
                <w:szCs w:val="20"/>
              </w:rPr>
              <w:t>25,000</w:t>
            </w:r>
          </w:p>
        </w:tc>
        <w:tc>
          <w:tcPr>
            <w:tcW w:w="2070" w:type="dxa"/>
            <w:tcBorders>
              <w:top w:val="nil"/>
              <w:left w:val="nil"/>
              <w:bottom w:val="nil"/>
              <w:right w:val="single" w:sz="8" w:space="0" w:color="auto"/>
            </w:tcBorders>
            <w:shd w:val="clear" w:color="000000" w:fill="91A8C4"/>
            <w:noWrap/>
            <w:vAlign w:val="center"/>
            <w:hideMark/>
          </w:tcPr>
          <w:p w14:paraId="2B107571" w14:textId="77777777" w:rsidR="00E170EC" w:rsidRPr="00E170EC" w:rsidRDefault="00E170EC" w:rsidP="00E170EC">
            <w:pPr>
              <w:spacing w:after="0" w:line="240" w:lineRule="auto"/>
              <w:contextualSpacing/>
              <w:jc w:val="center"/>
              <w:rPr>
                <w:rFonts w:asciiTheme="minorHAnsi" w:hAnsiTheme="minorHAnsi"/>
                <w:sz w:val="20"/>
              </w:rPr>
            </w:pPr>
            <w:r w:rsidRPr="00E170EC">
              <w:rPr>
                <w:rFonts w:asciiTheme="minorHAnsi" w:hAnsiTheme="minorHAnsi"/>
                <w:sz w:val="20"/>
              </w:rPr>
              <w:t>1,478,596</w:t>
            </w:r>
          </w:p>
        </w:tc>
      </w:tr>
      <w:tr w:rsidR="00E170EC" w:rsidRPr="0072315A" w14:paraId="2C5677C8" w14:textId="77777777" w:rsidTr="009D4CEF">
        <w:trPr>
          <w:trHeight w:val="640"/>
          <w:jc w:val="center"/>
        </w:trPr>
        <w:tc>
          <w:tcPr>
            <w:tcW w:w="640" w:type="dxa"/>
            <w:tcBorders>
              <w:top w:val="nil"/>
              <w:left w:val="single" w:sz="8" w:space="0" w:color="auto"/>
              <w:bottom w:val="single" w:sz="8" w:space="0" w:color="auto"/>
              <w:right w:val="nil"/>
            </w:tcBorders>
            <w:shd w:val="clear" w:color="auto" w:fill="auto"/>
            <w:noWrap/>
            <w:vAlign w:val="center"/>
            <w:hideMark/>
          </w:tcPr>
          <w:p w14:paraId="1D8B34B7" w14:textId="77777777" w:rsidR="00E170EC" w:rsidRDefault="00E170EC" w:rsidP="00E170EC">
            <w:pPr>
              <w:spacing w:after="0" w:line="240" w:lineRule="auto"/>
              <w:contextualSpacing/>
              <w:jc w:val="center"/>
              <w:rPr>
                <w:rFonts w:ascii="Calibri" w:hAnsi="Calibri"/>
                <w:color w:val="000000"/>
                <w:sz w:val="20"/>
                <w:szCs w:val="20"/>
              </w:rPr>
            </w:pPr>
            <w:r>
              <w:rPr>
                <w:rFonts w:ascii="Calibri" w:hAnsi="Calibri"/>
                <w:color w:val="000000"/>
                <w:sz w:val="20"/>
                <w:szCs w:val="20"/>
              </w:rPr>
              <w:t>2027</w:t>
            </w:r>
          </w:p>
        </w:tc>
        <w:tc>
          <w:tcPr>
            <w:tcW w:w="1080" w:type="dxa"/>
            <w:tcBorders>
              <w:top w:val="nil"/>
              <w:left w:val="single" w:sz="8" w:space="0" w:color="auto"/>
              <w:bottom w:val="single" w:sz="8" w:space="0" w:color="auto"/>
              <w:right w:val="nil"/>
            </w:tcBorders>
            <w:shd w:val="clear" w:color="auto" w:fill="auto"/>
            <w:noWrap/>
            <w:vAlign w:val="center"/>
            <w:hideMark/>
          </w:tcPr>
          <w:p w14:paraId="00721831" w14:textId="77777777" w:rsidR="00E170EC" w:rsidRDefault="00E170EC" w:rsidP="00E170EC">
            <w:pPr>
              <w:spacing w:after="0" w:line="240" w:lineRule="auto"/>
              <w:contextualSpacing/>
              <w:jc w:val="center"/>
              <w:rPr>
                <w:rFonts w:ascii="Calibri" w:hAnsi="Calibri"/>
                <w:sz w:val="20"/>
                <w:szCs w:val="20"/>
              </w:rPr>
            </w:pPr>
            <w:r>
              <w:rPr>
                <w:rFonts w:ascii="Calibri" w:hAnsi="Calibri"/>
                <w:sz w:val="20"/>
                <w:szCs w:val="20"/>
              </w:rPr>
              <w:t>5,231,124</w:t>
            </w:r>
          </w:p>
        </w:tc>
        <w:tc>
          <w:tcPr>
            <w:tcW w:w="1080" w:type="dxa"/>
            <w:tcBorders>
              <w:top w:val="nil"/>
              <w:left w:val="nil"/>
              <w:bottom w:val="single" w:sz="8" w:space="0" w:color="auto"/>
              <w:right w:val="nil"/>
            </w:tcBorders>
            <w:shd w:val="clear" w:color="auto" w:fill="auto"/>
            <w:noWrap/>
            <w:vAlign w:val="center"/>
            <w:hideMark/>
          </w:tcPr>
          <w:p w14:paraId="3416BCC2" w14:textId="77777777" w:rsidR="00E170EC" w:rsidRDefault="00E170EC" w:rsidP="00E170EC">
            <w:pPr>
              <w:spacing w:after="0" w:line="240" w:lineRule="auto"/>
              <w:contextualSpacing/>
              <w:jc w:val="center"/>
              <w:rPr>
                <w:rFonts w:ascii="Calibri" w:hAnsi="Calibri"/>
                <w:color w:val="000000"/>
                <w:sz w:val="20"/>
                <w:szCs w:val="20"/>
              </w:rPr>
            </w:pPr>
            <w:r>
              <w:rPr>
                <w:rFonts w:ascii="Calibri" w:hAnsi="Calibri"/>
                <w:color w:val="000000"/>
                <w:sz w:val="20"/>
                <w:szCs w:val="20"/>
              </w:rPr>
              <w:t>3,229,479</w:t>
            </w:r>
          </w:p>
        </w:tc>
        <w:tc>
          <w:tcPr>
            <w:tcW w:w="1170" w:type="dxa"/>
            <w:tcBorders>
              <w:top w:val="nil"/>
              <w:left w:val="single" w:sz="8" w:space="0" w:color="auto"/>
              <w:bottom w:val="single" w:sz="8" w:space="0" w:color="auto"/>
              <w:right w:val="nil"/>
            </w:tcBorders>
            <w:shd w:val="clear" w:color="auto" w:fill="auto"/>
            <w:noWrap/>
            <w:vAlign w:val="center"/>
            <w:hideMark/>
          </w:tcPr>
          <w:p w14:paraId="675437B7" w14:textId="77777777" w:rsidR="00E170EC" w:rsidRDefault="00E170EC" w:rsidP="00E170EC">
            <w:pPr>
              <w:spacing w:after="0" w:line="240" w:lineRule="auto"/>
              <w:contextualSpacing/>
              <w:jc w:val="center"/>
              <w:rPr>
                <w:rFonts w:ascii="Calibri" w:hAnsi="Calibri"/>
                <w:color w:val="000000"/>
                <w:sz w:val="20"/>
                <w:szCs w:val="20"/>
              </w:rPr>
            </w:pPr>
            <w:r>
              <w:rPr>
                <w:rFonts w:ascii="Calibri" w:hAnsi="Calibri"/>
                <w:color w:val="000000"/>
                <w:sz w:val="20"/>
                <w:szCs w:val="20"/>
              </w:rPr>
              <w:t>466,452</w:t>
            </w:r>
          </w:p>
        </w:tc>
        <w:tc>
          <w:tcPr>
            <w:tcW w:w="1260" w:type="dxa"/>
            <w:tcBorders>
              <w:top w:val="nil"/>
              <w:left w:val="nil"/>
              <w:bottom w:val="single" w:sz="8" w:space="0" w:color="auto"/>
              <w:right w:val="nil"/>
            </w:tcBorders>
            <w:shd w:val="clear" w:color="auto" w:fill="auto"/>
            <w:noWrap/>
            <w:vAlign w:val="center"/>
            <w:hideMark/>
          </w:tcPr>
          <w:p w14:paraId="24EA59A3" w14:textId="77777777" w:rsidR="00E170EC" w:rsidRDefault="00E170EC" w:rsidP="00E170EC">
            <w:pPr>
              <w:spacing w:after="0" w:line="240" w:lineRule="auto"/>
              <w:contextualSpacing/>
              <w:jc w:val="center"/>
              <w:rPr>
                <w:rFonts w:ascii="Calibri" w:hAnsi="Calibri"/>
                <w:color w:val="000000"/>
                <w:sz w:val="20"/>
                <w:szCs w:val="20"/>
              </w:rPr>
            </w:pPr>
            <w:r>
              <w:rPr>
                <w:rFonts w:ascii="Calibri" w:hAnsi="Calibri"/>
                <w:color w:val="000000"/>
                <w:sz w:val="20"/>
                <w:szCs w:val="20"/>
              </w:rPr>
              <w:t>1,064,697</w:t>
            </w:r>
          </w:p>
        </w:tc>
        <w:tc>
          <w:tcPr>
            <w:tcW w:w="1350" w:type="dxa"/>
            <w:tcBorders>
              <w:top w:val="nil"/>
              <w:left w:val="nil"/>
              <w:bottom w:val="single" w:sz="8" w:space="0" w:color="auto"/>
              <w:right w:val="single" w:sz="8" w:space="0" w:color="auto"/>
            </w:tcBorders>
            <w:shd w:val="clear" w:color="auto" w:fill="auto"/>
            <w:noWrap/>
            <w:vAlign w:val="center"/>
            <w:hideMark/>
          </w:tcPr>
          <w:p w14:paraId="4D7D7E75" w14:textId="77777777" w:rsidR="00E170EC" w:rsidRDefault="00E170EC" w:rsidP="00E170EC">
            <w:pPr>
              <w:spacing w:after="0" w:line="240" w:lineRule="auto"/>
              <w:contextualSpacing/>
              <w:jc w:val="center"/>
              <w:rPr>
                <w:rFonts w:ascii="Calibri" w:hAnsi="Calibri"/>
                <w:color w:val="000000"/>
                <w:sz w:val="20"/>
                <w:szCs w:val="20"/>
              </w:rPr>
            </w:pPr>
            <w:r>
              <w:rPr>
                <w:rFonts w:ascii="Calibri" w:hAnsi="Calibri"/>
                <w:color w:val="000000"/>
                <w:sz w:val="20"/>
                <w:szCs w:val="20"/>
              </w:rPr>
              <w:t>1,531,149</w:t>
            </w:r>
          </w:p>
        </w:tc>
        <w:tc>
          <w:tcPr>
            <w:tcW w:w="1260" w:type="dxa"/>
            <w:tcBorders>
              <w:top w:val="nil"/>
              <w:left w:val="nil"/>
              <w:bottom w:val="single" w:sz="8" w:space="0" w:color="auto"/>
              <w:right w:val="single" w:sz="8" w:space="0" w:color="auto"/>
            </w:tcBorders>
            <w:shd w:val="clear" w:color="auto" w:fill="auto"/>
            <w:noWrap/>
            <w:vAlign w:val="center"/>
            <w:hideMark/>
          </w:tcPr>
          <w:p w14:paraId="626929D7" w14:textId="77777777" w:rsidR="00E170EC" w:rsidRPr="007D4FF2" w:rsidRDefault="00E170EC" w:rsidP="00E170EC">
            <w:pPr>
              <w:widowControl/>
              <w:spacing w:after="0" w:line="240" w:lineRule="auto"/>
              <w:contextualSpacing/>
              <w:jc w:val="center"/>
              <w:rPr>
                <w:rFonts w:ascii="Calibri" w:hAnsi="Calibri" w:cs="Times New Roman"/>
                <w:sz w:val="20"/>
                <w:szCs w:val="20"/>
              </w:rPr>
            </w:pPr>
            <w:r w:rsidRPr="007D4FF2">
              <w:rPr>
                <w:rFonts w:ascii="Calibri" w:hAnsi="Calibri" w:cs="Times New Roman"/>
                <w:sz w:val="20"/>
                <w:szCs w:val="20"/>
              </w:rPr>
              <w:t>25,000</w:t>
            </w:r>
          </w:p>
        </w:tc>
        <w:tc>
          <w:tcPr>
            <w:tcW w:w="2070" w:type="dxa"/>
            <w:tcBorders>
              <w:top w:val="nil"/>
              <w:left w:val="nil"/>
              <w:bottom w:val="single" w:sz="8" w:space="0" w:color="auto"/>
              <w:right w:val="single" w:sz="8" w:space="0" w:color="auto"/>
            </w:tcBorders>
            <w:shd w:val="clear" w:color="000000" w:fill="91A8C4"/>
            <w:noWrap/>
            <w:vAlign w:val="center"/>
            <w:hideMark/>
          </w:tcPr>
          <w:p w14:paraId="7777070D" w14:textId="724C521F" w:rsidR="00E170EC" w:rsidRPr="00E170EC" w:rsidRDefault="003C6554" w:rsidP="00E170EC">
            <w:pPr>
              <w:spacing w:after="0" w:line="240" w:lineRule="auto"/>
              <w:contextualSpacing/>
              <w:jc w:val="center"/>
              <w:rPr>
                <w:rFonts w:asciiTheme="minorHAnsi" w:hAnsiTheme="minorHAnsi"/>
                <w:sz w:val="20"/>
              </w:rPr>
            </w:pPr>
            <w:r>
              <w:rPr>
                <w:rFonts w:asciiTheme="minorHAnsi" w:hAnsiTheme="minorHAnsi"/>
                <w:sz w:val="20"/>
              </w:rPr>
              <w:t>1,556,149</w:t>
            </w:r>
          </w:p>
        </w:tc>
      </w:tr>
    </w:tbl>
    <w:p w14:paraId="6F82CC21" w14:textId="77777777" w:rsidR="003D2BEC" w:rsidRPr="0068556F" w:rsidRDefault="003D2BEC" w:rsidP="0068556F">
      <w:pPr>
        <w:spacing w:after="0"/>
        <w:ind w:right="83"/>
        <w:jc w:val="both"/>
      </w:pPr>
    </w:p>
    <w:p w14:paraId="07DDFE76" w14:textId="74F757A2" w:rsidR="00525FE4" w:rsidRPr="00804108" w:rsidRDefault="00E266BE" w:rsidP="004E6B25">
      <w:pPr>
        <w:spacing w:after="0"/>
        <w:ind w:right="83"/>
        <w:jc w:val="both"/>
      </w:pPr>
      <w:r>
        <w:t>Note, s</w:t>
      </w:r>
      <w:r w:rsidR="004E5C39" w:rsidRPr="00351143">
        <w:t xml:space="preserve">hort-term </w:t>
      </w:r>
      <w:r w:rsidR="00525FE4" w:rsidRPr="004B54B4">
        <w:t xml:space="preserve">goals are more realistic when viewed in </w:t>
      </w:r>
      <w:r w:rsidR="009E6D24" w:rsidRPr="00151187">
        <w:t>two</w:t>
      </w:r>
      <w:r w:rsidR="00525FE4" w:rsidRPr="00804108">
        <w:t xml:space="preserve">-year increments since they allow flexibility in addressing current legislative, building code and budgeting criteria. </w:t>
      </w:r>
    </w:p>
    <w:p w14:paraId="6A779AB4" w14:textId="77777777" w:rsidR="004E5C39" w:rsidRPr="00E147C5" w:rsidRDefault="004E5C39" w:rsidP="004E6B25">
      <w:pPr>
        <w:spacing w:after="0"/>
        <w:ind w:right="83"/>
        <w:jc w:val="both"/>
      </w:pPr>
    </w:p>
    <w:p w14:paraId="6E4F406A" w14:textId="7A336891" w:rsidR="00525FE4" w:rsidRPr="00E147C5" w:rsidRDefault="00525FE4" w:rsidP="00C235C5">
      <w:pPr>
        <w:spacing w:after="0"/>
        <w:ind w:right="83"/>
        <w:jc w:val="both"/>
      </w:pPr>
      <w:r w:rsidRPr="00E147C5">
        <w:t xml:space="preserve">Many specific details are required to implement successful programs. As discussed above, the </w:t>
      </w:r>
      <w:r w:rsidR="003C6554">
        <w:t>p</w:t>
      </w:r>
      <w:r w:rsidRPr="00E147C5">
        <w:t xml:space="preserve">rogram </w:t>
      </w:r>
      <w:r w:rsidR="003C6554">
        <w:t>p</w:t>
      </w:r>
      <w:r w:rsidRPr="00E147C5">
        <w:t>otential</w:t>
      </w:r>
      <w:r w:rsidR="008D41B2" w:rsidRPr="00E147C5">
        <w:t>,</w:t>
      </w:r>
      <w:r w:rsidRPr="00E147C5">
        <w:t xml:space="preserve"> that which is based from actual implementation design, delivery, and market conditions</w:t>
      </w:r>
      <w:r w:rsidR="008D41B2" w:rsidRPr="00E147C5">
        <w:t xml:space="preserve">, </w:t>
      </w:r>
      <w:r w:rsidRPr="00E147C5">
        <w:t>reflect</w:t>
      </w:r>
      <w:r w:rsidR="00B07BF3" w:rsidRPr="00E147C5">
        <w:t>s</w:t>
      </w:r>
      <w:r w:rsidRPr="00E147C5">
        <w:t xml:space="preserve"> some variance in savings, costs, and overall achievements. Customer participation in a program is heavily influenced by the level of incentive paid by the utility versus the cost to the customer. </w:t>
      </w:r>
    </w:p>
    <w:p w14:paraId="71670962" w14:textId="77777777" w:rsidR="00525FE4" w:rsidRPr="00E147C5" w:rsidRDefault="00525FE4" w:rsidP="009F2FB8">
      <w:pPr>
        <w:spacing w:after="0"/>
        <w:ind w:right="83"/>
        <w:jc w:val="both"/>
      </w:pPr>
    </w:p>
    <w:p w14:paraId="18DFDD94" w14:textId="02526A3F" w:rsidR="00435680" w:rsidRPr="00E147C5" w:rsidRDefault="00525FE4" w:rsidP="009F2FB8">
      <w:pPr>
        <w:spacing w:after="0"/>
        <w:ind w:right="83"/>
        <w:jc w:val="both"/>
      </w:pPr>
      <w:r w:rsidRPr="00E147C5">
        <w:t xml:space="preserve">External infrastructure considerations must also be addressed, such as product availability to utility customers and an adequate network of contractors, retailers, and trade allies to support a program. As new measures or expanded programs are developed and added to the current program mix, internal and external resources and capabilities need to grow accordingly and progress through a “learning curve.” Additionally, revised projections regarding the cost of natural gas and other external factors will </w:t>
      </w:r>
      <w:r w:rsidR="00D63BFF">
        <w:t>always</w:t>
      </w:r>
      <w:r w:rsidRPr="00E147C5">
        <w:t xml:space="preserve"> lead to needed revisions to the </w:t>
      </w:r>
      <w:r w:rsidR="00B258BE">
        <w:t>C</w:t>
      </w:r>
      <w:r w:rsidR="00B258BE" w:rsidRPr="00E147C5">
        <w:t xml:space="preserve">ompany’s </w:t>
      </w:r>
      <w:r w:rsidRPr="00E147C5">
        <w:t xml:space="preserve">existing programs, and will result in additional impacts on the company’s projected participation levels. </w:t>
      </w:r>
    </w:p>
    <w:p w14:paraId="5F443CAC" w14:textId="77777777" w:rsidR="00435680" w:rsidRPr="00E147C5" w:rsidRDefault="00435680" w:rsidP="00BE0300">
      <w:pPr>
        <w:spacing w:after="0"/>
        <w:ind w:right="83"/>
      </w:pPr>
    </w:p>
    <w:p w14:paraId="57D87E61" w14:textId="77777777" w:rsidR="00EE0C01" w:rsidRPr="005D447B" w:rsidRDefault="00EE0C01" w:rsidP="00BE0300">
      <w:pPr>
        <w:pStyle w:val="Heading1"/>
        <w:contextualSpacing/>
      </w:pPr>
      <w:bookmarkStart w:id="37" w:name="_Toc465678037"/>
      <w:r w:rsidRPr="005D447B">
        <w:t xml:space="preserve">Planning and </w:t>
      </w:r>
      <w:r w:rsidR="00F04233" w:rsidRPr="005D447B">
        <w:t>EM&amp;V</w:t>
      </w:r>
      <w:bookmarkEnd w:id="37"/>
    </w:p>
    <w:p w14:paraId="57F190B1" w14:textId="56F7771D" w:rsidR="009978BF" w:rsidRDefault="00EE0C01" w:rsidP="00BE0300">
      <w:pPr>
        <w:widowControl/>
        <w:spacing w:after="0"/>
        <w:contextualSpacing/>
        <w:jc w:val="both"/>
      </w:pPr>
      <w:r w:rsidRPr="00E147C5">
        <w:t xml:space="preserve">The </w:t>
      </w:r>
      <w:r w:rsidR="0090127E" w:rsidRPr="00E147C5">
        <w:t>Company</w:t>
      </w:r>
      <w:r w:rsidR="00E266BE">
        <w:t xml:space="preserve"> and its software vendor Nexant Inc. </w:t>
      </w:r>
      <w:r w:rsidRPr="00E147C5">
        <w:t xml:space="preserve">is </w:t>
      </w:r>
      <w:r w:rsidR="00E266BE">
        <w:t xml:space="preserve">continuing </w:t>
      </w:r>
      <w:r w:rsidRPr="00E147C5">
        <w:t xml:space="preserve">the process of </w:t>
      </w:r>
      <w:r w:rsidR="00E266BE">
        <w:t xml:space="preserve">customizing and building the iDSM Central platform for the Cascade residential programs including </w:t>
      </w:r>
      <w:r w:rsidR="0097272C">
        <w:t xml:space="preserve">Low </w:t>
      </w:r>
      <w:r w:rsidR="00E266BE">
        <w:t xml:space="preserve">Income and iTrade Ally support.  </w:t>
      </w:r>
      <w:r w:rsidR="004313AA">
        <w:t>As part of</w:t>
      </w:r>
      <w:r w:rsidRPr="00E147C5">
        <w:t xml:space="preserve"> th</w:t>
      </w:r>
      <w:r w:rsidR="00753E5D">
        <w:t>e</w:t>
      </w:r>
      <w:r w:rsidRPr="00E147C5">
        <w:t xml:space="preserve"> transition </w:t>
      </w:r>
      <w:r w:rsidR="00753E5D">
        <w:t>to internal program delivery</w:t>
      </w:r>
      <w:r w:rsidR="0097272C">
        <w:t>,</w:t>
      </w:r>
      <w:r w:rsidRPr="00E147C5">
        <w:t xml:space="preserve"> </w:t>
      </w:r>
      <w:r w:rsidR="00E4216D" w:rsidRPr="00E147C5">
        <w:t xml:space="preserve">the Company </w:t>
      </w:r>
      <w:r w:rsidR="00753E5D">
        <w:t xml:space="preserve">researched </w:t>
      </w:r>
      <w:r w:rsidRPr="00E147C5">
        <w:t>ways to cost-effectively increase E</w:t>
      </w:r>
      <w:r w:rsidR="00F04233" w:rsidRPr="00E147C5">
        <w:t>valuation</w:t>
      </w:r>
      <w:r w:rsidR="0090127E" w:rsidRPr="00E147C5">
        <w:t>,</w:t>
      </w:r>
      <w:r w:rsidR="00F04233" w:rsidRPr="00E147C5">
        <w:t xml:space="preserve"> </w:t>
      </w:r>
      <w:r w:rsidRPr="00E147C5">
        <w:t>M</w:t>
      </w:r>
      <w:r w:rsidR="00F04233" w:rsidRPr="00E147C5">
        <w:t>easurement and Verification</w:t>
      </w:r>
      <w:r w:rsidRPr="00E147C5">
        <w:t xml:space="preserve"> opportunities within the program reporting software platform. </w:t>
      </w:r>
      <w:r w:rsidR="00753E5D">
        <w:t xml:space="preserve">Nexant is </w:t>
      </w:r>
      <w:r w:rsidR="00082EC1">
        <w:t xml:space="preserve">committed </w:t>
      </w:r>
      <w:r w:rsidR="00753E5D">
        <w:t>as a partner in further developing the opportunities inherent in its software into Calendar year 2017. The following year will also provide the Company with the means to use the software to provide the tracking and groundwork for future EM&amp;V efforts, potentially in conjunction with additional outside evaluations in future years when deemed nece</w:t>
      </w:r>
      <w:r w:rsidR="00D012EB">
        <w:t>ssary and not cost-prohibitive.</w:t>
      </w:r>
    </w:p>
    <w:p w14:paraId="40FD7828" w14:textId="77777777" w:rsidR="00D012EB" w:rsidRPr="00E147C5" w:rsidRDefault="00D012EB" w:rsidP="00D012EB">
      <w:pPr>
        <w:widowControl/>
        <w:spacing w:after="0" w:line="240" w:lineRule="auto"/>
        <w:contextualSpacing/>
        <w:jc w:val="both"/>
      </w:pPr>
    </w:p>
    <w:p w14:paraId="6948B216" w14:textId="77777777" w:rsidR="009978BF" w:rsidRDefault="009978BF" w:rsidP="00D012EB">
      <w:pPr>
        <w:pStyle w:val="Heading2"/>
      </w:pPr>
      <w:bookmarkStart w:id="38" w:name="_Toc465678038"/>
      <w:r w:rsidRPr="006975F8">
        <w:t>Housing Stock Assessment Review from N</w:t>
      </w:r>
      <w:r w:rsidR="00753E5D" w:rsidRPr="006975F8">
        <w:t>EEA</w:t>
      </w:r>
      <w:bookmarkEnd w:id="38"/>
    </w:p>
    <w:p w14:paraId="24E4E364" w14:textId="14BBCAD2" w:rsidR="00753E5D" w:rsidRDefault="00753E5D" w:rsidP="00D012EB">
      <w:pPr>
        <w:widowControl/>
        <w:spacing w:after="0"/>
        <w:contextualSpacing/>
        <w:jc w:val="both"/>
      </w:pPr>
      <w:r>
        <w:t xml:space="preserve">One of the areas CAG stakeholders </w:t>
      </w:r>
      <w:r w:rsidR="00AA69D5">
        <w:t xml:space="preserve">requested </w:t>
      </w:r>
      <w:r>
        <w:t>Cascade</w:t>
      </w:r>
      <w:r w:rsidR="00AA69D5">
        <w:t xml:space="preserve"> </w:t>
      </w:r>
      <w:r>
        <w:t xml:space="preserve">explore and incorporate into future efforts involves engaging further with NEEA in relation to their </w:t>
      </w:r>
      <w:r w:rsidR="00137407">
        <w:t xml:space="preserve">housing assessment reports.  These reports encompass a snapshot of a specific building stock (Residential and Commercial) and have information relevant to natural gas service percentages throughout each of the years of the study. This will enable a view into trends amongst gas usage and gas equipment types. Although the reports do not have gas meter data they have been a key element of the NEEA efforts to understand the market potential in the region. The desire is for Cascade to work with NEEA staff to develop recommendations </w:t>
      </w:r>
      <w:r w:rsidR="00AA69D5">
        <w:t xml:space="preserve">for </w:t>
      </w:r>
      <w:r w:rsidR="00137407">
        <w:t>exploring what else can be extrapolated specific to Cascade as a gas utility from the data to help in updat</w:t>
      </w:r>
      <w:r w:rsidR="00D012EB">
        <w:t>es to the Company’s programs.</w:t>
      </w:r>
    </w:p>
    <w:p w14:paraId="7BF42E4B" w14:textId="77777777" w:rsidR="00137407" w:rsidRDefault="00137407" w:rsidP="00F42BA7">
      <w:pPr>
        <w:widowControl/>
        <w:spacing w:beforeLines="107" w:before="256" w:after="0"/>
        <w:contextualSpacing/>
        <w:jc w:val="both"/>
      </w:pPr>
    </w:p>
    <w:p w14:paraId="61A0F193" w14:textId="050F84DB" w:rsidR="00137407" w:rsidRDefault="00137407" w:rsidP="00F42BA7">
      <w:pPr>
        <w:widowControl/>
        <w:spacing w:beforeLines="107" w:before="256" w:after="0"/>
        <w:contextualSpacing/>
        <w:jc w:val="both"/>
      </w:pPr>
      <w:r>
        <w:t xml:space="preserve">Cascade currently depends on its Nexant potential study from 2013-2014 to establish program potential (as that study was specifically intended to address Cascade’s territory), but sees an opportunity to further refine its approach to future program planning by including elements of the NEEA housing assessments from a regional perspective and </w:t>
      </w:r>
      <w:r w:rsidR="00F874ED">
        <w:t xml:space="preserve">in other </w:t>
      </w:r>
      <w:r>
        <w:t>areas where it might not have previously seen opportunities or needs.</w:t>
      </w:r>
    </w:p>
    <w:p w14:paraId="766077D4" w14:textId="77777777" w:rsidR="00137407" w:rsidRDefault="00137407" w:rsidP="00F42BA7">
      <w:pPr>
        <w:widowControl/>
        <w:spacing w:beforeLines="107" w:before="256" w:after="0"/>
        <w:contextualSpacing/>
        <w:jc w:val="both"/>
      </w:pPr>
    </w:p>
    <w:p w14:paraId="1265D3B6" w14:textId="731E21F5" w:rsidR="009978BF" w:rsidRDefault="00137407" w:rsidP="00F42BA7">
      <w:pPr>
        <w:widowControl/>
        <w:spacing w:beforeLines="107" w:before="256" w:after="0"/>
        <w:contextualSpacing/>
        <w:jc w:val="both"/>
      </w:pPr>
      <w:r>
        <w:t xml:space="preserve">The Company will engage in conversations with NEEA in 2017 to explore </w:t>
      </w:r>
      <w:r w:rsidR="006D4ED8">
        <w:t xml:space="preserve">additional opportunities for leveraging this resource into its program planning methods. </w:t>
      </w:r>
    </w:p>
    <w:p w14:paraId="6609A66B" w14:textId="77777777" w:rsidR="00137C7D" w:rsidRPr="00881D8B" w:rsidRDefault="00137C7D" w:rsidP="00F42BA7">
      <w:pPr>
        <w:widowControl/>
        <w:spacing w:beforeLines="107" w:before="256" w:after="0"/>
        <w:contextualSpacing/>
        <w:jc w:val="both"/>
      </w:pPr>
    </w:p>
    <w:p w14:paraId="78539169" w14:textId="77777777" w:rsidR="001707BC" w:rsidRDefault="001707BC" w:rsidP="00D012EB">
      <w:pPr>
        <w:pStyle w:val="Heading1"/>
        <w:contextualSpacing/>
      </w:pPr>
      <w:bookmarkStart w:id="39" w:name="_Toc465678039"/>
      <w:r w:rsidRPr="00422267">
        <w:t>Outreach &amp; Messaging Campaigns</w:t>
      </w:r>
      <w:bookmarkEnd w:id="39"/>
    </w:p>
    <w:p w14:paraId="38FE721D" w14:textId="330509BF" w:rsidR="001707BC" w:rsidRDefault="001707BC" w:rsidP="00D012EB">
      <w:pPr>
        <w:widowControl/>
        <w:spacing w:after="0"/>
        <w:contextualSpacing/>
        <w:jc w:val="both"/>
        <w:rPr>
          <w:szCs w:val="28"/>
        </w:rPr>
      </w:pPr>
      <w:r>
        <w:rPr>
          <w:szCs w:val="28"/>
        </w:rPr>
        <w:t xml:space="preserve">The Company frequently reaches out to the public to notify rate payers of available incentives </w:t>
      </w:r>
      <w:r w:rsidR="00DF44FE">
        <w:rPr>
          <w:szCs w:val="28"/>
        </w:rPr>
        <w:t xml:space="preserve">in order </w:t>
      </w:r>
      <w:r>
        <w:rPr>
          <w:szCs w:val="28"/>
        </w:rPr>
        <w:t xml:space="preserve">to drive uptake of the Conservation Incentive Programs – thereby reducing overall consumption of natural gas.  The Company approaches its </w:t>
      </w:r>
      <w:r w:rsidR="00EC4415">
        <w:rPr>
          <w:szCs w:val="28"/>
        </w:rPr>
        <w:t>customer-facing</w:t>
      </w:r>
      <w:r>
        <w:rPr>
          <w:szCs w:val="28"/>
        </w:rPr>
        <w:t xml:space="preserve"> energy efficiency </w:t>
      </w:r>
      <w:r w:rsidR="00EC4415">
        <w:rPr>
          <w:szCs w:val="28"/>
        </w:rPr>
        <w:t xml:space="preserve">messaging </w:t>
      </w:r>
      <w:r>
        <w:rPr>
          <w:szCs w:val="28"/>
        </w:rPr>
        <w:t xml:space="preserve">through an integrated marketing strategy - meaning multiple marketing methods or avenues are used to deliver a single (unified) message.  </w:t>
      </w:r>
    </w:p>
    <w:p w14:paraId="146C9DE0" w14:textId="77777777" w:rsidR="001707BC" w:rsidRDefault="001707BC" w:rsidP="00F42BA7">
      <w:pPr>
        <w:widowControl/>
        <w:spacing w:beforeLines="107" w:before="256" w:after="0"/>
        <w:contextualSpacing/>
        <w:jc w:val="both"/>
        <w:rPr>
          <w:szCs w:val="28"/>
        </w:rPr>
      </w:pPr>
    </w:p>
    <w:p w14:paraId="25F15DF6" w14:textId="42B2621F" w:rsidR="001707BC" w:rsidRDefault="001707BC" w:rsidP="00F42BA7">
      <w:pPr>
        <w:widowControl/>
        <w:spacing w:beforeLines="107" w:before="256" w:after="0"/>
        <w:contextualSpacing/>
        <w:jc w:val="both"/>
        <w:rPr>
          <w:szCs w:val="28"/>
        </w:rPr>
      </w:pPr>
      <w:r>
        <w:rPr>
          <w:szCs w:val="28"/>
        </w:rPr>
        <w:t>This method utilizes a consistent message that is reinforced frequently to increase brand awareness of the Cascade CIP to natural gas customers.  In addition to the integrated marketing approach</w:t>
      </w:r>
      <w:r w:rsidR="0005699E">
        <w:rPr>
          <w:szCs w:val="28"/>
        </w:rPr>
        <w:t>,</w:t>
      </w:r>
      <w:r>
        <w:rPr>
          <w:szCs w:val="28"/>
        </w:rPr>
        <w:t xml:space="preserve"> the Company is also employing a cross channel marketing practice whereby the customer not only receives messaging via various mediums, but can also use the medium which they are most comfortable with to, in turn, interact with Cascade’s programs.  The Company does not employ </w:t>
      </w:r>
      <w:r w:rsidRPr="00D45E25">
        <w:rPr>
          <w:szCs w:val="28"/>
        </w:rPr>
        <w:t>all</w:t>
      </w:r>
      <w:r>
        <w:rPr>
          <w:szCs w:val="28"/>
        </w:rPr>
        <w:t xml:space="preserve"> possible channels by which it could reach customers since marketing can be a costly endeavor, but rather is strategic in its approach to</w:t>
      </w:r>
      <w:r w:rsidR="00D45E25">
        <w:rPr>
          <w:szCs w:val="28"/>
        </w:rPr>
        <w:t xml:space="preserve"> </w:t>
      </w:r>
      <w:r w:rsidR="002F6510">
        <w:rPr>
          <w:szCs w:val="28"/>
        </w:rPr>
        <w:t xml:space="preserve">focus </w:t>
      </w:r>
      <w:r w:rsidR="00D45E25">
        <w:rPr>
          <w:szCs w:val="28"/>
        </w:rPr>
        <w:t xml:space="preserve">on </w:t>
      </w:r>
      <w:r w:rsidR="002F6510">
        <w:rPr>
          <w:szCs w:val="28"/>
        </w:rPr>
        <w:t>marketing channels that</w:t>
      </w:r>
      <w:r>
        <w:rPr>
          <w:szCs w:val="28"/>
        </w:rPr>
        <w:t xml:space="preserve"> take advantage of synergies in the avenues traditionally </w:t>
      </w:r>
      <w:r w:rsidR="00D45E25">
        <w:rPr>
          <w:szCs w:val="28"/>
        </w:rPr>
        <w:t xml:space="preserve">employed.  The Company </w:t>
      </w:r>
      <w:r>
        <w:rPr>
          <w:szCs w:val="28"/>
        </w:rPr>
        <w:t>leverag</w:t>
      </w:r>
      <w:r w:rsidR="00D45E25">
        <w:rPr>
          <w:szCs w:val="28"/>
        </w:rPr>
        <w:t>es</w:t>
      </w:r>
      <w:r>
        <w:rPr>
          <w:szCs w:val="28"/>
        </w:rPr>
        <w:t xml:space="preserve"> existing partnerships and </w:t>
      </w:r>
      <w:r w:rsidR="00D45E25">
        <w:rPr>
          <w:szCs w:val="28"/>
        </w:rPr>
        <w:t xml:space="preserve">communication </w:t>
      </w:r>
      <w:r>
        <w:rPr>
          <w:szCs w:val="28"/>
        </w:rPr>
        <w:t xml:space="preserve">channels and </w:t>
      </w:r>
      <w:r w:rsidR="00D45E25">
        <w:rPr>
          <w:szCs w:val="28"/>
        </w:rPr>
        <w:t>adds</w:t>
      </w:r>
      <w:r>
        <w:rPr>
          <w:szCs w:val="28"/>
        </w:rPr>
        <w:t xml:space="preserve"> new opportunities as they arise to keep its energy efficiency message useful, low-profile (yet impactful) and natural in its placement.  </w:t>
      </w:r>
    </w:p>
    <w:p w14:paraId="37AE7A10" w14:textId="77777777" w:rsidR="001707BC" w:rsidRDefault="001707BC" w:rsidP="00F42BA7">
      <w:pPr>
        <w:widowControl/>
        <w:spacing w:beforeLines="107" w:before="256" w:after="0"/>
        <w:contextualSpacing/>
        <w:jc w:val="both"/>
        <w:rPr>
          <w:szCs w:val="28"/>
        </w:rPr>
      </w:pPr>
    </w:p>
    <w:p w14:paraId="3B8D8D88" w14:textId="61BAF0EC" w:rsidR="001707BC" w:rsidRDefault="001707BC" w:rsidP="00F42BA7">
      <w:pPr>
        <w:widowControl/>
        <w:spacing w:beforeLines="107" w:before="256" w:after="0"/>
        <w:contextualSpacing/>
        <w:jc w:val="both"/>
        <w:rPr>
          <w:szCs w:val="28"/>
        </w:rPr>
      </w:pPr>
      <w:r>
        <w:rPr>
          <w:szCs w:val="28"/>
        </w:rPr>
        <w:t xml:space="preserve">The marketing world is rapidly changing with additional technology and social media opportunities. The Company’s CIP has traditionally centered on known messaging opportunities but is poised in the next year or two to move further into the digital and social media realm to reach rate payers through additional media channels – always keeping the integrated message in mind.  </w:t>
      </w:r>
    </w:p>
    <w:p w14:paraId="407B6C74" w14:textId="77777777" w:rsidR="001707BC" w:rsidRDefault="001707BC" w:rsidP="00F42BA7">
      <w:pPr>
        <w:widowControl/>
        <w:spacing w:beforeLines="107" w:before="256" w:after="0"/>
        <w:contextualSpacing/>
        <w:jc w:val="both"/>
        <w:rPr>
          <w:szCs w:val="28"/>
        </w:rPr>
      </w:pPr>
    </w:p>
    <w:p w14:paraId="59FC7402" w14:textId="07112BEF" w:rsidR="001707BC" w:rsidRDefault="001707BC" w:rsidP="00F42BA7">
      <w:pPr>
        <w:widowControl/>
        <w:spacing w:beforeLines="107" w:before="256" w:after="0"/>
        <w:contextualSpacing/>
        <w:jc w:val="both"/>
        <w:rPr>
          <w:szCs w:val="28"/>
        </w:rPr>
      </w:pPr>
      <w:r>
        <w:rPr>
          <w:szCs w:val="28"/>
        </w:rPr>
        <w:t xml:space="preserve">Current examples of avenues customers can use to gain information or interact with the program include using the internet as a resource for information about the programs through the </w:t>
      </w:r>
      <w:hyperlink r:id="rId25" w:history="1">
        <w:r w:rsidRPr="00C75BAE">
          <w:rPr>
            <w:rStyle w:val="Hyperlink"/>
            <w:szCs w:val="28"/>
          </w:rPr>
          <w:t>www.cngc.com/conservation</w:t>
        </w:r>
      </w:hyperlink>
      <w:r>
        <w:rPr>
          <w:szCs w:val="28"/>
        </w:rPr>
        <w:t xml:space="preserve"> website, applying to receive a residential rebate through a customer portal </w:t>
      </w:r>
      <w:hyperlink r:id="rId26" w:history="1">
        <w:r w:rsidRPr="00C75BAE">
          <w:rPr>
            <w:rStyle w:val="Hyperlink"/>
            <w:szCs w:val="28"/>
          </w:rPr>
          <w:t>https://cngc.dsmcentral.com/traksmart4/public/registration.do</w:t>
        </w:r>
      </w:hyperlink>
      <w:r>
        <w:rPr>
          <w:szCs w:val="28"/>
        </w:rPr>
        <w:t xml:space="preserve">, sending in a hard copy application through the mail, contacting the program via phone or email and direct one-on-one interactions during an event at which program staff present.  </w:t>
      </w:r>
    </w:p>
    <w:p w14:paraId="44FB50B6" w14:textId="77777777" w:rsidR="001707BC" w:rsidRDefault="001707BC" w:rsidP="00F42BA7">
      <w:pPr>
        <w:widowControl/>
        <w:spacing w:beforeLines="107" w:before="256" w:after="0"/>
        <w:contextualSpacing/>
        <w:jc w:val="both"/>
        <w:rPr>
          <w:szCs w:val="28"/>
        </w:rPr>
      </w:pPr>
    </w:p>
    <w:p w14:paraId="785423BD" w14:textId="5BB9888A" w:rsidR="001707BC" w:rsidRDefault="001707BC" w:rsidP="00F42BA7">
      <w:pPr>
        <w:widowControl/>
        <w:spacing w:beforeLines="107" w:before="256" w:after="0"/>
        <w:contextualSpacing/>
        <w:jc w:val="both"/>
        <w:rPr>
          <w:szCs w:val="28"/>
        </w:rPr>
      </w:pPr>
      <w:r>
        <w:rPr>
          <w:szCs w:val="28"/>
        </w:rPr>
        <w:t xml:space="preserve">In turn, the Company has multiple avenues in place to deliver program messaging including bill inserts to existing customers, radio advertising, event participation, community engagement and program material inclusion in external publications as well as targeting specific audiences for that message. With the increased goals comes a need to increase outreach and messaging to those key audiences. </w:t>
      </w:r>
    </w:p>
    <w:p w14:paraId="4EEC10C1" w14:textId="77777777" w:rsidR="001707BC" w:rsidRDefault="001707BC" w:rsidP="00F42BA7">
      <w:pPr>
        <w:widowControl/>
        <w:spacing w:beforeLines="107" w:before="256" w:after="0"/>
        <w:contextualSpacing/>
        <w:jc w:val="both"/>
        <w:rPr>
          <w:szCs w:val="28"/>
        </w:rPr>
      </w:pPr>
    </w:p>
    <w:p w14:paraId="514BA922" w14:textId="6E36F25D" w:rsidR="001707BC" w:rsidRDefault="001707BC" w:rsidP="00F42BA7">
      <w:pPr>
        <w:widowControl/>
        <w:spacing w:beforeLines="107" w:before="256" w:after="0"/>
        <w:contextualSpacing/>
        <w:jc w:val="both"/>
        <w:rPr>
          <w:szCs w:val="28"/>
        </w:rPr>
      </w:pPr>
      <w:r>
        <w:rPr>
          <w:szCs w:val="28"/>
        </w:rPr>
        <w:t xml:space="preserve">A messaging campaign includes elements of consistency for brand awareness </w:t>
      </w:r>
      <w:r w:rsidR="001B3793">
        <w:rPr>
          <w:szCs w:val="28"/>
        </w:rPr>
        <w:t>with a key focus on the</w:t>
      </w:r>
      <w:r>
        <w:rPr>
          <w:szCs w:val="28"/>
        </w:rPr>
        <w:t xml:space="preserve"> Conservation Incentive Programs offered through Cascade as a standard go-to for high-efficiency options to assist with offsetting the cost of higher-performance upgrades. </w:t>
      </w:r>
    </w:p>
    <w:p w14:paraId="5EA46234" w14:textId="77777777" w:rsidR="001707BC" w:rsidRDefault="001707BC" w:rsidP="00F42BA7">
      <w:pPr>
        <w:widowControl/>
        <w:spacing w:beforeLines="107" w:before="256" w:after="0"/>
        <w:contextualSpacing/>
        <w:jc w:val="both"/>
        <w:rPr>
          <w:szCs w:val="28"/>
        </w:rPr>
      </w:pPr>
    </w:p>
    <w:p w14:paraId="63585176" w14:textId="4CFCC17C" w:rsidR="001707BC" w:rsidRDefault="001707BC" w:rsidP="00F42BA7">
      <w:pPr>
        <w:widowControl/>
        <w:spacing w:beforeLines="107" w:before="256" w:after="0"/>
        <w:contextualSpacing/>
        <w:jc w:val="both"/>
        <w:rPr>
          <w:szCs w:val="28"/>
        </w:rPr>
      </w:pPr>
      <w:r>
        <w:rPr>
          <w:szCs w:val="28"/>
        </w:rPr>
        <w:t xml:space="preserve">Cascade’s messages and print material are tailored to the intended audience.  Examples of </w:t>
      </w:r>
      <w:r w:rsidR="00082EC1">
        <w:rPr>
          <w:szCs w:val="28"/>
        </w:rPr>
        <w:t xml:space="preserve">potential audiences </w:t>
      </w:r>
      <w:r>
        <w:rPr>
          <w:szCs w:val="28"/>
        </w:rPr>
        <w:t>include residential, commercial, construction industry, real-estate and</w:t>
      </w:r>
      <w:r w:rsidR="001E6E90">
        <w:rPr>
          <w:szCs w:val="28"/>
        </w:rPr>
        <w:t xml:space="preserve"> the financial or</w:t>
      </w:r>
      <w:r>
        <w:rPr>
          <w:szCs w:val="28"/>
        </w:rPr>
        <w:t xml:space="preserve"> loan industry.</w:t>
      </w:r>
    </w:p>
    <w:p w14:paraId="692FEF79" w14:textId="77777777" w:rsidR="001707BC" w:rsidRDefault="001707BC" w:rsidP="00F42BA7">
      <w:pPr>
        <w:widowControl/>
        <w:spacing w:beforeLines="107" w:before="256" w:after="0"/>
        <w:contextualSpacing/>
        <w:jc w:val="both"/>
        <w:rPr>
          <w:b/>
          <w:i/>
          <w:sz w:val="22"/>
          <w:szCs w:val="28"/>
        </w:rPr>
      </w:pPr>
    </w:p>
    <w:p w14:paraId="21B6455E" w14:textId="33816BCB" w:rsidR="001707BC" w:rsidRPr="00422267" w:rsidRDefault="005C589A" w:rsidP="00BE0300">
      <w:pPr>
        <w:pStyle w:val="Heading2"/>
        <w:spacing w:line="276" w:lineRule="auto"/>
      </w:pPr>
      <w:bookmarkStart w:id="40" w:name="_Toc465678040"/>
      <w:r>
        <w:t>Community Participation</w:t>
      </w:r>
      <w:r w:rsidR="001707BC">
        <w:t xml:space="preserve"> - A</w:t>
      </w:r>
      <w:r w:rsidR="001707BC" w:rsidRPr="00422267">
        <w:t xml:space="preserve"> Key to Program Longevity and Support</w:t>
      </w:r>
      <w:bookmarkEnd w:id="40"/>
    </w:p>
    <w:p w14:paraId="72A21EFE" w14:textId="476B29C4" w:rsidR="00392004" w:rsidRDefault="001707BC" w:rsidP="00BE0300">
      <w:pPr>
        <w:widowControl/>
        <w:spacing w:after="0"/>
        <w:contextualSpacing/>
        <w:jc w:val="both"/>
        <w:rPr>
          <w:szCs w:val="28"/>
        </w:rPr>
      </w:pPr>
      <w:r>
        <w:rPr>
          <w:szCs w:val="28"/>
        </w:rPr>
        <w:t xml:space="preserve">One area Cascade has repeatedly found </w:t>
      </w:r>
      <w:r w:rsidR="008D19F3">
        <w:rPr>
          <w:szCs w:val="28"/>
        </w:rPr>
        <w:t xml:space="preserve">essential to </w:t>
      </w:r>
      <w:r>
        <w:rPr>
          <w:szCs w:val="28"/>
        </w:rPr>
        <w:t xml:space="preserve">increased program </w:t>
      </w:r>
      <w:r w:rsidR="0008498F">
        <w:rPr>
          <w:szCs w:val="28"/>
        </w:rPr>
        <w:t xml:space="preserve">participation and awareness </w:t>
      </w:r>
      <w:r>
        <w:rPr>
          <w:szCs w:val="28"/>
        </w:rPr>
        <w:t xml:space="preserve">is involvement with local community energy efforts and programs. The Company has long followed the motto </w:t>
      </w:r>
      <w:r w:rsidRPr="00422267">
        <w:rPr>
          <w:i/>
          <w:szCs w:val="28"/>
        </w:rPr>
        <w:t>‘”In the Community to Serve”</w:t>
      </w:r>
      <w:r>
        <w:rPr>
          <w:szCs w:val="28"/>
        </w:rPr>
        <w:t xml:space="preserve"> which is strongly reinforced through the offerings provided through the Energy-Efficiency and Community Outreach Department. Energy program efforts outside of the utility programs are often a valuable resource for the utility to </w:t>
      </w:r>
      <w:r w:rsidR="00732859">
        <w:rPr>
          <w:szCs w:val="28"/>
        </w:rPr>
        <w:t>leverage in order</w:t>
      </w:r>
      <w:r>
        <w:rPr>
          <w:szCs w:val="28"/>
        </w:rPr>
        <w:t xml:space="preserve"> to reach a new audience while reinforcing the same efficiency message to audiences the Company has targeted in the past.  </w:t>
      </w:r>
    </w:p>
    <w:p w14:paraId="2583EC2C" w14:textId="77777777" w:rsidR="00392004" w:rsidRDefault="00392004" w:rsidP="00F42BA7">
      <w:pPr>
        <w:widowControl/>
        <w:spacing w:before="107" w:after="0"/>
        <w:contextualSpacing/>
        <w:jc w:val="both"/>
        <w:rPr>
          <w:szCs w:val="28"/>
        </w:rPr>
      </w:pPr>
    </w:p>
    <w:p w14:paraId="688FDFF1" w14:textId="29E529AD" w:rsidR="001707BC" w:rsidRDefault="00392004" w:rsidP="00D012EB">
      <w:pPr>
        <w:widowControl/>
        <w:spacing w:before="107" w:after="0"/>
        <w:contextualSpacing/>
        <w:jc w:val="both"/>
        <w:rPr>
          <w:szCs w:val="28"/>
        </w:rPr>
      </w:pPr>
      <w:r>
        <w:rPr>
          <w:szCs w:val="28"/>
        </w:rPr>
        <w:t>The f</w:t>
      </w:r>
      <w:r w:rsidR="001707BC">
        <w:rPr>
          <w:szCs w:val="28"/>
        </w:rPr>
        <w:t xml:space="preserve">ollowing </w:t>
      </w:r>
      <w:r>
        <w:rPr>
          <w:szCs w:val="28"/>
        </w:rPr>
        <w:t xml:space="preserve">discussion highlights </w:t>
      </w:r>
      <w:r w:rsidR="001707BC">
        <w:rPr>
          <w:szCs w:val="28"/>
        </w:rPr>
        <w:t>some of the community groups and areas the Company will continue to partner with and message through</w:t>
      </w:r>
      <w:r w:rsidR="00756CF0">
        <w:rPr>
          <w:szCs w:val="28"/>
        </w:rPr>
        <w:t>:</w:t>
      </w:r>
      <w:r w:rsidR="001707BC">
        <w:rPr>
          <w:szCs w:val="28"/>
        </w:rPr>
        <w:t xml:space="preserve"> </w:t>
      </w:r>
    </w:p>
    <w:p w14:paraId="728F149D" w14:textId="77777777" w:rsidR="001707BC" w:rsidRDefault="001707BC" w:rsidP="00F42BA7">
      <w:pPr>
        <w:widowControl/>
        <w:spacing w:beforeLines="107" w:before="256" w:after="0"/>
        <w:contextualSpacing/>
        <w:jc w:val="both"/>
        <w:rPr>
          <w:szCs w:val="28"/>
        </w:rPr>
      </w:pPr>
    </w:p>
    <w:p w14:paraId="7616B2BC" w14:textId="752E16FF" w:rsidR="001707BC" w:rsidRDefault="001707BC" w:rsidP="00F42BA7">
      <w:pPr>
        <w:widowControl/>
        <w:spacing w:beforeLines="107" w:before="256" w:after="0"/>
        <w:contextualSpacing/>
        <w:jc w:val="both"/>
        <w:rPr>
          <w:szCs w:val="28"/>
        </w:rPr>
      </w:pPr>
      <w:r>
        <w:rPr>
          <w:szCs w:val="28"/>
        </w:rPr>
        <w:t>On an annual basis Cascade partners with community energy programs including Sustainable Connections and the Community Energy Challenge in Whatcom and Skagit County and the Sustainable Living Center in Walla Walla. The Company provides funds to assist with delivery of its program information and pave the way for additional customers to apply for (and qualify for) rebates while working through the local auditors and t</w:t>
      </w:r>
      <w:r>
        <w:t xml:space="preserve">he Community Energy Efficiency Programs (CEEP) </w:t>
      </w:r>
      <w:r>
        <w:rPr>
          <w:szCs w:val="28"/>
        </w:rPr>
        <w:t>where available. The CEEP</w:t>
      </w:r>
      <w:r>
        <w:t xml:space="preserve"> w</w:t>
      </w:r>
      <w:r w:rsidR="007061CB">
        <w:t>ere</w:t>
      </w:r>
      <w:r>
        <w:t xml:space="preserve"> created by the Washington State Legislature in 2009 and administered by the Washington State University Extension Energy Program. The funds were used to help deliver energy efficiency upgrades to targeted customers throughout Washington State – both homeowners and small businesses alike. Funding for the program participants originated with the U.S. Department of Energy’s State Energy Program and the American Recovery and Reinvestment Act. Once the pilot efforts had wrapped up additional funding was provided to the organizations to leverage already existing community investment. </w:t>
      </w:r>
      <w:r>
        <w:rPr>
          <w:szCs w:val="28"/>
        </w:rPr>
        <w:t xml:space="preserve">See </w:t>
      </w:r>
      <w:r w:rsidRPr="00422267">
        <w:rPr>
          <w:i/>
          <w:szCs w:val="28"/>
        </w:rPr>
        <w:t>Appendix B</w:t>
      </w:r>
      <w:r>
        <w:rPr>
          <w:szCs w:val="28"/>
        </w:rPr>
        <w:t xml:space="preserve"> for copies of the sponsorship letter agreements between the Company and Sustainable Connections, Community Energy Challenge and the Sustainable Living Center </w:t>
      </w:r>
      <w:r w:rsidR="0092050E">
        <w:rPr>
          <w:szCs w:val="28"/>
        </w:rPr>
        <w:t xml:space="preserve">which list </w:t>
      </w:r>
      <w:r>
        <w:rPr>
          <w:szCs w:val="28"/>
        </w:rPr>
        <w:t xml:space="preserve">out the benefits of partnering with the agencies for their energy use reduction collaborative efforts. </w:t>
      </w:r>
    </w:p>
    <w:p w14:paraId="5FD3BF1F" w14:textId="77777777" w:rsidR="001707BC" w:rsidRDefault="001707BC" w:rsidP="00F42BA7">
      <w:pPr>
        <w:widowControl/>
        <w:spacing w:beforeLines="107" w:before="256" w:after="0"/>
        <w:contextualSpacing/>
        <w:jc w:val="both"/>
        <w:rPr>
          <w:szCs w:val="28"/>
        </w:rPr>
      </w:pPr>
    </w:p>
    <w:p w14:paraId="5957E698" w14:textId="7489E598" w:rsidR="001707BC" w:rsidRDefault="001707BC" w:rsidP="00F42BA7">
      <w:pPr>
        <w:widowControl/>
        <w:spacing w:beforeLines="107" w:before="256" w:after="0"/>
        <w:contextualSpacing/>
        <w:jc w:val="both"/>
        <w:rPr>
          <w:szCs w:val="28"/>
        </w:rPr>
      </w:pPr>
      <w:r>
        <w:t>These CEEP funded organizations have been creative in the methods used to help customers reduce usage – ranging from performing energy audits, suggesting energy-saving efforts, leveraging utility rebates, creating and maintaining Trade Ally networks of qualified contractors and providing additional rebates on top of the existing utility sponsored rebates.  In each of these situations</w:t>
      </w:r>
      <w:r w:rsidR="00AA467B">
        <w:t>,</w:t>
      </w:r>
      <w:r>
        <w:t xml:space="preserve"> the CEEP group has been an integral partner with the utility in providing personal interactions with community members to help them apply, and more importantly, qualify for the rebate program. In many situations the community organization has helped make the final push to encourage the customer to go with the higher-efficiency options by providing an in-depth understanding of how the different elements of the home affect their comfort, health and overall energy use. Having the ability to partner with local organizations whose efforts include reaching out and performing these services has proved immensely beneficial to all parties in the equation. If a customer can look at their energy use on a whole home basis as opposed to a one-off upgrade approach the overall reduction and potential for repeat efforts increases dramatically.</w:t>
      </w:r>
    </w:p>
    <w:p w14:paraId="1C36495C" w14:textId="77777777" w:rsidR="001707BC" w:rsidRDefault="001707BC" w:rsidP="00F42BA7">
      <w:pPr>
        <w:widowControl/>
        <w:spacing w:beforeLines="107" w:before="256" w:after="0"/>
        <w:contextualSpacing/>
        <w:jc w:val="both"/>
        <w:rPr>
          <w:szCs w:val="28"/>
        </w:rPr>
      </w:pPr>
      <w:r>
        <w:rPr>
          <w:szCs w:val="28"/>
        </w:rPr>
        <w:t xml:space="preserve">  </w:t>
      </w:r>
    </w:p>
    <w:p w14:paraId="415CFD00" w14:textId="6DDCD17F" w:rsidR="007061CB" w:rsidRDefault="001707BC" w:rsidP="00F42BA7">
      <w:pPr>
        <w:widowControl/>
        <w:spacing w:beforeLines="107" w:before="256" w:after="0"/>
        <w:contextualSpacing/>
        <w:jc w:val="both"/>
        <w:rPr>
          <w:szCs w:val="28"/>
        </w:rPr>
      </w:pPr>
      <w:r>
        <w:rPr>
          <w:szCs w:val="28"/>
        </w:rPr>
        <w:t>The Company has spent the past several years working with four towns within its service territory, three of which are in Washington, in their community wide effort to reduce energy use in the residential and municipal realm. Walla Walla, Bellingham and Anacortes engaged in the Georgetown University Energy Prize (GUEP) Competition an effort to encourage local governments and utilities to work with their communities to develop and implement plans for replicable, innovative, scalable and consistent reductions in natural gas and electric consumption. Three areas of i</w:t>
      </w:r>
      <w:r w:rsidR="00F42BA7">
        <w:rPr>
          <w:szCs w:val="28"/>
        </w:rPr>
        <w:t>mport for the prize include:</w:t>
      </w:r>
    </w:p>
    <w:p w14:paraId="16D9C247" w14:textId="77777777" w:rsidR="001707BC" w:rsidRPr="00422267" w:rsidRDefault="001707BC" w:rsidP="00F42BA7">
      <w:pPr>
        <w:pStyle w:val="ListParagraph"/>
        <w:numPr>
          <w:ilvl w:val="0"/>
          <w:numId w:val="52"/>
        </w:numPr>
        <w:spacing w:beforeLines="107" w:before="256" w:line="276" w:lineRule="auto"/>
        <w:jc w:val="both"/>
        <w:rPr>
          <w:rFonts w:ascii="Arial" w:hAnsi="Arial" w:cs="Arial"/>
          <w:szCs w:val="28"/>
        </w:rPr>
      </w:pPr>
      <w:r w:rsidRPr="00422267">
        <w:rPr>
          <w:rFonts w:ascii="Arial" w:hAnsi="Arial" w:cs="Arial"/>
          <w:szCs w:val="28"/>
        </w:rPr>
        <w:t>Spurring innovative approaches for communities to decrease their per-capita energy usage;</w:t>
      </w:r>
    </w:p>
    <w:p w14:paraId="3AFED611" w14:textId="61C54D36" w:rsidR="001707BC" w:rsidRPr="00422267" w:rsidRDefault="001707BC" w:rsidP="00F42BA7">
      <w:pPr>
        <w:pStyle w:val="ListParagraph"/>
        <w:numPr>
          <w:ilvl w:val="0"/>
          <w:numId w:val="52"/>
        </w:numPr>
        <w:spacing w:beforeLines="107" w:before="256" w:line="276" w:lineRule="auto"/>
        <w:jc w:val="both"/>
        <w:rPr>
          <w:rFonts w:ascii="Arial" w:hAnsi="Arial" w:cs="Arial"/>
          <w:szCs w:val="28"/>
        </w:rPr>
      </w:pPr>
      <w:r w:rsidRPr="00422267">
        <w:rPr>
          <w:rFonts w:ascii="Arial" w:hAnsi="Arial" w:cs="Arial"/>
          <w:szCs w:val="28"/>
        </w:rPr>
        <w:t>Highlightin</w:t>
      </w:r>
      <w:r>
        <w:rPr>
          <w:rFonts w:ascii="Arial" w:hAnsi="Arial" w:cs="Arial"/>
          <w:szCs w:val="28"/>
        </w:rPr>
        <w:t>g</w:t>
      </w:r>
      <w:r w:rsidRPr="00422267">
        <w:rPr>
          <w:rFonts w:ascii="Arial" w:hAnsi="Arial" w:cs="Arial"/>
          <w:szCs w:val="28"/>
        </w:rPr>
        <w:t xml:space="preserve"> best practices for communities working with utilities, businesses, and their local governments to create and implement inventive plans for sustained energy efficiency;</w:t>
      </w:r>
    </w:p>
    <w:p w14:paraId="557C460D" w14:textId="43D558CD" w:rsidR="001707BC" w:rsidRPr="00D012EB" w:rsidRDefault="001707BC" w:rsidP="00F42BA7">
      <w:pPr>
        <w:pStyle w:val="ListParagraph"/>
        <w:numPr>
          <w:ilvl w:val="0"/>
          <w:numId w:val="52"/>
        </w:numPr>
        <w:spacing w:beforeLines="107" w:before="256" w:line="276" w:lineRule="auto"/>
        <w:jc w:val="both"/>
        <w:rPr>
          <w:rFonts w:ascii="Arial" w:hAnsi="Arial" w:cs="Arial"/>
          <w:szCs w:val="28"/>
        </w:rPr>
      </w:pPr>
      <w:r w:rsidRPr="00422267">
        <w:rPr>
          <w:rFonts w:ascii="Arial" w:hAnsi="Arial" w:cs="Arial"/>
          <w:szCs w:val="28"/>
        </w:rPr>
        <w:t>Educate the public and engage students in energy efficiency issues including methods, benefits and the environmental costs of the full fuel cycle.</w:t>
      </w:r>
    </w:p>
    <w:p w14:paraId="1B9846ED" w14:textId="4B5DE814" w:rsidR="001707BC" w:rsidRDefault="001707BC" w:rsidP="00F42BA7">
      <w:pPr>
        <w:widowControl/>
        <w:spacing w:beforeLines="107" w:before="256" w:after="0"/>
        <w:contextualSpacing/>
        <w:jc w:val="both"/>
        <w:rPr>
          <w:szCs w:val="28"/>
        </w:rPr>
      </w:pPr>
      <w:r>
        <w:rPr>
          <w:szCs w:val="28"/>
        </w:rPr>
        <w:t xml:space="preserve">Support from the Company has taken the form of assisting the GUEP with developing best practices in data tracking from a utility perspective, providing quality aggregate data downloads to track reductions in the participating towns and providing miscellaneous assistance as requested to the </w:t>
      </w:r>
      <w:r w:rsidR="00AA467B">
        <w:rPr>
          <w:szCs w:val="28"/>
        </w:rPr>
        <w:t xml:space="preserve">cities </w:t>
      </w:r>
      <w:r>
        <w:rPr>
          <w:szCs w:val="28"/>
        </w:rPr>
        <w:t xml:space="preserve">in the variety of activities and events they have engaged in within the communities to promote the efforts. The competition timeframe concludes at the end of 2016, however final evaluation and data management will continue into 2017. As part of the support the Company </w:t>
      </w:r>
      <w:r w:rsidR="00C168A4">
        <w:rPr>
          <w:szCs w:val="28"/>
        </w:rPr>
        <w:t xml:space="preserve">has </w:t>
      </w:r>
      <w:r>
        <w:rPr>
          <w:szCs w:val="28"/>
        </w:rPr>
        <w:t xml:space="preserve">provided to </w:t>
      </w:r>
      <w:r w:rsidR="001C5C86">
        <w:rPr>
          <w:szCs w:val="28"/>
        </w:rPr>
        <w:t>communities participating in these efforts</w:t>
      </w:r>
      <w:r w:rsidR="00C168A4">
        <w:rPr>
          <w:szCs w:val="28"/>
        </w:rPr>
        <w:t xml:space="preserve">, </w:t>
      </w:r>
      <w:r>
        <w:rPr>
          <w:szCs w:val="28"/>
        </w:rPr>
        <w:t xml:space="preserve">a joint bill insert was released to the four towns in Cascade’s territory in 2015 and 2016 </w:t>
      </w:r>
      <w:r w:rsidR="00DC3FA6">
        <w:rPr>
          <w:szCs w:val="28"/>
        </w:rPr>
        <w:t>(</w:t>
      </w:r>
      <w:r>
        <w:rPr>
          <w:szCs w:val="28"/>
        </w:rPr>
        <w:t xml:space="preserve">see </w:t>
      </w:r>
      <w:r w:rsidRPr="00422267">
        <w:rPr>
          <w:i/>
          <w:szCs w:val="28"/>
        </w:rPr>
        <w:t>Appendix B</w:t>
      </w:r>
      <w:r>
        <w:rPr>
          <w:szCs w:val="28"/>
        </w:rPr>
        <w:t xml:space="preserve"> for reference.</w:t>
      </w:r>
      <w:r w:rsidR="00DC3FA6">
        <w:rPr>
          <w:szCs w:val="28"/>
        </w:rPr>
        <w:t>)</w:t>
      </w:r>
      <w:r>
        <w:rPr>
          <w:szCs w:val="28"/>
        </w:rPr>
        <w:t xml:space="preserve">  The Company has also provided a copy of a coloring book cover that was tailored to efficiency messaging for local students interested in energy-efficiency which can be viewed in the </w:t>
      </w:r>
      <w:r w:rsidRPr="00486EE1">
        <w:rPr>
          <w:i/>
          <w:szCs w:val="28"/>
        </w:rPr>
        <w:t>Appendix</w:t>
      </w:r>
      <w:r w:rsidR="00466989" w:rsidRPr="00486EE1">
        <w:rPr>
          <w:i/>
          <w:szCs w:val="28"/>
        </w:rPr>
        <w:t xml:space="preserve"> B</w:t>
      </w:r>
      <w:r w:rsidR="00486EE1">
        <w:rPr>
          <w:i/>
          <w:szCs w:val="28"/>
        </w:rPr>
        <w:t>.</w:t>
      </w:r>
      <w:r>
        <w:rPr>
          <w:szCs w:val="28"/>
        </w:rPr>
        <w:t xml:space="preserve">  Note the </w:t>
      </w:r>
      <w:r w:rsidR="00486EE1">
        <w:rPr>
          <w:szCs w:val="28"/>
        </w:rPr>
        <w:t xml:space="preserve">remainder </w:t>
      </w:r>
      <w:r>
        <w:rPr>
          <w:szCs w:val="28"/>
        </w:rPr>
        <w:t xml:space="preserve">of the coloring book includes low-cost/no-cost tips for children to reduce their energy use. </w:t>
      </w:r>
    </w:p>
    <w:p w14:paraId="3BE5C2A5" w14:textId="77777777" w:rsidR="001707BC" w:rsidRDefault="001707BC" w:rsidP="00F42BA7">
      <w:pPr>
        <w:widowControl/>
        <w:spacing w:beforeLines="107" w:before="256" w:after="0"/>
        <w:contextualSpacing/>
        <w:jc w:val="both"/>
        <w:rPr>
          <w:szCs w:val="28"/>
        </w:rPr>
      </w:pPr>
    </w:p>
    <w:p w14:paraId="786917E5" w14:textId="6C9D1351" w:rsidR="001707BC" w:rsidRDefault="001707BC" w:rsidP="00F42BA7">
      <w:pPr>
        <w:widowControl/>
        <w:spacing w:beforeLines="107" w:before="256" w:after="0"/>
        <w:contextualSpacing/>
        <w:jc w:val="both"/>
        <w:rPr>
          <w:szCs w:val="28"/>
        </w:rPr>
      </w:pPr>
      <w:r>
        <w:rPr>
          <w:szCs w:val="28"/>
        </w:rPr>
        <w:t xml:space="preserve">Cascade has also found great value in coordinating with the Western Washington University Institute for Energy Studies. This partnership has grown for the past two years and has been an excellent opportunity for Cascade to provide support to the Sustainability efforts on the Campus with information about its Energy-Efficiency programs, tabling at events as they arise and providing guest lectures about demand side management and associated efficiency programs for multiple classes at the university including a Business of Energy and an Energy Policy class in support of the Energy Policy and Management major as well as the Energy Policy minor. </w:t>
      </w:r>
    </w:p>
    <w:p w14:paraId="72C691DE" w14:textId="77777777" w:rsidR="001707BC" w:rsidRDefault="001707BC" w:rsidP="00F42BA7">
      <w:pPr>
        <w:widowControl/>
        <w:spacing w:beforeLines="107" w:before="256" w:after="0"/>
        <w:contextualSpacing/>
        <w:jc w:val="both"/>
        <w:rPr>
          <w:szCs w:val="28"/>
        </w:rPr>
      </w:pPr>
    </w:p>
    <w:p w14:paraId="46D6DE38" w14:textId="6DE0B611" w:rsidR="001707BC" w:rsidRDefault="001707BC" w:rsidP="00F42BA7">
      <w:pPr>
        <w:widowControl/>
        <w:spacing w:beforeLines="107" w:before="256" w:after="0"/>
        <w:contextualSpacing/>
        <w:jc w:val="both"/>
        <w:rPr>
          <w:szCs w:val="28"/>
        </w:rPr>
      </w:pPr>
      <w:r>
        <w:rPr>
          <w:szCs w:val="28"/>
        </w:rPr>
        <w:t xml:space="preserve">Company representatives are also involved in a Women </w:t>
      </w:r>
      <w:r w:rsidR="003F2D06">
        <w:rPr>
          <w:szCs w:val="28"/>
        </w:rPr>
        <w:t xml:space="preserve">in </w:t>
      </w:r>
      <w:r>
        <w:rPr>
          <w:szCs w:val="28"/>
        </w:rPr>
        <w:t xml:space="preserve">Energy Mentoring Network (WIEMN) which meets on a monthly basis and provides students an opportunity to talk to professionals throughout the industry about various energy topics including efficiency and renewable resources.  Its goal is to develop leadership skills in students while maintaining diversity in energy studies and the energy industry through the support and feedback of professionals. </w:t>
      </w:r>
    </w:p>
    <w:p w14:paraId="3C17EBD3" w14:textId="77777777" w:rsidR="001707BC" w:rsidRDefault="001707BC" w:rsidP="00F42BA7">
      <w:pPr>
        <w:widowControl/>
        <w:spacing w:beforeLines="107" w:before="256" w:after="0"/>
        <w:contextualSpacing/>
        <w:jc w:val="both"/>
        <w:rPr>
          <w:szCs w:val="28"/>
        </w:rPr>
      </w:pPr>
    </w:p>
    <w:p w14:paraId="7CBEE38D" w14:textId="162D5E58" w:rsidR="001707BC" w:rsidRDefault="001707BC" w:rsidP="00F42BA7">
      <w:pPr>
        <w:widowControl/>
        <w:spacing w:beforeLines="107" w:before="256" w:after="0"/>
        <w:contextualSpacing/>
        <w:jc w:val="both"/>
        <w:rPr>
          <w:szCs w:val="28"/>
        </w:rPr>
      </w:pPr>
      <w:r>
        <w:rPr>
          <w:szCs w:val="28"/>
        </w:rPr>
        <w:t xml:space="preserve">In 2015 Cascade partnered with other utilities in the Tri-Cities area to provide an Energy Experience to local junior high students. The event’s goal was to target middle school students and educate </w:t>
      </w:r>
      <w:r w:rsidR="00D170BC">
        <w:rPr>
          <w:szCs w:val="28"/>
        </w:rPr>
        <w:t xml:space="preserve">them </w:t>
      </w:r>
      <w:r>
        <w:rPr>
          <w:szCs w:val="28"/>
        </w:rPr>
        <w:t xml:space="preserve">about energy generation, production, safety, efficiency and conservation. Participation by Cascade helped increase awareness of natural gas as a source of energy in the home and how it is used, and in turn how it could be conserved. It also provided an opportunity to talk about the Cascade rebate program in terms of </w:t>
      </w:r>
      <w:r w:rsidR="008F394E">
        <w:rPr>
          <w:szCs w:val="28"/>
        </w:rPr>
        <w:t>rebates,</w:t>
      </w:r>
      <w:r>
        <w:rPr>
          <w:szCs w:val="28"/>
        </w:rPr>
        <w:t xml:space="preserve"> home energy consumption</w:t>
      </w:r>
      <w:r w:rsidR="008F394E">
        <w:rPr>
          <w:szCs w:val="28"/>
        </w:rPr>
        <w:t>,</w:t>
      </w:r>
      <w:r>
        <w:rPr>
          <w:szCs w:val="28"/>
        </w:rPr>
        <w:t xml:space="preserve"> and the importance of understanding how a home performs and can be audited, </w:t>
      </w:r>
      <w:r w:rsidR="00DF65BA">
        <w:rPr>
          <w:szCs w:val="28"/>
        </w:rPr>
        <w:t>s</w:t>
      </w:r>
      <w:r>
        <w:rPr>
          <w:szCs w:val="28"/>
        </w:rPr>
        <w:t xml:space="preserve">ee </w:t>
      </w:r>
      <w:r w:rsidRPr="00422267">
        <w:rPr>
          <w:i/>
          <w:szCs w:val="28"/>
        </w:rPr>
        <w:t>Appendix B</w:t>
      </w:r>
      <w:r>
        <w:rPr>
          <w:szCs w:val="28"/>
        </w:rPr>
        <w:t xml:space="preserve"> for a copy of the flyer developed for the outreach event to students. The event is slated to occur again in 2017 with the Company planning to continue participation.</w:t>
      </w:r>
    </w:p>
    <w:p w14:paraId="422C99A0" w14:textId="77777777" w:rsidR="001707BC" w:rsidRDefault="001707BC" w:rsidP="00F42BA7">
      <w:pPr>
        <w:widowControl/>
        <w:spacing w:beforeLines="107" w:before="256" w:after="0"/>
        <w:contextualSpacing/>
        <w:jc w:val="both"/>
        <w:rPr>
          <w:szCs w:val="28"/>
        </w:rPr>
      </w:pPr>
    </w:p>
    <w:p w14:paraId="440E5D46" w14:textId="3F6FC633" w:rsidR="001707BC" w:rsidRDefault="001707BC" w:rsidP="00F42BA7">
      <w:pPr>
        <w:widowControl/>
        <w:spacing w:beforeLines="107" w:before="256" w:after="0"/>
        <w:contextualSpacing/>
        <w:jc w:val="both"/>
        <w:rPr>
          <w:szCs w:val="28"/>
        </w:rPr>
      </w:pPr>
      <w:r>
        <w:rPr>
          <w:szCs w:val="28"/>
        </w:rPr>
        <w:t xml:space="preserve">In accordance with the Company’s integrated marketing </w:t>
      </w:r>
      <w:r w:rsidR="003C6554">
        <w:rPr>
          <w:szCs w:val="28"/>
        </w:rPr>
        <w:t xml:space="preserve">efforts </w:t>
      </w:r>
      <w:r>
        <w:rPr>
          <w:szCs w:val="28"/>
        </w:rPr>
        <w:t>Cascade has also branched out to its customers through an alternative messaging venue from standard energy efficiency focused events in the community. During the spring and summer season for the past two years the energy efficiency department has worked closely with the safety department</w:t>
      </w:r>
      <w:r w:rsidR="00DF65BA">
        <w:rPr>
          <w:szCs w:val="28"/>
        </w:rPr>
        <w:t xml:space="preserve"> on a joint message.</w:t>
      </w:r>
      <w:r>
        <w:rPr>
          <w:szCs w:val="28"/>
        </w:rPr>
        <w:t xml:space="preserve"> </w:t>
      </w:r>
      <w:r w:rsidR="00DF65BA">
        <w:rPr>
          <w:szCs w:val="28"/>
        </w:rPr>
        <w:t>The groups will</w:t>
      </w:r>
      <w:r>
        <w:rPr>
          <w:szCs w:val="28"/>
        </w:rPr>
        <w:t xml:space="preserve"> continue outreach of this nature in f</w:t>
      </w:r>
      <w:r w:rsidR="00DF65BA">
        <w:rPr>
          <w:szCs w:val="28"/>
        </w:rPr>
        <w:t>uture</w:t>
      </w:r>
      <w:r>
        <w:rPr>
          <w:szCs w:val="28"/>
        </w:rPr>
        <w:t xml:space="preserve"> years</w:t>
      </w:r>
      <w:r w:rsidR="00DF65BA">
        <w:rPr>
          <w:szCs w:val="28"/>
        </w:rPr>
        <w:t>,</w:t>
      </w:r>
      <w:r>
        <w:rPr>
          <w:szCs w:val="28"/>
        </w:rPr>
        <w:t xml:space="preserve"> although the final format will be determined based on discussions with the advertisers</w:t>
      </w:r>
      <w:r w:rsidR="00DF65BA">
        <w:rPr>
          <w:szCs w:val="28"/>
        </w:rPr>
        <w:t xml:space="preserve"> and </w:t>
      </w:r>
      <w:r>
        <w:rPr>
          <w:szCs w:val="28"/>
        </w:rPr>
        <w:t xml:space="preserve">team. A messaging campaign was provided during the Walla Walla Sweets baseball team and Yakima Pippins baseball team seasons for the Company to provide information about natural gas safety going hand-in-hand with efficient use of natural gas.  See </w:t>
      </w:r>
      <w:r w:rsidRPr="00422267">
        <w:rPr>
          <w:i/>
          <w:szCs w:val="28"/>
        </w:rPr>
        <w:t>Appendix B</w:t>
      </w:r>
      <w:r>
        <w:rPr>
          <w:szCs w:val="28"/>
        </w:rPr>
        <w:t xml:space="preserve"> for a copy of a handout provided to all attendees at the games as well an image of one of the signs at the fields. </w:t>
      </w:r>
      <w:r w:rsidR="00DF65BA">
        <w:rPr>
          <w:szCs w:val="28"/>
        </w:rPr>
        <w:t>O</w:t>
      </w:r>
      <w:r>
        <w:rPr>
          <w:szCs w:val="28"/>
        </w:rPr>
        <w:t>verall program impressions at one of the fields</w:t>
      </w:r>
      <w:r w:rsidR="00DF65BA">
        <w:rPr>
          <w:szCs w:val="28"/>
        </w:rPr>
        <w:t xml:space="preserve"> was up</w:t>
      </w:r>
      <w:r>
        <w:rPr>
          <w:szCs w:val="28"/>
        </w:rPr>
        <w:t xml:space="preserve"> to 1,300 fans view</w:t>
      </w:r>
      <w:r w:rsidR="00DF65BA">
        <w:rPr>
          <w:szCs w:val="28"/>
        </w:rPr>
        <w:t>ing</w:t>
      </w:r>
      <w:r>
        <w:rPr>
          <w:szCs w:val="28"/>
        </w:rPr>
        <w:t xml:space="preserve"> the messaging each night throughout the season</w:t>
      </w:r>
      <w:r w:rsidR="00DF65BA">
        <w:rPr>
          <w:szCs w:val="28"/>
        </w:rPr>
        <w:t>,</w:t>
      </w:r>
      <w:r>
        <w:rPr>
          <w:szCs w:val="28"/>
        </w:rPr>
        <w:t xml:space="preserve"> and at the other field 41,255 fans attended games this season. The campaign included the following elements: </w:t>
      </w:r>
    </w:p>
    <w:p w14:paraId="761D3193" w14:textId="77777777" w:rsidR="001707BC" w:rsidRDefault="001707BC" w:rsidP="00F42BA7">
      <w:pPr>
        <w:pStyle w:val="ListParagraph"/>
        <w:numPr>
          <w:ilvl w:val="0"/>
          <w:numId w:val="53"/>
        </w:numPr>
        <w:spacing w:beforeLines="107" w:before="256" w:line="276" w:lineRule="auto"/>
        <w:jc w:val="both"/>
        <w:rPr>
          <w:rFonts w:ascii="Arial" w:hAnsi="Arial" w:cs="Arial"/>
          <w:szCs w:val="28"/>
        </w:rPr>
      </w:pPr>
      <w:r>
        <w:rPr>
          <w:rFonts w:ascii="Arial" w:hAnsi="Arial" w:cs="Arial"/>
          <w:szCs w:val="28"/>
        </w:rPr>
        <w:t xml:space="preserve">Either a  3’x4’ poster at the stadium entrance or a 12’x8’ outfield sign </w:t>
      </w:r>
    </w:p>
    <w:p w14:paraId="5903CADD" w14:textId="338D6B73" w:rsidR="001707BC" w:rsidRDefault="001707BC" w:rsidP="00F42BA7">
      <w:pPr>
        <w:pStyle w:val="ListParagraph"/>
        <w:numPr>
          <w:ilvl w:val="0"/>
          <w:numId w:val="53"/>
        </w:numPr>
        <w:spacing w:beforeLines="107" w:before="256" w:line="276" w:lineRule="auto"/>
        <w:jc w:val="both"/>
        <w:rPr>
          <w:rFonts w:ascii="Arial" w:hAnsi="Arial" w:cs="Arial"/>
          <w:szCs w:val="28"/>
        </w:rPr>
      </w:pPr>
      <w:r>
        <w:rPr>
          <w:rFonts w:ascii="Arial" w:hAnsi="Arial" w:cs="Arial"/>
          <w:szCs w:val="28"/>
        </w:rPr>
        <w:t>In-game promotion of safe digging (811 promotion) -  (</w:t>
      </w:r>
      <w:r w:rsidRPr="00422267">
        <w:rPr>
          <w:rFonts w:ascii="Arial" w:hAnsi="Arial" w:cs="Arial"/>
          <w:i/>
          <w:szCs w:val="28"/>
        </w:rPr>
        <w:t xml:space="preserve">please note costs for this element of the messaging </w:t>
      </w:r>
      <w:r w:rsidR="007A7B3D">
        <w:rPr>
          <w:rFonts w:ascii="Arial" w:hAnsi="Arial" w:cs="Arial"/>
          <w:i/>
          <w:szCs w:val="28"/>
        </w:rPr>
        <w:t>were</w:t>
      </w:r>
      <w:r w:rsidR="007A7B3D" w:rsidRPr="00422267">
        <w:rPr>
          <w:rFonts w:ascii="Arial" w:hAnsi="Arial" w:cs="Arial"/>
          <w:i/>
          <w:szCs w:val="28"/>
        </w:rPr>
        <w:t xml:space="preserve"> </w:t>
      </w:r>
      <w:r w:rsidRPr="00422267">
        <w:rPr>
          <w:rFonts w:ascii="Arial" w:hAnsi="Arial" w:cs="Arial"/>
          <w:i/>
          <w:szCs w:val="28"/>
        </w:rPr>
        <w:t>not covered through deferred funds</w:t>
      </w:r>
      <w:r>
        <w:rPr>
          <w:rFonts w:ascii="Arial" w:hAnsi="Arial" w:cs="Arial"/>
          <w:szCs w:val="28"/>
        </w:rPr>
        <w:t>)</w:t>
      </w:r>
    </w:p>
    <w:p w14:paraId="018A60DF" w14:textId="77777777" w:rsidR="001707BC" w:rsidRDefault="001707BC" w:rsidP="00F42BA7">
      <w:pPr>
        <w:pStyle w:val="ListParagraph"/>
        <w:numPr>
          <w:ilvl w:val="0"/>
          <w:numId w:val="53"/>
        </w:numPr>
        <w:spacing w:beforeLines="107" w:before="256" w:line="276" w:lineRule="auto"/>
        <w:jc w:val="both"/>
        <w:rPr>
          <w:rFonts w:ascii="Arial" w:hAnsi="Arial" w:cs="Arial"/>
          <w:szCs w:val="28"/>
        </w:rPr>
      </w:pPr>
      <w:r>
        <w:rPr>
          <w:rFonts w:ascii="Arial" w:hAnsi="Arial" w:cs="Arial"/>
          <w:szCs w:val="28"/>
        </w:rPr>
        <w:t>30 second video board commercial during Yakima game</w:t>
      </w:r>
    </w:p>
    <w:p w14:paraId="34B303A9" w14:textId="77777777" w:rsidR="001707BC" w:rsidRDefault="001707BC" w:rsidP="00F42BA7">
      <w:pPr>
        <w:pStyle w:val="ListParagraph"/>
        <w:numPr>
          <w:ilvl w:val="0"/>
          <w:numId w:val="53"/>
        </w:numPr>
        <w:spacing w:beforeLines="107" w:before="256" w:line="276" w:lineRule="auto"/>
        <w:jc w:val="both"/>
        <w:rPr>
          <w:rFonts w:ascii="Arial" w:hAnsi="Arial" w:cs="Arial"/>
          <w:szCs w:val="28"/>
        </w:rPr>
      </w:pPr>
      <w:r>
        <w:rPr>
          <w:rFonts w:ascii="Arial" w:hAnsi="Arial" w:cs="Arial"/>
          <w:szCs w:val="28"/>
        </w:rPr>
        <w:t>30 second radio commercial per game</w:t>
      </w:r>
    </w:p>
    <w:p w14:paraId="52A02A29" w14:textId="77777777" w:rsidR="001707BC" w:rsidRDefault="001707BC" w:rsidP="00F42BA7">
      <w:pPr>
        <w:pStyle w:val="ListParagraph"/>
        <w:numPr>
          <w:ilvl w:val="0"/>
          <w:numId w:val="53"/>
        </w:numPr>
        <w:spacing w:beforeLines="107" w:before="256" w:line="276" w:lineRule="auto"/>
        <w:jc w:val="both"/>
        <w:rPr>
          <w:rFonts w:ascii="Arial" w:hAnsi="Arial" w:cs="Arial"/>
          <w:szCs w:val="28"/>
        </w:rPr>
      </w:pPr>
      <w:r>
        <w:rPr>
          <w:rFonts w:ascii="Arial" w:hAnsi="Arial" w:cs="Arial"/>
          <w:szCs w:val="28"/>
        </w:rPr>
        <w:t>3 tabling nights at each field  with distribution of up to 600 efficiency flyers per game</w:t>
      </w:r>
    </w:p>
    <w:p w14:paraId="657E3BF9" w14:textId="46728CB9" w:rsidR="001707BC" w:rsidRDefault="001707BC" w:rsidP="00F42BA7">
      <w:pPr>
        <w:pStyle w:val="ListParagraph"/>
        <w:numPr>
          <w:ilvl w:val="0"/>
          <w:numId w:val="53"/>
        </w:numPr>
        <w:spacing w:beforeLines="107" w:before="256" w:line="276" w:lineRule="auto"/>
        <w:jc w:val="both"/>
        <w:rPr>
          <w:rFonts w:ascii="Arial" w:hAnsi="Arial" w:cs="Arial"/>
          <w:szCs w:val="28"/>
        </w:rPr>
      </w:pPr>
      <w:r>
        <w:rPr>
          <w:rFonts w:ascii="Arial" w:hAnsi="Arial" w:cs="Arial"/>
          <w:szCs w:val="28"/>
        </w:rPr>
        <w:t xml:space="preserve">Web-button linking to CNGC and the efficiency programs from </w:t>
      </w:r>
      <w:r w:rsidR="00DF65BA">
        <w:rPr>
          <w:rFonts w:ascii="Arial" w:hAnsi="Arial" w:cs="Arial"/>
          <w:szCs w:val="28"/>
        </w:rPr>
        <w:t xml:space="preserve">the </w:t>
      </w:r>
      <w:r>
        <w:rPr>
          <w:rFonts w:ascii="Arial" w:hAnsi="Arial" w:cs="Arial"/>
          <w:szCs w:val="28"/>
        </w:rPr>
        <w:t>team’s website</w:t>
      </w:r>
    </w:p>
    <w:p w14:paraId="598E585C" w14:textId="77777777" w:rsidR="001707BC" w:rsidRDefault="001707BC" w:rsidP="00F42BA7">
      <w:pPr>
        <w:pStyle w:val="ListParagraph"/>
        <w:spacing w:beforeLines="107" w:before="256" w:line="276" w:lineRule="auto"/>
        <w:ind w:left="0"/>
        <w:jc w:val="both"/>
        <w:rPr>
          <w:rFonts w:ascii="Arial" w:hAnsi="Arial" w:cs="Arial"/>
          <w:szCs w:val="28"/>
        </w:rPr>
      </w:pPr>
    </w:p>
    <w:p w14:paraId="3D459B9B" w14:textId="071AB3F5" w:rsidR="00D45E25" w:rsidRDefault="001707BC" w:rsidP="00F42BA7">
      <w:pPr>
        <w:pStyle w:val="ListParagraph"/>
        <w:spacing w:beforeLines="107" w:before="256" w:line="276" w:lineRule="auto"/>
        <w:ind w:left="0"/>
        <w:jc w:val="both"/>
        <w:rPr>
          <w:rFonts w:ascii="Arial" w:hAnsi="Arial" w:cs="Arial"/>
          <w:szCs w:val="28"/>
        </w:rPr>
      </w:pPr>
      <w:r>
        <w:rPr>
          <w:rFonts w:ascii="Arial" w:hAnsi="Arial" w:cs="Arial"/>
          <w:szCs w:val="28"/>
        </w:rPr>
        <w:t xml:space="preserve">Energy efficiency messaging is also provided when requested for support of District Office community engagement efforts including the items from Longview’s outreach during sporting events in </w:t>
      </w:r>
      <w:r w:rsidRPr="00422267">
        <w:rPr>
          <w:rFonts w:ascii="Arial" w:hAnsi="Arial" w:cs="Arial"/>
          <w:i/>
          <w:szCs w:val="28"/>
        </w:rPr>
        <w:t>Appendix B</w:t>
      </w:r>
      <w:r w:rsidR="00F42BA7">
        <w:rPr>
          <w:rFonts w:ascii="Arial" w:hAnsi="Arial" w:cs="Arial"/>
          <w:szCs w:val="28"/>
        </w:rPr>
        <w:t xml:space="preserve"> from 2016.</w:t>
      </w:r>
    </w:p>
    <w:p w14:paraId="755891D3" w14:textId="306C74E1" w:rsidR="00DF65BA" w:rsidRDefault="00D45E25" w:rsidP="00F42BA7">
      <w:pPr>
        <w:widowControl/>
        <w:spacing w:beforeLines="107" w:before="256" w:after="0"/>
        <w:contextualSpacing/>
        <w:jc w:val="both"/>
        <w:rPr>
          <w:szCs w:val="28"/>
        </w:rPr>
      </w:pPr>
      <w:r>
        <w:rPr>
          <w:szCs w:val="28"/>
        </w:rPr>
        <w:t>In the coming year, Cascade also plans to create Spanish language messaging and forms to ensure the Company is engaging more fully with the Latino community in energy efficiency education and awareness.</w:t>
      </w:r>
    </w:p>
    <w:p w14:paraId="0E6C0326" w14:textId="77777777" w:rsidR="00F42BA7" w:rsidRDefault="00F42BA7" w:rsidP="00BE0300">
      <w:pPr>
        <w:widowControl/>
        <w:spacing w:after="0"/>
        <w:contextualSpacing/>
        <w:jc w:val="both"/>
        <w:rPr>
          <w:szCs w:val="28"/>
        </w:rPr>
      </w:pPr>
    </w:p>
    <w:p w14:paraId="5482C62D" w14:textId="04B3B017" w:rsidR="001707BC" w:rsidRDefault="001707BC" w:rsidP="00BE0300">
      <w:pPr>
        <w:pStyle w:val="Heading2"/>
        <w:spacing w:line="276" w:lineRule="auto"/>
      </w:pPr>
      <w:bookmarkStart w:id="41" w:name="_Toc465678041"/>
      <w:r w:rsidRPr="00422267">
        <w:t>Residential Focus</w:t>
      </w:r>
      <w:bookmarkEnd w:id="41"/>
    </w:p>
    <w:p w14:paraId="37F99253" w14:textId="085C5261" w:rsidR="001707BC" w:rsidRPr="00DF65BA" w:rsidRDefault="001707BC" w:rsidP="00BE0300">
      <w:pPr>
        <w:widowControl/>
        <w:spacing w:after="0"/>
        <w:contextualSpacing/>
        <w:jc w:val="both"/>
        <w:rPr>
          <w:szCs w:val="28"/>
        </w:rPr>
      </w:pPr>
      <w:r w:rsidRPr="00DF65BA">
        <w:rPr>
          <w:szCs w:val="28"/>
        </w:rPr>
        <w:t>The Company takes advantage of the opportunity to messag</w:t>
      </w:r>
      <w:r w:rsidR="00DF65BA">
        <w:rPr>
          <w:szCs w:val="28"/>
        </w:rPr>
        <w:t>e to</w:t>
      </w:r>
      <w:r w:rsidRPr="00DF65BA">
        <w:rPr>
          <w:szCs w:val="28"/>
        </w:rPr>
        <w:t xml:space="preserve"> </w:t>
      </w:r>
      <w:r w:rsidR="00C83613">
        <w:rPr>
          <w:szCs w:val="28"/>
        </w:rPr>
        <w:t>its</w:t>
      </w:r>
      <w:r w:rsidRPr="00DF65BA">
        <w:rPr>
          <w:szCs w:val="28"/>
        </w:rPr>
        <w:t xml:space="preserve"> customer</w:t>
      </w:r>
      <w:r w:rsidR="00C83613">
        <w:rPr>
          <w:szCs w:val="28"/>
        </w:rPr>
        <w:t xml:space="preserve">s </w:t>
      </w:r>
      <w:r w:rsidRPr="00DF65BA">
        <w:rPr>
          <w:szCs w:val="28"/>
        </w:rPr>
        <w:t>on the energy efficiency programs</w:t>
      </w:r>
      <w:r w:rsidR="00EB1155">
        <w:rPr>
          <w:szCs w:val="28"/>
        </w:rPr>
        <w:t xml:space="preserve"> whenever possible</w:t>
      </w:r>
      <w:r w:rsidR="00DF65BA">
        <w:rPr>
          <w:szCs w:val="28"/>
        </w:rPr>
        <w:t xml:space="preserve"> and cost effective</w:t>
      </w:r>
      <w:r w:rsidRPr="00DF65BA">
        <w:rPr>
          <w:szCs w:val="28"/>
        </w:rPr>
        <w:t>. One such example includes the monthly energy efficiency bill insert sent to all core customers</w:t>
      </w:r>
      <w:r w:rsidR="00DF65BA">
        <w:rPr>
          <w:szCs w:val="28"/>
        </w:rPr>
        <w:t xml:space="preserve"> which </w:t>
      </w:r>
      <w:r w:rsidRPr="00DF65BA">
        <w:rPr>
          <w:szCs w:val="28"/>
        </w:rPr>
        <w:t xml:space="preserve">is sent to customers receiving utility bills in both an electronic and hard copy form. This venue continues to be a viable and consistent format for providing efficiency messaging and updates to customers on program offerings. See </w:t>
      </w:r>
      <w:r w:rsidRPr="00DF65BA">
        <w:rPr>
          <w:i/>
          <w:szCs w:val="28"/>
        </w:rPr>
        <w:t>Appendix B</w:t>
      </w:r>
      <w:r w:rsidRPr="00DF65BA">
        <w:rPr>
          <w:szCs w:val="28"/>
        </w:rPr>
        <w:t xml:space="preserve"> for samples of inserts sent during CY 2016. The bill inserts are generally residential custom</w:t>
      </w:r>
      <w:r w:rsidR="00E73AAE">
        <w:rPr>
          <w:szCs w:val="28"/>
        </w:rPr>
        <w:t>er</w:t>
      </w:r>
      <w:r w:rsidRPr="00DF65BA">
        <w:rPr>
          <w:szCs w:val="28"/>
        </w:rPr>
        <w:t xml:space="preserve"> focused as it’s important for the decision makers in the home to receive the messaging. Having said that, the Company has also referenced its commercial program offerings in bill inserts on occasion and has received follow-up from customers based on the information in the piece.   </w:t>
      </w:r>
    </w:p>
    <w:p w14:paraId="7C6F5C28" w14:textId="77777777" w:rsidR="001707BC" w:rsidRPr="00DF65BA" w:rsidRDefault="001707BC" w:rsidP="00F42BA7">
      <w:pPr>
        <w:widowControl/>
        <w:spacing w:beforeLines="107" w:before="256" w:after="0"/>
        <w:contextualSpacing/>
        <w:jc w:val="both"/>
        <w:rPr>
          <w:szCs w:val="28"/>
        </w:rPr>
      </w:pPr>
    </w:p>
    <w:p w14:paraId="0AF51490" w14:textId="28709DF2" w:rsidR="00DB07F9" w:rsidRDefault="00F8248D" w:rsidP="00F42BA7">
      <w:pPr>
        <w:widowControl/>
        <w:spacing w:beforeLines="107" w:before="256" w:after="0"/>
        <w:contextualSpacing/>
        <w:jc w:val="both"/>
        <w:rPr>
          <w:szCs w:val="28"/>
        </w:rPr>
      </w:pPr>
      <w:r>
        <w:rPr>
          <w:szCs w:val="28"/>
        </w:rPr>
        <w:t>L</w:t>
      </w:r>
      <w:r w:rsidR="001707BC" w:rsidRPr="00DF65BA">
        <w:rPr>
          <w:szCs w:val="28"/>
        </w:rPr>
        <w:t xml:space="preserve">ocal Home Builders Associations </w:t>
      </w:r>
      <w:r w:rsidR="00275672">
        <w:rPr>
          <w:szCs w:val="28"/>
        </w:rPr>
        <w:t>provide another strong partnership opportunity for</w:t>
      </w:r>
      <w:r w:rsidR="00427D7F">
        <w:rPr>
          <w:szCs w:val="28"/>
        </w:rPr>
        <w:t xml:space="preserve"> </w:t>
      </w:r>
      <w:r>
        <w:rPr>
          <w:szCs w:val="28"/>
        </w:rPr>
        <w:t>energy efficiency messaging</w:t>
      </w:r>
      <w:r w:rsidR="001707BC" w:rsidRPr="00DF65BA">
        <w:rPr>
          <w:szCs w:val="28"/>
        </w:rPr>
        <w:t xml:space="preserve">. </w:t>
      </w:r>
      <w:r w:rsidR="003F1A35">
        <w:rPr>
          <w:szCs w:val="28"/>
        </w:rPr>
        <w:t>T</w:t>
      </w:r>
      <w:r w:rsidR="001707BC" w:rsidRPr="00DF65BA">
        <w:rPr>
          <w:szCs w:val="28"/>
        </w:rPr>
        <w:t xml:space="preserve">hese </w:t>
      </w:r>
      <w:r w:rsidR="003F1A35">
        <w:rPr>
          <w:szCs w:val="28"/>
        </w:rPr>
        <w:t>organizations</w:t>
      </w:r>
      <w:r w:rsidR="001707BC" w:rsidRPr="00DF65BA">
        <w:rPr>
          <w:szCs w:val="28"/>
        </w:rPr>
        <w:t xml:space="preserve"> play an integral part with local contractors and the new home industry to promote higher-efficiency equipment use and </w:t>
      </w:r>
      <w:r w:rsidR="005C589A" w:rsidRPr="00DF65BA">
        <w:rPr>
          <w:szCs w:val="28"/>
        </w:rPr>
        <w:t>efficient</w:t>
      </w:r>
      <w:r w:rsidR="001707BC" w:rsidRPr="00DF65BA">
        <w:rPr>
          <w:szCs w:val="28"/>
        </w:rPr>
        <w:t xml:space="preserve"> building practices</w:t>
      </w:r>
      <w:r w:rsidR="00DF65BA">
        <w:rPr>
          <w:szCs w:val="28"/>
        </w:rPr>
        <w:t>,</w:t>
      </w:r>
      <w:r w:rsidR="001707BC" w:rsidRPr="00DF65BA">
        <w:rPr>
          <w:szCs w:val="28"/>
        </w:rPr>
        <w:t xml:space="preserve"> including Built Green</w:t>
      </w:r>
      <w:r w:rsidR="001707BC" w:rsidRPr="00DF65BA">
        <w:rPr>
          <w:szCs w:val="28"/>
          <w:vertAlign w:val="superscript"/>
        </w:rPr>
        <w:t xml:space="preserve">® </w:t>
      </w:r>
      <w:r w:rsidR="001707BC" w:rsidRPr="00DF65BA">
        <w:rPr>
          <w:szCs w:val="28"/>
        </w:rPr>
        <w:t xml:space="preserve">certification.  The Company </w:t>
      </w:r>
      <w:r w:rsidR="001707BC" w:rsidRPr="00F657A9">
        <w:rPr>
          <w:szCs w:val="28"/>
        </w:rPr>
        <w:t xml:space="preserve">attends Built Green meetings and events as available to further encourage uptake of program offerings and higher-efficiency natural gas investment from builders at the time when decisions </w:t>
      </w:r>
      <w:r w:rsidR="001707BC" w:rsidRPr="00DF65BA">
        <w:rPr>
          <w:szCs w:val="28"/>
        </w:rPr>
        <w:t xml:space="preserve">are being made. HBAs commonly message to new home buyers and those interested in renovating their existing homes – which in turn, provides the </w:t>
      </w:r>
      <w:r w:rsidR="002151F8" w:rsidRPr="00DF65BA">
        <w:t xml:space="preserve">Company </w:t>
      </w:r>
      <w:r w:rsidR="001707BC" w:rsidRPr="00DF65BA">
        <w:t>with a premier</w:t>
      </w:r>
      <w:r w:rsidR="00CD0B66">
        <w:rPr>
          <w:szCs w:val="28"/>
        </w:rPr>
        <w:t xml:space="preserve"> </w:t>
      </w:r>
      <w:r w:rsidR="001707BC" w:rsidRPr="00DF65BA">
        <w:rPr>
          <w:szCs w:val="28"/>
        </w:rPr>
        <w:t xml:space="preserve">opportunity </w:t>
      </w:r>
      <w:r w:rsidR="00CD0B66">
        <w:rPr>
          <w:szCs w:val="28"/>
        </w:rPr>
        <w:t xml:space="preserve">for outreach </w:t>
      </w:r>
      <w:r w:rsidR="001707BC" w:rsidRPr="00DF65BA">
        <w:rPr>
          <w:szCs w:val="28"/>
        </w:rPr>
        <w:t>during</w:t>
      </w:r>
      <w:r w:rsidR="00CD0B66">
        <w:rPr>
          <w:szCs w:val="28"/>
        </w:rPr>
        <w:t xml:space="preserve"> an association’s</w:t>
      </w:r>
      <w:r w:rsidR="001707BC" w:rsidRPr="00DF65BA">
        <w:rPr>
          <w:szCs w:val="28"/>
        </w:rPr>
        <w:t xml:space="preserve"> Home and Garden Shows </w:t>
      </w:r>
      <w:r w:rsidR="00DF65BA">
        <w:rPr>
          <w:szCs w:val="28"/>
        </w:rPr>
        <w:t>and</w:t>
      </w:r>
      <w:r w:rsidR="001707BC" w:rsidRPr="00DF65BA">
        <w:rPr>
          <w:szCs w:val="28"/>
        </w:rPr>
        <w:t xml:space="preserve"> Home Tours.  During these events</w:t>
      </w:r>
      <w:r w:rsidR="005C2AED">
        <w:rPr>
          <w:szCs w:val="28"/>
        </w:rPr>
        <w:t>,</w:t>
      </w:r>
      <w:r w:rsidR="001707BC" w:rsidRPr="00DF65BA">
        <w:rPr>
          <w:szCs w:val="28"/>
        </w:rPr>
        <w:t xml:space="preserve"> the Company often places advertisements in </w:t>
      </w:r>
      <w:r w:rsidR="005C2AED">
        <w:rPr>
          <w:szCs w:val="28"/>
        </w:rPr>
        <w:t>event</w:t>
      </w:r>
      <w:r w:rsidR="005C2AED" w:rsidRPr="00DF65BA">
        <w:rPr>
          <w:szCs w:val="28"/>
        </w:rPr>
        <w:t xml:space="preserve"> </w:t>
      </w:r>
      <w:r w:rsidR="001707BC" w:rsidRPr="00DF65BA">
        <w:rPr>
          <w:szCs w:val="28"/>
        </w:rPr>
        <w:t>directories</w:t>
      </w:r>
      <w:r w:rsidR="005C2AED">
        <w:rPr>
          <w:szCs w:val="28"/>
        </w:rPr>
        <w:t xml:space="preserve"> and</w:t>
      </w:r>
      <w:r w:rsidR="005C2AED" w:rsidRPr="00DF65BA">
        <w:rPr>
          <w:szCs w:val="28"/>
        </w:rPr>
        <w:t xml:space="preserve"> </w:t>
      </w:r>
      <w:r w:rsidR="001707BC" w:rsidRPr="00DF65BA">
        <w:rPr>
          <w:szCs w:val="28"/>
        </w:rPr>
        <w:t xml:space="preserve">at the homes themselves (see </w:t>
      </w:r>
      <w:r w:rsidR="001707BC" w:rsidRPr="00DF65BA">
        <w:rPr>
          <w:i/>
          <w:szCs w:val="28"/>
        </w:rPr>
        <w:t>Appendix B</w:t>
      </w:r>
      <w:r w:rsidR="001707BC" w:rsidRPr="00DF65BA">
        <w:rPr>
          <w:szCs w:val="28"/>
        </w:rPr>
        <w:t>)</w:t>
      </w:r>
      <w:r w:rsidR="005C2AED">
        <w:rPr>
          <w:szCs w:val="28"/>
        </w:rPr>
        <w:t xml:space="preserve">. The Company will also </w:t>
      </w:r>
      <w:r w:rsidR="001707BC" w:rsidRPr="00DF65BA">
        <w:rPr>
          <w:szCs w:val="28"/>
        </w:rPr>
        <w:t xml:space="preserve">attend </w:t>
      </w:r>
      <w:r w:rsidR="005C2AED">
        <w:rPr>
          <w:szCs w:val="28"/>
        </w:rPr>
        <w:t xml:space="preserve">such events </w:t>
      </w:r>
      <w:r w:rsidR="001707BC" w:rsidRPr="00DF65BA">
        <w:rPr>
          <w:szCs w:val="28"/>
        </w:rPr>
        <w:t>in person to speak with customers and</w:t>
      </w:r>
      <w:r w:rsidR="00816FEE">
        <w:rPr>
          <w:szCs w:val="28"/>
        </w:rPr>
        <w:t xml:space="preserve"> </w:t>
      </w:r>
      <w:r w:rsidR="001707BC" w:rsidRPr="00DF65BA">
        <w:rPr>
          <w:szCs w:val="28"/>
        </w:rPr>
        <w:t>support local Trade Ally Contractors by providing program materials and rebate information for distribution to attendees. These efforts will continue into 2017 and 2018 with the Tri-Cities HBA, Central Washington HBA, Skagit/Island County HBA, Home Builders Association of Whatcom County and others as deemed appropriate. Note – in Longview the Company has also provided ad placements in the Lower Columbia Contractor’s Association Directory which meets many of the same messaging opportunities as coordinating with the HBAs (See Appendix B for ad placements from 2016).</w:t>
      </w:r>
    </w:p>
    <w:p w14:paraId="572F5AD9" w14:textId="772292CA" w:rsidR="001707BC" w:rsidRPr="00DF65BA" w:rsidRDefault="001707BC" w:rsidP="00F42BA7">
      <w:pPr>
        <w:widowControl/>
        <w:spacing w:beforeLines="107" w:before="256" w:after="0"/>
        <w:contextualSpacing/>
        <w:jc w:val="both"/>
        <w:rPr>
          <w:szCs w:val="28"/>
        </w:rPr>
      </w:pPr>
      <w:r w:rsidRPr="00DF65BA">
        <w:rPr>
          <w:szCs w:val="28"/>
        </w:rPr>
        <w:t xml:space="preserve">  </w:t>
      </w:r>
    </w:p>
    <w:p w14:paraId="47D35588" w14:textId="58D113D3" w:rsidR="001707BC" w:rsidRDefault="001707BC" w:rsidP="00F42BA7">
      <w:pPr>
        <w:widowControl/>
        <w:spacing w:beforeLines="107" w:before="256" w:after="0"/>
        <w:contextualSpacing/>
        <w:jc w:val="both"/>
        <w:rPr>
          <w:szCs w:val="28"/>
        </w:rPr>
      </w:pPr>
      <w:r w:rsidRPr="00DF65BA">
        <w:rPr>
          <w:szCs w:val="28"/>
        </w:rPr>
        <w:t xml:space="preserve">The real-estate industry also poses a unique opportunity for Company representatives to provide information about energy-efficiency offerings to an audience that is poised to help home buyers make wise decisions on future energy consumption </w:t>
      </w:r>
      <w:r w:rsidR="00816FEE">
        <w:rPr>
          <w:szCs w:val="28"/>
        </w:rPr>
        <w:t xml:space="preserve">in </w:t>
      </w:r>
      <w:r w:rsidRPr="00AC2DF5">
        <w:rPr>
          <w:szCs w:val="28"/>
        </w:rPr>
        <w:t>their homes.</w:t>
      </w:r>
      <w:r w:rsidR="00C03D4E">
        <w:rPr>
          <w:szCs w:val="28"/>
        </w:rPr>
        <w:t xml:space="preserve"> </w:t>
      </w:r>
      <w:r w:rsidRPr="00AC2DF5">
        <w:rPr>
          <w:szCs w:val="28"/>
        </w:rPr>
        <w:t xml:space="preserve">Informing real-estate agents of available rebates and the impact energy choices can make to a home’s energy costs during the lifespan of the measure is important to </w:t>
      </w:r>
      <w:r w:rsidR="001B1019">
        <w:rPr>
          <w:szCs w:val="28"/>
        </w:rPr>
        <w:t>start</w:t>
      </w:r>
      <w:r w:rsidR="001B1019" w:rsidRPr="00AC2DF5">
        <w:rPr>
          <w:szCs w:val="28"/>
        </w:rPr>
        <w:t xml:space="preserve"> </w:t>
      </w:r>
      <w:r w:rsidRPr="00AC2DF5">
        <w:rPr>
          <w:szCs w:val="28"/>
        </w:rPr>
        <w:t xml:space="preserve">the purchaser on an energy efficient path as early as possible. The Company has attended </w:t>
      </w:r>
      <w:r w:rsidR="00186ABF">
        <w:rPr>
          <w:szCs w:val="28"/>
        </w:rPr>
        <w:t>A</w:t>
      </w:r>
      <w:r w:rsidR="00186ABF" w:rsidRPr="00AC2DF5">
        <w:rPr>
          <w:szCs w:val="28"/>
        </w:rPr>
        <w:t xml:space="preserve">ssociation </w:t>
      </w:r>
      <w:r w:rsidRPr="00AC2DF5">
        <w:rPr>
          <w:szCs w:val="28"/>
        </w:rPr>
        <w:t xml:space="preserve">of </w:t>
      </w:r>
      <w:r w:rsidR="00186ABF">
        <w:rPr>
          <w:szCs w:val="28"/>
        </w:rPr>
        <w:t>R</w:t>
      </w:r>
      <w:r w:rsidR="00186ABF" w:rsidRPr="00AC2DF5">
        <w:rPr>
          <w:szCs w:val="28"/>
        </w:rPr>
        <w:t xml:space="preserve">ealtor </w:t>
      </w:r>
      <w:r w:rsidRPr="00AC2DF5">
        <w:rPr>
          <w:szCs w:val="28"/>
        </w:rPr>
        <w:t>meetings in the past and will seek additional opportunities to increase outreach to this group</w:t>
      </w:r>
      <w:r w:rsidR="00F42BA7">
        <w:rPr>
          <w:szCs w:val="28"/>
        </w:rPr>
        <w:t xml:space="preserve"> throughout 2017 and into 2018.</w:t>
      </w:r>
    </w:p>
    <w:p w14:paraId="3735E5DA" w14:textId="77777777" w:rsidR="00F42BA7" w:rsidRPr="00AC2DF5" w:rsidRDefault="00F42BA7" w:rsidP="00F42BA7">
      <w:pPr>
        <w:widowControl/>
        <w:spacing w:beforeLines="107" w:before="256" w:after="0"/>
        <w:contextualSpacing/>
        <w:jc w:val="both"/>
        <w:rPr>
          <w:szCs w:val="28"/>
        </w:rPr>
      </w:pPr>
    </w:p>
    <w:p w14:paraId="1185302E" w14:textId="67F27585" w:rsidR="001707BC" w:rsidRDefault="001707BC" w:rsidP="00F42BA7">
      <w:pPr>
        <w:widowControl/>
        <w:spacing w:beforeLines="107" w:before="256" w:after="0"/>
        <w:contextualSpacing/>
        <w:jc w:val="both"/>
        <w:rPr>
          <w:szCs w:val="28"/>
        </w:rPr>
      </w:pPr>
      <w:r w:rsidRPr="00AC2DF5">
        <w:rPr>
          <w:szCs w:val="28"/>
        </w:rPr>
        <w:t xml:space="preserve">As the home owner/buyer is most frequently the decision maker in efficiency upgrade situations it’s also an opportunity for the Company to provide information to the industry helping home buyers with their purchase – i.e. the </w:t>
      </w:r>
      <w:r w:rsidR="001B1019">
        <w:rPr>
          <w:szCs w:val="28"/>
        </w:rPr>
        <w:t>financial</w:t>
      </w:r>
      <w:r w:rsidR="001B1019" w:rsidRPr="00AC2DF5">
        <w:rPr>
          <w:szCs w:val="28"/>
        </w:rPr>
        <w:t xml:space="preserve"> </w:t>
      </w:r>
      <w:r w:rsidRPr="00AC2DF5">
        <w:rPr>
          <w:szCs w:val="28"/>
        </w:rPr>
        <w:t>or loan industry. The Company recognizes that one of the main barriers to installing higher-efficiency equipment in existing homes and businesses is the initial higher costs.  If the Company is able to get information about rebates into the hands of those making the purchasing decisions it helps them be more informed about their options and possibly accommodate the additional higher costs at the time funding is being discussed and made available. Cascade will research opportunities for outreach to this industry in 2017 and increase its efforts accordingly into 2018.</w:t>
      </w:r>
    </w:p>
    <w:p w14:paraId="14446EE0" w14:textId="77777777" w:rsidR="00F42BA7" w:rsidRPr="00AC2DF5" w:rsidRDefault="00F42BA7" w:rsidP="00F42BA7">
      <w:pPr>
        <w:widowControl/>
        <w:spacing w:beforeLines="107" w:before="256" w:after="0"/>
        <w:contextualSpacing/>
        <w:jc w:val="both"/>
        <w:rPr>
          <w:szCs w:val="28"/>
        </w:rPr>
      </w:pPr>
    </w:p>
    <w:p w14:paraId="3D960C29" w14:textId="114B0FB1" w:rsidR="001707BC" w:rsidRDefault="001707BC" w:rsidP="00F42BA7">
      <w:pPr>
        <w:widowControl/>
        <w:spacing w:beforeLines="107" w:before="256" w:after="0"/>
        <w:contextualSpacing/>
        <w:jc w:val="both"/>
        <w:rPr>
          <w:szCs w:val="28"/>
        </w:rPr>
      </w:pPr>
      <w:r w:rsidRPr="00AC2DF5">
        <w:rPr>
          <w:szCs w:val="28"/>
        </w:rPr>
        <w:t xml:space="preserve">The Company relies heavily on coordination with local area contractors to encourage uptake of its conservation programs. </w:t>
      </w:r>
      <w:r w:rsidR="00590E45">
        <w:rPr>
          <w:szCs w:val="28"/>
        </w:rPr>
        <w:t>C</w:t>
      </w:r>
      <w:r w:rsidRPr="00AC2DF5">
        <w:rPr>
          <w:szCs w:val="28"/>
        </w:rPr>
        <w:t>ontractors</w:t>
      </w:r>
      <w:r w:rsidR="00590E45">
        <w:rPr>
          <w:szCs w:val="28"/>
        </w:rPr>
        <w:t xml:space="preserve"> are</w:t>
      </w:r>
      <w:r w:rsidRPr="00AC2DF5">
        <w:rPr>
          <w:szCs w:val="28"/>
        </w:rPr>
        <w:t xml:space="preserve"> on site with the customer, in their home, helping them make the decision to install either standard or high-efficiency appliances. Since </w:t>
      </w:r>
      <w:r w:rsidR="00AC2DF5">
        <w:rPr>
          <w:szCs w:val="28"/>
        </w:rPr>
        <w:t>contractors</w:t>
      </w:r>
      <w:r w:rsidRPr="00AC2DF5">
        <w:rPr>
          <w:szCs w:val="28"/>
        </w:rPr>
        <w:t xml:space="preserve"> play such an integral role in the customer experience and decision making process the Company </w:t>
      </w:r>
      <w:r w:rsidR="00E606B4">
        <w:rPr>
          <w:szCs w:val="28"/>
        </w:rPr>
        <w:t xml:space="preserve">therefore </w:t>
      </w:r>
      <w:r w:rsidRPr="00AC2DF5">
        <w:rPr>
          <w:szCs w:val="28"/>
        </w:rPr>
        <w:t xml:space="preserve">maintains a robust Trade Ally (TA) network </w:t>
      </w:r>
      <w:r w:rsidR="00E606B4">
        <w:rPr>
          <w:szCs w:val="28"/>
        </w:rPr>
        <w:t>and</w:t>
      </w:r>
      <w:r w:rsidRPr="00AC2DF5">
        <w:rPr>
          <w:szCs w:val="28"/>
        </w:rPr>
        <w:t xml:space="preserve"> encourage</w:t>
      </w:r>
      <w:r w:rsidR="00E606B4">
        <w:rPr>
          <w:szCs w:val="28"/>
        </w:rPr>
        <w:t>s</w:t>
      </w:r>
      <w:r w:rsidRPr="00AC2DF5">
        <w:rPr>
          <w:szCs w:val="28"/>
        </w:rPr>
        <w:t xml:space="preserve"> these contractors to promote higher-efficiency </w:t>
      </w:r>
      <w:r w:rsidR="00C523D9">
        <w:rPr>
          <w:szCs w:val="28"/>
        </w:rPr>
        <w:t>natural gas equipment</w:t>
      </w:r>
      <w:r w:rsidR="00AC2DF5">
        <w:rPr>
          <w:szCs w:val="28"/>
        </w:rPr>
        <w:t>. The TA network also enables the Company to confirm the majority of installations performed as part of the CIP conforms to</w:t>
      </w:r>
      <w:r w:rsidRPr="00AC2DF5">
        <w:rPr>
          <w:szCs w:val="28"/>
        </w:rPr>
        <w:t xml:space="preserve"> industry best practices </w:t>
      </w:r>
      <w:r w:rsidR="00AC2DF5">
        <w:rPr>
          <w:szCs w:val="28"/>
        </w:rPr>
        <w:t xml:space="preserve">meaning </w:t>
      </w:r>
      <w:r w:rsidRPr="00AC2DF5">
        <w:rPr>
          <w:szCs w:val="28"/>
        </w:rPr>
        <w:t xml:space="preserve">the install meets expectations and </w:t>
      </w:r>
      <w:r w:rsidR="00CB0DFE">
        <w:rPr>
          <w:szCs w:val="28"/>
        </w:rPr>
        <w:t>results in anticipated energy savings</w:t>
      </w:r>
      <w:r w:rsidRPr="00AC2DF5">
        <w:rPr>
          <w:szCs w:val="28"/>
        </w:rPr>
        <w:t>.</w:t>
      </w:r>
    </w:p>
    <w:p w14:paraId="4A2D6284" w14:textId="77777777" w:rsidR="00F42BA7" w:rsidRPr="00AC2DF5" w:rsidRDefault="00F42BA7" w:rsidP="00F42BA7">
      <w:pPr>
        <w:widowControl/>
        <w:spacing w:beforeLines="107" w:before="256" w:after="0"/>
        <w:contextualSpacing/>
        <w:jc w:val="both"/>
        <w:rPr>
          <w:szCs w:val="28"/>
        </w:rPr>
      </w:pPr>
    </w:p>
    <w:p w14:paraId="7DCF4985" w14:textId="5B93506C" w:rsidR="00F42BA7" w:rsidRDefault="001707BC" w:rsidP="00F42BA7">
      <w:pPr>
        <w:widowControl/>
        <w:spacing w:beforeLines="107" w:before="256" w:after="0"/>
        <w:contextualSpacing/>
        <w:jc w:val="both"/>
        <w:rPr>
          <w:szCs w:val="28"/>
        </w:rPr>
      </w:pPr>
      <w:r w:rsidRPr="00AC2DF5">
        <w:rPr>
          <w:szCs w:val="28"/>
        </w:rPr>
        <w:t>As part of the residential transition to internal</w:t>
      </w:r>
      <w:r w:rsidR="00BE7BBC">
        <w:rPr>
          <w:szCs w:val="28"/>
        </w:rPr>
        <w:t xml:space="preserve"> program</w:t>
      </w:r>
      <w:r w:rsidRPr="00AC2DF5">
        <w:rPr>
          <w:szCs w:val="28"/>
        </w:rPr>
        <w:t xml:space="preserve"> implementation, Trade Ally management </w:t>
      </w:r>
      <w:r w:rsidR="00074D8A">
        <w:rPr>
          <w:szCs w:val="28"/>
        </w:rPr>
        <w:t>is now being handled directly</w:t>
      </w:r>
      <w:r w:rsidRPr="00AC2DF5">
        <w:rPr>
          <w:szCs w:val="28"/>
        </w:rPr>
        <w:t xml:space="preserve"> </w:t>
      </w:r>
      <w:r w:rsidR="00074D8A">
        <w:rPr>
          <w:szCs w:val="28"/>
        </w:rPr>
        <w:t>by</w:t>
      </w:r>
      <w:r w:rsidRPr="00AC2DF5">
        <w:rPr>
          <w:szCs w:val="28"/>
        </w:rPr>
        <w:t xml:space="preserve"> Cascade staff.  This gives the Company the ability to </w:t>
      </w:r>
      <w:r w:rsidR="00151F6F">
        <w:rPr>
          <w:szCs w:val="28"/>
        </w:rPr>
        <w:t>interface</w:t>
      </w:r>
      <w:r w:rsidR="00151F6F" w:rsidRPr="00AC2DF5">
        <w:rPr>
          <w:szCs w:val="28"/>
        </w:rPr>
        <w:t xml:space="preserve"> </w:t>
      </w:r>
      <w:r w:rsidRPr="00AC2DF5">
        <w:rPr>
          <w:szCs w:val="28"/>
        </w:rPr>
        <w:t xml:space="preserve">directly </w:t>
      </w:r>
      <w:r w:rsidR="00AC2DF5">
        <w:rPr>
          <w:szCs w:val="28"/>
        </w:rPr>
        <w:t>with</w:t>
      </w:r>
      <w:r w:rsidR="00AC2DF5" w:rsidRPr="00AC2DF5">
        <w:rPr>
          <w:szCs w:val="28"/>
        </w:rPr>
        <w:t xml:space="preserve"> </w:t>
      </w:r>
      <w:r w:rsidRPr="00AC2DF5">
        <w:rPr>
          <w:szCs w:val="28"/>
        </w:rPr>
        <w:t xml:space="preserve">the contractors should questions or concerns arise. The </w:t>
      </w:r>
      <w:r w:rsidR="003F7F5D">
        <w:rPr>
          <w:szCs w:val="28"/>
        </w:rPr>
        <w:t>C</w:t>
      </w:r>
      <w:r w:rsidR="003F7F5D" w:rsidRPr="00AC2DF5">
        <w:rPr>
          <w:szCs w:val="28"/>
        </w:rPr>
        <w:t>ompany</w:t>
      </w:r>
      <w:r w:rsidR="003F7F5D">
        <w:rPr>
          <w:szCs w:val="28"/>
        </w:rPr>
        <w:t xml:space="preserve"> also</w:t>
      </w:r>
      <w:r w:rsidR="003F7F5D" w:rsidRPr="00AC2DF5">
        <w:rPr>
          <w:szCs w:val="28"/>
        </w:rPr>
        <w:t xml:space="preserve"> </w:t>
      </w:r>
      <w:r w:rsidRPr="00AC2DF5">
        <w:rPr>
          <w:szCs w:val="28"/>
        </w:rPr>
        <w:t xml:space="preserve">sends periodic newsletters and emails to the contractors addressing pertinent aspects of the program including updates, quality control issues, highlighting best practices and case studies, etc. The Company also provides </w:t>
      </w:r>
      <w:r w:rsidR="00B32C38">
        <w:rPr>
          <w:szCs w:val="28"/>
        </w:rPr>
        <w:t xml:space="preserve">a range of </w:t>
      </w:r>
      <w:r w:rsidRPr="00AC2DF5">
        <w:rPr>
          <w:szCs w:val="28"/>
        </w:rPr>
        <w:t xml:space="preserve">Trade Ally benefits to encourage </w:t>
      </w:r>
      <w:r w:rsidR="00B32C38">
        <w:rPr>
          <w:szCs w:val="28"/>
        </w:rPr>
        <w:t>active sales of</w:t>
      </w:r>
      <w:r w:rsidRPr="00AC2DF5">
        <w:rPr>
          <w:szCs w:val="28"/>
        </w:rPr>
        <w:t xml:space="preserve"> higher-efficiency </w:t>
      </w:r>
      <w:r w:rsidR="008309EB">
        <w:rPr>
          <w:szCs w:val="28"/>
        </w:rPr>
        <w:t>natural gas equipment and measures</w:t>
      </w:r>
      <w:r w:rsidRPr="00AC2DF5">
        <w:rPr>
          <w:szCs w:val="28"/>
        </w:rPr>
        <w:t>. See</w:t>
      </w:r>
      <w:r w:rsidRPr="00AC2DF5">
        <w:rPr>
          <w:i/>
          <w:szCs w:val="28"/>
        </w:rPr>
        <w:t xml:space="preserve"> Appendix B </w:t>
      </w:r>
      <w:r w:rsidRPr="00AC2DF5">
        <w:rPr>
          <w:szCs w:val="28"/>
        </w:rPr>
        <w:t xml:space="preserve">for an example of </w:t>
      </w:r>
      <w:r w:rsidR="00C063CC">
        <w:rPr>
          <w:szCs w:val="28"/>
        </w:rPr>
        <w:t>a trade ally</w:t>
      </w:r>
      <w:r w:rsidR="00C063CC" w:rsidRPr="00AC2DF5">
        <w:rPr>
          <w:szCs w:val="28"/>
        </w:rPr>
        <w:t xml:space="preserve"> </w:t>
      </w:r>
      <w:r w:rsidRPr="00AC2DF5">
        <w:rPr>
          <w:szCs w:val="28"/>
        </w:rPr>
        <w:t>bonus coupon</w:t>
      </w:r>
      <w:r w:rsidR="00C063CC">
        <w:rPr>
          <w:szCs w:val="28"/>
        </w:rPr>
        <w:t>, which provides an additional incentive to customers working directly through a qualified TA</w:t>
      </w:r>
      <w:r w:rsidRPr="00AC2DF5">
        <w:rPr>
          <w:szCs w:val="28"/>
        </w:rPr>
        <w:t xml:space="preserve">. These coupons must be submitted by a customer in conjunction with a qualifying rebate application whereupon funds are distributed directly to the customer. The TA program also provides limited cooperative marketing funding for </w:t>
      </w:r>
      <w:r w:rsidR="001B1019">
        <w:rPr>
          <w:szCs w:val="28"/>
        </w:rPr>
        <w:t>T</w:t>
      </w:r>
      <w:r w:rsidRPr="00AC2DF5">
        <w:rPr>
          <w:szCs w:val="28"/>
        </w:rPr>
        <w:t xml:space="preserve">rade </w:t>
      </w:r>
      <w:r w:rsidR="001B1019">
        <w:rPr>
          <w:szCs w:val="28"/>
        </w:rPr>
        <w:t>A</w:t>
      </w:r>
      <w:r w:rsidRPr="00AC2DF5">
        <w:rPr>
          <w:szCs w:val="28"/>
        </w:rPr>
        <w:t>llies along with reimbursement</w:t>
      </w:r>
      <w:r w:rsidR="00597BC8">
        <w:rPr>
          <w:szCs w:val="28"/>
        </w:rPr>
        <w:t xml:space="preserve"> monies for trainings</w:t>
      </w:r>
      <w:r w:rsidRPr="00AC2DF5">
        <w:rPr>
          <w:szCs w:val="28"/>
        </w:rPr>
        <w:t xml:space="preserve"> relevant to working with homes served by natural gas.</w:t>
      </w:r>
    </w:p>
    <w:p w14:paraId="6ABC8A89" w14:textId="77777777" w:rsidR="00D012EB" w:rsidRPr="00F42BA7" w:rsidRDefault="00D012EB" w:rsidP="00F42BA7">
      <w:pPr>
        <w:widowControl/>
        <w:spacing w:beforeLines="107" w:before="256" w:after="0"/>
        <w:contextualSpacing/>
        <w:jc w:val="both"/>
        <w:rPr>
          <w:szCs w:val="28"/>
        </w:rPr>
      </w:pPr>
    </w:p>
    <w:p w14:paraId="551056C4" w14:textId="77777777" w:rsidR="001707BC" w:rsidRDefault="001707BC" w:rsidP="00D012EB">
      <w:pPr>
        <w:pStyle w:val="Heading2"/>
        <w:spacing w:line="276" w:lineRule="auto"/>
      </w:pPr>
      <w:bookmarkStart w:id="42" w:name="_Toc465678042"/>
      <w:r w:rsidRPr="00422267">
        <w:t>Low Income messaging opportunities</w:t>
      </w:r>
      <w:bookmarkEnd w:id="42"/>
    </w:p>
    <w:p w14:paraId="6EDD7F48" w14:textId="4F0D89CA" w:rsidR="001707BC" w:rsidRPr="00AC2DF5" w:rsidRDefault="001707BC" w:rsidP="00D012EB">
      <w:pPr>
        <w:widowControl/>
        <w:spacing w:after="0"/>
        <w:contextualSpacing/>
        <w:jc w:val="both"/>
        <w:rPr>
          <w:szCs w:val="28"/>
        </w:rPr>
      </w:pPr>
      <w:r w:rsidRPr="00AC2DF5">
        <w:rPr>
          <w:szCs w:val="28"/>
        </w:rPr>
        <w:t>With the revision of the LI-WIP programs there will be opportunities for additional messaging to customers and the Agencies. The Company will continue to work hand-in-hand with the Agencies to encourage uptake of the programs and may also use bill insert</w:t>
      </w:r>
      <w:r w:rsidR="007963B7">
        <w:rPr>
          <w:szCs w:val="28"/>
        </w:rPr>
        <w:t>s</w:t>
      </w:r>
      <w:r w:rsidRPr="00AC2DF5">
        <w:rPr>
          <w:szCs w:val="28"/>
        </w:rPr>
        <w:t xml:space="preserve"> </w:t>
      </w:r>
      <w:r w:rsidR="007963B7">
        <w:rPr>
          <w:szCs w:val="28"/>
        </w:rPr>
        <w:t>to generate greater program awareness</w:t>
      </w:r>
      <w:r w:rsidRPr="00AC2DF5">
        <w:rPr>
          <w:szCs w:val="28"/>
        </w:rPr>
        <w:t xml:space="preserve"> in select areas</w:t>
      </w:r>
      <w:r w:rsidR="007963B7">
        <w:rPr>
          <w:szCs w:val="28"/>
        </w:rPr>
        <w:t>, or other strategies at the request of the Company’s weatherization partners</w:t>
      </w:r>
      <w:r w:rsidR="00AC2DF5">
        <w:rPr>
          <w:szCs w:val="28"/>
        </w:rPr>
        <w:t xml:space="preserve"> </w:t>
      </w:r>
      <w:r w:rsidR="00F657A9">
        <w:rPr>
          <w:szCs w:val="28"/>
        </w:rPr>
        <w:t xml:space="preserve">including public </w:t>
      </w:r>
      <w:r w:rsidRPr="00AC2DF5">
        <w:rPr>
          <w:szCs w:val="28"/>
        </w:rPr>
        <w:t xml:space="preserve">facing advertising as deemed appropriate and cost-effective. </w:t>
      </w:r>
    </w:p>
    <w:p w14:paraId="4268E471" w14:textId="77777777" w:rsidR="001707BC" w:rsidRDefault="001707BC" w:rsidP="00F42BA7">
      <w:pPr>
        <w:widowControl/>
        <w:spacing w:beforeLines="107" w:before="256" w:after="0"/>
        <w:contextualSpacing/>
        <w:jc w:val="both"/>
        <w:rPr>
          <w:b/>
          <w:sz w:val="28"/>
          <w:szCs w:val="28"/>
        </w:rPr>
      </w:pPr>
    </w:p>
    <w:p w14:paraId="4D10A37C" w14:textId="77777777" w:rsidR="001707BC" w:rsidRDefault="001707BC" w:rsidP="00D012EB">
      <w:pPr>
        <w:pStyle w:val="Heading2"/>
        <w:spacing w:line="276" w:lineRule="auto"/>
      </w:pPr>
      <w:bookmarkStart w:id="43" w:name="_Toc465678043"/>
      <w:r w:rsidRPr="00422267">
        <w:t>Commercial Focus</w:t>
      </w:r>
      <w:bookmarkEnd w:id="43"/>
      <w:r w:rsidRPr="00422267">
        <w:t xml:space="preserve"> </w:t>
      </w:r>
    </w:p>
    <w:p w14:paraId="125C9D1F" w14:textId="1F01A4AD" w:rsidR="001707BC" w:rsidRPr="00F657A9" w:rsidRDefault="001707BC" w:rsidP="00D012EB">
      <w:pPr>
        <w:widowControl/>
        <w:spacing w:after="0"/>
        <w:contextualSpacing/>
        <w:jc w:val="both"/>
        <w:rPr>
          <w:szCs w:val="28"/>
        </w:rPr>
      </w:pPr>
      <w:r w:rsidRPr="00F657A9">
        <w:rPr>
          <w:szCs w:val="28"/>
        </w:rPr>
        <w:t xml:space="preserve">In addition to the Company’s </w:t>
      </w:r>
      <w:r w:rsidR="001B451C">
        <w:rPr>
          <w:szCs w:val="28"/>
        </w:rPr>
        <w:t>residential outreach efforts,</w:t>
      </w:r>
      <w:r w:rsidRPr="00F657A9">
        <w:rPr>
          <w:szCs w:val="28"/>
        </w:rPr>
        <w:t xml:space="preserve"> Cascade </w:t>
      </w:r>
      <w:r w:rsidR="001B451C">
        <w:rPr>
          <w:szCs w:val="28"/>
        </w:rPr>
        <w:t xml:space="preserve">also </w:t>
      </w:r>
      <w:r w:rsidRPr="00F657A9">
        <w:rPr>
          <w:szCs w:val="28"/>
        </w:rPr>
        <w:t xml:space="preserve">tailors </w:t>
      </w:r>
      <w:r w:rsidR="001B451C">
        <w:rPr>
          <w:szCs w:val="28"/>
        </w:rPr>
        <w:t>messaging</w:t>
      </w:r>
      <w:r w:rsidRPr="00F657A9">
        <w:rPr>
          <w:szCs w:val="28"/>
        </w:rPr>
        <w:t xml:space="preserve"> to Commercial and Industrial </w:t>
      </w:r>
      <w:r w:rsidR="006A6987">
        <w:rPr>
          <w:szCs w:val="28"/>
        </w:rPr>
        <w:t>customers</w:t>
      </w:r>
      <w:r w:rsidRPr="00F657A9">
        <w:rPr>
          <w:szCs w:val="28"/>
        </w:rPr>
        <w:t>.  Outreach efforts for these customers in the past were tailored to one-on-one customer engagement and have since blossomed to a more robust effort in accordance with the cross-channel marketing mentioned earlier. For the past several years</w:t>
      </w:r>
      <w:r w:rsidR="003B6DF5">
        <w:rPr>
          <w:szCs w:val="28"/>
        </w:rPr>
        <w:t>,</w:t>
      </w:r>
      <w:r w:rsidRPr="00F657A9">
        <w:rPr>
          <w:szCs w:val="28"/>
        </w:rPr>
        <w:t xml:space="preserve"> Cascade has been a sponsor at the Northwest Food Processors Association Energy Summit. This sponsorship gives program representatives </w:t>
      </w:r>
      <w:r w:rsidR="001B1019">
        <w:rPr>
          <w:szCs w:val="28"/>
        </w:rPr>
        <w:t xml:space="preserve">a </w:t>
      </w:r>
      <w:r w:rsidRPr="00F657A9">
        <w:rPr>
          <w:szCs w:val="28"/>
        </w:rPr>
        <w:t xml:space="preserve">unique opportunity to discuss </w:t>
      </w:r>
      <w:r w:rsidR="003B6DF5">
        <w:rPr>
          <w:szCs w:val="28"/>
        </w:rPr>
        <w:t>conservation options</w:t>
      </w:r>
      <w:r w:rsidRPr="00F657A9">
        <w:rPr>
          <w:szCs w:val="28"/>
        </w:rPr>
        <w:t xml:space="preserve"> in person and provide information directly to industrial customers </w:t>
      </w:r>
      <w:r w:rsidR="00F657A9">
        <w:rPr>
          <w:szCs w:val="28"/>
        </w:rPr>
        <w:t>who</w:t>
      </w:r>
      <w:r w:rsidR="00F657A9" w:rsidRPr="00F657A9">
        <w:rPr>
          <w:szCs w:val="28"/>
        </w:rPr>
        <w:t xml:space="preserve"> </w:t>
      </w:r>
      <w:r w:rsidRPr="00F657A9">
        <w:rPr>
          <w:szCs w:val="28"/>
        </w:rPr>
        <w:t xml:space="preserve">can otherwise be difficult to reach.  </w:t>
      </w:r>
    </w:p>
    <w:p w14:paraId="06047646" w14:textId="77777777" w:rsidR="001707BC" w:rsidRPr="00F657A9" w:rsidRDefault="001707BC" w:rsidP="00D012EB">
      <w:pPr>
        <w:widowControl/>
        <w:spacing w:after="0"/>
        <w:contextualSpacing/>
        <w:jc w:val="both"/>
        <w:rPr>
          <w:szCs w:val="28"/>
        </w:rPr>
      </w:pPr>
    </w:p>
    <w:p w14:paraId="7439FDE5" w14:textId="3D148AAE" w:rsidR="001707BC" w:rsidRPr="00F657A9" w:rsidRDefault="001707BC" w:rsidP="00D012EB">
      <w:pPr>
        <w:widowControl/>
        <w:spacing w:after="0"/>
        <w:contextualSpacing/>
        <w:jc w:val="both"/>
        <w:rPr>
          <w:szCs w:val="28"/>
        </w:rPr>
      </w:pPr>
      <w:r w:rsidRPr="00F657A9">
        <w:rPr>
          <w:szCs w:val="28"/>
        </w:rPr>
        <w:t xml:space="preserve">The Company also </w:t>
      </w:r>
      <w:r w:rsidR="000A4521">
        <w:rPr>
          <w:szCs w:val="28"/>
        </w:rPr>
        <w:t>sponsored the</w:t>
      </w:r>
      <w:r w:rsidRPr="00F657A9">
        <w:rPr>
          <w:szCs w:val="28"/>
        </w:rPr>
        <w:t xml:space="preserve"> 2016 Washington Energy Future Conference </w:t>
      </w:r>
      <w:r w:rsidR="003C32FB">
        <w:rPr>
          <w:szCs w:val="28"/>
        </w:rPr>
        <w:t>where we displayed</w:t>
      </w:r>
      <w:r w:rsidRPr="00F657A9">
        <w:rPr>
          <w:szCs w:val="28"/>
        </w:rPr>
        <w:t xml:space="preserve"> messaging about the program in the directory</w:t>
      </w:r>
      <w:r w:rsidR="003C32FB">
        <w:rPr>
          <w:szCs w:val="28"/>
        </w:rPr>
        <w:t xml:space="preserve">. This </w:t>
      </w:r>
      <w:r w:rsidRPr="00F657A9">
        <w:rPr>
          <w:szCs w:val="28"/>
        </w:rPr>
        <w:t xml:space="preserve">event plays a key role in </w:t>
      </w:r>
      <w:r w:rsidR="003C32FB">
        <w:rPr>
          <w:szCs w:val="28"/>
        </w:rPr>
        <w:t>promoting</w:t>
      </w:r>
      <w:r w:rsidR="003C32FB" w:rsidRPr="00F657A9">
        <w:rPr>
          <w:szCs w:val="28"/>
        </w:rPr>
        <w:t xml:space="preserve"> </w:t>
      </w:r>
      <w:r w:rsidRPr="00F657A9">
        <w:rPr>
          <w:szCs w:val="28"/>
        </w:rPr>
        <w:t xml:space="preserve">energy efficiency throughout the state to industry decision makers and the general public. See </w:t>
      </w:r>
      <w:r w:rsidRPr="00F657A9">
        <w:rPr>
          <w:i/>
          <w:szCs w:val="28"/>
        </w:rPr>
        <w:t>Appendix B</w:t>
      </w:r>
      <w:r w:rsidRPr="00F657A9">
        <w:rPr>
          <w:szCs w:val="28"/>
        </w:rPr>
        <w:t xml:space="preserve"> for a sample of the ad. </w:t>
      </w:r>
    </w:p>
    <w:p w14:paraId="6FCE294F" w14:textId="77777777" w:rsidR="001707BC" w:rsidRPr="00F657A9" w:rsidRDefault="001707BC" w:rsidP="00F42BA7">
      <w:pPr>
        <w:widowControl/>
        <w:spacing w:beforeLines="107" w:before="256" w:after="0"/>
        <w:contextualSpacing/>
        <w:jc w:val="both"/>
        <w:rPr>
          <w:szCs w:val="28"/>
        </w:rPr>
      </w:pPr>
    </w:p>
    <w:p w14:paraId="5313A3EC" w14:textId="6D46EAD5" w:rsidR="001707BC" w:rsidRPr="00F657A9" w:rsidRDefault="001707BC" w:rsidP="00F42BA7">
      <w:pPr>
        <w:widowControl/>
        <w:spacing w:beforeLines="107" w:before="256" w:after="0"/>
        <w:contextualSpacing/>
        <w:jc w:val="both"/>
        <w:rPr>
          <w:szCs w:val="28"/>
        </w:rPr>
      </w:pPr>
      <w:r w:rsidRPr="00F657A9">
        <w:rPr>
          <w:szCs w:val="28"/>
        </w:rPr>
        <w:t>Additionally</w:t>
      </w:r>
      <w:r w:rsidR="009C488A">
        <w:rPr>
          <w:szCs w:val="28"/>
        </w:rPr>
        <w:t>,</w:t>
      </w:r>
      <w:r w:rsidRPr="00F657A9">
        <w:rPr>
          <w:szCs w:val="28"/>
        </w:rPr>
        <w:t xml:space="preserve"> the Company has posted a standee at the Columbia Center Mall tailored to both residential and small commercial business owners</w:t>
      </w:r>
      <w:r w:rsidR="009C488A">
        <w:rPr>
          <w:szCs w:val="28"/>
        </w:rPr>
        <w:t xml:space="preserve">, encouraging these customers </w:t>
      </w:r>
      <w:r w:rsidRPr="00F657A9">
        <w:rPr>
          <w:szCs w:val="28"/>
        </w:rPr>
        <w:t xml:space="preserve">to </w:t>
      </w:r>
      <w:r w:rsidR="009C488A">
        <w:rPr>
          <w:szCs w:val="28"/>
        </w:rPr>
        <w:t>consider</w:t>
      </w:r>
      <w:r w:rsidRPr="00F657A9">
        <w:rPr>
          <w:szCs w:val="28"/>
        </w:rPr>
        <w:t xml:space="preserve"> efficiency in the business and purchasing decisions they make. See </w:t>
      </w:r>
      <w:r w:rsidRPr="00F657A9">
        <w:rPr>
          <w:i/>
          <w:szCs w:val="28"/>
        </w:rPr>
        <w:t>Appendix B</w:t>
      </w:r>
      <w:r w:rsidRPr="00F657A9">
        <w:rPr>
          <w:szCs w:val="28"/>
        </w:rPr>
        <w:t xml:space="preserve">.  </w:t>
      </w:r>
    </w:p>
    <w:p w14:paraId="3384880D" w14:textId="77777777" w:rsidR="001707BC" w:rsidRPr="00F657A9" w:rsidRDefault="001707BC" w:rsidP="00F42BA7">
      <w:pPr>
        <w:widowControl/>
        <w:spacing w:beforeLines="107" w:before="256" w:after="0"/>
        <w:contextualSpacing/>
        <w:jc w:val="both"/>
        <w:rPr>
          <w:szCs w:val="28"/>
        </w:rPr>
      </w:pPr>
    </w:p>
    <w:p w14:paraId="7E64231A" w14:textId="2268D113" w:rsidR="001707BC" w:rsidRPr="00F657A9" w:rsidRDefault="001707BC" w:rsidP="00F42BA7">
      <w:pPr>
        <w:widowControl/>
        <w:spacing w:beforeLines="107" w:before="256" w:after="0"/>
        <w:contextualSpacing/>
        <w:jc w:val="both"/>
        <w:rPr>
          <w:szCs w:val="28"/>
        </w:rPr>
      </w:pPr>
      <w:r w:rsidRPr="00F657A9">
        <w:rPr>
          <w:szCs w:val="28"/>
        </w:rPr>
        <w:t>The Company regularly attends and tables at Chamber of Commerce events including annual meetings, business expos and monthly meetings to distribute commercial/industrial messaging</w:t>
      </w:r>
      <w:r w:rsidR="001653AF">
        <w:rPr>
          <w:szCs w:val="28"/>
        </w:rPr>
        <w:t>,</w:t>
      </w:r>
      <w:r w:rsidRPr="00F657A9">
        <w:rPr>
          <w:szCs w:val="28"/>
        </w:rPr>
        <w:t xml:space="preserve"> and will continue to do so in the following years as opportunities arise. </w:t>
      </w:r>
    </w:p>
    <w:p w14:paraId="62A3881E" w14:textId="77777777" w:rsidR="001707BC" w:rsidRPr="00F657A9" w:rsidRDefault="001707BC" w:rsidP="00F42BA7">
      <w:pPr>
        <w:widowControl/>
        <w:spacing w:beforeLines="107" w:before="256" w:after="0"/>
        <w:contextualSpacing/>
        <w:jc w:val="both"/>
        <w:rPr>
          <w:szCs w:val="28"/>
        </w:rPr>
      </w:pPr>
    </w:p>
    <w:p w14:paraId="36A9C17D" w14:textId="1D174D0D" w:rsidR="001707BC" w:rsidRPr="00F657A9" w:rsidRDefault="001653AF" w:rsidP="00F42BA7">
      <w:pPr>
        <w:widowControl/>
        <w:spacing w:beforeLines="107" w:before="256" w:after="0"/>
        <w:contextualSpacing/>
        <w:jc w:val="both"/>
        <w:rPr>
          <w:szCs w:val="28"/>
        </w:rPr>
      </w:pPr>
      <w:r>
        <w:rPr>
          <w:szCs w:val="28"/>
        </w:rPr>
        <w:t xml:space="preserve">In 2016, </w:t>
      </w:r>
      <w:r w:rsidR="001707BC" w:rsidRPr="00F657A9">
        <w:rPr>
          <w:szCs w:val="28"/>
        </w:rPr>
        <w:t xml:space="preserve">Lockheed Martin, the Company’s </w:t>
      </w:r>
      <w:r w:rsidR="00437C8E">
        <w:rPr>
          <w:szCs w:val="28"/>
        </w:rPr>
        <w:t>C</w:t>
      </w:r>
      <w:r w:rsidR="00437C8E" w:rsidRPr="00F657A9">
        <w:rPr>
          <w:szCs w:val="28"/>
        </w:rPr>
        <w:t xml:space="preserve">ommercial </w:t>
      </w:r>
      <w:r w:rsidR="001707BC" w:rsidRPr="00F657A9">
        <w:rPr>
          <w:szCs w:val="28"/>
        </w:rPr>
        <w:t xml:space="preserve">program implementation vendor increased its outreach efforts on behalf of the Cascade CIP and is </w:t>
      </w:r>
      <w:r w:rsidR="001B1019">
        <w:rPr>
          <w:szCs w:val="28"/>
        </w:rPr>
        <w:t>positioned</w:t>
      </w:r>
      <w:r w:rsidR="001B1019" w:rsidRPr="00F657A9">
        <w:rPr>
          <w:szCs w:val="28"/>
        </w:rPr>
        <w:t xml:space="preserve"> </w:t>
      </w:r>
      <w:r w:rsidR="001707BC" w:rsidRPr="00F657A9">
        <w:rPr>
          <w:szCs w:val="28"/>
        </w:rPr>
        <w:t xml:space="preserve">to continue </w:t>
      </w:r>
      <w:r>
        <w:rPr>
          <w:szCs w:val="28"/>
        </w:rPr>
        <w:t>to</w:t>
      </w:r>
      <w:r w:rsidRPr="00F657A9">
        <w:rPr>
          <w:szCs w:val="28"/>
        </w:rPr>
        <w:t xml:space="preserve"> </w:t>
      </w:r>
      <w:r w:rsidR="001707BC" w:rsidRPr="00F657A9">
        <w:rPr>
          <w:szCs w:val="28"/>
        </w:rPr>
        <w:t xml:space="preserve">further increase these efforts into 2017. </w:t>
      </w:r>
      <w:r w:rsidR="008F65BA">
        <w:rPr>
          <w:szCs w:val="28"/>
        </w:rPr>
        <w:t>The</w:t>
      </w:r>
      <w:r w:rsidR="001707BC" w:rsidRPr="00F657A9">
        <w:rPr>
          <w:szCs w:val="28"/>
        </w:rPr>
        <w:t xml:space="preserve"> Lockheed team attends and tables </w:t>
      </w:r>
      <w:r w:rsidR="00F657A9">
        <w:rPr>
          <w:szCs w:val="28"/>
        </w:rPr>
        <w:t xml:space="preserve">at </w:t>
      </w:r>
      <w:r w:rsidR="008F65BA">
        <w:rPr>
          <w:szCs w:val="28"/>
        </w:rPr>
        <w:t xml:space="preserve">events </w:t>
      </w:r>
      <w:r w:rsidR="001707BC" w:rsidRPr="00F657A9">
        <w:rPr>
          <w:szCs w:val="28"/>
        </w:rPr>
        <w:t xml:space="preserve">as needed to provide information about </w:t>
      </w:r>
      <w:r w:rsidR="008F65BA">
        <w:rPr>
          <w:szCs w:val="28"/>
        </w:rPr>
        <w:t>C</w:t>
      </w:r>
      <w:r w:rsidR="008F65BA" w:rsidRPr="00F657A9">
        <w:rPr>
          <w:szCs w:val="28"/>
        </w:rPr>
        <w:t xml:space="preserve">ommercial </w:t>
      </w:r>
      <w:r w:rsidR="001707BC" w:rsidRPr="00F657A9">
        <w:rPr>
          <w:szCs w:val="28"/>
        </w:rPr>
        <w:t xml:space="preserve">and </w:t>
      </w:r>
      <w:r w:rsidR="008F65BA">
        <w:rPr>
          <w:szCs w:val="28"/>
        </w:rPr>
        <w:t>I</w:t>
      </w:r>
      <w:r w:rsidR="008F65BA" w:rsidRPr="00F657A9">
        <w:rPr>
          <w:szCs w:val="28"/>
        </w:rPr>
        <w:t>ndustrial</w:t>
      </w:r>
      <w:r w:rsidR="00AA733F">
        <w:rPr>
          <w:szCs w:val="28"/>
        </w:rPr>
        <w:t xml:space="preserve"> program</w:t>
      </w:r>
      <w:r w:rsidR="008F65BA" w:rsidRPr="00F657A9">
        <w:rPr>
          <w:szCs w:val="28"/>
        </w:rPr>
        <w:t xml:space="preserve"> </w:t>
      </w:r>
      <w:r w:rsidR="001707BC" w:rsidRPr="00F657A9">
        <w:rPr>
          <w:szCs w:val="28"/>
        </w:rPr>
        <w:t xml:space="preserve">offerings and requirements. They have also reached out to local Chambers and directories to display advertisements </w:t>
      </w:r>
      <w:r w:rsidR="00124A41">
        <w:rPr>
          <w:szCs w:val="28"/>
        </w:rPr>
        <w:t xml:space="preserve">to </w:t>
      </w:r>
      <w:r w:rsidR="00AA733F">
        <w:rPr>
          <w:szCs w:val="28"/>
        </w:rPr>
        <w:t xml:space="preserve">further </w:t>
      </w:r>
      <w:r w:rsidR="00124A41">
        <w:rPr>
          <w:szCs w:val="28"/>
        </w:rPr>
        <w:t>increase</w:t>
      </w:r>
      <w:r w:rsidR="001707BC" w:rsidRPr="00F657A9">
        <w:rPr>
          <w:szCs w:val="28"/>
        </w:rPr>
        <w:t xml:space="preserve"> interest in rebates</w:t>
      </w:r>
      <w:r w:rsidR="00C220AB">
        <w:rPr>
          <w:szCs w:val="28"/>
        </w:rPr>
        <w:t xml:space="preserve">. Lockheed has identified multiple </w:t>
      </w:r>
      <w:r w:rsidR="001707BC" w:rsidRPr="00F657A9">
        <w:rPr>
          <w:szCs w:val="28"/>
        </w:rPr>
        <w:t>opportunities to highlight customer achievements by providing case studies and public check presentations to increase awareness and excitement about commercial natural gas upgrades</w:t>
      </w:r>
      <w:r w:rsidR="001B1019">
        <w:rPr>
          <w:szCs w:val="28"/>
        </w:rPr>
        <w:t xml:space="preserve">. See </w:t>
      </w:r>
      <w:r w:rsidR="001B1019" w:rsidRPr="00F657A9">
        <w:rPr>
          <w:i/>
          <w:szCs w:val="28"/>
        </w:rPr>
        <w:t>Appendix B</w:t>
      </w:r>
      <w:r w:rsidR="001B1019">
        <w:rPr>
          <w:szCs w:val="28"/>
        </w:rPr>
        <w:t xml:space="preserve"> for sample</w:t>
      </w:r>
      <w:r w:rsidR="001707BC" w:rsidRPr="00F657A9">
        <w:rPr>
          <w:szCs w:val="28"/>
        </w:rPr>
        <w:t xml:space="preserve"> </w:t>
      </w:r>
    </w:p>
    <w:p w14:paraId="2970A30A" w14:textId="77777777" w:rsidR="001707BC" w:rsidRPr="00F657A9" w:rsidRDefault="001707BC" w:rsidP="00F42BA7">
      <w:pPr>
        <w:widowControl/>
        <w:spacing w:beforeLines="107" w:before="256" w:after="0"/>
        <w:contextualSpacing/>
        <w:jc w:val="both"/>
        <w:rPr>
          <w:szCs w:val="28"/>
        </w:rPr>
      </w:pPr>
    </w:p>
    <w:p w14:paraId="142B2C11" w14:textId="5B7C9C40" w:rsidR="009978BF" w:rsidRPr="00D012EB" w:rsidRDefault="001707BC" w:rsidP="00D012EB">
      <w:pPr>
        <w:widowControl/>
        <w:spacing w:beforeLines="107" w:before="256" w:after="0"/>
        <w:contextualSpacing/>
        <w:jc w:val="both"/>
        <w:rPr>
          <w:szCs w:val="28"/>
        </w:rPr>
      </w:pPr>
      <w:r w:rsidRPr="00F657A9">
        <w:t xml:space="preserve">The program will continue </w:t>
      </w:r>
      <w:r w:rsidR="002754CC" w:rsidRPr="00F657A9">
        <w:t xml:space="preserve">to </w:t>
      </w:r>
      <w:r w:rsidR="00B842E5" w:rsidRPr="00F657A9">
        <w:t>move forward with its outreach strategy into</w:t>
      </w:r>
      <w:r w:rsidR="002754CC" w:rsidRPr="00F657A9">
        <w:t xml:space="preserve"> </w:t>
      </w:r>
      <w:r w:rsidRPr="00F657A9">
        <w:t>2017</w:t>
      </w:r>
      <w:r w:rsidR="00B717D6" w:rsidRPr="00F657A9">
        <w:t xml:space="preserve">. The </w:t>
      </w:r>
      <w:r w:rsidRPr="00F657A9">
        <w:t>Cascade team</w:t>
      </w:r>
      <w:r w:rsidR="00B717D6" w:rsidRPr="00F657A9">
        <w:t xml:space="preserve"> will also work with Lockheed to</w:t>
      </w:r>
      <w:r w:rsidRPr="00F657A9">
        <w:t xml:space="preserve"> develop a more robust second tier of commercially focused trade allies who can serve the same role as the residential program in helping customers move toward higher-efficiency options</w:t>
      </w:r>
      <w:r w:rsidR="00D012EB">
        <w:rPr>
          <w:szCs w:val="28"/>
        </w:rPr>
        <w:t>.</w:t>
      </w:r>
    </w:p>
    <w:sectPr w:rsidR="009978BF" w:rsidRPr="00D012EB" w:rsidSect="00BC6D55">
      <w:headerReference w:type="default" r:id="rId27"/>
      <w:footerReference w:type="default" r:id="rId28"/>
      <w:pgSz w:w="12240" w:h="15840"/>
      <w:pgMar w:top="1728" w:right="1267" w:bottom="1066" w:left="1267" w:header="1109" w:footer="8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CE19C" w14:textId="77777777" w:rsidR="00F702F9" w:rsidRDefault="00F702F9" w:rsidP="00D16AC2">
      <w:pPr>
        <w:spacing w:after="0" w:line="240" w:lineRule="auto"/>
      </w:pPr>
      <w:r>
        <w:separator/>
      </w:r>
    </w:p>
  </w:endnote>
  <w:endnote w:type="continuationSeparator" w:id="0">
    <w:p w14:paraId="2BEC8A75" w14:textId="77777777" w:rsidR="00F702F9" w:rsidRDefault="00F702F9" w:rsidP="00D16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007466"/>
      <w:docPartObj>
        <w:docPartGallery w:val="Page Numbers (Bottom of Page)"/>
        <w:docPartUnique/>
      </w:docPartObj>
    </w:sdtPr>
    <w:sdtEndPr>
      <w:rPr>
        <w:noProof/>
      </w:rPr>
    </w:sdtEndPr>
    <w:sdtContent>
      <w:p w14:paraId="0D4A33E2" w14:textId="77777777" w:rsidR="00F702F9" w:rsidRDefault="00F702F9">
        <w:pPr>
          <w:pStyle w:val="Footer"/>
          <w:jc w:val="center"/>
        </w:pPr>
        <w:r>
          <w:fldChar w:fldCharType="begin"/>
        </w:r>
        <w:r>
          <w:instrText xml:space="preserve"> PAGE   \* MERGEFORMAT </w:instrText>
        </w:r>
        <w:r>
          <w:fldChar w:fldCharType="separate"/>
        </w:r>
        <w:r w:rsidR="002F75E4">
          <w:rPr>
            <w:noProof/>
          </w:rPr>
          <w:t>3</w:t>
        </w:r>
        <w:r>
          <w:rPr>
            <w:noProof/>
          </w:rPr>
          <w:fldChar w:fldCharType="end"/>
        </w:r>
      </w:p>
    </w:sdtContent>
  </w:sdt>
  <w:p w14:paraId="72B51F9E" w14:textId="77777777" w:rsidR="00F702F9" w:rsidRDefault="00F702F9">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A20DE" w14:textId="77777777" w:rsidR="00F702F9" w:rsidRDefault="00F702F9" w:rsidP="00D16AC2">
      <w:pPr>
        <w:spacing w:after="0" w:line="240" w:lineRule="auto"/>
      </w:pPr>
      <w:r>
        <w:separator/>
      </w:r>
    </w:p>
  </w:footnote>
  <w:footnote w:type="continuationSeparator" w:id="0">
    <w:p w14:paraId="68958CC2" w14:textId="77777777" w:rsidR="00F702F9" w:rsidRDefault="00F702F9" w:rsidP="00D16AC2">
      <w:pPr>
        <w:spacing w:after="0" w:line="240" w:lineRule="auto"/>
      </w:pPr>
      <w:r>
        <w:continuationSeparator/>
      </w:r>
    </w:p>
  </w:footnote>
  <w:footnote w:id="1">
    <w:p w14:paraId="2EE56272" w14:textId="687BD81D" w:rsidR="00F702F9" w:rsidRPr="00F657A9" w:rsidRDefault="00F702F9">
      <w:pPr>
        <w:pStyle w:val="FootnoteText"/>
        <w:rPr>
          <w:rFonts w:ascii="Arial" w:hAnsi="Arial" w:cs="Arial"/>
          <w:sz w:val="18"/>
        </w:rPr>
      </w:pPr>
      <w:r>
        <w:rPr>
          <w:rStyle w:val="FootnoteReference"/>
        </w:rPr>
        <w:footnoteRef/>
      </w:r>
      <w:r>
        <w:t xml:space="preserve"> </w:t>
      </w:r>
      <w:r w:rsidRPr="002B29F7">
        <w:rPr>
          <w:rFonts w:ascii="Arial" w:hAnsi="Arial" w:cs="Arial"/>
          <w:sz w:val="20"/>
        </w:rPr>
        <w:t xml:space="preserve">Washington Utilities and Transportation </w:t>
      </w:r>
      <w:r>
        <w:rPr>
          <w:rFonts w:ascii="Arial" w:hAnsi="Arial" w:cs="Arial"/>
          <w:sz w:val="18"/>
        </w:rPr>
        <w:t>Docket UG-121207 – Policy Statement on the Evaluation of the Cost-Effectiveness of Natural Gas Conservation Programs pg. 14-15</w:t>
      </w:r>
    </w:p>
  </w:footnote>
  <w:footnote w:id="2">
    <w:p w14:paraId="2168C636" w14:textId="77777777" w:rsidR="00F702F9" w:rsidRPr="006975F8" w:rsidRDefault="00F702F9">
      <w:pPr>
        <w:pStyle w:val="FootnoteText"/>
        <w:rPr>
          <w:rFonts w:ascii="Arial" w:hAnsi="Arial" w:cs="Arial"/>
          <w:sz w:val="18"/>
        </w:rPr>
      </w:pPr>
      <w:r w:rsidRPr="006975F8">
        <w:rPr>
          <w:rStyle w:val="FootnoteReference"/>
          <w:rFonts w:ascii="Arial" w:hAnsi="Arial" w:cs="Arial"/>
        </w:rPr>
        <w:footnoteRef/>
      </w:r>
      <w:r w:rsidRPr="006975F8">
        <w:rPr>
          <w:rFonts w:ascii="Arial" w:hAnsi="Arial" w:cs="Arial"/>
        </w:rPr>
        <w:t xml:space="preserve"> </w:t>
      </w:r>
      <w:r w:rsidRPr="006975F8">
        <w:rPr>
          <w:rFonts w:ascii="Arial" w:hAnsi="Arial" w:cs="Arial"/>
          <w:sz w:val="18"/>
        </w:rPr>
        <w:t xml:space="preserve">To review the full study referenced in this section see: </w:t>
      </w:r>
    </w:p>
    <w:p w14:paraId="4B88CAB3" w14:textId="77777777" w:rsidR="00F702F9" w:rsidRDefault="00F702F9">
      <w:pPr>
        <w:pStyle w:val="FootnoteText"/>
      </w:pPr>
      <w:r w:rsidRPr="006975F8">
        <w:rPr>
          <w:rFonts w:ascii="Arial" w:hAnsi="Arial" w:cs="Arial"/>
          <w:sz w:val="18"/>
        </w:rPr>
        <w:t xml:space="preserve"> Nexant, Inc. (February 25.2014). Cascade Natural Gas Corporation, Assessment of Achievable Potential &amp; Program Evaluation Volume 1: Executive Summary, Volume 2: Assessment of Achievable Potential &amp; Program Evaluation, Volume 3: Appendices</w:t>
      </w:r>
    </w:p>
  </w:footnote>
  <w:footnote w:id="3">
    <w:p w14:paraId="59D520FF" w14:textId="77777777" w:rsidR="00F702F9" w:rsidRDefault="00F702F9">
      <w:pPr>
        <w:pStyle w:val="FootnoteText"/>
      </w:pPr>
      <w:r>
        <w:rPr>
          <w:rStyle w:val="FootnoteReference"/>
        </w:rPr>
        <w:footnoteRef/>
      </w:r>
      <w:r>
        <w:t xml:space="preserve"> </w:t>
      </w:r>
      <w:r w:rsidRPr="002B29F7">
        <w:rPr>
          <w:rFonts w:ascii="Arial" w:hAnsi="Arial" w:cs="Arial"/>
          <w:sz w:val="20"/>
        </w:rPr>
        <w:t>Washington Utilities and Transportation Commission Docket UG-152286 Order 4, Final Order Approving Settlement Agreement. Page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F737A" w14:textId="77777777" w:rsidR="00F702F9" w:rsidRPr="001D233B" w:rsidRDefault="00F702F9" w:rsidP="00E74785">
    <w:pPr>
      <w:pStyle w:val="Header"/>
      <w:ind w:right="166"/>
      <w:jc w:val="right"/>
      <w:rPr>
        <w:i/>
        <w:sz w:val="20"/>
      </w:rPr>
    </w:pPr>
    <w:r>
      <w:rPr>
        <w:noProof/>
      </w:rPr>
      <mc:AlternateContent>
        <mc:Choice Requires="wps">
          <w:drawing>
            <wp:anchor distT="0" distB="0" distL="114300" distR="114300" simplePos="0" relativeHeight="251660288" behindDoc="0" locked="0" layoutInCell="1" allowOverlap="1" wp14:anchorId="76EBC98C" wp14:editId="4EA00036">
              <wp:simplePos x="0" y="0"/>
              <wp:positionH relativeFrom="column">
                <wp:posOffset>-67945</wp:posOffset>
              </wp:positionH>
              <wp:positionV relativeFrom="paragraph">
                <wp:posOffset>200025</wp:posOffset>
              </wp:positionV>
              <wp:extent cx="6101080" cy="0"/>
              <wp:effectExtent l="0" t="0" r="13970" b="19050"/>
              <wp:wrapNone/>
              <wp:docPr id="18" name="Straight Connector 18"/>
              <wp:cNvGraphicFramePr/>
              <a:graphic xmlns:a="http://schemas.openxmlformats.org/drawingml/2006/main">
                <a:graphicData uri="http://schemas.microsoft.com/office/word/2010/wordprocessingShape">
                  <wps:wsp>
                    <wps:cNvCnPr/>
                    <wps:spPr>
                      <a:xfrm flipH="1">
                        <a:off x="0" y="0"/>
                        <a:ext cx="6101080" cy="0"/>
                      </a:xfrm>
                      <a:prstGeom prst="line">
                        <a:avLst/>
                      </a:prstGeom>
                      <a:ln w="12700" cmpd="thinThick">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7B133D" id="Straight Connector 18"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pt,15.75pt" to="475.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" strokecolor="#31849b [2408]" strokeweight="1pt">
              <v:stroke linestyle="thinThick"/>
            </v:line>
          </w:pict>
        </mc:Fallback>
      </mc:AlternateContent>
    </w:r>
    <w:r>
      <w:rPr>
        <w:noProof/>
      </w:rPr>
      <w:drawing>
        <wp:anchor distT="0" distB="0" distL="114300" distR="114300" simplePos="0" relativeHeight="251659264" behindDoc="0" locked="0" layoutInCell="1" allowOverlap="1" wp14:anchorId="6B34F74C" wp14:editId="6A001D16">
          <wp:simplePos x="0" y="0"/>
          <wp:positionH relativeFrom="column">
            <wp:posOffset>-32633</wp:posOffset>
          </wp:positionH>
          <wp:positionV relativeFrom="paragraph">
            <wp:posOffset>-575310</wp:posOffset>
          </wp:positionV>
          <wp:extent cx="1710047" cy="703011"/>
          <wp:effectExtent l="0" t="0" r="5080" b="1905"/>
          <wp:wrapNone/>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47" cy="703011"/>
                  </a:xfrm>
                  <a:prstGeom prst="rect">
                    <a:avLst/>
                  </a:prstGeom>
                  <a:noFill/>
                  <a:extLst/>
                </pic:spPr>
              </pic:pic>
            </a:graphicData>
          </a:graphic>
          <wp14:sizeRelH relativeFrom="margin">
            <wp14:pctWidth>0</wp14:pctWidth>
          </wp14:sizeRelH>
          <wp14:sizeRelV relativeFrom="margin">
            <wp14:pctHeight>0</wp14:pctHeight>
          </wp14:sizeRelV>
        </wp:anchor>
      </w:drawing>
    </w:r>
    <w:r w:rsidRPr="001D233B">
      <w:rPr>
        <w:i/>
        <w:sz w:val="20"/>
      </w:rPr>
      <w:t xml:space="preserve">Cascade Natural Gas Corporation </w:t>
    </w:r>
    <w:r>
      <w:rPr>
        <w:i/>
        <w:sz w:val="20"/>
      </w:rPr>
      <w:t>2017 Conservation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423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2CC8A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EA13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2C05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3010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1A36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C230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02FC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4E1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5020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E3516"/>
    <w:multiLevelType w:val="hybridMultilevel"/>
    <w:tmpl w:val="09AEBBF2"/>
    <w:lvl w:ilvl="0" w:tplc="EE34C25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641A4C"/>
    <w:multiLevelType w:val="hybridMultilevel"/>
    <w:tmpl w:val="145C9384"/>
    <w:lvl w:ilvl="0" w:tplc="EE34C25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4D4926"/>
    <w:multiLevelType w:val="hybridMultilevel"/>
    <w:tmpl w:val="188E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347B68"/>
    <w:multiLevelType w:val="hybridMultilevel"/>
    <w:tmpl w:val="0B04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E966E6"/>
    <w:multiLevelType w:val="hybridMultilevel"/>
    <w:tmpl w:val="2EF4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E641B1"/>
    <w:multiLevelType w:val="hybridMultilevel"/>
    <w:tmpl w:val="DF30B824"/>
    <w:lvl w:ilvl="0" w:tplc="EE34C25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2D318C"/>
    <w:multiLevelType w:val="hybridMultilevel"/>
    <w:tmpl w:val="C5B07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F96DB8"/>
    <w:multiLevelType w:val="hybridMultilevel"/>
    <w:tmpl w:val="3E465580"/>
    <w:lvl w:ilvl="0" w:tplc="8CC49D70">
      <w:start w:val="2016"/>
      <w:numFmt w:val="bullet"/>
      <w:lvlText w:val="-"/>
      <w:lvlJc w:val="left"/>
      <w:pPr>
        <w:ind w:left="2520" w:hanging="360"/>
      </w:pPr>
      <w:rPr>
        <w:rFonts w:ascii="Arial" w:eastAsia="Arial"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1DEB7B93"/>
    <w:multiLevelType w:val="hybridMultilevel"/>
    <w:tmpl w:val="2442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775625"/>
    <w:multiLevelType w:val="hybridMultilevel"/>
    <w:tmpl w:val="28D618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22C46CBF"/>
    <w:multiLevelType w:val="hybridMultilevel"/>
    <w:tmpl w:val="3E22EB06"/>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1" w15:restartNumberingAfterBreak="0">
    <w:nsid w:val="24742781"/>
    <w:multiLevelType w:val="hybridMultilevel"/>
    <w:tmpl w:val="6A5C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A377C6"/>
    <w:multiLevelType w:val="hybridMultilevel"/>
    <w:tmpl w:val="4E5A4A20"/>
    <w:lvl w:ilvl="0" w:tplc="E85E15CA">
      <w:start w:val="1"/>
      <w:numFmt w:val="bullet"/>
      <w:lvlText w:val="•"/>
      <w:lvlJc w:val="left"/>
      <w:pPr>
        <w:ind w:left="580" w:hanging="360"/>
      </w:pPr>
      <w:rPr>
        <w:rFonts w:ascii="Arial" w:hAnsi="Arial"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3" w15:restartNumberingAfterBreak="0">
    <w:nsid w:val="27D14501"/>
    <w:multiLevelType w:val="hybridMultilevel"/>
    <w:tmpl w:val="F2E49C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29637FF0"/>
    <w:multiLevelType w:val="hybridMultilevel"/>
    <w:tmpl w:val="F6DC04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A6638C3"/>
    <w:multiLevelType w:val="hybridMultilevel"/>
    <w:tmpl w:val="6610FF88"/>
    <w:lvl w:ilvl="0" w:tplc="D51AF4F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15:restartNumberingAfterBreak="0">
    <w:nsid w:val="2CB30AFD"/>
    <w:multiLevelType w:val="hybridMultilevel"/>
    <w:tmpl w:val="A398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80463C"/>
    <w:multiLevelType w:val="hybridMultilevel"/>
    <w:tmpl w:val="39BC3F78"/>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8" w15:restartNumberingAfterBreak="0">
    <w:nsid w:val="346B1BBE"/>
    <w:multiLevelType w:val="hybridMultilevel"/>
    <w:tmpl w:val="701C57AA"/>
    <w:lvl w:ilvl="0" w:tplc="F792202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2C05D8"/>
    <w:multiLevelType w:val="hybridMultilevel"/>
    <w:tmpl w:val="8E84D524"/>
    <w:lvl w:ilvl="0" w:tplc="04090001">
      <w:start w:val="1"/>
      <w:numFmt w:val="bullet"/>
      <w:lvlText w:val=""/>
      <w:lvlJc w:val="left"/>
      <w:pPr>
        <w:ind w:left="860" w:hanging="360"/>
      </w:pPr>
      <w:rPr>
        <w:rFonts w:ascii="Symbol" w:hAnsi="Symbol" w:hint="default"/>
      </w:rPr>
    </w:lvl>
    <w:lvl w:ilvl="1" w:tplc="4B183002">
      <w:numFmt w:val="bullet"/>
      <w:lvlText w:val="•"/>
      <w:lvlJc w:val="left"/>
      <w:pPr>
        <w:ind w:left="1580" w:hanging="360"/>
      </w:pPr>
      <w:rPr>
        <w:rFonts w:ascii="Arial" w:eastAsia="Symbol" w:hAnsi="Arial" w:cs="Arial" w:hint="default"/>
        <w:w w:val="76"/>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0" w15:restartNumberingAfterBreak="0">
    <w:nsid w:val="363D12F0"/>
    <w:multiLevelType w:val="hybridMultilevel"/>
    <w:tmpl w:val="657007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37E33F92"/>
    <w:multiLevelType w:val="hybridMultilevel"/>
    <w:tmpl w:val="FED61D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6C941F9"/>
    <w:multiLevelType w:val="hybridMultilevel"/>
    <w:tmpl w:val="5D3E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B730DC"/>
    <w:multiLevelType w:val="multilevel"/>
    <w:tmpl w:val="4E42C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9451BB"/>
    <w:multiLevelType w:val="hybridMultilevel"/>
    <w:tmpl w:val="64488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A16750"/>
    <w:multiLevelType w:val="hybridMultilevel"/>
    <w:tmpl w:val="56D46446"/>
    <w:lvl w:ilvl="0" w:tplc="EE34C25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E6775F"/>
    <w:multiLevelType w:val="hybridMultilevel"/>
    <w:tmpl w:val="B5DA0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73370A"/>
    <w:multiLevelType w:val="hybridMultilevel"/>
    <w:tmpl w:val="80687D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8205EB"/>
    <w:multiLevelType w:val="hybridMultilevel"/>
    <w:tmpl w:val="84786A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FC2167"/>
    <w:multiLevelType w:val="hybridMultilevel"/>
    <w:tmpl w:val="3DD6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CE35F0"/>
    <w:multiLevelType w:val="hybridMultilevel"/>
    <w:tmpl w:val="746E3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74021B"/>
    <w:multiLevelType w:val="hybridMultilevel"/>
    <w:tmpl w:val="ED5C6F3E"/>
    <w:lvl w:ilvl="0" w:tplc="D51AF4F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2" w15:restartNumberingAfterBreak="0">
    <w:nsid w:val="6E730777"/>
    <w:multiLevelType w:val="hybridMultilevel"/>
    <w:tmpl w:val="20ACE39C"/>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3" w15:restartNumberingAfterBreak="0">
    <w:nsid w:val="6F5012E2"/>
    <w:multiLevelType w:val="hybridMultilevel"/>
    <w:tmpl w:val="1B82CF2C"/>
    <w:lvl w:ilvl="0" w:tplc="0409000F">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44" w15:restartNumberingAfterBreak="0">
    <w:nsid w:val="70484BF7"/>
    <w:multiLevelType w:val="hybridMultilevel"/>
    <w:tmpl w:val="05DE80A0"/>
    <w:lvl w:ilvl="0" w:tplc="E85E15CA">
      <w:start w:val="1"/>
      <w:numFmt w:val="bullet"/>
      <w:lvlText w:val="•"/>
      <w:lvlJc w:val="left"/>
      <w:pPr>
        <w:tabs>
          <w:tab w:val="num" w:pos="720"/>
        </w:tabs>
        <w:ind w:left="720" w:hanging="360"/>
      </w:pPr>
      <w:rPr>
        <w:rFonts w:ascii="Arial" w:hAnsi="Arial" w:cs="Times New Roman" w:hint="default"/>
      </w:rPr>
    </w:lvl>
    <w:lvl w:ilvl="1" w:tplc="58CE489C">
      <w:start w:val="1475"/>
      <w:numFmt w:val="bullet"/>
      <w:lvlText w:val="–"/>
      <w:lvlJc w:val="left"/>
      <w:pPr>
        <w:tabs>
          <w:tab w:val="num" w:pos="1440"/>
        </w:tabs>
        <w:ind w:left="1440" w:hanging="360"/>
      </w:pPr>
      <w:rPr>
        <w:rFonts w:ascii="Arial" w:hAnsi="Arial" w:cs="Times New Roman" w:hint="default"/>
      </w:rPr>
    </w:lvl>
    <w:lvl w:ilvl="2" w:tplc="ED9C387A">
      <w:start w:val="1"/>
      <w:numFmt w:val="bullet"/>
      <w:lvlText w:val="•"/>
      <w:lvlJc w:val="left"/>
      <w:pPr>
        <w:tabs>
          <w:tab w:val="num" w:pos="2160"/>
        </w:tabs>
        <w:ind w:left="2160" w:hanging="360"/>
      </w:pPr>
      <w:rPr>
        <w:rFonts w:ascii="Arial" w:hAnsi="Arial" w:cs="Times New Roman" w:hint="default"/>
      </w:rPr>
    </w:lvl>
    <w:lvl w:ilvl="3" w:tplc="0BCCCCA8">
      <w:start w:val="1"/>
      <w:numFmt w:val="bullet"/>
      <w:lvlText w:val="•"/>
      <w:lvlJc w:val="left"/>
      <w:pPr>
        <w:tabs>
          <w:tab w:val="num" w:pos="2880"/>
        </w:tabs>
        <w:ind w:left="2880" w:hanging="360"/>
      </w:pPr>
      <w:rPr>
        <w:rFonts w:ascii="Arial" w:hAnsi="Arial" w:cs="Times New Roman" w:hint="default"/>
      </w:rPr>
    </w:lvl>
    <w:lvl w:ilvl="4" w:tplc="04A46168">
      <w:start w:val="1"/>
      <w:numFmt w:val="bullet"/>
      <w:lvlText w:val="•"/>
      <w:lvlJc w:val="left"/>
      <w:pPr>
        <w:tabs>
          <w:tab w:val="num" w:pos="3600"/>
        </w:tabs>
        <w:ind w:left="3600" w:hanging="360"/>
      </w:pPr>
      <w:rPr>
        <w:rFonts w:ascii="Arial" w:hAnsi="Arial" w:cs="Times New Roman" w:hint="default"/>
      </w:rPr>
    </w:lvl>
    <w:lvl w:ilvl="5" w:tplc="6AB402DE">
      <w:start w:val="1"/>
      <w:numFmt w:val="bullet"/>
      <w:lvlText w:val="•"/>
      <w:lvlJc w:val="left"/>
      <w:pPr>
        <w:tabs>
          <w:tab w:val="num" w:pos="4320"/>
        </w:tabs>
        <w:ind w:left="4320" w:hanging="360"/>
      </w:pPr>
      <w:rPr>
        <w:rFonts w:ascii="Arial" w:hAnsi="Arial" w:cs="Times New Roman" w:hint="default"/>
      </w:rPr>
    </w:lvl>
    <w:lvl w:ilvl="6" w:tplc="561A9E3A">
      <w:start w:val="1"/>
      <w:numFmt w:val="bullet"/>
      <w:lvlText w:val="•"/>
      <w:lvlJc w:val="left"/>
      <w:pPr>
        <w:tabs>
          <w:tab w:val="num" w:pos="5040"/>
        </w:tabs>
        <w:ind w:left="5040" w:hanging="360"/>
      </w:pPr>
      <w:rPr>
        <w:rFonts w:ascii="Arial" w:hAnsi="Arial" w:cs="Times New Roman" w:hint="default"/>
      </w:rPr>
    </w:lvl>
    <w:lvl w:ilvl="7" w:tplc="BA0499E4">
      <w:start w:val="1"/>
      <w:numFmt w:val="bullet"/>
      <w:lvlText w:val="•"/>
      <w:lvlJc w:val="left"/>
      <w:pPr>
        <w:tabs>
          <w:tab w:val="num" w:pos="5760"/>
        </w:tabs>
        <w:ind w:left="5760" w:hanging="360"/>
      </w:pPr>
      <w:rPr>
        <w:rFonts w:ascii="Arial" w:hAnsi="Arial" w:cs="Times New Roman" w:hint="default"/>
      </w:rPr>
    </w:lvl>
    <w:lvl w:ilvl="8" w:tplc="666CBAAE">
      <w:start w:val="1"/>
      <w:numFmt w:val="bullet"/>
      <w:lvlText w:val="•"/>
      <w:lvlJc w:val="left"/>
      <w:pPr>
        <w:tabs>
          <w:tab w:val="num" w:pos="6480"/>
        </w:tabs>
        <w:ind w:left="6480" w:hanging="360"/>
      </w:pPr>
      <w:rPr>
        <w:rFonts w:ascii="Arial" w:hAnsi="Arial" w:cs="Times New Roman" w:hint="default"/>
      </w:rPr>
    </w:lvl>
  </w:abstractNum>
  <w:abstractNum w:abstractNumId="45" w15:restartNumberingAfterBreak="0">
    <w:nsid w:val="72CC4157"/>
    <w:multiLevelType w:val="hybridMultilevel"/>
    <w:tmpl w:val="AC4A2A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2D26CC"/>
    <w:multiLevelType w:val="hybridMultilevel"/>
    <w:tmpl w:val="D49C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DC4B0F"/>
    <w:multiLevelType w:val="hybridMultilevel"/>
    <w:tmpl w:val="8C5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29541D"/>
    <w:multiLevelType w:val="hybridMultilevel"/>
    <w:tmpl w:val="4536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ED3E46"/>
    <w:multiLevelType w:val="hybridMultilevel"/>
    <w:tmpl w:val="7350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EC694A"/>
    <w:multiLevelType w:val="hybridMultilevel"/>
    <w:tmpl w:val="7982E5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ED3A2C"/>
    <w:multiLevelType w:val="hybridMultilevel"/>
    <w:tmpl w:val="024C8510"/>
    <w:lvl w:ilvl="0" w:tplc="594AF37C">
      <w:start w:val="1"/>
      <w:numFmt w:val="decimal"/>
      <w:lvlText w:val="%1."/>
      <w:lvlJc w:val="left"/>
      <w:pPr>
        <w:ind w:left="720" w:hanging="360"/>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5443CA"/>
    <w:multiLevelType w:val="hybridMultilevel"/>
    <w:tmpl w:val="BE8A34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33"/>
  </w:num>
  <w:num w:numId="3">
    <w:abstractNumId w:val="29"/>
  </w:num>
  <w:num w:numId="4">
    <w:abstractNumId w:val="42"/>
  </w:num>
  <w:num w:numId="5">
    <w:abstractNumId w:val="23"/>
  </w:num>
  <w:num w:numId="6">
    <w:abstractNumId w:val="30"/>
  </w:num>
  <w:num w:numId="7">
    <w:abstractNumId w:val="16"/>
  </w:num>
  <w:num w:numId="8">
    <w:abstractNumId w:val="37"/>
  </w:num>
  <w:num w:numId="9">
    <w:abstractNumId w:val="20"/>
  </w:num>
  <w:num w:numId="10">
    <w:abstractNumId w:val="52"/>
  </w:num>
  <w:num w:numId="11">
    <w:abstractNumId w:val="47"/>
  </w:num>
  <w:num w:numId="12">
    <w:abstractNumId w:val="19"/>
  </w:num>
  <w:num w:numId="13">
    <w:abstractNumId w:val="31"/>
  </w:num>
  <w:num w:numId="14">
    <w:abstractNumId w:val="43"/>
  </w:num>
  <w:num w:numId="15">
    <w:abstractNumId w:val="41"/>
  </w:num>
  <w:num w:numId="16">
    <w:abstractNumId w:val="25"/>
  </w:num>
  <w:num w:numId="17">
    <w:abstractNumId w:val="32"/>
  </w:num>
  <w:num w:numId="18">
    <w:abstractNumId w:val="26"/>
  </w:num>
  <w:num w:numId="19">
    <w:abstractNumId w:val="18"/>
  </w:num>
  <w:num w:numId="20">
    <w:abstractNumId w:val="21"/>
  </w:num>
  <w:num w:numId="21">
    <w:abstractNumId w:val="14"/>
  </w:num>
  <w:num w:numId="22">
    <w:abstractNumId w:val="24"/>
  </w:num>
  <w:num w:numId="23">
    <w:abstractNumId w:val="36"/>
  </w:num>
  <w:num w:numId="24">
    <w:abstractNumId w:val="38"/>
  </w:num>
  <w:num w:numId="25">
    <w:abstractNumId w:val="48"/>
  </w:num>
  <w:num w:numId="26">
    <w:abstractNumId w:val="49"/>
  </w:num>
  <w:num w:numId="27">
    <w:abstractNumId w:val="39"/>
  </w:num>
  <w:num w:numId="28">
    <w:abstractNumId w:val="44"/>
  </w:num>
  <w:num w:numId="29">
    <w:abstractNumId w:val="22"/>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7"/>
  </w:num>
  <w:num w:numId="41">
    <w:abstractNumId w:val="10"/>
  </w:num>
  <w:num w:numId="42">
    <w:abstractNumId w:val="15"/>
  </w:num>
  <w:num w:numId="43">
    <w:abstractNumId w:val="35"/>
  </w:num>
  <w:num w:numId="44">
    <w:abstractNumId w:val="34"/>
  </w:num>
  <w:num w:numId="45">
    <w:abstractNumId w:val="51"/>
  </w:num>
  <w:num w:numId="46">
    <w:abstractNumId w:val="46"/>
  </w:num>
  <w:num w:numId="47">
    <w:abstractNumId w:val="12"/>
  </w:num>
  <w:num w:numId="48">
    <w:abstractNumId w:val="50"/>
  </w:num>
  <w:num w:numId="49">
    <w:abstractNumId w:val="45"/>
  </w:num>
  <w:num w:numId="50">
    <w:abstractNumId w:val="40"/>
  </w:num>
  <w:num w:numId="51">
    <w:abstractNumId w:val="28"/>
  </w:num>
  <w:num w:numId="52">
    <w:abstractNumId w:val="27"/>
  </w:num>
  <w:num w:numId="53">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C2"/>
    <w:rsid w:val="00000026"/>
    <w:rsid w:val="000005EC"/>
    <w:rsid w:val="00003744"/>
    <w:rsid w:val="00004A1B"/>
    <w:rsid w:val="00004AD8"/>
    <w:rsid w:val="000052F2"/>
    <w:rsid w:val="0001141D"/>
    <w:rsid w:val="00012569"/>
    <w:rsid w:val="000132F7"/>
    <w:rsid w:val="000143F7"/>
    <w:rsid w:val="00014C0E"/>
    <w:rsid w:val="00021C03"/>
    <w:rsid w:val="00022545"/>
    <w:rsid w:val="000256A3"/>
    <w:rsid w:val="00026077"/>
    <w:rsid w:val="000270AF"/>
    <w:rsid w:val="00030349"/>
    <w:rsid w:val="0003068E"/>
    <w:rsid w:val="00030AE9"/>
    <w:rsid w:val="00032EA6"/>
    <w:rsid w:val="00033898"/>
    <w:rsid w:val="00033B66"/>
    <w:rsid w:val="00033D94"/>
    <w:rsid w:val="0003424B"/>
    <w:rsid w:val="000347E5"/>
    <w:rsid w:val="000356C4"/>
    <w:rsid w:val="00040FD7"/>
    <w:rsid w:val="00041565"/>
    <w:rsid w:val="000424B8"/>
    <w:rsid w:val="00044D09"/>
    <w:rsid w:val="00047548"/>
    <w:rsid w:val="00050D4E"/>
    <w:rsid w:val="000510D0"/>
    <w:rsid w:val="00051BCD"/>
    <w:rsid w:val="000525CE"/>
    <w:rsid w:val="0005601F"/>
    <w:rsid w:val="0005699E"/>
    <w:rsid w:val="000606A3"/>
    <w:rsid w:val="00061296"/>
    <w:rsid w:val="000627D1"/>
    <w:rsid w:val="00062AA8"/>
    <w:rsid w:val="00063807"/>
    <w:rsid w:val="00063E08"/>
    <w:rsid w:val="00065C33"/>
    <w:rsid w:val="00065C42"/>
    <w:rsid w:val="000663A2"/>
    <w:rsid w:val="000709E2"/>
    <w:rsid w:val="00070F78"/>
    <w:rsid w:val="00070FD0"/>
    <w:rsid w:val="0007390D"/>
    <w:rsid w:val="00073B79"/>
    <w:rsid w:val="0007434F"/>
    <w:rsid w:val="00074D8A"/>
    <w:rsid w:val="000757D7"/>
    <w:rsid w:val="00075DDB"/>
    <w:rsid w:val="00076659"/>
    <w:rsid w:val="0007791C"/>
    <w:rsid w:val="00082EC1"/>
    <w:rsid w:val="000830FC"/>
    <w:rsid w:val="00083AB1"/>
    <w:rsid w:val="00083B11"/>
    <w:rsid w:val="0008498F"/>
    <w:rsid w:val="00086E03"/>
    <w:rsid w:val="00090794"/>
    <w:rsid w:val="00091587"/>
    <w:rsid w:val="000944C3"/>
    <w:rsid w:val="00094C2B"/>
    <w:rsid w:val="0009652A"/>
    <w:rsid w:val="00096F4E"/>
    <w:rsid w:val="00097878"/>
    <w:rsid w:val="000A17A2"/>
    <w:rsid w:val="000A3849"/>
    <w:rsid w:val="000A428E"/>
    <w:rsid w:val="000A4521"/>
    <w:rsid w:val="000A4974"/>
    <w:rsid w:val="000A55F8"/>
    <w:rsid w:val="000A7DBA"/>
    <w:rsid w:val="000B00DE"/>
    <w:rsid w:val="000B12E2"/>
    <w:rsid w:val="000B27B0"/>
    <w:rsid w:val="000B47A9"/>
    <w:rsid w:val="000B4B88"/>
    <w:rsid w:val="000B54D2"/>
    <w:rsid w:val="000B5A20"/>
    <w:rsid w:val="000B7481"/>
    <w:rsid w:val="000C06E3"/>
    <w:rsid w:val="000C09EB"/>
    <w:rsid w:val="000C114C"/>
    <w:rsid w:val="000C1ABF"/>
    <w:rsid w:val="000C3E00"/>
    <w:rsid w:val="000C4A29"/>
    <w:rsid w:val="000C6779"/>
    <w:rsid w:val="000C6BAB"/>
    <w:rsid w:val="000C7C2A"/>
    <w:rsid w:val="000D14B6"/>
    <w:rsid w:val="000D4B91"/>
    <w:rsid w:val="000D6CF9"/>
    <w:rsid w:val="000D7658"/>
    <w:rsid w:val="000E0631"/>
    <w:rsid w:val="000E0CCC"/>
    <w:rsid w:val="000E0DB5"/>
    <w:rsid w:val="000E2506"/>
    <w:rsid w:val="000F1B28"/>
    <w:rsid w:val="000F2EE9"/>
    <w:rsid w:val="000F3508"/>
    <w:rsid w:val="000F42B2"/>
    <w:rsid w:val="000F58E2"/>
    <w:rsid w:val="000F70E8"/>
    <w:rsid w:val="00101D64"/>
    <w:rsid w:val="00102923"/>
    <w:rsid w:val="001060B0"/>
    <w:rsid w:val="00110700"/>
    <w:rsid w:val="00111C70"/>
    <w:rsid w:val="001121DE"/>
    <w:rsid w:val="00112BD7"/>
    <w:rsid w:val="00114DD1"/>
    <w:rsid w:val="00114E72"/>
    <w:rsid w:val="00115C36"/>
    <w:rsid w:val="00116FA0"/>
    <w:rsid w:val="00117922"/>
    <w:rsid w:val="001204A7"/>
    <w:rsid w:val="001206C4"/>
    <w:rsid w:val="0012102F"/>
    <w:rsid w:val="00121E99"/>
    <w:rsid w:val="001238B6"/>
    <w:rsid w:val="00124A41"/>
    <w:rsid w:val="00126029"/>
    <w:rsid w:val="00127DBF"/>
    <w:rsid w:val="00127F68"/>
    <w:rsid w:val="00131599"/>
    <w:rsid w:val="00132456"/>
    <w:rsid w:val="001334F9"/>
    <w:rsid w:val="00133E4B"/>
    <w:rsid w:val="00135829"/>
    <w:rsid w:val="00135996"/>
    <w:rsid w:val="001359D6"/>
    <w:rsid w:val="00136B30"/>
    <w:rsid w:val="00136C9F"/>
    <w:rsid w:val="00137407"/>
    <w:rsid w:val="001375D7"/>
    <w:rsid w:val="00137A79"/>
    <w:rsid w:val="00137C7D"/>
    <w:rsid w:val="00143000"/>
    <w:rsid w:val="00145B5E"/>
    <w:rsid w:val="001466F9"/>
    <w:rsid w:val="00150BF2"/>
    <w:rsid w:val="00151187"/>
    <w:rsid w:val="00151BF0"/>
    <w:rsid w:val="00151F6F"/>
    <w:rsid w:val="001523EC"/>
    <w:rsid w:val="00152DF6"/>
    <w:rsid w:val="00157E0F"/>
    <w:rsid w:val="00157F79"/>
    <w:rsid w:val="00163726"/>
    <w:rsid w:val="001637BD"/>
    <w:rsid w:val="0016395C"/>
    <w:rsid w:val="00164518"/>
    <w:rsid w:val="001653AF"/>
    <w:rsid w:val="0016576F"/>
    <w:rsid w:val="001666A3"/>
    <w:rsid w:val="0016718F"/>
    <w:rsid w:val="001704E8"/>
    <w:rsid w:val="001707BC"/>
    <w:rsid w:val="00171C7D"/>
    <w:rsid w:val="0017456A"/>
    <w:rsid w:val="00174B0A"/>
    <w:rsid w:val="00175156"/>
    <w:rsid w:val="00175B3B"/>
    <w:rsid w:val="0017617F"/>
    <w:rsid w:val="00177455"/>
    <w:rsid w:val="001776E2"/>
    <w:rsid w:val="00177C4D"/>
    <w:rsid w:val="00180BFD"/>
    <w:rsid w:val="0018231D"/>
    <w:rsid w:val="00184B44"/>
    <w:rsid w:val="00186ABF"/>
    <w:rsid w:val="00186FF3"/>
    <w:rsid w:val="0019353E"/>
    <w:rsid w:val="00193671"/>
    <w:rsid w:val="001958FA"/>
    <w:rsid w:val="00197FA0"/>
    <w:rsid w:val="001A0067"/>
    <w:rsid w:val="001A0DA5"/>
    <w:rsid w:val="001A5A9B"/>
    <w:rsid w:val="001B1019"/>
    <w:rsid w:val="001B17C2"/>
    <w:rsid w:val="001B3157"/>
    <w:rsid w:val="001B3793"/>
    <w:rsid w:val="001B3A8F"/>
    <w:rsid w:val="001B451C"/>
    <w:rsid w:val="001B50DE"/>
    <w:rsid w:val="001B5A42"/>
    <w:rsid w:val="001B6677"/>
    <w:rsid w:val="001B71CB"/>
    <w:rsid w:val="001B74DA"/>
    <w:rsid w:val="001C1BE1"/>
    <w:rsid w:val="001C39FF"/>
    <w:rsid w:val="001C3BC5"/>
    <w:rsid w:val="001C4DD2"/>
    <w:rsid w:val="001C590C"/>
    <w:rsid w:val="001C5C86"/>
    <w:rsid w:val="001C7D7A"/>
    <w:rsid w:val="001D233B"/>
    <w:rsid w:val="001D2B60"/>
    <w:rsid w:val="001D3F8E"/>
    <w:rsid w:val="001D5163"/>
    <w:rsid w:val="001D65D0"/>
    <w:rsid w:val="001D7C5F"/>
    <w:rsid w:val="001E6306"/>
    <w:rsid w:val="001E6E90"/>
    <w:rsid w:val="001F0959"/>
    <w:rsid w:val="001F2061"/>
    <w:rsid w:val="001F475B"/>
    <w:rsid w:val="001F525C"/>
    <w:rsid w:val="001F7029"/>
    <w:rsid w:val="001F71B9"/>
    <w:rsid w:val="001F7BA8"/>
    <w:rsid w:val="00202112"/>
    <w:rsid w:val="002028F7"/>
    <w:rsid w:val="00204F61"/>
    <w:rsid w:val="002052EC"/>
    <w:rsid w:val="002065D4"/>
    <w:rsid w:val="0020731D"/>
    <w:rsid w:val="00210A03"/>
    <w:rsid w:val="00210B6C"/>
    <w:rsid w:val="00213416"/>
    <w:rsid w:val="00213734"/>
    <w:rsid w:val="00214C8D"/>
    <w:rsid w:val="002151F8"/>
    <w:rsid w:val="00216D87"/>
    <w:rsid w:val="00220248"/>
    <w:rsid w:val="00220BD2"/>
    <w:rsid w:val="00220F96"/>
    <w:rsid w:val="00221B6C"/>
    <w:rsid w:val="00221C7E"/>
    <w:rsid w:val="0022299D"/>
    <w:rsid w:val="00222D76"/>
    <w:rsid w:val="00223961"/>
    <w:rsid w:val="00225F97"/>
    <w:rsid w:val="00226E96"/>
    <w:rsid w:val="002271FA"/>
    <w:rsid w:val="002272A8"/>
    <w:rsid w:val="00227CA9"/>
    <w:rsid w:val="00230306"/>
    <w:rsid w:val="00232F2E"/>
    <w:rsid w:val="002335E3"/>
    <w:rsid w:val="00233CE5"/>
    <w:rsid w:val="0023450A"/>
    <w:rsid w:val="00235A8B"/>
    <w:rsid w:val="0023670E"/>
    <w:rsid w:val="00240834"/>
    <w:rsid w:val="002425FF"/>
    <w:rsid w:val="00243285"/>
    <w:rsid w:val="00244991"/>
    <w:rsid w:val="00245418"/>
    <w:rsid w:val="00245753"/>
    <w:rsid w:val="00245867"/>
    <w:rsid w:val="0024674E"/>
    <w:rsid w:val="00246AA5"/>
    <w:rsid w:val="00246DC3"/>
    <w:rsid w:val="002501E0"/>
    <w:rsid w:val="00253024"/>
    <w:rsid w:val="00253275"/>
    <w:rsid w:val="00254A61"/>
    <w:rsid w:val="00255908"/>
    <w:rsid w:val="002574A8"/>
    <w:rsid w:val="002610AB"/>
    <w:rsid w:val="00262A65"/>
    <w:rsid w:val="002634E6"/>
    <w:rsid w:val="00263652"/>
    <w:rsid w:val="00263B6C"/>
    <w:rsid w:val="00263C64"/>
    <w:rsid w:val="00264A59"/>
    <w:rsid w:val="00264C48"/>
    <w:rsid w:val="002654EE"/>
    <w:rsid w:val="00265A78"/>
    <w:rsid w:val="00266184"/>
    <w:rsid w:val="00267304"/>
    <w:rsid w:val="002678C1"/>
    <w:rsid w:val="00270213"/>
    <w:rsid w:val="0027114A"/>
    <w:rsid w:val="002712AB"/>
    <w:rsid w:val="00272A24"/>
    <w:rsid w:val="0027385C"/>
    <w:rsid w:val="002738B3"/>
    <w:rsid w:val="00273CCD"/>
    <w:rsid w:val="00274089"/>
    <w:rsid w:val="002754CC"/>
    <w:rsid w:val="00275672"/>
    <w:rsid w:val="00275D10"/>
    <w:rsid w:val="00276B9E"/>
    <w:rsid w:val="00277024"/>
    <w:rsid w:val="0027759D"/>
    <w:rsid w:val="002801C1"/>
    <w:rsid w:val="00283796"/>
    <w:rsid w:val="00284FF7"/>
    <w:rsid w:val="00294678"/>
    <w:rsid w:val="00294947"/>
    <w:rsid w:val="002964FC"/>
    <w:rsid w:val="0029656D"/>
    <w:rsid w:val="00297358"/>
    <w:rsid w:val="002A148A"/>
    <w:rsid w:val="002A1CA8"/>
    <w:rsid w:val="002A1FAA"/>
    <w:rsid w:val="002A1FC8"/>
    <w:rsid w:val="002A3DA0"/>
    <w:rsid w:val="002A5174"/>
    <w:rsid w:val="002A53BA"/>
    <w:rsid w:val="002A72C2"/>
    <w:rsid w:val="002B0BA9"/>
    <w:rsid w:val="002B0C5C"/>
    <w:rsid w:val="002B2549"/>
    <w:rsid w:val="002B2889"/>
    <w:rsid w:val="002B3E61"/>
    <w:rsid w:val="002B5050"/>
    <w:rsid w:val="002B5134"/>
    <w:rsid w:val="002B618F"/>
    <w:rsid w:val="002C1C1D"/>
    <w:rsid w:val="002C2B2C"/>
    <w:rsid w:val="002C45F2"/>
    <w:rsid w:val="002C49F2"/>
    <w:rsid w:val="002C7614"/>
    <w:rsid w:val="002D0FEA"/>
    <w:rsid w:val="002D16AD"/>
    <w:rsid w:val="002D24A7"/>
    <w:rsid w:val="002D262E"/>
    <w:rsid w:val="002D2E2B"/>
    <w:rsid w:val="002D33F1"/>
    <w:rsid w:val="002D66F7"/>
    <w:rsid w:val="002E01B8"/>
    <w:rsid w:val="002E0A44"/>
    <w:rsid w:val="002E13D5"/>
    <w:rsid w:val="002E16C2"/>
    <w:rsid w:val="002E23F3"/>
    <w:rsid w:val="002E35C4"/>
    <w:rsid w:val="002E4A59"/>
    <w:rsid w:val="002E50D1"/>
    <w:rsid w:val="002E61A7"/>
    <w:rsid w:val="002E6B12"/>
    <w:rsid w:val="002E712B"/>
    <w:rsid w:val="002E7ED1"/>
    <w:rsid w:val="002F0361"/>
    <w:rsid w:val="002F39FA"/>
    <w:rsid w:val="002F4863"/>
    <w:rsid w:val="002F56D7"/>
    <w:rsid w:val="002F6510"/>
    <w:rsid w:val="002F75E4"/>
    <w:rsid w:val="00300F6D"/>
    <w:rsid w:val="00301BFE"/>
    <w:rsid w:val="00302617"/>
    <w:rsid w:val="00305571"/>
    <w:rsid w:val="00305E5A"/>
    <w:rsid w:val="00310523"/>
    <w:rsid w:val="003113C3"/>
    <w:rsid w:val="00311697"/>
    <w:rsid w:val="00313EF2"/>
    <w:rsid w:val="00316252"/>
    <w:rsid w:val="00316CBB"/>
    <w:rsid w:val="003176D7"/>
    <w:rsid w:val="00320157"/>
    <w:rsid w:val="00323F42"/>
    <w:rsid w:val="00325838"/>
    <w:rsid w:val="003258DF"/>
    <w:rsid w:val="0032646B"/>
    <w:rsid w:val="003276EE"/>
    <w:rsid w:val="00327D9E"/>
    <w:rsid w:val="0033101B"/>
    <w:rsid w:val="0033176B"/>
    <w:rsid w:val="003318BC"/>
    <w:rsid w:val="00334C37"/>
    <w:rsid w:val="00337456"/>
    <w:rsid w:val="00337B9D"/>
    <w:rsid w:val="00341CF5"/>
    <w:rsid w:val="00342399"/>
    <w:rsid w:val="00343257"/>
    <w:rsid w:val="00343B56"/>
    <w:rsid w:val="00344A3F"/>
    <w:rsid w:val="00344C78"/>
    <w:rsid w:val="00345420"/>
    <w:rsid w:val="00345614"/>
    <w:rsid w:val="00346294"/>
    <w:rsid w:val="0034789C"/>
    <w:rsid w:val="00347BC8"/>
    <w:rsid w:val="00350F0A"/>
    <w:rsid w:val="0035107B"/>
    <w:rsid w:val="00351143"/>
    <w:rsid w:val="003530C0"/>
    <w:rsid w:val="00354A45"/>
    <w:rsid w:val="0035740E"/>
    <w:rsid w:val="00360348"/>
    <w:rsid w:val="00360D75"/>
    <w:rsid w:val="003614A4"/>
    <w:rsid w:val="00361950"/>
    <w:rsid w:val="00361F20"/>
    <w:rsid w:val="00362A80"/>
    <w:rsid w:val="003634D7"/>
    <w:rsid w:val="00363CF1"/>
    <w:rsid w:val="00364D48"/>
    <w:rsid w:val="003662A2"/>
    <w:rsid w:val="00367CB4"/>
    <w:rsid w:val="00371410"/>
    <w:rsid w:val="00371764"/>
    <w:rsid w:val="00373DF9"/>
    <w:rsid w:val="003751B5"/>
    <w:rsid w:val="00380BD2"/>
    <w:rsid w:val="00382D0B"/>
    <w:rsid w:val="00382E87"/>
    <w:rsid w:val="00383210"/>
    <w:rsid w:val="00384FD1"/>
    <w:rsid w:val="00384FF5"/>
    <w:rsid w:val="0038724C"/>
    <w:rsid w:val="00387511"/>
    <w:rsid w:val="00387FFA"/>
    <w:rsid w:val="003913CE"/>
    <w:rsid w:val="00392004"/>
    <w:rsid w:val="00393D88"/>
    <w:rsid w:val="00394BD3"/>
    <w:rsid w:val="00396D3B"/>
    <w:rsid w:val="003A2D77"/>
    <w:rsid w:val="003A4701"/>
    <w:rsid w:val="003A594E"/>
    <w:rsid w:val="003A5FC2"/>
    <w:rsid w:val="003A6E82"/>
    <w:rsid w:val="003A7A14"/>
    <w:rsid w:val="003B058A"/>
    <w:rsid w:val="003B5800"/>
    <w:rsid w:val="003B6DF5"/>
    <w:rsid w:val="003C0990"/>
    <w:rsid w:val="003C1C9C"/>
    <w:rsid w:val="003C2EC6"/>
    <w:rsid w:val="003C3178"/>
    <w:rsid w:val="003C32FB"/>
    <w:rsid w:val="003C57B0"/>
    <w:rsid w:val="003C6554"/>
    <w:rsid w:val="003C71F9"/>
    <w:rsid w:val="003C7316"/>
    <w:rsid w:val="003D2BEC"/>
    <w:rsid w:val="003D3931"/>
    <w:rsid w:val="003D3A43"/>
    <w:rsid w:val="003D4072"/>
    <w:rsid w:val="003D60D5"/>
    <w:rsid w:val="003D6F06"/>
    <w:rsid w:val="003E0556"/>
    <w:rsid w:val="003E05C4"/>
    <w:rsid w:val="003E0B55"/>
    <w:rsid w:val="003E14DB"/>
    <w:rsid w:val="003E3900"/>
    <w:rsid w:val="003E3B4C"/>
    <w:rsid w:val="003E4BA6"/>
    <w:rsid w:val="003E4E10"/>
    <w:rsid w:val="003E6260"/>
    <w:rsid w:val="003E6DBA"/>
    <w:rsid w:val="003E727E"/>
    <w:rsid w:val="003E7FC5"/>
    <w:rsid w:val="003F1A35"/>
    <w:rsid w:val="003F2D06"/>
    <w:rsid w:val="003F2EFF"/>
    <w:rsid w:val="003F389F"/>
    <w:rsid w:val="003F38C7"/>
    <w:rsid w:val="003F7F5D"/>
    <w:rsid w:val="00400795"/>
    <w:rsid w:val="00402316"/>
    <w:rsid w:val="00402896"/>
    <w:rsid w:val="00403C6E"/>
    <w:rsid w:val="00404742"/>
    <w:rsid w:val="00405D41"/>
    <w:rsid w:val="00406AD9"/>
    <w:rsid w:val="00406BF2"/>
    <w:rsid w:val="004076C4"/>
    <w:rsid w:val="00410931"/>
    <w:rsid w:val="00411DD9"/>
    <w:rsid w:val="00413F89"/>
    <w:rsid w:val="00414961"/>
    <w:rsid w:val="00415235"/>
    <w:rsid w:val="00416D36"/>
    <w:rsid w:val="00421A65"/>
    <w:rsid w:val="004223BB"/>
    <w:rsid w:val="00422DE6"/>
    <w:rsid w:val="00423603"/>
    <w:rsid w:val="00425930"/>
    <w:rsid w:val="0042631C"/>
    <w:rsid w:val="00426BB5"/>
    <w:rsid w:val="00427D7F"/>
    <w:rsid w:val="00431232"/>
    <w:rsid w:val="004313AA"/>
    <w:rsid w:val="00431BE6"/>
    <w:rsid w:val="0043224A"/>
    <w:rsid w:val="004326C7"/>
    <w:rsid w:val="00432845"/>
    <w:rsid w:val="00432D1A"/>
    <w:rsid w:val="00433301"/>
    <w:rsid w:val="004341E9"/>
    <w:rsid w:val="004344F9"/>
    <w:rsid w:val="0043489C"/>
    <w:rsid w:val="0043524F"/>
    <w:rsid w:val="00435680"/>
    <w:rsid w:val="004356DB"/>
    <w:rsid w:val="00435B46"/>
    <w:rsid w:val="00437C8E"/>
    <w:rsid w:val="0044071A"/>
    <w:rsid w:val="00440A86"/>
    <w:rsid w:val="0044198B"/>
    <w:rsid w:val="00442AAA"/>
    <w:rsid w:val="00442C79"/>
    <w:rsid w:val="004441BC"/>
    <w:rsid w:val="00446B00"/>
    <w:rsid w:val="00447772"/>
    <w:rsid w:val="00447985"/>
    <w:rsid w:val="00447D7E"/>
    <w:rsid w:val="00450600"/>
    <w:rsid w:val="004513BE"/>
    <w:rsid w:val="0045165E"/>
    <w:rsid w:val="00451759"/>
    <w:rsid w:val="00453290"/>
    <w:rsid w:val="004536C5"/>
    <w:rsid w:val="00454180"/>
    <w:rsid w:val="0045433B"/>
    <w:rsid w:val="00455BCB"/>
    <w:rsid w:val="00456D68"/>
    <w:rsid w:val="00457834"/>
    <w:rsid w:val="00457EE6"/>
    <w:rsid w:val="0046319A"/>
    <w:rsid w:val="00466989"/>
    <w:rsid w:val="00466D19"/>
    <w:rsid w:val="00466D60"/>
    <w:rsid w:val="00467386"/>
    <w:rsid w:val="00467989"/>
    <w:rsid w:val="00467DBB"/>
    <w:rsid w:val="00472207"/>
    <w:rsid w:val="004722CE"/>
    <w:rsid w:val="004730F5"/>
    <w:rsid w:val="00474C74"/>
    <w:rsid w:val="00476750"/>
    <w:rsid w:val="004768E0"/>
    <w:rsid w:val="0048004B"/>
    <w:rsid w:val="004804AA"/>
    <w:rsid w:val="0048155A"/>
    <w:rsid w:val="00482E1C"/>
    <w:rsid w:val="004851DD"/>
    <w:rsid w:val="00485863"/>
    <w:rsid w:val="00485926"/>
    <w:rsid w:val="00485CA3"/>
    <w:rsid w:val="00486EE1"/>
    <w:rsid w:val="00487448"/>
    <w:rsid w:val="00487513"/>
    <w:rsid w:val="00487711"/>
    <w:rsid w:val="00491582"/>
    <w:rsid w:val="004915A6"/>
    <w:rsid w:val="00492362"/>
    <w:rsid w:val="00492902"/>
    <w:rsid w:val="00494E17"/>
    <w:rsid w:val="004952FE"/>
    <w:rsid w:val="004959BC"/>
    <w:rsid w:val="0049636D"/>
    <w:rsid w:val="00496A8A"/>
    <w:rsid w:val="004A04D6"/>
    <w:rsid w:val="004A0D19"/>
    <w:rsid w:val="004A233B"/>
    <w:rsid w:val="004A2FB8"/>
    <w:rsid w:val="004A4963"/>
    <w:rsid w:val="004A62F2"/>
    <w:rsid w:val="004A69A5"/>
    <w:rsid w:val="004A7920"/>
    <w:rsid w:val="004B0966"/>
    <w:rsid w:val="004B0B08"/>
    <w:rsid w:val="004B2EAD"/>
    <w:rsid w:val="004B54B4"/>
    <w:rsid w:val="004B5A18"/>
    <w:rsid w:val="004B5BCF"/>
    <w:rsid w:val="004B75AE"/>
    <w:rsid w:val="004B7A32"/>
    <w:rsid w:val="004C20FA"/>
    <w:rsid w:val="004C32D5"/>
    <w:rsid w:val="004C47AF"/>
    <w:rsid w:val="004C6D25"/>
    <w:rsid w:val="004C6D8C"/>
    <w:rsid w:val="004C7768"/>
    <w:rsid w:val="004C7BFC"/>
    <w:rsid w:val="004D040B"/>
    <w:rsid w:val="004D0436"/>
    <w:rsid w:val="004D079A"/>
    <w:rsid w:val="004D365A"/>
    <w:rsid w:val="004D37D2"/>
    <w:rsid w:val="004D3A28"/>
    <w:rsid w:val="004D48F1"/>
    <w:rsid w:val="004D4F0F"/>
    <w:rsid w:val="004D4F13"/>
    <w:rsid w:val="004D66D7"/>
    <w:rsid w:val="004D74CF"/>
    <w:rsid w:val="004E019E"/>
    <w:rsid w:val="004E16BD"/>
    <w:rsid w:val="004E5C39"/>
    <w:rsid w:val="004E6B25"/>
    <w:rsid w:val="004F00A4"/>
    <w:rsid w:val="004F05A0"/>
    <w:rsid w:val="004F3173"/>
    <w:rsid w:val="004F323D"/>
    <w:rsid w:val="004F33E6"/>
    <w:rsid w:val="004F34C2"/>
    <w:rsid w:val="004F491F"/>
    <w:rsid w:val="004F4C3D"/>
    <w:rsid w:val="004F506E"/>
    <w:rsid w:val="00501DD0"/>
    <w:rsid w:val="005024EC"/>
    <w:rsid w:val="00504380"/>
    <w:rsid w:val="00504725"/>
    <w:rsid w:val="00504E71"/>
    <w:rsid w:val="0050767D"/>
    <w:rsid w:val="005108CB"/>
    <w:rsid w:val="00511B66"/>
    <w:rsid w:val="0051202C"/>
    <w:rsid w:val="00512E02"/>
    <w:rsid w:val="0051510A"/>
    <w:rsid w:val="00516558"/>
    <w:rsid w:val="0051784F"/>
    <w:rsid w:val="00517AB6"/>
    <w:rsid w:val="0052144A"/>
    <w:rsid w:val="00521523"/>
    <w:rsid w:val="00521A03"/>
    <w:rsid w:val="00524887"/>
    <w:rsid w:val="00525FE4"/>
    <w:rsid w:val="0052643B"/>
    <w:rsid w:val="00527F8C"/>
    <w:rsid w:val="00531680"/>
    <w:rsid w:val="005322BF"/>
    <w:rsid w:val="00532640"/>
    <w:rsid w:val="00532DF4"/>
    <w:rsid w:val="0053300B"/>
    <w:rsid w:val="00533451"/>
    <w:rsid w:val="00533B91"/>
    <w:rsid w:val="00534D5B"/>
    <w:rsid w:val="00534FD0"/>
    <w:rsid w:val="00537850"/>
    <w:rsid w:val="00540483"/>
    <w:rsid w:val="00541F6F"/>
    <w:rsid w:val="00542330"/>
    <w:rsid w:val="00545853"/>
    <w:rsid w:val="00550093"/>
    <w:rsid w:val="005506D3"/>
    <w:rsid w:val="00554C4F"/>
    <w:rsid w:val="00555C7B"/>
    <w:rsid w:val="00555E6F"/>
    <w:rsid w:val="00556768"/>
    <w:rsid w:val="00556E84"/>
    <w:rsid w:val="00557FAC"/>
    <w:rsid w:val="0056114E"/>
    <w:rsid w:val="005622C7"/>
    <w:rsid w:val="00562DCF"/>
    <w:rsid w:val="005632CE"/>
    <w:rsid w:val="00565F31"/>
    <w:rsid w:val="00566C80"/>
    <w:rsid w:val="0056755B"/>
    <w:rsid w:val="00571592"/>
    <w:rsid w:val="0057162C"/>
    <w:rsid w:val="0057562B"/>
    <w:rsid w:val="00575E0A"/>
    <w:rsid w:val="0057641D"/>
    <w:rsid w:val="00580256"/>
    <w:rsid w:val="00580F1B"/>
    <w:rsid w:val="00581478"/>
    <w:rsid w:val="005814B2"/>
    <w:rsid w:val="0058252A"/>
    <w:rsid w:val="00582826"/>
    <w:rsid w:val="00583A28"/>
    <w:rsid w:val="00584514"/>
    <w:rsid w:val="005854FA"/>
    <w:rsid w:val="00587C47"/>
    <w:rsid w:val="00587D2D"/>
    <w:rsid w:val="005902FB"/>
    <w:rsid w:val="00590E45"/>
    <w:rsid w:val="00591620"/>
    <w:rsid w:val="00592F41"/>
    <w:rsid w:val="005944D4"/>
    <w:rsid w:val="0059466B"/>
    <w:rsid w:val="00595C63"/>
    <w:rsid w:val="005968FD"/>
    <w:rsid w:val="00596EEC"/>
    <w:rsid w:val="00597BC8"/>
    <w:rsid w:val="005A0434"/>
    <w:rsid w:val="005A0E12"/>
    <w:rsid w:val="005A0F47"/>
    <w:rsid w:val="005A17E8"/>
    <w:rsid w:val="005A1E09"/>
    <w:rsid w:val="005A293D"/>
    <w:rsid w:val="005A43A6"/>
    <w:rsid w:val="005A4EED"/>
    <w:rsid w:val="005A534C"/>
    <w:rsid w:val="005A5D2F"/>
    <w:rsid w:val="005A60FB"/>
    <w:rsid w:val="005A65E2"/>
    <w:rsid w:val="005A7E74"/>
    <w:rsid w:val="005B068E"/>
    <w:rsid w:val="005B2171"/>
    <w:rsid w:val="005B4702"/>
    <w:rsid w:val="005B49EA"/>
    <w:rsid w:val="005B6998"/>
    <w:rsid w:val="005B6F2F"/>
    <w:rsid w:val="005B704B"/>
    <w:rsid w:val="005C0802"/>
    <w:rsid w:val="005C10EB"/>
    <w:rsid w:val="005C2AED"/>
    <w:rsid w:val="005C3825"/>
    <w:rsid w:val="005C43C3"/>
    <w:rsid w:val="005C51B9"/>
    <w:rsid w:val="005C589A"/>
    <w:rsid w:val="005D0AF2"/>
    <w:rsid w:val="005D0C6B"/>
    <w:rsid w:val="005D12C6"/>
    <w:rsid w:val="005D12F1"/>
    <w:rsid w:val="005D1A17"/>
    <w:rsid w:val="005D2CA3"/>
    <w:rsid w:val="005D371B"/>
    <w:rsid w:val="005D3AC9"/>
    <w:rsid w:val="005D3F4C"/>
    <w:rsid w:val="005D447B"/>
    <w:rsid w:val="005D6339"/>
    <w:rsid w:val="005D7153"/>
    <w:rsid w:val="005E0145"/>
    <w:rsid w:val="005E0CD0"/>
    <w:rsid w:val="005E2C06"/>
    <w:rsid w:val="005E41F3"/>
    <w:rsid w:val="005E4E9E"/>
    <w:rsid w:val="005E57C6"/>
    <w:rsid w:val="005E5E43"/>
    <w:rsid w:val="005E6720"/>
    <w:rsid w:val="005E6950"/>
    <w:rsid w:val="005E7B06"/>
    <w:rsid w:val="005F0BEC"/>
    <w:rsid w:val="005F27FA"/>
    <w:rsid w:val="005F3CBC"/>
    <w:rsid w:val="005F6B32"/>
    <w:rsid w:val="005F6E45"/>
    <w:rsid w:val="0060061C"/>
    <w:rsid w:val="0060155C"/>
    <w:rsid w:val="00601FCE"/>
    <w:rsid w:val="006040F0"/>
    <w:rsid w:val="00605119"/>
    <w:rsid w:val="00607267"/>
    <w:rsid w:val="00607E36"/>
    <w:rsid w:val="00610351"/>
    <w:rsid w:val="006108E6"/>
    <w:rsid w:val="0061135A"/>
    <w:rsid w:val="006131BC"/>
    <w:rsid w:val="00613AB2"/>
    <w:rsid w:val="006153FC"/>
    <w:rsid w:val="00616E15"/>
    <w:rsid w:val="006173F6"/>
    <w:rsid w:val="00621BD2"/>
    <w:rsid w:val="00621C7B"/>
    <w:rsid w:val="00622605"/>
    <w:rsid w:val="00622B38"/>
    <w:rsid w:val="006233D5"/>
    <w:rsid w:val="00623822"/>
    <w:rsid w:val="006248A3"/>
    <w:rsid w:val="00624B30"/>
    <w:rsid w:val="00625A7F"/>
    <w:rsid w:val="00625C77"/>
    <w:rsid w:val="00625D18"/>
    <w:rsid w:val="0062631F"/>
    <w:rsid w:val="00626436"/>
    <w:rsid w:val="006269EA"/>
    <w:rsid w:val="00626B5F"/>
    <w:rsid w:val="006279AA"/>
    <w:rsid w:val="00632D20"/>
    <w:rsid w:val="0063579E"/>
    <w:rsid w:val="006358DF"/>
    <w:rsid w:val="0063594B"/>
    <w:rsid w:val="006359E1"/>
    <w:rsid w:val="00637831"/>
    <w:rsid w:val="00637DFD"/>
    <w:rsid w:val="006406BE"/>
    <w:rsid w:val="006421EA"/>
    <w:rsid w:val="00642B4C"/>
    <w:rsid w:val="006436E3"/>
    <w:rsid w:val="00646BD6"/>
    <w:rsid w:val="00651A69"/>
    <w:rsid w:val="006520DF"/>
    <w:rsid w:val="00653571"/>
    <w:rsid w:val="00654D4D"/>
    <w:rsid w:val="00654EEE"/>
    <w:rsid w:val="0065533F"/>
    <w:rsid w:val="00655820"/>
    <w:rsid w:val="00655EEC"/>
    <w:rsid w:val="00656045"/>
    <w:rsid w:val="006561D6"/>
    <w:rsid w:val="0066131A"/>
    <w:rsid w:val="0066275C"/>
    <w:rsid w:val="00662B41"/>
    <w:rsid w:val="00666677"/>
    <w:rsid w:val="00666DD6"/>
    <w:rsid w:val="00667190"/>
    <w:rsid w:val="00667C10"/>
    <w:rsid w:val="00671335"/>
    <w:rsid w:val="00672C9F"/>
    <w:rsid w:val="00674352"/>
    <w:rsid w:val="006766E8"/>
    <w:rsid w:val="00676D86"/>
    <w:rsid w:val="00676F8B"/>
    <w:rsid w:val="00676FE3"/>
    <w:rsid w:val="006775EF"/>
    <w:rsid w:val="00680195"/>
    <w:rsid w:val="006802BB"/>
    <w:rsid w:val="006809C1"/>
    <w:rsid w:val="00680B49"/>
    <w:rsid w:val="00683E5E"/>
    <w:rsid w:val="0068556F"/>
    <w:rsid w:val="00686A88"/>
    <w:rsid w:val="00687BE9"/>
    <w:rsid w:val="0069002E"/>
    <w:rsid w:val="0069054F"/>
    <w:rsid w:val="006930BB"/>
    <w:rsid w:val="006930ED"/>
    <w:rsid w:val="00693A31"/>
    <w:rsid w:val="00694A91"/>
    <w:rsid w:val="00694EF9"/>
    <w:rsid w:val="0069588C"/>
    <w:rsid w:val="00696B29"/>
    <w:rsid w:val="006975F8"/>
    <w:rsid w:val="006A1180"/>
    <w:rsid w:val="006A2D5C"/>
    <w:rsid w:val="006A4994"/>
    <w:rsid w:val="006A6987"/>
    <w:rsid w:val="006A7FEF"/>
    <w:rsid w:val="006B2AD0"/>
    <w:rsid w:val="006B43F8"/>
    <w:rsid w:val="006B4870"/>
    <w:rsid w:val="006B54C0"/>
    <w:rsid w:val="006B72B8"/>
    <w:rsid w:val="006B76BE"/>
    <w:rsid w:val="006B7926"/>
    <w:rsid w:val="006B7946"/>
    <w:rsid w:val="006B7E6F"/>
    <w:rsid w:val="006C04AF"/>
    <w:rsid w:val="006C2E93"/>
    <w:rsid w:val="006C3EA4"/>
    <w:rsid w:val="006C42AE"/>
    <w:rsid w:val="006C4521"/>
    <w:rsid w:val="006C47D9"/>
    <w:rsid w:val="006C63DA"/>
    <w:rsid w:val="006C6A68"/>
    <w:rsid w:val="006C6DB9"/>
    <w:rsid w:val="006C7763"/>
    <w:rsid w:val="006C7A22"/>
    <w:rsid w:val="006D3865"/>
    <w:rsid w:val="006D3F97"/>
    <w:rsid w:val="006D4ED8"/>
    <w:rsid w:val="006D5A9A"/>
    <w:rsid w:val="006D6B46"/>
    <w:rsid w:val="006E03E9"/>
    <w:rsid w:val="006E205B"/>
    <w:rsid w:val="006E34D5"/>
    <w:rsid w:val="006E4ED6"/>
    <w:rsid w:val="006E597B"/>
    <w:rsid w:val="006E5F15"/>
    <w:rsid w:val="006E7E60"/>
    <w:rsid w:val="006F1E83"/>
    <w:rsid w:val="006F20C4"/>
    <w:rsid w:val="006F2887"/>
    <w:rsid w:val="006F3CD2"/>
    <w:rsid w:val="006F454B"/>
    <w:rsid w:val="006F7A04"/>
    <w:rsid w:val="006F7AD5"/>
    <w:rsid w:val="00700B00"/>
    <w:rsid w:val="00701D88"/>
    <w:rsid w:val="0070208D"/>
    <w:rsid w:val="00702383"/>
    <w:rsid w:val="007029F4"/>
    <w:rsid w:val="00703F40"/>
    <w:rsid w:val="00704A03"/>
    <w:rsid w:val="007061CB"/>
    <w:rsid w:val="00707309"/>
    <w:rsid w:val="00713806"/>
    <w:rsid w:val="0071496D"/>
    <w:rsid w:val="00714A4D"/>
    <w:rsid w:val="00714DE6"/>
    <w:rsid w:val="00715DF4"/>
    <w:rsid w:val="00715E23"/>
    <w:rsid w:val="00717967"/>
    <w:rsid w:val="0072068A"/>
    <w:rsid w:val="00723055"/>
    <w:rsid w:val="0072315A"/>
    <w:rsid w:val="00724734"/>
    <w:rsid w:val="00724CBD"/>
    <w:rsid w:val="007250C3"/>
    <w:rsid w:val="00726918"/>
    <w:rsid w:val="00726D4B"/>
    <w:rsid w:val="0072768A"/>
    <w:rsid w:val="00727BF1"/>
    <w:rsid w:val="00730612"/>
    <w:rsid w:val="00732859"/>
    <w:rsid w:val="00732D5D"/>
    <w:rsid w:val="0073360A"/>
    <w:rsid w:val="00733FEA"/>
    <w:rsid w:val="0073485A"/>
    <w:rsid w:val="0073491C"/>
    <w:rsid w:val="00735BE0"/>
    <w:rsid w:val="00740172"/>
    <w:rsid w:val="0074244F"/>
    <w:rsid w:val="007424D4"/>
    <w:rsid w:val="00742A25"/>
    <w:rsid w:val="00742A87"/>
    <w:rsid w:val="00745463"/>
    <w:rsid w:val="00746367"/>
    <w:rsid w:val="00746C8A"/>
    <w:rsid w:val="007516EF"/>
    <w:rsid w:val="00751F7A"/>
    <w:rsid w:val="0075206B"/>
    <w:rsid w:val="007521EA"/>
    <w:rsid w:val="00753E5D"/>
    <w:rsid w:val="00754170"/>
    <w:rsid w:val="0075433A"/>
    <w:rsid w:val="00754620"/>
    <w:rsid w:val="00754E5F"/>
    <w:rsid w:val="00755C8E"/>
    <w:rsid w:val="00756CF0"/>
    <w:rsid w:val="00760CAB"/>
    <w:rsid w:val="007620A8"/>
    <w:rsid w:val="0076387D"/>
    <w:rsid w:val="0076438E"/>
    <w:rsid w:val="00766170"/>
    <w:rsid w:val="00770C3F"/>
    <w:rsid w:val="00771DAF"/>
    <w:rsid w:val="00776EE3"/>
    <w:rsid w:val="007773C7"/>
    <w:rsid w:val="00780855"/>
    <w:rsid w:val="00780FD7"/>
    <w:rsid w:val="00781252"/>
    <w:rsid w:val="007813BB"/>
    <w:rsid w:val="00781762"/>
    <w:rsid w:val="0078209C"/>
    <w:rsid w:val="00782F8D"/>
    <w:rsid w:val="007830E2"/>
    <w:rsid w:val="00785954"/>
    <w:rsid w:val="00785A69"/>
    <w:rsid w:val="007865C2"/>
    <w:rsid w:val="0078776A"/>
    <w:rsid w:val="00787DBF"/>
    <w:rsid w:val="007904D5"/>
    <w:rsid w:val="007912BA"/>
    <w:rsid w:val="007917C9"/>
    <w:rsid w:val="007926CA"/>
    <w:rsid w:val="00793044"/>
    <w:rsid w:val="007935D0"/>
    <w:rsid w:val="00794756"/>
    <w:rsid w:val="007963B7"/>
    <w:rsid w:val="0079788C"/>
    <w:rsid w:val="00797894"/>
    <w:rsid w:val="007A196B"/>
    <w:rsid w:val="007A234F"/>
    <w:rsid w:val="007A27B0"/>
    <w:rsid w:val="007A360E"/>
    <w:rsid w:val="007A36F8"/>
    <w:rsid w:val="007A37DA"/>
    <w:rsid w:val="007A38E9"/>
    <w:rsid w:val="007A3DA5"/>
    <w:rsid w:val="007A54C1"/>
    <w:rsid w:val="007A66C8"/>
    <w:rsid w:val="007A7B3D"/>
    <w:rsid w:val="007B0456"/>
    <w:rsid w:val="007B09B3"/>
    <w:rsid w:val="007B1756"/>
    <w:rsid w:val="007B3867"/>
    <w:rsid w:val="007B3DFE"/>
    <w:rsid w:val="007B6351"/>
    <w:rsid w:val="007B6FA6"/>
    <w:rsid w:val="007B770D"/>
    <w:rsid w:val="007C08DF"/>
    <w:rsid w:val="007C1C0D"/>
    <w:rsid w:val="007C26F7"/>
    <w:rsid w:val="007C39B4"/>
    <w:rsid w:val="007C3A37"/>
    <w:rsid w:val="007C3F60"/>
    <w:rsid w:val="007C546C"/>
    <w:rsid w:val="007D068B"/>
    <w:rsid w:val="007D09A3"/>
    <w:rsid w:val="007D0A4B"/>
    <w:rsid w:val="007D14FD"/>
    <w:rsid w:val="007D1FD0"/>
    <w:rsid w:val="007D252D"/>
    <w:rsid w:val="007D2C30"/>
    <w:rsid w:val="007D4FF2"/>
    <w:rsid w:val="007D5865"/>
    <w:rsid w:val="007D6670"/>
    <w:rsid w:val="007E162F"/>
    <w:rsid w:val="007E1989"/>
    <w:rsid w:val="007E3865"/>
    <w:rsid w:val="007E5840"/>
    <w:rsid w:val="007E5CFE"/>
    <w:rsid w:val="007E6CA0"/>
    <w:rsid w:val="007E7C44"/>
    <w:rsid w:val="007F046B"/>
    <w:rsid w:val="007F33D5"/>
    <w:rsid w:val="007F47C7"/>
    <w:rsid w:val="007F606A"/>
    <w:rsid w:val="007F6AC3"/>
    <w:rsid w:val="007F6D45"/>
    <w:rsid w:val="007F6F1D"/>
    <w:rsid w:val="007F706B"/>
    <w:rsid w:val="008001C2"/>
    <w:rsid w:val="008002F4"/>
    <w:rsid w:val="0080091F"/>
    <w:rsid w:val="008016E3"/>
    <w:rsid w:val="00802AF3"/>
    <w:rsid w:val="00802DF6"/>
    <w:rsid w:val="00803D13"/>
    <w:rsid w:val="00804108"/>
    <w:rsid w:val="00804DDF"/>
    <w:rsid w:val="00804E1B"/>
    <w:rsid w:val="00804F66"/>
    <w:rsid w:val="00805A0A"/>
    <w:rsid w:val="00805ACF"/>
    <w:rsid w:val="00806A04"/>
    <w:rsid w:val="00807E51"/>
    <w:rsid w:val="00814642"/>
    <w:rsid w:val="0081575A"/>
    <w:rsid w:val="00815C10"/>
    <w:rsid w:val="00815CCA"/>
    <w:rsid w:val="008167F8"/>
    <w:rsid w:val="00816FEE"/>
    <w:rsid w:val="008172EE"/>
    <w:rsid w:val="00817BDD"/>
    <w:rsid w:val="00820B43"/>
    <w:rsid w:val="00820B57"/>
    <w:rsid w:val="00820BB6"/>
    <w:rsid w:val="0082247B"/>
    <w:rsid w:val="00824F51"/>
    <w:rsid w:val="0082587B"/>
    <w:rsid w:val="00827DD7"/>
    <w:rsid w:val="00827FA6"/>
    <w:rsid w:val="00830345"/>
    <w:rsid w:val="0083072B"/>
    <w:rsid w:val="008309EB"/>
    <w:rsid w:val="00830A0D"/>
    <w:rsid w:val="00830AEF"/>
    <w:rsid w:val="00831219"/>
    <w:rsid w:val="00831257"/>
    <w:rsid w:val="00833666"/>
    <w:rsid w:val="00833B8F"/>
    <w:rsid w:val="00833C30"/>
    <w:rsid w:val="0083499D"/>
    <w:rsid w:val="00834D61"/>
    <w:rsid w:val="0083580B"/>
    <w:rsid w:val="0083668A"/>
    <w:rsid w:val="00837A03"/>
    <w:rsid w:val="00837D25"/>
    <w:rsid w:val="0084253E"/>
    <w:rsid w:val="0084270D"/>
    <w:rsid w:val="00842A95"/>
    <w:rsid w:val="00843739"/>
    <w:rsid w:val="00844387"/>
    <w:rsid w:val="00844F94"/>
    <w:rsid w:val="008465D4"/>
    <w:rsid w:val="0084770E"/>
    <w:rsid w:val="00847770"/>
    <w:rsid w:val="00847809"/>
    <w:rsid w:val="00850C55"/>
    <w:rsid w:val="00851BF1"/>
    <w:rsid w:val="008521C9"/>
    <w:rsid w:val="008528E6"/>
    <w:rsid w:val="00854E99"/>
    <w:rsid w:val="008552F1"/>
    <w:rsid w:val="00857381"/>
    <w:rsid w:val="00861B9E"/>
    <w:rsid w:val="008634E4"/>
    <w:rsid w:val="00864BB2"/>
    <w:rsid w:val="00865580"/>
    <w:rsid w:val="00865C76"/>
    <w:rsid w:val="008663BB"/>
    <w:rsid w:val="00867B89"/>
    <w:rsid w:val="00867E30"/>
    <w:rsid w:val="008713FB"/>
    <w:rsid w:val="008725EC"/>
    <w:rsid w:val="008729CE"/>
    <w:rsid w:val="00875FDA"/>
    <w:rsid w:val="0087651C"/>
    <w:rsid w:val="008809E8"/>
    <w:rsid w:val="00880C3A"/>
    <w:rsid w:val="00880CCE"/>
    <w:rsid w:val="00880F0C"/>
    <w:rsid w:val="00881151"/>
    <w:rsid w:val="008811CA"/>
    <w:rsid w:val="008813FC"/>
    <w:rsid w:val="00881D8B"/>
    <w:rsid w:val="00882088"/>
    <w:rsid w:val="0088250C"/>
    <w:rsid w:val="008834F8"/>
    <w:rsid w:val="00883573"/>
    <w:rsid w:val="00885469"/>
    <w:rsid w:val="008855E4"/>
    <w:rsid w:val="00887F8F"/>
    <w:rsid w:val="008901B4"/>
    <w:rsid w:val="00890630"/>
    <w:rsid w:val="00891A5A"/>
    <w:rsid w:val="008940DA"/>
    <w:rsid w:val="00895D30"/>
    <w:rsid w:val="00896AA4"/>
    <w:rsid w:val="00896F98"/>
    <w:rsid w:val="008978D3"/>
    <w:rsid w:val="008A032B"/>
    <w:rsid w:val="008A1F85"/>
    <w:rsid w:val="008A26AE"/>
    <w:rsid w:val="008A2B76"/>
    <w:rsid w:val="008A32CC"/>
    <w:rsid w:val="008A3CB2"/>
    <w:rsid w:val="008A44B8"/>
    <w:rsid w:val="008A4B6E"/>
    <w:rsid w:val="008A4C53"/>
    <w:rsid w:val="008A4E0E"/>
    <w:rsid w:val="008A4EA6"/>
    <w:rsid w:val="008A5C39"/>
    <w:rsid w:val="008A6F63"/>
    <w:rsid w:val="008B058B"/>
    <w:rsid w:val="008B1565"/>
    <w:rsid w:val="008B25FA"/>
    <w:rsid w:val="008B3904"/>
    <w:rsid w:val="008B4BCF"/>
    <w:rsid w:val="008B5AEF"/>
    <w:rsid w:val="008B763D"/>
    <w:rsid w:val="008C0927"/>
    <w:rsid w:val="008C0E09"/>
    <w:rsid w:val="008C68FD"/>
    <w:rsid w:val="008D0430"/>
    <w:rsid w:val="008D1381"/>
    <w:rsid w:val="008D19F3"/>
    <w:rsid w:val="008D1C9A"/>
    <w:rsid w:val="008D201D"/>
    <w:rsid w:val="008D30D3"/>
    <w:rsid w:val="008D41B2"/>
    <w:rsid w:val="008D4211"/>
    <w:rsid w:val="008D425B"/>
    <w:rsid w:val="008D4B65"/>
    <w:rsid w:val="008D65BB"/>
    <w:rsid w:val="008D777F"/>
    <w:rsid w:val="008E1E52"/>
    <w:rsid w:val="008E210F"/>
    <w:rsid w:val="008E28A9"/>
    <w:rsid w:val="008E3FDB"/>
    <w:rsid w:val="008E4E4A"/>
    <w:rsid w:val="008E7079"/>
    <w:rsid w:val="008F0146"/>
    <w:rsid w:val="008F0630"/>
    <w:rsid w:val="008F10A8"/>
    <w:rsid w:val="008F1678"/>
    <w:rsid w:val="008F18A3"/>
    <w:rsid w:val="008F1967"/>
    <w:rsid w:val="008F2668"/>
    <w:rsid w:val="008F32B5"/>
    <w:rsid w:val="008F394E"/>
    <w:rsid w:val="008F61E0"/>
    <w:rsid w:val="008F65BA"/>
    <w:rsid w:val="008F7988"/>
    <w:rsid w:val="008F7F60"/>
    <w:rsid w:val="00900291"/>
    <w:rsid w:val="00900A30"/>
    <w:rsid w:val="0090127E"/>
    <w:rsid w:val="00902011"/>
    <w:rsid w:val="00903037"/>
    <w:rsid w:val="00903BDC"/>
    <w:rsid w:val="0090449B"/>
    <w:rsid w:val="00904C9E"/>
    <w:rsid w:val="009055D6"/>
    <w:rsid w:val="00905DFB"/>
    <w:rsid w:val="00907392"/>
    <w:rsid w:val="009112E7"/>
    <w:rsid w:val="0091193C"/>
    <w:rsid w:val="009122D2"/>
    <w:rsid w:val="00912CC8"/>
    <w:rsid w:val="009156C0"/>
    <w:rsid w:val="00915C4D"/>
    <w:rsid w:val="00917359"/>
    <w:rsid w:val="0092050E"/>
    <w:rsid w:val="00920B18"/>
    <w:rsid w:val="00920B4B"/>
    <w:rsid w:val="00920D24"/>
    <w:rsid w:val="0092216E"/>
    <w:rsid w:val="0092223C"/>
    <w:rsid w:val="00922345"/>
    <w:rsid w:val="009251DE"/>
    <w:rsid w:val="00925F5F"/>
    <w:rsid w:val="009264ED"/>
    <w:rsid w:val="009269D4"/>
    <w:rsid w:val="00927E47"/>
    <w:rsid w:val="00931814"/>
    <w:rsid w:val="00932445"/>
    <w:rsid w:val="00932A42"/>
    <w:rsid w:val="00935D12"/>
    <w:rsid w:val="00936FD2"/>
    <w:rsid w:val="00937B70"/>
    <w:rsid w:val="00940304"/>
    <w:rsid w:val="00940DD8"/>
    <w:rsid w:val="00941623"/>
    <w:rsid w:val="00941B36"/>
    <w:rsid w:val="00944D03"/>
    <w:rsid w:val="009450C8"/>
    <w:rsid w:val="009462D2"/>
    <w:rsid w:val="009466FF"/>
    <w:rsid w:val="00947316"/>
    <w:rsid w:val="00947C0D"/>
    <w:rsid w:val="00950026"/>
    <w:rsid w:val="00950096"/>
    <w:rsid w:val="009502C9"/>
    <w:rsid w:val="00950AF3"/>
    <w:rsid w:val="00951A27"/>
    <w:rsid w:val="0095280B"/>
    <w:rsid w:val="00952DFE"/>
    <w:rsid w:val="00953B5B"/>
    <w:rsid w:val="00954966"/>
    <w:rsid w:val="00954BD3"/>
    <w:rsid w:val="00960FEA"/>
    <w:rsid w:val="0096180C"/>
    <w:rsid w:val="00961FA0"/>
    <w:rsid w:val="0096288C"/>
    <w:rsid w:val="00962959"/>
    <w:rsid w:val="009632CE"/>
    <w:rsid w:val="00963B5E"/>
    <w:rsid w:val="0096437B"/>
    <w:rsid w:val="00964466"/>
    <w:rsid w:val="00965E3A"/>
    <w:rsid w:val="00966E64"/>
    <w:rsid w:val="009675EF"/>
    <w:rsid w:val="009713D4"/>
    <w:rsid w:val="00971468"/>
    <w:rsid w:val="00971D55"/>
    <w:rsid w:val="0097272C"/>
    <w:rsid w:val="00972ABF"/>
    <w:rsid w:val="00972B28"/>
    <w:rsid w:val="0097596D"/>
    <w:rsid w:val="0097611F"/>
    <w:rsid w:val="00976991"/>
    <w:rsid w:val="009800E1"/>
    <w:rsid w:val="009812E9"/>
    <w:rsid w:val="00982985"/>
    <w:rsid w:val="00983410"/>
    <w:rsid w:val="00983A56"/>
    <w:rsid w:val="00984582"/>
    <w:rsid w:val="009851ED"/>
    <w:rsid w:val="0098568F"/>
    <w:rsid w:val="00991A76"/>
    <w:rsid w:val="0099301A"/>
    <w:rsid w:val="00993D80"/>
    <w:rsid w:val="00994610"/>
    <w:rsid w:val="0099669C"/>
    <w:rsid w:val="00996A85"/>
    <w:rsid w:val="00997465"/>
    <w:rsid w:val="009978A9"/>
    <w:rsid w:val="009978BF"/>
    <w:rsid w:val="00997990"/>
    <w:rsid w:val="009A262F"/>
    <w:rsid w:val="009A2EB5"/>
    <w:rsid w:val="009A3555"/>
    <w:rsid w:val="009A507A"/>
    <w:rsid w:val="009A732D"/>
    <w:rsid w:val="009A75EF"/>
    <w:rsid w:val="009A79A1"/>
    <w:rsid w:val="009B1352"/>
    <w:rsid w:val="009B1935"/>
    <w:rsid w:val="009B2403"/>
    <w:rsid w:val="009B329C"/>
    <w:rsid w:val="009B3BB0"/>
    <w:rsid w:val="009B42EF"/>
    <w:rsid w:val="009B45C5"/>
    <w:rsid w:val="009B465E"/>
    <w:rsid w:val="009B7AEB"/>
    <w:rsid w:val="009C25F2"/>
    <w:rsid w:val="009C2DE3"/>
    <w:rsid w:val="009C488A"/>
    <w:rsid w:val="009C4DAE"/>
    <w:rsid w:val="009C531F"/>
    <w:rsid w:val="009D13EE"/>
    <w:rsid w:val="009D1C00"/>
    <w:rsid w:val="009D1C90"/>
    <w:rsid w:val="009D1CC1"/>
    <w:rsid w:val="009D2823"/>
    <w:rsid w:val="009D284E"/>
    <w:rsid w:val="009D4666"/>
    <w:rsid w:val="009D4CEF"/>
    <w:rsid w:val="009D4E52"/>
    <w:rsid w:val="009D4EC1"/>
    <w:rsid w:val="009D52DE"/>
    <w:rsid w:val="009D67A7"/>
    <w:rsid w:val="009D78E4"/>
    <w:rsid w:val="009E1E34"/>
    <w:rsid w:val="009E23B1"/>
    <w:rsid w:val="009E26A9"/>
    <w:rsid w:val="009E3E38"/>
    <w:rsid w:val="009E6542"/>
    <w:rsid w:val="009E6641"/>
    <w:rsid w:val="009E6808"/>
    <w:rsid w:val="009E6D24"/>
    <w:rsid w:val="009F02AE"/>
    <w:rsid w:val="009F1697"/>
    <w:rsid w:val="009F20F6"/>
    <w:rsid w:val="009F226E"/>
    <w:rsid w:val="009F2DA7"/>
    <w:rsid w:val="009F2FB8"/>
    <w:rsid w:val="009F3BC4"/>
    <w:rsid w:val="009F46EF"/>
    <w:rsid w:val="009F4BFD"/>
    <w:rsid w:val="009F4EB5"/>
    <w:rsid w:val="009F5429"/>
    <w:rsid w:val="009F5568"/>
    <w:rsid w:val="00A005C8"/>
    <w:rsid w:val="00A02585"/>
    <w:rsid w:val="00A02FE1"/>
    <w:rsid w:val="00A04D84"/>
    <w:rsid w:val="00A0788E"/>
    <w:rsid w:val="00A1004D"/>
    <w:rsid w:val="00A11B14"/>
    <w:rsid w:val="00A13060"/>
    <w:rsid w:val="00A13080"/>
    <w:rsid w:val="00A132EA"/>
    <w:rsid w:val="00A1410B"/>
    <w:rsid w:val="00A14E77"/>
    <w:rsid w:val="00A15396"/>
    <w:rsid w:val="00A21786"/>
    <w:rsid w:val="00A22EA0"/>
    <w:rsid w:val="00A24A34"/>
    <w:rsid w:val="00A27AB8"/>
    <w:rsid w:val="00A3243E"/>
    <w:rsid w:val="00A34AD5"/>
    <w:rsid w:val="00A36174"/>
    <w:rsid w:val="00A36777"/>
    <w:rsid w:val="00A36DC0"/>
    <w:rsid w:val="00A414CD"/>
    <w:rsid w:val="00A41E49"/>
    <w:rsid w:val="00A42429"/>
    <w:rsid w:val="00A4275D"/>
    <w:rsid w:val="00A4429F"/>
    <w:rsid w:val="00A4758C"/>
    <w:rsid w:val="00A5020F"/>
    <w:rsid w:val="00A5095D"/>
    <w:rsid w:val="00A513D8"/>
    <w:rsid w:val="00A51586"/>
    <w:rsid w:val="00A51652"/>
    <w:rsid w:val="00A54309"/>
    <w:rsid w:val="00A543EB"/>
    <w:rsid w:val="00A5454D"/>
    <w:rsid w:val="00A557BA"/>
    <w:rsid w:val="00A56280"/>
    <w:rsid w:val="00A564BC"/>
    <w:rsid w:val="00A60071"/>
    <w:rsid w:val="00A61C97"/>
    <w:rsid w:val="00A63E4E"/>
    <w:rsid w:val="00A65E52"/>
    <w:rsid w:val="00A66065"/>
    <w:rsid w:val="00A6691D"/>
    <w:rsid w:val="00A669DE"/>
    <w:rsid w:val="00A66AA4"/>
    <w:rsid w:val="00A66C44"/>
    <w:rsid w:val="00A670AD"/>
    <w:rsid w:val="00A673FF"/>
    <w:rsid w:val="00A67F7C"/>
    <w:rsid w:val="00A71030"/>
    <w:rsid w:val="00A71584"/>
    <w:rsid w:val="00A71FBD"/>
    <w:rsid w:val="00A72FC8"/>
    <w:rsid w:val="00A734D4"/>
    <w:rsid w:val="00A7564F"/>
    <w:rsid w:val="00A75964"/>
    <w:rsid w:val="00A761F9"/>
    <w:rsid w:val="00A77524"/>
    <w:rsid w:val="00A77EE4"/>
    <w:rsid w:val="00A813B9"/>
    <w:rsid w:val="00A83FFC"/>
    <w:rsid w:val="00A863DA"/>
    <w:rsid w:val="00A902EE"/>
    <w:rsid w:val="00A94675"/>
    <w:rsid w:val="00A955CF"/>
    <w:rsid w:val="00A963DD"/>
    <w:rsid w:val="00A972D4"/>
    <w:rsid w:val="00A974B9"/>
    <w:rsid w:val="00A97BF0"/>
    <w:rsid w:val="00AA0ABB"/>
    <w:rsid w:val="00AA1581"/>
    <w:rsid w:val="00AA15BC"/>
    <w:rsid w:val="00AA16A4"/>
    <w:rsid w:val="00AA2061"/>
    <w:rsid w:val="00AA467B"/>
    <w:rsid w:val="00AA4D2B"/>
    <w:rsid w:val="00AA69D5"/>
    <w:rsid w:val="00AA6F01"/>
    <w:rsid w:val="00AA733F"/>
    <w:rsid w:val="00AA7D38"/>
    <w:rsid w:val="00AB020A"/>
    <w:rsid w:val="00AB257C"/>
    <w:rsid w:val="00AB28E3"/>
    <w:rsid w:val="00AB54E0"/>
    <w:rsid w:val="00AB7231"/>
    <w:rsid w:val="00AC148E"/>
    <w:rsid w:val="00AC2DF5"/>
    <w:rsid w:val="00AC330F"/>
    <w:rsid w:val="00AC50B2"/>
    <w:rsid w:val="00AC51A6"/>
    <w:rsid w:val="00AC5F5A"/>
    <w:rsid w:val="00AC7A26"/>
    <w:rsid w:val="00AD0A47"/>
    <w:rsid w:val="00AD0E3F"/>
    <w:rsid w:val="00AD19B0"/>
    <w:rsid w:val="00AD1BD7"/>
    <w:rsid w:val="00AD24A3"/>
    <w:rsid w:val="00AD42BB"/>
    <w:rsid w:val="00AD494A"/>
    <w:rsid w:val="00AD4C88"/>
    <w:rsid w:val="00AE219C"/>
    <w:rsid w:val="00AE2205"/>
    <w:rsid w:val="00AE2E49"/>
    <w:rsid w:val="00AE3903"/>
    <w:rsid w:val="00AE400A"/>
    <w:rsid w:val="00AF24AD"/>
    <w:rsid w:val="00AF3220"/>
    <w:rsid w:val="00AF4D45"/>
    <w:rsid w:val="00AF4EA7"/>
    <w:rsid w:val="00AF73F4"/>
    <w:rsid w:val="00B00035"/>
    <w:rsid w:val="00B00F0D"/>
    <w:rsid w:val="00B0242A"/>
    <w:rsid w:val="00B02540"/>
    <w:rsid w:val="00B02F46"/>
    <w:rsid w:val="00B056ED"/>
    <w:rsid w:val="00B07BF3"/>
    <w:rsid w:val="00B1019F"/>
    <w:rsid w:val="00B11688"/>
    <w:rsid w:val="00B120C3"/>
    <w:rsid w:val="00B129DE"/>
    <w:rsid w:val="00B12C82"/>
    <w:rsid w:val="00B12EB9"/>
    <w:rsid w:val="00B1374F"/>
    <w:rsid w:val="00B137B5"/>
    <w:rsid w:val="00B1560E"/>
    <w:rsid w:val="00B159C9"/>
    <w:rsid w:val="00B16225"/>
    <w:rsid w:val="00B16CF9"/>
    <w:rsid w:val="00B17261"/>
    <w:rsid w:val="00B20DAC"/>
    <w:rsid w:val="00B20E0A"/>
    <w:rsid w:val="00B2100B"/>
    <w:rsid w:val="00B2275E"/>
    <w:rsid w:val="00B228AE"/>
    <w:rsid w:val="00B23C6D"/>
    <w:rsid w:val="00B25027"/>
    <w:rsid w:val="00B258BE"/>
    <w:rsid w:val="00B304FE"/>
    <w:rsid w:val="00B311F5"/>
    <w:rsid w:val="00B31F74"/>
    <w:rsid w:val="00B32C38"/>
    <w:rsid w:val="00B34417"/>
    <w:rsid w:val="00B345ED"/>
    <w:rsid w:val="00B352F8"/>
    <w:rsid w:val="00B4029B"/>
    <w:rsid w:val="00B407CF"/>
    <w:rsid w:val="00B40DF5"/>
    <w:rsid w:val="00B41834"/>
    <w:rsid w:val="00B43178"/>
    <w:rsid w:val="00B43CF2"/>
    <w:rsid w:val="00B44F01"/>
    <w:rsid w:val="00B45477"/>
    <w:rsid w:val="00B46AB5"/>
    <w:rsid w:val="00B54929"/>
    <w:rsid w:val="00B54DF6"/>
    <w:rsid w:val="00B55FBE"/>
    <w:rsid w:val="00B577CB"/>
    <w:rsid w:val="00B57904"/>
    <w:rsid w:val="00B60F04"/>
    <w:rsid w:val="00B61FC7"/>
    <w:rsid w:val="00B626FE"/>
    <w:rsid w:val="00B63839"/>
    <w:rsid w:val="00B6518C"/>
    <w:rsid w:val="00B65EB1"/>
    <w:rsid w:val="00B66E07"/>
    <w:rsid w:val="00B67BC3"/>
    <w:rsid w:val="00B717D6"/>
    <w:rsid w:val="00B71B49"/>
    <w:rsid w:val="00B734DD"/>
    <w:rsid w:val="00B7353C"/>
    <w:rsid w:val="00B73D8D"/>
    <w:rsid w:val="00B75A09"/>
    <w:rsid w:val="00B75CCA"/>
    <w:rsid w:val="00B769B5"/>
    <w:rsid w:val="00B776AD"/>
    <w:rsid w:val="00B81185"/>
    <w:rsid w:val="00B81C87"/>
    <w:rsid w:val="00B829CC"/>
    <w:rsid w:val="00B8413D"/>
    <w:rsid w:val="00B841F8"/>
    <w:rsid w:val="00B842E5"/>
    <w:rsid w:val="00B84FBC"/>
    <w:rsid w:val="00B87275"/>
    <w:rsid w:val="00B87F41"/>
    <w:rsid w:val="00B902DE"/>
    <w:rsid w:val="00B91B04"/>
    <w:rsid w:val="00B92D88"/>
    <w:rsid w:val="00B92DDF"/>
    <w:rsid w:val="00B939B9"/>
    <w:rsid w:val="00B94718"/>
    <w:rsid w:val="00B94C47"/>
    <w:rsid w:val="00B977BC"/>
    <w:rsid w:val="00BA028E"/>
    <w:rsid w:val="00BA06FD"/>
    <w:rsid w:val="00BA2269"/>
    <w:rsid w:val="00BA3768"/>
    <w:rsid w:val="00BA3FFD"/>
    <w:rsid w:val="00BA5BE0"/>
    <w:rsid w:val="00BA606C"/>
    <w:rsid w:val="00BB0294"/>
    <w:rsid w:val="00BB1976"/>
    <w:rsid w:val="00BB38E8"/>
    <w:rsid w:val="00BB52E1"/>
    <w:rsid w:val="00BB67F0"/>
    <w:rsid w:val="00BB7BA5"/>
    <w:rsid w:val="00BC04B3"/>
    <w:rsid w:val="00BC252F"/>
    <w:rsid w:val="00BC2635"/>
    <w:rsid w:val="00BC475F"/>
    <w:rsid w:val="00BC6D55"/>
    <w:rsid w:val="00BC722D"/>
    <w:rsid w:val="00BD163D"/>
    <w:rsid w:val="00BD1A45"/>
    <w:rsid w:val="00BD25C4"/>
    <w:rsid w:val="00BD31A6"/>
    <w:rsid w:val="00BD44D3"/>
    <w:rsid w:val="00BD46D6"/>
    <w:rsid w:val="00BD641C"/>
    <w:rsid w:val="00BE0300"/>
    <w:rsid w:val="00BE0C95"/>
    <w:rsid w:val="00BE1CD5"/>
    <w:rsid w:val="00BE2C5E"/>
    <w:rsid w:val="00BE31DD"/>
    <w:rsid w:val="00BE6ACF"/>
    <w:rsid w:val="00BE7027"/>
    <w:rsid w:val="00BE7AA4"/>
    <w:rsid w:val="00BE7BBC"/>
    <w:rsid w:val="00BF041C"/>
    <w:rsid w:val="00BF0F09"/>
    <w:rsid w:val="00BF12D1"/>
    <w:rsid w:val="00BF1D25"/>
    <w:rsid w:val="00BF228B"/>
    <w:rsid w:val="00BF31CC"/>
    <w:rsid w:val="00BF56CA"/>
    <w:rsid w:val="00BF56D7"/>
    <w:rsid w:val="00BF7634"/>
    <w:rsid w:val="00BF78F9"/>
    <w:rsid w:val="00C002B1"/>
    <w:rsid w:val="00C00C8B"/>
    <w:rsid w:val="00C024A6"/>
    <w:rsid w:val="00C03D4E"/>
    <w:rsid w:val="00C04AEA"/>
    <w:rsid w:val="00C057FB"/>
    <w:rsid w:val="00C063CC"/>
    <w:rsid w:val="00C06439"/>
    <w:rsid w:val="00C06BF2"/>
    <w:rsid w:val="00C06D5F"/>
    <w:rsid w:val="00C07DDB"/>
    <w:rsid w:val="00C1121C"/>
    <w:rsid w:val="00C117A9"/>
    <w:rsid w:val="00C124B4"/>
    <w:rsid w:val="00C12D0F"/>
    <w:rsid w:val="00C135C5"/>
    <w:rsid w:val="00C13875"/>
    <w:rsid w:val="00C1480E"/>
    <w:rsid w:val="00C15FBE"/>
    <w:rsid w:val="00C1667C"/>
    <w:rsid w:val="00C168A4"/>
    <w:rsid w:val="00C20297"/>
    <w:rsid w:val="00C20A71"/>
    <w:rsid w:val="00C2198B"/>
    <w:rsid w:val="00C21A7B"/>
    <w:rsid w:val="00C21B81"/>
    <w:rsid w:val="00C220AB"/>
    <w:rsid w:val="00C235C5"/>
    <w:rsid w:val="00C2381A"/>
    <w:rsid w:val="00C23AE7"/>
    <w:rsid w:val="00C2490C"/>
    <w:rsid w:val="00C24AC6"/>
    <w:rsid w:val="00C263E1"/>
    <w:rsid w:val="00C306F3"/>
    <w:rsid w:val="00C3171F"/>
    <w:rsid w:val="00C342C6"/>
    <w:rsid w:val="00C35D5B"/>
    <w:rsid w:val="00C36811"/>
    <w:rsid w:val="00C4342A"/>
    <w:rsid w:val="00C43915"/>
    <w:rsid w:val="00C43CEE"/>
    <w:rsid w:val="00C4410D"/>
    <w:rsid w:val="00C46569"/>
    <w:rsid w:val="00C4661F"/>
    <w:rsid w:val="00C47E47"/>
    <w:rsid w:val="00C507DF"/>
    <w:rsid w:val="00C519AA"/>
    <w:rsid w:val="00C51B59"/>
    <w:rsid w:val="00C523D9"/>
    <w:rsid w:val="00C5306B"/>
    <w:rsid w:val="00C53166"/>
    <w:rsid w:val="00C53B31"/>
    <w:rsid w:val="00C5594B"/>
    <w:rsid w:val="00C55FA0"/>
    <w:rsid w:val="00C56F90"/>
    <w:rsid w:val="00C6054F"/>
    <w:rsid w:val="00C60C30"/>
    <w:rsid w:val="00C64146"/>
    <w:rsid w:val="00C665C4"/>
    <w:rsid w:val="00C66604"/>
    <w:rsid w:val="00C674BF"/>
    <w:rsid w:val="00C67F30"/>
    <w:rsid w:val="00C7352D"/>
    <w:rsid w:val="00C74C88"/>
    <w:rsid w:val="00C75F5C"/>
    <w:rsid w:val="00C7647E"/>
    <w:rsid w:val="00C76619"/>
    <w:rsid w:val="00C76AC7"/>
    <w:rsid w:val="00C76C7D"/>
    <w:rsid w:val="00C802AD"/>
    <w:rsid w:val="00C807B2"/>
    <w:rsid w:val="00C81774"/>
    <w:rsid w:val="00C81A00"/>
    <w:rsid w:val="00C82B4A"/>
    <w:rsid w:val="00C8313A"/>
    <w:rsid w:val="00C83613"/>
    <w:rsid w:val="00C845E4"/>
    <w:rsid w:val="00C85BA6"/>
    <w:rsid w:val="00C85F21"/>
    <w:rsid w:val="00C9009A"/>
    <w:rsid w:val="00C9112E"/>
    <w:rsid w:val="00C91405"/>
    <w:rsid w:val="00C947B8"/>
    <w:rsid w:val="00C95937"/>
    <w:rsid w:val="00C96CDF"/>
    <w:rsid w:val="00C97119"/>
    <w:rsid w:val="00CA05C7"/>
    <w:rsid w:val="00CA2120"/>
    <w:rsid w:val="00CA2BD0"/>
    <w:rsid w:val="00CA43B2"/>
    <w:rsid w:val="00CA43B6"/>
    <w:rsid w:val="00CA4A45"/>
    <w:rsid w:val="00CA57AD"/>
    <w:rsid w:val="00CA59A9"/>
    <w:rsid w:val="00CB0DFE"/>
    <w:rsid w:val="00CB2A01"/>
    <w:rsid w:val="00CB5085"/>
    <w:rsid w:val="00CB5EC2"/>
    <w:rsid w:val="00CB744E"/>
    <w:rsid w:val="00CB789F"/>
    <w:rsid w:val="00CB7E64"/>
    <w:rsid w:val="00CC2546"/>
    <w:rsid w:val="00CC3A0C"/>
    <w:rsid w:val="00CC3D5B"/>
    <w:rsid w:val="00CC3F3B"/>
    <w:rsid w:val="00CC4B85"/>
    <w:rsid w:val="00CC571C"/>
    <w:rsid w:val="00CC7BE6"/>
    <w:rsid w:val="00CD06FA"/>
    <w:rsid w:val="00CD07C7"/>
    <w:rsid w:val="00CD0B66"/>
    <w:rsid w:val="00CD10B5"/>
    <w:rsid w:val="00CD305B"/>
    <w:rsid w:val="00CD3911"/>
    <w:rsid w:val="00CD49A6"/>
    <w:rsid w:val="00CD4C21"/>
    <w:rsid w:val="00CE0A2F"/>
    <w:rsid w:val="00CE0C01"/>
    <w:rsid w:val="00CE1473"/>
    <w:rsid w:val="00CE7124"/>
    <w:rsid w:val="00CE7161"/>
    <w:rsid w:val="00CF2790"/>
    <w:rsid w:val="00CF2D01"/>
    <w:rsid w:val="00CF330C"/>
    <w:rsid w:val="00CF4010"/>
    <w:rsid w:val="00CF5D16"/>
    <w:rsid w:val="00CF5FC3"/>
    <w:rsid w:val="00D012EB"/>
    <w:rsid w:val="00D02303"/>
    <w:rsid w:val="00D04B64"/>
    <w:rsid w:val="00D05023"/>
    <w:rsid w:val="00D05687"/>
    <w:rsid w:val="00D07AB8"/>
    <w:rsid w:val="00D07F25"/>
    <w:rsid w:val="00D11028"/>
    <w:rsid w:val="00D11B9F"/>
    <w:rsid w:val="00D11DF1"/>
    <w:rsid w:val="00D12F56"/>
    <w:rsid w:val="00D14BD1"/>
    <w:rsid w:val="00D157E4"/>
    <w:rsid w:val="00D16AC2"/>
    <w:rsid w:val="00D16ED3"/>
    <w:rsid w:val="00D170BC"/>
    <w:rsid w:val="00D17441"/>
    <w:rsid w:val="00D174A3"/>
    <w:rsid w:val="00D17695"/>
    <w:rsid w:val="00D20A56"/>
    <w:rsid w:val="00D21CE0"/>
    <w:rsid w:val="00D225C1"/>
    <w:rsid w:val="00D227A4"/>
    <w:rsid w:val="00D227E3"/>
    <w:rsid w:val="00D23E0D"/>
    <w:rsid w:val="00D241CD"/>
    <w:rsid w:val="00D25A40"/>
    <w:rsid w:val="00D25E4B"/>
    <w:rsid w:val="00D2647C"/>
    <w:rsid w:val="00D264D4"/>
    <w:rsid w:val="00D270A1"/>
    <w:rsid w:val="00D279EC"/>
    <w:rsid w:val="00D30840"/>
    <w:rsid w:val="00D31779"/>
    <w:rsid w:val="00D317AC"/>
    <w:rsid w:val="00D3415A"/>
    <w:rsid w:val="00D346F9"/>
    <w:rsid w:val="00D34704"/>
    <w:rsid w:val="00D3553C"/>
    <w:rsid w:val="00D35DB3"/>
    <w:rsid w:val="00D36354"/>
    <w:rsid w:val="00D36A2B"/>
    <w:rsid w:val="00D36C0F"/>
    <w:rsid w:val="00D374CA"/>
    <w:rsid w:val="00D40709"/>
    <w:rsid w:val="00D42597"/>
    <w:rsid w:val="00D42AD4"/>
    <w:rsid w:val="00D42C7C"/>
    <w:rsid w:val="00D4417B"/>
    <w:rsid w:val="00D44538"/>
    <w:rsid w:val="00D4531C"/>
    <w:rsid w:val="00D45E25"/>
    <w:rsid w:val="00D46E53"/>
    <w:rsid w:val="00D50242"/>
    <w:rsid w:val="00D5085F"/>
    <w:rsid w:val="00D50D5B"/>
    <w:rsid w:val="00D5247A"/>
    <w:rsid w:val="00D5321D"/>
    <w:rsid w:val="00D54A4F"/>
    <w:rsid w:val="00D54EEB"/>
    <w:rsid w:val="00D55AF7"/>
    <w:rsid w:val="00D55C14"/>
    <w:rsid w:val="00D579AC"/>
    <w:rsid w:val="00D57A3F"/>
    <w:rsid w:val="00D624CF"/>
    <w:rsid w:val="00D63BFF"/>
    <w:rsid w:val="00D6511E"/>
    <w:rsid w:val="00D66361"/>
    <w:rsid w:val="00D67AF8"/>
    <w:rsid w:val="00D70349"/>
    <w:rsid w:val="00D7212B"/>
    <w:rsid w:val="00D737BF"/>
    <w:rsid w:val="00D73AD3"/>
    <w:rsid w:val="00D765D1"/>
    <w:rsid w:val="00D80234"/>
    <w:rsid w:val="00D81240"/>
    <w:rsid w:val="00D819A5"/>
    <w:rsid w:val="00D81C86"/>
    <w:rsid w:val="00D8423C"/>
    <w:rsid w:val="00D85362"/>
    <w:rsid w:val="00D8664A"/>
    <w:rsid w:val="00D86CA6"/>
    <w:rsid w:val="00D86F91"/>
    <w:rsid w:val="00D87C17"/>
    <w:rsid w:val="00D90DBF"/>
    <w:rsid w:val="00D90FF8"/>
    <w:rsid w:val="00D91C36"/>
    <w:rsid w:val="00D921AC"/>
    <w:rsid w:val="00D951A4"/>
    <w:rsid w:val="00D97E7F"/>
    <w:rsid w:val="00DA0A30"/>
    <w:rsid w:val="00DA271E"/>
    <w:rsid w:val="00DA27BD"/>
    <w:rsid w:val="00DA2C03"/>
    <w:rsid w:val="00DA76F9"/>
    <w:rsid w:val="00DB07F9"/>
    <w:rsid w:val="00DB1128"/>
    <w:rsid w:val="00DB12FF"/>
    <w:rsid w:val="00DB187E"/>
    <w:rsid w:val="00DB2406"/>
    <w:rsid w:val="00DB2822"/>
    <w:rsid w:val="00DB2C52"/>
    <w:rsid w:val="00DB53DA"/>
    <w:rsid w:val="00DB5AE5"/>
    <w:rsid w:val="00DB5D12"/>
    <w:rsid w:val="00DB66C2"/>
    <w:rsid w:val="00DB6A9E"/>
    <w:rsid w:val="00DB7D2E"/>
    <w:rsid w:val="00DC0F33"/>
    <w:rsid w:val="00DC1F43"/>
    <w:rsid w:val="00DC2E67"/>
    <w:rsid w:val="00DC3ED6"/>
    <w:rsid w:val="00DC3FA6"/>
    <w:rsid w:val="00DC5354"/>
    <w:rsid w:val="00DC5A66"/>
    <w:rsid w:val="00DC7849"/>
    <w:rsid w:val="00DC79F5"/>
    <w:rsid w:val="00DD0700"/>
    <w:rsid w:val="00DD246C"/>
    <w:rsid w:val="00DD3899"/>
    <w:rsid w:val="00DD4C29"/>
    <w:rsid w:val="00DD6B44"/>
    <w:rsid w:val="00DD7626"/>
    <w:rsid w:val="00DE03EA"/>
    <w:rsid w:val="00DE06AD"/>
    <w:rsid w:val="00DE075F"/>
    <w:rsid w:val="00DE2667"/>
    <w:rsid w:val="00DE33C0"/>
    <w:rsid w:val="00DE7033"/>
    <w:rsid w:val="00DF282D"/>
    <w:rsid w:val="00DF2D58"/>
    <w:rsid w:val="00DF322E"/>
    <w:rsid w:val="00DF44FE"/>
    <w:rsid w:val="00DF4C0B"/>
    <w:rsid w:val="00DF65BA"/>
    <w:rsid w:val="00DF7C1B"/>
    <w:rsid w:val="00E00482"/>
    <w:rsid w:val="00E010EA"/>
    <w:rsid w:val="00E02359"/>
    <w:rsid w:val="00E02416"/>
    <w:rsid w:val="00E053C1"/>
    <w:rsid w:val="00E06699"/>
    <w:rsid w:val="00E07B8F"/>
    <w:rsid w:val="00E11DC9"/>
    <w:rsid w:val="00E121DB"/>
    <w:rsid w:val="00E12445"/>
    <w:rsid w:val="00E1444F"/>
    <w:rsid w:val="00E147C5"/>
    <w:rsid w:val="00E15959"/>
    <w:rsid w:val="00E161CF"/>
    <w:rsid w:val="00E167FD"/>
    <w:rsid w:val="00E1705A"/>
    <w:rsid w:val="00E170EC"/>
    <w:rsid w:val="00E21FBD"/>
    <w:rsid w:val="00E22906"/>
    <w:rsid w:val="00E2465F"/>
    <w:rsid w:val="00E24996"/>
    <w:rsid w:val="00E253D0"/>
    <w:rsid w:val="00E266A7"/>
    <w:rsid w:val="00E266BE"/>
    <w:rsid w:val="00E30C40"/>
    <w:rsid w:val="00E314DE"/>
    <w:rsid w:val="00E31A42"/>
    <w:rsid w:val="00E32274"/>
    <w:rsid w:val="00E333B0"/>
    <w:rsid w:val="00E33448"/>
    <w:rsid w:val="00E33DD3"/>
    <w:rsid w:val="00E35C14"/>
    <w:rsid w:val="00E36106"/>
    <w:rsid w:val="00E36D73"/>
    <w:rsid w:val="00E371E1"/>
    <w:rsid w:val="00E37866"/>
    <w:rsid w:val="00E4216D"/>
    <w:rsid w:val="00E42EA0"/>
    <w:rsid w:val="00E4435B"/>
    <w:rsid w:val="00E460E9"/>
    <w:rsid w:val="00E46B7F"/>
    <w:rsid w:val="00E4703F"/>
    <w:rsid w:val="00E47FA5"/>
    <w:rsid w:val="00E5077A"/>
    <w:rsid w:val="00E50FCF"/>
    <w:rsid w:val="00E54FE0"/>
    <w:rsid w:val="00E55979"/>
    <w:rsid w:val="00E564CA"/>
    <w:rsid w:val="00E56A2D"/>
    <w:rsid w:val="00E57266"/>
    <w:rsid w:val="00E606B4"/>
    <w:rsid w:val="00E6131A"/>
    <w:rsid w:val="00E6274B"/>
    <w:rsid w:val="00E64973"/>
    <w:rsid w:val="00E67752"/>
    <w:rsid w:val="00E709E2"/>
    <w:rsid w:val="00E70EF8"/>
    <w:rsid w:val="00E7178F"/>
    <w:rsid w:val="00E73AAE"/>
    <w:rsid w:val="00E73C10"/>
    <w:rsid w:val="00E73D27"/>
    <w:rsid w:val="00E74785"/>
    <w:rsid w:val="00E74E8D"/>
    <w:rsid w:val="00E75579"/>
    <w:rsid w:val="00E75CFF"/>
    <w:rsid w:val="00E75FDB"/>
    <w:rsid w:val="00E8002F"/>
    <w:rsid w:val="00E80238"/>
    <w:rsid w:val="00E81F70"/>
    <w:rsid w:val="00E8692C"/>
    <w:rsid w:val="00E87882"/>
    <w:rsid w:val="00E90F67"/>
    <w:rsid w:val="00E93424"/>
    <w:rsid w:val="00E940A2"/>
    <w:rsid w:val="00E958A1"/>
    <w:rsid w:val="00E977D8"/>
    <w:rsid w:val="00EA161D"/>
    <w:rsid w:val="00EA17CE"/>
    <w:rsid w:val="00EA1E79"/>
    <w:rsid w:val="00EA4EA9"/>
    <w:rsid w:val="00EB044D"/>
    <w:rsid w:val="00EB0D49"/>
    <w:rsid w:val="00EB1155"/>
    <w:rsid w:val="00EB156D"/>
    <w:rsid w:val="00EB1575"/>
    <w:rsid w:val="00EB2322"/>
    <w:rsid w:val="00EB3DEB"/>
    <w:rsid w:val="00EB40CE"/>
    <w:rsid w:val="00EB4F9C"/>
    <w:rsid w:val="00EB50C5"/>
    <w:rsid w:val="00EC15E7"/>
    <w:rsid w:val="00EC406E"/>
    <w:rsid w:val="00EC4415"/>
    <w:rsid w:val="00EC5092"/>
    <w:rsid w:val="00EC56C2"/>
    <w:rsid w:val="00ED091E"/>
    <w:rsid w:val="00ED28DC"/>
    <w:rsid w:val="00ED29E5"/>
    <w:rsid w:val="00ED2DCF"/>
    <w:rsid w:val="00ED3AE8"/>
    <w:rsid w:val="00ED4179"/>
    <w:rsid w:val="00ED616A"/>
    <w:rsid w:val="00ED6ED7"/>
    <w:rsid w:val="00EE058E"/>
    <w:rsid w:val="00EE0C01"/>
    <w:rsid w:val="00EE1FEA"/>
    <w:rsid w:val="00EE204D"/>
    <w:rsid w:val="00EE2657"/>
    <w:rsid w:val="00EE305E"/>
    <w:rsid w:val="00EE6266"/>
    <w:rsid w:val="00EE629E"/>
    <w:rsid w:val="00EE6A5A"/>
    <w:rsid w:val="00EF1CEF"/>
    <w:rsid w:val="00EF2E90"/>
    <w:rsid w:val="00EF3267"/>
    <w:rsid w:val="00EF5D16"/>
    <w:rsid w:val="00EF5F21"/>
    <w:rsid w:val="00EF696B"/>
    <w:rsid w:val="00EF7450"/>
    <w:rsid w:val="00EF748A"/>
    <w:rsid w:val="00F01A28"/>
    <w:rsid w:val="00F04233"/>
    <w:rsid w:val="00F0635E"/>
    <w:rsid w:val="00F064B5"/>
    <w:rsid w:val="00F0660B"/>
    <w:rsid w:val="00F07205"/>
    <w:rsid w:val="00F078F1"/>
    <w:rsid w:val="00F103A9"/>
    <w:rsid w:val="00F10BE7"/>
    <w:rsid w:val="00F1162A"/>
    <w:rsid w:val="00F11B85"/>
    <w:rsid w:val="00F146AD"/>
    <w:rsid w:val="00F148CC"/>
    <w:rsid w:val="00F14BB5"/>
    <w:rsid w:val="00F14D4B"/>
    <w:rsid w:val="00F15F8B"/>
    <w:rsid w:val="00F177D0"/>
    <w:rsid w:val="00F20002"/>
    <w:rsid w:val="00F201FD"/>
    <w:rsid w:val="00F21021"/>
    <w:rsid w:val="00F216C0"/>
    <w:rsid w:val="00F22B47"/>
    <w:rsid w:val="00F237B2"/>
    <w:rsid w:val="00F26226"/>
    <w:rsid w:val="00F30269"/>
    <w:rsid w:val="00F30750"/>
    <w:rsid w:val="00F323F6"/>
    <w:rsid w:val="00F3325E"/>
    <w:rsid w:val="00F34C83"/>
    <w:rsid w:val="00F36711"/>
    <w:rsid w:val="00F3703B"/>
    <w:rsid w:val="00F37BA2"/>
    <w:rsid w:val="00F4176D"/>
    <w:rsid w:val="00F42461"/>
    <w:rsid w:val="00F42BA7"/>
    <w:rsid w:val="00F4514D"/>
    <w:rsid w:val="00F467FF"/>
    <w:rsid w:val="00F4693C"/>
    <w:rsid w:val="00F4701F"/>
    <w:rsid w:val="00F470A5"/>
    <w:rsid w:val="00F50491"/>
    <w:rsid w:val="00F513A3"/>
    <w:rsid w:val="00F52385"/>
    <w:rsid w:val="00F52688"/>
    <w:rsid w:val="00F53AAC"/>
    <w:rsid w:val="00F53E1A"/>
    <w:rsid w:val="00F557BA"/>
    <w:rsid w:val="00F57121"/>
    <w:rsid w:val="00F60C7A"/>
    <w:rsid w:val="00F63033"/>
    <w:rsid w:val="00F64EA5"/>
    <w:rsid w:val="00F657A9"/>
    <w:rsid w:val="00F659FE"/>
    <w:rsid w:val="00F65BA3"/>
    <w:rsid w:val="00F67F1B"/>
    <w:rsid w:val="00F702F9"/>
    <w:rsid w:val="00F708F0"/>
    <w:rsid w:val="00F7103A"/>
    <w:rsid w:val="00F719B3"/>
    <w:rsid w:val="00F72953"/>
    <w:rsid w:val="00F73060"/>
    <w:rsid w:val="00F730BB"/>
    <w:rsid w:val="00F738EE"/>
    <w:rsid w:val="00F73BBA"/>
    <w:rsid w:val="00F7447D"/>
    <w:rsid w:val="00F74E58"/>
    <w:rsid w:val="00F760DF"/>
    <w:rsid w:val="00F80576"/>
    <w:rsid w:val="00F80F78"/>
    <w:rsid w:val="00F80FAC"/>
    <w:rsid w:val="00F816FD"/>
    <w:rsid w:val="00F8214F"/>
    <w:rsid w:val="00F8248D"/>
    <w:rsid w:val="00F8561B"/>
    <w:rsid w:val="00F85822"/>
    <w:rsid w:val="00F863ED"/>
    <w:rsid w:val="00F86D06"/>
    <w:rsid w:val="00F874ED"/>
    <w:rsid w:val="00F90225"/>
    <w:rsid w:val="00F9133D"/>
    <w:rsid w:val="00F91752"/>
    <w:rsid w:val="00F93767"/>
    <w:rsid w:val="00F939F8"/>
    <w:rsid w:val="00F965DA"/>
    <w:rsid w:val="00F97277"/>
    <w:rsid w:val="00F97829"/>
    <w:rsid w:val="00F97BC3"/>
    <w:rsid w:val="00FA028A"/>
    <w:rsid w:val="00FA0F3A"/>
    <w:rsid w:val="00FA1F36"/>
    <w:rsid w:val="00FA2580"/>
    <w:rsid w:val="00FA42C2"/>
    <w:rsid w:val="00FB2626"/>
    <w:rsid w:val="00FB300D"/>
    <w:rsid w:val="00FB4ABD"/>
    <w:rsid w:val="00FB50E3"/>
    <w:rsid w:val="00FB542E"/>
    <w:rsid w:val="00FB5CD6"/>
    <w:rsid w:val="00FB6E18"/>
    <w:rsid w:val="00FC0ED1"/>
    <w:rsid w:val="00FC1187"/>
    <w:rsid w:val="00FC1B89"/>
    <w:rsid w:val="00FC24B9"/>
    <w:rsid w:val="00FC2980"/>
    <w:rsid w:val="00FC324E"/>
    <w:rsid w:val="00FC36F5"/>
    <w:rsid w:val="00FC4403"/>
    <w:rsid w:val="00FC445D"/>
    <w:rsid w:val="00FC45C1"/>
    <w:rsid w:val="00FC6430"/>
    <w:rsid w:val="00FC67BA"/>
    <w:rsid w:val="00FC6CEA"/>
    <w:rsid w:val="00FC7240"/>
    <w:rsid w:val="00FD1065"/>
    <w:rsid w:val="00FD26FD"/>
    <w:rsid w:val="00FD406A"/>
    <w:rsid w:val="00FD61E6"/>
    <w:rsid w:val="00FE0ACF"/>
    <w:rsid w:val="00FE0EA6"/>
    <w:rsid w:val="00FE0EAE"/>
    <w:rsid w:val="00FE1BE0"/>
    <w:rsid w:val="00FE2536"/>
    <w:rsid w:val="00FE27E8"/>
    <w:rsid w:val="00FE6B41"/>
    <w:rsid w:val="00FE7FB8"/>
    <w:rsid w:val="00FF115D"/>
    <w:rsid w:val="00FF1DF2"/>
    <w:rsid w:val="00FF210F"/>
    <w:rsid w:val="00FF2AF9"/>
    <w:rsid w:val="00FF3134"/>
    <w:rsid w:val="00FF31BD"/>
    <w:rsid w:val="00FF46E7"/>
    <w:rsid w:val="00FF4912"/>
    <w:rsid w:val="00FF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4D1428"/>
  <w15:docId w15:val="{C7FB8439-065A-45C0-B9B0-5E0DAC9E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3C1"/>
    <w:pPr>
      <w:widowControl w:val="0"/>
      <w:spacing w:after="200" w:line="276" w:lineRule="auto"/>
    </w:pPr>
    <w:rPr>
      <w:sz w:val="24"/>
      <w:szCs w:val="24"/>
    </w:rPr>
  </w:style>
  <w:style w:type="paragraph" w:styleId="Heading1">
    <w:name w:val="heading 1"/>
    <w:basedOn w:val="Normal"/>
    <w:next w:val="Normal"/>
    <w:link w:val="Heading1Char"/>
    <w:autoRedefine/>
    <w:qFormat/>
    <w:rsid w:val="00387FFA"/>
    <w:pPr>
      <w:keepNext/>
      <w:widowControl/>
      <w:tabs>
        <w:tab w:val="left" w:pos="-1440"/>
        <w:tab w:val="left" w:pos="-720"/>
        <w:tab w:val="left" w:pos="0"/>
        <w:tab w:val="left" w:pos="1080"/>
        <w:tab w:val="left" w:pos="1440"/>
      </w:tabs>
      <w:suppressAutoHyphens/>
      <w:overflowPunct w:val="0"/>
      <w:autoSpaceDE w:val="0"/>
      <w:autoSpaceDN w:val="0"/>
      <w:adjustRightInd w:val="0"/>
      <w:spacing w:after="0"/>
      <w:jc w:val="both"/>
      <w:textAlignment w:val="baseline"/>
      <w:outlineLvl w:val="0"/>
    </w:pPr>
    <w:rPr>
      <w:b/>
      <w:spacing w:val="-3"/>
      <w:sz w:val="28"/>
      <w:szCs w:val="20"/>
      <w:u w:val="single"/>
    </w:rPr>
  </w:style>
  <w:style w:type="paragraph" w:styleId="Heading2">
    <w:name w:val="heading 2"/>
    <w:basedOn w:val="Normal"/>
    <w:next w:val="Normal"/>
    <w:link w:val="Heading2Char"/>
    <w:autoRedefine/>
    <w:qFormat/>
    <w:rsid w:val="00D012EB"/>
    <w:pPr>
      <w:keepNext/>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contextualSpacing/>
      <w:jc w:val="both"/>
      <w:textAlignment w:val="baseline"/>
      <w:outlineLvl w:val="1"/>
    </w:pPr>
    <w:rPr>
      <w:b/>
      <w:i/>
      <w:spacing w:val="-3"/>
      <w:szCs w:val="20"/>
    </w:rPr>
  </w:style>
  <w:style w:type="paragraph" w:styleId="Heading3">
    <w:name w:val="heading 3"/>
    <w:basedOn w:val="Normal"/>
    <w:next w:val="Normal"/>
    <w:link w:val="Heading3Char"/>
    <w:qFormat/>
    <w:rsid w:val="00595C63"/>
    <w:pPr>
      <w:keepNext/>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jc w:val="both"/>
      <w:textAlignment w:val="baseline"/>
      <w:outlineLvl w:val="2"/>
    </w:pPr>
    <w:rPr>
      <w:rFonts w:cs="Times New Roman"/>
      <w:spacing w:val="-3"/>
      <w:sz w:val="28"/>
      <w:szCs w:val="20"/>
    </w:rPr>
  </w:style>
  <w:style w:type="paragraph" w:styleId="Heading4">
    <w:name w:val="heading 4"/>
    <w:basedOn w:val="Normal"/>
    <w:next w:val="Normal"/>
    <w:link w:val="Heading4Char"/>
    <w:qFormat/>
    <w:rsid w:val="00595C63"/>
    <w:pPr>
      <w:keepNext/>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ind w:left="360"/>
      <w:jc w:val="both"/>
      <w:textAlignment w:val="baseline"/>
      <w:outlineLvl w:val="3"/>
    </w:pPr>
    <w:rPr>
      <w:rFonts w:cs="Times New Roman"/>
      <w:spacing w:val="-3"/>
      <w:sz w:val="28"/>
      <w:szCs w:val="20"/>
    </w:rPr>
  </w:style>
  <w:style w:type="paragraph" w:styleId="Heading5">
    <w:name w:val="heading 5"/>
    <w:basedOn w:val="Normal"/>
    <w:next w:val="Normal"/>
    <w:link w:val="Heading5Char"/>
    <w:qFormat/>
    <w:rsid w:val="00595C63"/>
    <w:pPr>
      <w:keepNext/>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ind w:left="360"/>
      <w:jc w:val="both"/>
      <w:textAlignment w:val="baseline"/>
      <w:outlineLvl w:val="4"/>
    </w:pPr>
    <w:rPr>
      <w:rFonts w:cs="Times New Roman"/>
      <w:b/>
      <w:spacing w:val="-3"/>
      <w:sz w:val="28"/>
      <w:szCs w:val="20"/>
      <w:u w:val="single"/>
    </w:rPr>
  </w:style>
  <w:style w:type="paragraph" w:styleId="Heading6">
    <w:name w:val="heading 6"/>
    <w:basedOn w:val="Normal"/>
    <w:next w:val="Normal"/>
    <w:link w:val="Heading6Char"/>
    <w:qFormat/>
    <w:rsid w:val="00595C63"/>
    <w:pPr>
      <w:keepNext/>
      <w:widowControl/>
      <w:tabs>
        <w:tab w:val="left" w:pos="-1440"/>
        <w:tab w:val="left" w:pos="-720"/>
        <w:tab w:val="left" w:pos="0"/>
        <w:tab w:val="left" w:pos="1080"/>
        <w:tab w:val="left" w:pos="1440"/>
        <w:tab w:val="left" w:pos="4320"/>
      </w:tabs>
      <w:suppressAutoHyphens/>
      <w:overflowPunct w:val="0"/>
      <w:autoSpaceDE w:val="0"/>
      <w:autoSpaceDN w:val="0"/>
      <w:adjustRightInd w:val="0"/>
      <w:spacing w:after="0" w:line="240" w:lineRule="auto"/>
      <w:jc w:val="both"/>
      <w:textAlignment w:val="baseline"/>
      <w:outlineLvl w:val="5"/>
    </w:pPr>
    <w:rPr>
      <w:rFonts w:cs="Times New Roman"/>
      <w:b/>
      <w:spacing w:val="-3"/>
      <w:szCs w:val="20"/>
    </w:rPr>
  </w:style>
  <w:style w:type="paragraph" w:styleId="Heading7">
    <w:name w:val="heading 7"/>
    <w:basedOn w:val="Normal"/>
    <w:next w:val="Normal"/>
    <w:link w:val="Heading7Char"/>
    <w:qFormat/>
    <w:rsid w:val="00595C63"/>
    <w:pPr>
      <w:keepNext/>
      <w:widowControl/>
      <w:tabs>
        <w:tab w:val="center" w:pos="4680"/>
      </w:tabs>
      <w:suppressAutoHyphens/>
      <w:overflowPunct w:val="0"/>
      <w:autoSpaceDE w:val="0"/>
      <w:autoSpaceDN w:val="0"/>
      <w:adjustRightInd w:val="0"/>
      <w:spacing w:after="0" w:line="240" w:lineRule="auto"/>
      <w:jc w:val="center"/>
      <w:textAlignment w:val="baseline"/>
      <w:outlineLvl w:val="6"/>
    </w:pPr>
    <w:rPr>
      <w:rFonts w:cs="Times New Roman"/>
      <w:b/>
      <w:spacing w:val="-3"/>
      <w:szCs w:val="20"/>
    </w:rPr>
  </w:style>
  <w:style w:type="paragraph" w:styleId="Heading8">
    <w:name w:val="heading 8"/>
    <w:basedOn w:val="Normal"/>
    <w:next w:val="Normal"/>
    <w:link w:val="Heading8Char"/>
    <w:qFormat/>
    <w:rsid w:val="00595C63"/>
    <w:pPr>
      <w:keepNext/>
      <w:widowControl/>
      <w:numPr>
        <w:ilvl w:val="12"/>
      </w:numPr>
      <w:tabs>
        <w:tab w:val="left" w:pos="-1440"/>
        <w:tab w:val="left" w:pos="-720"/>
        <w:tab w:val="left" w:pos="0"/>
        <w:tab w:val="left" w:pos="1080"/>
        <w:tab w:val="left" w:pos="1440"/>
      </w:tabs>
      <w:suppressAutoHyphens/>
      <w:overflowPunct w:val="0"/>
      <w:autoSpaceDE w:val="0"/>
      <w:autoSpaceDN w:val="0"/>
      <w:adjustRightInd w:val="0"/>
      <w:spacing w:after="0" w:line="240" w:lineRule="auto"/>
      <w:jc w:val="both"/>
      <w:textAlignment w:val="baseline"/>
      <w:outlineLvl w:val="7"/>
    </w:pPr>
    <w:rPr>
      <w:rFonts w:cs="Times New Roman"/>
      <w:bCs/>
      <w:i/>
      <w:iCs/>
      <w:spacing w:val="-3"/>
      <w:szCs w:val="20"/>
      <w:u w:val="single"/>
    </w:rPr>
  </w:style>
  <w:style w:type="paragraph" w:styleId="Heading9">
    <w:name w:val="heading 9"/>
    <w:basedOn w:val="Normal"/>
    <w:next w:val="Normal"/>
    <w:link w:val="Heading9Char"/>
    <w:qFormat/>
    <w:rsid w:val="00595C63"/>
    <w:pPr>
      <w:keepNext/>
      <w:keepLines/>
      <w:widowControl/>
      <w:spacing w:after="120" w:line="240" w:lineRule="auto"/>
      <w:jc w:val="center"/>
      <w:outlineLvl w:val="8"/>
    </w:pPr>
    <w:rPr>
      <w:b/>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7FFA"/>
    <w:rPr>
      <w:b/>
      <w:spacing w:val="-3"/>
      <w:sz w:val="28"/>
      <w:u w:val="single"/>
    </w:rPr>
  </w:style>
  <w:style w:type="character" w:customStyle="1" w:styleId="Heading2Char">
    <w:name w:val="Heading 2 Char"/>
    <w:basedOn w:val="DefaultParagraphFont"/>
    <w:link w:val="Heading2"/>
    <w:rsid w:val="00D012EB"/>
    <w:rPr>
      <w:b/>
      <w:i/>
      <w:spacing w:val="-3"/>
      <w:sz w:val="24"/>
    </w:rPr>
  </w:style>
  <w:style w:type="character" w:customStyle="1" w:styleId="Heading3Char">
    <w:name w:val="Heading 3 Char"/>
    <w:basedOn w:val="DefaultParagraphFont"/>
    <w:link w:val="Heading3"/>
    <w:rsid w:val="00595C63"/>
    <w:rPr>
      <w:rFonts w:ascii="Arial" w:eastAsia="Times New Roman" w:hAnsi="Arial" w:cs="Times New Roman"/>
      <w:spacing w:val="-3"/>
      <w:sz w:val="28"/>
      <w:szCs w:val="20"/>
    </w:rPr>
  </w:style>
  <w:style w:type="character" w:customStyle="1" w:styleId="Heading4Char">
    <w:name w:val="Heading 4 Char"/>
    <w:basedOn w:val="DefaultParagraphFont"/>
    <w:link w:val="Heading4"/>
    <w:rsid w:val="00595C63"/>
    <w:rPr>
      <w:rFonts w:ascii="Arial" w:eastAsia="Times New Roman" w:hAnsi="Arial" w:cs="Times New Roman"/>
      <w:spacing w:val="-3"/>
      <w:sz w:val="28"/>
      <w:szCs w:val="20"/>
    </w:rPr>
  </w:style>
  <w:style w:type="character" w:customStyle="1" w:styleId="Heading5Char">
    <w:name w:val="Heading 5 Char"/>
    <w:basedOn w:val="DefaultParagraphFont"/>
    <w:link w:val="Heading5"/>
    <w:rsid w:val="00595C63"/>
    <w:rPr>
      <w:rFonts w:ascii="Arial" w:eastAsia="Times New Roman" w:hAnsi="Arial" w:cs="Times New Roman"/>
      <w:b/>
      <w:spacing w:val="-3"/>
      <w:sz w:val="28"/>
      <w:szCs w:val="20"/>
      <w:u w:val="single"/>
    </w:rPr>
  </w:style>
  <w:style w:type="character" w:customStyle="1" w:styleId="Heading6Char">
    <w:name w:val="Heading 6 Char"/>
    <w:basedOn w:val="DefaultParagraphFont"/>
    <w:link w:val="Heading6"/>
    <w:rsid w:val="00595C63"/>
    <w:rPr>
      <w:rFonts w:ascii="Arial" w:eastAsia="Times New Roman" w:hAnsi="Arial" w:cs="Times New Roman"/>
      <w:b/>
      <w:spacing w:val="-3"/>
      <w:sz w:val="24"/>
      <w:szCs w:val="20"/>
    </w:rPr>
  </w:style>
  <w:style w:type="character" w:customStyle="1" w:styleId="Heading7Char">
    <w:name w:val="Heading 7 Char"/>
    <w:basedOn w:val="DefaultParagraphFont"/>
    <w:link w:val="Heading7"/>
    <w:rsid w:val="00595C63"/>
    <w:rPr>
      <w:rFonts w:ascii="Arial" w:eastAsia="Times New Roman" w:hAnsi="Arial" w:cs="Times New Roman"/>
      <w:b/>
      <w:spacing w:val="-3"/>
      <w:sz w:val="24"/>
      <w:szCs w:val="20"/>
    </w:rPr>
  </w:style>
  <w:style w:type="character" w:customStyle="1" w:styleId="Heading8Char">
    <w:name w:val="Heading 8 Char"/>
    <w:basedOn w:val="DefaultParagraphFont"/>
    <w:link w:val="Heading8"/>
    <w:rsid w:val="00595C63"/>
    <w:rPr>
      <w:rFonts w:ascii="Arial" w:eastAsia="Times New Roman" w:hAnsi="Arial" w:cs="Times New Roman"/>
      <w:bCs/>
      <w:i/>
      <w:iCs/>
      <w:spacing w:val="-3"/>
      <w:sz w:val="24"/>
      <w:szCs w:val="20"/>
      <w:u w:val="single"/>
    </w:rPr>
  </w:style>
  <w:style w:type="character" w:customStyle="1" w:styleId="Heading9Char">
    <w:name w:val="Heading 9 Char"/>
    <w:basedOn w:val="DefaultParagraphFont"/>
    <w:link w:val="Heading9"/>
    <w:rsid w:val="00595C63"/>
    <w:rPr>
      <w:rFonts w:ascii="Arial" w:eastAsia="Times New Roman" w:hAnsi="Arial" w:cs="Arial"/>
      <w:b/>
      <w:snapToGrid w:val="0"/>
      <w:color w:val="000000"/>
      <w:sz w:val="20"/>
      <w:szCs w:val="20"/>
    </w:rPr>
  </w:style>
  <w:style w:type="character" w:styleId="CommentReference">
    <w:name w:val="annotation reference"/>
    <w:basedOn w:val="DefaultParagraphFont"/>
    <w:uiPriority w:val="99"/>
    <w:semiHidden/>
    <w:unhideWhenUsed/>
    <w:rsid w:val="00FA028A"/>
    <w:rPr>
      <w:sz w:val="16"/>
      <w:szCs w:val="16"/>
    </w:rPr>
  </w:style>
  <w:style w:type="paragraph" w:styleId="CommentText">
    <w:name w:val="annotation text"/>
    <w:basedOn w:val="Normal"/>
    <w:link w:val="CommentTextChar"/>
    <w:uiPriority w:val="99"/>
    <w:semiHidden/>
    <w:unhideWhenUsed/>
    <w:rsid w:val="00FA028A"/>
    <w:pPr>
      <w:spacing w:line="240" w:lineRule="auto"/>
    </w:pPr>
    <w:rPr>
      <w:sz w:val="20"/>
      <w:szCs w:val="20"/>
    </w:rPr>
  </w:style>
  <w:style w:type="character" w:customStyle="1" w:styleId="CommentTextChar">
    <w:name w:val="Comment Text Char"/>
    <w:basedOn w:val="DefaultParagraphFont"/>
    <w:link w:val="CommentText"/>
    <w:uiPriority w:val="99"/>
    <w:semiHidden/>
    <w:rsid w:val="00FA028A"/>
    <w:rPr>
      <w:sz w:val="20"/>
      <w:szCs w:val="20"/>
    </w:rPr>
  </w:style>
  <w:style w:type="paragraph" w:styleId="CommentSubject">
    <w:name w:val="annotation subject"/>
    <w:basedOn w:val="CommentText"/>
    <w:next w:val="CommentText"/>
    <w:link w:val="CommentSubjectChar"/>
    <w:semiHidden/>
    <w:unhideWhenUsed/>
    <w:rsid w:val="00FA028A"/>
    <w:rPr>
      <w:b/>
      <w:bCs/>
    </w:rPr>
  </w:style>
  <w:style w:type="character" w:customStyle="1" w:styleId="CommentSubjectChar">
    <w:name w:val="Comment Subject Char"/>
    <w:basedOn w:val="CommentTextChar"/>
    <w:link w:val="CommentSubject"/>
    <w:semiHidden/>
    <w:rsid w:val="00FA028A"/>
    <w:rPr>
      <w:b/>
      <w:bCs/>
      <w:sz w:val="20"/>
      <w:szCs w:val="20"/>
    </w:rPr>
  </w:style>
  <w:style w:type="paragraph" w:styleId="BalloonText">
    <w:name w:val="Balloon Text"/>
    <w:basedOn w:val="Normal"/>
    <w:link w:val="BalloonTextChar"/>
    <w:uiPriority w:val="99"/>
    <w:semiHidden/>
    <w:unhideWhenUsed/>
    <w:rsid w:val="00FA0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28A"/>
    <w:rPr>
      <w:rFonts w:ascii="Tahoma" w:hAnsi="Tahoma" w:cs="Tahoma"/>
      <w:sz w:val="16"/>
      <w:szCs w:val="16"/>
    </w:rPr>
  </w:style>
  <w:style w:type="paragraph" w:styleId="NoSpacing">
    <w:name w:val="No Spacing"/>
    <w:link w:val="NoSpacingChar"/>
    <w:uiPriority w:val="1"/>
    <w:qFormat/>
    <w:rsid w:val="00D90DBF"/>
    <w:rPr>
      <w:sz w:val="24"/>
      <w:szCs w:val="24"/>
    </w:rPr>
  </w:style>
  <w:style w:type="character" w:customStyle="1" w:styleId="NoSpacingChar">
    <w:name w:val="No Spacing Char"/>
    <w:basedOn w:val="DefaultParagraphFont"/>
    <w:link w:val="NoSpacing"/>
    <w:uiPriority w:val="1"/>
    <w:rsid w:val="00595C63"/>
    <w:rPr>
      <w:sz w:val="24"/>
      <w:szCs w:val="24"/>
      <w:lang w:val="en-US" w:eastAsia="en-US" w:bidi="ar-SA"/>
    </w:rPr>
  </w:style>
  <w:style w:type="table" w:styleId="TableGrid">
    <w:name w:val="Table Grid"/>
    <w:basedOn w:val="TableNormal"/>
    <w:uiPriority w:val="59"/>
    <w:rsid w:val="00D90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595C63"/>
    <w:rPr>
      <w:rFonts w:ascii="Times Roman" w:eastAsia="Times New Roman" w:hAnsi="Times Roman" w:cs="Times New Roman"/>
      <w:sz w:val="24"/>
      <w:szCs w:val="20"/>
    </w:rPr>
  </w:style>
  <w:style w:type="paragraph" w:styleId="EndnoteText">
    <w:name w:val="endnote text"/>
    <w:basedOn w:val="Normal"/>
    <w:link w:val="EndnoteTextChar"/>
    <w:semiHidden/>
    <w:rsid w:val="00595C63"/>
    <w:pPr>
      <w:widowControl/>
      <w:overflowPunct w:val="0"/>
      <w:autoSpaceDE w:val="0"/>
      <w:autoSpaceDN w:val="0"/>
      <w:adjustRightInd w:val="0"/>
      <w:spacing w:after="0" w:line="240" w:lineRule="auto"/>
      <w:textAlignment w:val="baseline"/>
    </w:pPr>
    <w:rPr>
      <w:rFonts w:ascii="Times Roman" w:hAnsi="Times Roman" w:cs="Times New Roman"/>
      <w:szCs w:val="20"/>
    </w:rPr>
  </w:style>
  <w:style w:type="paragraph" w:styleId="FootnoteText">
    <w:name w:val="footnote text"/>
    <w:basedOn w:val="Normal"/>
    <w:link w:val="FootnoteTextChar"/>
    <w:semiHidden/>
    <w:rsid w:val="00595C63"/>
    <w:pPr>
      <w:widowControl/>
      <w:overflowPunct w:val="0"/>
      <w:autoSpaceDE w:val="0"/>
      <w:autoSpaceDN w:val="0"/>
      <w:adjustRightInd w:val="0"/>
      <w:spacing w:after="0" w:line="240" w:lineRule="auto"/>
      <w:textAlignment w:val="baseline"/>
    </w:pPr>
    <w:rPr>
      <w:rFonts w:ascii="Times Roman" w:hAnsi="Times Roman" w:cs="Times New Roman"/>
      <w:szCs w:val="20"/>
    </w:rPr>
  </w:style>
  <w:style w:type="character" w:customStyle="1" w:styleId="FootnoteTextChar">
    <w:name w:val="Footnote Text Char"/>
    <w:basedOn w:val="DefaultParagraphFont"/>
    <w:link w:val="FootnoteText"/>
    <w:semiHidden/>
    <w:rsid w:val="00595C63"/>
    <w:rPr>
      <w:rFonts w:ascii="Times Roman" w:eastAsia="Times New Roman" w:hAnsi="Times Roman" w:cs="Times New Roman"/>
      <w:sz w:val="24"/>
      <w:szCs w:val="20"/>
    </w:rPr>
  </w:style>
  <w:style w:type="character" w:customStyle="1" w:styleId="Bibliogrphy">
    <w:name w:val="Bibliogrphy"/>
    <w:basedOn w:val="DefaultParagraphFont"/>
    <w:rsid w:val="00595C63"/>
  </w:style>
  <w:style w:type="character" w:customStyle="1" w:styleId="TechInit">
    <w:name w:val="Tech Init"/>
    <w:basedOn w:val="DefaultParagraphFont"/>
    <w:rsid w:val="00595C63"/>
    <w:rPr>
      <w:rFonts w:ascii="Times Roman" w:hAnsi="Times Roman"/>
      <w:noProof w:val="0"/>
      <w:sz w:val="24"/>
      <w:lang w:val="en-US"/>
    </w:rPr>
  </w:style>
  <w:style w:type="character" w:customStyle="1" w:styleId="Technical1">
    <w:name w:val="Technical 1"/>
    <w:basedOn w:val="DefaultParagraphFont"/>
    <w:rsid w:val="00595C63"/>
    <w:rPr>
      <w:rFonts w:ascii="Times Roman" w:hAnsi="Times Roman"/>
      <w:noProof w:val="0"/>
      <w:sz w:val="24"/>
      <w:lang w:val="en-US"/>
    </w:rPr>
  </w:style>
  <w:style w:type="character" w:customStyle="1" w:styleId="Technical2">
    <w:name w:val="Technical 2"/>
    <w:basedOn w:val="DefaultParagraphFont"/>
    <w:rsid w:val="00595C63"/>
    <w:rPr>
      <w:rFonts w:ascii="Times Roman" w:hAnsi="Times Roman"/>
      <w:noProof w:val="0"/>
      <w:sz w:val="24"/>
      <w:lang w:val="en-US"/>
    </w:rPr>
  </w:style>
  <w:style w:type="character" w:customStyle="1" w:styleId="Technical3">
    <w:name w:val="Technical 3"/>
    <w:basedOn w:val="DefaultParagraphFont"/>
    <w:rsid w:val="00595C63"/>
    <w:rPr>
      <w:rFonts w:ascii="Times Roman" w:hAnsi="Times Roman"/>
      <w:noProof w:val="0"/>
      <w:sz w:val="24"/>
      <w:lang w:val="en-US"/>
    </w:rPr>
  </w:style>
  <w:style w:type="paragraph" w:customStyle="1" w:styleId="Technical4">
    <w:name w:val="Technical 4"/>
    <w:rsid w:val="00595C63"/>
    <w:pPr>
      <w:tabs>
        <w:tab w:val="left" w:pos="-720"/>
      </w:tabs>
      <w:suppressAutoHyphens/>
      <w:overflowPunct w:val="0"/>
      <w:autoSpaceDE w:val="0"/>
      <w:autoSpaceDN w:val="0"/>
      <w:adjustRightInd w:val="0"/>
      <w:textAlignment w:val="baseline"/>
    </w:pPr>
    <w:rPr>
      <w:rFonts w:ascii="Times Roman" w:hAnsi="Times Roman" w:cs="Times New Roman"/>
      <w:b/>
      <w:sz w:val="24"/>
    </w:rPr>
  </w:style>
  <w:style w:type="paragraph" w:customStyle="1" w:styleId="Technical5">
    <w:name w:val="Technical 5"/>
    <w:rsid w:val="00595C63"/>
    <w:pPr>
      <w:tabs>
        <w:tab w:val="left" w:pos="-720"/>
      </w:tabs>
      <w:suppressAutoHyphens/>
      <w:overflowPunct w:val="0"/>
      <w:autoSpaceDE w:val="0"/>
      <w:autoSpaceDN w:val="0"/>
      <w:adjustRightInd w:val="0"/>
      <w:ind w:firstLine="720"/>
      <w:textAlignment w:val="baseline"/>
    </w:pPr>
    <w:rPr>
      <w:rFonts w:ascii="Times Roman" w:hAnsi="Times Roman" w:cs="Times New Roman"/>
      <w:b/>
      <w:sz w:val="24"/>
    </w:rPr>
  </w:style>
  <w:style w:type="paragraph" w:customStyle="1" w:styleId="Technical6">
    <w:name w:val="Technical 6"/>
    <w:rsid w:val="00595C63"/>
    <w:pPr>
      <w:tabs>
        <w:tab w:val="left" w:pos="-720"/>
      </w:tabs>
      <w:suppressAutoHyphens/>
      <w:overflowPunct w:val="0"/>
      <w:autoSpaceDE w:val="0"/>
      <w:autoSpaceDN w:val="0"/>
      <w:adjustRightInd w:val="0"/>
      <w:ind w:firstLine="720"/>
      <w:textAlignment w:val="baseline"/>
    </w:pPr>
    <w:rPr>
      <w:rFonts w:ascii="Times Roman" w:hAnsi="Times Roman" w:cs="Times New Roman"/>
      <w:b/>
      <w:sz w:val="24"/>
    </w:rPr>
  </w:style>
  <w:style w:type="paragraph" w:customStyle="1" w:styleId="Technical7">
    <w:name w:val="Technical 7"/>
    <w:rsid w:val="00595C63"/>
    <w:pPr>
      <w:tabs>
        <w:tab w:val="left" w:pos="-720"/>
      </w:tabs>
      <w:suppressAutoHyphens/>
      <w:overflowPunct w:val="0"/>
      <w:autoSpaceDE w:val="0"/>
      <w:autoSpaceDN w:val="0"/>
      <w:adjustRightInd w:val="0"/>
      <w:ind w:firstLine="720"/>
      <w:textAlignment w:val="baseline"/>
    </w:pPr>
    <w:rPr>
      <w:rFonts w:ascii="Times Roman" w:hAnsi="Times Roman" w:cs="Times New Roman"/>
      <w:b/>
      <w:sz w:val="24"/>
    </w:rPr>
  </w:style>
  <w:style w:type="paragraph" w:customStyle="1" w:styleId="Technical8">
    <w:name w:val="Technical 8"/>
    <w:rsid w:val="00595C63"/>
    <w:pPr>
      <w:tabs>
        <w:tab w:val="left" w:pos="-720"/>
      </w:tabs>
      <w:suppressAutoHyphens/>
      <w:overflowPunct w:val="0"/>
      <w:autoSpaceDE w:val="0"/>
      <w:autoSpaceDN w:val="0"/>
      <w:adjustRightInd w:val="0"/>
      <w:ind w:firstLine="720"/>
      <w:textAlignment w:val="baseline"/>
    </w:pPr>
    <w:rPr>
      <w:rFonts w:ascii="Times Roman" w:hAnsi="Times Roman" w:cs="Times New Roman"/>
      <w:b/>
      <w:sz w:val="24"/>
    </w:rPr>
  </w:style>
  <w:style w:type="character" w:customStyle="1" w:styleId="DocInit">
    <w:name w:val="Doc Init"/>
    <w:basedOn w:val="DefaultParagraphFont"/>
    <w:rsid w:val="00595C63"/>
  </w:style>
  <w:style w:type="paragraph" w:customStyle="1" w:styleId="Document1">
    <w:name w:val="Document 1"/>
    <w:rsid w:val="00595C63"/>
    <w:pPr>
      <w:keepNext/>
      <w:keepLines/>
      <w:tabs>
        <w:tab w:val="left" w:pos="-720"/>
      </w:tabs>
      <w:suppressAutoHyphens/>
      <w:overflowPunct w:val="0"/>
      <w:autoSpaceDE w:val="0"/>
      <w:autoSpaceDN w:val="0"/>
      <w:adjustRightInd w:val="0"/>
      <w:textAlignment w:val="baseline"/>
    </w:pPr>
    <w:rPr>
      <w:rFonts w:ascii="Times Roman" w:hAnsi="Times Roman" w:cs="Times New Roman"/>
      <w:sz w:val="24"/>
    </w:rPr>
  </w:style>
  <w:style w:type="character" w:customStyle="1" w:styleId="Document2">
    <w:name w:val="Document 2"/>
    <w:basedOn w:val="DefaultParagraphFont"/>
    <w:rsid w:val="00595C63"/>
    <w:rPr>
      <w:rFonts w:ascii="Times Roman" w:hAnsi="Times Roman"/>
      <w:noProof w:val="0"/>
      <w:sz w:val="24"/>
      <w:lang w:val="en-US"/>
    </w:rPr>
  </w:style>
  <w:style w:type="character" w:customStyle="1" w:styleId="Document3">
    <w:name w:val="Document 3"/>
    <w:basedOn w:val="DefaultParagraphFont"/>
    <w:rsid w:val="00595C63"/>
    <w:rPr>
      <w:rFonts w:ascii="Times Roman" w:hAnsi="Times Roman"/>
      <w:noProof w:val="0"/>
      <w:sz w:val="24"/>
      <w:lang w:val="en-US"/>
    </w:rPr>
  </w:style>
  <w:style w:type="character" w:customStyle="1" w:styleId="Document4">
    <w:name w:val="Document 4"/>
    <w:basedOn w:val="DefaultParagraphFont"/>
    <w:rsid w:val="00595C63"/>
    <w:rPr>
      <w:b/>
      <w:i/>
      <w:sz w:val="24"/>
    </w:rPr>
  </w:style>
  <w:style w:type="character" w:customStyle="1" w:styleId="Document5">
    <w:name w:val="Document 5"/>
    <w:basedOn w:val="DefaultParagraphFont"/>
    <w:rsid w:val="00595C63"/>
  </w:style>
  <w:style w:type="character" w:customStyle="1" w:styleId="Document6">
    <w:name w:val="Document 6"/>
    <w:basedOn w:val="DefaultParagraphFont"/>
    <w:rsid w:val="00595C63"/>
  </w:style>
  <w:style w:type="character" w:customStyle="1" w:styleId="Document7">
    <w:name w:val="Document 7"/>
    <w:basedOn w:val="DefaultParagraphFont"/>
    <w:rsid w:val="00595C63"/>
  </w:style>
  <w:style w:type="character" w:customStyle="1" w:styleId="Document8">
    <w:name w:val="Document 8"/>
    <w:basedOn w:val="DefaultParagraphFont"/>
    <w:rsid w:val="00595C63"/>
  </w:style>
  <w:style w:type="character" w:customStyle="1" w:styleId="BulletList">
    <w:name w:val="Bullet List"/>
    <w:basedOn w:val="DefaultParagraphFont"/>
    <w:rsid w:val="00595C63"/>
  </w:style>
  <w:style w:type="paragraph" w:customStyle="1" w:styleId="RightPar1">
    <w:name w:val="Right Par 1"/>
    <w:rsid w:val="00595C63"/>
    <w:pPr>
      <w:tabs>
        <w:tab w:val="left" w:pos="-720"/>
        <w:tab w:val="left" w:pos="0"/>
        <w:tab w:val="decimal" w:pos="720"/>
      </w:tabs>
      <w:suppressAutoHyphens/>
      <w:overflowPunct w:val="0"/>
      <w:autoSpaceDE w:val="0"/>
      <w:autoSpaceDN w:val="0"/>
      <w:adjustRightInd w:val="0"/>
      <w:ind w:firstLine="720"/>
      <w:textAlignment w:val="baseline"/>
    </w:pPr>
    <w:rPr>
      <w:rFonts w:ascii="Times Roman" w:hAnsi="Times Roman" w:cs="Times New Roman"/>
      <w:sz w:val="24"/>
    </w:rPr>
  </w:style>
  <w:style w:type="paragraph" w:customStyle="1" w:styleId="RightPar2">
    <w:name w:val="Right Par 2"/>
    <w:rsid w:val="00595C63"/>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Times Roman" w:hAnsi="Times Roman" w:cs="Times New Roman"/>
      <w:sz w:val="24"/>
    </w:rPr>
  </w:style>
  <w:style w:type="paragraph" w:customStyle="1" w:styleId="RightPar3">
    <w:name w:val="Right Par 3"/>
    <w:rsid w:val="00595C6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Times Roman" w:hAnsi="Times Roman" w:cs="Times New Roman"/>
      <w:sz w:val="24"/>
    </w:rPr>
  </w:style>
  <w:style w:type="paragraph" w:customStyle="1" w:styleId="RightPar4">
    <w:name w:val="Right Par 4"/>
    <w:rsid w:val="00595C63"/>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Times Roman" w:hAnsi="Times Roman" w:cs="Times New Roman"/>
      <w:sz w:val="24"/>
    </w:rPr>
  </w:style>
  <w:style w:type="paragraph" w:customStyle="1" w:styleId="RightPar5">
    <w:name w:val="Right Par 5"/>
    <w:rsid w:val="00595C63"/>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Times Roman" w:hAnsi="Times Roman" w:cs="Times New Roman"/>
      <w:sz w:val="24"/>
    </w:rPr>
  </w:style>
  <w:style w:type="paragraph" w:customStyle="1" w:styleId="RightPar6">
    <w:name w:val="Right Par 6"/>
    <w:rsid w:val="00595C63"/>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Times Roman" w:hAnsi="Times Roman" w:cs="Times New Roman"/>
      <w:sz w:val="24"/>
    </w:rPr>
  </w:style>
  <w:style w:type="paragraph" w:customStyle="1" w:styleId="RightPar7">
    <w:name w:val="Right Par 7"/>
    <w:rsid w:val="00595C63"/>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Times Roman" w:hAnsi="Times Roman" w:cs="Times New Roman"/>
      <w:sz w:val="24"/>
    </w:rPr>
  </w:style>
  <w:style w:type="paragraph" w:customStyle="1" w:styleId="RightPar8">
    <w:name w:val="Right Par 8"/>
    <w:rsid w:val="00595C63"/>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Times Roman" w:hAnsi="Times Roman" w:cs="Times New Roman"/>
      <w:sz w:val="24"/>
    </w:rPr>
  </w:style>
  <w:style w:type="paragraph" w:styleId="TOC1">
    <w:name w:val="toc 1"/>
    <w:basedOn w:val="Normal"/>
    <w:next w:val="Normal"/>
    <w:uiPriority w:val="39"/>
    <w:rsid w:val="00595C63"/>
    <w:pPr>
      <w:widowControl/>
      <w:tabs>
        <w:tab w:val="right" w:leader="dot" w:pos="9360"/>
      </w:tabs>
      <w:suppressAutoHyphens/>
      <w:overflowPunct w:val="0"/>
      <w:autoSpaceDE w:val="0"/>
      <w:autoSpaceDN w:val="0"/>
      <w:adjustRightInd w:val="0"/>
      <w:spacing w:before="480" w:after="0" w:line="240" w:lineRule="auto"/>
      <w:ind w:left="720" w:right="720" w:hanging="720"/>
      <w:textAlignment w:val="baseline"/>
    </w:pPr>
    <w:rPr>
      <w:rFonts w:ascii="Times Roman" w:hAnsi="Times Roman" w:cs="Times New Roman"/>
      <w:szCs w:val="20"/>
    </w:rPr>
  </w:style>
  <w:style w:type="paragraph" w:styleId="TOC3">
    <w:name w:val="toc 3"/>
    <w:basedOn w:val="Normal"/>
    <w:next w:val="Normal"/>
    <w:uiPriority w:val="39"/>
    <w:rsid w:val="00595C63"/>
    <w:pPr>
      <w:widowControl/>
      <w:tabs>
        <w:tab w:val="right" w:leader="dot" w:pos="9360"/>
      </w:tabs>
      <w:suppressAutoHyphens/>
      <w:overflowPunct w:val="0"/>
      <w:autoSpaceDE w:val="0"/>
      <w:autoSpaceDN w:val="0"/>
      <w:adjustRightInd w:val="0"/>
      <w:spacing w:after="0" w:line="240" w:lineRule="auto"/>
      <w:ind w:left="2160" w:right="720" w:hanging="720"/>
      <w:textAlignment w:val="baseline"/>
    </w:pPr>
    <w:rPr>
      <w:rFonts w:ascii="Times Roman" w:hAnsi="Times Roman" w:cs="Times New Roman"/>
      <w:szCs w:val="20"/>
    </w:rPr>
  </w:style>
  <w:style w:type="paragraph" w:styleId="Index1">
    <w:name w:val="index 1"/>
    <w:basedOn w:val="Normal"/>
    <w:next w:val="Normal"/>
    <w:semiHidden/>
    <w:rsid w:val="00595C63"/>
    <w:pPr>
      <w:widowControl/>
      <w:tabs>
        <w:tab w:val="right" w:leader="dot" w:pos="9360"/>
      </w:tabs>
      <w:suppressAutoHyphens/>
      <w:overflowPunct w:val="0"/>
      <w:autoSpaceDE w:val="0"/>
      <w:autoSpaceDN w:val="0"/>
      <w:adjustRightInd w:val="0"/>
      <w:spacing w:after="0" w:line="240" w:lineRule="auto"/>
      <w:ind w:left="1440" w:right="720" w:hanging="1440"/>
      <w:textAlignment w:val="baseline"/>
    </w:pPr>
    <w:rPr>
      <w:rFonts w:ascii="Times Roman" w:hAnsi="Times Roman" w:cs="Times New Roman"/>
      <w:szCs w:val="20"/>
    </w:rPr>
  </w:style>
  <w:style w:type="paragraph" w:styleId="Caption">
    <w:name w:val="caption"/>
    <w:basedOn w:val="Normal"/>
    <w:next w:val="Normal"/>
    <w:qFormat/>
    <w:rsid w:val="00595C63"/>
    <w:pPr>
      <w:widowControl/>
      <w:overflowPunct w:val="0"/>
      <w:autoSpaceDE w:val="0"/>
      <w:autoSpaceDN w:val="0"/>
      <w:adjustRightInd w:val="0"/>
      <w:spacing w:after="0" w:line="240" w:lineRule="auto"/>
      <w:textAlignment w:val="baseline"/>
    </w:pPr>
    <w:rPr>
      <w:rFonts w:ascii="Times Roman" w:hAnsi="Times Roman" w:cs="Times New Roman"/>
      <w:szCs w:val="20"/>
    </w:rPr>
  </w:style>
  <w:style w:type="character" w:customStyle="1" w:styleId="EquationCaption">
    <w:name w:val="_Equation Caption"/>
    <w:rsid w:val="00595C63"/>
  </w:style>
  <w:style w:type="paragraph" w:styleId="Header">
    <w:name w:val="header"/>
    <w:basedOn w:val="Normal"/>
    <w:link w:val="HeaderChar"/>
    <w:uiPriority w:val="99"/>
    <w:rsid w:val="00595C63"/>
    <w:pPr>
      <w:widowControl/>
      <w:tabs>
        <w:tab w:val="center" w:pos="4320"/>
        <w:tab w:val="right" w:pos="8640"/>
      </w:tabs>
      <w:overflowPunct w:val="0"/>
      <w:autoSpaceDE w:val="0"/>
      <w:autoSpaceDN w:val="0"/>
      <w:adjustRightInd w:val="0"/>
      <w:spacing w:after="0" w:line="240" w:lineRule="auto"/>
      <w:textAlignment w:val="baseline"/>
    </w:pPr>
    <w:rPr>
      <w:rFonts w:ascii="Times Roman" w:hAnsi="Times Roman" w:cs="Times New Roman"/>
      <w:szCs w:val="20"/>
    </w:rPr>
  </w:style>
  <w:style w:type="character" w:customStyle="1" w:styleId="HeaderChar">
    <w:name w:val="Header Char"/>
    <w:basedOn w:val="DefaultParagraphFont"/>
    <w:link w:val="Header"/>
    <w:uiPriority w:val="99"/>
    <w:rsid w:val="00595C63"/>
    <w:rPr>
      <w:rFonts w:ascii="Times Roman" w:eastAsia="Times New Roman" w:hAnsi="Times Roman" w:cs="Times New Roman"/>
      <w:sz w:val="24"/>
      <w:szCs w:val="20"/>
    </w:rPr>
  </w:style>
  <w:style w:type="paragraph" w:styleId="Footer">
    <w:name w:val="footer"/>
    <w:basedOn w:val="Normal"/>
    <w:link w:val="FooterChar"/>
    <w:uiPriority w:val="99"/>
    <w:rsid w:val="00595C63"/>
    <w:pPr>
      <w:widowControl/>
      <w:tabs>
        <w:tab w:val="center" w:pos="4320"/>
        <w:tab w:val="right" w:pos="8640"/>
      </w:tabs>
      <w:overflowPunct w:val="0"/>
      <w:autoSpaceDE w:val="0"/>
      <w:autoSpaceDN w:val="0"/>
      <w:adjustRightInd w:val="0"/>
      <w:spacing w:after="0" w:line="240" w:lineRule="auto"/>
      <w:textAlignment w:val="baseline"/>
    </w:pPr>
    <w:rPr>
      <w:rFonts w:ascii="Times Roman" w:hAnsi="Times Roman" w:cs="Times New Roman"/>
      <w:szCs w:val="20"/>
    </w:rPr>
  </w:style>
  <w:style w:type="character" w:customStyle="1" w:styleId="FooterChar">
    <w:name w:val="Footer Char"/>
    <w:basedOn w:val="DefaultParagraphFont"/>
    <w:link w:val="Footer"/>
    <w:uiPriority w:val="99"/>
    <w:rsid w:val="00595C63"/>
    <w:rPr>
      <w:rFonts w:ascii="Times Roman" w:eastAsia="Times New Roman" w:hAnsi="Times Roman" w:cs="Times New Roman"/>
      <w:sz w:val="24"/>
      <w:szCs w:val="20"/>
    </w:rPr>
  </w:style>
  <w:style w:type="paragraph" w:styleId="BodyText">
    <w:name w:val="Body Text"/>
    <w:basedOn w:val="Normal"/>
    <w:link w:val="BodyTextChar"/>
    <w:rsid w:val="00595C63"/>
    <w:pPr>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jc w:val="both"/>
      <w:textAlignment w:val="baseline"/>
    </w:pPr>
    <w:rPr>
      <w:rFonts w:cs="Times New Roman"/>
      <w:b/>
      <w:spacing w:val="-3"/>
      <w:sz w:val="32"/>
      <w:szCs w:val="20"/>
    </w:rPr>
  </w:style>
  <w:style w:type="character" w:customStyle="1" w:styleId="BodyTextChar">
    <w:name w:val="Body Text Char"/>
    <w:basedOn w:val="DefaultParagraphFont"/>
    <w:link w:val="BodyText"/>
    <w:rsid w:val="00595C63"/>
    <w:rPr>
      <w:rFonts w:ascii="Arial" w:eastAsia="Times New Roman" w:hAnsi="Arial" w:cs="Times New Roman"/>
      <w:b/>
      <w:spacing w:val="-3"/>
      <w:sz w:val="32"/>
      <w:szCs w:val="20"/>
    </w:rPr>
  </w:style>
  <w:style w:type="paragraph" w:styleId="BodyText2">
    <w:name w:val="Body Text 2"/>
    <w:basedOn w:val="Normal"/>
    <w:link w:val="BodyText2Char"/>
    <w:rsid w:val="00595C63"/>
    <w:pPr>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jc w:val="both"/>
      <w:textAlignment w:val="baseline"/>
    </w:pPr>
    <w:rPr>
      <w:rFonts w:cs="Times New Roman"/>
      <w:spacing w:val="-3"/>
      <w:szCs w:val="20"/>
    </w:rPr>
  </w:style>
  <w:style w:type="character" w:customStyle="1" w:styleId="BodyText2Char">
    <w:name w:val="Body Text 2 Char"/>
    <w:basedOn w:val="DefaultParagraphFont"/>
    <w:link w:val="BodyText2"/>
    <w:rsid w:val="00595C63"/>
    <w:rPr>
      <w:rFonts w:ascii="Arial" w:eastAsia="Times New Roman" w:hAnsi="Arial" w:cs="Times New Roman"/>
      <w:spacing w:val="-3"/>
      <w:sz w:val="24"/>
      <w:szCs w:val="20"/>
    </w:rPr>
  </w:style>
  <w:style w:type="paragraph" w:styleId="BodyText3">
    <w:name w:val="Body Text 3"/>
    <w:basedOn w:val="Normal"/>
    <w:link w:val="BodyText3Char"/>
    <w:rsid w:val="00595C63"/>
    <w:pPr>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jc w:val="both"/>
      <w:textAlignment w:val="baseline"/>
    </w:pPr>
    <w:rPr>
      <w:rFonts w:cs="Times New Roman"/>
      <w:b/>
      <w:spacing w:val="-3"/>
      <w:szCs w:val="20"/>
    </w:rPr>
  </w:style>
  <w:style w:type="character" w:customStyle="1" w:styleId="BodyText3Char">
    <w:name w:val="Body Text 3 Char"/>
    <w:basedOn w:val="DefaultParagraphFont"/>
    <w:link w:val="BodyText3"/>
    <w:rsid w:val="00595C63"/>
    <w:rPr>
      <w:rFonts w:ascii="Arial" w:eastAsia="Times New Roman" w:hAnsi="Arial" w:cs="Times New Roman"/>
      <w:b/>
      <w:spacing w:val="-3"/>
      <w:sz w:val="24"/>
      <w:szCs w:val="20"/>
    </w:rPr>
  </w:style>
  <w:style w:type="paragraph" w:styleId="BlockText">
    <w:name w:val="Block Text"/>
    <w:basedOn w:val="Normal"/>
    <w:rsid w:val="00595C63"/>
    <w:pPr>
      <w:widowControl/>
      <w:tabs>
        <w:tab w:val="left" w:pos="-1440"/>
        <w:tab w:val="left" w:pos="-720"/>
        <w:tab w:val="left" w:pos="0"/>
        <w:tab w:val="left" w:pos="1080"/>
        <w:tab w:val="left" w:pos="1440"/>
      </w:tabs>
      <w:suppressAutoHyphens/>
      <w:overflowPunct w:val="0"/>
      <w:autoSpaceDE w:val="0"/>
      <w:autoSpaceDN w:val="0"/>
      <w:adjustRightInd w:val="0"/>
      <w:spacing w:after="0" w:line="240" w:lineRule="auto"/>
      <w:ind w:left="720" w:right="720"/>
      <w:jc w:val="both"/>
      <w:textAlignment w:val="baseline"/>
    </w:pPr>
    <w:rPr>
      <w:rFonts w:cs="Times New Roman"/>
      <w:i/>
      <w:iCs/>
      <w:spacing w:val="-3"/>
      <w:szCs w:val="20"/>
    </w:rPr>
  </w:style>
  <w:style w:type="paragraph" w:styleId="BodyTextIndent">
    <w:name w:val="Body Text Indent"/>
    <w:basedOn w:val="Normal"/>
    <w:link w:val="BodyTextIndentChar"/>
    <w:rsid w:val="00595C63"/>
    <w:pPr>
      <w:widowControl/>
      <w:overflowPunct w:val="0"/>
      <w:autoSpaceDE w:val="0"/>
      <w:autoSpaceDN w:val="0"/>
      <w:adjustRightInd w:val="0"/>
      <w:spacing w:after="0" w:line="240" w:lineRule="auto"/>
      <w:ind w:left="720"/>
      <w:textAlignment w:val="baseline"/>
    </w:pPr>
    <w:rPr>
      <w:rFonts w:cs="Times New Roman"/>
      <w:spacing w:val="-3"/>
      <w:szCs w:val="20"/>
    </w:rPr>
  </w:style>
  <w:style w:type="character" w:customStyle="1" w:styleId="BodyTextIndentChar">
    <w:name w:val="Body Text Indent Char"/>
    <w:basedOn w:val="DefaultParagraphFont"/>
    <w:link w:val="BodyTextIndent"/>
    <w:rsid w:val="00595C63"/>
    <w:rPr>
      <w:rFonts w:ascii="Arial" w:eastAsia="Times New Roman" w:hAnsi="Arial" w:cs="Times New Roman"/>
      <w:spacing w:val="-3"/>
      <w:sz w:val="24"/>
      <w:szCs w:val="20"/>
    </w:rPr>
  </w:style>
  <w:style w:type="character" w:customStyle="1" w:styleId="apple-converted-space">
    <w:name w:val="apple-converted-space"/>
    <w:basedOn w:val="DefaultParagraphFont"/>
    <w:rsid w:val="00595C63"/>
  </w:style>
  <w:style w:type="character" w:styleId="Hyperlink">
    <w:name w:val="Hyperlink"/>
    <w:basedOn w:val="DefaultParagraphFont"/>
    <w:uiPriority w:val="99"/>
    <w:rsid w:val="00595C63"/>
    <w:rPr>
      <w:color w:val="0000FF"/>
      <w:u w:val="single"/>
    </w:rPr>
  </w:style>
  <w:style w:type="character" w:styleId="Emphasis">
    <w:name w:val="Emphasis"/>
    <w:basedOn w:val="DefaultParagraphFont"/>
    <w:qFormat/>
    <w:rsid w:val="00595C63"/>
    <w:rPr>
      <w:b/>
      <w:bCs/>
      <w:i w:val="0"/>
      <w:iCs w:val="0"/>
    </w:rPr>
  </w:style>
  <w:style w:type="paragraph" w:styleId="ListParagraph">
    <w:name w:val="List Paragraph"/>
    <w:basedOn w:val="Normal"/>
    <w:uiPriority w:val="34"/>
    <w:qFormat/>
    <w:rsid w:val="00595C63"/>
    <w:pPr>
      <w:widowControl/>
      <w:spacing w:after="0" w:line="240" w:lineRule="auto"/>
      <w:ind w:left="720"/>
      <w:contextualSpacing/>
    </w:pPr>
    <w:rPr>
      <w:rFonts w:ascii="Times New Roman" w:hAnsi="Times New Roman" w:cs="Times New Roman"/>
    </w:rPr>
  </w:style>
  <w:style w:type="paragraph" w:styleId="NormalWeb">
    <w:name w:val="Normal (Web)"/>
    <w:basedOn w:val="Normal"/>
    <w:uiPriority w:val="99"/>
    <w:unhideWhenUsed/>
    <w:rsid w:val="00595C63"/>
    <w:pPr>
      <w:widowControl/>
      <w:spacing w:before="100" w:beforeAutospacing="1" w:after="100" w:afterAutospacing="1" w:line="240" w:lineRule="auto"/>
    </w:pPr>
    <w:rPr>
      <w:rFonts w:ascii="Times New Roman" w:hAnsi="Times New Roman" w:cs="Times New Roman"/>
    </w:rPr>
  </w:style>
  <w:style w:type="paragraph" w:customStyle="1" w:styleId="IRPHeader3">
    <w:name w:val="IRP Header 3"/>
    <w:basedOn w:val="Normal"/>
    <w:next w:val="Heading2"/>
    <w:link w:val="IRPHeader3Char"/>
    <w:qFormat/>
    <w:rsid w:val="00595C63"/>
    <w:pPr>
      <w:widowControl/>
      <w:overflowPunct w:val="0"/>
      <w:autoSpaceDE w:val="0"/>
      <w:autoSpaceDN w:val="0"/>
      <w:adjustRightInd w:val="0"/>
      <w:spacing w:before="120" w:after="0" w:line="240" w:lineRule="auto"/>
      <w:textAlignment w:val="baseline"/>
    </w:pPr>
    <w:rPr>
      <w:rFonts w:cs="Times New Roman"/>
      <w:b/>
      <w:szCs w:val="20"/>
    </w:rPr>
  </w:style>
  <w:style w:type="character" w:customStyle="1" w:styleId="IRPHeader3Char">
    <w:name w:val="IRP Header 3 Char"/>
    <w:basedOn w:val="DefaultParagraphFont"/>
    <w:link w:val="IRPHeader3"/>
    <w:rsid w:val="00595C63"/>
    <w:rPr>
      <w:rFonts w:ascii="Arial" w:eastAsia="Times New Roman" w:hAnsi="Arial" w:cs="Times New Roman"/>
      <w:b/>
      <w:sz w:val="24"/>
      <w:szCs w:val="20"/>
    </w:rPr>
  </w:style>
  <w:style w:type="paragraph" w:customStyle="1" w:styleId="Normal-Unedited">
    <w:name w:val="Normal - Unedited"/>
    <w:basedOn w:val="Caption"/>
    <w:link w:val="Normal-UneditedChar"/>
    <w:qFormat/>
    <w:rsid w:val="00595C63"/>
    <w:rPr>
      <w:rFonts w:ascii="Arial" w:hAnsi="Arial"/>
      <w:color w:val="E36C0A"/>
    </w:rPr>
  </w:style>
  <w:style w:type="character" w:customStyle="1" w:styleId="Normal-UneditedChar">
    <w:name w:val="Normal - Unedited Char"/>
    <w:basedOn w:val="DefaultParagraphFont"/>
    <w:link w:val="Normal-Unedited"/>
    <w:rsid w:val="00595C63"/>
    <w:rPr>
      <w:rFonts w:ascii="Arial" w:eastAsia="Times New Roman" w:hAnsi="Arial" w:cs="Times New Roman"/>
      <w:color w:val="E36C0A"/>
      <w:sz w:val="24"/>
      <w:szCs w:val="20"/>
    </w:rPr>
  </w:style>
  <w:style w:type="paragraph" w:customStyle="1" w:styleId="IRPHeader2">
    <w:name w:val="IRP Header 2"/>
    <w:basedOn w:val="Heading2"/>
    <w:link w:val="IRPHeader2Char"/>
    <w:qFormat/>
    <w:rsid w:val="00595C63"/>
    <w:pPr>
      <w:numPr>
        <w:ilvl w:val="1"/>
      </w:numPr>
      <w:jc w:val="left"/>
    </w:pPr>
  </w:style>
  <w:style w:type="character" w:customStyle="1" w:styleId="IRPHeader2Char">
    <w:name w:val="IRP Header 2 Char"/>
    <w:basedOn w:val="DefaultParagraphFont"/>
    <w:link w:val="IRPHeader2"/>
    <w:rsid w:val="00595C63"/>
    <w:rPr>
      <w:rFonts w:ascii="Arial" w:eastAsia="Times New Roman" w:hAnsi="Arial" w:cs="Times New Roman"/>
      <w:b/>
      <w:spacing w:val="-3"/>
      <w:sz w:val="24"/>
      <w:szCs w:val="20"/>
      <w:u w:val="single"/>
    </w:rPr>
  </w:style>
  <w:style w:type="paragraph" w:customStyle="1" w:styleId="IRPCaption">
    <w:name w:val="IRP Caption"/>
    <w:basedOn w:val="Caption"/>
    <w:link w:val="IRPCaptionChar"/>
    <w:rsid w:val="00595C63"/>
    <w:pPr>
      <w:jc w:val="center"/>
    </w:pPr>
    <w:rPr>
      <w:rFonts w:ascii="Arial" w:hAnsi="Arial"/>
      <w:sz w:val="20"/>
    </w:rPr>
  </w:style>
  <w:style w:type="character" w:customStyle="1" w:styleId="IRPCaptionChar">
    <w:name w:val="IRP Caption Char"/>
    <w:basedOn w:val="DefaultParagraphFont"/>
    <w:link w:val="IRPCaption"/>
    <w:rsid w:val="00595C63"/>
    <w:rPr>
      <w:rFonts w:ascii="Arial" w:eastAsia="Times New Roman" w:hAnsi="Arial" w:cs="Times New Roman"/>
      <w:sz w:val="20"/>
      <w:szCs w:val="20"/>
    </w:rPr>
  </w:style>
  <w:style w:type="paragraph" w:customStyle="1" w:styleId="Normal-Tables">
    <w:name w:val="Normal - Tables"/>
    <w:basedOn w:val="Normal"/>
    <w:link w:val="Normal-TablesChar"/>
    <w:qFormat/>
    <w:rsid w:val="00595C63"/>
    <w:pPr>
      <w:widowControl/>
      <w:overflowPunct w:val="0"/>
      <w:autoSpaceDE w:val="0"/>
      <w:autoSpaceDN w:val="0"/>
      <w:adjustRightInd w:val="0"/>
      <w:spacing w:after="120" w:line="240" w:lineRule="auto"/>
      <w:contextualSpacing/>
      <w:textAlignment w:val="baseline"/>
    </w:pPr>
    <w:rPr>
      <w:rFonts w:cs="Times New Roman"/>
      <w:b/>
      <w:szCs w:val="20"/>
    </w:rPr>
  </w:style>
  <w:style w:type="character" w:customStyle="1" w:styleId="Normal-TablesChar">
    <w:name w:val="Normal - Tables Char"/>
    <w:basedOn w:val="DefaultParagraphFont"/>
    <w:link w:val="Normal-Tables"/>
    <w:rsid w:val="00595C63"/>
    <w:rPr>
      <w:rFonts w:ascii="Arial" w:eastAsia="Times New Roman" w:hAnsi="Arial" w:cs="Times New Roman"/>
      <w:b/>
      <w:sz w:val="24"/>
      <w:szCs w:val="20"/>
    </w:rPr>
  </w:style>
  <w:style w:type="character" w:customStyle="1" w:styleId="IRPMath">
    <w:name w:val="IRP Math"/>
    <w:basedOn w:val="DefaultParagraphFont"/>
    <w:rsid w:val="00595C63"/>
    <w:rPr>
      <w:rFonts w:ascii="Cambria Math" w:hAnsi="Cambria Math"/>
      <w:i/>
      <w:iCs/>
    </w:rPr>
  </w:style>
  <w:style w:type="character" w:customStyle="1" w:styleId="normalchar1">
    <w:name w:val="normal__char1"/>
    <w:basedOn w:val="DefaultParagraphFont"/>
    <w:rsid w:val="00595C63"/>
    <w:rPr>
      <w:rFonts w:ascii="Calibri" w:hAnsi="Calibri" w:hint="default"/>
      <w:sz w:val="22"/>
      <w:szCs w:val="22"/>
    </w:rPr>
  </w:style>
  <w:style w:type="character" w:customStyle="1" w:styleId="googqs-tidbit">
    <w:name w:val="goog_qs-tidbit"/>
    <w:basedOn w:val="DefaultParagraphFont"/>
    <w:rsid w:val="00595C63"/>
  </w:style>
  <w:style w:type="paragraph" w:customStyle="1" w:styleId="msolistparagraph0">
    <w:name w:val="msolistparagraph"/>
    <w:basedOn w:val="Normal"/>
    <w:rsid w:val="00595C63"/>
    <w:pPr>
      <w:widowControl/>
      <w:spacing w:before="100" w:beforeAutospacing="1" w:after="100" w:afterAutospacing="1" w:line="240" w:lineRule="auto"/>
    </w:pPr>
    <w:rPr>
      <w:rFonts w:ascii="Times New Roman" w:hAnsi="Times New Roman" w:cs="Times New Roman"/>
    </w:rPr>
  </w:style>
  <w:style w:type="character" w:customStyle="1" w:styleId="EndnoteTextChar1">
    <w:name w:val="Endnote Text Char1"/>
    <w:basedOn w:val="DefaultParagraphFont"/>
    <w:uiPriority w:val="99"/>
    <w:semiHidden/>
    <w:rsid w:val="00815C10"/>
    <w:rPr>
      <w:sz w:val="20"/>
      <w:szCs w:val="20"/>
    </w:rPr>
  </w:style>
  <w:style w:type="paragraph" w:styleId="Revision">
    <w:name w:val="Revision"/>
    <w:hidden/>
    <w:uiPriority w:val="99"/>
    <w:semiHidden/>
    <w:rsid w:val="00815C10"/>
    <w:rPr>
      <w:sz w:val="24"/>
      <w:szCs w:val="24"/>
    </w:rPr>
  </w:style>
  <w:style w:type="character" w:styleId="Strong">
    <w:name w:val="Strong"/>
    <w:basedOn w:val="DefaultParagraphFont"/>
    <w:uiPriority w:val="22"/>
    <w:qFormat/>
    <w:rsid w:val="0027114A"/>
    <w:rPr>
      <w:b/>
      <w:bCs/>
    </w:rPr>
  </w:style>
  <w:style w:type="character" w:styleId="FootnoteReference">
    <w:name w:val="footnote reference"/>
    <w:basedOn w:val="DefaultParagraphFont"/>
    <w:uiPriority w:val="99"/>
    <w:semiHidden/>
    <w:unhideWhenUsed/>
    <w:rsid w:val="006802BB"/>
    <w:rPr>
      <w:vertAlign w:val="superscript"/>
    </w:rPr>
  </w:style>
  <w:style w:type="paragraph" w:styleId="Bibliography">
    <w:name w:val="Bibliography"/>
    <w:basedOn w:val="Normal"/>
    <w:next w:val="Normal"/>
    <w:uiPriority w:val="37"/>
    <w:semiHidden/>
    <w:unhideWhenUsed/>
    <w:rsid w:val="00E73D27"/>
  </w:style>
  <w:style w:type="paragraph" w:styleId="BodyTextFirstIndent">
    <w:name w:val="Body Text First Indent"/>
    <w:basedOn w:val="BodyText"/>
    <w:link w:val="BodyTextFirstIndentChar"/>
    <w:uiPriority w:val="99"/>
    <w:semiHidden/>
    <w:unhideWhenUsed/>
    <w:rsid w:val="00E73D27"/>
    <w:pPr>
      <w:widowControl w:val="0"/>
      <w:tabs>
        <w:tab w:val="clear" w:pos="-1440"/>
        <w:tab w:val="clear" w:pos="-720"/>
        <w:tab w:val="clear" w:pos="0"/>
        <w:tab w:val="clear" w:pos="1080"/>
        <w:tab w:val="clear" w:pos="1440"/>
      </w:tabs>
      <w:suppressAutoHyphens w:val="0"/>
      <w:overflowPunct/>
      <w:autoSpaceDE/>
      <w:autoSpaceDN/>
      <w:adjustRightInd/>
      <w:spacing w:after="200" w:line="276" w:lineRule="auto"/>
      <w:ind w:firstLine="360"/>
      <w:jc w:val="left"/>
      <w:textAlignment w:val="auto"/>
    </w:pPr>
    <w:rPr>
      <w:rFonts w:cs="Arial"/>
      <w:b w:val="0"/>
      <w:spacing w:val="0"/>
      <w:sz w:val="24"/>
      <w:szCs w:val="24"/>
    </w:rPr>
  </w:style>
  <w:style w:type="character" w:customStyle="1" w:styleId="BodyTextFirstIndentChar">
    <w:name w:val="Body Text First Indent Char"/>
    <w:basedOn w:val="BodyTextChar"/>
    <w:link w:val="BodyTextFirstIndent"/>
    <w:uiPriority w:val="99"/>
    <w:semiHidden/>
    <w:rsid w:val="00E73D27"/>
    <w:rPr>
      <w:rFonts w:ascii="Arial" w:eastAsia="Times New Roman" w:hAnsi="Arial" w:cs="Times New Roman"/>
      <w:b w:val="0"/>
      <w:spacing w:val="-3"/>
      <w:sz w:val="24"/>
      <w:szCs w:val="24"/>
    </w:rPr>
  </w:style>
  <w:style w:type="paragraph" w:styleId="BodyTextFirstIndent2">
    <w:name w:val="Body Text First Indent 2"/>
    <w:basedOn w:val="BodyTextIndent"/>
    <w:link w:val="BodyTextFirstIndent2Char"/>
    <w:uiPriority w:val="99"/>
    <w:semiHidden/>
    <w:unhideWhenUsed/>
    <w:rsid w:val="00E73D27"/>
    <w:pPr>
      <w:widowControl w:val="0"/>
      <w:overflowPunct/>
      <w:autoSpaceDE/>
      <w:autoSpaceDN/>
      <w:adjustRightInd/>
      <w:spacing w:after="200" w:line="276" w:lineRule="auto"/>
      <w:ind w:left="360" w:firstLine="360"/>
      <w:textAlignment w:val="auto"/>
    </w:pPr>
    <w:rPr>
      <w:rFonts w:cs="Arial"/>
      <w:spacing w:val="0"/>
      <w:szCs w:val="24"/>
    </w:rPr>
  </w:style>
  <w:style w:type="character" w:customStyle="1" w:styleId="BodyTextFirstIndent2Char">
    <w:name w:val="Body Text First Indent 2 Char"/>
    <w:basedOn w:val="BodyTextIndentChar"/>
    <w:link w:val="BodyTextFirstIndent2"/>
    <w:uiPriority w:val="99"/>
    <w:semiHidden/>
    <w:rsid w:val="00E73D27"/>
    <w:rPr>
      <w:rFonts w:ascii="Arial" w:eastAsia="Times New Roman" w:hAnsi="Arial" w:cs="Times New Roman"/>
      <w:spacing w:val="-3"/>
      <w:sz w:val="24"/>
      <w:szCs w:val="24"/>
    </w:rPr>
  </w:style>
  <w:style w:type="paragraph" w:styleId="BodyTextIndent2">
    <w:name w:val="Body Text Indent 2"/>
    <w:basedOn w:val="Normal"/>
    <w:link w:val="BodyTextIndent2Char"/>
    <w:uiPriority w:val="99"/>
    <w:semiHidden/>
    <w:unhideWhenUsed/>
    <w:rsid w:val="00E73D27"/>
    <w:pPr>
      <w:spacing w:after="120" w:line="480" w:lineRule="auto"/>
      <w:ind w:left="360"/>
    </w:pPr>
  </w:style>
  <w:style w:type="character" w:customStyle="1" w:styleId="BodyTextIndent2Char">
    <w:name w:val="Body Text Indent 2 Char"/>
    <w:basedOn w:val="DefaultParagraphFont"/>
    <w:link w:val="BodyTextIndent2"/>
    <w:uiPriority w:val="99"/>
    <w:semiHidden/>
    <w:rsid w:val="00E73D27"/>
    <w:rPr>
      <w:sz w:val="24"/>
      <w:szCs w:val="24"/>
    </w:rPr>
  </w:style>
  <w:style w:type="paragraph" w:styleId="BodyTextIndent3">
    <w:name w:val="Body Text Indent 3"/>
    <w:basedOn w:val="Normal"/>
    <w:link w:val="BodyTextIndent3Char"/>
    <w:uiPriority w:val="99"/>
    <w:semiHidden/>
    <w:unhideWhenUsed/>
    <w:rsid w:val="00E73D2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73D27"/>
    <w:rPr>
      <w:sz w:val="16"/>
      <w:szCs w:val="16"/>
    </w:rPr>
  </w:style>
  <w:style w:type="paragraph" w:styleId="Closing">
    <w:name w:val="Closing"/>
    <w:basedOn w:val="Normal"/>
    <w:link w:val="ClosingChar"/>
    <w:uiPriority w:val="99"/>
    <w:semiHidden/>
    <w:unhideWhenUsed/>
    <w:rsid w:val="00E73D27"/>
    <w:pPr>
      <w:spacing w:after="0" w:line="240" w:lineRule="auto"/>
      <w:ind w:left="4320"/>
    </w:pPr>
  </w:style>
  <w:style w:type="character" w:customStyle="1" w:styleId="ClosingChar">
    <w:name w:val="Closing Char"/>
    <w:basedOn w:val="DefaultParagraphFont"/>
    <w:link w:val="Closing"/>
    <w:uiPriority w:val="99"/>
    <w:semiHidden/>
    <w:rsid w:val="00E73D27"/>
    <w:rPr>
      <w:sz w:val="24"/>
      <w:szCs w:val="24"/>
    </w:rPr>
  </w:style>
  <w:style w:type="paragraph" w:styleId="Date">
    <w:name w:val="Date"/>
    <w:basedOn w:val="Normal"/>
    <w:next w:val="Normal"/>
    <w:link w:val="DateChar"/>
    <w:uiPriority w:val="99"/>
    <w:semiHidden/>
    <w:unhideWhenUsed/>
    <w:rsid w:val="00E73D27"/>
  </w:style>
  <w:style w:type="character" w:customStyle="1" w:styleId="DateChar">
    <w:name w:val="Date Char"/>
    <w:basedOn w:val="DefaultParagraphFont"/>
    <w:link w:val="Date"/>
    <w:uiPriority w:val="99"/>
    <w:semiHidden/>
    <w:rsid w:val="00E73D27"/>
    <w:rPr>
      <w:sz w:val="24"/>
      <w:szCs w:val="24"/>
    </w:rPr>
  </w:style>
  <w:style w:type="paragraph" w:styleId="DocumentMap">
    <w:name w:val="Document Map"/>
    <w:basedOn w:val="Normal"/>
    <w:link w:val="DocumentMapChar"/>
    <w:uiPriority w:val="99"/>
    <w:semiHidden/>
    <w:unhideWhenUsed/>
    <w:rsid w:val="00E73D2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73D27"/>
    <w:rPr>
      <w:rFonts w:ascii="Tahoma" w:hAnsi="Tahoma" w:cs="Tahoma"/>
      <w:sz w:val="16"/>
      <w:szCs w:val="16"/>
    </w:rPr>
  </w:style>
  <w:style w:type="paragraph" w:styleId="E-mailSignature">
    <w:name w:val="E-mail Signature"/>
    <w:basedOn w:val="Normal"/>
    <w:link w:val="E-mailSignatureChar"/>
    <w:uiPriority w:val="99"/>
    <w:semiHidden/>
    <w:unhideWhenUsed/>
    <w:rsid w:val="00E73D27"/>
    <w:pPr>
      <w:spacing w:after="0" w:line="240" w:lineRule="auto"/>
    </w:pPr>
  </w:style>
  <w:style w:type="character" w:customStyle="1" w:styleId="E-mailSignatureChar">
    <w:name w:val="E-mail Signature Char"/>
    <w:basedOn w:val="DefaultParagraphFont"/>
    <w:link w:val="E-mailSignature"/>
    <w:uiPriority w:val="99"/>
    <w:semiHidden/>
    <w:rsid w:val="00E73D27"/>
    <w:rPr>
      <w:sz w:val="24"/>
      <w:szCs w:val="24"/>
    </w:rPr>
  </w:style>
  <w:style w:type="paragraph" w:styleId="EnvelopeAddress">
    <w:name w:val="envelope address"/>
    <w:basedOn w:val="Normal"/>
    <w:uiPriority w:val="99"/>
    <w:semiHidden/>
    <w:unhideWhenUsed/>
    <w:rsid w:val="00E73D27"/>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E73D27"/>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E73D27"/>
    <w:pPr>
      <w:spacing w:after="0" w:line="240" w:lineRule="auto"/>
    </w:pPr>
    <w:rPr>
      <w:i/>
      <w:iCs/>
    </w:rPr>
  </w:style>
  <w:style w:type="character" w:customStyle="1" w:styleId="HTMLAddressChar">
    <w:name w:val="HTML Address Char"/>
    <w:basedOn w:val="DefaultParagraphFont"/>
    <w:link w:val="HTMLAddress"/>
    <w:uiPriority w:val="99"/>
    <w:semiHidden/>
    <w:rsid w:val="00E73D27"/>
    <w:rPr>
      <w:i/>
      <w:iCs/>
      <w:sz w:val="24"/>
      <w:szCs w:val="24"/>
    </w:rPr>
  </w:style>
  <w:style w:type="paragraph" w:styleId="HTMLPreformatted">
    <w:name w:val="HTML Preformatted"/>
    <w:basedOn w:val="Normal"/>
    <w:link w:val="HTMLPreformattedChar"/>
    <w:uiPriority w:val="99"/>
    <w:semiHidden/>
    <w:unhideWhenUsed/>
    <w:rsid w:val="00E73D2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73D27"/>
    <w:rPr>
      <w:rFonts w:ascii="Consolas" w:hAnsi="Consolas" w:cs="Consolas"/>
    </w:rPr>
  </w:style>
  <w:style w:type="paragraph" w:styleId="Index2">
    <w:name w:val="index 2"/>
    <w:basedOn w:val="Normal"/>
    <w:next w:val="Normal"/>
    <w:autoRedefine/>
    <w:semiHidden/>
    <w:unhideWhenUsed/>
    <w:rsid w:val="00E73D27"/>
    <w:pPr>
      <w:spacing w:after="0" w:line="240" w:lineRule="auto"/>
      <w:ind w:left="480" w:hanging="240"/>
    </w:pPr>
  </w:style>
  <w:style w:type="paragraph" w:styleId="Index3">
    <w:name w:val="index 3"/>
    <w:basedOn w:val="Normal"/>
    <w:next w:val="Normal"/>
    <w:autoRedefine/>
    <w:uiPriority w:val="99"/>
    <w:semiHidden/>
    <w:unhideWhenUsed/>
    <w:rsid w:val="00E73D27"/>
    <w:pPr>
      <w:spacing w:after="0" w:line="240" w:lineRule="auto"/>
      <w:ind w:left="720" w:hanging="240"/>
    </w:pPr>
  </w:style>
  <w:style w:type="paragraph" w:styleId="Index4">
    <w:name w:val="index 4"/>
    <w:basedOn w:val="Normal"/>
    <w:next w:val="Normal"/>
    <w:autoRedefine/>
    <w:uiPriority w:val="99"/>
    <w:semiHidden/>
    <w:unhideWhenUsed/>
    <w:rsid w:val="00E73D27"/>
    <w:pPr>
      <w:spacing w:after="0" w:line="240" w:lineRule="auto"/>
      <w:ind w:left="960" w:hanging="240"/>
    </w:pPr>
  </w:style>
  <w:style w:type="paragraph" w:styleId="Index5">
    <w:name w:val="index 5"/>
    <w:basedOn w:val="Normal"/>
    <w:next w:val="Normal"/>
    <w:autoRedefine/>
    <w:uiPriority w:val="99"/>
    <w:semiHidden/>
    <w:unhideWhenUsed/>
    <w:rsid w:val="00E73D27"/>
    <w:pPr>
      <w:spacing w:after="0" w:line="240" w:lineRule="auto"/>
      <w:ind w:left="1200" w:hanging="240"/>
    </w:pPr>
  </w:style>
  <w:style w:type="paragraph" w:styleId="Index6">
    <w:name w:val="index 6"/>
    <w:basedOn w:val="Normal"/>
    <w:next w:val="Normal"/>
    <w:autoRedefine/>
    <w:uiPriority w:val="99"/>
    <w:semiHidden/>
    <w:unhideWhenUsed/>
    <w:rsid w:val="00E73D27"/>
    <w:pPr>
      <w:spacing w:after="0" w:line="240" w:lineRule="auto"/>
      <w:ind w:left="1440" w:hanging="240"/>
    </w:pPr>
  </w:style>
  <w:style w:type="paragraph" w:styleId="Index7">
    <w:name w:val="index 7"/>
    <w:basedOn w:val="Normal"/>
    <w:next w:val="Normal"/>
    <w:autoRedefine/>
    <w:uiPriority w:val="99"/>
    <w:semiHidden/>
    <w:unhideWhenUsed/>
    <w:rsid w:val="00E73D27"/>
    <w:pPr>
      <w:spacing w:after="0" w:line="240" w:lineRule="auto"/>
      <w:ind w:left="1680" w:hanging="240"/>
    </w:pPr>
  </w:style>
  <w:style w:type="paragraph" w:styleId="Index8">
    <w:name w:val="index 8"/>
    <w:basedOn w:val="Normal"/>
    <w:next w:val="Normal"/>
    <w:autoRedefine/>
    <w:uiPriority w:val="99"/>
    <w:semiHidden/>
    <w:unhideWhenUsed/>
    <w:rsid w:val="00E73D27"/>
    <w:pPr>
      <w:spacing w:after="0" w:line="240" w:lineRule="auto"/>
      <w:ind w:left="1920" w:hanging="240"/>
    </w:pPr>
  </w:style>
  <w:style w:type="paragraph" w:styleId="Index9">
    <w:name w:val="index 9"/>
    <w:basedOn w:val="Normal"/>
    <w:next w:val="Normal"/>
    <w:autoRedefine/>
    <w:uiPriority w:val="99"/>
    <w:semiHidden/>
    <w:unhideWhenUsed/>
    <w:rsid w:val="00E73D27"/>
    <w:pPr>
      <w:spacing w:after="0" w:line="240" w:lineRule="auto"/>
      <w:ind w:left="2160" w:hanging="240"/>
    </w:pPr>
  </w:style>
  <w:style w:type="paragraph" w:styleId="IndexHeading">
    <w:name w:val="index heading"/>
    <w:basedOn w:val="Normal"/>
    <w:next w:val="Index1"/>
    <w:uiPriority w:val="99"/>
    <w:semiHidden/>
    <w:unhideWhenUsed/>
    <w:rsid w:val="00E73D2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73D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73D27"/>
    <w:rPr>
      <w:b/>
      <w:bCs/>
      <w:i/>
      <w:iCs/>
      <w:color w:val="4F81BD" w:themeColor="accent1"/>
      <w:sz w:val="24"/>
      <w:szCs w:val="24"/>
    </w:rPr>
  </w:style>
  <w:style w:type="paragraph" w:styleId="List">
    <w:name w:val="List"/>
    <w:basedOn w:val="Normal"/>
    <w:uiPriority w:val="99"/>
    <w:semiHidden/>
    <w:unhideWhenUsed/>
    <w:rsid w:val="00E73D27"/>
    <w:pPr>
      <w:ind w:left="360" w:hanging="360"/>
      <w:contextualSpacing/>
    </w:pPr>
  </w:style>
  <w:style w:type="paragraph" w:styleId="List2">
    <w:name w:val="List 2"/>
    <w:basedOn w:val="Normal"/>
    <w:uiPriority w:val="99"/>
    <w:semiHidden/>
    <w:unhideWhenUsed/>
    <w:rsid w:val="00E73D27"/>
    <w:pPr>
      <w:ind w:left="720" w:hanging="360"/>
      <w:contextualSpacing/>
    </w:pPr>
  </w:style>
  <w:style w:type="paragraph" w:styleId="List3">
    <w:name w:val="List 3"/>
    <w:basedOn w:val="Normal"/>
    <w:uiPriority w:val="99"/>
    <w:semiHidden/>
    <w:unhideWhenUsed/>
    <w:rsid w:val="00E73D27"/>
    <w:pPr>
      <w:ind w:left="1080" w:hanging="360"/>
      <w:contextualSpacing/>
    </w:pPr>
  </w:style>
  <w:style w:type="paragraph" w:styleId="List4">
    <w:name w:val="List 4"/>
    <w:basedOn w:val="Normal"/>
    <w:uiPriority w:val="99"/>
    <w:semiHidden/>
    <w:unhideWhenUsed/>
    <w:rsid w:val="00E73D27"/>
    <w:pPr>
      <w:ind w:left="1440" w:hanging="360"/>
      <w:contextualSpacing/>
    </w:pPr>
  </w:style>
  <w:style w:type="paragraph" w:styleId="List5">
    <w:name w:val="List 5"/>
    <w:basedOn w:val="Normal"/>
    <w:uiPriority w:val="99"/>
    <w:semiHidden/>
    <w:unhideWhenUsed/>
    <w:rsid w:val="00E73D27"/>
    <w:pPr>
      <w:ind w:left="1800" w:hanging="360"/>
      <w:contextualSpacing/>
    </w:pPr>
  </w:style>
  <w:style w:type="paragraph" w:styleId="ListBullet">
    <w:name w:val="List Bullet"/>
    <w:basedOn w:val="Normal"/>
    <w:uiPriority w:val="99"/>
    <w:semiHidden/>
    <w:unhideWhenUsed/>
    <w:rsid w:val="00E73D27"/>
    <w:pPr>
      <w:numPr>
        <w:numId w:val="30"/>
      </w:numPr>
      <w:contextualSpacing/>
    </w:pPr>
  </w:style>
  <w:style w:type="paragraph" w:styleId="ListBullet2">
    <w:name w:val="List Bullet 2"/>
    <w:basedOn w:val="Normal"/>
    <w:uiPriority w:val="99"/>
    <w:semiHidden/>
    <w:unhideWhenUsed/>
    <w:rsid w:val="00E73D27"/>
    <w:pPr>
      <w:numPr>
        <w:numId w:val="31"/>
      </w:numPr>
      <w:contextualSpacing/>
    </w:pPr>
  </w:style>
  <w:style w:type="paragraph" w:styleId="ListBullet3">
    <w:name w:val="List Bullet 3"/>
    <w:basedOn w:val="Normal"/>
    <w:uiPriority w:val="99"/>
    <w:semiHidden/>
    <w:unhideWhenUsed/>
    <w:rsid w:val="00E73D27"/>
    <w:pPr>
      <w:numPr>
        <w:numId w:val="32"/>
      </w:numPr>
      <w:contextualSpacing/>
    </w:pPr>
  </w:style>
  <w:style w:type="paragraph" w:styleId="ListBullet4">
    <w:name w:val="List Bullet 4"/>
    <w:basedOn w:val="Normal"/>
    <w:uiPriority w:val="99"/>
    <w:semiHidden/>
    <w:unhideWhenUsed/>
    <w:rsid w:val="00E73D27"/>
    <w:pPr>
      <w:numPr>
        <w:numId w:val="33"/>
      </w:numPr>
      <w:contextualSpacing/>
    </w:pPr>
  </w:style>
  <w:style w:type="paragraph" w:styleId="ListBullet5">
    <w:name w:val="List Bullet 5"/>
    <w:basedOn w:val="Normal"/>
    <w:uiPriority w:val="99"/>
    <w:semiHidden/>
    <w:unhideWhenUsed/>
    <w:rsid w:val="00E73D27"/>
    <w:pPr>
      <w:numPr>
        <w:numId w:val="34"/>
      </w:numPr>
      <w:contextualSpacing/>
    </w:pPr>
  </w:style>
  <w:style w:type="paragraph" w:styleId="ListContinue">
    <w:name w:val="List Continue"/>
    <w:basedOn w:val="Normal"/>
    <w:uiPriority w:val="99"/>
    <w:semiHidden/>
    <w:unhideWhenUsed/>
    <w:rsid w:val="00E73D27"/>
    <w:pPr>
      <w:spacing w:after="120"/>
      <w:ind w:left="360"/>
      <w:contextualSpacing/>
    </w:pPr>
  </w:style>
  <w:style w:type="paragraph" w:styleId="ListContinue2">
    <w:name w:val="List Continue 2"/>
    <w:basedOn w:val="Normal"/>
    <w:uiPriority w:val="99"/>
    <w:semiHidden/>
    <w:unhideWhenUsed/>
    <w:rsid w:val="00E73D27"/>
    <w:pPr>
      <w:spacing w:after="120"/>
      <w:ind w:left="720"/>
      <w:contextualSpacing/>
    </w:pPr>
  </w:style>
  <w:style w:type="paragraph" w:styleId="ListContinue3">
    <w:name w:val="List Continue 3"/>
    <w:basedOn w:val="Normal"/>
    <w:uiPriority w:val="99"/>
    <w:semiHidden/>
    <w:unhideWhenUsed/>
    <w:rsid w:val="00E73D27"/>
    <w:pPr>
      <w:spacing w:after="120"/>
      <w:ind w:left="1080"/>
      <w:contextualSpacing/>
    </w:pPr>
  </w:style>
  <w:style w:type="paragraph" w:styleId="ListContinue4">
    <w:name w:val="List Continue 4"/>
    <w:basedOn w:val="Normal"/>
    <w:uiPriority w:val="99"/>
    <w:semiHidden/>
    <w:unhideWhenUsed/>
    <w:rsid w:val="00E73D27"/>
    <w:pPr>
      <w:spacing w:after="120"/>
      <w:ind w:left="1440"/>
      <w:contextualSpacing/>
    </w:pPr>
  </w:style>
  <w:style w:type="paragraph" w:styleId="ListContinue5">
    <w:name w:val="List Continue 5"/>
    <w:basedOn w:val="Normal"/>
    <w:uiPriority w:val="99"/>
    <w:semiHidden/>
    <w:unhideWhenUsed/>
    <w:rsid w:val="00E73D27"/>
    <w:pPr>
      <w:spacing w:after="120"/>
      <w:ind w:left="1800"/>
      <w:contextualSpacing/>
    </w:pPr>
  </w:style>
  <w:style w:type="paragraph" w:styleId="ListNumber">
    <w:name w:val="List Number"/>
    <w:basedOn w:val="Normal"/>
    <w:uiPriority w:val="99"/>
    <w:semiHidden/>
    <w:unhideWhenUsed/>
    <w:rsid w:val="00E73D27"/>
    <w:pPr>
      <w:numPr>
        <w:numId w:val="35"/>
      </w:numPr>
      <w:contextualSpacing/>
    </w:pPr>
  </w:style>
  <w:style w:type="paragraph" w:styleId="ListNumber2">
    <w:name w:val="List Number 2"/>
    <w:basedOn w:val="Normal"/>
    <w:uiPriority w:val="99"/>
    <w:semiHidden/>
    <w:unhideWhenUsed/>
    <w:rsid w:val="00E73D27"/>
    <w:pPr>
      <w:numPr>
        <w:numId w:val="36"/>
      </w:numPr>
      <w:contextualSpacing/>
    </w:pPr>
  </w:style>
  <w:style w:type="paragraph" w:styleId="ListNumber3">
    <w:name w:val="List Number 3"/>
    <w:basedOn w:val="Normal"/>
    <w:uiPriority w:val="99"/>
    <w:semiHidden/>
    <w:unhideWhenUsed/>
    <w:rsid w:val="00E73D27"/>
    <w:pPr>
      <w:numPr>
        <w:numId w:val="37"/>
      </w:numPr>
      <w:contextualSpacing/>
    </w:pPr>
  </w:style>
  <w:style w:type="paragraph" w:styleId="ListNumber4">
    <w:name w:val="List Number 4"/>
    <w:basedOn w:val="Normal"/>
    <w:uiPriority w:val="99"/>
    <w:semiHidden/>
    <w:unhideWhenUsed/>
    <w:rsid w:val="00E73D27"/>
    <w:pPr>
      <w:numPr>
        <w:numId w:val="38"/>
      </w:numPr>
      <w:contextualSpacing/>
    </w:pPr>
  </w:style>
  <w:style w:type="paragraph" w:styleId="ListNumber5">
    <w:name w:val="List Number 5"/>
    <w:basedOn w:val="Normal"/>
    <w:uiPriority w:val="99"/>
    <w:semiHidden/>
    <w:unhideWhenUsed/>
    <w:rsid w:val="00E73D27"/>
    <w:pPr>
      <w:numPr>
        <w:numId w:val="39"/>
      </w:numPr>
      <w:contextualSpacing/>
    </w:pPr>
  </w:style>
  <w:style w:type="paragraph" w:styleId="MacroText">
    <w:name w:val="macro"/>
    <w:link w:val="MacroTextChar"/>
    <w:uiPriority w:val="99"/>
    <w:semiHidden/>
    <w:unhideWhenUsed/>
    <w:rsid w:val="00E73D27"/>
    <w:pPr>
      <w:widowControl w:val="0"/>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rPr>
  </w:style>
  <w:style w:type="character" w:customStyle="1" w:styleId="MacroTextChar">
    <w:name w:val="Macro Text Char"/>
    <w:basedOn w:val="DefaultParagraphFont"/>
    <w:link w:val="MacroText"/>
    <w:uiPriority w:val="99"/>
    <w:semiHidden/>
    <w:rsid w:val="00E73D27"/>
    <w:rPr>
      <w:rFonts w:ascii="Consolas" w:hAnsi="Consolas" w:cs="Consolas"/>
    </w:rPr>
  </w:style>
  <w:style w:type="paragraph" w:styleId="MessageHeader">
    <w:name w:val="Message Header"/>
    <w:basedOn w:val="Normal"/>
    <w:link w:val="MessageHeaderChar"/>
    <w:uiPriority w:val="99"/>
    <w:semiHidden/>
    <w:unhideWhenUsed/>
    <w:rsid w:val="00E73D2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73D27"/>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E73D27"/>
    <w:pPr>
      <w:ind w:left="720"/>
    </w:pPr>
  </w:style>
  <w:style w:type="paragraph" w:styleId="NoteHeading">
    <w:name w:val="Note Heading"/>
    <w:basedOn w:val="Normal"/>
    <w:next w:val="Normal"/>
    <w:link w:val="NoteHeadingChar"/>
    <w:uiPriority w:val="99"/>
    <w:semiHidden/>
    <w:unhideWhenUsed/>
    <w:rsid w:val="00E73D27"/>
    <w:pPr>
      <w:spacing w:after="0" w:line="240" w:lineRule="auto"/>
    </w:pPr>
  </w:style>
  <w:style w:type="character" w:customStyle="1" w:styleId="NoteHeadingChar">
    <w:name w:val="Note Heading Char"/>
    <w:basedOn w:val="DefaultParagraphFont"/>
    <w:link w:val="NoteHeading"/>
    <w:uiPriority w:val="99"/>
    <w:semiHidden/>
    <w:rsid w:val="00E73D27"/>
    <w:rPr>
      <w:sz w:val="24"/>
      <w:szCs w:val="24"/>
    </w:rPr>
  </w:style>
  <w:style w:type="paragraph" w:styleId="PlainText">
    <w:name w:val="Plain Text"/>
    <w:basedOn w:val="Normal"/>
    <w:link w:val="PlainTextChar"/>
    <w:uiPriority w:val="99"/>
    <w:semiHidden/>
    <w:unhideWhenUsed/>
    <w:rsid w:val="00E73D2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73D27"/>
    <w:rPr>
      <w:rFonts w:ascii="Consolas" w:hAnsi="Consolas" w:cs="Consolas"/>
      <w:sz w:val="21"/>
      <w:szCs w:val="21"/>
    </w:rPr>
  </w:style>
  <w:style w:type="paragraph" w:styleId="Quote">
    <w:name w:val="Quote"/>
    <w:basedOn w:val="Normal"/>
    <w:next w:val="Normal"/>
    <w:link w:val="QuoteChar"/>
    <w:uiPriority w:val="29"/>
    <w:qFormat/>
    <w:rsid w:val="00E73D27"/>
    <w:rPr>
      <w:i/>
      <w:iCs/>
      <w:color w:val="000000" w:themeColor="text1"/>
    </w:rPr>
  </w:style>
  <w:style w:type="character" w:customStyle="1" w:styleId="QuoteChar">
    <w:name w:val="Quote Char"/>
    <w:basedOn w:val="DefaultParagraphFont"/>
    <w:link w:val="Quote"/>
    <w:uiPriority w:val="29"/>
    <w:rsid w:val="00E73D27"/>
    <w:rPr>
      <w:i/>
      <w:iCs/>
      <w:color w:val="000000" w:themeColor="text1"/>
      <w:sz w:val="24"/>
      <w:szCs w:val="24"/>
    </w:rPr>
  </w:style>
  <w:style w:type="paragraph" w:styleId="Salutation">
    <w:name w:val="Salutation"/>
    <w:basedOn w:val="Normal"/>
    <w:next w:val="Normal"/>
    <w:link w:val="SalutationChar"/>
    <w:uiPriority w:val="99"/>
    <w:semiHidden/>
    <w:unhideWhenUsed/>
    <w:rsid w:val="00E73D27"/>
  </w:style>
  <w:style w:type="character" w:customStyle="1" w:styleId="SalutationChar">
    <w:name w:val="Salutation Char"/>
    <w:basedOn w:val="DefaultParagraphFont"/>
    <w:link w:val="Salutation"/>
    <w:uiPriority w:val="99"/>
    <w:semiHidden/>
    <w:rsid w:val="00E73D27"/>
    <w:rPr>
      <w:sz w:val="24"/>
      <w:szCs w:val="24"/>
    </w:rPr>
  </w:style>
  <w:style w:type="paragraph" w:styleId="Signature">
    <w:name w:val="Signature"/>
    <w:basedOn w:val="Normal"/>
    <w:link w:val="SignatureChar"/>
    <w:uiPriority w:val="99"/>
    <w:semiHidden/>
    <w:unhideWhenUsed/>
    <w:rsid w:val="00E73D27"/>
    <w:pPr>
      <w:spacing w:after="0" w:line="240" w:lineRule="auto"/>
      <w:ind w:left="4320"/>
    </w:pPr>
  </w:style>
  <w:style w:type="character" w:customStyle="1" w:styleId="SignatureChar">
    <w:name w:val="Signature Char"/>
    <w:basedOn w:val="DefaultParagraphFont"/>
    <w:link w:val="Signature"/>
    <w:uiPriority w:val="99"/>
    <w:semiHidden/>
    <w:rsid w:val="00E73D27"/>
    <w:rPr>
      <w:sz w:val="24"/>
      <w:szCs w:val="24"/>
    </w:rPr>
  </w:style>
  <w:style w:type="paragraph" w:styleId="Subtitle">
    <w:name w:val="Subtitle"/>
    <w:basedOn w:val="Normal"/>
    <w:next w:val="Normal"/>
    <w:link w:val="SubtitleChar"/>
    <w:uiPriority w:val="11"/>
    <w:qFormat/>
    <w:rsid w:val="00E73D2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73D27"/>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E73D27"/>
    <w:pPr>
      <w:spacing w:after="0"/>
      <w:ind w:left="240" w:hanging="240"/>
    </w:pPr>
  </w:style>
  <w:style w:type="paragraph" w:styleId="TableofFigures">
    <w:name w:val="table of figures"/>
    <w:basedOn w:val="Normal"/>
    <w:next w:val="Normal"/>
    <w:uiPriority w:val="99"/>
    <w:semiHidden/>
    <w:unhideWhenUsed/>
    <w:rsid w:val="00E73D27"/>
    <w:pPr>
      <w:spacing w:after="0"/>
    </w:pPr>
  </w:style>
  <w:style w:type="paragraph" w:styleId="Title">
    <w:name w:val="Title"/>
    <w:basedOn w:val="Normal"/>
    <w:next w:val="Normal"/>
    <w:link w:val="TitleChar"/>
    <w:uiPriority w:val="10"/>
    <w:qFormat/>
    <w:rsid w:val="00E73D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3D2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unhideWhenUsed/>
    <w:rsid w:val="00E73D27"/>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D91C36"/>
    <w:pPr>
      <w:tabs>
        <w:tab w:val="right" w:leader="dot" w:pos="9630"/>
      </w:tabs>
      <w:spacing w:after="0" w:line="240" w:lineRule="auto"/>
      <w:ind w:left="240"/>
      <w:contextualSpacing/>
    </w:pPr>
  </w:style>
  <w:style w:type="paragraph" w:styleId="TOC4">
    <w:name w:val="toc 4"/>
    <w:basedOn w:val="Normal"/>
    <w:next w:val="Normal"/>
    <w:autoRedefine/>
    <w:semiHidden/>
    <w:unhideWhenUsed/>
    <w:rsid w:val="00E73D27"/>
    <w:pPr>
      <w:spacing w:after="100"/>
      <w:ind w:left="720"/>
    </w:pPr>
  </w:style>
  <w:style w:type="paragraph" w:styleId="TOC5">
    <w:name w:val="toc 5"/>
    <w:basedOn w:val="Normal"/>
    <w:next w:val="Normal"/>
    <w:autoRedefine/>
    <w:semiHidden/>
    <w:unhideWhenUsed/>
    <w:rsid w:val="00E73D27"/>
    <w:pPr>
      <w:spacing w:after="100"/>
      <w:ind w:left="960"/>
    </w:pPr>
  </w:style>
  <w:style w:type="paragraph" w:styleId="TOC6">
    <w:name w:val="toc 6"/>
    <w:basedOn w:val="Normal"/>
    <w:next w:val="Normal"/>
    <w:autoRedefine/>
    <w:semiHidden/>
    <w:unhideWhenUsed/>
    <w:rsid w:val="00E73D27"/>
    <w:pPr>
      <w:spacing w:after="100"/>
      <w:ind w:left="1200"/>
    </w:pPr>
  </w:style>
  <w:style w:type="paragraph" w:styleId="TOC7">
    <w:name w:val="toc 7"/>
    <w:basedOn w:val="Normal"/>
    <w:next w:val="Normal"/>
    <w:autoRedefine/>
    <w:semiHidden/>
    <w:unhideWhenUsed/>
    <w:rsid w:val="00E73D27"/>
    <w:pPr>
      <w:spacing w:after="100"/>
      <w:ind w:left="1440"/>
    </w:pPr>
  </w:style>
  <w:style w:type="paragraph" w:styleId="TOC8">
    <w:name w:val="toc 8"/>
    <w:basedOn w:val="Normal"/>
    <w:next w:val="Normal"/>
    <w:autoRedefine/>
    <w:semiHidden/>
    <w:unhideWhenUsed/>
    <w:rsid w:val="00E73D27"/>
    <w:pPr>
      <w:spacing w:after="100"/>
      <w:ind w:left="1680"/>
    </w:pPr>
  </w:style>
  <w:style w:type="paragraph" w:styleId="TOC9">
    <w:name w:val="toc 9"/>
    <w:basedOn w:val="Normal"/>
    <w:next w:val="Normal"/>
    <w:autoRedefine/>
    <w:semiHidden/>
    <w:unhideWhenUsed/>
    <w:rsid w:val="00E73D27"/>
    <w:pPr>
      <w:spacing w:after="100"/>
      <w:ind w:left="1920"/>
    </w:pPr>
  </w:style>
  <w:style w:type="paragraph" w:styleId="TOCHeading">
    <w:name w:val="TOC Heading"/>
    <w:basedOn w:val="Heading1"/>
    <w:next w:val="Normal"/>
    <w:uiPriority w:val="39"/>
    <w:semiHidden/>
    <w:unhideWhenUsed/>
    <w:qFormat/>
    <w:rsid w:val="00E73D27"/>
    <w:pPr>
      <w:keepLines/>
      <w:widowControl w:val="0"/>
      <w:tabs>
        <w:tab w:val="clear" w:pos="-1440"/>
        <w:tab w:val="clear" w:pos="-720"/>
        <w:tab w:val="clear" w:pos="0"/>
        <w:tab w:val="clear" w:pos="1080"/>
        <w:tab w:val="clear" w:pos="1440"/>
      </w:tabs>
      <w:suppressAutoHyphens w:val="0"/>
      <w:overflowPunct/>
      <w:autoSpaceDE/>
      <w:autoSpaceDN/>
      <w:adjustRightInd/>
      <w:spacing w:before="480"/>
      <w:jc w:val="left"/>
      <w:textAlignment w:val="auto"/>
      <w:outlineLvl w:val="9"/>
    </w:pPr>
    <w:rPr>
      <w:rFonts w:asciiTheme="majorHAnsi" w:eastAsiaTheme="majorEastAsia" w:hAnsiTheme="majorHAnsi" w:cstheme="majorBidi"/>
      <w:bCs/>
      <w:color w:val="365F91" w:themeColor="accent1" w:themeShade="BF"/>
      <w:spacing w:val="0"/>
      <w:szCs w:val="28"/>
      <w:u w:val="none"/>
    </w:rPr>
  </w:style>
  <w:style w:type="character" w:styleId="FollowedHyperlink">
    <w:name w:val="FollowedHyperlink"/>
    <w:basedOn w:val="DefaultParagraphFont"/>
    <w:uiPriority w:val="99"/>
    <w:semiHidden/>
    <w:unhideWhenUsed/>
    <w:rsid w:val="00C441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4327">
      <w:bodyDiv w:val="1"/>
      <w:marLeft w:val="0"/>
      <w:marRight w:val="0"/>
      <w:marTop w:val="0"/>
      <w:marBottom w:val="0"/>
      <w:divBdr>
        <w:top w:val="none" w:sz="0" w:space="0" w:color="auto"/>
        <w:left w:val="none" w:sz="0" w:space="0" w:color="auto"/>
        <w:bottom w:val="none" w:sz="0" w:space="0" w:color="auto"/>
        <w:right w:val="none" w:sz="0" w:space="0" w:color="auto"/>
      </w:divBdr>
    </w:div>
    <w:div w:id="42683979">
      <w:bodyDiv w:val="1"/>
      <w:marLeft w:val="0"/>
      <w:marRight w:val="0"/>
      <w:marTop w:val="0"/>
      <w:marBottom w:val="0"/>
      <w:divBdr>
        <w:top w:val="none" w:sz="0" w:space="0" w:color="auto"/>
        <w:left w:val="none" w:sz="0" w:space="0" w:color="auto"/>
        <w:bottom w:val="none" w:sz="0" w:space="0" w:color="auto"/>
        <w:right w:val="none" w:sz="0" w:space="0" w:color="auto"/>
      </w:divBdr>
    </w:div>
    <w:div w:id="130558911">
      <w:bodyDiv w:val="1"/>
      <w:marLeft w:val="0"/>
      <w:marRight w:val="0"/>
      <w:marTop w:val="0"/>
      <w:marBottom w:val="0"/>
      <w:divBdr>
        <w:top w:val="none" w:sz="0" w:space="0" w:color="auto"/>
        <w:left w:val="none" w:sz="0" w:space="0" w:color="auto"/>
        <w:bottom w:val="none" w:sz="0" w:space="0" w:color="auto"/>
        <w:right w:val="none" w:sz="0" w:space="0" w:color="auto"/>
      </w:divBdr>
    </w:div>
    <w:div w:id="132135485">
      <w:bodyDiv w:val="1"/>
      <w:marLeft w:val="0"/>
      <w:marRight w:val="0"/>
      <w:marTop w:val="0"/>
      <w:marBottom w:val="0"/>
      <w:divBdr>
        <w:top w:val="none" w:sz="0" w:space="0" w:color="auto"/>
        <w:left w:val="none" w:sz="0" w:space="0" w:color="auto"/>
        <w:bottom w:val="none" w:sz="0" w:space="0" w:color="auto"/>
        <w:right w:val="none" w:sz="0" w:space="0" w:color="auto"/>
      </w:divBdr>
    </w:div>
    <w:div w:id="162204993">
      <w:bodyDiv w:val="1"/>
      <w:marLeft w:val="0"/>
      <w:marRight w:val="0"/>
      <w:marTop w:val="0"/>
      <w:marBottom w:val="0"/>
      <w:divBdr>
        <w:top w:val="none" w:sz="0" w:space="0" w:color="auto"/>
        <w:left w:val="none" w:sz="0" w:space="0" w:color="auto"/>
        <w:bottom w:val="none" w:sz="0" w:space="0" w:color="auto"/>
        <w:right w:val="none" w:sz="0" w:space="0" w:color="auto"/>
      </w:divBdr>
    </w:div>
    <w:div w:id="195393812">
      <w:bodyDiv w:val="1"/>
      <w:marLeft w:val="0"/>
      <w:marRight w:val="0"/>
      <w:marTop w:val="0"/>
      <w:marBottom w:val="0"/>
      <w:divBdr>
        <w:top w:val="none" w:sz="0" w:space="0" w:color="auto"/>
        <w:left w:val="none" w:sz="0" w:space="0" w:color="auto"/>
        <w:bottom w:val="none" w:sz="0" w:space="0" w:color="auto"/>
        <w:right w:val="none" w:sz="0" w:space="0" w:color="auto"/>
      </w:divBdr>
      <w:divsChild>
        <w:div w:id="925191854">
          <w:marLeft w:val="547"/>
          <w:marRight w:val="0"/>
          <w:marTop w:val="154"/>
          <w:marBottom w:val="0"/>
          <w:divBdr>
            <w:top w:val="none" w:sz="0" w:space="0" w:color="auto"/>
            <w:left w:val="none" w:sz="0" w:space="0" w:color="auto"/>
            <w:bottom w:val="none" w:sz="0" w:space="0" w:color="auto"/>
            <w:right w:val="none" w:sz="0" w:space="0" w:color="auto"/>
          </w:divBdr>
        </w:div>
      </w:divsChild>
    </w:div>
    <w:div w:id="198012167">
      <w:bodyDiv w:val="1"/>
      <w:marLeft w:val="0"/>
      <w:marRight w:val="0"/>
      <w:marTop w:val="0"/>
      <w:marBottom w:val="0"/>
      <w:divBdr>
        <w:top w:val="none" w:sz="0" w:space="0" w:color="auto"/>
        <w:left w:val="none" w:sz="0" w:space="0" w:color="auto"/>
        <w:bottom w:val="none" w:sz="0" w:space="0" w:color="auto"/>
        <w:right w:val="none" w:sz="0" w:space="0" w:color="auto"/>
      </w:divBdr>
    </w:div>
    <w:div w:id="225458983">
      <w:bodyDiv w:val="1"/>
      <w:marLeft w:val="0"/>
      <w:marRight w:val="0"/>
      <w:marTop w:val="0"/>
      <w:marBottom w:val="0"/>
      <w:divBdr>
        <w:top w:val="none" w:sz="0" w:space="0" w:color="auto"/>
        <w:left w:val="none" w:sz="0" w:space="0" w:color="auto"/>
        <w:bottom w:val="none" w:sz="0" w:space="0" w:color="auto"/>
        <w:right w:val="none" w:sz="0" w:space="0" w:color="auto"/>
      </w:divBdr>
    </w:div>
    <w:div w:id="288391076">
      <w:bodyDiv w:val="1"/>
      <w:marLeft w:val="0"/>
      <w:marRight w:val="0"/>
      <w:marTop w:val="0"/>
      <w:marBottom w:val="0"/>
      <w:divBdr>
        <w:top w:val="none" w:sz="0" w:space="0" w:color="auto"/>
        <w:left w:val="none" w:sz="0" w:space="0" w:color="auto"/>
        <w:bottom w:val="none" w:sz="0" w:space="0" w:color="auto"/>
        <w:right w:val="none" w:sz="0" w:space="0" w:color="auto"/>
      </w:divBdr>
    </w:div>
    <w:div w:id="333152236">
      <w:bodyDiv w:val="1"/>
      <w:marLeft w:val="0"/>
      <w:marRight w:val="0"/>
      <w:marTop w:val="0"/>
      <w:marBottom w:val="0"/>
      <w:divBdr>
        <w:top w:val="none" w:sz="0" w:space="0" w:color="auto"/>
        <w:left w:val="none" w:sz="0" w:space="0" w:color="auto"/>
        <w:bottom w:val="none" w:sz="0" w:space="0" w:color="auto"/>
        <w:right w:val="none" w:sz="0" w:space="0" w:color="auto"/>
      </w:divBdr>
    </w:div>
    <w:div w:id="355623326">
      <w:bodyDiv w:val="1"/>
      <w:marLeft w:val="0"/>
      <w:marRight w:val="0"/>
      <w:marTop w:val="0"/>
      <w:marBottom w:val="0"/>
      <w:divBdr>
        <w:top w:val="none" w:sz="0" w:space="0" w:color="auto"/>
        <w:left w:val="none" w:sz="0" w:space="0" w:color="auto"/>
        <w:bottom w:val="none" w:sz="0" w:space="0" w:color="auto"/>
        <w:right w:val="none" w:sz="0" w:space="0" w:color="auto"/>
      </w:divBdr>
    </w:div>
    <w:div w:id="369494987">
      <w:bodyDiv w:val="1"/>
      <w:marLeft w:val="0"/>
      <w:marRight w:val="0"/>
      <w:marTop w:val="0"/>
      <w:marBottom w:val="0"/>
      <w:divBdr>
        <w:top w:val="none" w:sz="0" w:space="0" w:color="auto"/>
        <w:left w:val="none" w:sz="0" w:space="0" w:color="auto"/>
        <w:bottom w:val="none" w:sz="0" w:space="0" w:color="auto"/>
        <w:right w:val="none" w:sz="0" w:space="0" w:color="auto"/>
      </w:divBdr>
    </w:div>
    <w:div w:id="497694066">
      <w:bodyDiv w:val="1"/>
      <w:marLeft w:val="0"/>
      <w:marRight w:val="0"/>
      <w:marTop w:val="0"/>
      <w:marBottom w:val="0"/>
      <w:divBdr>
        <w:top w:val="none" w:sz="0" w:space="0" w:color="auto"/>
        <w:left w:val="none" w:sz="0" w:space="0" w:color="auto"/>
        <w:bottom w:val="none" w:sz="0" w:space="0" w:color="auto"/>
        <w:right w:val="none" w:sz="0" w:space="0" w:color="auto"/>
      </w:divBdr>
    </w:div>
    <w:div w:id="539129412">
      <w:bodyDiv w:val="1"/>
      <w:marLeft w:val="0"/>
      <w:marRight w:val="0"/>
      <w:marTop w:val="0"/>
      <w:marBottom w:val="0"/>
      <w:divBdr>
        <w:top w:val="none" w:sz="0" w:space="0" w:color="auto"/>
        <w:left w:val="none" w:sz="0" w:space="0" w:color="auto"/>
        <w:bottom w:val="none" w:sz="0" w:space="0" w:color="auto"/>
        <w:right w:val="none" w:sz="0" w:space="0" w:color="auto"/>
      </w:divBdr>
    </w:div>
    <w:div w:id="586812476">
      <w:bodyDiv w:val="1"/>
      <w:marLeft w:val="0"/>
      <w:marRight w:val="0"/>
      <w:marTop w:val="0"/>
      <w:marBottom w:val="0"/>
      <w:divBdr>
        <w:top w:val="none" w:sz="0" w:space="0" w:color="auto"/>
        <w:left w:val="none" w:sz="0" w:space="0" w:color="auto"/>
        <w:bottom w:val="none" w:sz="0" w:space="0" w:color="auto"/>
        <w:right w:val="none" w:sz="0" w:space="0" w:color="auto"/>
      </w:divBdr>
    </w:div>
    <w:div w:id="592199768">
      <w:bodyDiv w:val="1"/>
      <w:marLeft w:val="0"/>
      <w:marRight w:val="0"/>
      <w:marTop w:val="0"/>
      <w:marBottom w:val="0"/>
      <w:divBdr>
        <w:top w:val="none" w:sz="0" w:space="0" w:color="auto"/>
        <w:left w:val="none" w:sz="0" w:space="0" w:color="auto"/>
        <w:bottom w:val="none" w:sz="0" w:space="0" w:color="auto"/>
        <w:right w:val="none" w:sz="0" w:space="0" w:color="auto"/>
      </w:divBdr>
    </w:div>
    <w:div w:id="612396478">
      <w:bodyDiv w:val="1"/>
      <w:marLeft w:val="0"/>
      <w:marRight w:val="0"/>
      <w:marTop w:val="0"/>
      <w:marBottom w:val="0"/>
      <w:divBdr>
        <w:top w:val="none" w:sz="0" w:space="0" w:color="auto"/>
        <w:left w:val="none" w:sz="0" w:space="0" w:color="auto"/>
        <w:bottom w:val="none" w:sz="0" w:space="0" w:color="auto"/>
        <w:right w:val="none" w:sz="0" w:space="0" w:color="auto"/>
      </w:divBdr>
    </w:div>
    <w:div w:id="659622016">
      <w:bodyDiv w:val="1"/>
      <w:marLeft w:val="0"/>
      <w:marRight w:val="0"/>
      <w:marTop w:val="0"/>
      <w:marBottom w:val="0"/>
      <w:divBdr>
        <w:top w:val="none" w:sz="0" w:space="0" w:color="auto"/>
        <w:left w:val="none" w:sz="0" w:space="0" w:color="auto"/>
        <w:bottom w:val="none" w:sz="0" w:space="0" w:color="auto"/>
        <w:right w:val="none" w:sz="0" w:space="0" w:color="auto"/>
      </w:divBdr>
    </w:div>
    <w:div w:id="680549049">
      <w:bodyDiv w:val="1"/>
      <w:marLeft w:val="0"/>
      <w:marRight w:val="0"/>
      <w:marTop w:val="0"/>
      <w:marBottom w:val="0"/>
      <w:divBdr>
        <w:top w:val="none" w:sz="0" w:space="0" w:color="auto"/>
        <w:left w:val="none" w:sz="0" w:space="0" w:color="auto"/>
        <w:bottom w:val="none" w:sz="0" w:space="0" w:color="auto"/>
        <w:right w:val="none" w:sz="0" w:space="0" w:color="auto"/>
      </w:divBdr>
    </w:div>
    <w:div w:id="707337362">
      <w:bodyDiv w:val="1"/>
      <w:marLeft w:val="0"/>
      <w:marRight w:val="0"/>
      <w:marTop w:val="0"/>
      <w:marBottom w:val="0"/>
      <w:divBdr>
        <w:top w:val="none" w:sz="0" w:space="0" w:color="auto"/>
        <w:left w:val="none" w:sz="0" w:space="0" w:color="auto"/>
        <w:bottom w:val="none" w:sz="0" w:space="0" w:color="auto"/>
        <w:right w:val="none" w:sz="0" w:space="0" w:color="auto"/>
      </w:divBdr>
    </w:div>
    <w:div w:id="728459521">
      <w:bodyDiv w:val="1"/>
      <w:marLeft w:val="0"/>
      <w:marRight w:val="0"/>
      <w:marTop w:val="0"/>
      <w:marBottom w:val="0"/>
      <w:divBdr>
        <w:top w:val="none" w:sz="0" w:space="0" w:color="auto"/>
        <w:left w:val="none" w:sz="0" w:space="0" w:color="auto"/>
        <w:bottom w:val="none" w:sz="0" w:space="0" w:color="auto"/>
        <w:right w:val="none" w:sz="0" w:space="0" w:color="auto"/>
      </w:divBdr>
    </w:div>
    <w:div w:id="737558948">
      <w:bodyDiv w:val="1"/>
      <w:marLeft w:val="0"/>
      <w:marRight w:val="0"/>
      <w:marTop w:val="0"/>
      <w:marBottom w:val="0"/>
      <w:divBdr>
        <w:top w:val="none" w:sz="0" w:space="0" w:color="auto"/>
        <w:left w:val="none" w:sz="0" w:space="0" w:color="auto"/>
        <w:bottom w:val="none" w:sz="0" w:space="0" w:color="auto"/>
        <w:right w:val="none" w:sz="0" w:space="0" w:color="auto"/>
      </w:divBdr>
    </w:div>
    <w:div w:id="742485006">
      <w:bodyDiv w:val="1"/>
      <w:marLeft w:val="0"/>
      <w:marRight w:val="0"/>
      <w:marTop w:val="0"/>
      <w:marBottom w:val="0"/>
      <w:divBdr>
        <w:top w:val="none" w:sz="0" w:space="0" w:color="auto"/>
        <w:left w:val="none" w:sz="0" w:space="0" w:color="auto"/>
        <w:bottom w:val="none" w:sz="0" w:space="0" w:color="auto"/>
        <w:right w:val="none" w:sz="0" w:space="0" w:color="auto"/>
      </w:divBdr>
    </w:div>
    <w:div w:id="760758132">
      <w:bodyDiv w:val="1"/>
      <w:marLeft w:val="0"/>
      <w:marRight w:val="0"/>
      <w:marTop w:val="0"/>
      <w:marBottom w:val="0"/>
      <w:divBdr>
        <w:top w:val="none" w:sz="0" w:space="0" w:color="auto"/>
        <w:left w:val="none" w:sz="0" w:space="0" w:color="auto"/>
        <w:bottom w:val="none" w:sz="0" w:space="0" w:color="auto"/>
        <w:right w:val="none" w:sz="0" w:space="0" w:color="auto"/>
      </w:divBdr>
    </w:div>
    <w:div w:id="819616655">
      <w:bodyDiv w:val="1"/>
      <w:marLeft w:val="0"/>
      <w:marRight w:val="0"/>
      <w:marTop w:val="0"/>
      <w:marBottom w:val="0"/>
      <w:divBdr>
        <w:top w:val="none" w:sz="0" w:space="0" w:color="auto"/>
        <w:left w:val="none" w:sz="0" w:space="0" w:color="auto"/>
        <w:bottom w:val="none" w:sz="0" w:space="0" w:color="auto"/>
        <w:right w:val="none" w:sz="0" w:space="0" w:color="auto"/>
      </w:divBdr>
    </w:div>
    <w:div w:id="821117473">
      <w:bodyDiv w:val="1"/>
      <w:marLeft w:val="0"/>
      <w:marRight w:val="0"/>
      <w:marTop w:val="0"/>
      <w:marBottom w:val="0"/>
      <w:divBdr>
        <w:top w:val="none" w:sz="0" w:space="0" w:color="auto"/>
        <w:left w:val="none" w:sz="0" w:space="0" w:color="auto"/>
        <w:bottom w:val="none" w:sz="0" w:space="0" w:color="auto"/>
        <w:right w:val="none" w:sz="0" w:space="0" w:color="auto"/>
      </w:divBdr>
    </w:div>
    <w:div w:id="872502746">
      <w:bodyDiv w:val="1"/>
      <w:marLeft w:val="0"/>
      <w:marRight w:val="0"/>
      <w:marTop w:val="0"/>
      <w:marBottom w:val="0"/>
      <w:divBdr>
        <w:top w:val="none" w:sz="0" w:space="0" w:color="auto"/>
        <w:left w:val="none" w:sz="0" w:space="0" w:color="auto"/>
        <w:bottom w:val="none" w:sz="0" w:space="0" w:color="auto"/>
        <w:right w:val="none" w:sz="0" w:space="0" w:color="auto"/>
      </w:divBdr>
    </w:div>
    <w:div w:id="877619728">
      <w:bodyDiv w:val="1"/>
      <w:marLeft w:val="0"/>
      <w:marRight w:val="0"/>
      <w:marTop w:val="0"/>
      <w:marBottom w:val="0"/>
      <w:divBdr>
        <w:top w:val="none" w:sz="0" w:space="0" w:color="auto"/>
        <w:left w:val="none" w:sz="0" w:space="0" w:color="auto"/>
        <w:bottom w:val="none" w:sz="0" w:space="0" w:color="auto"/>
        <w:right w:val="none" w:sz="0" w:space="0" w:color="auto"/>
      </w:divBdr>
    </w:div>
    <w:div w:id="883758365">
      <w:bodyDiv w:val="1"/>
      <w:marLeft w:val="0"/>
      <w:marRight w:val="0"/>
      <w:marTop w:val="0"/>
      <w:marBottom w:val="0"/>
      <w:divBdr>
        <w:top w:val="none" w:sz="0" w:space="0" w:color="auto"/>
        <w:left w:val="none" w:sz="0" w:space="0" w:color="auto"/>
        <w:bottom w:val="none" w:sz="0" w:space="0" w:color="auto"/>
        <w:right w:val="none" w:sz="0" w:space="0" w:color="auto"/>
      </w:divBdr>
    </w:div>
    <w:div w:id="899905790">
      <w:bodyDiv w:val="1"/>
      <w:marLeft w:val="0"/>
      <w:marRight w:val="0"/>
      <w:marTop w:val="0"/>
      <w:marBottom w:val="0"/>
      <w:divBdr>
        <w:top w:val="none" w:sz="0" w:space="0" w:color="auto"/>
        <w:left w:val="none" w:sz="0" w:space="0" w:color="auto"/>
        <w:bottom w:val="none" w:sz="0" w:space="0" w:color="auto"/>
        <w:right w:val="none" w:sz="0" w:space="0" w:color="auto"/>
      </w:divBdr>
      <w:divsChild>
        <w:div w:id="390814731">
          <w:marLeft w:val="547"/>
          <w:marRight w:val="0"/>
          <w:marTop w:val="72"/>
          <w:marBottom w:val="0"/>
          <w:divBdr>
            <w:top w:val="none" w:sz="0" w:space="0" w:color="auto"/>
            <w:left w:val="none" w:sz="0" w:space="0" w:color="auto"/>
            <w:bottom w:val="none" w:sz="0" w:space="0" w:color="auto"/>
            <w:right w:val="none" w:sz="0" w:space="0" w:color="auto"/>
          </w:divBdr>
        </w:div>
      </w:divsChild>
    </w:div>
    <w:div w:id="932514952">
      <w:bodyDiv w:val="1"/>
      <w:marLeft w:val="0"/>
      <w:marRight w:val="0"/>
      <w:marTop w:val="0"/>
      <w:marBottom w:val="0"/>
      <w:divBdr>
        <w:top w:val="none" w:sz="0" w:space="0" w:color="auto"/>
        <w:left w:val="none" w:sz="0" w:space="0" w:color="auto"/>
        <w:bottom w:val="none" w:sz="0" w:space="0" w:color="auto"/>
        <w:right w:val="none" w:sz="0" w:space="0" w:color="auto"/>
      </w:divBdr>
    </w:div>
    <w:div w:id="965233614">
      <w:bodyDiv w:val="1"/>
      <w:marLeft w:val="0"/>
      <w:marRight w:val="0"/>
      <w:marTop w:val="0"/>
      <w:marBottom w:val="0"/>
      <w:divBdr>
        <w:top w:val="none" w:sz="0" w:space="0" w:color="auto"/>
        <w:left w:val="none" w:sz="0" w:space="0" w:color="auto"/>
        <w:bottom w:val="none" w:sz="0" w:space="0" w:color="auto"/>
        <w:right w:val="none" w:sz="0" w:space="0" w:color="auto"/>
      </w:divBdr>
    </w:div>
    <w:div w:id="983855251">
      <w:bodyDiv w:val="1"/>
      <w:marLeft w:val="0"/>
      <w:marRight w:val="0"/>
      <w:marTop w:val="0"/>
      <w:marBottom w:val="0"/>
      <w:divBdr>
        <w:top w:val="none" w:sz="0" w:space="0" w:color="auto"/>
        <w:left w:val="none" w:sz="0" w:space="0" w:color="auto"/>
        <w:bottom w:val="none" w:sz="0" w:space="0" w:color="auto"/>
        <w:right w:val="none" w:sz="0" w:space="0" w:color="auto"/>
      </w:divBdr>
    </w:div>
    <w:div w:id="998969092">
      <w:bodyDiv w:val="1"/>
      <w:marLeft w:val="0"/>
      <w:marRight w:val="0"/>
      <w:marTop w:val="0"/>
      <w:marBottom w:val="0"/>
      <w:divBdr>
        <w:top w:val="none" w:sz="0" w:space="0" w:color="auto"/>
        <w:left w:val="none" w:sz="0" w:space="0" w:color="auto"/>
        <w:bottom w:val="none" w:sz="0" w:space="0" w:color="auto"/>
        <w:right w:val="none" w:sz="0" w:space="0" w:color="auto"/>
      </w:divBdr>
    </w:div>
    <w:div w:id="1025908597">
      <w:bodyDiv w:val="1"/>
      <w:marLeft w:val="0"/>
      <w:marRight w:val="0"/>
      <w:marTop w:val="0"/>
      <w:marBottom w:val="0"/>
      <w:divBdr>
        <w:top w:val="none" w:sz="0" w:space="0" w:color="auto"/>
        <w:left w:val="none" w:sz="0" w:space="0" w:color="auto"/>
        <w:bottom w:val="none" w:sz="0" w:space="0" w:color="auto"/>
        <w:right w:val="none" w:sz="0" w:space="0" w:color="auto"/>
      </w:divBdr>
    </w:div>
    <w:div w:id="1045563822">
      <w:bodyDiv w:val="1"/>
      <w:marLeft w:val="0"/>
      <w:marRight w:val="0"/>
      <w:marTop w:val="0"/>
      <w:marBottom w:val="0"/>
      <w:divBdr>
        <w:top w:val="none" w:sz="0" w:space="0" w:color="auto"/>
        <w:left w:val="none" w:sz="0" w:space="0" w:color="auto"/>
        <w:bottom w:val="none" w:sz="0" w:space="0" w:color="auto"/>
        <w:right w:val="none" w:sz="0" w:space="0" w:color="auto"/>
      </w:divBdr>
    </w:div>
    <w:div w:id="1066219907">
      <w:bodyDiv w:val="1"/>
      <w:marLeft w:val="0"/>
      <w:marRight w:val="0"/>
      <w:marTop w:val="0"/>
      <w:marBottom w:val="0"/>
      <w:divBdr>
        <w:top w:val="none" w:sz="0" w:space="0" w:color="auto"/>
        <w:left w:val="none" w:sz="0" w:space="0" w:color="auto"/>
        <w:bottom w:val="none" w:sz="0" w:space="0" w:color="auto"/>
        <w:right w:val="none" w:sz="0" w:space="0" w:color="auto"/>
      </w:divBdr>
    </w:div>
    <w:div w:id="1081829759">
      <w:bodyDiv w:val="1"/>
      <w:marLeft w:val="0"/>
      <w:marRight w:val="0"/>
      <w:marTop w:val="0"/>
      <w:marBottom w:val="0"/>
      <w:divBdr>
        <w:top w:val="none" w:sz="0" w:space="0" w:color="auto"/>
        <w:left w:val="none" w:sz="0" w:space="0" w:color="auto"/>
        <w:bottom w:val="none" w:sz="0" w:space="0" w:color="auto"/>
        <w:right w:val="none" w:sz="0" w:space="0" w:color="auto"/>
      </w:divBdr>
    </w:div>
    <w:div w:id="1091704426">
      <w:bodyDiv w:val="1"/>
      <w:marLeft w:val="0"/>
      <w:marRight w:val="0"/>
      <w:marTop w:val="0"/>
      <w:marBottom w:val="0"/>
      <w:divBdr>
        <w:top w:val="none" w:sz="0" w:space="0" w:color="auto"/>
        <w:left w:val="none" w:sz="0" w:space="0" w:color="auto"/>
        <w:bottom w:val="none" w:sz="0" w:space="0" w:color="auto"/>
        <w:right w:val="none" w:sz="0" w:space="0" w:color="auto"/>
      </w:divBdr>
    </w:div>
    <w:div w:id="1154180176">
      <w:bodyDiv w:val="1"/>
      <w:marLeft w:val="0"/>
      <w:marRight w:val="0"/>
      <w:marTop w:val="0"/>
      <w:marBottom w:val="0"/>
      <w:divBdr>
        <w:top w:val="none" w:sz="0" w:space="0" w:color="auto"/>
        <w:left w:val="none" w:sz="0" w:space="0" w:color="auto"/>
        <w:bottom w:val="none" w:sz="0" w:space="0" w:color="auto"/>
        <w:right w:val="none" w:sz="0" w:space="0" w:color="auto"/>
      </w:divBdr>
    </w:div>
    <w:div w:id="1161776012">
      <w:bodyDiv w:val="1"/>
      <w:marLeft w:val="0"/>
      <w:marRight w:val="0"/>
      <w:marTop w:val="0"/>
      <w:marBottom w:val="0"/>
      <w:divBdr>
        <w:top w:val="none" w:sz="0" w:space="0" w:color="auto"/>
        <w:left w:val="none" w:sz="0" w:space="0" w:color="auto"/>
        <w:bottom w:val="none" w:sz="0" w:space="0" w:color="auto"/>
        <w:right w:val="none" w:sz="0" w:space="0" w:color="auto"/>
      </w:divBdr>
    </w:div>
    <w:div w:id="1251692116">
      <w:bodyDiv w:val="1"/>
      <w:marLeft w:val="0"/>
      <w:marRight w:val="0"/>
      <w:marTop w:val="0"/>
      <w:marBottom w:val="0"/>
      <w:divBdr>
        <w:top w:val="none" w:sz="0" w:space="0" w:color="auto"/>
        <w:left w:val="none" w:sz="0" w:space="0" w:color="auto"/>
        <w:bottom w:val="none" w:sz="0" w:space="0" w:color="auto"/>
        <w:right w:val="none" w:sz="0" w:space="0" w:color="auto"/>
      </w:divBdr>
    </w:div>
    <w:div w:id="1278757934">
      <w:bodyDiv w:val="1"/>
      <w:marLeft w:val="0"/>
      <w:marRight w:val="0"/>
      <w:marTop w:val="0"/>
      <w:marBottom w:val="0"/>
      <w:divBdr>
        <w:top w:val="none" w:sz="0" w:space="0" w:color="auto"/>
        <w:left w:val="none" w:sz="0" w:space="0" w:color="auto"/>
        <w:bottom w:val="none" w:sz="0" w:space="0" w:color="auto"/>
        <w:right w:val="none" w:sz="0" w:space="0" w:color="auto"/>
      </w:divBdr>
    </w:div>
    <w:div w:id="1307205893">
      <w:bodyDiv w:val="1"/>
      <w:marLeft w:val="0"/>
      <w:marRight w:val="0"/>
      <w:marTop w:val="0"/>
      <w:marBottom w:val="0"/>
      <w:divBdr>
        <w:top w:val="none" w:sz="0" w:space="0" w:color="auto"/>
        <w:left w:val="none" w:sz="0" w:space="0" w:color="auto"/>
        <w:bottom w:val="none" w:sz="0" w:space="0" w:color="auto"/>
        <w:right w:val="none" w:sz="0" w:space="0" w:color="auto"/>
      </w:divBdr>
    </w:div>
    <w:div w:id="1328096001">
      <w:bodyDiv w:val="1"/>
      <w:marLeft w:val="0"/>
      <w:marRight w:val="0"/>
      <w:marTop w:val="0"/>
      <w:marBottom w:val="0"/>
      <w:divBdr>
        <w:top w:val="none" w:sz="0" w:space="0" w:color="auto"/>
        <w:left w:val="none" w:sz="0" w:space="0" w:color="auto"/>
        <w:bottom w:val="none" w:sz="0" w:space="0" w:color="auto"/>
        <w:right w:val="none" w:sz="0" w:space="0" w:color="auto"/>
      </w:divBdr>
    </w:div>
    <w:div w:id="1347517646">
      <w:bodyDiv w:val="1"/>
      <w:marLeft w:val="0"/>
      <w:marRight w:val="0"/>
      <w:marTop w:val="0"/>
      <w:marBottom w:val="0"/>
      <w:divBdr>
        <w:top w:val="none" w:sz="0" w:space="0" w:color="auto"/>
        <w:left w:val="none" w:sz="0" w:space="0" w:color="auto"/>
        <w:bottom w:val="none" w:sz="0" w:space="0" w:color="auto"/>
        <w:right w:val="none" w:sz="0" w:space="0" w:color="auto"/>
      </w:divBdr>
    </w:div>
    <w:div w:id="1380976624">
      <w:bodyDiv w:val="1"/>
      <w:marLeft w:val="0"/>
      <w:marRight w:val="0"/>
      <w:marTop w:val="0"/>
      <w:marBottom w:val="0"/>
      <w:divBdr>
        <w:top w:val="none" w:sz="0" w:space="0" w:color="auto"/>
        <w:left w:val="none" w:sz="0" w:space="0" w:color="auto"/>
        <w:bottom w:val="none" w:sz="0" w:space="0" w:color="auto"/>
        <w:right w:val="none" w:sz="0" w:space="0" w:color="auto"/>
      </w:divBdr>
    </w:div>
    <w:div w:id="1384865316">
      <w:bodyDiv w:val="1"/>
      <w:marLeft w:val="0"/>
      <w:marRight w:val="0"/>
      <w:marTop w:val="0"/>
      <w:marBottom w:val="0"/>
      <w:divBdr>
        <w:top w:val="none" w:sz="0" w:space="0" w:color="auto"/>
        <w:left w:val="none" w:sz="0" w:space="0" w:color="auto"/>
        <w:bottom w:val="none" w:sz="0" w:space="0" w:color="auto"/>
        <w:right w:val="none" w:sz="0" w:space="0" w:color="auto"/>
      </w:divBdr>
    </w:div>
    <w:div w:id="1435899858">
      <w:bodyDiv w:val="1"/>
      <w:marLeft w:val="0"/>
      <w:marRight w:val="0"/>
      <w:marTop w:val="0"/>
      <w:marBottom w:val="0"/>
      <w:divBdr>
        <w:top w:val="none" w:sz="0" w:space="0" w:color="auto"/>
        <w:left w:val="none" w:sz="0" w:space="0" w:color="auto"/>
        <w:bottom w:val="none" w:sz="0" w:space="0" w:color="auto"/>
        <w:right w:val="none" w:sz="0" w:space="0" w:color="auto"/>
      </w:divBdr>
      <w:divsChild>
        <w:div w:id="101537364">
          <w:marLeft w:val="547"/>
          <w:marRight w:val="0"/>
          <w:marTop w:val="130"/>
          <w:marBottom w:val="0"/>
          <w:divBdr>
            <w:top w:val="none" w:sz="0" w:space="0" w:color="auto"/>
            <w:left w:val="none" w:sz="0" w:space="0" w:color="auto"/>
            <w:bottom w:val="none" w:sz="0" w:space="0" w:color="auto"/>
            <w:right w:val="none" w:sz="0" w:space="0" w:color="auto"/>
          </w:divBdr>
        </w:div>
        <w:div w:id="849686503">
          <w:marLeft w:val="547"/>
          <w:marRight w:val="0"/>
          <w:marTop w:val="130"/>
          <w:marBottom w:val="0"/>
          <w:divBdr>
            <w:top w:val="none" w:sz="0" w:space="0" w:color="auto"/>
            <w:left w:val="none" w:sz="0" w:space="0" w:color="auto"/>
            <w:bottom w:val="none" w:sz="0" w:space="0" w:color="auto"/>
            <w:right w:val="none" w:sz="0" w:space="0" w:color="auto"/>
          </w:divBdr>
        </w:div>
        <w:div w:id="1152674227">
          <w:marLeft w:val="547"/>
          <w:marRight w:val="0"/>
          <w:marTop w:val="130"/>
          <w:marBottom w:val="0"/>
          <w:divBdr>
            <w:top w:val="none" w:sz="0" w:space="0" w:color="auto"/>
            <w:left w:val="none" w:sz="0" w:space="0" w:color="auto"/>
            <w:bottom w:val="none" w:sz="0" w:space="0" w:color="auto"/>
            <w:right w:val="none" w:sz="0" w:space="0" w:color="auto"/>
          </w:divBdr>
        </w:div>
        <w:div w:id="1157696702">
          <w:marLeft w:val="547"/>
          <w:marRight w:val="0"/>
          <w:marTop w:val="130"/>
          <w:marBottom w:val="0"/>
          <w:divBdr>
            <w:top w:val="none" w:sz="0" w:space="0" w:color="auto"/>
            <w:left w:val="none" w:sz="0" w:space="0" w:color="auto"/>
            <w:bottom w:val="none" w:sz="0" w:space="0" w:color="auto"/>
            <w:right w:val="none" w:sz="0" w:space="0" w:color="auto"/>
          </w:divBdr>
        </w:div>
        <w:div w:id="1481070109">
          <w:marLeft w:val="547"/>
          <w:marRight w:val="0"/>
          <w:marTop w:val="130"/>
          <w:marBottom w:val="0"/>
          <w:divBdr>
            <w:top w:val="none" w:sz="0" w:space="0" w:color="auto"/>
            <w:left w:val="none" w:sz="0" w:space="0" w:color="auto"/>
            <w:bottom w:val="none" w:sz="0" w:space="0" w:color="auto"/>
            <w:right w:val="none" w:sz="0" w:space="0" w:color="auto"/>
          </w:divBdr>
        </w:div>
        <w:div w:id="2001346603">
          <w:marLeft w:val="547"/>
          <w:marRight w:val="0"/>
          <w:marTop w:val="130"/>
          <w:marBottom w:val="0"/>
          <w:divBdr>
            <w:top w:val="none" w:sz="0" w:space="0" w:color="auto"/>
            <w:left w:val="none" w:sz="0" w:space="0" w:color="auto"/>
            <w:bottom w:val="none" w:sz="0" w:space="0" w:color="auto"/>
            <w:right w:val="none" w:sz="0" w:space="0" w:color="auto"/>
          </w:divBdr>
        </w:div>
      </w:divsChild>
    </w:div>
    <w:div w:id="1458792431">
      <w:bodyDiv w:val="1"/>
      <w:marLeft w:val="0"/>
      <w:marRight w:val="0"/>
      <w:marTop w:val="0"/>
      <w:marBottom w:val="0"/>
      <w:divBdr>
        <w:top w:val="none" w:sz="0" w:space="0" w:color="auto"/>
        <w:left w:val="none" w:sz="0" w:space="0" w:color="auto"/>
        <w:bottom w:val="none" w:sz="0" w:space="0" w:color="auto"/>
        <w:right w:val="none" w:sz="0" w:space="0" w:color="auto"/>
      </w:divBdr>
    </w:div>
    <w:div w:id="1469738868">
      <w:bodyDiv w:val="1"/>
      <w:marLeft w:val="0"/>
      <w:marRight w:val="0"/>
      <w:marTop w:val="0"/>
      <w:marBottom w:val="0"/>
      <w:divBdr>
        <w:top w:val="none" w:sz="0" w:space="0" w:color="auto"/>
        <w:left w:val="none" w:sz="0" w:space="0" w:color="auto"/>
        <w:bottom w:val="none" w:sz="0" w:space="0" w:color="auto"/>
        <w:right w:val="none" w:sz="0" w:space="0" w:color="auto"/>
      </w:divBdr>
    </w:div>
    <w:div w:id="1477988989">
      <w:bodyDiv w:val="1"/>
      <w:marLeft w:val="0"/>
      <w:marRight w:val="0"/>
      <w:marTop w:val="0"/>
      <w:marBottom w:val="0"/>
      <w:divBdr>
        <w:top w:val="none" w:sz="0" w:space="0" w:color="auto"/>
        <w:left w:val="none" w:sz="0" w:space="0" w:color="auto"/>
        <w:bottom w:val="none" w:sz="0" w:space="0" w:color="auto"/>
        <w:right w:val="none" w:sz="0" w:space="0" w:color="auto"/>
      </w:divBdr>
    </w:div>
    <w:div w:id="1487744059">
      <w:bodyDiv w:val="1"/>
      <w:marLeft w:val="0"/>
      <w:marRight w:val="0"/>
      <w:marTop w:val="0"/>
      <w:marBottom w:val="0"/>
      <w:divBdr>
        <w:top w:val="none" w:sz="0" w:space="0" w:color="auto"/>
        <w:left w:val="none" w:sz="0" w:space="0" w:color="auto"/>
        <w:bottom w:val="none" w:sz="0" w:space="0" w:color="auto"/>
        <w:right w:val="none" w:sz="0" w:space="0" w:color="auto"/>
      </w:divBdr>
    </w:div>
    <w:div w:id="1498421003">
      <w:bodyDiv w:val="1"/>
      <w:marLeft w:val="0"/>
      <w:marRight w:val="0"/>
      <w:marTop w:val="0"/>
      <w:marBottom w:val="0"/>
      <w:divBdr>
        <w:top w:val="none" w:sz="0" w:space="0" w:color="auto"/>
        <w:left w:val="none" w:sz="0" w:space="0" w:color="auto"/>
        <w:bottom w:val="none" w:sz="0" w:space="0" w:color="auto"/>
        <w:right w:val="none" w:sz="0" w:space="0" w:color="auto"/>
      </w:divBdr>
      <w:divsChild>
        <w:div w:id="187723492">
          <w:marLeft w:val="547"/>
          <w:marRight w:val="0"/>
          <w:marTop w:val="72"/>
          <w:marBottom w:val="0"/>
          <w:divBdr>
            <w:top w:val="none" w:sz="0" w:space="0" w:color="auto"/>
            <w:left w:val="none" w:sz="0" w:space="0" w:color="auto"/>
            <w:bottom w:val="none" w:sz="0" w:space="0" w:color="auto"/>
            <w:right w:val="none" w:sz="0" w:space="0" w:color="auto"/>
          </w:divBdr>
        </w:div>
      </w:divsChild>
    </w:div>
    <w:div w:id="1500538544">
      <w:bodyDiv w:val="1"/>
      <w:marLeft w:val="0"/>
      <w:marRight w:val="0"/>
      <w:marTop w:val="0"/>
      <w:marBottom w:val="0"/>
      <w:divBdr>
        <w:top w:val="none" w:sz="0" w:space="0" w:color="auto"/>
        <w:left w:val="none" w:sz="0" w:space="0" w:color="auto"/>
        <w:bottom w:val="none" w:sz="0" w:space="0" w:color="auto"/>
        <w:right w:val="none" w:sz="0" w:space="0" w:color="auto"/>
      </w:divBdr>
    </w:div>
    <w:div w:id="1505439532">
      <w:bodyDiv w:val="1"/>
      <w:marLeft w:val="0"/>
      <w:marRight w:val="0"/>
      <w:marTop w:val="0"/>
      <w:marBottom w:val="0"/>
      <w:divBdr>
        <w:top w:val="none" w:sz="0" w:space="0" w:color="auto"/>
        <w:left w:val="none" w:sz="0" w:space="0" w:color="auto"/>
        <w:bottom w:val="none" w:sz="0" w:space="0" w:color="auto"/>
        <w:right w:val="none" w:sz="0" w:space="0" w:color="auto"/>
      </w:divBdr>
    </w:div>
    <w:div w:id="1508398499">
      <w:bodyDiv w:val="1"/>
      <w:marLeft w:val="0"/>
      <w:marRight w:val="0"/>
      <w:marTop w:val="0"/>
      <w:marBottom w:val="0"/>
      <w:divBdr>
        <w:top w:val="none" w:sz="0" w:space="0" w:color="auto"/>
        <w:left w:val="none" w:sz="0" w:space="0" w:color="auto"/>
        <w:bottom w:val="none" w:sz="0" w:space="0" w:color="auto"/>
        <w:right w:val="none" w:sz="0" w:space="0" w:color="auto"/>
      </w:divBdr>
    </w:div>
    <w:div w:id="1512716301">
      <w:bodyDiv w:val="1"/>
      <w:marLeft w:val="0"/>
      <w:marRight w:val="0"/>
      <w:marTop w:val="0"/>
      <w:marBottom w:val="0"/>
      <w:divBdr>
        <w:top w:val="none" w:sz="0" w:space="0" w:color="auto"/>
        <w:left w:val="none" w:sz="0" w:space="0" w:color="auto"/>
        <w:bottom w:val="none" w:sz="0" w:space="0" w:color="auto"/>
        <w:right w:val="none" w:sz="0" w:space="0" w:color="auto"/>
      </w:divBdr>
      <w:divsChild>
        <w:div w:id="1091044184">
          <w:marLeft w:val="547"/>
          <w:marRight w:val="0"/>
          <w:marTop w:val="154"/>
          <w:marBottom w:val="0"/>
          <w:divBdr>
            <w:top w:val="none" w:sz="0" w:space="0" w:color="auto"/>
            <w:left w:val="none" w:sz="0" w:space="0" w:color="auto"/>
            <w:bottom w:val="none" w:sz="0" w:space="0" w:color="auto"/>
            <w:right w:val="none" w:sz="0" w:space="0" w:color="auto"/>
          </w:divBdr>
        </w:div>
      </w:divsChild>
    </w:div>
    <w:div w:id="1517689302">
      <w:bodyDiv w:val="1"/>
      <w:marLeft w:val="0"/>
      <w:marRight w:val="0"/>
      <w:marTop w:val="0"/>
      <w:marBottom w:val="0"/>
      <w:divBdr>
        <w:top w:val="none" w:sz="0" w:space="0" w:color="auto"/>
        <w:left w:val="none" w:sz="0" w:space="0" w:color="auto"/>
        <w:bottom w:val="none" w:sz="0" w:space="0" w:color="auto"/>
        <w:right w:val="none" w:sz="0" w:space="0" w:color="auto"/>
      </w:divBdr>
    </w:div>
    <w:div w:id="1521822513">
      <w:bodyDiv w:val="1"/>
      <w:marLeft w:val="0"/>
      <w:marRight w:val="0"/>
      <w:marTop w:val="0"/>
      <w:marBottom w:val="0"/>
      <w:divBdr>
        <w:top w:val="none" w:sz="0" w:space="0" w:color="auto"/>
        <w:left w:val="none" w:sz="0" w:space="0" w:color="auto"/>
        <w:bottom w:val="none" w:sz="0" w:space="0" w:color="auto"/>
        <w:right w:val="none" w:sz="0" w:space="0" w:color="auto"/>
      </w:divBdr>
    </w:div>
    <w:div w:id="1528180040">
      <w:bodyDiv w:val="1"/>
      <w:marLeft w:val="0"/>
      <w:marRight w:val="0"/>
      <w:marTop w:val="0"/>
      <w:marBottom w:val="0"/>
      <w:divBdr>
        <w:top w:val="none" w:sz="0" w:space="0" w:color="auto"/>
        <w:left w:val="none" w:sz="0" w:space="0" w:color="auto"/>
        <w:bottom w:val="none" w:sz="0" w:space="0" w:color="auto"/>
        <w:right w:val="none" w:sz="0" w:space="0" w:color="auto"/>
      </w:divBdr>
    </w:div>
    <w:div w:id="1532650885">
      <w:bodyDiv w:val="1"/>
      <w:marLeft w:val="0"/>
      <w:marRight w:val="0"/>
      <w:marTop w:val="0"/>
      <w:marBottom w:val="0"/>
      <w:divBdr>
        <w:top w:val="none" w:sz="0" w:space="0" w:color="auto"/>
        <w:left w:val="none" w:sz="0" w:space="0" w:color="auto"/>
        <w:bottom w:val="none" w:sz="0" w:space="0" w:color="auto"/>
        <w:right w:val="none" w:sz="0" w:space="0" w:color="auto"/>
      </w:divBdr>
    </w:div>
    <w:div w:id="1545412301">
      <w:bodyDiv w:val="1"/>
      <w:marLeft w:val="0"/>
      <w:marRight w:val="0"/>
      <w:marTop w:val="0"/>
      <w:marBottom w:val="0"/>
      <w:divBdr>
        <w:top w:val="none" w:sz="0" w:space="0" w:color="auto"/>
        <w:left w:val="none" w:sz="0" w:space="0" w:color="auto"/>
        <w:bottom w:val="none" w:sz="0" w:space="0" w:color="auto"/>
        <w:right w:val="none" w:sz="0" w:space="0" w:color="auto"/>
      </w:divBdr>
    </w:div>
    <w:div w:id="1558276150">
      <w:bodyDiv w:val="1"/>
      <w:marLeft w:val="0"/>
      <w:marRight w:val="0"/>
      <w:marTop w:val="0"/>
      <w:marBottom w:val="0"/>
      <w:divBdr>
        <w:top w:val="none" w:sz="0" w:space="0" w:color="auto"/>
        <w:left w:val="none" w:sz="0" w:space="0" w:color="auto"/>
        <w:bottom w:val="none" w:sz="0" w:space="0" w:color="auto"/>
        <w:right w:val="none" w:sz="0" w:space="0" w:color="auto"/>
      </w:divBdr>
    </w:div>
    <w:div w:id="1561016382">
      <w:bodyDiv w:val="1"/>
      <w:marLeft w:val="0"/>
      <w:marRight w:val="0"/>
      <w:marTop w:val="0"/>
      <w:marBottom w:val="0"/>
      <w:divBdr>
        <w:top w:val="none" w:sz="0" w:space="0" w:color="auto"/>
        <w:left w:val="none" w:sz="0" w:space="0" w:color="auto"/>
        <w:bottom w:val="none" w:sz="0" w:space="0" w:color="auto"/>
        <w:right w:val="none" w:sz="0" w:space="0" w:color="auto"/>
      </w:divBdr>
    </w:div>
    <w:div w:id="1570385185">
      <w:bodyDiv w:val="1"/>
      <w:marLeft w:val="0"/>
      <w:marRight w:val="0"/>
      <w:marTop w:val="0"/>
      <w:marBottom w:val="0"/>
      <w:divBdr>
        <w:top w:val="none" w:sz="0" w:space="0" w:color="auto"/>
        <w:left w:val="none" w:sz="0" w:space="0" w:color="auto"/>
        <w:bottom w:val="none" w:sz="0" w:space="0" w:color="auto"/>
        <w:right w:val="none" w:sz="0" w:space="0" w:color="auto"/>
      </w:divBdr>
    </w:div>
    <w:div w:id="1603799556">
      <w:bodyDiv w:val="1"/>
      <w:marLeft w:val="0"/>
      <w:marRight w:val="0"/>
      <w:marTop w:val="0"/>
      <w:marBottom w:val="0"/>
      <w:divBdr>
        <w:top w:val="none" w:sz="0" w:space="0" w:color="auto"/>
        <w:left w:val="none" w:sz="0" w:space="0" w:color="auto"/>
        <w:bottom w:val="none" w:sz="0" w:space="0" w:color="auto"/>
        <w:right w:val="none" w:sz="0" w:space="0" w:color="auto"/>
      </w:divBdr>
      <w:divsChild>
        <w:div w:id="513036174">
          <w:marLeft w:val="547"/>
          <w:marRight w:val="0"/>
          <w:marTop w:val="106"/>
          <w:marBottom w:val="0"/>
          <w:divBdr>
            <w:top w:val="none" w:sz="0" w:space="0" w:color="auto"/>
            <w:left w:val="none" w:sz="0" w:space="0" w:color="auto"/>
            <w:bottom w:val="none" w:sz="0" w:space="0" w:color="auto"/>
            <w:right w:val="none" w:sz="0" w:space="0" w:color="auto"/>
          </w:divBdr>
        </w:div>
        <w:div w:id="659190322">
          <w:marLeft w:val="547"/>
          <w:marRight w:val="0"/>
          <w:marTop w:val="106"/>
          <w:marBottom w:val="0"/>
          <w:divBdr>
            <w:top w:val="none" w:sz="0" w:space="0" w:color="auto"/>
            <w:left w:val="none" w:sz="0" w:space="0" w:color="auto"/>
            <w:bottom w:val="none" w:sz="0" w:space="0" w:color="auto"/>
            <w:right w:val="none" w:sz="0" w:space="0" w:color="auto"/>
          </w:divBdr>
        </w:div>
        <w:div w:id="955870189">
          <w:marLeft w:val="547"/>
          <w:marRight w:val="0"/>
          <w:marTop w:val="106"/>
          <w:marBottom w:val="0"/>
          <w:divBdr>
            <w:top w:val="none" w:sz="0" w:space="0" w:color="auto"/>
            <w:left w:val="none" w:sz="0" w:space="0" w:color="auto"/>
            <w:bottom w:val="none" w:sz="0" w:space="0" w:color="auto"/>
            <w:right w:val="none" w:sz="0" w:space="0" w:color="auto"/>
          </w:divBdr>
        </w:div>
        <w:div w:id="1105996388">
          <w:marLeft w:val="547"/>
          <w:marRight w:val="0"/>
          <w:marTop w:val="106"/>
          <w:marBottom w:val="0"/>
          <w:divBdr>
            <w:top w:val="none" w:sz="0" w:space="0" w:color="auto"/>
            <w:left w:val="none" w:sz="0" w:space="0" w:color="auto"/>
            <w:bottom w:val="none" w:sz="0" w:space="0" w:color="auto"/>
            <w:right w:val="none" w:sz="0" w:space="0" w:color="auto"/>
          </w:divBdr>
        </w:div>
        <w:div w:id="1368407819">
          <w:marLeft w:val="547"/>
          <w:marRight w:val="0"/>
          <w:marTop w:val="106"/>
          <w:marBottom w:val="0"/>
          <w:divBdr>
            <w:top w:val="none" w:sz="0" w:space="0" w:color="auto"/>
            <w:left w:val="none" w:sz="0" w:space="0" w:color="auto"/>
            <w:bottom w:val="none" w:sz="0" w:space="0" w:color="auto"/>
            <w:right w:val="none" w:sz="0" w:space="0" w:color="auto"/>
          </w:divBdr>
        </w:div>
        <w:div w:id="1793282199">
          <w:marLeft w:val="547"/>
          <w:marRight w:val="0"/>
          <w:marTop w:val="106"/>
          <w:marBottom w:val="0"/>
          <w:divBdr>
            <w:top w:val="none" w:sz="0" w:space="0" w:color="auto"/>
            <w:left w:val="none" w:sz="0" w:space="0" w:color="auto"/>
            <w:bottom w:val="none" w:sz="0" w:space="0" w:color="auto"/>
            <w:right w:val="none" w:sz="0" w:space="0" w:color="auto"/>
          </w:divBdr>
        </w:div>
        <w:div w:id="1903251570">
          <w:marLeft w:val="547"/>
          <w:marRight w:val="0"/>
          <w:marTop w:val="106"/>
          <w:marBottom w:val="0"/>
          <w:divBdr>
            <w:top w:val="none" w:sz="0" w:space="0" w:color="auto"/>
            <w:left w:val="none" w:sz="0" w:space="0" w:color="auto"/>
            <w:bottom w:val="none" w:sz="0" w:space="0" w:color="auto"/>
            <w:right w:val="none" w:sz="0" w:space="0" w:color="auto"/>
          </w:divBdr>
        </w:div>
      </w:divsChild>
    </w:div>
    <w:div w:id="1607155271">
      <w:bodyDiv w:val="1"/>
      <w:marLeft w:val="0"/>
      <w:marRight w:val="0"/>
      <w:marTop w:val="0"/>
      <w:marBottom w:val="0"/>
      <w:divBdr>
        <w:top w:val="none" w:sz="0" w:space="0" w:color="auto"/>
        <w:left w:val="none" w:sz="0" w:space="0" w:color="auto"/>
        <w:bottom w:val="none" w:sz="0" w:space="0" w:color="auto"/>
        <w:right w:val="none" w:sz="0" w:space="0" w:color="auto"/>
      </w:divBdr>
    </w:div>
    <w:div w:id="1706446187">
      <w:bodyDiv w:val="1"/>
      <w:marLeft w:val="0"/>
      <w:marRight w:val="0"/>
      <w:marTop w:val="0"/>
      <w:marBottom w:val="0"/>
      <w:divBdr>
        <w:top w:val="none" w:sz="0" w:space="0" w:color="auto"/>
        <w:left w:val="none" w:sz="0" w:space="0" w:color="auto"/>
        <w:bottom w:val="none" w:sz="0" w:space="0" w:color="auto"/>
        <w:right w:val="none" w:sz="0" w:space="0" w:color="auto"/>
      </w:divBdr>
    </w:div>
    <w:div w:id="1708524947">
      <w:bodyDiv w:val="1"/>
      <w:marLeft w:val="0"/>
      <w:marRight w:val="0"/>
      <w:marTop w:val="0"/>
      <w:marBottom w:val="0"/>
      <w:divBdr>
        <w:top w:val="none" w:sz="0" w:space="0" w:color="auto"/>
        <w:left w:val="none" w:sz="0" w:space="0" w:color="auto"/>
        <w:bottom w:val="none" w:sz="0" w:space="0" w:color="auto"/>
        <w:right w:val="none" w:sz="0" w:space="0" w:color="auto"/>
      </w:divBdr>
    </w:div>
    <w:div w:id="1742094788">
      <w:bodyDiv w:val="1"/>
      <w:marLeft w:val="0"/>
      <w:marRight w:val="0"/>
      <w:marTop w:val="0"/>
      <w:marBottom w:val="0"/>
      <w:divBdr>
        <w:top w:val="none" w:sz="0" w:space="0" w:color="auto"/>
        <w:left w:val="none" w:sz="0" w:space="0" w:color="auto"/>
        <w:bottom w:val="none" w:sz="0" w:space="0" w:color="auto"/>
        <w:right w:val="none" w:sz="0" w:space="0" w:color="auto"/>
      </w:divBdr>
    </w:div>
    <w:div w:id="1792438110">
      <w:bodyDiv w:val="1"/>
      <w:marLeft w:val="0"/>
      <w:marRight w:val="0"/>
      <w:marTop w:val="0"/>
      <w:marBottom w:val="0"/>
      <w:divBdr>
        <w:top w:val="none" w:sz="0" w:space="0" w:color="auto"/>
        <w:left w:val="none" w:sz="0" w:space="0" w:color="auto"/>
        <w:bottom w:val="none" w:sz="0" w:space="0" w:color="auto"/>
        <w:right w:val="none" w:sz="0" w:space="0" w:color="auto"/>
      </w:divBdr>
    </w:div>
    <w:div w:id="1798402825">
      <w:bodyDiv w:val="1"/>
      <w:marLeft w:val="0"/>
      <w:marRight w:val="0"/>
      <w:marTop w:val="0"/>
      <w:marBottom w:val="0"/>
      <w:divBdr>
        <w:top w:val="none" w:sz="0" w:space="0" w:color="auto"/>
        <w:left w:val="none" w:sz="0" w:space="0" w:color="auto"/>
        <w:bottom w:val="none" w:sz="0" w:space="0" w:color="auto"/>
        <w:right w:val="none" w:sz="0" w:space="0" w:color="auto"/>
      </w:divBdr>
    </w:div>
    <w:div w:id="1818956486">
      <w:bodyDiv w:val="1"/>
      <w:marLeft w:val="0"/>
      <w:marRight w:val="0"/>
      <w:marTop w:val="0"/>
      <w:marBottom w:val="0"/>
      <w:divBdr>
        <w:top w:val="none" w:sz="0" w:space="0" w:color="auto"/>
        <w:left w:val="none" w:sz="0" w:space="0" w:color="auto"/>
        <w:bottom w:val="none" w:sz="0" w:space="0" w:color="auto"/>
        <w:right w:val="none" w:sz="0" w:space="0" w:color="auto"/>
      </w:divBdr>
    </w:div>
    <w:div w:id="1871214089">
      <w:bodyDiv w:val="1"/>
      <w:marLeft w:val="0"/>
      <w:marRight w:val="0"/>
      <w:marTop w:val="0"/>
      <w:marBottom w:val="0"/>
      <w:divBdr>
        <w:top w:val="none" w:sz="0" w:space="0" w:color="auto"/>
        <w:left w:val="none" w:sz="0" w:space="0" w:color="auto"/>
        <w:bottom w:val="none" w:sz="0" w:space="0" w:color="auto"/>
        <w:right w:val="none" w:sz="0" w:space="0" w:color="auto"/>
      </w:divBdr>
    </w:div>
    <w:div w:id="1902983579">
      <w:bodyDiv w:val="1"/>
      <w:marLeft w:val="0"/>
      <w:marRight w:val="0"/>
      <w:marTop w:val="0"/>
      <w:marBottom w:val="0"/>
      <w:divBdr>
        <w:top w:val="none" w:sz="0" w:space="0" w:color="auto"/>
        <w:left w:val="none" w:sz="0" w:space="0" w:color="auto"/>
        <w:bottom w:val="none" w:sz="0" w:space="0" w:color="auto"/>
        <w:right w:val="none" w:sz="0" w:space="0" w:color="auto"/>
      </w:divBdr>
    </w:div>
    <w:div w:id="1914731521">
      <w:bodyDiv w:val="1"/>
      <w:marLeft w:val="0"/>
      <w:marRight w:val="0"/>
      <w:marTop w:val="0"/>
      <w:marBottom w:val="0"/>
      <w:divBdr>
        <w:top w:val="none" w:sz="0" w:space="0" w:color="auto"/>
        <w:left w:val="none" w:sz="0" w:space="0" w:color="auto"/>
        <w:bottom w:val="none" w:sz="0" w:space="0" w:color="auto"/>
        <w:right w:val="none" w:sz="0" w:space="0" w:color="auto"/>
      </w:divBdr>
    </w:div>
    <w:div w:id="1971978266">
      <w:bodyDiv w:val="1"/>
      <w:marLeft w:val="0"/>
      <w:marRight w:val="0"/>
      <w:marTop w:val="0"/>
      <w:marBottom w:val="0"/>
      <w:divBdr>
        <w:top w:val="none" w:sz="0" w:space="0" w:color="auto"/>
        <w:left w:val="none" w:sz="0" w:space="0" w:color="auto"/>
        <w:bottom w:val="none" w:sz="0" w:space="0" w:color="auto"/>
        <w:right w:val="none" w:sz="0" w:space="0" w:color="auto"/>
      </w:divBdr>
    </w:div>
    <w:div w:id="2059551116">
      <w:bodyDiv w:val="1"/>
      <w:marLeft w:val="0"/>
      <w:marRight w:val="0"/>
      <w:marTop w:val="0"/>
      <w:marBottom w:val="0"/>
      <w:divBdr>
        <w:top w:val="none" w:sz="0" w:space="0" w:color="auto"/>
        <w:left w:val="none" w:sz="0" w:space="0" w:color="auto"/>
        <w:bottom w:val="none" w:sz="0" w:space="0" w:color="auto"/>
        <w:right w:val="none" w:sz="0" w:space="0" w:color="auto"/>
      </w:divBdr>
    </w:div>
    <w:div w:id="2077164342">
      <w:bodyDiv w:val="1"/>
      <w:marLeft w:val="0"/>
      <w:marRight w:val="0"/>
      <w:marTop w:val="0"/>
      <w:marBottom w:val="0"/>
      <w:divBdr>
        <w:top w:val="none" w:sz="0" w:space="0" w:color="auto"/>
        <w:left w:val="none" w:sz="0" w:space="0" w:color="auto"/>
        <w:bottom w:val="none" w:sz="0" w:space="0" w:color="auto"/>
        <w:right w:val="none" w:sz="0" w:space="0" w:color="auto"/>
      </w:divBdr>
    </w:div>
    <w:div w:id="2090884897">
      <w:bodyDiv w:val="1"/>
      <w:marLeft w:val="0"/>
      <w:marRight w:val="0"/>
      <w:marTop w:val="0"/>
      <w:marBottom w:val="0"/>
      <w:divBdr>
        <w:top w:val="none" w:sz="0" w:space="0" w:color="auto"/>
        <w:left w:val="none" w:sz="0" w:space="0" w:color="auto"/>
        <w:bottom w:val="none" w:sz="0" w:space="0" w:color="auto"/>
        <w:right w:val="none" w:sz="0" w:space="0" w:color="auto"/>
      </w:divBdr>
    </w:div>
    <w:div w:id="2107142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https://cngc.dsmcentral.com/traksmart4/public/registration.do"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www.cngc.com/conservation"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hart" Target="charts/chart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customXml" Target="../customXml/item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manda.sargent\Desktop\ADesktop\Regulatory\2016%20Final%20IRP%20&amp;%20Conservation%20Plan%20Forecast\DSM%20Forecast%202017%20to%202036%20(FollowU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Conservation Incentive Program</a:t>
            </a:r>
            <a:br>
              <a:rPr lang="en-US"/>
            </a:br>
            <a:r>
              <a:rPr lang="en-US"/>
              <a:t>Three</a:t>
            </a:r>
            <a:r>
              <a:rPr lang="en-US" baseline="0"/>
              <a:t> Year Past Performance &amp; </a:t>
            </a:r>
            <a:r>
              <a:rPr lang="en-US"/>
              <a:t>Two</a:t>
            </a:r>
            <a:r>
              <a:rPr lang="en-US" baseline="0"/>
              <a:t> Year Forecast</a:t>
            </a:r>
            <a:endParaRPr lang="en-US"/>
          </a:p>
        </c:rich>
      </c:tx>
      <c:overlay val="0"/>
      <c:spPr>
        <a:noFill/>
        <a:ln>
          <a:noFill/>
        </a:ln>
        <a:effectLst/>
      </c:spPr>
    </c:title>
    <c:autoTitleDeleted val="0"/>
    <c:plotArea>
      <c:layout/>
      <c:barChart>
        <c:barDir val="col"/>
        <c:grouping val="stacked"/>
        <c:varyColors val="0"/>
        <c:ser>
          <c:idx val="0"/>
          <c:order val="0"/>
          <c:tx>
            <c:strRef>
              <c:f>Total!$B$2</c:f>
              <c:strCache>
                <c:ptCount val="1"/>
                <c:pt idx="0">
                  <c:v>Residential Forecast (therms)</c:v>
                </c:pt>
              </c:strCache>
            </c:strRef>
          </c:tx>
          <c:spPr>
            <a:pattFill prst="pct60">
              <a:fgClr>
                <a:schemeClr val="accent5"/>
              </a:fgClr>
              <a:bgClr>
                <a:schemeClr val="bg1"/>
              </a:bgClr>
            </a:pattFill>
            <a:ln>
              <a:noFill/>
            </a:ln>
            <a:effectLst/>
          </c:spPr>
          <c:invertIfNegative val="0"/>
          <c:dPt>
            <c:idx val="0"/>
            <c:invertIfNegative val="0"/>
            <c:bubble3D val="0"/>
            <c:spPr>
              <a:pattFill prst="pct60">
                <a:fgClr>
                  <a:schemeClr val="accent5">
                    <a:lumMod val="60000"/>
                    <a:lumOff val="40000"/>
                  </a:schemeClr>
                </a:fgClr>
                <a:bgClr>
                  <a:schemeClr val="bg1"/>
                </a:bgClr>
              </a:pattFill>
              <a:ln>
                <a:noFill/>
              </a:ln>
              <a:effectLst/>
            </c:spPr>
          </c:dPt>
          <c:dPt>
            <c:idx val="1"/>
            <c:invertIfNegative val="0"/>
            <c:bubble3D val="0"/>
            <c:spPr>
              <a:pattFill prst="pct60">
                <a:fgClr>
                  <a:schemeClr val="accent5">
                    <a:lumMod val="60000"/>
                    <a:lumOff val="40000"/>
                  </a:schemeClr>
                </a:fgClr>
                <a:bgClr>
                  <a:schemeClr val="bg1"/>
                </a:bgClr>
              </a:pattFill>
              <a:ln>
                <a:noFill/>
              </a:ln>
              <a:effectLst/>
            </c:spPr>
          </c:dPt>
          <c:dPt>
            <c:idx val="2"/>
            <c:invertIfNegative val="0"/>
            <c:bubble3D val="0"/>
            <c:spPr>
              <a:pattFill prst="pct60">
                <a:fgClr>
                  <a:schemeClr val="accent5">
                    <a:lumMod val="60000"/>
                    <a:lumOff val="40000"/>
                  </a:schemeClr>
                </a:fgClr>
                <a:bgClr>
                  <a:schemeClr val="bg1"/>
                </a:bgClr>
              </a:pattFill>
              <a:ln>
                <a:noFill/>
              </a:ln>
              <a:effectLst/>
            </c:spPr>
          </c:dPt>
          <c:cat>
            <c:numRef>
              <c:f>Total!$B$4:$B$9</c:f>
              <c:numCache>
                <c:formatCode>General</c:formatCode>
                <c:ptCount val="5"/>
                <c:pt idx="0">
                  <c:v>2013</c:v>
                </c:pt>
                <c:pt idx="1">
                  <c:v>2014</c:v>
                </c:pt>
                <c:pt idx="2">
                  <c:v>2015</c:v>
                </c:pt>
                <c:pt idx="3">
                  <c:v>2017</c:v>
                </c:pt>
                <c:pt idx="4">
                  <c:v>2018</c:v>
                </c:pt>
              </c:numCache>
            </c:numRef>
          </c:cat>
          <c:val>
            <c:numRef>
              <c:f>Total!$E$4:$E$9</c:f>
              <c:numCache>
                <c:formatCode>_(* #,##0_);_(* \(#,##0\);_(* "-"??_);_(@_)</c:formatCode>
                <c:ptCount val="5"/>
                <c:pt idx="0">
                  <c:v>183352</c:v>
                </c:pt>
                <c:pt idx="1">
                  <c:v>176439</c:v>
                </c:pt>
                <c:pt idx="2">
                  <c:v>181847</c:v>
                </c:pt>
                <c:pt idx="3">
                  <c:v>323878.32034804695</c:v>
                </c:pt>
                <c:pt idx="4">
                  <c:v>331357.086353602</c:v>
                </c:pt>
              </c:numCache>
            </c:numRef>
          </c:val>
        </c:ser>
        <c:ser>
          <c:idx val="1"/>
          <c:order val="1"/>
          <c:tx>
            <c:strRef>
              <c:f>Total!$G$2</c:f>
              <c:strCache>
                <c:ptCount val="1"/>
                <c:pt idx="0">
                  <c:v>Commercial/Industrial Forecasts (therms)</c:v>
                </c:pt>
              </c:strCache>
            </c:strRef>
          </c:tx>
          <c:spPr>
            <a:pattFill prst="pct90">
              <a:fgClr>
                <a:schemeClr val="accent6"/>
              </a:fgClr>
              <a:bgClr>
                <a:schemeClr val="bg1"/>
              </a:bgClr>
            </a:pattFill>
            <a:ln>
              <a:noFill/>
            </a:ln>
            <a:effectLst/>
          </c:spPr>
          <c:invertIfNegative val="0"/>
          <c:dPt>
            <c:idx val="0"/>
            <c:invertIfNegative val="0"/>
            <c:bubble3D val="0"/>
            <c:spPr>
              <a:pattFill prst="pct90">
                <a:fgClr>
                  <a:schemeClr val="accent6">
                    <a:lumMod val="60000"/>
                    <a:lumOff val="40000"/>
                  </a:schemeClr>
                </a:fgClr>
                <a:bgClr>
                  <a:schemeClr val="bg1"/>
                </a:bgClr>
              </a:pattFill>
              <a:ln>
                <a:noFill/>
              </a:ln>
              <a:effectLst/>
            </c:spPr>
          </c:dPt>
          <c:dPt>
            <c:idx val="1"/>
            <c:invertIfNegative val="0"/>
            <c:bubble3D val="0"/>
            <c:spPr>
              <a:pattFill prst="pct90">
                <a:fgClr>
                  <a:schemeClr val="accent6">
                    <a:lumMod val="60000"/>
                    <a:lumOff val="40000"/>
                  </a:schemeClr>
                </a:fgClr>
                <a:bgClr>
                  <a:schemeClr val="bg1"/>
                </a:bgClr>
              </a:pattFill>
              <a:ln>
                <a:noFill/>
              </a:ln>
              <a:effectLst/>
            </c:spPr>
          </c:dPt>
          <c:dPt>
            <c:idx val="2"/>
            <c:invertIfNegative val="0"/>
            <c:bubble3D val="0"/>
            <c:spPr>
              <a:pattFill prst="pct90">
                <a:fgClr>
                  <a:schemeClr val="accent6">
                    <a:lumMod val="60000"/>
                    <a:lumOff val="40000"/>
                  </a:schemeClr>
                </a:fgClr>
                <a:bgClr>
                  <a:schemeClr val="bg1"/>
                </a:bgClr>
              </a:pattFill>
              <a:ln>
                <a:noFill/>
              </a:ln>
              <a:effectLst/>
            </c:spPr>
          </c:dPt>
          <c:cat>
            <c:numRef>
              <c:f>Total!$B$4:$B$9</c:f>
              <c:numCache>
                <c:formatCode>General</c:formatCode>
                <c:ptCount val="5"/>
                <c:pt idx="0">
                  <c:v>2013</c:v>
                </c:pt>
                <c:pt idx="1">
                  <c:v>2014</c:v>
                </c:pt>
                <c:pt idx="2">
                  <c:v>2015</c:v>
                </c:pt>
                <c:pt idx="3">
                  <c:v>2017</c:v>
                </c:pt>
                <c:pt idx="4">
                  <c:v>2018</c:v>
                </c:pt>
              </c:numCache>
            </c:numRef>
          </c:cat>
          <c:val>
            <c:numRef>
              <c:f>Total!$J$4:$J$9</c:f>
              <c:numCache>
                <c:formatCode>_(* #,##0_);_(* \(#,##0\);_(* "-"??_);_(@_)</c:formatCode>
                <c:ptCount val="5"/>
                <c:pt idx="0">
                  <c:v>288079</c:v>
                </c:pt>
                <c:pt idx="1">
                  <c:v>465176</c:v>
                </c:pt>
                <c:pt idx="2">
                  <c:v>637930</c:v>
                </c:pt>
                <c:pt idx="3">
                  <c:v>515998.14169163752</c:v>
                </c:pt>
                <c:pt idx="4">
                  <c:v>545216.50903450581</c:v>
                </c:pt>
              </c:numCache>
            </c:numRef>
          </c:val>
        </c:ser>
        <c:ser>
          <c:idx val="2"/>
          <c:order val="2"/>
          <c:tx>
            <c:strRef>
              <c:f>Total!$P$3</c:f>
              <c:strCache>
                <c:ptCount val="1"/>
                <c:pt idx="0">
                  <c:v>Low Income</c:v>
                </c:pt>
              </c:strCache>
            </c:strRef>
          </c:tx>
          <c:spPr>
            <a:solidFill>
              <a:srgbClr val="FFFF00"/>
            </a:solidFill>
            <a:ln>
              <a:noFill/>
            </a:ln>
            <a:effectLst>
              <a:glow rad="50800">
                <a:srgbClr val="FFFF99">
                  <a:alpha val="51000"/>
                </a:srgbClr>
              </a:glow>
            </a:effectLst>
          </c:spPr>
          <c:invertIfNegative val="0"/>
          <c:dPt>
            <c:idx val="0"/>
            <c:invertIfNegative val="0"/>
            <c:bubble3D val="0"/>
            <c:spPr>
              <a:solidFill>
                <a:srgbClr val="FFFF99"/>
              </a:solidFill>
              <a:ln>
                <a:noFill/>
              </a:ln>
              <a:effectLst>
                <a:glow rad="25400">
                  <a:srgbClr val="FFFF69">
                    <a:alpha val="51000"/>
                  </a:srgbClr>
                </a:glow>
              </a:effectLst>
            </c:spPr>
          </c:dPt>
          <c:dPt>
            <c:idx val="1"/>
            <c:invertIfNegative val="0"/>
            <c:bubble3D val="0"/>
            <c:spPr>
              <a:solidFill>
                <a:srgbClr val="FFFF99"/>
              </a:solidFill>
              <a:ln>
                <a:noFill/>
              </a:ln>
              <a:effectLst>
                <a:glow rad="25400">
                  <a:srgbClr val="FFFF69">
                    <a:alpha val="51000"/>
                  </a:srgbClr>
                </a:glow>
              </a:effectLst>
            </c:spPr>
          </c:dPt>
          <c:dPt>
            <c:idx val="2"/>
            <c:invertIfNegative val="0"/>
            <c:bubble3D val="0"/>
            <c:spPr>
              <a:solidFill>
                <a:srgbClr val="FFFF99"/>
              </a:solidFill>
              <a:ln>
                <a:noFill/>
              </a:ln>
              <a:effectLst>
                <a:glow rad="25400">
                  <a:srgbClr val="FFFF69">
                    <a:alpha val="51000"/>
                  </a:srgbClr>
                </a:glow>
              </a:effectLst>
            </c:spPr>
          </c:dPt>
          <c:dPt>
            <c:idx val="3"/>
            <c:invertIfNegative val="0"/>
            <c:bubble3D val="0"/>
            <c:spPr>
              <a:solidFill>
                <a:srgbClr val="FFFF00"/>
              </a:solidFill>
              <a:ln>
                <a:noFill/>
              </a:ln>
              <a:effectLst>
                <a:glow rad="25400">
                  <a:srgbClr val="FFFF99">
                    <a:alpha val="51000"/>
                  </a:srgbClr>
                </a:glow>
              </a:effectLst>
            </c:spPr>
          </c:dPt>
          <c:dPt>
            <c:idx val="4"/>
            <c:invertIfNegative val="0"/>
            <c:bubble3D val="0"/>
            <c:spPr>
              <a:solidFill>
                <a:srgbClr val="FFFF00"/>
              </a:solidFill>
              <a:ln>
                <a:noFill/>
              </a:ln>
              <a:effectLst>
                <a:glow rad="25400">
                  <a:srgbClr val="FFFF99">
                    <a:alpha val="51000"/>
                  </a:srgbClr>
                </a:glow>
              </a:effectLst>
            </c:spPr>
          </c:dPt>
          <c:cat>
            <c:numRef>
              <c:f>Total!$B$4:$B$9</c:f>
              <c:numCache>
                <c:formatCode>General</c:formatCode>
                <c:ptCount val="5"/>
                <c:pt idx="0">
                  <c:v>2013</c:v>
                </c:pt>
                <c:pt idx="1">
                  <c:v>2014</c:v>
                </c:pt>
                <c:pt idx="2">
                  <c:v>2015</c:v>
                </c:pt>
                <c:pt idx="3">
                  <c:v>2017</c:v>
                </c:pt>
                <c:pt idx="4">
                  <c:v>2018</c:v>
                </c:pt>
              </c:numCache>
            </c:numRef>
          </c:cat>
          <c:val>
            <c:numRef>
              <c:f>Total!$P$4:$P$9</c:f>
              <c:numCache>
                <c:formatCode>_(* #,##0_);_(* \(#,##0\);_(* "-"??_);_(@_)</c:formatCode>
                <c:ptCount val="5"/>
                <c:pt idx="0">
                  <c:v>14960</c:v>
                </c:pt>
                <c:pt idx="1">
                  <c:v>7338</c:v>
                </c:pt>
                <c:pt idx="2">
                  <c:v>11724</c:v>
                </c:pt>
                <c:pt idx="3" formatCode="#,##0">
                  <c:v>15000</c:v>
                </c:pt>
                <c:pt idx="4" formatCode="#,##0">
                  <c:v>15000</c:v>
                </c:pt>
              </c:numCache>
            </c:numRef>
          </c:val>
        </c:ser>
        <c:ser>
          <c:idx val="3"/>
          <c:order val="3"/>
          <c:spPr>
            <a:solidFill>
              <a:schemeClr val="accent4"/>
            </a:solidFill>
            <a:ln>
              <a:noFill/>
            </a:ln>
            <a:effectLst/>
          </c:spPr>
          <c:invertIfNegative val="0"/>
          <c:cat>
            <c:numRef>
              <c:f>Total!$B$4:$B$9</c:f>
              <c:numCache>
                <c:formatCode>General</c:formatCode>
                <c:ptCount val="5"/>
                <c:pt idx="0">
                  <c:v>2013</c:v>
                </c:pt>
                <c:pt idx="1">
                  <c:v>2014</c:v>
                </c:pt>
                <c:pt idx="2">
                  <c:v>2015</c:v>
                </c:pt>
                <c:pt idx="3">
                  <c:v>2017</c:v>
                </c:pt>
                <c:pt idx="4">
                  <c:v>2018</c:v>
                </c:pt>
              </c:numCache>
            </c:numRef>
          </c:cat>
          <c:val>
            <c:numRef>
              <c:f>Total!$B$7:$O$7</c:f>
            </c:numRef>
          </c:val>
        </c:ser>
        <c:dLbls>
          <c:showLegendKey val="0"/>
          <c:showVal val="0"/>
          <c:showCatName val="0"/>
          <c:showSerName val="0"/>
          <c:showPercent val="0"/>
          <c:showBubbleSize val="0"/>
        </c:dLbls>
        <c:gapWidth val="150"/>
        <c:overlap val="100"/>
        <c:axId val="298131752"/>
        <c:axId val="298132144"/>
      </c:barChart>
      <c:catAx>
        <c:axId val="298131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132144"/>
        <c:crosses val="autoZero"/>
        <c:auto val="1"/>
        <c:lblAlgn val="ctr"/>
        <c:lblOffset val="100"/>
        <c:noMultiLvlLbl val="0"/>
      </c:catAx>
      <c:valAx>
        <c:axId val="298132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Therms</a:t>
                </a:r>
                <a:endParaRPr lang="en-US"/>
              </a:p>
            </c:rich>
          </c:tx>
          <c:overlay val="0"/>
          <c:spPr>
            <a:noFill/>
            <a:ln>
              <a:noFill/>
            </a:ln>
            <a:effectLst/>
          </c:sp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131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2016-11-30T08:00:00+00:00</OpenedDate>
    <Date1 xmlns="dc463f71-b30c-4ab2-9473-d307f9d35888">2016-11-30T08:00:00+00:00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161253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81AE1401FA4E4FBC5F5EFBF8788DA6" ma:contentTypeVersion="104" ma:contentTypeDescription="" ma:contentTypeScope="" ma:versionID="b0380cf0b5ebc53d14855c9d6ca6dd8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5A763ED-C62E-4469-AD4E-BE80226F8E90}">
  <ds:schemaRefs>
    <ds:schemaRef ds:uri="http://schemas.microsoft.com/sharepoint/v3/contenttype/forms"/>
  </ds:schemaRefs>
</ds:datastoreItem>
</file>

<file path=customXml/itemProps2.xml><?xml version="1.0" encoding="utf-8"?>
<ds:datastoreItem xmlns:ds="http://schemas.openxmlformats.org/officeDocument/2006/customXml" ds:itemID="{F8CC3006-0A08-4D48-8FA2-2748BAF310D2}">
  <ds:schemaRefs>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B0D91FA-0177-4A96-A926-571CAA600A4B}"/>
</file>

<file path=customXml/itemProps4.xml><?xml version="1.0" encoding="utf-8"?>
<ds:datastoreItem xmlns:ds="http://schemas.openxmlformats.org/officeDocument/2006/customXml" ds:itemID="{074FEB0B-6226-4115-9C21-C3334A9C4198}">
  <ds:schemaRefs>
    <ds:schemaRef ds:uri="http://schemas.openxmlformats.org/officeDocument/2006/bibliography"/>
  </ds:schemaRefs>
</ds:datastoreItem>
</file>

<file path=customXml/itemProps5.xml><?xml version="1.0" encoding="utf-8"?>
<ds:datastoreItem xmlns:ds="http://schemas.openxmlformats.org/officeDocument/2006/customXml" ds:itemID="{54711BCA-7AB0-495D-B8B5-BF3F605A2515}">
  <ds:schemaRefs>
    <ds:schemaRef ds:uri="http://schemas.openxmlformats.org/officeDocument/2006/bibliography"/>
  </ds:schemaRefs>
</ds:datastoreItem>
</file>

<file path=customXml/itemProps6.xml><?xml version="1.0" encoding="utf-8"?>
<ds:datastoreItem xmlns:ds="http://schemas.openxmlformats.org/officeDocument/2006/customXml" ds:itemID="{6E2B3A4E-7CBF-40DD-AC9F-205F94705F94}">
  <ds:schemaRefs>
    <ds:schemaRef ds:uri="http://schemas.openxmlformats.org/officeDocument/2006/bibliography"/>
  </ds:schemaRefs>
</ds:datastoreItem>
</file>

<file path=customXml/itemProps7.xml><?xml version="1.0" encoding="utf-8"?>
<ds:datastoreItem xmlns:ds="http://schemas.openxmlformats.org/officeDocument/2006/customXml" ds:itemID="{CAF052E9-A2AC-4C2E-918A-E4AD8936B4BC}">
  <ds:schemaRefs>
    <ds:schemaRef ds:uri="http://schemas.openxmlformats.org/officeDocument/2006/bibliography"/>
  </ds:schemaRefs>
</ds:datastoreItem>
</file>

<file path=customXml/itemProps8.xml><?xml version="1.0" encoding="utf-8"?>
<ds:datastoreItem xmlns:ds="http://schemas.openxmlformats.org/officeDocument/2006/customXml" ds:itemID="{07CA6BF0-AB7C-41EF-B27A-34D2162F1153}"/>
</file>

<file path=docProps/app.xml><?xml version="1.0" encoding="utf-8"?>
<Properties xmlns="http://schemas.openxmlformats.org/officeDocument/2006/extended-properties" xmlns:vt="http://schemas.openxmlformats.org/officeDocument/2006/docPropsVTypes">
  <Template>Normal.dotm</Template>
  <TotalTime>1</TotalTime>
  <Pages>51</Pages>
  <Words>17419</Words>
  <Characters>99290</Characters>
  <Application>Microsoft Office Word</Application>
  <DocSecurity>4</DocSecurity>
  <Lines>827</Lines>
  <Paragraphs>232</Paragraphs>
  <ScaleCrop>false</ScaleCrop>
  <HeadingPairs>
    <vt:vector size="2" baseType="variant">
      <vt:variant>
        <vt:lpstr>Title</vt:lpstr>
      </vt:variant>
      <vt:variant>
        <vt:i4>1</vt:i4>
      </vt:variant>
    </vt:vector>
  </HeadingPairs>
  <TitlesOfParts>
    <vt:vector size="1" baseType="lpstr">
      <vt:lpstr>Printed on Recycled Paper</vt:lpstr>
    </vt:vector>
  </TitlesOfParts>
  <Company>A MDU Resources Organization</Company>
  <LinksUpToDate>false</LinksUpToDate>
  <CharactersWithSpaces>116477</CharactersWithSpaces>
  <SharedDoc>false</SharedDoc>
  <HLinks>
    <vt:vector size="42" baseType="variant">
      <vt:variant>
        <vt:i4>2293887</vt:i4>
      </vt:variant>
      <vt:variant>
        <vt:i4>18</vt:i4>
      </vt:variant>
      <vt:variant>
        <vt:i4>0</vt:i4>
      </vt:variant>
      <vt:variant>
        <vt:i4>5</vt:i4>
      </vt:variant>
      <vt:variant>
        <vt:lpwstr>http://www.ecy.wa.gov/climatechange/GHGbenchmarking.htm</vt:lpwstr>
      </vt:variant>
      <vt:variant>
        <vt:lpwstr/>
      </vt:variant>
      <vt:variant>
        <vt:i4>4390927</vt:i4>
      </vt:variant>
      <vt:variant>
        <vt:i4>15</vt:i4>
      </vt:variant>
      <vt:variant>
        <vt:i4>0</vt:i4>
      </vt:variant>
      <vt:variant>
        <vt:i4>5</vt:i4>
      </vt:variant>
      <vt:variant>
        <vt:lpwstr>http://www.ecy.wa.gov/climatechange/2020collaboration.htm</vt:lpwstr>
      </vt:variant>
      <vt:variant>
        <vt:lpwstr/>
      </vt:variant>
      <vt:variant>
        <vt:i4>3080193</vt:i4>
      </vt:variant>
      <vt:variant>
        <vt:i4>12</vt:i4>
      </vt:variant>
      <vt:variant>
        <vt:i4>0</vt:i4>
      </vt:variant>
      <vt:variant>
        <vt:i4>5</vt:i4>
      </vt:variant>
      <vt:variant>
        <vt:lpwstr>http://www.ecy.wa.gov/climatechange/docs/2020collab_facilitylist.pdf</vt:lpwstr>
      </vt:variant>
      <vt:variant>
        <vt:lpwstr/>
      </vt:variant>
      <vt:variant>
        <vt:i4>4784194</vt:i4>
      </vt:variant>
      <vt:variant>
        <vt:i4>9</vt:i4>
      </vt:variant>
      <vt:variant>
        <vt:i4>0</vt:i4>
      </vt:variant>
      <vt:variant>
        <vt:i4>5</vt:i4>
      </vt:variant>
      <vt:variant>
        <vt:lpwstr>http://www.westernclimateinitiative.org/</vt:lpwstr>
      </vt:variant>
      <vt:variant>
        <vt:lpwstr/>
      </vt:variant>
      <vt:variant>
        <vt:i4>7340050</vt:i4>
      </vt:variant>
      <vt:variant>
        <vt:i4>6</vt:i4>
      </vt:variant>
      <vt:variant>
        <vt:i4>0</vt:i4>
      </vt:variant>
      <vt:variant>
        <vt:i4>5</vt:i4>
      </vt:variant>
      <vt:variant>
        <vt:lpwstr>http://en.wikipedia.org/wiki/Renewable_fuel</vt:lpwstr>
      </vt:variant>
      <vt:variant>
        <vt:lpwstr/>
      </vt:variant>
      <vt:variant>
        <vt:i4>2818120</vt:i4>
      </vt:variant>
      <vt:variant>
        <vt:i4>3</vt:i4>
      </vt:variant>
      <vt:variant>
        <vt:i4>0</vt:i4>
      </vt:variant>
      <vt:variant>
        <vt:i4>5</vt:i4>
      </vt:variant>
      <vt:variant>
        <vt:lpwstr>http://en.wikipedia.org/wiki/Heat_engine</vt:lpwstr>
      </vt:variant>
      <vt:variant>
        <vt:lpwstr/>
      </vt:variant>
      <vt:variant>
        <vt:i4>1638527</vt:i4>
      </vt:variant>
      <vt:variant>
        <vt:i4>0</vt:i4>
      </vt:variant>
      <vt:variant>
        <vt:i4>0</vt:i4>
      </vt:variant>
      <vt:variant>
        <vt:i4>5</vt:i4>
      </vt:variant>
      <vt:variant>
        <vt:lpwstr>http://en.wikipedia.org/wiki/Waste_management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Printed on Recycled Paper</dc:title>
  <dc:creator>Mark Sellers-Vaughn</dc:creator>
  <cp:lastModifiedBy>Sargent, Amanda</cp:lastModifiedBy>
  <cp:revision>2</cp:revision>
  <cp:lastPrinted>2016-10-31T18:58:00Z</cp:lastPrinted>
  <dcterms:created xsi:type="dcterms:W3CDTF">2016-11-30T23:20:00Z</dcterms:created>
  <dcterms:modified xsi:type="dcterms:W3CDTF">2016-11-30T23:20:00Z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2012-01-02T00:00:00Z</vt:filetime>
  </property>
  <property fmtid="{D5CDD505-2E9C-101B-9397-08002B2CF9AE}" pid="3" name="LastSaved">
    <vt:filetime>2012-03-13T00:00:00Z</vt:filetime>
  </property>
  <property fmtid="{D5CDD505-2E9C-101B-9397-08002B2CF9AE}" pid="4" name="ContentTypeId">
    <vt:lpwstr>0x0101006E56B4D1795A2E4DB2F0B01679ED314A00AF81AE1401FA4E4FBC5F5EFBF8788DA6</vt:lpwstr>
  </property>
  <property fmtid="{D5CDD505-2E9C-101B-9397-08002B2CF9AE}" pid="5" name="_docset_NoMedatataSyncRequired">
    <vt:lpwstr>False</vt:lpwstr>
  </property>
</Properties>
</file>