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J&amp;J Bus LLC</w:t>
      </w:r>
    </w:p>
    <w:p>
      <w:r>
        <w:t>518 S. King St.</w:t>
        <w:cr/>
        <w:t>Seattle, WA 98104-2834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CH067204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160386</w:t>
      </w:r>
      <w:r w:rsidR="00C30993">
        <w:tab/>
      </w:r>
      <w:r>
        <w:t>June 14,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7758090323A3439FDEAA3E80B8D05D" ma:contentTypeVersion="104" ma:contentTypeDescription="" ma:contentTypeScope="" ma:versionID="523135c00b6bf58d32210f61af4b4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2016-04-06T07:00:00+00:00</OpenedDate>
    <Date1 xmlns="dc463f71-b30c-4ab2-9473-d307f9d35888">2016-06-14T07:00:00+00:00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J&amp;J Bus LLC</CaseCompanyNames>
    <DocketNumber xmlns="dc463f71-b30c-4ab2-9473-d307f9d35888">160386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CE9B-6842-4586-B14A-F14168CC5099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6D942318-2D1F-41CE-B06F-9C296C670728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0x0101006E56B4D1795A2E4DB2F0B01679ED314A00CE7758090323A3439FDEAA3E80B8D05D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