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B6" w:rsidRPr="00F326E9" w:rsidRDefault="00D107B6" w:rsidP="00D107B6">
      <w:pPr>
        <w:tabs>
          <w:tab w:val="right" w:pos="9360"/>
        </w:tabs>
        <w:rPr>
          <w:rFonts w:cs="Arial"/>
        </w:rPr>
      </w:pPr>
      <w:r>
        <w:rPr>
          <w:rFonts w:cs="Arial"/>
        </w:rPr>
        <w:t>WN U-4</w:t>
      </w:r>
      <w:r w:rsidRPr="00F326E9">
        <w:rPr>
          <w:rFonts w:cs="Arial"/>
        </w:rPr>
        <w:tab/>
      </w:r>
      <w:r>
        <w:rPr>
          <w:rFonts w:cs="Arial"/>
        </w:rPr>
        <w:t>SECTION 3</w:t>
      </w:r>
    </w:p>
    <w:p w:rsidR="00D107B6" w:rsidRDefault="00D107B6" w:rsidP="00D107B6">
      <w:pPr>
        <w:tabs>
          <w:tab w:val="right" w:pos="9360"/>
        </w:tabs>
        <w:rPr>
          <w:rFonts w:cs="Arial"/>
        </w:rPr>
      </w:pPr>
      <w:proofErr w:type="gramStart"/>
      <w:r>
        <w:rPr>
          <w:rFonts w:cs="Arial"/>
        </w:rPr>
        <w:t xml:space="preserve">CenturyTel of </w:t>
      </w:r>
      <w:proofErr w:type="spellStart"/>
      <w:r>
        <w:rPr>
          <w:rFonts w:cs="Arial"/>
        </w:rPr>
        <w:t>Cowiche</w:t>
      </w:r>
      <w:proofErr w:type="spellEnd"/>
      <w:r>
        <w:rPr>
          <w:rFonts w:cs="Arial"/>
        </w:rPr>
        <w:t>, Inc.</w:t>
      </w:r>
      <w:proofErr w:type="gramEnd"/>
      <w:r>
        <w:rPr>
          <w:rFonts w:cs="Arial"/>
        </w:rPr>
        <w:t xml:space="preserve"> </w:t>
      </w:r>
    </w:p>
    <w:p w:rsidR="00D107B6" w:rsidRDefault="00D107B6" w:rsidP="00D107B6">
      <w:pPr>
        <w:tabs>
          <w:tab w:val="right" w:pos="9360"/>
        </w:tabs>
        <w:rPr>
          <w:rFonts w:cs="Arial"/>
        </w:rPr>
      </w:pPr>
      <w:proofErr w:type="gramStart"/>
      <w:r>
        <w:rPr>
          <w:rFonts w:cs="Arial"/>
        </w:rPr>
        <w:t>d/b/a</w:t>
      </w:r>
      <w:proofErr w:type="gramEnd"/>
      <w:r>
        <w:rPr>
          <w:rFonts w:cs="Arial"/>
        </w:rPr>
        <w:t xml:space="preserve"> CenturyLink</w:t>
      </w:r>
      <w:r w:rsidRPr="00F326E9">
        <w:rPr>
          <w:rFonts w:cs="Arial"/>
        </w:rPr>
        <w:tab/>
      </w:r>
      <w:r w:rsidR="00F72848">
        <w:rPr>
          <w:rFonts w:cs="Arial"/>
        </w:rPr>
        <w:t xml:space="preserve">First Revised </w:t>
      </w:r>
      <w:r>
        <w:rPr>
          <w:rFonts w:cs="Arial"/>
        </w:rPr>
        <w:t>Sheet 8</w:t>
      </w:r>
    </w:p>
    <w:p w:rsidR="00D107B6" w:rsidRPr="00F326E9" w:rsidRDefault="00F72848" w:rsidP="00F72848">
      <w:pPr>
        <w:tabs>
          <w:tab w:val="right" w:pos="9360"/>
        </w:tabs>
        <w:jc w:val="right"/>
      </w:pPr>
      <w:r>
        <w:t>Cancels Original Sheet 8</w:t>
      </w:r>
    </w:p>
    <w:tbl>
      <w:tblPr>
        <w:tblW w:w="10656" w:type="dxa"/>
        <w:tblLayout w:type="fixed"/>
        <w:tblLook w:val="0000"/>
      </w:tblPr>
      <w:tblGrid>
        <w:gridCol w:w="9504"/>
        <w:gridCol w:w="1152"/>
      </w:tblGrid>
      <w:tr w:rsidR="00D107B6" w:rsidRPr="00F326E9" w:rsidTr="00A41B61">
        <w:trPr>
          <w:trHeight w:val="11907"/>
        </w:trPr>
        <w:tc>
          <w:tcPr>
            <w:tcW w:w="9504" w:type="dxa"/>
            <w:tcBorders>
              <w:top w:val="single" w:sz="4" w:space="0" w:color="auto"/>
            </w:tcBorders>
          </w:tcPr>
          <w:p w:rsidR="00D107B6" w:rsidRDefault="00D107B6" w:rsidP="00A41B61">
            <w:pPr>
              <w:ind w:left="540" w:hanging="540"/>
              <w:jc w:val="center"/>
              <w:rPr>
                <w:u w:val="single"/>
              </w:rPr>
            </w:pPr>
          </w:p>
          <w:p w:rsidR="00D107B6" w:rsidRDefault="00D107B6" w:rsidP="00A41B61">
            <w:pPr>
              <w:ind w:left="540" w:hanging="540"/>
              <w:jc w:val="center"/>
              <w:rPr>
                <w:u w:val="single"/>
              </w:rPr>
            </w:pPr>
            <w:r w:rsidRPr="00F326E9">
              <w:rPr>
                <w:u w:val="single"/>
              </w:rPr>
              <w:t>9-1-1 SERVICE FOR YAKIMA COUNTY</w:t>
            </w:r>
          </w:p>
          <w:p w:rsidR="00D107B6" w:rsidRDefault="00D107B6" w:rsidP="00A41B61">
            <w:pPr>
              <w:ind w:left="540" w:hanging="540"/>
              <w:jc w:val="center"/>
              <w:rPr>
                <w:u w:val="single"/>
              </w:rPr>
            </w:pPr>
          </w:p>
          <w:p w:rsidR="00D107B6" w:rsidRPr="00F326E9" w:rsidRDefault="00D107B6" w:rsidP="00A41B61">
            <w:pPr>
              <w:ind w:left="540" w:hanging="540"/>
              <w:jc w:val="center"/>
            </w:pPr>
          </w:p>
          <w:p w:rsidR="00D107B6" w:rsidRPr="00F326E9" w:rsidRDefault="00D107B6" w:rsidP="00A41B61">
            <w:pPr>
              <w:ind w:left="540" w:hanging="540"/>
              <w:jc w:val="both"/>
            </w:pPr>
            <w:r>
              <w:t>A</w:t>
            </w:r>
            <w:r w:rsidRPr="00F326E9">
              <w:t>.</w:t>
            </w:r>
            <w:r w:rsidRPr="00F326E9">
              <w:tab/>
            </w:r>
            <w:r w:rsidRPr="00BE032F">
              <w:t>9-1-1</w:t>
            </w:r>
            <w:r w:rsidRPr="00F326E9">
              <w:t xml:space="preserve"> </w:t>
            </w:r>
            <w:r>
              <w:t>SERVICE FOR YAKIMA COUNTY</w:t>
            </w:r>
            <w:r w:rsidRPr="00F326E9">
              <w:t xml:space="preserve"> (Continued</w:t>
            </w:r>
            <w:r>
              <w:t>)</w:t>
            </w:r>
          </w:p>
          <w:p w:rsidR="00D107B6" w:rsidRDefault="00D107B6" w:rsidP="00A41B61">
            <w:pPr>
              <w:ind w:left="540" w:hanging="540"/>
              <w:jc w:val="both"/>
            </w:pPr>
          </w:p>
          <w:p w:rsidR="00D107B6" w:rsidRDefault="00D107B6" w:rsidP="00A41B61">
            <w:pPr>
              <w:ind w:left="1080" w:hanging="540"/>
              <w:jc w:val="both"/>
            </w:pPr>
            <w:r>
              <w:t>3</w:t>
            </w:r>
            <w:r w:rsidRPr="00F326E9">
              <w:t>.</w:t>
            </w:r>
            <w:r w:rsidRPr="00F326E9">
              <w:tab/>
            </w:r>
            <w:r>
              <w:t>CONDITIONS</w:t>
            </w:r>
            <w:r w:rsidRPr="00F326E9">
              <w:t xml:space="preserve"> (Continued)</w:t>
            </w:r>
          </w:p>
          <w:p w:rsidR="00D107B6" w:rsidRPr="00F326E9" w:rsidRDefault="00D107B6" w:rsidP="00A41B61">
            <w:pPr>
              <w:ind w:left="540" w:hanging="540"/>
              <w:jc w:val="both"/>
            </w:pPr>
          </w:p>
          <w:p w:rsidR="00D107B6" w:rsidRPr="00F326E9" w:rsidRDefault="00D107B6" w:rsidP="00A41B61">
            <w:pPr>
              <w:ind w:left="1620" w:hanging="540"/>
              <w:jc w:val="both"/>
            </w:pPr>
            <w:r>
              <w:t>x.</w:t>
            </w:r>
            <w:r w:rsidRPr="00F326E9">
              <w:tab/>
              <w:t xml:space="preserve">The Company or customer shall each notify the other in the event one finds that </w:t>
            </w:r>
            <w:proofErr w:type="gramStart"/>
            <w:r w:rsidRPr="00F326E9">
              <w:t xml:space="preserve">the </w:t>
            </w:r>
            <w:r>
              <w:t xml:space="preserve"> </w:t>
            </w:r>
            <w:r w:rsidRPr="00F326E9">
              <w:t>9</w:t>
            </w:r>
            <w:proofErr w:type="gramEnd"/>
            <w:r w:rsidRPr="00F326E9">
              <w:t>-1-1 Service is not functioning properly.</w:t>
            </w:r>
          </w:p>
          <w:p w:rsidR="00D107B6" w:rsidRPr="00F326E9" w:rsidRDefault="00D107B6" w:rsidP="00A41B61">
            <w:pPr>
              <w:ind w:left="540" w:hanging="540"/>
              <w:jc w:val="both"/>
            </w:pPr>
          </w:p>
          <w:p w:rsidR="00D107B6" w:rsidRPr="00F326E9" w:rsidRDefault="00D107B6" w:rsidP="00A41B61">
            <w:pPr>
              <w:ind w:left="1620" w:hanging="540"/>
              <w:jc w:val="both"/>
            </w:pPr>
            <w:r>
              <w:t>y.</w:t>
            </w:r>
            <w:r w:rsidRPr="00F326E9">
              <w:tab/>
              <w:t>The customer shall be billed monthly for payment of recurring charges in advance.  The customer shall be billed for non-recurring charges after they have been incurred.  Payments shall be made at the office of the Company or to an authorized collector of the Company.  All bills are due and payable upon presentation and delinquent if not paid within 15 from presentation.  Late payments shall bear interest at one percent per month, pro-rated to date of payment.</w:t>
            </w:r>
          </w:p>
          <w:p w:rsidR="00D107B6" w:rsidRPr="00F326E9" w:rsidRDefault="00D107B6" w:rsidP="00A41B61">
            <w:pPr>
              <w:ind w:left="540" w:hanging="540"/>
              <w:jc w:val="both"/>
            </w:pPr>
          </w:p>
          <w:p w:rsidR="00D107B6" w:rsidRPr="00F326E9" w:rsidRDefault="00D107B6" w:rsidP="00A41B61">
            <w:pPr>
              <w:ind w:left="1620" w:hanging="540"/>
              <w:jc w:val="both"/>
            </w:pPr>
            <w:proofErr w:type="gramStart"/>
            <w:r>
              <w:t>z</w:t>
            </w:r>
            <w:proofErr w:type="gramEnd"/>
            <w:r>
              <w:t>.</w:t>
            </w:r>
            <w:r w:rsidRPr="00F326E9">
              <w:tab/>
              <w:t>9-1-1 Service shall be temporarily interrupted for CO upgrades or updates. The Company shall try to keep such interruptions to a minimum.</w:t>
            </w:r>
          </w:p>
          <w:p w:rsidR="00D107B6" w:rsidRDefault="00D107B6" w:rsidP="00A41B61">
            <w:pPr>
              <w:ind w:left="540" w:hanging="540"/>
              <w:jc w:val="both"/>
            </w:pPr>
          </w:p>
          <w:p w:rsidR="00D107B6" w:rsidRDefault="00D107B6" w:rsidP="00A41B61">
            <w:pPr>
              <w:ind w:left="1620" w:hanging="540"/>
              <w:jc w:val="both"/>
            </w:pPr>
            <w:proofErr w:type="spellStart"/>
            <w:proofErr w:type="gramStart"/>
            <w:r>
              <w:t>aa</w:t>
            </w:r>
            <w:proofErr w:type="spellEnd"/>
            <w:proofErr w:type="gramEnd"/>
            <w:r>
              <w:t>.</w:t>
            </w:r>
            <w:r w:rsidRPr="00F326E9">
              <w:tab/>
              <w:t>For calls placed to a PSAP from off-premise stations behind business systems, where ANI is provided, it may provide the identity of the primary telephone service billing or lead number.</w:t>
            </w:r>
          </w:p>
          <w:p w:rsidR="00F72848" w:rsidRDefault="00F72848" w:rsidP="00F72848">
            <w:pPr>
              <w:ind w:left="540" w:hanging="540"/>
              <w:jc w:val="both"/>
            </w:pPr>
          </w:p>
          <w:p w:rsidR="00F72848" w:rsidRPr="00F72848" w:rsidRDefault="00F72848" w:rsidP="00F72848">
            <w:pPr>
              <w:ind w:left="1620" w:hanging="540"/>
              <w:jc w:val="both"/>
              <w:rPr>
                <w:b/>
              </w:rPr>
            </w:pPr>
            <w:proofErr w:type="gramStart"/>
            <w:r w:rsidRPr="00F72848">
              <w:rPr>
                <w:b/>
              </w:rPr>
              <w:t>bb</w:t>
            </w:r>
            <w:proofErr w:type="gramEnd"/>
            <w:r>
              <w:t>.</w:t>
            </w:r>
            <w:r w:rsidRPr="00F326E9">
              <w:tab/>
            </w:r>
            <w:r w:rsidRPr="00F72848">
              <w:rPr>
                <w:b/>
              </w:rPr>
              <w:t xml:space="preserve">Pursuant to a statewide contract, Qwest Corporation d/b/a CenturyLink QC is the sole provider of automatic location identification services within the state of Washington.  The terms, conditions, and rates for </w:t>
            </w:r>
            <w:r w:rsidR="00E45611">
              <w:rPr>
                <w:b/>
              </w:rPr>
              <w:t>Private Switch</w:t>
            </w:r>
            <w:r w:rsidR="00E41393">
              <w:rPr>
                <w:b/>
              </w:rPr>
              <w:t xml:space="preserve"> Automatic Location Identification</w:t>
            </w:r>
            <w:r w:rsidRPr="00F72848">
              <w:rPr>
                <w:b/>
              </w:rPr>
              <w:t xml:space="preserve"> are in Section 9 of </w:t>
            </w:r>
            <w:hyperlink r:id="rId5" w:history="1">
              <w:r w:rsidRPr="00F72848">
                <w:rPr>
                  <w:rStyle w:val="Hyperlink"/>
                  <w:b/>
                </w:rPr>
                <w:t>Qwest Corporation d/b/a CenturyLink QC WN U-49 Exchange and Network Services</w:t>
              </w:r>
            </w:hyperlink>
            <w:r w:rsidRPr="00F72848">
              <w:rPr>
                <w:b/>
              </w:rPr>
              <w:t>.</w:t>
            </w:r>
          </w:p>
          <w:p w:rsidR="00F72848" w:rsidRDefault="00F72848" w:rsidP="00F72848">
            <w:pPr>
              <w:jc w:val="both"/>
            </w:pPr>
          </w:p>
          <w:p w:rsidR="00D107B6" w:rsidRDefault="00D107B6" w:rsidP="00A41B61">
            <w:pPr>
              <w:ind w:left="1080" w:hanging="540"/>
              <w:jc w:val="both"/>
            </w:pPr>
          </w:p>
          <w:p w:rsidR="00D107B6" w:rsidRPr="00F326E9" w:rsidRDefault="00D107B6" w:rsidP="00A41B61">
            <w:pPr>
              <w:ind w:left="1080" w:hanging="540"/>
              <w:jc w:val="both"/>
            </w:pPr>
            <w:r>
              <w:t>4.</w:t>
            </w:r>
            <w:r>
              <w:tab/>
              <w:t>LIABILITY</w:t>
            </w:r>
          </w:p>
          <w:p w:rsidR="00D107B6" w:rsidRPr="00F326E9" w:rsidRDefault="00D107B6" w:rsidP="00A41B61">
            <w:pPr>
              <w:ind w:left="540" w:hanging="540"/>
            </w:pPr>
          </w:p>
          <w:p w:rsidR="00D107B6" w:rsidRPr="00F326E9" w:rsidRDefault="00D107B6" w:rsidP="00A41B61">
            <w:pPr>
              <w:ind w:left="1620" w:hanging="540"/>
              <w:jc w:val="both"/>
            </w:pPr>
            <w:r>
              <w:t>a.</w:t>
            </w:r>
            <w:r w:rsidRPr="00F326E9">
              <w:tab/>
              <w:t>The Company, and its directors, officers, employees and agents, shall not be liable for civil damages caused by an act or omission of the Company, its employees or agents in the:</w:t>
            </w:r>
          </w:p>
          <w:p w:rsidR="00D107B6" w:rsidRPr="00F326E9" w:rsidRDefault="00D107B6" w:rsidP="00A41B61">
            <w:pPr>
              <w:ind w:left="540" w:hanging="540"/>
              <w:jc w:val="both"/>
            </w:pPr>
          </w:p>
          <w:p w:rsidR="00D107B6" w:rsidRPr="00F326E9" w:rsidRDefault="00D107B6" w:rsidP="00A41B61">
            <w:pPr>
              <w:ind w:left="2160" w:hanging="540"/>
              <w:jc w:val="both"/>
            </w:pPr>
            <w:r>
              <w:t>(1)</w:t>
            </w:r>
            <w:r w:rsidRPr="00F326E9">
              <w:tab/>
              <w:t>Good-faith release of information not in the public record, including unpublished or unlisted subscriber  information to  emergency  service providers responding to  calls  placed to a 9-1-1 Service, or</w:t>
            </w:r>
          </w:p>
          <w:p w:rsidR="00D107B6" w:rsidRPr="00F326E9" w:rsidRDefault="00D107B6" w:rsidP="00A41B61">
            <w:pPr>
              <w:ind w:left="540" w:hanging="540"/>
              <w:jc w:val="both"/>
            </w:pPr>
          </w:p>
          <w:p w:rsidR="00D107B6" w:rsidRPr="00F326E9" w:rsidRDefault="00D107B6" w:rsidP="00A41B61">
            <w:pPr>
              <w:ind w:left="2160" w:hanging="540"/>
              <w:jc w:val="both"/>
            </w:pPr>
            <w:r>
              <w:t>(2)</w:t>
            </w:r>
            <w:r w:rsidRPr="00F326E9">
              <w:tab/>
              <w:t>Design, development, installation, implementation, maintenance or provision of 9-1-1 Service other than an act or omission constituting gross negligence or want on or willful misconduct.</w:t>
            </w:r>
          </w:p>
          <w:p w:rsidR="00D107B6" w:rsidRPr="00F326E9" w:rsidRDefault="00D107B6" w:rsidP="00A41B61">
            <w:pPr>
              <w:ind w:left="540" w:hanging="540"/>
              <w:jc w:val="both"/>
            </w:pPr>
          </w:p>
          <w:p w:rsidR="00D107B6" w:rsidRPr="00F326E9" w:rsidRDefault="00D107B6" w:rsidP="00A41B61">
            <w:pPr>
              <w:ind w:left="1620" w:hanging="540"/>
              <w:jc w:val="both"/>
            </w:pPr>
            <w:r>
              <w:t>b.</w:t>
            </w:r>
            <w:r w:rsidRPr="00F326E9">
              <w:tab/>
              <w:t>The Company's liability for civil damages to the customer or any person for interruption or failure of 9-1-1 Service shall be limited by the terms set forth in this section and in any sections of other tariffs which apply to the provision of 9-1-1 Service (or components thereof) by the Company.</w:t>
            </w:r>
          </w:p>
          <w:p w:rsidR="00D107B6" w:rsidRPr="00F326E9" w:rsidRDefault="00D107B6" w:rsidP="00A41B61">
            <w:pPr>
              <w:ind w:left="540" w:hanging="540"/>
              <w:jc w:val="both"/>
            </w:pPr>
          </w:p>
          <w:p w:rsidR="00D107B6" w:rsidRPr="00F326E9" w:rsidRDefault="00D107B6" w:rsidP="00A41B61">
            <w:pPr>
              <w:ind w:left="1620" w:hanging="540"/>
              <w:jc w:val="both"/>
            </w:pPr>
          </w:p>
        </w:tc>
        <w:tc>
          <w:tcPr>
            <w:tcW w:w="1152" w:type="dxa"/>
          </w:tcPr>
          <w:p w:rsidR="00D107B6" w:rsidRDefault="00D107B6"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Default="00F72848" w:rsidP="00F72848">
            <w:pPr>
              <w:rPr>
                <w:rFonts w:cs="Arial"/>
              </w:rPr>
            </w:pPr>
          </w:p>
          <w:p w:rsidR="00F72848" w:rsidRDefault="00F72848" w:rsidP="00A41B61">
            <w:pPr>
              <w:jc w:val="center"/>
              <w:rPr>
                <w:rFonts w:cs="Arial"/>
              </w:rPr>
            </w:pPr>
          </w:p>
          <w:p w:rsidR="00F72848" w:rsidRDefault="00F72848" w:rsidP="00A41B61">
            <w:pPr>
              <w:jc w:val="center"/>
              <w:rPr>
                <w:rFonts w:cs="Arial"/>
              </w:rPr>
            </w:pPr>
          </w:p>
          <w:p w:rsidR="00F72848" w:rsidRPr="00F72848" w:rsidRDefault="00F72848" w:rsidP="00F72848">
            <w:pPr>
              <w:tabs>
                <w:tab w:val="right" w:pos="1060"/>
              </w:tabs>
              <w:jc w:val="center"/>
              <w:rPr>
                <w:rFonts w:cs="Arial"/>
              </w:rPr>
            </w:pPr>
            <w:r w:rsidRPr="00F72848">
              <w:rPr>
                <w:rFonts w:cs="Arial"/>
              </w:rPr>
              <w:t>(N)</w:t>
            </w:r>
          </w:p>
          <w:p w:rsidR="00F72848" w:rsidRPr="00F72848" w:rsidRDefault="00F72848" w:rsidP="00F72848">
            <w:pPr>
              <w:tabs>
                <w:tab w:val="bar" w:pos="486"/>
              </w:tabs>
              <w:jc w:val="center"/>
              <w:rPr>
                <w:rFonts w:cs="Arial"/>
              </w:rPr>
            </w:pPr>
          </w:p>
          <w:p w:rsidR="00F72848" w:rsidRDefault="00F72848" w:rsidP="00F72848">
            <w:pPr>
              <w:tabs>
                <w:tab w:val="bar" w:pos="486"/>
              </w:tabs>
              <w:jc w:val="center"/>
              <w:rPr>
                <w:rFonts w:cs="Arial"/>
              </w:rPr>
            </w:pPr>
          </w:p>
          <w:p w:rsidR="00F72848" w:rsidRDefault="00F72848" w:rsidP="00F72848">
            <w:pPr>
              <w:tabs>
                <w:tab w:val="bar" w:pos="486"/>
              </w:tabs>
              <w:jc w:val="center"/>
              <w:rPr>
                <w:rFonts w:cs="Arial"/>
              </w:rPr>
            </w:pPr>
          </w:p>
          <w:p w:rsidR="00E41393" w:rsidRPr="00F72848" w:rsidRDefault="00E41393" w:rsidP="00F72848">
            <w:pPr>
              <w:tabs>
                <w:tab w:val="bar" w:pos="486"/>
              </w:tabs>
              <w:jc w:val="center"/>
              <w:rPr>
                <w:rFonts w:cs="Arial"/>
              </w:rPr>
            </w:pPr>
          </w:p>
          <w:p w:rsidR="00F72848" w:rsidRPr="00F72848" w:rsidRDefault="00F72848" w:rsidP="00F72848">
            <w:pPr>
              <w:tabs>
                <w:tab w:val="bar" w:pos="486"/>
              </w:tabs>
              <w:jc w:val="center"/>
              <w:rPr>
                <w:rFonts w:cs="Arial"/>
              </w:rPr>
            </w:pPr>
          </w:p>
          <w:p w:rsidR="00F72848" w:rsidRPr="00F72848" w:rsidRDefault="00F72848" w:rsidP="00F72848">
            <w:pPr>
              <w:tabs>
                <w:tab w:val="right" w:pos="1060"/>
              </w:tabs>
              <w:jc w:val="center"/>
              <w:rPr>
                <w:rFonts w:cs="Arial"/>
              </w:rPr>
            </w:pPr>
            <w:r w:rsidRPr="00F72848">
              <w:rPr>
                <w:rFonts w:cs="Arial"/>
              </w:rPr>
              <w:t>(N)</w:t>
            </w:r>
          </w:p>
          <w:p w:rsidR="00F72848" w:rsidRPr="00F72848" w:rsidRDefault="00F72848" w:rsidP="00F72848">
            <w:pPr>
              <w:tabs>
                <w:tab w:val="right" w:pos="1060"/>
              </w:tabs>
              <w:jc w:val="center"/>
              <w:rPr>
                <w:rFonts w:cs="Arial"/>
                <w:color w:val="0000FF"/>
              </w:rPr>
            </w:pPr>
          </w:p>
        </w:tc>
      </w:tr>
      <w:tr w:rsidR="00D107B6" w:rsidRPr="00F326E9" w:rsidTr="00A41B61">
        <w:tc>
          <w:tcPr>
            <w:tcW w:w="9504" w:type="dxa"/>
            <w:tcBorders>
              <w:bottom w:val="single" w:sz="4" w:space="0" w:color="auto"/>
            </w:tcBorders>
          </w:tcPr>
          <w:p w:rsidR="00D107B6" w:rsidRPr="00F326E9" w:rsidRDefault="00D107B6" w:rsidP="00A41B61">
            <w:pPr>
              <w:ind w:left="960" w:hanging="600"/>
              <w:jc w:val="both"/>
              <w:rPr>
                <w:sz w:val="22"/>
              </w:rPr>
            </w:pPr>
          </w:p>
        </w:tc>
        <w:tc>
          <w:tcPr>
            <w:tcW w:w="1152" w:type="dxa"/>
          </w:tcPr>
          <w:p w:rsidR="00D107B6" w:rsidRPr="00F326E9" w:rsidRDefault="00D107B6" w:rsidP="00A41B61">
            <w:pPr>
              <w:jc w:val="center"/>
              <w:rPr>
                <w:rFonts w:cs="Arial"/>
              </w:rPr>
            </w:pPr>
          </w:p>
        </w:tc>
      </w:tr>
    </w:tbl>
    <w:p w:rsidR="00D107B6" w:rsidRPr="00F326E9" w:rsidRDefault="00D107B6" w:rsidP="00D107B6"/>
    <w:p w:rsidR="00D107B6" w:rsidRPr="00F326E9" w:rsidRDefault="00F72848" w:rsidP="00D107B6">
      <w:pPr>
        <w:tabs>
          <w:tab w:val="right" w:pos="9360"/>
        </w:tabs>
        <w:rPr>
          <w:rFonts w:cs="Arial"/>
        </w:rPr>
      </w:pPr>
      <w:proofErr w:type="gramStart"/>
      <w:r>
        <w:rPr>
          <w:rFonts w:cs="Arial"/>
        </w:rPr>
        <w:t>Advice No.</w:t>
      </w:r>
      <w:proofErr w:type="gramEnd"/>
      <w:r>
        <w:rPr>
          <w:rFonts w:cs="Arial"/>
        </w:rPr>
        <w:t xml:space="preserve"> WA COW 16-01</w:t>
      </w:r>
      <w:r w:rsidR="00D107B6" w:rsidRPr="00F326E9">
        <w:rPr>
          <w:rFonts w:cs="Arial"/>
        </w:rPr>
        <w:tab/>
        <w:t>Effective</w:t>
      </w:r>
      <w:r w:rsidR="00D107B6">
        <w:rPr>
          <w:rFonts w:cs="Arial"/>
        </w:rPr>
        <w:t xml:space="preserve">: </w:t>
      </w:r>
      <w:r w:rsidR="00D107B6" w:rsidRPr="00F326E9">
        <w:rPr>
          <w:rFonts w:cs="Arial"/>
        </w:rPr>
        <w:t xml:space="preserve"> </w:t>
      </w:r>
      <w:r w:rsidR="00105467">
        <w:rPr>
          <w:rFonts w:cs="Arial"/>
        </w:rPr>
        <w:t>March 20</w:t>
      </w:r>
      <w:r>
        <w:rPr>
          <w:rFonts w:cs="Arial"/>
        </w:rPr>
        <w:t>, 2016</w:t>
      </w:r>
    </w:p>
    <w:p w:rsidR="00D107B6" w:rsidRPr="00F326E9" w:rsidRDefault="00D107B6" w:rsidP="00D107B6">
      <w:pPr>
        <w:pStyle w:val="BodyText"/>
        <w:tabs>
          <w:tab w:val="left" w:pos="9720"/>
        </w:tabs>
        <w:rPr>
          <w:rFonts w:cs="Arial"/>
          <w:sz w:val="20"/>
        </w:rPr>
      </w:pPr>
      <w:r w:rsidRPr="00F326E9">
        <w:rPr>
          <w:rFonts w:cs="Arial"/>
          <w:sz w:val="20"/>
        </w:rPr>
        <w:t xml:space="preserve">Issued By </w:t>
      </w:r>
      <w:r>
        <w:rPr>
          <w:rFonts w:cs="Arial"/>
          <w:sz w:val="20"/>
        </w:rPr>
        <w:t xml:space="preserve">CenturyTel of </w:t>
      </w:r>
      <w:proofErr w:type="spellStart"/>
      <w:r>
        <w:rPr>
          <w:rFonts w:cs="Arial"/>
          <w:sz w:val="20"/>
        </w:rPr>
        <w:t>Cowiche</w:t>
      </w:r>
      <w:proofErr w:type="spellEnd"/>
      <w:r>
        <w:rPr>
          <w:rFonts w:cs="Arial"/>
          <w:sz w:val="20"/>
        </w:rPr>
        <w:t>, Inc. d/b/a CenturyLink</w:t>
      </w:r>
    </w:p>
    <w:p w:rsidR="00D107B6" w:rsidRDefault="00D107B6" w:rsidP="00D107B6">
      <w:pPr>
        <w:rPr>
          <w:rFonts w:cs="Arial"/>
        </w:rPr>
      </w:pPr>
      <w:r>
        <w:rPr>
          <w:rFonts w:cs="Arial"/>
        </w:rPr>
        <w:br w:type="page"/>
      </w:r>
    </w:p>
    <w:p w:rsidR="00A67BC0" w:rsidRDefault="00A67BC0"/>
    <w:sectPr w:rsidR="00A67BC0" w:rsidSect="00D107B6">
      <w:pgSz w:w="12240" w:h="15840" w:code="1"/>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defaultTabStop w:val="720"/>
  <w:drawingGridHorizontalSpacing w:val="100"/>
  <w:displayHorizontalDrawingGridEvery w:val="2"/>
  <w:characterSpacingControl w:val="doNotCompress"/>
  <w:compat/>
  <w:rsids>
    <w:rsidRoot w:val="00D107B6"/>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2FE"/>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4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186D"/>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8BD"/>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4AFD"/>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3F4A"/>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7B6"/>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4C9"/>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393"/>
    <w:rsid w:val="00E414DD"/>
    <w:rsid w:val="00E41E21"/>
    <w:rsid w:val="00E41F00"/>
    <w:rsid w:val="00E425B0"/>
    <w:rsid w:val="00E4267B"/>
    <w:rsid w:val="00E427E6"/>
    <w:rsid w:val="00E42DCA"/>
    <w:rsid w:val="00E44010"/>
    <w:rsid w:val="00E44879"/>
    <w:rsid w:val="00E44A5F"/>
    <w:rsid w:val="00E44AD5"/>
    <w:rsid w:val="00E452D4"/>
    <w:rsid w:val="00E45611"/>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2A"/>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2848"/>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107B6"/>
    <w:pPr>
      <w:spacing w:line="240" w:lineRule="auto"/>
    </w:pPr>
    <w:rPr>
      <w:rFonts w:ascii="Arial" w:eastAsia="Times New Roman" w:hAnsi="Arial" w:cs="Times New Roman"/>
      <w:sz w:val="20"/>
      <w:szCs w:val="20"/>
      <w:lang w:bidi="ar-SA"/>
    </w:r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style>
  <w:style w:type="paragraph" w:styleId="Footer">
    <w:name w:val="footer"/>
    <w:basedOn w:val="Normal"/>
    <w:rsid w:val="00AC76E9"/>
    <w:pPr>
      <w:tabs>
        <w:tab w:val="center" w:pos="4320"/>
        <w:tab w:val="right" w:pos="8640"/>
      </w:tabs>
    </w:pPr>
  </w:style>
  <w:style w:type="paragraph" w:styleId="Header">
    <w:name w:val="header"/>
    <w:basedOn w:val="Normal"/>
    <w:rsid w:val="00AC76E9"/>
    <w:pPr>
      <w:tabs>
        <w:tab w:val="center" w:pos="4320"/>
        <w:tab w:val="right" w:pos="8640"/>
      </w:tabs>
    </w:p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paragraph" w:styleId="BodyText">
    <w:name w:val="Body Text"/>
    <w:basedOn w:val="Normal"/>
    <w:link w:val="BodyTextChar"/>
    <w:rsid w:val="00D107B6"/>
    <w:pPr>
      <w:tabs>
        <w:tab w:val="left" w:pos="1350"/>
      </w:tabs>
    </w:pPr>
    <w:rPr>
      <w:sz w:val="22"/>
    </w:rPr>
  </w:style>
  <w:style w:type="character" w:customStyle="1" w:styleId="BodyTextChar">
    <w:name w:val="Body Text Char"/>
    <w:basedOn w:val="DefaultParagraphFont"/>
    <w:link w:val="BodyText"/>
    <w:rsid w:val="00D107B6"/>
    <w:rPr>
      <w:rFonts w:ascii="Arial" w:eastAsia="Times New Roman" w:hAnsi="Arial" w:cs="Times New Roman"/>
      <w:sz w:val="22"/>
      <w:szCs w:val="20"/>
      <w:lang w:bidi="ar-SA"/>
    </w:rPr>
  </w:style>
  <w:style w:type="character" w:styleId="Hyperlink">
    <w:name w:val="Hyperlink"/>
    <w:basedOn w:val="DefaultParagraphFont"/>
    <w:rsid w:val="00F728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centurylink.com/tariffs/wa_qc_ens_t_no_49.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CenturyTel of Cowiche, Inc.</CaseCompanyNames>
    <DocketNumber xmlns="dc463f71-b30c-4ab2-9473-d307f9d35888">160221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14E545C8A14D46AD8A8BBB63E1DCBB" ma:contentTypeVersion="104" ma:contentTypeDescription="" ma:contentTypeScope="" ma:versionID="10fd959b5e96490a40d521246f5692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B1962-637D-4260-8C94-F79909F7C42F}"/>
</file>

<file path=customXml/itemProps2.xml><?xml version="1.0" encoding="utf-8"?>
<ds:datastoreItem xmlns:ds="http://schemas.openxmlformats.org/officeDocument/2006/customXml" ds:itemID="{49E7AAC8-89D1-42F7-B90E-3EEB73299C16}"/>
</file>

<file path=customXml/itemProps3.xml><?xml version="1.0" encoding="utf-8"?>
<ds:datastoreItem xmlns:ds="http://schemas.openxmlformats.org/officeDocument/2006/customXml" ds:itemID="{0B201770-3CF6-4A0B-A94E-66306F08FC09}"/>
</file>

<file path=customXml/itemProps4.xml><?xml version="1.0" encoding="utf-8"?>
<ds:datastoreItem xmlns:ds="http://schemas.openxmlformats.org/officeDocument/2006/customXml" ds:itemID="{281F593F-A0D2-41E7-BCB1-DA599A2E34C1}"/>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2239</Characters>
  <Application>Microsoft Office Word</Application>
  <DocSecurity>0</DocSecurity>
  <Lines>18</Lines>
  <Paragraphs>5</Paragraphs>
  <ScaleCrop>false</ScaleCrop>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2016-02-11T19:10:00Z</dcterms:created>
  <dcterms:modified xsi:type="dcterms:W3CDTF">2016-02-19T21:33:00Z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0x0101006E56B4D1795A2E4DB2F0B01679ED314A000C14E545C8A14D46AD8A8BBB63E1DCBB</vt:lpwstr>
  </property>
  <property fmtid="{D5CDD505-2E9C-101B-9397-08002B2CF9AE}" pid="3" name="_docset_NoMedatataSyncRequired">
    <vt:lpwstr>False</vt:lpwstr>
  </property>
</Properties>
</file>