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E203B6">
      <w:pPr>
        <w:pStyle w:val="Title"/>
        <w:ind w:left="720"/>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E203B6">
      <w:pPr>
        <w:ind w:left="720"/>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E203B6">
      <w:pPr>
        <w:ind w:left="720"/>
        <w:jc w:val="center"/>
        <w:rPr>
          <w:rFonts w:ascii="Times New Roman" w:hAnsi="Times New Roman"/>
          <w:b/>
          <w:bCs/>
          <w:szCs w:val="24"/>
        </w:rPr>
      </w:pPr>
    </w:p>
    <w:tbl>
      <w:tblPr>
        <w:tblW w:w="9494" w:type="dxa"/>
        <w:tblLook w:val="0000" w:firstRow="0" w:lastRow="0" w:firstColumn="0" w:lastColumn="0" w:noHBand="0" w:noVBand="0"/>
      </w:tblPr>
      <w:tblGrid>
        <w:gridCol w:w="4410"/>
        <w:gridCol w:w="1016"/>
        <w:gridCol w:w="4068"/>
      </w:tblGrid>
      <w:tr w:rsidR="007E423D" w:rsidRPr="00603E77" w14:paraId="5EB59685" w14:textId="77777777" w:rsidTr="00E203B6">
        <w:trPr>
          <w:trHeight w:val="2502"/>
        </w:trPr>
        <w:tc>
          <w:tcPr>
            <w:tcW w:w="4410" w:type="dxa"/>
          </w:tcPr>
          <w:p w14:paraId="5EB59676" w14:textId="77777777" w:rsidR="007E423D" w:rsidRPr="00603E77" w:rsidRDefault="007E423D" w:rsidP="00E203B6">
            <w:pPr>
              <w:ind w:left="720"/>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E203B6">
            <w:pPr>
              <w:ind w:left="720"/>
              <w:rPr>
                <w:rFonts w:ascii="Times New Roman" w:hAnsi="Times New Roman"/>
                <w:szCs w:val="24"/>
              </w:rPr>
            </w:pPr>
          </w:p>
          <w:p w14:paraId="5EB59678" w14:textId="5578AA8E" w:rsidR="007B34A8" w:rsidRDefault="00E31910" w:rsidP="00E203B6">
            <w:pPr>
              <w:ind w:left="720"/>
              <w:rPr>
                <w:rFonts w:ascii="Times New Roman" w:hAnsi="Times New Roman"/>
                <w:szCs w:val="24"/>
              </w:rPr>
            </w:pPr>
            <w:r>
              <w:rPr>
                <w:rFonts w:ascii="Times New Roman" w:hAnsi="Times New Roman"/>
                <w:szCs w:val="24"/>
              </w:rPr>
              <w:t>Teleport Communications America, LLC</w:t>
            </w:r>
          </w:p>
          <w:p w14:paraId="5EB59679" w14:textId="77777777" w:rsidR="007B34A8" w:rsidRPr="00603E77" w:rsidRDefault="007B34A8" w:rsidP="00E203B6">
            <w:pPr>
              <w:ind w:left="720"/>
              <w:rPr>
                <w:rFonts w:ascii="Times New Roman" w:hAnsi="Times New Roman"/>
                <w:szCs w:val="24"/>
              </w:rPr>
            </w:pPr>
          </w:p>
          <w:p w14:paraId="5EB5967A" w14:textId="77777777" w:rsidR="007E423D" w:rsidRPr="00603E77" w:rsidRDefault="007E423D" w:rsidP="00E203B6">
            <w:pPr>
              <w:ind w:left="720"/>
              <w:rPr>
                <w:rFonts w:ascii="Times New Roman" w:hAnsi="Times New Roman"/>
                <w:szCs w:val="24"/>
              </w:rPr>
            </w:pPr>
            <w:r w:rsidRPr="00603E77">
              <w:rPr>
                <w:rFonts w:ascii="Times New Roman" w:hAnsi="Times New Roman"/>
                <w:szCs w:val="24"/>
              </w:rPr>
              <w:t>For Assignment of Telephone Numbering Resources</w:t>
            </w:r>
          </w:p>
          <w:p w14:paraId="5EB5967B" w14:textId="2865E57D" w:rsidR="007E423D" w:rsidRPr="00603E77" w:rsidRDefault="007E423D" w:rsidP="00E203B6">
            <w:pPr>
              <w:ind w:left="720"/>
              <w:rPr>
                <w:rFonts w:ascii="Times New Roman" w:hAnsi="Times New Roman"/>
                <w:szCs w:val="24"/>
              </w:rPr>
            </w:pPr>
            <w:r w:rsidRPr="00603E77">
              <w:rPr>
                <w:rFonts w:ascii="Times New Roman" w:hAnsi="Times New Roman"/>
                <w:szCs w:val="24"/>
              </w:rPr>
              <w:t>. . . . . . . . . . . . . . . .</w:t>
            </w:r>
            <w:r w:rsidR="00E203B6">
              <w:rPr>
                <w:rFonts w:ascii="Times New Roman" w:hAnsi="Times New Roman"/>
                <w:szCs w:val="24"/>
              </w:rPr>
              <w:t xml:space="preserve"> . . . . . . . . . . . . . </w:t>
            </w:r>
          </w:p>
        </w:tc>
        <w:tc>
          <w:tcPr>
            <w:tcW w:w="1016" w:type="dxa"/>
          </w:tcPr>
          <w:p w14:paraId="5EB5967C" w14:textId="77777777" w:rsidR="007E423D" w:rsidRPr="00603E77" w:rsidRDefault="007E423D" w:rsidP="00E203B6">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5EB5967D" w14:textId="77777777" w:rsidR="007E423D" w:rsidRDefault="007E423D" w:rsidP="00E203B6">
            <w:pPr>
              <w:ind w:left="252"/>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5EB5967E" w14:textId="77777777" w:rsidR="007E423D" w:rsidRPr="00603E77" w:rsidRDefault="007E423D" w:rsidP="00E203B6">
            <w:pPr>
              <w:ind w:left="252"/>
              <w:rPr>
                <w:rFonts w:ascii="Times New Roman" w:hAnsi="Times New Roman"/>
                <w:szCs w:val="24"/>
              </w:rPr>
            </w:pPr>
            <w:r>
              <w:rPr>
                <w:rFonts w:ascii="Times New Roman" w:hAnsi="Times New Roman"/>
                <w:szCs w:val="24"/>
              </w:rPr>
              <w:t>)</w:t>
            </w:r>
          </w:p>
        </w:tc>
        <w:tc>
          <w:tcPr>
            <w:tcW w:w="4068" w:type="dxa"/>
          </w:tcPr>
          <w:p w14:paraId="5EB5967F" w14:textId="4E5B06DA" w:rsidR="007E423D" w:rsidRPr="007B34A8" w:rsidRDefault="007E423D" w:rsidP="00E203B6">
            <w:pPr>
              <w:pStyle w:val="Header"/>
              <w:tabs>
                <w:tab w:val="clear" w:pos="4320"/>
                <w:tab w:val="clear" w:pos="8640"/>
              </w:tabs>
              <w:ind w:left="-44"/>
              <w:rPr>
                <w:rFonts w:ascii="Times New Roman" w:hAnsi="Times New Roman"/>
                <w:szCs w:val="24"/>
              </w:rPr>
            </w:pPr>
            <w:r w:rsidRPr="007B34A8">
              <w:rPr>
                <w:rFonts w:ascii="Times New Roman" w:hAnsi="Times New Roman"/>
                <w:szCs w:val="24"/>
              </w:rPr>
              <w:t xml:space="preserve">DOCKET </w:t>
            </w:r>
            <w:r w:rsidR="00413FCD">
              <w:rPr>
                <w:rFonts w:ascii="Times New Roman" w:hAnsi="Times New Roman"/>
              </w:rPr>
              <w:t>UT-15</w:t>
            </w:r>
            <w:r w:rsidR="00E31910">
              <w:rPr>
                <w:rFonts w:ascii="Times New Roman" w:hAnsi="Times New Roman"/>
              </w:rPr>
              <w:t>1759</w:t>
            </w:r>
          </w:p>
          <w:p w14:paraId="5EB59680" w14:textId="77777777" w:rsidR="007E423D" w:rsidRPr="00603E77" w:rsidRDefault="007E423D" w:rsidP="00E203B6">
            <w:pPr>
              <w:pStyle w:val="Header"/>
              <w:tabs>
                <w:tab w:val="clear" w:pos="4320"/>
                <w:tab w:val="clear" w:pos="8640"/>
              </w:tabs>
              <w:ind w:left="-44"/>
              <w:rPr>
                <w:rFonts w:ascii="Times New Roman" w:hAnsi="Times New Roman"/>
                <w:szCs w:val="24"/>
              </w:rPr>
            </w:pPr>
          </w:p>
          <w:p w14:paraId="5EB59681" w14:textId="77777777" w:rsidR="007E423D" w:rsidRPr="00603E77" w:rsidRDefault="007E423D" w:rsidP="00E203B6">
            <w:pPr>
              <w:pStyle w:val="Header"/>
              <w:tabs>
                <w:tab w:val="clear" w:pos="4320"/>
                <w:tab w:val="clear" w:pos="8640"/>
              </w:tabs>
              <w:ind w:left="-44"/>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E203B6">
            <w:pPr>
              <w:pStyle w:val="Header"/>
              <w:tabs>
                <w:tab w:val="clear" w:pos="4320"/>
                <w:tab w:val="clear" w:pos="8640"/>
              </w:tabs>
              <w:ind w:left="-44"/>
              <w:rPr>
                <w:rFonts w:ascii="Times New Roman" w:hAnsi="Times New Roman"/>
                <w:szCs w:val="24"/>
              </w:rPr>
            </w:pPr>
          </w:p>
          <w:p w14:paraId="5EB59683" w14:textId="77777777" w:rsidR="007E423D" w:rsidRPr="00603E77" w:rsidRDefault="007E423D" w:rsidP="00E203B6">
            <w:pPr>
              <w:pStyle w:val="Header"/>
              <w:tabs>
                <w:tab w:val="clear" w:pos="4320"/>
                <w:tab w:val="clear" w:pos="8640"/>
              </w:tabs>
              <w:ind w:left="-44"/>
              <w:rPr>
                <w:rFonts w:ascii="Times New Roman" w:hAnsi="Times New Roman"/>
                <w:szCs w:val="24"/>
              </w:rPr>
            </w:pPr>
          </w:p>
          <w:p w14:paraId="5EB59684" w14:textId="77777777" w:rsidR="007E423D" w:rsidRPr="00603E77" w:rsidRDefault="007E423D" w:rsidP="00E203B6">
            <w:pPr>
              <w:ind w:left="-44"/>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E203B6">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E203B6">
      <w:pPr>
        <w:spacing w:line="320" w:lineRule="exact"/>
        <w:ind w:left="720"/>
        <w:rPr>
          <w:rFonts w:ascii="Times New Roman" w:hAnsi="Times New Roman"/>
          <w:b/>
          <w:bCs/>
          <w:szCs w:val="24"/>
        </w:rPr>
      </w:pPr>
    </w:p>
    <w:p w14:paraId="5EB59689" w14:textId="2162A825" w:rsidR="007E423D" w:rsidRPr="000B77C6" w:rsidRDefault="00E31910" w:rsidP="00E203B6">
      <w:pPr>
        <w:numPr>
          <w:ilvl w:val="0"/>
          <w:numId w:val="1"/>
        </w:numPr>
        <w:tabs>
          <w:tab w:val="clear" w:pos="0"/>
          <w:tab w:val="num" w:pos="720"/>
        </w:tabs>
        <w:spacing w:line="320" w:lineRule="exact"/>
        <w:ind w:left="720"/>
        <w:rPr>
          <w:rFonts w:ascii="Times New Roman" w:hAnsi="Times New Roman"/>
          <w:szCs w:val="24"/>
        </w:rPr>
      </w:pPr>
      <w:r>
        <w:rPr>
          <w:rFonts w:ascii="Times New Roman" w:hAnsi="Times New Roman"/>
        </w:rPr>
        <w:t xml:space="preserve">Teleport Communications America, LLC (“TCAL” or “AT&amp;T”) </w:t>
      </w:r>
      <w:r>
        <w:rPr>
          <w:rFonts w:ascii="Times New Roman" w:hAnsi="Times New Roman"/>
          <w:iCs w:val="0"/>
          <w:snapToGrid/>
          <w:color w:val="000000"/>
          <w:szCs w:val="24"/>
        </w:rPr>
        <w:t>made a request on August 27</w:t>
      </w:r>
      <w:r w:rsidR="007B34A8">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Pr>
          <w:rFonts w:ascii="Times New Roman" w:hAnsi="Times New Roman"/>
          <w:iCs w:val="0"/>
          <w:snapToGrid/>
          <w:color w:val="000000"/>
          <w:szCs w:val="24"/>
        </w:rPr>
        <w:t>four</w:t>
      </w:r>
      <w:r w:rsidR="007E18CD">
        <w:rPr>
          <w:rFonts w:ascii="Times New Roman" w:hAnsi="Times New Roman"/>
          <w:iCs w:val="0"/>
          <w:snapToGrid/>
          <w:color w:val="000000"/>
          <w:szCs w:val="24"/>
        </w:rPr>
        <w:t xml:space="preserve"> block</w:t>
      </w:r>
      <w:r>
        <w:rPr>
          <w:rFonts w:ascii="Times New Roman" w:hAnsi="Times New Roman"/>
          <w:iCs w:val="0"/>
          <w:snapToGrid/>
          <w:color w:val="000000"/>
          <w:szCs w:val="24"/>
        </w:rPr>
        <w:t>s</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numbers in the </w:t>
      </w:r>
      <w:r>
        <w:rPr>
          <w:rFonts w:ascii="Times New Roman" w:hAnsi="Times New Roman"/>
          <w:iCs w:val="0"/>
          <w:snapToGrid/>
          <w:color w:val="000000"/>
          <w:szCs w:val="24"/>
        </w:rPr>
        <w:t>360</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Pr>
          <w:rFonts w:ascii="Times New Roman" w:hAnsi="Times New Roman"/>
          <w:iCs w:val="0"/>
          <w:snapToGrid/>
          <w:color w:val="000000"/>
          <w:szCs w:val="24"/>
        </w:rPr>
        <w:t>Vancouver</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E203B6">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Pr>
          <w:rFonts w:ascii="Times New Roman" w:hAnsi="Times New Roman"/>
          <w:iCs w:val="0"/>
          <w:snapToGrid/>
          <w:color w:val="000000"/>
          <w:szCs w:val="24"/>
        </w:rPr>
        <w:t>large national</w:t>
      </w:r>
      <w:r w:rsidR="007B34A8">
        <w:rPr>
          <w:rFonts w:ascii="Times New Roman" w:hAnsi="Times New Roman"/>
          <w:iCs w:val="0"/>
          <w:snapToGrid/>
          <w:color w:val="000000"/>
          <w:szCs w:val="24"/>
        </w:rPr>
        <w:t xml:space="preserve"> </w:t>
      </w:r>
      <w:r w:rsidR="00027E04">
        <w:rPr>
          <w:rFonts w:ascii="Times New Roman" w:hAnsi="Times New Roman"/>
          <w:iCs w:val="0"/>
          <w:snapToGrid/>
          <w:color w:val="000000"/>
          <w:szCs w:val="24"/>
        </w:rPr>
        <w:t>customer</w:t>
      </w:r>
      <w:r>
        <w:rPr>
          <w:rFonts w:ascii="Times New Roman" w:hAnsi="Times New Roman"/>
          <w:iCs w:val="0"/>
          <w:snapToGrid/>
          <w:color w:val="000000"/>
          <w:szCs w:val="24"/>
        </w:rPr>
        <w:t xml:space="preserve"> relocating corporate headquarters to Vancouver, Washington and the</w:t>
      </w:r>
      <w:r w:rsidR="00AA48EA">
        <w:rPr>
          <w:rFonts w:ascii="Times New Roman" w:hAnsi="Times New Roman"/>
          <w:iCs w:val="0"/>
          <w:snapToGrid/>
          <w:color w:val="000000"/>
          <w:szCs w:val="24"/>
        </w:rPr>
        <w:t xml:space="preserve"> need for</w:t>
      </w:r>
      <w:r w:rsidR="007B34A8">
        <w:rPr>
          <w:rFonts w:ascii="Times New Roman" w:hAnsi="Times New Roman"/>
          <w:iCs w:val="0"/>
          <w:snapToGrid/>
          <w:color w:val="000000"/>
          <w:szCs w:val="24"/>
        </w:rPr>
        <w:t xml:space="preserve"> </w:t>
      </w:r>
      <w:r w:rsidR="008B48D3">
        <w:rPr>
          <w:rFonts w:ascii="Times New Roman" w:hAnsi="Times New Roman"/>
          <w:iCs w:val="0"/>
          <w:snapToGrid/>
          <w:color w:val="000000"/>
          <w:szCs w:val="24"/>
        </w:rPr>
        <w:t>a sequential number block</w:t>
      </w:r>
      <w:r>
        <w:rPr>
          <w:rFonts w:ascii="Times New Roman" w:hAnsi="Times New Roman"/>
          <w:iCs w:val="0"/>
          <w:snapToGrid/>
          <w:color w:val="000000"/>
          <w:szCs w:val="24"/>
        </w:rPr>
        <w:t>s</w:t>
      </w:r>
      <w:r w:rsidR="00490917">
        <w:rPr>
          <w:rFonts w:ascii="Times New Roman" w:hAnsi="Times New Roman"/>
          <w:iCs w:val="0"/>
          <w:snapToGrid/>
          <w:color w:val="000000"/>
          <w:szCs w:val="24"/>
        </w:rPr>
        <w:t>.</w:t>
      </w:r>
      <w:r w:rsidR="00B35FE1">
        <w:rPr>
          <w:rFonts w:ascii="Times New Roman" w:hAnsi="Times New Roman"/>
          <w:iCs w:val="0"/>
          <w:snapToGrid/>
          <w:color w:val="000000"/>
          <w:szCs w:val="24"/>
        </w:rPr>
        <w:t xml:space="preserve"> </w:t>
      </w:r>
      <w:r w:rsidR="00E203B6">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sidR="007B34A8">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 </w:t>
      </w:r>
      <w:r w:rsidR="008009C6">
        <w:rPr>
          <w:rFonts w:ascii="Times New Roman" w:hAnsi="Times New Roman"/>
          <w:iCs w:val="0"/>
          <w:snapToGrid/>
          <w:color w:val="000000"/>
          <w:szCs w:val="24"/>
        </w:rPr>
        <w:t>for expansion of the company headquarters campus and new employees</w:t>
      </w:r>
      <w:r w:rsidR="007B34A8">
        <w:rPr>
          <w:rFonts w:ascii="Times New Roman" w:hAnsi="Times New Roman"/>
          <w:iCs w:val="0"/>
          <w:snapToGrid/>
          <w:color w:val="000000"/>
          <w:szCs w:val="24"/>
        </w:rPr>
        <w:t>.</w:t>
      </w:r>
      <w:r w:rsidR="002D2336">
        <w:rPr>
          <w:rFonts w:ascii="Times New Roman" w:hAnsi="Times New Roman"/>
          <w:iCs w:val="0"/>
          <w:snapToGrid/>
          <w:color w:val="000000"/>
          <w:szCs w:val="24"/>
        </w:rPr>
        <w:t xml:space="preserve"> </w:t>
      </w:r>
      <w:r w:rsidR="00E203B6">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E203B6">
      <w:pPr>
        <w:spacing w:line="320" w:lineRule="exact"/>
        <w:ind w:left="720"/>
        <w:rPr>
          <w:rFonts w:ascii="Times New Roman" w:hAnsi="Times New Roman"/>
          <w:szCs w:val="24"/>
        </w:rPr>
      </w:pPr>
    </w:p>
    <w:p w14:paraId="5EB5968B" w14:textId="77777777" w:rsidR="007E423D" w:rsidRPr="000B77C6" w:rsidRDefault="007E423D" w:rsidP="00E203B6">
      <w:pPr>
        <w:numPr>
          <w:ilvl w:val="0"/>
          <w:numId w:val="1"/>
        </w:numPr>
        <w:tabs>
          <w:tab w:val="clear" w:pos="0"/>
          <w:tab w:val="num" w:pos="720"/>
        </w:tabs>
        <w:spacing w:line="320" w:lineRule="exact"/>
        <w:ind w:left="72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E203B6">
      <w:pPr>
        <w:pStyle w:val="ListParagraph"/>
        <w:spacing w:line="320" w:lineRule="exact"/>
        <w:rPr>
          <w:rFonts w:ascii="Times New Roman" w:hAnsi="Times New Roman"/>
          <w:snapToGrid/>
          <w:szCs w:val="24"/>
        </w:rPr>
      </w:pPr>
    </w:p>
    <w:p w14:paraId="5EB5968D" w14:textId="2512C264" w:rsidR="007E423D" w:rsidRPr="000B77C6" w:rsidRDefault="007E423D" w:rsidP="00E203B6">
      <w:pPr>
        <w:numPr>
          <w:ilvl w:val="0"/>
          <w:numId w:val="1"/>
        </w:numPr>
        <w:tabs>
          <w:tab w:val="clear" w:pos="0"/>
          <w:tab w:val="num" w:pos="720"/>
        </w:tabs>
        <w:spacing w:line="320" w:lineRule="exact"/>
        <w:ind w:left="72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s W</w:t>
      </w:r>
      <w:r w:rsidR="00E31910">
        <w:rPr>
          <w:rFonts w:ascii="Times New Roman" w:hAnsi="Times New Roman"/>
          <w:snapToGrid/>
          <w:szCs w:val="24"/>
        </w:rPr>
        <w:t>eb site reports an inventory of one</w:t>
      </w:r>
      <w:r w:rsidR="0005248A">
        <w:rPr>
          <w:rFonts w:ascii="Times New Roman" w:hAnsi="Times New Roman"/>
          <w:iCs w:val="0"/>
          <w:snapToGrid/>
          <w:color w:val="000000"/>
          <w:szCs w:val="24"/>
        </w:rPr>
        <w:t xml:space="preserve"> </w:t>
      </w:r>
      <w:r w:rsidR="00E31910">
        <w:rPr>
          <w:rFonts w:ascii="Times New Roman" w:hAnsi="Times New Roman"/>
          <w:iCs w:val="0"/>
          <w:snapToGrid/>
          <w:color w:val="000000"/>
          <w:szCs w:val="24"/>
        </w:rPr>
        <w:t>block</w:t>
      </w:r>
      <w:r w:rsidRPr="000B77C6">
        <w:rPr>
          <w:rFonts w:ascii="Times New Roman" w:hAnsi="Times New Roman"/>
          <w:iCs w:val="0"/>
          <w:snapToGrid/>
          <w:color w:val="000000"/>
          <w:szCs w:val="24"/>
        </w:rPr>
        <w:t xml:space="preserve"> of 1,000 numbers in the </w:t>
      </w:r>
      <w:r w:rsidR="00E31910">
        <w:rPr>
          <w:rFonts w:ascii="Times New Roman" w:hAnsi="Times New Roman"/>
        </w:rPr>
        <w:t>Vancouver</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E31910">
        <w:rPr>
          <w:rFonts w:ascii="Times New Roman" w:hAnsi="Times New Roman"/>
          <w:szCs w:val="24"/>
        </w:rPr>
        <w:t>360</w:t>
      </w:r>
      <w:r>
        <w:rPr>
          <w:rFonts w:ascii="Times New Roman" w:hAnsi="Times New Roman"/>
          <w:szCs w:val="24"/>
        </w:rPr>
        <w:t xml:space="preserve"> NPA</w:t>
      </w:r>
      <w:r w:rsidRPr="000B77C6">
        <w:rPr>
          <w:rFonts w:ascii="Times New Roman" w:hAnsi="Times New Roman"/>
          <w:szCs w:val="24"/>
        </w:rPr>
        <w:t xml:space="preserve"> is forecasted to exhaust in the </w:t>
      </w:r>
      <w:r w:rsidR="00E31910">
        <w:rPr>
          <w:rFonts w:ascii="Times New Roman" w:hAnsi="Times New Roman"/>
          <w:iCs w:val="0"/>
          <w:snapToGrid/>
          <w:color w:val="000000"/>
          <w:szCs w:val="24"/>
        </w:rPr>
        <w:t>third quarter 2017</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blocks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utilization in the </w:t>
      </w:r>
      <w:r w:rsidRPr="000B77C6">
        <w:rPr>
          <w:rFonts w:ascii="Times New Roman" w:hAnsi="Times New Roman"/>
          <w:iCs w:val="0"/>
          <w:snapToGrid/>
          <w:color w:val="000000"/>
          <w:szCs w:val="24"/>
        </w:rPr>
        <w:lastRenderedPageBreak/>
        <w:t xml:space="preserve">rate center.  </w:t>
      </w:r>
      <w:r>
        <w:rPr>
          <w:rFonts w:ascii="Times New Roman" w:hAnsi="Times New Roman"/>
        </w:rPr>
        <w:t xml:space="preserve">The </w:t>
      </w:r>
      <w:r w:rsidR="002D2336">
        <w:rPr>
          <w:rFonts w:ascii="Times New Roman" w:hAnsi="Times New Roman"/>
        </w:rPr>
        <w:t>c</w:t>
      </w:r>
      <w:r>
        <w:rPr>
          <w:rFonts w:ascii="Times New Roman" w:hAnsi="Times New Roman"/>
        </w:rPr>
        <w:t xml:space="preserve">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E203B6">
      <w:pPr>
        <w:spacing w:line="320" w:lineRule="exact"/>
        <w:ind w:left="720"/>
        <w:rPr>
          <w:rFonts w:ascii="Times New Roman" w:hAnsi="Times New Roman"/>
        </w:rPr>
      </w:pPr>
    </w:p>
    <w:p w14:paraId="5EB5968F" w14:textId="187891FA" w:rsidR="007E423D" w:rsidRPr="000B77C6" w:rsidRDefault="007E423D" w:rsidP="00E203B6">
      <w:pPr>
        <w:numPr>
          <w:ilvl w:val="0"/>
          <w:numId w:val="1"/>
        </w:numPr>
        <w:tabs>
          <w:tab w:val="clear" w:pos="0"/>
        </w:tabs>
        <w:spacing w:line="320" w:lineRule="exact"/>
        <w:ind w:left="72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E31910">
        <w:rPr>
          <w:rFonts w:ascii="Times New Roman" w:hAnsi="Times New Roman"/>
          <w:szCs w:val="24"/>
        </w:rPr>
        <w:t>oling Administrator to release blocks</w:t>
      </w:r>
      <w:r w:rsidRPr="000B77C6">
        <w:rPr>
          <w:rFonts w:ascii="Times New Roman" w:hAnsi="Times New Roman"/>
          <w:szCs w:val="24"/>
        </w:rPr>
        <w:t xml:space="preserve">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E203B6">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E203B6">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E203B6">
      <w:pPr>
        <w:spacing w:line="320" w:lineRule="exact"/>
        <w:ind w:left="720"/>
        <w:rPr>
          <w:rFonts w:ascii="Times New Roman" w:hAnsi="Times New Roman"/>
          <w:szCs w:val="24"/>
        </w:rPr>
      </w:pPr>
    </w:p>
    <w:p w14:paraId="5EB59693" w14:textId="77777777"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E203B6">
      <w:pPr>
        <w:tabs>
          <w:tab w:val="num" w:pos="720"/>
        </w:tabs>
        <w:spacing w:line="320" w:lineRule="exact"/>
        <w:ind w:left="1440" w:hanging="1440"/>
        <w:rPr>
          <w:rFonts w:ascii="Times New Roman" w:hAnsi="Times New Roman"/>
          <w:szCs w:val="24"/>
        </w:rPr>
      </w:pPr>
    </w:p>
    <w:p w14:paraId="5EB59695" w14:textId="589D40C3"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E31910">
        <w:rPr>
          <w:rFonts w:ascii="Times New Roman" w:hAnsi="Times New Roman"/>
          <w:szCs w:val="24"/>
        </w:rPr>
        <w:t xml:space="preserve">Teleport Communications America, LLC,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E203B6">
      <w:pPr>
        <w:tabs>
          <w:tab w:val="num" w:pos="720"/>
        </w:tabs>
        <w:spacing w:line="320" w:lineRule="exact"/>
        <w:ind w:left="1440" w:hanging="1440"/>
        <w:rPr>
          <w:rFonts w:ascii="Times New Roman" w:hAnsi="Times New Roman"/>
          <w:szCs w:val="24"/>
        </w:rPr>
      </w:pPr>
    </w:p>
    <w:p w14:paraId="5EB59697" w14:textId="77777777"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E203B6">
      <w:pPr>
        <w:tabs>
          <w:tab w:val="num" w:pos="720"/>
        </w:tabs>
        <w:spacing w:line="320" w:lineRule="exact"/>
        <w:ind w:left="1440" w:hanging="1440"/>
        <w:rPr>
          <w:rFonts w:ascii="Times New Roman" w:hAnsi="Times New Roman"/>
          <w:szCs w:val="24"/>
        </w:rPr>
      </w:pPr>
    </w:p>
    <w:p w14:paraId="5EB59699" w14:textId="77777777" w:rsidR="007E423D" w:rsidRPr="001F0D72" w:rsidRDefault="007E423D" w:rsidP="00E203B6">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6821C6FF" w14:textId="5CDEC24B" w:rsidR="00E203B6" w:rsidRPr="000B77C6" w:rsidRDefault="00E203B6" w:rsidP="00153224">
      <w:pPr>
        <w:rPr>
          <w:snapToGrid/>
        </w:rPr>
      </w:pPr>
    </w:p>
    <w:p w14:paraId="5EB5969B" w14:textId="77777777"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E203B6">
      <w:pPr>
        <w:spacing w:line="320" w:lineRule="exact"/>
        <w:ind w:left="720"/>
        <w:rPr>
          <w:rFonts w:ascii="Times New Roman" w:hAnsi="Times New Roman"/>
          <w:snapToGrid/>
          <w:szCs w:val="24"/>
        </w:rPr>
      </w:pPr>
    </w:p>
    <w:p w14:paraId="5EB5969D" w14:textId="77777777"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E203B6">
      <w:pPr>
        <w:pStyle w:val="ListParagraph"/>
        <w:tabs>
          <w:tab w:val="num" w:pos="720"/>
        </w:tabs>
        <w:spacing w:line="320" w:lineRule="exact"/>
        <w:ind w:left="1440" w:hanging="1440"/>
        <w:rPr>
          <w:rFonts w:ascii="Times New Roman" w:hAnsi="Times New Roman"/>
          <w:i/>
          <w:iCs w:val="0"/>
          <w:snapToGrid/>
          <w:szCs w:val="24"/>
        </w:rPr>
      </w:pPr>
    </w:p>
    <w:p w14:paraId="5EB5969F" w14:textId="5EBCD3F2"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Web site reports an inventory of </w:t>
      </w:r>
      <w:r w:rsidR="00E31910">
        <w:rPr>
          <w:rFonts w:ascii="Times New Roman" w:hAnsi="Times New Roman"/>
        </w:rPr>
        <w:t>one</w:t>
      </w:r>
      <w:r w:rsidR="00E31910">
        <w:rPr>
          <w:rFonts w:ascii="Times New Roman" w:hAnsi="Times New Roman"/>
          <w:snapToGrid/>
          <w:szCs w:val="24"/>
        </w:rPr>
        <w:t xml:space="preserve"> block</w:t>
      </w:r>
      <w:r w:rsidR="00414374">
        <w:rPr>
          <w:rFonts w:ascii="Times New Roman" w:hAnsi="Times New Roman"/>
          <w:snapToGrid/>
          <w:szCs w:val="24"/>
        </w:rPr>
        <w:t xml:space="preserve"> of 1,000 numbers in the </w:t>
      </w:r>
      <w:r w:rsidR="00E31910">
        <w:rPr>
          <w:rFonts w:ascii="Times New Roman" w:hAnsi="Times New Roman"/>
          <w:snapToGrid/>
          <w:szCs w:val="24"/>
        </w:rPr>
        <w:t>Vancouver</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E31910">
        <w:rPr>
          <w:rFonts w:ascii="Times New Roman" w:hAnsi="Times New Roman"/>
        </w:rPr>
        <w:t>360</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E31910">
        <w:rPr>
          <w:rFonts w:ascii="Times New Roman" w:hAnsi="Times New Roman"/>
        </w:rPr>
        <w:t>third</w:t>
      </w:r>
      <w:r w:rsidRPr="000B77C6">
        <w:rPr>
          <w:rFonts w:ascii="Times New Roman" w:hAnsi="Times New Roman"/>
        </w:rPr>
        <w:t xml:space="preserve"> quarter of </w:t>
      </w:r>
      <w:r w:rsidR="00E31910">
        <w:rPr>
          <w:rFonts w:ascii="Times New Roman" w:hAnsi="Times New Roman"/>
        </w:rPr>
        <w:t>201</w:t>
      </w:r>
      <w:r w:rsidR="003F2CB3">
        <w:rPr>
          <w:rFonts w:ascii="Times New Roman" w:hAnsi="Times New Roman"/>
        </w:rPr>
        <w:t>7</w:t>
      </w:r>
      <w:r w:rsidRPr="000B77C6">
        <w:rPr>
          <w:rFonts w:ascii="Times New Roman" w:hAnsi="Times New Roman"/>
          <w:snapToGrid/>
          <w:szCs w:val="24"/>
        </w:rPr>
        <w:t>.</w:t>
      </w:r>
    </w:p>
    <w:p w14:paraId="5EB596A0" w14:textId="77777777" w:rsidR="007E423D" w:rsidRPr="000B77C6" w:rsidRDefault="007E423D" w:rsidP="00E203B6">
      <w:pPr>
        <w:tabs>
          <w:tab w:val="num" w:pos="720"/>
        </w:tabs>
        <w:spacing w:line="320" w:lineRule="exact"/>
        <w:ind w:left="1440" w:hanging="1440"/>
        <w:rPr>
          <w:rFonts w:ascii="Times New Roman" w:hAnsi="Times New Roman"/>
          <w:snapToGrid/>
          <w:szCs w:val="24"/>
        </w:rPr>
      </w:pPr>
    </w:p>
    <w:p w14:paraId="5EB596A1" w14:textId="4889D1F8" w:rsidR="007E423D" w:rsidRPr="00203264" w:rsidRDefault="007E423D" w:rsidP="00E203B6">
      <w:pPr>
        <w:numPr>
          <w:ilvl w:val="0"/>
          <w:numId w:val="1"/>
        </w:numPr>
        <w:tabs>
          <w:tab w:val="clear" w:pos="0"/>
          <w:tab w:val="num" w:pos="720"/>
        </w:tabs>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203264" w:rsidRPr="00203264">
        <w:rPr>
          <w:rFonts w:ascii="Times New Roman" w:hAnsi="Times New Roman"/>
          <w:iCs w:val="0"/>
          <w:snapToGrid/>
          <w:color w:val="000000"/>
          <w:szCs w:val="24"/>
        </w:rPr>
        <w:t>The request is being made to meet the requirements for a 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sidR="00203264" w:rsidRPr="00203264">
        <w:rPr>
          <w:rFonts w:ascii="Times New Roman" w:hAnsi="Times New Roman"/>
          <w:iCs w:val="0"/>
          <w:snapToGrid/>
          <w:color w:val="000000"/>
          <w:szCs w:val="24"/>
        </w:rPr>
        <w:t xml:space="preserve"> sequential numbers that fall within its internal business dialing plan. </w:t>
      </w:r>
      <w:r w:rsidR="003F2CB3">
        <w:rPr>
          <w:rFonts w:ascii="Times New Roman" w:hAnsi="Times New Roman"/>
          <w:iCs w:val="0"/>
          <w:snapToGrid/>
          <w:color w:val="000000"/>
          <w:szCs w:val="24"/>
        </w:rPr>
        <w:t xml:space="preserve"> Of the numbers requested, all</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E203B6">
      <w:pPr>
        <w:tabs>
          <w:tab w:val="num" w:pos="720"/>
        </w:tabs>
        <w:spacing w:line="320" w:lineRule="exact"/>
        <w:ind w:left="1440" w:hanging="1440"/>
        <w:rPr>
          <w:rFonts w:ascii="Times New Roman" w:hAnsi="Times New Roman"/>
          <w:szCs w:val="24"/>
        </w:rPr>
      </w:pPr>
    </w:p>
    <w:p w14:paraId="5EB596A3" w14:textId="7F37FC2F" w:rsidR="007E423D" w:rsidRPr="000B77C6" w:rsidRDefault="007E423D" w:rsidP="00E203B6">
      <w:pPr>
        <w:numPr>
          <w:ilvl w:val="0"/>
          <w:numId w:val="1"/>
        </w:numPr>
        <w:tabs>
          <w:tab w:val="clear" w:pos="0"/>
          <w:tab w:val="num" w:pos="720"/>
        </w:tabs>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E31910">
        <w:rPr>
          <w:rFonts w:ascii="Times New Roman" w:hAnsi="Times New Roman"/>
          <w:bCs/>
          <w:szCs w:val="24"/>
        </w:rPr>
        <w:t>August 24</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E203B6">
      <w:pPr>
        <w:pStyle w:val="ListParagraph"/>
        <w:tabs>
          <w:tab w:val="num" w:pos="720"/>
        </w:tabs>
        <w:spacing w:line="320" w:lineRule="exact"/>
        <w:ind w:left="1440" w:hanging="1440"/>
        <w:rPr>
          <w:rFonts w:ascii="Times New Roman" w:hAnsi="Times New Roman"/>
          <w:b/>
          <w:szCs w:val="24"/>
        </w:rPr>
      </w:pPr>
    </w:p>
    <w:p w14:paraId="5EB596A5" w14:textId="74E14105" w:rsidR="007E423D" w:rsidRPr="000B77C6" w:rsidRDefault="007E423D" w:rsidP="00E203B6">
      <w:pPr>
        <w:numPr>
          <w:ilvl w:val="0"/>
          <w:numId w:val="1"/>
        </w:numPr>
        <w:tabs>
          <w:tab w:val="clear" w:pos="0"/>
          <w:tab w:val="num" w:pos="-90"/>
          <w:tab w:val="num" w:pos="63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E31910">
        <w:rPr>
          <w:rFonts w:ascii="Times New Roman" w:hAnsi="Times New Roman"/>
        </w:rPr>
        <w:t>four</w:t>
      </w:r>
      <w:r w:rsidRPr="000B77C6">
        <w:rPr>
          <w:rFonts w:ascii="Times New Roman" w:hAnsi="Times New Roman"/>
          <w:szCs w:val="24"/>
        </w:rPr>
        <w:t xml:space="preserve"> </w:t>
      </w:r>
      <w:r w:rsidR="003F2CB3">
        <w:rPr>
          <w:rFonts w:ascii="Times New Roman" w:hAnsi="Times New Roman"/>
          <w:szCs w:val="24"/>
        </w:rPr>
        <w:t>block</w:t>
      </w:r>
      <w:r w:rsidR="00E31910">
        <w:rPr>
          <w:rFonts w:ascii="Times New Roman" w:hAnsi="Times New Roman"/>
          <w:szCs w:val="24"/>
        </w:rPr>
        <w:t>s</w:t>
      </w:r>
      <w:r w:rsidR="0005248A">
        <w:rPr>
          <w:rFonts w:ascii="Times New Roman" w:hAnsi="Times New Roman"/>
          <w:szCs w:val="24"/>
        </w:rPr>
        <w:t xml:space="preserve"> of 1,0</w:t>
      </w:r>
      <w:r w:rsidR="00E5777F">
        <w:rPr>
          <w:rFonts w:ascii="Times New Roman" w:hAnsi="Times New Roman"/>
          <w:szCs w:val="24"/>
        </w:rPr>
        <w:t xml:space="preserve">00 numbers in the </w:t>
      </w:r>
      <w:r w:rsidR="00E31910">
        <w:rPr>
          <w:rFonts w:ascii="Times New Roman" w:hAnsi="Times New Roman"/>
          <w:szCs w:val="24"/>
        </w:rPr>
        <w:t>Vancouver</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E31910" w:rsidRPr="00E31910">
        <w:rPr>
          <w:rFonts w:ascii="Times New Roman" w:hAnsi="Times New Roman"/>
          <w:szCs w:val="24"/>
        </w:rPr>
        <w:t xml:space="preserve"> </w:t>
      </w:r>
      <w:r w:rsidR="00E31910">
        <w:rPr>
          <w:rFonts w:ascii="Times New Roman" w:hAnsi="Times New Roman"/>
          <w:szCs w:val="24"/>
        </w:rPr>
        <w:t>Teleport Communications America, LLC</w:t>
      </w:r>
      <w:r w:rsidRPr="000B77C6">
        <w:rPr>
          <w:rFonts w:ascii="Times New Roman" w:hAnsi="Times New Roman"/>
          <w:szCs w:val="24"/>
        </w:rPr>
        <w:t>.</w:t>
      </w:r>
    </w:p>
    <w:p w14:paraId="5EB596A6" w14:textId="77777777" w:rsidR="007E423D" w:rsidRDefault="007E423D" w:rsidP="00E203B6">
      <w:pPr>
        <w:spacing w:line="320" w:lineRule="exact"/>
        <w:ind w:left="720"/>
        <w:jc w:val="center"/>
        <w:rPr>
          <w:rFonts w:ascii="Times New Roman" w:hAnsi="Times New Roman"/>
          <w:b/>
          <w:szCs w:val="24"/>
        </w:rPr>
      </w:pPr>
    </w:p>
    <w:p w14:paraId="5EB596A7" w14:textId="77777777" w:rsidR="007E423D" w:rsidRPr="000B77C6" w:rsidRDefault="007E423D" w:rsidP="00E203B6">
      <w:pPr>
        <w:spacing w:line="320" w:lineRule="exact"/>
        <w:ind w:left="72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E203B6">
      <w:pPr>
        <w:spacing w:line="320" w:lineRule="exact"/>
        <w:ind w:left="720"/>
        <w:jc w:val="center"/>
        <w:rPr>
          <w:rFonts w:ascii="Times New Roman" w:hAnsi="Times New Roman"/>
          <w:szCs w:val="24"/>
        </w:rPr>
      </w:pPr>
    </w:p>
    <w:p w14:paraId="5EB596A9" w14:textId="77777777" w:rsidR="007E423D" w:rsidRPr="000B77C6" w:rsidRDefault="007E423D" w:rsidP="00E203B6">
      <w:pPr>
        <w:spacing w:line="320" w:lineRule="exact"/>
        <w:ind w:left="720"/>
        <w:rPr>
          <w:rFonts w:ascii="Times New Roman" w:hAnsi="Times New Roman"/>
          <w:b/>
          <w:szCs w:val="24"/>
        </w:rPr>
      </w:pPr>
      <w:r w:rsidRPr="000B77C6">
        <w:rPr>
          <w:rFonts w:ascii="Times New Roman" w:hAnsi="Times New Roman"/>
          <w:b/>
          <w:szCs w:val="24"/>
        </w:rPr>
        <w:t xml:space="preserve">THE </w:t>
      </w:r>
      <w:r w:rsidR="00E65D78">
        <w:rPr>
          <w:rFonts w:ascii="Times New Roman" w:hAnsi="Times New Roman"/>
          <w:b/>
          <w:szCs w:val="24"/>
        </w:rPr>
        <w:t>COMMISSION</w:t>
      </w:r>
      <w:r w:rsidRPr="000B77C6">
        <w:rPr>
          <w:rFonts w:ascii="Times New Roman" w:hAnsi="Times New Roman"/>
          <w:b/>
          <w:szCs w:val="24"/>
        </w:rPr>
        <w:t xml:space="preserve"> ORDERS:</w:t>
      </w:r>
    </w:p>
    <w:p w14:paraId="5EB596AA" w14:textId="77777777" w:rsidR="007E423D" w:rsidRPr="000B77C6" w:rsidRDefault="007E423D" w:rsidP="00E203B6">
      <w:pPr>
        <w:spacing w:line="320" w:lineRule="exact"/>
        <w:ind w:left="720"/>
        <w:rPr>
          <w:rFonts w:ascii="Times New Roman" w:hAnsi="Times New Roman"/>
          <w:szCs w:val="24"/>
        </w:rPr>
      </w:pPr>
    </w:p>
    <w:p w14:paraId="5EB596AC" w14:textId="42E815FE" w:rsidR="007E423D" w:rsidRDefault="007E423D" w:rsidP="003E438E">
      <w:pPr>
        <w:numPr>
          <w:ilvl w:val="0"/>
          <w:numId w:val="1"/>
        </w:numPr>
        <w:tabs>
          <w:tab w:val="clear" w:pos="0"/>
          <w:tab w:val="num" w:pos="720"/>
        </w:tabs>
        <w:spacing w:line="320" w:lineRule="exact"/>
        <w:ind w:left="1440" w:hanging="1440"/>
        <w:rPr>
          <w:rFonts w:ascii="Times New Roman" w:hAnsi="Times New Roman"/>
          <w:szCs w:val="24"/>
        </w:rPr>
      </w:pPr>
      <w:r w:rsidRPr="00E31910">
        <w:rPr>
          <w:rFonts w:ascii="Times New Roman" w:hAnsi="Times New Roman"/>
          <w:szCs w:val="24"/>
        </w:rPr>
        <w:t>(1)</w:t>
      </w:r>
      <w:r w:rsidRPr="00E31910">
        <w:rPr>
          <w:rFonts w:ascii="Times New Roman" w:hAnsi="Times New Roman"/>
          <w:szCs w:val="24"/>
        </w:rPr>
        <w:tab/>
        <w:t xml:space="preserve">The Number Pooling Administrator to release </w:t>
      </w:r>
      <w:r w:rsidR="00E31910" w:rsidRPr="00E31910">
        <w:rPr>
          <w:rFonts w:ascii="Times New Roman" w:hAnsi="Times New Roman"/>
        </w:rPr>
        <w:t>four</w:t>
      </w:r>
      <w:r w:rsidRPr="00E31910">
        <w:rPr>
          <w:rFonts w:ascii="Times New Roman" w:hAnsi="Times New Roman"/>
        </w:rPr>
        <w:t xml:space="preserve"> </w:t>
      </w:r>
      <w:r w:rsidR="00AA48EA" w:rsidRPr="00E31910">
        <w:rPr>
          <w:rFonts w:ascii="Times New Roman" w:hAnsi="Times New Roman"/>
          <w:szCs w:val="24"/>
        </w:rPr>
        <w:t>block</w:t>
      </w:r>
      <w:r w:rsidR="00E31910" w:rsidRPr="00E31910">
        <w:rPr>
          <w:rFonts w:ascii="Times New Roman" w:hAnsi="Times New Roman"/>
          <w:szCs w:val="24"/>
        </w:rPr>
        <w:t>s</w:t>
      </w:r>
      <w:r w:rsidRPr="00E31910">
        <w:rPr>
          <w:rFonts w:ascii="Times New Roman" w:hAnsi="Times New Roman"/>
          <w:szCs w:val="24"/>
        </w:rPr>
        <w:t xml:space="preserve"> of 1,000 numbers, specifically in the</w:t>
      </w:r>
      <w:r w:rsidR="00E5777F" w:rsidRPr="00E31910">
        <w:rPr>
          <w:rFonts w:ascii="Times New Roman" w:hAnsi="Times New Roman"/>
          <w:szCs w:val="24"/>
        </w:rPr>
        <w:t xml:space="preserve"> </w:t>
      </w:r>
      <w:r w:rsidR="00E31910" w:rsidRPr="00E31910">
        <w:rPr>
          <w:rFonts w:ascii="Times New Roman" w:hAnsi="Times New Roman"/>
          <w:szCs w:val="24"/>
        </w:rPr>
        <w:t>360</w:t>
      </w:r>
      <w:r w:rsidRPr="00E31910">
        <w:rPr>
          <w:rFonts w:ascii="Times New Roman" w:hAnsi="Times New Roman"/>
          <w:szCs w:val="24"/>
        </w:rPr>
        <w:t xml:space="preserve"> N</w:t>
      </w:r>
      <w:r w:rsidR="00E5777F" w:rsidRPr="00E31910">
        <w:rPr>
          <w:rFonts w:ascii="Times New Roman" w:hAnsi="Times New Roman"/>
          <w:szCs w:val="24"/>
        </w:rPr>
        <w:t xml:space="preserve">PA, </w:t>
      </w:r>
      <w:r w:rsidR="00E31910" w:rsidRPr="00E31910">
        <w:rPr>
          <w:rFonts w:ascii="Times New Roman" w:hAnsi="Times New Roman"/>
          <w:szCs w:val="24"/>
        </w:rPr>
        <w:t>Vancouver</w:t>
      </w:r>
      <w:r w:rsidRPr="00E31910">
        <w:rPr>
          <w:rFonts w:ascii="Times New Roman" w:hAnsi="Times New Roman"/>
          <w:szCs w:val="24"/>
        </w:rPr>
        <w:t xml:space="preserve"> rate center for </w:t>
      </w:r>
      <w:r w:rsidR="00E31910">
        <w:rPr>
          <w:rFonts w:ascii="Times New Roman" w:hAnsi="Times New Roman"/>
          <w:szCs w:val="24"/>
        </w:rPr>
        <w:t>Teleport Communications America, LLC.</w:t>
      </w:r>
    </w:p>
    <w:p w14:paraId="519E59CE" w14:textId="77777777" w:rsidR="00E31910" w:rsidRPr="00E31910" w:rsidRDefault="00E31910" w:rsidP="00E31910">
      <w:pPr>
        <w:spacing w:line="320" w:lineRule="exact"/>
        <w:ind w:left="1440"/>
        <w:rPr>
          <w:rFonts w:ascii="Times New Roman" w:hAnsi="Times New Roman"/>
          <w:szCs w:val="24"/>
        </w:rPr>
      </w:pPr>
    </w:p>
    <w:p w14:paraId="71EEB6A8" w14:textId="5A200011" w:rsidR="003F064D" w:rsidRDefault="007E423D" w:rsidP="00E203B6">
      <w:pPr>
        <w:numPr>
          <w:ilvl w:val="0"/>
          <w:numId w:val="1"/>
        </w:numPr>
        <w:tabs>
          <w:tab w:val="clear" w:pos="0"/>
          <w:tab w:val="num" w:pos="720"/>
        </w:tabs>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E203B6">
      <w:pPr>
        <w:spacing w:line="320" w:lineRule="exact"/>
        <w:ind w:left="1440" w:hanging="1440"/>
        <w:rPr>
          <w:rFonts w:ascii="Times New Roman" w:hAnsi="Times New Roman"/>
          <w:szCs w:val="24"/>
        </w:rPr>
      </w:pPr>
    </w:p>
    <w:p w14:paraId="42790CC4" w14:textId="77777777" w:rsidR="00E203B6" w:rsidRDefault="00E203B6">
      <w:pPr>
        <w:widowControl/>
        <w:rPr>
          <w:rFonts w:ascii="Times New Roman" w:hAnsi="Times New Roman"/>
          <w:iCs w:val="0"/>
          <w:snapToGrid/>
          <w:szCs w:val="24"/>
        </w:rPr>
      </w:pPr>
      <w:r>
        <w:br w:type="page"/>
      </w:r>
    </w:p>
    <w:p w14:paraId="5EB596AF" w14:textId="59483729" w:rsidR="007E423D" w:rsidRPr="000B77C6" w:rsidRDefault="007E423D" w:rsidP="00E203B6">
      <w:pPr>
        <w:pStyle w:val="Findings"/>
        <w:numPr>
          <w:ilvl w:val="0"/>
          <w:numId w:val="0"/>
        </w:numPr>
        <w:spacing w:line="320" w:lineRule="exact"/>
        <w:ind w:left="720"/>
      </w:pPr>
      <w:r w:rsidRPr="000B77C6">
        <w:lastRenderedPageBreak/>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E203B6">
      <w:pPr>
        <w:pStyle w:val="Findings"/>
        <w:numPr>
          <w:ilvl w:val="0"/>
          <w:numId w:val="0"/>
        </w:numPr>
        <w:spacing w:line="320" w:lineRule="exact"/>
        <w:ind w:left="1440" w:hanging="2160"/>
      </w:pPr>
    </w:p>
    <w:p w14:paraId="5EB596B1" w14:textId="15BAEC93" w:rsidR="007E423D" w:rsidRPr="000B77C6" w:rsidRDefault="007E423D" w:rsidP="00E203B6">
      <w:pPr>
        <w:pStyle w:val="Findings"/>
        <w:numPr>
          <w:ilvl w:val="0"/>
          <w:numId w:val="0"/>
        </w:numPr>
        <w:spacing w:line="320" w:lineRule="exact"/>
        <w:ind w:left="1440" w:hanging="720"/>
      </w:pPr>
      <w:r w:rsidRPr="000B77C6">
        <w:t xml:space="preserve">DATED at Olympia, Washington, and effective </w:t>
      </w:r>
      <w:r w:rsidR="00E31910">
        <w:rPr>
          <w:bCs/>
        </w:rPr>
        <w:t>August 24</w:t>
      </w:r>
      <w:r w:rsidR="0005248A">
        <w:rPr>
          <w:bCs/>
        </w:rPr>
        <w:t>, 2015</w:t>
      </w:r>
      <w:r w:rsidRPr="000B77C6">
        <w:t>.</w:t>
      </w:r>
    </w:p>
    <w:p w14:paraId="5EB596B2" w14:textId="77777777" w:rsidR="007E423D" w:rsidRPr="000B77C6" w:rsidRDefault="007E423D" w:rsidP="00E203B6">
      <w:pPr>
        <w:pStyle w:val="Header"/>
        <w:tabs>
          <w:tab w:val="clear" w:pos="4320"/>
          <w:tab w:val="clear" w:pos="8640"/>
        </w:tabs>
        <w:spacing w:line="320" w:lineRule="exact"/>
        <w:ind w:left="720"/>
        <w:rPr>
          <w:rFonts w:ascii="Times New Roman" w:hAnsi="Times New Roman"/>
          <w:szCs w:val="24"/>
        </w:rPr>
      </w:pPr>
    </w:p>
    <w:p w14:paraId="5EB596B3" w14:textId="77777777" w:rsidR="007E423D" w:rsidRPr="000B77C6" w:rsidRDefault="007E423D" w:rsidP="00E203B6">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E203B6">
      <w:pPr>
        <w:pStyle w:val="Heading7"/>
        <w:spacing w:line="320" w:lineRule="exact"/>
        <w:ind w:left="720"/>
        <w:rPr>
          <w:rFonts w:ascii="Times New Roman" w:hAnsi="Times New Roman"/>
        </w:rPr>
      </w:pPr>
    </w:p>
    <w:p w14:paraId="5EB596B6" w14:textId="77777777" w:rsidR="007E423D" w:rsidRPr="000B77C6" w:rsidRDefault="007E423D" w:rsidP="00E203B6">
      <w:pPr>
        <w:pStyle w:val="Heading7"/>
        <w:spacing w:line="320" w:lineRule="exact"/>
        <w:ind w:left="720"/>
        <w:rPr>
          <w:rFonts w:ascii="Times New Roman" w:hAnsi="Times New Roman"/>
        </w:rPr>
      </w:pPr>
    </w:p>
    <w:p w14:paraId="5EB596B7" w14:textId="77777777" w:rsidR="007E423D" w:rsidRPr="000B77C6" w:rsidRDefault="007E423D" w:rsidP="00E203B6">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E203B6">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E203B6">
      <w:pPr>
        <w:spacing w:line="320" w:lineRule="exact"/>
        <w:ind w:left="720"/>
        <w:rPr>
          <w:rFonts w:ascii="Times New Roman" w:hAnsi="Times New Roman"/>
          <w:bCs/>
          <w:szCs w:val="24"/>
        </w:rPr>
      </w:pPr>
    </w:p>
    <w:p w14:paraId="5EB596BA" w14:textId="77777777" w:rsidR="007E423D" w:rsidRPr="00603E77" w:rsidRDefault="007E423D" w:rsidP="00E203B6">
      <w:pPr>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E203B6">
      <w:pPr>
        <w:spacing w:line="320" w:lineRule="exact"/>
        <w:ind w:left="720"/>
        <w:rPr>
          <w:rFonts w:ascii="Times New Roman" w:hAnsi="Times New Roman"/>
          <w:bCs/>
          <w:szCs w:val="24"/>
        </w:rPr>
      </w:pPr>
    </w:p>
    <w:p w14:paraId="5EB596BF" w14:textId="337F2C07" w:rsidR="002C039A" w:rsidRPr="00AD3312" w:rsidRDefault="007E423D" w:rsidP="00E203B6">
      <w:pPr>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6E040483" w:rsidR="00027E04" w:rsidRDefault="00DF4E20" w:rsidP="00DF4E20">
      <w:pPr>
        <w:ind w:firstLine="720"/>
      </w:pPr>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E203B6">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E203B6">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3222458C" w:rsidR="00027E04" w:rsidRPr="004B18AF" w:rsidRDefault="00027E04" w:rsidP="00E203B6">
    <w:pPr>
      <w:pStyle w:val="Header"/>
      <w:tabs>
        <w:tab w:val="left" w:pos="7000"/>
      </w:tabs>
      <w:ind w:left="720"/>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E31910">
      <w:rPr>
        <w:rFonts w:ascii="Times New Roman" w:hAnsi="Times New Roman"/>
        <w:b/>
        <w:sz w:val="20"/>
      </w:rPr>
      <w:t>-151759</w:t>
    </w:r>
    <w:r w:rsidRPr="004B18AF">
      <w:rPr>
        <w:rFonts w:ascii="Times New Roman" w:hAnsi="Times New Roman"/>
        <w:b/>
        <w:sz w:val="20"/>
      </w:rPr>
      <w:tab/>
    </w:r>
    <w:r w:rsidRPr="004B18AF">
      <w:rPr>
        <w:rFonts w:ascii="Times New Roman" w:hAnsi="Times New Roman"/>
        <w:b/>
        <w:sz w:val="20"/>
      </w:rPr>
      <w:tab/>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49610A">
      <w:rPr>
        <w:rStyle w:val="PageNumber"/>
        <w:rFonts w:ascii="Times New Roman" w:hAnsi="Times New Roman"/>
        <w:b/>
        <w:noProof/>
        <w:sz w:val="20"/>
      </w:rPr>
      <w:t>3</w:t>
    </w:r>
    <w:r w:rsidRPr="004B18AF">
      <w:rPr>
        <w:rStyle w:val="PageNumber"/>
        <w:rFonts w:ascii="Times New Roman" w:hAnsi="Times New Roman"/>
        <w:b/>
        <w:sz w:val="20"/>
      </w:rPr>
      <w:fldChar w:fldCharType="end"/>
    </w:r>
  </w:p>
  <w:p w14:paraId="5EB596C5" w14:textId="77777777" w:rsidR="00027E04" w:rsidRPr="004B18AF" w:rsidRDefault="00027E04" w:rsidP="00E203B6">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E640C"/>
    <w:rsid w:val="00145B5D"/>
    <w:rsid w:val="00153224"/>
    <w:rsid w:val="001C5AB1"/>
    <w:rsid w:val="001E1D7A"/>
    <w:rsid w:val="001F0D72"/>
    <w:rsid w:val="00203264"/>
    <w:rsid w:val="002A790E"/>
    <w:rsid w:val="002C039A"/>
    <w:rsid w:val="002D2336"/>
    <w:rsid w:val="002F0041"/>
    <w:rsid w:val="003973CD"/>
    <w:rsid w:val="003F064D"/>
    <w:rsid w:val="003F1443"/>
    <w:rsid w:val="003F2CB3"/>
    <w:rsid w:val="00413FCD"/>
    <w:rsid w:val="00414374"/>
    <w:rsid w:val="00471EC1"/>
    <w:rsid w:val="00481FB7"/>
    <w:rsid w:val="00490917"/>
    <w:rsid w:val="0049610A"/>
    <w:rsid w:val="004B04B4"/>
    <w:rsid w:val="004B25AB"/>
    <w:rsid w:val="00552600"/>
    <w:rsid w:val="005A6C74"/>
    <w:rsid w:val="005B2FD1"/>
    <w:rsid w:val="005F1234"/>
    <w:rsid w:val="006137D0"/>
    <w:rsid w:val="0063135D"/>
    <w:rsid w:val="00672F7B"/>
    <w:rsid w:val="006A41EE"/>
    <w:rsid w:val="0073716A"/>
    <w:rsid w:val="007618A4"/>
    <w:rsid w:val="00762265"/>
    <w:rsid w:val="00765CB6"/>
    <w:rsid w:val="00780E50"/>
    <w:rsid w:val="00794DB9"/>
    <w:rsid w:val="007A3DCA"/>
    <w:rsid w:val="007B34A8"/>
    <w:rsid w:val="007C1099"/>
    <w:rsid w:val="007E18CD"/>
    <w:rsid w:val="007E423D"/>
    <w:rsid w:val="008009C6"/>
    <w:rsid w:val="008B48D3"/>
    <w:rsid w:val="008C028D"/>
    <w:rsid w:val="008C1F6C"/>
    <w:rsid w:val="00941172"/>
    <w:rsid w:val="0096211F"/>
    <w:rsid w:val="00A84C2A"/>
    <w:rsid w:val="00A9666F"/>
    <w:rsid w:val="00AA48EA"/>
    <w:rsid w:val="00AB17F4"/>
    <w:rsid w:val="00AD3312"/>
    <w:rsid w:val="00AE273E"/>
    <w:rsid w:val="00B13041"/>
    <w:rsid w:val="00B35FE1"/>
    <w:rsid w:val="00B57A04"/>
    <w:rsid w:val="00B67549"/>
    <w:rsid w:val="00C65698"/>
    <w:rsid w:val="00D06E9E"/>
    <w:rsid w:val="00D61D5C"/>
    <w:rsid w:val="00D62D88"/>
    <w:rsid w:val="00DA1B86"/>
    <w:rsid w:val="00DD2A47"/>
    <w:rsid w:val="00DF4E20"/>
    <w:rsid w:val="00E203B6"/>
    <w:rsid w:val="00E27F46"/>
    <w:rsid w:val="00E31910"/>
    <w:rsid w:val="00E5777F"/>
    <w:rsid w:val="00E65D78"/>
    <w:rsid w:val="00ED0135"/>
    <w:rsid w:val="00F21B68"/>
    <w:rsid w:val="00F53E0B"/>
    <w:rsid w:val="00FD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2015-08-27T07:00:00+00:00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Teleport Communications America, LLC</CaseCompanyNames>
    <DocketNumber xmlns="dc463f71-b30c-4ab2-9473-d307f9d35888">151759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B15DECBE0A054C890C1DC64857A6CE" ma:contentTypeVersion="119" ma:contentTypeDescription="" ma:contentTypeScope="" ma:versionID="7537be29f1cf3ac150ca63f1382a2c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1ED821-9AAA-4971-A277-BEE24836CBA3}"/>
</file>

<file path=customXml/itemProps2.xml><?xml version="1.0" encoding="utf-8"?>
<ds:datastoreItem xmlns:ds="http://schemas.openxmlformats.org/officeDocument/2006/customXml" ds:itemID="{158FA7EC-F441-4A05-BBE3-D865F92AC665}"/>
</file>

<file path=customXml/itemProps3.xml><?xml version="1.0" encoding="utf-8"?>
<ds:datastoreItem xmlns:ds="http://schemas.openxmlformats.org/officeDocument/2006/customXml" ds:itemID="{8762987B-C501-450A-97D3-70A17E5F59E5}"/>
</file>

<file path=customXml/itemProps4.xml><?xml version="1.0" encoding="utf-8"?>
<ds:datastoreItem xmlns:ds="http://schemas.openxmlformats.org/officeDocument/2006/customXml" ds:itemID="{BDFF3718-6E8A-44E5-90D7-02343939C995}"/>
</file>

<file path=customXml/itemProps5.xml><?xml version="1.0" encoding="utf-8"?>
<ds:datastoreItem xmlns:ds="http://schemas.openxmlformats.org/officeDocument/2006/customXml" ds:itemID="{8D54470F-0046-4C06-B127-4657A8EC1B78}"/>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UT-151759 Order 01</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UT-151759 Order 01</dc:title>
  <dc:creator>Beaton, Rebecca (UTC)</dc:creator>
  <cp:lastModifiedBy>Kern, Cathy (UTC)</cp:lastModifiedBy>
  <cp:revision>2</cp:revision>
  <cp:lastPrinted>2015-04-09T15:47:00Z</cp:lastPrinted>
  <dcterms:created xsi:type="dcterms:W3CDTF">2015-09-09T23:28:00Z</dcterms:created>
  <dcterms:modified xsi:type="dcterms:W3CDTF">2015-09-09T23:28:00Z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0x0101006E56B4D1795A2E4DB2F0B01679ED314A00D7B15DECBE0A054C890C1DC64857A6CE</vt:lpwstr>
  </property>
  <property fmtid="{D5CDD505-2E9C-101B-9397-08002B2CF9AE}" pid="3" name="_docset_NoMedatataSyncRequired">
    <vt:lpwstr>False</vt:lpwstr>
  </property>
</Properties>
</file>