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8054D4" w:rsidRDefault="008054D4" w:rsidP="001E642E">
      <w:pPr>
        <w:spacing w:line="240" w:lineRule="auto"/>
      </w:pPr>
    </w:p>
    <w:p w:rsidR="00306D40" w:rsidRDefault="00306D40" w:rsidP="001E642E">
      <w:pPr>
        <w:spacing w:line="240" w:lineRule="auto"/>
      </w:pPr>
    </w:p>
    <w:p w:rsidR="00306D40" w:rsidRPr="006434A6" w:rsidRDefault="00306D40" w:rsidP="008054D4">
      <w:pPr>
        <w:spacing w:line="240" w:lineRule="auto"/>
        <w:jc w:val="center"/>
        <w:outlineLvl w:val="0"/>
        <w:rPr>
          <w:b/>
        </w:rPr>
      </w:pPr>
      <w:r w:rsidRPr="006434A6">
        <w:rPr>
          <w:b/>
        </w:rPr>
        <w:t>BEFORE THE WASHINGTON UTILITIES AND TRANSPORTATION COMMISSION</w:t>
      </w:r>
    </w:p>
    <w:p w:rsidR="00306D40" w:rsidRDefault="00306D40" w:rsidP="001E642E">
      <w:pPr>
        <w:spacing w:line="240" w:lineRule="auto"/>
      </w:pPr>
    </w:p>
    <w:p w:rsidR="008054D4" w:rsidRDefault="008054D4" w:rsidP="001E642E">
      <w:pPr>
        <w:spacing w:line="240" w:lineRule="auto"/>
      </w:pPr>
    </w:p>
    <w:tbl>
      <w:tblPr>
        <w:tblStyle w:val="TableGrid"/>
        <w:tblW w:w="0" w:type="auto"/>
        <w:tblLook w:val="04A0"/>
      </w:tblPr>
      <w:tblGrid>
        <w:gridCol w:w="4518"/>
        <w:gridCol w:w="5058"/>
      </w:tblGrid>
      <w:tr w:rsidR="00161713" w:rsidTr="008054D4">
        <w:tc>
          <w:tcPr>
            <w:tcW w:w="4518" w:type="dxa"/>
            <w:tcBorders>
              <w:top w:val="nil"/>
              <w:left w:val="nil"/>
              <w:right w:val="single" w:sz="4" w:space="0" w:color="auto"/>
            </w:tcBorders>
          </w:tcPr>
          <w:p w:rsidR="00893B24" w:rsidRDefault="00893B24" w:rsidP="00893B24">
            <w:pPr>
              <w:spacing w:line="240" w:lineRule="auto"/>
            </w:pPr>
          </w:p>
          <w:p w:rsidR="00161713" w:rsidRDefault="00893B24" w:rsidP="00893B24">
            <w:pPr>
              <w:spacing w:line="240" w:lineRule="auto"/>
            </w:pPr>
            <w:r w:rsidRPr="00537A6F">
              <w:rPr>
                <w:szCs w:val="24"/>
              </w:rPr>
              <w:t>IN THE MATTER OF</w:t>
            </w:r>
            <w:r>
              <w:rPr>
                <w:szCs w:val="24"/>
              </w:rPr>
              <w:t xml:space="preserve"> QWEST CORPORATION d/b/a CENTURYLINK QC’S </w:t>
            </w:r>
            <w:r>
              <w:t>PETITION FOR COMMISSION APPROVAL OF 201</w:t>
            </w:r>
            <w:r w:rsidR="00A9276C">
              <w:t>5</w:t>
            </w:r>
            <w:r>
              <w:t xml:space="preserve"> ADDITIONS TO ITS NON-IMPAIRED WIRE CENTER LIST</w:t>
            </w:r>
          </w:p>
        </w:tc>
        <w:tc>
          <w:tcPr>
            <w:tcW w:w="5058" w:type="dxa"/>
            <w:tcBorders>
              <w:top w:val="nil"/>
              <w:left w:val="single" w:sz="4" w:space="0" w:color="auto"/>
              <w:bottom w:val="nil"/>
              <w:right w:val="nil"/>
            </w:tcBorders>
          </w:tcPr>
          <w:p w:rsidR="00893B24" w:rsidRPr="00893B24" w:rsidRDefault="00893B24" w:rsidP="008054D4">
            <w:pPr>
              <w:spacing w:line="240" w:lineRule="auto"/>
              <w:ind w:left="252"/>
            </w:pPr>
          </w:p>
          <w:p w:rsidR="00893B24" w:rsidRPr="00BB449E" w:rsidRDefault="00893B24" w:rsidP="008054D4">
            <w:pPr>
              <w:spacing w:line="240" w:lineRule="auto"/>
              <w:ind w:left="252"/>
              <w:rPr>
                <w:b/>
              </w:rPr>
            </w:pPr>
            <w:r w:rsidRPr="00BB449E">
              <w:rPr>
                <w:b/>
              </w:rPr>
              <w:t>DOCKET NO. UT-</w:t>
            </w:r>
          </w:p>
          <w:p w:rsidR="00893B24" w:rsidRPr="00893B24" w:rsidRDefault="00893B24" w:rsidP="008054D4">
            <w:pPr>
              <w:spacing w:line="240" w:lineRule="auto"/>
              <w:ind w:left="252"/>
            </w:pPr>
          </w:p>
          <w:p w:rsidR="00161713" w:rsidRDefault="00893B24" w:rsidP="008054D4">
            <w:pPr>
              <w:spacing w:line="240" w:lineRule="auto"/>
              <w:ind w:left="252"/>
            </w:pPr>
            <w:r w:rsidRPr="00893B24">
              <w:t>QWEST CORPORATION d/b/a CENTURYLINK QC’S PETITION</w:t>
            </w:r>
            <w:r w:rsidR="00A9276C">
              <w:t xml:space="preserve"> FOR COMMISSION APPROVAL OF 2015</w:t>
            </w:r>
            <w:r w:rsidRPr="00893B24">
              <w:t xml:space="preserve"> ADDITIONS TO ITS NON-IMPAIRED WIRE CENTER LIST AND MOTION FOR EXPEDITED ISSUANCE OF PROTECTIVE ORDER </w:t>
            </w:r>
          </w:p>
        </w:tc>
      </w:tr>
    </w:tbl>
    <w:p w:rsidR="00306D40" w:rsidRDefault="00306D40" w:rsidP="00306D40"/>
    <w:p w:rsidR="00E7118F" w:rsidRDefault="00893B24" w:rsidP="00A07F72">
      <w:pPr>
        <w:pStyle w:val="ListParagraph"/>
        <w:numPr>
          <w:ilvl w:val="0"/>
          <w:numId w:val="2"/>
        </w:numPr>
        <w:spacing w:after="240"/>
        <w:ind w:hanging="720"/>
        <w:contextualSpacing w:val="0"/>
      </w:pPr>
      <w:r w:rsidRPr="00893B24">
        <w:t xml:space="preserve">Qwest Corporation d/b/a CenturyLink QC (“CenturyLink”) petitions the Washington Utilities and Transportation Commission (“Commission”) to add </w:t>
      </w:r>
      <w:r w:rsidR="00A9276C">
        <w:t>several</w:t>
      </w:r>
      <w:r w:rsidRPr="00893B24">
        <w:t xml:space="preserve"> wire center</w:t>
      </w:r>
      <w:r w:rsidR="00A9276C">
        <w:t>s</w:t>
      </w:r>
      <w:r w:rsidRPr="00893B24">
        <w:t xml:space="preserve"> to its non-impaired wire center list in accordance with the FCC’s </w:t>
      </w:r>
      <w:r w:rsidR="00223FE3">
        <w:rPr>
          <w:i/>
        </w:rPr>
        <w:t>Triennial Review Remand Order</w:t>
      </w:r>
      <w:r w:rsidRPr="00893B24">
        <w:t xml:space="preserve"> (“</w:t>
      </w:r>
      <w:r w:rsidR="00223FE3">
        <w:rPr>
          <w:i/>
        </w:rPr>
        <w:t>TRRO</w:t>
      </w:r>
      <w:r w:rsidRPr="00893B24">
        <w:t>”).</w:t>
      </w:r>
      <w:r w:rsidRPr="00893B24">
        <w:rPr>
          <w:vertAlign w:val="superscript"/>
        </w:rPr>
        <w:footnoteReference w:id="1"/>
      </w:r>
      <w:r w:rsidRPr="00893B24">
        <w:t xml:space="preserve">  </w:t>
      </w:r>
      <w:r w:rsidR="00A9276C">
        <w:t xml:space="preserve">The requested wire centers are as follows:  </w:t>
      </w:r>
      <w:r w:rsidR="00A07F72">
        <w:t xml:space="preserve">Renton, Spokane Fairfax, Spokane Hudson, Spokane Keystone, Spokane Walnut, Spokane Whitehall, Tacoma Fawcett, </w:t>
      </w:r>
      <w:proofErr w:type="gramStart"/>
      <w:r w:rsidR="00A07F72">
        <w:t>Yakima</w:t>
      </w:r>
      <w:proofErr w:type="gramEnd"/>
      <w:r w:rsidR="00A07F72">
        <w:t xml:space="preserve"> Chestnut.</w:t>
      </w:r>
    </w:p>
    <w:p w:rsidR="00E7118F" w:rsidRDefault="00893B24" w:rsidP="00A07F72">
      <w:pPr>
        <w:pStyle w:val="ListParagraph"/>
        <w:numPr>
          <w:ilvl w:val="0"/>
          <w:numId w:val="2"/>
        </w:numPr>
        <w:spacing w:after="240"/>
        <w:ind w:hanging="720"/>
        <w:contextualSpacing w:val="0"/>
      </w:pPr>
      <w:r w:rsidRPr="00893B24">
        <w:t xml:space="preserve">This petition is made consistent with the Commission’s July 30, 2008 Order in Docket No. UT-073033, Order 10 (“Initial </w:t>
      </w:r>
      <w:r w:rsidR="00223FE3">
        <w:rPr>
          <w:i/>
        </w:rPr>
        <w:t xml:space="preserve">TRRO </w:t>
      </w:r>
      <w:r w:rsidRPr="00893B24">
        <w:t>Order”).  The addition of the</w:t>
      </w:r>
      <w:r w:rsidR="00A9276C">
        <w:t>se</w:t>
      </w:r>
      <w:r w:rsidRPr="00893B24">
        <w:t xml:space="preserve"> wire center</w:t>
      </w:r>
      <w:r w:rsidR="00A9276C">
        <w:t>s</w:t>
      </w:r>
      <w:r w:rsidRPr="00893B24">
        <w:t xml:space="preserve"> is also consistent with the joint settlement agreement between Qwest</w:t>
      </w:r>
      <w:r w:rsidRPr="00893B24">
        <w:rPr>
          <w:vertAlign w:val="superscript"/>
        </w:rPr>
        <w:footnoteReference w:id="2"/>
      </w:r>
      <w:r w:rsidRPr="00893B24">
        <w:t xml:space="preserve"> and a coalition of CLECs (“the Joint CLECs”) approved by the Commission in the March 21, 2008 Order </w:t>
      </w:r>
      <w:r w:rsidRPr="00893B24">
        <w:lastRenderedPageBreak/>
        <w:t>05 in Docket No. UT-073035 (</w:t>
      </w:r>
      <w:r w:rsidR="00223FE3">
        <w:rPr>
          <w:i/>
        </w:rPr>
        <w:t>TRRO</w:t>
      </w:r>
      <w:r w:rsidRPr="00893B24">
        <w:t xml:space="preserve"> Settlement Order).</w:t>
      </w:r>
      <w:r w:rsidRPr="00893B24">
        <w:rPr>
          <w:vertAlign w:val="superscript"/>
        </w:rPr>
        <w:footnoteReference w:id="3"/>
      </w:r>
      <w:r w:rsidRPr="00893B24">
        <w:t xml:space="preserve">  </w:t>
      </w:r>
    </w:p>
    <w:p w:rsidR="00893B24" w:rsidRDefault="00A9276C" w:rsidP="00A07F72">
      <w:pPr>
        <w:pStyle w:val="ListParagraph"/>
        <w:numPr>
          <w:ilvl w:val="0"/>
          <w:numId w:val="2"/>
        </w:numPr>
        <w:spacing w:after="240"/>
        <w:ind w:hanging="720"/>
        <w:contextualSpacing w:val="0"/>
      </w:pPr>
      <w:r w:rsidRPr="00893B24">
        <w:t xml:space="preserve">In the initial </w:t>
      </w:r>
      <w:r w:rsidRPr="00A07F72">
        <w:rPr>
          <w:i/>
        </w:rPr>
        <w:t>TRRO</w:t>
      </w:r>
      <w:r w:rsidRPr="00893B24">
        <w:t xml:space="preserve"> non-impaired wire center proceeding, Qwest and the Joint CLECs negotiated and agreed to use a protective order to allow Qwest to file confidential wire center information regarding “business line” counts and the number of “fiber-based collocators” as defined in the FCC’s </w:t>
      </w:r>
      <w:r w:rsidRPr="00A07F72">
        <w:rPr>
          <w:i/>
        </w:rPr>
        <w:t>TRRO</w:t>
      </w:r>
      <w:r w:rsidRPr="00893B24">
        <w:t xml:space="preserve">.  </w:t>
      </w:r>
      <w:r>
        <w:t>Therefore</w:t>
      </w:r>
      <w:r w:rsidR="00893B24" w:rsidRPr="00893B24">
        <w:t>, pursuant to the above-cited orders, CenturyLink requests that the Commission issue on an expedited basis a protective order based on the protective order previously entered as Order 0</w:t>
      </w:r>
      <w:r>
        <w:t>1</w:t>
      </w:r>
      <w:r w:rsidR="00893B24" w:rsidRPr="00893B24">
        <w:t xml:space="preserve"> Docket No. UT-</w:t>
      </w:r>
      <w:r>
        <w:t>132282, which was CenturyLink’s most recent TRRO filing</w:t>
      </w:r>
      <w:r w:rsidR="00893B24" w:rsidRPr="00893B24">
        <w:t xml:space="preserve">.  </w:t>
      </w:r>
    </w:p>
    <w:p w:rsidR="00893B24" w:rsidRDefault="00893B24" w:rsidP="008054D4">
      <w:pPr>
        <w:spacing w:after="240"/>
        <w:ind w:left="720" w:hanging="720"/>
        <w:jc w:val="center"/>
        <w:outlineLvl w:val="0"/>
      </w:pPr>
      <w:r w:rsidRPr="00893B24">
        <w:rPr>
          <w:b/>
          <w:u w:val="single"/>
        </w:rPr>
        <w:t>BACKGROUND</w:t>
      </w:r>
    </w:p>
    <w:p w:rsidR="00893B24" w:rsidRDefault="00893B24" w:rsidP="00A07F72">
      <w:pPr>
        <w:pStyle w:val="ListParagraph"/>
        <w:numPr>
          <w:ilvl w:val="0"/>
          <w:numId w:val="2"/>
        </w:numPr>
        <w:spacing w:after="240"/>
        <w:ind w:hanging="720"/>
        <w:contextualSpacing w:val="0"/>
      </w:pPr>
      <w:r w:rsidRPr="00893B24">
        <w:t>The Commission opened Docket Nos. UT-073033 and UT-073035 to consider the issues around the implementation of the Section 251(d</w:t>
      </w:r>
      <w:proofErr w:type="gramStart"/>
      <w:r w:rsidRPr="00893B24">
        <w:t>)(</w:t>
      </w:r>
      <w:proofErr w:type="gramEnd"/>
      <w:r w:rsidRPr="00893B24">
        <w:t xml:space="preserve">2) non-impairment standards set forth in the FCC’s </w:t>
      </w:r>
      <w:r w:rsidRPr="00A07F72">
        <w:rPr>
          <w:i/>
        </w:rPr>
        <w:t>TRRO</w:t>
      </w:r>
      <w:r w:rsidRPr="00893B24">
        <w:t xml:space="preserve"> for high-capacity dedicated transport and loops.  The dockets also addressed other issues and disputes relating to the </w:t>
      </w:r>
      <w:r w:rsidRPr="00A07F72">
        <w:rPr>
          <w:i/>
        </w:rPr>
        <w:t>TRRO</w:t>
      </w:r>
      <w:r w:rsidRPr="00893B24">
        <w:t xml:space="preserve">, including the process for identifying and adding future new wire centers to the non-impaired wire center list. </w:t>
      </w:r>
    </w:p>
    <w:p w:rsidR="00893B24" w:rsidRDefault="00893B24" w:rsidP="00A07F72">
      <w:pPr>
        <w:pStyle w:val="ListParagraph"/>
        <w:numPr>
          <w:ilvl w:val="0"/>
          <w:numId w:val="2"/>
        </w:numPr>
        <w:spacing w:after="240"/>
        <w:ind w:hanging="720"/>
        <w:contextualSpacing w:val="0"/>
      </w:pPr>
      <w:r w:rsidRPr="00893B24">
        <w:t xml:space="preserve">Thereafter, on March 21, 2008, after responses to Bench Requests and the filing of the settlement agreement, the Commission issued Order 05 in Docket No. UT-073035 resolving certain issues and disputes between Qwest and the Joint CLECs.  The </w:t>
      </w:r>
      <w:r w:rsidRPr="00A07F72">
        <w:rPr>
          <w:i/>
        </w:rPr>
        <w:t xml:space="preserve">TRRO </w:t>
      </w:r>
      <w:r w:rsidRPr="00893B24">
        <w:t xml:space="preserve">Settlement Order adopted the provisions of the Settlement relating to the requirements for adding wire centers to the list of non-impaired wire centers in the future, which include provisions regarding notice to CLEC, the request for a protective order, and timing. </w:t>
      </w:r>
    </w:p>
    <w:p w:rsidR="005007ED" w:rsidRDefault="00893B24" w:rsidP="00A07F72">
      <w:pPr>
        <w:pStyle w:val="ListParagraph"/>
        <w:keepNext/>
        <w:keepLines/>
        <w:widowControl/>
        <w:numPr>
          <w:ilvl w:val="0"/>
          <w:numId w:val="2"/>
        </w:numPr>
        <w:spacing w:after="240"/>
        <w:ind w:hanging="720"/>
        <w:contextualSpacing w:val="0"/>
      </w:pPr>
      <w:r w:rsidRPr="00893B24">
        <w:t>The parties to the settlement agreement agreed that Qwest (now CenturyLink) may request the addition of non-impaired wire centers at any time based on the number of fiber-based collocators.  Further, the settlement agreement states that CenturyLink may request the addition of non-impaired wire centers based in whole or in part upon line counts at any time up to July 1st of each year, based on prior year line count data, and using an agreed-upon methodology.</w:t>
      </w:r>
    </w:p>
    <w:p w:rsidR="00893B24" w:rsidRDefault="00290F46" w:rsidP="005007ED">
      <w:pPr>
        <w:pStyle w:val="ListParagraph"/>
        <w:widowControl/>
        <w:numPr>
          <w:ilvl w:val="0"/>
          <w:numId w:val="2"/>
        </w:numPr>
        <w:spacing w:after="240"/>
        <w:ind w:hanging="720"/>
        <w:contextualSpacing w:val="0"/>
      </w:pPr>
      <w:r w:rsidRPr="005007ED">
        <w:t>The request to add the</w:t>
      </w:r>
      <w:r w:rsidR="00893B24" w:rsidRPr="005007ED">
        <w:t xml:space="preserve"> wire center</w:t>
      </w:r>
      <w:r w:rsidR="00A9276C" w:rsidRPr="005007ED">
        <w:t>s in this petition</w:t>
      </w:r>
      <w:r w:rsidR="00893B24" w:rsidRPr="005007ED">
        <w:t xml:space="preserve"> to the non-impaired wire center list is</w:t>
      </w:r>
      <w:r w:rsidR="00893B24" w:rsidRPr="00A07F72">
        <w:rPr>
          <w:i/>
        </w:rPr>
        <w:t xml:space="preserve"> based entirely on the number of fiber-based collocators. </w:t>
      </w:r>
      <w:r w:rsidR="00893B24" w:rsidRPr="00893B24">
        <w:t xml:space="preserve"> </w:t>
      </w:r>
    </w:p>
    <w:p w:rsidR="005007ED" w:rsidRDefault="005007ED" w:rsidP="005007ED">
      <w:pPr>
        <w:pStyle w:val="ListParagraph"/>
        <w:widowControl/>
        <w:spacing w:after="240"/>
        <w:ind w:left="0"/>
        <w:contextualSpacing w:val="0"/>
      </w:pPr>
    </w:p>
    <w:p w:rsidR="00893B24" w:rsidRPr="005334B3" w:rsidRDefault="00893B24" w:rsidP="00A07F72">
      <w:pPr>
        <w:spacing w:after="240" w:line="240" w:lineRule="auto"/>
        <w:ind w:left="720" w:hanging="720"/>
        <w:jc w:val="center"/>
        <w:rPr>
          <w:b/>
          <w:u w:val="single"/>
        </w:rPr>
      </w:pPr>
      <w:r w:rsidRPr="005334B3">
        <w:rPr>
          <w:b/>
          <w:u w:val="single"/>
        </w:rPr>
        <w:t xml:space="preserve">THE </w:t>
      </w:r>
      <w:r w:rsidR="00A9276C">
        <w:rPr>
          <w:b/>
          <w:u w:val="single"/>
        </w:rPr>
        <w:t>LISTED</w:t>
      </w:r>
      <w:r w:rsidRPr="005334B3">
        <w:rPr>
          <w:b/>
          <w:u w:val="single"/>
        </w:rPr>
        <w:t xml:space="preserve"> WIRE CENTER</w:t>
      </w:r>
      <w:r w:rsidR="00A9276C">
        <w:rPr>
          <w:b/>
          <w:u w:val="single"/>
        </w:rPr>
        <w:t>S</w:t>
      </w:r>
      <w:r w:rsidRPr="005334B3">
        <w:rPr>
          <w:b/>
          <w:u w:val="single"/>
        </w:rPr>
        <w:t xml:space="preserve"> SHOULD BE ADDED TO THE </w:t>
      </w:r>
      <w:r w:rsidR="00A07F72">
        <w:rPr>
          <w:b/>
          <w:u w:val="single"/>
        </w:rPr>
        <w:br/>
      </w:r>
      <w:r w:rsidRPr="005334B3">
        <w:rPr>
          <w:b/>
          <w:u w:val="single"/>
        </w:rPr>
        <w:t>NON-IMPAIRED WIRE CENTER LIST</w:t>
      </w:r>
    </w:p>
    <w:p w:rsidR="00893B24" w:rsidRDefault="00893B24" w:rsidP="00A07F72">
      <w:pPr>
        <w:pStyle w:val="ListParagraph"/>
        <w:numPr>
          <w:ilvl w:val="0"/>
          <w:numId w:val="2"/>
        </w:numPr>
        <w:spacing w:after="240"/>
        <w:ind w:hanging="720"/>
        <w:contextualSpacing w:val="0"/>
      </w:pPr>
      <w:r w:rsidRPr="00893B24">
        <w:t>CenturyLink now files this petition seeking to add the</w:t>
      </w:r>
      <w:r w:rsidR="00A9276C">
        <w:t xml:space="preserve"> above-listed</w:t>
      </w:r>
      <w:r w:rsidRPr="00893B24">
        <w:t xml:space="preserve"> wire center</w:t>
      </w:r>
      <w:r w:rsidR="00A9276C">
        <w:t>s</w:t>
      </w:r>
      <w:r w:rsidRPr="00893B24">
        <w:t xml:space="preserve"> to its non-impaired wire center list.  CenturyLink </w:t>
      </w:r>
      <w:r w:rsidR="00625627">
        <w:t xml:space="preserve">will provide the highly confidential information supporting the updated list to the Commission and any requesting CLEC in accordance with </w:t>
      </w:r>
      <w:r w:rsidRPr="00893B24">
        <w:t>a protective order.</w:t>
      </w:r>
    </w:p>
    <w:p w:rsidR="00893B24" w:rsidRDefault="00893B24" w:rsidP="00A07F72">
      <w:pPr>
        <w:pStyle w:val="ListParagraph"/>
        <w:numPr>
          <w:ilvl w:val="0"/>
          <w:numId w:val="2"/>
        </w:numPr>
        <w:spacing w:after="240"/>
        <w:ind w:hanging="720"/>
        <w:contextualSpacing w:val="0"/>
      </w:pPr>
      <w:r w:rsidRPr="00893B24">
        <w:t>CenturyLink seeks the Commission’s expedited</w:t>
      </w:r>
      <w:r w:rsidRPr="00A07F72">
        <w:rPr>
          <w:i/>
        </w:rPr>
        <w:t xml:space="preserve"> </w:t>
      </w:r>
      <w:r w:rsidRPr="00893B24">
        <w:t>issuance of a protective order to cover Confidential and Highly Confidential information as previously done in Docket No. UT-</w:t>
      </w:r>
      <w:r w:rsidR="00A9276C">
        <w:t>132282</w:t>
      </w:r>
      <w:r w:rsidRPr="00893B24">
        <w:t>.  Expedited issuance of the protective order will permit interested CLECs that sign the order to begin reviewing the confidential wire center data promptly after CenturyLink files the data.</w:t>
      </w:r>
    </w:p>
    <w:p w:rsidR="00893B24" w:rsidRDefault="00893B24" w:rsidP="00A07F72">
      <w:pPr>
        <w:pStyle w:val="ListParagraph"/>
        <w:widowControl/>
        <w:numPr>
          <w:ilvl w:val="0"/>
          <w:numId w:val="2"/>
        </w:numPr>
        <w:spacing w:after="240"/>
        <w:ind w:hanging="720"/>
        <w:contextualSpacing w:val="0"/>
      </w:pPr>
      <w:r w:rsidRPr="00893B24">
        <w:t>As previously stated, the wire center</w:t>
      </w:r>
      <w:r w:rsidR="00A9276C">
        <w:t>s listed are</w:t>
      </w:r>
      <w:r w:rsidRPr="00893B24">
        <w:t xml:space="preserve"> the only wire center</w:t>
      </w:r>
      <w:r w:rsidR="00A9276C">
        <w:t>s</w:t>
      </w:r>
      <w:r w:rsidRPr="00893B24">
        <w:t xml:space="preserve"> that CenturyLink seeks to add to its list of non-impaired wire centers</w:t>
      </w:r>
      <w:r w:rsidR="00A9276C">
        <w:t xml:space="preserve"> in 2015</w:t>
      </w:r>
      <w:r w:rsidRPr="00893B24">
        <w:t xml:space="preserve">.  Attachment </w:t>
      </w:r>
      <w:r w:rsidR="00625627">
        <w:t>1</w:t>
      </w:r>
      <w:r w:rsidRPr="00893B24">
        <w:t xml:space="preserve"> is the notice that was sent to all CLECs on </w:t>
      </w:r>
      <w:r w:rsidR="0026390C">
        <w:t>June 1</w:t>
      </w:r>
      <w:r w:rsidR="005007ED">
        <w:t>4</w:t>
      </w:r>
      <w:r w:rsidR="0026390C">
        <w:t>, 2015</w:t>
      </w:r>
      <w:r w:rsidRPr="00893B24">
        <w:t xml:space="preserve">.  The pertinent information is as follows:  </w:t>
      </w:r>
    </w:p>
    <w:p w:rsidR="00893B24" w:rsidRPr="00893B24" w:rsidRDefault="00893B24" w:rsidP="00893B24">
      <w:pPr>
        <w:ind w:left="720" w:hanging="720"/>
      </w:pPr>
    </w:p>
    <w:tbl>
      <w:tblPr>
        <w:tblStyle w:val="TableGrid"/>
        <w:tblW w:w="9288"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1E0"/>
      </w:tblPr>
      <w:tblGrid>
        <w:gridCol w:w="1008"/>
        <w:gridCol w:w="2340"/>
        <w:gridCol w:w="1800"/>
        <w:gridCol w:w="955"/>
        <w:gridCol w:w="3185"/>
      </w:tblGrid>
      <w:tr w:rsidR="00893B24" w:rsidRPr="00893B24" w:rsidTr="005334B3">
        <w:trPr>
          <w:jc w:val="center"/>
        </w:trPr>
        <w:tc>
          <w:tcPr>
            <w:tcW w:w="1008" w:type="dxa"/>
          </w:tcPr>
          <w:p w:rsidR="00893B24" w:rsidRPr="00893B24" w:rsidRDefault="00893B24" w:rsidP="00A07F72">
            <w:pPr>
              <w:keepNext/>
              <w:keepLines/>
              <w:widowControl/>
              <w:rPr>
                <w:b/>
              </w:rPr>
            </w:pPr>
            <w:r w:rsidRPr="00893B24">
              <w:rPr>
                <w:b/>
              </w:rPr>
              <w:t>STATE</w:t>
            </w:r>
          </w:p>
        </w:tc>
        <w:tc>
          <w:tcPr>
            <w:tcW w:w="2340" w:type="dxa"/>
          </w:tcPr>
          <w:p w:rsidR="00893B24" w:rsidRPr="00893B24" w:rsidRDefault="00893B24" w:rsidP="00A07F72">
            <w:pPr>
              <w:keepNext/>
              <w:keepLines/>
              <w:widowControl/>
              <w:rPr>
                <w:b/>
              </w:rPr>
            </w:pPr>
            <w:r w:rsidRPr="00893B24">
              <w:rPr>
                <w:b/>
              </w:rPr>
              <w:t>WIRE CENTER</w:t>
            </w:r>
          </w:p>
        </w:tc>
        <w:tc>
          <w:tcPr>
            <w:tcW w:w="1800" w:type="dxa"/>
          </w:tcPr>
          <w:p w:rsidR="00893B24" w:rsidRPr="00893B24" w:rsidRDefault="00893B24" w:rsidP="00A07F72">
            <w:pPr>
              <w:keepNext/>
              <w:keepLines/>
              <w:widowControl/>
              <w:rPr>
                <w:b/>
              </w:rPr>
            </w:pPr>
            <w:r w:rsidRPr="00893B24">
              <w:rPr>
                <w:b/>
              </w:rPr>
              <w:t>CLLI</w:t>
            </w:r>
          </w:p>
        </w:tc>
        <w:tc>
          <w:tcPr>
            <w:tcW w:w="955" w:type="dxa"/>
          </w:tcPr>
          <w:p w:rsidR="00893B24" w:rsidRPr="00893B24" w:rsidRDefault="00893B24" w:rsidP="00A07F72">
            <w:pPr>
              <w:keepNext/>
              <w:keepLines/>
              <w:widowControl/>
              <w:rPr>
                <w:b/>
              </w:rPr>
            </w:pPr>
            <w:r w:rsidRPr="00893B24">
              <w:rPr>
                <w:b/>
              </w:rPr>
              <w:t>TIER</w:t>
            </w:r>
          </w:p>
        </w:tc>
        <w:tc>
          <w:tcPr>
            <w:tcW w:w="3185" w:type="dxa"/>
          </w:tcPr>
          <w:p w:rsidR="00893B24" w:rsidRPr="00893B24" w:rsidRDefault="00893B24" w:rsidP="00A07F72">
            <w:pPr>
              <w:keepNext/>
              <w:keepLines/>
              <w:widowControl/>
              <w:rPr>
                <w:b/>
              </w:rPr>
            </w:pPr>
            <w:r w:rsidRPr="00893B24">
              <w:rPr>
                <w:b/>
              </w:rPr>
              <w:t>NON-IMPAIRMENT FOR</w:t>
            </w:r>
          </w:p>
        </w:tc>
      </w:tr>
      <w:tr w:rsidR="00893B24" w:rsidRPr="00893B24" w:rsidTr="005334B3">
        <w:trPr>
          <w:jc w:val="center"/>
        </w:trPr>
        <w:tc>
          <w:tcPr>
            <w:tcW w:w="1008" w:type="dxa"/>
            <w:shd w:val="clear" w:color="auto" w:fill="808080"/>
          </w:tcPr>
          <w:p w:rsidR="00893B24" w:rsidRPr="00893B24" w:rsidRDefault="00893B24" w:rsidP="00A07F72">
            <w:pPr>
              <w:keepNext/>
              <w:keepLines/>
              <w:widowControl/>
            </w:pPr>
          </w:p>
        </w:tc>
        <w:tc>
          <w:tcPr>
            <w:tcW w:w="2340" w:type="dxa"/>
            <w:shd w:val="clear" w:color="auto" w:fill="808080"/>
          </w:tcPr>
          <w:p w:rsidR="00893B24" w:rsidRPr="00893B24" w:rsidRDefault="00893B24" w:rsidP="00A07F72">
            <w:pPr>
              <w:keepNext/>
              <w:keepLines/>
              <w:widowControl/>
            </w:pPr>
          </w:p>
        </w:tc>
        <w:tc>
          <w:tcPr>
            <w:tcW w:w="1800" w:type="dxa"/>
            <w:shd w:val="clear" w:color="auto" w:fill="808080"/>
          </w:tcPr>
          <w:p w:rsidR="00893B24" w:rsidRPr="00893B24" w:rsidRDefault="00893B24" w:rsidP="00A07F72">
            <w:pPr>
              <w:keepNext/>
              <w:keepLines/>
              <w:widowControl/>
            </w:pPr>
          </w:p>
        </w:tc>
        <w:tc>
          <w:tcPr>
            <w:tcW w:w="955" w:type="dxa"/>
            <w:shd w:val="clear" w:color="auto" w:fill="808080"/>
          </w:tcPr>
          <w:p w:rsidR="00893B24" w:rsidRPr="00893B24" w:rsidRDefault="00893B24" w:rsidP="00A07F72">
            <w:pPr>
              <w:keepNext/>
              <w:keepLines/>
              <w:widowControl/>
            </w:pPr>
          </w:p>
        </w:tc>
        <w:tc>
          <w:tcPr>
            <w:tcW w:w="3185" w:type="dxa"/>
            <w:shd w:val="clear" w:color="auto" w:fill="808080"/>
          </w:tcPr>
          <w:p w:rsidR="00893B24" w:rsidRPr="00893B24" w:rsidRDefault="00893B24" w:rsidP="00A07F72">
            <w:pPr>
              <w:keepNext/>
              <w:keepLines/>
              <w:widowControl/>
            </w:pPr>
          </w:p>
        </w:tc>
      </w:tr>
      <w:tr w:rsidR="00893B24" w:rsidRPr="00893B24" w:rsidTr="005334B3">
        <w:trPr>
          <w:jc w:val="center"/>
        </w:trPr>
        <w:tc>
          <w:tcPr>
            <w:tcW w:w="1008" w:type="dxa"/>
          </w:tcPr>
          <w:p w:rsidR="00E7118F" w:rsidRDefault="00BB449E" w:rsidP="0026390C">
            <w:pPr>
              <w:keepNext/>
              <w:keepLines/>
              <w:widowControl/>
              <w:jc w:val="center"/>
            </w:pPr>
            <w:r>
              <w:t>WA</w:t>
            </w:r>
          </w:p>
        </w:tc>
        <w:tc>
          <w:tcPr>
            <w:tcW w:w="2340" w:type="dxa"/>
          </w:tcPr>
          <w:p w:rsidR="00E7118F" w:rsidRDefault="00BB449E" w:rsidP="00A07F72">
            <w:pPr>
              <w:keepNext/>
              <w:keepLines/>
              <w:widowControl/>
            </w:pPr>
            <w:r>
              <w:t>Renton</w:t>
            </w:r>
          </w:p>
        </w:tc>
        <w:tc>
          <w:tcPr>
            <w:tcW w:w="1800" w:type="dxa"/>
          </w:tcPr>
          <w:p w:rsidR="00E7118F" w:rsidRDefault="00BB449E" w:rsidP="00A07F72">
            <w:pPr>
              <w:keepNext/>
              <w:keepLines/>
              <w:widowControl/>
            </w:pPr>
            <w:r>
              <w:t>RNTNWA01</w:t>
            </w:r>
          </w:p>
        </w:tc>
        <w:tc>
          <w:tcPr>
            <w:tcW w:w="955" w:type="dxa"/>
          </w:tcPr>
          <w:p w:rsidR="00893B24" w:rsidRPr="00893B24" w:rsidRDefault="00BB449E" w:rsidP="00A07F72">
            <w:pPr>
              <w:keepNext/>
              <w:keepLines/>
              <w:widowControl/>
            </w:pPr>
            <w:r>
              <w:t>Tier 1</w:t>
            </w:r>
          </w:p>
        </w:tc>
        <w:tc>
          <w:tcPr>
            <w:tcW w:w="3185" w:type="dxa"/>
          </w:tcPr>
          <w:p w:rsidR="00893B24" w:rsidRPr="00893B24" w:rsidRDefault="0026390C" w:rsidP="00A07F72">
            <w:pPr>
              <w:keepNext/>
              <w:keepLines/>
              <w:widowControl/>
            </w:pPr>
            <w:r>
              <w:t>DS1, DS3 Transport &amp; DF</w:t>
            </w:r>
          </w:p>
        </w:tc>
      </w:tr>
      <w:tr w:rsidR="00BB449E" w:rsidRPr="00893B24" w:rsidTr="005334B3">
        <w:trPr>
          <w:jc w:val="center"/>
        </w:trPr>
        <w:tc>
          <w:tcPr>
            <w:tcW w:w="1008" w:type="dxa"/>
          </w:tcPr>
          <w:p w:rsidR="00BB449E" w:rsidRDefault="00BB449E" w:rsidP="00A07F72">
            <w:pPr>
              <w:keepNext/>
              <w:keepLines/>
              <w:widowControl/>
            </w:pPr>
          </w:p>
        </w:tc>
        <w:tc>
          <w:tcPr>
            <w:tcW w:w="2340" w:type="dxa"/>
          </w:tcPr>
          <w:p w:rsidR="00BB449E" w:rsidRDefault="00BB449E" w:rsidP="00A07F72">
            <w:pPr>
              <w:keepNext/>
              <w:keepLines/>
              <w:widowControl/>
            </w:pPr>
            <w:r>
              <w:t>Spokane Fairfax</w:t>
            </w:r>
          </w:p>
        </w:tc>
        <w:tc>
          <w:tcPr>
            <w:tcW w:w="1800" w:type="dxa"/>
          </w:tcPr>
          <w:p w:rsidR="00BB449E" w:rsidRDefault="00BB449E" w:rsidP="00A07F72">
            <w:pPr>
              <w:keepNext/>
              <w:keepLines/>
              <w:widowControl/>
            </w:pPr>
            <w:r>
              <w:t>SPKNWAFA</w:t>
            </w:r>
          </w:p>
        </w:tc>
        <w:tc>
          <w:tcPr>
            <w:tcW w:w="955" w:type="dxa"/>
          </w:tcPr>
          <w:p w:rsidR="00BB449E" w:rsidRDefault="00BB449E" w:rsidP="00A07F72">
            <w:pPr>
              <w:keepNext/>
              <w:keepLines/>
              <w:widowControl/>
            </w:pPr>
            <w:r>
              <w:t>Tier 2</w:t>
            </w:r>
          </w:p>
        </w:tc>
        <w:tc>
          <w:tcPr>
            <w:tcW w:w="3185" w:type="dxa"/>
          </w:tcPr>
          <w:p w:rsidR="00BB449E" w:rsidRPr="00893B24" w:rsidRDefault="0026390C" w:rsidP="00A07F72">
            <w:pPr>
              <w:keepNext/>
              <w:keepLines/>
              <w:widowControl/>
            </w:pPr>
            <w:r>
              <w:t>DS3 Transport &amp; DF</w:t>
            </w:r>
          </w:p>
        </w:tc>
      </w:tr>
      <w:tr w:rsidR="00BB449E" w:rsidRPr="00893B24" w:rsidTr="005334B3">
        <w:trPr>
          <w:jc w:val="center"/>
        </w:trPr>
        <w:tc>
          <w:tcPr>
            <w:tcW w:w="1008" w:type="dxa"/>
          </w:tcPr>
          <w:p w:rsidR="00BB449E" w:rsidRDefault="00BB449E" w:rsidP="00A07F72">
            <w:pPr>
              <w:keepNext/>
              <w:keepLines/>
              <w:widowControl/>
            </w:pPr>
          </w:p>
        </w:tc>
        <w:tc>
          <w:tcPr>
            <w:tcW w:w="2340" w:type="dxa"/>
          </w:tcPr>
          <w:p w:rsidR="00BB449E" w:rsidRDefault="00BB449E" w:rsidP="00A07F72">
            <w:pPr>
              <w:keepNext/>
              <w:keepLines/>
              <w:widowControl/>
            </w:pPr>
            <w:r>
              <w:t>Spokane Hudson</w:t>
            </w:r>
          </w:p>
        </w:tc>
        <w:tc>
          <w:tcPr>
            <w:tcW w:w="1800" w:type="dxa"/>
          </w:tcPr>
          <w:p w:rsidR="00BB449E" w:rsidRDefault="00BB449E" w:rsidP="00A07F72">
            <w:pPr>
              <w:keepNext/>
              <w:keepLines/>
              <w:widowControl/>
            </w:pPr>
            <w:r>
              <w:t>SPKNWAHD</w:t>
            </w:r>
          </w:p>
        </w:tc>
        <w:tc>
          <w:tcPr>
            <w:tcW w:w="955" w:type="dxa"/>
          </w:tcPr>
          <w:p w:rsidR="00BB449E" w:rsidRDefault="00BB449E" w:rsidP="00A07F72">
            <w:pPr>
              <w:keepNext/>
              <w:keepLines/>
              <w:widowControl/>
            </w:pPr>
            <w:r>
              <w:t>Tier 2</w:t>
            </w:r>
          </w:p>
        </w:tc>
        <w:tc>
          <w:tcPr>
            <w:tcW w:w="3185" w:type="dxa"/>
          </w:tcPr>
          <w:p w:rsidR="00BB449E" w:rsidRPr="00893B24" w:rsidRDefault="0026390C" w:rsidP="00A07F72">
            <w:pPr>
              <w:keepNext/>
              <w:keepLines/>
              <w:widowControl/>
            </w:pPr>
            <w:r>
              <w:t>DS3 Transport &amp; DF</w:t>
            </w:r>
          </w:p>
        </w:tc>
      </w:tr>
      <w:tr w:rsidR="00BB449E" w:rsidRPr="00893B24" w:rsidTr="005334B3">
        <w:trPr>
          <w:jc w:val="center"/>
        </w:trPr>
        <w:tc>
          <w:tcPr>
            <w:tcW w:w="1008" w:type="dxa"/>
          </w:tcPr>
          <w:p w:rsidR="00BB449E" w:rsidRDefault="00BB449E" w:rsidP="00A07F72">
            <w:pPr>
              <w:keepNext/>
              <w:keepLines/>
              <w:widowControl/>
            </w:pPr>
          </w:p>
        </w:tc>
        <w:tc>
          <w:tcPr>
            <w:tcW w:w="2340" w:type="dxa"/>
          </w:tcPr>
          <w:p w:rsidR="00BB449E" w:rsidRDefault="00BB449E" w:rsidP="00A07F72">
            <w:pPr>
              <w:keepNext/>
              <w:keepLines/>
              <w:widowControl/>
            </w:pPr>
            <w:r>
              <w:t>Spokane Keystone</w:t>
            </w:r>
          </w:p>
        </w:tc>
        <w:tc>
          <w:tcPr>
            <w:tcW w:w="1800" w:type="dxa"/>
          </w:tcPr>
          <w:p w:rsidR="00BB449E" w:rsidRDefault="00BB449E" w:rsidP="00A07F72">
            <w:pPr>
              <w:keepNext/>
              <w:keepLines/>
              <w:widowControl/>
            </w:pPr>
            <w:r>
              <w:t>SPKNWAKY</w:t>
            </w:r>
          </w:p>
        </w:tc>
        <w:tc>
          <w:tcPr>
            <w:tcW w:w="955" w:type="dxa"/>
          </w:tcPr>
          <w:p w:rsidR="00BB449E" w:rsidRDefault="001070C3" w:rsidP="00A07F72">
            <w:pPr>
              <w:keepNext/>
              <w:keepLines/>
              <w:widowControl/>
            </w:pPr>
            <w:r>
              <w:t>Tier 2</w:t>
            </w:r>
          </w:p>
        </w:tc>
        <w:tc>
          <w:tcPr>
            <w:tcW w:w="3185" w:type="dxa"/>
          </w:tcPr>
          <w:p w:rsidR="00BB449E" w:rsidRPr="00893B24" w:rsidRDefault="0026390C" w:rsidP="00A07F72">
            <w:pPr>
              <w:keepNext/>
              <w:keepLines/>
              <w:widowControl/>
            </w:pPr>
            <w:r>
              <w:t>DS3 Transport &amp; DF</w:t>
            </w:r>
          </w:p>
        </w:tc>
      </w:tr>
      <w:tr w:rsidR="001070C3" w:rsidRPr="00893B24" w:rsidTr="005334B3">
        <w:trPr>
          <w:jc w:val="center"/>
        </w:trPr>
        <w:tc>
          <w:tcPr>
            <w:tcW w:w="1008" w:type="dxa"/>
          </w:tcPr>
          <w:p w:rsidR="001070C3" w:rsidRDefault="001070C3" w:rsidP="00A07F72">
            <w:pPr>
              <w:keepNext/>
              <w:keepLines/>
              <w:widowControl/>
            </w:pPr>
          </w:p>
        </w:tc>
        <w:tc>
          <w:tcPr>
            <w:tcW w:w="2340" w:type="dxa"/>
          </w:tcPr>
          <w:p w:rsidR="001070C3" w:rsidRDefault="001070C3" w:rsidP="00A07F72">
            <w:pPr>
              <w:keepNext/>
              <w:keepLines/>
              <w:widowControl/>
            </w:pPr>
            <w:r>
              <w:t>Spokane Walnut</w:t>
            </w:r>
          </w:p>
        </w:tc>
        <w:tc>
          <w:tcPr>
            <w:tcW w:w="1800" w:type="dxa"/>
          </w:tcPr>
          <w:p w:rsidR="001070C3" w:rsidRDefault="001070C3" w:rsidP="00A07F72">
            <w:pPr>
              <w:keepNext/>
              <w:keepLines/>
              <w:widowControl/>
            </w:pPr>
            <w:r>
              <w:t>SPKNWAWA</w:t>
            </w:r>
          </w:p>
        </w:tc>
        <w:tc>
          <w:tcPr>
            <w:tcW w:w="955" w:type="dxa"/>
          </w:tcPr>
          <w:p w:rsidR="001070C3" w:rsidRDefault="001070C3" w:rsidP="00A07F72">
            <w:pPr>
              <w:keepNext/>
              <w:keepLines/>
              <w:widowControl/>
            </w:pPr>
            <w:r>
              <w:t>Tier 1</w:t>
            </w:r>
          </w:p>
        </w:tc>
        <w:tc>
          <w:tcPr>
            <w:tcW w:w="3185" w:type="dxa"/>
          </w:tcPr>
          <w:p w:rsidR="001070C3" w:rsidRPr="00893B24" w:rsidRDefault="0026390C" w:rsidP="00A07F72">
            <w:pPr>
              <w:keepNext/>
              <w:keepLines/>
              <w:widowControl/>
            </w:pPr>
            <w:r>
              <w:t>DS1, DS3 Transport &amp; DF</w:t>
            </w:r>
          </w:p>
        </w:tc>
      </w:tr>
      <w:tr w:rsidR="001070C3" w:rsidRPr="00893B24" w:rsidTr="005334B3">
        <w:trPr>
          <w:jc w:val="center"/>
        </w:trPr>
        <w:tc>
          <w:tcPr>
            <w:tcW w:w="1008" w:type="dxa"/>
          </w:tcPr>
          <w:p w:rsidR="001070C3" w:rsidRDefault="001070C3" w:rsidP="00A07F72">
            <w:pPr>
              <w:keepNext/>
              <w:keepLines/>
              <w:widowControl/>
            </w:pPr>
          </w:p>
        </w:tc>
        <w:tc>
          <w:tcPr>
            <w:tcW w:w="2340" w:type="dxa"/>
          </w:tcPr>
          <w:p w:rsidR="001070C3" w:rsidRDefault="001070C3" w:rsidP="00A07F72">
            <w:pPr>
              <w:keepNext/>
              <w:keepLines/>
              <w:widowControl/>
            </w:pPr>
            <w:r>
              <w:t>Spokane Whitehall</w:t>
            </w:r>
          </w:p>
        </w:tc>
        <w:tc>
          <w:tcPr>
            <w:tcW w:w="1800" w:type="dxa"/>
          </w:tcPr>
          <w:p w:rsidR="001070C3" w:rsidRDefault="001070C3" w:rsidP="00A07F72">
            <w:pPr>
              <w:keepNext/>
              <w:keepLines/>
              <w:widowControl/>
            </w:pPr>
            <w:r>
              <w:t>SPKNWAWH</w:t>
            </w:r>
          </w:p>
        </w:tc>
        <w:tc>
          <w:tcPr>
            <w:tcW w:w="955" w:type="dxa"/>
          </w:tcPr>
          <w:p w:rsidR="001070C3" w:rsidRDefault="001070C3" w:rsidP="00A07F72">
            <w:pPr>
              <w:keepNext/>
              <w:keepLines/>
              <w:widowControl/>
            </w:pPr>
            <w:r>
              <w:t>Tier 2</w:t>
            </w:r>
          </w:p>
        </w:tc>
        <w:tc>
          <w:tcPr>
            <w:tcW w:w="3185" w:type="dxa"/>
          </w:tcPr>
          <w:p w:rsidR="001070C3" w:rsidRPr="00893B24" w:rsidRDefault="0026390C" w:rsidP="00A07F72">
            <w:pPr>
              <w:keepNext/>
              <w:keepLines/>
              <w:widowControl/>
            </w:pPr>
            <w:r>
              <w:t>DS3 Transport &amp; DF</w:t>
            </w:r>
          </w:p>
        </w:tc>
      </w:tr>
      <w:tr w:rsidR="001070C3" w:rsidRPr="00893B24" w:rsidTr="005334B3">
        <w:trPr>
          <w:jc w:val="center"/>
        </w:trPr>
        <w:tc>
          <w:tcPr>
            <w:tcW w:w="1008" w:type="dxa"/>
          </w:tcPr>
          <w:p w:rsidR="001070C3" w:rsidRDefault="001070C3" w:rsidP="00A07F72">
            <w:pPr>
              <w:keepNext/>
              <w:keepLines/>
              <w:widowControl/>
            </w:pPr>
          </w:p>
        </w:tc>
        <w:tc>
          <w:tcPr>
            <w:tcW w:w="2340" w:type="dxa"/>
          </w:tcPr>
          <w:p w:rsidR="001070C3" w:rsidRDefault="001070C3" w:rsidP="00A07F72">
            <w:pPr>
              <w:keepNext/>
              <w:keepLines/>
              <w:widowControl/>
            </w:pPr>
            <w:r>
              <w:t>Tacoma Fawcett</w:t>
            </w:r>
          </w:p>
        </w:tc>
        <w:tc>
          <w:tcPr>
            <w:tcW w:w="1800" w:type="dxa"/>
          </w:tcPr>
          <w:p w:rsidR="001070C3" w:rsidRDefault="001070C3" w:rsidP="00A07F72">
            <w:pPr>
              <w:keepNext/>
              <w:keepLines/>
              <w:widowControl/>
            </w:pPr>
            <w:r>
              <w:t>TACMWAFA</w:t>
            </w:r>
          </w:p>
        </w:tc>
        <w:tc>
          <w:tcPr>
            <w:tcW w:w="955" w:type="dxa"/>
          </w:tcPr>
          <w:p w:rsidR="001070C3" w:rsidRDefault="001070C3" w:rsidP="00A07F72">
            <w:pPr>
              <w:keepNext/>
              <w:keepLines/>
              <w:widowControl/>
            </w:pPr>
            <w:r>
              <w:t>Tier 1</w:t>
            </w:r>
          </w:p>
        </w:tc>
        <w:tc>
          <w:tcPr>
            <w:tcW w:w="3185" w:type="dxa"/>
          </w:tcPr>
          <w:p w:rsidR="001070C3" w:rsidRPr="00893B24" w:rsidRDefault="0026390C" w:rsidP="00A07F72">
            <w:pPr>
              <w:keepNext/>
              <w:keepLines/>
              <w:widowControl/>
            </w:pPr>
            <w:r>
              <w:t>DS1, DS3 Transport &amp; DF</w:t>
            </w:r>
          </w:p>
        </w:tc>
      </w:tr>
      <w:tr w:rsidR="001070C3" w:rsidRPr="00893B24" w:rsidTr="005334B3">
        <w:trPr>
          <w:jc w:val="center"/>
        </w:trPr>
        <w:tc>
          <w:tcPr>
            <w:tcW w:w="1008" w:type="dxa"/>
          </w:tcPr>
          <w:p w:rsidR="001070C3" w:rsidRDefault="001070C3"/>
        </w:tc>
        <w:tc>
          <w:tcPr>
            <w:tcW w:w="2340" w:type="dxa"/>
          </w:tcPr>
          <w:p w:rsidR="001070C3" w:rsidRDefault="001070C3">
            <w:r>
              <w:t>Yakima Chestnut</w:t>
            </w:r>
          </w:p>
        </w:tc>
        <w:tc>
          <w:tcPr>
            <w:tcW w:w="1800" w:type="dxa"/>
          </w:tcPr>
          <w:p w:rsidR="001070C3" w:rsidRDefault="001070C3" w:rsidP="00BB449E">
            <w:r>
              <w:t>YAKMWA02</w:t>
            </w:r>
          </w:p>
        </w:tc>
        <w:tc>
          <w:tcPr>
            <w:tcW w:w="955" w:type="dxa"/>
          </w:tcPr>
          <w:p w:rsidR="001070C3" w:rsidRDefault="001070C3" w:rsidP="00893B24">
            <w:r>
              <w:t>Tier 1</w:t>
            </w:r>
          </w:p>
        </w:tc>
        <w:tc>
          <w:tcPr>
            <w:tcW w:w="3185" w:type="dxa"/>
          </w:tcPr>
          <w:p w:rsidR="001070C3" w:rsidRPr="00893B24" w:rsidRDefault="0026390C" w:rsidP="00893B24">
            <w:r>
              <w:t>DS1, DS3 Transport &amp; DF</w:t>
            </w:r>
          </w:p>
        </w:tc>
      </w:tr>
    </w:tbl>
    <w:p w:rsidR="00893B24" w:rsidRDefault="00893B24" w:rsidP="00893B24">
      <w:pPr>
        <w:rPr>
          <w:b/>
          <w:u w:val="single"/>
        </w:rPr>
      </w:pPr>
    </w:p>
    <w:p w:rsidR="00893B24" w:rsidRDefault="00893B24" w:rsidP="008054D4">
      <w:pPr>
        <w:jc w:val="center"/>
        <w:outlineLvl w:val="0"/>
        <w:rPr>
          <w:b/>
          <w:u w:val="single"/>
        </w:rPr>
      </w:pPr>
      <w:r w:rsidRPr="00893B24">
        <w:rPr>
          <w:b/>
          <w:u w:val="single"/>
        </w:rPr>
        <w:t>REQUEST FOR PROTECTIVE ORDER</w:t>
      </w:r>
    </w:p>
    <w:p w:rsidR="00893B24" w:rsidRDefault="00893B24" w:rsidP="00A07F72">
      <w:pPr>
        <w:pStyle w:val="ListParagraph"/>
        <w:numPr>
          <w:ilvl w:val="0"/>
          <w:numId w:val="2"/>
        </w:numPr>
        <w:ind w:hanging="720"/>
      </w:pPr>
      <w:r w:rsidRPr="00893B24">
        <w:t>A protective order is needed in this proceeding because the information that CenturyLink will file will include certain highly-confidential wire center data, including highly-confidential CLEC-specific data.  Qwest and the Joint CLECs in Docket No. UT-073035 agreed this data should be protected by a protective order that contains protections and limited disclosures of highly-confidential information.  Specifically, CenturyLink seeks this protective order because it will be filing CLEC-specific wire center data in this proceeding for the purposes of counting fiber-based collocators in the wire centers at issue.</w:t>
      </w:r>
    </w:p>
    <w:p w:rsidR="00893B24" w:rsidRDefault="00893B24" w:rsidP="00A07F72">
      <w:pPr>
        <w:ind w:left="720" w:hanging="720"/>
      </w:pPr>
    </w:p>
    <w:p w:rsidR="00893B24" w:rsidRDefault="00893B24" w:rsidP="008054D4">
      <w:pPr>
        <w:keepNext/>
        <w:keepLines/>
        <w:widowControl/>
        <w:ind w:left="720" w:hanging="720"/>
        <w:jc w:val="center"/>
        <w:outlineLvl w:val="0"/>
      </w:pPr>
      <w:r w:rsidRPr="00893B24">
        <w:rPr>
          <w:b/>
          <w:u w:val="single"/>
        </w:rPr>
        <w:t>CONCLUSION</w:t>
      </w:r>
    </w:p>
    <w:p w:rsidR="00893B24" w:rsidRDefault="00893B24" w:rsidP="00290F46">
      <w:pPr>
        <w:pStyle w:val="ListParagraph"/>
        <w:keepNext/>
        <w:keepLines/>
        <w:widowControl/>
        <w:numPr>
          <w:ilvl w:val="0"/>
          <w:numId w:val="2"/>
        </w:numPr>
        <w:ind w:hanging="720"/>
        <w:contextualSpacing w:val="0"/>
      </w:pPr>
      <w:r w:rsidRPr="00893B24">
        <w:t xml:space="preserve">CenturyLink respectfully requests the Commission approve the addition of </w:t>
      </w:r>
      <w:r w:rsidR="005007ED">
        <w:t xml:space="preserve">the </w:t>
      </w:r>
      <w:r w:rsidRPr="00893B24">
        <w:t>wire center</w:t>
      </w:r>
      <w:r w:rsidR="005007ED">
        <w:t>s listed herein</w:t>
      </w:r>
      <w:r w:rsidRPr="00893B24">
        <w:t xml:space="preserve"> to its non-impaired wire center list.  Further, CenturyLink requests that the Commission issue a protective order as soon as possible.</w:t>
      </w:r>
    </w:p>
    <w:p w:rsidR="00306D40" w:rsidRDefault="00306D40" w:rsidP="00290F46">
      <w:pPr>
        <w:keepNext/>
        <w:keepLines/>
      </w:pPr>
      <w:r>
        <w:tab/>
      </w:r>
      <w:proofErr w:type="gramStart"/>
      <w:r>
        <w:t>Respectfully submitted this</w:t>
      </w:r>
      <w:r w:rsidR="00A83E7D">
        <w:t xml:space="preserve"> </w:t>
      </w:r>
      <w:r w:rsidR="0026390C">
        <w:t>22</w:t>
      </w:r>
      <w:r w:rsidR="0026390C" w:rsidRPr="0026390C">
        <w:rPr>
          <w:vertAlign w:val="superscript"/>
        </w:rPr>
        <w:t>nd</w:t>
      </w:r>
      <w:r w:rsidR="00BB449E">
        <w:t xml:space="preserve"> </w:t>
      </w:r>
      <w:r>
        <w:t>day of</w:t>
      </w:r>
      <w:r w:rsidR="00A83E7D">
        <w:t xml:space="preserve"> June, 2015</w:t>
      </w:r>
      <w:r>
        <w:t>.</w:t>
      </w:r>
      <w:proofErr w:type="gramEnd"/>
    </w:p>
    <w:p w:rsidR="00DC00F9" w:rsidRDefault="00DC00F9" w:rsidP="00290F46">
      <w:pPr>
        <w:keepNext/>
        <w:keepLines/>
        <w:spacing w:line="240" w:lineRule="auto"/>
      </w:pPr>
    </w:p>
    <w:p w:rsidR="00306D40" w:rsidRDefault="00DC00F9" w:rsidP="008054D4">
      <w:pPr>
        <w:spacing w:line="240" w:lineRule="auto"/>
        <w:ind w:left="4320"/>
        <w:outlineLvl w:val="0"/>
      </w:pPr>
      <w:r>
        <w:t>CENTURYLINK</w:t>
      </w:r>
    </w:p>
    <w:p w:rsidR="00306D40" w:rsidRDefault="00306D40" w:rsidP="001E642E">
      <w:pPr>
        <w:spacing w:line="240" w:lineRule="auto"/>
        <w:ind w:left="4320"/>
      </w:pPr>
    </w:p>
    <w:p w:rsidR="00DC00F9" w:rsidRDefault="00DC00F9" w:rsidP="001E642E">
      <w:pPr>
        <w:spacing w:line="240" w:lineRule="auto"/>
        <w:ind w:left="4320"/>
      </w:pPr>
    </w:p>
    <w:p w:rsidR="00DC00F9" w:rsidRDefault="00DC00F9" w:rsidP="001E642E">
      <w:pPr>
        <w:spacing w:line="240" w:lineRule="auto"/>
        <w:ind w:left="4320"/>
      </w:pPr>
    </w:p>
    <w:p w:rsidR="00DC00F9" w:rsidRDefault="002453A7" w:rsidP="001E642E">
      <w:pPr>
        <w:tabs>
          <w:tab w:val="right" w:pos="9090"/>
        </w:tabs>
        <w:spacing w:line="240" w:lineRule="auto"/>
        <w:ind w:left="4320"/>
      </w:pPr>
      <w:proofErr w:type="gramStart"/>
      <w:r>
        <w:rPr>
          <w:i/>
          <w:u w:val="single"/>
        </w:rPr>
        <w:t>/s/ Lisa A.</w:t>
      </w:r>
      <w:proofErr w:type="gramEnd"/>
      <w:r>
        <w:rPr>
          <w:i/>
          <w:u w:val="single"/>
        </w:rPr>
        <w:t xml:space="preserve"> Anderl</w:t>
      </w:r>
      <w:r w:rsidR="00DC00F9">
        <w:rPr>
          <w:u w:val="single"/>
        </w:rPr>
        <w:tab/>
      </w:r>
    </w:p>
    <w:p w:rsidR="00306D40" w:rsidRDefault="00306D40" w:rsidP="001E642E">
      <w:pPr>
        <w:spacing w:line="240" w:lineRule="auto"/>
        <w:ind w:left="4320"/>
      </w:pPr>
      <w:r>
        <w:t>Lisa A. Anderl (WSBA # 13236)</w:t>
      </w:r>
    </w:p>
    <w:p w:rsidR="00306D40" w:rsidRDefault="00540F7C" w:rsidP="001E642E">
      <w:pPr>
        <w:spacing w:line="240" w:lineRule="auto"/>
        <w:ind w:left="4320"/>
      </w:pPr>
      <w:r>
        <w:t>Senior Associate General Counsel</w:t>
      </w:r>
    </w:p>
    <w:p w:rsidR="00306D40" w:rsidRDefault="00FE4063" w:rsidP="001E642E">
      <w:pPr>
        <w:spacing w:line="240" w:lineRule="auto"/>
        <w:ind w:left="4320"/>
      </w:pPr>
      <w:r>
        <w:t>1600 – 7th Ave., R</w:t>
      </w:r>
      <w:r w:rsidR="00306D40">
        <w:t>oom 1506</w:t>
      </w:r>
    </w:p>
    <w:p w:rsidR="00306D40" w:rsidRDefault="00306D40" w:rsidP="001E642E">
      <w:pPr>
        <w:spacing w:line="240" w:lineRule="auto"/>
        <w:ind w:left="4320"/>
      </w:pPr>
      <w:r>
        <w:t>Seattle, WA 98191</w:t>
      </w:r>
    </w:p>
    <w:p w:rsidR="008F1DC5" w:rsidRDefault="007410CA" w:rsidP="001E642E">
      <w:pPr>
        <w:spacing w:line="240" w:lineRule="auto"/>
        <w:ind w:left="4320"/>
      </w:pPr>
      <w:hyperlink r:id="rId8" w:history="1">
        <w:r w:rsidR="00DC00F9" w:rsidRPr="00CC001F">
          <w:rPr>
            <w:rStyle w:val="Hyperlink"/>
          </w:rPr>
          <w:t>lisa.anderl@centurylink.com</w:t>
        </w:r>
      </w:hyperlink>
      <w:r w:rsidR="00DC00F9">
        <w:t xml:space="preserve"> </w:t>
      </w:r>
    </w:p>
    <w:p w:rsidR="00CD08F7" w:rsidRDefault="00CD08F7" w:rsidP="001E642E">
      <w:pPr>
        <w:spacing w:line="240" w:lineRule="auto"/>
        <w:ind w:left="4320"/>
      </w:pPr>
    </w:p>
    <w:sectPr w:rsidR="00CD08F7" w:rsidSect="00E16AA9">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90C" w:rsidRDefault="0026390C" w:rsidP="00306D40">
      <w:r>
        <w:separator/>
      </w:r>
    </w:p>
  </w:endnote>
  <w:endnote w:type="continuationSeparator" w:id="0">
    <w:p w:rsidR="0026390C" w:rsidRDefault="0026390C" w:rsidP="00306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90C" w:rsidRDefault="007410CA" w:rsidP="00E16AA9">
    <w:pPr>
      <w:pStyle w:val="Footer"/>
      <w:spacing w:line="240" w:lineRule="auto"/>
      <w:rPr>
        <w:smallCaps/>
        <w:sz w:val="22"/>
        <w:szCs w:val="22"/>
      </w:rPr>
    </w:pPr>
    <w:r>
      <w:rPr>
        <w:smallCaps/>
        <w:noProof/>
        <w:sz w:val="22"/>
        <w:szCs w:val="22"/>
      </w:rPr>
      <w:pict>
        <v:shapetype id="_x0000_t202" coordsize="21600,21600" o:spt="202" path="m,l,21600r21600,l21600,xe">
          <v:stroke joinstyle="miter"/>
          <v:path gradientshapeok="t" o:connecttype="rect"/>
        </v:shapetype>
        <v:shape id="_x0000_s2050" type="#_x0000_t202" style="position:absolute;margin-left:387.6pt;margin-top:3.15pt;width:126.6pt;height:56.4pt;z-index:251658240" stroked="f">
          <v:textbox style="mso-next-textbox:#_x0000_s2050">
            <w:txbxContent>
              <w:p w:rsidR="0026390C" w:rsidRPr="00BD7D1D" w:rsidRDefault="0026390C" w:rsidP="0044142C">
                <w:pPr>
                  <w:spacing w:line="240" w:lineRule="auto"/>
                  <w:rPr>
                    <w:sz w:val="16"/>
                  </w:rPr>
                </w:pPr>
                <w:r w:rsidRPr="00BD7D1D">
                  <w:rPr>
                    <w:sz w:val="16"/>
                  </w:rPr>
                  <w:t>CenturyLink</w:t>
                </w:r>
              </w:p>
              <w:p w:rsidR="0026390C" w:rsidRPr="00BD7D1D" w:rsidRDefault="0026390C"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rsidR="0026390C" w:rsidRPr="00BD7D1D" w:rsidRDefault="0026390C" w:rsidP="0044142C">
                <w:pPr>
                  <w:spacing w:line="240" w:lineRule="auto"/>
                  <w:rPr>
                    <w:sz w:val="16"/>
                  </w:rPr>
                </w:pPr>
                <w:r w:rsidRPr="00BD7D1D">
                  <w:rPr>
                    <w:sz w:val="16"/>
                  </w:rPr>
                  <w:t>Seattle, WA  98191</w:t>
                </w:r>
              </w:p>
              <w:p w:rsidR="0026390C" w:rsidRPr="00BD7D1D" w:rsidRDefault="0026390C" w:rsidP="0044142C">
                <w:pPr>
                  <w:spacing w:line="240" w:lineRule="auto"/>
                  <w:rPr>
                    <w:sz w:val="16"/>
                  </w:rPr>
                </w:pPr>
                <w:r w:rsidRPr="00BD7D1D">
                  <w:rPr>
                    <w:sz w:val="16"/>
                  </w:rPr>
                  <w:t>Telephone:  (206) 398-2500</w:t>
                </w:r>
              </w:p>
            </w:txbxContent>
          </v:textbox>
        </v:shape>
      </w:pict>
    </w:r>
    <w:r w:rsidR="0026390C" w:rsidRPr="005334B3">
      <w:rPr>
        <w:smallCaps/>
        <w:sz w:val="22"/>
        <w:szCs w:val="22"/>
      </w:rPr>
      <w:t>Q</w:t>
    </w:r>
    <w:r w:rsidR="0026390C">
      <w:rPr>
        <w:smallCaps/>
        <w:sz w:val="22"/>
        <w:szCs w:val="22"/>
      </w:rPr>
      <w:t>west Corp.</w:t>
    </w:r>
    <w:r w:rsidR="0026390C" w:rsidRPr="005334B3">
      <w:rPr>
        <w:smallCaps/>
        <w:sz w:val="22"/>
        <w:szCs w:val="22"/>
      </w:rPr>
      <w:t xml:space="preserve"> d/b/a C</w:t>
    </w:r>
    <w:r w:rsidR="0026390C">
      <w:rPr>
        <w:smallCaps/>
        <w:sz w:val="22"/>
        <w:szCs w:val="22"/>
      </w:rPr>
      <w:t>enturyLink</w:t>
    </w:r>
    <w:r w:rsidR="0026390C" w:rsidRPr="005334B3">
      <w:rPr>
        <w:smallCaps/>
        <w:sz w:val="22"/>
        <w:szCs w:val="22"/>
      </w:rPr>
      <w:t xml:space="preserve"> QC’</w:t>
    </w:r>
    <w:r w:rsidR="0026390C">
      <w:rPr>
        <w:smallCaps/>
        <w:sz w:val="22"/>
        <w:szCs w:val="22"/>
      </w:rPr>
      <w:t>s</w:t>
    </w:r>
    <w:r w:rsidR="0026390C" w:rsidRPr="005334B3">
      <w:rPr>
        <w:smallCaps/>
        <w:sz w:val="22"/>
        <w:szCs w:val="22"/>
      </w:rPr>
      <w:t xml:space="preserve"> P</w:t>
    </w:r>
    <w:r w:rsidR="0026390C">
      <w:rPr>
        <w:smallCaps/>
        <w:sz w:val="22"/>
        <w:szCs w:val="22"/>
      </w:rPr>
      <w:t>etition</w:t>
    </w:r>
    <w:r w:rsidR="0026390C" w:rsidRPr="005334B3">
      <w:rPr>
        <w:smallCaps/>
        <w:sz w:val="22"/>
        <w:szCs w:val="22"/>
      </w:rPr>
      <w:t xml:space="preserve"> </w:t>
    </w:r>
    <w:r w:rsidR="0026390C">
      <w:rPr>
        <w:smallCaps/>
        <w:sz w:val="22"/>
        <w:szCs w:val="22"/>
      </w:rPr>
      <w:t>for</w:t>
    </w:r>
    <w:r w:rsidR="0026390C" w:rsidRPr="005334B3">
      <w:rPr>
        <w:smallCaps/>
        <w:sz w:val="22"/>
        <w:szCs w:val="22"/>
      </w:rPr>
      <w:t xml:space="preserve"> C</w:t>
    </w:r>
    <w:r w:rsidR="0026390C">
      <w:rPr>
        <w:smallCaps/>
        <w:sz w:val="22"/>
        <w:szCs w:val="22"/>
      </w:rPr>
      <w:t>ommission</w:t>
    </w:r>
    <w:r w:rsidR="0026390C" w:rsidRPr="005334B3">
      <w:rPr>
        <w:smallCaps/>
        <w:sz w:val="22"/>
        <w:szCs w:val="22"/>
      </w:rPr>
      <w:t xml:space="preserve"> </w:t>
    </w:r>
  </w:p>
  <w:p w:rsidR="0026390C" w:rsidRDefault="0026390C" w:rsidP="00E16AA9">
    <w:pPr>
      <w:pStyle w:val="Footer"/>
      <w:spacing w:line="240" w:lineRule="auto"/>
      <w:rPr>
        <w:smallCaps/>
        <w:sz w:val="22"/>
        <w:szCs w:val="22"/>
      </w:rPr>
    </w:pPr>
    <w:r w:rsidRPr="005334B3">
      <w:rPr>
        <w:smallCaps/>
        <w:sz w:val="22"/>
        <w:szCs w:val="22"/>
      </w:rPr>
      <w:t>A</w:t>
    </w:r>
    <w:r>
      <w:rPr>
        <w:smallCaps/>
        <w:sz w:val="22"/>
        <w:szCs w:val="22"/>
      </w:rPr>
      <w:t>pproval</w:t>
    </w:r>
    <w:r w:rsidRPr="005334B3">
      <w:rPr>
        <w:smallCaps/>
        <w:sz w:val="22"/>
        <w:szCs w:val="22"/>
      </w:rPr>
      <w:t xml:space="preserve"> </w:t>
    </w:r>
    <w:r>
      <w:rPr>
        <w:smallCaps/>
        <w:sz w:val="22"/>
        <w:szCs w:val="22"/>
      </w:rPr>
      <w:t>of</w:t>
    </w:r>
    <w:r w:rsidRPr="005334B3">
      <w:rPr>
        <w:smallCaps/>
        <w:sz w:val="22"/>
        <w:szCs w:val="22"/>
      </w:rPr>
      <w:t xml:space="preserve"> 201</w:t>
    </w:r>
    <w:r>
      <w:rPr>
        <w:smallCaps/>
        <w:sz w:val="22"/>
        <w:szCs w:val="22"/>
      </w:rPr>
      <w:t>5</w:t>
    </w:r>
    <w:r w:rsidRPr="005334B3">
      <w:rPr>
        <w:smallCaps/>
        <w:sz w:val="22"/>
        <w:szCs w:val="22"/>
      </w:rPr>
      <w:t xml:space="preserve"> </w:t>
    </w:r>
    <w:r>
      <w:rPr>
        <w:smallCaps/>
        <w:sz w:val="22"/>
        <w:szCs w:val="22"/>
      </w:rPr>
      <w:t>Additions to its non-impaired</w:t>
    </w:r>
    <w:r w:rsidRPr="005334B3">
      <w:rPr>
        <w:smallCaps/>
        <w:sz w:val="22"/>
        <w:szCs w:val="22"/>
      </w:rPr>
      <w:t xml:space="preserve"> W</w:t>
    </w:r>
    <w:r>
      <w:rPr>
        <w:smallCaps/>
        <w:sz w:val="22"/>
        <w:szCs w:val="22"/>
      </w:rPr>
      <w:t>ire</w:t>
    </w:r>
    <w:r w:rsidRPr="005334B3">
      <w:rPr>
        <w:smallCaps/>
        <w:sz w:val="22"/>
        <w:szCs w:val="22"/>
      </w:rPr>
      <w:t xml:space="preserve"> C</w:t>
    </w:r>
    <w:r>
      <w:rPr>
        <w:smallCaps/>
        <w:sz w:val="22"/>
        <w:szCs w:val="22"/>
      </w:rPr>
      <w:t>enter</w:t>
    </w:r>
    <w:r w:rsidRPr="005334B3">
      <w:rPr>
        <w:smallCaps/>
        <w:sz w:val="22"/>
        <w:szCs w:val="22"/>
      </w:rPr>
      <w:t xml:space="preserve"> L</w:t>
    </w:r>
    <w:r>
      <w:rPr>
        <w:smallCaps/>
        <w:sz w:val="22"/>
        <w:szCs w:val="22"/>
      </w:rPr>
      <w:t xml:space="preserve">ist </w:t>
    </w:r>
  </w:p>
  <w:p w:rsidR="0026390C" w:rsidRPr="005334B3" w:rsidRDefault="0026390C" w:rsidP="00E16AA9">
    <w:pPr>
      <w:pStyle w:val="Footer"/>
      <w:spacing w:line="240" w:lineRule="auto"/>
      <w:rPr>
        <w:smallCaps/>
        <w:sz w:val="22"/>
        <w:szCs w:val="22"/>
      </w:rPr>
    </w:pPr>
    <w:r>
      <w:rPr>
        <w:smallCaps/>
        <w:sz w:val="22"/>
        <w:szCs w:val="22"/>
      </w:rPr>
      <w:t xml:space="preserve">&amp; </w:t>
    </w:r>
    <w:r w:rsidRPr="005334B3">
      <w:rPr>
        <w:smallCaps/>
        <w:sz w:val="22"/>
        <w:szCs w:val="22"/>
      </w:rPr>
      <w:t>M</w:t>
    </w:r>
    <w:r>
      <w:rPr>
        <w:smallCaps/>
        <w:sz w:val="22"/>
        <w:szCs w:val="22"/>
      </w:rPr>
      <w:t>otion for</w:t>
    </w:r>
    <w:r w:rsidRPr="005334B3">
      <w:rPr>
        <w:smallCaps/>
        <w:sz w:val="22"/>
        <w:szCs w:val="22"/>
      </w:rPr>
      <w:t xml:space="preserve"> E</w:t>
    </w:r>
    <w:r>
      <w:rPr>
        <w:smallCaps/>
        <w:sz w:val="22"/>
        <w:szCs w:val="22"/>
      </w:rPr>
      <w:t>xpedited</w:t>
    </w:r>
    <w:r w:rsidRPr="005334B3">
      <w:rPr>
        <w:smallCaps/>
        <w:sz w:val="22"/>
        <w:szCs w:val="22"/>
      </w:rPr>
      <w:t xml:space="preserve"> I</w:t>
    </w:r>
    <w:r>
      <w:rPr>
        <w:smallCaps/>
        <w:sz w:val="22"/>
        <w:szCs w:val="22"/>
      </w:rPr>
      <w:t>ssuance</w:t>
    </w:r>
    <w:r w:rsidRPr="005334B3">
      <w:rPr>
        <w:smallCaps/>
        <w:sz w:val="22"/>
        <w:szCs w:val="22"/>
      </w:rPr>
      <w:t xml:space="preserve"> </w:t>
    </w:r>
    <w:r>
      <w:rPr>
        <w:smallCaps/>
        <w:sz w:val="22"/>
        <w:szCs w:val="22"/>
      </w:rPr>
      <w:t>of Protective Order</w:t>
    </w:r>
  </w:p>
  <w:p w:rsidR="0026390C" w:rsidRPr="001E642E" w:rsidRDefault="0026390C" w:rsidP="00E16AA9">
    <w:pPr>
      <w:pStyle w:val="Footer"/>
      <w:spacing w:line="240" w:lineRule="auto"/>
      <w:rPr>
        <w:sz w:val="22"/>
      </w:rPr>
    </w:pPr>
    <w:r w:rsidRPr="001E642E">
      <w:rPr>
        <w:sz w:val="22"/>
      </w:rPr>
      <w:t xml:space="preserve">Page </w:t>
    </w:r>
    <w:r w:rsidR="007410CA" w:rsidRPr="001E642E">
      <w:rPr>
        <w:sz w:val="22"/>
      </w:rPr>
      <w:fldChar w:fldCharType="begin"/>
    </w:r>
    <w:r w:rsidRPr="001E642E">
      <w:rPr>
        <w:sz w:val="22"/>
      </w:rPr>
      <w:instrText xml:space="preserve"> PAGE   \* MERGEFORMAT </w:instrText>
    </w:r>
    <w:r w:rsidR="007410CA" w:rsidRPr="001E642E">
      <w:rPr>
        <w:sz w:val="22"/>
      </w:rPr>
      <w:fldChar w:fldCharType="separate"/>
    </w:r>
    <w:r w:rsidR="002453A7">
      <w:rPr>
        <w:noProof/>
        <w:sz w:val="22"/>
      </w:rPr>
      <w:t>5</w:t>
    </w:r>
    <w:r w:rsidR="007410CA" w:rsidRPr="001E642E">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90C" w:rsidRDefault="0026390C" w:rsidP="00306D40">
      <w:r>
        <w:separator/>
      </w:r>
    </w:p>
  </w:footnote>
  <w:footnote w:type="continuationSeparator" w:id="0">
    <w:p w:rsidR="0026390C" w:rsidRDefault="0026390C" w:rsidP="00306D40">
      <w:r>
        <w:continuationSeparator/>
      </w:r>
    </w:p>
  </w:footnote>
  <w:footnote w:id="1">
    <w:p w:rsidR="0026390C" w:rsidRPr="00ED4C8B" w:rsidRDefault="0026390C" w:rsidP="00BB449E">
      <w:pPr>
        <w:pStyle w:val="FootnoteText"/>
        <w:spacing w:line="240" w:lineRule="auto"/>
        <w:ind w:left="360" w:hanging="360"/>
      </w:pPr>
      <w:r w:rsidRPr="00ED4C8B">
        <w:rPr>
          <w:rStyle w:val="FootnoteReference"/>
        </w:rPr>
        <w:footnoteRef/>
      </w:r>
      <w:r>
        <w:tab/>
      </w:r>
      <w:r w:rsidRPr="00ED4C8B">
        <w:t xml:space="preserve">Order on Remand, </w:t>
      </w:r>
      <w:r w:rsidRPr="00ED4C8B">
        <w:rPr>
          <w:i/>
        </w:rPr>
        <w:t>In the Matter of Review of Unbundled Access to Network Elements, Review of Section 251 Unbundling Obligations of Incumbent Local Exchange Carriers</w:t>
      </w:r>
      <w:r w:rsidRPr="00ED4C8B">
        <w:t>, CC Docket No. 01-338, WC Docket No. 04-313 (FCC rel. February 4, 2005) (hereafter “</w:t>
      </w:r>
      <w:r w:rsidRPr="00ED4C8B">
        <w:rPr>
          <w:i/>
        </w:rPr>
        <w:t>Triennial Review Remand Order</w:t>
      </w:r>
      <w:r w:rsidRPr="00ED4C8B">
        <w:t>” or “</w:t>
      </w:r>
      <w:r w:rsidRPr="00ED4C8B">
        <w:rPr>
          <w:i/>
        </w:rPr>
        <w:t>TRRO</w:t>
      </w:r>
      <w:r w:rsidRPr="00ED4C8B">
        <w:t xml:space="preserve">”). </w:t>
      </w:r>
    </w:p>
  </w:footnote>
  <w:footnote w:id="2">
    <w:p w:rsidR="0026390C" w:rsidRPr="00ED4C8B" w:rsidRDefault="0026390C" w:rsidP="00BB449E">
      <w:pPr>
        <w:pStyle w:val="FootnoteText"/>
        <w:spacing w:line="240" w:lineRule="auto"/>
        <w:ind w:left="360" w:hanging="360"/>
      </w:pPr>
      <w:r w:rsidRPr="00ED4C8B">
        <w:rPr>
          <w:rStyle w:val="FootnoteReference"/>
        </w:rPr>
        <w:footnoteRef/>
      </w:r>
      <w:r>
        <w:tab/>
      </w:r>
      <w:r w:rsidRPr="00ED4C8B">
        <w:t>Prior to April 2011, Qwest Corporation did business as Qwest.  For refe</w:t>
      </w:r>
      <w:r>
        <w:t xml:space="preserve">rences before April 2011, this petition will still </w:t>
      </w:r>
      <w:r w:rsidRPr="00ED4C8B">
        <w:t xml:space="preserve">say Qwest, and for references after April </w:t>
      </w:r>
      <w:r>
        <w:t>2011, it will say CenturyLink.</w:t>
      </w:r>
    </w:p>
  </w:footnote>
  <w:footnote w:id="3">
    <w:p w:rsidR="0026390C" w:rsidRDefault="0026390C" w:rsidP="001070C3">
      <w:pPr>
        <w:pStyle w:val="FootnoteText"/>
        <w:ind w:left="360" w:hanging="360"/>
      </w:pPr>
      <w:r>
        <w:rPr>
          <w:rStyle w:val="FootnoteReference"/>
        </w:rPr>
        <w:footnoteRef/>
      </w:r>
      <w:r>
        <w:tab/>
      </w:r>
      <w:r w:rsidRPr="00ED4C8B">
        <w:t>The</w:t>
      </w:r>
      <w:r>
        <w:t xml:space="preserve"> original docket to </w:t>
      </w:r>
      <w:r w:rsidRPr="00ED4C8B">
        <w:t xml:space="preserve">investigate Qwest’s initial non-impairment list </w:t>
      </w:r>
      <w:r>
        <w:t>was D</w:t>
      </w:r>
      <w:r w:rsidRPr="00ED4C8B">
        <w:t xml:space="preserve">ocket </w:t>
      </w:r>
      <w:r>
        <w:t>No</w:t>
      </w:r>
      <w:r w:rsidRPr="00ED4C8B">
        <w:t xml:space="preserve"> UT-053025</w:t>
      </w:r>
      <w:r>
        <w:t xml:space="preserve">, but that docket was essentially </w:t>
      </w:r>
      <w:proofErr w:type="spellStart"/>
      <w:r>
        <w:t>superceded</w:t>
      </w:r>
      <w:proofErr w:type="spellEnd"/>
      <w:r>
        <w:t xml:space="preserve"> by Docket No. UT-073035 and the Settlement Agreement filed in that docket.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38C"/>
    <w:multiLevelType w:val="hybridMultilevel"/>
    <w:tmpl w:val="1F520D94"/>
    <w:lvl w:ilvl="0" w:tplc="7034FB6A">
      <w:start w:val="1"/>
      <w:numFmt w:val="decimal"/>
      <w:lvlText w:val="%1"/>
      <w:lvlJc w:val="left"/>
      <w:pPr>
        <w:ind w:left="720" w:hanging="360"/>
      </w:pPr>
      <w:rPr>
        <w:rFonts w:ascii="Times New Roman" w:hAnsi="Times New Roman" w:hint="default"/>
        <w:b w:val="0"/>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669B6"/>
    <w:multiLevelType w:val="hybridMultilevel"/>
    <w:tmpl w:val="52B204F8"/>
    <w:lvl w:ilvl="0" w:tplc="7034FB6A">
      <w:start w:val="1"/>
      <w:numFmt w:val="decimal"/>
      <w:lvlText w:val="%1"/>
      <w:lvlJc w:val="left"/>
      <w:pPr>
        <w:ind w:left="720" w:hanging="360"/>
      </w:pPr>
      <w:rPr>
        <w:rFonts w:ascii="Times New Roman" w:hAnsi="Times New Roman" w:hint="default"/>
        <w:b w:val="0"/>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1018E"/>
    <w:multiLevelType w:val="hybridMultilevel"/>
    <w:tmpl w:val="F26E28A2"/>
    <w:lvl w:ilvl="0" w:tplc="31A62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4">
    <w:nsid w:val="4EE433B5"/>
    <w:multiLevelType w:val="hybridMultilevel"/>
    <w:tmpl w:val="DE0622C0"/>
    <w:lvl w:ilvl="0" w:tplc="7034FB6A">
      <w:start w:val="1"/>
      <w:numFmt w:val="decimal"/>
      <w:lvlText w:val="%1"/>
      <w:lvlJc w:val="left"/>
      <w:pPr>
        <w:ind w:left="720" w:hanging="360"/>
      </w:pPr>
      <w:rPr>
        <w:rFonts w:ascii="Times New Roman" w:hAnsi="Times New Roman" w:hint="default"/>
        <w:b w:val="0"/>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CC4F0D"/>
    <w:multiLevelType w:val="hybridMultilevel"/>
    <w:tmpl w:val="DBFA818C"/>
    <w:lvl w:ilvl="0" w:tplc="7034FB6A">
      <w:start w:val="1"/>
      <w:numFmt w:val="decimal"/>
      <w:lvlText w:val="%1"/>
      <w:lvlJc w:val="left"/>
      <w:pPr>
        <w:ind w:left="1443" w:hanging="360"/>
      </w:pPr>
      <w:rPr>
        <w:rFonts w:ascii="Times New Roman" w:hAnsi="Times New Roman" w:hint="default"/>
        <w:b w:val="0"/>
        <w:i/>
        <w:color w:val="auto"/>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6D40"/>
    <w:rsid w:val="00030E08"/>
    <w:rsid w:val="00037609"/>
    <w:rsid w:val="0009048B"/>
    <w:rsid w:val="000C1BB6"/>
    <w:rsid w:val="000C7370"/>
    <w:rsid w:val="001070C3"/>
    <w:rsid w:val="00126148"/>
    <w:rsid w:val="00151EF5"/>
    <w:rsid w:val="00152DFC"/>
    <w:rsid w:val="00161713"/>
    <w:rsid w:val="00171DAE"/>
    <w:rsid w:val="00180532"/>
    <w:rsid w:val="001B235A"/>
    <w:rsid w:val="001C724A"/>
    <w:rsid w:val="001E642E"/>
    <w:rsid w:val="001F2A69"/>
    <w:rsid w:val="0022234F"/>
    <w:rsid w:val="00223FE3"/>
    <w:rsid w:val="002453A7"/>
    <w:rsid w:val="0026390C"/>
    <w:rsid w:val="002731D6"/>
    <w:rsid w:val="00273C96"/>
    <w:rsid w:val="00290F46"/>
    <w:rsid w:val="00294DBE"/>
    <w:rsid w:val="002A7A2B"/>
    <w:rsid w:val="002C1C42"/>
    <w:rsid w:val="002E266E"/>
    <w:rsid w:val="002F3951"/>
    <w:rsid w:val="003044C2"/>
    <w:rsid w:val="00306D40"/>
    <w:rsid w:val="00313154"/>
    <w:rsid w:val="00341B70"/>
    <w:rsid w:val="00343974"/>
    <w:rsid w:val="00370A3A"/>
    <w:rsid w:val="00376976"/>
    <w:rsid w:val="0038749C"/>
    <w:rsid w:val="0039133C"/>
    <w:rsid w:val="00397F75"/>
    <w:rsid w:val="003A12A7"/>
    <w:rsid w:val="003B2438"/>
    <w:rsid w:val="003C12A8"/>
    <w:rsid w:val="003E62C2"/>
    <w:rsid w:val="00414101"/>
    <w:rsid w:val="0042598E"/>
    <w:rsid w:val="0044142C"/>
    <w:rsid w:val="00441C29"/>
    <w:rsid w:val="00442496"/>
    <w:rsid w:val="0044788A"/>
    <w:rsid w:val="004538A6"/>
    <w:rsid w:val="00464F62"/>
    <w:rsid w:val="004901A2"/>
    <w:rsid w:val="0049470E"/>
    <w:rsid w:val="00495599"/>
    <w:rsid w:val="004A5103"/>
    <w:rsid w:val="004B4D3B"/>
    <w:rsid w:val="004C4E55"/>
    <w:rsid w:val="004C6D19"/>
    <w:rsid w:val="004E5DA4"/>
    <w:rsid w:val="005007ED"/>
    <w:rsid w:val="005334B3"/>
    <w:rsid w:val="00533CFF"/>
    <w:rsid w:val="00533E74"/>
    <w:rsid w:val="00540F7C"/>
    <w:rsid w:val="00561D5E"/>
    <w:rsid w:val="00592DD1"/>
    <w:rsid w:val="005C04A7"/>
    <w:rsid w:val="005C1203"/>
    <w:rsid w:val="00625627"/>
    <w:rsid w:val="006434A6"/>
    <w:rsid w:val="006616AE"/>
    <w:rsid w:val="00680A16"/>
    <w:rsid w:val="00695088"/>
    <w:rsid w:val="006B5A32"/>
    <w:rsid w:val="006B5E55"/>
    <w:rsid w:val="006C4DDF"/>
    <w:rsid w:val="006E110F"/>
    <w:rsid w:val="006F0367"/>
    <w:rsid w:val="006F10CB"/>
    <w:rsid w:val="007200B7"/>
    <w:rsid w:val="0072272A"/>
    <w:rsid w:val="00726AA5"/>
    <w:rsid w:val="0073677A"/>
    <w:rsid w:val="007410CA"/>
    <w:rsid w:val="007C76C3"/>
    <w:rsid w:val="007D3843"/>
    <w:rsid w:val="007F1509"/>
    <w:rsid w:val="007F3233"/>
    <w:rsid w:val="008054D4"/>
    <w:rsid w:val="00865F1B"/>
    <w:rsid w:val="00880C5F"/>
    <w:rsid w:val="00893B24"/>
    <w:rsid w:val="008E1452"/>
    <w:rsid w:val="008F1DC5"/>
    <w:rsid w:val="00925241"/>
    <w:rsid w:val="00937BD8"/>
    <w:rsid w:val="00941061"/>
    <w:rsid w:val="00943BF5"/>
    <w:rsid w:val="0095321F"/>
    <w:rsid w:val="00960C2F"/>
    <w:rsid w:val="009937AA"/>
    <w:rsid w:val="00993CD9"/>
    <w:rsid w:val="009A5E91"/>
    <w:rsid w:val="009B471E"/>
    <w:rsid w:val="009B5B17"/>
    <w:rsid w:val="009D60B6"/>
    <w:rsid w:val="009E40CC"/>
    <w:rsid w:val="009F45DC"/>
    <w:rsid w:val="009F7DF5"/>
    <w:rsid w:val="00A00CB6"/>
    <w:rsid w:val="00A05774"/>
    <w:rsid w:val="00A07F72"/>
    <w:rsid w:val="00A07FF5"/>
    <w:rsid w:val="00A83E7D"/>
    <w:rsid w:val="00A9276C"/>
    <w:rsid w:val="00A97B81"/>
    <w:rsid w:val="00AB4EF8"/>
    <w:rsid w:val="00AB55D7"/>
    <w:rsid w:val="00AC1873"/>
    <w:rsid w:val="00AC4C96"/>
    <w:rsid w:val="00AC5328"/>
    <w:rsid w:val="00AD2E67"/>
    <w:rsid w:val="00AD43CE"/>
    <w:rsid w:val="00AF3AD9"/>
    <w:rsid w:val="00B05CE7"/>
    <w:rsid w:val="00B07C75"/>
    <w:rsid w:val="00B10B1E"/>
    <w:rsid w:val="00B31B5A"/>
    <w:rsid w:val="00B42874"/>
    <w:rsid w:val="00B47B0D"/>
    <w:rsid w:val="00B517DA"/>
    <w:rsid w:val="00B730E6"/>
    <w:rsid w:val="00B91ED1"/>
    <w:rsid w:val="00BA0901"/>
    <w:rsid w:val="00BB2619"/>
    <w:rsid w:val="00BB449E"/>
    <w:rsid w:val="00BC1A04"/>
    <w:rsid w:val="00BD121F"/>
    <w:rsid w:val="00BD7D1D"/>
    <w:rsid w:val="00BE3DDD"/>
    <w:rsid w:val="00BE6B22"/>
    <w:rsid w:val="00BF3017"/>
    <w:rsid w:val="00BF330D"/>
    <w:rsid w:val="00BF4B90"/>
    <w:rsid w:val="00BF5834"/>
    <w:rsid w:val="00BF7CC9"/>
    <w:rsid w:val="00C16288"/>
    <w:rsid w:val="00C1730E"/>
    <w:rsid w:val="00C25FD8"/>
    <w:rsid w:val="00C26E7C"/>
    <w:rsid w:val="00C609A2"/>
    <w:rsid w:val="00C73374"/>
    <w:rsid w:val="00C9616C"/>
    <w:rsid w:val="00CC01B6"/>
    <w:rsid w:val="00CC7402"/>
    <w:rsid w:val="00CD08F7"/>
    <w:rsid w:val="00CE5564"/>
    <w:rsid w:val="00CF27AA"/>
    <w:rsid w:val="00D2480F"/>
    <w:rsid w:val="00D2688A"/>
    <w:rsid w:val="00D5373E"/>
    <w:rsid w:val="00D63582"/>
    <w:rsid w:val="00D80439"/>
    <w:rsid w:val="00D85D88"/>
    <w:rsid w:val="00D94400"/>
    <w:rsid w:val="00DC00F9"/>
    <w:rsid w:val="00DD1153"/>
    <w:rsid w:val="00DE3D71"/>
    <w:rsid w:val="00DF3500"/>
    <w:rsid w:val="00E00098"/>
    <w:rsid w:val="00E16AA9"/>
    <w:rsid w:val="00E24013"/>
    <w:rsid w:val="00E3439C"/>
    <w:rsid w:val="00E35149"/>
    <w:rsid w:val="00E3682F"/>
    <w:rsid w:val="00E474EF"/>
    <w:rsid w:val="00E7118F"/>
    <w:rsid w:val="00E937EE"/>
    <w:rsid w:val="00EC7D7C"/>
    <w:rsid w:val="00ED174D"/>
    <w:rsid w:val="00ED3607"/>
    <w:rsid w:val="00F15011"/>
    <w:rsid w:val="00F468B6"/>
    <w:rsid w:val="00F513A0"/>
    <w:rsid w:val="00F57A39"/>
    <w:rsid w:val="00F7102F"/>
    <w:rsid w:val="00FB1BDE"/>
    <w:rsid w:val="00FB76EF"/>
    <w:rsid w:val="00FD0250"/>
    <w:rsid w:val="00FD4552"/>
    <w:rsid w:val="00FE4063"/>
    <w:rsid w:val="00FF5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link w:val="FootnoteTex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semiHidden/>
    <w:unhideWhenUsed/>
    <w:rsid w:val="001E642E"/>
    <w:pPr>
      <w:tabs>
        <w:tab w:val="center" w:pos="4680"/>
        <w:tab w:val="right" w:pos="9360"/>
      </w:tabs>
    </w:pPr>
  </w:style>
  <w:style w:type="character" w:customStyle="1" w:styleId="HeaderChar">
    <w:name w:val="Header Char"/>
    <w:basedOn w:val="DefaultParagraphFont"/>
    <w:link w:val="Header"/>
    <w:uiPriority w:val="99"/>
    <w:semiHidden/>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styleId="ListParagraph">
    <w:name w:val="List Paragraph"/>
    <w:basedOn w:val="Normal"/>
    <w:uiPriority w:val="34"/>
    <w:qFormat/>
    <w:rsid w:val="00A9276C"/>
    <w:pPr>
      <w:ind w:left="720"/>
      <w:contextualSpacing/>
    </w:pPr>
  </w:style>
  <w:style w:type="paragraph" w:styleId="DocumentMap">
    <w:name w:val="Document Map"/>
    <w:basedOn w:val="Normal"/>
    <w:link w:val="DocumentMapChar"/>
    <w:uiPriority w:val="99"/>
    <w:semiHidden/>
    <w:unhideWhenUsed/>
    <w:rsid w:val="008054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54D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2015-06-22T07:00:00+00:00</OpenedDate>
    <Date1 xmlns="dc463f71-b30c-4ab2-9473-d307f9d35888">2015-06-22T07:00:00+00:00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151296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C3E284151B3547BABF4B3796C60620" ma:contentTypeVersion="119" ma:contentTypeDescription="" ma:contentTypeScope="" ma:versionID="280dcf883c257c38e19ecb11c44809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29E02-86A5-4737-A8FE-82FFC6DD1D8A}"/>
</file>

<file path=customXml/itemProps2.xml><?xml version="1.0" encoding="utf-8"?>
<ds:datastoreItem xmlns:ds="http://schemas.openxmlformats.org/officeDocument/2006/customXml" ds:itemID="{2E3582AF-C7DB-4B44-9285-8DE7C0113EA0}"/>
</file>

<file path=customXml/itemProps3.xml><?xml version="1.0" encoding="utf-8"?>
<ds:datastoreItem xmlns:ds="http://schemas.openxmlformats.org/officeDocument/2006/customXml" ds:itemID="{073E7E16-E4AF-4013-8693-896A835D346C}"/>
</file>

<file path=customXml/itemProps4.xml><?xml version="1.0" encoding="utf-8"?>
<ds:datastoreItem xmlns:ds="http://schemas.openxmlformats.org/officeDocument/2006/customXml" ds:itemID="{5949B0E0-702E-46B2-A31F-9C7846CD6612}"/>
</file>

<file path=customXml/itemProps5.xml><?xml version="1.0" encoding="utf-8"?>
<ds:datastoreItem xmlns:ds="http://schemas.openxmlformats.org/officeDocument/2006/customXml" ds:itemID="{7DD9ABFA-DE1F-4F1B-9CB2-94FA89850397}"/>
</file>

<file path=docProps/app.xml><?xml version="1.0" encoding="utf-8"?>
<Properties xmlns="http://schemas.openxmlformats.org/officeDocument/2006/extended-properties" xmlns:vt="http://schemas.openxmlformats.org/officeDocument/2006/docPropsVTypes">
  <Template>Normal.dotm</Template>
  <TotalTime>137</TotalTime>
  <Pages>5</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7</cp:revision>
  <cp:lastPrinted>2015-06-17T22:03:00Z</cp:lastPrinted>
  <dcterms:created xsi:type="dcterms:W3CDTF">2015-06-11T18:47:00Z</dcterms:created>
  <dcterms:modified xsi:type="dcterms:W3CDTF">2015-06-22T16:01:00Z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0x0101006E56B4D1795A2E4DB2F0B01679ED314A0009C3E284151B3547BABF4B3796C60620</vt:lpwstr>
  </property>
  <property fmtid="{D5CDD505-2E9C-101B-9397-08002B2CF9AE}" pid="3" name="_docset_NoMedatataSyncRequired">
    <vt:lpwstr>False</vt:lpwstr>
  </property>
</Properties>
</file>