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3D" w:rsidRDefault="00A43F3D" w:rsidP="000045F7">
      <w:pPr>
        <w:spacing w:line="480" w:lineRule="auto"/>
        <w:jc w:val="center"/>
      </w:pPr>
      <w:bookmarkStart w:id="0" w:name="_GoBack"/>
      <w:bookmarkEnd w:id="0"/>
    </w:p>
    <w:p w:rsidR="00A43F3D" w:rsidRDefault="00A43F3D" w:rsidP="000045F7">
      <w:pPr>
        <w:spacing w:line="480" w:lineRule="auto"/>
        <w:jc w:val="center"/>
      </w:pPr>
    </w:p>
    <w:p w:rsidR="00A43F3D" w:rsidRPr="000045F7" w:rsidRDefault="00A43F3D" w:rsidP="000045F7">
      <w:pPr>
        <w:spacing w:line="480" w:lineRule="auto"/>
        <w:jc w:val="center"/>
      </w:pPr>
    </w:p>
    <w:p w:rsidR="00A43F3D" w:rsidRPr="000045F7" w:rsidRDefault="00A43F3D" w:rsidP="000045F7">
      <w:pPr>
        <w:spacing w:line="480" w:lineRule="auto"/>
        <w:jc w:val="center"/>
      </w:pPr>
    </w:p>
    <w:p w:rsidR="00A43F3D" w:rsidRDefault="00A43F3D" w:rsidP="000045F7">
      <w:pPr>
        <w:spacing w:line="480" w:lineRule="auto"/>
        <w:jc w:val="center"/>
      </w:pPr>
    </w:p>
    <w:p w:rsidR="00A43F3D" w:rsidRDefault="00A43F3D" w:rsidP="000045F7">
      <w:pPr>
        <w:spacing w:line="480" w:lineRule="auto"/>
        <w:jc w:val="center"/>
      </w:pPr>
    </w:p>
    <w:p w:rsidR="00A43F3D" w:rsidRPr="000045F7" w:rsidRDefault="00A43F3D" w:rsidP="000045F7">
      <w:pPr>
        <w:spacing w:line="480" w:lineRule="auto"/>
        <w:jc w:val="center"/>
      </w:pPr>
    </w:p>
    <w:p w:rsidR="00A43F3D" w:rsidRPr="00CE2E7A" w:rsidRDefault="00A43F3D">
      <w:pPr>
        <w:spacing w:line="480" w:lineRule="auto"/>
        <w:jc w:val="center"/>
      </w:pPr>
      <w:r w:rsidRPr="00CE2E7A">
        <w:t>BEFORE THE WASHINGTON UTILITIES AND TRANSPORTATION COMMISSION</w:t>
      </w:r>
    </w:p>
    <w:p w:rsidR="00A43F3D" w:rsidRPr="00CE2E7A" w:rsidRDefault="00A43F3D" w:rsidP="000045F7">
      <w:pPr>
        <w:spacing w:line="480" w:lineRule="auto"/>
        <w:jc w:val="center"/>
      </w:pPr>
    </w:p>
    <w:p w:rsidR="00A43F3D" w:rsidRPr="00CE2E7A" w:rsidRDefault="00A43F3D" w:rsidP="000045F7">
      <w:pPr>
        <w:spacing w:line="480" w:lineRule="auto"/>
        <w:jc w:val="center"/>
      </w:pPr>
      <w:r w:rsidRPr="00CE2E7A">
        <w:t>DOCKET NO. UE-</w:t>
      </w:r>
      <w:r w:rsidR="008A5979" w:rsidRPr="00CE2E7A">
        <w:t>1</w:t>
      </w:r>
      <w:r w:rsidR="007F788B">
        <w:t>5</w:t>
      </w:r>
      <w:r w:rsidRPr="00CE2E7A">
        <w:t>____</w:t>
      </w:r>
    </w:p>
    <w:p w:rsidR="00A43F3D" w:rsidRPr="00CE2E7A" w:rsidRDefault="00A43F3D" w:rsidP="000045F7">
      <w:pPr>
        <w:spacing w:line="480" w:lineRule="auto"/>
        <w:jc w:val="center"/>
      </w:pPr>
    </w:p>
    <w:p w:rsidR="00A43F3D" w:rsidRPr="00CE2E7A" w:rsidRDefault="00A43F3D" w:rsidP="000045F7">
      <w:pPr>
        <w:spacing w:line="480" w:lineRule="auto"/>
        <w:jc w:val="center"/>
      </w:pPr>
      <w:r w:rsidRPr="00CE2E7A">
        <w:t xml:space="preserve">DIRECT TESTIMONY OF </w:t>
      </w:r>
    </w:p>
    <w:p w:rsidR="00A43F3D" w:rsidRPr="00CE2E7A" w:rsidRDefault="007F788B" w:rsidP="000045F7">
      <w:pPr>
        <w:spacing w:line="480" w:lineRule="auto"/>
        <w:jc w:val="center"/>
      </w:pPr>
      <w:r>
        <w:t>PATRICK D. EHRBAR</w:t>
      </w:r>
    </w:p>
    <w:p w:rsidR="00A43F3D" w:rsidRPr="00CE2E7A" w:rsidRDefault="00A43F3D" w:rsidP="000045F7">
      <w:pPr>
        <w:spacing w:line="480" w:lineRule="auto"/>
        <w:jc w:val="center"/>
      </w:pPr>
      <w:r w:rsidRPr="00CE2E7A">
        <w:t>REPRESENTING AVISTA CORPORATION</w:t>
      </w:r>
    </w:p>
    <w:p w:rsidR="00A43F3D" w:rsidRPr="00CE2E7A" w:rsidRDefault="00A43F3D" w:rsidP="000045F7">
      <w:pPr>
        <w:spacing w:line="480" w:lineRule="auto"/>
        <w:jc w:val="center"/>
      </w:pPr>
    </w:p>
    <w:p w:rsidR="00A43F3D" w:rsidRPr="00CE2E7A" w:rsidRDefault="00A43F3D">
      <w:pPr>
        <w:tabs>
          <w:tab w:val="left" w:pos="1260"/>
        </w:tabs>
        <w:spacing w:line="480" w:lineRule="auto"/>
        <w:ind w:firstLine="720"/>
        <w:jc w:val="both"/>
      </w:pPr>
    </w:p>
    <w:p w:rsidR="00A43F3D" w:rsidRPr="00CE2E7A" w:rsidRDefault="00A43F3D">
      <w:pPr>
        <w:tabs>
          <w:tab w:val="left" w:pos="1260"/>
        </w:tabs>
        <w:spacing w:line="480" w:lineRule="auto"/>
        <w:ind w:firstLine="720"/>
        <w:jc w:val="both"/>
        <w:sectPr w:rsidR="00A43F3D" w:rsidRPr="00CE2E7A" w:rsidSect="00512E05">
          <w:headerReference w:type="default" r:id="rId8"/>
          <w:footerReference w:type="default" r:id="rId9"/>
          <w:footerReference w:type="first" r:id="rId10"/>
          <w:type w:val="continuous"/>
          <w:pgSz w:w="12240" w:h="15840" w:code="1"/>
          <w:pgMar w:top="1440" w:right="1008"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A43F3D" w:rsidRPr="00954E38" w:rsidRDefault="00A43F3D">
      <w:pPr>
        <w:pStyle w:val="Heading5"/>
        <w:rPr>
          <w:rStyle w:val="PageNumber"/>
          <w:u w:val="single"/>
        </w:rPr>
      </w:pPr>
      <w:r w:rsidRPr="00954E38">
        <w:rPr>
          <w:rStyle w:val="PageNumber"/>
          <w:u w:val="single"/>
        </w:rPr>
        <w:lastRenderedPageBreak/>
        <w:t>I.  INTRODUCTION</w:t>
      </w:r>
    </w:p>
    <w:p w:rsidR="00A43F3D" w:rsidRPr="00CE2E7A" w:rsidRDefault="00A43F3D">
      <w:pPr>
        <w:pStyle w:val="BodyText2"/>
        <w:tabs>
          <w:tab w:val="left" w:pos="1440"/>
        </w:tabs>
        <w:ind w:firstLine="720"/>
        <w:rPr>
          <w:b/>
          <w:bCs/>
        </w:rPr>
      </w:pPr>
      <w:r w:rsidRPr="00CE2E7A">
        <w:rPr>
          <w:b/>
          <w:bCs/>
        </w:rPr>
        <w:t>Q.</w:t>
      </w:r>
      <w:r w:rsidRPr="00CE2E7A">
        <w:rPr>
          <w:b/>
          <w:bCs/>
        </w:rPr>
        <w:tab/>
        <w:t>Please state your name, business address and present position with Avista Corporation ("Avista" or "Company").</w:t>
      </w:r>
    </w:p>
    <w:p w:rsidR="007F788B" w:rsidRDefault="00A43F3D">
      <w:pPr>
        <w:pStyle w:val="BodyText2"/>
        <w:tabs>
          <w:tab w:val="left" w:pos="1440"/>
        </w:tabs>
        <w:ind w:firstLine="720"/>
      </w:pPr>
      <w:r w:rsidRPr="00CE2E7A">
        <w:t>A.</w:t>
      </w:r>
      <w:r w:rsidRPr="00CE2E7A">
        <w:tab/>
        <w:t>My name is</w:t>
      </w:r>
      <w:r w:rsidR="007F788B">
        <w:t xml:space="preserve"> Patrick D. Ehrbar and my business address is East 1411 Mission Avenue, Spokane, Washington. I am employed by Avista as Manager, Rates and Tariffs in the State and Federal Regulation Department.</w:t>
      </w:r>
    </w:p>
    <w:p w:rsidR="00A43F3D" w:rsidRPr="00CE2E7A" w:rsidRDefault="00A43F3D">
      <w:pPr>
        <w:pStyle w:val="BodyText2"/>
        <w:tabs>
          <w:tab w:val="left" w:pos="1440"/>
        </w:tabs>
        <w:ind w:firstLine="720"/>
        <w:rPr>
          <w:b/>
          <w:bCs/>
        </w:rPr>
      </w:pPr>
      <w:r w:rsidRPr="00CE2E7A">
        <w:rPr>
          <w:b/>
          <w:bCs/>
        </w:rPr>
        <w:t>Q.</w:t>
      </w:r>
      <w:r w:rsidRPr="00CE2E7A">
        <w:rPr>
          <w:b/>
          <w:bCs/>
        </w:rPr>
        <w:tab/>
        <w:t>Would you briefly describe your educational background and professional experience?</w:t>
      </w:r>
    </w:p>
    <w:p w:rsidR="007F788B" w:rsidRPr="00993612" w:rsidRDefault="00A43F3D" w:rsidP="007F788B">
      <w:pPr>
        <w:pStyle w:val="BodyText2"/>
        <w:tabs>
          <w:tab w:val="left" w:pos="1440"/>
        </w:tabs>
        <w:ind w:firstLine="720"/>
      </w:pPr>
      <w:r w:rsidRPr="00CE2E7A">
        <w:t>A.</w:t>
      </w:r>
      <w:r w:rsidRPr="00CE2E7A">
        <w:tab/>
      </w:r>
      <w:r w:rsidR="008F1C4B">
        <w:t>Yes</w:t>
      </w:r>
      <w:r w:rsidR="007F788B">
        <w:t>.</w:t>
      </w:r>
      <w:r w:rsidR="007F788B" w:rsidRPr="007F788B">
        <w:t xml:space="preserve"> </w:t>
      </w:r>
      <w:r w:rsidR="007F788B">
        <w:t xml:space="preserve"> </w:t>
      </w:r>
      <w:r w:rsidR="007F788B" w:rsidRPr="00993612">
        <w:t>I am a 1995 graduate of Gonzaga University with a Bachelors degree in Business Administration.  In 1997 I graduated from Gonzaga University with a Masters degree in Business Administration.  I started with Avista in April 1997 as a Resource Management Analyst in the Company’s Demand Side Management (DSM) department.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412992" w:rsidRDefault="007F788B" w:rsidP="00412992">
      <w:pPr>
        <w:pStyle w:val="BodyText2"/>
        <w:ind w:firstLine="720"/>
      </w:pPr>
      <w:r w:rsidRPr="00993612">
        <w:t>I joined the State and Federal Regulation Department as a Senior Regulatory Analyst in 2007.  Responsibilities in this role included being the discovery coordinator for the Company’s rate cases, line extension policy tariffs, as well as miscellaneous regulatory issues.  In November 2009, I was promoted to my current role.</w:t>
      </w:r>
      <w:r w:rsidR="00412992">
        <w:br w:type="page"/>
      </w:r>
    </w:p>
    <w:p w:rsidR="00A43F3D" w:rsidRPr="00CE2E7A" w:rsidRDefault="00A43F3D">
      <w:pPr>
        <w:pStyle w:val="BodyText2"/>
        <w:tabs>
          <w:tab w:val="left" w:pos="1440"/>
        </w:tabs>
        <w:ind w:firstLine="720"/>
        <w:rPr>
          <w:b/>
          <w:bCs/>
        </w:rPr>
      </w:pPr>
      <w:r w:rsidRPr="00CE2E7A">
        <w:rPr>
          <w:b/>
          <w:bCs/>
        </w:rPr>
        <w:lastRenderedPageBreak/>
        <w:t>Q.</w:t>
      </w:r>
      <w:r w:rsidRPr="00CE2E7A">
        <w:rPr>
          <w:b/>
          <w:bCs/>
        </w:rPr>
        <w:tab/>
        <w:t>What is the scope of your testimony in this proceeding?</w:t>
      </w:r>
    </w:p>
    <w:p w:rsidR="00804350" w:rsidRDefault="00A43F3D">
      <w:pPr>
        <w:pStyle w:val="BodyText2"/>
        <w:tabs>
          <w:tab w:val="left" w:pos="1440"/>
        </w:tabs>
        <w:ind w:firstLine="720"/>
      </w:pPr>
      <w:r w:rsidRPr="00CE2E7A">
        <w:t>A.</w:t>
      </w:r>
      <w:r w:rsidRPr="00CE2E7A">
        <w:tab/>
        <w:t xml:space="preserve">My testimony addresses the accounting associated with the power cost deferrals under the Energy Recovery Mechanism (“ERM”) approved by the Commission in Docket No. UE-011595.  </w:t>
      </w:r>
      <w:r w:rsidR="00DC7A0A">
        <w:t>I</w:t>
      </w:r>
      <w:r w:rsidRPr="00CE2E7A">
        <w:t xml:space="preserve"> </w:t>
      </w:r>
      <w:r w:rsidR="0013209F">
        <w:t xml:space="preserve">also </w:t>
      </w:r>
      <w:r w:rsidRPr="00CE2E7A">
        <w:t>explain what is contained in the monthly reports that are filed with the Commission.</w:t>
      </w:r>
      <w:r w:rsidR="0013209F">
        <w:t xml:space="preserve">  </w:t>
      </w:r>
    </w:p>
    <w:p w:rsidR="00A43F3D" w:rsidRPr="00CE2E7A" w:rsidRDefault="00A43F3D">
      <w:pPr>
        <w:pStyle w:val="BodyText2"/>
        <w:tabs>
          <w:tab w:val="left" w:pos="1440"/>
        </w:tabs>
        <w:ind w:firstLine="720"/>
        <w:rPr>
          <w:b/>
          <w:bCs/>
        </w:rPr>
      </w:pPr>
      <w:r w:rsidRPr="00CE2E7A">
        <w:rPr>
          <w:b/>
          <w:bCs/>
        </w:rPr>
        <w:t>Q.</w:t>
      </w:r>
      <w:r w:rsidRPr="00CE2E7A">
        <w:rPr>
          <w:b/>
          <w:bCs/>
        </w:rPr>
        <w:tab/>
        <w:t>Are you sponsoring any exhibits?</w:t>
      </w:r>
    </w:p>
    <w:p w:rsidR="00A43F3D" w:rsidRPr="00CE2E7A" w:rsidRDefault="00A43F3D">
      <w:pPr>
        <w:pStyle w:val="BodyText2"/>
        <w:tabs>
          <w:tab w:val="left" w:pos="1440"/>
        </w:tabs>
        <w:ind w:firstLine="720"/>
      </w:pPr>
      <w:r w:rsidRPr="00CE2E7A">
        <w:t>A.</w:t>
      </w:r>
      <w:r w:rsidRPr="00CE2E7A">
        <w:tab/>
        <w:t xml:space="preserve">Yes.  </w:t>
      </w:r>
      <w:r w:rsidR="0013209F" w:rsidRPr="00CE2E7A">
        <w:t>I am sponsoring Exhibit No. ___(</w:t>
      </w:r>
      <w:r w:rsidR="00AA59EC">
        <w:t>PDE</w:t>
      </w:r>
      <w:r w:rsidR="0013209F" w:rsidRPr="00CE2E7A">
        <w:t>-2), which consists of a copy of the December 20</w:t>
      </w:r>
      <w:r w:rsidR="00AA59EC">
        <w:t>14</w:t>
      </w:r>
      <w:r w:rsidR="0013209F" w:rsidRPr="00CE2E7A">
        <w:t xml:space="preserve"> monthly ERM report for informational purposes</w:t>
      </w:r>
      <w:r w:rsidR="00AA59EC">
        <w:t>.</w:t>
      </w:r>
    </w:p>
    <w:p w:rsidR="00DA686E" w:rsidRDefault="00DA686E">
      <w:pPr>
        <w:pStyle w:val="Heading5"/>
        <w:rPr>
          <w:rStyle w:val="PageNumber"/>
          <w:u w:val="single"/>
        </w:rPr>
      </w:pPr>
    </w:p>
    <w:p w:rsidR="00A43F3D" w:rsidRPr="00EA2DCA" w:rsidRDefault="00A43F3D">
      <w:pPr>
        <w:pStyle w:val="Heading5"/>
        <w:rPr>
          <w:rStyle w:val="PageNumber"/>
          <w:u w:val="single"/>
        </w:rPr>
      </w:pPr>
      <w:r w:rsidRPr="00EA2DCA">
        <w:rPr>
          <w:rStyle w:val="PageNumber"/>
          <w:u w:val="single"/>
        </w:rPr>
        <w:t>II.  ACCOUNTING ASSOCIATED WITH ERM DEFERRALS</w:t>
      </w:r>
    </w:p>
    <w:p w:rsidR="00A43F3D" w:rsidRPr="00CE2E7A" w:rsidRDefault="00A43F3D">
      <w:pPr>
        <w:pStyle w:val="BodyText2"/>
        <w:tabs>
          <w:tab w:val="left" w:pos="1440"/>
        </w:tabs>
        <w:ind w:firstLine="720"/>
        <w:rPr>
          <w:b/>
          <w:bCs/>
        </w:rPr>
      </w:pPr>
      <w:r w:rsidRPr="00CE2E7A">
        <w:rPr>
          <w:b/>
          <w:bCs/>
        </w:rPr>
        <w:t>Q.</w:t>
      </w:r>
      <w:r w:rsidRPr="00CE2E7A">
        <w:rPr>
          <w:b/>
          <w:bCs/>
        </w:rPr>
        <w:tab/>
        <w:t>Would you please describe the accounting associated with the Company's ERM deferral mechanism?</w:t>
      </w:r>
    </w:p>
    <w:p w:rsidR="00993612" w:rsidRDefault="00A43F3D">
      <w:pPr>
        <w:pStyle w:val="BodyText2"/>
        <w:tabs>
          <w:tab w:val="left" w:pos="1440"/>
        </w:tabs>
        <w:ind w:firstLine="720"/>
      </w:pPr>
      <w:r w:rsidRPr="00CE2E7A">
        <w:t>A.</w:t>
      </w:r>
      <w:r w:rsidRPr="00CE2E7A">
        <w:tab/>
        <w:t xml:space="preserve">Yes.  </w:t>
      </w:r>
      <w:r w:rsidR="00DF7BE4" w:rsidRPr="00CE2E7A">
        <w:t xml:space="preserve">In his direct testimony </w:t>
      </w:r>
      <w:r w:rsidRPr="00CE2E7A">
        <w:t xml:space="preserve">Company witness Mr. Johnson discusses the procedure to calculate the monthly variations between actual and authorized power supply revenues and expenses.  </w:t>
      </w:r>
    </w:p>
    <w:p w:rsidR="00412992" w:rsidRDefault="00147D87" w:rsidP="00412992">
      <w:pPr>
        <w:pStyle w:val="BodyText2"/>
        <w:tabs>
          <w:tab w:val="left" w:pos="1440"/>
        </w:tabs>
        <w:ind w:firstLine="720"/>
      </w:pPr>
      <w:r w:rsidRPr="00CE2E7A">
        <w:t xml:space="preserve">Under the </w:t>
      </w:r>
      <w:r w:rsidR="00521E66">
        <w:t xml:space="preserve">ERM deferral </w:t>
      </w:r>
      <w:r w:rsidRPr="00CE2E7A">
        <w:t>mechanism</w:t>
      </w:r>
      <w:r w:rsidR="00A43F3D" w:rsidRPr="00CE2E7A">
        <w:t>,</w:t>
      </w:r>
      <w:r w:rsidRPr="00CE2E7A">
        <w:t xml:space="preserve"> m</w:t>
      </w:r>
      <w:r w:rsidR="00A43F3D" w:rsidRPr="00CE2E7A">
        <w:t xml:space="preserve">onthly variations are accumulated until the </w:t>
      </w:r>
      <w:r w:rsidR="00D254E5" w:rsidRPr="00CE2E7A">
        <w:t xml:space="preserve">calendar-year </w:t>
      </w:r>
      <w:r w:rsidR="00A43F3D" w:rsidRPr="00CE2E7A">
        <w:t>deadband of $</w:t>
      </w:r>
      <w:r w:rsidR="00AE30C4" w:rsidRPr="00CE2E7A">
        <w:t>4</w:t>
      </w:r>
      <w:r w:rsidR="00A43F3D" w:rsidRPr="00CE2E7A">
        <w:t xml:space="preserve">.0 million is exceeded.  Once the deadband is exceeded, </w:t>
      </w:r>
      <w:r w:rsidR="006E172B" w:rsidRPr="00CE2E7A">
        <w:t xml:space="preserve">50% </w:t>
      </w:r>
      <w:r w:rsidR="00A43F3D" w:rsidRPr="00CE2E7A">
        <w:t xml:space="preserve">of the </w:t>
      </w:r>
      <w:r w:rsidR="00AE30C4" w:rsidRPr="00CE2E7A">
        <w:t>cumulative</w:t>
      </w:r>
      <w:r w:rsidR="00A43F3D" w:rsidRPr="00CE2E7A">
        <w:t xml:space="preserve"> variation between actual and authorized net power supply costs </w:t>
      </w:r>
      <w:r w:rsidR="00AE30C4" w:rsidRPr="00CE2E7A">
        <w:t>between $4.0 million and $10.0 million</w:t>
      </w:r>
      <w:r w:rsidR="006E172B" w:rsidRPr="00CE2E7A">
        <w:t xml:space="preserve"> </w:t>
      </w:r>
      <w:r w:rsidR="00A43F3D" w:rsidRPr="00CE2E7A">
        <w:t>is deferred</w:t>
      </w:r>
      <w:r w:rsidR="00780CF0" w:rsidRPr="00CE2E7A">
        <w:t xml:space="preserve"> if the deferral is in the surcharge direction, and 75% is deferred if the deferral is in the rebate direction</w:t>
      </w:r>
      <w:r w:rsidR="00A43F3D" w:rsidRPr="00CE2E7A">
        <w:t xml:space="preserve">.  </w:t>
      </w:r>
      <w:r w:rsidR="00E07F58" w:rsidRPr="00CE2E7A">
        <w:t>Once the cumulative power supply cost variance from the amount included in base rates exceeds $10.0 million, 90</w:t>
      </w:r>
      <w:r w:rsidR="00261F4B" w:rsidRPr="00CE2E7A">
        <w:t>%</w:t>
      </w:r>
      <w:r w:rsidR="00E07F58" w:rsidRPr="00CE2E7A">
        <w:t xml:space="preserve"> of the cost</w:t>
      </w:r>
    </w:p>
    <w:p w:rsidR="003E5640" w:rsidRDefault="00E07F58" w:rsidP="003E5640">
      <w:pPr>
        <w:pStyle w:val="BodyText2"/>
        <w:tabs>
          <w:tab w:val="left" w:pos="1440"/>
        </w:tabs>
      </w:pPr>
      <w:r w:rsidRPr="00CE2E7A">
        <w:t xml:space="preserve">variance is deferred for future surcharge or rebate.  </w:t>
      </w:r>
    </w:p>
    <w:p w:rsidR="00A43F3D" w:rsidRPr="00CE2E7A" w:rsidRDefault="00A43F3D" w:rsidP="003E5640">
      <w:pPr>
        <w:pStyle w:val="BodyText2"/>
        <w:tabs>
          <w:tab w:val="left" w:pos="720"/>
        </w:tabs>
        <w:ind w:firstLine="720"/>
      </w:pPr>
      <w:r w:rsidRPr="00CE2E7A">
        <w:t xml:space="preserve">When actual net power supply costs exceed authorized costs, entries are made to record the deferral amount by crediting </w:t>
      </w:r>
      <w:r w:rsidR="00AE6D6C">
        <w:t xml:space="preserve">FERC </w:t>
      </w:r>
      <w:r w:rsidRPr="00CE2E7A">
        <w:t xml:space="preserve">Account 557.28 - Other Power Supply Expenses, thereby decreasing recorded power supply expenses, and debiting </w:t>
      </w:r>
      <w:r w:rsidR="00AE6D6C">
        <w:t xml:space="preserve">FERC </w:t>
      </w:r>
      <w:r w:rsidRPr="00CE2E7A">
        <w:t xml:space="preserve">Account 186.28 - Miscellaneous Deferred Debits.  If actual net power supply costs are less than authorized costs in a given month, an entry is made to record the difference by debiting </w:t>
      </w:r>
      <w:r w:rsidR="00AE6D6C">
        <w:t xml:space="preserve">FERC </w:t>
      </w:r>
      <w:r w:rsidRPr="00CE2E7A">
        <w:t xml:space="preserve">Account 557.28 - Other Power Supply Expenses, thereby increasing recorded power supply expenses, and crediting </w:t>
      </w:r>
      <w:r w:rsidR="00AE6D6C">
        <w:t xml:space="preserve">FERC </w:t>
      </w:r>
      <w:r w:rsidRPr="00CE2E7A">
        <w:t xml:space="preserve">Account 186.28 - Miscellaneous Deferred Debits.  An accumulated debit balance in </w:t>
      </w:r>
      <w:r w:rsidR="00AE6D6C">
        <w:t xml:space="preserve">FERC </w:t>
      </w:r>
      <w:r w:rsidRPr="00CE2E7A">
        <w:t>Account 186.28 represents a surcharge balance, while an accumulated credit balance represents a rebate balance.</w:t>
      </w:r>
    </w:p>
    <w:p w:rsidR="00A43F3D" w:rsidRPr="00CE2E7A" w:rsidRDefault="00A43F3D">
      <w:pPr>
        <w:pStyle w:val="BodyText2"/>
        <w:tabs>
          <w:tab w:val="left" w:pos="1440"/>
        </w:tabs>
        <w:ind w:firstLine="720"/>
        <w:rPr>
          <w:b/>
          <w:bCs/>
        </w:rPr>
      </w:pPr>
      <w:r w:rsidRPr="00CE2E7A">
        <w:rPr>
          <w:b/>
          <w:bCs/>
        </w:rPr>
        <w:t>Q.</w:t>
      </w:r>
      <w:r w:rsidRPr="00CE2E7A">
        <w:rPr>
          <w:b/>
          <w:bCs/>
        </w:rPr>
        <w:tab/>
        <w:t>How is interest recorded on the deferral balances?</w:t>
      </w:r>
    </w:p>
    <w:p w:rsidR="00A43F3D" w:rsidRPr="00CE2E7A" w:rsidRDefault="00A43F3D">
      <w:pPr>
        <w:pStyle w:val="BodyText2"/>
        <w:tabs>
          <w:tab w:val="left" w:pos="1440"/>
        </w:tabs>
        <w:ind w:firstLine="720"/>
      </w:pPr>
      <w:r w:rsidRPr="00CE2E7A">
        <w:t>A.</w:t>
      </w:r>
      <w:r w:rsidRPr="00CE2E7A">
        <w:tab/>
        <w:t>Interest is calculated pursuant to the Settlement Stipulation approved by the Commission’s Fifth Supplemental Order in Docket No. UE-011595, dated June 18, 2002.  Interest is applied to the average of the beginning and ending month balances in Account 186.28 net of associated deferred federal income tax.  The Company’s weighted cost of debt is used as the interest rate.  The interest rate is updated semi-annually and interest is compounded semi-annually.  The interest rate used for the period January 1, 20</w:t>
      </w:r>
      <w:r w:rsidR="00993612">
        <w:t>1</w:t>
      </w:r>
      <w:r w:rsidR="00804350">
        <w:t>4</w:t>
      </w:r>
      <w:r w:rsidRPr="00CE2E7A">
        <w:t xml:space="preserve"> through June 30, 20</w:t>
      </w:r>
      <w:r w:rsidR="00993612">
        <w:t>1</w:t>
      </w:r>
      <w:r w:rsidR="00804350">
        <w:t>4</w:t>
      </w:r>
      <w:r w:rsidRPr="00CE2E7A">
        <w:t xml:space="preserve"> was </w:t>
      </w:r>
      <w:r w:rsidR="00A24456" w:rsidRPr="00C7148B">
        <w:t>5</w:t>
      </w:r>
      <w:r w:rsidR="003712AC" w:rsidRPr="00C7148B">
        <w:t>.</w:t>
      </w:r>
      <w:r w:rsidR="00C7148B" w:rsidRPr="00C7148B">
        <w:t>459</w:t>
      </w:r>
      <w:r w:rsidRPr="00C7148B">
        <w:t>%, the</w:t>
      </w:r>
      <w:r w:rsidRPr="00CE2E7A">
        <w:t xml:space="preserve"> Company’s weighted cost of debt at December 31, 20</w:t>
      </w:r>
      <w:r w:rsidR="00A24456">
        <w:t>1</w:t>
      </w:r>
      <w:r w:rsidR="00804350">
        <w:t>3</w:t>
      </w:r>
      <w:r w:rsidRPr="00CE2E7A">
        <w:t>.  The interest rate used for the period July 1, 20</w:t>
      </w:r>
      <w:r w:rsidR="00A24456">
        <w:t>1</w:t>
      </w:r>
      <w:r w:rsidR="00804350">
        <w:t>4</w:t>
      </w:r>
      <w:r w:rsidRPr="00CE2E7A">
        <w:t xml:space="preserve"> through December 31, 20</w:t>
      </w:r>
      <w:r w:rsidR="00A24456">
        <w:t>1</w:t>
      </w:r>
      <w:r w:rsidR="00804350">
        <w:t>4</w:t>
      </w:r>
      <w:r w:rsidRPr="00CE2E7A">
        <w:t xml:space="preserve"> </w:t>
      </w:r>
      <w:r w:rsidRPr="00C7148B">
        <w:t xml:space="preserve">was </w:t>
      </w:r>
      <w:r w:rsidR="00A24456" w:rsidRPr="00C7148B">
        <w:t>5</w:t>
      </w:r>
      <w:r w:rsidR="003712AC" w:rsidRPr="00C7148B">
        <w:t>.</w:t>
      </w:r>
      <w:r w:rsidR="00C7148B">
        <w:t>343</w:t>
      </w:r>
      <w:r w:rsidRPr="00CE2E7A">
        <w:t>%, the Company’s weighted cost of debt at June 30, 20</w:t>
      </w:r>
      <w:r w:rsidR="00A24456">
        <w:t>1</w:t>
      </w:r>
      <w:r w:rsidR="00804350">
        <w:t>4</w:t>
      </w:r>
      <w:r w:rsidRPr="00CE2E7A">
        <w:t>.</w:t>
      </w:r>
    </w:p>
    <w:p w:rsidR="00A43F3D" w:rsidRPr="00CE2E7A" w:rsidRDefault="00A43F3D">
      <w:pPr>
        <w:pStyle w:val="BodyText2"/>
        <w:tabs>
          <w:tab w:val="left" w:pos="1440"/>
        </w:tabs>
        <w:ind w:firstLine="720"/>
        <w:rPr>
          <w:b/>
          <w:bCs/>
        </w:rPr>
      </w:pPr>
      <w:r w:rsidRPr="00CE2E7A">
        <w:rPr>
          <w:b/>
          <w:bCs/>
        </w:rPr>
        <w:t>Q.</w:t>
      </w:r>
      <w:r w:rsidRPr="00CE2E7A">
        <w:rPr>
          <w:b/>
          <w:bCs/>
        </w:rPr>
        <w:tab/>
        <w:t>How are income taxes accounted for under the deferred power cost mechanism?</w:t>
      </w:r>
    </w:p>
    <w:p w:rsidR="00A43F3D" w:rsidRPr="00CE2E7A" w:rsidRDefault="00A43F3D">
      <w:pPr>
        <w:pStyle w:val="BodyText2"/>
        <w:tabs>
          <w:tab w:val="left" w:pos="1440"/>
        </w:tabs>
        <w:ind w:firstLine="720"/>
      </w:pPr>
      <w:r w:rsidRPr="00CE2E7A">
        <w:t>A.</w:t>
      </w:r>
      <w:r w:rsidRPr="00CE2E7A">
        <w:tab/>
        <w:t>The power cost deferral entries are not recognized in the determination of taxable income for federal income tax purposes.  Therefore, d</w:t>
      </w:r>
      <w:r w:rsidR="00FE00F9">
        <w:t xml:space="preserve">eferred federal income taxes are </w:t>
      </w:r>
      <w:r w:rsidRPr="00CE2E7A">
        <w:t xml:space="preserve">recorded.  </w:t>
      </w:r>
      <w:r w:rsidR="00AE6D6C">
        <w:t xml:space="preserve">FERC </w:t>
      </w:r>
      <w:r w:rsidRPr="00CE2E7A">
        <w:t>Account 283.28 – Accumulated Deferred Federal Income Tax reflects a credit balance of 35% of the debit balance in Account 186.28</w:t>
      </w:r>
      <w:r w:rsidR="000C4A66">
        <w:t>, or reflects a debit balance of 35% of the credit balance in Account 186.28</w:t>
      </w:r>
      <w:r w:rsidRPr="00CE2E7A">
        <w:t xml:space="preserve">.  When </w:t>
      </w:r>
      <w:r w:rsidR="00AE6D6C">
        <w:t xml:space="preserve">FERC </w:t>
      </w:r>
      <w:r w:rsidRPr="00CE2E7A">
        <w:t xml:space="preserve">Account 283.28 is credited, Account 410.10 – Deferred FIT Expense in debited.  Likewise, when </w:t>
      </w:r>
      <w:r w:rsidR="00AE6D6C">
        <w:t xml:space="preserve">FERC </w:t>
      </w:r>
      <w:r w:rsidRPr="00CE2E7A">
        <w:t xml:space="preserve">Account 283.28 is debited, </w:t>
      </w:r>
      <w:r w:rsidR="00AE6D6C">
        <w:t xml:space="preserve">FERC </w:t>
      </w:r>
      <w:r w:rsidRPr="00CE2E7A">
        <w:t>Account 410.10 is credited.</w:t>
      </w:r>
    </w:p>
    <w:p w:rsidR="00A43F3D" w:rsidRPr="00CE2E7A" w:rsidRDefault="00A43F3D">
      <w:pPr>
        <w:pStyle w:val="BodyText2"/>
        <w:tabs>
          <w:tab w:val="left" w:pos="1440"/>
        </w:tabs>
        <w:ind w:firstLine="720"/>
        <w:rPr>
          <w:b/>
          <w:bCs/>
        </w:rPr>
      </w:pPr>
      <w:r w:rsidRPr="00CE2E7A">
        <w:rPr>
          <w:b/>
          <w:bCs/>
        </w:rPr>
        <w:t>Q.</w:t>
      </w:r>
      <w:r w:rsidRPr="00CE2E7A">
        <w:rPr>
          <w:b/>
          <w:bCs/>
        </w:rPr>
        <w:tab/>
        <w:t xml:space="preserve">In </w:t>
      </w:r>
      <w:r w:rsidR="000C4A66">
        <w:rPr>
          <w:b/>
          <w:bCs/>
        </w:rPr>
        <w:t>201</w:t>
      </w:r>
      <w:r w:rsidR="00707041">
        <w:rPr>
          <w:b/>
          <w:bCs/>
        </w:rPr>
        <w:t>4</w:t>
      </w:r>
      <w:r w:rsidRPr="00CE2E7A">
        <w:rPr>
          <w:b/>
          <w:bCs/>
        </w:rPr>
        <w:t xml:space="preserve"> what were the amounts deferred</w:t>
      </w:r>
      <w:r w:rsidR="00116958">
        <w:rPr>
          <w:b/>
          <w:bCs/>
        </w:rPr>
        <w:t xml:space="preserve"> and</w:t>
      </w:r>
      <w:r w:rsidR="00763FA4">
        <w:rPr>
          <w:b/>
          <w:bCs/>
        </w:rPr>
        <w:t xml:space="preserve"> </w:t>
      </w:r>
      <w:r w:rsidR="00093A20">
        <w:rPr>
          <w:b/>
          <w:bCs/>
        </w:rPr>
        <w:t xml:space="preserve">the amount </w:t>
      </w:r>
      <w:r w:rsidRPr="00CE2E7A">
        <w:rPr>
          <w:b/>
          <w:bCs/>
        </w:rPr>
        <w:t>absorbed by the Company?</w:t>
      </w:r>
    </w:p>
    <w:p w:rsidR="000F6B19" w:rsidRDefault="00A43F3D" w:rsidP="00BE426E">
      <w:pPr>
        <w:pStyle w:val="BodyText2"/>
        <w:tabs>
          <w:tab w:val="left" w:pos="1440"/>
        </w:tabs>
        <w:ind w:firstLine="720"/>
      </w:pPr>
      <w:r w:rsidRPr="00CE2E7A">
        <w:t>A.</w:t>
      </w:r>
      <w:r w:rsidRPr="00CE2E7A">
        <w:tab/>
      </w:r>
      <w:r w:rsidR="0044338E" w:rsidRPr="00CE2E7A">
        <w:t xml:space="preserve">For the </w:t>
      </w:r>
      <w:r w:rsidR="000C4A66">
        <w:t>201</w:t>
      </w:r>
      <w:r w:rsidR="00DA116A">
        <w:t>4</w:t>
      </w:r>
      <w:r w:rsidR="0044338E" w:rsidRPr="00CE2E7A">
        <w:t xml:space="preserve"> calendar year</w:t>
      </w:r>
      <w:r w:rsidR="00D92B5F">
        <w:t>,</w:t>
      </w:r>
      <w:r w:rsidR="0044338E" w:rsidRPr="00CE2E7A">
        <w:t xml:space="preserve"> </w:t>
      </w:r>
      <w:r w:rsidR="00E40EF0" w:rsidRPr="00E40EF0">
        <w:rPr>
          <w:u w:val="single"/>
        </w:rPr>
        <w:t>actual</w:t>
      </w:r>
      <w:r w:rsidR="0044338E" w:rsidRPr="00CE2E7A">
        <w:t xml:space="preserve"> net power costs were </w:t>
      </w:r>
      <w:r w:rsidR="00DA116A">
        <w:t>less</w:t>
      </w:r>
      <w:r w:rsidR="0044338E" w:rsidRPr="00CE2E7A">
        <w:t xml:space="preserve"> than </w:t>
      </w:r>
      <w:r w:rsidR="00E40EF0" w:rsidRPr="00E40EF0">
        <w:rPr>
          <w:u w:val="single"/>
        </w:rPr>
        <w:t>authorized</w:t>
      </w:r>
      <w:r w:rsidR="0044338E" w:rsidRPr="00CE2E7A">
        <w:t xml:space="preserve"> net power costs for the Washington jurisdiction </w:t>
      </w:r>
      <w:r w:rsidR="0044338E" w:rsidRPr="00A73747">
        <w:t>by $</w:t>
      </w:r>
      <w:r w:rsidR="00DA116A" w:rsidRPr="00A73747">
        <w:t>9,526,6</w:t>
      </w:r>
      <w:r w:rsidR="00573CE3">
        <w:t>40</w:t>
      </w:r>
      <w:r w:rsidR="0044338E" w:rsidRPr="00A73747">
        <w:t xml:space="preserve">.  </w:t>
      </w:r>
      <w:r w:rsidR="00B12EAD" w:rsidRPr="00A73747">
        <w:t xml:space="preserve">The </w:t>
      </w:r>
      <w:r w:rsidR="00F63008">
        <w:t>deferral in the rebate direction</w:t>
      </w:r>
      <w:r w:rsidR="00F76DFC">
        <w:t xml:space="preserve"> for 2014</w:t>
      </w:r>
      <w:r w:rsidR="00F63008">
        <w:t xml:space="preserve"> </w:t>
      </w:r>
      <w:r w:rsidR="00B12EAD" w:rsidRPr="00A73747">
        <w:t>amounted to $</w:t>
      </w:r>
      <w:r w:rsidR="00DA116A" w:rsidRPr="00A73747">
        <w:t>4,</w:t>
      </w:r>
      <w:r w:rsidR="00F63008">
        <w:t>144,9</w:t>
      </w:r>
      <w:r w:rsidR="00573CE3">
        <w:t>80</w:t>
      </w:r>
      <w:r w:rsidR="00B12EAD" w:rsidRPr="00A73747">
        <w:t>, which</w:t>
      </w:r>
      <w:r w:rsidR="00B12EAD">
        <w:t xml:space="preserve"> consists of </w:t>
      </w:r>
      <w:r w:rsidR="00626A10">
        <w:t>7</w:t>
      </w:r>
      <w:r w:rsidR="004A5797">
        <w:t>5</w:t>
      </w:r>
      <w:r w:rsidR="00B12EAD">
        <w:t xml:space="preserve">% of the </w:t>
      </w:r>
      <w:r w:rsidR="001A324A" w:rsidRPr="00CE2E7A">
        <w:t xml:space="preserve">$4.0 million </w:t>
      </w:r>
      <w:r w:rsidR="001A324A">
        <w:t>to</w:t>
      </w:r>
      <w:r w:rsidR="001A324A" w:rsidRPr="00CE2E7A">
        <w:t xml:space="preserve"> $10.0 million </w:t>
      </w:r>
      <w:r w:rsidR="001A324A">
        <w:t>sharing band</w:t>
      </w:r>
      <w:r w:rsidR="008059E4">
        <w:t xml:space="preserve"> </w:t>
      </w:r>
      <w:r w:rsidR="00537AEB">
        <w:t>($</w:t>
      </w:r>
      <w:r w:rsidR="004A5797">
        <w:t>5,526,6</w:t>
      </w:r>
      <w:r w:rsidR="00573CE3">
        <w:t>40</w:t>
      </w:r>
      <w:r w:rsidR="00537AEB">
        <w:t xml:space="preserve"> * </w:t>
      </w:r>
      <w:r w:rsidR="00FE00F9">
        <w:t>75</w:t>
      </w:r>
      <w:r w:rsidR="006B028E">
        <w:t>%)</w:t>
      </w:r>
      <w:r w:rsidR="006B028E">
        <w:rPr>
          <w:rStyle w:val="FootnoteReference"/>
        </w:rPr>
        <w:footnoteReference w:id="1"/>
      </w:r>
      <w:r w:rsidR="006B028E">
        <w:t>.</w:t>
      </w:r>
      <w:r w:rsidR="001A324A">
        <w:t xml:space="preserve"> </w:t>
      </w:r>
      <w:r w:rsidR="00763FA4" w:rsidRPr="000F6B19">
        <w:t xml:space="preserve">The Company </w:t>
      </w:r>
      <w:r w:rsidR="006B028E">
        <w:t>absorbed</w:t>
      </w:r>
      <w:r w:rsidR="00763FA4" w:rsidRPr="008059E4">
        <w:rPr>
          <w:color w:val="FF0000"/>
        </w:rPr>
        <w:t xml:space="preserve"> </w:t>
      </w:r>
      <w:r w:rsidR="00763FA4" w:rsidRPr="000F6B19">
        <w:t>$</w:t>
      </w:r>
      <w:r w:rsidR="00626A10">
        <w:t>5,381,</w:t>
      </w:r>
      <w:r w:rsidR="004A5797" w:rsidRPr="000F6B19">
        <w:t>660</w:t>
      </w:r>
      <w:r w:rsidR="00BE3179" w:rsidRPr="000F6B19">
        <w:t xml:space="preserve"> </w:t>
      </w:r>
      <w:r w:rsidR="00763FA4" w:rsidRPr="000F6B19">
        <w:t xml:space="preserve">in </w:t>
      </w:r>
      <w:r w:rsidR="00626A10">
        <w:t>reduced</w:t>
      </w:r>
      <w:r w:rsidR="00763FA4" w:rsidRPr="000F6B19">
        <w:t xml:space="preserve"> net power costs in 201</w:t>
      </w:r>
      <w:r w:rsidR="00DA116A" w:rsidRPr="000F6B19">
        <w:t>4</w:t>
      </w:r>
      <w:r w:rsidR="00763FA4" w:rsidRPr="000F6B19">
        <w:t>.</w:t>
      </w:r>
      <w:r w:rsidR="00A30ED5">
        <w:tab/>
      </w:r>
    </w:p>
    <w:p w:rsidR="00A30ED5" w:rsidRPr="00851C37" w:rsidRDefault="00A30ED5" w:rsidP="00A30ED5">
      <w:pPr>
        <w:pStyle w:val="BodyText2"/>
        <w:tabs>
          <w:tab w:val="left" w:pos="1440"/>
        </w:tabs>
        <w:ind w:firstLine="720"/>
      </w:pPr>
      <w:r w:rsidRPr="00CE2E7A">
        <w:rPr>
          <w:b/>
          <w:bCs/>
        </w:rPr>
        <w:t>Q.</w:t>
      </w:r>
      <w:r w:rsidRPr="00CE2E7A">
        <w:rPr>
          <w:b/>
          <w:bCs/>
        </w:rPr>
        <w:tab/>
      </w:r>
      <w:r>
        <w:rPr>
          <w:b/>
          <w:bCs/>
        </w:rPr>
        <w:t xml:space="preserve">What was </w:t>
      </w:r>
      <w:r w:rsidRPr="00CE2E7A">
        <w:rPr>
          <w:b/>
          <w:bCs/>
        </w:rPr>
        <w:t xml:space="preserve">the </w:t>
      </w:r>
      <w:r>
        <w:rPr>
          <w:b/>
          <w:bCs/>
        </w:rPr>
        <w:t xml:space="preserve">total </w:t>
      </w:r>
      <w:r w:rsidRPr="00CE2E7A">
        <w:rPr>
          <w:b/>
          <w:bCs/>
        </w:rPr>
        <w:t xml:space="preserve">balance in the </w:t>
      </w:r>
      <w:r>
        <w:rPr>
          <w:b/>
          <w:bCs/>
        </w:rPr>
        <w:t>ERM</w:t>
      </w:r>
      <w:r w:rsidRPr="00CE2E7A">
        <w:rPr>
          <w:b/>
          <w:bCs/>
        </w:rPr>
        <w:t xml:space="preserve"> deferral account</w:t>
      </w:r>
      <w:r>
        <w:rPr>
          <w:b/>
          <w:bCs/>
        </w:rPr>
        <w:t>s</w:t>
      </w:r>
      <w:r w:rsidR="003E5640">
        <w:rPr>
          <w:b/>
          <w:bCs/>
        </w:rPr>
        <w:t xml:space="preserve"> at December 31, 2014</w:t>
      </w:r>
      <w:r w:rsidRPr="00CE2E7A">
        <w:rPr>
          <w:b/>
          <w:bCs/>
        </w:rPr>
        <w:t xml:space="preserve">, </w:t>
      </w:r>
      <w:r>
        <w:rPr>
          <w:b/>
          <w:bCs/>
        </w:rPr>
        <w:t>including deferral</w:t>
      </w:r>
      <w:r w:rsidR="003E5640">
        <w:rPr>
          <w:b/>
          <w:bCs/>
        </w:rPr>
        <w:t>s</w:t>
      </w:r>
      <w:r>
        <w:rPr>
          <w:b/>
          <w:bCs/>
        </w:rPr>
        <w:t xml:space="preserve"> that arose prior to 201</w:t>
      </w:r>
      <w:r w:rsidR="00BE426E">
        <w:rPr>
          <w:b/>
          <w:bCs/>
        </w:rPr>
        <w:t>4</w:t>
      </w:r>
      <w:r w:rsidRPr="00851C37">
        <w:rPr>
          <w:b/>
          <w:bCs/>
        </w:rPr>
        <w:t>?</w:t>
      </w:r>
    </w:p>
    <w:p w:rsidR="00A30ED5" w:rsidRDefault="00A30ED5" w:rsidP="00A30ED5">
      <w:pPr>
        <w:pStyle w:val="TestBody"/>
        <w:spacing w:line="480" w:lineRule="auto"/>
        <w:ind w:left="0" w:firstLine="720"/>
      </w:pPr>
      <w:r>
        <w:t>A.</w:t>
      </w:r>
      <w:r>
        <w:tab/>
        <w:t>The total balance in the ERM deferral accounts, including the 201</w:t>
      </w:r>
      <w:r w:rsidR="00BE426E">
        <w:t>4</w:t>
      </w:r>
      <w:r>
        <w:t xml:space="preserve"> surcharge recorded, was $1</w:t>
      </w:r>
      <w:r w:rsidR="00BB4663">
        <w:t>4,186,102</w:t>
      </w:r>
      <w:r>
        <w:t xml:space="preserve">, in a rebate direction.  </w:t>
      </w:r>
    </w:p>
    <w:p w:rsidR="00A30ED5" w:rsidRDefault="00A30ED5" w:rsidP="00A30ED5">
      <w:pPr>
        <w:pStyle w:val="TestBody"/>
        <w:spacing w:line="480" w:lineRule="auto"/>
        <w:ind w:left="0" w:firstLine="720"/>
      </w:pPr>
      <w:r>
        <w:t>Table No. 1 summarizes the activity in all ERM deferral accounts in 201</w:t>
      </w:r>
      <w:r w:rsidR="00BB4663">
        <w:t>4</w:t>
      </w:r>
      <w:r>
        <w:t>.</w:t>
      </w:r>
    </w:p>
    <w:p w:rsidR="003E5640" w:rsidRDefault="003E5640">
      <w:pPr>
        <w:autoSpaceDE/>
        <w:autoSpaceDN/>
        <w:rPr>
          <w:rFonts w:ascii="Palatino" w:hAnsi="Palatino" w:cs="Palatino"/>
          <w:b/>
          <w:u w:val="single"/>
        </w:rPr>
      </w:pPr>
      <w:r>
        <w:rPr>
          <w:b/>
          <w:u w:val="single"/>
        </w:rPr>
        <w:br w:type="page"/>
      </w:r>
    </w:p>
    <w:p w:rsidR="00370334" w:rsidRDefault="00A30ED5" w:rsidP="00D62E34">
      <w:pPr>
        <w:pStyle w:val="TestBody"/>
        <w:spacing w:line="480" w:lineRule="auto"/>
        <w:ind w:left="0" w:firstLine="0"/>
        <w:rPr>
          <w:rFonts w:ascii="Times New Roman" w:hAnsi="Times New Roman" w:cs="Times New Roman"/>
        </w:rPr>
      </w:pPr>
      <w:r w:rsidRPr="00A30ED5">
        <w:rPr>
          <w:b/>
          <w:u w:val="single"/>
        </w:rPr>
        <w:t>Table No. 1:</w:t>
      </w:r>
      <w:r w:rsidR="00BB4663" w:rsidRPr="00A30ED5">
        <w:t xml:space="preserve"> </w:t>
      </w:r>
    </w:p>
    <w:p w:rsidR="00D62E34" w:rsidRDefault="00573CE3" w:rsidP="00786E83">
      <w:pPr>
        <w:pStyle w:val="TestBody"/>
        <w:spacing w:line="480" w:lineRule="auto"/>
        <w:ind w:left="0" w:firstLine="0"/>
        <w:rPr>
          <w:rFonts w:ascii="Times New Roman" w:hAnsi="Times New Roman" w:cs="Times New Roman"/>
        </w:rPr>
      </w:pPr>
      <w:r w:rsidRPr="00573CE3">
        <w:rPr>
          <w:noProof/>
        </w:rPr>
        <w:drawing>
          <wp:anchor distT="0" distB="0" distL="114300" distR="114300" simplePos="0" relativeHeight="251658240" behindDoc="1" locked="0" layoutInCell="1" allowOverlap="1">
            <wp:simplePos x="0" y="0"/>
            <wp:positionH relativeFrom="column">
              <wp:posOffset>30480</wp:posOffset>
            </wp:positionH>
            <wp:positionV relativeFrom="paragraph">
              <wp:posOffset>3810</wp:posOffset>
            </wp:positionV>
            <wp:extent cx="5410200" cy="26193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10200" cy="2619375"/>
                    </a:xfrm>
                    <a:prstGeom prst="rect">
                      <a:avLst/>
                    </a:prstGeom>
                    <a:noFill/>
                    <a:ln w="9525">
                      <a:noFill/>
                      <a:miter lim="800000"/>
                      <a:headEnd/>
                      <a:tailEnd/>
                    </a:ln>
                  </pic:spPr>
                </pic:pic>
              </a:graphicData>
            </a:graphic>
          </wp:anchor>
        </w:drawing>
      </w:r>
    </w:p>
    <w:p w:rsidR="00D62E34" w:rsidRDefault="00D62E34" w:rsidP="00EF026E">
      <w:pPr>
        <w:pStyle w:val="TestBody"/>
        <w:spacing w:line="480" w:lineRule="auto"/>
        <w:ind w:left="0" w:firstLine="720"/>
        <w:rPr>
          <w:rFonts w:ascii="Times New Roman" w:hAnsi="Times New Roman" w:cs="Times New Roman"/>
        </w:rPr>
      </w:pPr>
    </w:p>
    <w:p w:rsidR="00D62E34" w:rsidRDefault="00D62E34" w:rsidP="00EF026E">
      <w:pPr>
        <w:pStyle w:val="TestBody"/>
        <w:spacing w:line="480" w:lineRule="auto"/>
        <w:ind w:left="0" w:firstLine="720"/>
        <w:rPr>
          <w:rFonts w:ascii="Times New Roman" w:hAnsi="Times New Roman" w:cs="Times New Roman"/>
        </w:rPr>
      </w:pPr>
    </w:p>
    <w:p w:rsidR="00D62E34" w:rsidRDefault="00D62E34" w:rsidP="00EF026E">
      <w:pPr>
        <w:pStyle w:val="TestBody"/>
        <w:spacing w:line="480" w:lineRule="auto"/>
        <w:ind w:left="0" w:firstLine="720"/>
        <w:rPr>
          <w:rFonts w:ascii="Times New Roman" w:hAnsi="Times New Roman" w:cs="Times New Roman"/>
        </w:rPr>
      </w:pPr>
    </w:p>
    <w:p w:rsidR="00D62E34" w:rsidRDefault="00D62E34" w:rsidP="00EF026E">
      <w:pPr>
        <w:pStyle w:val="TestBody"/>
        <w:spacing w:line="480" w:lineRule="auto"/>
        <w:ind w:left="0" w:firstLine="720"/>
        <w:rPr>
          <w:rFonts w:ascii="Times New Roman" w:hAnsi="Times New Roman" w:cs="Times New Roman"/>
        </w:rPr>
      </w:pPr>
    </w:p>
    <w:p w:rsidR="00D62E34" w:rsidRDefault="00D62E34" w:rsidP="00EF026E">
      <w:pPr>
        <w:pStyle w:val="TestBody"/>
        <w:spacing w:line="480" w:lineRule="auto"/>
        <w:ind w:left="0" w:firstLine="720"/>
        <w:rPr>
          <w:rFonts w:ascii="Times New Roman" w:hAnsi="Times New Roman" w:cs="Times New Roman"/>
        </w:rPr>
      </w:pPr>
    </w:p>
    <w:p w:rsidR="00D62E34" w:rsidRDefault="00D62E34" w:rsidP="00EF026E">
      <w:pPr>
        <w:pStyle w:val="TestBody"/>
        <w:spacing w:line="480" w:lineRule="auto"/>
        <w:ind w:left="0" w:firstLine="720"/>
        <w:rPr>
          <w:rFonts w:ascii="Times New Roman" w:hAnsi="Times New Roman" w:cs="Times New Roman"/>
        </w:rPr>
      </w:pPr>
    </w:p>
    <w:p w:rsidR="00D62E34" w:rsidRDefault="00D62E34" w:rsidP="00EF026E">
      <w:pPr>
        <w:pStyle w:val="TestBody"/>
        <w:spacing w:line="480" w:lineRule="auto"/>
        <w:ind w:left="0" w:firstLine="720"/>
        <w:rPr>
          <w:rFonts w:ascii="Times New Roman" w:hAnsi="Times New Roman" w:cs="Times New Roman"/>
        </w:rPr>
      </w:pPr>
    </w:p>
    <w:p w:rsidR="00EF026E" w:rsidRDefault="00EF026E" w:rsidP="00EF026E">
      <w:pPr>
        <w:pStyle w:val="TestBody"/>
        <w:spacing w:line="480" w:lineRule="auto"/>
        <w:ind w:left="0" w:firstLine="720"/>
        <w:rPr>
          <w:rFonts w:ascii="Times New Roman" w:hAnsi="Times New Roman" w:cs="Times New Roman"/>
        </w:rPr>
      </w:pPr>
      <w:r>
        <w:rPr>
          <w:rFonts w:ascii="Times New Roman" w:hAnsi="Times New Roman" w:cs="Times New Roman"/>
        </w:rPr>
        <w:t xml:space="preserve">In Order 09, Docket UE-120436, the Company was authorized to return approximately $4.4 million </w:t>
      </w:r>
      <w:r w:rsidRPr="008059E4">
        <w:rPr>
          <w:rFonts w:ascii="Times New Roman" w:hAnsi="Times New Roman" w:cs="Times New Roman"/>
        </w:rPr>
        <w:t>of the accumulated ERM deferral balance to customers beginning January 1, 2013.  In addition, the Company was authorized to return approximately $9.0 million to customers in 2014.</w:t>
      </w:r>
      <w:r w:rsidR="00A36B37" w:rsidRPr="008059E4">
        <w:rPr>
          <w:rFonts w:ascii="Times New Roman" w:hAnsi="Times New Roman" w:cs="Times New Roman"/>
        </w:rPr>
        <w:t xml:space="preserve">  </w:t>
      </w:r>
      <w:r w:rsidR="00A47FDA" w:rsidRPr="008059E4">
        <w:rPr>
          <w:rFonts w:ascii="Times New Roman" w:hAnsi="Times New Roman" w:cs="Times New Roman"/>
        </w:rPr>
        <w:t xml:space="preserve">Approximately $8.5 million was passed back to customers during 2014.  </w:t>
      </w:r>
      <w:r w:rsidR="00A36B37" w:rsidRPr="008059E4">
        <w:rPr>
          <w:rFonts w:ascii="Times New Roman" w:hAnsi="Times New Roman" w:cs="Times New Roman"/>
        </w:rPr>
        <w:t xml:space="preserve">This rebate to customers </w:t>
      </w:r>
      <w:r w:rsidR="00276763">
        <w:rPr>
          <w:rFonts w:ascii="Times New Roman" w:hAnsi="Times New Roman" w:cs="Times New Roman"/>
        </w:rPr>
        <w:t xml:space="preserve">was in place </w:t>
      </w:r>
      <w:r w:rsidR="00B43824">
        <w:rPr>
          <w:rFonts w:ascii="Times New Roman" w:hAnsi="Times New Roman" w:cs="Times New Roman"/>
        </w:rPr>
        <w:t>through</w:t>
      </w:r>
      <w:r w:rsidR="00276763">
        <w:rPr>
          <w:rFonts w:ascii="Times New Roman" w:hAnsi="Times New Roman" w:cs="Times New Roman"/>
        </w:rPr>
        <w:t xml:space="preserve"> December 31, 2014.</w:t>
      </w:r>
      <w:r w:rsidR="003E5640" w:rsidRPr="003E5640">
        <w:t xml:space="preserve"> </w:t>
      </w:r>
      <w:r w:rsidR="00111B0C">
        <w:t xml:space="preserve"> </w:t>
      </w:r>
      <w:r w:rsidR="003E5640">
        <w:t>Per Order No. 05 in Dockets UE-140188 and UG-140189 (consolidated), beginning January 1, 2015, the Company will return to customers approximately $8.3 million during 2015 from the ERM Deferral.</w:t>
      </w:r>
    </w:p>
    <w:p w:rsidR="00DA686E" w:rsidRDefault="00DA686E">
      <w:pPr>
        <w:pStyle w:val="Heading5"/>
        <w:rPr>
          <w:rStyle w:val="PageNumber"/>
          <w:u w:val="single"/>
        </w:rPr>
      </w:pPr>
    </w:p>
    <w:p w:rsidR="00A43F3D" w:rsidRPr="00EA2DCA" w:rsidRDefault="00954E38">
      <w:pPr>
        <w:pStyle w:val="Heading5"/>
        <w:rPr>
          <w:rStyle w:val="PageNumber"/>
          <w:u w:val="single"/>
        </w:rPr>
      </w:pPr>
      <w:r>
        <w:rPr>
          <w:rStyle w:val="PageNumber"/>
          <w:u w:val="single"/>
        </w:rPr>
        <w:t>III</w:t>
      </w:r>
      <w:r w:rsidR="00A43F3D" w:rsidRPr="00EA2DCA">
        <w:rPr>
          <w:rStyle w:val="PageNumber"/>
          <w:u w:val="single"/>
        </w:rPr>
        <w:t>.  ERM MONTHLY AND ANNUAL REPORTS</w:t>
      </w:r>
    </w:p>
    <w:p w:rsidR="00A43F3D" w:rsidRPr="00CE2E7A" w:rsidRDefault="00A43F3D">
      <w:pPr>
        <w:pStyle w:val="BodyText2"/>
        <w:tabs>
          <w:tab w:val="left" w:pos="1440"/>
        </w:tabs>
        <w:ind w:firstLine="720"/>
        <w:rPr>
          <w:b/>
          <w:bCs/>
        </w:rPr>
      </w:pPr>
      <w:r w:rsidRPr="00CE2E7A">
        <w:rPr>
          <w:b/>
          <w:bCs/>
        </w:rPr>
        <w:t>Q.</w:t>
      </w:r>
      <w:r w:rsidRPr="00CE2E7A">
        <w:rPr>
          <w:b/>
          <w:bCs/>
        </w:rPr>
        <w:tab/>
        <w:t>Would you please describe the monthly reports that the Company submits to the Commission?</w:t>
      </w:r>
    </w:p>
    <w:p w:rsidR="00A43F3D" w:rsidRPr="00CE2E7A" w:rsidRDefault="00A43F3D">
      <w:pPr>
        <w:pStyle w:val="BodyText2"/>
        <w:tabs>
          <w:tab w:val="left" w:pos="1440"/>
        </w:tabs>
        <w:ind w:firstLine="720"/>
      </w:pPr>
      <w:r w:rsidRPr="00CE2E7A">
        <w:t>A.</w:t>
      </w:r>
      <w:r w:rsidRPr="00CE2E7A">
        <w:tab/>
      </w:r>
      <w:r w:rsidR="00521E66">
        <w:t xml:space="preserve">Yes.  </w:t>
      </w:r>
      <w:r w:rsidRPr="00CE2E7A">
        <w:t xml:space="preserve">The Company submits monthly reports to the Commission, Public Counsel, and </w:t>
      </w:r>
      <w:r w:rsidR="00521E66">
        <w:t xml:space="preserve">the </w:t>
      </w:r>
      <w:r w:rsidR="00093A20">
        <w:t>Industrial Customers of Northwest Utilities</w:t>
      </w:r>
      <w:r w:rsidR="00093A20" w:rsidRPr="00CE2E7A">
        <w:t xml:space="preserve"> </w:t>
      </w:r>
      <w:r w:rsidRPr="00CE2E7A">
        <w:t>that include the monthly power cost</w:t>
      </w:r>
      <w:r w:rsidR="00D92B5F">
        <w:t xml:space="preserve"> </w:t>
      </w:r>
      <w:r w:rsidRPr="00CE2E7A">
        <w:t>deferral journal entries together with backup work</w:t>
      </w:r>
      <w:r w:rsidR="006B3557">
        <w:t xml:space="preserve"> </w:t>
      </w:r>
      <w:r w:rsidRPr="00CE2E7A">
        <w:t>papers and other supporting documentation.  The cover letter to the monthly report contains a brief explanation of the factors causing the variance between actual and authorized power costs.  The beginning of the month account balances, the recorded activity within the accounts, and the ending month account balances are shown.  The January and July reports contain the supporting work</w:t>
      </w:r>
      <w:r w:rsidR="006B3557">
        <w:t xml:space="preserve"> </w:t>
      </w:r>
      <w:r w:rsidRPr="00CE2E7A">
        <w:t xml:space="preserve">papers for the semi-annual updates of the weighted cost of debt used in the interest calculations.  The monthly reports also include any new power </w:t>
      </w:r>
      <w:r w:rsidR="009F41F4">
        <w:t xml:space="preserve">supply </w:t>
      </w:r>
      <w:r w:rsidRPr="00CE2E7A">
        <w:t xml:space="preserve">contracts of one-year or longer, entered into during the month.  </w:t>
      </w:r>
      <w:r w:rsidR="00DC7A0A">
        <w:t>The December 201</w:t>
      </w:r>
      <w:r w:rsidR="00297424">
        <w:t>4</w:t>
      </w:r>
      <w:r w:rsidR="00DC7A0A">
        <w:t xml:space="preserve"> report is a</w:t>
      </w:r>
      <w:r w:rsidRPr="00CE2E7A">
        <w:t>ttached</w:t>
      </w:r>
      <w:r w:rsidR="0013209F">
        <w:t xml:space="preserve"> for informational purposes</w:t>
      </w:r>
      <w:r w:rsidRPr="00CE2E7A">
        <w:t xml:space="preserve"> </w:t>
      </w:r>
      <w:r w:rsidR="00DC7A0A">
        <w:t>as</w:t>
      </w:r>
      <w:r w:rsidRPr="00CE2E7A">
        <w:t xml:space="preserve"> Exhibit No. ___(</w:t>
      </w:r>
      <w:r w:rsidR="00297424">
        <w:t>PDE</w:t>
      </w:r>
      <w:r w:rsidR="00DC7A0A">
        <w:t xml:space="preserve">-2).  </w:t>
      </w:r>
    </w:p>
    <w:p w:rsidR="00A43F3D" w:rsidRPr="00CE2E7A" w:rsidRDefault="00A43F3D">
      <w:pPr>
        <w:pStyle w:val="BodyText2"/>
        <w:tabs>
          <w:tab w:val="left" w:pos="1440"/>
        </w:tabs>
        <w:ind w:firstLine="720"/>
        <w:rPr>
          <w:b/>
          <w:bCs/>
        </w:rPr>
      </w:pPr>
      <w:r w:rsidRPr="00CE2E7A">
        <w:rPr>
          <w:b/>
          <w:bCs/>
        </w:rPr>
        <w:t>Q.</w:t>
      </w:r>
      <w:r w:rsidRPr="00CE2E7A">
        <w:rPr>
          <w:b/>
          <w:bCs/>
        </w:rPr>
        <w:tab/>
        <w:t>What are the requirements associated with the annual filing to review deferrals?</w:t>
      </w:r>
    </w:p>
    <w:p w:rsidR="009825CE" w:rsidRPr="00CE2E7A" w:rsidRDefault="00A43F3D">
      <w:pPr>
        <w:pStyle w:val="BodyText2"/>
        <w:tabs>
          <w:tab w:val="left" w:pos="1440"/>
        </w:tabs>
        <w:ind w:firstLine="720"/>
      </w:pPr>
      <w:r w:rsidRPr="00CE2E7A">
        <w:t>A.</w:t>
      </w:r>
      <w:r w:rsidRPr="00CE2E7A">
        <w:tab/>
        <w:t xml:space="preserve">The Company is required to make an annual filing, on or before April 1 of each year, regarding the power costs deferred in the prior calendar year under the ERM.  The filing consists of testimony, exhibits, and supporting documentation.  Since its inception in 2002, the Company has made </w:t>
      </w:r>
      <w:r w:rsidR="00537AEB">
        <w:t>t</w:t>
      </w:r>
      <w:r w:rsidR="00297424">
        <w:t>hirteen</w:t>
      </w:r>
      <w:r w:rsidRPr="00CE2E7A">
        <w:t xml:space="preserve"> such annual filings, including the present filing covering the </w:t>
      </w:r>
      <w:r w:rsidR="000C4A66">
        <w:t>201</w:t>
      </w:r>
      <w:r w:rsidR="00297424">
        <w:t>4</w:t>
      </w:r>
      <w:r w:rsidRPr="00CE2E7A">
        <w:t xml:space="preserve"> calendar year.</w:t>
      </w:r>
    </w:p>
    <w:p w:rsidR="00A43F3D" w:rsidRPr="00CE2E7A" w:rsidRDefault="00A43F3D">
      <w:pPr>
        <w:pStyle w:val="BodyText2"/>
        <w:tabs>
          <w:tab w:val="left" w:pos="1440"/>
        </w:tabs>
        <w:ind w:firstLine="720"/>
        <w:rPr>
          <w:b/>
          <w:bCs/>
        </w:rPr>
      </w:pPr>
      <w:r w:rsidRPr="00CE2E7A">
        <w:rPr>
          <w:b/>
          <w:bCs/>
        </w:rPr>
        <w:t>Q.</w:t>
      </w:r>
      <w:r w:rsidRPr="00CE2E7A">
        <w:rPr>
          <w:b/>
          <w:bCs/>
        </w:rPr>
        <w:tab/>
        <w:t>What is the review period for the annual ERM filing?</w:t>
      </w:r>
    </w:p>
    <w:p w:rsidR="00412992" w:rsidRDefault="00A43F3D" w:rsidP="00412992">
      <w:pPr>
        <w:pStyle w:val="BodyText2"/>
        <w:tabs>
          <w:tab w:val="left" w:pos="1440"/>
        </w:tabs>
        <w:ind w:firstLine="720"/>
      </w:pPr>
      <w:r w:rsidRPr="00CE2E7A">
        <w:t>A.</w:t>
      </w:r>
      <w:r w:rsidRPr="00CE2E7A">
        <w:tab/>
        <w:t>The Commission Staff and interested parties have the opportunity to review the deferral information during a 90-day review period ending June 30</w:t>
      </w:r>
      <w:r w:rsidRPr="00CE2E7A">
        <w:rPr>
          <w:vertAlign w:val="superscript"/>
        </w:rPr>
        <w:t>th</w:t>
      </w:r>
      <w:r w:rsidRPr="00CE2E7A">
        <w:t xml:space="preserve"> each year.  The 90-day review period may be extended by agreement of the parties participating in the review, or by Commission order.</w:t>
      </w:r>
      <w:r w:rsidR="00412992">
        <w:br w:type="page"/>
      </w:r>
    </w:p>
    <w:p w:rsidR="00A43F3D" w:rsidRPr="00CE2E7A" w:rsidRDefault="00A43F3D">
      <w:pPr>
        <w:pStyle w:val="BodyText2"/>
        <w:tabs>
          <w:tab w:val="left" w:pos="1440"/>
        </w:tabs>
        <w:ind w:firstLine="720"/>
        <w:rPr>
          <w:b/>
          <w:bCs/>
        </w:rPr>
      </w:pPr>
      <w:r w:rsidRPr="00CE2E7A">
        <w:rPr>
          <w:b/>
          <w:bCs/>
        </w:rPr>
        <w:t>Q.</w:t>
      </w:r>
      <w:r w:rsidRPr="00CE2E7A">
        <w:rPr>
          <w:b/>
          <w:bCs/>
        </w:rPr>
        <w:tab/>
        <w:t>When was the last annual ERM filing addressed by the Commission?</w:t>
      </w:r>
    </w:p>
    <w:p w:rsidR="00A43F3D" w:rsidRPr="00CE2E7A" w:rsidRDefault="00A43F3D">
      <w:pPr>
        <w:pStyle w:val="BodyText2"/>
        <w:tabs>
          <w:tab w:val="left" w:pos="1440"/>
        </w:tabs>
        <w:ind w:firstLine="720"/>
      </w:pPr>
      <w:r w:rsidRPr="00CE2E7A">
        <w:t>A.</w:t>
      </w:r>
      <w:r w:rsidRPr="00CE2E7A">
        <w:tab/>
        <w:t>The annual ERM filing covering the 20</w:t>
      </w:r>
      <w:r w:rsidR="001A324A">
        <w:t>1</w:t>
      </w:r>
      <w:r w:rsidR="00297424">
        <w:t>3</w:t>
      </w:r>
      <w:r w:rsidRPr="00CE2E7A">
        <w:t xml:space="preserve"> calendar year was </w:t>
      </w:r>
      <w:r w:rsidR="000A5F62">
        <w:t>filed</w:t>
      </w:r>
      <w:r w:rsidRPr="00CE2E7A">
        <w:t xml:space="preserve"> </w:t>
      </w:r>
      <w:r w:rsidR="00525E3B">
        <w:t>March 2</w:t>
      </w:r>
      <w:r w:rsidR="00537AEB">
        <w:t>8</w:t>
      </w:r>
      <w:r w:rsidR="000A5F62">
        <w:t>, 201</w:t>
      </w:r>
      <w:r w:rsidR="00D84A51">
        <w:t>4</w:t>
      </w:r>
      <w:r w:rsidR="000A5F62">
        <w:t xml:space="preserve"> </w:t>
      </w:r>
      <w:r w:rsidRPr="00CE2E7A">
        <w:t>in Docket No. UE-</w:t>
      </w:r>
      <w:r w:rsidR="00537AEB">
        <w:t>1</w:t>
      </w:r>
      <w:r w:rsidR="00D84A51">
        <w:t>40540</w:t>
      </w:r>
      <w:r w:rsidRPr="00CE2E7A">
        <w:t xml:space="preserve">.  </w:t>
      </w:r>
      <w:r w:rsidR="00525E3B" w:rsidRPr="00CE2E7A">
        <w:t xml:space="preserve">Order </w:t>
      </w:r>
      <w:r w:rsidR="009F41F4">
        <w:t xml:space="preserve">No. </w:t>
      </w:r>
      <w:r w:rsidR="00525E3B" w:rsidRPr="00CE2E7A">
        <w:t xml:space="preserve">01 was issued in that </w:t>
      </w:r>
      <w:r w:rsidR="009F41F4">
        <w:t>D</w:t>
      </w:r>
      <w:r w:rsidR="00525E3B" w:rsidRPr="00CE2E7A">
        <w:t xml:space="preserve">ocket on </w:t>
      </w:r>
      <w:r w:rsidR="00537AEB">
        <w:t>July 1</w:t>
      </w:r>
      <w:r w:rsidR="00D84A51">
        <w:t>0</w:t>
      </w:r>
      <w:r w:rsidR="00525E3B">
        <w:t>, 201</w:t>
      </w:r>
      <w:r w:rsidR="00D84A51">
        <w:t>4</w:t>
      </w:r>
      <w:r w:rsidR="00525E3B" w:rsidRPr="00CE2E7A">
        <w:t>, and the Commission found that the power cost deferrals for 20</w:t>
      </w:r>
      <w:r w:rsidR="00FD1608">
        <w:t>1</w:t>
      </w:r>
      <w:r w:rsidR="00D84A51">
        <w:t>3</w:t>
      </w:r>
      <w:r w:rsidR="00525E3B" w:rsidRPr="00CE2E7A">
        <w:t xml:space="preserve"> were </w:t>
      </w:r>
      <w:r w:rsidR="00FD1608">
        <w:t>properly calculated and recorded</w:t>
      </w:r>
      <w:r w:rsidR="000A5F62" w:rsidRPr="00C85B93">
        <w:t>.</w:t>
      </w:r>
    </w:p>
    <w:p w:rsidR="00A43F3D" w:rsidRPr="00CE2E7A" w:rsidRDefault="00A43F3D">
      <w:pPr>
        <w:pStyle w:val="BodyText2"/>
        <w:tabs>
          <w:tab w:val="left" w:pos="1440"/>
        </w:tabs>
        <w:ind w:firstLine="720"/>
        <w:rPr>
          <w:b/>
          <w:bCs/>
        </w:rPr>
      </w:pPr>
      <w:r w:rsidRPr="00CE2E7A">
        <w:rPr>
          <w:b/>
          <w:bCs/>
        </w:rPr>
        <w:t>Q.</w:t>
      </w:r>
      <w:r w:rsidRPr="00CE2E7A">
        <w:rPr>
          <w:b/>
          <w:bCs/>
        </w:rPr>
        <w:tab/>
        <w:t>Ha</w:t>
      </w:r>
      <w:r w:rsidR="003E5640">
        <w:rPr>
          <w:b/>
          <w:bCs/>
        </w:rPr>
        <w:t>ve</w:t>
      </w:r>
      <w:r w:rsidRPr="00CE2E7A">
        <w:rPr>
          <w:b/>
          <w:bCs/>
        </w:rPr>
        <w:t xml:space="preserve"> the </w:t>
      </w:r>
      <w:r w:rsidR="000C4A66">
        <w:rPr>
          <w:b/>
          <w:bCs/>
        </w:rPr>
        <w:t>201</w:t>
      </w:r>
      <w:r w:rsidR="00D84A51">
        <w:rPr>
          <w:b/>
          <w:bCs/>
        </w:rPr>
        <w:t>4</w:t>
      </w:r>
      <w:r w:rsidRPr="00CE2E7A">
        <w:rPr>
          <w:b/>
          <w:bCs/>
        </w:rPr>
        <w:t xml:space="preserve"> ERM calculations and accounting entries been made in a manner consistent with the ERM methodology approved by the Commission?</w:t>
      </w:r>
    </w:p>
    <w:p w:rsidR="00A43F3D" w:rsidRPr="00CE2E7A" w:rsidRDefault="00A43F3D">
      <w:pPr>
        <w:pStyle w:val="BodyText2"/>
        <w:tabs>
          <w:tab w:val="left" w:pos="1440"/>
        </w:tabs>
        <w:ind w:firstLine="720"/>
        <w:jc w:val="left"/>
        <w:rPr>
          <w:rFonts w:cs="Palatino Linotype"/>
        </w:rPr>
      </w:pPr>
      <w:r w:rsidRPr="00CE2E7A">
        <w:t>A.</w:t>
      </w:r>
      <w:r w:rsidRPr="00CE2E7A">
        <w:tab/>
        <w:t>Yes.</w:t>
      </w:r>
    </w:p>
    <w:p w:rsidR="00A43F3D" w:rsidRPr="00CE2E7A" w:rsidRDefault="00A43F3D">
      <w:pPr>
        <w:pStyle w:val="BodyText2"/>
        <w:tabs>
          <w:tab w:val="left" w:pos="1440"/>
        </w:tabs>
        <w:ind w:firstLine="720"/>
        <w:rPr>
          <w:b/>
          <w:bCs/>
        </w:rPr>
      </w:pPr>
      <w:r w:rsidRPr="00CE2E7A">
        <w:rPr>
          <w:b/>
          <w:bCs/>
        </w:rPr>
        <w:t>Q.</w:t>
      </w:r>
      <w:r w:rsidRPr="00CE2E7A">
        <w:rPr>
          <w:b/>
          <w:bCs/>
        </w:rPr>
        <w:tab/>
        <w:t>Does this conclude your pre-filed</w:t>
      </w:r>
      <w:r w:rsidR="00093A20">
        <w:rPr>
          <w:b/>
          <w:bCs/>
        </w:rPr>
        <w:t>,</w:t>
      </w:r>
      <w:r w:rsidRPr="00CE2E7A">
        <w:rPr>
          <w:b/>
          <w:bCs/>
        </w:rPr>
        <w:t xml:space="preserve"> direct testimony?</w:t>
      </w:r>
    </w:p>
    <w:p w:rsidR="00A43F3D" w:rsidRDefault="00A43F3D" w:rsidP="000045F7">
      <w:pPr>
        <w:pStyle w:val="BodyText2"/>
        <w:tabs>
          <w:tab w:val="left" w:pos="1440"/>
        </w:tabs>
        <w:ind w:firstLine="720"/>
        <w:jc w:val="left"/>
        <w:rPr>
          <w:rFonts w:ascii="Palatino Linotype" w:hAnsi="Palatino Linotype" w:cs="Palatino Linotype"/>
        </w:rPr>
      </w:pPr>
      <w:r w:rsidRPr="00CE2E7A">
        <w:t>A.</w:t>
      </w:r>
      <w:r w:rsidRPr="00CE2E7A">
        <w:tab/>
        <w:t>Yes, it does.</w:t>
      </w:r>
    </w:p>
    <w:sectPr w:rsidR="00A43F3D" w:rsidSect="00412992">
      <w:pgSz w:w="12240" w:h="15840" w:code="1"/>
      <w:pgMar w:top="1440" w:right="1440" w:bottom="1440" w:left="1872" w:header="720" w:footer="36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CE3" w:rsidRDefault="00573CE3">
      <w:r>
        <w:separator/>
      </w:r>
    </w:p>
  </w:endnote>
  <w:endnote w:type="continuationSeparator" w:id="0">
    <w:p w:rsidR="00573CE3" w:rsidRDefault="0057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E3" w:rsidRPr="00AC1242" w:rsidRDefault="00573CE3">
    <w:pPr>
      <w:pStyle w:val="Footer"/>
      <w:tabs>
        <w:tab w:val="clear" w:pos="4320"/>
        <w:tab w:val="clear" w:pos="8640"/>
        <w:tab w:val="left" w:pos="180"/>
        <w:tab w:val="right" w:pos="9360"/>
      </w:tabs>
    </w:pPr>
    <w:r w:rsidRPr="00AC1242">
      <w:t xml:space="preserve">Direct Testimony of </w:t>
    </w:r>
    <w:r>
      <w:t>Patrick D. Ehrbar</w:t>
    </w:r>
    <w:r w:rsidRPr="00AC1242">
      <w:tab/>
    </w:r>
  </w:p>
  <w:p w:rsidR="00573CE3" w:rsidRPr="00AC1242" w:rsidRDefault="00573CE3">
    <w:pPr>
      <w:pStyle w:val="Footer"/>
      <w:tabs>
        <w:tab w:val="clear" w:pos="4320"/>
        <w:tab w:val="clear" w:pos="8640"/>
        <w:tab w:val="left" w:pos="180"/>
        <w:tab w:val="right" w:pos="9360"/>
      </w:tabs>
    </w:pPr>
    <w:r w:rsidRPr="00AC1242">
      <w:t>Avista Corporation</w:t>
    </w:r>
  </w:p>
  <w:p w:rsidR="00573CE3" w:rsidRPr="00406EDE" w:rsidRDefault="00573CE3">
    <w:pPr>
      <w:pStyle w:val="Footer"/>
      <w:tabs>
        <w:tab w:val="clear" w:pos="4320"/>
        <w:tab w:val="clear" w:pos="8640"/>
        <w:tab w:val="left" w:pos="180"/>
        <w:tab w:val="right" w:pos="9360"/>
      </w:tabs>
      <w:rPr>
        <w:sz w:val="22"/>
        <w:szCs w:val="22"/>
        <w:lang w:val="fr-FR"/>
      </w:rPr>
    </w:pPr>
    <w:r w:rsidRPr="00AC1242">
      <w:t>Docket No. UE-1</w:t>
    </w:r>
    <w:r>
      <w:t>5</w:t>
    </w:r>
    <w:r w:rsidRPr="00AC1242">
      <w:t>____</w:t>
    </w:r>
    <w:r w:rsidRPr="00406EDE">
      <w:rPr>
        <w:sz w:val="22"/>
        <w:szCs w:val="22"/>
      </w:rPr>
      <w:tab/>
      <w:t>Page</w:t>
    </w:r>
    <w:r w:rsidRPr="00406EDE">
      <w:rPr>
        <w:rFonts w:ascii="Palatino Linotype" w:hAnsi="Palatino Linotype" w:cs="Palatino Linotype"/>
        <w:sz w:val="22"/>
        <w:szCs w:val="22"/>
      </w:rPr>
      <w:t xml:space="preserve"> </w:t>
    </w:r>
    <w:r w:rsidR="001946F9" w:rsidRPr="00406EDE">
      <w:rPr>
        <w:rStyle w:val="PageNumber"/>
        <w:rFonts w:ascii="Palatino Linotype" w:hAnsi="Palatino Linotype" w:cs="Palatino Linotype"/>
        <w:sz w:val="22"/>
        <w:szCs w:val="22"/>
      </w:rPr>
      <w:fldChar w:fldCharType="begin"/>
    </w:r>
    <w:r w:rsidRPr="00406EDE">
      <w:rPr>
        <w:rStyle w:val="PageNumber"/>
        <w:rFonts w:ascii="Palatino Linotype" w:hAnsi="Palatino Linotype" w:cs="Palatino Linotype"/>
        <w:sz w:val="22"/>
        <w:szCs w:val="22"/>
      </w:rPr>
      <w:instrText xml:space="preserve"> PAGE </w:instrText>
    </w:r>
    <w:r w:rsidR="001946F9" w:rsidRPr="00406EDE">
      <w:rPr>
        <w:rStyle w:val="PageNumber"/>
        <w:rFonts w:ascii="Palatino Linotype" w:hAnsi="Palatino Linotype" w:cs="Palatino Linotype"/>
        <w:sz w:val="22"/>
        <w:szCs w:val="22"/>
      </w:rPr>
      <w:fldChar w:fldCharType="separate"/>
    </w:r>
    <w:r w:rsidR="00BC497E">
      <w:rPr>
        <w:rStyle w:val="PageNumber"/>
        <w:rFonts w:ascii="Palatino Linotype" w:hAnsi="Palatino Linotype" w:cs="Palatino Linotype"/>
        <w:noProof/>
        <w:sz w:val="22"/>
        <w:szCs w:val="22"/>
      </w:rPr>
      <w:t>7</w:t>
    </w:r>
    <w:r w:rsidR="001946F9" w:rsidRPr="00406EDE">
      <w:rPr>
        <w:rStyle w:val="PageNumber"/>
        <w:rFonts w:ascii="Palatino Linotype" w:hAnsi="Palatino Linotype" w:cs="Palatino Linotyp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E3" w:rsidRDefault="00573CE3">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CE3" w:rsidRDefault="00573CE3">
      <w:r>
        <w:separator/>
      </w:r>
    </w:p>
  </w:footnote>
  <w:footnote w:type="continuationSeparator" w:id="0">
    <w:p w:rsidR="00573CE3" w:rsidRDefault="00573CE3">
      <w:r>
        <w:continuationSeparator/>
      </w:r>
    </w:p>
  </w:footnote>
  <w:footnote w:id="1">
    <w:p w:rsidR="00573CE3" w:rsidRDefault="00573CE3">
      <w:pPr>
        <w:pStyle w:val="FootnoteText"/>
      </w:pPr>
      <w:r>
        <w:rPr>
          <w:rStyle w:val="FootnoteReference"/>
        </w:rPr>
        <w:footnoteRef/>
      </w:r>
      <w:r>
        <w:t>Interest was recorded in the amount of $79,031 in addition to the $4,144,980 in deferrals for a total deferral balance in the rebate direction of $4,224,011.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E3" w:rsidRDefault="00573CE3">
    <w:pPr>
      <w:pStyle w:val="Header"/>
      <w:jc w:val="right"/>
    </w:pPr>
    <w:r>
      <w:t>Exhibit No. ___(PDE-1T)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
    <w:nsid w:val="73607276"/>
    <w:multiLevelType w:val="hybridMultilevel"/>
    <w:tmpl w:val="C34E21F4"/>
    <w:lvl w:ilvl="0" w:tplc="6D42F88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25927"/>
    <w:rsid w:val="000045F7"/>
    <w:rsid w:val="000110E8"/>
    <w:rsid w:val="00021746"/>
    <w:rsid w:val="00042D5E"/>
    <w:rsid w:val="00044B05"/>
    <w:rsid w:val="00072F22"/>
    <w:rsid w:val="0009305C"/>
    <w:rsid w:val="00093A20"/>
    <w:rsid w:val="00096B1C"/>
    <w:rsid w:val="000A1D1E"/>
    <w:rsid w:val="000A5F62"/>
    <w:rsid w:val="000C4A66"/>
    <w:rsid w:val="000F59A2"/>
    <w:rsid w:val="000F6B19"/>
    <w:rsid w:val="000F76BC"/>
    <w:rsid w:val="000F789D"/>
    <w:rsid w:val="00110D86"/>
    <w:rsid w:val="00111B0C"/>
    <w:rsid w:val="00112034"/>
    <w:rsid w:val="00116958"/>
    <w:rsid w:val="0013209F"/>
    <w:rsid w:val="00147D87"/>
    <w:rsid w:val="001669E4"/>
    <w:rsid w:val="0017779C"/>
    <w:rsid w:val="0019202B"/>
    <w:rsid w:val="00193607"/>
    <w:rsid w:val="001946F9"/>
    <w:rsid w:val="001A324A"/>
    <w:rsid w:val="001B7E08"/>
    <w:rsid w:val="001C3FC1"/>
    <w:rsid w:val="00225927"/>
    <w:rsid w:val="00253CFB"/>
    <w:rsid w:val="00254649"/>
    <w:rsid w:val="002611BD"/>
    <w:rsid w:val="00261A1D"/>
    <w:rsid w:val="00261F4B"/>
    <w:rsid w:val="00273470"/>
    <w:rsid w:val="00276763"/>
    <w:rsid w:val="00281F4C"/>
    <w:rsid w:val="00297424"/>
    <w:rsid w:val="002D040E"/>
    <w:rsid w:val="002E0362"/>
    <w:rsid w:val="00356653"/>
    <w:rsid w:val="00365715"/>
    <w:rsid w:val="0036602F"/>
    <w:rsid w:val="00370334"/>
    <w:rsid w:val="003712AC"/>
    <w:rsid w:val="00371A34"/>
    <w:rsid w:val="003A38E2"/>
    <w:rsid w:val="003D6493"/>
    <w:rsid w:val="003E09AF"/>
    <w:rsid w:val="003E457F"/>
    <w:rsid w:val="003E5640"/>
    <w:rsid w:val="0040093F"/>
    <w:rsid w:val="00406EDE"/>
    <w:rsid w:val="00412992"/>
    <w:rsid w:val="0044338E"/>
    <w:rsid w:val="00454126"/>
    <w:rsid w:val="00454F7D"/>
    <w:rsid w:val="004561F7"/>
    <w:rsid w:val="004564FD"/>
    <w:rsid w:val="00461F98"/>
    <w:rsid w:val="00470EF7"/>
    <w:rsid w:val="00486650"/>
    <w:rsid w:val="004A5797"/>
    <w:rsid w:val="004C23A3"/>
    <w:rsid w:val="004D35A2"/>
    <w:rsid w:val="00512E05"/>
    <w:rsid w:val="00521E66"/>
    <w:rsid w:val="00525E3B"/>
    <w:rsid w:val="0053263D"/>
    <w:rsid w:val="00536370"/>
    <w:rsid w:val="00537AEB"/>
    <w:rsid w:val="005512F1"/>
    <w:rsid w:val="00573CE3"/>
    <w:rsid w:val="005745B5"/>
    <w:rsid w:val="005847EF"/>
    <w:rsid w:val="0058656D"/>
    <w:rsid w:val="00596557"/>
    <w:rsid w:val="005B7D98"/>
    <w:rsid w:val="006128E5"/>
    <w:rsid w:val="00615A37"/>
    <w:rsid w:val="00623690"/>
    <w:rsid w:val="00626A10"/>
    <w:rsid w:val="00634D40"/>
    <w:rsid w:val="00660C5E"/>
    <w:rsid w:val="0067184B"/>
    <w:rsid w:val="00684369"/>
    <w:rsid w:val="006A76AB"/>
    <w:rsid w:val="006B028E"/>
    <w:rsid w:val="006B2F56"/>
    <w:rsid w:val="006B3557"/>
    <w:rsid w:val="006B51D3"/>
    <w:rsid w:val="006C2C6B"/>
    <w:rsid w:val="006E172B"/>
    <w:rsid w:val="006E56E2"/>
    <w:rsid w:val="006E583B"/>
    <w:rsid w:val="006F320B"/>
    <w:rsid w:val="00707041"/>
    <w:rsid w:val="00725E0C"/>
    <w:rsid w:val="0073308E"/>
    <w:rsid w:val="00744CF1"/>
    <w:rsid w:val="00745A69"/>
    <w:rsid w:val="00746D1F"/>
    <w:rsid w:val="00763FA4"/>
    <w:rsid w:val="00767A39"/>
    <w:rsid w:val="00780CF0"/>
    <w:rsid w:val="00786E83"/>
    <w:rsid w:val="007A0203"/>
    <w:rsid w:val="007A0355"/>
    <w:rsid w:val="007A7DB8"/>
    <w:rsid w:val="007B3ED9"/>
    <w:rsid w:val="007C09FB"/>
    <w:rsid w:val="007C2FD3"/>
    <w:rsid w:val="007E575A"/>
    <w:rsid w:val="007E5CF0"/>
    <w:rsid w:val="007F788B"/>
    <w:rsid w:val="00804350"/>
    <w:rsid w:val="008059E4"/>
    <w:rsid w:val="0081012A"/>
    <w:rsid w:val="0081185E"/>
    <w:rsid w:val="0083113C"/>
    <w:rsid w:val="00847077"/>
    <w:rsid w:val="00851C37"/>
    <w:rsid w:val="008A5979"/>
    <w:rsid w:val="008C6700"/>
    <w:rsid w:val="008F1C4B"/>
    <w:rsid w:val="008F44C6"/>
    <w:rsid w:val="00910DBD"/>
    <w:rsid w:val="00924A73"/>
    <w:rsid w:val="009327BC"/>
    <w:rsid w:val="009356CE"/>
    <w:rsid w:val="00944360"/>
    <w:rsid w:val="0095289F"/>
    <w:rsid w:val="00954E38"/>
    <w:rsid w:val="00976565"/>
    <w:rsid w:val="00982295"/>
    <w:rsid w:val="009825CE"/>
    <w:rsid w:val="00984C67"/>
    <w:rsid w:val="00985205"/>
    <w:rsid w:val="0099210F"/>
    <w:rsid w:val="00993612"/>
    <w:rsid w:val="009B228E"/>
    <w:rsid w:val="009E767C"/>
    <w:rsid w:val="009F41F4"/>
    <w:rsid w:val="00A00216"/>
    <w:rsid w:val="00A148E6"/>
    <w:rsid w:val="00A17E4D"/>
    <w:rsid w:val="00A24456"/>
    <w:rsid w:val="00A30ED5"/>
    <w:rsid w:val="00A36B37"/>
    <w:rsid w:val="00A435C6"/>
    <w:rsid w:val="00A43F3D"/>
    <w:rsid w:val="00A47FDA"/>
    <w:rsid w:val="00A512B2"/>
    <w:rsid w:val="00A73747"/>
    <w:rsid w:val="00AA59EC"/>
    <w:rsid w:val="00AC1242"/>
    <w:rsid w:val="00AC1F73"/>
    <w:rsid w:val="00AC2B50"/>
    <w:rsid w:val="00AD1473"/>
    <w:rsid w:val="00AD4C3B"/>
    <w:rsid w:val="00AD58EF"/>
    <w:rsid w:val="00AD7F2E"/>
    <w:rsid w:val="00AE30C4"/>
    <w:rsid w:val="00AE6D6C"/>
    <w:rsid w:val="00AF1E88"/>
    <w:rsid w:val="00B02CFD"/>
    <w:rsid w:val="00B128F6"/>
    <w:rsid w:val="00B12EAD"/>
    <w:rsid w:val="00B14148"/>
    <w:rsid w:val="00B23381"/>
    <w:rsid w:val="00B42743"/>
    <w:rsid w:val="00B42E0F"/>
    <w:rsid w:val="00B43824"/>
    <w:rsid w:val="00B535B8"/>
    <w:rsid w:val="00B53B4B"/>
    <w:rsid w:val="00B8151A"/>
    <w:rsid w:val="00B977F1"/>
    <w:rsid w:val="00BB4663"/>
    <w:rsid w:val="00BB6ECA"/>
    <w:rsid w:val="00BC497E"/>
    <w:rsid w:val="00BC7592"/>
    <w:rsid w:val="00BD4414"/>
    <w:rsid w:val="00BD4A90"/>
    <w:rsid w:val="00BD5FE7"/>
    <w:rsid w:val="00BE3179"/>
    <w:rsid w:val="00BE426E"/>
    <w:rsid w:val="00C129FE"/>
    <w:rsid w:val="00C40E4F"/>
    <w:rsid w:val="00C462B2"/>
    <w:rsid w:val="00C55C1A"/>
    <w:rsid w:val="00C6168E"/>
    <w:rsid w:val="00C7148B"/>
    <w:rsid w:val="00C85DB7"/>
    <w:rsid w:val="00C92EDF"/>
    <w:rsid w:val="00C962C1"/>
    <w:rsid w:val="00CD1A02"/>
    <w:rsid w:val="00CE0D02"/>
    <w:rsid w:val="00CE2E7A"/>
    <w:rsid w:val="00CE73E3"/>
    <w:rsid w:val="00CF181B"/>
    <w:rsid w:val="00D142A9"/>
    <w:rsid w:val="00D15FBB"/>
    <w:rsid w:val="00D254E5"/>
    <w:rsid w:val="00D35A08"/>
    <w:rsid w:val="00D433C6"/>
    <w:rsid w:val="00D4722B"/>
    <w:rsid w:val="00D50E6C"/>
    <w:rsid w:val="00D62E34"/>
    <w:rsid w:val="00D77965"/>
    <w:rsid w:val="00D84A51"/>
    <w:rsid w:val="00D92B5F"/>
    <w:rsid w:val="00D9695C"/>
    <w:rsid w:val="00DA116A"/>
    <w:rsid w:val="00DA4108"/>
    <w:rsid w:val="00DA686E"/>
    <w:rsid w:val="00DB5CE6"/>
    <w:rsid w:val="00DC7A0A"/>
    <w:rsid w:val="00DF7BE4"/>
    <w:rsid w:val="00E035DE"/>
    <w:rsid w:val="00E03C16"/>
    <w:rsid w:val="00E07F58"/>
    <w:rsid w:val="00E40EF0"/>
    <w:rsid w:val="00E51115"/>
    <w:rsid w:val="00E62D93"/>
    <w:rsid w:val="00E66980"/>
    <w:rsid w:val="00E82E25"/>
    <w:rsid w:val="00E84ED2"/>
    <w:rsid w:val="00EA2DCA"/>
    <w:rsid w:val="00EE0531"/>
    <w:rsid w:val="00EF026E"/>
    <w:rsid w:val="00EF197E"/>
    <w:rsid w:val="00EF27BD"/>
    <w:rsid w:val="00EF3246"/>
    <w:rsid w:val="00EF3B45"/>
    <w:rsid w:val="00F05296"/>
    <w:rsid w:val="00F05C52"/>
    <w:rsid w:val="00F224B1"/>
    <w:rsid w:val="00F2681E"/>
    <w:rsid w:val="00F34D24"/>
    <w:rsid w:val="00F441BD"/>
    <w:rsid w:val="00F63008"/>
    <w:rsid w:val="00F6344D"/>
    <w:rsid w:val="00F76DFC"/>
    <w:rsid w:val="00F90322"/>
    <w:rsid w:val="00F90F34"/>
    <w:rsid w:val="00F9585C"/>
    <w:rsid w:val="00FA1DAF"/>
    <w:rsid w:val="00FA7A2B"/>
    <w:rsid w:val="00FC5FEA"/>
    <w:rsid w:val="00FD1608"/>
    <w:rsid w:val="00FD6EB6"/>
    <w:rsid w:val="00FE00F9"/>
    <w:rsid w:val="00FE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8D4CCF-A16F-4008-AF5A-7C5ADA5F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73"/>
    <w:pPr>
      <w:autoSpaceDE w:val="0"/>
      <w:autoSpaceDN w:val="0"/>
    </w:pPr>
    <w:rPr>
      <w:sz w:val="24"/>
      <w:szCs w:val="24"/>
    </w:rPr>
  </w:style>
  <w:style w:type="paragraph" w:styleId="Heading1">
    <w:name w:val="heading 1"/>
    <w:basedOn w:val="Normal"/>
    <w:next w:val="Normal"/>
    <w:qFormat/>
    <w:rsid w:val="00AD147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1473"/>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1473"/>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1473"/>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1473"/>
    <w:pPr>
      <w:keepNext/>
      <w:spacing w:line="480" w:lineRule="auto"/>
      <w:jc w:val="center"/>
      <w:outlineLvl w:val="4"/>
    </w:pPr>
    <w:rPr>
      <w:b/>
      <w:bCs/>
    </w:rPr>
  </w:style>
  <w:style w:type="paragraph" w:styleId="Heading6">
    <w:name w:val="heading 6"/>
    <w:basedOn w:val="Normal"/>
    <w:next w:val="Normal"/>
    <w:qFormat/>
    <w:rsid w:val="00AD1473"/>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1473"/>
    <w:pPr>
      <w:keepNext/>
      <w:tabs>
        <w:tab w:val="left" w:pos="1260"/>
      </w:tabs>
      <w:jc w:val="right"/>
      <w:outlineLvl w:val="6"/>
    </w:pPr>
    <w:rPr>
      <w:sz w:val="20"/>
      <w:szCs w:val="20"/>
    </w:rPr>
  </w:style>
  <w:style w:type="paragraph" w:styleId="Heading8">
    <w:name w:val="heading 8"/>
    <w:basedOn w:val="Normal"/>
    <w:next w:val="Normal"/>
    <w:qFormat/>
    <w:rsid w:val="00AD1473"/>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147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473"/>
    <w:pPr>
      <w:tabs>
        <w:tab w:val="center" w:pos="4320"/>
        <w:tab w:val="right" w:pos="8640"/>
      </w:tabs>
    </w:pPr>
  </w:style>
  <w:style w:type="paragraph" w:styleId="Footer">
    <w:name w:val="footer"/>
    <w:basedOn w:val="Normal"/>
    <w:rsid w:val="00AD1473"/>
    <w:pPr>
      <w:tabs>
        <w:tab w:val="center" w:pos="4320"/>
        <w:tab w:val="right" w:pos="8640"/>
      </w:tabs>
    </w:pPr>
  </w:style>
  <w:style w:type="character" w:styleId="PageNumber">
    <w:name w:val="page number"/>
    <w:basedOn w:val="DefaultParagraphFont"/>
    <w:rsid w:val="00AD1473"/>
    <w:rPr>
      <w:rFonts w:ascii="Times New Roman" w:hAnsi="Times New Roman" w:cs="Times New Roman"/>
      <w:sz w:val="24"/>
      <w:szCs w:val="24"/>
    </w:rPr>
  </w:style>
  <w:style w:type="character" w:styleId="LineNumber">
    <w:name w:val="line number"/>
    <w:basedOn w:val="DefaultParagraphFont"/>
    <w:rsid w:val="00AD1473"/>
    <w:rPr>
      <w:rFonts w:ascii="Times New Roman" w:hAnsi="Times New Roman" w:cs="Times New Roman"/>
      <w:sz w:val="24"/>
      <w:szCs w:val="24"/>
    </w:rPr>
  </w:style>
  <w:style w:type="paragraph" w:styleId="BodyText2">
    <w:name w:val="Body Text 2"/>
    <w:basedOn w:val="Normal"/>
    <w:link w:val="BodyText2Char"/>
    <w:rsid w:val="00AD1473"/>
    <w:pPr>
      <w:spacing w:line="480" w:lineRule="auto"/>
      <w:jc w:val="both"/>
    </w:pPr>
  </w:style>
  <w:style w:type="paragraph" w:styleId="BodyTextIndent2">
    <w:name w:val="Body Text Indent 2"/>
    <w:basedOn w:val="Normal"/>
    <w:rsid w:val="00AD1473"/>
    <w:pPr>
      <w:tabs>
        <w:tab w:val="left" w:pos="1260"/>
      </w:tabs>
      <w:spacing w:line="480" w:lineRule="auto"/>
      <w:ind w:left="540" w:hanging="540"/>
      <w:jc w:val="both"/>
    </w:pPr>
  </w:style>
  <w:style w:type="paragraph" w:styleId="BodyTextIndent3">
    <w:name w:val="Body Text Indent 3"/>
    <w:basedOn w:val="Normal"/>
    <w:rsid w:val="00AD1473"/>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1473"/>
    <w:rPr>
      <w:sz w:val="20"/>
      <w:szCs w:val="20"/>
    </w:rPr>
  </w:style>
  <w:style w:type="character" w:styleId="FootnoteReference">
    <w:name w:val="footnote reference"/>
    <w:basedOn w:val="DefaultParagraphFont"/>
    <w:uiPriority w:val="99"/>
    <w:rsid w:val="00AD1473"/>
    <w:rPr>
      <w:rFonts w:cs="Times New Roman"/>
      <w:vertAlign w:val="superscript"/>
    </w:rPr>
  </w:style>
  <w:style w:type="paragraph" w:styleId="BodyText">
    <w:name w:val="Body Text"/>
    <w:basedOn w:val="Normal"/>
    <w:link w:val="BodyTextChar"/>
    <w:rsid w:val="00AD1473"/>
    <w:pPr>
      <w:spacing w:line="360" w:lineRule="auto"/>
      <w:jc w:val="center"/>
    </w:pPr>
    <w:rPr>
      <w:b/>
      <w:bCs/>
    </w:rPr>
  </w:style>
  <w:style w:type="paragraph" w:styleId="DocumentMap">
    <w:name w:val="Document Map"/>
    <w:basedOn w:val="Normal"/>
    <w:rsid w:val="00AD1473"/>
    <w:pPr>
      <w:shd w:val="clear" w:color="auto" w:fill="000080"/>
    </w:pPr>
    <w:rPr>
      <w:rFonts w:ascii="Tahoma" w:hAnsi="Tahoma" w:cs="Tahoma"/>
    </w:rPr>
  </w:style>
  <w:style w:type="paragraph" w:customStyle="1" w:styleId="TestBody">
    <w:name w:val="Test Body"/>
    <w:uiPriority w:val="99"/>
    <w:rsid w:val="00AD147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1473"/>
    <w:pPr>
      <w:numPr>
        <w:numId w:val="1"/>
      </w:numPr>
    </w:pPr>
  </w:style>
  <w:style w:type="paragraph" w:styleId="BalloonText">
    <w:name w:val="Balloon Text"/>
    <w:basedOn w:val="Normal"/>
    <w:semiHidden/>
    <w:rsid w:val="00A43F3D"/>
    <w:rPr>
      <w:rFonts w:ascii="Tahoma" w:hAnsi="Tahoma" w:cs="Tahoma"/>
      <w:sz w:val="16"/>
      <w:szCs w:val="16"/>
    </w:rPr>
  </w:style>
  <w:style w:type="character" w:customStyle="1" w:styleId="apple-converted-space">
    <w:name w:val="apple-converted-space"/>
    <w:basedOn w:val="DefaultParagraphFont"/>
    <w:rsid w:val="003D6493"/>
  </w:style>
  <w:style w:type="character" w:customStyle="1" w:styleId="BodyTextChar">
    <w:name w:val="Body Text Char"/>
    <w:basedOn w:val="DefaultParagraphFont"/>
    <w:link w:val="BodyText"/>
    <w:rsid w:val="004564FD"/>
    <w:rPr>
      <w:b/>
      <w:bCs/>
      <w:sz w:val="24"/>
      <w:szCs w:val="24"/>
    </w:rPr>
  </w:style>
  <w:style w:type="character" w:customStyle="1" w:styleId="FootnoteTextChar">
    <w:name w:val="Footnote Text Char"/>
    <w:basedOn w:val="DefaultParagraphFont"/>
    <w:link w:val="FootnoteText"/>
    <w:uiPriority w:val="99"/>
    <w:rsid w:val="004564FD"/>
  </w:style>
  <w:style w:type="character" w:customStyle="1" w:styleId="BodyText2Char">
    <w:name w:val="Body Text 2 Char"/>
    <w:basedOn w:val="DefaultParagraphFont"/>
    <w:link w:val="BodyText2"/>
    <w:rsid w:val="004564FD"/>
    <w:rPr>
      <w:sz w:val="24"/>
      <w:szCs w:val="24"/>
    </w:rPr>
  </w:style>
  <w:style w:type="table" w:styleId="TableGrid">
    <w:name w:val="Table Grid"/>
    <w:basedOn w:val="TableNormal"/>
    <w:rsid w:val="00BB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3349ED99AEA84F95503F108E8F45F0" ma:contentTypeVersion="119" ma:contentTypeDescription="" ma:contentTypeScope="" ma:versionID="2f70d3bc30184424e24f80807feff9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18A7B4-FE75-4E56-BCC5-E0D3D33F5C60}"/>
</file>

<file path=customXml/itemProps2.xml><?xml version="1.0" encoding="utf-8"?>
<ds:datastoreItem xmlns:ds="http://schemas.openxmlformats.org/officeDocument/2006/customXml" ds:itemID="{9074DF72-5764-4182-BC8C-CA2D1E7FA5A8}"/>
</file>

<file path=customXml/itemProps3.xml><?xml version="1.0" encoding="utf-8"?>
<ds:datastoreItem xmlns:ds="http://schemas.openxmlformats.org/officeDocument/2006/customXml" ds:itemID="{BDCD511E-6DCD-4AB0-BACA-5CCFE014F556}"/>
</file>

<file path=customXml/itemProps4.xml><?xml version="1.0" encoding="utf-8"?>
<ds:datastoreItem xmlns:ds="http://schemas.openxmlformats.org/officeDocument/2006/customXml" ds:itemID="{1B1B8190-1CCB-4AAB-9599-15262C646328}"/>
</file>

<file path=customXml/itemProps5.xml><?xml version="1.0" encoding="utf-8"?>
<ds:datastoreItem xmlns:ds="http://schemas.openxmlformats.org/officeDocument/2006/customXml" ds:itemID="{DF47F333-D7B6-4905-80B7-5255533FCE78}"/>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7788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Avista Corp</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fi29</dc:creator>
  <cp:lastModifiedBy>Crawford, Denise (UTC)</cp:lastModifiedBy>
  <cp:revision>2</cp:revision>
  <cp:lastPrinted>2015-03-27T15:44:00Z</cp:lastPrinted>
  <dcterms:created xsi:type="dcterms:W3CDTF">2015-04-02T17:57:00Z</dcterms:created>
  <dcterms:modified xsi:type="dcterms:W3CDTF">2015-04-02T17:57:00Z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0x0101006E56B4D1795A2E4DB2F0B01679ED314A003F3349ED99AEA84F95503F108E8F45F0</vt:lpwstr>
  </property>
  <property fmtid="{D5CDD505-2E9C-101B-9397-08002B2CF9AE}" pid="3" name="_docset_NoMedatataSyncRequired">
    <vt:lpwstr>False</vt:lpwstr>
  </property>
</Properties>
</file>