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39" w:rsidRDefault="008A2E3E" w:rsidP="00D76529">
      <w:pPr>
        <w:rPr>
          <w:rFonts w:ascii="Arial" w:hAnsi="Arial"/>
          <w:i/>
          <w:sz w:val="18"/>
        </w:rPr>
      </w:pPr>
      <w:r>
        <w:rPr>
          <w:noProof/>
          <w:szCs w:val="24"/>
        </w:rPr>
        <w:drawing>
          <wp:anchor distT="0" distB="0" distL="114300" distR="114300" simplePos="0" relativeHeight="251657728" behindDoc="0" locked="0" layoutInCell="1" allowOverlap="1">
            <wp:simplePos x="0" y="0"/>
            <wp:positionH relativeFrom="column">
              <wp:posOffset>15240</wp:posOffset>
            </wp:positionH>
            <wp:positionV relativeFrom="paragraph">
              <wp:posOffset>-423545</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017F39" w:rsidRDefault="00017F39" w:rsidP="00D76529">
      <w:pPr>
        <w:rPr>
          <w:rFonts w:ascii="Arial" w:hAnsi="Arial"/>
          <w:i/>
          <w:sz w:val="18"/>
        </w:rPr>
      </w:pPr>
    </w:p>
    <w:p w:rsidR="00017F39" w:rsidRDefault="00017F39" w:rsidP="00D76529">
      <w:pPr>
        <w:rPr>
          <w:rFonts w:ascii="Arial" w:hAnsi="Arial"/>
          <w:i/>
          <w:sz w:val="18"/>
        </w:rPr>
      </w:pPr>
    </w:p>
    <w:p w:rsidR="00017F39" w:rsidRPr="009C591C" w:rsidRDefault="00017F39" w:rsidP="00D76529">
      <w:pPr>
        <w:rPr>
          <w:sz w:val="24"/>
          <w:szCs w:val="24"/>
        </w:rPr>
      </w:pPr>
    </w:p>
    <w:p w:rsidR="00064019" w:rsidRDefault="00064019">
      <w:pPr>
        <w:pStyle w:val="Heading1"/>
        <w:rPr>
          <w:szCs w:val="24"/>
        </w:rPr>
      </w:pPr>
    </w:p>
    <w:p w:rsidR="00064019" w:rsidRDefault="00064019">
      <w:pPr>
        <w:pStyle w:val="Heading1"/>
        <w:rPr>
          <w:szCs w:val="24"/>
        </w:rPr>
      </w:pPr>
    </w:p>
    <w:p w:rsidR="00017F39" w:rsidRPr="004F4FE7" w:rsidRDefault="00A37C98">
      <w:pPr>
        <w:pStyle w:val="Heading1"/>
        <w:rPr>
          <w:b/>
          <w:szCs w:val="24"/>
        </w:rPr>
      </w:pPr>
      <w:r>
        <w:rPr>
          <w:szCs w:val="24"/>
        </w:rPr>
        <w:t>April 15</w:t>
      </w:r>
      <w:r w:rsidR="00017F39" w:rsidRPr="004F4FE7">
        <w:rPr>
          <w:szCs w:val="24"/>
        </w:rPr>
        <w:t>, 201</w:t>
      </w:r>
      <w:r>
        <w:rPr>
          <w:szCs w:val="24"/>
        </w:rPr>
        <w:t>5</w:t>
      </w:r>
    </w:p>
    <w:p w:rsidR="00017F39" w:rsidRPr="004F4FE7" w:rsidRDefault="00017F39" w:rsidP="00D76529">
      <w:pPr>
        <w:rPr>
          <w:sz w:val="24"/>
          <w:szCs w:val="24"/>
        </w:rPr>
      </w:pPr>
    </w:p>
    <w:p w:rsidR="00017F39" w:rsidRPr="004F4FE7" w:rsidRDefault="00017F39">
      <w:pPr>
        <w:rPr>
          <w:sz w:val="24"/>
          <w:szCs w:val="24"/>
        </w:rPr>
      </w:pPr>
    </w:p>
    <w:p w:rsidR="00103255" w:rsidRPr="004F4FE7" w:rsidRDefault="00103255" w:rsidP="00103255">
      <w:pPr>
        <w:rPr>
          <w:sz w:val="24"/>
          <w:szCs w:val="24"/>
        </w:rPr>
      </w:pPr>
      <w:r w:rsidRPr="004F4FE7">
        <w:rPr>
          <w:sz w:val="24"/>
          <w:szCs w:val="24"/>
        </w:rPr>
        <w:t xml:space="preserve">Mr. Steven V. King </w:t>
      </w:r>
    </w:p>
    <w:p w:rsidR="00103255" w:rsidRPr="004F4FE7" w:rsidRDefault="00103255" w:rsidP="00103255">
      <w:pPr>
        <w:rPr>
          <w:sz w:val="24"/>
          <w:szCs w:val="24"/>
        </w:rPr>
      </w:pPr>
      <w:r w:rsidRPr="004F4FE7">
        <w:rPr>
          <w:sz w:val="24"/>
          <w:szCs w:val="24"/>
        </w:rPr>
        <w:t xml:space="preserve">Executive Director and Secretary </w:t>
      </w:r>
    </w:p>
    <w:p w:rsidR="00103255" w:rsidRPr="004F4FE7" w:rsidRDefault="00103255" w:rsidP="00103255">
      <w:pPr>
        <w:rPr>
          <w:sz w:val="24"/>
          <w:szCs w:val="24"/>
        </w:rPr>
      </w:pPr>
      <w:r w:rsidRPr="004F4FE7">
        <w:rPr>
          <w:sz w:val="24"/>
          <w:szCs w:val="24"/>
        </w:rPr>
        <w:t xml:space="preserve">Washington Utilities and Transportation Commission </w:t>
      </w:r>
    </w:p>
    <w:p w:rsidR="00103255" w:rsidRPr="004F4FE7" w:rsidRDefault="00103255" w:rsidP="00103255">
      <w:pPr>
        <w:rPr>
          <w:sz w:val="24"/>
          <w:szCs w:val="24"/>
        </w:rPr>
      </w:pPr>
      <w:r w:rsidRPr="004F4FE7">
        <w:rPr>
          <w:sz w:val="24"/>
          <w:szCs w:val="24"/>
        </w:rPr>
        <w:t>P.O. Box 47250</w:t>
      </w:r>
    </w:p>
    <w:p w:rsidR="00017F39" w:rsidRPr="004F4FE7" w:rsidRDefault="00103255" w:rsidP="00103255">
      <w:pPr>
        <w:rPr>
          <w:sz w:val="24"/>
          <w:szCs w:val="24"/>
        </w:rPr>
      </w:pPr>
      <w:r w:rsidRPr="004F4FE7">
        <w:rPr>
          <w:sz w:val="24"/>
          <w:szCs w:val="24"/>
        </w:rPr>
        <w:t>Olympia, Washington 98504-7250</w:t>
      </w:r>
    </w:p>
    <w:p w:rsidR="00103255" w:rsidRDefault="00103255" w:rsidP="00103255">
      <w:pPr>
        <w:rPr>
          <w:sz w:val="24"/>
          <w:szCs w:val="24"/>
        </w:rPr>
      </w:pPr>
    </w:p>
    <w:p w:rsidR="004F4FE7" w:rsidRPr="004F4FE7" w:rsidRDefault="004F4FE7" w:rsidP="00103255">
      <w:pPr>
        <w:rPr>
          <w:sz w:val="24"/>
          <w:szCs w:val="24"/>
        </w:rPr>
      </w:pPr>
    </w:p>
    <w:p w:rsidR="004506DD" w:rsidRPr="00DA1018" w:rsidRDefault="00017F39" w:rsidP="00A80A02">
      <w:pPr>
        <w:rPr>
          <w:b/>
          <w:sz w:val="24"/>
          <w:szCs w:val="24"/>
        </w:rPr>
      </w:pPr>
      <w:r w:rsidRPr="00DA1018">
        <w:rPr>
          <w:b/>
          <w:sz w:val="24"/>
          <w:szCs w:val="24"/>
        </w:rPr>
        <w:t>RE:</w:t>
      </w:r>
      <w:r w:rsidRPr="004F4FE7">
        <w:rPr>
          <w:sz w:val="24"/>
          <w:szCs w:val="24"/>
        </w:rPr>
        <w:t xml:space="preserve"> </w:t>
      </w:r>
      <w:r w:rsidRPr="004F4FE7">
        <w:rPr>
          <w:sz w:val="24"/>
          <w:szCs w:val="24"/>
        </w:rPr>
        <w:tab/>
      </w:r>
      <w:r w:rsidR="00A37C98">
        <w:rPr>
          <w:b/>
          <w:sz w:val="24"/>
          <w:szCs w:val="24"/>
        </w:rPr>
        <w:t>Docket No. UG-150490</w:t>
      </w:r>
      <w:r w:rsidR="004F4FE7" w:rsidRPr="00DA1018">
        <w:rPr>
          <w:b/>
          <w:sz w:val="24"/>
          <w:szCs w:val="24"/>
        </w:rPr>
        <w:t xml:space="preserve"> – Withdrawal of Tariff Filing</w:t>
      </w:r>
      <w:r w:rsidR="00DA1018" w:rsidRPr="00DA1018">
        <w:rPr>
          <w:b/>
          <w:sz w:val="24"/>
          <w:szCs w:val="24"/>
        </w:rPr>
        <w:t xml:space="preserve"> – Filed Electronically</w:t>
      </w:r>
    </w:p>
    <w:p w:rsidR="004F4FE7" w:rsidRDefault="004F4FE7">
      <w:pPr>
        <w:rPr>
          <w:sz w:val="24"/>
          <w:szCs w:val="24"/>
        </w:rPr>
      </w:pPr>
    </w:p>
    <w:p w:rsidR="00017F39" w:rsidRPr="004F4FE7" w:rsidRDefault="00017F39">
      <w:pPr>
        <w:rPr>
          <w:sz w:val="24"/>
          <w:szCs w:val="24"/>
        </w:rPr>
      </w:pPr>
      <w:r w:rsidRPr="004F4FE7">
        <w:rPr>
          <w:sz w:val="24"/>
          <w:szCs w:val="24"/>
        </w:rPr>
        <w:tab/>
      </w:r>
    </w:p>
    <w:p w:rsidR="00017F39" w:rsidRPr="004F4FE7" w:rsidRDefault="00017F39">
      <w:pPr>
        <w:rPr>
          <w:sz w:val="24"/>
          <w:szCs w:val="24"/>
        </w:rPr>
      </w:pPr>
      <w:r w:rsidRPr="004F4FE7">
        <w:rPr>
          <w:sz w:val="24"/>
          <w:szCs w:val="24"/>
        </w:rPr>
        <w:t xml:space="preserve">Dear Mr. </w:t>
      </w:r>
      <w:r w:rsidR="00103255" w:rsidRPr="004F4FE7">
        <w:rPr>
          <w:sz w:val="24"/>
          <w:szCs w:val="24"/>
        </w:rPr>
        <w:t>King</w:t>
      </w:r>
      <w:r w:rsidRPr="004F4FE7">
        <w:rPr>
          <w:sz w:val="24"/>
          <w:szCs w:val="24"/>
        </w:rPr>
        <w:t>:</w:t>
      </w:r>
    </w:p>
    <w:p w:rsidR="00017F39" w:rsidRPr="004F4FE7" w:rsidRDefault="00017F39">
      <w:pPr>
        <w:rPr>
          <w:sz w:val="24"/>
          <w:szCs w:val="24"/>
        </w:rPr>
      </w:pPr>
    </w:p>
    <w:p w:rsidR="00017F39" w:rsidRPr="004F4FE7" w:rsidRDefault="00017F39" w:rsidP="00A80A02">
      <w:pPr>
        <w:rPr>
          <w:sz w:val="24"/>
          <w:szCs w:val="24"/>
        </w:rPr>
      </w:pPr>
      <w:r w:rsidRPr="004F4FE7">
        <w:rPr>
          <w:sz w:val="24"/>
          <w:szCs w:val="24"/>
        </w:rPr>
        <w:t>Puget Sound</w:t>
      </w:r>
      <w:r w:rsidR="004506DD" w:rsidRPr="004F4FE7">
        <w:rPr>
          <w:sz w:val="24"/>
          <w:szCs w:val="24"/>
        </w:rPr>
        <w:t xml:space="preserve"> Energy, Inc. (“PSE”) submitted the following tari</w:t>
      </w:r>
      <w:r w:rsidR="00A37C98">
        <w:rPr>
          <w:sz w:val="24"/>
          <w:szCs w:val="24"/>
        </w:rPr>
        <w:t>ff sheet under the PSE Advice No. 2015-06 on March 26, 2015</w:t>
      </w:r>
      <w:r w:rsidR="0007560E" w:rsidRPr="004F4FE7">
        <w:rPr>
          <w:sz w:val="24"/>
          <w:szCs w:val="24"/>
        </w:rPr>
        <w:t>, and the filing w</w:t>
      </w:r>
      <w:r w:rsidR="00A37C98">
        <w:rPr>
          <w:sz w:val="24"/>
          <w:szCs w:val="24"/>
        </w:rPr>
        <w:t xml:space="preserve">as assigned Docket No. </w:t>
      </w:r>
      <w:proofErr w:type="gramStart"/>
      <w:r w:rsidR="00A37C98">
        <w:rPr>
          <w:sz w:val="24"/>
          <w:szCs w:val="24"/>
        </w:rPr>
        <w:t>UG-150490</w:t>
      </w:r>
      <w:r w:rsidR="0007560E" w:rsidRPr="004F4FE7">
        <w:rPr>
          <w:sz w:val="24"/>
          <w:szCs w:val="24"/>
        </w:rPr>
        <w:t>.</w:t>
      </w:r>
      <w:proofErr w:type="gramEnd"/>
      <w:r w:rsidR="0007560E" w:rsidRPr="004F4FE7">
        <w:rPr>
          <w:sz w:val="24"/>
          <w:szCs w:val="24"/>
        </w:rPr>
        <w:t xml:space="preserve"> </w:t>
      </w:r>
    </w:p>
    <w:p w:rsidR="00017F39" w:rsidRPr="005A18AF" w:rsidRDefault="00017F39" w:rsidP="00A80A02">
      <w:pPr>
        <w:rPr>
          <w:sz w:val="21"/>
          <w:szCs w:val="21"/>
        </w:rPr>
      </w:pPr>
    </w:p>
    <w:p w:rsidR="00A37C98" w:rsidRDefault="00A37C98" w:rsidP="00A37C98">
      <w:pPr>
        <w:ind w:left="720" w:hanging="450"/>
        <w:outlineLvl w:val="0"/>
        <w:rPr>
          <w:sz w:val="24"/>
          <w:szCs w:val="24"/>
        </w:rPr>
      </w:pPr>
      <w:r>
        <w:rPr>
          <w:sz w:val="24"/>
          <w:szCs w:val="24"/>
          <w:u w:val="single"/>
        </w:rPr>
        <w:t>WN U-2, (Natural Gas</w:t>
      </w:r>
      <w:r w:rsidRPr="00AD5167">
        <w:rPr>
          <w:sz w:val="24"/>
          <w:szCs w:val="24"/>
          <w:u w:val="single"/>
        </w:rPr>
        <w:t xml:space="preserve"> Tariff)</w:t>
      </w:r>
      <w:r w:rsidRPr="00AD5167">
        <w:rPr>
          <w:sz w:val="24"/>
          <w:szCs w:val="24"/>
        </w:rPr>
        <w:t>:</w:t>
      </w:r>
    </w:p>
    <w:p w:rsidR="00A37C98" w:rsidRDefault="00A37C98" w:rsidP="00A37C98">
      <w:pPr>
        <w:pStyle w:val="BodyText"/>
        <w:ind w:left="720" w:hanging="450"/>
        <w:outlineLvl w:val="0"/>
        <w:rPr>
          <w:szCs w:val="24"/>
        </w:rPr>
      </w:pPr>
      <w:r>
        <w:rPr>
          <w:szCs w:val="24"/>
        </w:rPr>
        <w:t>2</w:t>
      </w:r>
      <w:r w:rsidRPr="005F4D38">
        <w:rPr>
          <w:szCs w:val="24"/>
          <w:vertAlign w:val="superscript"/>
        </w:rPr>
        <w:t>nd</w:t>
      </w:r>
      <w:r>
        <w:rPr>
          <w:szCs w:val="24"/>
        </w:rPr>
        <w:t xml:space="preserve"> Revision of Sheet No. 1140-B   - Property Tax Tracker (Continued)</w:t>
      </w:r>
    </w:p>
    <w:p w:rsidR="006C0851" w:rsidRDefault="006C0851" w:rsidP="002A706D">
      <w:pPr>
        <w:pStyle w:val="BodyText"/>
        <w:tabs>
          <w:tab w:val="left" w:pos="2340"/>
        </w:tabs>
        <w:ind w:right="-90"/>
        <w:rPr>
          <w:snapToGrid w:val="0"/>
          <w:sz w:val="20"/>
        </w:rPr>
      </w:pPr>
    </w:p>
    <w:p w:rsidR="00A37C98" w:rsidRDefault="00A37C98" w:rsidP="00A37C98">
      <w:pPr>
        <w:rPr>
          <w:sz w:val="24"/>
          <w:szCs w:val="24"/>
        </w:rPr>
      </w:pPr>
      <w:r>
        <w:rPr>
          <w:sz w:val="24"/>
          <w:szCs w:val="24"/>
        </w:rPr>
        <w:t>The cover letter in PSE’s initial filing in this Docket No. UG-150490 included a description of the verbal agreement between PSE and Commission Staff to adjust the timing of the filing in the Property Tax Tracker.  That adjustment included an initial filing a minimum of 30 days prior to the May 1 effective date that reflected an estimate of the current year taxes followed by a subsequent filing that would be made as close to April 15</w:t>
      </w:r>
      <w:r w:rsidRPr="00664232">
        <w:rPr>
          <w:sz w:val="24"/>
          <w:szCs w:val="24"/>
          <w:vertAlign w:val="superscript"/>
        </w:rPr>
        <w:t>th</w:t>
      </w:r>
      <w:r>
        <w:rPr>
          <w:sz w:val="24"/>
          <w:szCs w:val="24"/>
        </w:rPr>
        <w:t xml:space="preserve"> as possible that would update the current year estimates to actual amounts.</w:t>
      </w:r>
    </w:p>
    <w:p w:rsidR="00A37C98" w:rsidRDefault="00A37C98" w:rsidP="00A37C98">
      <w:pPr>
        <w:rPr>
          <w:sz w:val="24"/>
          <w:szCs w:val="24"/>
        </w:rPr>
      </w:pPr>
    </w:p>
    <w:p w:rsidR="00A37C98" w:rsidRDefault="00A37C98" w:rsidP="00A37C98">
      <w:pPr>
        <w:rPr>
          <w:sz w:val="24"/>
          <w:szCs w:val="24"/>
        </w:rPr>
      </w:pPr>
      <w:r>
        <w:rPr>
          <w:sz w:val="24"/>
          <w:szCs w:val="24"/>
        </w:rPr>
        <w:t xml:space="preserve">As mentioned in the cover letter for the initial filing, PSE’s existing Schedule 140 </w:t>
      </w:r>
      <w:r w:rsidR="002F7EDC">
        <w:rPr>
          <w:sz w:val="24"/>
          <w:szCs w:val="24"/>
        </w:rPr>
        <w:t xml:space="preserve">(Sheet 1140-A, Section 3, paragraph 5) </w:t>
      </w:r>
      <w:r>
        <w:rPr>
          <w:sz w:val="24"/>
          <w:szCs w:val="24"/>
        </w:rPr>
        <w:t>includes a provision that provides that if a rate change under the mechanism results in an amount that is less than one percent greater or less than the prior year’s assessed property taxes, this annual filing would take the form of a letter stating that no change in rates under Sch</w:t>
      </w:r>
      <w:r w:rsidR="003539B9">
        <w:rPr>
          <w:sz w:val="24"/>
          <w:szCs w:val="24"/>
        </w:rPr>
        <w:t xml:space="preserve">edule 140 would be submitted.  Because of the two staged approached used in this </w:t>
      </w:r>
      <w:r>
        <w:rPr>
          <w:sz w:val="24"/>
          <w:szCs w:val="24"/>
        </w:rPr>
        <w:t>filing</w:t>
      </w:r>
      <w:r w:rsidR="003539B9">
        <w:rPr>
          <w:sz w:val="24"/>
          <w:szCs w:val="24"/>
        </w:rPr>
        <w:t>, even though not required,</w:t>
      </w:r>
      <w:r>
        <w:rPr>
          <w:sz w:val="24"/>
          <w:szCs w:val="24"/>
        </w:rPr>
        <w:t xml:space="preserve"> PSE submitted the initial filing knowing that the </w:t>
      </w:r>
      <w:r w:rsidRPr="00A37C98">
        <w:rPr>
          <w:i/>
          <w:sz w:val="24"/>
          <w:szCs w:val="24"/>
        </w:rPr>
        <w:t xml:space="preserve">estimated </w:t>
      </w:r>
      <w:r>
        <w:rPr>
          <w:sz w:val="24"/>
          <w:szCs w:val="24"/>
        </w:rPr>
        <w:t>change was less than this one percent threshold</w:t>
      </w:r>
      <w:r w:rsidR="003539B9">
        <w:rPr>
          <w:sz w:val="24"/>
          <w:szCs w:val="24"/>
        </w:rPr>
        <w:t>.  This was done</w:t>
      </w:r>
      <w:r>
        <w:rPr>
          <w:sz w:val="24"/>
          <w:szCs w:val="24"/>
        </w:rPr>
        <w:t xml:space="preserve"> in </w:t>
      </w:r>
      <w:r w:rsidR="003539B9">
        <w:rPr>
          <w:sz w:val="24"/>
          <w:szCs w:val="24"/>
        </w:rPr>
        <w:t>the event that</w:t>
      </w:r>
      <w:r>
        <w:rPr>
          <w:sz w:val="24"/>
          <w:szCs w:val="24"/>
        </w:rPr>
        <w:t xml:space="preserve"> t</w:t>
      </w:r>
      <w:r w:rsidR="003539B9">
        <w:rPr>
          <w:sz w:val="24"/>
          <w:szCs w:val="24"/>
        </w:rPr>
        <w:t>he true-up to actual taxes</w:t>
      </w:r>
      <w:r>
        <w:rPr>
          <w:sz w:val="24"/>
          <w:szCs w:val="24"/>
        </w:rPr>
        <w:t xml:space="preserve"> result</w:t>
      </w:r>
      <w:r w:rsidR="003539B9">
        <w:rPr>
          <w:sz w:val="24"/>
          <w:szCs w:val="24"/>
        </w:rPr>
        <w:t>ed</w:t>
      </w:r>
      <w:r>
        <w:rPr>
          <w:sz w:val="24"/>
          <w:szCs w:val="24"/>
        </w:rPr>
        <w:t xml:space="preserve"> in an amount greater than the one percent threshold</w:t>
      </w:r>
      <w:r w:rsidR="003539B9">
        <w:rPr>
          <w:sz w:val="24"/>
          <w:szCs w:val="24"/>
        </w:rPr>
        <w:t xml:space="preserve"> which would then have necessitated a filing with less than statutory notice, if a filing had not already been submitted prior to March 31</w:t>
      </w:r>
      <w:r w:rsidR="003539B9" w:rsidRPr="003539B9">
        <w:rPr>
          <w:sz w:val="24"/>
          <w:szCs w:val="24"/>
          <w:vertAlign w:val="superscript"/>
        </w:rPr>
        <w:t>st</w:t>
      </w:r>
      <w:r>
        <w:rPr>
          <w:sz w:val="24"/>
          <w:szCs w:val="24"/>
        </w:rPr>
        <w:t>.  The update to actual tax amounts did not result in an amount greater than the one percent threshold.  As reflected in the enclosed work papers the overall result is that natural gas property taxes decreased by two tenths of one percent.</w:t>
      </w:r>
    </w:p>
    <w:p w:rsidR="00A37C98" w:rsidRDefault="00A37C98" w:rsidP="00A37C98">
      <w:pPr>
        <w:rPr>
          <w:sz w:val="24"/>
          <w:szCs w:val="24"/>
        </w:rPr>
      </w:pPr>
    </w:p>
    <w:p w:rsidR="00A37C98" w:rsidRDefault="00A37C98" w:rsidP="00A37C98">
      <w:pPr>
        <w:rPr>
          <w:sz w:val="24"/>
          <w:szCs w:val="24"/>
        </w:rPr>
      </w:pPr>
      <w:r>
        <w:rPr>
          <w:sz w:val="24"/>
          <w:szCs w:val="24"/>
        </w:rPr>
        <w:lastRenderedPageBreak/>
        <w:t>The pu</w:t>
      </w:r>
      <w:r w:rsidR="00747B2F">
        <w:rPr>
          <w:sz w:val="24"/>
          <w:szCs w:val="24"/>
        </w:rPr>
        <w:t>rpose of this filing is twofold;</w:t>
      </w:r>
      <w:r>
        <w:rPr>
          <w:sz w:val="24"/>
          <w:szCs w:val="24"/>
        </w:rPr>
        <w:t xml:space="preserve"> first is to request to withdraw the </w:t>
      </w:r>
      <w:r w:rsidR="002F7EDC">
        <w:rPr>
          <w:sz w:val="24"/>
          <w:szCs w:val="24"/>
        </w:rPr>
        <w:t>filing and second is to provide the letter that</w:t>
      </w:r>
      <w:r w:rsidR="00747B2F">
        <w:rPr>
          <w:sz w:val="24"/>
          <w:szCs w:val="24"/>
        </w:rPr>
        <w:t>,</w:t>
      </w:r>
      <w:r w:rsidR="002F7EDC">
        <w:rPr>
          <w:sz w:val="24"/>
          <w:szCs w:val="24"/>
        </w:rPr>
        <w:t xml:space="preserve"> because the change is less than one percent</w:t>
      </w:r>
      <w:r w:rsidR="00747B2F">
        <w:rPr>
          <w:sz w:val="24"/>
          <w:szCs w:val="24"/>
        </w:rPr>
        <w:t xml:space="preserve">, </w:t>
      </w:r>
      <w:r w:rsidR="002F7EDC">
        <w:rPr>
          <w:sz w:val="24"/>
          <w:szCs w:val="24"/>
        </w:rPr>
        <w:t>no change in rates in Schedule 140 will be submitted</w:t>
      </w:r>
      <w:r>
        <w:rPr>
          <w:sz w:val="24"/>
          <w:szCs w:val="24"/>
        </w:rPr>
        <w:t>.</w:t>
      </w:r>
    </w:p>
    <w:p w:rsidR="00A37C98" w:rsidRDefault="00A37C98" w:rsidP="00A37C98">
      <w:pPr>
        <w:rPr>
          <w:sz w:val="24"/>
          <w:szCs w:val="24"/>
        </w:rPr>
      </w:pPr>
    </w:p>
    <w:p w:rsidR="00CD312C" w:rsidRDefault="00E978B5" w:rsidP="00103255">
      <w:pPr>
        <w:rPr>
          <w:snapToGrid w:val="0"/>
          <w:sz w:val="24"/>
          <w:szCs w:val="24"/>
        </w:rPr>
      </w:pPr>
      <w:r>
        <w:rPr>
          <w:snapToGrid w:val="0"/>
          <w:sz w:val="24"/>
          <w:szCs w:val="24"/>
        </w:rPr>
        <w:t>T</w:t>
      </w:r>
      <w:r w:rsidR="00CD312C" w:rsidRPr="004F4FE7">
        <w:rPr>
          <w:snapToGrid w:val="0"/>
          <w:sz w:val="24"/>
          <w:szCs w:val="24"/>
        </w:rPr>
        <w:t>herefore</w:t>
      </w:r>
      <w:r>
        <w:rPr>
          <w:snapToGrid w:val="0"/>
          <w:sz w:val="24"/>
          <w:szCs w:val="24"/>
        </w:rPr>
        <w:t>,</w:t>
      </w:r>
      <w:r w:rsidR="00CD312C" w:rsidRPr="004F4FE7">
        <w:rPr>
          <w:snapToGrid w:val="0"/>
          <w:sz w:val="24"/>
          <w:szCs w:val="24"/>
        </w:rPr>
        <w:t xml:space="preserve"> PSE respectfully requests that it be</w:t>
      </w:r>
      <w:r w:rsidR="002F7EDC">
        <w:rPr>
          <w:snapToGrid w:val="0"/>
          <w:sz w:val="24"/>
          <w:szCs w:val="24"/>
        </w:rPr>
        <w:t xml:space="preserve"> allowed to withdraw the March 26, 2015</w:t>
      </w:r>
      <w:r w:rsidR="00CD312C" w:rsidRPr="004F4FE7">
        <w:rPr>
          <w:snapToGrid w:val="0"/>
          <w:sz w:val="24"/>
          <w:szCs w:val="24"/>
        </w:rPr>
        <w:t>, tariff filing described above.</w:t>
      </w:r>
      <w:r w:rsidR="002F7EDC">
        <w:rPr>
          <w:snapToGrid w:val="0"/>
          <w:sz w:val="24"/>
          <w:szCs w:val="24"/>
        </w:rPr>
        <w:t xml:space="preserve">  PSE states that the change is less than one percent, and in accordance with its approved Schedule 140</w:t>
      </w:r>
      <w:r w:rsidR="00747B2F">
        <w:rPr>
          <w:snapToGrid w:val="0"/>
          <w:sz w:val="24"/>
          <w:szCs w:val="24"/>
        </w:rPr>
        <w:t>,</w:t>
      </w:r>
      <w:r w:rsidR="002F7EDC">
        <w:rPr>
          <w:snapToGrid w:val="0"/>
          <w:sz w:val="24"/>
          <w:szCs w:val="24"/>
        </w:rPr>
        <w:t xml:space="preserve"> submits this letter stating than no change to the rates in Schedule 140 will be submitted for the May 1, 2015 through April 30, 2016 rate year</w:t>
      </w:r>
      <w:r w:rsidR="003539B9">
        <w:rPr>
          <w:snapToGrid w:val="0"/>
          <w:sz w:val="24"/>
          <w:szCs w:val="24"/>
        </w:rPr>
        <w:t xml:space="preserve"> as the rates that are currently in effect are within the threshold stated in the tariff</w:t>
      </w:r>
      <w:r w:rsidR="002F7EDC">
        <w:rPr>
          <w:snapToGrid w:val="0"/>
          <w:sz w:val="24"/>
          <w:szCs w:val="24"/>
        </w:rPr>
        <w:t>.</w:t>
      </w:r>
    </w:p>
    <w:p w:rsidR="002F7EDC" w:rsidRPr="002F7EDC" w:rsidRDefault="002F7EDC" w:rsidP="00103255">
      <w:pPr>
        <w:rPr>
          <w:snapToGrid w:val="0"/>
          <w:sz w:val="24"/>
          <w:szCs w:val="24"/>
        </w:rPr>
      </w:pPr>
    </w:p>
    <w:p w:rsidR="00103255" w:rsidRPr="004F4FE7" w:rsidRDefault="00103255" w:rsidP="00103255">
      <w:pPr>
        <w:rPr>
          <w:sz w:val="24"/>
          <w:szCs w:val="24"/>
        </w:rPr>
      </w:pPr>
      <w:r w:rsidRPr="004F4FE7">
        <w:rPr>
          <w:sz w:val="24"/>
          <w:szCs w:val="24"/>
        </w:rPr>
        <w:t xml:space="preserve">Please contact </w:t>
      </w:r>
      <w:r w:rsidR="002F7EDC">
        <w:rPr>
          <w:sz w:val="24"/>
          <w:szCs w:val="24"/>
        </w:rPr>
        <w:t>Ms. Julie Waltari</w:t>
      </w:r>
      <w:r w:rsidR="00747B2F">
        <w:rPr>
          <w:sz w:val="24"/>
          <w:szCs w:val="24"/>
        </w:rPr>
        <w:t xml:space="preserve"> </w:t>
      </w:r>
      <w:r w:rsidRPr="004F4FE7">
        <w:rPr>
          <w:sz w:val="24"/>
          <w:szCs w:val="24"/>
        </w:rPr>
        <w:t xml:space="preserve">at (425) </w:t>
      </w:r>
      <w:r w:rsidR="002F7EDC">
        <w:rPr>
          <w:sz w:val="24"/>
          <w:szCs w:val="24"/>
        </w:rPr>
        <w:t>456-2945</w:t>
      </w:r>
      <w:r w:rsidRPr="004F4FE7">
        <w:rPr>
          <w:sz w:val="24"/>
          <w:szCs w:val="24"/>
        </w:rPr>
        <w:t xml:space="preserve"> or </w:t>
      </w:r>
      <w:r w:rsidR="00BC0BDD" w:rsidRPr="004F4FE7">
        <w:rPr>
          <w:sz w:val="24"/>
          <w:szCs w:val="24"/>
        </w:rPr>
        <w:t>Eric Englert (425) 456-2312</w:t>
      </w:r>
      <w:r w:rsidRPr="004F4FE7">
        <w:rPr>
          <w:sz w:val="24"/>
          <w:szCs w:val="24"/>
        </w:rPr>
        <w:t xml:space="preserve"> for additional information about this filing.  If you have any other questions please co</w:t>
      </w:r>
      <w:r w:rsidR="00E06B6C" w:rsidRPr="004F4FE7">
        <w:rPr>
          <w:sz w:val="24"/>
          <w:szCs w:val="24"/>
        </w:rPr>
        <w:t>ntact me at (425) 456</w:t>
      </w:r>
      <w:r w:rsidR="00E06B6C" w:rsidRPr="004F4FE7">
        <w:rPr>
          <w:sz w:val="24"/>
          <w:szCs w:val="24"/>
        </w:rPr>
        <w:noBreakHyphen/>
        <w:t>2110.</w:t>
      </w:r>
    </w:p>
    <w:p w:rsidR="00103255" w:rsidRPr="004F4FE7" w:rsidRDefault="00103255" w:rsidP="00103255">
      <w:pPr>
        <w:rPr>
          <w:sz w:val="24"/>
          <w:szCs w:val="24"/>
        </w:rPr>
      </w:pPr>
    </w:p>
    <w:p w:rsidR="00103255" w:rsidRPr="004F4FE7" w:rsidRDefault="00103255" w:rsidP="00103255">
      <w:pPr>
        <w:rPr>
          <w:sz w:val="24"/>
          <w:szCs w:val="24"/>
        </w:rPr>
      </w:pP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t>Sincerely,</w:t>
      </w:r>
    </w:p>
    <w:p w:rsidR="00103255" w:rsidRPr="004F4FE7" w:rsidRDefault="00103255" w:rsidP="00103255">
      <w:pPr>
        <w:rPr>
          <w:sz w:val="24"/>
          <w:szCs w:val="24"/>
        </w:rPr>
      </w:pPr>
    </w:p>
    <w:p w:rsidR="00103255" w:rsidRDefault="00103255" w:rsidP="00103255">
      <w:pPr>
        <w:rPr>
          <w:sz w:val="24"/>
          <w:szCs w:val="24"/>
        </w:rPr>
      </w:pPr>
    </w:p>
    <w:p w:rsidR="002F7EDC" w:rsidRPr="004F4FE7" w:rsidRDefault="002F7EDC" w:rsidP="00103255">
      <w:pPr>
        <w:rPr>
          <w:sz w:val="24"/>
          <w:szCs w:val="24"/>
        </w:rPr>
      </w:pPr>
    </w:p>
    <w:p w:rsidR="00103255" w:rsidRPr="004F4FE7" w:rsidRDefault="00103255" w:rsidP="00103255">
      <w:pPr>
        <w:rPr>
          <w:sz w:val="24"/>
          <w:szCs w:val="24"/>
        </w:rPr>
      </w:pPr>
    </w:p>
    <w:p w:rsidR="00103255" w:rsidRPr="004F4FE7" w:rsidRDefault="00103255" w:rsidP="00103255">
      <w:pPr>
        <w:rPr>
          <w:sz w:val="24"/>
          <w:szCs w:val="24"/>
        </w:rPr>
      </w:pP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t>Ken Johnson</w:t>
      </w:r>
    </w:p>
    <w:p w:rsidR="00103255" w:rsidRPr="004F4FE7" w:rsidRDefault="00103255" w:rsidP="00103255">
      <w:pPr>
        <w:rPr>
          <w:sz w:val="24"/>
          <w:szCs w:val="24"/>
        </w:rPr>
      </w:pP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r>
      <w:r w:rsidRPr="004F4FE7">
        <w:rPr>
          <w:sz w:val="24"/>
          <w:szCs w:val="24"/>
        </w:rPr>
        <w:tab/>
        <w:t>Director, State Regulatory Affairs</w:t>
      </w:r>
      <w:r w:rsidRPr="004F4FE7">
        <w:rPr>
          <w:sz w:val="24"/>
          <w:szCs w:val="24"/>
        </w:rPr>
        <w:tab/>
      </w:r>
      <w:r w:rsidRPr="004F4FE7">
        <w:rPr>
          <w:sz w:val="24"/>
          <w:szCs w:val="24"/>
        </w:rPr>
        <w:tab/>
      </w:r>
      <w:r w:rsidRPr="004F4FE7">
        <w:rPr>
          <w:sz w:val="24"/>
          <w:szCs w:val="24"/>
        </w:rPr>
        <w:tab/>
      </w:r>
      <w:r w:rsidRPr="004F4FE7">
        <w:rPr>
          <w:sz w:val="24"/>
          <w:szCs w:val="24"/>
        </w:rPr>
        <w:tab/>
      </w:r>
    </w:p>
    <w:p w:rsidR="00017F39" w:rsidRPr="004F4FE7" w:rsidRDefault="00017F39">
      <w:pPr>
        <w:rPr>
          <w:sz w:val="24"/>
          <w:szCs w:val="24"/>
        </w:rPr>
      </w:pPr>
    </w:p>
    <w:p w:rsidR="00017F39" w:rsidRPr="004F4FE7" w:rsidRDefault="00017F39">
      <w:pPr>
        <w:rPr>
          <w:sz w:val="24"/>
          <w:szCs w:val="24"/>
        </w:rPr>
      </w:pPr>
    </w:p>
    <w:p w:rsidR="00017F39" w:rsidRPr="004F4FE7" w:rsidRDefault="00017F39">
      <w:pPr>
        <w:rPr>
          <w:sz w:val="24"/>
          <w:szCs w:val="24"/>
        </w:rPr>
      </w:pPr>
      <w:r w:rsidRPr="004F4FE7">
        <w:rPr>
          <w:sz w:val="24"/>
          <w:szCs w:val="24"/>
        </w:rPr>
        <w:t>cc:</w:t>
      </w:r>
      <w:r w:rsidRPr="004F4FE7">
        <w:rPr>
          <w:sz w:val="24"/>
          <w:szCs w:val="24"/>
        </w:rPr>
        <w:tab/>
        <w:t>Simon J. ffitch, Public Counsel</w:t>
      </w:r>
    </w:p>
    <w:p w:rsidR="00017F39" w:rsidRPr="004F4FE7" w:rsidRDefault="00017F39" w:rsidP="004978DB">
      <w:pPr>
        <w:ind w:firstLine="720"/>
        <w:rPr>
          <w:sz w:val="24"/>
          <w:szCs w:val="24"/>
        </w:rPr>
      </w:pPr>
      <w:r w:rsidRPr="004F4FE7">
        <w:rPr>
          <w:sz w:val="24"/>
          <w:szCs w:val="24"/>
        </w:rPr>
        <w:t>Sheree Carson, Perkins Coie</w:t>
      </w:r>
    </w:p>
    <w:sectPr w:rsidR="00017F39" w:rsidRPr="004F4FE7" w:rsidSect="0037655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08"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DE" w:rsidRDefault="00FF11DE">
      <w:r>
        <w:separator/>
      </w:r>
    </w:p>
  </w:endnote>
  <w:endnote w:type="continuationSeparator" w:id="0">
    <w:p w:rsidR="00FF11DE" w:rsidRDefault="00FF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56" w:rsidRDefault="00376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56" w:rsidRDefault="00376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56" w:rsidRDefault="00376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DE" w:rsidRDefault="00FF11DE">
      <w:r>
        <w:separator/>
      </w:r>
    </w:p>
  </w:footnote>
  <w:footnote w:type="continuationSeparator" w:id="0">
    <w:p w:rsidR="00FF11DE" w:rsidRDefault="00FF1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56" w:rsidRDefault="00376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56" w:rsidRDefault="00376556" w:rsidP="000C579D">
    <w:pPr>
      <w:pStyle w:val="Header"/>
      <w:rPr>
        <w:sz w:val="24"/>
        <w:szCs w:val="24"/>
      </w:rPr>
    </w:pPr>
  </w:p>
  <w:p w:rsidR="00376556" w:rsidRDefault="00376556" w:rsidP="000C579D">
    <w:pPr>
      <w:pStyle w:val="Header"/>
      <w:rPr>
        <w:sz w:val="24"/>
        <w:szCs w:val="24"/>
      </w:rPr>
    </w:pPr>
  </w:p>
  <w:p w:rsidR="00314147" w:rsidRPr="000C579D" w:rsidRDefault="00314147" w:rsidP="000C579D">
    <w:pPr>
      <w:pStyle w:val="Header"/>
      <w:rPr>
        <w:rStyle w:val="PageNumber"/>
        <w:sz w:val="24"/>
      </w:rPr>
    </w:pPr>
    <w:r w:rsidRPr="00103255">
      <w:rPr>
        <w:sz w:val="24"/>
        <w:szCs w:val="24"/>
      </w:rPr>
      <w:t>Mr. Steven V. King</w:t>
    </w:r>
    <w:r w:rsidRPr="000C579D">
      <w:rPr>
        <w:rStyle w:val="PageNumber"/>
        <w:sz w:val="24"/>
      </w:rPr>
      <w:t xml:space="preserve"> </w:t>
    </w:r>
    <w:r w:rsidRPr="000C579D">
      <w:rPr>
        <w:rStyle w:val="PageNumber"/>
        <w:sz w:val="24"/>
      </w:rPr>
      <w:tab/>
      <w:t xml:space="preserve">Page </w:t>
    </w:r>
    <w:r w:rsidR="005811D4" w:rsidRPr="005811D4">
      <w:rPr>
        <w:rStyle w:val="PageNumber"/>
        <w:sz w:val="24"/>
      </w:rPr>
      <w:fldChar w:fldCharType="begin"/>
    </w:r>
    <w:r w:rsidR="005811D4" w:rsidRPr="005811D4">
      <w:rPr>
        <w:rStyle w:val="PageNumber"/>
        <w:sz w:val="24"/>
      </w:rPr>
      <w:instrText xml:space="preserve"> PAGE   \* MERGEFORMAT </w:instrText>
    </w:r>
    <w:r w:rsidR="005811D4" w:rsidRPr="005811D4">
      <w:rPr>
        <w:rStyle w:val="PageNumber"/>
        <w:sz w:val="24"/>
      </w:rPr>
      <w:fldChar w:fldCharType="separate"/>
    </w:r>
    <w:r w:rsidR="00376556">
      <w:rPr>
        <w:rStyle w:val="PageNumber"/>
        <w:noProof/>
        <w:sz w:val="24"/>
      </w:rPr>
      <w:t>2</w:t>
    </w:r>
    <w:r w:rsidR="005811D4" w:rsidRPr="005811D4">
      <w:rPr>
        <w:rStyle w:val="PageNumber"/>
        <w:noProof/>
        <w:sz w:val="24"/>
      </w:rPr>
      <w:fldChar w:fldCharType="end"/>
    </w:r>
    <w:r w:rsidRPr="000C579D">
      <w:rPr>
        <w:rStyle w:val="PageNumber"/>
        <w:sz w:val="24"/>
      </w:rPr>
      <w:tab/>
    </w:r>
    <w:r w:rsidR="002F7EDC">
      <w:rPr>
        <w:rStyle w:val="PageNumber"/>
        <w:sz w:val="24"/>
      </w:rPr>
      <w:t>April 15</w:t>
    </w:r>
    <w:r w:rsidR="00105F30">
      <w:rPr>
        <w:rStyle w:val="PageNumber"/>
        <w:sz w:val="24"/>
      </w:rPr>
      <w:t>,</w:t>
    </w:r>
    <w:r>
      <w:rPr>
        <w:rStyle w:val="PageNumber"/>
        <w:sz w:val="24"/>
      </w:rPr>
      <w:t xml:space="preserve"> 201</w:t>
    </w:r>
    <w:r w:rsidR="002F7EDC">
      <w:rPr>
        <w:rStyle w:val="PageNumber"/>
        <w:sz w:val="24"/>
      </w:rPr>
      <w:t>5</w:t>
    </w:r>
  </w:p>
  <w:p w:rsidR="00314147" w:rsidRDefault="00314147" w:rsidP="000C579D">
    <w:pPr>
      <w:pStyle w:val="Header"/>
      <w:rPr>
        <w:rStyle w:val="PageNumber"/>
        <w:sz w:val="24"/>
      </w:rPr>
    </w:pPr>
    <w:r>
      <w:rPr>
        <w:rStyle w:val="PageNumber"/>
        <w:sz w:val="24"/>
      </w:rPr>
      <w:t>Advice No. 201</w:t>
    </w:r>
    <w:r w:rsidR="002F7EDC">
      <w:rPr>
        <w:rStyle w:val="PageNumber"/>
        <w:sz w:val="24"/>
      </w:rPr>
      <w:t>5</w:t>
    </w:r>
    <w:r>
      <w:rPr>
        <w:rStyle w:val="PageNumber"/>
        <w:sz w:val="24"/>
      </w:rPr>
      <w:t>-</w:t>
    </w:r>
    <w:r w:rsidR="002F7EDC">
      <w:rPr>
        <w:rStyle w:val="PageNumber"/>
        <w:sz w:val="24"/>
      </w:rPr>
      <w:t>06</w:t>
    </w:r>
  </w:p>
  <w:p w:rsidR="002F7EDC" w:rsidRPr="000C579D" w:rsidRDefault="002F7EDC" w:rsidP="000C579D">
    <w:pPr>
      <w:pStyle w:val="Header"/>
      <w:rPr>
        <w:rStyle w:val="PageNumber"/>
        <w:sz w:val="24"/>
      </w:rPr>
    </w:pPr>
    <w:r>
      <w:rPr>
        <w:rStyle w:val="PageNumber"/>
        <w:sz w:val="24"/>
      </w:rPr>
      <w:t>Docket No. UG-150490</w:t>
    </w:r>
  </w:p>
  <w:p w:rsidR="00314147" w:rsidRDefault="00314147">
    <w:pPr>
      <w:pStyle w:val="Header"/>
      <w:rPr>
        <w:sz w:val="24"/>
      </w:rPr>
    </w:pPr>
  </w:p>
  <w:p w:rsidR="00314147" w:rsidRDefault="00314147">
    <w:pPr>
      <w:pStyle w:val="Header"/>
      <w:rPr>
        <w:sz w:val="24"/>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56" w:rsidRDefault="00376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540"/>
    <w:multiLevelType w:val="hybridMultilevel"/>
    <w:tmpl w:val="69CA0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3A02"/>
    <w:multiLevelType w:val="hybridMultilevel"/>
    <w:tmpl w:val="54A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03E84"/>
    <w:rsid w:val="00006E07"/>
    <w:rsid w:val="00017F39"/>
    <w:rsid w:val="00020789"/>
    <w:rsid w:val="00020B15"/>
    <w:rsid w:val="00021D0A"/>
    <w:rsid w:val="000456C3"/>
    <w:rsid w:val="000460B4"/>
    <w:rsid w:val="00046F59"/>
    <w:rsid w:val="00052EDD"/>
    <w:rsid w:val="00053055"/>
    <w:rsid w:val="00056B30"/>
    <w:rsid w:val="00064019"/>
    <w:rsid w:val="000653D5"/>
    <w:rsid w:val="0007560E"/>
    <w:rsid w:val="00081542"/>
    <w:rsid w:val="00082DC1"/>
    <w:rsid w:val="00095A2F"/>
    <w:rsid w:val="000A320B"/>
    <w:rsid w:val="000B0C4F"/>
    <w:rsid w:val="000C28D0"/>
    <w:rsid w:val="000C579D"/>
    <w:rsid w:val="000C7AB3"/>
    <w:rsid w:val="000F797D"/>
    <w:rsid w:val="00103255"/>
    <w:rsid w:val="00105F30"/>
    <w:rsid w:val="00106F48"/>
    <w:rsid w:val="00122C28"/>
    <w:rsid w:val="00137D80"/>
    <w:rsid w:val="00161CB5"/>
    <w:rsid w:val="001733E9"/>
    <w:rsid w:val="001839AA"/>
    <w:rsid w:val="001A7CDB"/>
    <w:rsid w:val="001B4D53"/>
    <w:rsid w:val="001C0716"/>
    <w:rsid w:val="001D3403"/>
    <w:rsid w:val="001E31F1"/>
    <w:rsid w:val="00200306"/>
    <w:rsid w:val="002169EE"/>
    <w:rsid w:val="0022598F"/>
    <w:rsid w:val="00232F78"/>
    <w:rsid w:val="002524F3"/>
    <w:rsid w:val="002531D3"/>
    <w:rsid w:val="002642FC"/>
    <w:rsid w:val="00266D16"/>
    <w:rsid w:val="0027160A"/>
    <w:rsid w:val="00276759"/>
    <w:rsid w:val="00281C14"/>
    <w:rsid w:val="0028206E"/>
    <w:rsid w:val="00283D9C"/>
    <w:rsid w:val="00294B60"/>
    <w:rsid w:val="002A706D"/>
    <w:rsid w:val="002B79D5"/>
    <w:rsid w:val="002E48CF"/>
    <w:rsid w:val="002F1905"/>
    <w:rsid w:val="002F7EDC"/>
    <w:rsid w:val="003051D6"/>
    <w:rsid w:val="00314147"/>
    <w:rsid w:val="003162A0"/>
    <w:rsid w:val="00316E4A"/>
    <w:rsid w:val="0032578B"/>
    <w:rsid w:val="00330DED"/>
    <w:rsid w:val="0033619B"/>
    <w:rsid w:val="00351D73"/>
    <w:rsid w:val="003539B9"/>
    <w:rsid w:val="00370080"/>
    <w:rsid w:val="00376556"/>
    <w:rsid w:val="00390B0E"/>
    <w:rsid w:val="00394C5D"/>
    <w:rsid w:val="003A7275"/>
    <w:rsid w:val="003C616C"/>
    <w:rsid w:val="003D4AA1"/>
    <w:rsid w:val="003D7F33"/>
    <w:rsid w:val="003E289E"/>
    <w:rsid w:val="003E4BBF"/>
    <w:rsid w:val="00402008"/>
    <w:rsid w:val="00430D06"/>
    <w:rsid w:val="00431778"/>
    <w:rsid w:val="004323B7"/>
    <w:rsid w:val="004506DD"/>
    <w:rsid w:val="0045080B"/>
    <w:rsid w:val="004968D5"/>
    <w:rsid w:val="004971C2"/>
    <w:rsid w:val="004978DB"/>
    <w:rsid w:val="004B6732"/>
    <w:rsid w:val="004B7C4B"/>
    <w:rsid w:val="004C7549"/>
    <w:rsid w:val="004D7E70"/>
    <w:rsid w:val="004E2786"/>
    <w:rsid w:val="004E40D2"/>
    <w:rsid w:val="004F4FE7"/>
    <w:rsid w:val="00505043"/>
    <w:rsid w:val="005442F0"/>
    <w:rsid w:val="005462D1"/>
    <w:rsid w:val="00563E7F"/>
    <w:rsid w:val="005722D6"/>
    <w:rsid w:val="005811D4"/>
    <w:rsid w:val="00586E2F"/>
    <w:rsid w:val="00596D14"/>
    <w:rsid w:val="005A18AF"/>
    <w:rsid w:val="005A5F45"/>
    <w:rsid w:val="005E7E93"/>
    <w:rsid w:val="005F01DF"/>
    <w:rsid w:val="0060077F"/>
    <w:rsid w:val="00605DDB"/>
    <w:rsid w:val="00606716"/>
    <w:rsid w:val="00611E71"/>
    <w:rsid w:val="0061339A"/>
    <w:rsid w:val="00615F7E"/>
    <w:rsid w:val="0062013C"/>
    <w:rsid w:val="00622515"/>
    <w:rsid w:val="006573F9"/>
    <w:rsid w:val="00684150"/>
    <w:rsid w:val="00692B78"/>
    <w:rsid w:val="006A3B21"/>
    <w:rsid w:val="006B2137"/>
    <w:rsid w:val="006B714F"/>
    <w:rsid w:val="006C0851"/>
    <w:rsid w:val="006C5884"/>
    <w:rsid w:val="006D2D2F"/>
    <w:rsid w:val="006D5F0F"/>
    <w:rsid w:val="006E2B31"/>
    <w:rsid w:val="006F0D54"/>
    <w:rsid w:val="006F57B6"/>
    <w:rsid w:val="00701486"/>
    <w:rsid w:val="00730265"/>
    <w:rsid w:val="007430AE"/>
    <w:rsid w:val="0074358D"/>
    <w:rsid w:val="00747B2F"/>
    <w:rsid w:val="00771F46"/>
    <w:rsid w:val="007A320F"/>
    <w:rsid w:val="007B6327"/>
    <w:rsid w:val="007C4395"/>
    <w:rsid w:val="007D46E5"/>
    <w:rsid w:val="007F16AD"/>
    <w:rsid w:val="007F702F"/>
    <w:rsid w:val="008038A2"/>
    <w:rsid w:val="00804303"/>
    <w:rsid w:val="00821E6D"/>
    <w:rsid w:val="00825BE6"/>
    <w:rsid w:val="0083191B"/>
    <w:rsid w:val="00836C5C"/>
    <w:rsid w:val="00836CDD"/>
    <w:rsid w:val="0088162A"/>
    <w:rsid w:val="00881D7F"/>
    <w:rsid w:val="00887A9D"/>
    <w:rsid w:val="008A2E3E"/>
    <w:rsid w:val="008A65DE"/>
    <w:rsid w:val="008B631C"/>
    <w:rsid w:val="008E37AF"/>
    <w:rsid w:val="008F2CED"/>
    <w:rsid w:val="009119C3"/>
    <w:rsid w:val="00934FBA"/>
    <w:rsid w:val="0094685B"/>
    <w:rsid w:val="00960EAE"/>
    <w:rsid w:val="00991CC2"/>
    <w:rsid w:val="009C4AE5"/>
    <w:rsid w:val="009C591C"/>
    <w:rsid w:val="009E51F6"/>
    <w:rsid w:val="009E5F63"/>
    <w:rsid w:val="009E6DB5"/>
    <w:rsid w:val="009F0F23"/>
    <w:rsid w:val="00A17B93"/>
    <w:rsid w:val="00A2417F"/>
    <w:rsid w:val="00A34AE7"/>
    <w:rsid w:val="00A35D4C"/>
    <w:rsid w:val="00A37C98"/>
    <w:rsid w:val="00A50460"/>
    <w:rsid w:val="00A52D64"/>
    <w:rsid w:val="00A80A02"/>
    <w:rsid w:val="00A9257F"/>
    <w:rsid w:val="00A93DEC"/>
    <w:rsid w:val="00A9455F"/>
    <w:rsid w:val="00AA35AA"/>
    <w:rsid w:val="00AC52B8"/>
    <w:rsid w:val="00AC6E13"/>
    <w:rsid w:val="00AC704B"/>
    <w:rsid w:val="00AD0AF4"/>
    <w:rsid w:val="00AF0A61"/>
    <w:rsid w:val="00AF118C"/>
    <w:rsid w:val="00B14DD4"/>
    <w:rsid w:val="00B2689E"/>
    <w:rsid w:val="00B44AD4"/>
    <w:rsid w:val="00B63A5D"/>
    <w:rsid w:val="00B71AD3"/>
    <w:rsid w:val="00B87BDD"/>
    <w:rsid w:val="00B92731"/>
    <w:rsid w:val="00B9636B"/>
    <w:rsid w:val="00BB0B3F"/>
    <w:rsid w:val="00BB1A30"/>
    <w:rsid w:val="00BC0BDD"/>
    <w:rsid w:val="00BC6B20"/>
    <w:rsid w:val="00BD5030"/>
    <w:rsid w:val="00BE3E38"/>
    <w:rsid w:val="00C022E2"/>
    <w:rsid w:val="00C06304"/>
    <w:rsid w:val="00C11A9C"/>
    <w:rsid w:val="00C3236B"/>
    <w:rsid w:val="00C459DE"/>
    <w:rsid w:val="00C4648B"/>
    <w:rsid w:val="00C60CC1"/>
    <w:rsid w:val="00C71781"/>
    <w:rsid w:val="00C73EEC"/>
    <w:rsid w:val="00C90015"/>
    <w:rsid w:val="00C90C47"/>
    <w:rsid w:val="00CC0CAE"/>
    <w:rsid w:val="00CC6F2D"/>
    <w:rsid w:val="00CD312C"/>
    <w:rsid w:val="00CE5E85"/>
    <w:rsid w:val="00CE7DEB"/>
    <w:rsid w:val="00CF209E"/>
    <w:rsid w:val="00CF57E4"/>
    <w:rsid w:val="00D05D23"/>
    <w:rsid w:val="00D13D29"/>
    <w:rsid w:val="00D174E3"/>
    <w:rsid w:val="00D21669"/>
    <w:rsid w:val="00D21CA7"/>
    <w:rsid w:val="00D23DC9"/>
    <w:rsid w:val="00D320B3"/>
    <w:rsid w:val="00D41566"/>
    <w:rsid w:val="00D4206B"/>
    <w:rsid w:val="00D63CB5"/>
    <w:rsid w:val="00D757E1"/>
    <w:rsid w:val="00D76529"/>
    <w:rsid w:val="00D83098"/>
    <w:rsid w:val="00D840C7"/>
    <w:rsid w:val="00D86F7E"/>
    <w:rsid w:val="00DA1018"/>
    <w:rsid w:val="00DF2BA6"/>
    <w:rsid w:val="00DF3CA4"/>
    <w:rsid w:val="00E06B6C"/>
    <w:rsid w:val="00E25776"/>
    <w:rsid w:val="00E56099"/>
    <w:rsid w:val="00E6152C"/>
    <w:rsid w:val="00E67784"/>
    <w:rsid w:val="00E7240E"/>
    <w:rsid w:val="00E74AC0"/>
    <w:rsid w:val="00E82012"/>
    <w:rsid w:val="00E978B5"/>
    <w:rsid w:val="00EB014B"/>
    <w:rsid w:val="00EC5F7D"/>
    <w:rsid w:val="00EE22A9"/>
    <w:rsid w:val="00F038DE"/>
    <w:rsid w:val="00F13CB3"/>
    <w:rsid w:val="00F14F5C"/>
    <w:rsid w:val="00F26809"/>
    <w:rsid w:val="00F370AF"/>
    <w:rsid w:val="00F4411E"/>
    <w:rsid w:val="00F53AE9"/>
    <w:rsid w:val="00F5763F"/>
    <w:rsid w:val="00F609F7"/>
    <w:rsid w:val="00F62468"/>
    <w:rsid w:val="00F64796"/>
    <w:rsid w:val="00F6553C"/>
    <w:rsid w:val="00F676B1"/>
    <w:rsid w:val="00F82F57"/>
    <w:rsid w:val="00F86545"/>
    <w:rsid w:val="00F94B97"/>
    <w:rsid w:val="00FA4B2E"/>
    <w:rsid w:val="00FA7EFD"/>
    <w:rsid w:val="00FB05ED"/>
    <w:rsid w:val="00FB6078"/>
    <w:rsid w:val="00FB69D1"/>
    <w:rsid w:val="00FC0C8B"/>
    <w:rsid w:val="00FD1A92"/>
    <w:rsid w:val="00FD2C06"/>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1072699977">
      <w:bodyDiv w:val="1"/>
      <w:marLeft w:val="0"/>
      <w:marRight w:val="0"/>
      <w:marTop w:val="0"/>
      <w:marBottom w:val="0"/>
      <w:divBdr>
        <w:top w:val="none" w:sz="0" w:space="0" w:color="auto"/>
        <w:left w:val="none" w:sz="0" w:space="0" w:color="auto"/>
        <w:bottom w:val="none" w:sz="0" w:space="0" w:color="auto"/>
        <w:right w:val="none" w:sz="0" w:space="0" w:color="auto"/>
      </w:divBdr>
    </w:div>
    <w:div w:id="1096443874">
      <w:bodyDiv w:val="1"/>
      <w:marLeft w:val="0"/>
      <w:marRight w:val="0"/>
      <w:marTop w:val="0"/>
      <w:marBottom w:val="0"/>
      <w:divBdr>
        <w:top w:val="none" w:sz="0" w:space="0" w:color="auto"/>
        <w:left w:val="none" w:sz="0" w:space="0" w:color="auto"/>
        <w:bottom w:val="none" w:sz="0" w:space="0" w:color="auto"/>
        <w:right w:val="none" w:sz="0" w:space="0" w:color="auto"/>
      </w:divBdr>
    </w:div>
    <w:div w:id="1117260766">
      <w:bodyDiv w:val="1"/>
      <w:marLeft w:val="0"/>
      <w:marRight w:val="0"/>
      <w:marTop w:val="0"/>
      <w:marBottom w:val="0"/>
      <w:divBdr>
        <w:top w:val="none" w:sz="0" w:space="0" w:color="auto"/>
        <w:left w:val="none" w:sz="0" w:space="0" w:color="auto"/>
        <w:bottom w:val="none" w:sz="0" w:space="0" w:color="auto"/>
        <w:right w:val="none" w:sz="0" w:space="0" w:color="auto"/>
      </w:divBdr>
      <w:divsChild>
        <w:div w:id="1339650840">
          <w:marLeft w:val="150"/>
          <w:marRight w:val="0"/>
          <w:marTop w:val="0"/>
          <w:marBottom w:val="0"/>
          <w:divBdr>
            <w:top w:val="none" w:sz="0" w:space="0" w:color="auto"/>
            <w:left w:val="none" w:sz="0" w:space="0" w:color="auto"/>
            <w:bottom w:val="none" w:sz="0" w:space="0" w:color="auto"/>
            <w:right w:val="none" w:sz="0" w:space="0" w:color="auto"/>
          </w:divBdr>
          <w:divsChild>
            <w:div w:id="156196091">
              <w:marLeft w:val="0"/>
              <w:marRight w:val="0"/>
              <w:marTop w:val="0"/>
              <w:marBottom w:val="0"/>
              <w:divBdr>
                <w:top w:val="none" w:sz="0" w:space="0" w:color="auto"/>
                <w:left w:val="none" w:sz="0" w:space="0" w:color="auto"/>
                <w:bottom w:val="none" w:sz="0" w:space="0" w:color="auto"/>
                <w:right w:val="none" w:sz="0" w:space="0" w:color="auto"/>
              </w:divBdr>
            </w:div>
            <w:div w:id="672340732">
              <w:marLeft w:val="0"/>
              <w:marRight w:val="0"/>
              <w:marTop w:val="0"/>
              <w:marBottom w:val="0"/>
              <w:divBdr>
                <w:top w:val="none" w:sz="0" w:space="0" w:color="auto"/>
                <w:left w:val="none" w:sz="0" w:space="0" w:color="auto"/>
                <w:bottom w:val="none" w:sz="0" w:space="0" w:color="auto"/>
                <w:right w:val="none" w:sz="0" w:space="0" w:color="auto"/>
              </w:divBdr>
            </w:div>
            <w:div w:id="831219217">
              <w:marLeft w:val="0"/>
              <w:marRight w:val="0"/>
              <w:marTop w:val="0"/>
              <w:marBottom w:val="0"/>
              <w:divBdr>
                <w:top w:val="none" w:sz="0" w:space="0" w:color="auto"/>
                <w:left w:val="none" w:sz="0" w:space="0" w:color="auto"/>
                <w:bottom w:val="none" w:sz="0" w:space="0" w:color="auto"/>
                <w:right w:val="none" w:sz="0" w:space="0" w:color="auto"/>
              </w:divBdr>
            </w:div>
            <w:div w:id="965935163">
              <w:marLeft w:val="0"/>
              <w:marRight w:val="0"/>
              <w:marTop w:val="0"/>
              <w:marBottom w:val="0"/>
              <w:divBdr>
                <w:top w:val="none" w:sz="0" w:space="0" w:color="auto"/>
                <w:left w:val="none" w:sz="0" w:space="0" w:color="auto"/>
                <w:bottom w:val="none" w:sz="0" w:space="0" w:color="auto"/>
                <w:right w:val="none" w:sz="0" w:space="0" w:color="auto"/>
              </w:divBdr>
            </w:div>
            <w:div w:id="1003699026">
              <w:marLeft w:val="0"/>
              <w:marRight w:val="0"/>
              <w:marTop w:val="0"/>
              <w:marBottom w:val="0"/>
              <w:divBdr>
                <w:top w:val="none" w:sz="0" w:space="0" w:color="auto"/>
                <w:left w:val="none" w:sz="0" w:space="0" w:color="auto"/>
                <w:bottom w:val="none" w:sz="0" w:space="0" w:color="auto"/>
                <w:right w:val="none" w:sz="0" w:space="0" w:color="auto"/>
              </w:divBdr>
            </w:div>
            <w:div w:id="1248733761">
              <w:marLeft w:val="0"/>
              <w:marRight w:val="0"/>
              <w:marTop w:val="0"/>
              <w:marBottom w:val="0"/>
              <w:divBdr>
                <w:top w:val="none" w:sz="0" w:space="0" w:color="auto"/>
                <w:left w:val="none" w:sz="0" w:space="0" w:color="auto"/>
                <w:bottom w:val="none" w:sz="0" w:space="0" w:color="auto"/>
                <w:right w:val="none" w:sz="0" w:space="0" w:color="auto"/>
              </w:divBdr>
            </w:div>
            <w:div w:id="1641181820">
              <w:marLeft w:val="0"/>
              <w:marRight w:val="0"/>
              <w:marTop w:val="0"/>
              <w:marBottom w:val="0"/>
              <w:divBdr>
                <w:top w:val="none" w:sz="0" w:space="0" w:color="auto"/>
                <w:left w:val="none" w:sz="0" w:space="0" w:color="auto"/>
                <w:bottom w:val="none" w:sz="0" w:space="0" w:color="auto"/>
                <w:right w:val="none" w:sz="0" w:space="0" w:color="auto"/>
              </w:divBdr>
            </w:div>
            <w:div w:id="16764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4">
      <w:bodyDiv w:val="1"/>
      <w:marLeft w:val="0"/>
      <w:marRight w:val="0"/>
      <w:marTop w:val="0"/>
      <w:marBottom w:val="0"/>
      <w:divBdr>
        <w:top w:val="none" w:sz="0" w:space="0" w:color="auto"/>
        <w:left w:val="none" w:sz="0" w:space="0" w:color="auto"/>
        <w:bottom w:val="none" w:sz="0" w:space="0" w:color="auto"/>
        <w:right w:val="none" w:sz="0" w:space="0" w:color="auto"/>
      </w:divBdr>
      <w:divsChild>
        <w:div w:id="1965647778">
          <w:marLeft w:val="0"/>
          <w:marRight w:val="0"/>
          <w:marTop w:val="0"/>
          <w:marBottom w:val="0"/>
          <w:divBdr>
            <w:top w:val="none" w:sz="0" w:space="0" w:color="auto"/>
            <w:left w:val="none" w:sz="0" w:space="0" w:color="auto"/>
            <w:bottom w:val="none" w:sz="0" w:space="0" w:color="auto"/>
            <w:right w:val="none" w:sz="0" w:space="0" w:color="auto"/>
          </w:divBdr>
          <w:divsChild>
            <w:div w:id="13115207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57607838">
      <w:bodyDiv w:val="1"/>
      <w:marLeft w:val="0"/>
      <w:marRight w:val="0"/>
      <w:marTop w:val="0"/>
      <w:marBottom w:val="0"/>
      <w:divBdr>
        <w:top w:val="none" w:sz="0" w:space="0" w:color="auto"/>
        <w:left w:val="none" w:sz="0" w:space="0" w:color="auto"/>
        <w:bottom w:val="none" w:sz="0" w:space="0" w:color="auto"/>
        <w:right w:val="none" w:sz="0" w:space="0" w:color="auto"/>
      </w:divBdr>
    </w:div>
    <w:div w:id="19217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07D72798B8B74CB617A0200BE00D3F" ma:contentTypeVersion="119" ma:contentTypeDescription="" ma:contentTypeScope="" ma:versionID="a9c7ccf14a43de3fe74aae9fc37150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2015-03-26T07:00:00+00:00</OpenedDate>
    <Date1 xmlns="dc463f71-b30c-4ab2-9473-d307f9d35888">2015-04-15T07:00:00+00:00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150490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958BA8-C7E7-4507-A2E3-A33CCBFE9343}"/>
</file>

<file path=customXml/itemProps2.xml><?xml version="1.0" encoding="utf-8"?>
<ds:datastoreItem xmlns:ds="http://schemas.openxmlformats.org/officeDocument/2006/customXml" ds:itemID="{F3A45780-8F70-47AB-B42F-9FB6CFDBB9A8}"/>
</file>

<file path=customXml/itemProps3.xml><?xml version="1.0" encoding="utf-8"?>
<ds:datastoreItem xmlns:ds="http://schemas.openxmlformats.org/officeDocument/2006/customXml" ds:itemID="{1A956722-2345-4EDB-8F0D-CA0CEF3DF37F}"/>
</file>

<file path=customXml/itemProps4.xml><?xml version="1.0" encoding="utf-8"?>
<ds:datastoreItem xmlns:ds="http://schemas.openxmlformats.org/officeDocument/2006/customXml" ds:itemID="{A30B6E25-E483-4DCB-B945-94961A7B8356}"/>
</file>

<file path=customXml/itemProps5.xml><?xml version="1.0" encoding="utf-8"?>
<ds:datastoreItem xmlns:ds="http://schemas.openxmlformats.org/officeDocument/2006/customXml" ds:itemID="{2C8C6DE7-AEF3-4212-AF32-84747DBFB566}"/>
</file>

<file path=docProps/app.xml><?xml version="1.0" encoding="utf-8"?>
<Properties xmlns="http://schemas.openxmlformats.org/officeDocument/2006/extended-properties" xmlns:vt="http://schemas.openxmlformats.org/officeDocument/2006/docPropsVTypes">
  <Template>Normal.dotm</Template>
  <TotalTime>51</TotalTime>
  <Pages>2</Pages>
  <Words>529</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Lynn Logen</cp:lastModifiedBy>
  <cp:revision>6</cp:revision>
  <cp:lastPrinted>2014-07-24T20:44:00Z</cp:lastPrinted>
  <dcterms:created xsi:type="dcterms:W3CDTF">2015-04-14T15:43:00Z</dcterms:created>
  <dcterms:modified xsi:type="dcterms:W3CDTF">2015-04-15T16:32:00Z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0x0101006E56B4D1795A2E4DB2F0B01679ED314A001C07D72798B8B74CB617A0200BE00D3F</vt:lpwstr>
  </property>
  <property fmtid="{D5CDD505-2E9C-101B-9397-08002B2CF9AE}" pid="3" name="_docset_NoMedatataSyncRequired">
    <vt:lpwstr>False</vt:lpwstr>
  </property>
</Properties>
</file>