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13" w:rsidRPr="006C3001" w:rsidRDefault="00F70813">
      <w:pPr>
        <w:rPr>
          <w:rFonts w:ascii="Times New Roman" w:hAnsi="Times New Roman" w:cs="Times New Roman"/>
        </w:rPr>
      </w:pPr>
    </w:p>
    <w:tbl>
      <w:tblPr>
        <w:tblW w:w="0" w:type="auto"/>
        <w:tblBorders>
          <w:insideH w:val="single" w:sz="4" w:space="0" w:color="auto"/>
        </w:tblBorders>
        <w:tblLayout w:type="fixed"/>
        <w:tblLook w:val="0000"/>
      </w:tblPr>
      <w:tblGrid>
        <w:gridCol w:w="4788"/>
        <w:gridCol w:w="4788"/>
      </w:tblGrid>
      <w:tr w:rsidR="00F86C06" w:rsidRPr="006C3001" w:rsidTr="00F45919">
        <w:tc>
          <w:tcPr>
            <w:tcW w:w="4788" w:type="dxa"/>
          </w:tcPr>
          <w:p w:rsidR="00F86C06" w:rsidRPr="006C3001" w:rsidRDefault="00F86C06" w:rsidP="00F45919">
            <w:pPr>
              <w:pStyle w:val="Header"/>
              <w:rPr>
                <w:rFonts w:ascii="Times New Roman" w:hAnsi="Times New Roman" w:cs="Times New Roman"/>
                <w:b/>
                <w:bCs/>
              </w:rPr>
            </w:pPr>
            <w:r w:rsidRPr="006C3001">
              <w:rPr>
                <w:rFonts w:ascii="Times New Roman" w:hAnsi="Times New Roman" w:cs="Times New Roman"/>
                <w:b/>
                <w:bCs/>
              </w:rPr>
              <w:t>Avista Corp.</w:t>
            </w:r>
          </w:p>
          <w:p w:rsidR="00F86C06" w:rsidRPr="006C3001" w:rsidRDefault="00F86C06" w:rsidP="00F45919">
            <w:pPr>
              <w:pStyle w:val="Header"/>
              <w:rPr>
                <w:rFonts w:ascii="Times New Roman" w:hAnsi="Times New Roman" w:cs="Times New Roman"/>
              </w:rPr>
            </w:pPr>
            <w:r w:rsidRPr="006C3001">
              <w:rPr>
                <w:rFonts w:ascii="Times New Roman" w:hAnsi="Times New Roman" w:cs="Times New Roman"/>
              </w:rPr>
              <w:t>1411 East Mission   P.O. Box 3727</w:t>
            </w:r>
          </w:p>
          <w:p w:rsidR="00F86C06" w:rsidRPr="006C3001" w:rsidRDefault="00F86C06" w:rsidP="00F45919">
            <w:pPr>
              <w:pStyle w:val="Header"/>
              <w:rPr>
                <w:rFonts w:ascii="Times New Roman" w:hAnsi="Times New Roman" w:cs="Times New Roman"/>
              </w:rPr>
            </w:pPr>
            <w:r w:rsidRPr="006C3001">
              <w:rPr>
                <w:rFonts w:ascii="Times New Roman" w:hAnsi="Times New Roman" w:cs="Times New Roman"/>
              </w:rPr>
              <w:t>Spokane. Washington  99220-0500</w:t>
            </w:r>
          </w:p>
          <w:p w:rsidR="00F86C06" w:rsidRPr="006C3001" w:rsidRDefault="00F86C06" w:rsidP="00F45919">
            <w:pPr>
              <w:pStyle w:val="Header"/>
              <w:rPr>
                <w:rFonts w:ascii="Times New Roman" w:hAnsi="Times New Roman" w:cs="Times New Roman"/>
              </w:rPr>
            </w:pPr>
            <w:r w:rsidRPr="006C3001">
              <w:rPr>
                <w:rFonts w:ascii="Times New Roman" w:hAnsi="Times New Roman" w:cs="Times New Roman"/>
              </w:rPr>
              <w:t>Telephone 509-489-0500</w:t>
            </w:r>
          </w:p>
          <w:p w:rsidR="00F86C06" w:rsidRPr="006C3001" w:rsidRDefault="00F86C06" w:rsidP="00F45919">
            <w:pPr>
              <w:pStyle w:val="Header"/>
              <w:rPr>
                <w:rFonts w:ascii="Times New Roman" w:hAnsi="Times New Roman" w:cs="Times New Roman"/>
              </w:rPr>
            </w:pPr>
            <w:r w:rsidRPr="006C3001">
              <w:rPr>
                <w:rFonts w:ascii="Times New Roman" w:hAnsi="Times New Roman" w:cs="Times New Roman"/>
              </w:rPr>
              <w:t>Toll Free   800-727-9170</w:t>
            </w:r>
          </w:p>
          <w:p w:rsidR="00F86C06" w:rsidRPr="006C3001" w:rsidRDefault="00F86C06" w:rsidP="00F45919">
            <w:pPr>
              <w:pStyle w:val="Header"/>
              <w:rPr>
                <w:rFonts w:ascii="Times New Roman" w:hAnsi="Times New Roman" w:cs="Times New Roman"/>
                <w:b/>
                <w:bCs/>
              </w:rPr>
            </w:pPr>
          </w:p>
        </w:tc>
        <w:tc>
          <w:tcPr>
            <w:tcW w:w="4788" w:type="dxa"/>
          </w:tcPr>
          <w:p w:rsidR="00F86C06" w:rsidRPr="006C3001" w:rsidRDefault="00F86C06" w:rsidP="00F45919">
            <w:pPr>
              <w:pStyle w:val="Header"/>
              <w:tabs>
                <w:tab w:val="left" w:pos="2232"/>
              </w:tabs>
              <w:rPr>
                <w:rFonts w:ascii="Times New Roman" w:hAnsi="Times New Roman" w:cs="Times New Roman"/>
                <w:b/>
                <w:bCs/>
              </w:rPr>
            </w:pPr>
            <w:r w:rsidRPr="006C3001">
              <w:rPr>
                <w:rFonts w:ascii="Times New Roman" w:hAnsi="Times New Roman" w:cs="Times New Roman"/>
                <w:b/>
                <w:bCs/>
              </w:rPr>
              <w:t xml:space="preserve"> </w:t>
            </w:r>
            <w:r w:rsidRPr="006C3001">
              <w:rPr>
                <w:rFonts w:ascii="Times New Roman" w:hAnsi="Times New Roman" w:cs="Times New Roman"/>
                <w:b/>
                <w:bCs/>
              </w:rPr>
              <w:tab/>
              <w:t xml:space="preserve"> </w:t>
            </w:r>
          </w:p>
        </w:tc>
      </w:tr>
    </w:tbl>
    <w:p w:rsidR="00F31804" w:rsidRPr="006C3001" w:rsidRDefault="00F31804" w:rsidP="00F45919">
      <w:pPr>
        <w:pStyle w:val="NoSpacing"/>
        <w:ind w:right="-270"/>
        <w:jc w:val="both"/>
        <w:rPr>
          <w:rFonts w:ascii="Times New Roman" w:hAnsi="Times New Roman"/>
          <w:sz w:val="24"/>
          <w:szCs w:val="24"/>
        </w:rPr>
      </w:pPr>
    </w:p>
    <w:p w:rsidR="00F45919" w:rsidRPr="006C3001" w:rsidRDefault="00F70813" w:rsidP="00F45919">
      <w:pPr>
        <w:pStyle w:val="NoSpacing"/>
        <w:ind w:right="-270"/>
        <w:jc w:val="both"/>
        <w:rPr>
          <w:rFonts w:ascii="Times New Roman" w:hAnsi="Times New Roman"/>
          <w:sz w:val="24"/>
          <w:szCs w:val="24"/>
        </w:rPr>
      </w:pPr>
      <w:r w:rsidRPr="006C3001">
        <w:rPr>
          <w:rFonts w:ascii="Times New Roman" w:hAnsi="Times New Roman"/>
          <w:sz w:val="24"/>
          <w:szCs w:val="24"/>
        </w:rPr>
        <w:t>January 10, 2014</w:t>
      </w:r>
    </w:p>
    <w:p w:rsidR="00F45919" w:rsidRPr="006C3001" w:rsidRDefault="00F45919" w:rsidP="00F45919">
      <w:pPr>
        <w:pStyle w:val="NoSpacing"/>
        <w:ind w:right="-270"/>
        <w:jc w:val="both"/>
        <w:rPr>
          <w:rFonts w:ascii="Times New Roman" w:hAnsi="Times New Roman"/>
          <w:sz w:val="24"/>
          <w:szCs w:val="24"/>
        </w:rPr>
      </w:pPr>
    </w:p>
    <w:p w:rsidR="00F45919" w:rsidRPr="006C3001" w:rsidRDefault="00F45919" w:rsidP="00F45919">
      <w:pPr>
        <w:pStyle w:val="NoSpacing"/>
        <w:ind w:right="-270"/>
        <w:jc w:val="both"/>
        <w:rPr>
          <w:rFonts w:ascii="Times New Roman" w:hAnsi="Times New Roman"/>
          <w:b/>
          <w:i/>
          <w:sz w:val="24"/>
          <w:szCs w:val="24"/>
        </w:rPr>
      </w:pPr>
      <w:r w:rsidRPr="006C3001">
        <w:rPr>
          <w:rFonts w:ascii="Times New Roman" w:hAnsi="Times New Roman"/>
          <w:b/>
          <w:i/>
          <w:sz w:val="24"/>
          <w:szCs w:val="24"/>
        </w:rPr>
        <w:t>Via Electronic Mail</w:t>
      </w:r>
    </w:p>
    <w:p w:rsidR="00F45919" w:rsidRPr="006C3001" w:rsidRDefault="00F45919" w:rsidP="00F45919">
      <w:pPr>
        <w:pStyle w:val="NoSpacing"/>
        <w:ind w:right="-270"/>
        <w:jc w:val="both"/>
        <w:rPr>
          <w:rFonts w:ascii="Times New Roman" w:hAnsi="Times New Roman"/>
          <w:b/>
          <w:sz w:val="24"/>
          <w:szCs w:val="24"/>
          <w:u w:val="single"/>
        </w:rPr>
      </w:pPr>
    </w:p>
    <w:p w:rsidR="00F45919" w:rsidRPr="006C3001" w:rsidRDefault="00F45919" w:rsidP="00437571">
      <w:pPr>
        <w:ind w:right="-270"/>
        <w:jc w:val="both"/>
        <w:rPr>
          <w:rFonts w:ascii="Times New Roman" w:hAnsi="Times New Roman" w:cs="Times New Roman"/>
        </w:rPr>
      </w:pPr>
      <w:r w:rsidRPr="006C3001">
        <w:rPr>
          <w:rFonts w:ascii="Times New Roman" w:hAnsi="Times New Roman" w:cs="Times New Roman"/>
        </w:rPr>
        <w:t>Steven V. King</w:t>
      </w:r>
    </w:p>
    <w:p w:rsidR="00F45919" w:rsidRPr="006C3001" w:rsidRDefault="00F45919" w:rsidP="00437571">
      <w:pPr>
        <w:ind w:right="-270"/>
        <w:jc w:val="both"/>
        <w:rPr>
          <w:rFonts w:ascii="Times New Roman" w:hAnsi="Times New Roman" w:cs="Times New Roman"/>
        </w:rPr>
      </w:pPr>
      <w:r w:rsidRPr="006C3001">
        <w:rPr>
          <w:rFonts w:ascii="Times New Roman" w:hAnsi="Times New Roman" w:cs="Times New Roman"/>
        </w:rPr>
        <w:t>Executive Director and Secretary</w:t>
      </w:r>
    </w:p>
    <w:p w:rsidR="00F45919" w:rsidRPr="006C3001" w:rsidRDefault="00F45919" w:rsidP="00437571">
      <w:pPr>
        <w:ind w:right="-270"/>
        <w:jc w:val="both"/>
        <w:rPr>
          <w:rFonts w:ascii="Times New Roman" w:hAnsi="Times New Roman" w:cs="Times New Roman"/>
        </w:rPr>
      </w:pPr>
      <w:r w:rsidRPr="006C3001">
        <w:rPr>
          <w:rFonts w:ascii="Times New Roman" w:hAnsi="Times New Roman" w:cs="Times New Roman"/>
        </w:rPr>
        <w:t>Washington Utilities &amp; Transportation Commission</w:t>
      </w:r>
    </w:p>
    <w:p w:rsidR="00F45919" w:rsidRPr="006C3001" w:rsidRDefault="00F45919" w:rsidP="00437571">
      <w:pPr>
        <w:ind w:right="-270"/>
        <w:jc w:val="both"/>
        <w:rPr>
          <w:rFonts w:ascii="Times New Roman" w:hAnsi="Times New Roman" w:cs="Times New Roman"/>
        </w:rPr>
      </w:pPr>
      <w:r w:rsidRPr="006C3001">
        <w:rPr>
          <w:rFonts w:ascii="Times New Roman" w:hAnsi="Times New Roman" w:cs="Times New Roman"/>
        </w:rPr>
        <w:t>1300 S. Evergreen Park Drive S. W.</w:t>
      </w:r>
    </w:p>
    <w:p w:rsidR="00F45919" w:rsidRPr="006C3001" w:rsidRDefault="00F45919" w:rsidP="00437571">
      <w:pPr>
        <w:ind w:right="-270"/>
        <w:jc w:val="both"/>
        <w:rPr>
          <w:rFonts w:ascii="Times New Roman" w:hAnsi="Times New Roman" w:cs="Times New Roman"/>
        </w:rPr>
      </w:pPr>
      <w:r w:rsidRPr="006C3001">
        <w:rPr>
          <w:rFonts w:ascii="Times New Roman" w:hAnsi="Times New Roman" w:cs="Times New Roman"/>
        </w:rPr>
        <w:t>P.O. Box 47250</w:t>
      </w:r>
    </w:p>
    <w:p w:rsidR="00F45919" w:rsidRPr="006C3001" w:rsidRDefault="00F45919" w:rsidP="00437571">
      <w:pPr>
        <w:ind w:right="-270"/>
        <w:jc w:val="both"/>
        <w:rPr>
          <w:rFonts w:ascii="Times New Roman" w:hAnsi="Times New Roman" w:cs="Times New Roman"/>
        </w:rPr>
      </w:pPr>
      <w:r w:rsidRPr="006C3001">
        <w:rPr>
          <w:rFonts w:ascii="Times New Roman" w:hAnsi="Times New Roman" w:cs="Times New Roman"/>
        </w:rPr>
        <w:t>Olympia, Washington  98504-7250</w:t>
      </w:r>
    </w:p>
    <w:p w:rsidR="00F45919" w:rsidRPr="006C3001" w:rsidRDefault="00F45919" w:rsidP="00437571">
      <w:pPr>
        <w:pStyle w:val="NoSpacing"/>
        <w:ind w:right="-270"/>
        <w:jc w:val="both"/>
        <w:rPr>
          <w:rFonts w:ascii="Times New Roman" w:hAnsi="Times New Roman"/>
          <w:b/>
          <w:sz w:val="24"/>
          <w:szCs w:val="24"/>
          <w:u w:val="single"/>
        </w:rPr>
      </w:pPr>
    </w:p>
    <w:p w:rsidR="00F45919" w:rsidRPr="006C3001" w:rsidRDefault="00F45919" w:rsidP="00437571">
      <w:pPr>
        <w:pStyle w:val="Default"/>
        <w:ind w:left="720" w:hanging="720"/>
        <w:jc w:val="both"/>
      </w:pPr>
      <w:r w:rsidRPr="006C3001">
        <w:t>Re:</w:t>
      </w:r>
      <w:r w:rsidRPr="006C3001">
        <w:tab/>
      </w:r>
      <w:r w:rsidR="00D96E8B" w:rsidRPr="006C3001">
        <w:t>Docket No. U</w:t>
      </w:r>
      <w:r w:rsidR="002967AE" w:rsidRPr="006C3001">
        <w:t>G</w:t>
      </w:r>
      <w:r w:rsidR="000E756F" w:rsidRPr="006C3001">
        <w:t>-13</w:t>
      </w:r>
      <w:r w:rsidR="00F70813" w:rsidRPr="006C3001">
        <w:t>2019</w:t>
      </w:r>
      <w:r w:rsidR="00D96E8B" w:rsidRPr="006C3001">
        <w:t xml:space="preserve"> - </w:t>
      </w:r>
      <w:r w:rsidR="00F70813" w:rsidRPr="006C3001">
        <w:t>Inquiry into Local Distribution Companies’ Natural Gas Hedging Practices and Transaction Reporting</w:t>
      </w:r>
    </w:p>
    <w:p w:rsidR="00F45919" w:rsidRPr="006C3001" w:rsidRDefault="00F45919" w:rsidP="00437571">
      <w:pPr>
        <w:pStyle w:val="NoSpacing"/>
        <w:ind w:right="-270"/>
        <w:jc w:val="both"/>
        <w:rPr>
          <w:rFonts w:ascii="Times New Roman" w:hAnsi="Times New Roman"/>
          <w:sz w:val="24"/>
          <w:szCs w:val="24"/>
        </w:rPr>
      </w:pPr>
    </w:p>
    <w:p w:rsidR="00F45919" w:rsidRPr="006C3001" w:rsidRDefault="00F45919" w:rsidP="00437571">
      <w:pPr>
        <w:pStyle w:val="NoSpacing"/>
        <w:spacing w:line="360" w:lineRule="auto"/>
        <w:ind w:right="-270"/>
        <w:contextualSpacing/>
        <w:jc w:val="both"/>
        <w:rPr>
          <w:rFonts w:ascii="Times New Roman" w:hAnsi="Times New Roman"/>
          <w:sz w:val="24"/>
          <w:szCs w:val="24"/>
        </w:rPr>
      </w:pPr>
      <w:r w:rsidRPr="006C3001">
        <w:rPr>
          <w:rFonts w:ascii="Times New Roman" w:hAnsi="Times New Roman"/>
          <w:sz w:val="24"/>
          <w:szCs w:val="24"/>
        </w:rPr>
        <w:t>Dear Mr. King,</w:t>
      </w:r>
    </w:p>
    <w:p w:rsidR="00D84B4F" w:rsidRPr="006C3001" w:rsidRDefault="00F45919" w:rsidP="00437571">
      <w:pPr>
        <w:pStyle w:val="NoSpacing"/>
        <w:spacing w:line="360" w:lineRule="auto"/>
        <w:ind w:firstLine="720"/>
        <w:jc w:val="both"/>
        <w:rPr>
          <w:rFonts w:ascii="Times New Roman" w:hAnsi="Times New Roman"/>
          <w:sz w:val="24"/>
          <w:szCs w:val="24"/>
        </w:rPr>
      </w:pPr>
      <w:r w:rsidRPr="006C3001">
        <w:rPr>
          <w:rFonts w:ascii="Times New Roman" w:hAnsi="Times New Roman"/>
          <w:sz w:val="24"/>
          <w:szCs w:val="24"/>
        </w:rPr>
        <w:t xml:space="preserve">Avista Corporation dba Avista Utilities (Avista or Company) submits the following comments in accordance with the Washington Utilities and Transportation Commission’s (Commission) Notice of Opportunity to </w:t>
      </w:r>
      <w:r w:rsidR="000E756F" w:rsidRPr="006C3001">
        <w:rPr>
          <w:rFonts w:ascii="Times New Roman" w:hAnsi="Times New Roman"/>
          <w:sz w:val="24"/>
          <w:szCs w:val="24"/>
        </w:rPr>
        <w:t>File</w:t>
      </w:r>
      <w:r w:rsidRPr="006C3001">
        <w:rPr>
          <w:rFonts w:ascii="Times New Roman" w:hAnsi="Times New Roman"/>
          <w:sz w:val="24"/>
          <w:szCs w:val="24"/>
        </w:rPr>
        <w:t xml:space="preserve"> Written Comments (N</w:t>
      </w:r>
      <w:r w:rsidR="000E756F" w:rsidRPr="006C3001">
        <w:rPr>
          <w:rFonts w:ascii="Times New Roman" w:hAnsi="Times New Roman"/>
          <w:sz w:val="24"/>
          <w:szCs w:val="24"/>
        </w:rPr>
        <w:t>otice) issued in Docket U</w:t>
      </w:r>
      <w:r w:rsidR="002967AE" w:rsidRPr="006C3001">
        <w:rPr>
          <w:rFonts w:ascii="Times New Roman" w:hAnsi="Times New Roman"/>
          <w:sz w:val="24"/>
          <w:szCs w:val="24"/>
        </w:rPr>
        <w:t>G</w:t>
      </w:r>
      <w:r w:rsidR="000E756F" w:rsidRPr="006C3001">
        <w:rPr>
          <w:rFonts w:ascii="Times New Roman" w:hAnsi="Times New Roman"/>
          <w:sz w:val="24"/>
          <w:szCs w:val="24"/>
        </w:rPr>
        <w:t>-</w:t>
      </w:r>
      <w:r w:rsidR="00F70813" w:rsidRPr="006C3001">
        <w:rPr>
          <w:rFonts w:ascii="Times New Roman" w:hAnsi="Times New Roman"/>
          <w:sz w:val="24"/>
          <w:szCs w:val="24"/>
        </w:rPr>
        <w:t>132019</w:t>
      </w:r>
      <w:r w:rsidR="00D84B4F" w:rsidRPr="006C3001">
        <w:rPr>
          <w:rFonts w:ascii="Times New Roman" w:hAnsi="Times New Roman"/>
          <w:sz w:val="24"/>
          <w:szCs w:val="24"/>
        </w:rPr>
        <w:t xml:space="preserve"> dated </w:t>
      </w:r>
      <w:r w:rsidR="00F70813" w:rsidRPr="006C3001">
        <w:rPr>
          <w:rFonts w:ascii="Times New Roman" w:hAnsi="Times New Roman"/>
          <w:sz w:val="24"/>
          <w:szCs w:val="24"/>
        </w:rPr>
        <w:t>December 18, 20</w:t>
      </w:r>
      <w:r w:rsidRPr="006C3001">
        <w:rPr>
          <w:rFonts w:ascii="Times New Roman" w:hAnsi="Times New Roman"/>
          <w:sz w:val="24"/>
          <w:szCs w:val="24"/>
        </w:rPr>
        <w:t>13</w:t>
      </w:r>
      <w:r w:rsidR="00D84B4F" w:rsidRPr="006C3001">
        <w:rPr>
          <w:rFonts w:ascii="Times New Roman" w:hAnsi="Times New Roman"/>
          <w:sz w:val="24"/>
          <w:szCs w:val="24"/>
        </w:rPr>
        <w:t>.</w:t>
      </w:r>
      <w:r w:rsidR="00E70A85" w:rsidRPr="006C3001">
        <w:rPr>
          <w:rFonts w:ascii="Times New Roman" w:hAnsi="Times New Roman"/>
          <w:sz w:val="24"/>
          <w:szCs w:val="24"/>
        </w:rPr>
        <w:t xml:space="preserve">  Avista appreciates the opportunity to provide the followi</w:t>
      </w:r>
      <w:r w:rsidR="00C169A6" w:rsidRPr="006C3001">
        <w:rPr>
          <w:rFonts w:ascii="Times New Roman" w:hAnsi="Times New Roman"/>
          <w:sz w:val="24"/>
          <w:szCs w:val="24"/>
        </w:rPr>
        <w:t>ng comments related to the</w:t>
      </w:r>
      <w:r w:rsidR="00E70A85" w:rsidRPr="006C3001">
        <w:rPr>
          <w:rFonts w:ascii="Times New Roman" w:hAnsi="Times New Roman"/>
          <w:sz w:val="24"/>
          <w:szCs w:val="24"/>
        </w:rPr>
        <w:t xml:space="preserve"> issues identified by the Commission</w:t>
      </w:r>
      <w:r w:rsidR="00145ABA" w:rsidRPr="006C3001">
        <w:rPr>
          <w:rFonts w:ascii="Times New Roman" w:hAnsi="Times New Roman"/>
          <w:sz w:val="24"/>
          <w:szCs w:val="24"/>
        </w:rPr>
        <w:t xml:space="preserve"> in its Notice</w:t>
      </w:r>
      <w:r w:rsidR="00E70A85" w:rsidRPr="006C3001">
        <w:rPr>
          <w:rFonts w:ascii="Times New Roman" w:hAnsi="Times New Roman"/>
          <w:sz w:val="24"/>
          <w:szCs w:val="24"/>
        </w:rPr>
        <w:t>.</w:t>
      </w:r>
    </w:p>
    <w:p w:rsidR="00E70A85" w:rsidRPr="006C3001" w:rsidRDefault="00E70A85" w:rsidP="004E11AB">
      <w:pPr>
        <w:pStyle w:val="NoSpacing"/>
        <w:spacing w:line="360" w:lineRule="auto"/>
        <w:ind w:firstLine="720"/>
        <w:jc w:val="both"/>
        <w:rPr>
          <w:rFonts w:ascii="Times New Roman" w:hAnsi="Times New Roman"/>
          <w:sz w:val="24"/>
          <w:szCs w:val="24"/>
        </w:rPr>
      </w:pPr>
    </w:p>
    <w:p w:rsidR="004E11AB" w:rsidRPr="006C3001" w:rsidRDefault="004E11AB" w:rsidP="004E11AB">
      <w:pPr>
        <w:pStyle w:val="ListParagraph"/>
        <w:numPr>
          <w:ilvl w:val="0"/>
          <w:numId w:val="5"/>
        </w:numPr>
        <w:spacing w:after="120" w:line="264" w:lineRule="auto"/>
        <w:contextualSpacing w:val="0"/>
        <w:jc w:val="both"/>
        <w:rPr>
          <w:b/>
        </w:rPr>
      </w:pPr>
      <w:r w:rsidRPr="006C3001">
        <w:rPr>
          <w:b/>
        </w:rPr>
        <w:t>Hedging Activities</w:t>
      </w:r>
    </w:p>
    <w:p w:rsidR="004E11AB" w:rsidRPr="006C3001" w:rsidRDefault="004E11AB" w:rsidP="004E11AB">
      <w:pPr>
        <w:numPr>
          <w:ilvl w:val="1"/>
          <w:numId w:val="5"/>
        </w:numPr>
        <w:spacing w:after="120" w:line="264" w:lineRule="auto"/>
        <w:jc w:val="both"/>
        <w:rPr>
          <w:rFonts w:ascii="Times New Roman" w:hAnsi="Times New Roman" w:cs="Times New Roman"/>
          <w:b/>
        </w:rPr>
      </w:pPr>
      <w:r w:rsidRPr="006C3001">
        <w:rPr>
          <w:rFonts w:ascii="Times New Roman" w:hAnsi="Times New Roman" w:cs="Times New Roman"/>
          <w:b/>
        </w:rPr>
        <w:t>What is the purpose of hedging?</w:t>
      </w:r>
    </w:p>
    <w:p w:rsidR="004E11AB" w:rsidRPr="006C3001" w:rsidRDefault="004E11AB" w:rsidP="004E11AB">
      <w:pPr>
        <w:pStyle w:val="ListParagraph"/>
        <w:numPr>
          <w:ilvl w:val="2"/>
          <w:numId w:val="5"/>
        </w:numPr>
        <w:spacing w:after="120" w:line="264" w:lineRule="auto"/>
        <w:contextualSpacing w:val="0"/>
        <w:jc w:val="both"/>
        <w:rPr>
          <w:b/>
        </w:rPr>
      </w:pPr>
      <w:r w:rsidRPr="006C3001">
        <w:rPr>
          <w:b/>
        </w:rPr>
        <w:t xml:space="preserve">Reduction in price volatility allowing greater cash-flow certainty? </w:t>
      </w:r>
    </w:p>
    <w:p w:rsidR="004E11AB" w:rsidRPr="006C3001" w:rsidRDefault="004E11AB" w:rsidP="004E11AB">
      <w:pPr>
        <w:pStyle w:val="ListParagraph"/>
        <w:numPr>
          <w:ilvl w:val="2"/>
          <w:numId w:val="5"/>
        </w:numPr>
        <w:spacing w:after="120" w:line="264" w:lineRule="auto"/>
        <w:contextualSpacing w:val="0"/>
        <w:jc w:val="both"/>
        <w:rPr>
          <w:b/>
        </w:rPr>
      </w:pPr>
      <w:r w:rsidRPr="006C3001">
        <w:rPr>
          <w:b/>
        </w:rPr>
        <w:t xml:space="preserve">Protection against the substantial rate hikes? </w:t>
      </w:r>
    </w:p>
    <w:p w:rsidR="004E11AB" w:rsidRPr="006C3001" w:rsidRDefault="004E11AB" w:rsidP="004E11AB">
      <w:pPr>
        <w:pStyle w:val="ListParagraph"/>
        <w:numPr>
          <w:ilvl w:val="2"/>
          <w:numId w:val="5"/>
        </w:numPr>
        <w:spacing w:after="120" w:line="264" w:lineRule="auto"/>
        <w:contextualSpacing w:val="0"/>
        <w:jc w:val="both"/>
        <w:rPr>
          <w:b/>
        </w:rPr>
      </w:pPr>
      <w:r w:rsidRPr="006C3001">
        <w:rPr>
          <w:b/>
        </w:rPr>
        <w:t>Stabilization of customer rates, especially during the winter months?</w:t>
      </w:r>
    </w:p>
    <w:p w:rsidR="004E11AB" w:rsidRPr="006C3001" w:rsidRDefault="004E11AB" w:rsidP="004E11AB">
      <w:pPr>
        <w:pStyle w:val="ListParagraph"/>
        <w:numPr>
          <w:ilvl w:val="2"/>
          <w:numId w:val="5"/>
        </w:numPr>
        <w:spacing w:after="120" w:line="264" w:lineRule="auto"/>
        <w:contextualSpacing w:val="0"/>
        <w:jc w:val="both"/>
        <w:rPr>
          <w:b/>
        </w:rPr>
      </w:pPr>
      <w:r w:rsidRPr="006C3001">
        <w:rPr>
          <w:b/>
        </w:rPr>
        <w:t>Other reasons?</w:t>
      </w:r>
    </w:p>
    <w:p w:rsidR="004E11AB" w:rsidRPr="006C3001" w:rsidRDefault="004E11AB" w:rsidP="004E11AB">
      <w:pPr>
        <w:pStyle w:val="ListParagraph"/>
        <w:spacing w:after="120" w:line="264" w:lineRule="auto"/>
        <w:jc w:val="both"/>
      </w:pPr>
      <w:r w:rsidRPr="006C3001">
        <w:lastRenderedPageBreak/>
        <w:t>While Avista cannot accurately predict future natural gas prices, market conditions</w:t>
      </w:r>
      <w:r w:rsidR="008A72BE">
        <w:t>, supply and demand fundamentals,</w:t>
      </w:r>
      <w:r w:rsidRPr="006C3001">
        <w:t xml:space="preserve"> and experience help shape our overall procurement approach.  The Company’s goal is to provide reliable supply </w:t>
      </w:r>
      <w:r w:rsidR="0095630E">
        <w:t xml:space="preserve">with a </w:t>
      </w:r>
      <w:r w:rsidR="00CD2E33">
        <w:t xml:space="preserve">certain </w:t>
      </w:r>
      <w:r w:rsidR="0095630E">
        <w:t xml:space="preserve">level of price </w:t>
      </w:r>
      <w:r w:rsidR="00CD2E33">
        <w:t>stability</w:t>
      </w:r>
      <w:r w:rsidR="0095630E">
        <w:t xml:space="preserve"> in a volatile commodity market</w:t>
      </w:r>
      <w:r w:rsidRPr="006C3001">
        <w:t>.  To that end, the Company utilizes a Procurement Plan which in</w:t>
      </w:r>
      <w:r w:rsidR="0099141A">
        <w:t>cludes hedging (on both a short-</w:t>
      </w:r>
      <w:r w:rsidRPr="006C3001">
        <w:t>term and long</w:t>
      </w:r>
      <w:r w:rsidR="0099141A">
        <w:t>-</w:t>
      </w:r>
      <w:r w:rsidRPr="006C3001">
        <w:t xml:space="preserve">term basis), storage utilization, and index purchases.  This approach is diversified by time, component, counterparty, and supply basin.  The Procurement Plan is disciplined, yet flexible, and layers in fixed-price purchases to </w:t>
      </w:r>
      <w:r w:rsidR="008A72BE">
        <w:t>provide price certainty</w:t>
      </w:r>
      <w:r w:rsidRPr="006C3001">
        <w:t xml:space="preserve"> to customers.  </w:t>
      </w:r>
      <w:r w:rsidR="006E492C" w:rsidRPr="00EE386E">
        <w:t>A copy of the Company’s Natural Gas Procurement Plan is included as an exhibit in Avista’</w:t>
      </w:r>
      <w:r w:rsidR="006E492C">
        <w:t xml:space="preserve">s Energy Resources Risk Policy, and is approved on an annual basis by the </w:t>
      </w:r>
      <w:r w:rsidR="0099141A">
        <w:t xml:space="preserve">Company’s </w:t>
      </w:r>
      <w:r w:rsidR="006E492C">
        <w:t>Risk Management Committee.</w:t>
      </w:r>
    </w:p>
    <w:p w:rsidR="004E11AB" w:rsidRPr="006C3001" w:rsidRDefault="004E11AB" w:rsidP="004E11AB">
      <w:pPr>
        <w:pStyle w:val="ListParagraph"/>
        <w:spacing w:after="120" w:line="264" w:lineRule="auto"/>
        <w:jc w:val="both"/>
      </w:pPr>
    </w:p>
    <w:p w:rsidR="004E11AB" w:rsidRPr="006C3001" w:rsidRDefault="006C3001" w:rsidP="004E11AB">
      <w:pPr>
        <w:pStyle w:val="ListParagraph"/>
        <w:spacing w:after="120" w:line="264" w:lineRule="auto"/>
        <w:jc w:val="both"/>
      </w:pPr>
      <w:r w:rsidRPr="006C3001">
        <w:t xml:space="preserve">Avista believes that the primary purpose of hedging is to layer in fixed-price purchases to </w:t>
      </w:r>
      <w:r w:rsidR="0095630E">
        <w:t>provide a level of price certainty</w:t>
      </w:r>
      <w:r w:rsidRPr="006C3001">
        <w:t xml:space="preserve"> </w:t>
      </w:r>
      <w:r w:rsidR="0099141A">
        <w:t>for</w:t>
      </w:r>
      <w:r w:rsidRPr="006C3001">
        <w:t xml:space="preserve"> customers.  While this may provide for greater cash-flow certainty as a byproduct, that is not a driver.  Avista believes that the PGA process</w:t>
      </w:r>
      <w:r w:rsidR="004E11AB" w:rsidRPr="006C3001">
        <w:t xml:space="preserve"> itself reduces price volatility, protects against substantial rate hikes (or decreases) and stabilizes customer rates during the plan year. </w:t>
      </w:r>
      <w:r w:rsidR="0095630E">
        <w:t xml:space="preserve"> Longer term hedging products can also mitigate </w:t>
      </w:r>
      <w:r w:rsidR="00241822">
        <w:t xml:space="preserve">overall rate </w:t>
      </w:r>
      <w:r w:rsidR="0095630E">
        <w:t xml:space="preserve">volatility </w:t>
      </w:r>
      <w:r w:rsidR="00241822">
        <w:t xml:space="preserve">to customers </w:t>
      </w:r>
      <w:r w:rsidR="0095630E">
        <w:t>between PGA years.</w:t>
      </w:r>
    </w:p>
    <w:p w:rsidR="004E11AB" w:rsidRPr="006C3001" w:rsidRDefault="004E11AB" w:rsidP="004E11AB">
      <w:pPr>
        <w:numPr>
          <w:ilvl w:val="1"/>
          <w:numId w:val="5"/>
        </w:numPr>
        <w:spacing w:after="120" w:line="264" w:lineRule="auto"/>
        <w:jc w:val="both"/>
        <w:rPr>
          <w:rFonts w:ascii="Times New Roman" w:hAnsi="Times New Roman" w:cs="Times New Roman"/>
          <w:b/>
        </w:rPr>
      </w:pPr>
      <w:r w:rsidRPr="006C3001">
        <w:rPr>
          <w:rFonts w:ascii="Times New Roman" w:hAnsi="Times New Roman" w:cs="Times New Roman"/>
          <w:b/>
        </w:rPr>
        <w:t>Who should be the beneficiaries of hedging?</w:t>
      </w:r>
    </w:p>
    <w:p w:rsidR="004E11AB" w:rsidRDefault="006C3001" w:rsidP="004E11AB">
      <w:pPr>
        <w:spacing w:after="120" w:line="264" w:lineRule="auto"/>
        <w:ind w:left="720"/>
        <w:jc w:val="both"/>
        <w:rPr>
          <w:rFonts w:ascii="Times New Roman" w:hAnsi="Times New Roman" w:cs="Times New Roman"/>
        </w:rPr>
      </w:pPr>
      <w:r w:rsidRPr="006C3001">
        <w:rPr>
          <w:rFonts w:ascii="Times New Roman" w:hAnsi="Times New Roman" w:cs="Times New Roman"/>
        </w:rPr>
        <w:t xml:space="preserve">The Company’s goal as it relates to natural gas procurement, and hedging in particular, is to provide </w:t>
      </w:r>
      <w:r w:rsidR="009311FD">
        <w:rPr>
          <w:rFonts w:ascii="Times New Roman" w:hAnsi="Times New Roman" w:cs="Times New Roman"/>
        </w:rPr>
        <w:t xml:space="preserve">customers with </w:t>
      </w:r>
      <w:r w:rsidRPr="006C3001">
        <w:rPr>
          <w:rFonts w:ascii="Times New Roman" w:hAnsi="Times New Roman" w:cs="Times New Roman"/>
        </w:rPr>
        <w:t>reliable</w:t>
      </w:r>
      <w:r w:rsidR="009311FD">
        <w:rPr>
          <w:rFonts w:ascii="Times New Roman" w:hAnsi="Times New Roman" w:cs="Times New Roman"/>
        </w:rPr>
        <w:t xml:space="preserve"> natural gas</w:t>
      </w:r>
      <w:r w:rsidRPr="006C3001">
        <w:rPr>
          <w:rFonts w:ascii="Times New Roman" w:hAnsi="Times New Roman" w:cs="Times New Roman"/>
        </w:rPr>
        <w:t xml:space="preserve"> </w:t>
      </w:r>
      <w:r w:rsidRPr="00241822">
        <w:rPr>
          <w:rFonts w:ascii="Times New Roman" w:hAnsi="Times New Roman" w:cs="Times New Roman"/>
        </w:rPr>
        <w:t>supply</w:t>
      </w:r>
      <w:r w:rsidR="0095630E" w:rsidRPr="00241822">
        <w:rPr>
          <w:rFonts w:ascii="Times New Roman" w:hAnsi="Times New Roman" w:cs="Times New Roman"/>
        </w:rPr>
        <w:t xml:space="preserve"> </w:t>
      </w:r>
      <w:r w:rsidR="001446C7" w:rsidRPr="001446C7">
        <w:rPr>
          <w:rFonts w:ascii="Times New Roman" w:hAnsi="Times New Roman" w:cs="Times New Roman"/>
        </w:rPr>
        <w:t>with a level of price certainty in a volatile commodity market</w:t>
      </w:r>
      <w:r w:rsidRPr="006C3001">
        <w:rPr>
          <w:rFonts w:ascii="Times New Roman" w:hAnsi="Times New Roman" w:cs="Times New Roman"/>
        </w:rPr>
        <w:t xml:space="preserve">.  </w:t>
      </w:r>
      <w:r w:rsidR="009311FD">
        <w:rPr>
          <w:rFonts w:ascii="Times New Roman" w:hAnsi="Times New Roman" w:cs="Times New Roman"/>
        </w:rPr>
        <w:t xml:space="preserve">Customers are the beneficiaries of a utility </w:t>
      </w:r>
      <w:r w:rsidR="00241822">
        <w:rPr>
          <w:rFonts w:ascii="Times New Roman" w:hAnsi="Times New Roman" w:cs="Times New Roman"/>
        </w:rPr>
        <w:t>hedging</w:t>
      </w:r>
      <w:r w:rsidR="009311FD">
        <w:rPr>
          <w:rFonts w:ascii="Times New Roman" w:hAnsi="Times New Roman" w:cs="Times New Roman"/>
        </w:rPr>
        <w:t xml:space="preserve"> program that is a component of a well-</w:t>
      </w:r>
      <w:r w:rsidR="00241822">
        <w:rPr>
          <w:rFonts w:ascii="Times New Roman" w:hAnsi="Times New Roman" w:cs="Times New Roman"/>
        </w:rPr>
        <w:t xml:space="preserve">defined, structured and communicated </w:t>
      </w:r>
      <w:r w:rsidR="009311FD">
        <w:rPr>
          <w:rFonts w:ascii="Times New Roman" w:hAnsi="Times New Roman" w:cs="Times New Roman"/>
        </w:rPr>
        <w:t>P</w:t>
      </w:r>
      <w:r w:rsidR="00241822">
        <w:rPr>
          <w:rFonts w:ascii="Times New Roman" w:hAnsi="Times New Roman" w:cs="Times New Roman"/>
        </w:rPr>
        <w:t xml:space="preserve">rocurement </w:t>
      </w:r>
      <w:r w:rsidR="009311FD">
        <w:rPr>
          <w:rFonts w:ascii="Times New Roman" w:hAnsi="Times New Roman" w:cs="Times New Roman"/>
        </w:rPr>
        <w:t>P</w:t>
      </w:r>
      <w:r w:rsidR="00241822">
        <w:rPr>
          <w:rFonts w:ascii="Times New Roman" w:hAnsi="Times New Roman" w:cs="Times New Roman"/>
        </w:rPr>
        <w:t xml:space="preserve">lan. </w:t>
      </w:r>
    </w:p>
    <w:p w:rsidR="004E11AB" w:rsidRPr="006E492C" w:rsidRDefault="004E11AB" w:rsidP="004E11AB">
      <w:pPr>
        <w:numPr>
          <w:ilvl w:val="1"/>
          <w:numId w:val="5"/>
        </w:numPr>
        <w:spacing w:after="120" w:line="264" w:lineRule="auto"/>
        <w:jc w:val="both"/>
        <w:rPr>
          <w:rFonts w:ascii="Times New Roman" w:hAnsi="Times New Roman" w:cs="Times New Roman"/>
          <w:b/>
        </w:rPr>
      </w:pPr>
      <w:r w:rsidRPr="006E492C">
        <w:rPr>
          <w:rFonts w:ascii="Times New Roman" w:hAnsi="Times New Roman" w:cs="Times New Roman"/>
          <w:b/>
        </w:rPr>
        <w:t xml:space="preserve">Hedges are commonly negotiated for a fixed period of time; the time period can span from months to years. </w:t>
      </w:r>
    </w:p>
    <w:p w:rsidR="004E11AB" w:rsidRPr="006E492C" w:rsidRDefault="004E11AB" w:rsidP="004E11AB">
      <w:pPr>
        <w:numPr>
          <w:ilvl w:val="2"/>
          <w:numId w:val="5"/>
        </w:numPr>
        <w:spacing w:after="120" w:line="264" w:lineRule="auto"/>
        <w:jc w:val="both"/>
        <w:rPr>
          <w:rFonts w:ascii="Times New Roman" w:hAnsi="Times New Roman" w:cs="Times New Roman"/>
          <w:b/>
        </w:rPr>
      </w:pPr>
      <w:r w:rsidRPr="006E492C">
        <w:rPr>
          <w:rFonts w:ascii="Times New Roman" w:hAnsi="Times New Roman" w:cs="Times New Roman"/>
          <w:b/>
        </w:rPr>
        <w:t>Is there a sound reason to limit the time horizon that companies can contract for a hedge?</w:t>
      </w:r>
    </w:p>
    <w:p w:rsidR="004E11AB" w:rsidRPr="006E492C" w:rsidRDefault="004E11AB" w:rsidP="004E11AB">
      <w:pPr>
        <w:numPr>
          <w:ilvl w:val="2"/>
          <w:numId w:val="5"/>
        </w:numPr>
        <w:spacing w:after="120" w:line="264" w:lineRule="auto"/>
        <w:jc w:val="both"/>
        <w:rPr>
          <w:rFonts w:ascii="Times New Roman" w:hAnsi="Times New Roman" w:cs="Times New Roman"/>
          <w:b/>
        </w:rPr>
      </w:pPr>
      <w:r w:rsidRPr="006E492C">
        <w:rPr>
          <w:rFonts w:ascii="Times New Roman" w:hAnsi="Times New Roman" w:cs="Times New Roman"/>
          <w:b/>
        </w:rPr>
        <w:t>If so, what should be the maximum time horizon?</w:t>
      </w:r>
    </w:p>
    <w:p w:rsidR="004E11AB" w:rsidRPr="006E492C" w:rsidRDefault="004E11AB" w:rsidP="004E11AB">
      <w:pPr>
        <w:numPr>
          <w:ilvl w:val="2"/>
          <w:numId w:val="5"/>
        </w:numPr>
        <w:spacing w:after="120" w:line="264" w:lineRule="auto"/>
        <w:jc w:val="both"/>
        <w:rPr>
          <w:rFonts w:ascii="Times New Roman" w:hAnsi="Times New Roman" w:cs="Times New Roman"/>
          <w:b/>
        </w:rPr>
      </w:pPr>
      <w:r w:rsidRPr="006E492C">
        <w:rPr>
          <w:rFonts w:ascii="Times New Roman" w:hAnsi="Times New Roman" w:cs="Times New Roman"/>
          <w:b/>
        </w:rPr>
        <w:t>What are the advantages, if any, of hedging over a multi-year period?</w:t>
      </w:r>
    </w:p>
    <w:p w:rsidR="004E11AB" w:rsidRPr="006C3001" w:rsidRDefault="006C3001" w:rsidP="00D428E6">
      <w:pPr>
        <w:spacing w:after="120" w:line="264" w:lineRule="auto"/>
        <w:ind w:left="720"/>
        <w:jc w:val="both"/>
        <w:rPr>
          <w:rFonts w:ascii="Times New Roman" w:hAnsi="Times New Roman" w:cs="Times New Roman"/>
        </w:rPr>
      </w:pPr>
      <w:r>
        <w:rPr>
          <w:rFonts w:ascii="Times New Roman" w:hAnsi="Times New Roman" w:cs="Times New Roman"/>
        </w:rPr>
        <w:t>Avista believe</w:t>
      </w:r>
      <w:r w:rsidR="00CD2E33">
        <w:rPr>
          <w:rFonts w:ascii="Times New Roman" w:hAnsi="Times New Roman" w:cs="Times New Roman"/>
        </w:rPr>
        <w:t>s</w:t>
      </w:r>
      <w:r>
        <w:rPr>
          <w:rFonts w:ascii="Times New Roman" w:hAnsi="Times New Roman" w:cs="Times New Roman"/>
        </w:rPr>
        <w:t xml:space="preserve"> there</w:t>
      </w:r>
      <w:r w:rsidR="00CD2E33">
        <w:rPr>
          <w:rFonts w:ascii="Times New Roman" w:hAnsi="Times New Roman" w:cs="Times New Roman"/>
        </w:rPr>
        <w:t xml:space="preserve"> should not be a limit to</w:t>
      </w:r>
      <w:r>
        <w:rPr>
          <w:rFonts w:ascii="Times New Roman" w:hAnsi="Times New Roman" w:cs="Times New Roman"/>
        </w:rPr>
        <w:t xml:space="preserve"> the time hori</w:t>
      </w:r>
      <w:r w:rsidR="006E492C">
        <w:rPr>
          <w:rFonts w:ascii="Times New Roman" w:hAnsi="Times New Roman" w:cs="Times New Roman"/>
        </w:rPr>
        <w:t>z</w:t>
      </w:r>
      <w:r>
        <w:rPr>
          <w:rFonts w:ascii="Times New Roman" w:hAnsi="Times New Roman" w:cs="Times New Roman"/>
        </w:rPr>
        <w:t>on that companies can contract for a hedge.</w:t>
      </w:r>
      <w:r w:rsidR="006E492C">
        <w:rPr>
          <w:rFonts w:ascii="Times New Roman" w:hAnsi="Times New Roman" w:cs="Times New Roman"/>
        </w:rPr>
        <w:t xml:space="preserve">  Decisions related to the time horizon should be left to management’s judgment. Factors such as market liquidity, demand forecasts, price and volume volatility, resource mix, economic factors, and price forecasts are all items that the Company reviews on a continuous basis and are items which help to inform the annual natural gas P</w:t>
      </w:r>
      <w:r w:rsidR="00D428E6">
        <w:rPr>
          <w:rFonts w:ascii="Times New Roman" w:hAnsi="Times New Roman" w:cs="Times New Roman"/>
        </w:rPr>
        <w:t xml:space="preserve">rocurement Plan. </w:t>
      </w:r>
      <w:r w:rsidR="008801F3">
        <w:rPr>
          <w:rFonts w:ascii="Times New Roman" w:hAnsi="Times New Roman" w:cs="Times New Roman"/>
        </w:rPr>
        <w:t xml:space="preserve"> Advantages to hedging over a multi-year period </w:t>
      </w:r>
      <w:r w:rsidR="0099141A">
        <w:rPr>
          <w:rFonts w:ascii="Times New Roman" w:hAnsi="Times New Roman" w:cs="Times New Roman"/>
        </w:rPr>
        <w:t>c</w:t>
      </w:r>
      <w:r w:rsidR="008801F3">
        <w:rPr>
          <w:rFonts w:ascii="Times New Roman" w:hAnsi="Times New Roman" w:cs="Times New Roman"/>
        </w:rPr>
        <w:t>ould help</w:t>
      </w:r>
      <w:r w:rsidR="0099141A">
        <w:rPr>
          <w:rFonts w:ascii="Times New Roman" w:hAnsi="Times New Roman" w:cs="Times New Roman"/>
        </w:rPr>
        <w:t xml:space="preserve"> to</w:t>
      </w:r>
      <w:r w:rsidR="008801F3">
        <w:rPr>
          <w:rFonts w:ascii="Times New Roman" w:hAnsi="Times New Roman" w:cs="Times New Roman"/>
        </w:rPr>
        <w:t xml:space="preserve"> mitigate customer rate volatility between PGA years and dampen PGA and deferral account impacts.</w:t>
      </w:r>
    </w:p>
    <w:p w:rsidR="004E11AB" w:rsidRPr="006C3001" w:rsidRDefault="004E11AB" w:rsidP="004E11AB">
      <w:pPr>
        <w:spacing w:after="120" w:line="264" w:lineRule="auto"/>
        <w:ind w:left="1440"/>
        <w:jc w:val="both"/>
        <w:rPr>
          <w:rFonts w:ascii="Times New Roman" w:hAnsi="Times New Roman" w:cs="Times New Roman"/>
        </w:rPr>
      </w:pPr>
    </w:p>
    <w:p w:rsidR="004E11AB" w:rsidRPr="00D428E6" w:rsidRDefault="004E11AB" w:rsidP="004E11AB">
      <w:pPr>
        <w:numPr>
          <w:ilvl w:val="1"/>
          <w:numId w:val="5"/>
        </w:numPr>
        <w:spacing w:after="120" w:line="264" w:lineRule="auto"/>
        <w:jc w:val="both"/>
        <w:rPr>
          <w:rFonts w:ascii="Times New Roman" w:hAnsi="Times New Roman" w:cs="Times New Roman"/>
          <w:b/>
        </w:rPr>
      </w:pPr>
      <w:r w:rsidRPr="00D428E6">
        <w:rPr>
          <w:rFonts w:ascii="Times New Roman" w:hAnsi="Times New Roman" w:cs="Times New Roman"/>
          <w:b/>
        </w:rPr>
        <w:t>Companies normally hedge to a set “target” percentage of their expected load allowing the remainder of the unhedged load to be acquired on the spot market.</w:t>
      </w:r>
    </w:p>
    <w:p w:rsidR="004E11AB" w:rsidRPr="00D428E6" w:rsidRDefault="004E11AB" w:rsidP="004E11AB">
      <w:pPr>
        <w:numPr>
          <w:ilvl w:val="2"/>
          <w:numId w:val="5"/>
        </w:numPr>
        <w:spacing w:after="120" w:line="264" w:lineRule="auto"/>
        <w:jc w:val="both"/>
        <w:rPr>
          <w:rFonts w:ascii="Times New Roman" w:hAnsi="Times New Roman" w:cs="Times New Roman"/>
          <w:b/>
        </w:rPr>
      </w:pPr>
      <w:r w:rsidRPr="00D428E6">
        <w:rPr>
          <w:rFonts w:ascii="Times New Roman" w:hAnsi="Times New Roman" w:cs="Times New Roman"/>
          <w:b/>
        </w:rPr>
        <w:t>Is there a need for the Commission to limit the percent of load hedged and, if so, what should be the maximum percent hedged?</w:t>
      </w:r>
    </w:p>
    <w:p w:rsidR="004E11AB" w:rsidRPr="00D428E6" w:rsidRDefault="004E11AB" w:rsidP="004E11AB">
      <w:pPr>
        <w:numPr>
          <w:ilvl w:val="2"/>
          <w:numId w:val="5"/>
        </w:numPr>
        <w:spacing w:after="120" w:line="264" w:lineRule="auto"/>
        <w:jc w:val="both"/>
        <w:rPr>
          <w:rFonts w:ascii="Times New Roman" w:hAnsi="Times New Roman" w:cs="Times New Roman"/>
          <w:b/>
        </w:rPr>
      </w:pPr>
      <w:r w:rsidRPr="00D428E6">
        <w:rPr>
          <w:rFonts w:ascii="Times New Roman" w:hAnsi="Times New Roman" w:cs="Times New Roman"/>
          <w:b/>
        </w:rPr>
        <w:t xml:space="preserve">What are some of the factors affecting the amount of hedging that a utility should do?  </w:t>
      </w:r>
    </w:p>
    <w:p w:rsidR="004E11AB" w:rsidRPr="00D428E6" w:rsidRDefault="004E11AB" w:rsidP="004E11AB">
      <w:pPr>
        <w:numPr>
          <w:ilvl w:val="2"/>
          <w:numId w:val="5"/>
        </w:numPr>
        <w:spacing w:after="120" w:line="264" w:lineRule="auto"/>
        <w:jc w:val="both"/>
        <w:rPr>
          <w:rFonts w:ascii="Times New Roman" w:hAnsi="Times New Roman" w:cs="Times New Roman"/>
          <w:b/>
        </w:rPr>
      </w:pPr>
      <w:r w:rsidRPr="00D428E6">
        <w:rPr>
          <w:rFonts w:ascii="Times New Roman" w:hAnsi="Times New Roman" w:cs="Times New Roman"/>
          <w:b/>
        </w:rPr>
        <w:t xml:space="preserve">When discussing target percentages, should the Commission distinguish between physical and financial hedging?  </w:t>
      </w:r>
    </w:p>
    <w:p w:rsidR="0099141A" w:rsidRDefault="00CF0EDD" w:rsidP="00E55C2E">
      <w:pPr>
        <w:pStyle w:val="Default"/>
        <w:ind w:left="720"/>
        <w:jc w:val="both"/>
      </w:pPr>
      <w:r>
        <w:t>T</w:t>
      </w:r>
      <w:r w:rsidR="00D428E6">
        <w:t>he amount hedged should be determined on an annual basis by Company management during the development of the Procurement Plan</w:t>
      </w:r>
      <w:r w:rsidR="0099141A">
        <w:t>, and should not be limited by a Commission rule</w:t>
      </w:r>
      <w:r w:rsidR="00D428E6">
        <w:t>.</w:t>
      </w:r>
      <w:r w:rsidR="009311FD">
        <w:t xml:space="preserve">  Further analysis of hedge percentages should be applied against load requirements on a monthly basis to ensure hedged percentages do not exceed requirements.  In no instances should a utility hedge more than 100% of its forecasted load requirement.  </w:t>
      </w:r>
      <w:r w:rsidR="00D428E6">
        <w:t xml:space="preserve">As discussed in the Company’s comments to Question C above, the factors that can affect the amount of hedging a utility should do includes market liquidity, demand forecasts, price and volume volatility, resource mix, economic factors, and price forecasts.  </w:t>
      </w:r>
    </w:p>
    <w:p w:rsidR="0099141A" w:rsidRDefault="0099141A" w:rsidP="00E55C2E">
      <w:pPr>
        <w:pStyle w:val="Default"/>
        <w:ind w:left="720"/>
        <w:jc w:val="both"/>
      </w:pPr>
    </w:p>
    <w:p w:rsidR="004E11AB" w:rsidRPr="006C3001" w:rsidRDefault="0099141A" w:rsidP="00E55C2E">
      <w:pPr>
        <w:pStyle w:val="Default"/>
        <w:ind w:left="720"/>
        <w:jc w:val="both"/>
      </w:pPr>
      <w:r>
        <w:t>T</w:t>
      </w:r>
      <w:r w:rsidR="00D428E6">
        <w:t xml:space="preserve">he Commission should not </w:t>
      </w:r>
      <w:r w:rsidR="00E55C2E">
        <w:t>distinguish</w:t>
      </w:r>
      <w:r w:rsidR="00D428E6">
        <w:t xml:space="preserve"> between physical and financial hedging</w:t>
      </w:r>
      <w:r w:rsidR="00E55C2E">
        <w:t xml:space="preserve">.  </w:t>
      </w:r>
      <w:r w:rsidR="00CF0EDD">
        <w:t>If done properly, all financial hedges should be associated with a physical index priced transaction, thus equalizing the physical and economic effects of both physical and financial hedges.</w:t>
      </w:r>
      <w:r w:rsidR="00ED7071">
        <w:t xml:space="preserve">  </w:t>
      </w:r>
      <w:r w:rsidR="00D428E6">
        <w:t xml:space="preserve">Avista will </w:t>
      </w:r>
      <w:r w:rsidR="00D428E6" w:rsidRPr="00F627A8">
        <w:rPr>
          <w:szCs w:val="22"/>
        </w:rPr>
        <w:t xml:space="preserve">financially hedge some of its load with fixed-price transactions, either with fixed-price physical purchases or with financial swaps [or futures] matched to purchases of index-priced physical products. </w:t>
      </w:r>
      <w:r w:rsidR="00E55C2E" w:rsidRPr="00E55C2E">
        <w:rPr>
          <w:szCs w:val="22"/>
        </w:rPr>
        <w:t>Financial hedging is one of the tools available to Avista to create a fixed priced component for incorporation into the gas supply portfolio.  The objective of using financial transactions for hedging is to increase market liquidity by introducing more potential participants to the transaction and thus providing the opportunity to acquire the supply at the lowest price available.  The ultimate outcome provides price transparency leading to transactions at a lower price.</w:t>
      </w:r>
    </w:p>
    <w:p w:rsidR="004E11AB" w:rsidRPr="006C3001" w:rsidRDefault="004E11AB" w:rsidP="004E11AB">
      <w:pPr>
        <w:spacing w:after="120" w:line="264" w:lineRule="auto"/>
        <w:ind w:left="1440"/>
        <w:jc w:val="both"/>
        <w:rPr>
          <w:rFonts w:ascii="Times New Roman" w:hAnsi="Times New Roman" w:cs="Times New Roman"/>
        </w:rPr>
      </w:pPr>
    </w:p>
    <w:p w:rsidR="004E11AB" w:rsidRPr="00061E3A" w:rsidRDefault="004E11AB" w:rsidP="004E11AB">
      <w:pPr>
        <w:numPr>
          <w:ilvl w:val="1"/>
          <w:numId w:val="5"/>
        </w:numPr>
        <w:spacing w:after="120" w:line="264" w:lineRule="auto"/>
        <w:jc w:val="both"/>
        <w:rPr>
          <w:rFonts w:ascii="Times New Roman" w:hAnsi="Times New Roman" w:cs="Times New Roman"/>
          <w:b/>
        </w:rPr>
      </w:pPr>
      <w:r w:rsidRPr="00061E3A">
        <w:rPr>
          <w:rFonts w:ascii="Times New Roman" w:hAnsi="Times New Roman" w:cs="Times New Roman"/>
          <w:b/>
        </w:rPr>
        <w:t>Should the Commission consider providing an incentive mechanism allowing for sharing of gains as well as losses associated with a company’s hedging practices?</w:t>
      </w:r>
    </w:p>
    <w:p w:rsidR="004E11AB" w:rsidRPr="00061E3A" w:rsidRDefault="004E11AB" w:rsidP="004E11AB">
      <w:pPr>
        <w:numPr>
          <w:ilvl w:val="2"/>
          <w:numId w:val="5"/>
        </w:numPr>
        <w:spacing w:after="120" w:line="264" w:lineRule="auto"/>
        <w:jc w:val="both"/>
        <w:rPr>
          <w:rFonts w:ascii="Times New Roman" w:hAnsi="Times New Roman" w:cs="Times New Roman"/>
          <w:b/>
        </w:rPr>
      </w:pPr>
      <w:r w:rsidRPr="00061E3A">
        <w:rPr>
          <w:rFonts w:ascii="Times New Roman" w:hAnsi="Times New Roman" w:cs="Times New Roman"/>
          <w:b/>
        </w:rPr>
        <w:t>What should be the benchmark?</w:t>
      </w:r>
    </w:p>
    <w:p w:rsidR="004E11AB" w:rsidRPr="00061E3A" w:rsidRDefault="004E11AB" w:rsidP="004E11AB">
      <w:pPr>
        <w:numPr>
          <w:ilvl w:val="2"/>
          <w:numId w:val="5"/>
        </w:numPr>
        <w:spacing w:after="120" w:line="264" w:lineRule="auto"/>
        <w:jc w:val="both"/>
        <w:rPr>
          <w:rFonts w:ascii="Times New Roman" w:hAnsi="Times New Roman" w:cs="Times New Roman"/>
          <w:b/>
        </w:rPr>
      </w:pPr>
      <w:r w:rsidRPr="00061E3A">
        <w:rPr>
          <w:rFonts w:ascii="Times New Roman" w:hAnsi="Times New Roman" w:cs="Times New Roman"/>
          <w:b/>
        </w:rPr>
        <w:t xml:space="preserve">What are the challenges in developing an incentive mechanism? </w:t>
      </w:r>
    </w:p>
    <w:p w:rsidR="00061E3A" w:rsidRDefault="00030AA9" w:rsidP="00E55C2E">
      <w:pPr>
        <w:spacing w:after="120" w:line="264" w:lineRule="auto"/>
        <w:ind w:left="720"/>
        <w:jc w:val="both"/>
        <w:rPr>
          <w:rFonts w:ascii="Times New Roman" w:hAnsi="Times New Roman" w:cs="Times New Roman"/>
        </w:rPr>
      </w:pPr>
      <w:r>
        <w:rPr>
          <w:rFonts w:ascii="Times New Roman" w:hAnsi="Times New Roman" w:cs="Times New Roman"/>
        </w:rPr>
        <w:t xml:space="preserve">No, an incentive mechanism should not be employed. </w:t>
      </w:r>
      <w:r w:rsidR="00061E3A">
        <w:rPr>
          <w:rFonts w:ascii="Times New Roman" w:hAnsi="Times New Roman" w:cs="Times New Roman"/>
        </w:rPr>
        <w:t xml:space="preserve">While Avista utilizes a Procurement Plan for purchasing natural gas for its customers, the Company is a </w:t>
      </w:r>
      <w:r>
        <w:rPr>
          <w:rFonts w:ascii="Times New Roman" w:hAnsi="Times New Roman" w:cs="Times New Roman"/>
        </w:rPr>
        <w:t>“price taker”</w:t>
      </w:r>
      <w:r w:rsidR="00061E3A">
        <w:rPr>
          <w:rFonts w:ascii="Times New Roman" w:hAnsi="Times New Roman" w:cs="Times New Roman"/>
        </w:rPr>
        <w:t xml:space="preserve"> in that market forces outside of the Company’s control drive natural gas prices.  As </w:t>
      </w:r>
      <w:r w:rsidR="00061E3A">
        <w:rPr>
          <w:rFonts w:ascii="Times New Roman" w:hAnsi="Times New Roman" w:cs="Times New Roman"/>
        </w:rPr>
        <w:lastRenderedPageBreak/>
        <w:t xml:space="preserve">such, while the Company strives to procure natural gas at competitive prices, market fluctuations could cause the Company’s actual cost of gas to vary substantially from the embedded cost of gas.  </w:t>
      </w:r>
      <w:r>
        <w:rPr>
          <w:rFonts w:ascii="Times New Roman" w:hAnsi="Times New Roman" w:cs="Times New Roman"/>
        </w:rPr>
        <w:t>Because the Company cannot predict future market prices, there is essentially no opportunity for Avista to benefit from an incentive mechanism related to hedging, i.e., the Company realistically cannot design a hedging program to “beat the market.”  The primary purpose of a hedging program is to provide a certain level of price stability for customers over time, not to attempt to beat the market.</w:t>
      </w:r>
    </w:p>
    <w:p w:rsidR="004E11AB" w:rsidRDefault="00030AA9" w:rsidP="004E11AB">
      <w:pPr>
        <w:numPr>
          <w:ilvl w:val="1"/>
          <w:numId w:val="5"/>
        </w:numPr>
        <w:spacing w:after="120" w:line="264" w:lineRule="auto"/>
        <w:jc w:val="both"/>
        <w:rPr>
          <w:rFonts w:ascii="Times New Roman" w:hAnsi="Times New Roman" w:cs="Times New Roman"/>
          <w:b/>
        </w:rPr>
      </w:pPr>
      <w:r>
        <w:rPr>
          <w:rFonts w:ascii="Times New Roman" w:hAnsi="Times New Roman" w:cs="Times New Roman"/>
          <w:b/>
        </w:rPr>
        <w:t>Is it</w:t>
      </w:r>
      <w:r w:rsidR="004E11AB" w:rsidRPr="00ED4FEB">
        <w:rPr>
          <w:rFonts w:ascii="Times New Roman" w:hAnsi="Times New Roman" w:cs="Times New Roman"/>
          <w:b/>
        </w:rPr>
        <w:t xml:space="preserve"> feasible to develop a financial model that would provide a benchmark the Commission could use as a “safe harbor” when evaluating a company’s hedging performance? </w:t>
      </w:r>
    </w:p>
    <w:p w:rsidR="004668B0" w:rsidRPr="004668B0" w:rsidRDefault="004668B0" w:rsidP="004668B0">
      <w:pPr>
        <w:spacing w:after="120" w:line="264" w:lineRule="auto"/>
        <w:ind w:left="720"/>
        <w:jc w:val="both"/>
        <w:rPr>
          <w:rFonts w:ascii="Times New Roman" w:hAnsi="Times New Roman" w:cs="Times New Roman"/>
        </w:rPr>
      </w:pPr>
      <w:r w:rsidRPr="004668B0">
        <w:rPr>
          <w:rFonts w:ascii="Times New Roman" w:hAnsi="Times New Roman" w:cs="Times New Roman"/>
        </w:rPr>
        <w:t>Due to the individual nature and characteristics of each utility,</w:t>
      </w:r>
      <w:r w:rsidR="00030AA9">
        <w:rPr>
          <w:rFonts w:ascii="Times New Roman" w:hAnsi="Times New Roman" w:cs="Times New Roman"/>
        </w:rPr>
        <w:t xml:space="preserve"> e.g., access to supply basins, available storage, etc.,</w:t>
      </w:r>
      <w:r w:rsidRPr="004668B0">
        <w:rPr>
          <w:rFonts w:ascii="Times New Roman" w:hAnsi="Times New Roman" w:cs="Times New Roman"/>
        </w:rPr>
        <w:t xml:space="preserve"> it would be difficult to develop a “one size fits all” benchmark for comparisons.  </w:t>
      </w:r>
      <w:r>
        <w:rPr>
          <w:rFonts w:ascii="Times New Roman" w:hAnsi="Times New Roman" w:cs="Times New Roman"/>
        </w:rPr>
        <w:t>Avista believes that the Commission should rely on its own authority</w:t>
      </w:r>
      <w:r w:rsidR="0099141A">
        <w:rPr>
          <w:rFonts w:ascii="Times New Roman" w:hAnsi="Times New Roman" w:cs="Times New Roman"/>
        </w:rPr>
        <w:t xml:space="preserve"> and prudence standard</w:t>
      </w:r>
      <w:r>
        <w:rPr>
          <w:rFonts w:ascii="Times New Roman" w:hAnsi="Times New Roman" w:cs="Times New Roman"/>
        </w:rPr>
        <w:t xml:space="preserve"> to review the hedging decisions made by the Company at the time the hedges were entered into, and whether those decisions were con</w:t>
      </w:r>
      <w:r w:rsidR="00030AA9">
        <w:rPr>
          <w:rFonts w:ascii="Times New Roman" w:hAnsi="Times New Roman" w:cs="Times New Roman"/>
        </w:rPr>
        <w:t>sistent</w:t>
      </w:r>
      <w:r>
        <w:rPr>
          <w:rFonts w:ascii="Times New Roman" w:hAnsi="Times New Roman" w:cs="Times New Roman"/>
        </w:rPr>
        <w:t xml:space="preserve"> with the Procurement Plan and Risk Management Policy in effect at that time.</w:t>
      </w:r>
    </w:p>
    <w:p w:rsidR="004668B0" w:rsidRPr="00ED4FEB" w:rsidRDefault="004668B0" w:rsidP="004668B0">
      <w:pPr>
        <w:spacing w:after="120" w:line="264" w:lineRule="auto"/>
        <w:ind w:left="1080"/>
        <w:jc w:val="both"/>
        <w:rPr>
          <w:rFonts w:ascii="Times New Roman" w:hAnsi="Times New Roman" w:cs="Times New Roman"/>
          <w:b/>
        </w:rPr>
      </w:pPr>
    </w:p>
    <w:p w:rsidR="004E11AB" w:rsidRPr="00ED4FEB" w:rsidRDefault="004E11AB" w:rsidP="004E11AB">
      <w:pPr>
        <w:numPr>
          <w:ilvl w:val="2"/>
          <w:numId w:val="5"/>
        </w:numPr>
        <w:spacing w:after="120" w:line="264" w:lineRule="auto"/>
        <w:jc w:val="both"/>
        <w:rPr>
          <w:rFonts w:ascii="Times New Roman" w:hAnsi="Times New Roman" w:cs="Times New Roman"/>
          <w:b/>
        </w:rPr>
      </w:pPr>
      <w:r w:rsidRPr="00ED4FEB">
        <w:rPr>
          <w:rFonts w:ascii="Times New Roman" w:hAnsi="Times New Roman" w:cs="Times New Roman"/>
          <w:b/>
        </w:rPr>
        <w:t>Assuming the Commission decides to establish requirements or set limitations on hedging, as discussed above, by what means should the Commission act?</w:t>
      </w:r>
    </w:p>
    <w:p w:rsidR="004E11AB" w:rsidRPr="00ED4FEB" w:rsidRDefault="004E11AB" w:rsidP="004E11AB">
      <w:pPr>
        <w:numPr>
          <w:ilvl w:val="3"/>
          <w:numId w:val="5"/>
        </w:numPr>
        <w:spacing w:after="120" w:line="264" w:lineRule="auto"/>
        <w:jc w:val="both"/>
        <w:rPr>
          <w:rFonts w:ascii="Times New Roman" w:hAnsi="Times New Roman" w:cs="Times New Roman"/>
          <w:b/>
        </w:rPr>
      </w:pPr>
      <w:r w:rsidRPr="00ED4FEB">
        <w:rPr>
          <w:rFonts w:ascii="Times New Roman" w:hAnsi="Times New Roman" w:cs="Times New Roman"/>
          <w:b/>
        </w:rPr>
        <w:t>Rule,</w:t>
      </w:r>
    </w:p>
    <w:p w:rsidR="004E11AB" w:rsidRPr="00ED4FEB" w:rsidRDefault="004E11AB" w:rsidP="004E11AB">
      <w:pPr>
        <w:numPr>
          <w:ilvl w:val="3"/>
          <w:numId w:val="5"/>
        </w:numPr>
        <w:spacing w:after="120" w:line="264" w:lineRule="auto"/>
        <w:jc w:val="both"/>
        <w:rPr>
          <w:rFonts w:ascii="Times New Roman" w:hAnsi="Times New Roman" w:cs="Times New Roman"/>
          <w:b/>
        </w:rPr>
      </w:pPr>
      <w:r w:rsidRPr="00ED4FEB">
        <w:rPr>
          <w:rFonts w:ascii="Times New Roman" w:hAnsi="Times New Roman" w:cs="Times New Roman"/>
          <w:b/>
        </w:rPr>
        <w:t>Order applicable to all companies following a hearing,</w:t>
      </w:r>
    </w:p>
    <w:p w:rsidR="004E11AB" w:rsidRPr="00ED4FEB" w:rsidRDefault="004E11AB" w:rsidP="004E11AB">
      <w:pPr>
        <w:numPr>
          <w:ilvl w:val="3"/>
          <w:numId w:val="5"/>
        </w:numPr>
        <w:spacing w:after="120" w:line="264" w:lineRule="auto"/>
        <w:jc w:val="both"/>
        <w:rPr>
          <w:rFonts w:ascii="Times New Roman" w:hAnsi="Times New Roman" w:cs="Times New Roman"/>
          <w:b/>
        </w:rPr>
      </w:pPr>
      <w:r w:rsidRPr="00ED4FEB">
        <w:rPr>
          <w:rFonts w:ascii="Times New Roman" w:hAnsi="Times New Roman" w:cs="Times New Roman"/>
          <w:b/>
        </w:rPr>
        <w:t>Company-specific orders after individual hearings,</w:t>
      </w:r>
    </w:p>
    <w:p w:rsidR="004E11AB" w:rsidRPr="00ED4FEB" w:rsidRDefault="004E11AB" w:rsidP="004E11AB">
      <w:pPr>
        <w:numPr>
          <w:ilvl w:val="3"/>
          <w:numId w:val="5"/>
        </w:numPr>
        <w:spacing w:after="120" w:line="264" w:lineRule="auto"/>
        <w:jc w:val="both"/>
        <w:rPr>
          <w:rFonts w:ascii="Times New Roman" w:hAnsi="Times New Roman" w:cs="Times New Roman"/>
          <w:b/>
        </w:rPr>
      </w:pPr>
      <w:r w:rsidRPr="00ED4FEB">
        <w:rPr>
          <w:rFonts w:ascii="Times New Roman" w:hAnsi="Times New Roman" w:cs="Times New Roman"/>
          <w:b/>
        </w:rPr>
        <w:t>Non-binding policy statement,</w:t>
      </w:r>
    </w:p>
    <w:p w:rsidR="004E11AB" w:rsidRPr="00ED4FEB" w:rsidRDefault="004E11AB" w:rsidP="004E11AB">
      <w:pPr>
        <w:numPr>
          <w:ilvl w:val="3"/>
          <w:numId w:val="5"/>
        </w:numPr>
        <w:spacing w:after="120" w:line="264" w:lineRule="auto"/>
        <w:jc w:val="both"/>
        <w:rPr>
          <w:rFonts w:ascii="Times New Roman" w:hAnsi="Times New Roman" w:cs="Times New Roman"/>
          <w:b/>
        </w:rPr>
      </w:pPr>
      <w:r w:rsidRPr="00ED4FEB">
        <w:rPr>
          <w:rFonts w:ascii="Times New Roman" w:hAnsi="Times New Roman" w:cs="Times New Roman"/>
          <w:b/>
        </w:rPr>
        <w:t>Other</w:t>
      </w:r>
    </w:p>
    <w:p w:rsidR="004E11AB" w:rsidRPr="006C3001" w:rsidRDefault="004668B0" w:rsidP="004668B0">
      <w:pPr>
        <w:spacing w:line="264" w:lineRule="auto"/>
        <w:ind w:left="720"/>
        <w:jc w:val="both"/>
        <w:rPr>
          <w:rFonts w:ascii="Times New Roman" w:hAnsi="Times New Roman" w:cs="Times New Roman"/>
        </w:rPr>
      </w:pPr>
      <w:r>
        <w:rPr>
          <w:rFonts w:ascii="Times New Roman" w:hAnsi="Times New Roman" w:cs="Times New Roman"/>
        </w:rPr>
        <w:t>Avista believe</w:t>
      </w:r>
      <w:r w:rsidR="00030AA9">
        <w:rPr>
          <w:rFonts w:ascii="Times New Roman" w:hAnsi="Times New Roman" w:cs="Times New Roman"/>
        </w:rPr>
        <w:t>s</w:t>
      </w:r>
      <w:r>
        <w:rPr>
          <w:rFonts w:ascii="Times New Roman" w:hAnsi="Times New Roman" w:cs="Times New Roman"/>
        </w:rPr>
        <w:t xml:space="preserve"> formal requirements related to hedging activities should </w:t>
      </w:r>
      <w:r w:rsidR="00030AA9">
        <w:rPr>
          <w:rFonts w:ascii="Times New Roman" w:hAnsi="Times New Roman" w:cs="Times New Roman"/>
        </w:rPr>
        <w:t xml:space="preserve">not </w:t>
      </w:r>
      <w:r>
        <w:rPr>
          <w:rFonts w:ascii="Times New Roman" w:hAnsi="Times New Roman" w:cs="Times New Roman"/>
        </w:rPr>
        <w:t xml:space="preserve">be prescribed.  However, the Company believes that the Commission </w:t>
      </w:r>
      <w:r w:rsidR="00390908">
        <w:rPr>
          <w:rFonts w:ascii="Times New Roman" w:hAnsi="Times New Roman" w:cs="Times New Roman"/>
        </w:rPr>
        <w:t>c</w:t>
      </w:r>
      <w:r w:rsidR="00ED7071">
        <w:rPr>
          <w:rFonts w:ascii="Times New Roman" w:hAnsi="Times New Roman" w:cs="Times New Roman"/>
        </w:rPr>
        <w:t>ould</w:t>
      </w:r>
      <w:r>
        <w:rPr>
          <w:rFonts w:ascii="Times New Roman" w:hAnsi="Times New Roman" w:cs="Times New Roman"/>
        </w:rPr>
        <w:t xml:space="preserve"> provide general guidance on its view related to hedging and could do so through a non-binding Policy Statement</w:t>
      </w:r>
      <w:r w:rsidRPr="004668B0">
        <w:rPr>
          <w:rFonts w:ascii="Times New Roman" w:hAnsi="Times New Roman" w:cs="Times New Roman"/>
        </w:rPr>
        <w:t>.</w:t>
      </w:r>
    </w:p>
    <w:p w:rsidR="004E11AB" w:rsidRPr="006C3001" w:rsidRDefault="004E11AB" w:rsidP="004E11AB">
      <w:pPr>
        <w:spacing w:line="264" w:lineRule="auto"/>
        <w:jc w:val="both"/>
        <w:rPr>
          <w:rFonts w:ascii="Times New Roman" w:hAnsi="Times New Roman" w:cs="Times New Roman"/>
        </w:rPr>
      </w:pPr>
    </w:p>
    <w:p w:rsidR="004E11AB" w:rsidRPr="006C3001" w:rsidRDefault="004E11AB" w:rsidP="004E11AB">
      <w:pPr>
        <w:spacing w:line="264" w:lineRule="auto"/>
        <w:jc w:val="both"/>
        <w:rPr>
          <w:rFonts w:ascii="Times New Roman" w:hAnsi="Times New Roman" w:cs="Times New Roman"/>
        </w:rPr>
      </w:pPr>
    </w:p>
    <w:p w:rsidR="004E11AB" w:rsidRPr="00C57495" w:rsidRDefault="004E11AB" w:rsidP="004E11AB">
      <w:pPr>
        <w:numPr>
          <w:ilvl w:val="0"/>
          <w:numId w:val="5"/>
        </w:numPr>
        <w:spacing w:after="120" w:line="264" w:lineRule="auto"/>
        <w:jc w:val="both"/>
        <w:rPr>
          <w:rFonts w:ascii="Times New Roman" w:hAnsi="Times New Roman" w:cs="Times New Roman"/>
          <w:b/>
        </w:rPr>
      </w:pPr>
      <w:r w:rsidRPr="00C57495">
        <w:rPr>
          <w:rFonts w:ascii="Times New Roman" w:hAnsi="Times New Roman" w:cs="Times New Roman"/>
          <w:b/>
        </w:rPr>
        <w:t xml:space="preserve">Purchased Gas Adjustment Mechanism (PGA) - WAC 480-90-233  </w:t>
      </w:r>
      <w:r w:rsidRPr="00C57495">
        <w:rPr>
          <w:rFonts w:ascii="Times New Roman" w:hAnsi="Times New Roman" w:cs="Times New Roman"/>
          <w:b/>
        </w:rPr>
        <w:br/>
        <w:t>Although purchased gas costs include costs beyond hedging costs, hedging gains and losses can make up a material portion of the associated rate adjustment. The Commission believes it is important as part of this inquiry to examine certain aspects of the PGA filing requirements as they relate to hedging.</w:t>
      </w:r>
    </w:p>
    <w:p w:rsidR="004E11AB" w:rsidRPr="00C57495" w:rsidRDefault="004E11AB" w:rsidP="004E11AB">
      <w:pPr>
        <w:numPr>
          <w:ilvl w:val="1"/>
          <w:numId w:val="5"/>
        </w:numPr>
        <w:spacing w:after="120" w:line="264" w:lineRule="auto"/>
        <w:jc w:val="both"/>
        <w:rPr>
          <w:rFonts w:ascii="Times New Roman" w:hAnsi="Times New Roman" w:cs="Times New Roman"/>
          <w:b/>
        </w:rPr>
      </w:pPr>
      <w:r w:rsidRPr="00C57495">
        <w:rPr>
          <w:rFonts w:ascii="Times New Roman" w:hAnsi="Times New Roman" w:cs="Times New Roman"/>
          <w:b/>
        </w:rPr>
        <w:lastRenderedPageBreak/>
        <w:t xml:space="preserve">Washington companies file adjustments to their PGA mechanisms annually. However, some stakeholders have suggested that annual filings fail to provide proper economic signals to consumers and may actually contribute to large swings in rates due to the accumulation of under- recovered or over-recovered amounts. </w:t>
      </w:r>
    </w:p>
    <w:p w:rsidR="004E11AB" w:rsidRDefault="004E11AB" w:rsidP="004E11AB">
      <w:pPr>
        <w:numPr>
          <w:ilvl w:val="2"/>
          <w:numId w:val="5"/>
        </w:numPr>
        <w:spacing w:after="120" w:line="264" w:lineRule="auto"/>
        <w:jc w:val="both"/>
        <w:rPr>
          <w:rFonts w:ascii="Times New Roman" w:hAnsi="Times New Roman" w:cs="Times New Roman"/>
          <w:b/>
        </w:rPr>
      </w:pPr>
      <w:r w:rsidRPr="00C57495">
        <w:rPr>
          <w:rFonts w:ascii="Times New Roman" w:hAnsi="Times New Roman" w:cs="Times New Roman"/>
          <w:b/>
        </w:rPr>
        <w:t>Should the Commission require more frequent PGA filings, such as semi-annually, quarterly or even monthly?</w:t>
      </w:r>
    </w:p>
    <w:p w:rsidR="008F68D5" w:rsidRPr="008F68D5" w:rsidRDefault="008F68D5" w:rsidP="008F68D5">
      <w:pPr>
        <w:numPr>
          <w:ilvl w:val="2"/>
          <w:numId w:val="5"/>
        </w:numPr>
        <w:spacing w:after="120" w:line="264" w:lineRule="auto"/>
        <w:jc w:val="both"/>
        <w:rPr>
          <w:rFonts w:ascii="Times New Roman" w:hAnsi="Times New Roman" w:cs="Times New Roman"/>
          <w:b/>
        </w:rPr>
      </w:pPr>
      <w:r w:rsidRPr="008F68D5">
        <w:rPr>
          <w:rFonts w:ascii="Times New Roman" w:hAnsi="Times New Roman" w:cs="Times New Roman"/>
          <w:b/>
        </w:rPr>
        <w:t>If companies make more frequent</w:t>
      </w:r>
      <w:r w:rsidR="00030AA9">
        <w:rPr>
          <w:rFonts w:ascii="Times New Roman" w:hAnsi="Times New Roman" w:cs="Times New Roman"/>
          <w:b/>
        </w:rPr>
        <w:t xml:space="preserve"> [PGA filings]</w:t>
      </w:r>
      <w:r w:rsidRPr="008F68D5">
        <w:rPr>
          <w:rFonts w:ascii="Times New Roman" w:hAnsi="Times New Roman" w:cs="Times New Roman"/>
          <w:b/>
        </w:rPr>
        <w:t xml:space="preserve">, to what extent should the companies provide additional supporting data and narrative above those already provided in its annual filing? (Please address the additional resources that the Commission may require to process the additional filings.) </w:t>
      </w:r>
    </w:p>
    <w:p w:rsidR="00C57495" w:rsidRPr="00C57495" w:rsidRDefault="00C57495" w:rsidP="008F68D5">
      <w:pPr>
        <w:spacing w:after="120" w:line="264" w:lineRule="auto"/>
        <w:ind w:left="720"/>
        <w:jc w:val="both"/>
        <w:rPr>
          <w:rFonts w:ascii="Times New Roman" w:hAnsi="Times New Roman" w:cs="Times New Roman"/>
        </w:rPr>
      </w:pPr>
      <w:r w:rsidRPr="00C57495">
        <w:rPr>
          <w:rFonts w:ascii="Times New Roman" w:hAnsi="Times New Roman" w:cs="Times New Roman"/>
        </w:rPr>
        <w:t>Avista support</w:t>
      </w:r>
      <w:r>
        <w:rPr>
          <w:rFonts w:ascii="Times New Roman" w:hAnsi="Times New Roman" w:cs="Times New Roman"/>
        </w:rPr>
        <w:t>s</w:t>
      </w:r>
      <w:r w:rsidRPr="00C57495">
        <w:rPr>
          <w:rFonts w:ascii="Times New Roman" w:hAnsi="Times New Roman" w:cs="Times New Roman"/>
        </w:rPr>
        <w:t xml:space="preserve"> the current PGA process which provides for Staff and Commission review and approval of the current year’s natural gas costs (deferral account) and the subsequent year’s projected gas costs (PGA).  Per WAC 480-90-233, a Deferral Report is sent to Staff monthly, and is available for all parties to review </w:t>
      </w:r>
      <w:r w:rsidR="0031177D">
        <w:rPr>
          <w:rFonts w:ascii="Times New Roman" w:hAnsi="Times New Roman" w:cs="Times New Roman"/>
        </w:rPr>
        <w:t xml:space="preserve">the ongoing </w:t>
      </w:r>
      <w:r w:rsidRPr="00C57495">
        <w:rPr>
          <w:rFonts w:ascii="Times New Roman" w:hAnsi="Times New Roman" w:cs="Times New Roman"/>
        </w:rPr>
        <w:t>current year status prior to the filing of the annual PGA.   When the annual PGA filing is made, it consists of the support and documentation for the Company’s existing supply obligations and proposed forward looking commodity and transportation costs, as well as for the prior period amortization of those same PGA components, all of which is available for review by Staff, Public Counsel, and other interested parties.</w:t>
      </w:r>
    </w:p>
    <w:p w:rsidR="008F68D5" w:rsidRDefault="00C57495" w:rsidP="008F68D5">
      <w:pPr>
        <w:spacing w:after="120" w:line="264" w:lineRule="auto"/>
        <w:ind w:left="720"/>
        <w:jc w:val="both"/>
        <w:rPr>
          <w:rFonts w:ascii="Times New Roman" w:hAnsi="Times New Roman" w:cs="Times New Roman"/>
        </w:rPr>
      </w:pPr>
      <w:r w:rsidRPr="00C57495">
        <w:rPr>
          <w:rFonts w:ascii="Times New Roman" w:hAnsi="Times New Roman" w:cs="Times New Roman"/>
        </w:rPr>
        <w:t>Should the Commission desire the utilities to file more often, the Company believes that the current PGA</w:t>
      </w:r>
      <w:r>
        <w:rPr>
          <w:rFonts w:ascii="Times New Roman" w:hAnsi="Times New Roman" w:cs="Times New Roman"/>
        </w:rPr>
        <w:t xml:space="preserve"> process with the </w:t>
      </w:r>
      <w:r w:rsidRPr="00C57495">
        <w:rPr>
          <w:rFonts w:ascii="Times New Roman" w:hAnsi="Times New Roman" w:cs="Times New Roman"/>
        </w:rPr>
        <w:t>November 1</w:t>
      </w:r>
      <w:r>
        <w:rPr>
          <w:rFonts w:ascii="Times New Roman" w:hAnsi="Times New Roman" w:cs="Times New Roman"/>
        </w:rPr>
        <w:t xml:space="preserve"> effective date </w:t>
      </w:r>
      <w:r w:rsidRPr="00C57495">
        <w:rPr>
          <w:rFonts w:ascii="Times New Roman" w:hAnsi="Times New Roman" w:cs="Times New Roman"/>
        </w:rPr>
        <w:t xml:space="preserve">should serve as </w:t>
      </w:r>
      <w:r w:rsidR="0031177D">
        <w:rPr>
          <w:rFonts w:ascii="Times New Roman" w:hAnsi="Times New Roman" w:cs="Times New Roman"/>
        </w:rPr>
        <w:t xml:space="preserve">a </w:t>
      </w:r>
      <w:r>
        <w:rPr>
          <w:rFonts w:ascii="Times New Roman" w:hAnsi="Times New Roman" w:cs="Times New Roman"/>
        </w:rPr>
        <w:t>master PGA filing.  That filing would seek a</w:t>
      </w:r>
      <w:r w:rsidRPr="00C57495">
        <w:rPr>
          <w:rFonts w:ascii="Times New Roman" w:hAnsi="Times New Roman" w:cs="Times New Roman"/>
        </w:rPr>
        <w:t xml:space="preserve">pproval of the current </w:t>
      </w:r>
      <w:r w:rsidR="0031177D" w:rsidRPr="00C57495">
        <w:rPr>
          <w:rFonts w:ascii="Times New Roman" w:hAnsi="Times New Roman" w:cs="Times New Roman"/>
        </w:rPr>
        <w:t>year’s</w:t>
      </w:r>
      <w:r w:rsidRPr="00C57495">
        <w:rPr>
          <w:rFonts w:ascii="Times New Roman" w:hAnsi="Times New Roman" w:cs="Times New Roman"/>
        </w:rPr>
        <w:t xml:space="preserve"> natural gas cost</w:t>
      </w:r>
      <w:r w:rsidR="00390908">
        <w:rPr>
          <w:rFonts w:ascii="Times New Roman" w:hAnsi="Times New Roman" w:cs="Times New Roman"/>
        </w:rPr>
        <w:t xml:space="preserve"> deferral account and</w:t>
      </w:r>
      <w:r w:rsidR="008324E9">
        <w:rPr>
          <w:rFonts w:ascii="Times New Roman" w:hAnsi="Times New Roman" w:cs="Times New Roman"/>
        </w:rPr>
        <w:t xml:space="preserve"> the </w:t>
      </w:r>
      <w:r w:rsidRPr="00C57495">
        <w:rPr>
          <w:rFonts w:ascii="Times New Roman" w:hAnsi="Times New Roman" w:cs="Times New Roman"/>
        </w:rPr>
        <w:t xml:space="preserve">subsequent year’s projected </w:t>
      </w:r>
      <w:r w:rsidR="00390908">
        <w:rPr>
          <w:rFonts w:ascii="Times New Roman" w:hAnsi="Times New Roman" w:cs="Times New Roman"/>
        </w:rPr>
        <w:t xml:space="preserve">natural </w:t>
      </w:r>
      <w:r w:rsidRPr="00C57495">
        <w:rPr>
          <w:rFonts w:ascii="Times New Roman" w:hAnsi="Times New Roman" w:cs="Times New Roman"/>
        </w:rPr>
        <w:t>gas costs</w:t>
      </w:r>
      <w:r>
        <w:rPr>
          <w:rFonts w:ascii="Times New Roman" w:hAnsi="Times New Roman" w:cs="Times New Roman"/>
        </w:rPr>
        <w:t>.  Any other filing that occurs outside of the regular annual PGA should be prescriptive in nature, such as the updating of forward</w:t>
      </w:r>
      <w:r w:rsidR="008F68D5">
        <w:rPr>
          <w:rFonts w:ascii="Times New Roman" w:hAnsi="Times New Roman" w:cs="Times New Roman"/>
        </w:rPr>
        <w:t>-</w:t>
      </w:r>
      <w:r>
        <w:rPr>
          <w:rFonts w:ascii="Times New Roman" w:hAnsi="Times New Roman" w:cs="Times New Roman"/>
        </w:rPr>
        <w:t>index prices</w:t>
      </w:r>
      <w:r w:rsidR="008F68D5">
        <w:rPr>
          <w:rFonts w:ascii="Times New Roman" w:hAnsi="Times New Roman" w:cs="Times New Roman"/>
        </w:rPr>
        <w:t xml:space="preserve"> for unhedged volumes</w:t>
      </w:r>
      <w:r>
        <w:rPr>
          <w:rFonts w:ascii="Times New Roman" w:hAnsi="Times New Roman" w:cs="Times New Roman"/>
        </w:rPr>
        <w:t xml:space="preserve">, so as to minimize potential preparation and review impacts to Staff, Public Counsel, the Company and other parties. </w:t>
      </w:r>
      <w:r w:rsidR="008F68D5">
        <w:rPr>
          <w:rFonts w:ascii="Times New Roman" w:hAnsi="Times New Roman" w:cs="Times New Roman"/>
        </w:rPr>
        <w:t>A simplified format,</w:t>
      </w:r>
      <w:r w:rsidR="00390908">
        <w:rPr>
          <w:rFonts w:ascii="Times New Roman" w:hAnsi="Times New Roman" w:cs="Times New Roman"/>
        </w:rPr>
        <w:t xml:space="preserve"> in</w:t>
      </w:r>
      <w:r w:rsidR="008F68D5">
        <w:rPr>
          <w:rFonts w:ascii="Times New Roman" w:hAnsi="Times New Roman" w:cs="Times New Roman"/>
        </w:rPr>
        <w:t xml:space="preserve"> the Company’s view, should alleviate the need for additional resources needed by the Commission.</w:t>
      </w:r>
      <w:r w:rsidR="009311FD">
        <w:rPr>
          <w:rFonts w:ascii="Times New Roman" w:hAnsi="Times New Roman" w:cs="Times New Roman"/>
        </w:rPr>
        <w:t xml:space="preserve">  One option that the Commission could consider is a requirement for a utility to file an out-of-cycle PGA should the </w:t>
      </w:r>
      <w:r w:rsidR="0099141A">
        <w:rPr>
          <w:rFonts w:ascii="Times New Roman" w:hAnsi="Times New Roman" w:cs="Times New Roman"/>
        </w:rPr>
        <w:t>actual weighted average cost of gas materially differ from the embedded rate.  The State of Idaho has such a requirement for its natural gas utilities.</w:t>
      </w:r>
    </w:p>
    <w:p w:rsidR="00C57495" w:rsidRPr="00C57495" w:rsidRDefault="00C57495" w:rsidP="00C57495">
      <w:pPr>
        <w:spacing w:after="120" w:line="264" w:lineRule="auto"/>
        <w:ind w:left="1440"/>
        <w:jc w:val="both"/>
        <w:rPr>
          <w:rFonts w:ascii="Times New Roman" w:hAnsi="Times New Roman" w:cs="Times New Roman"/>
          <w:b/>
        </w:rPr>
      </w:pPr>
      <w:r>
        <w:rPr>
          <w:rFonts w:ascii="Times New Roman" w:hAnsi="Times New Roman" w:cs="Times New Roman"/>
        </w:rPr>
        <w:t xml:space="preserve"> </w:t>
      </w:r>
    </w:p>
    <w:p w:rsidR="004E11AB" w:rsidRPr="008F68D5" w:rsidRDefault="004E11AB" w:rsidP="004E11AB">
      <w:pPr>
        <w:numPr>
          <w:ilvl w:val="1"/>
          <w:numId w:val="5"/>
        </w:numPr>
        <w:spacing w:after="120" w:line="264" w:lineRule="auto"/>
        <w:jc w:val="both"/>
        <w:rPr>
          <w:rFonts w:ascii="Times New Roman" w:hAnsi="Times New Roman" w:cs="Times New Roman"/>
          <w:b/>
        </w:rPr>
      </w:pPr>
      <w:r w:rsidRPr="008F68D5">
        <w:rPr>
          <w:rFonts w:ascii="Times New Roman" w:hAnsi="Times New Roman" w:cs="Times New Roman"/>
          <w:b/>
        </w:rPr>
        <w:t xml:space="preserve">Should the Commission consider a uniform PGA reporting standard allowing for: </w:t>
      </w:r>
    </w:p>
    <w:p w:rsidR="004E11AB" w:rsidRPr="008F68D5" w:rsidRDefault="004E11AB" w:rsidP="004E11AB">
      <w:pPr>
        <w:numPr>
          <w:ilvl w:val="2"/>
          <w:numId w:val="5"/>
        </w:numPr>
        <w:spacing w:after="120" w:line="264" w:lineRule="auto"/>
        <w:jc w:val="both"/>
        <w:rPr>
          <w:rFonts w:ascii="Times New Roman" w:hAnsi="Times New Roman" w:cs="Times New Roman"/>
          <w:b/>
        </w:rPr>
      </w:pPr>
      <w:r w:rsidRPr="008F68D5">
        <w:rPr>
          <w:rFonts w:ascii="Times New Roman" w:hAnsi="Times New Roman" w:cs="Times New Roman"/>
          <w:b/>
        </w:rPr>
        <w:t>Comparability of data?</w:t>
      </w:r>
    </w:p>
    <w:p w:rsidR="004E11AB" w:rsidRPr="008F68D5" w:rsidRDefault="004E11AB" w:rsidP="004E11AB">
      <w:pPr>
        <w:numPr>
          <w:ilvl w:val="2"/>
          <w:numId w:val="5"/>
        </w:numPr>
        <w:spacing w:after="120" w:line="264" w:lineRule="auto"/>
        <w:jc w:val="both"/>
        <w:rPr>
          <w:rFonts w:ascii="Times New Roman" w:hAnsi="Times New Roman" w:cs="Times New Roman"/>
          <w:b/>
        </w:rPr>
      </w:pPr>
      <w:r w:rsidRPr="008F68D5">
        <w:rPr>
          <w:rFonts w:ascii="Times New Roman" w:hAnsi="Times New Roman" w:cs="Times New Roman"/>
          <w:b/>
        </w:rPr>
        <w:t>Staff effectiveness and efficiency?</w:t>
      </w:r>
    </w:p>
    <w:p w:rsidR="00E255E3" w:rsidRPr="008F68D5" w:rsidRDefault="008F68D5" w:rsidP="008F68D5">
      <w:pPr>
        <w:pStyle w:val="NoSpacing"/>
        <w:ind w:left="720"/>
        <w:jc w:val="both"/>
        <w:rPr>
          <w:rFonts w:ascii="Times New Roman" w:eastAsiaTheme="minorHAnsi" w:hAnsi="Times New Roman"/>
          <w:sz w:val="24"/>
          <w:szCs w:val="24"/>
        </w:rPr>
      </w:pPr>
      <w:r w:rsidRPr="008F68D5">
        <w:rPr>
          <w:rFonts w:ascii="Times New Roman" w:eastAsiaTheme="minorHAnsi" w:hAnsi="Times New Roman"/>
          <w:sz w:val="24"/>
          <w:szCs w:val="24"/>
        </w:rPr>
        <w:lastRenderedPageBreak/>
        <w:t>Avista</w:t>
      </w:r>
      <w:r>
        <w:rPr>
          <w:rFonts w:ascii="Times New Roman" w:eastAsiaTheme="minorHAnsi" w:hAnsi="Times New Roman"/>
          <w:sz w:val="24"/>
          <w:szCs w:val="24"/>
        </w:rPr>
        <w:t xml:space="preserve"> is supportive of a uniform PGA reporting standard that would allow for the comparability of data.  In Oregon</w:t>
      </w:r>
      <w:r w:rsidR="00390908">
        <w:rPr>
          <w:rFonts w:ascii="Times New Roman" w:eastAsiaTheme="minorHAnsi" w:hAnsi="Times New Roman"/>
          <w:sz w:val="24"/>
          <w:szCs w:val="24"/>
        </w:rPr>
        <w:t>,</w:t>
      </w:r>
      <w:r>
        <w:rPr>
          <w:rFonts w:ascii="Times New Roman" w:eastAsiaTheme="minorHAnsi" w:hAnsi="Times New Roman"/>
          <w:sz w:val="24"/>
          <w:szCs w:val="24"/>
        </w:rPr>
        <w:t xml:space="preserve"> for example, Commission Staff developed several standard worksheets that each of the natural gas utilities provide in their annual PGA filings.  This standardization, we believe, allows for the comparability of data, and provides for a higher level of staff efficiency.  </w:t>
      </w:r>
    </w:p>
    <w:p w:rsidR="008F68D5" w:rsidRPr="006C3001" w:rsidRDefault="008F68D5" w:rsidP="00437571">
      <w:pPr>
        <w:pStyle w:val="NoSpacing"/>
        <w:spacing w:line="360" w:lineRule="auto"/>
        <w:ind w:firstLine="720"/>
        <w:jc w:val="both"/>
        <w:rPr>
          <w:rFonts w:ascii="Times New Roman" w:hAnsi="Times New Roman"/>
          <w:sz w:val="24"/>
          <w:szCs w:val="24"/>
        </w:rPr>
      </w:pPr>
    </w:p>
    <w:p w:rsidR="00F45919" w:rsidRPr="006C3001" w:rsidRDefault="00AB0605" w:rsidP="00437571">
      <w:pPr>
        <w:spacing w:line="360" w:lineRule="auto"/>
        <w:ind w:firstLine="720"/>
        <w:jc w:val="both"/>
        <w:rPr>
          <w:rFonts w:ascii="Times New Roman" w:hAnsi="Times New Roman" w:cs="Times New Roman"/>
        </w:rPr>
      </w:pPr>
      <w:r w:rsidRPr="006C3001">
        <w:rPr>
          <w:rFonts w:ascii="Times New Roman" w:hAnsi="Times New Roman" w:cs="Times New Roman"/>
        </w:rPr>
        <w:t xml:space="preserve">Again, the Company appreciates the opportunity to provide </w:t>
      </w:r>
      <w:r w:rsidR="0012246A" w:rsidRPr="006C3001">
        <w:rPr>
          <w:rFonts w:ascii="Times New Roman" w:hAnsi="Times New Roman" w:cs="Times New Roman"/>
        </w:rPr>
        <w:t xml:space="preserve">these </w:t>
      </w:r>
      <w:r w:rsidRPr="006C3001">
        <w:rPr>
          <w:rFonts w:ascii="Times New Roman" w:hAnsi="Times New Roman" w:cs="Times New Roman"/>
        </w:rPr>
        <w:t xml:space="preserve">comments </w:t>
      </w:r>
      <w:r w:rsidR="00F45919" w:rsidRPr="006C3001">
        <w:rPr>
          <w:rFonts w:ascii="Times New Roman" w:hAnsi="Times New Roman" w:cs="Times New Roman"/>
        </w:rPr>
        <w:t xml:space="preserve">and we look forward to participating in the workshop scheduled for </w:t>
      </w:r>
      <w:r w:rsidR="004E11AB" w:rsidRPr="006C3001">
        <w:rPr>
          <w:rFonts w:ascii="Times New Roman" w:hAnsi="Times New Roman" w:cs="Times New Roman"/>
        </w:rPr>
        <w:t>January 23, 2014</w:t>
      </w:r>
      <w:r w:rsidR="00F45919" w:rsidRPr="006C3001">
        <w:rPr>
          <w:rFonts w:ascii="Times New Roman" w:hAnsi="Times New Roman" w:cs="Times New Roman"/>
        </w:rPr>
        <w:t>.</w:t>
      </w:r>
      <w:r w:rsidR="00DA1C41" w:rsidRPr="006C3001">
        <w:rPr>
          <w:rFonts w:ascii="Times New Roman" w:hAnsi="Times New Roman" w:cs="Times New Roman"/>
        </w:rPr>
        <w:t xml:space="preserve"> </w:t>
      </w:r>
      <w:r w:rsidR="00F45919" w:rsidRPr="006C3001">
        <w:rPr>
          <w:rFonts w:ascii="Times New Roman" w:hAnsi="Times New Roman" w:cs="Times New Roman"/>
        </w:rPr>
        <w:t xml:space="preserve">If you have any questions regarding these comments, please contact </w:t>
      </w:r>
      <w:r w:rsidR="00F8014E" w:rsidRPr="006C3001">
        <w:rPr>
          <w:rFonts w:ascii="Times New Roman" w:hAnsi="Times New Roman" w:cs="Times New Roman"/>
        </w:rPr>
        <w:t>me</w:t>
      </w:r>
      <w:r w:rsidR="00F45919" w:rsidRPr="006C3001">
        <w:rPr>
          <w:rFonts w:ascii="Times New Roman" w:hAnsi="Times New Roman" w:cs="Times New Roman"/>
        </w:rPr>
        <w:t xml:space="preserve"> </w:t>
      </w:r>
      <w:r w:rsidR="001B29A5" w:rsidRPr="006C3001">
        <w:rPr>
          <w:rFonts w:ascii="Times New Roman" w:hAnsi="Times New Roman" w:cs="Times New Roman"/>
        </w:rPr>
        <w:t>at 509-495-</w:t>
      </w:r>
      <w:r w:rsidR="00E70A85" w:rsidRPr="006C3001">
        <w:rPr>
          <w:rFonts w:ascii="Times New Roman" w:hAnsi="Times New Roman" w:cs="Times New Roman"/>
        </w:rPr>
        <w:t>8620</w:t>
      </w:r>
      <w:r w:rsidR="00DA1C41" w:rsidRPr="006C3001">
        <w:rPr>
          <w:rFonts w:ascii="Times New Roman" w:hAnsi="Times New Roman" w:cs="Times New Roman"/>
        </w:rPr>
        <w:t xml:space="preserve"> or at</w:t>
      </w:r>
      <w:r w:rsidR="00E70A85" w:rsidRPr="006C3001">
        <w:rPr>
          <w:rFonts w:ascii="Times New Roman" w:hAnsi="Times New Roman" w:cs="Times New Roman"/>
        </w:rPr>
        <w:t xml:space="preserve"> </w:t>
      </w:r>
      <w:hyperlink r:id="rId8" w:history="1">
        <w:r w:rsidR="00B50EE7" w:rsidRPr="006C3001">
          <w:rPr>
            <w:rStyle w:val="Hyperlink"/>
            <w:rFonts w:ascii="Times New Roman" w:hAnsi="Times New Roman" w:cs="Times New Roman"/>
          </w:rPr>
          <w:t>pat.ehrbar@avistacorp.com</w:t>
        </w:r>
      </w:hyperlink>
      <w:r w:rsidR="00B50EE7" w:rsidRPr="006C3001">
        <w:rPr>
          <w:rFonts w:ascii="Times New Roman" w:hAnsi="Times New Roman" w:cs="Times New Roman"/>
        </w:rPr>
        <w:t>.</w:t>
      </w:r>
    </w:p>
    <w:p w:rsidR="001B29A5" w:rsidRPr="006C3001" w:rsidRDefault="001B29A5" w:rsidP="00437571">
      <w:pPr>
        <w:spacing w:line="360" w:lineRule="auto"/>
        <w:jc w:val="both"/>
        <w:rPr>
          <w:rFonts w:ascii="Times New Roman" w:hAnsi="Times New Roman" w:cs="Times New Roman"/>
        </w:rPr>
      </w:pPr>
    </w:p>
    <w:p w:rsidR="00337F64" w:rsidRPr="006C3001" w:rsidRDefault="00337F64" w:rsidP="00437571">
      <w:pPr>
        <w:jc w:val="both"/>
        <w:rPr>
          <w:rFonts w:ascii="Times New Roman" w:hAnsi="Times New Roman" w:cs="Times New Roman"/>
        </w:rPr>
      </w:pPr>
      <w:r w:rsidRPr="006C3001">
        <w:rPr>
          <w:rFonts w:ascii="Times New Roman" w:hAnsi="Times New Roman" w:cs="Times New Roman"/>
        </w:rPr>
        <w:t>Sincerely,</w:t>
      </w:r>
    </w:p>
    <w:p w:rsidR="00337F64" w:rsidRPr="006C3001" w:rsidRDefault="00337F64" w:rsidP="00437571">
      <w:pPr>
        <w:jc w:val="both"/>
        <w:rPr>
          <w:rFonts w:ascii="Times New Roman" w:hAnsi="Times New Roman" w:cs="Times New Roman"/>
        </w:rPr>
      </w:pPr>
    </w:p>
    <w:p w:rsidR="00337F64" w:rsidRDefault="00337F64" w:rsidP="00437571">
      <w:pPr>
        <w:jc w:val="both"/>
        <w:rPr>
          <w:rFonts w:ascii="Times New Roman" w:hAnsi="Times New Roman" w:cs="Times New Roman"/>
          <w:noProof/>
        </w:rPr>
      </w:pPr>
    </w:p>
    <w:p w:rsidR="000C0DFE" w:rsidRDefault="000C0DFE" w:rsidP="00437571">
      <w:pPr>
        <w:jc w:val="both"/>
        <w:rPr>
          <w:rFonts w:ascii="Times New Roman" w:hAnsi="Times New Roman" w:cs="Times New Roman"/>
        </w:rPr>
      </w:pPr>
    </w:p>
    <w:p w:rsidR="00337F64" w:rsidRPr="006C3001" w:rsidRDefault="004E11AB" w:rsidP="00437571">
      <w:pPr>
        <w:jc w:val="both"/>
        <w:rPr>
          <w:rFonts w:ascii="Times New Roman" w:hAnsi="Times New Roman" w:cs="Times New Roman"/>
        </w:rPr>
      </w:pPr>
      <w:r w:rsidRPr="006C3001">
        <w:rPr>
          <w:rFonts w:ascii="Times New Roman" w:hAnsi="Times New Roman" w:cs="Times New Roman"/>
        </w:rPr>
        <w:t>Patrick Ehrbar</w:t>
      </w:r>
    </w:p>
    <w:p w:rsidR="004E11AB" w:rsidRPr="006C3001" w:rsidRDefault="004E11AB" w:rsidP="00437571">
      <w:pPr>
        <w:jc w:val="both"/>
        <w:rPr>
          <w:rFonts w:ascii="Times New Roman" w:hAnsi="Times New Roman" w:cs="Times New Roman"/>
          <w:lang w:val="fr-FR"/>
        </w:rPr>
      </w:pPr>
      <w:r w:rsidRPr="006C3001">
        <w:rPr>
          <w:rFonts w:ascii="Times New Roman" w:hAnsi="Times New Roman" w:cs="Times New Roman"/>
        </w:rPr>
        <w:t>Manager, Rates &amp; Tariffs</w:t>
      </w:r>
    </w:p>
    <w:p w:rsidR="00337F64" w:rsidRPr="006C3001" w:rsidRDefault="00337F64" w:rsidP="00437571">
      <w:pPr>
        <w:pStyle w:val="NoSpacing"/>
        <w:spacing w:line="360" w:lineRule="auto"/>
        <w:ind w:right="-270" w:firstLine="720"/>
        <w:jc w:val="both"/>
        <w:rPr>
          <w:rFonts w:ascii="Times New Roman" w:hAnsi="Times New Roman"/>
          <w:sz w:val="24"/>
          <w:szCs w:val="24"/>
          <w:lang w:val="fr-FR"/>
        </w:rPr>
      </w:pPr>
    </w:p>
    <w:p w:rsidR="00F45919" w:rsidRPr="006C3001" w:rsidRDefault="00F45919" w:rsidP="00437571">
      <w:pPr>
        <w:pStyle w:val="NoSpacing"/>
        <w:spacing w:line="360" w:lineRule="auto"/>
        <w:ind w:right="-270"/>
        <w:jc w:val="both"/>
        <w:rPr>
          <w:rFonts w:ascii="Times New Roman" w:hAnsi="Times New Roman"/>
          <w:sz w:val="24"/>
          <w:szCs w:val="24"/>
          <w:lang w:val="fr-FR"/>
        </w:rPr>
      </w:pPr>
    </w:p>
    <w:sectPr w:rsidR="00F45919" w:rsidRPr="006C3001" w:rsidSect="00217AAD">
      <w:headerReference w:type="default" r:id="rId9"/>
      <w:footerReference w:type="default" r:id="rId10"/>
      <w:headerReference w:type="first" r:id="rId11"/>
      <w:pgSz w:w="12240" w:h="15840"/>
      <w:pgMar w:top="1800" w:right="1440" w:bottom="1800" w:left="1440" w:header="360" w:footer="22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F3C" w:rsidRDefault="00635F3C" w:rsidP="002A1126">
      <w:r>
        <w:separator/>
      </w:r>
    </w:p>
  </w:endnote>
  <w:endnote w:type="continuationSeparator" w:id="0">
    <w:p w:rsidR="00635F3C" w:rsidRDefault="00635F3C" w:rsidP="002A1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937208"/>
      <w:docPartObj>
        <w:docPartGallery w:val="Page Numbers (Bottom of Page)"/>
        <w:docPartUnique/>
      </w:docPartObj>
    </w:sdtPr>
    <w:sdtEndPr>
      <w:rPr>
        <w:color w:val="7F7F7F" w:themeColor="background1" w:themeShade="7F"/>
        <w:spacing w:val="60"/>
      </w:rPr>
    </w:sdtEndPr>
    <w:sdtContent>
      <w:sdt>
        <w:sdtPr>
          <w:id w:val="250395305"/>
          <w:docPartObj>
            <w:docPartGallery w:val="Page Numbers (Top of Page)"/>
            <w:docPartUnique/>
          </w:docPartObj>
        </w:sdtPr>
        <w:sdtContent>
          <w:p w:rsidR="00635F3C" w:rsidRDefault="00635F3C" w:rsidP="00CB3F4C">
            <w:pPr>
              <w:jc w:val="center"/>
            </w:pPr>
            <w:r w:rsidRPr="00E70A85">
              <w:rPr>
                <w:rFonts w:ascii="Times New Roman" w:hAnsi="Times New Roman" w:cs="Times New Roman"/>
              </w:rPr>
              <w:t xml:space="preserve">Page </w:t>
            </w:r>
            <w:r w:rsidR="000D1089" w:rsidRPr="00E70A85">
              <w:rPr>
                <w:rFonts w:ascii="Times New Roman" w:hAnsi="Times New Roman" w:cs="Times New Roman"/>
              </w:rPr>
              <w:fldChar w:fldCharType="begin"/>
            </w:r>
            <w:r w:rsidRPr="00E70A85">
              <w:rPr>
                <w:rFonts w:ascii="Times New Roman" w:hAnsi="Times New Roman" w:cs="Times New Roman"/>
              </w:rPr>
              <w:instrText xml:space="preserve"> PAGE </w:instrText>
            </w:r>
            <w:r w:rsidR="000D1089" w:rsidRPr="00E70A85">
              <w:rPr>
                <w:rFonts w:ascii="Times New Roman" w:hAnsi="Times New Roman" w:cs="Times New Roman"/>
              </w:rPr>
              <w:fldChar w:fldCharType="separate"/>
            </w:r>
            <w:r w:rsidR="005F4A27">
              <w:rPr>
                <w:rFonts w:ascii="Times New Roman" w:hAnsi="Times New Roman" w:cs="Times New Roman"/>
                <w:noProof/>
              </w:rPr>
              <w:t>6</w:t>
            </w:r>
            <w:r w:rsidR="000D1089" w:rsidRPr="00E70A85">
              <w:rPr>
                <w:rFonts w:ascii="Times New Roman" w:hAnsi="Times New Roman" w:cs="Times New Roman"/>
              </w:rPr>
              <w:fldChar w:fldCharType="end"/>
            </w:r>
            <w:r w:rsidRPr="00E70A85">
              <w:rPr>
                <w:rFonts w:ascii="Times New Roman" w:hAnsi="Times New Roman" w:cs="Times New Roman"/>
              </w:rPr>
              <w:t xml:space="preserve"> of </w:t>
            </w:r>
            <w:r w:rsidR="000D1089" w:rsidRPr="00E70A85">
              <w:rPr>
                <w:rFonts w:ascii="Times New Roman" w:hAnsi="Times New Roman" w:cs="Times New Roman"/>
              </w:rPr>
              <w:fldChar w:fldCharType="begin"/>
            </w:r>
            <w:r w:rsidRPr="00E70A85">
              <w:rPr>
                <w:rFonts w:ascii="Times New Roman" w:hAnsi="Times New Roman" w:cs="Times New Roman"/>
              </w:rPr>
              <w:instrText xml:space="preserve"> NUMPAGES  </w:instrText>
            </w:r>
            <w:r w:rsidR="000D1089" w:rsidRPr="00E70A85">
              <w:rPr>
                <w:rFonts w:ascii="Times New Roman" w:hAnsi="Times New Roman" w:cs="Times New Roman"/>
              </w:rPr>
              <w:fldChar w:fldCharType="separate"/>
            </w:r>
            <w:r w:rsidR="005F4A27">
              <w:rPr>
                <w:rFonts w:ascii="Times New Roman" w:hAnsi="Times New Roman" w:cs="Times New Roman"/>
                <w:noProof/>
              </w:rPr>
              <w:t>6</w:t>
            </w:r>
            <w:r w:rsidR="000D1089" w:rsidRPr="00E70A85">
              <w:rPr>
                <w:rFonts w:ascii="Times New Roman" w:hAnsi="Times New Roman" w:cs="Times New Roman"/>
              </w:rPr>
              <w:fldChar w:fldCharType="end"/>
            </w:r>
          </w:p>
        </w:sdtContent>
      </w:sdt>
      <w:p w:rsidR="00635F3C" w:rsidRDefault="000D1089" w:rsidP="00CB3F4C">
        <w:pPr>
          <w:pStyle w:val="Footer"/>
          <w:rPr>
            <w:b/>
          </w:rPr>
        </w:pPr>
      </w:p>
    </w:sdtContent>
  </w:sdt>
  <w:p w:rsidR="00635F3C" w:rsidRDefault="00635F3C" w:rsidP="00CB3F4C">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F3C" w:rsidRDefault="00635F3C" w:rsidP="002A1126">
      <w:r>
        <w:separator/>
      </w:r>
    </w:p>
  </w:footnote>
  <w:footnote w:type="continuationSeparator" w:id="0">
    <w:p w:rsidR="00635F3C" w:rsidRDefault="00635F3C" w:rsidP="002A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F3C" w:rsidRDefault="00635F3C"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F3C" w:rsidRDefault="00635F3C"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08A5"/>
    <w:multiLevelType w:val="hybridMultilevel"/>
    <w:tmpl w:val="236679EA"/>
    <w:lvl w:ilvl="0" w:tplc="5DB66B1A">
      <w:start w:val="1"/>
      <w:numFmt w:val="decimal"/>
      <w:lvlText w:val="%1."/>
      <w:lvlJc w:val="left"/>
      <w:pPr>
        <w:ind w:left="1170" w:hanging="360"/>
      </w:pPr>
      <w:rPr>
        <w:rFonts w:hint="default"/>
        <w:b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C415332"/>
    <w:multiLevelType w:val="multilevel"/>
    <w:tmpl w:val="C9D0E3C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71174A25"/>
    <w:multiLevelType w:val="hybridMultilevel"/>
    <w:tmpl w:val="AEDE0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rsids>
    <w:rsidRoot w:val="003D0502"/>
    <w:rsid w:val="000020B9"/>
    <w:rsid w:val="000112EA"/>
    <w:rsid w:val="00015429"/>
    <w:rsid w:val="00030AA9"/>
    <w:rsid w:val="00045758"/>
    <w:rsid w:val="00060662"/>
    <w:rsid w:val="00061E3A"/>
    <w:rsid w:val="0007526B"/>
    <w:rsid w:val="00081B05"/>
    <w:rsid w:val="00087C49"/>
    <w:rsid w:val="000C0DFE"/>
    <w:rsid w:val="000C2FE7"/>
    <w:rsid w:val="000C3036"/>
    <w:rsid w:val="000C6741"/>
    <w:rsid w:val="000D1089"/>
    <w:rsid w:val="000E3615"/>
    <w:rsid w:val="000E756F"/>
    <w:rsid w:val="000F46FA"/>
    <w:rsid w:val="000F4873"/>
    <w:rsid w:val="00114E77"/>
    <w:rsid w:val="0012246A"/>
    <w:rsid w:val="0012397F"/>
    <w:rsid w:val="00143B20"/>
    <w:rsid w:val="001446C7"/>
    <w:rsid w:val="00145ABA"/>
    <w:rsid w:val="001567F0"/>
    <w:rsid w:val="00161957"/>
    <w:rsid w:val="00174CE6"/>
    <w:rsid w:val="00186254"/>
    <w:rsid w:val="001874FF"/>
    <w:rsid w:val="001975BD"/>
    <w:rsid w:val="001A63BD"/>
    <w:rsid w:val="001B29A5"/>
    <w:rsid w:val="001D1A97"/>
    <w:rsid w:val="001D266A"/>
    <w:rsid w:val="001E0DB9"/>
    <w:rsid w:val="001E2AB9"/>
    <w:rsid w:val="001E7B75"/>
    <w:rsid w:val="00217AAD"/>
    <w:rsid w:val="00240C86"/>
    <w:rsid w:val="00241822"/>
    <w:rsid w:val="00271646"/>
    <w:rsid w:val="002960F0"/>
    <w:rsid w:val="002967AE"/>
    <w:rsid w:val="002A1126"/>
    <w:rsid w:val="002A365B"/>
    <w:rsid w:val="002A55DF"/>
    <w:rsid w:val="0031177D"/>
    <w:rsid w:val="003123D6"/>
    <w:rsid w:val="00313911"/>
    <w:rsid w:val="00322E87"/>
    <w:rsid w:val="00323F90"/>
    <w:rsid w:val="00337F64"/>
    <w:rsid w:val="003558A7"/>
    <w:rsid w:val="00355E5A"/>
    <w:rsid w:val="00357874"/>
    <w:rsid w:val="0036365E"/>
    <w:rsid w:val="00371CC2"/>
    <w:rsid w:val="00390908"/>
    <w:rsid w:val="00390FC6"/>
    <w:rsid w:val="003971C2"/>
    <w:rsid w:val="003A2021"/>
    <w:rsid w:val="003B43FB"/>
    <w:rsid w:val="003D0502"/>
    <w:rsid w:val="003D5D7D"/>
    <w:rsid w:val="003D6C8A"/>
    <w:rsid w:val="003E3D33"/>
    <w:rsid w:val="003F4467"/>
    <w:rsid w:val="00421E87"/>
    <w:rsid w:val="00437571"/>
    <w:rsid w:val="004539D2"/>
    <w:rsid w:val="004656C8"/>
    <w:rsid w:val="004668B0"/>
    <w:rsid w:val="004733C0"/>
    <w:rsid w:val="004A393A"/>
    <w:rsid w:val="004A6346"/>
    <w:rsid w:val="004B0F10"/>
    <w:rsid w:val="004B3C53"/>
    <w:rsid w:val="004E11AB"/>
    <w:rsid w:val="004E55C9"/>
    <w:rsid w:val="004E6DB1"/>
    <w:rsid w:val="004F682B"/>
    <w:rsid w:val="005011E0"/>
    <w:rsid w:val="00521DD3"/>
    <w:rsid w:val="0052670A"/>
    <w:rsid w:val="00527CD1"/>
    <w:rsid w:val="00530675"/>
    <w:rsid w:val="005333DC"/>
    <w:rsid w:val="005510A0"/>
    <w:rsid w:val="00562476"/>
    <w:rsid w:val="00562704"/>
    <w:rsid w:val="00562FCC"/>
    <w:rsid w:val="005655E2"/>
    <w:rsid w:val="00571C53"/>
    <w:rsid w:val="00583503"/>
    <w:rsid w:val="005873E6"/>
    <w:rsid w:val="005A2682"/>
    <w:rsid w:val="005C0AB1"/>
    <w:rsid w:val="005C759A"/>
    <w:rsid w:val="005D0D20"/>
    <w:rsid w:val="005D6BCC"/>
    <w:rsid w:val="005F4A27"/>
    <w:rsid w:val="0060264D"/>
    <w:rsid w:val="00605521"/>
    <w:rsid w:val="0061555D"/>
    <w:rsid w:val="006260C5"/>
    <w:rsid w:val="00635F3C"/>
    <w:rsid w:val="006431B1"/>
    <w:rsid w:val="0064470E"/>
    <w:rsid w:val="00651A83"/>
    <w:rsid w:val="00657990"/>
    <w:rsid w:val="00665CAE"/>
    <w:rsid w:val="006722CD"/>
    <w:rsid w:val="0067498C"/>
    <w:rsid w:val="00685A38"/>
    <w:rsid w:val="00694FC3"/>
    <w:rsid w:val="006A2183"/>
    <w:rsid w:val="006A325A"/>
    <w:rsid w:val="006C3001"/>
    <w:rsid w:val="006D0F67"/>
    <w:rsid w:val="006E492C"/>
    <w:rsid w:val="00702BA9"/>
    <w:rsid w:val="00706C17"/>
    <w:rsid w:val="00710A60"/>
    <w:rsid w:val="007267D1"/>
    <w:rsid w:val="0077043A"/>
    <w:rsid w:val="00770E27"/>
    <w:rsid w:val="00793E97"/>
    <w:rsid w:val="007A379E"/>
    <w:rsid w:val="007B73D2"/>
    <w:rsid w:val="007F6DBA"/>
    <w:rsid w:val="00805581"/>
    <w:rsid w:val="00807809"/>
    <w:rsid w:val="00824A63"/>
    <w:rsid w:val="008324E9"/>
    <w:rsid w:val="00856ACD"/>
    <w:rsid w:val="008633E7"/>
    <w:rsid w:val="008801F3"/>
    <w:rsid w:val="00891073"/>
    <w:rsid w:val="008A72BE"/>
    <w:rsid w:val="008A7E6F"/>
    <w:rsid w:val="008B7934"/>
    <w:rsid w:val="008C1322"/>
    <w:rsid w:val="008D0804"/>
    <w:rsid w:val="008F68D5"/>
    <w:rsid w:val="00913B5C"/>
    <w:rsid w:val="00916E1D"/>
    <w:rsid w:val="009311FD"/>
    <w:rsid w:val="00940F14"/>
    <w:rsid w:val="0094496B"/>
    <w:rsid w:val="0095630E"/>
    <w:rsid w:val="00971839"/>
    <w:rsid w:val="0098158F"/>
    <w:rsid w:val="0099141A"/>
    <w:rsid w:val="009A0C76"/>
    <w:rsid w:val="009A7E26"/>
    <w:rsid w:val="009B0B7D"/>
    <w:rsid w:val="009E668F"/>
    <w:rsid w:val="00A20AF2"/>
    <w:rsid w:val="00A3246E"/>
    <w:rsid w:val="00A464D3"/>
    <w:rsid w:val="00A4688F"/>
    <w:rsid w:val="00A56024"/>
    <w:rsid w:val="00A668C4"/>
    <w:rsid w:val="00A73FC7"/>
    <w:rsid w:val="00A75CC0"/>
    <w:rsid w:val="00A87384"/>
    <w:rsid w:val="00A90B12"/>
    <w:rsid w:val="00AA2DEC"/>
    <w:rsid w:val="00AA61DD"/>
    <w:rsid w:val="00AB0605"/>
    <w:rsid w:val="00AB0867"/>
    <w:rsid w:val="00AC0AA7"/>
    <w:rsid w:val="00AC73F8"/>
    <w:rsid w:val="00AD2DBE"/>
    <w:rsid w:val="00AE0D0B"/>
    <w:rsid w:val="00B11EC1"/>
    <w:rsid w:val="00B156C5"/>
    <w:rsid w:val="00B17074"/>
    <w:rsid w:val="00B32779"/>
    <w:rsid w:val="00B35C79"/>
    <w:rsid w:val="00B36800"/>
    <w:rsid w:val="00B3771B"/>
    <w:rsid w:val="00B44B40"/>
    <w:rsid w:val="00B47591"/>
    <w:rsid w:val="00B50EE7"/>
    <w:rsid w:val="00B550FC"/>
    <w:rsid w:val="00B75184"/>
    <w:rsid w:val="00B810F8"/>
    <w:rsid w:val="00B86B8E"/>
    <w:rsid w:val="00B93F2B"/>
    <w:rsid w:val="00BA4B9B"/>
    <w:rsid w:val="00BA51AB"/>
    <w:rsid w:val="00BB2CDD"/>
    <w:rsid w:val="00BB40AB"/>
    <w:rsid w:val="00BC5615"/>
    <w:rsid w:val="00BD1077"/>
    <w:rsid w:val="00C077BF"/>
    <w:rsid w:val="00C169A6"/>
    <w:rsid w:val="00C17CA7"/>
    <w:rsid w:val="00C23EA6"/>
    <w:rsid w:val="00C34BB5"/>
    <w:rsid w:val="00C524B5"/>
    <w:rsid w:val="00C54F40"/>
    <w:rsid w:val="00C57495"/>
    <w:rsid w:val="00C66593"/>
    <w:rsid w:val="00C91D37"/>
    <w:rsid w:val="00C921E2"/>
    <w:rsid w:val="00C949B8"/>
    <w:rsid w:val="00C950B4"/>
    <w:rsid w:val="00CA3409"/>
    <w:rsid w:val="00CB3F4C"/>
    <w:rsid w:val="00CD2C7A"/>
    <w:rsid w:val="00CD2E33"/>
    <w:rsid w:val="00CF0EDD"/>
    <w:rsid w:val="00CF6B1C"/>
    <w:rsid w:val="00D01000"/>
    <w:rsid w:val="00D0207E"/>
    <w:rsid w:val="00D3081D"/>
    <w:rsid w:val="00D35F84"/>
    <w:rsid w:val="00D428E6"/>
    <w:rsid w:val="00D4292B"/>
    <w:rsid w:val="00D64EBE"/>
    <w:rsid w:val="00D72B62"/>
    <w:rsid w:val="00D732F6"/>
    <w:rsid w:val="00D843B4"/>
    <w:rsid w:val="00D84B4F"/>
    <w:rsid w:val="00D90460"/>
    <w:rsid w:val="00D96E8B"/>
    <w:rsid w:val="00DA1C41"/>
    <w:rsid w:val="00DA5294"/>
    <w:rsid w:val="00DC294F"/>
    <w:rsid w:val="00DC2F78"/>
    <w:rsid w:val="00DD17D4"/>
    <w:rsid w:val="00DD78BC"/>
    <w:rsid w:val="00DE682D"/>
    <w:rsid w:val="00E15441"/>
    <w:rsid w:val="00E255E3"/>
    <w:rsid w:val="00E3352F"/>
    <w:rsid w:val="00E4016E"/>
    <w:rsid w:val="00E51B06"/>
    <w:rsid w:val="00E55C2E"/>
    <w:rsid w:val="00E70A85"/>
    <w:rsid w:val="00E72C00"/>
    <w:rsid w:val="00E77699"/>
    <w:rsid w:val="00E83AF0"/>
    <w:rsid w:val="00EC51BF"/>
    <w:rsid w:val="00ED4FEB"/>
    <w:rsid w:val="00ED607B"/>
    <w:rsid w:val="00ED7071"/>
    <w:rsid w:val="00ED7C05"/>
    <w:rsid w:val="00EE0AFC"/>
    <w:rsid w:val="00EE4F08"/>
    <w:rsid w:val="00F00311"/>
    <w:rsid w:val="00F2326F"/>
    <w:rsid w:val="00F31804"/>
    <w:rsid w:val="00F3627B"/>
    <w:rsid w:val="00F402D4"/>
    <w:rsid w:val="00F45919"/>
    <w:rsid w:val="00F6459F"/>
    <w:rsid w:val="00F70813"/>
    <w:rsid w:val="00F8014E"/>
    <w:rsid w:val="00F86C06"/>
    <w:rsid w:val="00F917D0"/>
    <w:rsid w:val="00F959D2"/>
    <w:rsid w:val="00FD4190"/>
    <w:rsid w:val="00FD44D5"/>
    <w:rsid w:val="00FE7331"/>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character" w:styleId="CommentReference">
    <w:name w:val="annotation reference"/>
    <w:basedOn w:val="DefaultParagraphFont"/>
    <w:uiPriority w:val="99"/>
    <w:semiHidden/>
    <w:unhideWhenUsed/>
    <w:rsid w:val="003D5D7D"/>
    <w:rPr>
      <w:sz w:val="16"/>
      <w:szCs w:val="16"/>
    </w:rPr>
  </w:style>
  <w:style w:type="paragraph" w:styleId="CommentText">
    <w:name w:val="annotation text"/>
    <w:basedOn w:val="Normal"/>
    <w:link w:val="CommentTextChar"/>
    <w:uiPriority w:val="99"/>
    <w:semiHidden/>
    <w:unhideWhenUsed/>
    <w:rsid w:val="003D5D7D"/>
    <w:rPr>
      <w:sz w:val="20"/>
      <w:szCs w:val="20"/>
    </w:rPr>
  </w:style>
  <w:style w:type="character" w:customStyle="1" w:styleId="CommentTextChar">
    <w:name w:val="Comment Text Char"/>
    <w:basedOn w:val="DefaultParagraphFont"/>
    <w:link w:val="CommentText"/>
    <w:uiPriority w:val="99"/>
    <w:semiHidden/>
    <w:rsid w:val="003D5D7D"/>
    <w:rPr>
      <w:rFonts w:ascii="Arial" w:hAnsi="Arial"/>
    </w:rPr>
  </w:style>
  <w:style w:type="paragraph" w:styleId="CommentSubject">
    <w:name w:val="annotation subject"/>
    <w:basedOn w:val="CommentText"/>
    <w:next w:val="CommentText"/>
    <w:link w:val="CommentSubjectChar"/>
    <w:uiPriority w:val="99"/>
    <w:semiHidden/>
    <w:unhideWhenUsed/>
    <w:rsid w:val="003D5D7D"/>
    <w:rPr>
      <w:b/>
      <w:bCs/>
    </w:rPr>
  </w:style>
  <w:style w:type="character" w:customStyle="1" w:styleId="CommentSubjectChar">
    <w:name w:val="Comment Subject Char"/>
    <w:basedOn w:val="CommentTextChar"/>
    <w:link w:val="CommentSubject"/>
    <w:uiPriority w:val="99"/>
    <w:semiHidden/>
    <w:rsid w:val="003D5D7D"/>
    <w:rPr>
      <w:rFonts w:ascii="Arial" w:hAnsi="Arial"/>
      <w:b/>
      <w:bCs/>
    </w:rPr>
  </w:style>
  <w:style w:type="paragraph" w:styleId="FootnoteText">
    <w:name w:val="footnote text"/>
    <w:basedOn w:val="Normal"/>
    <w:link w:val="FootnoteTextChar"/>
    <w:uiPriority w:val="99"/>
    <w:semiHidden/>
    <w:unhideWhenUsed/>
    <w:rsid w:val="00CF6B1C"/>
    <w:rPr>
      <w:sz w:val="20"/>
      <w:szCs w:val="20"/>
    </w:rPr>
  </w:style>
  <w:style w:type="character" w:customStyle="1" w:styleId="FootnoteTextChar">
    <w:name w:val="Footnote Text Char"/>
    <w:basedOn w:val="DefaultParagraphFont"/>
    <w:link w:val="FootnoteText"/>
    <w:uiPriority w:val="99"/>
    <w:semiHidden/>
    <w:rsid w:val="00CF6B1C"/>
    <w:rPr>
      <w:rFonts w:ascii="Arial" w:hAnsi="Arial"/>
    </w:rPr>
  </w:style>
  <w:style w:type="character" w:styleId="FootnoteReference">
    <w:name w:val="footnote reference"/>
    <w:basedOn w:val="DefaultParagraphFont"/>
    <w:uiPriority w:val="99"/>
    <w:semiHidden/>
    <w:unhideWhenUsed/>
    <w:rsid w:val="00CF6B1C"/>
    <w:rPr>
      <w:vertAlign w:val="superscript"/>
    </w:rPr>
  </w:style>
  <w:style w:type="paragraph" w:styleId="Revision">
    <w:name w:val="Revision"/>
    <w:hidden/>
    <w:uiPriority w:val="99"/>
    <w:semiHidden/>
    <w:rsid w:val="00B810F8"/>
    <w:rPr>
      <w:rFonts w:ascii="Arial" w:hAnsi="Arial"/>
      <w:sz w:val="24"/>
      <w:szCs w:val="24"/>
    </w:rPr>
  </w:style>
  <w:style w:type="paragraph" w:styleId="NormalWeb">
    <w:name w:val="Normal (Web)"/>
    <w:basedOn w:val="Normal"/>
    <w:uiPriority w:val="99"/>
    <w:semiHidden/>
    <w:unhideWhenUsed/>
    <w:rsid w:val="00B32779"/>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character" w:styleId="CommentReference">
    <w:name w:val="annotation reference"/>
    <w:basedOn w:val="DefaultParagraphFont"/>
    <w:uiPriority w:val="99"/>
    <w:semiHidden/>
    <w:unhideWhenUsed/>
    <w:rsid w:val="003D5D7D"/>
    <w:rPr>
      <w:sz w:val="16"/>
      <w:szCs w:val="16"/>
    </w:rPr>
  </w:style>
  <w:style w:type="paragraph" w:styleId="CommentText">
    <w:name w:val="annotation text"/>
    <w:basedOn w:val="Normal"/>
    <w:link w:val="CommentTextChar"/>
    <w:uiPriority w:val="99"/>
    <w:semiHidden/>
    <w:unhideWhenUsed/>
    <w:rsid w:val="003D5D7D"/>
    <w:rPr>
      <w:sz w:val="20"/>
      <w:szCs w:val="20"/>
    </w:rPr>
  </w:style>
  <w:style w:type="character" w:customStyle="1" w:styleId="CommentTextChar">
    <w:name w:val="Comment Text Char"/>
    <w:basedOn w:val="DefaultParagraphFont"/>
    <w:link w:val="CommentText"/>
    <w:uiPriority w:val="99"/>
    <w:semiHidden/>
    <w:rsid w:val="003D5D7D"/>
    <w:rPr>
      <w:rFonts w:ascii="Arial" w:hAnsi="Arial"/>
    </w:rPr>
  </w:style>
  <w:style w:type="paragraph" w:styleId="CommentSubject">
    <w:name w:val="annotation subject"/>
    <w:basedOn w:val="CommentText"/>
    <w:next w:val="CommentText"/>
    <w:link w:val="CommentSubjectChar"/>
    <w:uiPriority w:val="99"/>
    <w:semiHidden/>
    <w:unhideWhenUsed/>
    <w:rsid w:val="003D5D7D"/>
    <w:rPr>
      <w:b/>
      <w:bCs/>
    </w:rPr>
  </w:style>
  <w:style w:type="character" w:customStyle="1" w:styleId="CommentSubjectChar">
    <w:name w:val="Comment Subject Char"/>
    <w:basedOn w:val="CommentTextChar"/>
    <w:link w:val="CommentSubject"/>
    <w:uiPriority w:val="99"/>
    <w:semiHidden/>
    <w:rsid w:val="003D5D7D"/>
    <w:rPr>
      <w:rFonts w:ascii="Arial" w:hAnsi="Arial"/>
      <w:b/>
      <w:bCs/>
    </w:rPr>
  </w:style>
</w:styles>
</file>

<file path=word/webSettings.xml><?xml version="1.0" encoding="utf-8"?>
<w:webSettings xmlns:r="http://schemas.openxmlformats.org/officeDocument/2006/relationships" xmlns:w="http://schemas.openxmlformats.org/wordprocessingml/2006/main">
  <w:divs>
    <w:div w:id="129325307">
      <w:bodyDiv w:val="1"/>
      <w:marLeft w:val="0"/>
      <w:marRight w:val="0"/>
      <w:marTop w:val="0"/>
      <w:marBottom w:val="0"/>
      <w:divBdr>
        <w:top w:val="none" w:sz="0" w:space="0" w:color="auto"/>
        <w:left w:val="none" w:sz="0" w:space="0" w:color="auto"/>
        <w:bottom w:val="none" w:sz="0" w:space="0" w:color="auto"/>
        <w:right w:val="none" w:sz="0" w:space="0" w:color="auto"/>
      </w:divBdr>
    </w:div>
    <w:div w:id="369381935">
      <w:bodyDiv w:val="1"/>
      <w:marLeft w:val="0"/>
      <w:marRight w:val="0"/>
      <w:marTop w:val="0"/>
      <w:marBottom w:val="0"/>
      <w:divBdr>
        <w:top w:val="none" w:sz="0" w:space="0" w:color="auto"/>
        <w:left w:val="none" w:sz="0" w:space="0" w:color="auto"/>
        <w:bottom w:val="none" w:sz="0" w:space="0" w:color="auto"/>
        <w:right w:val="none" w:sz="0" w:space="0" w:color="auto"/>
      </w:divBdr>
    </w:div>
    <w:div w:id="839007903">
      <w:bodyDiv w:val="1"/>
      <w:marLeft w:val="0"/>
      <w:marRight w:val="0"/>
      <w:marTop w:val="0"/>
      <w:marBottom w:val="0"/>
      <w:divBdr>
        <w:top w:val="none" w:sz="0" w:space="0" w:color="auto"/>
        <w:left w:val="none" w:sz="0" w:space="0" w:color="auto"/>
        <w:bottom w:val="none" w:sz="0" w:space="0" w:color="auto"/>
        <w:right w:val="none" w:sz="0" w:space="0" w:color="auto"/>
      </w:divBdr>
    </w:div>
    <w:div w:id="1056658313">
      <w:bodyDiv w:val="1"/>
      <w:marLeft w:val="0"/>
      <w:marRight w:val="0"/>
      <w:marTop w:val="0"/>
      <w:marBottom w:val="0"/>
      <w:divBdr>
        <w:top w:val="none" w:sz="0" w:space="0" w:color="auto"/>
        <w:left w:val="none" w:sz="0" w:space="0" w:color="auto"/>
        <w:bottom w:val="none" w:sz="0" w:space="0" w:color="auto"/>
        <w:right w:val="none" w:sz="0" w:space="0" w:color="auto"/>
      </w:divBdr>
    </w:div>
    <w:div w:id="1397242749">
      <w:bodyDiv w:val="1"/>
      <w:marLeft w:val="0"/>
      <w:marRight w:val="0"/>
      <w:marTop w:val="0"/>
      <w:marBottom w:val="0"/>
      <w:divBdr>
        <w:top w:val="none" w:sz="0" w:space="0" w:color="auto"/>
        <w:left w:val="none" w:sz="0" w:space="0" w:color="auto"/>
        <w:bottom w:val="none" w:sz="0" w:space="0" w:color="auto"/>
        <w:right w:val="none" w:sz="0" w:space="0" w:color="auto"/>
      </w:divBdr>
    </w:div>
    <w:div w:id="1609778262">
      <w:bodyDiv w:val="1"/>
      <w:marLeft w:val="0"/>
      <w:marRight w:val="0"/>
      <w:marTop w:val="0"/>
      <w:marBottom w:val="0"/>
      <w:divBdr>
        <w:top w:val="none" w:sz="0" w:space="0" w:color="auto"/>
        <w:left w:val="none" w:sz="0" w:space="0" w:color="auto"/>
        <w:bottom w:val="none" w:sz="0" w:space="0" w:color="auto"/>
        <w:right w:val="none" w:sz="0" w:space="0" w:color="auto"/>
      </w:divBdr>
    </w:div>
    <w:div w:id="1685739820">
      <w:bodyDiv w:val="1"/>
      <w:marLeft w:val="0"/>
      <w:marRight w:val="0"/>
      <w:marTop w:val="0"/>
      <w:marBottom w:val="0"/>
      <w:divBdr>
        <w:top w:val="none" w:sz="0" w:space="0" w:color="auto"/>
        <w:left w:val="none" w:sz="0" w:space="0" w:color="auto"/>
        <w:bottom w:val="none" w:sz="0" w:space="0" w:color="auto"/>
        <w:right w:val="none" w:sz="0" w:space="0" w:color="auto"/>
      </w:divBdr>
    </w:div>
    <w:div w:id="1818303168">
      <w:bodyDiv w:val="1"/>
      <w:marLeft w:val="0"/>
      <w:marRight w:val="0"/>
      <w:marTop w:val="0"/>
      <w:marBottom w:val="0"/>
      <w:divBdr>
        <w:top w:val="none" w:sz="0" w:space="0" w:color="auto"/>
        <w:left w:val="none" w:sz="0" w:space="0" w:color="auto"/>
        <w:bottom w:val="none" w:sz="0" w:space="0" w:color="auto"/>
        <w:right w:val="none" w:sz="0" w:space="0" w:color="auto"/>
      </w:divBdr>
    </w:div>
    <w:div w:id="2040734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ehrbar@avistacorp.com" TargetMode="External"/><Relationship Id="rId13"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23" Type="http://schemas.openxmlformats.org/officeDocument/2006/relationships/customXml" Target="../customXml/item5.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2013-10-30T07:00:00+00:00</OpenedDate>
    <Date1 xmlns="dc463f71-b30c-4ab2-9473-d307f9d35888">2014-01-10T08:00:00+00:00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132019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71865091E4C84C967B36836C045D32" ma:contentTypeVersion="135" ma:contentTypeDescription="" ma:contentTypeScope="" ma:versionID="b4efaadc31c4967e6df4729b6386d3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93454-0EEF-4C1E-84B5-0C3A4E5A1E85}"/>
</file>

<file path=customXml/itemProps2.xml><?xml version="1.0" encoding="utf-8"?>
<ds:datastoreItem xmlns:ds="http://schemas.openxmlformats.org/officeDocument/2006/customXml" ds:itemID="{2B53916F-C3B6-42C2-9428-CA6BB48F1CF9}"/>
</file>

<file path=customXml/itemProps3.xml><?xml version="1.0" encoding="utf-8"?>
<ds:datastoreItem xmlns:ds="http://schemas.openxmlformats.org/officeDocument/2006/customXml" ds:itemID="{6EC186DF-FA26-4C35-8681-DB6943D1CB6C}"/>
</file>

<file path=customXml/itemProps4.xml><?xml version="1.0" encoding="utf-8"?>
<ds:datastoreItem xmlns:ds="http://schemas.openxmlformats.org/officeDocument/2006/customXml" ds:itemID="{D2895152-AADB-402A-89C6-37CC209453A4}"/>
</file>

<file path=customXml/itemProps5.xml><?xml version="1.0" encoding="utf-8"?>
<ds:datastoreItem xmlns:ds="http://schemas.openxmlformats.org/officeDocument/2006/customXml" ds:itemID="{04493BD6-2069-4770-8E6E-159769CD858B}"/>
</file>

<file path=docProps/app.xml><?xml version="1.0" encoding="utf-8"?>
<Properties xmlns="http://schemas.openxmlformats.org/officeDocument/2006/extended-properties" xmlns:vt="http://schemas.openxmlformats.org/officeDocument/2006/docPropsVTypes">
  <Template>Normal.dotm</Template>
  <TotalTime>29</TotalTime>
  <Pages>6</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Patrick Ehrbar</cp:lastModifiedBy>
  <cp:revision>11</cp:revision>
  <cp:lastPrinted>2014-01-10T23:45:00Z</cp:lastPrinted>
  <dcterms:created xsi:type="dcterms:W3CDTF">2014-01-02T16:46:00Z</dcterms:created>
  <dcterms:modified xsi:type="dcterms:W3CDTF">2014-01-10T23:45:00Z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0x0101006E56B4D1795A2E4DB2F0B01679ED314A005571865091E4C84C967B36836C045D32</vt:lpwstr>
  </property>
  <property fmtid="{D5CDD505-2E9C-101B-9397-08002B2CF9AE}" pid="3" name="_docset_NoMedatataSyncRequired">
    <vt:lpwstr>False</vt:lpwstr>
  </property>
</Properties>
</file>