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10899" w14:textId="77777777" w:rsidR="004B62FB" w:rsidRPr="00AD4D61" w:rsidRDefault="004B62FB" w:rsidP="0048471D">
      <w:pPr>
        <w:rPr>
          <w:rFonts w:ascii="Times New Roman" w:hAnsi="Times New Roman"/>
        </w:rPr>
      </w:pPr>
      <w:bookmarkStart w:id="0" w:name="_GoBack"/>
      <w:bookmarkEnd w:id="0"/>
      <w:r w:rsidRPr="00AD4D61">
        <w:rPr>
          <w:rFonts w:ascii="Times New Roman" w:hAnsi="Times New Roman"/>
        </w:rPr>
        <w:t>Agenda Date:</w:t>
      </w:r>
      <w:r>
        <w:rPr>
          <w:rFonts w:ascii="Times New Roman" w:hAnsi="Times New Roman"/>
        </w:rPr>
        <w:tab/>
      </w:r>
      <w:r w:rsidRPr="00AD4D61">
        <w:rPr>
          <w:rFonts w:ascii="Times New Roman" w:hAnsi="Times New Roman"/>
        </w:rPr>
        <w:tab/>
      </w:r>
      <w:r w:rsidR="00C84567">
        <w:rPr>
          <w:rFonts w:ascii="Times New Roman" w:hAnsi="Times New Roman"/>
        </w:rPr>
        <w:t>September 26, 2013</w:t>
      </w:r>
    </w:p>
    <w:p w14:paraId="10E1089A" w14:textId="7340A5E8" w:rsidR="004B62FB" w:rsidRPr="00AD4D61" w:rsidRDefault="004B62FB" w:rsidP="0048471D">
      <w:pPr>
        <w:ind w:left="2160" w:hanging="2160"/>
        <w:rPr>
          <w:rFonts w:ascii="Times New Roman" w:hAnsi="Times New Roman"/>
        </w:rPr>
      </w:pPr>
      <w:r w:rsidRPr="00AD4D61">
        <w:rPr>
          <w:rFonts w:ascii="Times New Roman" w:hAnsi="Times New Roman"/>
        </w:rPr>
        <w:t>Item Number:</w:t>
      </w:r>
      <w:r w:rsidR="003D08D8">
        <w:rPr>
          <w:rFonts w:ascii="Times New Roman" w:hAnsi="Times New Roman"/>
        </w:rPr>
        <w:tab/>
        <w:t>A2</w:t>
      </w:r>
    </w:p>
    <w:p w14:paraId="10E1089B" w14:textId="77777777" w:rsidR="004B62FB" w:rsidRPr="00AD4D61" w:rsidRDefault="004B62FB" w:rsidP="0048471D">
      <w:pPr>
        <w:rPr>
          <w:rFonts w:ascii="Times New Roman" w:hAnsi="Times New Roman"/>
        </w:rPr>
      </w:pPr>
    </w:p>
    <w:p w14:paraId="10E1089C" w14:textId="77777777" w:rsidR="004B62FB" w:rsidRPr="00AD4D61" w:rsidRDefault="004B62FB" w:rsidP="0048471D">
      <w:pPr>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sidR="00BB0BC3">
        <w:rPr>
          <w:rFonts w:ascii="Times New Roman" w:hAnsi="Times New Roman"/>
          <w:b/>
          <w:bCs/>
        </w:rPr>
        <w:t>UE-131623</w:t>
      </w:r>
    </w:p>
    <w:p w14:paraId="10E1089D" w14:textId="77777777" w:rsidR="004B62FB" w:rsidRPr="00AD4D61" w:rsidRDefault="0048471D" w:rsidP="0048471D">
      <w:pPr>
        <w:rPr>
          <w:rFonts w:ascii="Times New Roman" w:hAnsi="Times New Roman"/>
        </w:rPr>
      </w:pPr>
      <w:r>
        <w:rPr>
          <w:rFonts w:ascii="Times New Roman" w:hAnsi="Times New Roman"/>
        </w:rPr>
        <w:t>Company</w:t>
      </w:r>
      <w:r w:rsidR="004B62FB" w:rsidRPr="00AD4D61">
        <w:rPr>
          <w:rFonts w:ascii="Times New Roman" w:hAnsi="Times New Roman"/>
        </w:rPr>
        <w:t>:</w:t>
      </w:r>
      <w:r w:rsidR="004B62FB" w:rsidRPr="00AD4D61">
        <w:rPr>
          <w:rFonts w:ascii="Times New Roman" w:hAnsi="Times New Roman"/>
        </w:rPr>
        <w:tab/>
      </w:r>
      <w:r w:rsidR="004B62FB" w:rsidRPr="00AD4D61">
        <w:rPr>
          <w:rFonts w:ascii="Times New Roman" w:hAnsi="Times New Roman"/>
        </w:rPr>
        <w:tab/>
      </w:r>
      <w:r w:rsidR="004B62FB">
        <w:rPr>
          <w:rFonts w:ascii="Times New Roman" w:hAnsi="Times New Roman"/>
        </w:rPr>
        <w:t>Puget Sound Energy</w:t>
      </w:r>
    </w:p>
    <w:p w14:paraId="10E1089E" w14:textId="77777777" w:rsidR="004B62FB" w:rsidRPr="00AD4D61" w:rsidRDefault="004B62FB" w:rsidP="0048471D">
      <w:pPr>
        <w:rPr>
          <w:rFonts w:ascii="Times New Roman" w:hAnsi="Times New Roman"/>
        </w:rPr>
      </w:pPr>
    </w:p>
    <w:p w14:paraId="10E1089F" w14:textId="77777777" w:rsidR="004B62FB" w:rsidRDefault="0048471D" w:rsidP="0048471D">
      <w:pPr>
        <w:rPr>
          <w:rFonts w:ascii="Times New Roman" w:hAnsi="Times New Roman"/>
        </w:rPr>
      </w:pPr>
      <w:r>
        <w:rPr>
          <w:rFonts w:ascii="Times New Roman" w:hAnsi="Times New Roman"/>
        </w:rPr>
        <w:t>Staff</w:t>
      </w:r>
      <w:r w:rsidR="004B62FB" w:rsidRPr="00AD4D61">
        <w:rPr>
          <w:rFonts w:ascii="Times New Roman" w:hAnsi="Times New Roman"/>
        </w:rPr>
        <w:t>:</w:t>
      </w:r>
      <w:r w:rsidR="004B62FB" w:rsidRPr="00AD4D61">
        <w:rPr>
          <w:rFonts w:ascii="Times New Roman" w:hAnsi="Times New Roman"/>
        </w:rPr>
        <w:tab/>
      </w:r>
      <w:r w:rsidR="004B62FB" w:rsidRPr="00AD4D61">
        <w:rPr>
          <w:rFonts w:ascii="Times New Roman" w:hAnsi="Times New Roman"/>
        </w:rPr>
        <w:tab/>
      </w:r>
      <w:r w:rsidR="004B62FB" w:rsidRPr="00AD4D61">
        <w:rPr>
          <w:rFonts w:ascii="Times New Roman" w:hAnsi="Times New Roman"/>
        </w:rPr>
        <w:tab/>
      </w:r>
      <w:r w:rsidR="004B62FB">
        <w:rPr>
          <w:rFonts w:ascii="Times New Roman" w:hAnsi="Times New Roman"/>
        </w:rPr>
        <w:t>Alan Buckley, Sr. Policy Strategist</w:t>
      </w:r>
    </w:p>
    <w:p w14:paraId="10E108A0" w14:textId="77777777" w:rsidR="004B62FB" w:rsidRPr="00AD4D61" w:rsidRDefault="00491136" w:rsidP="00491136">
      <w:pPr>
        <w:tabs>
          <w:tab w:val="left" w:pos="2160"/>
        </w:tabs>
        <w:rPr>
          <w:rFonts w:ascii="Times New Roman" w:hAnsi="Times New Roman"/>
        </w:rPr>
      </w:pPr>
      <w:r>
        <w:rPr>
          <w:rFonts w:ascii="Times New Roman" w:hAnsi="Times New Roman"/>
        </w:rPr>
        <w:tab/>
      </w:r>
      <w:r w:rsidR="004B62FB">
        <w:rPr>
          <w:rFonts w:ascii="Times New Roman" w:hAnsi="Times New Roman"/>
        </w:rPr>
        <w:t>Jason Ball, Regulatory Analyst</w:t>
      </w:r>
    </w:p>
    <w:p w14:paraId="10E108A1" w14:textId="77777777" w:rsidR="004B62FB" w:rsidRPr="00AD4D61" w:rsidRDefault="004B62FB" w:rsidP="0048471D">
      <w:pPr>
        <w:rPr>
          <w:rFonts w:ascii="Times New Roman" w:hAnsi="Times New Roman"/>
        </w:rPr>
      </w:pPr>
    </w:p>
    <w:p w14:paraId="10E108A2" w14:textId="77777777" w:rsidR="004B62FB" w:rsidRPr="00AD4D61" w:rsidRDefault="004B62FB" w:rsidP="0048471D">
      <w:pPr>
        <w:rPr>
          <w:rFonts w:ascii="Times New Roman" w:hAnsi="Times New Roman"/>
          <w:b/>
          <w:bCs/>
          <w:u w:val="single"/>
        </w:rPr>
      </w:pPr>
      <w:r w:rsidRPr="00AD4D61">
        <w:rPr>
          <w:rFonts w:ascii="Times New Roman" w:hAnsi="Times New Roman"/>
          <w:b/>
          <w:bCs/>
          <w:u w:val="single"/>
        </w:rPr>
        <w:t>Recommendation</w:t>
      </w:r>
    </w:p>
    <w:p w14:paraId="10E108A3" w14:textId="77777777" w:rsidR="004B62FB" w:rsidRDefault="004B62FB" w:rsidP="0048471D">
      <w:pPr>
        <w:rPr>
          <w:rFonts w:ascii="Times New Roman" w:hAnsi="Times New Roman"/>
        </w:rPr>
      </w:pPr>
    </w:p>
    <w:p w14:paraId="10E108A4" w14:textId="77777777" w:rsidR="004B62FB" w:rsidRDefault="004B62FB" w:rsidP="0048471D">
      <w:pPr>
        <w:rPr>
          <w:rFonts w:ascii="Times New Roman" w:hAnsi="Times New Roman"/>
        </w:rPr>
      </w:pPr>
      <w:r>
        <w:rPr>
          <w:rFonts w:ascii="Times New Roman" w:hAnsi="Times New Roman"/>
        </w:rPr>
        <w:t>Take no action, thereby allowing Puget Sound Energy’s increase in</w:t>
      </w:r>
      <w:r w:rsidRPr="001E5FFA">
        <w:t xml:space="preserve"> </w:t>
      </w:r>
      <w:r w:rsidRPr="001E5FFA">
        <w:rPr>
          <w:rFonts w:ascii="Times New Roman" w:hAnsi="Times New Roman"/>
        </w:rPr>
        <w:t xml:space="preserve">the direct pass-through of monetary benefits </w:t>
      </w:r>
      <w:r>
        <w:rPr>
          <w:rFonts w:ascii="Times New Roman" w:hAnsi="Times New Roman"/>
        </w:rPr>
        <w:t>from the Bonneville Power Administration reflected in changes to schedule 194 in Docket UE-131623 to become effective October 1, 2013, by operation of law.</w:t>
      </w:r>
    </w:p>
    <w:p w14:paraId="10E108A5" w14:textId="77777777" w:rsidR="004B62FB" w:rsidRPr="00AD4D61" w:rsidRDefault="004B62FB" w:rsidP="0048471D">
      <w:pPr>
        <w:rPr>
          <w:rFonts w:ascii="Times New Roman" w:hAnsi="Times New Roman"/>
        </w:rPr>
      </w:pPr>
    </w:p>
    <w:p w14:paraId="10E108A6" w14:textId="77777777" w:rsidR="004B62FB" w:rsidRPr="00AD4D61" w:rsidRDefault="004B62FB" w:rsidP="0048471D">
      <w:pPr>
        <w:rPr>
          <w:rFonts w:ascii="Times New Roman" w:hAnsi="Times New Roman"/>
          <w:b/>
          <w:u w:val="single"/>
        </w:rPr>
      </w:pPr>
      <w:r>
        <w:rPr>
          <w:rFonts w:ascii="Times New Roman" w:hAnsi="Times New Roman"/>
          <w:b/>
          <w:u w:val="single"/>
        </w:rPr>
        <w:t>Background</w:t>
      </w:r>
    </w:p>
    <w:p w14:paraId="10E108A7" w14:textId="77777777" w:rsidR="003D16C8" w:rsidRDefault="003D16C8" w:rsidP="0048471D">
      <w:pPr>
        <w:rPr>
          <w:rFonts w:ascii="Times New Roman" w:hAnsi="Times New Roman"/>
        </w:rPr>
      </w:pPr>
    </w:p>
    <w:p w14:paraId="10E108A8" w14:textId="0C9B5BDD" w:rsidR="003D16C8" w:rsidRDefault="004B62FB" w:rsidP="003D16C8">
      <w:pPr>
        <w:rPr>
          <w:rFonts w:ascii="Times New Roman" w:hAnsi="Times New Roman"/>
        </w:rPr>
      </w:pPr>
      <w:r w:rsidRPr="002C73F6">
        <w:rPr>
          <w:rFonts w:ascii="Times New Roman" w:hAnsi="Times New Roman"/>
        </w:rPr>
        <w:t xml:space="preserve">On August 30, 2013 Puget Sound Energy (PSE or </w:t>
      </w:r>
      <w:r w:rsidR="0048471D" w:rsidRPr="002C73F6">
        <w:rPr>
          <w:rFonts w:ascii="Times New Roman" w:hAnsi="Times New Roman"/>
        </w:rPr>
        <w:t>company</w:t>
      </w:r>
      <w:r w:rsidRPr="002C73F6">
        <w:rPr>
          <w:rFonts w:ascii="Times New Roman" w:hAnsi="Times New Roman"/>
        </w:rPr>
        <w:t xml:space="preserve">) filed a proposed revision to its schedule 98 tariff </w:t>
      </w:r>
      <w:r w:rsidR="003D16C8" w:rsidRPr="002C73F6">
        <w:rPr>
          <w:rFonts w:ascii="Times New Roman" w:hAnsi="Times New Roman"/>
        </w:rPr>
        <w:t xml:space="preserve">entitled </w:t>
      </w:r>
      <w:r w:rsidR="002C73F6" w:rsidRPr="002C73F6">
        <w:rPr>
          <w:rFonts w:ascii="Times New Roman" w:hAnsi="Times New Roman"/>
          <w:u w:val="single"/>
        </w:rPr>
        <w:t xml:space="preserve">Residential And Farm Energy Exchange Benefit </w:t>
      </w:r>
      <w:r w:rsidR="00E1508E">
        <w:rPr>
          <w:rFonts w:ascii="Times New Roman" w:hAnsi="Times New Roman"/>
        </w:rPr>
        <w:t xml:space="preserve">commonly referred to as the </w:t>
      </w:r>
      <w:r w:rsidR="003D16C8" w:rsidRPr="002C73F6">
        <w:rPr>
          <w:rFonts w:ascii="Times New Roman" w:hAnsi="Times New Roman"/>
        </w:rPr>
        <w:t xml:space="preserve">Residential Exchange </w:t>
      </w:r>
      <w:r w:rsidR="00E1508E">
        <w:rPr>
          <w:rFonts w:ascii="Times New Roman" w:hAnsi="Times New Roman"/>
        </w:rPr>
        <w:t>Program</w:t>
      </w:r>
      <w:r w:rsidR="003D16C8" w:rsidRPr="002C73F6">
        <w:rPr>
          <w:rFonts w:ascii="Times New Roman" w:hAnsi="Times New Roman"/>
        </w:rPr>
        <w:t xml:space="preserve"> (REP). The Bonneville Power Administration (BPA) REP was included in the Northwest Electric Power Planning and Conservation Act as a way to distribute the benefits of low-cost federal power to residential and small farm customers in the Pacific Northwest.</w:t>
      </w:r>
    </w:p>
    <w:p w14:paraId="10E108A9" w14:textId="77777777" w:rsidR="004B62FB" w:rsidRDefault="004B62FB" w:rsidP="0048471D">
      <w:pPr>
        <w:rPr>
          <w:rFonts w:ascii="Times New Roman" w:hAnsi="Times New Roman"/>
        </w:rPr>
      </w:pPr>
    </w:p>
    <w:p w14:paraId="10E108AA" w14:textId="769FD14E" w:rsidR="003D16C8" w:rsidRDefault="003D16C8" w:rsidP="003D16C8">
      <w:pPr>
        <w:rPr>
          <w:rFonts w:ascii="Times New Roman" w:hAnsi="Times New Roman"/>
        </w:rPr>
      </w:pPr>
      <w:r>
        <w:rPr>
          <w:rFonts w:ascii="Times New Roman" w:hAnsi="Times New Roman"/>
        </w:rPr>
        <w:t>This revision is a result of the implementation of the 2012 REP Settlement Agreement</w:t>
      </w:r>
      <w:r>
        <w:rPr>
          <w:rStyle w:val="FootnoteReference"/>
          <w:rFonts w:ascii="Times New Roman" w:hAnsi="Times New Roman"/>
        </w:rPr>
        <w:footnoteReference w:id="1"/>
      </w:r>
      <w:r>
        <w:rPr>
          <w:rFonts w:ascii="Times New Roman" w:hAnsi="Times New Roman"/>
        </w:rPr>
        <w:t xml:space="preserve"> (Settlement</w:t>
      </w:r>
      <w:r w:rsidR="00E1508E">
        <w:rPr>
          <w:rFonts w:ascii="Times New Roman" w:hAnsi="Times New Roman"/>
        </w:rPr>
        <w:t>) and the Average System Cost (ASC</w:t>
      </w:r>
      <w:r>
        <w:rPr>
          <w:rFonts w:ascii="Times New Roman" w:hAnsi="Times New Roman"/>
        </w:rPr>
        <w:t xml:space="preserve">) </w:t>
      </w:r>
      <w:r w:rsidRPr="002638FC">
        <w:rPr>
          <w:rFonts w:ascii="Times New Roman" w:hAnsi="Times New Roman"/>
        </w:rPr>
        <w:t>FY 2012-2013 Review Processes</w:t>
      </w:r>
      <w:r>
        <w:rPr>
          <w:rFonts w:ascii="Times New Roman" w:hAnsi="Times New Roman"/>
        </w:rPr>
        <w:t>.</w:t>
      </w:r>
      <w:r>
        <w:rPr>
          <w:rStyle w:val="FootnoteReference"/>
          <w:rFonts w:ascii="Times New Roman" w:hAnsi="Times New Roman"/>
        </w:rPr>
        <w:footnoteReference w:id="2"/>
      </w:r>
      <w:r>
        <w:rPr>
          <w:rFonts w:ascii="Times New Roman" w:hAnsi="Times New Roman"/>
        </w:rPr>
        <w:t xml:space="preserve"> The Settlement implemented a new method to calculate and distribute the REP benefits among the participating investor-owned utilities (IOUs).</w:t>
      </w:r>
      <w:r>
        <w:rPr>
          <w:rStyle w:val="FootnoteReference"/>
          <w:rFonts w:ascii="Times New Roman" w:hAnsi="Times New Roman"/>
        </w:rPr>
        <w:footnoteReference w:id="3"/>
      </w:r>
      <w:r>
        <w:rPr>
          <w:rFonts w:ascii="Times New Roman" w:hAnsi="Times New Roman"/>
        </w:rPr>
        <w:t xml:space="preserve"> The Settlement maintains the calculation of benefits based on the difference between each IOU’s ASC and BPA’s base Priority Firm Exchange Rate (PF Rate) as established in its last rate case. The IOU’s receive a calculated amount of total benefits based on their eligible loads. This initial benefit is reduced proportionally to a maximum aggregate benefit that is explicitly defined in the Settlement. This final amount for each IOU is adjusted and redistributed among the same IOU group based on each IOU’s initial adjustment amount and subject to annual maximums. Attachment A to this memo is Exhibit D to the Settlement that provides an illustrative example of these calculations. </w:t>
      </w:r>
    </w:p>
    <w:p w14:paraId="10E108AB" w14:textId="77777777" w:rsidR="004B62FB" w:rsidRDefault="004B62FB" w:rsidP="0048471D">
      <w:pPr>
        <w:rPr>
          <w:rFonts w:ascii="Times New Roman" w:hAnsi="Times New Roman"/>
        </w:rPr>
      </w:pPr>
    </w:p>
    <w:p w14:paraId="10E108AC" w14:textId="77777777" w:rsidR="004B62FB" w:rsidRDefault="004B62FB" w:rsidP="0048471D">
      <w:pPr>
        <w:rPr>
          <w:rFonts w:ascii="Times New Roman" w:hAnsi="Times New Roman"/>
        </w:rPr>
      </w:pPr>
      <w:r w:rsidRPr="0073187C">
        <w:rPr>
          <w:rFonts w:ascii="Times New Roman" w:hAnsi="Times New Roman"/>
        </w:rPr>
        <w:t>Only qualifying residential and small farm customers are eligible to receive REP credits.</w:t>
      </w:r>
      <w:r w:rsidR="0048471D">
        <w:rPr>
          <w:rFonts w:ascii="Times New Roman" w:hAnsi="Times New Roman"/>
        </w:rPr>
        <w:t xml:space="preserve"> </w:t>
      </w:r>
      <w:r w:rsidRPr="001C62DD">
        <w:rPr>
          <w:rFonts w:ascii="Times New Roman" w:hAnsi="Times New Roman"/>
        </w:rPr>
        <w:t>PSE serves approximately 1,090,00 electric customers in Island, King, Kitsap, Kittitas, Pierce, Skagit, Thurston, and Whatcom counties and approximately 775,000 natural gas customers in King, Kittitas, Lewis, Pierce, Snohomish, and Thurston counties.</w:t>
      </w:r>
      <w:r w:rsidR="0048471D">
        <w:rPr>
          <w:rFonts w:ascii="Times New Roman" w:hAnsi="Times New Roman"/>
        </w:rPr>
        <w:t xml:space="preserve"> </w:t>
      </w:r>
      <w:r>
        <w:rPr>
          <w:rFonts w:ascii="Times New Roman" w:hAnsi="Times New Roman"/>
        </w:rPr>
        <w:t xml:space="preserve">PSE has provided notice to all affected customers </w:t>
      </w:r>
      <w:r w:rsidRPr="001C62DD">
        <w:rPr>
          <w:rFonts w:ascii="Times New Roman" w:hAnsi="Times New Roman"/>
        </w:rPr>
        <w:t xml:space="preserve">of the proposed tariff changes </w:t>
      </w:r>
      <w:r>
        <w:rPr>
          <w:rFonts w:ascii="Times New Roman" w:hAnsi="Times New Roman"/>
        </w:rPr>
        <w:t>as required by WAC 480-100-193.</w:t>
      </w:r>
    </w:p>
    <w:p w14:paraId="10E108AD" w14:textId="77777777" w:rsidR="004B62FB" w:rsidRDefault="004B62FB" w:rsidP="0048471D">
      <w:pPr>
        <w:rPr>
          <w:rFonts w:ascii="Times New Roman" w:hAnsi="Times New Roman"/>
        </w:rPr>
      </w:pPr>
    </w:p>
    <w:p w14:paraId="10E108AE" w14:textId="77777777" w:rsidR="004B62FB" w:rsidRDefault="004B62FB" w:rsidP="0048471D">
      <w:pPr>
        <w:rPr>
          <w:rFonts w:ascii="Times New Roman" w:hAnsi="Times New Roman"/>
        </w:rPr>
      </w:pPr>
      <w:r w:rsidRPr="00AD4D61">
        <w:rPr>
          <w:rFonts w:ascii="Times New Roman" w:hAnsi="Times New Roman"/>
          <w:b/>
          <w:u w:val="single"/>
        </w:rPr>
        <w:lastRenderedPageBreak/>
        <w:t>Discussion</w:t>
      </w:r>
    </w:p>
    <w:p w14:paraId="10E108AF" w14:textId="77777777" w:rsidR="004B62FB" w:rsidRDefault="004B62FB" w:rsidP="0048471D">
      <w:pPr>
        <w:rPr>
          <w:rFonts w:ascii="Times New Roman" w:hAnsi="Times New Roman"/>
        </w:rPr>
      </w:pPr>
    </w:p>
    <w:p w14:paraId="10E108B0" w14:textId="404D4F09" w:rsidR="003D16C8" w:rsidRDefault="003D16C8" w:rsidP="003D16C8">
      <w:pPr>
        <w:rPr>
          <w:rFonts w:ascii="Times New Roman" w:hAnsi="Times New Roman"/>
        </w:rPr>
      </w:pPr>
      <w:r w:rsidRPr="000E21E6">
        <w:rPr>
          <w:rFonts w:ascii="Times New Roman" w:hAnsi="Times New Roman"/>
        </w:rPr>
        <w:t xml:space="preserve">The </w:t>
      </w:r>
      <w:r>
        <w:rPr>
          <w:rFonts w:ascii="Times New Roman" w:hAnsi="Times New Roman"/>
        </w:rPr>
        <w:t>company</w:t>
      </w:r>
      <w:r w:rsidRPr="000E21E6">
        <w:rPr>
          <w:rFonts w:ascii="Times New Roman" w:hAnsi="Times New Roman"/>
        </w:rPr>
        <w:t xml:space="preserve">’s qualifying customers receive these benefits based on the difference between </w:t>
      </w:r>
      <w:r>
        <w:rPr>
          <w:rFonts w:ascii="Times New Roman" w:hAnsi="Times New Roman"/>
        </w:rPr>
        <w:t>PSE’s</w:t>
      </w:r>
      <w:r w:rsidRPr="000E21E6">
        <w:rPr>
          <w:rFonts w:ascii="Times New Roman" w:hAnsi="Times New Roman"/>
        </w:rPr>
        <w:t xml:space="preserve"> ASC</w:t>
      </w:r>
      <w:r>
        <w:rPr>
          <w:rFonts w:ascii="Times New Roman" w:hAnsi="Times New Roman"/>
        </w:rPr>
        <w:t xml:space="preserve"> and the</w:t>
      </w:r>
      <w:r w:rsidRPr="0065024E">
        <w:rPr>
          <w:rFonts w:ascii="Times New Roman" w:hAnsi="Times New Roman"/>
        </w:rPr>
        <w:t xml:space="preserve"> </w:t>
      </w:r>
      <w:r>
        <w:rPr>
          <w:rFonts w:ascii="Times New Roman" w:hAnsi="Times New Roman"/>
        </w:rPr>
        <w:t xml:space="preserve">PF Rate including a utility specific surcharge. </w:t>
      </w:r>
      <w:r w:rsidR="002C73F6" w:rsidRPr="000E21E6">
        <w:rPr>
          <w:rFonts w:ascii="Times New Roman" w:hAnsi="Times New Roman"/>
        </w:rPr>
        <w:t xml:space="preserve">As a result of the FY 2014-2015 ASC Review Process, </w:t>
      </w:r>
      <w:r w:rsidR="002C73F6">
        <w:rPr>
          <w:rFonts w:ascii="Times New Roman" w:hAnsi="Times New Roman"/>
        </w:rPr>
        <w:t>the company’s</w:t>
      </w:r>
      <w:r w:rsidR="002C73F6" w:rsidRPr="000E21E6">
        <w:rPr>
          <w:rFonts w:ascii="Times New Roman" w:hAnsi="Times New Roman"/>
        </w:rPr>
        <w:t xml:space="preserve"> ASC </w:t>
      </w:r>
      <w:r w:rsidR="002C73F6">
        <w:rPr>
          <w:rFonts w:ascii="Times New Roman" w:hAnsi="Times New Roman"/>
        </w:rPr>
        <w:t xml:space="preserve">is increasing from $65.41/MWh to $76.83/MWh. </w:t>
      </w:r>
      <w:r w:rsidR="002C73F6" w:rsidRPr="00E15916">
        <w:rPr>
          <w:rFonts w:ascii="Times New Roman" w:hAnsi="Times New Roman"/>
        </w:rPr>
        <w:t>An average customer using approximately 1000 kWh per month will receive an additional $</w:t>
      </w:r>
      <w:r w:rsidR="002C73F6">
        <w:rPr>
          <w:rFonts w:ascii="Times New Roman" w:hAnsi="Times New Roman"/>
        </w:rPr>
        <w:t>2.49</w:t>
      </w:r>
      <w:r w:rsidR="002C73F6" w:rsidRPr="00E15916">
        <w:rPr>
          <w:rFonts w:ascii="Times New Roman" w:hAnsi="Times New Roman"/>
        </w:rPr>
        <w:t xml:space="preserve"> credit or </w:t>
      </w:r>
      <w:r w:rsidR="002C73F6">
        <w:rPr>
          <w:rFonts w:ascii="Times New Roman" w:hAnsi="Times New Roman"/>
        </w:rPr>
        <w:t>2.5</w:t>
      </w:r>
      <w:r w:rsidR="00A403A7">
        <w:rPr>
          <w:rFonts w:ascii="Times New Roman" w:hAnsi="Times New Roman"/>
        </w:rPr>
        <w:t xml:space="preserve"> percent</w:t>
      </w:r>
      <w:r w:rsidR="002C73F6" w:rsidRPr="00E15916">
        <w:rPr>
          <w:rFonts w:ascii="Times New Roman" w:hAnsi="Times New Roman"/>
        </w:rPr>
        <w:t xml:space="preserve"> reduction on their monthly electric bill</w:t>
      </w:r>
      <w:r w:rsidR="002C73F6">
        <w:rPr>
          <w:rFonts w:ascii="Times New Roman" w:hAnsi="Times New Roman"/>
        </w:rPr>
        <w:t xml:space="preserve">.  </w:t>
      </w:r>
    </w:p>
    <w:p w14:paraId="10E108B1" w14:textId="77777777" w:rsidR="003D16C8" w:rsidRDefault="003D16C8" w:rsidP="0048471D">
      <w:pPr>
        <w:rPr>
          <w:rFonts w:ascii="Times New Roman" w:hAnsi="Times New Roman"/>
          <w:b/>
          <w:u w:val="single"/>
        </w:rPr>
      </w:pPr>
    </w:p>
    <w:p w14:paraId="10E108B2" w14:textId="77777777" w:rsidR="004B62FB" w:rsidRDefault="004B62FB" w:rsidP="0048471D">
      <w:pPr>
        <w:rPr>
          <w:rFonts w:ascii="Times New Roman" w:hAnsi="Times New Roman"/>
          <w:b/>
          <w:u w:val="single"/>
        </w:rPr>
      </w:pPr>
      <w:r w:rsidRPr="00AD4D61">
        <w:rPr>
          <w:rFonts w:ascii="Times New Roman" w:hAnsi="Times New Roman"/>
          <w:b/>
          <w:u w:val="single"/>
        </w:rPr>
        <w:t>Conclusion</w:t>
      </w:r>
    </w:p>
    <w:p w14:paraId="10E108B3" w14:textId="77777777" w:rsidR="004B62FB" w:rsidRDefault="004B62FB" w:rsidP="0048471D">
      <w:pPr>
        <w:rPr>
          <w:rFonts w:ascii="Times New Roman" w:hAnsi="Times New Roman"/>
          <w:b/>
          <w:u w:val="single"/>
        </w:rPr>
      </w:pPr>
    </w:p>
    <w:p w14:paraId="10E108B4" w14:textId="77777777" w:rsidR="002C73F6" w:rsidRDefault="002C73F6" w:rsidP="002C73F6">
      <w:pPr>
        <w:rPr>
          <w:rFonts w:ascii="Times New Roman" w:hAnsi="Times New Roman"/>
        </w:rPr>
      </w:pPr>
      <w:r>
        <w:rPr>
          <w:rFonts w:ascii="Times New Roman" w:hAnsi="Times New Roman"/>
        </w:rPr>
        <w:t>Take no action, thereby allowing Puget Sound Energy’s increase in</w:t>
      </w:r>
      <w:r w:rsidRPr="001E5FFA">
        <w:t xml:space="preserve"> </w:t>
      </w:r>
      <w:r w:rsidRPr="001E5FFA">
        <w:rPr>
          <w:rFonts w:ascii="Times New Roman" w:hAnsi="Times New Roman"/>
        </w:rPr>
        <w:t xml:space="preserve">the direct pass-through of monetary benefits </w:t>
      </w:r>
      <w:r>
        <w:rPr>
          <w:rFonts w:ascii="Times New Roman" w:hAnsi="Times New Roman"/>
        </w:rPr>
        <w:t>from the Bonneville Power Administration reflected in changes to schedule 194 in Docket UE-131623 to become effective October 1, 2013, by operation of law.</w:t>
      </w:r>
    </w:p>
    <w:p w14:paraId="1229A1A1" w14:textId="77777777" w:rsidR="003D08D8" w:rsidRDefault="003D08D8" w:rsidP="002C73F6">
      <w:pPr>
        <w:rPr>
          <w:rFonts w:ascii="Times New Roman" w:hAnsi="Times New Roman"/>
        </w:rPr>
      </w:pPr>
    </w:p>
    <w:p w14:paraId="622A69FD" w14:textId="1030FA36" w:rsidR="003D08D8" w:rsidRDefault="003D08D8" w:rsidP="002C73F6">
      <w:pPr>
        <w:rPr>
          <w:rFonts w:ascii="Times New Roman" w:hAnsi="Times New Roman"/>
        </w:rPr>
      </w:pPr>
      <w:r>
        <w:rPr>
          <w:rFonts w:ascii="Times New Roman" w:hAnsi="Times New Roman"/>
        </w:rPr>
        <w:t>Attachment</w:t>
      </w:r>
    </w:p>
    <w:p w14:paraId="10E108B5" w14:textId="77777777" w:rsidR="00C366DD" w:rsidRDefault="00C366DD" w:rsidP="002C73F6">
      <w:pPr>
        <w:rPr>
          <w:rFonts w:ascii="Times New Roman" w:hAnsi="Times New Roman"/>
        </w:rPr>
      </w:pPr>
    </w:p>
    <w:sectPr w:rsidR="00C366DD" w:rsidSect="009253F7">
      <w:head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108B8" w14:textId="77777777" w:rsidR="003D16C8" w:rsidRDefault="003D16C8" w:rsidP="004B62FB">
      <w:r>
        <w:separator/>
      </w:r>
    </w:p>
  </w:endnote>
  <w:endnote w:type="continuationSeparator" w:id="0">
    <w:p w14:paraId="10E108B9" w14:textId="77777777" w:rsidR="003D16C8" w:rsidRDefault="003D16C8" w:rsidP="004B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108B6" w14:textId="77777777" w:rsidR="003D16C8" w:rsidRDefault="003D16C8" w:rsidP="004B62FB">
      <w:r>
        <w:separator/>
      </w:r>
    </w:p>
  </w:footnote>
  <w:footnote w:type="continuationSeparator" w:id="0">
    <w:p w14:paraId="10E108B7" w14:textId="77777777" w:rsidR="003D16C8" w:rsidRDefault="003D16C8" w:rsidP="004B62FB">
      <w:r>
        <w:continuationSeparator/>
      </w:r>
    </w:p>
  </w:footnote>
  <w:footnote w:id="1">
    <w:p w14:paraId="10E108BE" w14:textId="77777777" w:rsidR="003D16C8" w:rsidRPr="008A6D0E" w:rsidRDefault="003D16C8" w:rsidP="003D16C8">
      <w:pPr>
        <w:pStyle w:val="FootnoteText"/>
        <w:rPr>
          <w:rFonts w:ascii="Times New Roman" w:hAnsi="Times New Roman"/>
        </w:rPr>
      </w:pPr>
      <w:r w:rsidRPr="008A6D0E">
        <w:rPr>
          <w:rStyle w:val="FootnoteReference"/>
          <w:rFonts w:ascii="Times New Roman" w:hAnsi="Times New Roman"/>
        </w:rPr>
        <w:footnoteRef/>
      </w:r>
      <w:r w:rsidRPr="008A6D0E">
        <w:rPr>
          <w:rFonts w:ascii="Times New Roman" w:hAnsi="Times New Roman"/>
        </w:rPr>
        <w:t xml:space="preserve"> Appendix A to</w:t>
      </w:r>
      <w:r w:rsidRPr="008A6D0E">
        <w:rPr>
          <w:rFonts w:ascii="Times New Roman" w:hAnsi="Times New Roman"/>
          <w:i/>
        </w:rPr>
        <w:t xml:space="preserve"> Administrator’s Final Record Of Decision</w:t>
      </w:r>
      <w:r w:rsidRPr="008A6D0E">
        <w:rPr>
          <w:rFonts w:ascii="Times New Roman" w:hAnsi="Times New Roman"/>
        </w:rPr>
        <w:t xml:space="preserve"> BPA Docket REP-12-A-02</w:t>
      </w:r>
    </w:p>
  </w:footnote>
  <w:footnote w:id="2">
    <w:p w14:paraId="10E108BF" w14:textId="77777777" w:rsidR="003D16C8" w:rsidRPr="008A6D0E" w:rsidRDefault="003D16C8" w:rsidP="003D16C8">
      <w:pPr>
        <w:pStyle w:val="FootnoteText"/>
        <w:rPr>
          <w:rFonts w:ascii="Times New Roman" w:hAnsi="Times New Roman"/>
        </w:rPr>
      </w:pPr>
      <w:r w:rsidRPr="008A6D0E">
        <w:rPr>
          <w:rStyle w:val="FootnoteReference"/>
          <w:rFonts w:ascii="Times New Roman" w:hAnsi="Times New Roman"/>
        </w:rPr>
        <w:footnoteRef/>
      </w:r>
      <w:r w:rsidRPr="008A6D0E">
        <w:rPr>
          <w:rFonts w:ascii="Times New Roman" w:hAnsi="Times New Roman"/>
        </w:rPr>
        <w:t xml:space="preserve"> </w:t>
      </w:r>
      <w:r w:rsidRPr="008A6D0E">
        <w:rPr>
          <w:rFonts w:ascii="Times New Roman" w:hAnsi="Times New Roman"/>
          <w:i/>
        </w:rPr>
        <w:t xml:space="preserve">Final Average System Cost Report </w:t>
      </w:r>
      <w:r w:rsidR="002C73F6">
        <w:rPr>
          <w:rFonts w:ascii="Times New Roman" w:hAnsi="Times New Roman"/>
        </w:rPr>
        <w:t>Docket ASC-14-PS</w:t>
      </w:r>
      <w:r w:rsidRPr="008A6D0E">
        <w:rPr>
          <w:rFonts w:ascii="Times New Roman" w:hAnsi="Times New Roman"/>
        </w:rPr>
        <w:t>-01</w:t>
      </w:r>
    </w:p>
  </w:footnote>
  <w:footnote w:id="3">
    <w:p w14:paraId="10E108C0" w14:textId="77777777" w:rsidR="003D16C8" w:rsidRDefault="003D16C8" w:rsidP="003D16C8">
      <w:pPr>
        <w:pStyle w:val="FootnoteText"/>
      </w:pPr>
      <w:r w:rsidRPr="008A6D0E">
        <w:rPr>
          <w:rStyle w:val="FootnoteReference"/>
          <w:rFonts w:ascii="Times New Roman" w:hAnsi="Times New Roman"/>
        </w:rPr>
        <w:footnoteRef/>
      </w:r>
      <w:r w:rsidRPr="008A6D0E">
        <w:rPr>
          <w:rFonts w:ascii="Times New Roman" w:hAnsi="Times New Roman"/>
        </w:rPr>
        <w:t xml:space="preserve"> REP benefits may also include the distribution of RECS and Carbon Credits. These are valued at the prevailing market price.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08BA" w14:textId="77777777" w:rsidR="003D16C8" w:rsidRPr="00C84567" w:rsidRDefault="003D16C8" w:rsidP="0048471D">
    <w:pPr>
      <w:pStyle w:val="Header"/>
      <w:rPr>
        <w:rFonts w:ascii="Times New Roman" w:hAnsi="Times New Roman"/>
        <w:sz w:val="20"/>
        <w:szCs w:val="20"/>
      </w:rPr>
    </w:pPr>
    <w:r w:rsidRPr="00C84567">
      <w:rPr>
        <w:rFonts w:ascii="Times New Roman" w:hAnsi="Times New Roman"/>
        <w:sz w:val="20"/>
        <w:szCs w:val="20"/>
      </w:rPr>
      <w:t>DOCKET UE-131623</w:t>
    </w:r>
  </w:p>
  <w:p w14:paraId="10E108BB" w14:textId="77777777" w:rsidR="003D16C8" w:rsidRPr="00C84567" w:rsidRDefault="003D16C8" w:rsidP="0048471D">
    <w:pPr>
      <w:pStyle w:val="Header"/>
      <w:rPr>
        <w:rFonts w:ascii="Times New Roman" w:hAnsi="Times New Roman"/>
        <w:sz w:val="20"/>
        <w:szCs w:val="20"/>
      </w:rPr>
    </w:pPr>
    <w:r w:rsidRPr="00C84567">
      <w:rPr>
        <w:rFonts w:ascii="Times New Roman" w:hAnsi="Times New Roman"/>
        <w:sz w:val="20"/>
        <w:szCs w:val="20"/>
      </w:rPr>
      <w:t>September 26, 2013</w:t>
    </w:r>
  </w:p>
  <w:p w14:paraId="10E108BC" w14:textId="77777777" w:rsidR="003D16C8" w:rsidRDefault="003D16C8" w:rsidP="0048471D">
    <w:pPr>
      <w:pStyle w:val="Header"/>
      <w:rPr>
        <w:rStyle w:val="PageNumber"/>
        <w:rFonts w:ascii="Times New Roman" w:hAnsi="Times New Roman"/>
        <w:sz w:val="20"/>
        <w:szCs w:val="20"/>
      </w:rPr>
    </w:pPr>
    <w:r w:rsidRPr="00C84567">
      <w:rPr>
        <w:rFonts w:ascii="Times New Roman" w:hAnsi="Times New Roman"/>
        <w:sz w:val="20"/>
        <w:szCs w:val="20"/>
      </w:rPr>
      <w:t xml:space="preserve">Page </w:t>
    </w:r>
    <w:r w:rsidRPr="00C84567">
      <w:rPr>
        <w:rStyle w:val="PageNumber"/>
        <w:rFonts w:ascii="Times New Roman" w:hAnsi="Times New Roman"/>
        <w:sz w:val="20"/>
        <w:szCs w:val="20"/>
      </w:rPr>
      <w:fldChar w:fldCharType="begin"/>
    </w:r>
    <w:r w:rsidRPr="00C84567">
      <w:rPr>
        <w:rStyle w:val="PageNumber"/>
        <w:rFonts w:ascii="Times New Roman" w:hAnsi="Times New Roman"/>
        <w:sz w:val="20"/>
        <w:szCs w:val="20"/>
      </w:rPr>
      <w:instrText xml:space="preserve"> PAGE </w:instrText>
    </w:r>
    <w:r w:rsidRPr="00C84567">
      <w:rPr>
        <w:rStyle w:val="PageNumber"/>
        <w:rFonts w:ascii="Times New Roman" w:hAnsi="Times New Roman"/>
        <w:sz w:val="20"/>
        <w:szCs w:val="20"/>
      </w:rPr>
      <w:fldChar w:fldCharType="separate"/>
    </w:r>
    <w:r w:rsidR="00AD595E">
      <w:rPr>
        <w:rStyle w:val="PageNumber"/>
        <w:rFonts w:ascii="Times New Roman" w:hAnsi="Times New Roman"/>
        <w:noProof/>
        <w:sz w:val="20"/>
        <w:szCs w:val="20"/>
      </w:rPr>
      <w:t>2</w:t>
    </w:r>
    <w:r w:rsidRPr="00C84567">
      <w:rPr>
        <w:rStyle w:val="PageNumber"/>
        <w:rFonts w:ascii="Times New Roman" w:hAnsi="Times New Roman"/>
        <w:sz w:val="20"/>
        <w:szCs w:val="20"/>
      </w:rPr>
      <w:fldChar w:fldCharType="end"/>
    </w:r>
  </w:p>
  <w:p w14:paraId="10E108BD" w14:textId="77777777" w:rsidR="003D16C8" w:rsidRPr="00C84567" w:rsidRDefault="003D16C8" w:rsidP="0048471D">
    <w:pPr>
      <w:pStyle w:val="Header"/>
      <w:rPr>
        <w:rStyle w:val="PageNumbe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FB"/>
    <w:rsid w:val="000E640C"/>
    <w:rsid w:val="001C5AB1"/>
    <w:rsid w:val="001E1D7A"/>
    <w:rsid w:val="001E6A8A"/>
    <w:rsid w:val="002C039A"/>
    <w:rsid w:val="002C2FA5"/>
    <w:rsid w:val="002C73F6"/>
    <w:rsid w:val="003D08D8"/>
    <w:rsid w:val="003D16C8"/>
    <w:rsid w:val="0048471D"/>
    <w:rsid w:val="00491136"/>
    <w:rsid w:val="004B62FB"/>
    <w:rsid w:val="004E050E"/>
    <w:rsid w:val="00552600"/>
    <w:rsid w:val="005A6C74"/>
    <w:rsid w:val="00672F7B"/>
    <w:rsid w:val="006A41EE"/>
    <w:rsid w:val="009253F7"/>
    <w:rsid w:val="00A403A7"/>
    <w:rsid w:val="00A84C2A"/>
    <w:rsid w:val="00AD3312"/>
    <w:rsid w:val="00AD595E"/>
    <w:rsid w:val="00AE273E"/>
    <w:rsid w:val="00B13041"/>
    <w:rsid w:val="00BB0BC3"/>
    <w:rsid w:val="00C366DD"/>
    <w:rsid w:val="00C84567"/>
    <w:rsid w:val="00DA1B86"/>
    <w:rsid w:val="00DD2A47"/>
    <w:rsid w:val="00E1508E"/>
    <w:rsid w:val="00E81EAF"/>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E1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F6"/>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4B62FB"/>
    <w:pPr>
      <w:tabs>
        <w:tab w:val="center" w:pos="4320"/>
        <w:tab w:val="right" w:pos="8640"/>
      </w:tabs>
    </w:pPr>
  </w:style>
  <w:style w:type="character" w:customStyle="1" w:styleId="HeaderChar">
    <w:name w:val="Header Char"/>
    <w:basedOn w:val="DefaultParagraphFont"/>
    <w:link w:val="Header"/>
    <w:rsid w:val="004B62FB"/>
    <w:rPr>
      <w:rFonts w:ascii="Palatino Linotype" w:eastAsia="Times New Roman" w:hAnsi="Palatino Linotype" w:cs="Times New Roman"/>
      <w:sz w:val="24"/>
      <w:szCs w:val="24"/>
    </w:rPr>
  </w:style>
  <w:style w:type="character" w:styleId="PageNumber">
    <w:name w:val="page number"/>
    <w:basedOn w:val="DefaultParagraphFont"/>
    <w:rsid w:val="004B62FB"/>
  </w:style>
  <w:style w:type="paragraph" w:styleId="FootnoteText">
    <w:name w:val="footnote text"/>
    <w:basedOn w:val="Normal"/>
    <w:link w:val="FootnoteTextChar"/>
    <w:rsid w:val="004B62FB"/>
    <w:rPr>
      <w:sz w:val="20"/>
      <w:szCs w:val="20"/>
    </w:rPr>
  </w:style>
  <w:style w:type="character" w:customStyle="1" w:styleId="FootnoteTextChar">
    <w:name w:val="Footnote Text Char"/>
    <w:basedOn w:val="DefaultParagraphFont"/>
    <w:link w:val="FootnoteText"/>
    <w:rsid w:val="004B62FB"/>
    <w:rPr>
      <w:rFonts w:ascii="Palatino Linotype" w:eastAsia="Times New Roman" w:hAnsi="Palatino Linotype" w:cs="Times New Roman"/>
      <w:sz w:val="20"/>
      <w:szCs w:val="20"/>
    </w:rPr>
  </w:style>
  <w:style w:type="character" w:styleId="FootnoteReference">
    <w:name w:val="footnote reference"/>
    <w:basedOn w:val="DefaultParagraphFont"/>
    <w:rsid w:val="004B62FB"/>
    <w:rPr>
      <w:vertAlign w:val="superscript"/>
    </w:rPr>
  </w:style>
  <w:style w:type="paragraph" w:styleId="BalloonText">
    <w:name w:val="Balloon Text"/>
    <w:basedOn w:val="Normal"/>
    <w:link w:val="BalloonTextChar"/>
    <w:uiPriority w:val="99"/>
    <w:semiHidden/>
    <w:unhideWhenUsed/>
    <w:rsid w:val="004B62FB"/>
    <w:rPr>
      <w:rFonts w:ascii="Tahoma" w:hAnsi="Tahoma" w:cs="Tahoma"/>
      <w:sz w:val="16"/>
      <w:szCs w:val="16"/>
    </w:rPr>
  </w:style>
  <w:style w:type="character" w:customStyle="1" w:styleId="BalloonTextChar">
    <w:name w:val="Balloon Text Char"/>
    <w:basedOn w:val="DefaultParagraphFont"/>
    <w:link w:val="BalloonText"/>
    <w:uiPriority w:val="99"/>
    <w:semiHidden/>
    <w:rsid w:val="004B62FB"/>
    <w:rPr>
      <w:rFonts w:ascii="Tahoma" w:eastAsia="Times New Roman" w:hAnsi="Tahoma" w:cs="Tahoma"/>
      <w:sz w:val="16"/>
      <w:szCs w:val="16"/>
    </w:rPr>
  </w:style>
  <w:style w:type="paragraph" w:styleId="Footer">
    <w:name w:val="footer"/>
    <w:basedOn w:val="Normal"/>
    <w:link w:val="FooterChar"/>
    <w:uiPriority w:val="99"/>
    <w:unhideWhenUsed/>
    <w:rsid w:val="002C2FA5"/>
    <w:pPr>
      <w:tabs>
        <w:tab w:val="center" w:pos="4680"/>
        <w:tab w:val="right" w:pos="9360"/>
      </w:tabs>
    </w:pPr>
  </w:style>
  <w:style w:type="character" w:customStyle="1" w:styleId="FooterChar">
    <w:name w:val="Footer Char"/>
    <w:basedOn w:val="DefaultParagraphFont"/>
    <w:link w:val="Footer"/>
    <w:uiPriority w:val="99"/>
    <w:rsid w:val="002C2FA5"/>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F6"/>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4B62FB"/>
    <w:pPr>
      <w:tabs>
        <w:tab w:val="center" w:pos="4320"/>
        <w:tab w:val="right" w:pos="8640"/>
      </w:tabs>
    </w:pPr>
  </w:style>
  <w:style w:type="character" w:customStyle="1" w:styleId="HeaderChar">
    <w:name w:val="Header Char"/>
    <w:basedOn w:val="DefaultParagraphFont"/>
    <w:link w:val="Header"/>
    <w:rsid w:val="004B62FB"/>
    <w:rPr>
      <w:rFonts w:ascii="Palatino Linotype" w:eastAsia="Times New Roman" w:hAnsi="Palatino Linotype" w:cs="Times New Roman"/>
      <w:sz w:val="24"/>
      <w:szCs w:val="24"/>
    </w:rPr>
  </w:style>
  <w:style w:type="character" w:styleId="PageNumber">
    <w:name w:val="page number"/>
    <w:basedOn w:val="DefaultParagraphFont"/>
    <w:rsid w:val="004B62FB"/>
  </w:style>
  <w:style w:type="paragraph" w:styleId="FootnoteText">
    <w:name w:val="footnote text"/>
    <w:basedOn w:val="Normal"/>
    <w:link w:val="FootnoteTextChar"/>
    <w:rsid w:val="004B62FB"/>
    <w:rPr>
      <w:sz w:val="20"/>
      <w:szCs w:val="20"/>
    </w:rPr>
  </w:style>
  <w:style w:type="character" w:customStyle="1" w:styleId="FootnoteTextChar">
    <w:name w:val="Footnote Text Char"/>
    <w:basedOn w:val="DefaultParagraphFont"/>
    <w:link w:val="FootnoteText"/>
    <w:rsid w:val="004B62FB"/>
    <w:rPr>
      <w:rFonts w:ascii="Palatino Linotype" w:eastAsia="Times New Roman" w:hAnsi="Palatino Linotype" w:cs="Times New Roman"/>
      <w:sz w:val="20"/>
      <w:szCs w:val="20"/>
    </w:rPr>
  </w:style>
  <w:style w:type="character" w:styleId="FootnoteReference">
    <w:name w:val="footnote reference"/>
    <w:basedOn w:val="DefaultParagraphFont"/>
    <w:rsid w:val="004B62FB"/>
    <w:rPr>
      <w:vertAlign w:val="superscript"/>
    </w:rPr>
  </w:style>
  <w:style w:type="paragraph" w:styleId="BalloonText">
    <w:name w:val="Balloon Text"/>
    <w:basedOn w:val="Normal"/>
    <w:link w:val="BalloonTextChar"/>
    <w:uiPriority w:val="99"/>
    <w:semiHidden/>
    <w:unhideWhenUsed/>
    <w:rsid w:val="004B62FB"/>
    <w:rPr>
      <w:rFonts w:ascii="Tahoma" w:hAnsi="Tahoma" w:cs="Tahoma"/>
      <w:sz w:val="16"/>
      <w:szCs w:val="16"/>
    </w:rPr>
  </w:style>
  <w:style w:type="character" w:customStyle="1" w:styleId="BalloonTextChar">
    <w:name w:val="Balloon Text Char"/>
    <w:basedOn w:val="DefaultParagraphFont"/>
    <w:link w:val="BalloonText"/>
    <w:uiPriority w:val="99"/>
    <w:semiHidden/>
    <w:rsid w:val="004B62FB"/>
    <w:rPr>
      <w:rFonts w:ascii="Tahoma" w:eastAsia="Times New Roman" w:hAnsi="Tahoma" w:cs="Tahoma"/>
      <w:sz w:val="16"/>
      <w:szCs w:val="16"/>
    </w:rPr>
  </w:style>
  <w:style w:type="paragraph" w:styleId="Footer">
    <w:name w:val="footer"/>
    <w:basedOn w:val="Normal"/>
    <w:link w:val="FooterChar"/>
    <w:uiPriority w:val="99"/>
    <w:unhideWhenUsed/>
    <w:rsid w:val="002C2FA5"/>
    <w:pPr>
      <w:tabs>
        <w:tab w:val="center" w:pos="4680"/>
        <w:tab w:val="right" w:pos="9360"/>
      </w:tabs>
    </w:pPr>
  </w:style>
  <w:style w:type="character" w:customStyle="1" w:styleId="FooterChar">
    <w:name w:val="Footer Char"/>
    <w:basedOn w:val="DefaultParagraphFont"/>
    <w:link w:val="Footer"/>
    <w:uiPriority w:val="99"/>
    <w:rsid w:val="002C2FA5"/>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2013-08-30T07:00:00+00:00</OpenedDate>
    <Date1 xmlns="dc463f71-b30c-4ab2-9473-d307f9d35888">2013-09-26T07:00:00+00:00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131623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EBAD261562774397B47FDF8C82FBD4" ma:contentTypeVersion="135" ma:contentTypeDescription="" ma:contentTypeScope="" ma:versionID="21be890c84331f7db74395c746700f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296DC2A-E73A-4B1C-BC56-FFE34B6B136E}"/>
</file>

<file path=customXml/itemProps2.xml><?xml version="1.0" encoding="utf-8"?>
<ds:datastoreItem xmlns:ds="http://schemas.openxmlformats.org/officeDocument/2006/customXml" ds:itemID="{C90908A2-53C2-43C4-B742-FE73370B273E}"/>
</file>

<file path=customXml/itemProps3.xml><?xml version="1.0" encoding="utf-8"?>
<ds:datastoreItem xmlns:ds="http://schemas.openxmlformats.org/officeDocument/2006/customXml" ds:itemID="{AE1C57C6-71B8-4BA2-A6A2-23F4951C3ACE}"/>
</file>

<file path=customXml/itemProps4.xml><?xml version="1.0" encoding="utf-8"?>
<ds:datastoreItem xmlns:ds="http://schemas.openxmlformats.org/officeDocument/2006/customXml" ds:itemID="{2CB19532-C55A-4CF7-A604-800D3655AB2D}"/>
</file>

<file path=customXml/itemProps5.xml><?xml version="1.0" encoding="utf-8"?>
<ds:datastoreItem xmlns:ds="http://schemas.openxmlformats.org/officeDocument/2006/customXml" ds:itemID="{6AF069BE-79D6-498E-9F83-88262F427FD8}"/>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Ball</dc:creator>
  <cp:lastModifiedBy>Lisa Wyse</cp:lastModifiedBy>
  <cp:revision>2</cp:revision>
  <dcterms:created xsi:type="dcterms:W3CDTF">2013-09-23T23:46:00Z</dcterms:created>
  <dcterms:modified xsi:type="dcterms:W3CDTF">2013-09-23T23:46:00Z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0x0101006E56B4D1795A2E4DB2F0B01679ED314A003BEBAD261562774397B47FDF8C82FBD4</vt:lpwstr>
  </property>
  <property fmtid="{D5CDD505-2E9C-101B-9397-08002B2CF9AE}" pid="3" name="_docset_NoMedatataSyncRequired">
    <vt:lpwstr>False</vt:lpwstr>
  </property>
</Properties>
</file>