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7ED8F" w14:textId="081390DB" w:rsidR="00046A19" w:rsidRDefault="00046A19" w:rsidP="00046A19">
      <w:bookmarkStart w:id="0" w:name="_GoBack"/>
      <w:bookmarkEnd w:id="0"/>
      <w:r w:rsidRPr="00EB4CE3">
        <w:t xml:space="preserve">Agenda Date: </w:t>
      </w:r>
      <w:r w:rsidRPr="00EB4CE3">
        <w:tab/>
      </w:r>
      <w:r w:rsidRPr="00EB4CE3">
        <w:tab/>
      </w:r>
      <w:r w:rsidR="00947725">
        <w:t>March 14</w:t>
      </w:r>
      <w:r w:rsidRPr="00EB4CE3">
        <w:t xml:space="preserve">, </w:t>
      </w:r>
      <w:r w:rsidR="007E2FCB">
        <w:t>201</w:t>
      </w:r>
      <w:r w:rsidR="00BB0D23">
        <w:t>3</w:t>
      </w:r>
      <w:r>
        <w:tab/>
      </w:r>
      <w:r>
        <w:tab/>
      </w:r>
    </w:p>
    <w:p w14:paraId="6707ED90" w14:textId="20BF2727" w:rsidR="00046A19" w:rsidRDefault="00046A19" w:rsidP="00046A19">
      <w:r w:rsidRPr="00EB4CE3">
        <w:t>Item Number:</w:t>
      </w:r>
      <w:r w:rsidRPr="00EB4CE3">
        <w:tab/>
      </w:r>
      <w:r w:rsidRPr="00EB4CE3">
        <w:tab/>
      </w:r>
      <w:r w:rsidR="004630E9">
        <w:t>A</w:t>
      </w:r>
      <w:r w:rsidR="001F1624">
        <w:t>6</w:t>
      </w:r>
    </w:p>
    <w:p w14:paraId="6707ED91" w14:textId="77777777" w:rsidR="000B6B1A" w:rsidRPr="00EB4CE3" w:rsidRDefault="000B6B1A" w:rsidP="00046A19"/>
    <w:p w14:paraId="6707ED92" w14:textId="0947C0F2" w:rsidR="00046A19" w:rsidRPr="00EB4CE3" w:rsidRDefault="00046A19" w:rsidP="00046A19">
      <w:r w:rsidRPr="00EB4CE3">
        <w:t xml:space="preserve">Docket: </w:t>
      </w:r>
      <w:r w:rsidRPr="00EB4CE3">
        <w:tab/>
      </w:r>
      <w:r w:rsidRPr="00EB4CE3">
        <w:tab/>
        <w:t>UW-</w:t>
      </w:r>
      <w:r w:rsidR="001B06B5">
        <w:t>1</w:t>
      </w:r>
      <w:r w:rsidR="00947725">
        <w:t>30290</w:t>
      </w:r>
    </w:p>
    <w:p w14:paraId="6707ED93" w14:textId="00EAD0F4" w:rsidR="00046A19" w:rsidRPr="00EB4CE3" w:rsidRDefault="00046A19" w:rsidP="00046A19">
      <w:r w:rsidRPr="00EB4CE3">
        <w:t>Company Name:</w:t>
      </w:r>
      <w:r w:rsidRPr="00EB4CE3">
        <w:tab/>
      </w:r>
      <w:r w:rsidR="00947725" w:rsidRPr="00947725">
        <w:rPr>
          <w:lang w:bidi="ar-SA"/>
        </w:rPr>
        <w:t>Swift Asset Management, Inc.</w:t>
      </w:r>
      <w:r w:rsidR="00AE42F2">
        <w:rPr>
          <w:lang w:bidi="ar-SA"/>
        </w:rPr>
        <w:t>,</w:t>
      </w:r>
      <w:r w:rsidR="00947725" w:rsidRPr="00947725">
        <w:rPr>
          <w:lang w:bidi="ar-SA"/>
        </w:rPr>
        <w:t xml:space="preserve"> dba Marvin Road Water Company</w:t>
      </w:r>
    </w:p>
    <w:p w14:paraId="6707ED94" w14:textId="77777777" w:rsidR="00046A19" w:rsidRPr="00EB4CE3" w:rsidRDefault="00046A19" w:rsidP="00046A19"/>
    <w:p w14:paraId="2082C4ED" w14:textId="3AA2E9BF" w:rsidR="000F032E" w:rsidRDefault="00046A19" w:rsidP="001B06B5">
      <w:r>
        <w:t xml:space="preserve">Staff: </w:t>
      </w:r>
      <w:r>
        <w:tab/>
      </w:r>
      <w:r>
        <w:tab/>
      </w:r>
      <w:r>
        <w:tab/>
      </w:r>
      <w:r w:rsidR="000F032E">
        <w:t>Jim Ward</w:t>
      </w:r>
      <w:r w:rsidRPr="00EB4CE3">
        <w:t>, Regulatory Analyst</w:t>
      </w:r>
    </w:p>
    <w:p w14:paraId="6707ED96" w14:textId="4986276A" w:rsidR="00046A19" w:rsidRPr="00EB4CE3" w:rsidRDefault="001B06B5" w:rsidP="00046A19">
      <w:pPr>
        <w:ind w:left="1440" w:firstLine="720"/>
      </w:pPr>
      <w:r>
        <w:t>John Cupp</w:t>
      </w:r>
      <w:r w:rsidR="00046A19" w:rsidRPr="00EB4CE3">
        <w:t>, Consumer Protection Staff</w:t>
      </w:r>
    </w:p>
    <w:p w14:paraId="6707ED97" w14:textId="77777777" w:rsidR="00046A19" w:rsidRPr="00EB4CE3" w:rsidRDefault="00046A19" w:rsidP="00046A19"/>
    <w:p w14:paraId="6707ED98" w14:textId="77777777" w:rsidR="00046A19" w:rsidRPr="00935AF2" w:rsidRDefault="00046A19" w:rsidP="000F032E">
      <w:pPr>
        <w:rPr>
          <w:b/>
          <w:u w:val="single"/>
        </w:rPr>
      </w:pPr>
      <w:r w:rsidRPr="00935AF2">
        <w:rPr>
          <w:b/>
          <w:u w:val="single"/>
        </w:rPr>
        <w:t>Recommendation</w:t>
      </w:r>
    </w:p>
    <w:p w14:paraId="6707ED9B" w14:textId="77777777" w:rsidR="000B6B1A" w:rsidRDefault="000B6B1A" w:rsidP="000F032E">
      <w:pPr>
        <w:widowControl w:val="0"/>
        <w:autoSpaceDE w:val="0"/>
        <w:autoSpaceDN w:val="0"/>
        <w:adjustRightInd w:val="0"/>
        <w:rPr>
          <w:color w:val="000000"/>
          <w:lang w:bidi="ar-SA"/>
        </w:rPr>
      </w:pPr>
    </w:p>
    <w:p w14:paraId="63A45A34" w14:textId="50F9659D" w:rsidR="00985AE5" w:rsidRDefault="00947725" w:rsidP="00985AE5">
      <w:pPr>
        <w:widowControl w:val="0"/>
        <w:autoSpaceDE w:val="0"/>
        <w:autoSpaceDN w:val="0"/>
        <w:adjustRightInd w:val="0"/>
        <w:rPr>
          <w:color w:val="000000"/>
          <w:lang w:bidi="ar-SA"/>
        </w:rPr>
      </w:pPr>
      <w:r>
        <w:rPr>
          <w:color w:val="000000"/>
          <w:lang w:bidi="ar-SA"/>
        </w:rPr>
        <w:t xml:space="preserve">Take no action on the request for </w:t>
      </w:r>
      <w:r w:rsidRPr="00947725">
        <w:rPr>
          <w:lang w:bidi="ar-SA"/>
        </w:rPr>
        <w:t>Less than Statutory Notice</w:t>
      </w:r>
      <w:r w:rsidR="00F13F26">
        <w:rPr>
          <w:lang w:bidi="ar-SA"/>
        </w:rPr>
        <w:t xml:space="preserve"> and the request for exemption from portions of</w:t>
      </w:r>
      <w:r w:rsidR="00F13F26" w:rsidRPr="00F13F26">
        <w:rPr>
          <w:lang w:bidi="ar-SA"/>
        </w:rPr>
        <w:t xml:space="preserve"> </w:t>
      </w:r>
      <w:r w:rsidR="00F13F26" w:rsidRPr="00947725">
        <w:rPr>
          <w:lang w:bidi="ar-SA"/>
        </w:rPr>
        <w:t xml:space="preserve">WAC 480-07-530, </w:t>
      </w:r>
      <w:r w:rsidR="00F13F26">
        <w:rPr>
          <w:lang w:bidi="ar-SA"/>
        </w:rPr>
        <w:t xml:space="preserve">work paper filing </w:t>
      </w:r>
      <w:r w:rsidR="005F1EA9">
        <w:rPr>
          <w:lang w:bidi="ar-SA"/>
        </w:rPr>
        <w:t>requirements</w:t>
      </w:r>
      <w:r w:rsidR="00F13F26" w:rsidRPr="00947725">
        <w:rPr>
          <w:lang w:bidi="ar-SA"/>
        </w:rPr>
        <w:t>.</w:t>
      </w:r>
    </w:p>
    <w:p w14:paraId="6CED7829" w14:textId="77777777" w:rsidR="00947725" w:rsidRPr="000B6B1A" w:rsidRDefault="00947725" w:rsidP="00985AE5">
      <w:pPr>
        <w:widowControl w:val="0"/>
        <w:autoSpaceDE w:val="0"/>
        <w:autoSpaceDN w:val="0"/>
        <w:adjustRightInd w:val="0"/>
        <w:rPr>
          <w:color w:val="000000"/>
          <w:lang w:bidi="ar-SA"/>
        </w:rPr>
      </w:pPr>
    </w:p>
    <w:p w14:paraId="6707ED9C" w14:textId="2A2673D9" w:rsidR="00046A19" w:rsidRPr="00935AF2" w:rsidRDefault="00046A19" w:rsidP="000F032E">
      <w:pPr>
        <w:rPr>
          <w:b/>
          <w:u w:val="single"/>
        </w:rPr>
      </w:pPr>
      <w:r w:rsidRPr="00935AF2">
        <w:rPr>
          <w:b/>
          <w:u w:val="single"/>
        </w:rPr>
        <w:t>Discussion</w:t>
      </w:r>
    </w:p>
    <w:p w14:paraId="76AD25D1" w14:textId="77777777" w:rsidR="00D157A4" w:rsidRPr="00947725" w:rsidRDefault="00D157A4" w:rsidP="000F032E">
      <w:pPr>
        <w:rPr>
          <w:lang w:bidi="ar-SA"/>
        </w:rPr>
      </w:pPr>
    </w:p>
    <w:p w14:paraId="37F046F1" w14:textId="4C4A17E3" w:rsidR="00F13F26" w:rsidRDefault="00F13F26" w:rsidP="00947725">
      <w:pPr>
        <w:autoSpaceDE w:val="0"/>
        <w:autoSpaceDN w:val="0"/>
        <w:adjustRightInd w:val="0"/>
        <w:spacing w:line="240" w:lineRule="atLeast"/>
        <w:rPr>
          <w:lang w:bidi="ar-SA"/>
        </w:rPr>
      </w:pPr>
      <w:r>
        <w:rPr>
          <w:lang w:bidi="ar-SA"/>
        </w:rPr>
        <w:t xml:space="preserve">This matter is before the commission today only to take comments from the public. The company mailed notice of the proposed increase on February 8, 2013, and advised customers that the commission would consider the matter on March 14, 2013. The filing is scheduled to become effective on March 29, 2013, and </w:t>
      </w:r>
      <w:r w:rsidR="00A118AB">
        <w:rPr>
          <w:lang w:bidi="ar-SA"/>
        </w:rPr>
        <w:t xml:space="preserve">the commission will consider this matter at the </w:t>
      </w:r>
      <w:r>
        <w:rPr>
          <w:lang w:bidi="ar-SA"/>
        </w:rPr>
        <w:t>March 28</w:t>
      </w:r>
      <w:r w:rsidR="00E12FF1">
        <w:rPr>
          <w:lang w:bidi="ar-SA"/>
        </w:rPr>
        <w:t>, 2013,</w:t>
      </w:r>
      <w:r>
        <w:rPr>
          <w:lang w:bidi="ar-SA"/>
        </w:rPr>
        <w:t xml:space="preserve"> open meeting.</w:t>
      </w:r>
    </w:p>
    <w:p w14:paraId="468625CC" w14:textId="77777777" w:rsidR="00F13F26" w:rsidRDefault="00F13F26" w:rsidP="00947725">
      <w:pPr>
        <w:autoSpaceDE w:val="0"/>
        <w:autoSpaceDN w:val="0"/>
        <w:adjustRightInd w:val="0"/>
        <w:spacing w:line="240" w:lineRule="atLeast"/>
        <w:rPr>
          <w:lang w:bidi="ar-SA"/>
        </w:rPr>
      </w:pPr>
    </w:p>
    <w:p w14:paraId="090DD49C" w14:textId="17DE4EEA" w:rsidR="00947725" w:rsidRPr="00947725" w:rsidRDefault="00947725" w:rsidP="00947725">
      <w:pPr>
        <w:autoSpaceDE w:val="0"/>
        <w:autoSpaceDN w:val="0"/>
        <w:adjustRightInd w:val="0"/>
        <w:spacing w:line="240" w:lineRule="atLeast"/>
        <w:rPr>
          <w:lang w:bidi="ar-SA"/>
        </w:rPr>
      </w:pPr>
      <w:r w:rsidRPr="00947725">
        <w:rPr>
          <w:lang w:bidi="ar-SA"/>
        </w:rPr>
        <w:t>On February 25, 2013, Swift Asset Management, Inc.</w:t>
      </w:r>
      <w:r w:rsidR="00AE42F2">
        <w:rPr>
          <w:lang w:bidi="ar-SA"/>
        </w:rPr>
        <w:t>,</w:t>
      </w:r>
      <w:r w:rsidRPr="00947725">
        <w:rPr>
          <w:lang w:bidi="ar-SA"/>
        </w:rPr>
        <w:t xml:space="preserve"> dba Marvin Road Water Company</w:t>
      </w:r>
    </w:p>
    <w:p w14:paraId="72A21F57" w14:textId="5B996A38" w:rsidR="00947725" w:rsidRPr="00947725" w:rsidRDefault="00947725" w:rsidP="00947725">
      <w:pPr>
        <w:autoSpaceDE w:val="0"/>
        <w:autoSpaceDN w:val="0"/>
        <w:adjustRightInd w:val="0"/>
        <w:spacing w:line="240" w:lineRule="atLeast"/>
        <w:rPr>
          <w:lang w:bidi="ar-SA"/>
        </w:rPr>
      </w:pPr>
      <w:r w:rsidRPr="00947725">
        <w:rPr>
          <w:lang w:bidi="ar-SA"/>
        </w:rPr>
        <w:t>(company) filed with the Utilities and Transportation Commission (commission) a tariff revision that would increase rates and generate $36,845 (</w:t>
      </w:r>
      <w:r w:rsidRPr="001E5B64">
        <w:rPr>
          <w:lang w:bidi="ar-SA"/>
        </w:rPr>
        <w:t>2</w:t>
      </w:r>
      <w:r w:rsidR="0045319D" w:rsidRPr="001E5B64">
        <w:rPr>
          <w:lang w:bidi="ar-SA"/>
        </w:rPr>
        <w:t>6.4</w:t>
      </w:r>
      <w:r w:rsidRPr="00947725">
        <w:rPr>
          <w:lang w:bidi="ar-SA"/>
        </w:rPr>
        <w:t xml:space="preserve"> percent) additional annual revenue. The proposed </w:t>
      </w:r>
      <w:r w:rsidR="00760627">
        <w:rPr>
          <w:lang w:bidi="ar-SA"/>
        </w:rPr>
        <w:t xml:space="preserve">three-year </w:t>
      </w:r>
      <w:r w:rsidRPr="00947725">
        <w:rPr>
          <w:lang w:bidi="ar-SA"/>
        </w:rPr>
        <w:t>surcharge is designed to recover the cost of a failed water distribution line</w:t>
      </w:r>
      <w:r w:rsidR="00AE42F2">
        <w:rPr>
          <w:lang w:bidi="ar-SA"/>
        </w:rPr>
        <w:t>, expenses for</w:t>
      </w:r>
      <w:r w:rsidRPr="00947725">
        <w:rPr>
          <w:lang w:bidi="ar-SA"/>
        </w:rPr>
        <w:t xml:space="preserve"> emergency temporary repairs, emergency field repairs and </w:t>
      </w:r>
      <w:r w:rsidR="00760627">
        <w:rPr>
          <w:lang w:bidi="ar-SA"/>
        </w:rPr>
        <w:t xml:space="preserve">to replace </w:t>
      </w:r>
      <w:r w:rsidR="00A118AB">
        <w:rPr>
          <w:lang w:bidi="ar-SA"/>
        </w:rPr>
        <w:t xml:space="preserve">corrosion control treatment </w:t>
      </w:r>
      <w:r w:rsidR="00760627">
        <w:rPr>
          <w:lang w:bidi="ar-SA"/>
        </w:rPr>
        <w:t>media</w:t>
      </w:r>
      <w:r w:rsidRPr="00947725">
        <w:rPr>
          <w:lang w:bidi="ar-SA"/>
        </w:rPr>
        <w:t xml:space="preserve">. The company serves 248 customers on three water systems located in Thurston County. The proposed effective date is March 29, 2013. The company’s last rate increase was effective on April 1, 2004. </w:t>
      </w:r>
    </w:p>
    <w:p w14:paraId="50992F10" w14:textId="77777777" w:rsidR="00947725" w:rsidRPr="00947725" w:rsidRDefault="00947725" w:rsidP="00947725">
      <w:pPr>
        <w:autoSpaceDE w:val="0"/>
        <w:autoSpaceDN w:val="0"/>
        <w:adjustRightInd w:val="0"/>
        <w:spacing w:line="240" w:lineRule="atLeast"/>
        <w:rPr>
          <w:lang w:bidi="ar-SA"/>
        </w:rPr>
      </w:pPr>
    </w:p>
    <w:p w14:paraId="1FAF465E" w14:textId="28E94509" w:rsidR="00947725" w:rsidRPr="00947725" w:rsidRDefault="00947725" w:rsidP="00947725">
      <w:pPr>
        <w:autoSpaceDE w:val="0"/>
        <w:autoSpaceDN w:val="0"/>
        <w:adjustRightInd w:val="0"/>
        <w:spacing w:line="240" w:lineRule="atLeast"/>
        <w:rPr>
          <w:lang w:bidi="ar-SA"/>
        </w:rPr>
      </w:pPr>
      <w:r w:rsidRPr="00947725">
        <w:rPr>
          <w:lang w:bidi="ar-SA"/>
        </w:rPr>
        <w:t xml:space="preserve">The company’s filing </w:t>
      </w:r>
      <w:r w:rsidR="00AE42F2">
        <w:rPr>
          <w:lang w:bidi="ar-SA"/>
        </w:rPr>
        <w:t xml:space="preserve">asks for </w:t>
      </w:r>
      <w:r w:rsidR="00760627">
        <w:rPr>
          <w:lang w:bidi="ar-SA"/>
        </w:rPr>
        <w:t xml:space="preserve">an </w:t>
      </w:r>
      <w:r w:rsidR="00AE42F2">
        <w:rPr>
          <w:lang w:bidi="ar-SA"/>
        </w:rPr>
        <w:t xml:space="preserve">exemption from </w:t>
      </w:r>
      <w:r w:rsidRPr="00947725">
        <w:rPr>
          <w:lang w:bidi="ar-SA"/>
        </w:rPr>
        <w:t xml:space="preserve">portions of WAC 480-07-530, </w:t>
      </w:r>
      <w:r w:rsidR="00AE42F2">
        <w:rPr>
          <w:lang w:bidi="ar-SA"/>
        </w:rPr>
        <w:t xml:space="preserve">work paper filing </w:t>
      </w:r>
      <w:r w:rsidR="005F1EA9">
        <w:rPr>
          <w:lang w:bidi="ar-SA"/>
        </w:rPr>
        <w:t>requirements</w:t>
      </w:r>
      <w:r w:rsidRPr="00947725">
        <w:rPr>
          <w:lang w:bidi="ar-SA"/>
        </w:rPr>
        <w:t>. The company notes that the revenues and expenses are for a specific purpose</w:t>
      </w:r>
      <w:r w:rsidR="00760627">
        <w:rPr>
          <w:lang w:bidi="ar-SA"/>
        </w:rPr>
        <w:t xml:space="preserve"> </w:t>
      </w:r>
      <w:r w:rsidRPr="00947725">
        <w:rPr>
          <w:lang w:bidi="ar-SA"/>
        </w:rPr>
        <w:t xml:space="preserve">and </w:t>
      </w:r>
      <w:r w:rsidR="00AE42F2" w:rsidRPr="00947725">
        <w:rPr>
          <w:lang w:bidi="ar-SA"/>
        </w:rPr>
        <w:t>th</w:t>
      </w:r>
      <w:r w:rsidR="00AE42F2">
        <w:rPr>
          <w:lang w:bidi="ar-SA"/>
        </w:rPr>
        <w:t>at</w:t>
      </w:r>
      <w:r w:rsidR="00AE42F2" w:rsidRPr="00947725">
        <w:rPr>
          <w:lang w:bidi="ar-SA"/>
        </w:rPr>
        <w:t xml:space="preserve"> </w:t>
      </w:r>
      <w:r w:rsidRPr="00947725">
        <w:rPr>
          <w:lang w:bidi="ar-SA"/>
        </w:rPr>
        <w:t xml:space="preserve">all </w:t>
      </w:r>
      <w:r w:rsidR="00760627">
        <w:rPr>
          <w:lang w:bidi="ar-SA"/>
        </w:rPr>
        <w:t xml:space="preserve">of </w:t>
      </w:r>
      <w:r w:rsidRPr="00947725">
        <w:rPr>
          <w:lang w:bidi="ar-SA"/>
        </w:rPr>
        <w:t>the work paper</w:t>
      </w:r>
      <w:r w:rsidR="00A118AB">
        <w:rPr>
          <w:lang w:bidi="ar-SA"/>
        </w:rPr>
        <w:t>s</w:t>
      </w:r>
      <w:r w:rsidRPr="00947725">
        <w:rPr>
          <w:lang w:bidi="ar-SA"/>
        </w:rPr>
        <w:t xml:space="preserve"> </w:t>
      </w:r>
      <w:r w:rsidR="00760627">
        <w:rPr>
          <w:lang w:bidi="ar-SA"/>
        </w:rPr>
        <w:t xml:space="preserve">required by </w:t>
      </w:r>
      <w:r w:rsidRPr="00947725">
        <w:rPr>
          <w:lang w:bidi="ar-SA"/>
        </w:rPr>
        <w:t xml:space="preserve">WAC 480-07-530 are not necessary. </w:t>
      </w:r>
    </w:p>
    <w:p w14:paraId="222B378D" w14:textId="77777777" w:rsidR="00947725" w:rsidRPr="00947725" w:rsidRDefault="00947725" w:rsidP="00947725">
      <w:pPr>
        <w:autoSpaceDE w:val="0"/>
        <w:autoSpaceDN w:val="0"/>
        <w:adjustRightInd w:val="0"/>
        <w:spacing w:line="240" w:lineRule="atLeast"/>
        <w:rPr>
          <w:lang w:bidi="ar-SA"/>
        </w:rPr>
      </w:pPr>
    </w:p>
    <w:p w14:paraId="6E85D38B" w14:textId="27B3231D" w:rsidR="00AA6F5A" w:rsidRDefault="00947725" w:rsidP="0094772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0"/>
        <w:rPr>
          <w:rFonts w:ascii="Times New Roman" w:hAnsi="Times New Roman"/>
          <w:sz w:val="24"/>
          <w:szCs w:val="24"/>
        </w:rPr>
      </w:pPr>
      <w:r w:rsidRPr="00947725">
        <w:rPr>
          <w:rFonts w:ascii="Times New Roman" w:hAnsi="Times New Roman"/>
          <w:sz w:val="24"/>
          <w:szCs w:val="24"/>
        </w:rPr>
        <w:t xml:space="preserve">The </w:t>
      </w:r>
      <w:r w:rsidR="00760627">
        <w:rPr>
          <w:rFonts w:ascii="Times New Roman" w:hAnsi="Times New Roman"/>
          <w:sz w:val="24"/>
          <w:szCs w:val="24"/>
        </w:rPr>
        <w:t xml:space="preserve">company </w:t>
      </w:r>
      <w:r w:rsidRPr="00947725">
        <w:rPr>
          <w:rFonts w:ascii="Times New Roman" w:hAnsi="Times New Roman"/>
          <w:sz w:val="24"/>
          <w:szCs w:val="24"/>
        </w:rPr>
        <w:t>also request</w:t>
      </w:r>
      <w:r w:rsidR="00760627">
        <w:rPr>
          <w:rFonts w:ascii="Times New Roman" w:hAnsi="Times New Roman"/>
          <w:sz w:val="24"/>
          <w:szCs w:val="24"/>
        </w:rPr>
        <w:t>s</w:t>
      </w:r>
      <w:r w:rsidRPr="00947725">
        <w:rPr>
          <w:rFonts w:ascii="Times New Roman" w:hAnsi="Times New Roman"/>
          <w:sz w:val="24"/>
          <w:szCs w:val="24"/>
        </w:rPr>
        <w:t xml:space="preserve"> </w:t>
      </w:r>
      <w:r w:rsidR="00A118AB">
        <w:rPr>
          <w:rFonts w:ascii="Times New Roman" w:hAnsi="Times New Roman"/>
          <w:sz w:val="24"/>
          <w:szCs w:val="24"/>
        </w:rPr>
        <w:t xml:space="preserve">the commission approve the proposed tariffs to become effective </w:t>
      </w:r>
      <w:r w:rsidR="00760627">
        <w:rPr>
          <w:rFonts w:ascii="Times New Roman" w:hAnsi="Times New Roman"/>
          <w:sz w:val="24"/>
          <w:szCs w:val="24"/>
        </w:rPr>
        <w:t xml:space="preserve">on </w:t>
      </w:r>
      <w:r w:rsidRPr="00947725">
        <w:rPr>
          <w:rFonts w:ascii="Times New Roman" w:hAnsi="Times New Roman"/>
          <w:sz w:val="24"/>
          <w:szCs w:val="24"/>
        </w:rPr>
        <w:t>March 15, 2013</w:t>
      </w:r>
      <w:r w:rsidR="00A118AB">
        <w:rPr>
          <w:rFonts w:ascii="Times New Roman" w:hAnsi="Times New Roman"/>
          <w:sz w:val="24"/>
          <w:szCs w:val="24"/>
        </w:rPr>
        <w:t xml:space="preserve">, on </w:t>
      </w:r>
      <w:r w:rsidR="00A118AB" w:rsidRPr="00947725">
        <w:rPr>
          <w:rFonts w:ascii="Times New Roman" w:hAnsi="Times New Roman"/>
          <w:sz w:val="24"/>
          <w:szCs w:val="24"/>
        </w:rPr>
        <w:t>Less than Statutory Notice (LSN)</w:t>
      </w:r>
      <w:r w:rsidR="00A118AB">
        <w:rPr>
          <w:rFonts w:ascii="Times New Roman" w:hAnsi="Times New Roman"/>
          <w:sz w:val="24"/>
          <w:szCs w:val="24"/>
        </w:rPr>
        <w:t xml:space="preserve">. </w:t>
      </w:r>
      <w:r w:rsidRPr="00947725">
        <w:rPr>
          <w:rFonts w:ascii="Times New Roman" w:hAnsi="Times New Roman"/>
          <w:sz w:val="24"/>
          <w:szCs w:val="24"/>
        </w:rPr>
        <w:t xml:space="preserve">The </w:t>
      </w:r>
      <w:r w:rsidR="00760627">
        <w:rPr>
          <w:rFonts w:ascii="Times New Roman" w:hAnsi="Times New Roman"/>
          <w:sz w:val="24"/>
          <w:szCs w:val="24"/>
        </w:rPr>
        <w:t xml:space="preserve">company’s </w:t>
      </w:r>
      <w:r w:rsidR="00A118AB">
        <w:rPr>
          <w:rFonts w:ascii="Times New Roman" w:hAnsi="Times New Roman"/>
          <w:sz w:val="24"/>
          <w:szCs w:val="24"/>
        </w:rPr>
        <w:t xml:space="preserve">justification </w:t>
      </w:r>
      <w:r w:rsidR="00760627">
        <w:rPr>
          <w:rFonts w:ascii="Times New Roman" w:hAnsi="Times New Roman"/>
          <w:sz w:val="24"/>
          <w:szCs w:val="24"/>
        </w:rPr>
        <w:t xml:space="preserve">for its LSN request is that </w:t>
      </w:r>
      <w:r w:rsidR="006F3B0E">
        <w:rPr>
          <w:rFonts w:ascii="Times New Roman" w:hAnsi="Times New Roman"/>
          <w:sz w:val="24"/>
          <w:szCs w:val="24"/>
        </w:rPr>
        <w:t>it</w:t>
      </w:r>
      <w:r w:rsidRPr="00947725">
        <w:rPr>
          <w:rFonts w:ascii="Times New Roman" w:hAnsi="Times New Roman"/>
          <w:sz w:val="24"/>
          <w:szCs w:val="24"/>
        </w:rPr>
        <w:t xml:space="preserve"> </w:t>
      </w:r>
      <w:r w:rsidR="00A118AB">
        <w:rPr>
          <w:rFonts w:ascii="Times New Roman" w:hAnsi="Times New Roman"/>
          <w:sz w:val="24"/>
          <w:szCs w:val="24"/>
        </w:rPr>
        <w:t xml:space="preserve">originally </w:t>
      </w:r>
      <w:r w:rsidRPr="00947725">
        <w:rPr>
          <w:rFonts w:ascii="Times New Roman" w:hAnsi="Times New Roman"/>
          <w:sz w:val="24"/>
          <w:szCs w:val="24"/>
        </w:rPr>
        <w:t>notif</w:t>
      </w:r>
      <w:r w:rsidR="00760627">
        <w:rPr>
          <w:rFonts w:ascii="Times New Roman" w:hAnsi="Times New Roman"/>
          <w:sz w:val="24"/>
          <w:szCs w:val="24"/>
        </w:rPr>
        <w:t>ied</w:t>
      </w:r>
      <w:r w:rsidRPr="00947725">
        <w:rPr>
          <w:rFonts w:ascii="Times New Roman" w:hAnsi="Times New Roman"/>
          <w:sz w:val="24"/>
          <w:szCs w:val="24"/>
        </w:rPr>
        <w:t xml:space="preserve"> the customers that the </w:t>
      </w:r>
      <w:r w:rsidR="00760627">
        <w:rPr>
          <w:rFonts w:ascii="Times New Roman" w:hAnsi="Times New Roman"/>
          <w:sz w:val="24"/>
          <w:szCs w:val="24"/>
        </w:rPr>
        <w:t xml:space="preserve">commission </w:t>
      </w:r>
      <w:r w:rsidR="00A118AB">
        <w:rPr>
          <w:rFonts w:ascii="Times New Roman" w:hAnsi="Times New Roman"/>
          <w:sz w:val="24"/>
          <w:szCs w:val="24"/>
        </w:rPr>
        <w:t>would</w:t>
      </w:r>
      <w:r w:rsidR="00760627">
        <w:rPr>
          <w:rFonts w:ascii="Times New Roman" w:hAnsi="Times New Roman"/>
          <w:sz w:val="24"/>
          <w:szCs w:val="24"/>
        </w:rPr>
        <w:t xml:space="preserve"> consider the </w:t>
      </w:r>
      <w:r w:rsidR="00AE42F2">
        <w:rPr>
          <w:rFonts w:ascii="Times New Roman" w:hAnsi="Times New Roman"/>
          <w:sz w:val="24"/>
          <w:szCs w:val="24"/>
        </w:rPr>
        <w:t xml:space="preserve">proposed </w:t>
      </w:r>
      <w:r w:rsidRPr="00947725">
        <w:rPr>
          <w:rFonts w:ascii="Times New Roman" w:hAnsi="Times New Roman"/>
          <w:sz w:val="24"/>
          <w:szCs w:val="24"/>
        </w:rPr>
        <w:t>rate increase on March 14, 2013.</w:t>
      </w:r>
    </w:p>
    <w:p w14:paraId="2408221A" w14:textId="4AE92000" w:rsidR="005C12C5" w:rsidRDefault="005C12C5" w:rsidP="0094772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0"/>
        <w:rPr>
          <w:rFonts w:ascii="Times New Roman" w:hAnsi="Times New Roman"/>
          <w:sz w:val="24"/>
          <w:szCs w:val="24"/>
        </w:rPr>
      </w:pPr>
      <w:r>
        <w:rPr>
          <w:rFonts w:ascii="Times New Roman" w:hAnsi="Times New Roman"/>
          <w:sz w:val="24"/>
          <w:szCs w:val="24"/>
        </w:rPr>
        <w:t xml:space="preserve">The </w:t>
      </w:r>
      <w:r w:rsidR="004F31C0">
        <w:rPr>
          <w:rFonts w:ascii="Times New Roman" w:hAnsi="Times New Roman"/>
          <w:sz w:val="24"/>
          <w:szCs w:val="24"/>
        </w:rPr>
        <w:t>proposed</w:t>
      </w:r>
      <w:r>
        <w:rPr>
          <w:rFonts w:ascii="Times New Roman" w:hAnsi="Times New Roman"/>
          <w:sz w:val="24"/>
          <w:szCs w:val="24"/>
        </w:rPr>
        <w:t xml:space="preserve"> </w:t>
      </w:r>
      <w:r w:rsidR="004F31C0">
        <w:rPr>
          <w:rFonts w:ascii="Times New Roman" w:hAnsi="Times New Roman"/>
          <w:sz w:val="24"/>
          <w:szCs w:val="24"/>
        </w:rPr>
        <w:t>surcharge consists</w:t>
      </w:r>
      <w:r>
        <w:rPr>
          <w:rFonts w:ascii="Times New Roman" w:hAnsi="Times New Roman"/>
          <w:sz w:val="24"/>
          <w:szCs w:val="24"/>
        </w:rPr>
        <w:t xml:space="preserve"> of several parts</w:t>
      </w:r>
      <w:r w:rsidR="00230C1E">
        <w:rPr>
          <w:rFonts w:ascii="Times New Roman" w:hAnsi="Times New Roman"/>
          <w:sz w:val="24"/>
          <w:szCs w:val="24"/>
        </w:rPr>
        <w:t>:</w:t>
      </w:r>
      <w:r>
        <w:rPr>
          <w:rFonts w:ascii="Times New Roman" w:hAnsi="Times New Roman"/>
          <w:sz w:val="24"/>
          <w:szCs w:val="24"/>
        </w:rPr>
        <w:t xml:space="preserve"> </w:t>
      </w:r>
    </w:p>
    <w:p w14:paraId="2A16459D" w14:textId="54A1B81C" w:rsidR="00230C1E" w:rsidRDefault="00230C1E" w:rsidP="005A3E18">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szCs w:val="24"/>
        </w:rPr>
      </w:pPr>
      <w:r>
        <w:rPr>
          <w:rFonts w:ascii="Times New Roman" w:hAnsi="Times New Roman"/>
          <w:sz w:val="24"/>
          <w:szCs w:val="24"/>
        </w:rPr>
        <w:t xml:space="preserve">Recover $24,197 cost incurred from January 2011 through November 2012 </w:t>
      </w:r>
      <w:r w:rsidR="007D0EBE">
        <w:rPr>
          <w:rFonts w:ascii="Times New Roman" w:hAnsi="Times New Roman"/>
          <w:sz w:val="24"/>
          <w:szCs w:val="24"/>
        </w:rPr>
        <w:t>for</w:t>
      </w:r>
      <w:r>
        <w:rPr>
          <w:rFonts w:ascii="Times New Roman" w:hAnsi="Times New Roman"/>
          <w:sz w:val="24"/>
          <w:szCs w:val="24"/>
        </w:rPr>
        <w:t xml:space="preserve"> </w:t>
      </w:r>
      <w:r w:rsidR="007D0EBE">
        <w:rPr>
          <w:rFonts w:ascii="Times New Roman" w:hAnsi="Times New Roman"/>
          <w:sz w:val="24"/>
          <w:szCs w:val="24"/>
        </w:rPr>
        <w:t>e</w:t>
      </w:r>
      <w:r>
        <w:rPr>
          <w:rFonts w:ascii="Times New Roman" w:hAnsi="Times New Roman"/>
          <w:sz w:val="24"/>
          <w:szCs w:val="24"/>
        </w:rPr>
        <w:t>mergency repairs</w:t>
      </w:r>
      <w:r w:rsidR="007D0EBE">
        <w:rPr>
          <w:rFonts w:ascii="Times New Roman" w:hAnsi="Times New Roman"/>
          <w:sz w:val="24"/>
          <w:szCs w:val="24"/>
        </w:rPr>
        <w:t xml:space="preserve"> (including temporary, above-ground pipe to repair a water main break in June 2012)</w:t>
      </w:r>
      <w:r>
        <w:rPr>
          <w:rFonts w:ascii="Times New Roman" w:hAnsi="Times New Roman"/>
          <w:sz w:val="24"/>
          <w:szCs w:val="24"/>
        </w:rPr>
        <w:t xml:space="preserve"> on the Hawk A</w:t>
      </w:r>
      <w:r w:rsidR="007D0EBE">
        <w:rPr>
          <w:rFonts w:ascii="Times New Roman" w:hAnsi="Times New Roman"/>
          <w:sz w:val="24"/>
          <w:szCs w:val="24"/>
        </w:rPr>
        <w:t>cres water system (ID# 34505K).</w:t>
      </w:r>
    </w:p>
    <w:p w14:paraId="15B35AD1" w14:textId="5CD2DF01" w:rsidR="005C12C5" w:rsidRDefault="00230C1E" w:rsidP="005A3E18">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szCs w:val="24"/>
        </w:rPr>
      </w:pPr>
      <w:r>
        <w:rPr>
          <w:rFonts w:ascii="Times New Roman" w:hAnsi="Times New Roman"/>
          <w:sz w:val="24"/>
          <w:szCs w:val="24"/>
        </w:rPr>
        <w:t xml:space="preserve">Estimated $57,341 </w:t>
      </w:r>
      <w:r w:rsidR="00AE42F2">
        <w:rPr>
          <w:rFonts w:ascii="Times New Roman" w:hAnsi="Times New Roman"/>
          <w:sz w:val="24"/>
          <w:szCs w:val="24"/>
        </w:rPr>
        <w:t>to</w:t>
      </w:r>
      <w:r w:rsidR="00D52F9F">
        <w:rPr>
          <w:rFonts w:ascii="Times New Roman" w:hAnsi="Times New Roman"/>
          <w:sz w:val="24"/>
          <w:szCs w:val="24"/>
        </w:rPr>
        <w:t xml:space="preserve"> replace temporary</w:t>
      </w:r>
      <w:r>
        <w:rPr>
          <w:rFonts w:ascii="Times New Roman" w:hAnsi="Times New Roman"/>
          <w:sz w:val="24"/>
          <w:szCs w:val="24"/>
        </w:rPr>
        <w:t>,</w:t>
      </w:r>
      <w:r w:rsidR="00D52F9F">
        <w:rPr>
          <w:rFonts w:ascii="Times New Roman" w:hAnsi="Times New Roman"/>
          <w:sz w:val="24"/>
          <w:szCs w:val="24"/>
        </w:rPr>
        <w:t xml:space="preserve"> </w:t>
      </w:r>
      <w:r>
        <w:rPr>
          <w:rFonts w:ascii="Times New Roman" w:hAnsi="Times New Roman"/>
          <w:sz w:val="24"/>
          <w:szCs w:val="24"/>
        </w:rPr>
        <w:t xml:space="preserve">above-ground </w:t>
      </w:r>
      <w:r w:rsidR="00D52F9F">
        <w:rPr>
          <w:rFonts w:ascii="Times New Roman" w:hAnsi="Times New Roman"/>
          <w:sz w:val="24"/>
          <w:szCs w:val="24"/>
        </w:rPr>
        <w:t xml:space="preserve">pipe that </w:t>
      </w:r>
      <w:r w:rsidR="00AE42F2">
        <w:rPr>
          <w:rFonts w:ascii="Times New Roman" w:hAnsi="Times New Roman"/>
          <w:sz w:val="24"/>
          <w:szCs w:val="24"/>
        </w:rPr>
        <w:t xml:space="preserve">the company </w:t>
      </w:r>
      <w:r w:rsidR="00D52F9F">
        <w:rPr>
          <w:rFonts w:ascii="Times New Roman" w:hAnsi="Times New Roman"/>
          <w:sz w:val="24"/>
          <w:szCs w:val="24"/>
        </w:rPr>
        <w:t xml:space="preserve">installed </w:t>
      </w:r>
      <w:r w:rsidR="007D0EBE">
        <w:rPr>
          <w:rFonts w:ascii="Times New Roman" w:hAnsi="Times New Roman"/>
          <w:sz w:val="24"/>
          <w:szCs w:val="24"/>
        </w:rPr>
        <w:t>in part 1</w:t>
      </w:r>
      <w:r w:rsidR="007D0EBE" w:rsidRPr="007D0EBE">
        <w:rPr>
          <w:rFonts w:ascii="Times New Roman" w:hAnsi="Times New Roman"/>
          <w:sz w:val="24"/>
          <w:szCs w:val="24"/>
        </w:rPr>
        <w:t xml:space="preserve"> </w:t>
      </w:r>
      <w:r w:rsidR="007D0EBE">
        <w:rPr>
          <w:rFonts w:ascii="Times New Roman" w:hAnsi="Times New Roman"/>
          <w:sz w:val="24"/>
          <w:szCs w:val="24"/>
        </w:rPr>
        <w:t xml:space="preserve">with below-ground permanent pipe. By letter dated </w:t>
      </w:r>
      <w:r w:rsidR="00F13F26">
        <w:rPr>
          <w:rFonts w:ascii="Times New Roman" w:hAnsi="Times New Roman"/>
          <w:sz w:val="24"/>
          <w:szCs w:val="24"/>
        </w:rPr>
        <w:t>October 8, 2012</w:t>
      </w:r>
      <w:r w:rsidR="007D0EBE">
        <w:rPr>
          <w:rFonts w:ascii="Times New Roman" w:hAnsi="Times New Roman"/>
          <w:sz w:val="24"/>
          <w:szCs w:val="24"/>
        </w:rPr>
        <w:t xml:space="preserve">, the </w:t>
      </w:r>
      <w:r w:rsidR="007D0EBE">
        <w:rPr>
          <w:rFonts w:ascii="Times New Roman" w:hAnsi="Times New Roman"/>
          <w:sz w:val="24"/>
          <w:szCs w:val="24"/>
        </w:rPr>
        <w:lastRenderedPageBreak/>
        <w:t xml:space="preserve">Department of Health identified this as a “significant deficiency” and stated that </w:t>
      </w:r>
      <w:r w:rsidR="00F13F26">
        <w:rPr>
          <w:rFonts w:ascii="Times New Roman" w:hAnsi="Times New Roman"/>
          <w:sz w:val="24"/>
          <w:szCs w:val="24"/>
        </w:rPr>
        <w:t>this “should be completed by October 31, 2012</w:t>
      </w:r>
      <w:r w:rsidR="00A118AB">
        <w:rPr>
          <w:rFonts w:ascii="Times New Roman" w:hAnsi="Times New Roman"/>
          <w:sz w:val="24"/>
          <w:szCs w:val="24"/>
        </w:rPr>
        <w:t>”</w:t>
      </w:r>
      <w:r w:rsidR="00F13F26">
        <w:rPr>
          <w:rFonts w:ascii="Times New Roman" w:hAnsi="Times New Roman"/>
          <w:sz w:val="24"/>
          <w:szCs w:val="24"/>
        </w:rPr>
        <w:t xml:space="preserve">. </w:t>
      </w:r>
    </w:p>
    <w:p w14:paraId="36DAE1F2" w14:textId="330793AF" w:rsidR="005C12C5" w:rsidRDefault="00230C1E" w:rsidP="005A3E18">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szCs w:val="24"/>
        </w:rPr>
      </w:pPr>
      <w:r>
        <w:rPr>
          <w:rFonts w:ascii="Times New Roman" w:hAnsi="Times New Roman"/>
          <w:sz w:val="24"/>
          <w:szCs w:val="24"/>
        </w:rPr>
        <w:t xml:space="preserve">Estimated $5,493 </w:t>
      </w:r>
      <w:r w:rsidR="005C12C5">
        <w:rPr>
          <w:rFonts w:ascii="Times New Roman" w:hAnsi="Times New Roman"/>
          <w:sz w:val="24"/>
          <w:szCs w:val="24"/>
        </w:rPr>
        <w:t xml:space="preserve">cost </w:t>
      </w:r>
      <w:r>
        <w:rPr>
          <w:rFonts w:ascii="Times New Roman" w:hAnsi="Times New Roman"/>
          <w:sz w:val="24"/>
          <w:szCs w:val="24"/>
        </w:rPr>
        <w:t xml:space="preserve">to </w:t>
      </w:r>
      <w:r w:rsidR="005C12C5">
        <w:rPr>
          <w:rFonts w:ascii="Times New Roman" w:hAnsi="Times New Roman"/>
          <w:sz w:val="24"/>
          <w:szCs w:val="24"/>
        </w:rPr>
        <w:t>replace corrosion control media on the Horsfall water system (ID# 31845T)</w:t>
      </w:r>
      <w:r>
        <w:rPr>
          <w:rFonts w:ascii="Times New Roman" w:hAnsi="Times New Roman"/>
          <w:sz w:val="24"/>
          <w:szCs w:val="24"/>
        </w:rPr>
        <w:t>, which has not lasted as long as originally projected</w:t>
      </w:r>
      <w:r w:rsidR="00E27685">
        <w:rPr>
          <w:rFonts w:ascii="Times New Roman" w:hAnsi="Times New Roman"/>
          <w:sz w:val="24"/>
          <w:szCs w:val="24"/>
        </w:rPr>
        <w:t>.</w:t>
      </w:r>
    </w:p>
    <w:p w14:paraId="56686FFC" w14:textId="18AE9877" w:rsidR="005C12C5" w:rsidRPr="00947725" w:rsidRDefault="00230C1E" w:rsidP="005A3E18">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szCs w:val="24"/>
        </w:rPr>
      </w:pPr>
      <w:r>
        <w:rPr>
          <w:rFonts w:ascii="Times New Roman" w:hAnsi="Times New Roman"/>
          <w:sz w:val="24"/>
          <w:szCs w:val="24"/>
        </w:rPr>
        <w:t>Financing cost</w:t>
      </w:r>
      <w:r w:rsidR="007D0EBE">
        <w:rPr>
          <w:rFonts w:ascii="Times New Roman" w:hAnsi="Times New Roman"/>
          <w:sz w:val="24"/>
          <w:szCs w:val="24"/>
        </w:rPr>
        <w:t>s</w:t>
      </w:r>
      <w:r w:rsidR="005C12C5">
        <w:rPr>
          <w:rFonts w:ascii="Times New Roman" w:hAnsi="Times New Roman"/>
          <w:sz w:val="24"/>
          <w:szCs w:val="24"/>
        </w:rPr>
        <w:t>.</w:t>
      </w:r>
    </w:p>
    <w:p w14:paraId="6707EDA0" w14:textId="77777777" w:rsidR="00640061" w:rsidRDefault="00640061" w:rsidP="000F03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b/>
          <w:u w:val="single"/>
          <w:lang w:bidi="ar-SA"/>
        </w:rPr>
      </w:pPr>
      <w:r w:rsidRPr="00A8749C">
        <w:rPr>
          <w:rFonts w:eastAsia="Times New Roman"/>
          <w:b/>
          <w:u w:val="single"/>
          <w:lang w:bidi="ar-SA"/>
        </w:rPr>
        <w:t xml:space="preserve">Customer Comments </w:t>
      </w:r>
    </w:p>
    <w:p w14:paraId="5D8875B1" w14:textId="77777777" w:rsidR="00281C1D" w:rsidRDefault="00281C1D" w:rsidP="00281C1D">
      <w:pPr>
        <w:pStyle w:val="ListParagraph"/>
        <w:spacing w:after="0" w:line="240" w:lineRule="auto"/>
        <w:ind w:left="0"/>
        <w:rPr>
          <w:rFonts w:ascii="Times New Roman" w:hAnsi="Times New Roman"/>
          <w:sz w:val="24"/>
          <w:szCs w:val="24"/>
        </w:rPr>
      </w:pPr>
    </w:p>
    <w:p w14:paraId="637C857F" w14:textId="4752BC95" w:rsidR="00174509" w:rsidRDefault="00174509" w:rsidP="00174509">
      <w:r>
        <w:rPr>
          <w:color w:val="000000"/>
        </w:rPr>
        <w:t>On February 8, 2013, the company notified its customers of the proposed surcharge by mail. Staff received one consumer comment, which opposed the surcharge. Customers were notified that they may access relevant documents about this surcharge on the commission’s website, and that they may contact John Cupp at 1-888-333-9882 or jcupp@utc.wa.gov with questions or concerns.</w:t>
      </w:r>
    </w:p>
    <w:p w14:paraId="3B1A4290" w14:textId="77777777" w:rsidR="00174509" w:rsidRDefault="00174509" w:rsidP="00174509"/>
    <w:p w14:paraId="79785797" w14:textId="77777777" w:rsidR="00174509" w:rsidRDefault="00174509" w:rsidP="00174509">
      <w:r>
        <w:rPr>
          <w:b/>
          <w:color w:val="000000"/>
        </w:rPr>
        <w:t>General Comments</w:t>
      </w:r>
    </w:p>
    <w:p w14:paraId="18C52E6C" w14:textId="77777777" w:rsidR="00174509" w:rsidRPr="00465147" w:rsidRDefault="00174509" w:rsidP="00174509">
      <w:pPr>
        <w:numPr>
          <w:ilvl w:val="0"/>
          <w:numId w:val="9"/>
        </w:numPr>
        <w:ind w:left="720" w:hanging="360"/>
      </w:pPr>
      <w:r w:rsidRPr="00465147">
        <w:rPr>
          <w:color w:val="000000"/>
        </w:rPr>
        <w:t xml:space="preserve">The company already collects a surcharge of $15.35 per month. The addition of the proposed surcharge </w:t>
      </w:r>
      <w:r>
        <w:rPr>
          <w:color w:val="000000"/>
        </w:rPr>
        <w:t>would</w:t>
      </w:r>
      <w:r w:rsidRPr="00465147">
        <w:rPr>
          <w:color w:val="000000"/>
        </w:rPr>
        <w:t xml:space="preserve"> be a burden on customers. </w:t>
      </w:r>
    </w:p>
    <w:p w14:paraId="5F92B4BB" w14:textId="77777777" w:rsidR="00174509" w:rsidRDefault="00174509" w:rsidP="00174509">
      <w:pPr>
        <w:ind w:left="360"/>
      </w:pPr>
    </w:p>
    <w:p w14:paraId="1A2C5F6C" w14:textId="77777777" w:rsidR="00174509" w:rsidRDefault="00174509" w:rsidP="00174509">
      <w:pPr>
        <w:ind w:left="719"/>
      </w:pPr>
      <w:r>
        <w:rPr>
          <w:b/>
          <w:color w:val="000000"/>
        </w:rPr>
        <w:t>Staff Response</w:t>
      </w:r>
    </w:p>
    <w:p w14:paraId="335584E2" w14:textId="77777777" w:rsidR="00174509" w:rsidRDefault="00174509" w:rsidP="00174509">
      <w:pPr>
        <w:ind w:left="719"/>
      </w:pPr>
      <w:r>
        <w:rPr>
          <w:color w:val="000000"/>
        </w:rPr>
        <w:t>The</w:t>
      </w:r>
      <w:r>
        <w:t xml:space="preserve"> c</w:t>
      </w:r>
      <w:r w:rsidRPr="00FF21C6">
        <w:t>ustomer</w:t>
      </w:r>
      <w:r>
        <w:t>s</w:t>
      </w:r>
      <w:r w:rsidRPr="00FF21C6">
        <w:t xml:space="preserve"> </w:t>
      </w:r>
      <w:r>
        <w:t>were</w:t>
      </w:r>
      <w:r w:rsidRPr="00FF21C6">
        <w:t xml:space="preserve"> advised that state law requires rates to be fair, just, reasonable</w:t>
      </w:r>
      <w:r>
        <w:t>,</w:t>
      </w:r>
      <w:r w:rsidRPr="00FF21C6">
        <w:t xml:space="preserve"> and sufficient to allow the company to recover reasonable operating expenses and earn a reasonable return on </w:t>
      </w:r>
      <w:r>
        <w:t xml:space="preserve">its </w:t>
      </w:r>
      <w:r w:rsidRPr="00FF21C6">
        <w:t>investment. Regulatory staff</w:t>
      </w:r>
      <w:r>
        <w:t xml:space="preserve"> </w:t>
      </w:r>
      <w:r w:rsidRPr="00FF21C6">
        <w:t>review</w:t>
      </w:r>
      <w:r>
        <w:t>s</w:t>
      </w:r>
      <w:r w:rsidRPr="00FF21C6">
        <w:t xml:space="preserve"> filings to ensure that all rates and fees are appropriate.</w:t>
      </w:r>
    </w:p>
    <w:p w14:paraId="445D8611" w14:textId="77777777" w:rsidR="00670B9E" w:rsidRDefault="00670B9E" w:rsidP="001B06B5">
      <w:pPr>
        <w:pStyle w:val="ListParagraph"/>
        <w:spacing w:after="0" w:line="240" w:lineRule="auto"/>
        <w:ind w:left="0"/>
      </w:pPr>
    </w:p>
    <w:p w14:paraId="601FBEA3" w14:textId="75C57EE4" w:rsidR="004630E9" w:rsidRDefault="004630E9" w:rsidP="00463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2747D">
        <w:t>Current</w:t>
      </w:r>
      <w:r w:rsidR="00253EC2">
        <w:t xml:space="preserve"> and </w:t>
      </w:r>
      <w:r w:rsidRPr="00F2747D">
        <w:t>proposed</w:t>
      </w:r>
      <w:r>
        <w:t xml:space="preserve"> </w:t>
      </w:r>
      <w:r w:rsidRPr="00F2747D">
        <w:t>rates are shown below for the general rate increase.</w:t>
      </w:r>
    </w:p>
    <w:p w14:paraId="65CEA145" w14:textId="77777777" w:rsidR="004F31C0" w:rsidRDefault="004F31C0" w:rsidP="00463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lang w:bidi="ar-SA"/>
        </w:rPr>
      </w:pPr>
    </w:p>
    <w:p w14:paraId="5E606CAF" w14:textId="400DA062" w:rsidR="00BB0D23" w:rsidRDefault="00BB0D23" w:rsidP="004F31C0">
      <w:pPr>
        <w:spacing w:after="200" w:line="276" w:lineRule="auto"/>
        <w:jc w:val="center"/>
        <w:rPr>
          <w:b/>
          <w:u w:val="single"/>
        </w:rPr>
      </w:pPr>
      <w:r w:rsidRPr="00450175">
        <w:rPr>
          <w:b/>
          <w:u w:val="single"/>
        </w:rPr>
        <w:t>Rate Comparison</w:t>
      </w:r>
    </w:p>
    <w:tbl>
      <w:tblPr>
        <w:tblW w:w="376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9"/>
        <w:gridCol w:w="1787"/>
        <w:gridCol w:w="2265"/>
      </w:tblGrid>
      <w:tr w:rsidR="00A67871" w:rsidRPr="009270B9" w14:paraId="5A8D42CF" w14:textId="77777777" w:rsidTr="005A3E18">
        <w:trPr>
          <w:jc w:val="center"/>
        </w:trPr>
        <w:tc>
          <w:tcPr>
            <w:tcW w:w="2186" w:type="pct"/>
          </w:tcPr>
          <w:p w14:paraId="34365329" w14:textId="77777777" w:rsidR="00A67871" w:rsidRPr="009270B9" w:rsidRDefault="00A67871" w:rsidP="00AD7FBD">
            <w:pPr>
              <w:keepNext/>
              <w:widowControl w:val="0"/>
              <w:autoSpaceDE w:val="0"/>
              <w:autoSpaceDN w:val="0"/>
              <w:adjustRightInd w:val="0"/>
              <w:jc w:val="center"/>
              <w:outlineLvl w:val="0"/>
              <w:rPr>
                <w:rFonts w:eastAsia="Times New Roman"/>
                <w:b/>
                <w:lang w:bidi="ar-SA"/>
              </w:rPr>
            </w:pPr>
            <w:r w:rsidRPr="009270B9">
              <w:rPr>
                <w:rFonts w:eastAsia="Times New Roman"/>
                <w:b/>
                <w:lang w:bidi="ar-SA"/>
              </w:rPr>
              <w:t>Monthly Rate</w:t>
            </w:r>
          </w:p>
        </w:tc>
        <w:tc>
          <w:tcPr>
            <w:tcW w:w="1241" w:type="pct"/>
            <w:shd w:val="clear" w:color="auto" w:fill="F2F2F2" w:themeFill="background1" w:themeFillShade="F2"/>
            <w:vAlign w:val="center"/>
          </w:tcPr>
          <w:p w14:paraId="232120B7" w14:textId="77777777" w:rsidR="00A67871" w:rsidRPr="009270B9" w:rsidRDefault="00A67871" w:rsidP="00AD7FBD">
            <w:pPr>
              <w:widowControl w:val="0"/>
              <w:autoSpaceDE w:val="0"/>
              <w:autoSpaceDN w:val="0"/>
              <w:adjustRightInd w:val="0"/>
              <w:jc w:val="center"/>
              <w:rPr>
                <w:rFonts w:eastAsia="Times New Roman"/>
                <w:b/>
                <w:lang w:bidi="ar-SA"/>
              </w:rPr>
            </w:pPr>
            <w:r w:rsidRPr="009270B9">
              <w:rPr>
                <w:rFonts w:eastAsia="Times New Roman"/>
                <w:b/>
                <w:lang w:bidi="ar-SA"/>
              </w:rPr>
              <w:t>Current Rate</w:t>
            </w:r>
          </w:p>
        </w:tc>
        <w:tc>
          <w:tcPr>
            <w:tcW w:w="1573" w:type="pct"/>
            <w:shd w:val="clear" w:color="auto" w:fill="F2F2F2" w:themeFill="background1" w:themeFillShade="F2"/>
          </w:tcPr>
          <w:p w14:paraId="1C8CDB89" w14:textId="615856F5" w:rsidR="00A67871" w:rsidRPr="009270B9" w:rsidRDefault="00A67871" w:rsidP="00AD7FBD">
            <w:pPr>
              <w:widowControl w:val="0"/>
              <w:autoSpaceDE w:val="0"/>
              <w:autoSpaceDN w:val="0"/>
              <w:adjustRightInd w:val="0"/>
              <w:jc w:val="center"/>
              <w:rPr>
                <w:rFonts w:eastAsia="Times New Roman"/>
                <w:b/>
                <w:lang w:bidi="ar-SA"/>
              </w:rPr>
            </w:pPr>
            <w:r w:rsidRPr="009270B9">
              <w:rPr>
                <w:rFonts w:eastAsia="Times New Roman"/>
                <w:b/>
                <w:lang w:bidi="ar-SA"/>
              </w:rPr>
              <w:t>Proposed Rate</w:t>
            </w:r>
          </w:p>
        </w:tc>
      </w:tr>
      <w:tr w:rsidR="00A67871" w:rsidRPr="009270B9" w14:paraId="3CF62D42" w14:textId="77777777" w:rsidTr="005A3E18">
        <w:trPr>
          <w:jc w:val="center"/>
        </w:trPr>
        <w:tc>
          <w:tcPr>
            <w:tcW w:w="2186" w:type="pct"/>
          </w:tcPr>
          <w:p w14:paraId="7848DAAF" w14:textId="76E4ABD9" w:rsidR="00A67871" w:rsidRPr="009270B9" w:rsidRDefault="00A67871" w:rsidP="00A67871">
            <w:pPr>
              <w:keepNext/>
              <w:widowControl w:val="0"/>
              <w:autoSpaceDE w:val="0"/>
              <w:autoSpaceDN w:val="0"/>
              <w:adjustRightInd w:val="0"/>
              <w:outlineLvl w:val="0"/>
              <w:rPr>
                <w:rFonts w:eastAsia="Times New Roman"/>
                <w:lang w:bidi="ar-SA"/>
              </w:rPr>
            </w:pPr>
            <w:r>
              <w:rPr>
                <w:rFonts w:eastAsia="Times New Roman"/>
                <w:lang w:bidi="ar-SA"/>
              </w:rPr>
              <w:t xml:space="preserve">EME Surcharge </w:t>
            </w:r>
          </w:p>
        </w:tc>
        <w:tc>
          <w:tcPr>
            <w:tcW w:w="1241" w:type="pct"/>
          </w:tcPr>
          <w:p w14:paraId="1DFA6376" w14:textId="0A6BA64E" w:rsidR="00A67871" w:rsidRPr="009270B9" w:rsidRDefault="00A67871" w:rsidP="00A67871">
            <w:pPr>
              <w:widowControl w:val="0"/>
              <w:autoSpaceDE w:val="0"/>
              <w:autoSpaceDN w:val="0"/>
              <w:adjustRightInd w:val="0"/>
              <w:jc w:val="center"/>
              <w:rPr>
                <w:rFonts w:eastAsia="Times New Roman"/>
                <w:lang w:bidi="ar-SA"/>
              </w:rPr>
            </w:pPr>
            <w:r>
              <w:rPr>
                <w:rFonts w:eastAsia="Times New Roman"/>
                <w:lang w:bidi="ar-SA"/>
              </w:rPr>
              <w:t>NA</w:t>
            </w:r>
          </w:p>
        </w:tc>
        <w:tc>
          <w:tcPr>
            <w:tcW w:w="1573" w:type="pct"/>
          </w:tcPr>
          <w:p w14:paraId="33B892F9" w14:textId="26A24402" w:rsidR="00A67871" w:rsidRDefault="00C77A08" w:rsidP="00C77A08">
            <w:pPr>
              <w:widowControl w:val="0"/>
              <w:autoSpaceDE w:val="0"/>
              <w:autoSpaceDN w:val="0"/>
              <w:adjustRightInd w:val="0"/>
              <w:jc w:val="center"/>
              <w:rPr>
                <w:rFonts w:eastAsia="Times New Roman"/>
                <w:lang w:bidi="ar-SA"/>
              </w:rPr>
            </w:pPr>
            <w:r>
              <w:rPr>
                <w:rFonts w:eastAsia="Times New Roman"/>
                <w:lang w:bidi="ar-SA"/>
              </w:rPr>
              <w:t>$12.36</w:t>
            </w:r>
          </w:p>
        </w:tc>
      </w:tr>
    </w:tbl>
    <w:p w14:paraId="7DE1279C" w14:textId="77777777" w:rsidR="00F2183F" w:rsidRDefault="00F2183F" w:rsidP="00463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lang w:bidi="ar-SA"/>
        </w:rPr>
      </w:pPr>
    </w:p>
    <w:p w14:paraId="67EE2226" w14:textId="2CF62ED7" w:rsidR="004630E9" w:rsidRPr="00BF601A" w:rsidRDefault="007D0EBE" w:rsidP="00463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eastAsia="Times New Roman"/>
          <w:lang w:bidi="ar-SA"/>
        </w:rPr>
        <w:t>C</w:t>
      </w:r>
      <w:r w:rsidR="00CF4027">
        <w:rPr>
          <w:rFonts w:eastAsia="Times New Roman"/>
          <w:lang w:bidi="ar-SA"/>
        </w:rPr>
        <w:t>ustomer</w:t>
      </w:r>
      <w:r>
        <w:rPr>
          <w:rFonts w:eastAsia="Times New Roman"/>
          <w:lang w:bidi="ar-SA"/>
        </w:rPr>
        <w:t>s</w:t>
      </w:r>
      <w:r w:rsidR="004630E9" w:rsidRPr="0080117F">
        <w:rPr>
          <w:rFonts w:eastAsia="Times New Roman"/>
          <w:lang w:bidi="ar-SA"/>
        </w:rPr>
        <w:t xml:space="preserve"> </w:t>
      </w:r>
      <w:r w:rsidR="004630E9" w:rsidRPr="009553EB">
        <w:rPr>
          <w:rFonts w:eastAsia="Times New Roman"/>
          <w:lang w:bidi="ar-SA"/>
        </w:rPr>
        <w:t xml:space="preserve">would </w:t>
      </w:r>
      <w:r w:rsidR="004630E9" w:rsidRPr="007E4463">
        <w:rPr>
          <w:rFonts w:eastAsia="Times New Roman"/>
          <w:lang w:bidi="ar-SA"/>
        </w:rPr>
        <w:t>pay $</w:t>
      </w:r>
      <w:r w:rsidR="00C77A08">
        <w:rPr>
          <w:rFonts w:eastAsia="Times New Roman"/>
          <w:lang w:bidi="ar-SA"/>
        </w:rPr>
        <w:t>1</w:t>
      </w:r>
      <w:r w:rsidR="004630E9">
        <w:rPr>
          <w:rFonts w:eastAsia="Times New Roman"/>
          <w:lang w:bidi="ar-SA"/>
        </w:rPr>
        <w:t>2.</w:t>
      </w:r>
      <w:r w:rsidR="00C77A08">
        <w:rPr>
          <w:rFonts w:eastAsia="Times New Roman"/>
          <w:lang w:bidi="ar-SA"/>
        </w:rPr>
        <w:t>36</w:t>
      </w:r>
      <w:r w:rsidR="004630E9" w:rsidRPr="007E4463">
        <w:rPr>
          <w:rFonts w:eastAsia="Times New Roman"/>
          <w:lang w:bidi="ar-SA"/>
        </w:rPr>
        <w:t xml:space="preserve"> </w:t>
      </w:r>
      <w:r w:rsidR="00C77A08">
        <w:rPr>
          <w:rFonts w:eastAsia="Times New Roman"/>
          <w:lang w:bidi="ar-SA"/>
        </w:rPr>
        <w:t>(</w:t>
      </w:r>
      <w:r w:rsidR="001D4972">
        <w:rPr>
          <w:rFonts w:eastAsia="Times New Roman"/>
          <w:lang w:bidi="ar-SA"/>
        </w:rPr>
        <w:t>25.4</w:t>
      </w:r>
      <w:r w:rsidR="004630E9" w:rsidRPr="007E4463">
        <w:rPr>
          <w:rFonts w:eastAsia="Times New Roman"/>
          <w:lang w:bidi="ar-SA"/>
        </w:rPr>
        <w:t xml:space="preserve"> percent)</w:t>
      </w:r>
      <w:r w:rsidR="004630E9" w:rsidRPr="0080117F">
        <w:rPr>
          <w:rFonts w:eastAsia="Times New Roman"/>
          <w:lang w:bidi="ar-SA"/>
        </w:rPr>
        <w:t xml:space="preserve"> more </w:t>
      </w:r>
      <w:r w:rsidR="004630E9">
        <w:rPr>
          <w:rFonts w:eastAsia="Times New Roman"/>
          <w:lang w:bidi="ar-SA"/>
        </w:rPr>
        <w:t>than</w:t>
      </w:r>
      <w:r w:rsidR="004630E9" w:rsidRPr="0080117F">
        <w:rPr>
          <w:rFonts w:eastAsia="Times New Roman"/>
          <w:lang w:bidi="ar-SA"/>
        </w:rPr>
        <w:t xml:space="preserve"> the </w:t>
      </w:r>
      <w:r w:rsidR="004630E9">
        <w:rPr>
          <w:rFonts w:eastAsia="Times New Roman"/>
          <w:lang w:bidi="ar-SA"/>
        </w:rPr>
        <w:t>current</w:t>
      </w:r>
      <w:r w:rsidR="004630E9" w:rsidRPr="0080117F">
        <w:rPr>
          <w:rFonts w:eastAsia="Times New Roman"/>
          <w:lang w:bidi="ar-SA"/>
        </w:rPr>
        <w:t xml:space="preserve"> rates (see “Average Bill Comparison” table below).</w:t>
      </w:r>
      <w:r w:rsidR="004630E9" w:rsidRPr="00BE1B5B">
        <w:t xml:space="preserve"> </w:t>
      </w:r>
      <w:r w:rsidR="00C77A08">
        <w:t>Currently the company has another surcharge titled State Revolving Fund (SRF) Loan of $15.35 per month.</w:t>
      </w:r>
    </w:p>
    <w:p w14:paraId="58EA1D25" w14:textId="77777777" w:rsidR="00F13F26" w:rsidRDefault="00F13F26">
      <w:pPr>
        <w:spacing w:after="200" w:line="276" w:lineRule="auto"/>
        <w:rPr>
          <w:rFonts w:eastAsia="Times New Roman"/>
          <w:b/>
          <w:u w:val="single"/>
          <w:lang w:bidi="ar-SA"/>
        </w:rPr>
      </w:pPr>
      <w:r>
        <w:rPr>
          <w:rFonts w:eastAsia="Times New Roman"/>
          <w:b/>
          <w:u w:val="single"/>
          <w:lang w:bidi="ar-SA"/>
        </w:rPr>
        <w:br w:type="page"/>
      </w:r>
    </w:p>
    <w:p w14:paraId="6707EE06" w14:textId="77777777" w:rsidR="00640061" w:rsidRPr="009270B9" w:rsidRDefault="00640061" w:rsidP="000F032E">
      <w:pPr>
        <w:jc w:val="center"/>
        <w:rPr>
          <w:rFonts w:eastAsia="Times New Roman"/>
          <w:b/>
          <w:u w:val="single"/>
          <w:lang w:bidi="ar-SA"/>
        </w:rPr>
      </w:pPr>
      <w:r w:rsidRPr="009270B9">
        <w:rPr>
          <w:rFonts w:eastAsia="Times New Roman"/>
          <w:b/>
          <w:u w:val="single"/>
          <w:lang w:bidi="ar-SA"/>
        </w:rPr>
        <w:lastRenderedPageBreak/>
        <w:t>Average Bill Comparison</w:t>
      </w:r>
    </w:p>
    <w:p w14:paraId="6707EE07" w14:textId="77777777" w:rsidR="00640061" w:rsidRPr="009270B9" w:rsidRDefault="00640061" w:rsidP="000F03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lang w:bidi="ar-SA"/>
        </w:rPr>
      </w:pPr>
    </w:p>
    <w:tbl>
      <w:tblPr>
        <w:tblW w:w="3759"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7"/>
        <w:gridCol w:w="1843"/>
        <w:gridCol w:w="2249"/>
      </w:tblGrid>
      <w:tr w:rsidR="00A67871" w:rsidRPr="009270B9" w14:paraId="6707EE0E" w14:textId="77777777" w:rsidTr="005A3E18">
        <w:trPr>
          <w:jc w:val="center"/>
        </w:trPr>
        <w:tc>
          <w:tcPr>
            <w:tcW w:w="2158" w:type="pct"/>
          </w:tcPr>
          <w:p w14:paraId="485F4562" w14:textId="09F5A11D" w:rsidR="00A67871" w:rsidRDefault="00791DF6" w:rsidP="00791DF6">
            <w:pPr>
              <w:keepNext/>
              <w:widowControl w:val="0"/>
              <w:autoSpaceDE w:val="0"/>
              <w:autoSpaceDN w:val="0"/>
              <w:adjustRightInd w:val="0"/>
              <w:jc w:val="center"/>
              <w:outlineLvl w:val="0"/>
              <w:rPr>
                <w:rFonts w:eastAsia="Times New Roman"/>
                <w:b/>
                <w:lang w:bidi="ar-SA"/>
              </w:rPr>
            </w:pPr>
            <w:r>
              <w:rPr>
                <w:rFonts w:eastAsia="Times New Roman"/>
                <w:b/>
                <w:lang w:bidi="ar-SA"/>
              </w:rPr>
              <w:t>Average Monthly</w:t>
            </w:r>
            <w:r w:rsidR="00E73DBD">
              <w:rPr>
                <w:rFonts w:eastAsia="Times New Roman"/>
                <w:b/>
                <w:lang w:bidi="ar-SA"/>
              </w:rPr>
              <w:t xml:space="preserve"> Usage</w:t>
            </w:r>
          </w:p>
          <w:p w14:paraId="6707EE09" w14:textId="2F328737" w:rsidR="00E73DBD" w:rsidRPr="009270B9" w:rsidRDefault="00E73DBD" w:rsidP="00791DF6">
            <w:pPr>
              <w:keepNext/>
              <w:widowControl w:val="0"/>
              <w:autoSpaceDE w:val="0"/>
              <w:autoSpaceDN w:val="0"/>
              <w:adjustRightInd w:val="0"/>
              <w:jc w:val="center"/>
              <w:outlineLvl w:val="0"/>
              <w:rPr>
                <w:rFonts w:eastAsia="Times New Roman"/>
                <w:b/>
                <w:lang w:bidi="ar-SA"/>
              </w:rPr>
            </w:pPr>
            <w:r>
              <w:rPr>
                <w:rFonts w:eastAsia="Times New Roman"/>
                <w:b/>
                <w:lang w:bidi="ar-SA"/>
              </w:rPr>
              <w:t>838 Cubic Feet</w:t>
            </w:r>
          </w:p>
        </w:tc>
        <w:tc>
          <w:tcPr>
            <w:tcW w:w="1280" w:type="pct"/>
            <w:shd w:val="clear" w:color="auto" w:fill="F2F2F2" w:themeFill="background1" w:themeFillShade="F2"/>
            <w:vAlign w:val="center"/>
          </w:tcPr>
          <w:p w14:paraId="254C69DB" w14:textId="77777777" w:rsidR="00E73DBD" w:rsidRDefault="00E73DBD" w:rsidP="00791DF6">
            <w:pPr>
              <w:widowControl w:val="0"/>
              <w:autoSpaceDE w:val="0"/>
              <w:autoSpaceDN w:val="0"/>
              <w:adjustRightInd w:val="0"/>
              <w:rPr>
                <w:rFonts w:eastAsia="Times New Roman"/>
                <w:b/>
                <w:lang w:bidi="ar-SA"/>
              </w:rPr>
            </w:pPr>
          </w:p>
          <w:p w14:paraId="6707EE0B" w14:textId="77777777" w:rsidR="00A67871" w:rsidRPr="009270B9" w:rsidRDefault="00A67871" w:rsidP="00D52F9F">
            <w:pPr>
              <w:widowControl w:val="0"/>
              <w:autoSpaceDE w:val="0"/>
              <w:autoSpaceDN w:val="0"/>
              <w:adjustRightInd w:val="0"/>
              <w:jc w:val="center"/>
              <w:rPr>
                <w:rFonts w:eastAsia="Times New Roman"/>
                <w:b/>
                <w:lang w:bidi="ar-SA"/>
              </w:rPr>
            </w:pPr>
            <w:r w:rsidRPr="009270B9">
              <w:rPr>
                <w:rFonts w:eastAsia="Times New Roman"/>
                <w:b/>
                <w:lang w:bidi="ar-SA"/>
              </w:rPr>
              <w:t>Current Rate</w:t>
            </w:r>
          </w:p>
        </w:tc>
        <w:tc>
          <w:tcPr>
            <w:tcW w:w="1562" w:type="pct"/>
            <w:shd w:val="clear" w:color="auto" w:fill="F2F2F2" w:themeFill="background1" w:themeFillShade="F2"/>
          </w:tcPr>
          <w:p w14:paraId="407A0CDE" w14:textId="77777777" w:rsidR="00E73DBD" w:rsidRDefault="00E73DBD" w:rsidP="000F032E">
            <w:pPr>
              <w:widowControl w:val="0"/>
              <w:autoSpaceDE w:val="0"/>
              <w:autoSpaceDN w:val="0"/>
              <w:adjustRightInd w:val="0"/>
              <w:jc w:val="center"/>
              <w:rPr>
                <w:rFonts w:eastAsia="Times New Roman"/>
                <w:b/>
                <w:lang w:bidi="ar-SA"/>
              </w:rPr>
            </w:pPr>
          </w:p>
          <w:p w14:paraId="5BBE339B" w14:textId="5FD546A2" w:rsidR="00A67871" w:rsidRPr="009270B9" w:rsidRDefault="00A67871" w:rsidP="000F032E">
            <w:pPr>
              <w:widowControl w:val="0"/>
              <w:autoSpaceDE w:val="0"/>
              <w:autoSpaceDN w:val="0"/>
              <w:adjustRightInd w:val="0"/>
              <w:jc w:val="center"/>
              <w:rPr>
                <w:rFonts w:eastAsia="Times New Roman"/>
                <w:b/>
                <w:lang w:bidi="ar-SA"/>
              </w:rPr>
            </w:pPr>
            <w:r w:rsidRPr="009270B9">
              <w:rPr>
                <w:rFonts w:eastAsia="Times New Roman"/>
                <w:b/>
                <w:lang w:bidi="ar-SA"/>
              </w:rPr>
              <w:t>Proposed Rate</w:t>
            </w:r>
          </w:p>
        </w:tc>
      </w:tr>
      <w:tr w:rsidR="00E73DBD" w:rsidRPr="009270B9" w14:paraId="358BAF1A" w14:textId="77777777" w:rsidTr="005A3E18">
        <w:trPr>
          <w:jc w:val="center"/>
        </w:trPr>
        <w:tc>
          <w:tcPr>
            <w:tcW w:w="2158" w:type="pct"/>
          </w:tcPr>
          <w:p w14:paraId="5FB4B5B3" w14:textId="48076937" w:rsidR="00E73DBD" w:rsidRDefault="00E73DBD" w:rsidP="00791DF6">
            <w:pPr>
              <w:keepNext/>
              <w:widowControl w:val="0"/>
              <w:autoSpaceDE w:val="0"/>
              <w:autoSpaceDN w:val="0"/>
              <w:adjustRightInd w:val="0"/>
              <w:outlineLvl w:val="0"/>
              <w:rPr>
                <w:rFonts w:eastAsia="Times New Roman"/>
                <w:lang w:bidi="ar-SA"/>
              </w:rPr>
            </w:pPr>
            <w:r>
              <w:rPr>
                <w:rFonts w:eastAsia="Times New Roman"/>
                <w:lang w:bidi="ar-SA"/>
              </w:rPr>
              <w:t>Base Rate</w:t>
            </w:r>
          </w:p>
        </w:tc>
        <w:tc>
          <w:tcPr>
            <w:tcW w:w="1280" w:type="pct"/>
          </w:tcPr>
          <w:p w14:paraId="32AB8B64" w14:textId="53B7B88B" w:rsidR="00E73DBD" w:rsidRDefault="00E73DBD" w:rsidP="00007D8E">
            <w:pPr>
              <w:widowControl w:val="0"/>
              <w:autoSpaceDE w:val="0"/>
              <w:autoSpaceDN w:val="0"/>
              <w:adjustRightInd w:val="0"/>
              <w:jc w:val="center"/>
              <w:rPr>
                <w:rFonts w:eastAsia="Times New Roman"/>
                <w:lang w:bidi="ar-SA"/>
              </w:rPr>
            </w:pPr>
            <w:r>
              <w:rPr>
                <w:rFonts w:eastAsia="Times New Roman"/>
                <w:lang w:bidi="ar-SA"/>
              </w:rPr>
              <w:t>$22.00</w:t>
            </w:r>
          </w:p>
        </w:tc>
        <w:tc>
          <w:tcPr>
            <w:tcW w:w="1562" w:type="pct"/>
          </w:tcPr>
          <w:p w14:paraId="7A0F3C5D" w14:textId="1D6695BA" w:rsidR="00E73DBD" w:rsidRPr="009553EB" w:rsidRDefault="00E73DBD" w:rsidP="00007D8E">
            <w:pPr>
              <w:widowControl w:val="0"/>
              <w:autoSpaceDE w:val="0"/>
              <w:autoSpaceDN w:val="0"/>
              <w:adjustRightInd w:val="0"/>
              <w:jc w:val="center"/>
              <w:rPr>
                <w:rFonts w:eastAsia="Times New Roman"/>
                <w:lang w:bidi="ar-SA"/>
              </w:rPr>
            </w:pPr>
            <w:r>
              <w:rPr>
                <w:rFonts w:eastAsia="Times New Roman"/>
                <w:lang w:bidi="ar-SA"/>
              </w:rPr>
              <w:t>$22.00</w:t>
            </w:r>
          </w:p>
        </w:tc>
      </w:tr>
      <w:tr w:rsidR="00E73DBD" w:rsidRPr="009270B9" w14:paraId="59393E75" w14:textId="77777777" w:rsidTr="005A3E18">
        <w:trPr>
          <w:jc w:val="center"/>
        </w:trPr>
        <w:tc>
          <w:tcPr>
            <w:tcW w:w="2158" w:type="pct"/>
          </w:tcPr>
          <w:p w14:paraId="083B2104" w14:textId="518E1B3C" w:rsidR="00E73DBD" w:rsidRDefault="00E73DBD" w:rsidP="00791DF6">
            <w:pPr>
              <w:keepNext/>
              <w:widowControl w:val="0"/>
              <w:autoSpaceDE w:val="0"/>
              <w:autoSpaceDN w:val="0"/>
              <w:adjustRightInd w:val="0"/>
              <w:outlineLvl w:val="0"/>
              <w:rPr>
                <w:rFonts w:eastAsia="Times New Roman"/>
                <w:lang w:bidi="ar-SA"/>
              </w:rPr>
            </w:pPr>
            <w:r>
              <w:rPr>
                <w:rFonts w:eastAsia="Times New Roman"/>
                <w:lang w:bidi="ar-SA"/>
              </w:rPr>
              <w:t>0 – 838 Cubic Feet</w:t>
            </w:r>
          </w:p>
        </w:tc>
        <w:tc>
          <w:tcPr>
            <w:tcW w:w="1280" w:type="pct"/>
          </w:tcPr>
          <w:p w14:paraId="5F6E4761" w14:textId="4A2F8DFA" w:rsidR="00E73DBD" w:rsidRDefault="00E73DBD" w:rsidP="00007D8E">
            <w:pPr>
              <w:widowControl w:val="0"/>
              <w:autoSpaceDE w:val="0"/>
              <w:autoSpaceDN w:val="0"/>
              <w:adjustRightInd w:val="0"/>
              <w:jc w:val="center"/>
              <w:rPr>
                <w:rFonts w:eastAsia="Times New Roman"/>
                <w:lang w:bidi="ar-SA"/>
              </w:rPr>
            </w:pPr>
            <w:r>
              <w:rPr>
                <w:rFonts w:eastAsia="Times New Roman"/>
                <w:lang w:bidi="ar-SA"/>
              </w:rPr>
              <w:t>$11.31</w:t>
            </w:r>
          </w:p>
        </w:tc>
        <w:tc>
          <w:tcPr>
            <w:tcW w:w="1562" w:type="pct"/>
          </w:tcPr>
          <w:p w14:paraId="24B54588" w14:textId="038AB540" w:rsidR="00E73DBD" w:rsidRPr="009553EB" w:rsidRDefault="00E73DBD" w:rsidP="00007D8E">
            <w:pPr>
              <w:widowControl w:val="0"/>
              <w:autoSpaceDE w:val="0"/>
              <w:autoSpaceDN w:val="0"/>
              <w:adjustRightInd w:val="0"/>
              <w:jc w:val="center"/>
              <w:rPr>
                <w:rFonts w:eastAsia="Times New Roman"/>
                <w:lang w:bidi="ar-SA"/>
              </w:rPr>
            </w:pPr>
            <w:r>
              <w:rPr>
                <w:rFonts w:eastAsia="Times New Roman"/>
                <w:lang w:bidi="ar-SA"/>
              </w:rPr>
              <w:t>$11.31</w:t>
            </w:r>
          </w:p>
        </w:tc>
      </w:tr>
      <w:tr w:rsidR="00E73DBD" w:rsidRPr="009270B9" w14:paraId="6707EE12" w14:textId="77777777" w:rsidTr="005A3E18">
        <w:trPr>
          <w:jc w:val="center"/>
        </w:trPr>
        <w:tc>
          <w:tcPr>
            <w:tcW w:w="2158" w:type="pct"/>
          </w:tcPr>
          <w:p w14:paraId="6707EE0F" w14:textId="1877F312" w:rsidR="00E73DBD" w:rsidRPr="009270B9" w:rsidRDefault="00E73DBD" w:rsidP="00791DF6">
            <w:pPr>
              <w:keepNext/>
              <w:widowControl w:val="0"/>
              <w:autoSpaceDE w:val="0"/>
              <w:autoSpaceDN w:val="0"/>
              <w:adjustRightInd w:val="0"/>
              <w:outlineLvl w:val="0"/>
              <w:rPr>
                <w:rFonts w:eastAsia="Times New Roman"/>
                <w:lang w:bidi="ar-SA"/>
              </w:rPr>
            </w:pPr>
            <w:r>
              <w:rPr>
                <w:rFonts w:eastAsia="Times New Roman"/>
                <w:lang w:bidi="ar-SA"/>
              </w:rPr>
              <w:t>SRF Surcharge *</w:t>
            </w:r>
          </w:p>
        </w:tc>
        <w:tc>
          <w:tcPr>
            <w:tcW w:w="1280" w:type="pct"/>
          </w:tcPr>
          <w:p w14:paraId="6707EE10" w14:textId="282B1EA4" w:rsidR="00E73DBD" w:rsidRPr="009270B9" w:rsidRDefault="00E73DBD" w:rsidP="00007D8E">
            <w:pPr>
              <w:widowControl w:val="0"/>
              <w:autoSpaceDE w:val="0"/>
              <w:autoSpaceDN w:val="0"/>
              <w:adjustRightInd w:val="0"/>
              <w:jc w:val="center"/>
              <w:rPr>
                <w:rFonts w:eastAsia="Times New Roman"/>
                <w:lang w:bidi="ar-SA"/>
              </w:rPr>
            </w:pPr>
            <w:r>
              <w:rPr>
                <w:rFonts w:eastAsia="Times New Roman"/>
                <w:lang w:bidi="ar-SA"/>
              </w:rPr>
              <w:t>$15.35</w:t>
            </w:r>
          </w:p>
        </w:tc>
        <w:tc>
          <w:tcPr>
            <w:tcW w:w="1562" w:type="pct"/>
          </w:tcPr>
          <w:p w14:paraId="52C3F6BE" w14:textId="46CD0294" w:rsidR="00E73DBD" w:rsidRPr="009553EB" w:rsidRDefault="00E73DBD" w:rsidP="00007D8E">
            <w:pPr>
              <w:widowControl w:val="0"/>
              <w:autoSpaceDE w:val="0"/>
              <w:autoSpaceDN w:val="0"/>
              <w:adjustRightInd w:val="0"/>
              <w:jc w:val="center"/>
              <w:rPr>
                <w:rFonts w:eastAsia="Times New Roman"/>
                <w:lang w:bidi="ar-SA"/>
              </w:rPr>
            </w:pPr>
            <w:r w:rsidRPr="009553EB">
              <w:rPr>
                <w:rFonts w:eastAsia="Times New Roman"/>
                <w:lang w:bidi="ar-SA"/>
              </w:rPr>
              <w:t>$</w:t>
            </w:r>
            <w:r>
              <w:rPr>
                <w:rFonts w:eastAsia="Times New Roman"/>
                <w:lang w:bidi="ar-SA"/>
              </w:rPr>
              <w:t>15.35</w:t>
            </w:r>
          </w:p>
        </w:tc>
      </w:tr>
      <w:tr w:rsidR="00E73DBD" w:rsidRPr="009270B9" w14:paraId="186FC7F6" w14:textId="77777777" w:rsidTr="005A3E18">
        <w:trPr>
          <w:jc w:val="center"/>
        </w:trPr>
        <w:tc>
          <w:tcPr>
            <w:tcW w:w="2158" w:type="pct"/>
          </w:tcPr>
          <w:p w14:paraId="1395170C" w14:textId="4CB4BB1A" w:rsidR="00E73DBD" w:rsidRDefault="00E73DBD" w:rsidP="00C77A08">
            <w:pPr>
              <w:widowControl w:val="0"/>
              <w:autoSpaceDE w:val="0"/>
              <w:autoSpaceDN w:val="0"/>
              <w:adjustRightInd w:val="0"/>
              <w:rPr>
                <w:rFonts w:eastAsia="Times New Roman"/>
                <w:lang w:bidi="ar-SA"/>
              </w:rPr>
            </w:pPr>
            <w:r>
              <w:rPr>
                <w:rFonts w:eastAsia="Times New Roman"/>
                <w:lang w:bidi="ar-SA"/>
              </w:rPr>
              <w:t>EME Surcharge **</w:t>
            </w:r>
          </w:p>
        </w:tc>
        <w:tc>
          <w:tcPr>
            <w:tcW w:w="1280" w:type="pct"/>
            <w:tcBorders>
              <w:bottom w:val="single" w:sz="18" w:space="0" w:color="auto"/>
            </w:tcBorders>
          </w:tcPr>
          <w:p w14:paraId="59A1D8BC" w14:textId="68B7F0C3" w:rsidR="00E73DBD" w:rsidRDefault="00E73DBD" w:rsidP="00C77A08">
            <w:pPr>
              <w:widowControl w:val="0"/>
              <w:autoSpaceDE w:val="0"/>
              <w:autoSpaceDN w:val="0"/>
              <w:adjustRightInd w:val="0"/>
              <w:jc w:val="center"/>
              <w:rPr>
                <w:rFonts w:eastAsia="Times New Roman"/>
                <w:lang w:bidi="ar-SA"/>
              </w:rPr>
            </w:pPr>
            <w:r>
              <w:rPr>
                <w:rFonts w:eastAsia="Times New Roman"/>
                <w:lang w:bidi="ar-SA"/>
              </w:rPr>
              <w:t>NA</w:t>
            </w:r>
          </w:p>
        </w:tc>
        <w:tc>
          <w:tcPr>
            <w:tcW w:w="1562" w:type="pct"/>
            <w:tcBorders>
              <w:bottom w:val="single" w:sz="18" w:space="0" w:color="auto"/>
            </w:tcBorders>
          </w:tcPr>
          <w:p w14:paraId="31049909" w14:textId="739C4F6A" w:rsidR="00E73DBD" w:rsidRPr="009553EB" w:rsidRDefault="00E73DBD" w:rsidP="00C77A08">
            <w:pPr>
              <w:widowControl w:val="0"/>
              <w:autoSpaceDE w:val="0"/>
              <w:autoSpaceDN w:val="0"/>
              <w:adjustRightInd w:val="0"/>
              <w:jc w:val="center"/>
              <w:rPr>
                <w:rFonts w:eastAsia="Times New Roman"/>
                <w:lang w:bidi="ar-SA"/>
              </w:rPr>
            </w:pPr>
            <w:r w:rsidRPr="009553EB">
              <w:rPr>
                <w:rFonts w:eastAsia="Times New Roman"/>
                <w:lang w:bidi="ar-SA"/>
              </w:rPr>
              <w:t>$</w:t>
            </w:r>
            <w:r>
              <w:rPr>
                <w:rFonts w:eastAsia="Times New Roman"/>
                <w:lang w:bidi="ar-SA"/>
              </w:rPr>
              <w:t>12.36</w:t>
            </w:r>
          </w:p>
        </w:tc>
      </w:tr>
      <w:tr w:rsidR="00E73DBD" w:rsidRPr="009270B9" w14:paraId="6707EE1E" w14:textId="77777777" w:rsidTr="005A3E18">
        <w:trPr>
          <w:jc w:val="center"/>
        </w:trPr>
        <w:tc>
          <w:tcPr>
            <w:tcW w:w="2158" w:type="pct"/>
            <w:tcBorders>
              <w:right w:val="single" w:sz="2" w:space="0" w:color="auto"/>
            </w:tcBorders>
          </w:tcPr>
          <w:p w14:paraId="6707EE1B" w14:textId="542C7167" w:rsidR="00E73DBD" w:rsidRPr="009270B9" w:rsidRDefault="00E73DBD" w:rsidP="00E73DBD">
            <w:pPr>
              <w:widowControl w:val="0"/>
              <w:autoSpaceDE w:val="0"/>
              <w:autoSpaceDN w:val="0"/>
              <w:adjustRightInd w:val="0"/>
              <w:rPr>
                <w:rFonts w:eastAsia="Times New Roman"/>
                <w:lang w:bidi="ar-SA"/>
              </w:rPr>
            </w:pPr>
            <w:r>
              <w:rPr>
                <w:rFonts w:eastAsia="Times New Roman"/>
                <w:lang w:bidi="ar-SA"/>
              </w:rPr>
              <w:t xml:space="preserve">Average </w:t>
            </w:r>
            <w:r w:rsidRPr="009270B9">
              <w:rPr>
                <w:rFonts w:eastAsia="Times New Roman"/>
                <w:lang w:bidi="ar-SA"/>
              </w:rPr>
              <w:t>Monthly Bill</w:t>
            </w:r>
          </w:p>
        </w:tc>
        <w:tc>
          <w:tcPr>
            <w:tcW w:w="1280" w:type="pct"/>
            <w:tcBorders>
              <w:top w:val="single" w:sz="18" w:space="0" w:color="auto"/>
              <w:left w:val="single" w:sz="2" w:space="0" w:color="auto"/>
              <w:bottom w:val="single" w:sz="2" w:space="0" w:color="auto"/>
              <w:right w:val="single" w:sz="2" w:space="0" w:color="auto"/>
            </w:tcBorders>
          </w:tcPr>
          <w:p w14:paraId="6707EE1C" w14:textId="4AA1B53D" w:rsidR="00E73DBD" w:rsidRDefault="00E73DBD" w:rsidP="006075AF">
            <w:pPr>
              <w:widowControl w:val="0"/>
              <w:autoSpaceDE w:val="0"/>
              <w:autoSpaceDN w:val="0"/>
              <w:adjustRightInd w:val="0"/>
              <w:jc w:val="center"/>
              <w:rPr>
                <w:rFonts w:eastAsia="Times New Roman"/>
                <w:lang w:bidi="ar-SA"/>
              </w:rPr>
            </w:pPr>
            <w:r>
              <w:rPr>
                <w:rFonts w:eastAsia="Times New Roman"/>
                <w:lang w:bidi="ar-SA"/>
              </w:rPr>
              <w:t>$48.66</w:t>
            </w:r>
          </w:p>
        </w:tc>
        <w:tc>
          <w:tcPr>
            <w:tcW w:w="1562" w:type="pct"/>
            <w:tcBorders>
              <w:top w:val="single" w:sz="18" w:space="0" w:color="auto"/>
              <w:left w:val="single" w:sz="2" w:space="0" w:color="auto"/>
            </w:tcBorders>
          </w:tcPr>
          <w:p w14:paraId="1ABE5710" w14:textId="330E6AA2" w:rsidR="00E73DBD" w:rsidRDefault="00E73DBD" w:rsidP="00C77A08">
            <w:pPr>
              <w:widowControl w:val="0"/>
              <w:autoSpaceDE w:val="0"/>
              <w:autoSpaceDN w:val="0"/>
              <w:adjustRightInd w:val="0"/>
              <w:jc w:val="center"/>
              <w:rPr>
                <w:rFonts w:eastAsia="Times New Roman"/>
                <w:lang w:bidi="ar-SA"/>
              </w:rPr>
            </w:pPr>
            <w:r>
              <w:rPr>
                <w:rFonts w:eastAsia="Times New Roman"/>
                <w:lang w:bidi="ar-SA"/>
              </w:rPr>
              <w:t>$61.02</w:t>
            </w:r>
          </w:p>
        </w:tc>
      </w:tr>
      <w:tr w:rsidR="00E73DBD" w:rsidRPr="009270B9" w14:paraId="62FE79C1" w14:textId="77777777" w:rsidTr="005A3E18">
        <w:trPr>
          <w:jc w:val="center"/>
        </w:trPr>
        <w:tc>
          <w:tcPr>
            <w:tcW w:w="2158" w:type="pct"/>
          </w:tcPr>
          <w:p w14:paraId="70794B76" w14:textId="433F2BC4" w:rsidR="00E73DBD" w:rsidRPr="007C07AE" w:rsidRDefault="00E73DBD" w:rsidP="000F032E">
            <w:pPr>
              <w:widowControl w:val="0"/>
              <w:autoSpaceDE w:val="0"/>
              <w:autoSpaceDN w:val="0"/>
              <w:adjustRightInd w:val="0"/>
            </w:pPr>
          </w:p>
        </w:tc>
        <w:tc>
          <w:tcPr>
            <w:tcW w:w="1280" w:type="pct"/>
            <w:tcBorders>
              <w:top w:val="single" w:sz="2" w:space="0" w:color="auto"/>
            </w:tcBorders>
          </w:tcPr>
          <w:p w14:paraId="7850F316" w14:textId="77777777" w:rsidR="00E73DBD" w:rsidRDefault="00E73DBD" w:rsidP="000F032E">
            <w:pPr>
              <w:widowControl w:val="0"/>
              <w:autoSpaceDE w:val="0"/>
              <w:autoSpaceDN w:val="0"/>
              <w:adjustRightInd w:val="0"/>
              <w:jc w:val="center"/>
              <w:rPr>
                <w:rFonts w:eastAsia="Times New Roman"/>
                <w:lang w:bidi="ar-SA"/>
              </w:rPr>
            </w:pPr>
          </w:p>
        </w:tc>
        <w:tc>
          <w:tcPr>
            <w:tcW w:w="1562" w:type="pct"/>
          </w:tcPr>
          <w:p w14:paraId="1EEB4A8B" w14:textId="77777777" w:rsidR="00E73DBD" w:rsidRPr="009553EB" w:rsidRDefault="00E73DBD" w:rsidP="006075AF">
            <w:pPr>
              <w:widowControl w:val="0"/>
              <w:autoSpaceDE w:val="0"/>
              <w:autoSpaceDN w:val="0"/>
              <w:adjustRightInd w:val="0"/>
              <w:jc w:val="center"/>
              <w:rPr>
                <w:rFonts w:eastAsia="Times New Roman"/>
                <w:lang w:bidi="ar-SA"/>
              </w:rPr>
            </w:pPr>
          </w:p>
        </w:tc>
      </w:tr>
      <w:tr w:rsidR="00E73DBD" w:rsidRPr="009270B9" w14:paraId="6707EE22" w14:textId="77777777" w:rsidTr="005A3E18">
        <w:trPr>
          <w:jc w:val="center"/>
        </w:trPr>
        <w:tc>
          <w:tcPr>
            <w:tcW w:w="2158" w:type="pct"/>
          </w:tcPr>
          <w:p w14:paraId="6707EE1F" w14:textId="77777777" w:rsidR="00E73DBD" w:rsidRPr="009270B9" w:rsidRDefault="00E73DBD" w:rsidP="000F032E">
            <w:pPr>
              <w:widowControl w:val="0"/>
              <w:autoSpaceDE w:val="0"/>
              <w:autoSpaceDN w:val="0"/>
              <w:adjustRightInd w:val="0"/>
              <w:rPr>
                <w:rFonts w:eastAsia="Times New Roman"/>
                <w:lang w:bidi="ar-SA"/>
              </w:rPr>
            </w:pPr>
            <w:r w:rsidRPr="007C07AE">
              <w:t>Increase From Current Rates</w:t>
            </w:r>
          </w:p>
        </w:tc>
        <w:tc>
          <w:tcPr>
            <w:tcW w:w="1280" w:type="pct"/>
          </w:tcPr>
          <w:p w14:paraId="6707EE20" w14:textId="706F5FF5" w:rsidR="00E73DBD" w:rsidRDefault="00E73DBD" w:rsidP="000F032E">
            <w:pPr>
              <w:widowControl w:val="0"/>
              <w:autoSpaceDE w:val="0"/>
              <w:autoSpaceDN w:val="0"/>
              <w:adjustRightInd w:val="0"/>
              <w:jc w:val="center"/>
              <w:rPr>
                <w:rFonts w:eastAsia="Times New Roman"/>
                <w:lang w:bidi="ar-SA"/>
              </w:rPr>
            </w:pPr>
          </w:p>
        </w:tc>
        <w:tc>
          <w:tcPr>
            <w:tcW w:w="1562" w:type="pct"/>
          </w:tcPr>
          <w:p w14:paraId="2704F660" w14:textId="1BF0E963" w:rsidR="00E73DBD" w:rsidRDefault="00E73DBD" w:rsidP="00F2183F">
            <w:pPr>
              <w:widowControl w:val="0"/>
              <w:autoSpaceDE w:val="0"/>
              <w:autoSpaceDN w:val="0"/>
              <w:adjustRightInd w:val="0"/>
              <w:jc w:val="center"/>
              <w:rPr>
                <w:rFonts w:eastAsia="Times New Roman"/>
                <w:lang w:bidi="ar-SA"/>
              </w:rPr>
            </w:pPr>
            <w:r>
              <w:rPr>
                <w:rFonts w:eastAsia="Times New Roman"/>
                <w:lang w:bidi="ar-SA"/>
              </w:rPr>
              <w:t>$12.36</w:t>
            </w:r>
          </w:p>
        </w:tc>
      </w:tr>
      <w:tr w:rsidR="00E73DBD" w:rsidRPr="009270B9" w14:paraId="2B6F1566" w14:textId="77777777" w:rsidTr="005A3E18">
        <w:trPr>
          <w:jc w:val="center"/>
        </w:trPr>
        <w:tc>
          <w:tcPr>
            <w:tcW w:w="2158" w:type="pct"/>
          </w:tcPr>
          <w:p w14:paraId="0123CA23" w14:textId="77777777" w:rsidR="00E73DBD" w:rsidRPr="007C07AE" w:rsidRDefault="00E73DBD" w:rsidP="000F032E">
            <w:pPr>
              <w:widowControl w:val="0"/>
              <w:autoSpaceDE w:val="0"/>
              <w:autoSpaceDN w:val="0"/>
              <w:adjustRightInd w:val="0"/>
            </w:pPr>
          </w:p>
        </w:tc>
        <w:tc>
          <w:tcPr>
            <w:tcW w:w="1280" w:type="pct"/>
          </w:tcPr>
          <w:p w14:paraId="550E42A8" w14:textId="77777777" w:rsidR="00E73DBD" w:rsidRDefault="00E73DBD" w:rsidP="000F032E">
            <w:pPr>
              <w:widowControl w:val="0"/>
              <w:autoSpaceDE w:val="0"/>
              <w:autoSpaceDN w:val="0"/>
              <w:adjustRightInd w:val="0"/>
              <w:jc w:val="center"/>
              <w:rPr>
                <w:rFonts w:eastAsia="Times New Roman"/>
                <w:lang w:bidi="ar-SA"/>
              </w:rPr>
            </w:pPr>
          </w:p>
        </w:tc>
        <w:tc>
          <w:tcPr>
            <w:tcW w:w="1562" w:type="pct"/>
          </w:tcPr>
          <w:p w14:paraId="5289F1E8" w14:textId="02A64681" w:rsidR="00E73DBD" w:rsidRDefault="001D4972" w:rsidP="007E4463">
            <w:pPr>
              <w:widowControl w:val="0"/>
              <w:autoSpaceDE w:val="0"/>
              <w:autoSpaceDN w:val="0"/>
              <w:adjustRightInd w:val="0"/>
              <w:jc w:val="center"/>
              <w:rPr>
                <w:rFonts w:eastAsia="Times New Roman"/>
                <w:lang w:bidi="ar-SA"/>
              </w:rPr>
            </w:pPr>
            <w:r>
              <w:rPr>
                <w:rFonts w:eastAsia="Times New Roman"/>
                <w:lang w:bidi="ar-SA"/>
              </w:rPr>
              <w:t>25.4</w:t>
            </w:r>
            <w:r w:rsidR="00E73DBD" w:rsidRPr="009553EB">
              <w:rPr>
                <w:rFonts w:eastAsia="Times New Roman"/>
                <w:lang w:bidi="ar-SA"/>
              </w:rPr>
              <w:t>%</w:t>
            </w:r>
          </w:p>
        </w:tc>
      </w:tr>
    </w:tbl>
    <w:p w14:paraId="52DB0F31" w14:textId="1D8F362F" w:rsidR="006075AF" w:rsidRDefault="00D57C3F" w:rsidP="005A3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  </w:t>
      </w:r>
      <w:r w:rsidR="00174509">
        <w:t xml:space="preserve"> *</w:t>
      </w:r>
      <w:r>
        <w:t xml:space="preserve"> T</w:t>
      </w:r>
      <w:r w:rsidR="00174509">
        <w:t>o expire April 1, 2024</w:t>
      </w:r>
      <w:r w:rsidR="00A118AB">
        <w:t>,</w:t>
      </w:r>
      <w:r w:rsidR="00174509">
        <w:t xml:space="preserve"> or upon recovery of $722,029.</w:t>
      </w:r>
    </w:p>
    <w:p w14:paraId="648BC6E8" w14:textId="2118EAB1" w:rsidR="00174509" w:rsidRDefault="00174509" w:rsidP="005A3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 ** </w:t>
      </w:r>
      <w:r w:rsidR="00D57C3F">
        <w:t>To</w:t>
      </w:r>
      <w:r>
        <w:t xml:space="preserve"> expire March 29, 2016</w:t>
      </w:r>
      <w:r w:rsidR="00AE42F2">
        <w:t>,</w:t>
      </w:r>
      <w:r>
        <w:t xml:space="preserve"> or upon recovery of $110,536.</w:t>
      </w:r>
    </w:p>
    <w:p w14:paraId="15928CE0" w14:textId="77777777" w:rsidR="00174509" w:rsidRDefault="00174509" w:rsidP="00174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707EE26" w14:textId="77777777" w:rsidR="00046A19" w:rsidRDefault="00046A19" w:rsidP="000F032E">
      <w:pPr>
        <w:rPr>
          <w:b/>
          <w:u w:val="single"/>
        </w:rPr>
      </w:pPr>
      <w:r w:rsidRPr="00935AF2">
        <w:rPr>
          <w:b/>
          <w:u w:val="single"/>
        </w:rPr>
        <w:t xml:space="preserve">Conclusion </w:t>
      </w:r>
    </w:p>
    <w:p w14:paraId="6707EE27" w14:textId="77777777" w:rsidR="00046A19" w:rsidRDefault="00046A19" w:rsidP="000F032E">
      <w:pPr>
        <w:widowControl w:val="0"/>
        <w:autoSpaceDE w:val="0"/>
        <w:autoSpaceDN w:val="0"/>
        <w:adjustRightInd w:val="0"/>
        <w:rPr>
          <w:rFonts w:eastAsia="Times New Roman"/>
          <w:color w:val="000000"/>
          <w:lang w:bidi="ar-SA"/>
        </w:rPr>
      </w:pPr>
    </w:p>
    <w:p w14:paraId="6342478F" w14:textId="22525604" w:rsidR="00757A74" w:rsidRPr="00AA4488" w:rsidRDefault="00757A74" w:rsidP="00757A74">
      <w:r w:rsidRPr="00AA4488">
        <w:t xml:space="preserve">Commission staff has </w:t>
      </w:r>
      <w:r w:rsidR="00A67871">
        <w:t xml:space="preserve">not </w:t>
      </w:r>
      <w:r w:rsidRPr="00AA4488">
        <w:t xml:space="preserve">completed its review of the company’s supporting financial documents, books and records. Staff’s review </w:t>
      </w:r>
      <w:r w:rsidR="004658DE">
        <w:t xml:space="preserve">of the filing </w:t>
      </w:r>
      <w:r w:rsidRPr="00AA4488">
        <w:t xml:space="preserve">shows that the </w:t>
      </w:r>
      <w:r w:rsidR="00A67871">
        <w:t xml:space="preserve">request for </w:t>
      </w:r>
      <w:r w:rsidR="004F31C0">
        <w:t xml:space="preserve">LSN treatment of the filing for </w:t>
      </w:r>
      <w:r w:rsidR="00A67871">
        <w:t>March 15, 2013</w:t>
      </w:r>
      <w:r w:rsidR="00AE42F2">
        <w:t>,</w:t>
      </w:r>
      <w:r w:rsidR="00A67871">
        <w:t xml:space="preserve"> is not </w:t>
      </w:r>
      <w:r w:rsidR="00CF4027">
        <w:t>necessary</w:t>
      </w:r>
      <w:r w:rsidR="00A67871">
        <w:t xml:space="preserve"> </w:t>
      </w:r>
      <w:r w:rsidR="00A118AB">
        <w:t xml:space="preserve">because the company extended the effective to March 29, 2013, which complies with the </w:t>
      </w:r>
      <w:r w:rsidR="004F31C0">
        <w:t xml:space="preserve">30 day notice requirement and the </w:t>
      </w:r>
      <w:r w:rsidR="00A118AB">
        <w:t xml:space="preserve">proposed </w:t>
      </w:r>
      <w:r w:rsidR="00CF4027">
        <w:t xml:space="preserve">projects have not </w:t>
      </w:r>
      <w:r w:rsidR="00A118AB">
        <w:t xml:space="preserve">been </w:t>
      </w:r>
      <w:r w:rsidR="00CF4027">
        <w:t>started. Staff has issued data requests to the company and is reviewing th</w:t>
      </w:r>
      <w:r w:rsidR="00A118AB">
        <w:t xml:space="preserve">e company’s </w:t>
      </w:r>
      <w:r w:rsidR="00F2183F">
        <w:t>responses</w:t>
      </w:r>
      <w:r w:rsidR="00CF4027">
        <w:t xml:space="preserve"> and the proposed projects.</w:t>
      </w:r>
    </w:p>
    <w:p w14:paraId="00C016FD" w14:textId="77777777" w:rsidR="00757A74" w:rsidRDefault="00757A74" w:rsidP="00757A74">
      <w:pPr>
        <w:tabs>
          <w:tab w:val="left" w:pos="0"/>
          <w:tab w:val="left" w:pos="3185"/>
        </w:tabs>
      </w:pPr>
      <w:r>
        <w:tab/>
      </w:r>
    </w:p>
    <w:p w14:paraId="0D0D1585" w14:textId="09706AF0" w:rsidR="00F13F26" w:rsidRDefault="00F13F26" w:rsidP="00F13F26">
      <w:pPr>
        <w:widowControl w:val="0"/>
        <w:autoSpaceDE w:val="0"/>
        <w:autoSpaceDN w:val="0"/>
        <w:adjustRightInd w:val="0"/>
        <w:rPr>
          <w:color w:val="000000"/>
          <w:lang w:bidi="ar-SA"/>
        </w:rPr>
      </w:pPr>
      <w:r>
        <w:rPr>
          <w:color w:val="000000"/>
          <w:lang w:bidi="ar-SA"/>
        </w:rPr>
        <w:t xml:space="preserve">Take no action on the request for </w:t>
      </w:r>
      <w:r w:rsidRPr="00947725">
        <w:rPr>
          <w:lang w:bidi="ar-SA"/>
        </w:rPr>
        <w:t>Less than Statutory Notice</w:t>
      </w:r>
      <w:r>
        <w:rPr>
          <w:lang w:bidi="ar-SA"/>
        </w:rPr>
        <w:t xml:space="preserve"> and the request for exemption from portions of</w:t>
      </w:r>
      <w:r w:rsidRPr="00F13F26">
        <w:rPr>
          <w:lang w:bidi="ar-SA"/>
        </w:rPr>
        <w:t xml:space="preserve"> </w:t>
      </w:r>
      <w:r w:rsidRPr="00947725">
        <w:rPr>
          <w:lang w:bidi="ar-SA"/>
        </w:rPr>
        <w:t xml:space="preserve">WAC 480-07-530, </w:t>
      </w:r>
      <w:r>
        <w:rPr>
          <w:lang w:bidi="ar-SA"/>
        </w:rPr>
        <w:t xml:space="preserve">work paper filing </w:t>
      </w:r>
      <w:r w:rsidR="005F1EA9">
        <w:rPr>
          <w:lang w:bidi="ar-SA"/>
        </w:rPr>
        <w:t>requirements</w:t>
      </w:r>
      <w:r w:rsidRPr="00947725">
        <w:rPr>
          <w:lang w:bidi="ar-SA"/>
        </w:rPr>
        <w:t>.</w:t>
      </w:r>
    </w:p>
    <w:p w14:paraId="7D8B5A37" w14:textId="77777777" w:rsidR="00947725" w:rsidRDefault="00947725" w:rsidP="00757A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610E77D" w14:textId="77777777" w:rsidR="00947725" w:rsidRPr="00AA4488" w:rsidRDefault="00947725" w:rsidP="00757A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947725" w:rsidRPr="00AA4488" w:rsidSect="00750A48">
      <w:headerReference w:type="default" r:id="rId12"/>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F4D8A" w14:textId="77777777" w:rsidR="00A118AB" w:rsidRDefault="00A118AB" w:rsidP="00E5657A">
      <w:r>
        <w:separator/>
      </w:r>
    </w:p>
  </w:endnote>
  <w:endnote w:type="continuationSeparator" w:id="0">
    <w:p w14:paraId="57F008D6" w14:textId="77777777" w:rsidR="00A118AB" w:rsidRDefault="00A118AB" w:rsidP="00E5657A">
      <w:r>
        <w:continuationSeparator/>
      </w:r>
    </w:p>
  </w:endnote>
  <w:endnote w:type="continuationNotice" w:id="1">
    <w:p w14:paraId="4C74B546" w14:textId="77777777" w:rsidR="00A118AB" w:rsidRDefault="00A118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FDFBE" w14:textId="77777777" w:rsidR="00A118AB" w:rsidRDefault="00A118AB" w:rsidP="00E5657A">
      <w:r>
        <w:separator/>
      </w:r>
    </w:p>
  </w:footnote>
  <w:footnote w:type="continuationSeparator" w:id="0">
    <w:p w14:paraId="07E23A8C" w14:textId="77777777" w:rsidR="00A118AB" w:rsidRDefault="00A118AB" w:rsidP="00E5657A">
      <w:r>
        <w:continuationSeparator/>
      </w:r>
    </w:p>
  </w:footnote>
  <w:footnote w:type="continuationNotice" w:id="1">
    <w:p w14:paraId="3076B6DE" w14:textId="77777777" w:rsidR="00A118AB" w:rsidRDefault="00A118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7EE2F" w14:textId="71C7360A" w:rsidR="00A118AB" w:rsidRPr="00296F3B" w:rsidRDefault="00A118AB" w:rsidP="001E2713">
    <w:pPr>
      <w:pStyle w:val="Header"/>
      <w:rPr>
        <w:sz w:val="20"/>
        <w:szCs w:val="20"/>
      </w:rPr>
    </w:pPr>
    <w:r w:rsidRPr="00296F3B">
      <w:rPr>
        <w:sz w:val="20"/>
        <w:szCs w:val="20"/>
      </w:rPr>
      <w:t>Docket UW-1</w:t>
    </w:r>
    <w:r>
      <w:rPr>
        <w:sz w:val="20"/>
        <w:szCs w:val="20"/>
      </w:rPr>
      <w:t>30290</w:t>
    </w:r>
  </w:p>
  <w:p w14:paraId="6707EE30" w14:textId="4E7BDBA8" w:rsidR="00A118AB" w:rsidRPr="00296F3B" w:rsidRDefault="00A118AB" w:rsidP="001E2713">
    <w:pPr>
      <w:pStyle w:val="Header"/>
      <w:rPr>
        <w:sz w:val="20"/>
        <w:szCs w:val="20"/>
      </w:rPr>
    </w:pPr>
    <w:r>
      <w:rPr>
        <w:sz w:val="20"/>
        <w:szCs w:val="20"/>
      </w:rPr>
      <w:t>March 14</w:t>
    </w:r>
    <w:r w:rsidRPr="00296F3B">
      <w:rPr>
        <w:sz w:val="20"/>
        <w:szCs w:val="20"/>
      </w:rPr>
      <w:t xml:space="preserve">, </w:t>
    </w:r>
    <w:r>
      <w:rPr>
        <w:sz w:val="20"/>
        <w:szCs w:val="20"/>
      </w:rPr>
      <w:t>2013</w:t>
    </w:r>
  </w:p>
  <w:p w14:paraId="6707EE31" w14:textId="77777777" w:rsidR="00A118AB" w:rsidRDefault="00A118AB" w:rsidP="001E2713">
    <w:pPr>
      <w:pStyle w:val="Header"/>
      <w:rPr>
        <w:sz w:val="20"/>
        <w:szCs w:val="20"/>
      </w:rPr>
    </w:pPr>
    <w:r w:rsidRPr="00296F3B">
      <w:rPr>
        <w:sz w:val="20"/>
        <w:szCs w:val="20"/>
      </w:rPr>
      <w:t xml:space="preserve">Page </w:t>
    </w:r>
    <w:r w:rsidRPr="00296F3B">
      <w:rPr>
        <w:sz w:val="20"/>
        <w:szCs w:val="20"/>
      </w:rPr>
      <w:fldChar w:fldCharType="begin"/>
    </w:r>
    <w:r w:rsidRPr="00296F3B">
      <w:rPr>
        <w:sz w:val="20"/>
        <w:szCs w:val="20"/>
      </w:rPr>
      <w:instrText xml:space="preserve"> PAGE   \* MERGEFORMAT </w:instrText>
    </w:r>
    <w:r w:rsidRPr="00296F3B">
      <w:rPr>
        <w:sz w:val="20"/>
        <w:szCs w:val="20"/>
      </w:rPr>
      <w:fldChar w:fldCharType="separate"/>
    </w:r>
    <w:r w:rsidR="007201FB">
      <w:rPr>
        <w:noProof/>
        <w:sz w:val="20"/>
        <w:szCs w:val="20"/>
      </w:rPr>
      <w:t>3</w:t>
    </w:r>
    <w:r w:rsidRPr="00296F3B">
      <w:rPr>
        <w:sz w:val="20"/>
        <w:szCs w:val="20"/>
      </w:rPr>
      <w:fldChar w:fldCharType="end"/>
    </w:r>
  </w:p>
  <w:p w14:paraId="6707EE32" w14:textId="77777777" w:rsidR="00A118AB" w:rsidRPr="00296F3B" w:rsidRDefault="00A118AB" w:rsidP="001E2713">
    <w:pPr>
      <w:pStyle w:val="Header"/>
      <w:rPr>
        <w:sz w:val="20"/>
        <w:szCs w:val="20"/>
      </w:rPr>
    </w:pPr>
  </w:p>
  <w:p w14:paraId="6707EE33" w14:textId="77777777" w:rsidR="00A118AB" w:rsidRDefault="00A118AB" w:rsidP="001E27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149A040B"/>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9B5AF6"/>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9B4BEA"/>
    <w:multiLevelType w:val="hybridMultilevel"/>
    <w:tmpl w:val="D2B04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06AA1"/>
    <w:multiLevelType w:val="hybridMultilevel"/>
    <w:tmpl w:val="346469FA"/>
    <w:lvl w:ilvl="0" w:tplc="12280FFA">
      <w:start w:val="5"/>
      <w:numFmt w:val="bullet"/>
      <w:lvlText w:val=""/>
      <w:lvlJc w:val="left"/>
      <w:pPr>
        <w:ind w:left="828" w:hanging="360"/>
      </w:pPr>
      <w:rPr>
        <w:rFonts w:ascii="Symbol" w:eastAsia="Times New Roman" w:hAnsi="Symbol"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
    <w:nsid w:val="3BE15AAD"/>
    <w:multiLevelType w:val="hybridMultilevel"/>
    <w:tmpl w:val="93FA7E80"/>
    <w:lvl w:ilvl="0" w:tplc="96747C7E">
      <w:start w:val="5"/>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426571F6"/>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E62299"/>
    <w:multiLevelType w:val="hybridMultilevel"/>
    <w:tmpl w:val="BF34BA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6856E6"/>
    <w:multiLevelType w:val="hybridMultilevel"/>
    <w:tmpl w:val="47B0B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0CA650E"/>
    <w:multiLevelType w:val="hybridMultilevel"/>
    <w:tmpl w:val="CDB65E04"/>
    <w:lvl w:ilvl="0" w:tplc="E954F28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4"/>
  </w:num>
  <w:num w:numId="5">
    <w:abstractNumId w:val="8"/>
  </w:num>
  <w:num w:numId="6">
    <w:abstractNumId w:val="6"/>
  </w:num>
  <w:num w:numId="7">
    <w:abstractNumId w:val="2"/>
  </w:num>
  <w:num w:numId="8">
    <w:abstractNumId w:val="1"/>
  </w:num>
  <w:num w:numId="9">
    <w:abstractNumId w:val="0"/>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A19"/>
    <w:rsid w:val="00003188"/>
    <w:rsid w:val="0000617D"/>
    <w:rsid w:val="00006D5A"/>
    <w:rsid w:val="00007D8E"/>
    <w:rsid w:val="00010837"/>
    <w:rsid w:val="0001140F"/>
    <w:rsid w:val="0001293B"/>
    <w:rsid w:val="00046A19"/>
    <w:rsid w:val="0005104E"/>
    <w:rsid w:val="000A6670"/>
    <w:rsid w:val="000B6B1A"/>
    <w:rsid w:val="000D2500"/>
    <w:rsid w:val="000D37C4"/>
    <w:rsid w:val="000E640C"/>
    <w:rsid w:val="000F032E"/>
    <w:rsid w:val="00140595"/>
    <w:rsid w:val="00144A3B"/>
    <w:rsid w:val="00174509"/>
    <w:rsid w:val="001811BA"/>
    <w:rsid w:val="00182A1D"/>
    <w:rsid w:val="001954F2"/>
    <w:rsid w:val="001B06B5"/>
    <w:rsid w:val="001C1C21"/>
    <w:rsid w:val="001C5AB1"/>
    <w:rsid w:val="001C6E68"/>
    <w:rsid w:val="001D4972"/>
    <w:rsid w:val="001E1D7A"/>
    <w:rsid w:val="001E2713"/>
    <w:rsid w:val="001E31DA"/>
    <w:rsid w:val="001E5B64"/>
    <w:rsid w:val="001F1624"/>
    <w:rsid w:val="00225208"/>
    <w:rsid w:val="00230C1E"/>
    <w:rsid w:val="00253EC2"/>
    <w:rsid w:val="00272E16"/>
    <w:rsid w:val="00275421"/>
    <w:rsid w:val="00281C1D"/>
    <w:rsid w:val="0028787E"/>
    <w:rsid w:val="002C039A"/>
    <w:rsid w:val="002D390A"/>
    <w:rsid w:val="002E5B90"/>
    <w:rsid w:val="00313006"/>
    <w:rsid w:val="00323AED"/>
    <w:rsid w:val="0035584C"/>
    <w:rsid w:val="003B34B3"/>
    <w:rsid w:val="003B6BE1"/>
    <w:rsid w:val="003C699C"/>
    <w:rsid w:val="0040784B"/>
    <w:rsid w:val="004322C3"/>
    <w:rsid w:val="004518CD"/>
    <w:rsid w:val="0045319D"/>
    <w:rsid w:val="004558FB"/>
    <w:rsid w:val="004630E9"/>
    <w:rsid w:val="004658DE"/>
    <w:rsid w:val="004676B0"/>
    <w:rsid w:val="00477A98"/>
    <w:rsid w:val="00485438"/>
    <w:rsid w:val="00495488"/>
    <w:rsid w:val="004F31C0"/>
    <w:rsid w:val="004F6243"/>
    <w:rsid w:val="0050769C"/>
    <w:rsid w:val="00527C58"/>
    <w:rsid w:val="00543717"/>
    <w:rsid w:val="00552600"/>
    <w:rsid w:val="00554747"/>
    <w:rsid w:val="00564807"/>
    <w:rsid w:val="00577E5D"/>
    <w:rsid w:val="0058267C"/>
    <w:rsid w:val="005A343E"/>
    <w:rsid w:val="005A3E18"/>
    <w:rsid w:val="005A6C74"/>
    <w:rsid w:val="005C12C5"/>
    <w:rsid w:val="005D5F66"/>
    <w:rsid w:val="005F1EA9"/>
    <w:rsid w:val="006075AF"/>
    <w:rsid w:val="00621606"/>
    <w:rsid w:val="0062310E"/>
    <w:rsid w:val="00637B69"/>
    <w:rsid w:val="00640061"/>
    <w:rsid w:val="00661169"/>
    <w:rsid w:val="00670B9E"/>
    <w:rsid w:val="00672F7B"/>
    <w:rsid w:val="006A41EE"/>
    <w:rsid w:val="006A53A7"/>
    <w:rsid w:val="006C71E3"/>
    <w:rsid w:val="006D764C"/>
    <w:rsid w:val="006D7A58"/>
    <w:rsid w:val="006F3B0E"/>
    <w:rsid w:val="006F41DA"/>
    <w:rsid w:val="00700919"/>
    <w:rsid w:val="00717FD6"/>
    <w:rsid w:val="007201FB"/>
    <w:rsid w:val="0072504A"/>
    <w:rsid w:val="007327A3"/>
    <w:rsid w:val="00742F7F"/>
    <w:rsid w:val="007458F8"/>
    <w:rsid w:val="00750A48"/>
    <w:rsid w:val="00757A74"/>
    <w:rsid w:val="00760627"/>
    <w:rsid w:val="00791DF6"/>
    <w:rsid w:val="00793227"/>
    <w:rsid w:val="00794D57"/>
    <w:rsid w:val="007D0EBE"/>
    <w:rsid w:val="007D2573"/>
    <w:rsid w:val="007E2FCB"/>
    <w:rsid w:val="007E4463"/>
    <w:rsid w:val="007E7A13"/>
    <w:rsid w:val="00817FF7"/>
    <w:rsid w:val="00822FD1"/>
    <w:rsid w:val="00832DA8"/>
    <w:rsid w:val="008464A8"/>
    <w:rsid w:val="00870BB6"/>
    <w:rsid w:val="008975CC"/>
    <w:rsid w:val="008A4BE5"/>
    <w:rsid w:val="008A5118"/>
    <w:rsid w:val="008B7991"/>
    <w:rsid w:val="00910FCE"/>
    <w:rsid w:val="00923A19"/>
    <w:rsid w:val="0093429A"/>
    <w:rsid w:val="00947725"/>
    <w:rsid w:val="009553EB"/>
    <w:rsid w:val="00963EDA"/>
    <w:rsid w:val="00964470"/>
    <w:rsid w:val="00985AE5"/>
    <w:rsid w:val="009A47E4"/>
    <w:rsid w:val="009B0311"/>
    <w:rsid w:val="009B79A8"/>
    <w:rsid w:val="009C1E52"/>
    <w:rsid w:val="00A118AB"/>
    <w:rsid w:val="00A14FC2"/>
    <w:rsid w:val="00A31E63"/>
    <w:rsid w:val="00A4610A"/>
    <w:rsid w:val="00A46C58"/>
    <w:rsid w:val="00A61F9F"/>
    <w:rsid w:val="00A67871"/>
    <w:rsid w:val="00A77CD8"/>
    <w:rsid w:val="00A80CB3"/>
    <w:rsid w:val="00A84C2A"/>
    <w:rsid w:val="00A95415"/>
    <w:rsid w:val="00AA3232"/>
    <w:rsid w:val="00AA6F5A"/>
    <w:rsid w:val="00AA7F14"/>
    <w:rsid w:val="00AC0E4A"/>
    <w:rsid w:val="00AD3312"/>
    <w:rsid w:val="00AD4AF7"/>
    <w:rsid w:val="00AD7FBD"/>
    <w:rsid w:val="00AE273E"/>
    <w:rsid w:val="00AE42F2"/>
    <w:rsid w:val="00B13041"/>
    <w:rsid w:val="00B14F10"/>
    <w:rsid w:val="00B26B2D"/>
    <w:rsid w:val="00B53986"/>
    <w:rsid w:val="00B561C7"/>
    <w:rsid w:val="00B759C1"/>
    <w:rsid w:val="00BB0D23"/>
    <w:rsid w:val="00BB3AF4"/>
    <w:rsid w:val="00BC0903"/>
    <w:rsid w:val="00BE1B5B"/>
    <w:rsid w:val="00BE627B"/>
    <w:rsid w:val="00C60230"/>
    <w:rsid w:val="00C77A08"/>
    <w:rsid w:val="00C9285A"/>
    <w:rsid w:val="00CA429B"/>
    <w:rsid w:val="00CB3D36"/>
    <w:rsid w:val="00CF36EC"/>
    <w:rsid w:val="00CF4027"/>
    <w:rsid w:val="00D00FB8"/>
    <w:rsid w:val="00D157A4"/>
    <w:rsid w:val="00D16EE4"/>
    <w:rsid w:val="00D23EA5"/>
    <w:rsid w:val="00D522BC"/>
    <w:rsid w:val="00D52F9F"/>
    <w:rsid w:val="00D568C6"/>
    <w:rsid w:val="00D57C3F"/>
    <w:rsid w:val="00D61A4B"/>
    <w:rsid w:val="00D622B2"/>
    <w:rsid w:val="00D6775B"/>
    <w:rsid w:val="00D8448A"/>
    <w:rsid w:val="00D910B5"/>
    <w:rsid w:val="00DA1B86"/>
    <w:rsid w:val="00DD2A47"/>
    <w:rsid w:val="00DF2DF3"/>
    <w:rsid w:val="00DF363D"/>
    <w:rsid w:val="00DF5E47"/>
    <w:rsid w:val="00E12FF1"/>
    <w:rsid w:val="00E27685"/>
    <w:rsid w:val="00E56305"/>
    <w:rsid w:val="00E5657A"/>
    <w:rsid w:val="00E60EB2"/>
    <w:rsid w:val="00E67789"/>
    <w:rsid w:val="00E73DBD"/>
    <w:rsid w:val="00E761D5"/>
    <w:rsid w:val="00E80DC5"/>
    <w:rsid w:val="00E9466A"/>
    <w:rsid w:val="00EA46AD"/>
    <w:rsid w:val="00EC5341"/>
    <w:rsid w:val="00F02C2A"/>
    <w:rsid w:val="00F13F26"/>
    <w:rsid w:val="00F2183F"/>
    <w:rsid w:val="00F21B68"/>
    <w:rsid w:val="00F3565A"/>
    <w:rsid w:val="00F97111"/>
    <w:rsid w:val="00FA5576"/>
    <w:rsid w:val="00FB7FC5"/>
    <w:rsid w:val="00FE3929"/>
    <w:rsid w:val="00FE6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7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A19"/>
    <w:pPr>
      <w:spacing w:after="0" w:line="240" w:lineRule="auto"/>
    </w:pPr>
    <w:rPr>
      <w:rFonts w:ascii="Times New Roman" w:eastAsia="Calibri" w:hAnsi="Times New Roman" w:cs="Times New Roman"/>
      <w:sz w:val="24"/>
      <w:szCs w:val="24"/>
      <w:lang w:bidi="en-US"/>
    </w:rPr>
  </w:style>
  <w:style w:type="paragraph" w:styleId="Heading1">
    <w:name w:val="heading 1"/>
    <w:basedOn w:val="Normal"/>
    <w:next w:val="Normal"/>
    <w:link w:val="Heading1Char"/>
    <w:uiPriority w:val="9"/>
    <w:qFormat/>
    <w:rsid w:val="00DA1B8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uiPriority w:val="1"/>
    <w:qFormat/>
    <w:rsid w:val="00046A19"/>
    <w:rPr>
      <w:szCs w:val="32"/>
    </w:rPr>
  </w:style>
  <w:style w:type="paragraph" w:styleId="Header">
    <w:name w:val="header"/>
    <w:basedOn w:val="Normal"/>
    <w:link w:val="HeaderChar"/>
    <w:uiPriority w:val="99"/>
    <w:unhideWhenUsed/>
    <w:rsid w:val="00046A19"/>
    <w:pPr>
      <w:tabs>
        <w:tab w:val="center" w:pos="4680"/>
        <w:tab w:val="right" w:pos="9360"/>
      </w:tabs>
    </w:pPr>
  </w:style>
  <w:style w:type="character" w:customStyle="1" w:styleId="HeaderChar">
    <w:name w:val="Header Char"/>
    <w:basedOn w:val="DefaultParagraphFont"/>
    <w:link w:val="Header"/>
    <w:uiPriority w:val="99"/>
    <w:rsid w:val="00046A19"/>
    <w:rPr>
      <w:rFonts w:ascii="Times New Roman" w:eastAsia="Calibri" w:hAnsi="Times New Roman" w:cs="Times New Roman"/>
      <w:sz w:val="24"/>
      <w:szCs w:val="24"/>
      <w:lang w:bidi="en-US"/>
    </w:rPr>
  </w:style>
  <w:style w:type="paragraph" w:styleId="BalloonText">
    <w:name w:val="Balloon Text"/>
    <w:basedOn w:val="Normal"/>
    <w:link w:val="BalloonTextChar"/>
    <w:uiPriority w:val="99"/>
    <w:semiHidden/>
    <w:unhideWhenUsed/>
    <w:rsid w:val="00F02C2A"/>
    <w:rPr>
      <w:rFonts w:ascii="Tahoma" w:hAnsi="Tahoma" w:cs="Tahoma"/>
      <w:sz w:val="16"/>
      <w:szCs w:val="16"/>
    </w:rPr>
  </w:style>
  <w:style w:type="character" w:customStyle="1" w:styleId="BalloonTextChar">
    <w:name w:val="Balloon Text Char"/>
    <w:basedOn w:val="DefaultParagraphFont"/>
    <w:link w:val="BalloonText"/>
    <w:uiPriority w:val="99"/>
    <w:semiHidden/>
    <w:rsid w:val="00F02C2A"/>
    <w:rPr>
      <w:rFonts w:ascii="Tahoma" w:eastAsia="Calibri" w:hAnsi="Tahoma" w:cs="Tahoma"/>
      <w:sz w:val="16"/>
      <w:szCs w:val="16"/>
      <w:lang w:bidi="en-US"/>
    </w:rPr>
  </w:style>
  <w:style w:type="table" w:styleId="TableGrid">
    <w:name w:val="Table Grid"/>
    <w:basedOn w:val="TableNormal"/>
    <w:uiPriority w:val="59"/>
    <w:rsid w:val="001C6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2310E"/>
    <w:pPr>
      <w:tabs>
        <w:tab w:val="center" w:pos="4680"/>
        <w:tab w:val="right" w:pos="9360"/>
      </w:tabs>
    </w:pPr>
  </w:style>
  <w:style w:type="character" w:customStyle="1" w:styleId="FooterChar">
    <w:name w:val="Footer Char"/>
    <w:basedOn w:val="DefaultParagraphFont"/>
    <w:link w:val="Footer"/>
    <w:uiPriority w:val="99"/>
    <w:rsid w:val="0062310E"/>
    <w:rPr>
      <w:rFonts w:ascii="Times New Roman" w:eastAsia="Calibri" w:hAnsi="Times New Roman" w:cs="Times New Roman"/>
      <w:sz w:val="24"/>
      <w:szCs w:val="24"/>
      <w:lang w:bidi="en-US"/>
    </w:rPr>
  </w:style>
  <w:style w:type="paragraph" w:styleId="ListParagraph">
    <w:name w:val="List Paragraph"/>
    <w:basedOn w:val="Normal"/>
    <w:uiPriority w:val="34"/>
    <w:qFormat/>
    <w:rsid w:val="00640061"/>
    <w:pPr>
      <w:spacing w:after="200" w:line="276" w:lineRule="auto"/>
      <w:ind w:left="720"/>
    </w:pPr>
    <w:rPr>
      <w:rFonts w:ascii="Calibri" w:hAnsi="Calibri"/>
      <w:sz w:val="22"/>
      <w:szCs w:val="22"/>
      <w:lang w:bidi="ar-SA"/>
    </w:rPr>
  </w:style>
  <w:style w:type="character" w:styleId="Hyperlink">
    <w:name w:val="Hyperlink"/>
    <w:uiPriority w:val="99"/>
    <w:unhideWhenUsed/>
    <w:rsid w:val="00640061"/>
    <w:rPr>
      <w:color w:val="0000FF"/>
      <w:u w:val="single"/>
    </w:rPr>
  </w:style>
  <w:style w:type="paragraph" w:styleId="BodyText">
    <w:name w:val="Body Text"/>
    <w:basedOn w:val="Normal"/>
    <w:link w:val="BodyTextChar"/>
    <w:rsid w:val="00640061"/>
    <w:pPr>
      <w:widowControl w:val="0"/>
      <w:autoSpaceDE w:val="0"/>
      <w:autoSpaceDN w:val="0"/>
      <w:adjustRightInd w:val="0"/>
    </w:pPr>
    <w:rPr>
      <w:rFonts w:ascii="Courier" w:eastAsia="Times New Roman" w:hAnsi="Courier"/>
      <w:lang w:bidi="ar-SA"/>
    </w:rPr>
  </w:style>
  <w:style w:type="character" w:customStyle="1" w:styleId="BodyTextChar">
    <w:name w:val="Body Text Char"/>
    <w:basedOn w:val="DefaultParagraphFont"/>
    <w:link w:val="BodyText"/>
    <w:rsid w:val="00640061"/>
    <w:rPr>
      <w:rFonts w:ascii="Courier" w:eastAsia="Times New Roman" w:hAnsi="Courier" w:cs="Times New Roman"/>
      <w:sz w:val="24"/>
      <w:szCs w:val="24"/>
    </w:rPr>
  </w:style>
  <w:style w:type="character" w:styleId="CommentReference">
    <w:name w:val="annotation reference"/>
    <w:basedOn w:val="DefaultParagraphFont"/>
    <w:uiPriority w:val="99"/>
    <w:semiHidden/>
    <w:unhideWhenUsed/>
    <w:rsid w:val="0005104E"/>
    <w:rPr>
      <w:sz w:val="16"/>
      <w:szCs w:val="16"/>
    </w:rPr>
  </w:style>
  <w:style w:type="paragraph" w:styleId="CommentText">
    <w:name w:val="annotation text"/>
    <w:basedOn w:val="Normal"/>
    <w:link w:val="CommentTextChar"/>
    <w:uiPriority w:val="99"/>
    <w:semiHidden/>
    <w:unhideWhenUsed/>
    <w:rsid w:val="0005104E"/>
    <w:rPr>
      <w:sz w:val="20"/>
      <w:szCs w:val="20"/>
    </w:rPr>
  </w:style>
  <w:style w:type="character" w:customStyle="1" w:styleId="CommentTextChar">
    <w:name w:val="Comment Text Char"/>
    <w:basedOn w:val="DefaultParagraphFont"/>
    <w:link w:val="CommentText"/>
    <w:uiPriority w:val="99"/>
    <w:semiHidden/>
    <w:rsid w:val="0005104E"/>
    <w:rPr>
      <w:rFonts w:ascii="Times New Roman" w:eastAsia="Calibri"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5104E"/>
    <w:rPr>
      <w:b/>
      <w:bCs/>
    </w:rPr>
  </w:style>
  <w:style w:type="character" w:customStyle="1" w:styleId="CommentSubjectChar">
    <w:name w:val="Comment Subject Char"/>
    <w:basedOn w:val="CommentTextChar"/>
    <w:link w:val="CommentSubject"/>
    <w:uiPriority w:val="99"/>
    <w:semiHidden/>
    <w:rsid w:val="0005104E"/>
    <w:rPr>
      <w:rFonts w:ascii="Times New Roman" w:eastAsia="Calibri" w:hAnsi="Times New Roman" w:cs="Times New Roman"/>
      <w:b/>
      <w:bCs/>
      <w:sz w:val="20"/>
      <w:szCs w:val="20"/>
      <w:lang w:bidi="en-US"/>
    </w:rPr>
  </w:style>
  <w:style w:type="paragraph" w:styleId="Revision">
    <w:name w:val="Revision"/>
    <w:hidden/>
    <w:uiPriority w:val="99"/>
    <w:semiHidden/>
    <w:rsid w:val="0005104E"/>
    <w:pPr>
      <w:spacing w:after="0" w:line="240" w:lineRule="auto"/>
    </w:pPr>
    <w:rPr>
      <w:rFonts w:ascii="Times New Roman" w:eastAsia="Calibri" w:hAnsi="Times New Roman"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A19"/>
    <w:pPr>
      <w:spacing w:after="0" w:line="240" w:lineRule="auto"/>
    </w:pPr>
    <w:rPr>
      <w:rFonts w:ascii="Times New Roman" w:eastAsia="Calibri" w:hAnsi="Times New Roman" w:cs="Times New Roman"/>
      <w:sz w:val="24"/>
      <w:szCs w:val="24"/>
      <w:lang w:bidi="en-US"/>
    </w:rPr>
  </w:style>
  <w:style w:type="paragraph" w:styleId="Heading1">
    <w:name w:val="heading 1"/>
    <w:basedOn w:val="Normal"/>
    <w:next w:val="Normal"/>
    <w:link w:val="Heading1Char"/>
    <w:uiPriority w:val="9"/>
    <w:qFormat/>
    <w:rsid w:val="00DA1B8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uiPriority w:val="1"/>
    <w:qFormat/>
    <w:rsid w:val="00046A19"/>
    <w:rPr>
      <w:szCs w:val="32"/>
    </w:rPr>
  </w:style>
  <w:style w:type="paragraph" w:styleId="Header">
    <w:name w:val="header"/>
    <w:basedOn w:val="Normal"/>
    <w:link w:val="HeaderChar"/>
    <w:uiPriority w:val="99"/>
    <w:unhideWhenUsed/>
    <w:rsid w:val="00046A19"/>
    <w:pPr>
      <w:tabs>
        <w:tab w:val="center" w:pos="4680"/>
        <w:tab w:val="right" w:pos="9360"/>
      </w:tabs>
    </w:pPr>
  </w:style>
  <w:style w:type="character" w:customStyle="1" w:styleId="HeaderChar">
    <w:name w:val="Header Char"/>
    <w:basedOn w:val="DefaultParagraphFont"/>
    <w:link w:val="Header"/>
    <w:uiPriority w:val="99"/>
    <w:rsid w:val="00046A19"/>
    <w:rPr>
      <w:rFonts w:ascii="Times New Roman" w:eastAsia="Calibri" w:hAnsi="Times New Roman" w:cs="Times New Roman"/>
      <w:sz w:val="24"/>
      <w:szCs w:val="24"/>
      <w:lang w:bidi="en-US"/>
    </w:rPr>
  </w:style>
  <w:style w:type="paragraph" w:styleId="BalloonText">
    <w:name w:val="Balloon Text"/>
    <w:basedOn w:val="Normal"/>
    <w:link w:val="BalloonTextChar"/>
    <w:uiPriority w:val="99"/>
    <w:semiHidden/>
    <w:unhideWhenUsed/>
    <w:rsid w:val="00F02C2A"/>
    <w:rPr>
      <w:rFonts w:ascii="Tahoma" w:hAnsi="Tahoma" w:cs="Tahoma"/>
      <w:sz w:val="16"/>
      <w:szCs w:val="16"/>
    </w:rPr>
  </w:style>
  <w:style w:type="character" w:customStyle="1" w:styleId="BalloonTextChar">
    <w:name w:val="Balloon Text Char"/>
    <w:basedOn w:val="DefaultParagraphFont"/>
    <w:link w:val="BalloonText"/>
    <w:uiPriority w:val="99"/>
    <w:semiHidden/>
    <w:rsid w:val="00F02C2A"/>
    <w:rPr>
      <w:rFonts w:ascii="Tahoma" w:eastAsia="Calibri" w:hAnsi="Tahoma" w:cs="Tahoma"/>
      <w:sz w:val="16"/>
      <w:szCs w:val="16"/>
      <w:lang w:bidi="en-US"/>
    </w:rPr>
  </w:style>
  <w:style w:type="table" w:styleId="TableGrid">
    <w:name w:val="Table Grid"/>
    <w:basedOn w:val="TableNormal"/>
    <w:uiPriority w:val="59"/>
    <w:rsid w:val="001C6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2310E"/>
    <w:pPr>
      <w:tabs>
        <w:tab w:val="center" w:pos="4680"/>
        <w:tab w:val="right" w:pos="9360"/>
      </w:tabs>
    </w:pPr>
  </w:style>
  <w:style w:type="character" w:customStyle="1" w:styleId="FooterChar">
    <w:name w:val="Footer Char"/>
    <w:basedOn w:val="DefaultParagraphFont"/>
    <w:link w:val="Footer"/>
    <w:uiPriority w:val="99"/>
    <w:rsid w:val="0062310E"/>
    <w:rPr>
      <w:rFonts w:ascii="Times New Roman" w:eastAsia="Calibri" w:hAnsi="Times New Roman" w:cs="Times New Roman"/>
      <w:sz w:val="24"/>
      <w:szCs w:val="24"/>
      <w:lang w:bidi="en-US"/>
    </w:rPr>
  </w:style>
  <w:style w:type="paragraph" w:styleId="ListParagraph">
    <w:name w:val="List Paragraph"/>
    <w:basedOn w:val="Normal"/>
    <w:uiPriority w:val="34"/>
    <w:qFormat/>
    <w:rsid w:val="00640061"/>
    <w:pPr>
      <w:spacing w:after="200" w:line="276" w:lineRule="auto"/>
      <w:ind w:left="720"/>
    </w:pPr>
    <w:rPr>
      <w:rFonts w:ascii="Calibri" w:hAnsi="Calibri"/>
      <w:sz w:val="22"/>
      <w:szCs w:val="22"/>
      <w:lang w:bidi="ar-SA"/>
    </w:rPr>
  </w:style>
  <w:style w:type="character" w:styleId="Hyperlink">
    <w:name w:val="Hyperlink"/>
    <w:uiPriority w:val="99"/>
    <w:unhideWhenUsed/>
    <w:rsid w:val="00640061"/>
    <w:rPr>
      <w:color w:val="0000FF"/>
      <w:u w:val="single"/>
    </w:rPr>
  </w:style>
  <w:style w:type="paragraph" w:styleId="BodyText">
    <w:name w:val="Body Text"/>
    <w:basedOn w:val="Normal"/>
    <w:link w:val="BodyTextChar"/>
    <w:rsid w:val="00640061"/>
    <w:pPr>
      <w:widowControl w:val="0"/>
      <w:autoSpaceDE w:val="0"/>
      <w:autoSpaceDN w:val="0"/>
      <w:adjustRightInd w:val="0"/>
    </w:pPr>
    <w:rPr>
      <w:rFonts w:ascii="Courier" w:eastAsia="Times New Roman" w:hAnsi="Courier"/>
      <w:lang w:bidi="ar-SA"/>
    </w:rPr>
  </w:style>
  <w:style w:type="character" w:customStyle="1" w:styleId="BodyTextChar">
    <w:name w:val="Body Text Char"/>
    <w:basedOn w:val="DefaultParagraphFont"/>
    <w:link w:val="BodyText"/>
    <w:rsid w:val="00640061"/>
    <w:rPr>
      <w:rFonts w:ascii="Courier" w:eastAsia="Times New Roman" w:hAnsi="Courier" w:cs="Times New Roman"/>
      <w:sz w:val="24"/>
      <w:szCs w:val="24"/>
    </w:rPr>
  </w:style>
  <w:style w:type="character" w:styleId="CommentReference">
    <w:name w:val="annotation reference"/>
    <w:basedOn w:val="DefaultParagraphFont"/>
    <w:uiPriority w:val="99"/>
    <w:semiHidden/>
    <w:unhideWhenUsed/>
    <w:rsid w:val="0005104E"/>
    <w:rPr>
      <w:sz w:val="16"/>
      <w:szCs w:val="16"/>
    </w:rPr>
  </w:style>
  <w:style w:type="paragraph" w:styleId="CommentText">
    <w:name w:val="annotation text"/>
    <w:basedOn w:val="Normal"/>
    <w:link w:val="CommentTextChar"/>
    <w:uiPriority w:val="99"/>
    <w:semiHidden/>
    <w:unhideWhenUsed/>
    <w:rsid w:val="0005104E"/>
    <w:rPr>
      <w:sz w:val="20"/>
      <w:szCs w:val="20"/>
    </w:rPr>
  </w:style>
  <w:style w:type="character" w:customStyle="1" w:styleId="CommentTextChar">
    <w:name w:val="Comment Text Char"/>
    <w:basedOn w:val="DefaultParagraphFont"/>
    <w:link w:val="CommentText"/>
    <w:uiPriority w:val="99"/>
    <w:semiHidden/>
    <w:rsid w:val="0005104E"/>
    <w:rPr>
      <w:rFonts w:ascii="Times New Roman" w:eastAsia="Calibri"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5104E"/>
    <w:rPr>
      <w:b/>
      <w:bCs/>
    </w:rPr>
  </w:style>
  <w:style w:type="character" w:customStyle="1" w:styleId="CommentSubjectChar">
    <w:name w:val="Comment Subject Char"/>
    <w:basedOn w:val="CommentTextChar"/>
    <w:link w:val="CommentSubject"/>
    <w:uiPriority w:val="99"/>
    <w:semiHidden/>
    <w:rsid w:val="0005104E"/>
    <w:rPr>
      <w:rFonts w:ascii="Times New Roman" w:eastAsia="Calibri" w:hAnsi="Times New Roman" w:cs="Times New Roman"/>
      <w:b/>
      <w:bCs/>
      <w:sz w:val="20"/>
      <w:szCs w:val="20"/>
      <w:lang w:bidi="en-US"/>
    </w:rPr>
  </w:style>
  <w:style w:type="paragraph" w:styleId="Revision">
    <w:name w:val="Revision"/>
    <w:hidden/>
    <w:uiPriority w:val="99"/>
    <w:semiHidden/>
    <w:rsid w:val="0005104E"/>
    <w:pPr>
      <w:spacing w:after="0" w:line="240" w:lineRule="auto"/>
    </w:pPr>
    <w:rPr>
      <w:rFonts w:ascii="Times New Roman" w:eastAsia="Calibri"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2013-02-26T08:00:00+00:00</OpenedDate>
    <Date1 xmlns="dc463f71-b30c-4ab2-9473-d307f9d35888">2013-03-14T07:00:00+00:00</Date1>
    <IsDocumentOrder xmlns="dc463f71-b30c-4ab2-9473-d307f9d35888" xsi:nil="true"/>
    <IsHighlyConfidential xmlns="dc463f71-b30c-4ab2-9473-d307f9d35888">false</IsHighlyConfidential>
    <CaseCompanyNames xmlns="dc463f71-b30c-4ab2-9473-d307f9d35888">Marvin Road Water Company</CaseCompanyNames>
    <DocketNumber xmlns="dc463f71-b30c-4ab2-9473-d307f9d35888">130290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A87BA1FA4022C4B8169EA29B9D3586E" ma:contentTypeVersion="135" ma:contentTypeDescription="" ma:contentTypeScope="" ma:versionID="7ae73097a9a1fffe45f3c998184061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10EF8-7ECE-4B48-982D-A94C0774BD18}"/>
</file>

<file path=customXml/itemProps2.xml><?xml version="1.0" encoding="utf-8"?>
<ds:datastoreItem xmlns:ds="http://schemas.openxmlformats.org/officeDocument/2006/customXml" ds:itemID="{5D508F9C-D8AA-4D6C-AB99-7C4E100C1A8E}"/>
</file>

<file path=customXml/itemProps3.xml><?xml version="1.0" encoding="utf-8"?>
<ds:datastoreItem xmlns:ds="http://schemas.openxmlformats.org/officeDocument/2006/customXml" ds:itemID="{D3630B3D-7A61-4250-AC79-E615B32A51E4}"/>
</file>

<file path=customXml/itemProps4.xml><?xml version="1.0" encoding="utf-8"?>
<ds:datastoreItem xmlns:ds="http://schemas.openxmlformats.org/officeDocument/2006/customXml" ds:itemID="{FAA71658-32D4-47CE-ABF4-3EA2DFCFABC5}"/>
</file>

<file path=customXml/itemProps5.xml><?xml version="1.0" encoding="utf-8"?>
<ds:datastoreItem xmlns:ds="http://schemas.openxmlformats.org/officeDocument/2006/customXml" ds:itemID="{0F50A8E1-FCF0-4ACA-852E-53367875CCD9}"/>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Marvin Road Water LSN request</vt:lpstr>
    </vt:vector>
  </TitlesOfParts>
  <Company>Washington Utilities and Transportation Commission</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Marvin Road Water LSN request</dc:title>
  <dc:creator>Jim Ward</dc:creator>
  <cp:lastModifiedBy>Higgins, Joni (UTC)</cp:lastModifiedBy>
  <cp:revision>2</cp:revision>
  <cp:lastPrinted>2013-03-09T02:14:00Z</cp:lastPrinted>
  <dcterms:created xsi:type="dcterms:W3CDTF">2013-03-12T16:47:00Z</dcterms:created>
  <dcterms:modified xsi:type="dcterms:W3CDTF">2013-03-12T16:47:00Z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0x0101006E56B4D1795A2E4DB2F0B01679ED314A00BA87BA1FA4022C4B8169EA29B9D3586E</vt:lpwstr>
  </property>
  <property fmtid="{D5CDD505-2E9C-101B-9397-08002B2CF9AE}" pid="3" name="_docset_NoMedatataSyncRequired">
    <vt:lpwstr>False</vt:lpwstr>
  </property>
</Properties>
</file>