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Default="00087C76" w:rsidP="00BE52CC">
      <w:pPr>
        <w:spacing w:line="276" w:lineRule="auto"/>
        <w:rPr>
          <w:rFonts w:ascii="Palatino Linotype" w:hAnsi="Palatino Linotype"/>
          <w:sz w:val="24"/>
        </w:rPr>
      </w:pPr>
    </w:p>
    <w:p w:rsidR="00087C76" w:rsidRDefault="00087C76" w:rsidP="00BE52CC">
      <w:pPr>
        <w:spacing w:line="276" w:lineRule="auto"/>
        <w:rPr>
          <w:rFonts w:ascii="Palatino Linotype" w:hAnsi="Palatino Linotype"/>
          <w:sz w:val="24"/>
        </w:rPr>
      </w:pPr>
    </w:p>
    <w:p w:rsidR="00087C76" w:rsidRDefault="00087C76" w:rsidP="00BE52CC">
      <w:pPr>
        <w:spacing w:line="276" w:lineRule="auto"/>
        <w:rPr>
          <w:rFonts w:ascii="Palatino Linotype" w:hAnsi="Palatino Linotype"/>
          <w:sz w:val="24"/>
        </w:rPr>
      </w:pPr>
    </w:p>
    <w:p w:rsidR="00087C76" w:rsidRDefault="00087C76" w:rsidP="00BE52CC">
      <w:pPr>
        <w:spacing w:line="276" w:lineRule="auto"/>
        <w:rPr>
          <w:rFonts w:ascii="Palatino Linotype" w:hAnsi="Palatino Linotype"/>
          <w:sz w:val="24"/>
        </w:rPr>
      </w:pPr>
    </w:p>
    <w:p w:rsidR="00087C76" w:rsidRDefault="00087C76" w:rsidP="00BE52CC">
      <w:pPr>
        <w:spacing w:line="276" w:lineRule="auto"/>
        <w:rPr>
          <w:rFonts w:ascii="Palatino Linotype" w:hAnsi="Palatino Linotype"/>
          <w:sz w:val="24"/>
        </w:rPr>
      </w:pPr>
    </w:p>
    <w:p w:rsidR="00087C76" w:rsidRDefault="00087C76" w:rsidP="00BE52CC">
      <w:pPr>
        <w:spacing w:line="276" w:lineRule="auto"/>
        <w:rPr>
          <w:rFonts w:ascii="Palatino Linotype" w:hAnsi="Palatino Linotype"/>
          <w:sz w:val="24"/>
        </w:rPr>
      </w:pPr>
    </w:p>
    <w:p w:rsidR="00AB7EAF" w:rsidRDefault="00AB7EAF" w:rsidP="00BE52CC">
      <w:pPr>
        <w:spacing w:line="276" w:lineRule="auto"/>
        <w:rPr>
          <w:rFonts w:ascii="Palatino Linotype" w:hAnsi="Palatino Linotype"/>
          <w:sz w:val="24"/>
        </w:rPr>
      </w:pPr>
    </w:p>
    <w:p w:rsidR="00087C76" w:rsidRPr="002F3753" w:rsidRDefault="00CA0FF8" w:rsidP="00BE52CC">
      <w:pPr>
        <w:spacing w:line="276" w:lineRule="auto"/>
        <w:rPr>
          <w:sz w:val="24"/>
        </w:rPr>
      </w:pPr>
      <w:r>
        <w:rPr>
          <w:sz w:val="24"/>
        </w:rPr>
        <w:t xml:space="preserve">October </w:t>
      </w:r>
      <w:r w:rsidR="00CF5F5F">
        <w:rPr>
          <w:sz w:val="24"/>
        </w:rPr>
        <w:t>22</w:t>
      </w:r>
      <w:r>
        <w:rPr>
          <w:sz w:val="24"/>
        </w:rPr>
        <w:t>, 2012</w:t>
      </w:r>
    </w:p>
    <w:p w:rsidR="00087C76" w:rsidRPr="00074507" w:rsidRDefault="00087C76" w:rsidP="00BE52CC">
      <w:pPr>
        <w:spacing w:line="276" w:lineRule="auto"/>
        <w:rPr>
          <w:sz w:val="24"/>
        </w:rPr>
      </w:pPr>
    </w:p>
    <w:p w:rsidR="00087C76" w:rsidRDefault="00087C76" w:rsidP="00BE52CC">
      <w:pPr>
        <w:spacing w:line="276" w:lineRule="auto"/>
        <w:rPr>
          <w:sz w:val="24"/>
        </w:rPr>
      </w:pPr>
    </w:p>
    <w:p w:rsidR="002F3753" w:rsidRPr="008E34A9" w:rsidRDefault="002F3753" w:rsidP="00BE52CC">
      <w:pPr>
        <w:widowControl/>
        <w:spacing w:line="276" w:lineRule="auto"/>
        <w:rPr>
          <w:sz w:val="24"/>
        </w:rPr>
      </w:pPr>
      <w:r>
        <w:rPr>
          <w:sz w:val="24"/>
        </w:rPr>
        <w:t>David W. Danner</w:t>
      </w:r>
      <w:r w:rsidRPr="008E34A9">
        <w:rPr>
          <w:sz w:val="24"/>
        </w:rPr>
        <w:t xml:space="preserve">, </w:t>
      </w:r>
      <w:r>
        <w:rPr>
          <w:sz w:val="24"/>
        </w:rPr>
        <w:t xml:space="preserve">Executive Director and </w:t>
      </w:r>
      <w:r w:rsidRPr="008E34A9">
        <w:rPr>
          <w:sz w:val="24"/>
        </w:rPr>
        <w:t>Secretary</w:t>
      </w:r>
    </w:p>
    <w:p w:rsidR="002F3753" w:rsidRPr="008E34A9" w:rsidRDefault="002F3753" w:rsidP="00BE52CC">
      <w:pPr>
        <w:widowControl/>
        <w:spacing w:line="276" w:lineRule="auto"/>
        <w:rPr>
          <w:sz w:val="24"/>
        </w:rPr>
      </w:pPr>
      <w:smartTag w:uri="urn:schemas-microsoft-com:office:smarttags" w:element="place">
        <w:smartTag w:uri="urn:schemas-microsoft-com:office:smarttags" w:element="State">
          <w:r w:rsidRPr="008E34A9">
            <w:rPr>
              <w:sz w:val="24"/>
            </w:rPr>
            <w:t>Washington</w:t>
          </w:r>
        </w:smartTag>
      </w:smartTag>
      <w:r w:rsidRPr="008E34A9">
        <w:rPr>
          <w:sz w:val="24"/>
        </w:rPr>
        <w:t xml:space="preserve"> Utilities and Transportation Commission</w:t>
      </w:r>
    </w:p>
    <w:p w:rsidR="002F3753" w:rsidRPr="008E34A9" w:rsidRDefault="002F3753" w:rsidP="00BE52CC">
      <w:pPr>
        <w:widowControl/>
        <w:spacing w:line="276" w:lineRule="auto"/>
        <w:rPr>
          <w:sz w:val="24"/>
        </w:rPr>
      </w:pPr>
      <w:smartTag w:uri="urn:schemas-microsoft-com:office:smarttags" w:element="Street">
        <w:smartTag w:uri="urn:schemas-microsoft-com:office:smarttags" w:element="address">
          <w:r w:rsidRPr="008E34A9">
            <w:rPr>
              <w:sz w:val="24"/>
            </w:rPr>
            <w:t>1300 S. Evergreen Park Dr. SW</w:t>
          </w:r>
        </w:smartTag>
      </w:smartTag>
    </w:p>
    <w:p w:rsidR="002F3753" w:rsidRPr="008E34A9" w:rsidRDefault="002F3753" w:rsidP="00BE52CC">
      <w:pPr>
        <w:widowControl/>
        <w:spacing w:line="276" w:lineRule="auto"/>
        <w:rPr>
          <w:sz w:val="24"/>
        </w:rPr>
      </w:pPr>
      <w:smartTag w:uri="urn:schemas-microsoft-com:office:smarttags" w:element="address">
        <w:smartTag w:uri="urn:schemas-microsoft-com:office:smarttags" w:element="Street">
          <w:r w:rsidRPr="008E34A9">
            <w:rPr>
              <w:sz w:val="24"/>
            </w:rPr>
            <w:t>P. O. Box</w:t>
          </w:r>
        </w:smartTag>
        <w:r w:rsidRPr="008E34A9">
          <w:rPr>
            <w:sz w:val="24"/>
          </w:rPr>
          <w:t xml:space="preserve"> 47250</w:t>
        </w:r>
      </w:smartTag>
      <w:r w:rsidRPr="008E34A9">
        <w:rPr>
          <w:sz w:val="24"/>
        </w:rPr>
        <w:t xml:space="preserve"> </w:t>
      </w:r>
    </w:p>
    <w:p w:rsidR="002F3753" w:rsidRPr="008E34A9" w:rsidRDefault="002F3753" w:rsidP="00BE52CC">
      <w:pPr>
        <w:widowControl/>
        <w:spacing w:line="276" w:lineRule="auto"/>
        <w:rPr>
          <w:sz w:val="24"/>
        </w:rPr>
      </w:pPr>
      <w:smartTag w:uri="urn:schemas-microsoft-com:office:smarttags" w:element="place">
        <w:smartTag w:uri="urn:schemas-microsoft-com:office:smarttags" w:element="City">
          <w:r w:rsidRPr="008E34A9">
            <w:rPr>
              <w:sz w:val="24"/>
            </w:rPr>
            <w:t>Olympia</w:t>
          </w:r>
        </w:smartTag>
        <w:r w:rsidRPr="008E34A9">
          <w:rPr>
            <w:sz w:val="24"/>
          </w:rPr>
          <w:t xml:space="preserve">, </w:t>
        </w:r>
        <w:smartTag w:uri="urn:schemas-microsoft-com:office:smarttags" w:element="State">
          <w:r w:rsidRPr="008E34A9">
            <w:rPr>
              <w:sz w:val="24"/>
            </w:rPr>
            <w:t>Washington</w:t>
          </w:r>
        </w:smartTag>
        <w:r w:rsidRPr="008E34A9">
          <w:rPr>
            <w:sz w:val="24"/>
          </w:rPr>
          <w:t xml:space="preserve">  </w:t>
        </w:r>
        <w:smartTag w:uri="urn:schemas-microsoft-com:office:smarttags" w:element="PostalCode">
          <w:r w:rsidRPr="008E34A9">
            <w:rPr>
              <w:sz w:val="24"/>
            </w:rPr>
            <w:t>98504-7250</w:t>
          </w:r>
        </w:smartTag>
      </w:smartTag>
    </w:p>
    <w:p w:rsidR="0067671D" w:rsidRPr="00074507" w:rsidRDefault="0067671D" w:rsidP="00BE52CC">
      <w:pPr>
        <w:spacing w:line="276" w:lineRule="auto"/>
        <w:rPr>
          <w:sz w:val="24"/>
        </w:rPr>
      </w:pPr>
    </w:p>
    <w:p w:rsidR="00CA0FF8" w:rsidRPr="00CA0FF8" w:rsidRDefault="00DD5507" w:rsidP="00CA0FF8">
      <w:pPr>
        <w:spacing w:line="276" w:lineRule="auto"/>
        <w:ind w:left="720" w:hanging="720"/>
        <w:rPr>
          <w:i/>
          <w:sz w:val="24"/>
        </w:rPr>
      </w:pPr>
      <w:r w:rsidRPr="0037523D">
        <w:rPr>
          <w:sz w:val="24"/>
        </w:rPr>
        <w:t xml:space="preserve">RE: </w:t>
      </w:r>
      <w:r w:rsidR="0037523D" w:rsidRPr="0037523D">
        <w:rPr>
          <w:sz w:val="24"/>
        </w:rPr>
        <w:tab/>
      </w:r>
      <w:r w:rsidR="0037523D" w:rsidRPr="0037523D">
        <w:rPr>
          <w:i/>
          <w:sz w:val="24"/>
        </w:rPr>
        <w:t>Washington Utilities and Transportation Commission v.</w:t>
      </w:r>
      <w:r w:rsidR="002F3753" w:rsidRPr="0037523D">
        <w:rPr>
          <w:i/>
          <w:sz w:val="24"/>
        </w:rPr>
        <w:t xml:space="preserve"> </w:t>
      </w:r>
      <w:r w:rsidR="00CA0FF8">
        <w:rPr>
          <w:i/>
          <w:sz w:val="24"/>
        </w:rPr>
        <w:t>BML Investments, LLC d/b/a Wenatchee Valley Shuttle</w:t>
      </w:r>
    </w:p>
    <w:p w:rsidR="00DD5507" w:rsidRDefault="002F3753" w:rsidP="00BE52CC">
      <w:pPr>
        <w:spacing w:line="276" w:lineRule="auto"/>
        <w:ind w:left="720"/>
        <w:rPr>
          <w:sz w:val="24"/>
        </w:rPr>
      </w:pPr>
      <w:r w:rsidRPr="0037523D">
        <w:rPr>
          <w:sz w:val="24"/>
        </w:rPr>
        <w:t>Commission Staff’s Response to Application for Mitigation of Penalties</w:t>
      </w:r>
    </w:p>
    <w:p w:rsidR="0037523D" w:rsidRPr="0037523D" w:rsidRDefault="0037523D" w:rsidP="00BE52CC">
      <w:pPr>
        <w:spacing w:line="276" w:lineRule="auto"/>
        <w:ind w:left="720"/>
        <w:rPr>
          <w:sz w:val="24"/>
        </w:rPr>
      </w:pPr>
      <w:r>
        <w:rPr>
          <w:sz w:val="24"/>
        </w:rPr>
        <w:t xml:space="preserve">Docket </w:t>
      </w:r>
      <w:r w:rsidR="00CA0FF8">
        <w:rPr>
          <w:sz w:val="24"/>
        </w:rPr>
        <w:t>TC-121565</w:t>
      </w:r>
    </w:p>
    <w:p w:rsidR="00DD5507" w:rsidRPr="00074507" w:rsidRDefault="00DD5507" w:rsidP="00BE52CC">
      <w:pPr>
        <w:spacing w:line="276" w:lineRule="auto"/>
        <w:rPr>
          <w:sz w:val="24"/>
        </w:rPr>
      </w:pPr>
    </w:p>
    <w:p w:rsidR="00087C76" w:rsidRPr="00074507" w:rsidRDefault="00087C76" w:rsidP="00CE766F">
      <w:pPr>
        <w:rPr>
          <w:sz w:val="24"/>
        </w:rPr>
      </w:pPr>
      <w:r w:rsidRPr="00074507">
        <w:rPr>
          <w:sz w:val="24"/>
        </w:rPr>
        <w:t>Dea</w:t>
      </w:r>
      <w:r w:rsidR="00674EB9">
        <w:rPr>
          <w:sz w:val="24"/>
        </w:rPr>
        <w:t>r</w:t>
      </w:r>
      <w:r w:rsidR="002F3753">
        <w:rPr>
          <w:sz w:val="24"/>
        </w:rPr>
        <w:t xml:space="preserve"> Mr. Danner</w:t>
      </w:r>
      <w:r w:rsidR="001546D4">
        <w:rPr>
          <w:sz w:val="24"/>
        </w:rPr>
        <w:t>:</w:t>
      </w:r>
    </w:p>
    <w:p w:rsidR="00087C76" w:rsidRPr="00074507" w:rsidRDefault="00087C76" w:rsidP="00CE766F">
      <w:pPr>
        <w:rPr>
          <w:sz w:val="24"/>
        </w:rPr>
      </w:pPr>
    </w:p>
    <w:p w:rsidR="00C21751" w:rsidRPr="00713F39" w:rsidRDefault="00C21751" w:rsidP="00DF234A">
      <w:pPr>
        <w:spacing w:line="276" w:lineRule="auto"/>
        <w:rPr>
          <w:sz w:val="24"/>
        </w:rPr>
      </w:pPr>
      <w:r w:rsidRPr="00177F39">
        <w:rPr>
          <w:sz w:val="24"/>
        </w:rPr>
        <w:t xml:space="preserve">On </w:t>
      </w:r>
      <w:r w:rsidR="00CA0FF8">
        <w:rPr>
          <w:sz w:val="24"/>
        </w:rPr>
        <w:t>October 4, 2012</w:t>
      </w:r>
      <w:r w:rsidRPr="00177F39">
        <w:rPr>
          <w:sz w:val="24"/>
        </w:rPr>
        <w:t xml:space="preserve">, the Washington Utilities and Transportation Commission (commission) issued Penalty Assessment </w:t>
      </w:r>
      <w:r w:rsidR="00515348">
        <w:rPr>
          <w:sz w:val="24"/>
        </w:rPr>
        <w:t>TC-121565</w:t>
      </w:r>
      <w:r w:rsidRPr="00177F39">
        <w:rPr>
          <w:sz w:val="24"/>
        </w:rPr>
        <w:t xml:space="preserve"> against </w:t>
      </w:r>
      <w:r w:rsidR="00515348" w:rsidRPr="00515348">
        <w:rPr>
          <w:sz w:val="24"/>
        </w:rPr>
        <w:t>BML Investments, LLC d/b/a Wenatchee Valley Shuttle</w:t>
      </w:r>
      <w:r w:rsidRPr="00177F39">
        <w:rPr>
          <w:sz w:val="24"/>
        </w:rPr>
        <w:t xml:space="preserve"> (</w:t>
      </w:r>
      <w:r w:rsidR="00515348">
        <w:rPr>
          <w:sz w:val="24"/>
        </w:rPr>
        <w:t>BML Investments</w:t>
      </w:r>
      <w:r w:rsidRPr="00177F39">
        <w:rPr>
          <w:sz w:val="24"/>
        </w:rPr>
        <w:t>) in the amount of $</w:t>
      </w:r>
      <w:r w:rsidR="00515348">
        <w:rPr>
          <w:sz w:val="24"/>
        </w:rPr>
        <w:t>2</w:t>
      </w:r>
      <w:r w:rsidRPr="00177F39">
        <w:rPr>
          <w:sz w:val="24"/>
        </w:rPr>
        <w:t>,</w:t>
      </w:r>
      <w:r w:rsidR="00515348">
        <w:rPr>
          <w:sz w:val="24"/>
        </w:rPr>
        <w:t>0</w:t>
      </w:r>
      <w:r w:rsidRPr="00177F39">
        <w:rPr>
          <w:sz w:val="24"/>
        </w:rPr>
        <w:t xml:space="preserve">00 </w:t>
      </w:r>
      <w:r w:rsidR="00515348">
        <w:rPr>
          <w:sz w:val="24"/>
        </w:rPr>
        <w:t>for 13 violations</w:t>
      </w:r>
      <w:r w:rsidR="00515348" w:rsidRPr="00713F39">
        <w:rPr>
          <w:sz w:val="24"/>
        </w:rPr>
        <w:t xml:space="preserve"> </w:t>
      </w:r>
      <w:r w:rsidR="00C16455">
        <w:rPr>
          <w:sz w:val="24"/>
        </w:rPr>
        <w:t xml:space="preserve">of </w:t>
      </w:r>
      <w:r w:rsidR="00515348" w:rsidRPr="00713F39">
        <w:rPr>
          <w:sz w:val="24"/>
        </w:rPr>
        <w:t>Commission Order 01 in Docket TC-121120 – Order Suspending Certificate C-64605</w:t>
      </w:r>
      <w:r w:rsidR="00713F39" w:rsidRPr="00713F39">
        <w:rPr>
          <w:sz w:val="24"/>
        </w:rPr>
        <w:t xml:space="preserve"> and seven violations</w:t>
      </w:r>
      <w:r w:rsidR="00515348" w:rsidRPr="00713F39">
        <w:rPr>
          <w:sz w:val="24"/>
        </w:rPr>
        <w:t xml:space="preserve"> </w:t>
      </w:r>
      <w:r w:rsidR="00713F39" w:rsidRPr="00713F39">
        <w:rPr>
          <w:sz w:val="24"/>
        </w:rPr>
        <w:t xml:space="preserve">of </w:t>
      </w:r>
      <w:r w:rsidR="00515348" w:rsidRPr="00713F39">
        <w:rPr>
          <w:sz w:val="24"/>
        </w:rPr>
        <w:t xml:space="preserve">Washington Administrative Code (WAC) 480-30-221, Vehicle and driver safety requirements, which requires passenger transportation companies to comply with Title 49, Code of Federal Regulations (CFR), including Part 391, which governs qualification of drivers.  </w:t>
      </w:r>
    </w:p>
    <w:p w:rsidR="00C21751" w:rsidRPr="00177F39" w:rsidRDefault="00C21751" w:rsidP="00DF234A">
      <w:pPr>
        <w:spacing w:line="276" w:lineRule="auto"/>
        <w:rPr>
          <w:b/>
          <w:sz w:val="24"/>
        </w:rPr>
      </w:pPr>
    </w:p>
    <w:p w:rsidR="008B34FB" w:rsidRDefault="00C21751" w:rsidP="00DF234A">
      <w:pPr>
        <w:spacing w:line="276" w:lineRule="auto"/>
        <w:rPr>
          <w:sz w:val="24"/>
        </w:rPr>
      </w:pPr>
      <w:r w:rsidRPr="00177F39">
        <w:rPr>
          <w:sz w:val="24"/>
        </w:rPr>
        <w:t xml:space="preserve">On </w:t>
      </w:r>
      <w:r w:rsidR="00713F39">
        <w:rPr>
          <w:sz w:val="24"/>
        </w:rPr>
        <w:t>October 12, 2012</w:t>
      </w:r>
      <w:r w:rsidRPr="00177F39">
        <w:rPr>
          <w:sz w:val="24"/>
        </w:rPr>
        <w:t xml:space="preserve">, </w:t>
      </w:r>
      <w:r w:rsidR="00713F39">
        <w:rPr>
          <w:sz w:val="24"/>
        </w:rPr>
        <w:t>BML Investments</w:t>
      </w:r>
      <w:r w:rsidRPr="00177F39">
        <w:rPr>
          <w:sz w:val="24"/>
        </w:rPr>
        <w:t xml:space="preserve"> filed with the commission its request for mitigation </w:t>
      </w:r>
      <w:r w:rsidR="00C0038D" w:rsidRPr="00177F39">
        <w:rPr>
          <w:sz w:val="24"/>
        </w:rPr>
        <w:t>(Mitigation Request)</w:t>
      </w:r>
      <w:r w:rsidRPr="00177F39">
        <w:rPr>
          <w:sz w:val="24"/>
        </w:rPr>
        <w:t xml:space="preserve">. </w:t>
      </w:r>
      <w:r w:rsidR="00713F39">
        <w:rPr>
          <w:sz w:val="24"/>
        </w:rPr>
        <w:t>BML Investments</w:t>
      </w:r>
      <w:r w:rsidRPr="00177F39">
        <w:rPr>
          <w:sz w:val="24"/>
        </w:rPr>
        <w:t xml:space="preserve"> admitted the alleged violations, but asked that the penalty amount be reduced. </w:t>
      </w:r>
    </w:p>
    <w:p w:rsidR="00713F39" w:rsidRDefault="00713F39" w:rsidP="00DF234A">
      <w:pPr>
        <w:spacing w:line="276" w:lineRule="auto"/>
        <w:rPr>
          <w:sz w:val="24"/>
        </w:rPr>
      </w:pPr>
    </w:p>
    <w:p w:rsidR="0018684B" w:rsidRPr="0018684B" w:rsidRDefault="0018684B" w:rsidP="00DF234A">
      <w:pPr>
        <w:spacing w:line="276" w:lineRule="auto"/>
        <w:rPr>
          <w:b/>
          <w:sz w:val="24"/>
        </w:rPr>
      </w:pPr>
      <w:r w:rsidRPr="0018684B">
        <w:rPr>
          <w:b/>
          <w:sz w:val="24"/>
        </w:rPr>
        <w:t xml:space="preserve">Violations of Commission Order </w:t>
      </w:r>
    </w:p>
    <w:p w:rsidR="00F27990" w:rsidRDefault="00713F39" w:rsidP="00DF234A">
      <w:pPr>
        <w:widowControl/>
        <w:autoSpaceDE/>
        <w:autoSpaceDN/>
        <w:adjustRightInd/>
        <w:spacing w:line="276" w:lineRule="auto"/>
        <w:rPr>
          <w:sz w:val="24"/>
        </w:rPr>
      </w:pPr>
      <w:r>
        <w:rPr>
          <w:sz w:val="24"/>
        </w:rPr>
        <w:t>BML Investments</w:t>
      </w:r>
      <w:r w:rsidR="002F3753" w:rsidRPr="00046418">
        <w:rPr>
          <w:sz w:val="24"/>
        </w:rPr>
        <w:t xml:space="preserve"> does not dispute that the violation</w:t>
      </w:r>
      <w:r w:rsidR="00C21751">
        <w:rPr>
          <w:sz w:val="24"/>
        </w:rPr>
        <w:t>s</w:t>
      </w:r>
      <w:r w:rsidR="002F3753" w:rsidRPr="00046418">
        <w:rPr>
          <w:sz w:val="24"/>
        </w:rPr>
        <w:t xml:space="preserve"> occurred. </w:t>
      </w:r>
      <w:r w:rsidR="0056398F">
        <w:rPr>
          <w:sz w:val="24"/>
        </w:rPr>
        <w:t>However, i</w:t>
      </w:r>
      <w:r w:rsidR="00177F39">
        <w:rPr>
          <w:sz w:val="24"/>
        </w:rPr>
        <w:t xml:space="preserve">n its Mitigation Request, </w:t>
      </w:r>
      <w:r w:rsidR="0056398F">
        <w:rPr>
          <w:sz w:val="24"/>
        </w:rPr>
        <w:t>t</w:t>
      </w:r>
      <w:r w:rsidR="00B76F8A">
        <w:rPr>
          <w:sz w:val="24"/>
        </w:rPr>
        <w:t xml:space="preserve">he company </w:t>
      </w:r>
      <w:r w:rsidR="0056398F">
        <w:rPr>
          <w:sz w:val="24"/>
        </w:rPr>
        <w:t xml:space="preserve">disputes the suspension of its certificate in Docket TC-121120 </w:t>
      </w:r>
      <w:r>
        <w:rPr>
          <w:sz w:val="24"/>
        </w:rPr>
        <w:t xml:space="preserve">because it claims to have submitted the required insurance information in a timely manner. </w:t>
      </w:r>
      <w:r w:rsidR="0056398F">
        <w:rPr>
          <w:sz w:val="24"/>
        </w:rPr>
        <w:t>The appropriate avenue for BML Investments to dispute the circumstances surrounding the suspension would have b</w:t>
      </w:r>
      <w:r w:rsidR="00CA3118">
        <w:rPr>
          <w:sz w:val="24"/>
        </w:rPr>
        <w:t xml:space="preserve">een to request </w:t>
      </w:r>
      <w:r w:rsidR="00E314B5">
        <w:rPr>
          <w:sz w:val="24"/>
        </w:rPr>
        <w:t>administrative review of</w:t>
      </w:r>
      <w:r w:rsidR="0056398F">
        <w:rPr>
          <w:sz w:val="24"/>
        </w:rPr>
        <w:t xml:space="preserve"> the commission’s July 2, 2012, suspension order.</w:t>
      </w:r>
      <w:r w:rsidR="003F7AC7">
        <w:rPr>
          <w:sz w:val="24"/>
        </w:rPr>
        <w:t xml:space="preserve"> </w:t>
      </w:r>
      <w:r w:rsidR="0056398F">
        <w:rPr>
          <w:sz w:val="24"/>
        </w:rPr>
        <w:lastRenderedPageBreak/>
        <w:t xml:space="preserve">BML investments did not </w:t>
      </w:r>
      <w:r w:rsidR="00C16455">
        <w:rPr>
          <w:sz w:val="24"/>
        </w:rPr>
        <w:t>request administrative review</w:t>
      </w:r>
      <w:r w:rsidR="00F27990">
        <w:rPr>
          <w:sz w:val="24"/>
        </w:rPr>
        <w:t xml:space="preserve"> and the commission’s order </w:t>
      </w:r>
      <w:r w:rsidR="00C16455">
        <w:rPr>
          <w:sz w:val="24"/>
        </w:rPr>
        <w:t>became final</w:t>
      </w:r>
      <w:r w:rsidR="0056398F">
        <w:rPr>
          <w:sz w:val="24"/>
        </w:rPr>
        <w:t xml:space="preserve">. </w:t>
      </w:r>
      <w:r w:rsidR="00781997">
        <w:rPr>
          <w:sz w:val="24"/>
        </w:rPr>
        <w:t>However</w:t>
      </w:r>
      <w:r w:rsidR="0056398F">
        <w:rPr>
          <w:sz w:val="24"/>
        </w:rPr>
        <w:t xml:space="preserve">, </w:t>
      </w:r>
      <w:r w:rsidR="002626D2">
        <w:rPr>
          <w:sz w:val="24"/>
        </w:rPr>
        <w:t>I</w:t>
      </w:r>
      <w:r w:rsidR="0056398F">
        <w:rPr>
          <w:sz w:val="24"/>
        </w:rPr>
        <w:t xml:space="preserve"> will address the specific points related to the suspension. </w:t>
      </w:r>
    </w:p>
    <w:p w:rsidR="00F27990" w:rsidRDefault="00F27990" w:rsidP="00DF234A">
      <w:pPr>
        <w:widowControl/>
        <w:autoSpaceDE/>
        <w:autoSpaceDN/>
        <w:adjustRightInd/>
        <w:spacing w:line="276" w:lineRule="auto"/>
        <w:rPr>
          <w:sz w:val="24"/>
        </w:rPr>
      </w:pPr>
    </w:p>
    <w:p w:rsidR="002626D2" w:rsidRDefault="0056398F" w:rsidP="00DF234A">
      <w:pPr>
        <w:widowControl/>
        <w:autoSpaceDE/>
        <w:autoSpaceDN/>
        <w:adjustRightInd/>
        <w:spacing w:line="276" w:lineRule="auto"/>
        <w:rPr>
          <w:sz w:val="24"/>
        </w:rPr>
      </w:pPr>
      <w:r>
        <w:rPr>
          <w:sz w:val="24"/>
        </w:rPr>
        <w:t xml:space="preserve">After receiving the information </w:t>
      </w:r>
      <w:r w:rsidR="00C16455">
        <w:rPr>
          <w:sz w:val="24"/>
        </w:rPr>
        <w:t xml:space="preserve">referenced in the Mitigation Request </w:t>
      </w:r>
      <w:r w:rsidR="002E0ACC">
        <w:rPr>
          <w:sz w:val="24"/>
        </w:rPr>
        <w:t>from</w:t>
      </w:r>
      <w:r>
        <w:rPr>
          <w:sz w:val="24"/>
        </w:rPr>
        <w:t xml:space="preserve"> BML Investments’ insurance agent</w:t>
      </w:r>
      <w:r w:rsidR="00C16455">
        <w:rPr>
          <w:sz w:val="24"/>
        </w:rPr>
        <w:t xml:space="preserve">, </w:t>
      </w:r>
      <w:r>
        <w:rPr>
          <w:sz w:val="24"/>
        </w:rPr>
        <w:t>commiss</w:t>
      </w:r>
      <w:r w:rsidR="0018684B">
        <w:rPr>
          <w:sz w:val="24"/>
        </w:rPr>
        <w:t>ion staff sent BML Investments an “Insurance Binder Notification”</w:t>
      </w:r>
      <w:r>
        <w:rPr>
          <w:sz w:val="24"/>
        </w:rPr>
        <w:t xml:space="preserve"> letter on April 25, 2012.</w:t>
      </w:r>
      <w:r w:rsidR="00781997" w:rsidRPr="0018684B">
        <w:rPr>
          <w:rStyle w:val="FootnoteReference"/>
          <w:position w:val="6"/>
          <w:sz w:val="16"/>
        </w:rPr>
        <w:footnoteReference w:id="1"/>
      </w:r>
      <w:r>
        <w:rPr>
          <w:sz w:val="24"/>
        </w:rPr>
        <w:t xml:space="preserve"> The letter clearly explained that the commission had received an insurance binder that was valid for up to 60 days. </w:t>
      </w:r>
      <w:r w:rsidR="00C16455">
        <w:rPr>
          <w:sz w:val="24"/>
        </w:rPr>
        <w:t>BML Investments</w:t>
      </w:r>
      <w:r>
        <w:rPr>
          <w:sz w:val="24"/>
        </w:rPr>
        <w:t xml:space="preserve"> </w:t>
      </w:r>
      <w:r w:rsidR="00781997">
        <w:rPr>
          <w:sz w:val="24"/>
        </w:rPr>
        <w:t>had to</w:t>
      </w:r>
      <w:r>
        <w:rPr>
          <w:sz w:val="24"/>
        </w:rPr>
        <w:t xml:space="preserve"> file a Form E insurance certificate within those 60 days or the </w:t>
      </w:r>
      <w:r w:rsidR="002E0ACC">
        <w:rPr>
          <w:sz w:val="24"/>
        </w:rPr>
        <w:t xml:space="preserve">company’s </w:t>
      </w:r>
      <w:r>
        <w:rPr>
          <w:sz w:val="24"/>
        </w:rPr>
        <w:t xml:space="preserve">permit would be suspended. </w:t>
      </w:r>
      <w:r w:rsidR="00F27990">
        <w:rPr>
          <w:sz w:val="24"/>
        </w:rPr>
        <w:t>The letter</w:t>
      </w:r>
      <w:r w:rsidR="0018684B">
        <w:rPr>
          <w:sz w:val="24"/>
        </w:rPr>
        <w:t xml:space="preserve"> also explained how </w:t>
      </w:r>
      <w:r w:rsidR="002E0ACC">
        <w:rPr>
          <w:sz w:val="24"/>
        </w:rPr>
        <w:t>BML Investments</w:t>
      </w:r>
      <w:r w:rsidR="0018684B">
        <w:rPr>
          <w:sz w:val="24"/>
        </w:rPr>
        <w:t xml:space="preserve"> could dispute </w:t>
      </w:r>
      <w:r w:rsidR="00E314B5">
        <w:rPr>
          <w:sz w:val="24"/>
        </w:rPr>
        <w:t xml:space="preserve">such </w:t>
      </w:r>
      <w:r w:rsidR="0018684B">
        <w:rPr>
          <w:sz w:val="24"/>
        </w:rPr>
        <w:t xml:space="preserve">a suspension.  </w:t>
      </w:r>
    </w:p>
    <w:p w:rsidR="002626D2" w:rsidRDefault="002626D2" w:rsidP="00DF234A">
      <w:pPr>
        <w:widowControl/>
        <w:autoSpaceDE/>
        <w:autoSpaceDN/>
        <w:adjustRightInd/>
        <w:spacing w:line="276" w:lineRule="auto"/>
        <w:rPr>
          <w:sz w:val="24"/>
        </w:rPr>
      </w:pPr>
    </w:p>
    <w:p w:rsidR="003B3867" w:rsidRDefault="0018684B" w:rsidP="00DF234A">
      <w:pPr>
        <w:widowControl/>
        <w:autoSpaceDE/>
        <w:autoSpaceDN/>
        <w:adjustRightInd/>
        <w:spacing w:line="276" w:lineRule="auto"/>
        <w:rPr>
          <w:sz w:val="24"/>
        </w:rPr>
      </w:pPr>
      <w:r>
        <w:rPr>
          <w:sz w:val="24"/>
        </w:rPr>
        <w:t>When the commission did not receive the Form E certificate,</w:t>
      </w:r>
      <w:r w:rsidR="00C16455">
        <w:rPr>
          <w:sz w:val="24"/>
        </w:rPr>
        <w:t xml:space="preserve"> </w:t>
      </w:r>
      <w:r w:rsidR="00E314B5">
        <w:rPr>
          <w:sz w:val="24"/>
        </w:rPr>
        <w:t>it</w:t>
      </w:r>
      <w:r w:rsidR="00C16455">
        <w:rPr>
          <w:sz w:val="24"/>
        </w:rPr>
        <w:t xml:space="preserve"> suspended</w:t>
      </w:r>
      <w:r>
        <w:rPr>
          <w:sz w:val="24"/>
        </w:rPr>
        <w:t xml:space="preserve"> BML Investments’ authority </w:t>
      </w:r>
      <w:r w:rsidR="002E0ACC">
        <w:rPr>
          <w:sz w:val="24"/>
        </w:rPr>
        <w:t>on July 2, 2012</w:t>
      </w:r>
      <w:r>
        <w:rPr>
          <w:sz w:val="24"/>
        </w:rPr>
        <w:t>.</w:t>
      </w:r>
      <w:r w:rsidR="00F27990" w:rsidRPr="008F5545">
        <w:rPr>
          <w:rStyle w:val="FootnoteReference"/>
          <w:position w:val="6"/>
          <w:sz w:val="16"/>
        </w:rPr>
        <w:footnoteReference w:id="2"/>
      </w:r>
      <w:r>
        <w:rPr>
          <w:sz w:val="24"/>
        </w:rPr>
        <w:t xml:space="preserve"> The commission’s suspension order clearly </w:t>
      </w:r>
      <w:r w:rsidRPr="0018684B">
        <w:rPr>
          <w:sz w:val="24"/>
        </w:rPr>
        <w:t xml:space="preserve">directed </w:t>
      </w:r>
      <w:r>
        <w:rPr>
          <w:sz w:val="24"/>
        </w:rPr>
        <w:t xml:space="preserve">the company </w:t>
      </w:r>
      <w:r w:rsidRPr="0018684B">
        <w:rPr>
          <w:sz w:val="24"/>
        </w:rPr>
        <w:t xml:space="preserve">to cease all operations associated with certificate C-64605 until the </w:t>
      </w:r>
      <w:r>
        <w:rPr>
          <w:sz w:val="24"/>
        </w:rPr>
        <w:t>c</w:t>
      </w:r>
      <w:r w:rsidRPr="0018684B">
        <w:rPr>
          <w:sz w:val="24"/>
        </w:rPr>
        <w:t>ommission receive</w:t>
      </w:r>
      <w:r>
        <w:rPr>
          <w:sz w:val="24"/>
        </w:rPr>
        <w:t>d</w:t>
      </w:r>
      <w:r w:rsidRPr="0018684B">
        <w:rPr>
          <w:sz w:val="24"/>
        </w:rPr>
        <w:t xml:space="preserve"> proof of liability and property damage insurance and enter</w:t>
      </w:r>
      <w:r>
        <w:rPr>
          <w:sz w:val="24"/>
        </w:rPr>
        <w:t>ed</w:t>
      </w:r>
      <w:r w:rsidRPr="0018684B">
        <w:rPr>
          <w:sz w:val="24"/>
        </w:rPr>
        <w:t xml:space="preserve"> an order lifting the suspension and authorizing </w:t>
      </w:r>
      <w:r>
        <w:rPr>
          <w:sz w:val="24"/>
        </w:rPr>
        <w:t>BML Investments</w:t>
      </w:r>
      <w:r w:rsidRPr="0018684B">
        <w:rPr>
          <w:sz w:val="24"/>
        </w:rPr>
        <w:t xml:space="preserve"> to resume operations.</w:t>
      </w:r>
      <w:r w:rsidRPr="008F5545">
        <w:rPr>
          <w:rStyle w:val="FootnoteReference"/>
          <w:position w:val="6"/>
          <w:sz w:val="16"/>
        </w:rPr>
        <w:t xml:space="preserve"> </w:t>
      </w:r>
      <w:r w:rsidR="003B3867">
        <w:rPr>
          <w:sz w:val="24"/>
        </w:rPr>
        <w:t xml:space="preserve">BML Investments did not request </w:t>
      </w:r>
      <w:r w:rsidR="004647BE">
        <w:rPr>
          <w:sz w:val="24"/>
        </w:rPr>
        <w:t>administrative review of the order</w:t>
      </w:r>
      <w:r w:rsidR="003B3867">
        <w:rPr>
          <w:sz w:val="24"/>
        </w:rPr>
        <w:t xml:space="preserve">. </w:t>
      </w:r>
    </w:p>
    <w:p w:rsidR="003B3867" w:rsidRDefault="003B3867" w:rsidP="00DF234A">
      <w:pPr>
        <w:widowControl/>
        <w:autoSpaceDE/>
        <w:autoSpaceDN/>
        <w:adjustRightInd/>
        <w:spacing w:line="276" w:lineRule="auto"/>
        <w:rPr>
          <w:sz w:val="24"/>
        </w:rPr>
      </w:pPr>
    </w:p>
    <w:p w:rsidR="002626D2" w:rsidRDefault="002626D2" w:rsidP="00DF234A">
      <w:pPr>
        <w:widowControl/>
        <w:autoSpaceDE/>
        <w:autoSpaceDN/>
        <w:adjustRightInd/>
        <w:spacing w:line="276" w:lineRule="auto"/>
        <w:rPr>
          <w:sz w:val="24"/>
        </w:rPr>
      </w:pPr>
      <w:r>
        <w:rPr>
          <w:sz w:val="24"/>
        </w:rPr>
        <w:t xml:space="preserve">BML Investments </w:t>
      </w:r>
      <w:r w:rsidR="003B3867">
        <w:rPr>
          <w:sz w:val="24"/>
        </w:rPr>
        <w:t>submitted</w:t>
      </w:r>
      <w:r>
        <w:rPr>
          <w:sz w:val="24"/>
        </w:rPr>
        <w:t xml:space="preserve"> the </w:t>
      </w:r>
      <w:r w:rsidR="003B3867">
        <w:rPr>
          <w:sz w:val="24"/>
        </w:rPr>
        <w:t xml:space="preserve">required </w:t>
      </w:r>
      <w:r>
        <w:rPr>
          <w:sz w:val="24"/>
        </w:rPr>
        <w:t xml:space="preserve">Form E insurance certificate </w:t>
      </w:r>
      <w:r w:rsidR="003B3867">
        <w:rPr>
          <w:sz w:val="24"/>
        </w:rPr>
        <w:t>on</w:t>
      </w:r>
      <w:r>
        <w:rPr>
          <w:sz w:val="24"/>
        </w:rPr>
        <w:t xml:space="preserve"> July 17, 2012. </w:t>
      </w:r>
      <w:r w:rsidR="003B3867">
        <w:rPr>
          <w:sz w:val="24"/>
        </w:rPr>
        <w:t>The commission lifted the suspension the same day.</w:t>
      </w:r>
      <w:r w:rsidR="003B3867" w:rsidRPr="003B3867">
        <w:rPr>
          <w:rStyle w:val="FootnoteReference"/>
          <w:position w:val="6"/>
          <w:sz w:val="16"/>
        </w:rPr>
        <w:footnoteReference w:id="3"/>
      </w:r>
      <w:r w:rsidR="003B3867">
        <w:rPr>
          <w:sz w:val="24"/>
        </w:rPr>
        <w:t xml:space="preserve"> </w:t>
      </w:r>
      <w:r>
        <w:rPr>
          <w:sz w:val="24"/>
        </w:rPr>
        <w:t>Between the date the commission suspended the company’s authority and the date the commission lifted the suspension, BML Investments provided regulated passenger</w:t>
      </w:r>
      <w:r w:rsidR="00E314B5">
        <w:rPr>
          <w:sz w:val="24"/>
        </w:rPr>
        <w:t xml:space="preserve"> transportation on 13 occasions.</w:t>
      </w:r>
    </w:p>
    <w:p w:rsidR="00DB4262" w:rsidRDefault="00DB4262" w:rsidP="00DF234A">
      <w:pPr>
        <w:widowControl/>
        <w:autoSpaceDE/>
        <w:autoSpaceDN/>
        <w:adjustRightInd/>
        <w:spacing w:line="276" w:lineRule="auto"/>
        <w:rPr>
          <w:sz w:val="24"/>
        </w:rPr>
      </w:pPr>
    </w:p>
    <w:p w:rsidR="00DB4262" w:rsidRDefault="00DB4262" w:rsidP="00DB4262">
      <w:pPr>
        <w:spacing w:line="276" w:lineRule="auto"/>
        <w:rPr>
          <w:sz w:val="24"/>
        </w:rPr>
      </w:pPr>
      <w:r>
        <w:rPr>
          <w:sz w:val="24"/>
        </w:rPr>
        <w:t>The commission regulates passenger transportation companies to ensure the protection of the traveling public. Without proof that BML Investments had the required liability and property damage insurance coverage, the commission was unable to ensure that the traveling public was protected; therefore, the commission suspended BML Investments’ certificate. BML operated during the suspension period in violation of the commission’s order, without having provided proof of the required insurance coverage. Staff does not support mitigation of these penalties.</w:t>
      </w:r>
    </w:p>
    <w:p w:rsidR="002626D2" w:rsidRDefault="002626D2" w:rsidP="00DF234A">
      <w:pPr>
        <w:widowControl/>
        <w:autoSpaceDE/>
        <w:autoSpaceDN/>
        <w:adjustRightInd/>
        <w:spacing w:line="276" w:lineRule="auto"/>
        <w:rPr>
          <w:sz w:val="24"/>
        </w:rPr>
      </w:pPr>
    </w:p>
    <w:p w:rsidR="0056398F" w:rsidRPr="00B470FE" w:rsidRDefault="0018684B" w:rsidP="00DF234A">
      <w:pPr>
        <w:widowControl/>
        <w:autoSpaceDE/>
        <w:autoSpaceDN/>
        <w:adjustRightInd/>
        <w:spacing w:line="276" w:lineRule="auto"/>
        <w:rPr>
          <w:b/>
          <w:sz w:val="24"/>
        </w:rPr>
      </w:pPr>
      <w:r w:rsidRPr="00B470FE">
        <w:rPr>
          <w:b/>
          <w:sz w:val="24"/>
        </w:rPr>
        <w:t>Safety Violation</w:t>
      </w:r>
      <w:r w:rsidR="00B470FE">
        <w:rPr>
          <w:b/>
          <w:sz w:val="24"/>
        </w:rPr>
        <w:t>s</w:t>
      </w:r>
    </w:p>
    <w:p w:rsidR="002E0ACC" w:rsidRDefault="008F5545" w:rsidP="00DF234A">
      <w:pPr>
        <w:spacing w:line="276" w:lineRule="auto"/>
        <w:rPr>
          <w:sz w:val="24"/>
        </w:rPr>
      </w:pPr>
      <w:r>
        <w:rPr>
          <w:sz w:val="24"/>
        </w:rPr>
        <w:t xml:space="preserve">In its Mitigation Request, BML Investments states that it was unaware that all of its drivers needed a medical card. </w:t>
      </w:r>
    </w:p>
    <w:p w:rsidR="002E0ACC" w:rsidRDefault="002E0ACC" w:rsidP="00DF234A">
      <w:pPr>
        <w:spacing w:line="276" w:lineRule="auto"/>
        <w:rPr>
          <w:sz w:val="24"/>
        </w:rPr>
      </w:pPr>
    </w:p>
    <w:p w:rsidR="003B3867" w:rsidRDefault="003B3867" w:rsidP="003B3867">
      <w:pPr>
        <w:spacing w:line="276" w:lineRule="auto"/>
        <w:rPr>
          <w:sz w:val="24"/>
        </w:rPr>
      </w:pPr>
      <w:r>
        <w:rPr>
          <w:sz w:val="24"/>
        </w:rPr>
        <w:t xml:space="preserve">The commission’s rules governing safety requirements for passenger transportation, which adopt certain federal safety regulations, are designed to protect the health and safety of the traveling public. Regulated passenger transportation </w:t>
      </w:r>
      <w:r w:rsidRPr="00B470FE">
        <w:rPr>
          <w:sz w:val="24"/>
        </w:rPr>
        <w:t>compan</w:t>
      </w:r>
      <w:r>
        <w:rPr>
          <w:sz w:val="24"/>
        </w:rPr>
        <w:t>ies are</w:t>
      </w:r>
      <w:r w:rsidRPr="00B470FE">
        <w:rPr>
          <w:sz w:val="24"/>
        </w:rPr>
        <w:t xml:space="preserve"> responsible</w:t>
      </w:r>
      <w:r>
        <w:rPr>
          <w:sz w:val="24"/>
        </w:rPr>
        <w:t xml:space="preserve"> for </w:t>
      </w:r>
      <w:r w:rsidRPr="00B470FE">
        <w:rPr>
          <w:sz w:val="24"/>
        </w:rPr>
        <w:t>fully understand</w:t>
      </w:r>
      <w:r>
        <w:rPr>
          <w:sz w:val="24"/>
        </w:rPr>
        <w:t>ing</w:t>
      </w:r>
      <w:r w:rsidRPr="00B470FE">
        <w:rPr>
          <w:sz w:val="24"/>
        </w:rPr>
        <w:t xml:space="preserve"> and comply</w:t>
      </w:r>
      <w:r>
        <w:rPr>
          <w:sz w:val="24"/>
        </w:rPr>
        <w:t>ing</w:t>
      </w:r>
      <w:r w:rsidRPr="00B470FE">
        <w:rPr>
          <w:sz w:val="24"/>
        </w:rPr>
        <w:t xml:space="preserve"> with all federal and state laws and rules related to passenger transportation.</w:t>
      </w:r>
    </w:p>
    <w:p w:rsidR="003B3867" w:rsidRDefault="003B3867" w:rsidP="00DF234A">
      <w:pPr>
        <w:spacing w:line="276" w:lineRule="auto"/>
        <w:rPr>
          <w:sz w:val="24"/>
        </w:rPr>
      </w:pPr>
    </w:p>
    <w:p w:rsidR="008F5545" w:rsidRDefault="008F5545" w:rsidP="00DF234A">
      <w:pPr>
        <w:spacing w:line="276" w:lineRule="auto"/>
        <w:rPr>
          <w:sz w:val="24"/>
        </w:rPr>
      </w:pPr>
      <w:r w:rsidRPr="008F5545">
        <w:rPr>
          <w:sz w:val="24"/>
        </w:rPr>
        <w:lastRenderedPageBreak/>
        <w:t xml:space="preserve">When BML Investments first applied for an auto transportation certificate in April 2012, </w:t>
      </w:r>
      <w:r>
        <w:rPr>
          <w:sz w:val="24"/>
        </w:rPr>
        <w:t>commission</w:t>
      </w:r>
      <w:r w:rsidRPr="008F5545">
        <w:rPr>
          <w:sz w:val="24"/>
        </w:rPr>
        <w:t xml:space="preserve"> staff sent the company a copy of the laws and rules related to auto transportation along with a copy of the commission’s safety manual, “Your Guide to Achieving a Satisfactory Safety Record.”  The commission distributes the</w:t>
      </w:r>
      <w:r w:rsidR="00781997">
        <w:rPr>
          <w:sz w:val="24"/>
        </w:rPr>
        <w:t xml:space="preserve"> laws, rules and the</w:t>
      </w:r>
      <w:r w:rsidRPr="008F5545">
        <w:rPr>
          <w:sz w:val="24"/>
        </w:rPr>
        <w:t xml:space="preserve"> manual to assist carriers in understanding applicable rules and preparing for safety compliance reviews.</w:t>
      </w:r>
    </w:p>
    <w:p w:rsidR="008F5545" w:rsidRDefault="008F5545" w:rsidP="00DF234A">
      <w:pPr>
        <w:spacing w:line="276" w:lineRule="auto"/>
        <w:rPr>
          <w:sz w:val="24"/>
        </w:rPr>
      </w:pPr>
    </w:p>
    <w:p w:rsidR="002E0ACC" w:rsidRDefault="008F5545" w:rsidP="00DF234A">
      <w:pPr>
        <w:spacing w:line="276" w:lineRule="auto"/>
        <w:rPr>
          <w:sz w:val="24"/>
        </w:rPr>
      </w:pPr>
      <w:r>
        <w:rPr>
          <w:sz w:val="24"/>
        </w:rPr>
        <w:t xml:space="preserve">Motor Carrier Safety Inspector Rick Smith </w:t>
      </w:r>
      <w:r w:rsidR="00A733FE">
        <w:rPr>
          <w:sz w:val="24"/>
        </w:rPr>
        <w:t xml:space="preserve">first </w:t>
      </w:r>
      <w:r>
        <w:rPr>
          <w:sz w:val="24"/>
        </w:rPr>
        <w:t xml:space="preserve">met with </w:t>
      </w:r>
      <w:r w:rsidRPr="008F5545">
        <w:rPr>
          <w:sz w:val="24"/>
        </w:rPr>
        <w:t xml:space="preserve">BML Investments on April 17, 2012, prior to the commission granting the company authority as an auto transportation provider. At that time, </w:t>
      </w:r>
      <w:r>
        <w:rPr>
          <w:sz w:val="24"/>
        </w:rPr>
        <w:t>Mr. Smith</w:t>
      </w:r>
      <w:r w:rsidRPr="008F5545">
        <w:rPr>
          <w:sz w:val="24"/>
        </w:rPr>
        <w:t xml:space="preserve"> provided </w:t>
      </w:r>
      <w:r w:rsidR="00F27990">
        <w:rPr>
          <w:sz w:val="24"/>
        </w:rPr>
        <w:t>company staff</w:t>
      </w:r>
      <w:r w:rsidRPr="008F5545">
        <w:rPr>
          <w:sz w:val="24"/>
        </w:rPr>
        <w:t xml:space="preserve"> with a second copy of the safety manual. </w:t>
      </w:r>
    </w:p>
    <w:p w:rsidR="002E0ACC" w:rsidRDefault="002E0ACC" w:rsidP="00DF234A">
      <w:pPr>
        <w:spacing w:line="276" w:lineRule="auto"/>
        <w:rPr>
          <w:sz w:val="24"/>
        </w:rPr>
      </w:pPr>
    </w:p>
    <w:p w:rsidR="008F5545" w:rsidRPr="008F5545" w:rsidRDefault="008F5545" w:rsidP="00DF234A">
      <w:pPr>
        <w:spacing w:line="276" w:lineRule="auto"/>
        <w:rPr>
          <w:sz w:val="24"/>
        </w:rPr>
      </w:pPr>
      <w:r w:rsidRPr="008F5545">
        <w:rPr>
          <w:sz w:val="24"/>
        </w:rPr>
        <w:t xml:space="preserve">During the September </w:t>
      </w:r>
      <w:r w:rsidR="00983F43">
        <w:rPr>
          <w:sz w:val="24"/>
        </w:rPr>
        <w:t xml:space="preserve">5, </w:t>
      </w:r>
      <w:r w:rsidRPr="008F5545">
        <w:rPr>
          <w:sz w:val="24"/>
        </w:rPr>
        <w:t xml:space="preserve">2012 compliance review, Mr. Lott assured </w:t>
      </w:r>
      <w:r>
        <w:rPr>
          <w:sz w:val="24"/>
        </w:rPr>
        <w:t>Mr. Smith that</w:t>
      </w:r>
      <w:r w:rsidRPr="008F5545">
        <w:rPr>
          <w:sz w:val="24"/>
        </w:rPr>
        <w:t xml:space="preserve"> h</w:t>
      </w:r>
      <w:r>
        <w:rPr>
          <w:sz w:val="24"/>
        </w:rPr>
        <w:t>e</w:t>
      </w:r>
      <w:r w:rsidRPr="008F5545">
        <w:rPr>
          <w:sz w:val="24"/>
        </w:rPr>
        <w:t xml:space="preserve"> had read the safety manual several times and had two copies visible on his desk. </w:t>
      </w:r>
      <w:r>
        <w:rPr>
          <w:sz w:val="24"/>
        </w:rPr>
        <w:t xml:space="preserve">The safety manual clearly explains that drivers of commercial motor vehicles must </w:t>
      </w:r>
      <w:r w:rsidRPr="008F5545">
        <w:rPr>
          <w:sz w:val="24"/>
        </w:rPr>
        <w:t>pass a medical examination conducted by a licensed health care professional. A driver must be issued a medical examiner’s certificate, which must be carried at all times and must be renewed every two years</w:t>
      </w:r>
      <w:r>
        <w:rPr>
          <w:sz w:val="24"/>
        </w:rPr>
        <w:t>.</w:t>
      </w:r>
      <w:r w:rsidRPr="008F5545">
        <w:rPr>
          <w:rStyle w:val="FootnoteReference"/>
          <w:position w:val="6"/>
          <w:sz w:val="16"/>
        </w:rPr>
        <w:footnoteReference w:id="4"/>
      </w:r>
    </w:p>
    <w:p w:rsidR="008F5545" w:rsidRDefault="008F5545" w:rsidP="00DF234A">
      <w:pPr>
        <w:spacing w:line="276" w:lineRule="auto"/>
        <w:rPr>
          <w:sz w:val="24"/>
        </w:rPr>
      </w:pPr>
    </w:p>
    <w:p w:rsidR="00DB4262" w:rsidRDefault="00726F17" w:rsidP="00DB4262">
      <w:pPr>
        <w:spacing w:line="276" w:lineRule="auto"/>
        <w:rPr>
          <w:sz w:val="24"/>
        </w:rPr>
      </w:pPr>
      <w:r>
        <w:rPr>
          <w:sz w:val="24"/>
        </w:rPr>
        <w:t>Commission staff has provided more than adequate information and assistance to BML Investments on how to comply with federal and state laws and rules.</w:t>
      </w:r>
      <w:r w:rsidR="00DB4262">
        <w:rPr>
          <w:sz w:val="24"/>
        </w:rPr>
        <w:t xml:space="preserve"> During compliance reviews, commission staff conducts an i</w:t>
      </w:r>
      <w:r w:rsidR="00DB4262" w:rsidRPr="00AD499D">
        <w:rPr>
          <w:sz w:val="24"/>
        </w:rPr>
        <w:t xml:space="preserve">n-depth examination of the motor carrier's compliance with </w:t>
      </w:r>
      <w:r w:rsidR="00DB4262">
        <w:rPr>
          <w:sz w:val="24"/>
        </w:rPr>
        <w:t xml:space="preserve">regulations that the Federal Motor Carrier Safety Administration has </w:t>
      </w:r>
      <w:r w:rsidR="00DB4262" w:rsidRPr="00AD499D">
        <w:rPr>
          <w:sz w:val="24"/>
        </w:rPr>
        <w:t xml:space="preserve">identified </w:t>
      </w:r>
      <w:r w:rsidR="00DB4262">
        <w:rPr>
          <w:sz w:val="24"/>
        </w:rPr>
        <w:t xml:space="preserve">as </w:t>
      </w:r>
      <w:r w:rsidR="00DB4262" w:rsidRPr="00AD499D">
        <w:rPr>
          <w:sz w:val="24"/>
        </w:rPr>
        <w:t>“critical</w:t>
      </w:r>
      <w:r w:rsidR="00DB4262">
        <w:rPr>
          <w:sz w:val="24"/>
        </w:rPr>
        <w:t>.</w:t>
      </w:r>
      <w:r w:rsidR="00DB4262" w:rsidRPr="00AD499D">
        <w:rPr>
          <w:sz w:val="24"/>
        </w:rPr>
        <w:t>”</w:t>
      </w:r>
      <w:r w:rsidR="00DB4262">
        <w:rPr>
          <w:sz w:val="24"/>
        </w:rPr>
        <w:t xml:space="preserve"> U</w:t>
      </w:r>
      <w:r w:rsidR="00DB4262" w:rsidRPr="00726F17">
        <w:rPr>
          <w:sz w:val="24"/>
        </w:rPr>
        <w:t>sing a driver not medically examined and certified</w:t>
      </w:r>
      <w:r w:rsidR="00DB4262">
        <w:rPr>
          <w:sz w:val="24"/>
        </w:rPr>
        <w:t xml:space="preserve"> is</w:t>
      </w:r>
      <w:r w:rsidR="00DB4262" w:rsidRPr="00726F17">
        <w:t xml:space="preserve"> </w:t>
      </w:r>
      <w:r w:rsidR="00DB4262" w:rsidRPr="009A2860">
        <w:rPr>
          <w:rStyle w:val="fp"/>
          <w:sz w:val="24"/>
        </w:rPr>
        <w:t>considered</w:t>
      </w:r>
      <w:r w:rsidR="00DB4262">
        <w:rPr>
          <w:rStyle w:val="fp"/>
          <w:sz w:val="24"/>
        </w:rPr>
        <w:t xml:space="preserve"> a</w:t>
      </w:r>
      <w:r w:rsidR="00DB4262" w:rsidRPr="009A2860">
        <w:rPr>
          <w:rStyle w:val="fp"/>
          <w:sz w:val="24"/>
        </w:rPr>
        <w:t xml:space="preserve"> critical violation</w:t>
      </w:r>
      <w:r w:rsidR="00DB4262" w:rsidRPr="000C7C1B">
        <w:rPr>
          <w:sz w:val="24"/>
        </w:rPr>
        <w:t>.</w:t>
      </w:r>
      <w:r w:rsidR="00DB4262" w:rsidRPr="00206183">
        <w:rPr>
          <w:rStyle w:val="FootnoteReference"/>
          <w:position w:val="6"/>
          <w:sz w:val="16"/>
        </w:rPr>
        <w:footnoteReference w:id="5"/>
      </w:r>
      <w:r w:rsidR="00DB4262">
        <w:rPr>
          <w:sz w:val="24"/>
        </w:rPr>
        <w:t xml:space="preserve"> Critical violations are generally </w:t>
      </w:r>
      <w:r w:rsidR="00DB4262" w:rsidRPr="009A2860">
        <w:rPr>
          <w:sz w:val="24"/>
        </w:rPr>
        <w:t>indicative of breakdowns in a carrier's management controls.</w:t>
      </w:r>
      <w:r w:rsidR="00DB4262">
        <w:rPr>
          <w:sz w:val="24"/>
        </w:rPr>
        <w:t xml:space="preserve"> </w:t>
      </w:r>
      <w:r w:rsidR="00DB4262">
        <w:rPr>
          <w:rStyle w:val="fp"/>
          <w:sz w:val="24"/>
        </w:rPr>
        <w:t>P</w:t>
      </w:r>
      <w:r w:rsidR="00DB4262" w:rsidRPr="000C7C1B">
        <w:rPr>
          <w:sz w:val="24"/>
        </w:rPr>
        <w:t>atterns of non-compliance with critical regulations are quantitatively linked to inadequate safety management controls and usually higher</w:t>
      </w:r>
      <w:r w:rsidR="00983F43">
        <w:rPr>
          <w:sz w:val="24"/>
        </w:rPr>
        <w:t>-</w:t>
      </w:r>
      <w:r w:rsidR="00DB4262" w:rsidRPr="000C7C1B">
        <w:rPr>
          <w:sz w:val="24"/>
        </w:rPr>
        <w:t>than</w:t>
      </w:r>
      <w:r w:rsidR="00983F43">
        <w:rPr>
          <w:sz w:val="24"/>
        </w:rPr>
        <w:t>-</w:t>
      </w:r>
      <w:r w:rsidR="00DB4262" w:rsidRPr="000C7C1B">
        <w:rPr>
          <w:sz w:val="24"/>
        </w:rPr>
        <w:t>average accident rates</w:t>
      </w:r>
      <w:r w:rsidR="00DB4262">
        <w:rPr>
          <w:sz w:val="24"/>
        </w:rPr>
        <w:t>.</w:t>
      </w:r>
      <w:r w:rsidR="00DB4262" w:rsidRPr="0099268B">
        <w:rPr>
          <w:rStyle w:val="FootnoteReference"/>
          <w:position w:val="6"/>
          <w:sz w:val="16"/>
        </w:rPr>
        <w:footnoteReference w:id="6"/>
      </w:r>
      <w:r w:rsidR="00DB4262">
        <w:rPr>
          <w:sz w:val="24"/>
        </w:rPr>
        <w:t xml:space="preserve"> </w:t>
      </w:r>
    </w:p>
    <w:p w:rsidR="00E314B5" w:rsidRDefault="00E314B5" w:rsidP="00DB4262">
      <w:pPr>
        <w:spacing w:line="276" w:lineRule="auto"/>
        <w:rPr>
          <w:sz w:val="24"/>
        </w:rPr>
      </w:pPr>
    </w:p>
    <w:p w:rsidR="00AF1D9F" w:rsidRDefault="00E314B5" w:rsidP="00E314B5">
      <w:pPr>
        <w:spacing w:line="276" w:lineRule="auto"/>
        <w:rPr>
          <w:bCs/>
          <w:sz w:val="24"/>
        </w:rPr>
      </w:pPr>
      <w:r>
        <w:rPr>
          <w:bCs/>
          <w:sz w:val="24"/>
        </w:rPr>
        <w:t>Though the company states that it has improved its safety practices related to driver medical certifications, c</w:t>
      </w:r>
      <w:r w:rsidR="00DB4262">
        <w:rPr>
          <w:bCs/>
          <w:sz w:val="24"/>
        </w:rPr>
        <w:t>ommission staff remains concerned</w:t>
      </w:r>
      <w:r>
        <w:rPr>
          <w:bCs/>
          <w:sz w:val="24"/>
        </w:rPr>
        <w:t xml:space="preserve">. </w:t>
      </w:r>
      <w:r w:rsidR="00DB4262">
        <w:rPr>
          <w:bCs/>
          <w:sz w:val="24"/>
        </w:rPr>
        <w:t xml:space="preserve">On October 9, 2012, after the commission assessed the penalty against BML Investments, commission staff found a BML Investments driver conducting regulated operations at SeaTac Airport without proof of medical certification in his possession. </w:t>
      </w:r>
      <w:r w:rsidR="00DB4262" w:rsidRPr="00CE766F">
        <w:rPr>
          <w:bCs/>
          <w:sz w:val="24"/>
        </w:rPr>
        <w:t>The Commercial Vehicle Safety Alliance (CVSA) identifies violations that render commercial motor vehicle operators unqualified to drive or out-of-service.</w:t>
      </w:r>
      <w:r w:rsidR="00DB4262" w:rsidRPr="00CE766F">
        <w:rPr>
          <w:rStyle w:val="FootnoteReference"/>
          <w:bCs/>
          <w:position w:val="6"/>
          <w:sz w:val="16"/>
        </w:rPr>
        <w:footnoteReference w:id="7"/>
      </w:r>
      <w:r w:rsidR="00DB4262" w:rsidRPr="00CE766F">
        <w:rPr>
          <w:bCs/>
          <w:sz w:val="24"/>
        </w:rPr>
        <w:t xml:space="preserve"> </w:t>
      </w:r>
      <w:r w:rsidR="00DB4262">
        <w:rPr>
          <w:bCs/>
          <w:sz w:val="24"/>
        </w:rPr>
        <w:t>During</w:t>
      </w:r>
      <w:r w:rsidR="00DB4262" w:rsidRPr="00CE766F">
        <w:rPr>
          <w:bCs/>
          <w:sz w:val="24"/>
        </w:rPr>
        <w:t xml:space="preserve"> roadside enforcement, </w:t>
      </w:r>
      <w:r w:rsidR="00DB4262">
        <w:rPr>
          <w:bCs/>
          <w:sz w:val="24"/>
        </w:rPr>
        <w:t>such as this destination check</w:t>
      </w:r>
      <w:r w:rsidR="00983F43">
        <w:rPr>
          <w:bCs/>
          <w:sz w:val="24"/>
        </w:rPr>
        <w:t xml:space="preserve"> at the airport</w:t>
      </w:r>
      <w:r w:rsidR="00DB4262">
        <w:rPr>
          <w:bCs/>
          <w:sz w:val="24"/>
        </w:rPr>
        <w:t xml:space="preserve">, when </w:t>
      </w:r>
      <w:r w:rsidR="00DB4262" w:rsidRPr="00CE766F">
        <w:rPr>
          <w:bCs/>
          <w:sz w:val="24"/>
        </w:rPr>
        <w:t>commission staff finds that a driver is operating a passenger-carrying vehicle without possessing a valid medical certificate, the violation is considered severe enough that the driver is declared out-of-service.</w:t>
      </w:r>
      <w:r w:rsidR="00DB4262">
        <w:rPr>
          <w:bCs/>
          <w:sz w:val="24"/>
        </w:rPr>
        <w:t xml:space="preserve"> BML Investments’ driver was placed out of service for this violation. Commission staff is dealing with this new safety violation as a separate matter. </w:t>
      </w:r>
    </w:p>
    <w:p w:rsidR="00AF1D9F" w:rsidRDefault="00AF1D9F" w:rsidP="00E314B5">
      <w:pPr>
        <w:spacing w:line="276" w:lineRule="auto"/>
        <w:rPr>
          <w:bCs/>
          <w:sz w:val="24"/>
        </w:rPr>
      </w:pPr>
    </w:p>
    <w:p w:rsidR="00BA384C" w:rsidRDefault="00BA384C" w:rsidP="00BA384C">
      <w:pPr>
        <w:spacing w:line="276" w:lineRule="auto"/>
        <w:rPr>
          <w:sz w:val="24"/>
        </w:rPr>
      </w:pPr>
      <w:r>
        <w:rPr>
          <w:sz w:val="24"/>
        </w:rPr>
        <w:lastRenderedPageBreak/>
        <w:t>Staff does not support mitigation of the assessed penalties. RCW 8l.04.405 allows penalties of one hundred dollars for every violation, and in the case of a continuing violation, every day's continuance is deemed a separate and distinct violation. BML Investments’ seven drivers transported passengers a total of 114 times without medical certification. The commission could have assessed a large penalty for these violations. However, the commission chose to assess one penalty for each driver who drove without medical certification instead of assessing penalties for each trip conducted. Staff believes the commission has already substantially mitigated this penalty.</w:t>
      </w:r>
    </w:p>
    <w:p w:rsidR="00AF1D9F" w:rsidRDefault="00AF1D9F" w:rsidP="00E314B5">
      <w:pPr>
        <w:spacing w:line="276" w:lineRule="auto"/>
        <w:rPr>
          <w:sz w:val="24"/>
        </w:rPr>
      </w:pPr>
    </w:p>
    <w:p w:rsidR="00773475" w:rsidRPr="00773475" w:rsidRDefault="00773475" w:rsidP="00DF234A">
      <w:pPr>
        <w:spacing w:line="276" w:lineRule="auto"/>
        <w:rPr>
          <w:b/>
          <w:sz w:val="24"/>
        </w:rPr>
      </w:pPr>
      <w:r w:rsidRPr="00773475">
        <w:rPr>
          <w:b/>
          <w:bCs/>
          <w:sz w:val="24"/>
        </w:rPr>
        <w:t>First-time Paperwork Violations</w:t>
      </w:r>
    </w:p>
    <w:p w:rsidR="003F7AC7" w:rsidRDefault="00C0038D" w:rsidP="00DF234A">
      <w:pPr>
        <w:spacing w:line="276" w:lineRule="auto"/>
        <w:rPr>
          <w:sz w:val="24"/>
        </w:rPr>
      </w:pPr>
      <w:r>
        <w:rPr>
          <w:sz w:val="24"/>
        </w:rPr>
        <w:t xml:space="preserve">In its Mitigation Request, </w:t>
      </w:r>
      <w:r w:rsidR="002E0ACC">
        <w:rPr>
          <w:sz w:val="24"/>
        </w:rPr>
        <w:t>BML Investments</w:t>
      </w:r>
      <w:r w:rsidR="00EB5C48" w:rsidRPr="00833C16">
        <w:rPr>
          <w:sz w:val="24"/>
        </w:rPr>
        <w:t xml:space="preserve"> </w:t>
      </w:r>
      <w:r w:rsidR="00DE34C9">
        <w:rPr>
          <w:sz w:val="24"/>
        </w:rPr>
        <w:t>implies</w:t>
      </w:r>
      <w:r w:rsidR="00833C16">
        <w:rPr>
          <w:sz w:val="24"/>
        </w:rPr>
        <w:t xml:space="preserve"> </w:t>
      </w:r>
      <w:r w:rsidR="00773475">
        <w:rPr>
          <w:sz w:val="24"/>
        </w:rPr>
        <w:t xml:space="preserve">that under the Administrative Procedures Act (APA), the commission </w:t>
      </w:r>
      <w:r w:rsidR="00DE34C9">
        <w:rPr>
          <w:sz w:val="24"/>
        </w:rPr>
        <w:t>can</w:t>
      </w:r>
      <w:r w:rsidR="00773475">
        <w:rPr>
          <w:sz w:val="24"/>
        </w:rPr>
        <w:t xml:space="preserve"> waive any fines, civil penalties or administrative sanctions for first time paperwork violations by a small business. </w:t>
      </w:r>
    </w:p>
    <w:p w:rsidR="00773475" w:rsidRDefault="00773475" w:rsidP="00DF234A">
      <w:pPr>
        <w:spacing w:line="276" w:lineRule="auto"/>
        <w:rPr>
          <w:sz w:val="24"/>
        </w:rPr>
      </w:pPr>
    </w:p>
    <w:p w:rsidR="00B4795A" w:rsidRPr="00B4795A" w:rsidRDefault="004647BE" w:rsidP="00B4795A">
      <w:pPr>
        <w:spacing w:line="276" w:lineRule="auto"/>
        <w:rPr>
          <w:sz w:val="24"/>
        </w:rPr>
      </w:pPr>
      <w:r>
        <w:rPr>
          <w:sz w:val="24"/>
        </w:rPr>
        <w:t>I</w:t>
      </w:r>
      <w:r w:rsidR="00B4795A">
        <w:rPr>
          <w:sz w:val="24"/>
        </w:rPr>
        <w:t>n RCW 34.05.110, a “p</w:t>
      </w:r>
      <w:r w:rsidR="00B4795A" w:rsidRPr="00B4795A">
        <w:rPr>
          <w:sz w:val="24"/>
        </w:rPr>
        <w:t xml:space="preserve">aperwork violation" </w:t>
      </w:r>
      <w:r>
        <w:rPr>
          <w:sz w:val="24"/>
        </w:rPr>
        <w:t xml:space="preserve">is defined </w:t>
      </w:r>
      <w:r w:rsidR="00B4795A">
        <w:rPr>
          <w:sz w:val="24"/>
        </w:rPr>
        <w:t>as the</w:t>
      </w:r>
      <w:r w:rsidR="00B4795A" w:rsidRPr="00B4795A">
        <w:rPr>
          <w:sz w:val="24"/>
        </w:rPr>
        <w:t xml:space="preserve"> violation of any statutory or regulatory requirement that mandates the collection of information by an agency, or the collection, posting, or retention of information by a small business. </w:t>
      </w:r>
      <w:r w:rsidR="00B4795A">
        <w:rPr>
          <w:sz w:val="24"/>
        </w:rPr>
        <w:t>A</w:t>
      </w:r>
      <w:r w:rsidR="00B4795A" w:rsidRPr="00B4795A">
        <w:rPr>
          <w:sz w:val="24"/>
        </w:rPr>
        <w:t xml:space="preserve"> "</w:t>
      </w:r>
      <w:r w:rsidR="00B4795A">
        <w:rPr>
          <w:sz w:val="24"/>
        </w:rPr>
        <w:t>f</w:t>
      </w:r>
      <w:r w:rsidR="00B4795A" w:rsidRPr="00B4795A">
        <w:rPr>
          <w:sz w:val="24"/>
        </w:rPr>
        <w:t xml:space="preserve">irst-time paperwork violation" means the first instance of a particular or substantially similar paperwork violation. </w:t>
      </w:r>
    </w:p>
    <w:p w:rsidR="00B4795A" w:rsidRDefault="00B4795A" w:rsidP="00DF234A">
      <w:pPr>
        <w:spacing w:line="276" w:lineRule="auto"/>
        <w:rPr>
          <w:sz w:val="24"/>
        </w:rPr>
      </w:pPr>
    </w:p>
    <w:p w:rsidR="00421295" w:rsidRDefault="0070548C" w:rsidP="00B4795A">
      <w:pPr>
        <w:spacing w:line="276" w:lineRule="auto"/>
        <w:rPr>
          <w:sz w:val="24"/>
        </w:rPr>
      </w:pPr>
      <w:r>
        <w:rPr>
          <w:sz w:val="24"/>
        </w:rPr>
        <w:t>T</w:t>
      </w:r>
      <w:r w:rsidR="00B4795A">
        <w:rPr>
          <w:sz w:val="24"/>
        </w:rPr>
        <w:t xml:space="preserve">he </w:t>
      </w:r>
      <w:r>
        <w:rPr>
          <w:sz w:val="24"/>
        </w:rPr>
        <w:t>statute</w:t>
      </w:r>
      <w:r w:rsidR="00B4795A">
        <w:rPr>
          <w:sz w:val="24"/>
        </w:rPr>
        <w:t xml:space="preserve"> </w:t>
      </w:r>
      <w:r w:rsidR="00DE34C9">
        <w:rPr>
          <w:sz w:val="24"/>
        </w:rPr>
        <w:t>provides</w:t>
      </w:r>
      <w:r>
        <w:rPr>
          <w:sz w:val="24"/>
        </w:rPr>
        <w:t xml:space="preserve"> </w:t>
      </w:r>
      <w:r w:rsidR="00B4795A">
        <w:rPr>
          <w:sz w:val="24"/>
        </w:rPr>
        <w:t xml:space="preserve">that agencies will </w:t>
      </w:r>
      <w:r w:rsidR="00B4795A" w:rsidRPr="00B4795A">
        <w:rPr>
          <w:sz w:val="24"/>
        </w:rPr>
        <w:t>waive any fines, civil penalties, or administrative sanctions for first-time paperwork violations by a small business</w:t>
      </w:r>
      <w:r w:rsidR="00B4795A">
        <w:rPr>
          <w:sz w:val="24"/>
        </w:rPr>
        <w:t xml:space="preserve">, </w:t>
      </w:r>
      <w:r w:rsidR="00B4795A" w:rsidRPr="006E0285">
        <w:rPr>
          <w:sz w:val="24"/>
          <w:u w:val="single"/>
        </w:rPr>
        <w:t>except when</w:t>
      </w:r>
      <w:r w:rsidR="00421295">
        <w:rPr>
          <w:sz w:val="24"/>
        </w:rPr>
        <w:t>:</w:t>
      </w:r>
    </w:p>
    <w:p w:rsidR="00773475" w:rsidRDefault="00421295" w:rsidP="00DF234A">
      <w:pPr>
        <w:spacing w:line="276" w:lineRule="auto"/>
        <w:rPr>
          <w:sz w:val="24"/>
        </w:rPr>
      </w:pPr>
      <w:r>
        <w:rPr>
          <w:sz w:val="24"/>
        </w:rPr>
        <w:t xml:space="preserve"> </w:t>
      </w:r>
      <w:r w:rsidR="00773475">
        <w:rPr>
          <w:sz w:val="24"/>
        </w:rPr>
        <w:t xml:space="preserve"> </w:t>
      </w:r>
    </w:p>
    <w:p w:rsidR="00421295" w:rsidRDefault="00421295" w:rsidP="00DF234A">
      <w:pPr>
        <w:spacing w:line="276" w:lineRule="auto"/>
        <w:ind w:left="720"/>
        <w:rPr>
          <w:sz w:val="24"/>
        </w:rPr>
      </w:pPr>
      <w:r>
        <w:rPr>
          <w:sz w:val="24"/>
        </w:rPr>
        <w:t>“</w:t>
      </w:r>
      <w:r w:rsidR="00773475" w:rsidRPr="00421295">
        <w:rPr>
          <w:sz w:val="24"/>
        </w:rPr>
        <w:t>(a) The agency head determines that the effect of the violation or waiver presents a direct danger to the public health</w:t>
      </w:r>
      <w:r w:rsidR="00A03C5F">
        <w:rPr>
          <w:sz w:val="24"/>
        </w:rPr>
        <w:t>…</w:t>
      </w:r>
      <w:r w:rsidR="00773475" w:rsidRPr="00421295">
        <w:rPr>
          <w:sz w:val="24"/>
        </w:rPr>
        <w:t>or causes serious harm to the public interest;</w:t>
      </w:r>
      <w:r>
        <w:rPr>
          <w:sz w:val="24"/>
        </w:rPr>
        <w:t>”</w:t>
      </w:r>
      <w:r w:rsidR="00574A15" w:rsidRPr="00574A15">
        <w:rPr>
          <w:rStyle w:val="FootnoteReference"/>
          <w:position w:val="6"/>
          <w:sz w:val="16"/>
        </w:rPr>
        <w:t xml:space="preserve"> </w:t>
      </w:r>
      <w:r w:rsidR="00574A15" w:rsidRPr="00A03C5F">
        <w:rPr>
          <w:rStyle w:val="FootnoteReference"/>
          <w:position w:val="6"/>
          <w:sz w:val="16"/>
        </w:rPr>
        <w:footnoteReference w:id="8"/>
      </w:r>
    </w:p>
    <w:p w:rsidR="00726F17" w:rsidRDefault="00726F17" w:rsidP="00DF234A">
      <w:pPr>
        <w:spacing w:line="276" w:lineRule="auto"/>
        <w:rPr>
          <w:sz w:val="24"/>
        </w:rPr>
      </w:pPr>
    </w:p>
    <w:p w:rsidR="00574A15" w:rsidRPr="00574A15" w:rsidRDefault="00E314B5" w:rsidP="00574A15">
      <w:pPr>
        <w:rPr>
          <w:sz w:val="24"/>
        </w:rPr>
      </w:pPr>
      <w:r>
        <w:rPr>
          <w:sz w:val="24"/>
        </w:rPr>
        <w:t>For the reasons set forth</w:t>
      </w:r>
      <w:r w:rsidR="00DB4262">
        <w:rPr>
          <w:sz w:val="24"/>
        </w:rPr>
        <w:t xml:space="preserve"> above, s</w:t>
      </w:r>
      <w:r w:rsidR="0070548C">
        <w:rPr>
          <w:sz w:val="24"/>
        </w:rPr>
        <w:t xml:space="preserve">taff believes that the violations for which the commission assessed penalties constitute a direct danger to the public health </w:t>
      </w:r>
      <w:r w:rsidR="006E0285">
        <w:rPr>
          <w:sz w:val="24"/>
        </w:rPr>
        <w:t>and</w:t>
      </w:r>
      <w:r w:rsidR="0070548C">
        <w:rPr>
          <w:sz w:val="24"/>
        </w:rPr>
        <w:t xml:space="preserve"> harm to the public interest</w:t>
      </w:r>
      <w:r w:rsidR="00574A15">
        <w:rPr>
          <w:sz w:val="24"/>
        </w:rPr>
        <w:t xml:space="preserve">. </w:t>
      </w:r>
    </w:p>
    <w:p w:rsidR="0014701D" w:rsidRDefault="0070548C" w:rsidP="00DF234A">
      <w:pPr>
        <w:spacing w:line="276" w:lineRule="auto"/>
        <w:rPr>
          <w:sz w:val="24"/>
        </w:rPr>
      </w:pPr>
      <w:r>
        <w:rPr>
          <w:sz w:val="24"/>
        </w:rPr>
        <w:t xml:space="preserve"> </w:t>
      </w:r>
    </w:p>
    <w:p w:rsidR="00574A15" w:rsidRDefault="00574A15" w:rsidP="00DF234A">
      <w:pPr>
        <w:spacing w:line="276" w:lineRule="auto"/>
        <w:rPr>
          <w:sz w:val="24"/>
        </w:rPr>
      </w:pPr>
      <w:r>
        <w:rPr>
          <w:sz w:val="24"/>
        </w:rPr>
        <w:t xml:space="preserve">The statute also provides an exception when: </w:t>
      </w:r>
    </w:p>
    <w:p w:rsidR="00574A15" w:rsidRDefault="00574A15" w:rsidP="00DF234A">
      <w:pPr>
        <w:spacing w:line="276" w:lineRule="auto"/>
        <w:rPr>
          <w:sz w:val="24"/>
        </w:rPr>
      </w:pPr>
    </w:p>
    <w:p w:rsidR="00574A15" w:rsidRDefault="00574A15" w:rsidP="00574A15">
      <w:pPr>
        <w:spacing w:line="276" w:lineRule="auto"/>
        <w:ind w:left="720"/>
        <w:rPr>
          <w:sz w:val="24"/>
        </w:rPr>
      </w:pPr>
      <w:r w:rsidRPr="00574A15">
        <w:rPr>
          <w:sz w:val="24"/>
        </w:rPr>
        <w:t xml:space="preserve">  (c) The violation is of a requirement concerning the assessment, collection, or administration of any </w:t>
      </w:r>
      <w:r>
        <w:rPr>
          <w:sz w:val="24"/>
        </w:rPr>
        <w:t>…</w:t>
      </w:r>
      <w:r w:rsidRPr="00574A15">
        <w:rPr>
          <w:sz w:val="24"/>
        </w:rPr>
        <w:t xml:space="preserve"> insurance rate or form filing;</w:t>
      </w:r>
      <w:r>
        <w:rPr>
          <w:sz w:val="24"/>
        </w:rPr>
        <w:t>”</w:t>
      </w:r>
      <w:r w:rsidRPr="00574A15">
        <w:rPr>
          <w:rStyle w:val="FootnoteReference"/>
          <w:position w:val="6"/>
          <w:sz w:val="16"/>
        </w:rPr>
        <w:t xml:space="preserve"> </w:t>
      </w:r>
      <w:r w:rsidRPr="00A03C5F">
        <w:rPr>
          <w:rStyle w:val="FootnoteReference"/>
          <w:position w:val="6"/>
          <w:sz w:val="16"/>
        </w:rPr>
        <w:footnoteReference w:id="9"/>
      </w:r>
    </w:p>
    <w:p w:rsidR="00574A15" w:rsidRDefault="00574A15" w:rsidP="00DF234A">
      <w:pPr>
        <w:spacing w:line="276" w:lineRule="auto"/>
        <w:rPr>
          <w:sz w:val="24"/>
        </w:rPr>
      </w:pPr>
    </w:p>
    <w:p w:rsidR="00574A15" w:rsidRPr="00574A15" w:rsidRDefault="00574A15" w:rsidP="00574A15">
      <w:pPr>
        <w:rPr>
          <w:sz w:val="24"/>
        </w:rPr>
      </w:pPr>
      <w:r>
        <w:rPr>
          <w:sz w:val="24"/>
        </w:rPr>
        <w:t>Staff believes this ex</w:t>
      </w:r>
      <w:r w:rsidR="001861A2">
        <w:rPr>
          <w:sz w:val="24"/>
        </w:rPr>
        <w:t>c</w:t>
      </w:r>
      <w:r>
        <w:rPr>
          <w:sz w:val="24"/>
        </w:rPr>
        <w:t xml:space="preserve">eption applies to BML Investments’ </w:t>
      </w:r>
      <w:r w:rsidRPr="00574A15">
        <w:rPr>
          <w:sz w:val="24"/>
        </w:rPr>
        <w:t>failure to timely file the Form E insurance certificate.</w:t>
      </w:r>
    </w:p>
    <w:p w:rsidR="00AF1D9F" w:rsidRDefault="00AF1D9F" w:rsidP="0014701D">
      <w:pPr>
        <w:widowControl/>
        <w:spacing w:line="276" w:lineRule="auto"/>
        <w:rPr>
          <w:sz w:val="24"/>
        </w:rPr>
      </w:pPr>
    </w:p>
    <w:p w:rsidR="00AF1D9F" w:rsidRDefault="00AF1D9F" w:rsidP="0014701D">
      <w:pPr>
        <w:widowControl/>
        <w:spacing w:line="276" w:lineRule="auto"/>
        <w:rPr>
          <w:sz w:val="24"/>
        </w:rPr>
      </w:pPr>
      <w:bookmarkStart w:id="0" w:name="_GoBack"/>
      <w:bookmarkEnd w:id="0"/>
    </w:p>
    <w:p w:rsidR="00AF1D9F" w:rsidRDefault="00AF1D9F" w:rsidP="0014701D">
      <w:pPr>
        <w:widowControl/>
        <w:spacing w:line="276" w:lineRule="auto"/>
        <w:rPr>
          <w:sz w:val="24"/>
        </w:rPr>
      </w:pPr>
    </w:p>
    <w:p w:rsidR="00AF1D9F" w:rsidRDefault="00AF1D9F" w:rsidP="0014701D">
      <w:pPr>
        <w:widowControl/>
        <w:spacing w:line="276" w:lineRule="auto"/>
        <w:rPr>
          <w:sz w:val="24"/>
        </w:rPr>
      </w:pPr>
    </w:p>
    <w:p w:rsidR="0014701D" w:rsidRPr="0014701D" w:rsidRDefault="0014701D" w:rsidP="0014701D">
      <w:pPr>
        <w:widowControl/>
        <w:spacing w:line="276" w:lineRule="auto"/>
        <w:rPr>
          <w:b/>
          <w:sz w:val="24"/>
        </w:rPr>
      </w:pPr>
      <w:r w:rsidRPr="0014701D">
        <w:rPr>
          <w:b/>
          <w:sz w:val="24"/>
        </w:rPr>
        <w:lastRenderedPageBreak/>
        <w:t>General Compliance</w:t>
      </w:r>
    </w:p>
    <w:p w:rsidR="0014701D" w:rsidRDefault="0014701D" w:rsidP="0014701D">
      <w:pPr>
        <w:widowControl/>
        <w:spacing w:line="276" w:lineRule="auto"/>
        <w:rPr>
          <w:position w:val="6"/>
          <w:sz w:val="16"/>
        </w:rPr>
      </w:pPr>
      <w:r>
        <w:rPr>
          <w:sz w:val="24"/>
        </w:rPr>
        <w:t xml:space="preserve">BML Investments received an unsatisfactory safety rating during the most recent compliance review. An unsatisfactory </w:t>
      </w:r>
      <w:r w:rsidRPr="00C0038D">
        <w:rPr>
          <w:sz w:val="24"/>
        </w:rPr>
        <w:t>safety rating means a motor carrier does not have adequate safety management controls in place to ensure compliance</w:t>
      </w:r>
      <w:r>
        <w:rPr>
          <w:sz w:val="24"/>
        </w:rPr>
        <w:t xml:space="preserve"> with</w:t>
      </w:r>
      <w:r w:rsidRPr="00C0038D">
        <w:rPr>
          <w:sz w:val="24"/>
        </w:rPr>
        <w:t xml:space="preserve"> safety fitness standard</w:t>
      </w:r>
      <w:r>
        <w:rPr>
          <w:sz w:val="24"/>
        </w:rPr>
        <w:t>s.</w:t>
      </w:r>
      <w:r w:rsidRPr="00C0038D">
        <w:rPr>
          <w:rStyle w:val="FootnoteReference"/>
          <w:position w:val="6"/>
          <w:sz w:val="16"/>
        </w:rPr>
        <w:footnoteReference w:id="10"/>
      </w:r>
      <w:r w:rsidRPr="00C0038D">
        <w:rPr>
          <w:position w:val="6"/>
          <w:sz w:val="16"/>
        </w:rPr>
        <w:t xml:space="preserve"> </w:t>
      </w:r>
      <w:r>
        <w:rPr>
          <w:position w:val="6"/>
          <w:sz w:val="16"/>
        </w:rPr>
        <w:t xml:space="preserve"> </w:t>
      </w:r>
    </w:p>
    <w:p w:rsidR="0014701D" w:rsidRDefault="0014701D" w:rsidP="0014701D">
      <w:pPr>
        <w:widowControl/>
        <w:spacing w:line="276" w:lineRule="auto"/>
        <w:rPr>
          <w:position w:val="6"/>
          <w:sz w:val="16"/>
        </w:rPr>
      </w:pPr>
    </w:p>
    <w:p w:rsidR="00E314B5" w:rsidRDefault="0014701D" w:rsidP="0014701D">
      <w:pPr>
        <w:spacing w:line="276" w:lineRule="auto"/>
        <w:rPr>
          <w:sz w:val="24"/>
        </w:rPr>
      </w:pPr>
      <w:r w:rsidRPr="00177F39">
        <w:rPr>
          <w:sz w:val="24"/>
        </w:rPr>
        <w:t xml:space="preserve">It is the policy of the Transportation Safety section to recommend </w:t>
      </w:r>
      <w:r>
        <w:rPr>
          <w:sz w:val="24"/>
        </w:rPr>
        <w:t xml:space="preserve">that the commission assess </w:t>
      </w:r>
      <w:r w:rsidRPr="00177F39">
        <w:rPr>
          <w:sz w:val="24"/>
        </w:rPr>
        <w:t>penalties for any violations related to keeping the public safe from unqualified drivers, such as drivers</w:t>
      </w:r>
      <w:r>
        <w:rPr>
          <w:sz w:val="24"/>
        </w:rPr>
        <w:t xml:space="preserve"> who dr</w:t>
      </w:r>
      <w:r w:rsidR="00983F43">
        <w:rPr>
          <w:sz w:val="24"/>
        </w:rPr>
        <w:t>i</w:t>
      </w:r>
      <w:r>
        <w:rPr>
          <w:sz w:val="24"/>
        </w:rPr>
        <w:t xml:space="preserve">ve </w:t>
      </w:r>
      <w:r w:rsidRPr="00177F39">
        <w:rPr>
          <w:sz w:val="24"/>
        </w:rPr>
        <w:t xml:space="preserve">without current medical certification. </w:t>
      </w:r>
      <w:r>
        <w:rPr>
          <w:sz w:val="24"/>
        </w:rPr>
        <w:t>While staff did not recommend penalties for the other 377 violations found during the compliance review, staff sent the company a letter outlining its serious concerns with BML Investments’ compliance history.</w:t>
      </w:r>
      <w:r w:rsidRPr="00A03C5F">
        <w:rPr>
          <w:rStyle w:val="FootnoteReference"/>
          <w:position w:val="6"/>
          <w:sz w:val="16"/>
        </w:rPr>
        <w:footnoteReference w:id="11"/>
      </w:r>
      <w:r>
        <w:rPr>
          <w:sz w:val="24"/>
        </w:rPr>
        <w:t xml:space="preserve"> </w:t>
      </w:r>
    </w:p>
    <w:p w:rsidR="00E314B5" w:rsidRDefault="00E314B5" w:rsidP="0014701D">
      <w:pPr>
        <w:spacing w:line="276" w:lineRule="auto"/>
        <w:rPr>
          <w:sz w:val="24"/>
        </w:rPr>
      </w:pPr>
    </w:p>
    <w:p w:rsidR="0014701D" w:rsidRDefault="0014701D" w:rsidP="0014701D">
      <w:pPr>
        <w:spacing w:line="276" w:lineRule="auto"/>
        <w:rPr>
          <w:sz w:val="24"/>
        </w:rPr>
      </w:pPr>
      <w:r>
        <w:rPr>
          <w:sz w:val="24"/>
        </w:rPr>
        <w:t xml:space="preserve">Commission staff will conduct a follow-up review within 120 days to determine if the company’s safety management program has improved. </w:t>
      </w:r>
      <w:r w:rsidRPr="002F6FDF">
        <w:rPr>
          <w:sz w:val="24"/>
        </w:rPr>
        <w:t xml:space="preserve">If </w:t>
      </w:r>
      <w:r>
        <w:rPr>
          <w:sz w:val="24"/>
        </w:rPr>
        <w:t>s</w:t>
      </w:r>
      <w:r w:rsidRPr="002F6FDF">
        <w:rPr>
          <w:sz w:val="24"/>
        </w:rPr>
        <w:t xml:space="preserve">taff finds repeat critical violations or if </w:t>
      </w:r>
      <w:r>
        <w:rPr>
          <w:sz w:val="24"/>
        </w:rPr>
        <w:t>BML Investments</w:t>
      </w:r>
      <w:r w:rsidRPr="002F6FDF">
        <w:rPr>
          <w:sz w:val="24"/>
        </w:rPr>
        <w:t xml:space="preserve"> receives a conditional or unsatisfactory </w:t>
      </w:r>
      <w:r>
        <w:rPr>
          <w:sz w:val="24"/>
        </w:rPr>
        <w:t xml:space="preserve">safety </w:t>
      </w:r>
      <w:r w:rsidRPr="002F6FDF">
        <w:rPr>
          <w:sz w:val="24"/>
        </w:rPr>
        <w:t xml:space="preserve">rating at the re-check inspection, </w:t>
      </w:r>
      <w:r>
        <w:rPr>
          <w:sz w:val="24"/>
        </w:rPr>
        <w:t>s</w:t>
      </w:r>
      <w:r w:rsidRPr="002F6FDF">
        <w:rPr>
          <w:sz w:val="24"/>
        </w:rPr>
        <w:t xml:space="preserve">taff will recommend the </w:t>
      </w:r>
      <w:r>
        <w:rPr>
          <w:sz w:val="24"/>
        </w:rPr>
        <w:t>commission</w:t>
      </w:r>
      <w:r w:rsidRPr="002F6FDF">
        <w:rPr>
          <w:sz w:val="24"/>
        </w:rPr>
        <w:t xml:space="preserve"> take additional enforcement action against </w:t>
      </w:r>
      <w:r>
        <w:rPr>
          <w:sz w:val="24"/>
        </w:rPr>
        <w:t>BML Investments</w:t>
      </w:r>
      <w:r w:rsidRPr="002F6FDF">
        <w:rPr>
          <w:sz w:val="24"/>
        </w:rPr>
        <w:t>, up to and including additional penalties and possible suspension of the company’s operating authority.</w:t>
      </w:r>
    </w:p>
    <w:p w:rsidR="0014701D" w:rsidRPr="00DF234A" w:rsidRDefault="0014701D" w:rsidP="0014701D">
      <w:pPr>
        <w:spacing w:line="276" w:lineRule="auto"/>
        <w:rPr>
          <w:sz w:val="24"/>
        </w:rPr>
      </w:pPr>
    </w:p>
    <w:p w:rsidR="00592856" w:rsidRDefault="00817398" w:rsidP="00DF234A">
      <w:pPr>
        <w:widowControl/>
        <w:autoSpaceDE/>
        <w:autoSpaceDN/>
        <w:adjustRightInd/>
        <w:spacing w:line="276" w:lineRule="auto"/>
        <w:rPr>
          <w:sz w:val="24"/>
        </w:rPr>
      </w:pPr>
      <w:r>
        <w:rPr>
          <w:sz w:val="24"/>
        </w:rPr>
        <w:t>S</w:t>
      </w:r>
      <w:r w:rsidR="00592856">
        <w:rPr>
          <w:sz w:val="24"/>
        </w:rPr>
        <w:t xml:space="preserve">taff recommends the Mitigation Request be denied. </w:t>
      </w:r>
    </w:p>
    <w:p w:rsidR="007659DB" w:rsidRDefault="007659DB" w:rsidP="00DF234A">
      <w:pPr>
        <w:widowControl/>
        <w:autoSpaceDE/>
        <w:autoSpaceDN/>
        <w:adjustRightInd/>
        <w:spacing w:line="276" w:lineRule="auto"/>
        <w:rPr>
          <w:sz w:val="24"/>
        </w:rPr>
      </w:pPr>
    </w:p>
    <w:p w:rsidR="00592856" w:rsidRPr="00311F8F" w:rsidRDefault="00592856" w:rsidP="00DF234A">
      <w:pPr>
        <w:pStyle w:val="BodyText"/>
        <w:widowControl/>
        <w:spacing w:line="276" w:lineRule="auto"/>
      </w:pPr>
      <w:r>
        <w:t xml:space="preserve">If you have any questions, please contact </w:t>
      </w:r>
      <w:r w:rsidRPr="00311F8F">
        <w:t xml:space="preserve">Betty Young, Compliance </w:t>
      </w:r>
      <w:r>
        <w:t>Investigator</w:t>
      </w:r>
      <w:r w:rsidRPr="00311F8F">
        <w:t>, Transportation Safety</w:t>
      </w:r>
      <w:r>
        <w:t xml:space="preserve">, </w:t>
      </w:r>
      <w:r w:rsidRPr="00311F8F">
        <w:t xml:space="preserve">at 360-664-1202, or by e-mail at </w:t>
      </w:r>
      <w:hyperlink r:id="rId9" w:history="1">
        <w:r w:rsidRPr="00311F8F">
          <w:rPr>
            <w:rStyle w:val="Hyperlink"/>
            <w:rFonts w:eastAsiaTheme="majorEastAsia"/>
          </w:rPr>
          <w:t>byoung@utc.wa.gov</w:t>
        </w:r>
      </w:hyperlink>
      <w:r w:rsidRPr="00311F8F">
        <w:t xml:space="preserve">. </w:t>
      </w:r>
    </w:p>
    <w:p w:rsidR="002F3753" w:rsidRDefault="002F3753" w:rsidP="00DF234A">
      <w:pPr>
        <w:widowControl/>
        <w:spacing w:line="276" w:lineRule="auto"/>
        <w:rPr>
          <w:sz w:val="24"/>
        </w:rPr>
      </w:pPr>
    </w:p>
    <w:p w:rsidR="00A66F7E" w:rsidRPr="002B4F19" w:rsidRDefault="00A66F7E" w:rsidP="00BE52CC">
      <w:pPr>
        <w:spacing w:line="276" w:lineRule="auto"/>
        <w:rPr>
          <w:sz w:val="24"/>
        </w:rPr>
      </w:pPr>
      <w:r w:rsidRPr="002B4F19">
        <w:rPr>
          <w:sz w:val="24"/>
        </w:rPr>
        <w:t>Sincerely,</w:t>
      </w:r>
    </w:p>
    <w:p w:rsidR="00A66F7E" w:rsidRPr="002B4F19" w:rsidRDefault="00A66F7E" w:rsidP="00BE52CC">
      <w:pPr>
        <w:spacing w:line="276" w:lineRule="auto"/>
        <w:rPr>
          <w:sz w:val="24"/>
        </w:rPr>
      </w:pPr>
    </w:p>
    <w:p w:rsidR="00A66F7E" w:rsidRPr="002B4F19" w:rsidRDefault="00A66F7E" w:rsidP="00BE52CC">
      <w:pPr>
        <w:spacing w:line="276" w:lineRule="auto"/>
        <w:rPr>
          <w:sz w:val="24"/>
        </w:rPr>
      </w:pPr>
    </w:p>
    <w:p w:rsidR="00BA384C" w:rsidRDefault="00BA384C" w:rsidP="00BE52CC">
      <w:pPr>
        <w:spacing w:line="276" w:lineRule="auto"/>
        <w:rPr>
          <w:sz w:val="24"/>
        </w:rPr>
      </w:pPr>
    </w:p>
    <w:p w:rsidR="00A66F7E" w:rsidRPr="002B4F19" w:rsidRDefault="00A66F7E" w:rsidP="00BE52CC">
      <w:pPr>
        <w:spacing w:line="276" w:lineRule="auto"/>
        <w:rPr>
          <w:sz w:val="24"/>
        </w:rPr>
      </w:pPr>
      <w:r w:rsidRPr="002B4F19">
        <w:rPr>
          <w:sz w:val="24"/>
        </w:rPr>
        <w:t>David Pratt</w:t>
      </w:r>
    </w:p>
    <w:p w:rsidR="00A66F7E" w:rsidRDefault="00A66F7E" w:rsidP="00BE52CC">
      <w:pPr>
        <w:spacing w:line="276" w:lineRule="auto"/>
        <w:rPr>
          <w:sz w:val="24"/>
        </w:rPr>
      </w:pPr>
      <w:r w:rsidRPr="002B4F19">
        <w:rPr>
          <w:sz w:val="24"/>
        </w:rPr>
        <w:t>Assistant Director, Transportation Safety</w:t>
      </w:r>
    </w:p>
    <w:p w:rsidR="00A66F7E" w:rsidRDefault="00A66F7E" w:rsidP="00BE52CC">
      <w:pPr>
        <w:spacing w:line="276" w:lineRule="auto"/>
        <w:rPr>
          <w:sz w:val="24"/>
        </w:rPr>
      </w:pPr>
    </w:p>
    <w:p w:rsidR="002F3753" w:rsidRPr="00987205" w:rsidRDefault="00FD602C" w:rsidP="00BE52CC">
      <w:pPr>
        <w:widowControl/>
        <w:spacing w:line="276" w:lineRule="auto"/>
        <w:rPr>
          <w:sz w:val="24"/>
        </w:rPr>
      </w:pPr>
      <w:r>
        <w:rPr>
          <w:sz w:val="24"/>
        </w:rPr>
        <w:t>Enclosures</w:t>
      </w:r>
    </w:p>
    <w:sectPr w:rsidR="002F3753" w:rsidRPr="00987205" w:rsidSect="006B0838">
      <w:headerReference w:type="default" r:id="rId10"/>
      <w:footerReference w:type="even" r:id="rId11"/>
      <w:endnotePr>
        <w:numFmt w:val="decimal"/>
      </w:endnotePr>
      <w:pgSz w:w="12240" w:h="15840"/>
      <w:pgMar w:top="144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A2" w:rsidRDefault="001861A2">
      <w:r>
        <w:separator/>
      </w:r>
    </w:p>
  </w:endnote>
  <w:endnote w:type="continuationSeparator" w:id="0">
    <w:p w:rsidR="001861A2" w:rsidRDefault="0018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1A2" w:rsidRDefault="001861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1A2" w:rsidRDefault="00186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A2" w:rsidRDefault="001861A2">
      <w:r>
        <w:separator/>
      </w:r>
    </w:p>
  </w:footnote>
  <w:footnote w:type="continuationSeparator" w:id="0">
    <w:p w:rsidR="001861A2" w:rsidRDefault="001861A2">
      <w:r>
        <w:continuationSeparator/>
      </w:r>
    </w:p>
  </w:footnote>
  <w:footnote w:id="1">
    <w:p w:rsidR="001861A2" w:rsidRDefault="001861A2" w:rsidP="00781997">
      <w:pPr>
        <w:pStyle w:val="FootnoteText"/>
      </w:pPr>
      <w:r>
        <w:rPr>
          <w:rStyle w:val="FootnoteReference"/>
        </w:rPr>
        <w:footnoteRef/>
      </w:r>
      <w:r>
        <w:t xml:space="preserve"> </w:t>
      </w:r>
      <w:proofErr w:type="gramStart"/>
      <w:r>
        <w:t>April 25, 2012, Insurance binder notification letter at Attachment A.</w:t>
      </w:r>
      <w:proofErr w:type="gramEnd"/>
    </w:p>
  </w:footnote>
  <w:footnote w:id="2">
    <w:p w:rsidR="001861A2" w:rsidRDefault="001861A2" w:rsidP="00F27990">
      <w:pPr>
        <w:pStyle w:val="FootnoteText"/>
      </w:pPr>
      <w:r>
        <w:rPr>
          <w:rStyle w:val="FootnoteReference"/>
        </w:rPr>
        <w:footnoteRef/>
      </w:r>
      <w:r>
        <w:t xml:space="preserve"> </w:t>
      </w:r>
      <w:proofErr w:type="gramStart"/>
      <w:r>
        <w:t>Commission Order 01 – Docket TC-121120 at Attachment B.</w:t>
      </w:r>
      <w:proofErr w:type="gramEnd"/>
    </w:p>
  </w:footnote>
  <w:footnote w:id="3">
    <w:p w:rsidR="001861A2" w:rsidRDefault="001861A2">
      <w:pPr>
        <w:pStyle w:val="FootnoteText"/>
      </w:pPr>
      <w:r>
        <w:rPr>
          <w:rStyle w:val="FootnoteReference"/>
        </w:rPr>
        <w:footnoteRef/>
      </w:r>
      <w:r>
        <w:t xml:space="preserve"> </w:t>
      </w:r>
      <w:proofErr w:type="gramStart"/>
      <w:r>
        <w:t>Commission Order 02 – Docket TC-121120 at Attachment C.</w:t>
      </w:r>
      <w:proofErr w:type="gramEnd"/>
    </w:p>
  </w:footnote>
  <w:footnote w:id="4">
    <w:p w:rsidR="001861A2" w:rsidRDefault="001861A2">
      <w:pPr>
        <w:pStyle w:val="FootnoteText"/>
      </w:pPr>
      <w:r>
        <w:rPr>
          <w:rStyle w:val="FootnoteReference"/>
        </w:rPr>
        <w:footnoteRef/>
      </w:r>
      <w:r>
        <w:t xml:space="preserve"> </w:t>
      </w:r>
      <w:proofErr w:type="gramStart"/>
      <w:r>
        <w:t>Declaration of Rick Smith at Attachment D.</w:t>
      </w:r>
      <w:proofErr w:type="gramEnd"/>
    </w:p>
  </w:footnote>
  <w:footnote w:id="5">
    <w:p w:rsidR="001861A2" w:rsidRPr="00110E73" w:rsidRDefault="001861A2" w:rsidP="00DB4262">
      <w:pPr>
        <w:pStyle w:val="Heading2"/>
        <w:spacing w:before="0" w:after="0"/>
        <w:ind w:right="60"/>
        <w:rPr>
          <w:rFonts w:ascii="Times New Roman" w:eastAsia="Times New Roman" w:hAnsi="Times New Roman"/>
          <w:b w:val="0"/>
          <w:i w:val="0"/>
          <w:iCs w:val="0"/>
          <w:sz w:val="20"/>
          <w:szCs w:val="22"/>
        </w:rPr>
      </w:pPr>
      <w:r w:rsidRPr="00A812D2">
        <w:rPr>
          <w:rStyle w:val="FootnoteReference"/>
          <w:rFonts w:ascii="Times New Roman" w:hAnsi="Times New Roman"/>
          <w:b w:val="0"/>
          <w:i w:val="0"/>
          <w:sz w:val="20"/>
        </w:rPr>
        <w:footnoteRef/>
      </w:r>
      <w:r w:rsidRPr="00A812D2">
        <w:rPr>
          <w:rFonts w:ascii="Times New Roman" w:hAnsi="Times New Roman"/>
          <w:b w:val="0"/>
          <w:i w:val="0"/>
          <w:sz w:val="20"/>
        </w:rPr>
        <w:t xml:space="preserve"> </w:t>
      </w:r>
      <w:proofErr w:type="gramStart"/>
      <w:r w:rsidRPr="00A812D2">
        <w:rPr>
          <w:rFonts w:ascii="Times New Roman" w:eastAsia="Times New Roman" w:hAnsi="Times New Roman"/>
          <w:b w:val="0"/>
          <w:i w:val="0"/>
          <w:iCs w:val="0"/>
          <w:sz w:val="20"/>
          <w:szCs w:val="22"/>
        </w:rPr>
        <w:t xml:space="preserve">Code of Federal Regulations, </w:t>
      </w:r>
      <w:hyperlink r:id="rId1" w:history="1">
        <w:r w:rsidRPr="00FD602C">
          <w:rPr>
            <w:rStyle w:val="Hyperlink"/>
            <w:rFonts w:ascii="Times New Roman" w:eastAsia="Times New Roman" w:hAnsi="Times New Roman" w:cs="Times New Roman"/>
            <w:b w:val="0"/>
            <w:bCs w:val="0"/>
            <w:i w:val="0"/>
            <w:iCs w:val="0"/>
            <w:sz w:val="20"/>
            <w:szCs w:val="20"/>
          </w:rPr>
          <w:t>Appendix B to Part 385—Explanation of safety rating process</w:t>
        </w:r>
      </w:hyperlink>
      <w:r>
        <w:rPr>
          <w:rStyle w:val="Hyperlink"/>
          <w:rFonts w:ascii="Times New Roman" w:eastAsia="Times New Roman" w:hAnsi="Times New Roman" w:cs="Times New Roman"/>
          <w:bCs w:val="0"/>
          <w:iCs w:val="0"/>
          <w:sz w:val="20"/>
          <w:szCs w:val="20"/>
        </w:rPr>
        <w:t xml:space="preserve"> </w:t>
      </w:r>
      <w:r w:rsidRPr="00110E73">
        <w:rPr>
          <w:rStyle w:val="Hyperlink"/>
          <w:rFonts w:ascii="Times New Roman" w:eastAsia="Times New Roman" w:hAnsi="Times New Roman" w:cs="Times New Roman"/>
          <w:b w:val="0"/>
          <w:bCs w:val="0"/>
          <w:i w:val="0"/>
          <w:iCs w:val="0"/>
          <w:color w:val="auto"/>
          <w:sz w:val="20"/>
          <w:szCs w:val="20"/>
          <w:u w:val="none"/>
        </w:rPr>
        <w:t xml:space="preserve">at Attachment </w:t>
      </w:r>
      <w:r>
        <w:rPr>
          <w:rStyle w:val="Hyperlink"/>
          <w:rFonts w:ascii="Times New Roman" w:eastAsia="Times New Roman" w:hAnsi="Times New Roman" w:cs="Times New Roman"/>
          <w:b w:val="0"/>
          <w:bCs w:val="0"/>
          <w:i w:val="0"/>
          <w:iCs w:val="0"/>
          <w:color w:val="auto"/>
          <w:sz w:val="20"/>
          <w:szCs w:val="20"/>
          <w:u w:val="none"/>
        </w:rPr>
        <w:t>E</w:t>
      </w:r>
      <w:r>
        <w:rPr>
          <w:rStyle w:val="Hyperlink"/>
          <w:rFonts w:ascii="Times New Roman" w:eastAsia="Times New Roman" w:hAnsi="Times New Roman" w:cs="Times New Roman"/>
          <w:b w:val="0"/>
          <w:bCs w:val="0"/>
          <w:i w:val="0"/>
          <w:iCs w:val="0"/>
          <w:sz w:val="20"/>
          <w:szCs w:val="20"/>
          <w:u w:val="none"/>
        </w:rPr>
        <w:t>.</w:t>
      </w:r>
      <w:proofErr w:type="gramEnd"/>
    </w:p>
  </w:footnote>
  <w:footnote w:id="6">
    <w:p w:rsidR="001861A2" w:rsidRDefault="001861A2" w:rsidP="00DB4262">
      <w:pPr>
        <w:pStyle w:val="FootnoteText"/>
      </w:pPr>
      <w:r>
        <w:rPr>
          <w:rStyle w:val="FootnoteReference"/>
        </w:rPr>
        <w:footnoteRef/>
      </w:r>
      <w:r>
        <w:t xml:space="preserve"> </w:t>
      </w:r>
      <w:r w:rsidRPr="0099268B">
        <w:rPr>
          <w:i/>
        </w:rPr>
        <w:t>Id.</w:t>
      </w:r>
    </w:p>
  </w:footnote>
  <w:footnote w:id="7">
    <w:p w:rsidR="001861A2" w:rsidRDefault="001861A2" w:rsidP="00DB4262">
      <w:pPr>
        <w:pStyle w:val="FootnoteText"/>
      </w:pPr>
      <w:r>
        <w:rPr>
          <w:rStyle w:val="FootnoteReference"/>
        </w:rPr>
        <w:footnoteRef/>
      </w:r>
      <w:r>
        <w:t xml:space="preserve"> </w:t>
      </w:r>
      <w:proofErr w:type="gramStart"/>
      <w:r>
        <w:t>CVSA Policy Statement and driver medical/physical requirements violations at Attachment F.</w:t>
      </w:r>
      <w:proofErr w:type="gramEnd"/>
    </w:p>
  </w:footnote>
  <w:footnote w:id="8">
    <w:p w:rsidR="001861A2" w:rsidRDefault="001861A2" w:rsidP="00574A15">
      <w:pPr>
        <w:pStyle w:val="FootnoteText"/>
      </w:pPr>
      <w:r>
        <w:rPr>
          <w:rStyle w:val="FootnoteReference"/>
        </w:rPr>
        <w:footnoteRef/>
      </w:r>
      <w:r>
        <w:t xml:space="preserve"> RCW 34.05.110(4</w:t>
      </w:r>
      <w:proofErr w:type="gramStart"/>
      <w:r>
        <w:t>)(</w:t>
      </w:r>
      <w:proofErr w:type="gramEnd"/>
      <w:r>
        <w:t>a).</w:t>
      </w:r>
    </w:p>
  </w:footnote>
  <w:footnote w:id="9">
    <w:p w:rsidR="001861A2" w:rsidRDefault="001861A2" w:rsidP="00574A15">
      <w:pPr>
        <w:pStyle w:val="FootnoteText"/>
      </w:pPr>
      <w:r>
        <w:rPr>
          <w:rStyle w:val="FootnoteReference"/>
        </w:rPr>
        <w:footnoteRef/>
      </w:r>
      <w:r>
        <w:t xml:space="preserve"> RCW 34.05.110(4</w:t>
      </w:r>
      <w:proofErr w:type="gramStart"/>
      <w:r>
        <w:t>)(</w:t>
      </w:r>
      <w:proofErr w:type="gramEnd"/>
      <w:r>
        <w:t>c).</w:t>
      </w:r>
    </w:p>
  </w:footnote>
  <w:footnote w:id="10">
    <w:p w:rsidR="001861A2" w:rsidRPr="00A812D2" w:rsidRDefault="001861A2" w:rsidP="0014701D">
      <w:pPr>
        <w:widowControl/>
      </w:pPr>
      <w:r w:rsidRPr="00A812D2">
        <w:rPr>
          <w:rStyle w:val="FootnoteReference"/>
        </w:rPr>
        <w:footnoteRef/>
      </w:r>
      <w:r w:rsidRPr="00A812D2">
        <w:t xml:space="preserve"> </w:t>
      </w:r>
      <w:proofErr w:type="gramStart"/>
      <w:r w:rsidRPr="00A812D2">
        <w:t xml:space="preserve">49 CFR </w:t>
      </w:r>
      <w:r w:rsidRPr="00A812D2">
        <w:rPr>
          <w:rFonts w:cstheme="majorBidi"/>
          <w:bCs/>
          <w:szCs w:val="22"/>
        </w:rPr>
        <w:t>Part 385—</w:t>
      </w:r>
      <w:r w:rsidRPr="00110E73">
        <w:rPr>
          <w:rFonts w:cstheme="majorBidi"/>
          <w:bCs/>
          <w:szCs w:val="22"/>
        </w:rPr>
        <w:t xml:space="preserve">Safety Fitness Procedures – </w:t>
      </w:r>
      <w:hyperlink r:id="rId2" w:history="1">
        <w:r w:rsidRPr="00110E73">
          <w:rPr>
            <w:rStyle w:val="Hyperlink"/>
            <w:rFonts w:cstheme="majorBidi"/>
            <w:bCs/>
            <w:szCs w:val="22"/>
          </w:rPr>
          <w:t>385.3 – Definitions and acronyms</w:t>
        </w:r>
      </w:hyperlink>
      <w:r w:rsidRPr="00110E73">
        <w:rPr>
          <w:rFonts w:cstheme="majorBidi"/>
          <w:bCs/>
          <w:szCs w:val="22"/>
        </w:rPr>
        <w:t>, at Attachment</w:t>
      </w:r>
      <w:r>
        <w:rPr>
          <w:rFonts w:cstheme="majorBidi"/>
          <w:bCs/>
          <w:szCs w:val="22"/>
        </w:rPr>
        <w:t xml:space="preserve"> G.</w:t>
      </w:r>
      <w:proofErr w:type="gramEnd"/>
    </w:p>
  </w:footnote>
  <w:footnote w:id="11">
    <w:p w:rsidR="001861A2" w:rsidRDefault="001861A2" w:rsidP="0014701D">
      <w:pPr>
        <w:pStyle w:val="FootnoteText"/>
      </w:pPr>
      <w:r>
        <w:rPr>
          <w:rStyle w:val="FootnoteReference"/>
        </w:rPr>
        <w:footnoteRef/>
      </w:r>
      <w:r>
        <w:t xml:space="preserve"> </w:t>
      </w:r>
      <w:proofErr w:type="gramStart"/>
      <w:r>
        <w:t>Commission staff’s October 4, 2012, compliance letter to BML Investments at Attachment H.</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1A2" w:rsidRDefault="001861A2">
    <w:pPr>
      <w:pStyle w:val="Header"/>
      <w:rPr>
        <w:sz w:val="24"/>
      </w:rPr>
    </w:pPr>
    <w:r>
      <w:rPr>
        <w:sz w:val="24"/>
      </w:rPr>
      <w:t>David W. Danner</w:t>
    </w:r>
  </w:p>
  <w:p w:rsidR="001861A2" w:rsidRDefault="001861A2">
    <w:pPr>
      <w:pStyle w:val="Header"/>
      <w:rPr>
        <w:sz w:val="24"/>
      </w:rPr>
    </w:pPr>
    <w:r>
      <w:rPr>
        <w:sz w:val="24"/>
      </w:rPr>
      <w:t>October 22, 2012</w:t>
    </w:r>
  </w:p>
  <w:p w:rsidR="001861A2" w:rsidRDefault="001861A2">
    <w:pPr>
      <w:pStyle w:val="Header"/>
      <w:rPr>
        <w:sz w:val="24"/>
      </w:rPr>
    </w:pPr>
    <w:r>
      <w:rPr>
        <w:sz w:val="24"/>
      </w:rPr>
      <w:t xml:space="preserve">Page </w:t>
    </w:r>
    <w:r w:rsidRPr="00073D9C">
      <w:rPr>
        <w:sz w:val="24"/>
      </w:rPr>
      <w:fldChar w:fldCharType="begin"/>
    </w:r>
    <w:r w:rsidRPr="00073D9C">
      <w:rPr>
        <w:sz w:val="24"/>
      </w:rPr>
      <w:instrText xml:space="preserve"> PAGE   \* MERGEFORMAT </w:instrText>
    </w:r>
    <w:r w:rsidRPr="00073D9C">
      <w:rPr>
        <w:sz w:val="24"/>
      </w:rPr>
      <w:fldChar w:fldCharType="separate"/>
    </w:r>
    <w:r w:rsidR="00914861">
      <w:rPr>
        <w:noProof/>
        <w:sz w:val="24"/>
      </w:rPr>
      <w:t>5</w:t>
    </w:r>
    <w:r w:rsidRPr="00073D9C">
      <w:rPr>
        <w:sz w:val="24"/>
      </w:rPr>
      <w:fldChar w:fldCharType="end"/>
    </w:r>
  </w:p>
  <w:p w:rsidR="001861A2" w:rsidRPr="00073D9C" w:rsidRDefault="001861A2">
    <w:pPr>
      <w:pStyle w:val="Header"/>
      <w:rPr>
        <w:sz w:val="24"/>
      </w:rPr>
    </w:pPr>
  </w:p>
  <w:p w:rsidR="001861A2" w:rsidRDefault="00186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FE749E"/>
    <w:multiLevelType w:val="hybridMultilevel"/>
    <w:tmpl w:val="489AB05A"/>
    <w:lvl w:ilvl="0" w:tplc="992E1C3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73E47BD"/>
    <w:multiLevelType w:val="hybridMultilevel"/>
    <w:tmpl w:val="DF3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811CC5"/>
    <w:multiLevelType w:val="hybridMultilevel"/>
    <w:tmpl w:val="8A8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2557FD"/>
    <w:multiLevelType w:val="hybridMultilevel"/>
    <w:tmpl w:val="87403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845141"/>
    <w:multiLevelType w:val="hybridMultilevel"/>
    <w:tmpl w:val="E8384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8"/>
  </w:num>
  <w:num w:numId="3">
    <w:abstractNumId w:val="22"/>
  </w:num>
  <w:num w:numId="4">
    <w:abstractNumId w:val="4"/>
  </w:num>
  <w:num w:numId="5">
    <w:abstractNumId w:val="30"/>
  </w:num>
  <w:num w:numId="6">
    <w:abstractNumId w:val="7"/>
  </w:num>
  <w:num w:numId="7">
    <w:abstractNumId w:val="29"/>
  </w:num>
  <w:num w:numId="8">
    <w:abstractNumId w:val="27"/>
  </w:num>
  <w:num w:numId="9">
    <w:abstractNumId w:val="13"/>
  </w:num>
  <w:num w:numId="10">
    <w:abstractNumId w:val="25"/>
  </w:num>
  <w:num w:numId="11">
    <w:abstractNumId w:val="33"/>
  </w:num>
  <w:num w:numId="12">
    <w:abstractNumId w:val="15"/>
  </w:num>
  <w:num w:numId="13">
    <w:abstractNumId w:val="6"/>
  </w:num>
  <w:num w:numId="14">
    <w:abstractNumId w:val="12"/>
  </w:num>
  <w:num w:numId="15">
    <w:abstractNumId w:val="9"/>
  </w:num>
  <w:num w:numId="16">
    <w:abstractNumId w:val="11"/>
  </w:num>
  <w:num w:numId="17">
    <w:abstractNumId w:val="19"/>
  </w:num>
  <w:num w:numId="18">
    <w:abstractNumId w:val="31"/>
  </w:num>
  <w:num w:numId="19">
    <w:abstractNumId w:val="18"/>
  </w:num>
  <w:num w:numId="20">
    <w:abstractNumId w:val="14"/>
  </w:num>
  <w:num w:numId="21">
    <w:abstractNumId w:val="35"/>
  </w:num>
  <w:num w:numId="22">
    <w:abstractNumId w:val="32"/>
  </w:num>
  <w:num w:numId="23">
    <w:abstractNumId w:val="26"/>
  </w:num>
  <w:num w:numId="24">
    <w:abstractNumId w:val="21"/>
  </w:num>
  <w:num w:numId="25">
    <w:abstractNumId w:val="23"/>
  </w:num>
  <w:num w:numId="26">
    <w:abstractNumId w:val="3"/>
  </w:num>
  <w:num w:numId="27">
    <w:abstractNumId w:val="36"/>
  </w:num>
  <w:num w:numId="28">
    <w:abstractNumId w:val="1"/>
  </w:num>
  <w:num w:numId="29">
    <w:abstractNumId w:val="16"/>
  </w:num>
  <w:num w:numId="30">
    <w:abstractNumId w:val="34"/>
  </w:num>
  <w:num w:numId="31">
    <w:abstractNumId w:val="8"/>
  </w:num>
  <w:num w:numId="32">
    <w:abstractNumId w:val="5"/>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0"/>
  </w:num>
  <w:num w:numId="36">
    <w:abstractNumId w:val="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7"/>
    <w:rsid w:val="00021C26"/>
    <w:rsid w:val="00034108"/>
    <w:rsid w:val="000415FE"/>
    <w:rsid w:val="00041F6B"/>
    <w:rsid w:val="0004627D"/>
    <w:rsid w:val="00057143"/>
    <w:rsid w:val="00057BFE"/>
    <w:rsid w:val="000622FC"/>
    <w:rsid w:val="00073D9C"/>
    <w:rsid w:val="00074507"/>
    <w:rsid w:val="000805BF"/>
    <w:rsid w:val="00087C76"/>
    <w:rsid w:val="000977E9"/>
    <w:rsid w:val="000C299C"/>
    <w:rsid w:val="000C7A44"/>
    <w:rsid w:val="000C7C1B"/>
    <w:rsid w:val="000E0AB5"/>
    <w:rsid w:val="000E7DBC"/>
    <w:rsid w:val="000F4966"/>
    <w:rsid w:val="00110E73"/>
    <w:rsid w:val="0014321F"/>
    <w:rsid w:val="00144041"/>
    <w:rsid w:val="0014701D"/>
    <w:rsid w:val="001546D4"/>
    <w:rsid w:val="00163C57"/>
    <w:rsid w:val="00177F39"/>
    <w:rsid w:val="001861A2"/>
    <w:rsid w:val="0018684B"/>
    <w:rsid w:val="001C7254"/>
    <w:rsid w:val="002037F2"/>
    <w:rsid w:val="00206183"/>
    <w:rsid w:val="00236A9E"/>
    <w:rsid w:val="002626D2"/>
    <w:rsid w:val="002738A9"/>
    <w:rsid w:val="002B20A5"/>
    <w:rsid w:val="002E0ACC"/>
    <w:rsid w:val="002E4B41"/>
    <w:rsid w:val="002E76B9"/>
    <w:rsid w:val="002F3753"/>
    <w:rsid w:val="002F7B70"/>
    <w:rsid w:val="00344642"/>
    <w:rsid w:val="0035788B"/>
    <w:rsid w:val="0036161E"/>
    <w:rsid w:val="003631A9"/>
    <w:rsid w:val="0037523D"/>
    <w:rsid w:val="0039544A"/>
    <w:rsid w:val="003A74AC"/>
    <w:rsid w:val="003B0245"/>
    <w:rsid w:val="003B3867"/>
    <w:rsid w:val="003B3DA0"/>
    <w:rsid w:val="003C7040"/>
    <w:rsid w:val="003D22A1"/>
    <w:rsid w:val="003F7AC7"/>
    <w:rsid w:val="00404CC3"/>
    <w:rsid w:val="00420CCE"/>
    <w:rsid w:val="00421295"/>
    <w:rsid w:val="0043712B"/>
    <w:rsid w:val="004527E3"/>
    <w:rsid w:val="004647BE"/>
    <w:rsid w:val="004C0E1B"/>
    <w:rsid w:val="004F21C7"/>
    <w:rsid w:val="005131F0"/>
    <w:rsid w:val="00513AEF"/>
    <w:rsid w:val="00515348"/>
    <w:rsid w:val="00522B27"/>
    <w:rsid w:val="00523F00"/>
    <w:rsid w:val="00536FDA"/>
    <w:rsid w:val="00554AC7"/>
    <w:rsid w:val="00556752"/>
    <w:rsid w:val="0056398F"/>
    <w:rsid w:val="00572742"/>
    <w:rsid w:val="00574A15"/>
    <w:rsid w:val="00575DDC"/>
    <w:rsid w:val="00592856"/>
    <w:rsid w:val="005A79A1"/>
    <w:rsid w:val="005C06E6"/>
    <w:rsid w:val="005C3E22"/>
    <w:rsid w:val="005E4A42"/>
    <w:rsid w:val="006203B6"/>
    <w:rsid w:val="00635704"/>
    <w:rsid w:val="00666381"/>
    <w:rsid w:val="00674EB9"/>
    <w:rsid w:val="0067671D"/>
    <w:rsid w:val="00685A72"/>
    <w:rsid w:val="006B0838"/>
    <w:rsid w:val="006B4575"/>
    <w:rsid w:val="006E0285"/>
    <w:rsid w:val="0070548C"/>
    <w:rsid w:val="007076EF"/>
    <w:rsid w:val="00713F39"/>
    <w:rsid w:val="00726F17"/>
    <w:rsid w:val="00730807"/>
    <w:rsid w:val="007431DA"/>
    <w:rsid w:val="00752F7A"/>
    <w:rsid w:val="00755539"/>
    <w:rsid w:val="007659DB"/>
    <w:rsid w:val="00773475"/>
    <w:rsid w:val="00781997"/>
    <w:rsid w:val="007B1E4C"/>
    <w:rsid w:val="007D548E"/>
    <w:rsid w:val="00817398"/>
    <w:rsid w:val="008235DC"/>
    <w:rsid w:val="0082767B"/>
    <w:rsid w:val="00833C16"/>
    <w:rsid w:val="0085276D"/>
    <w:rsid w:val="008803B1"/>
    <w:rsid w:val="0088297F"/>
    <w:rsid w:val="00883E12"/>
    <w:rsid w:val="008B34FB"/>
    <w:rsid w:val="008B6957"/>
    <w:rsid w:val="008F43E0"/>
    <w:rsid w:val="008F5545"/>
    <w:rsid w:val="00905822"/>
    <w:rsid w:val="00913ABF"/>
    <w:rsid w:val="00914861"/>
    <w:rsid w:val="0092134C"/>
    <w:rsid w:val="009353E4"/>
    <w:rsid w:val="009636B3"/>
    <w:rsid w:val="00965FCD"/>
    <w:rsid w:val="00971DB2"/>
    <w:rsid w:val="00983F43"/>
    <w:rsid w:val="00987205"/>
    <w:rsid w:val="0099268B"/>
    <w:rsid w:val="009A2860"/>
    <w:rsid w:val="009B6C5A"/>
    <w:rsid w:val="00A03C5F"/>
    <w:rsid w:val="00A31264"/>
    <w:rsid w:val="00A34460"/>
    <w:rsid w:val="00A66F7E"/>
    <w:rsid w:val="00A733FE"/>
    <w:rsid w:val="00A77530"/>
    <w:rsid w:val="00A812D2"/>
    <w:rsid w:val="00AB7EAF"/>
    <w:rsid w:val="00AD0E85"/>
    <w:rsid w:val="00AD499D"/>
    <w:rsid w:val="00AF1D9F"/>
    <w:rsid w:val="00AF3357"/>
    <w:rsid w:val="00AF5EB3"/>
    <w:rsid w:val="00B3577A"/>
    <w:rsid w:val="00B4426A"/>
    <w:rsid w:val="00B46D62"/>
    <w:rsid w:val="00B470FE"/>
    <w:rsid w:val="00B4795A"/>
    <w:rsid w:val="00B567DD"/>
    <w:rsid w:val="00B76F8A"/>
    <w:rsid w:val="00B822A2"/>
    <w:rsid w:val="00B82D81"/>
    <w:rsid w:val="00B83E55"/>
    <w:rsid w:val="00B97C72"/>
    <w:rsid w:val="00BA162F"/>
    <w:rsid w:val="00BA384C"/>
    <w:rsid w:val="00BD5959"/>
    <w:rsid w:val="00BE52CC"/>
    <w:rsid w:val="00C0038D"/>
    <w:rsid w:val="00C036E3"/>
    <w:rsid w:val="00C11D18"/>
    <w:rsid w:val="00C16455"/>
    <w:rsid w:val="00C21751"/>
    <w:rsid w:val="00C86876"/>
    <w:rsid w:val="00CA0FF8"/>
    <w:rsid w:val="00CA3118"/>
    <w:rsid w:val="00CB7E4A"/>
    <w:rsid w:val="00CD3B0A"/>
    <w:rsid w:val="00CE766F"/>
    <w:rsid w:val="00CF5F5F"/>
    <w:rsid w:val="00D10C46"/>
    <w:rsid w:val="00D22454"/>
    <w:rsid w:val="00D23C03"/>
    <w:rsid w:val="00D40BD0"/>
    <w:rsid w:val="00D5774C"/>
    <w:rsid w:val="00D66661"/>
    <w:rsid w:val="00D673E0"/>
    <w:rsid w:val="00DB3932"/>
    <w:rsid w:val="00DB4262"/>
    <w:rsid w:val="00DB7603"/>
    <w:rsid w:val="00DD18EA"/>
    <w:rsid w:val="00DD5507"/>
    <w:rsid w:val="00DE34C9"/>
    <w:rsid w:val="00DF234A"/>
    <w:rsid w:val="00E13739"/>
    <w:rsid w:val="00E22515"/>
    <w:rsid w:val="00E314B5"/>
    <w:rsid w:val="00E4724F"/>
    <w:rsid w:val="00E51FE7"/>
    <w:rsid w:val="00E77982"/>
    <w:rsid w:val="00EA03BE"/>
    <w:rsid w:val="00EB437A"/>
    <w:rsid w:val="00EB5C48"/>
    <w:rsid w:val="00ED6A38"/>
    <w:rsid w:val="00F071EC"/>
    <w:rsid w:val="00F27990"/>
    <w:rsid w:val="00F3107B"/>
    <w:rsid w:val="00F31FD4"/>
    <w:rsid w:val="00F40811"/>
    <w:rsid w:val="00FD602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basedOn w:val="DefaultParagraphFont"/>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basedOn w:val="DefaultParagraphFont"/>
    <w:link w:val="Header"/>
    <w:uiPriority w:val="99"/>
    <w:rsid w:val="00073D9C"/>
    <w:rPr>
      <w:szCs w:val="24"/>
    </w:rPr>
  </w:style>
  <w:style w:type="character" w:customStyle="1" w:styleId="Heading4Char">
    <w:name w:val="Heading 4 Char"/>
    <w:basedOn w:val="DefaultParagraphFont"/>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basedOn w:val="DefaultParagraphFont"/>
    <w:link w:val="Heading2"/>
    <w:rsid w:val="003F7AC7"/>
    <w:rPr>
      <w:rFonts w:asciiTheme="majorHAnsi" w:eastAsiaTheme="majorEastAsia" w:hAnsiTheme="majorHAnsi" w:cstheme="majorBidi"/>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basedOn w:val="DefaultParagraphFont"/>
    <w:link w:val="BodyText"/>
    <w:rsid w:val="00592856"/>
    <w:rPr>
      <w:sz w:val="24"/>
      <w:szCs w:val="24"/>
    </w:rPr>
  </w:style>
  <w:style w:type="character" w:styleId="FollowedHyperlink">
    <w:name w:val="FollowedHyperlink"/>
    <w:basedOn w:val="DefaultParagraphFont"/>
    <w:rsid w:val="00B822A2"/>
    <w:rPr>
      <w:color w:val="800080" w:themeColor="followedHyperlink"/>
      <w:u w:val="single"/>
    </w:rPr>
  </w:style>
  <w:style w:type="paragraph" w:styleId="NormalWeb">
    <w:name w:val="Normal (Web)"/>
    <w:basedOn w:val="Normal"/>
    <w:uiPriority w:val="99"/>
    <w:unhideWhenUsed/>
    <w:rsid w:val="00B4795A"/>
    <w:pPr>
      <w:widowControl/>
      <w:autoSpaceDE/>
      <w:autoSpaceDN/>
      <w:adjustRightInd/>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DC"/>
    <w:pPr>
      <w:widowControl w:val="0"/>
      <w:autoSpaceDE w:val="0"/>
      <w:autoSpaceDN w:val="0"/>
      <w:adjustRightInd w:val="0"/>
    </w:pPr>
    <w:rPr>
      <w:szCs w:val="24"/>
    </w:rPr>
  </w:style>
  <w:style w:type="paragraph" w:styleId="Heading1">
    <w:name w:val="heading 1"/>
    <w:basedOn w:val="Normal"/>
    <w:next w:val="Normal"/>
    <w:qFormat/>
    <w:rsid w:val="008235DC"/>
    <w:pPr>
      <w:keepNext/>
      <w:outlineLvl w:val="0"/>
    </w:pPr>
    <w:rPr>
      <w:sz w:val="24"/>
    </w:rPr>
  </w:style>
  <w:style w:type="paragraph" w:styleId="Heading2">
    <w:name w:val="heading 2"/>
    <w:basedOn w:val="Normal"/>
    <w:next w:val="Normal"/>
    <w:link w:val="Heading2Char"/>
    <w:unhideWhenUsed/>
    <w:qFormat/>
    <w:rsid w:val="003F7AC7"/>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35DC"/>
  </w:style>
  <w:style w:type="paragraph" w:customStyle="1" w:styleId="Level1">
    <w:name w:val="Level 1"/>
    <w:basedOn w:val="Normal"/>
    <w:rsid w:val="008235DC"/>
    <w:pPr>
      <w:numPr>
        <w:numId w:val="1"/>
      </w:numPr>
      <w:ind w:left="720" w:hanging="720"/>
      <w:outlineLvl w:val="0"/>
    </w:pPr>
  </w:style>
  <w:style w:type="paragraph" w:styleId="BodyTextIndent">
    <w:name w:val="Body Text Indent"/>
    <w:basedOn w:val="Normal"/>
    <w:rsid w:val="008235DC"/>
    <w:pPr>
      <w:ind w:left="720"/>
    </w:pPr>
    <w:rPr>
      <w:sz w:val="24"/>
    </w:rPr>
  </w:style>
  <w:style w:type="paragraph" w:styleId="BodyText">
    <w:name w:val="Body Text"/>
    <w:basedOn w:val="Normal"/>
    <w:link w:val="BodyTextChar"/>
    <w:rsid w:val="008235DC"/>
    <w:rPr>
      <w:sz w:val="24"/>
    </w:rPr>
  </w:style>
  <w:style w:type="character" w:styleId="Hyperlink">
    <w:name w:val="Hyperlink"/>
    <w:basedOn w:val="DefaultParagraphFont"/>
    <w:rsid w:val="008235DC"/>
    <w:rPr>
      <w:color w:val="0000FF"/>
      <w:u w:val="single"/>
    </w:rPr>
  </w:style>
  <w:style w:type="paragraph" w:styleId="BodyTextIndent2">
    <w:name w:val="Body Text Indent 2"/>
    <w:basedOn w:val="Normal"/>
    <w:rsid w:val="008235DC"/>
    <w:pPr>
      <w:ind w:firstLine="720"/>
    </w:pPr>
    <w:rPr>
      <w:sz w:val="24"/>
    </w:rPr>
  </w:style>
  <w:style w:type="character" w:styleId="PageNumber">
    <w:name w:val="page number"/>
    <w:basedOn w:val="DefaultParagraphFont"/>
    <w:rsid w:val="008235DC"/>
  </w:style>
  <w:style w:type="paragraph" w:styleId="Header">
    <w:name w:val="header"/>
    <w:basedOn w:val="Normal"/>
    <w:link w:val="HeaderChar"/>
    <w:uiPriority w:val="99"/>
    <w:rsid w:val="008235DC"/>
    <w:pPr>
      <w:tabs>
        <w:tab w:val="center" w:pos="4320"/>
        <w:tab w:val="right" w:pos="8640"/>
      </w:tabs>
    </w:pPr>
  </w:style>
  <w:style w:type="paragraph" w:styleId="Footer">
    <w:name w:val="footer"/>
    <w:basedOn w:val="Normal"/>
    <w:rsid w:val="008235DC"/>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basedOn w:val="DefaultParagraphFont"/>
    <w:link w:val="Header"/>
    <w:uiPriority w:val="99"/>
    <w:rsid w:val="00073D9C"/>
    <w:rPr>
      <w:szCs w:val="24"/>
    </w:rPr>
  </w:style>
  <w:style w:type="character" w:customStyle="1" w:styleId="Heading4Char">
    <w:name w:val="Heading 4 Char"/>
    <w:basedOn w:val="DefaultParagraphFont"/>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 w:type="character" w:customStyle="1" w:styleId="Heading2Char">
    <w:name w:val="Heading 2 Char"/>
    <w:basedOn w:val="DefaultParagraphFont"/>
    <w:link w:val="Heading2"/>
    <w:rsid w:val="003F7AC7"/>
    <w:rPr>
      <w:rFonts w:asciiTheme="majorHAnsi" w:eastAsiaTheme="majorEastAsia" w:hAnsiTheme="majorHAnsi" w:cstheme="majorBidi"/>
      <w:b/>
      <w:bCs/>
      <w:i/>
      <w:iCs/>
      <w:sz w:val="28"/>
      <w:szCs w:val="28"/>
    </w:rPr>
  </w:style>
  <w:style w:type="character" w:customStyle="1" w:styleId="p">
    <w:name w:val="p"/>
    <w:basedOn w:val="DefaultParagraphFont"/>
    <w:rsid w:val="003F7AC7"/>
  </w:style>
  <w:style w:type="character" w:customStyle="1" w:styleId="fp">
    <w:name w:val="fp"/>
    <w:basedOn w:val="DefaultParagraphFont"/>
    <w:rsid w:val="003F7AC7"/>
  </w:style>
  <w:style w:type="character" w:customStyle="1" w:styleId="appendixp">
    <w:name w:val="appendixp"/>
    <w:basedOn w:val="DefaultParagraphFont"/>
    <w:rsid w:val="00AD499D"/>
  </w:style>
  <w:style w:type="character" w:customStyle="1" w:styleId="BodyTextChar">
    <w:name w:val="Body Text Char"/>
    <w:basedOn w:val="DefaultParagraphFont"/>
    <w:link w:val="BodyText"/>
    <w:rsid w:val="00592856"/>
    <w:rPr>
      <w:sz w:val="24"/>
      <w:szCs w:val="24"/>
    </w:rPr>
  </w:style>
  <w:style w:type="character" w:styleId="FollowedHyperlink">
    <w:name w:val="FollowedHyperlink"/>
    <w:basedOn w:val="DefaultParagraphFont"/>
    <w:rsid w:val="00B822A2"/>
    <w:rPr>
      <w:color w:val="800080" w:themeColor="followedHyperlink"/>
      <w:u w:val="single"/>
    </w:rPr>
  </w:style>
  <w:style w:type="paragraph" w:styleId="NormalWeb">
    <w:name w:val="Normal (Web)"/>
    <w:basedOn w:val="Normal"/>
    <w:uiPriority w:val="99"/>
    <w:unhideWhenUsed/>
    <w:rsid w:val="00B4795A"/>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9875">
      <w:bodyDiv w:val="1"/>
      <w:marLeft w:val="0"/>
      <w:marRight w:val="0"/>
      <w:marTop w:val="0"/>
      <w:marBottom w:val="0"/>
      <w:divBdr>
        <w:top w:val="none" w:sz="0" w:space="0" w:color="auto"/>
        <w:left w:val="none" w:sz="0" w:space="0" w:color="auto"/>
        <w:bottom w:val="none" w:sz="0" w:space="0" w:color="auto"/>
        <w:right w:val="none" w:sz="0" w:space="0" w:color="auto"/>
      </w:divBdr>
    </w:div>
    <w:div w:id="497772066">
      <w:bodyDiv w:val="1"/>
      <w:marLeft w:val="0"/>
      <w:marRight w:val="0"/>
      <w:marTop w:val="0"/>
      <w:marBottom w:val="0"/>
      <w:divBdr>
        <w:top w:val="none" w:sz="0" w:space="0" w:color="auto"/>
        <w:left w:val="none" w:sz="0" w:space="0" w:color="auto"/>
        <w:bottom w:val="none" w:sz="0" w:space="0" w:color="auto"/>
        <w:right w:val="none" w:sz="0" w:space="0" w:color="auto"/>
      </w:divBdr>
      <w:divsChild>
        <w:div w:id="1493721199">
          <w:marLeft w:val="0"/>
          <w:marRight w:val="0"/>
          <w:marTop w:val="0"/>
          <w:marBottom w:val="0"/>
          <w:divBdr>
            <w:top w:val="none" w:sz="0" w:space="0" w:color="auto"/>
            <w:left w:val="none" w:sz="0" w:space="0" w:color="auto"/>
            <w:bottom w:val="none" w:sz="0" w:space="0" w:color="auto"/>
            <w:right w:val="none" w:sz="0" w:space="0" w:color="auto"/>
          </w:divBdr>
          <w:divsChild>
            <w:div w:id="4707117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86698221">
      <w:bodyDiv w:val="1"/>
      <w:marLeft w:val="0"/>
      <w:marRight w:val="0"/>
      <w:marTop w:val="0"/>
      <w:marBottom w:val="0"/>
      <w:divBdr>
        <w:top w:val="none" w:sz="0" w:space="0" w:color="auto"/>
        <w:left w:val="none" w:sz="0" w:space="0" w:color="auto"/>
        <w:bottom w:val="none" w:sz="0" w:space="0" w:color="auto"/>
        <w:right w:val="none" w:sz="0" w:space="0" w:color="auto"/>
      </w:divBdr>
    </w:div>
    <w:div w:id="896550615">
      <w:bodyDiv w:val="1"/>
      <w:marLeft w:val="0"/>
      <w:marRight w:val="0"/>
      <w:marTop w:val="0"/>
      <w:marBottom w:val="0"/>
      <w:divBdr>
        <w:top w:val="none" w:sz="0" w:space="0" w:color="auto"/>
        <w:left w:val="none" w:sz="0" w:space="0" w:color="auto"/>
        <w:bottom w:val="none" w:sz="0" w:space="0" w:color="auto"/>
        <w:right w:val="none" w:sz="0" w:space="0" w:color="auto"/>
      </w:divBdr>
    </w:div>
    <w:div w:id="1423186805">
      <w:bodyDiv w:val="1"/>
      <w:marLeft w:val="0"/>
      <w:marRight w:val="0"/>
      <w:marTop w:val="0"/>
      <w:marBottom w:val="0"/>
      <w:divBdr>
        <w:top w:val="none" w:sz="0" w:space="0" w:color="auto"/>
        <w:left w:val="none" w:sz="0" w:space="0" w:color="auto"/>
        <w:bottom w:val="none" w:sz="0" w:space="0" w:color="auto"/>
        <w:right w:val="none" w:sz="0" w:space="0" w:color="auto"/>
      </w:divBdr>
    </w:div>
    <w:div w:id="1536775928">
      <w:bodyDiv w:val="1"/>
      <w:marLeft w:val="0"/>
      <w:marRight w:val="0"/>
      <w:marTop w:val="0"/>
      <w:marBottom w:val="0"/>
      <w:divBdr>
        <w:top w:val="none" w:sz="0" w:space="0" w:color="auto"/>
        <w:left w:val="none" w:sz="0" w:space="0" w:color="auto"/>
        <w:bottom w:val="none" w:sz="0" w:space="0" w:color="auto"/>
        <w:right w:val="none" w:sz="0" w:space="0" w:color="auto"/>
      </w:divBdr>
    </w:div>
    <w:div w:id="19116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young@utc.wa.gov"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gpo.gov/fdsys/pkg/CFR-2010-title49-vol5/pdf/CFR-2010-title49-vol5-part385.pdf" TargetMode="External"/><Relationship Id="rId1" Type="http://schemas.openxmlformats.org/officeDocument/2006/relationships/hyperlink" Target="http://www.fmcsa.dot.gov/rules-regulations/administration/fmcsr/fmcsrruletext.aspx?contentid=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EF0CAA5263CA4FA3CF452A5A720007" ma:contentTypeVersion="139" ma:contentTypeDescription="" ma:contentTypeScope="" ma:versionID="b26daa693a333f13cc11ba065132c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2012-09-26T07:00:00+00:00</OpenedDate>
    <Date1 xmlns="dc463f71-b30c-4ab2-9473-d307f9d35888">2012-10-22T07:00:00+00:00</Date1>
    <IsDocumentOrder xmlns="dc463f71-b30c-4ab2-9473-d307f9d35888" xsi:nil="true"/>
    <IsHighlyConfidential xmlns="dc463f71-b30c-4ab2-9473-d307f9d35888">false</IsHighlyConfidential>
    <CaseCompanyNames xmlns="dc463f71-b30c-4ab2-9473-d307f9d35888">BML Investments LLC</CaseCompanyNames>
    <DocketNumber xmlns="dc463f71-b30c-4ab2-9473-d307f9d35888">121565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25505F3-7C1D-4DCE-87B1-C5BF3424F7B6}"/>
</file>

<file path=customXml/itemProps2.xml><?xml version="1.0" encoding="utf-8"?>
<ds:datastoreItem xmlns:ds="http://schemas.openxmlformats.org/officeDocument/2006/customXml" ds:itemID="{D8345DBE-0D63-49E1-B6C0-1F5D873EC422}"/>
</file>

<file path=customXml/itemProps3.xml><?xml version="1.0" encoding="utf-8"?>
<ds:datastoreItem xmlns:ds="http://schemas.openxmlformats.org/officeDocument/2006/customXml" ds:itemID="{EB856DAB-8C5C-4075-BFDD-F9730C7314BA}"/>
</file>

<file path=customXml/itemProps4.xml><?xml version="1.0" encoding="utf-8"?>
<ds:datastoreItem xmlns:ds="http://schemas.openxmlformats.org/officeDocument/2006/customXml" ds:itemID="{5DFC9A29-DA07-40BD-9B82-881E37853F8D}"/>
</file>

<file path=customXml/itemProps5.xml><?xml version="1.0" encoding="utf-8"?>
<ds:datastoreItem xmlns:ds="http://schemas.openxmlformats.org/officeDocument/2006/customXml" ds:itemID="{39ABDAEA-1CCE-4882-AF3D-44CFA0ADD80D}"/>
</file>

<file path=docProps/app.xml><?xml version="1.0" encoding="utf-8"?>
<Properties xmlns="http://schemas.openxmlformats.org/officeDocument/2006/extended-properties" xmlns:vt="http://schemas.openxmlformats.org/officeDocument/2006/docPropsVTypes">
  <Template>Normal</Template>
  <TotalTime>718</TotalTime>
  <Pages>5</Pages>
  <Words>1553</Words>
  <Characters>9402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creator>Information Services</dc:creator>
  <cp:lastModifiedBy>Young, Betty (UTC)</cp:lastModifiedBy>
  <cp:revision>21</cp:revision>
  <cp:lastPrinted>2012-10-22T16:53:00Z</cp:lastPrinted>
  <dcterms:created xsi:type="dcterms:W3CDTF">2012-10-12T16:09:00Z</dcterms:created>
  <dcterms:modified xsi:type="dcterms:W3CDTF">2012-10-22T16:55:00Z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0x0101006E56B4D1795A2E4DB2F0B01679ED314A0082EF0CAA5263CA4FA3CF452A5A720007</vt:lpwstr>
  </property>
  <property fmtid="{D5CDD505-2E9C-101B-9397-08002B2CF9AE}" pid="3" name="_docset_NoMedatataSyncRequired">
    <vt:lpwstr>False</vt:lpwstr>
  </property>
</Properties>
</file>