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ED" w:rsidRPr="00AA4686" w:rsidRDefault="00270548" w:rsidP="004F30A9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AA4686">
        <w:rPr>
          <w:rFonts w:ascii="Times New Roman" w:hAnsi="Times New Roman"/>
          <w:b/>
          <w:sz w:val="25"/>
          <w:szCs w:val="25"/>
        </w:rPr>
        <w:t xml:space="preserve">BEFORE THE WASHINGTON </w:t>
      </w:r>
    </w:p>
    <w:p w:rsidR="00270548" w:rsidRPr="00AA4686" w:rsidRDefault="005B07EF" w:rsidP="004F30A9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AA4686">
        <w:rPr>
          <w:rFonts w:ascii="Times New Roman" w:hAnsi="Times New Roman"/>
          <w:b/>
          <w:sz w:val="25"/>
          <w:szCs w:val="25"/>
        </w:rPr>
        <w:t>UTILTIES AND</w:t>
      </w:r>
      <w:r w:rsidR="003A6A99" w:rsidRPr="00AA4686">
        <w:rPr>
          <w:rFonts w:ascii="Times New Roman" w:hAnsi="Times New Roman"/>
          <w:b/>
          <w:sz w:val="25"/>
          <w:szCs w:val="25"/>
        </w:rPr>
        <w:t xml:space="preserve"> </w:t>
      </w:r>
      <w:r w:rsidR="0032640B" w:rsidRPr="00AA4686">
        <w:rPr>
          <w:rFonts w:ascii="Times New Roman" w:hAnsi="Times New Roman"/>
          <w:b/>
          <w:sz w:val="25"/>
          <w:szCs w:val="25"/>
        </w:rPr>
        <w:t>T</w:t>
      </w:r>
      <w:r w:rsidR="00270548" w:rsidRPr="00AA4686">
        <w:rPr>
          <w:rFonts w:ascii="Times New Roman" w:hAnsi="Times New Roman"/>
          <w:b/>
          <w:sz w:val="25"/>
          <w:szCs w:val="25"/>
        </w:rPr>
        <w:t xml:space="preserve">RANSPORTATION </w:t>
      </w:r>
      <w:r w:rsidR="00205818" w:rsidRPr="00AA4686">
        <w:rPr>
          <w:rFonts w:ascii="Times New Roman" w:hAnsi="Times New Roman"/>
          <w:b/>
          <w:sz w:val="25"/>
          <w:szCs w:val="25"/>
        </w:rPr>
        <w:t>COMMISSION</w:t>
      </w:r>
    </w:p>
    <w:p w:rsidR="00270548" w:rsidRDefault="00270548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0A1805" w:rsidRPr="00AA4686" w:rsidRDefault="000A1805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58"/>
        <w:gridCol w:w="360"/>
        <w:gridCol w:w="4338"/>
      </w:tblGrid>
      <w:tr w:rsidR="00270548" w:rsidRPr="00AA4686" w:rsidTr="003A3CED">
        <w:trPr>
          <w:cantSplit/>
        </w:trPr>
        <w:tc>
          <w:tcPr>
            <w:tcW w:w="4158" w:type="dxa"/>
          </w:tcPr>
          <w:p w:rsidR="00872880" w:rsidRPr="00AA4686" w:rsidRDefault="005B07EF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 xml:space="preserve">In re Application </w:t>
            </w:r>
            <w:r w:rsidR="003A3CED" w:rsidRPr="00AA4686">
              <w:rPr>
                <w:rFonts w:ascii="Times New Roman" w:hAnsi="Times New Roman"/>
                <w:sz w:val="25"/>
                <w:szCs w:val="25"/>
              </w:rPr>
              <w:t>of</w:t>
            </w:r>
          </w:p>
          <w:p w:rsidR="00270548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70548" w:rsidRPr="00AA4686" w:rsidRDefault="000E6C15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ORACLE MARKETING</w:t>
            </w:r>
            <w:r w:rsidR="0001155B" w:rsidRPr="00AA4686">
              <w:rPr>
                <w:rFonts w:ascii="Times New Roman" w:hAnsi="Times New Roman"/>
                <w:sz w:val="25"/>
                <w:szCs w:val="25"/>
              </w:rPr>
              <w:t>, INC.</w:t>
            </w:r>
            <w:r w:rsidRPr="00AA4686">
              <w:rPr>
                <w:rFonts w:ascii="Times New Roman" w:hAnsi="Times New Roman"/>
                <w:sz w:val="25"/>
                <w:szCs w:val="25"/>
              </w:rPr>
              <w:t xml:space="preserve"> d/b/a </w:t>
            </w:r>
            <w:r w:rsidRPr="00AA4686">
              <w:rPr>
                <w:rFonts w:ascii="Times New Roman" w:hAnsi="Times New Roman"/>
                <w:sz w:val="25"/>
                <w:szCs w:val="25"/>
              </w:rPr>
              <w:br/>
            </w:r>
            <w:r w:rsidR="0001155B" w:rsidRPr="00AA4686">
              <w:rPr>
                <w:rFonts w:ascii="Times New Roman" w:hAnsi="Times New Roman"/>
                <w:sz w:val="25"/>
                <w:szCs w:val="25"/>
              </w:rPr>
              <w:t>GREAT AMERICAN MOVING &amp; STORAGE</w:t>
            </w:r>
            <w:r w:rsidR="00D13422" w:rsidRPr="00AA4686">
              <w:rPr>
                <w:rFonts w:ascii="Times New Roman" w:hAnsi="Times New Roman"/>
                <w:sz w:val="25"/>
                <w:szCs w:val="25"/>
              </w:rPr>
              <w:t xml:space="preserve">  </w:t>
            </w:r>
          </w:p>
          <w:p w:rsidR="00847814" w:rsidRPr="00AA4686" w:rsidRDefault="00847814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B07EF" w:rsidRPr="00AA4686" w:rsidRDefault="005B07EF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 xml:space="preserve">for a permit to operate as a </w:t>
            </w:r>
            <w:r w:rsidR="00D53DF9" w:rsidRPr="00AA4686">
              <w:rPr>
                <w:rFonts w:ascii="Times New Roman" w:hAnsi="Times New Roman"/>
                <w:sz w:val="25"/>
                <w:szCs w:val="25"/>
              </w:rPr>
              <w:t>motor carrier of household goods.</w:t>
            </w:r>
            <w:r w:rsidR="0092361D" w:rsidRPr="00AA4686">
              <w:rPr>
                <w:rFonts w:ascii="Times New Roman" w:hAnsi="Times New Roman"/>
                <w:sz w:val="25"/>
                <w:szCs w:val="25"/>
              </w:rPr>
              <w:br/>
            </w:r>
          </w:p>
          <w:p w:rsidR="00225993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270548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A3CED" w:rsidRPr="00AA4686" w:rsidRDefault="005B07EF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867EF" w:rsidRPr="00AA4686" w:rsidRDefault="003867EF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C75E9E" w:rsidRDefault="00C75E9E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F0CA9" w:rsidRPr="00AA4686" w:rsidRDefault="008F0CA9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338" w:type="dxa"/>
          </w:tcPr>
          <w:p w:rsidR="00270548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DOCKET TV</w:t>
            </w:r>
            <w:r w:rsidR="003A3CED" w:rsidRPr="00AA4686">
              <w:rPr>
                <w:rFonts w:ascii="Times New Roman" w:hAnsi="Times New Roman"/>
                <w:sz w:val="25"/>
                <w:szCs w:val="25"/>
              </w:rPr>
              <w:t>-</w:t>
            </w:r>
            <w:r w:rsidR="000E6C15" w:rsidRPr="00AA4686">
              <w:rPr>
                <w:rFonts w:ascii="Times New Roman" w:hAnsi="Times New Roman"/>
                <w:sz w:val="25"/>
                <w:szCs w:val="25"/>
              </w:rPr>
              <w:t>120766</w:t>
            </w:r>
          </w:p>
          <w:p w:rsidR="003A3CED" w:rsidRDefault="003A3CED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8F0CA9" w:rsidRPr="00AA4686" w:rsidRDefault="008F0CA9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A3CED" w:rsidRPr="00AA4686" w:rsidRDefault="00314D3F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NOTICE OF INTENT TO D</w:t>
            </w:r>
            <w:r w:rsidR="0029198B" w:rsidRPr="00AA4686">
              <w:rPr>
                <w:rFonts w:ascii="Times New Roman" w:hAnsi="Times New Roman"/>
                <w:sz w:val="25"/>
                <w:szCs w:val="25"/>
              </w:rPr>
              <w:t>ENY</w:t>
            </w:r>
            <w:r w:rsidRPr="00AA4686">
              <w:rPr>
                <w:rFonts w:ascii="Times New Roman" w:hAnsi="Times New Roman"/>
                <w:sz w:val="25"/>
                <w:szCs w:val="25"/>
              </w:rPr>
              <w:t xml:space="preserve"> APPLICATION FOR PERMANENT AUTHORITY;</w:t>
            </w:r>
          </w:p>
          <w:p w:rsidR="00314D3F" w:rsidRPr="00AA4686" w:rsidRDefault="00314D3F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14D3F" w:rsidRPr="00AA4686" w:rsidRDefault="00314D3F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AA4686">
              <w:rPr>
                <w:rFonts w:ascii="Times New Roman" w:hAnsi="Times New Roman"/>
                <w:sz w:val="25"/>
                <w:szCs w:val="25"/>
              </w:rPr>
              <w:t>NOTICE OF OPPORTUNITY FOR HEARING</w:t>
            </w:r>
          </w:p>
          <w:p w:rsidR="00270548" w:rsidRPr="00AA4686" w:rsidRDefault="00270548" w:rsidP="004F30A9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25993" w:rsidRDefault="00225993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0A1805" w:rsidRPr="00AA4686" w:rsidRDefault="000A1805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1C5E99" w:rsidRPr="00AA4686" w:rsidRDefault="001C5E99" w:rsidP="004F30A9">
      <w:pPr>
        <w:numPr>
          <w:ilvl w:val="0"/>
          <w:numId w:val="8"/>
        </w:numPr>
        <w:spacing w:line="264" w:lineRule="auto"/>
        <w:ind w:left="0" w:firstLine="0"/>
        <w:jc w:val="center"/>
        <w:rPr>
          <w:rFonts w:ascii="Times New Roman" w:hAnsi="Times New Roman"/>
          <w:b/>
          <w:sz w:val="25"/>
          <w:szCs w:val="25"/>
        </w:rPr>
      </w:pPr>
      <w:r w:rsidRPr="00AA4686">
        <w:rPr>
          <w:rFonts w:ascii="Times New Roman" w:hAnsi="Times New Roman"/>
          <w:b/>
          <w:sz w:val="25"/>
          <w:szCs w:val="25"/>
        </w:rPr>
        <w:t>INTRODUCTION</w:t>
      </w:r>
    </w:p>
    <w:p w:rsidR="001C5E99" w:rsidRPr="00AA4686" w:rsidRDefault="001C5E99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D801F5" w:rsidRPr="00AA4686" w:rsidRDefault="001C5E99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b/>
          <w:sz w:val="25"/>
          <w:szCs w:val="25"/>
        </w:rPr>
        <w:t>Nature of Proceeding</w:t>
      </w:r>
      <w:r w:rsidRPr="00AA4686">
        <w:rPr>
          <w:rFonts w:ascii="Times New Roman" w:hAnsi="Times New Roman"/>
          <w:sz w:val="25"/>
          <w:szCs w:val="25"/>
        </w:rPr>
        <w:t>.  The Washington Utilities and Transportation Commission (</w:t>
      </w:r>
      <w:r w:rsidR="00761FD6" w:rsidRPr="00AA4686">
        <w:rPr>
          <w:rFonts w:ascii="Times New Roman" w:hAnsi="Times New Roman"/>
          <w:sz w:val="25"/>
          <w:szCs w:val="25"/>
        </w:rPr>
        <w:t>C</w:t>
      </w:r>
      <w:r w:rsidRPr="00AA4686">
        <w:rPr>
          <w:rFonts w:ascii="Times New Roman" w:hAnsi="Times New Roman"/>
          <w:sz w:val="25"/>
          <w:szCs w:val="25"/>
        </w:rPr>
        <w:t xml:space="preserve">ommission) hereby provides notice of its intention to deny </w:t>
      </w:r>
      <w:r w:rsidR="000E6C15" w:rsidRPr="00AA4686">
        <w:rPr>
          <w:rFonts w:ascii="Times New Roman" w:hAnsi="Times New Roman"/>
          <w:sz w:val="25"/>
          <w:szCs w:val="25"/>
        </w:rPr>
        <w:t>Oracle Marketing</w:t>
      </w:r>
      <w:r w:rsidR="0001155B" w:rsidRPr="00AA4686">
        <w:rPr>
          <w:rFonts w:ascii="Times New Roman" w:hAnsi="Times New Roman"/>
          <w:sz w:val="25"/>
          <w:szCs w:val="25"/>
        </w:rPr>
        <w:t>, Inc.</w:t>
      </w:r>
      <w:r w:rsidR="000E6C15" w:rsidRPr="00AA4686">
        <w:rPr>
          <w:rFonts w:ascii="Times New Roman" w:hAnsi="Times New Roman"/>
          <w:sz w:val="25"/>
          <w:szCs w:val="25"/>
        </w:rPr>
        <w:t xml:space="preserve"> d/b/a </w:t>
      </w:r>
      <w:r w:rsidR="0001155B" w:rsidRPr="00AA4686">
        <w:rPr>
          <w:rFonts w:ascii="Times New Roman" w:hAnsi="Times New Roman"/>
          <w:sz w:val="25"/>
          <w:szCs w:val="25"/>
        </w:rPr>
        <w:t>Great American Moving &amp; Storage</w:t>
      </w:r>
      <w:r w:rsidR="000344F5" w:rsidRPr="00AA4686">
        <w:rPr>
          <w:rFonts w:ascii="Times New Roman" w:hAnsi="Times New Roman"/>
          <w:sz w:val="25"/>
          <w:szCs w:val="25"/>
        </w:rPr>
        <w:t>’s</w:t>
      </w:r>
      <w:r w:rsidRPr="00AA4686">
        <w:rPr>
          <w:rFonts w:ascii="Times New Roman" w:hAnsi="Times New Roman"/>
          <w:sz w:val="25"/>
          <w:szCs w:val="25"/>
        </w:rPr>
        <w:t xml:space="preserve"> (</w:t>
      </w:r>
      <w:r w:rsidR="000E6C15" w:rsidRPr="00AA4686">
        <w:rPr>
          <w:rFonts w:ascii="Times New Roman" w:hAnsi="Times New Roman"/>
          <w:sz w:val="25"/>
          <w:szCs w:val="25"/>
        </w:rPr>
        <w:t>Oracle Marketing</w:t>
      </w:r>
      <w:r w:rsidR="00CA27A9" w:rsidRPr="00AA4686">
        <w:rPr>
          <w:rFonts w:ascii="Times New Roman" w:hAnsi="Times New Roman"/>
          <w:sz w:val="25"/>
          <w:szCs w:val="25"/>
        </w:rPr>
        <w:t xml:space="preserve"> or Applicant</w:t>
      </w:r>
      <w:r w:rsidRPr="00AA4686">
        <w:rPr>
          <w:rFonts w:ascii="Times New Roman" w:hAnsi="Times New Roman"/>
          <w:sz w:val="25"/>
          <w:szCs w:val="25"/>
        </w:rPr>
        <w:t xml:space="preserve">) application for permanent authority </w:t>
      </w:r>
      <w:r w:rsidR="00D801F5" w:rsidRPr="00AA4686">
        <w:rPr>
          <w:rFonts w:ascii="Times New Roman" w:hAnsi="Times New Roman"/>
          <w:sz w:val="25"/>
          <w:szCs w:val="25"/>
        </w:rPr>
        <w:t xml:space="preserve">for failure to meet the application requirements in RCW 81.80 and WAC 480-15. </w:t>
      </w:r>
    </w:p>
    <w:p w:rsidR="00D801F5" w:rsidRPr="00AA4686" w:rsidRDefault="00D801F5" w:rsidP="004F30A9">
      <w:pPr>
        <w:widowControl/>
        <w:autoSpaceDE/>
        <w:autoSpaceDN/>
        <w:adjustRightInd/>
        <w:spacing w:line="288" w:lineRule="auto"/>
        <w:rPr>
          <w:rFonts w:ascii="Times New Roman" w:hAnsi="Times New Roman"/>
          <w:sz w:val="25"/>
          <w:szCs w:val="25"/>
        </w:rPr>
      </w:pPr>
    </w:p>
    <w:p w:rsidR="001C5E99" w:rsidRPr="00AA4686" w:rsidRDefault="001C5E99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b/>
          <w:sz w:val="25"/>
          <w:szCs w:val="25"/>
        </w:rPr>
        <w:t>Procedural Background.</w:t>
      </w:r>
      <w:r w:rsidRPr="00AA4686">
        <w:rPr>
          <w:rFonts w:ascii="Times New Roman" w:hAnsi="Times New Roman"/>
          <w:sz w:val="25"/>
          <w:szCs w:val="25"/>
        </w:rPr>
        <w:t xml:space="preserve">  On </w:t>
      </w:r>
      <w:r w:rsidR="000E6C15" w:rsidRPr="00AA4686">
        <w:rPr>
          <w:rFonts w:ascii="Times New Roman" w:hAnsi="Times New Roman"/>
          <w:sz w:val="25"/>
          <w:szCs w:val="25"/>
        </w:rPr>
        <w:t>May 24, 2012</w:t>
      </w:r>
      <w:r w:rsidRPr="00AA4686">
        <w:rPr>
          <w:rFonts w:ascii="Times New Roman" w:hAnsi="Times New Roman"/>
          <w:sz w:val="25"/>
          <w:szCs w:val="25"/>
        </w:rPr>
        <w:t xml:space="preserve">, </w:t>
      </w:r>
      <w:r w:rsidR="000E6C15" w:rsidRPr="00AA4686">
        <w:rPr>
          <w:rFonts w:ascii="Times New Roman" w:hAnsi="Times New Roman"/>
          <w:sz w:val="25"/>
          <w:szCs w:val="25"/>
        </w:rPr>
        <w:t>Oracle Marketing</w:t>
      </w:r>
      <w:r w:rsidR="00CA27A9" w:rsidRPr="00AA4686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 xml:space="preserve">filed with the </w:t>
      </w:r>
      <w:r w:rsidR="00761FD6" w:rsidRPr="00AA4686">
        <w:rPr>
          <w:rFonts w:ascii="Times New Roman" w:hAnsi="Times New Roman"/>
          <w:sz w:val="25"/>
          <w:szCs w:val="25"/>
        </w:rPr>
        <w:t>C</w:t>
      </w:r>
      <w:r w:rsidRPr="00AA4686">
        <w:rPr>
          <w:rFonts w:ascii="Times New Roman" w:hAnsi="Times New Roman"/>
          <w:sz w:val="25"/>
          <w:szCs w:val="25"/>
        </w:rPr>
        <w:t xml:space="preserve">ommission an application requesting authority to operate as a household goods carrier in the state of Washington under RCW 81.80 and WAC 480-15.  </w:t>
      </w:r>
      <w:r w:rsidR="000344F5" w:rsidRPr="00AA4686">
        <w:rPr>
          <w:rFonts w:ascii="Times New Roman" w:hAnsi="Times New Roman"/>
          <w:sz w:val="25"/>
          <w:szCs w:val="25"/>
        </w:rPr>
        <w:t>Chana Green, the company’s president, signed the application</w:t>
      </w:r>
      <w:r w:rsidR="00CA27A9" w:rsidRPr="00AA4686">
        <w:rPr>
          <w:rFonts w:ascii="Times New Roman" w:hAnsi="Times New Roman"/>
          <w:sz w:val="25"/>
          <w:szCs w:val="25"/>
        </w:rPr>
        <w:t xml:space="preserve">. </w:t>
      </w:r>
    </w:p>
    <w:p w:rsidR="001C5E99" w:rsidRPr="00AA4686" w:rsidRDefault="001C5E99" w:rsidP="004F30A9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C54DAE" w:rsidRDefault="00D151AC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>Commission Staff has reviewed the application</w:t>
      </w:r>
      <w:r w:rsidR="000344F5" w:rsidRPr="00AA4686">
        <w:rPr>
          <w:rFonts w:ascii="Times New Roman" w:hAnsi="Times New Roman"/>
          <w:sz w:val="25"/>
          <w:szCs w:val="25"/>
        </w:rPr>
        <w:t>,</w:t>
      </w:r>
      <w:r w:rsidR="00910666" w:rsidRPr="00AA4686">
        <w:rPr>
          <w:rFonts w:ascii="Times New Roman" w:hAnsi="Times New Roman"/>
          <w:sz w:val="25"/>
          <w:szCs w:val="25"/>
        </w:rPr>
        <w:t xml:space="preserve"> as well as </w:t>
      </w:r>
      <w:r w:rsidRPr="00AA4686">
        <w:rPr>
          <w:rFonts w:ascii="Times New Roman" w:hAnsi="Times New Roman"/>
          <w:sz w:val="25"/>
          <w:szCs w:val="25"/>
        </w:rPr>
        <w:t>compliance reports</w:t>
      </w:r>
      <w:r w:rsidR="001B6FDC" w:rsidRPr="00AA4686">
        <w:rPr>
          <w:rFonts w:ascii="Times New Roman" w:hAnsi="Times New Roman"/>
          <w:sz w:val="25"/>
          <w:szCs w:val="25"/>
        </w:rPr>
        <w:t xml:space="preserve"> and information received from other state and federal agencies,</w:t>
      </w:r>
      <w:r w:rsidR="00282A6F" w:rsidRPr="00AA4686">
        <w:rPr>
          <w:rFonts w:ascii="Times New Roman" w:hAnsi="Times New Roman"/>
          <w:sz w:val="25"/>
          <w:szCs w:val="25"/>
        </w:rPr>
        <w:t xml:space="preserve"> including </w:t>
      </w:r>
      <w:r w:rsidR="00D2187C" w:rsidRPr="00AA4686">
        <w:rPr>
          <w:rFonts w:ascii="Times New Roman" w:hAnsi="Times New Roman"/>
          <w:sz w:val="25"/>
          <w:szCs w:val="25"/>
        </w:rPr>
        <w:t xml:space="preserve">an order issued by the California Public Utilities Commission </w:t>
      </w:r>
      <w:r w:rsidR="00833B3B" w:rsidRPr="00AA4686">
        <w:rPr>
          <w:rFonts w:ascii="Times New Roman" w:hAnsi="Times New Roman"/>
          <w:sz w:val="25"/>
          <w:szCs w:val="25"/>
        </w:rPr>
        <w:t xml:space="preserve">(CPUC) </w:t>
      </w:r>
      <w:r w:rsidR="00D2187C" w:rsidRPr="00AA4686">
        <w:rPr>
          <w:rFonts w:ascii="Times New Roman" w:hAnsi="Times New Roman"/>
          <w:sz w:val="25"/>
          <w:szCs w:val="25"/>
        </w:rPr>
        <w:t xml:space="preserve">revoking the </w:t>
      </w:r>
      <w:r w:rsidR="001B6FDC" w:rsidRPr="00AA4686">
        <w:rPr>
          <w:rFonts w:ascii="Times New Roman" w:hAnsi="Times New Roman"/>
          <w:sz w:val="25"/>
          <w:szCs w:val="25"/>
        </w:rPr>
        <w:t xml:space="preserve">Applicant’s </w:t>
      </w:r>
      <w:r w:rsidR="00D2187C" w:rsidRPr="00AA4686">
        <w:rPr>
          <w:rFonts w:ascii="Times New Roman" w:hAnsi="Times New Roman"/>
          <w:sz w:val="25"/>
          <w:szCs w:val="25"/>
        </w:rPr>
        <w:t>operating authority in that state</w:t>
      </w:r>
      <w:r w:rsidR="00941A1F" w:rsidRPr="00AA4686">
        <w:rPr>
          <w:rFonts w:ascii="Times New Roman" w:hAnsi="Times New Roman"/>
          <w:sz w:val="25"/>
          <w:szCs w:val="25"/>
        </w:rPr>
        <w:t xml:space="preserve">. </w:t>
      </w:r>
      <w:r w:rsidR="00E438E1" w:rsidRPr="00AA4686">
        <w:rPr>
          <w:rFonts w:ascii="Times New Roman" w:hAnsi="Times New Roman"/>
          <w:sz w:val="25"/>
          <w:szCs w:val="25"/>
        </w:rPr>
        <w:t xml:space="preserve"> Commission Staff has recommended that the Commission deny the Applicant’s permit</w:t>
      </w:r>
      <w:r w:rsidR="00941A1F" w:rsidRPr="00AA4686">
        <w:rPr>
          <w:rFonts w:ascii="Times New Roman" w:hAnsi="Times New Roman"/>
          <w:sz w:val="25"/>
          <w:szCs w:val="25"/>
        </w:rPr>
        <w:t>, for reasons set out below.</w:t>
      </w:r>
    </w:p>
    <w:p w:rsidR="004F30A9" w:rsidRDefault="004F30A9">
      <w:pPr>
        <w:widowControl/>
        <w:autoSpaceDE/>
        <w:autoSpaceDN/>
        <w:adjustRightInd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8F0CA9" w:rsidRDefault="008F0CA9" w:rsidP="004F30A9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1C5E99" w:rsidRPr="00AA4686" w:rsidRDefault="003867EF" w:rsidP="004F30A9">
      <w:pPr>
        <w:keepNext/>
        <w:widowControl/>
        <w:autoSpaceDE/>
        <w:autoSpaceDN/>
        <w:adjustRightInd/>
        <w:spacing w:line="288" w:lineRule="auto"/>
        <w:ind w:left="-720"/>
        <w:jc w:val="center"/>
        <w:rPr>
          <w:rFonts w:ascii="Times New Roman" w:hAnsi="Times New Roman"/>
          <w:b/>
          <w:sz w:val="25"/>
          <w:szCs w:val="25"/>
        </w:rPr>
      </w:pPr>
      <w:r w:rsidRPr="00AA4686">
        <w:rPr>
          <w:rFonts w:ascii="Times New Roman" w:hAnsi="Times New Roman"/>
          <w:b/>
          <w:sz w:val="25"/>
          <w:szCs w:val="25"/>
        </w:rPr>
        <w:t>II.</w:t>
      </w:r>
      <w:r w:rsidRPr="00AA4686">
        <w:rPr>
          <w:rFonts w:ascii="Times New Roman" w:hAnsi="Times New Roman"/>
          <w:b/>
          <w:sz w:val="25"/>
          <w:szCs w:val="25"/>
        </w:rPr>
        <w:tab/>
      </w:r>
      <w:r w:rsidR="001C5E99" w:rsidRPr="00AA4686">
        <w:rPr>
          <w:rFonts w:ascii="Times New Roman" w:hAnsi="Times New Roman"/>
          <w:b/>
          <w:sz w:val="25"/>
          <w:szCs w:val="25"/>
        </w:rPr>
        <w:t>APPLICABLE LAW</w:t>
      </w:r>
    </w:p>
    <w:p w:rsidR="009454D0" w:rsidRPr="00AA4686" w:rsidRDefault="009454D0" w:rsidP="004F30A9">
      <w:pPr>
        <w:pStyle w:val="Default"/>
        <w:keepNext/>
        <w:spacing w:line="288" w:lineRule="auto"/>
        <w:rPr>
          <w:sz w:val="25"/>
          <w:szCs w:val="25"/>
        </w:rPr>
      </w:pPr>
    </w:p>
    <w:p w:rsidR="003867EF" w:rsidRPr="00AA4686" w:rsidRDefault="009454D0" w:rsidP="004F30A9">
      <w:pPr>
        <w:pStyle w:val="Default"/>
        <w:keepNext/>
        <w:numPr>
          <w:ilvl w:val="0"/>
          <w:numId w:val="4"/>
        </w:numPr>
        <w:tabs>
          <w:tab w:val="clear" w:pos="1440"/>
        </w:tabs>
        <w:spacing w:line="288" w:lineRule="auto"/>
        <w:ind w:left="0" w:hanging="720"/>
        <w:rPr>
          <w:sz w:val="25"/>
          <w:szCs w:val="25"/>
        </w:rPr>
      </w:pPr>
      <w:r w:rsidRPr="00AA4686">
        <w:rPr>
          <w:sz w:val="25"/>
          <w:szCs w:val="25"/>
        </w:rPr>
        <w:t xml:space="preserve">RCW 81.80.070(1)(a)(ii) requires the Commission to consider whether an applicant for a household goods carrier permit is fit to perform the services proposed and conform to the requirements, rules and regulations of the </w:t>
      </w:r>
      <w:r w:rsidR="00761FD6" w:rsidRPr="00AA4686">
        <w:rPr>
          <w:sz w:val="25"/>
          <w:szCs w:val="25"/>
        </w:rPr>
        <w:t>C</w:t>
      </w:r>
      <w:r w:rsidR="004F1D01" w:rsidRPr="00AA4686">
        <w:rPr>
          <w:sz w:val="25"/>
          <w:szCs w:val="25"/>
        </w:rPr>
        <w:t xml:space="preserve">ommission, and </w:t>
      </w:r>
      <w:r w:rsidR="0092361D" w:rsidRPr="00AA4686">
        <w:rPr>
          <w:sz w:val="25"/>
          <w:szCs w:val="25"/>
        </w:rPr>
        <w:t xml:space="preserve">whether </w:t>
      </w:r>
      <w:r w:rsidRPr="00AA4686">
        <w:rPr>
          <w:sz w:val="25"/>
          <w:szCs w:val="25"/>
        </w:rPr>
        <w:t>the operations are consi</w:t>
      </w:r>
      <w:r w:rsidR="003867EF" w:rsidRPr="00AA4686">
        <w:rPr>
          <w:sz w:val="25"/>
          <w:szCs w:val="25"/>
        </w:rPr>
        <w:t>stent with the public interest.</w:t>
      </w:r>
    </w:p>
    <w:p w:rsidR="00234A16" w:rsidRPr="00AA4686" w:rsidRDefault="00234A16" w:rsidP="004F30A9">
      <w:pPr>
        <w:pStyle w:val="Default"/>
        <w:spacing w:line="288" w:lineRule="auto"/>
        <w:rPr>
          <w:sz w:val="25"/>
          <w:szCs w:val="25"/>
        </w:rPr>
      </w:pPr>
    </w:p>
    <w:p w:rsidR="003867EF" w:rsidRPr="00AA4686" w:rsidRDefault="00E438E1" w:rsidP="004F30A9">
      <w:pPr>
        <w:pStyle w:val="Default"/>
        <w:numPr>
          <w:ilvl w:val="0"/>
          <w:numId w:val="4"/>
        </w:numPr>
        <w:tabs>
          <w:tab w:val="clear" w:pos="1440"/>
        </w:tabs>
        <w:spacing w:line="288" w:lineRule="auto"/>
        <w:ind w:left="0" w:hanging="720"/>
        <w:rPr>
          <w:sz w:val="25"/>
          <w:szCs w:val="25"/>
        </w:rPr>
      </w:pPr>
      <w:r w:rsidRPr="00AA4686">
        <w:rPr>
          <w:sz w:val="25"/>
          <w:szCs w:val="25"/>
        </w:rPr>
        <w:t xml:space="preserve">The </w:t>
      </w:r>
      <w:r w:rsidR="000C3D2C" w:rsidRPr="00AA4686">
        <w:rPr>
          <w:sz w:val="25"/>
          <w:szCs w:val="25"/>
        </w:rPr>
        <w:t>Commission will grant or deny an application for permanent authority after it conducts a comp</w:t>
      </w:r>
      <w:r w:rsidR="0092361D" w:rsidRPr="00AA4686">
        <w:rPr>
          <w:sz w:val="25"/>
          <w:szCs w:val="25"/>
        </w:rPr>
        <w:t xml:space="preserve">lete review of the application, including </w:t>
      </w:r>
      <w:r w:rsidR="000C3D2C" w:rsidRPr="00AA4686">
        <w:rPr>
          <w:sz w:val="25"/>
          <w:szCs w:val="25"/>
        </w:rPr>
        <w:t>supporting statements, reports or other information necessary to determine fitness, public interest</w:t>
      </w:r>
      <w:r w:rsidR="0092361D" w:rsidRPr="00AA4686">
        <w:rPr>
          <w:sz w:val="25"/>
          <w:szCs w:val="25"/>
        </w:rPr>
        <w:t>,</w:t>
      </w:r>
      <w:r w:rsidR="000C3D2C" w:rsidRPr="00AA4686">
        <w:rPr>
          <w:sz w:val="25"/>
          <w:szCs w:val="25"/>
        </w:rPr>
        <w:t xml:space="preserve"> and current or future public convenience and necessity.</w:t>
      </w:r>
      <w:r w:rsidR="000C3D2C" w:rsidRPr="00AA4686">
        <w:rPr>
          <w:rStyle w:val="FootnoteReference"/>
          <w:sz w:val="25"/>
          <w:szCs w:val="25"/>
          <w:vertAlign w:val="superscript"/>
        </w:rPr>
        <w:footnoteReference w:id="1"/>
      </w:r>
    </w:p>
    <w:p w:rsidR="003867EF" w:rsidRPr="00AA4686" w:rsidRDefault="003867EF" w:rsidP="004F30A9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9454D0" w:rsidRPr="00AA4686" w:rsidRDefault="009454D0" w:rsidP="004F30A9">
      <w:pPr>
        <w:pStyle w:val="Default"/>
        <w:numPr>
          <w:ilvl w:val="0"/>
          <w:numId w:val="4"/>
        </w:numPr>
        <w:tabs>
          <w:tab w:val="clear" w:pos="1440"/>
        </w:tabs>
        <w:spacing w:line="288" w:lineRule="auto"/>
        <w:ind w:left="0" w:hanging="720"/>
        <w:rPr>
          <w:sz w:val="25"/>
          <w:szCs w:val="25"/>
        </w:rPr>
      </w:pPr>
      <w:r w:rsidRPr="00AA4686">
        <w:rPr>
          <w:sz w:val="25"/>
          <w:szCs w:val="25"/>
        </w:rPr>
        <w:t xml:space="preserve">The Commission rules provide that the Commission may </w:t>
      </w:r>
      <w:r w:rsidR="00D151AC" w:rsidRPr="00AA4686">
        <w:rPr>
          <w:sz w:val="25"/>
          <w:szCs w:val="25"/>
        </w:rPr>
        <w:t xml:space="preserve">reject or </w:t>
      </w:r>
      <w:r w:rsidRPr="00AA4686">
        <w:rPr>
          <w:sz w:val="25"/>
          <w:szCs w:val="25"/>
        </w:rPr>
        <w:t>deny an application for permanent authority</w:t>
      </w:r>
      <w:r w:rsidR="00D151AC" w:rsidRPr="00AA4686">
        <w:rPr>
          <w:sz w:val="25"/>
          <w:szCs w:val="25"/>
        </w:rPr>
        <w:t xml:space="preserve"> if the Commission believes the applicant is unfit</w:t>
      </w:r>
      <w:r w:rsidR="0092361D" w:rsidRPr="00AA4686">
        <w:rPr>
          <w:sz w:val="25"/>
          <w:szCs w:val="25"/>
        </w:rPr>
        <w:t>,</w:t>
      </w:r>
      <w:r w:rsidR="00D151AC" w:rsidRPr="00AA4686">
        <w:rPr>
          <w:sz w:val="25"/>
          <w:szCs w:val="25"/>
        </w:rPr>
        <w:t xml:space="preserve"> or </w:t>
      </w:r>
      <w:r w:rsidR="00761FD6" w:rsidRPr="00AA4686">
        <w:rPr>
          <w:sz w:val="25"/>
          <w:szCs w:val="25"/>
        </w:rPr>
        <w:t xml:space="preserve">if </w:t>
      </w:r>
      <w:r w:rsidR="00D151AC" w:rsidRPr="00AA4686">
        <w:rPr>
          <w:sz w:val="25"/>
          <w:szCs w:val="25"/>
        </w:rPr>
        <w:t>is</w:t>
      </w:r>
      <w:r w:rsidR="00910666" w:rsidRPr="00AA4686">
        <w:rPr>
          <w:sz w:val="25"/>
          <w:szCs w:val="25"/>
        </w:rPr>
        <w:t>su</w:t>
      </w:r>
      <w:r w:rsidR="00D151AC" w:rsidRPr="00AA4686">
        <w:rPr>
          <w:sz w:val="25"/>
          <w:szCs w:val="25"/>
        </w:rPr>
        <w:t>ing the permit is not in the public interest.</w:t>
      </w:r>
      <w:r w:rsidR="00762EB4" w:rsidRPr="00AA4686">
        <w:rPr>
          <w:sz w:val="25"/>
          <w:szCs w:val="25"/>
        </w:rPr>
        <w:t xml:space="preserve"> </w:t>
      </w:r>
      <w:r w:rsidR="00D151AC" w:rsidRPr="00AA4686">
        <w:rPr>
          <w:sz w:val="25"/>
          <w:szCs w:val="25"/>
        </w:rPr>
        <w:t xml:space="preserve"> </w:t>
      </w:r>
      <w:r w:rsidR="00941A1F" w:rsidRPr="00AA4686">
        <w:rPr>
          <w:sz w:val="25"/>
          <w:szCs w:val="25"/>
        </w:rPr>
        <w:t xml:space="preserve">WAC 480-15-330 sets out </w:t>
      </w:r>
      <w:r w:rsidR="00D151AC" w:rsidRPr="00AA4686">
        <w:rPr>
          <w:sz w:val="25"/>
          <w:szCs w:val="25"/>
        </w:rPr>
        <w:t xml:space="preserve">specific factors the Commission </w:t>
      </w:r>
      <w:r w:rsidR="00762EB4" w:rsidRPr="00AA4686">
        <w:rPr>
          <w:sz w:val="25"/>
          <w:szCs w:val="25"/>
        </w:rPr>
        <w:t>may consider</w:t>
      </w:r>
      <w:r w:rsidR="00941A1F" w:rsidRPr="00AA4686">
        <w:rPr>
          <w:sz w:val="25"/>
          <w:szCs w:val="25"/>
        </w:rPr>
        <w:t xml:space="preserve">, which include: </w:t>
      </w:r>
      <w:r w:rsidR="00D151AC" w:rsidRPr="00AA4686">
        <w:rPr>
          <w:sz w:val="25"/>
          <w:szCs w:val="25"/>
        </w:rPr>
        <w:t xml:space="preserve"> </w:t>
      </w:r>
    </w:p>
    <w:p w:rsidR="009454D0" w:rsidRPr="00AA4686" w:rsidRDefault="009454D0" w:rsidP="004F30A9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9454D0" w:rsidRPr="00AA4686" w:rsidRDefault="009454D0" w:rsidP="004F30A9">
      <w:pPr>
        <w:numPr>
          <w:ilvl w:val="0"/>
          <w:numId w:val="5"/>
        </w:numPr>
        <w:spacing w:line="288" w:lineRule="auto"/>
        <w:ind w:left="144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>The application indicates evidence of fraud, misrepresentation or erroneous information;</w:t>
      </w:r>
      <w:r w:rsidR="00762EB4" w:rsidRPr="00AA4686">
        <w:rPr>
          <w:rStyle w:val="FootnoteReference"/>
          <w:rFonts w:ascii="Times New Roman" w:hAnsi="Times New Roman"/>
          <w:sz w:val="25"/>
          <w:szCs w:val="25"/>
          <w:vertAlign w:val="superscript"/>
        </w:rPr>
        <w:footnoteReference w:id="2"/>
      </w:r>
    </w:p>
    <w:p w:rsidR="009454D0" w:rsidRPr="00AA4686" w:rsidRDefault="009454D0" w:rsidP="004F30A9">
      <w:pPr>
        <w:numPr>
          <w:ilvl w:val="0"/>
          <w:numId w:val="5"/>
        </w:numPr>
        <w:spacing w:line="288" w:lineRule="auto"/>
        <w:ind w:left="144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 xml:space="preserve">Other circumstances exist that cause the </w:t>
      </w:r>
      <w:r w:rsidR="00761FD6" w:rsidRPr="00AA4686">
        <w:rPr>
          <w:rFonts w:ascii="Times New Roman" w:hAnsi="Times New Roman"/>
          <w:sz w:val="25"/>
          <w:szCs w:val="25"/>
        </w:rPr>
        <w:t>C</w:t>
      </w:r>
      <w:r w:rsidRPr="00AA4686">
        <w:rPr>
          <w:rFonts w:ascii="Times New Roman" w:hAnsi="Times New Roman"/>
          <w:sz w:val="25"/>
          <w:szCs w:val="25"/>
        </w:rPr>
        <w:t>ommission to believe issuing the permit is not in the public interest.</w:t>
      </w:r>
      <w:r w:rsidR="002F32E0" w:rsidRPr="00AA4686">
        <w:rPr>
          <w:rStyle w:val="FootnoteReference"/>
          <w:rFonts w:ascii="Times New Roman" w:hAnsi="Times New Roman"/>
          <w:sz w:val="25"/>
          <w:szCs w:val="25"/>
          <w:vertAlign w:val="superscript"/>
        </w:rPr>
        <w:footnoteReference w:id="3"/>
      </w:r>
      <w:r w:rsidRPr="00AA4686">
        <w:rPr>
          <w:rFonts w:ascii="Times New Roman" w:hAnsi="Times New Roman"/>
          <w:sz w:val="25"/>
          <w:szCs w:val="25"/>
          <w:vertAlign w:val="superscript"/>
        </w:rPr>
        <w:t xml:space="preserve">  </w:t>
      </w:r>
    </w:p>
    <w:p w:rsidR="001C5E99" w:rsidRPr="00AA4686" w:rsidRDefault="001C5E99" w:rsidP="004F30A9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1C5E99" w:rsidRDefault="001C5E99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>If it is necessary to resolve outstanding issues or concerns related to fitness or the public interest, or any other issue resulting from a complaint or public comment, the Commission may hold a hearing or brief adjudicative proceeding on any application for permanent authority.</w:t>
      </w:r>
      <w:r w:rsidRPr="00AA4686">
        <w:rPr>
          <w:rStyle w:val="FootnoteReference"/>
          <w:rFonts w:ascii="Times New Roman" w:hAnsi="Times New Roman"/>
          <w:sz w:val="25"/>
          <w:szCs w:val="25"/>
          <w:vertAlign w:val="superscript"/>
        </w:rPr>
        <w:footnoteReference w:id="4"/>
      </w:r>
    </w:p>
    <w:p w:rsidR="004F30A9" w:rsidRDefault="004F30A9">
      <w:pPr>
        <w:widowControl/>
        <w:autoSpaceDE/>
        <w:autoSpaceDN/>
        <w:adjustRightInd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4F30A9" w:rsidRPr="00AA4686" w:rsidRDefault="004F30A9" w:rsidP="004F30A9">
      <w:pPr>
        <w:widowControl/>
        <w:autoSpaceDE/>
        <w:autoSpaceDN/>
        <w:adjustRightInd/>
        <w:spacing w:line="288" w:lineRule="auto"/>
        <w:rPr>
          <w:rFonts w:ascii="Times New Roman" w:hAnsi="Times New Roman"/>
          <w:sz w:val="25"/>
          <w:szCs w:val="25"/>
        </w:rPr>
      </w:pPr>
    </w:p>
    <w:p w:rsidR="001C5E99" w:rsidRPr="00AA4686" w:rsidRDefault="001C5E99" w:rsidP="004F30A9">
      <w:pPr>
        <w:spacing w:before="240" w:line="288" w:lineRule="auto"/>
        <w:jc w:val="center"/>
        <w:rPr>
          <w:rFonts w:ascii="Times New Roman" w:hAnsi="Times New Roman"/>
          <w:b/>
          <w:sz w:val="25"/>
          <w:szCs w:val="25"/>
        </w:rPr>
      </w:pPr>
      <w:r w:rsidRPr="00AA4686">
        <w:rPr>
          <w:rFonts w:ascii="Times New Roman" w:hAnsi="Times New Roman"/>
          <w:b/>
          <w:sz w:val="25"/>
          <w:szCs w:val="25"/>
        </w:rPr>
        <w:t>III.</w:t>
      </w:r>
      <w:r w:rsidR="003867EF" w:rsidRPr="00AA4686">
        <w:rPr>
          <w:rFonts w:ascii="Times New Roman" w:hAnsi="Times New Roman"/>
          <w:b/>
          <w:sz w:val="25"/>
          <w:szCs w:val="25"/>
        </w:rPr>
        <w:tab/>
      </w:r>
      <w:r w:rsidRPr="00AA4686">
        <w:rPr>
          <w:rFonts w:ascii="Times New Roman" w:hAnsi="Times New Roman"/>
          <w:b/>
          <w:sz w:val="25"/>
          <w:szCs w:val="25"/>
        </w:rPr>
        <w:t>FACTUAL ALLEGATIONS</w:t>
      </w:r>
    </w:p>
    <w:p w:rsidR="001C5E99" w:rsidRPr="00AA4686" w:rsidRDefault="001C5E99" w:rsidP="004F30A9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1C5E99" w:rsidRDefault="001C5E99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 xml:space="preserve">Commission </w:t>
      </w:r>
      <w:r w:rsidR="00922F46" w:rsidRPr="00AA4686">
        <w:rPr>
          <w:rFonts w:ascii="Times New Roman" w:hAnsi="Times New Roman"/>
          <w:sz w:val="25"/>
          <w:szCs w:val="25"/>
        </w:rPr>
        <w:t xml:space="preserve">Staff makes the following factual allegations based on its </w:t>
      </w:r>
      <w:r w:rsidR="002810D1" w:rsidRPr="00AA4686">
        <w:rPr>
          <w:rFonts w:ascii="Times New Roman" w:hAnsi="Times New Roman"/>
          <w:sz w:val="25"/>
          <w:szCs w:val="25"/>
        </w:rPr>
        <w:t xml:space="preserve">review and </w:t>
      </w:r>
      <w:r w:rsidR="00922F46" w:rsidRPr="00AA4686">
        <w:rPr>
          <w:rFonts w:ascii="Times New Roman" w:hAnsi="Times New Roman"/>
          <w:sz w:val="25"/>
          <w:szCs w:val="25"/>
        </w:rPr>
        <w:t>investigati</w:t>
      </w:r>
      <w:r w:rsidR="002810D1" w:rsidRPr="00AA4686">
        <w:rPr>
          <w:rFonts w:ascii="Times New Roman" w:hAnsi="Times New Roman"/>
          <w:sz w:val="25"/>
          <w:szCs w:val="25"/>
        </w:rPr>
        <w:t>on of the application</w:t>
      </w:r>
      <w:r w:rsidR="003867EF" w:rsidRPr="00AA4686">
        <w:rPr>
          <w:rFonts w:ascii="Times New Roman" w:hAnsi="Times New Roman"/>
          <w:sz w:val="25"/>
          <w:szCs w:val="25"/>
        </w:rPr>
        <w:t>.</w:t>
      </w:r>
    </w:p>
    <w:p w:rsidR="008F0CA9" w:rsidRPr="00AA4686" w:rsidRDefault="008F0CA9" w:rsidP="004F30A9">
      <w:pPr>
        <w:widowControl/>
        <w:autoSpaceDE/>
        <w:autoSpaceDN/>
        <w:adjustRightInd/>
        <w:spacing w:line="288" w:lineRule="auto"/>
        <w:rPr>
          <w:rFonts w:ascii="Times New Roman" w:hAnsi="Times New Roman"/>
          <w:sz w:val="25"/>
          <w:szCs w:val="25"/>
        </w:rPr>
      </w:pPr>
    </w:p>
    <w:p w:rsidR="005617F9" w:rsidRPr="00AA4686" w:rsidRDefault="005A7927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 xml:space="preserve">This is the third household goods carrier permit application </w:t>
      </w:r>
      <w:r w:rsidR="000344F5" w:rsidRPr="00AA4686">
        <w:rPr>
          <w:rFonts w:ascii="Times New Roman" w:hAnsi="Times New Roman"/>
          <w:sz w:val="25"/>
          <w:szCs w:val="25"/>
        </w:rPr>
        <w:t xml:space="preserve">that </w:t>
      </w:r>
      <w:r w:rsidRPr="00AA4686">
        <w:rPr>
          <w:rFonts w:ascii="Times New Roman" w:hAnsi="Times New Roman"/>
          <w:sz w:val="25"/>
          <w:szCs w:val="25"/>
        </w:rPr>
        <w:t>the Applicant,</w:t>
      </w:r>
      <w:r w:rsidR="0092361D" w:rsidRPr="00AA4686">
        <w:rPr>
          <w:rFonts w:ascii="Times New Roman" w:hAnsi="Times New Roman"/>
          <w:sz w:val="25"/>
          <w:szCs w:val="25"/>
        </w:rPr>
        <w:t xml:space="preserve"> Chana</w:t>
      </w:r>
      <w:r w:rsidRPr="00AA4686">
        <w:rPr>
          <w:rFonts w:ascii="Times New Roman" w:hAnsi="Times New Roman"/>
          <w:sz w:val="25"/>
          <w:szCs w:val="25"/>
        </w:rPr>
        <w:t xml:space="preserve"> Green, has filed with the Commission.  On </w:t>
      </w:r>
      <w:r w:rsidR="00A478B3" w:rsidRPr="00AA4686">
        <w:rPr>
          <w:rFonts w:ascii="Times New Roman" w:hAnsi="Times New Roman"/>
          <w:sz w:val="25"/>
          <w:szCs w:val="25"/>
        </w:rPr>
        <w:t>May 28, 2010</w:t>
      </w:r>
      <w:r w:rsidR="000344F5" w:rsidRPr="00AA4686">
        <w:rPr>
          <w:rFonts w:ascii="Times New Roman" w:hAnsi="Times New Roman"/>
          <w:sz w:val="25"/>
          <w:szCs w:val="25"/>
        </w:rPr>
        <w:t>,</w:t>
      </w:r>
      <w:r w:rsidR="00A478B3" w:rsidRPr="00AA4686">
        <w:rPr>
          <w:rFonts w:ascii="Times New Roman" w:hAnsi="Times New Roman"/>
          <w:sz w:val="25"/>
          <w:szCs w:val="25"/>
        </w:rPr>
        <w:t xml:space="preserve"> Ms. Green</w:t>
      </w:r>
      <w:r w:rsidRPr="00AA4686">
        <w:rPr>
          <w:rFonts w:ascii="Times New Roman" w:hAnsi="Times New Roman"/>
          <w:sz w:val="25"/>
          <w:szCs w:val="25"/>
        </w:rPr>
        <w:t xml:space="preserve"> </w:t>
      </w:r>
      <w:r w:rsidR="00D2187C" w:rsidRPr="00AA4686">
        <w:rPr>
          <w:rFonts w:ascii="Times New Roman" w:hAnsi="Times New Roman"/>
          <w:sz w:val="25"/>
          <w:szCs w:val="25"/>
        </w:rPr>
        <w:t>submitted a household goods permit application for C.E.G. Marketing d/b/a Olympic Van Lines</w:t>
      </w:r>
      <w:r w:rsidRPr="00AA4686">
        <w:rPr>
          <w:rFonts w:ascii="Times New Roman" w:hAnsi="Times New Roman"/>
          <w:sz w:val="25"/>
          <w:szCs w:val="25"/>
        </w:rPr>
        <w:t>, as its president</w:t>
      </w:r>
      <w:r w:rsidR="00D2187C" w:rsidRPr="00AA4686">
        <w:rPr>
          <w:rFonts w:ascii="Times New Roman" w:hAnsi="Times New Roman"/>
          <w:sz w:val="25"/>
          <w:szCs w:val="25"/>
        </w:rPr>
        <w:t xml:space="preserve">. </w:t>
      </w:r>
      <w:r w:rsidR="00A478B3" w:rsidRPr="00AA4686">
        <w:rPr>
          <w:rFonts w:ascii="Times New Roman" w:hAnsi="Times New Roman"/>
          <w:sz w:val="25"/>
          <w:szCs w:val="25"/>
        </w:rPr>
        <w:t xml:space="preserve"> On September 3, 2010, the Commission dismissed the company’s ap</w:t>
      </w:r>
      <w:r w:rsidR="000344F5" w:rsidRPr="00AA4686">
        <w:rPr>
          <w:rFonts w:ascii="Times New Roman" w:hAnsi="Times New Roman"/>
          <w:sz w:val="25"/>
          <w:szCs w:val="25"/>
        </w:rPr>
        <w:t xml:space="preserve">plication following </w:t>
      </w:r>
      <w:r w:rsidR="0092361D" w:rsidRPr="00AA4686">
        <w:rPr>
          <w:rFonts w:ascii="Times New Roman" w:hAnsi="Times New Roman"/>
          <w:sz w:val="25"/>
          <w:szCs w:val="25"/>
        </w:rPr>
        <w:t xml:space="preserve">the company’s </w:t>
      </w:r>
      <w:r w:rsidR="000344F5" w:rsidRPr="00AA4686">
        <w:rPr>
          <w:rFonts w:ascii="Times New Roman" w:hAnsi="Times New Roman"/>
          <w:sz w:val="25"/>
          <w:szCs w:val="25"/>
        </w:rPr>
        <w:t xml:space="preserve">request </w:t>
      </w:r>
      <w:r w:rsidR="0092361D" w:rsidRPr="00AA4686">
        <w:rPr>
          <w:rFonts w:ascii="Times New Roman" w:hAnsi="Times New Roman"/>
          <w:sz w:val="25"/>
          <w:szCs w:val="25"/>
        </w:rPr>
        <w:t>that the application be withdrawn</w:t>
      </w:r>
      <w:r w:rsidRPr="00AA4686">
        <w:rPr>
          <w:rFonts w:ascii="Times New Roman" w:hAnsi="Times New Roman"/>
          <w:sz w:val="25"/>
          <w:szCs w:val="25"/>
        </w:rPr>
        <w:t xml:space="preserve"> in Docket TV-100955</w:t>
      </w:r>
      <w:r w:rsidR="00A478B3" w:rsidRPr="00AA4686">
        <w:rPr>
          <w:rFonts w:ascii="Times New Roman" w:hAnsi="Times New Roman"/>
          <w:sz w:val="25"/>
          <w:szCs w:val="25"/>
        </w:rPr>
        <w:t xml:space="preserve">. </w:t>
      </w:r>
      <w:r w:rsidRPr="00AA4686">
        <w:rPr>
          <w:rFonts w:ascii="Times New Roman" w:hAnsi="Times New Roman"/>
          <w:sz w:val="25"/>
          <w:szCs w:val="25"/>
        </w:rPr>
        <w:t xml:space="preserve"> </w:t>
      </w:r>
    </w:p>
    <w:p w:rsidR="00302F3C" w:rsidRPr="00AA4686" w:rsidRDefault="00302F3C" w:rsidP="004F30A9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D2187C" w:rsidRPr="00AA4686" w:rsidRDefault="00D2187C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 xml:space="preserve">In March 2011, </w:t>
      </w:r>
      <w:r w:rsidR="0052604D" w:rsidRPr="00AA4686">
        <w:rPr>
          <w:rFonts w:ascii="Times New Roman" w:hAnsi="Times New Roman"/>
          <w:sz w:val="25"/>
          <w:szCs w:val="25"/>
        </w:rPr>
        <w:t xml:space="preserve">Commission </w:t>
      </w:r>
      <w:r w:rsidR="00215BD9" w:rsidRPr="00AA4686">
        <w:rPr>
          <w:rFonts w:ascii="Times New Roman" w:hAnsi="Times New Roman"/>
          <w:sz w:val="25"/>
          <w:szCs w:val="25"/>
        </w:rPr>
        <w:t>S</w:t>
      </w:r>
      <w:r w:rsidRPr="00AA4686">
        <w:rPr>
          <w:rFonts w:ascii="Times New Roman" w:hAnsi="Times New Roman"/>
          <w:sz w:val="25"/>
          <w:szCs w:val="25"/>
        </w:rPr>
        <w:t xml:space="preserve">taff received information that Olympic Van Lines was operating </w:t>
      </w:r>
      <w:r w:rsidR="00D44AED" w:rsidRPr="00AA4686">
        <w:rPr>
          <w:rFonts w:ascii="Times New Roman" w:hAnsi="Times New Roman"/>
          <w:sz w:val="25"/>
          <w:szCs w:val="25"/>
        </w:rPr>
        <w:t xml:space="preserve">unlawfully </w:t>
      </w:r>
      <w:r w:rsidRPr="00AA4686">
        <w:rPr>
          <w:rFonts w:ascii="Times New Roman" w:hAnsi="Times New Roman"/>
          <w:sz w:val="25"/>
          <w:szCs w:val="25"/>
        </w:rPr>
        <w:t xml:space="preserve">within the state of Washington without a permit. </w:t>
      </w:r>
      <w:r w:rsidR="00517DA3" w:rsidRPr="00AA4686">
        <w:rPr>
          <w:rFonts w:ascii="Times New Roman" w:hAnsi="Times New Roman"/>
          <w:sz w:val="25"/>
          <w:szCs w:val="25"/>
        </w:rPr>
        <w:t xml:space="preserve"> </w:t>
      </w:r>
      <w:r w:rsidR="0052604D" w:rsidRPr="00AA4686">
        <w:rPr>
          <w:rFonts w:ascii="Times New Roman" w:hAnsi="Times New Roman"/>
          <w:sz w:val="25"/>
          <w:szCs w:val="25"/>
        </w:rPr>
        <w:t xml:space="preserve">After Commission Staff contacted the </w:t>
      </w:r>
      <w:r w:rsidRPr="00AA4686">
        <w:rPr>
          <w:rFonts w:ascii="Times New Roman" w:hAnsi="Times New Roman"/>
          <w:sz w:val="25"/>
          <w:szCs w:val="25"/>
        </w:rPr>
        <w:t>company</w:t>
      </w:r>
      <w:r w:rsidR="0052604D" w:rsidRPr="00AA4686">
        <w:rPr>
          <w:rFonts w:ascii="Times New Roman" w:hAnsi="Times New Roman"/>
          <w:sz w:val="25"/>
          <w:szCs w:val="25"/>
        </w:rPr>
        <w:t>,</w:t>
      </w:r>
      <w:r w:rsidRPr="00AA4686">
        <w:rPr>
          <w:rFonts w:ascii="Times New Roman" w:hAnsi="Times New Roman"/>
          <w:sz w:val="25"/>
          <w:szCs w:val="25"/>
        </w:rPr>
        <w:t xml:space="preserve"> </w:t>
      </w:r>
      <w:r w:rsidR="0052604D" w:rsidRPr="00AA4686">
        <w:rPr>
          <w:rFonts w:ascii="Times New Roman" w:hAnsi="Times New Roman"/>
          <w:sz w:val="25"/>
          <w:szCs w:val="25"/>
        </w:rPr>
        <w:t xml:space="preserve">Ms. </w:t>
      </w:r>
      <w:r w:rsidRPr="00AA4686">
        <w:rPr>
          <w:rFonts w:ascii="Times New Roman" w:hAnsi="Times New Roman"/>
          <w:sz w:val="25"/>
          <w:szCs w:val="25"/>
        </w:rPr>
        <w:t>Green submitted a second application</w:t>
      </w:r>
      <w:r w:rsidR="0052604D" w:rsidRPr="00AA4686">
        <w:rPr>
          <w:rFonts w:ascii="Times New Roman" w:hAnsi="Times New Roman"/>
          <w:sz w:val="25"/>
          <w:szCs w:val="25"/>
        </w:rPr>
        <w:t xml:space="preserve"> for</w:t>
      </w:r>
      <w:r w:rsidRPr="00AA4686">
        <w:rPr>
          <w:rFonts w:ascii="Times New Roman" w:hAnsi="Times New Roman"/>
          <w:sz w:val="25"/>
          <w:szCs w:val="25"/>
        </w:rPr>
        <w:t xml:space="preserve"> </w:t>
      </w:r>
      <w:r w:rsidR="0052604D" w:rsidRPr="00AA4686">
        <w:rPr>
          <w:rFonts w:ascii="Times New Roman" w:hAnsi="Times New Roman"/>
          <w:sz w:val="25"/>
          <w:szCs w:val="25"/>
        </w:rPr>
        <w:t xml:space="preserve">C.E.G. Marketing d/b/a Olympic Van Lines </w:t>
      </w:r>
      <w:r w:rsidRPr="00AA4686">
        <w:rPr>
          <w:rFonts w:ascii="Times New Roman" w:hAnsi="Times New Roman"/>
          <w:sz w:val="25"/>
          <w:szCs w:val="25"/>
        </w:rPr>
        <w:t>on May 2, 2011</w:t>
      </w:r>
      <w:r w:rsidR="005617F9" w:rsidRPr="00AA4686">
        <w:rPr>
          <w:rFonts w:ascii="Times New Roman" w:hAnsi="Times New Roman"/>
          <w:sz w:val="25"/>
          <w:szCs w:val="25"/>
        </w:rPr>
        <w:t>.</w:t>
      </w:r>
      <w:r w:rsidR="0052604D" w:rsidRPr="00AA4686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 xml:space="preserve"> </w:t>
      </w:r>
      <w:r w:rsidR="005617F9" w:rsidRPr="00AA4686">
        <w:rPr>
          <w:rFonts w:ascii="Times New Roman" w:hAnsi="Times New Roman"/>
          <w:sz w:val="25"/>
          <w:szCs w:val="25"/>
        </w:rPr>
        <w:t xml:space="preserve">On August 31, 2011, </w:t>
      </w:r>
      <w:r w:rsidR="0052604D" w:rsidRPr="00AA4686">
        <w:rPr>
          <w:rFonts w:ascii="Times New Roman" w:hAnsi="Times New Roman"/>
          <w:sz w:val="25"/>
          <w:szCs w:val="25"/>
        </w:rPr>
        <w:t xml:space="preserve">Ms. Green amended the company’s application to change </w:t>
      </w:r>
      <w:r w:rsidRPr="00AA4686">
        <w:rPr>
          <w:rFonts w:ascii="Times New Roman" w:hAnsi="Times New Roman"/>
          <w:sz w:val="25"/>
          <w:szCs w:val="25"/>
        </w:rPr>
        <w:t xml:space="preserve">the company’s name to </w:t>
      </w:r>
      <w:r w:rsidR="0052604D" w:rsidRPr="00AA4686">
        <w:rPr>
          <w:rFonts w:ascii="Times New Roman" w:hAnsi="Times New Roman"/>
          <w:sz w:val="25"/>
          <w:szCs w:val="25"/>
        </w:rPr>
        <w:t>“</w:t>
      </w:r>
      <w:r w:rsidRPr="00AA4686">
        <w:rPr>
          <w:rFonts w:ascii="Times New Roman" w:hAnsi="Times New Roman"/>
          <w:sz w:val="25"/>
          <w:szCs w:val="25"/>
        </w:rPr>
        <w:t>Oracle Marketing d/b/a Infinity Relocation</w:t>
      </w:r>
      <w:r w:rsidR="005617F9" w:rsidRPr="00AA4686">
        <w:rPr>
          <w:rFonts w:ascii="Times New Roman" w:hAnsi="Times New Roman"/>
          <w:sz w:val="25"/>
          <w:szCs w:val="25"/>
        </w:rPr>
        <w:t>.</w:t>
      </w:r>
      <w:r w:rsidR="0052604D" w:rsidRPr="00AA4686">
        <w:rPr>
          <w:rFonts w:ascii="Times New Roman" w:hAnsi="Times New Roman"/>
          <w:sz w:val="25"/>
          <w:szCs w:val="25"/>
        </w:rPr>
        <w:t xml:space="preserve">” </w:t>
      </w:r>
      <w:r w:rsidR="005617F9" w:rsidRPr="00AA4686">
        <w:rPr>
          <w:rFonts w:ascii="Times New Roman" w:hAnsi="Times New Roman"/>
          <w:sz w:val="25"/>
          <w:szCs w:val="25"/>
        </w:rPr>
        <w:t xml:space="preserve"> The Commission ultimately dismissed the </w:t>
      </w:r>
      <w:r w:rsidR="000344F5" w:rsidRPr="00AA4686">
        <w:rPr>
          <w:rFonts w:ascii="Times New Roman" w:hAnsi="Times New Roman"/>
          <w:sz w:val="25"/>
          <w:szCs w:val="25"/>
        </w:rPr>
        <w:t xml:space="preserve">second </w:t>
      </w:r>
      <w:r w:rsidR="005617F9" w:rsidRPr="00AA4686">
        <w:rPr>
          <w:rFonts w:ascii="Times New Roman" w:hAnsi="Times New Roman"/>
          <w:sz w:val="25"/>
          <w:szCs w:val="25"/>
        </w:rPr>
        <w:t>application on September 1, 2011, for failure to meet application requirement</w:t>
      </w:r>
      <w:r w:rsidR="001B6FDC" w:rsidRPr="00AA4686">
        <w:rPr>
          <w:rFonts w:ascii="Times New Roman" w:hAnsi="Times New Roman"/>
          <w:sz w:val="25"/>
          <w:szCs w:val="25"/>
        </w:rPr>
        <w:t>s</w:t>
      </w:r>
      <w:r w:rsidR="005617F9" w:rsidRPr="00AA4686">
        <w:rPr>
          <w:rFonts w:ascii="Times New Roman" w:hAnsi="Times New Roman"/>
          <w:sz w:val="25"/>
          <w:szCs w:val="25"/>
        </w:rPr>
        <w:t xml:space="preserve">, in Docket TV-110805.  </w:t>
      </w:r>
      <w:r w:rsidR="00E84C29" w:rsidRPr="00AA4686">
        <w:rPr>
          <w:rFonts w:ascii="Times New Roman" w:hAnsi="Times New Roman"/>
          <w:sz w:val="25"/>
          <w:szCs w:val="25"/>
        </w:rPr>
        <w:t xml:space="preserve">The </w:t>
      </w:r>
      <w:r w:rsidR="005617F9" w:rsidRPr="00AA4686">
        <w:rPr>
          <w:rFonts w:ascii="Times New Roman" w:hAnsi="Times New Roman"/>
          <w:sz w:val="25"/>
          <w:szCs w:val="25"/>
        </w:rPr>
        <w:t xml:space="preserve">Uniform Business Identifier (UBI) </w:t>
      </w:r>
      <w:r w:rsidR="00E7688C">
        <w:rPr>
          <w:rFonts w:ascii="Times New Roman" w:hAnsi="Times New Roman"/>
          <w:sz w:val="25"/>
          <w:szCs w:val="25"/>
        </w:rPr>
        <w:t>n</w:t>
      </w:r>
      <w:r w:rsidR="005617F9" w:rsidRPr="00AA4686">
        <w:rPr>
          <w:rFonts w:ascii="Times New Roman" w:hAnsi="Times New Roman"/>
          <w:sz w:val="25"/>
          <w:szCs w:val="25"/>
        </w:rPr>
        <w:t xml:space="preserve">umber and DOT </w:t>
      </w:r>
      <w:r w:rsidR="00E7688C">
        <w:rPr>
          <w:rFonts w:ascii="Times New Roman" w:hAnsi="Times New Roman"/>
          <w:sz w:val="25"/>
          <w:szCs w:val="25"/>
        </w:rPr>
        <w:t>n</w:t>
      </w:r>
      <w:r w:rsidR="005617F9" w:rsidRPr="00AA4686">
        <w:rPr>
          <w:rFonts w:ascii="Times New Roman" w:hAnsi="Times New Roman"/>
          <w:sz w:val="25"/>
          <w:szCs w:val="25"/>
        </w:rPr>
        <w:t>umber</w:t>
      </w:r>
      <w:r w:rsidR="000344F5" w:rsidRPr="00AA4686">
        <w:rPr>
          <w:rFonts w:ascii="Times New Roman" w:hAnsi="Times New Roman"/>
          <w:sz w:val="25"/>
          <w:szCs w:val="25"/>
        </w:rPr>
        <w:t xml:space="preserve"> listed </w:t>
      </w:r>
      <w:r w:rsidR="00E84C29" w:rsidRPr="00AA4686">
        <w:rPr>
          <w:rFonts w:ascii="Times New Roman" w:hAnsi="Times New Roman"/>
          <w:sz w:val="25"/>
          <w:szCs w:val="25"/>
        </w:rPr>
        <w:t xml:space="preserve">on the application in the current docket </w:t>
      </w:r>
      <w:r w:rsidR="005617F9" w:rsidRPr="00AA4686">
        <w:rPr>
          <w:rFonts w:ascii="Times New Roman" w:hAnsi="Times New Roman"/>
          <w:sz w:val="25"/>
          <w:szCs w:val="25"/>
        </w:rPr>
        <w:t xml:space="preserve">match </w:t>
      </w:r>
      <w:r w:rsidR="00E84C29" w:rsidRPr="00AA4686">
        <w:rPr>
          <w:rFonts w:ascii="Times New Roman" w:hAnsi="Times New Roman"/>
          <w:sz w:val="25"/>
          <w:szCs w:val="25"/>
        </w:rPr>
        <w:t xml:space="preserve">those on the </w:t>
      </w:r>
      <w:r w:rsidR="005617F9" w:rsidRPr="00AA4686">
        <w:rPr>
          <w:rFonts w:ascii="Times New Roman" w:hAnsi="Times New Roman"/>
          <w:sz w:val="25"/>
          <w:szCs w:val="25"/>
        </w:rPr>
        <w:t>applications</w:t>
      </w:r>
      <w:r w:rsidR="00302F3C" w:rsidRPr="00AA4686">
        <w:rPr>
          <w:rFonts w:ascii="Times New Roman" w:hAnsi="Times New Roman"/>
          <w:sz w:val="25"/>
          <w:szCs w:val="25"/>
        </w:rPr>
        <w:t xml:space="preserve"> that </w:t>
      </w:r>
      <w:r w:rsidR="00E84C29" w:rsidRPr="00AA4686">
        <w:rPr>
          <w:rFonts w:ascii="Times New Roman" w:hAnsi="Times New Roman"/>
          <w:sz w:val="25"/>
          <w:szCs w:val="25"/>
        </w:rPr>
        <w:t>were withdrawn and dismissed</w:t>
      </w:r>
      <w:r w:rsidR="005617F9" w:rsidRPr="00AA4686">
        <w:rPr>
          <w:rFonts w:ascii="Times New Roman" w:hAnsi="Times New Roman"/>
          <w:sz w:val="25"/>
          <w:szCs w:val="25"/>
        </w:rPr>
        <w:t xml:space="preserve">.  </w:t>
      </w:r>
    </w:p>
    <w:p w:rsidR="00D2187C" w:rsidRPr="00AA4686" w:rsidRDefault="00D2187C" w:rsidP="004F30A9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215BD9" w:rsidRPr="00AA4686" w:rsidRDefault="00D2187C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 xml:space="preserve">During the course of </w:t>
      </w:r>
      <w:r w:rsidR="0052604D" w:rsidRPr="00AA4686">
        <w:rPr>
          <w:rFonts w:ascii="Times New Roman" w:hAnsi="Times New Roman"/>
          <w:sz w:val="25"/>
          <w:szCs w:val="25"/>
        </w:rPr>
        <w:t xml:space="preserve">its </w:t>
      </w:r>
      <w:r w:rsidRPr="00AA4686">
        <w:rPr>
          <w:rFonts w:ascii="Times New Roman" w:hAnsi="Times New Roman"/>
          <w:sz w:val="25"/>
          <w:szCs w:val="25"/>
        </w:rPr>
        <w:t>2011 investigation</w:t>
      </w:r>
      <w:r w:rsidR="0052604D" w:rsidRPr="00AA4686">
        <w:rPr>
          <w:rFonts w:ascii="Times New Roman" w:hAnsi="Times New Roman"/>
          <w:sz w:val="25"/>
          <w:szCs w:val="25"/>
        </w:rPr>
        <w:t xml:space="preserve"> of the application in Docket </w:t>
      </w:r>
      <w:r w:rsidR="00833B3B" w:rsidRPr="00AA4686">
        <w:rPr>
          <w:rFonts w:ascii="Times New Roman" w:hAnsi="Times New Roman"/>
          <w:sz w:val="25"/>
          <w:szCs w:val="25"/>
        </w:rPr>
        <w:t>TV-110805</w:t>
      </w:r>
      <w:r w:rsidRPr="00AA4686">
        <w:rPr>
          <w:rFonts w:ascii="Times New Roman" w:hAnsi="Times New Roman"/>
          <w:sz w:val="25"/>
          <w:szCs w:val="25"/>
        </w:rPr>
        <w:t xml:space="preserve">, </w:t>
      </w:r>
      <w:r w:rsidR="0052604D" w:rsidRPr="00AA4686">
        <w:rPr>
          <w:rFonts w:ascii="Times New Roman" w:hAnsi="Times New Roman"/>
          <w:sz w:val="25"/>
          <w:szCs w:val="25"/>
        </w:rPr>
        <w:t xml:space="preserve">Commission </w:t>
      </w:r>
      <w:r w:rsidR="00215BD9" w:rsidRPr="00AA4686">
        <w:rPr>
          <w:rFonts w:ascii="Times New Roman" w:hAnsi="Times New Roman"/>
          <w:sz w:val="25"/>
          <w:szCs w:val="25"/>
        </w:rPr>
        <w:t>S</w:t>
      </w:r>
      <w:r w:rsidRPr="00AA4686">
        <w:rPr>
          <w:rFonts w:ascii="Times New Roman" w:hAnsi="Times New Roman"/>
          <w:sz w:val="25"/>
          <w:szCs w:val="25"/>
        </w:rPr>
        <w:t>taff learned that the company, doing business as Mayflower Moving &amp; Storage, was the target of a sting led by a special task force</w:t>
      </w:r>
      <w:r w:rsidR="001B6FDC" w:rsidRPr="00AA4686">
        <w:rPr>
          <w:rFonts w:ascii="Times New Roman" w:hAnsi="Times New Roman"/>
          <w:sz w:val="25"/>
          <w:szCs w:val="25"/>
        </w:rPr>
        <w:t xml:space="preserve"> made up of federal, state, and local government agencies</w:t>
      </w:r>
      <w:r w:rsidRPr="00AA4686">
        <w:rPr>
          <w:rFonts w:ascii="Times New Roman" w:hAnsi="Times New Roman"/>
          <w:sz w:val="25"/>
          <w:szCs w:val="25"/>
        </w:rPr>
        <w:t xml:space="preserve"> in </w:t>
      </w:r>
      <w:r w:rsidR="003E6EB6">
        <w:rPr>
          <w:rFonts w:ascii="Times New Roman" w:hAnsi="Times New Roman"/>
          <w:sz w:val="25"/>
          <w:szCs w:val="25"/>
        </w:rPr>
        <w:t xml:space="preserve">the state of </w:t>
      </w:r>
      <w:r w:rsidRPr="00AA4686">
        <w:rPr>
          <w:rFonts w:ascii="Times New Roman" w:hAnsi="Times New Roman"/>
          <w:sz w:val="25"/>
          <w:szCs w:val="25"/>
        </w:rPr>
        <w:t>California</w:t>
      </w:r>
      <w:r w:rsidR="00E7688C">
        <w:rPr>
          <w:rFonts w:ascii="Times New Roman" w:hAnsi="Times New Roman"/>
          <w:sz w:val="25"/>
          <w:szCs w:val="25"/>
        </w:rPr>
        <w:t>, which</w:t>
      </w:r>
      <w:r w:rsidRPr="00AA4686">
        <w:rPr>
          <w:rFonts w:ascii="Times New Roman" w:hAnsi="Times New Roman"/>
          <w:sz w:val="25"/>
          <w:szCs w:val="25"/>
        </w:rPr>
        <w:t xml:space="preserve"> shut down the company’s operations </w:t>
      </w:r>
      <w:r w:rsidR="003D21E3">
        <w:rPr>
          <w:rFonts w:ascii="Times New Roman" w:hAnsi="Times New Roman"/>
          <w:sz w:val="25"/>
          <w:szCs w:val="25"/>
        </w:rPr>
        <w:t xml:space="preserve">in California </w:t>
      </w:r>
      <w:r w:rsidRPr="00AA4686">
        <w:rPr>
          <w:rFonts w:ascii="Times New Roman" w:hAnsi="Times New Roman"/>
          <w:sz w:val="25"/>
          <w:szCs w:val="25"/>
        </w:rPr>
        <w:t xml:space="preserve">and arrested several of its employees. </w:t>
      </w:r>
    </w:p>
    <w:p w:rsidR="00215BD9" w:rsidRPr="00AA4686" w:rsidRDefault="00215BD9" w:rsidP="004F30A9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5617F9" w:rsidRPr="00AA4686" w:rsidRDefault="00D2187C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 xml:space="preserve">Staff </w:t>
      </w:r>
      <w:r w:rsidR="005617F9" w:rsidRPr="00AA4686">
        <w:rPr>
          <w:rFonts w:ascii="Times New Roman" w:hAnsi="Times New Roman"/>
          <w:sz w:val="25"/>
          <w:szCs w:val="25"/>
        </w:rPr>
        <w:t xml:space="preserve">also </w:t>
      </w:r>
      <w:r w:rsidRPr="00AA4686">
        <w:rPr>
          <w:rFonts w:ascii="Times New Roman" w:hAnsi="Times New Roman"/>
          <w:sz w:val="25"/>
          <w:szCs w:val="25"/>
        </w:rPr>
        <w:t>received information regarding four complaints from Washington consumers that hired Olympic Van Lines to perform interstate moves</w:t>
      </w:r>
      <w:r w:rsidR="005617F9" w:rsidRPr="00AA4686">
        <w:rPr>
          <w:rFonts w:ascii="Times New Roman" w:hAnsi="Times New Roman"/>
          <w:sz w:val="25"/>
          <w:szCs w:val="25"/>
        </w:rPr>
        <w:t xml:space="preserve">, </w:t>
      </w:r>
      <w:r w:rsidR="000344F5" w:rsidRPr="00AA4686">
        <w:rPr>
          <w:rFonts w:ascii="Times New Roman" w:hAnsi="Times New Roman"/>
          <w:sz w:val="25"/>
          <w:szCs w:val="25"/>
        </w:rPr>
        <w:t xml:space="preserve">each of </w:t>
      </w:r>
      <w:r w:rsidR="005617F9" w:rsidRPr="00AA4686">
        <w:rPr>
          <w:rFonts w:ascii="Times New Roman" w:hAnsi="Times New Roman"/>
          <w:sz w:val="25"/>
          <w:szCs w:val="25"/>
        </w:rPr>
        <w:t>which</w:t>
      </w:r>
      <w:r w:rsidRPr="00AA4686">
        <w:rPr>
          <w:rFonts w:ascii="Times New Roman" w:hAnsi="Times New Roman"/>
          <w:sz w:val="25"/>
          <w:szCs w:val="25"/>
        </w:rPr>
        <w:t xml:space="preserve"> alleged that the company demanded additional payments of between $1,800</w:t>
      </w:r>
      <w:r w:rsidR="005617F9" w:rsidRPr="00AA4686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>and $4,000 before it would agree to release the customer’s goods.</w:t>
      </w:r>
      <w:r w:rsidR="00215BD9" w:rsidRPr="00AA4686">
        <w:rPr>
          <w:rFonts w:ascii="Times New Roman" w:hAnsi="Times New Roman"/>
          <w:sz w:val="25"/>
          <w:szCs w:val="25"/>
        </w:rPr>
        <w:t xml:space="preserve"> </w:t>
      </w:r>
      <w:r w:rsidR="0052604D" w:rsidRPr="00AA4686">
        <w:rPr>
          <w:rFonts w:ascii="Times New Roman" w:hAnsi="Times New Roman"/>
          <w:sz w:val="25"/>
          <w:szCs w:val="25"/>
        </w:rPr>
        <w:t xml:space="preserve"> </w:t>
      </w:r>
    </w:p>
    <w:p w:rsidR="008F0CA9" w:rsidRPr="00AA4686" w:rsidRDefault="008F0CA9" w:rsidP="004F30A9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215BD9" w:rsidRPr="00AA4686" w:rsidRDefault="00215BD9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>In addition</w:t>
      </w:r>
      <w:r w:rsidR="00973DDD" w:rsidRPr="00AA4686">
        <w:rPr>
          <w:rFonts w:ascii="Times New Roman" w:hAnsi="Times New Roman"/>
          <w:sz w:val="25"/>
          <w:szCs w:val="25"/>
        </w:rPr>
        <w:t xml:space="preserve">, </w:t>
      </w:r>
      <w:r w:rsidRPr="00AA4686">
        <w:rPr>
          <w:rFonts w:ascii="Times New Roman" w:hAnsi="Times New Roman"/>
          <w:sz w:val="25"/>
          <w:szCs w:val="25"/>
        </w:rPr>
        <w:t xml:space="preserve">the Washington Better Business Bureau </w:t>
      </w:r>
      <w:r w:rsidR="004F4838" w:rsidRPr="00AA4686">
        <w:rPr>
          <w:rFonts w:ascii="Times New Roman" w:hAnsi="Times New Roman"/>
          <w:sz w:val="25"/>
          <w:szCs w:val="25"/>
        </w:rPr>
        <w:t xml:space="preserve">(BBB) </w:t>
      </w:r>
      <w:r w:rsidRPr="00AA4686">
        <w:rPr>
          <w:rFonts w:ascii="Times New Roman" w:hAnsi="Times New Roman"/>
          <w:sz w:val="25"/>
          <w:szCs w:val="25"/>
        </w:rPr>
        <w:t xml:space="preserve">has records of 15 consumer complaints filed </w:t>
      </w:r>
      <w:r w:rsidR="00ED0334" w:rsidRPr="00AA4686">
        <w:rPr>
          <w:rFonts w:ascii="Times New Roman" w:hAnsi="Times New Roman"/>
          <w:sz w:val="25"/>
          <w:szCs w:val="25"/>
        </w:rPr>
        <w:t xml:space="preserve">against Olympic Van Lines </w:t>
      </w:r>
      <w:r w:rsidRPr="00AA4686">
        <w:rPr>
          <w:rFonts w:ascii="Times New Roman" w:hAnsi="Times New Roman"/>
          <w:sz w:val="25"/>
          <w:szCs w:val="25"/>
        </w:rPr>
        <w:t>in the last year</w:t>
      </w:r>
      <w:r w:rsidR="00302F3C" w:rsidRPr="00AA4686">
        <w:rPr>
          <w:rFonts w:ascii="Times New Roman" w:hAnsi="Times New Roman"/>
          <w:sz w:val="25"/>
          <w:szCs w:val="25"/>
        </w:rPr>
        <w:t xml:space="preserve">. </w:t>
      </w:r>
      <w:r w:rsidR="00CF33E4" w:rsidRPr="00AA4686">
        <w:rPr>
          <w:rFonts w:ascii="Times New Roman" w:hAnsi="Times New Roman"/>
          <w:sz w:val="25"/>
          <w:szCs w:val="25"/>
        </w:rPr>
        <w:t xml:space="preserve"> </w:t>
      </w:r>
      <w:r w:rsidR="00302F3C" w:rsidRPr="00AA4686">
        <w:rPr>
          <w:rFonts w:ascii="Times New Roman" w:hAnsi="Times New Roman"/>
          <w:sz w:val="25"/>
          <w:szCs w:val="25"/>
        </w:rPr>
        <w:t>I</w:t>
      </w:r>
      <w:r w:rsidRPr="00AA4686">
        <w:rPr>
          <w:rFonts w:ascii="Times New Roman" w:hAnsi="Times New Roman"/>
          <w:sz w:val="25"/>
          <w:szCs w:val="25"/>
        </w:rPr>
        <w:t>nformation on BBB’s website states that the “BBB has received a pattern of complaints from consumers alleging this company originally offers a low quote, then substantially increases the cost once the move is in progress and consumers are unable to cancel services.</w:t>
      </w:r>
      <w:r w:rsidR="00973DDD" w:rsidRPr="00AA4686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 xml:space="preserve"> Complaints further allege consumers’ household goods are not delivered within the agreed-upon time frame, and when the goods do arrive, the belongings are damaged and items are missing.”</w:t>
      </w:r>
    </w:p>
    <w:p w:rsidR="00215BD9" w:rsidRPr="00AA4686" w:rsidRDefault="00215BD9" w:rsidP="004F30A9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973DDD" w:rsidRPr="00AA4686" w:rsidRDefault="00973DDD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 xml:space="preserve">Ms. Green was a named officer and the designated </w:t>
      </w:r>
      <w:r w:rsidR="00E7688C">
        <w:rPr>
          <w:rFonts w:ascii="Times New Roman" w:hAnsi="Times New Roman"/>
          <w:sz w:val="25"/>
          <w:szCs w:val="25"/>
        </w:rPr>
        <w:t>q</w:t>
      </w:r>
      <w:r w:rsidRPr="00AA4686">
        <w:rPr>
          <w:rFonts w:ascii="Times New Roman" w:hAnsi="Times New Roman"/>
          <w:sz w:val="25"/>
          <w:szCs w:val="25"/>
        </w:rPr>
        <w:t>ualifier for the California corporation City Transport, Inc. d/b/a Mayflower Moving &amp; Storage (City Transport).</w:t>
      </w:r>
      <w:r w:rsidR="006E3B4B" w:rsidRPr="00AA4686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 xml:space="preserve"> In July 2010, following an investigation by the California Public Utilities Commission (CPUC) into City Transport’s business practices, </w:t>
      </w:r>
      <w:r w:rsidR="000344F5" w:rsidRPr="00AA4686">
        <w:rPr>
          <w:rFonts w:ascii="Times New Roman" w:hAnsi="Times New Roman"/>
          <w:sz w:val="25"/>
          <w:szCs w:val="25"/>
        </w:rPr>
        <w:t xml:space="preserve">the </w:t>
      </w:r>
      <w:r w:rsidRPr="00AA4686">
        <w:rPr>
          <w:rFonts w:ascii="Times New Roman" w:hAnsi="Times New Roman"/>
          <w:sz w:val="25"/>
          <w:szCs w:val="25"/>
        </w:rPr>
        <w:t xml:space="preserve">CPUC penalized City Transport </w:t>
      </w:r>
      <w:r w:rsidR="00D33890" w:rsidRPr="00AA4686">
        <w:rPr>
          <w:rFonts w:ascii="Times New Roman" w:hAnsi="Times New Roman"/>
          <w:sz w:val="25"/>
          <w:szCs w:val="25"/>
        </w:rPr>
        <w:t>$</w:t>
      </w:r>
      <w:r w:rsidRPr="00AA4686">
        <w:rPr>
          <w:rFonts w:ascii="Times New Roman" w:hAnsi="Times New Roman"/>
          <w:sz w:val="25"/>
          <w:szCs w:val="25"/>
        </w:rPr>
        <w:t xml:space="preserve">10,000 for violations of California laws and rules related to household goods carriers.  </w:t>
      </w:r>
      <w:r w:rsidR="000344F5" w:rsidRPr="00AA4686">
        <w:rPr>
          <w:rFonts w:ascii="Times New Roman" w:hAnsi="Times New Roman"/>
          <w:sz w:val="25"/>
          <w:szCs w:val="25"/>
        </w:rPr>
        <w:t xml:space="preserve">The </w:t>
      </w:r>
      <w:r w:rsidRPr="00AA4686">
        <w:rPr>
          <w:rFonts w:ascii="Times New Roman" w:hAnsi="Times New Roman"/>
          <w:sz w:val="25"/>
          <w:szCs w:val="25"/>
        </w:rPr>
        <w:t>CPUC also ordered City Transport to refund affected customers more than $19,000.  On November 20, 2010, City Transport’s household goods permit was revoked for noncompliance with</w:t>
      </w:r>
      <w:r w:rsidR="000344F5" w:rsidRPr="00AA4686">
        <w:rPr>
          <w:rFonts w:ascii="Times New Roman" w:hAnsi="Times New Roman"/>
          <w:sz w:val="25"/>
          <w:szCs w:val="25"/>
        </w:rPr>
        <w:t xml:space="preserve"> the</w:t>
      </w:r>
      <w:r w:rsidRPr="00AA4686">
        <w:rPr>
          <w:rFonts w:ascii="Times New Roman" w:hAnsi="Times New Roman"/>
          <w:sz w:val="25"/>
          <w:szCs w:val="25"/>
        </w:rPr>
        <w:t xml:space="preserve"> CPUC’s citation and order, specifically </w:t>
      </w:r>
      <w:r w:rsidR="00FD1B05" w:rsidRPr="00AA4686">
        <w:rPr>
          <w:rFonts w:ascii="Times New Roman" w:hAnsi="Times New Roman"/>
          <w:sz w:val="25"/>
          <w:szCs w:val="25"/>
        </w:rPr>
        <w:t xml:space="preserve">for </w:t>
      </w:r>
      <w:r w:rsidRPr="00AA4686">
        <w:rPr>
          <w:rFonts w:ascii="Times New Roman" w:hAnsi="Times New Roman"/>
          <w:sz w:val="25"/>
          <w:szCs w:val="25"/>
        </w:rPr>
        <w:t xml:space="preserve">its failure to pay the ordered penalty and refund </w:t>
      </w:r>
      <w:r w:rsidR="00FD1B05" w:rsidRPr="00AA4686">
        <w:rPr>
          <w:rFonts w:ascii="Times New Roman" w:hAnsi="Times New Roman"/>
          <w:sz w:val="25"/>
          <w:szCs w:val="25"/>
        </w:rPr>
        <w:t>affected</w:t>
      </w:r>
      <w:r w:rsidR="00D33890" w:rsidRPr="00AA4686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>customers.</w:t>
      </w:r>
    </w:p>
    <w:p w:rsidR="00973DDD" w:rsidRPr="00AA4686" w:rsidRDefault="00973DDD" w:rsidP="004F30A9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973DDD" w:rsidRPr="00AA4686" w:rsidRDefault="00973DDD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>Ms. Green failed to disclose the legal actions by the CPUC against her company</w:t>
      </w:r>
      <w:r w:rsidR="00E84C29" w:rsidRPr="00AA4686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>on the Commission’s household goods permit application filed in this docket.  The application asks:</w:t>
      </w:r>
      <w:r w:rsidR="00E7688C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 xml:space="preserve"> “Do you have, or have you ever had a business-related legal proceeding against you in Washington, or in any other state?”  Ms. Green answered “No” on the application</w:t>
      </w:r>
      <w:r w:rsidR="00FD1B05" w:rsidRPr="00AA4686">
        <w:rPr>
          <w:rFonts w:ascii="Times New Roman" w:hAnsi="Times New Roman"/>
          <w:sz w:val="25"/>
          <w:szCs w:val="25"/>
        </w:rPr>
        <w:t>, which is</w:t>
      </w:r>
      <w:r w:rsidR="00E84C29" w:rsidRPr="00AA4686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 xml:space="preserve">a </w:t>
      </w:r>
      <w:r w:rsidR="00FD1B05" w:rsidRPr="00AA4686">
        <w:rPr>
          <w:rFonts w:ascii="Times New Roman" w:hAnsi="Times New Roman"/>
          <w:sz w:val="25"/>
          <w:szCs w:val="25"/>
        </w:rPr>
        <w:t xml:space="preserve">factual </w:t>
      </w:r>
      <w:r w:rsidRPr="00AA4686">
        <w:rPr>
          <w:rFonts w:ascii="Times New Roman" w:hAnsi="Times New Roman"/>
          <w:sz w:val="25"/>
          <w:szCs w:val="25"/>
        </w:rPr>
        <w:t xml:space="preserve">misrepresentation. </w:t>
      </w:r>
    </w:p>
    <w:p w:rsidR="00302F3C" w:rsidRPr="00AA4686" w:rsidRDefault="00302F3C" w:rsidP="004F30A9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762EB4" w:rsidRPr="00AA4686" w:rsidRDefault="00215BD9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>The Federal Motor Carrier Safety Administration’s</w:t>
      </w:r>
      <w:r w:rsidR="004F4838" w:rsidRPr="00AA4686">
        <w:rPr>
          <w:rFonts w:ascii="Times New Roman" w:hAnsi="Times New Roman"/>
          <w:sz w:val="25"/>
          <w:szCs w:val="25"/>
        </w:rPr>
        <w:t xml:space="preserve"> (FMSCA)</w:t>
      </w:r>
      <w:r w:rsidRPr="00AA4686">
        <w:rPr>
          <w:rFonts w:ascii="Times New Roman" w:hAnsi="Times New Roman"/>
          <w:sz w:val="25"/>
          <w:szCs w:val="25"/>
        </w:rPr>
        <w:t xml:space="preserve"> website </w:t>
      </w:r>
      <w:r w:rsidR="004F4838" w:rsidRPr="00AA4686">
        <w:rPr>
          <w:rFonts w:ascii="Times New Roman" w:hAnsi="Times New Roman"/>
          <w:sz w:val="25"/>
          <w:szCs w:val="25"/>
        </w:rPr>
        <w:t xml:space="preserve">documents </w:t>
      </w:r>
      <w:r w:rsidRPr="00AA4686">
        <w:rPr>
          <w:rFonts w:ascii="Times New Roman" w:hAnsi="Times New Roman"/>
          <w:sz w:val="25"/>
          <w:szCs w:val="25"/>
        </w:rPr>
        <w:t>13</w:t>
      </w:r>
      <w:r w:rsidR="004F4838" w:rsidRPr="00AA4686">
        <w:rPr>
          <w:rFonts w:ascii="Times New Roman" w:hAnsi="Times New Roman"/>
          <w:sz w:val="25"/>
          <w:szCs w:val="25"/>
        </w:rPr>
        <w:t xml:space="preserve"> consumer </w:t>
      </w:r>
      <w:r w:rsidRPr="00AA4686">
        <w:rPr>
          <w:rFonts w:ascii="Times New Roman" w:hAnsi="Times New Roman"/>
          <w:sz w:val="25"/>
          <w:szCs w:val="25"/>
        </w:rPr>
        <w:t>complaints against City T</w:t>
      </w:r>
      <w:r w:rsidR="00302F3C" w:rsidRPr="00AA4686">
        <w:rPr>
          <w:rFonts w:ascii="Times New Roman" w:hAnsi="Times New Roman"/>
          <w:sz w:val="25"/>
          <w:szCs w:val="25"/>
        </w:rPr>
        <w:t xml:space="preserve">ransport between 2009 and 2011.  </w:t>
      </w:r>
      <w:r w:rsidRPr="00AA4686">
        <w:rPr>
          <w:rFonts w:ascii="Times New Roman" w:hAnsi="Times New Roman"/>
          <w:sz w:val="25"/>
          <w:szCs w:val="25"/>
        </w:rPr>
        <w:t>Seven of th</w:t>
      </w:r>
      <w:r w:rsidR="00973DDD" w:rsidRPr="00AA4686">
        <w:rPr>
          <w:rFonts w:ascii="Times New Roman" w:hAnsi="Times New Roman"/>
          <w:sz w:val="25"/>
          <w:szCs w:val="25"/>
        </w:rPr>
        <w:t>e</w:t>
      </w:r>
      <w:r w:rsidRPr="00AA4686">
        <w:rPr>
          <w:rFonts w:ascii="Times New Roman" w:hAnsi="Times New Roman"/>
          <w:sz w:val="25"/>
          <w:szCs w:val="25"/>
        </w:rPr>
        <w:t xml:space="preserve"> complaints alleg</w:t>
      </w:r>
      <w:r w:rsidR="00973DDD" w:rsidRPr="00AA4686">
        <w:rPr>
          <w:rFonts w:ascii="Times New Roman" w:hAnsi="Times New Roman"/>
          <w:sz w:val="25"/>
          <w:szCs w:val="25"/>
        </w:rPr>
        <w:t>ed</w:t>
      </w:r>
      <w:r w:rsidRPr="00AA4686">
        <w:rPr>
          <w:rFonts w:ascii="Times New Roman" w:hAnsi="Times New Roman"/>
          <w:sz w:val="25"/>
          <w:szCs w:val="25"/>
        </w:rPr>
        <w:t xml:space="preserve"> that the company held the customer’s goods hostage. </w:t>
      </w:r>
      <w:r w:rsidR="00302F3C" w:rsidRPr="00AA4686">
        <w:rPr>
          <w:rFonts w:ascii="Times New Roman" w:hAnsi="Times New Roman"/>
          <w:sz w:val="25"/>
          <w:szCs w:val="25"/>
        </w:rPr>
        <w:t xml:space="preserve"> </w:t>
      </w:r>
      <w:r w:rsidR="00833B3B" w:rsidRPr="00AA4686">
        <w:rPr>
          <w:rFonts w:ascii="Times New Roman" w:hAnsi="Times New Roman"/>
          <w:sz w:val="25"/>
          <w:szCs w:val="25"/>
        </w:rPr>
        <w:t xml:space="preserve">FMSCA’s </w:t>
      </w:r>
      <w:r w:rsidRPr="00AA4686">
        <w:rPr>
          <w:rFonts w:ascii="Times New Roman" w:hAnsi="Times New Roman"/>
          <w:sz w:val="25"/>
          <w:szCs w:val="25"/>
        </w:rPr>
        <w:t>website also shows records for 18 complaints against Oracle Marketing Inc., DOT Number 2029028 (the same DOT number on Oracle M</w:t>
      </w:r>
      <w:r w:rsidR="00302F3C" w:rsidRPr="00AA4686">
        <w:rPr>
          <w:rFonts w:ascii="Times New Roman" w:hAnsi="Times New Roman"/>
          <w:sz w:val="25"/>
          <w:szCs w:val="25"/>
        </w:rPr>
        <w:t xml:space="preserve">arketing’s application with the </w:t>
      </w:r>
      <w:r w:rsidR="00ED0334" w:rsidRPr="00AA4686">
        <w:rPr>
          <w:rFonts w:ascii="Times New Roman" w:hAnsi="Times New Roman"/>
          <w:sz w:val="25"/>
          <w:szCs w:val="25"/>
        </w:rPr>
        <w:t>C</w:t>
      </w:r>
      <w:r w:rsidRPr="00AA4686">
        <w:rPr>
          <w:rFonts w:ascii="Times New Roman" w:hAnsi="Times New Roman"/>
          <w:sz w:val="25"/>
          <w:szCs w:val="25"/>
        </w:rPr>
        <w:t xml:space="preserve">ommission) between 2010 and 2012. </w:t>
      </w:r>
      <w:r w:rsidR="00302F3C" w:rsidRPr="00AA4686">
        <w:rPr>
          <w:rFonts w:ascii="Times New Roman" w:hAnsi="Times New Roman"/>
          <w:sz w:val="25"/>
          <w:szCs w:val="25"/>
        </w:rPr>
        <w:t xml:space="preserve"> </w:t>
      </w:r>
      <w:r w:rsidRPr="00AA4686">
        <w:rPr>
          <w:rFonts w:ascii="Times New Roman" w:hAnsi="Times New Roman"/>
          <w:sz w:val="25"/>
          <w:szCs w:val="25"/>
        </w:rPr>
        <w:t xml:space="preserve">Six of those complaints alleged that </w:t>
      </w:r>
      <w:r w:rsidR="004F4838" w:rsidRPr="00AA4686">
        <w:rPr>
          <w:rFonts w:ascii="Times New Roman" w:hAnsi="Times New Roman"/>
          <w:sz w:val="25"/>
          <w:szCs w:val="25"/>
        </w:rPr>
        <w:t>Oracle Marketing, Inc.</w:t>
      </w:r>
      <w:r w:rsidRPr="00AA4686">
        <w:rPr>
          <w:rFonts w:ascii="Times New Roman" w:hAnsi="Times New Roman"/>
          <w:sz w:val="25"/>
          <w:szCs w:val="25"/>
        </w:rPr>
        <w:t xml:space="preserve"> held the customer’s goods hostage.</w:t>
      </w:r>
    </w:p>
    <w:p w:rsidR="001C6597" w:rsidRPr="00AA4686" w:rsidRDefault="001C6597" w:rsidP="004F30A9">
      <w:pPr>
        <w:widowControl/>
        <w:autoSpaceDE/>
        <w:autoSpaceDN/>
        <w:adjustRightInd/>
        <w:spacing w:line="288" w:lineRule="auto"/>
        <w:rPr>
          <w:rFonts w:ascii="Times New Roman" w:hAnsi="Times New Roman"/>
          <w:sz w:val="25"/>
          <w:szCs w:val="25"/>
        </w:rPr>
      </w:pPr>
    </w:p>
    <w:p w:rsidR="003867EF" w:rsidRPr="00AA4686" w:rsidRDefault="00B33329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>The</w:t>
      </w:r>
      <w:r w:rsidR="002810D1" w:rsidRPr="00AA4686">
        <w:rPr>
          <w:rFonts w:ascii="Times New Roman" w:hAnsi="Times New Roman"/>
          <w:sz w:val="25"/>
          <w:szCs w:val="25"/>
        </w:rPr>
        <w:t xml:space="preserve">se allegations, if not satisfactorily rebutted, support </w:t>
      </w:r>
      <w:r w:rsidR="009A0481" w:rsidRPr="00AA4686">
        <w:rPr>
          <w:rFonts w:ascii="Times New Roman" w:hAnsi="Times New Roman"/>
          <w:sz w:val="25"/>
          <w:szCs w:val="25"/>
        </w:rPr>
        <w:t xml:space="preserve">factual </w:t>
      </w:r>
      <w:r w:rsidR="002810D1" w:rsidRPr="00AA4686">
        <w:rPr>
          <w:rFonts w:ascii="Times New Roman" w:hAnsi="Times New Roman"/>
          <w:sz w:val="25"/>
          <w:szCs w:val="25"/>
        </w:rPr>
        <w:t xml:space="preserve">findings </w:t>
      </w:r>
      <w:r w:rsidR="009A0481" w:rsidRPr="00AA4686">
        <w:rPr>
          <w:rFonts w:ascii="Times New Roman" w:hAnsi="Times New Roman"/>
          <w:sz w:val="25"/>
          <w:szCs w:val="25"/>
        </w:rPr>
        <w:t xml:space="preserve">that the application contains </w:t>
      </w:r>
      <w:r w:rsidR="00215BD9" w:rsidRPr="00AA4686">
        <w:rPr>
          <w:rFonts w:ascii="Times New Roman" w:hAnsi="Times New Roman"/>
          <w:sz w:val="25"/>
          <w:szCs w:val="25"/>
        </w:rPr>
        <w:t xml:space="preserve">a </w:t>
      </w:r>
      <w:r w:rsidR="009A0481" w:rsidRPr="00AA4686">
        <w:rPr>
          <w:rFonts w:ascii="Times New Roman" w:hAnsi="Times New Roman"/>
          <w:sz w:val="25"/>
          <w:szCs w:val="25"/>
        </w:rPr>
        <w:t>significant</w:t>
      </w:r>
      <w:r w:rsidRPr="00AA4686">
        <w:rPr>
          <w:rFonts w:ascii="Times New Roman" w:hAnsi="Times New Roman"/>
          <w:sz w:val="25"/>
          <w:szCs w:val="25"/>
        </w:rPr>
        <w:t xml:space="preserve"> </w:t>
      </w:r>
      <w:r w:rsidR="00D801F5" w:rsidRPr="00AA4686">
        <w:rPr>
          <w:rFonts w:ascii="Times New Roman" w:hAnsi="Times New Roman"/>
          <w:sz w:val="25"/>
          <w:szCs w:val="25"/>
        </w:rPr>
        <w:t>misrepresentation</w:t>
      </w:r>
      <w:r w:rsidR="00215BD9" w:rsidRPr="00AA4686">
        <w:rPr>
          <w:rFonts w:ascii="Times New Roman" w:hAnsi="Times New Roman"/>
          <w:sz w:val="25"/>
          <w:szCs w:val="25"/>
        </w:rPr>
        <w:t>,</w:t>
      </w:r>
      <w:r w:rsidR="009A0481" w:rsidRPr="00AA4686">
        <w:rPr>
          <w:rFonts w:ascii="Times New Roman" w:hAnsi="Times New Roman"/>
          <w:sz w:val="25"/>
          <w:szCs w:val="25"/>
        </w:rPr>
        <w:t xml:space="preserve"> and </w:t>
      </w:r>
      <w:r w:rsidR="00F349AC" w:rsidRPr="00AA4686">
        <w:rPr>
          <w:rFonts w:ascii="Times New Roman" w:hAnsi="Times New Roman"/>
          <w:sz w:val="25"/>
          <w:szCs w:val="25"/>
        </w:rPr>
        <w:t xml:space="preserve">that </w:t>
      </w:r>
      <w:r w:rsidR="00215BD9" w:rsidRPr="00AA4686">
        <w:rPr>
          <w:rFonts w:ascii="Times New Roman" w:hAnsi="Times New Roman"/>
          <w:sz w:val="25"/>
          <w:szCs w:val="25"/>
        </w:rPr>
        <w:t xml:space="preserve">Ms. Green </w:t>
      </w:r>
      <w:r w:rsidR="004F4838" w:rsidRPr="00AA4686">
        <w:rPr>
          <w:rFonts w:ascii="Times New Roman" w:hAnsi="Times New Roman"/>
          <w:sz w:val="25"/>
          <w:szCs w:val="25"/>
        </w:rPr>
        <w:t xml:space="preserve">and her companies </w:t>
      </w:r>
      <w:r w:rsidR="00215BD9" w:rsidRPr="00AA4686">
        <w:rPr>
          <w:rFonts w:ascii="Times New Roman" w:hAnsi="Times New Roman"/>
          <w:sz w:val="25"/>
          <w:szCs w:val="25"/>
        </w:rPr>
        <w:t>ha</w:t>
      </w:r>
      <w:r w:rsidR="004F4838" w:rsidRPr="00AA4686">
        <w:rPr>
          <w:rFonts w:ascii="Times New Roman" w:hAnsi="Times New Roman"/>
          <w:sz w:val="25"/>
          <w:szCs w:val="25"/>
        </w:rPr>
        <w:t>v</w:t>
      </w:r>
      <w:r w:rsidR="00D44AED" w:rsidRPr="00AA4686">
        <w:rPr>
          <w:rFonts w:ascii="Times New Roman" w:hAnsi="Times New Roman"/>
          <w:sz w:val="25"/>
          <w:szCs w:val="25"/>
        </w:rPr>
        <w:t>e</w:t>
      </w:r>
      <w:r w:rsidR="00215BD9" w:rsidRPr="00AA4686">
        <w:rPr>
          <w:rFonts w:ascii="Times New Roman" w:hAnsi="Times New Roman"/>
          <w:sz w:val="25"/>
          <w:szCs w:val="25"/>
        </w:rPr>
        <w:t xml:space="preserve"> </w:t>
      </w:r>
      <w:r w:rsidR="00833B3B" w:rsidRPr="00AA4686">
        <w:rPr>
          <w:rFonts w:ascii="Times New Roman" w:hAnsi="Times New Roman"/>
          <w:sz w:val="25"/>
          <w:szCs w:val="25"/>
        </w:rPr>
        <w:t xml:space="preserve">a </w:t>
      </w:r>
      <w:r w:rsidR="000C2783" w:rsidRPr="00AA4686">
        <w:rPr>
          <w:rFonts w:ascii="Times New Roman" w:hAnsi="Times New Roman"/>
          <w:sz w:val="25"/>
          <w:szCs w:val="25"/>
        </w:rPr>
        <w:t xml:space="preserve">history of noncompliance </w:t>
      </w:r>
      <w:r w:rsidR="00833B3B" w:rsidRPr="00AA4686">
        <w:rPr>
          <w:rFonts w:ascii="Times New Roman" w:hAnsi="Times New Roman"/>
          <w:sz w:val="25"/>
          <w:szCs w:val="25"/>
        </w:rPr>
        <w:t>and</w:t>
      </w:r>
      <w:r w:rsidR="00FD1B05" w:rsidRPr="00AA4686">
        <w:rPr>
          <w:rFonts w:ascii="Times New Roman" w:hAnsi="Times New Roman"/>
          <w:sz w:val="25"/>
          <w:szCs w:val="25"/>
        </w:rPr>
        <w:t xml:space="preserve"> harmful</w:t>
      </w:r>
      <w:r w:rsidR="00833B3B" w:rsidRPr="00AA4686">
        <w:rPr>
          <w:rFonts w:ascii="Times New Roman" w:hAnsi="Times New Roman"/>
          <w:sz w:val="25"/>
          <w:szCs w:val="25"/>
        </w:rPr>
        <w:t xml:space="preserve"> business practices </w:t>
      </w:r>
      <w:r w:rsidR="00215BD9" w:rsidRPr="00AA4686">
        <w:rPr>
          <w:rFonts w:ascii="Times New Roman" w:hAnsi="Times New Roman"/>
          <w:sz w:val="25"/>
          <w:szCs w:val="25"/>
        </w:rPr>
        <w:t>in both Washington and California</w:t>
      </w:r>
      <w:r w:rsidR="00302F3C" w:rsidRPr="00AA4686">
        <w:rPr>
          <w:rFonts w:ascii="Times New Roman" w:hAnsi="Times New Roman"/>
          <w:sz w:val="25"/>
          <w:szCs w:val="25"/>
        </w:rPr>
        <w:t xml:space="preserve">.  </w:t>
      </w:r>
      <w:r w:rsidR="009A0481" w:rsidRPr="00AA4686">
        <w:rPr>
          <w:rFonts w:ascii="Times New Roman" w:hAnsi="Times New Roman"/>
          <w:sz w:val="25"/>
          <w:szCs w:val="25"/>
        </w:rPr>
        <w:t xml:space="preserve">Such factual findings, in turn, support the conclusion </w:t>
      </w:r>
      <w:r w:rsidR="000C2783" w:rsidRPr="00AA4686">
        <w:rPr>
          <w:rFonts w:ascii="Times New Roman" w:hAnsi="Times New Roman"/>
          <w:sz w:val="25"/>
          <w:szCs w:val="25"/>
        </w:rPr>
        <w:t>that issuing the permit</w:t>
      </w:r>
      <w:r w:rsidR="003A6A99" w:rsidRPr="00AA4686">
        <w:rPr>
          <w:rFonts w:ascii="Times New Roman" w:hAnsi="Times New Roman"/>
          <w:sz w:val="25"/>
          <w:szCs w:val="25"/>
        </w:rPr>
        <w:t xml:space="preserve"> is not in the public interest, and the</w:t>
      </w:r>
      <w:r w:rsidR="003867EF" w:rsidRPr="00AA4686">
        <w:rPr>
          <w:rFonts w:ascii="Times New Roman" w:hAnsi="Times New Roman"/>
          <w:sz w:val="25"/>
          <w:szCs w:val="25"/>
        </w:rPr>
        <w:t xml:space="preserve"> application should be denied.</w:t>
      </w:r>
    </w:p>
    <w:p w:rsidR="003867EF" w:rsidRPr="00AA4686" w:rsidRDefault="003867EF" w:rsidP="004F30A9">
      <w:pPr>
        <w:pStyle w:val="ListParagraph"/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1C5E99" w:rsidRPr="00AA4686" w:rsidRDefault="001C5E99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b/>
          <w:sz w:val="25"/>
          <w:szCs w:val="25"/>
        </w:rPr>
        <w:t>NOTICE OF OPPORTUNITY FOR HEARING.</w:t>
      </w:r>
      <w:r w:rsidRPr="00AA4686">
        <w:rPr>
          <w:rFonts w:ascii="Times New Roman" w:hAnsi="Times New Roman"/>
          <w:sz w:val="25"/>
          <w:szCs w:val="25"/>
        </w:rPr>
        <w:t xml:space="preserve">  </w:t>
      </w:r>
      <w:r w:rsidR="00215BD9" w:rsidRPr="00AA4686">
        <w:rPr>
          <w:rFonts w:ascii="Times New Roman" w:hAnsi="Times New Roman"/>
          <w:sz w:val="25"/>
          <w:szCs w:val="25"/>
        </w:rPr>
        <w:t>Oracle Marketing</w:t>
      </w:r>
      <w:r w:rsidR="00CF33E4" w:rsidRPr="00AA4686">
        <w:rPr>
          <w:rFonts w:ascii="Times New Roman" w:hAnsi="Times New Roman"/>
          <w:sz w:val="25"/>
          <w:szCs w:val="25"/>
        </w:rPr>
        <w:t>, Inc.</w:t>
      </w:r>
      <w:r w:rsidR="00215BD9" w:rsidRPr="00AA4686">
        <w:rPr>
          <w:rFonts w:ascii="Times New Roman" w:hAnsi="Times New Roman"/>
          <w:sz w:val="25"/>
          <w:szCs w:val="25"/>
        </w:rPr>
        <w:t xml:space="preserve"> d/b/a </w:t>
      </w:r>
      <w:r w:rsidR="00CF33E4" w:rsidRPr="00AA4686">
        <w:rPr>
          <w:rFonts w:ascii="Times New Roman" w:hAnsi="Times New Roman"/>
          <w:sz w:val="25"/>
          <w:szCs w:val="25"/>
        </w:rPr>
        <w:t>Great American Moving &amp; Storage</w:t>
      </w:r>
      <w:r w:rsidRPr="00AA4686">
        <w:rPr>
          <w:rFonts w:ascii="Times New Roman" w:hAnsi="Times New Roman"/>
          <w:sz w:val="25"/>
          <w:szCs w:val="25"/>
        </w:rPr>
        <w:t xml:space="preserve">, may request a hearing to contest the factual allegations set out in this </w:t>
      </w:r>
      <w:r w:rsidR="00CF6445" w:rsidRPr="00AA4686">
        <w:rPr>
          <w:rFonts w:ascii="Times New Roman" w:hAnsi="Times New Roman"/>
          <w:sz w:val="25"/>
          <w:szCs w:val="25"/>
        </w:rPr>
        <w:t>n</w:t>
      </w:r>
      <w:r w:rsidRPr="00AA4686">
        <w:rPr>
          <w:rFonts w:ascii="Times New Roman" w:hAnsi="Times New Roman"/>
          <w:sz w:val="25"/>
          <w:szCs w:val="25"/>
        </w:rPr>
        <w:t xml:space="preserve">otice.  </w:t>
      </w:r>
      <w:r w:rsidR="00160FAD" w:rsidRPr="00AA4686">
        <w:rPr>
          <w:rFonts w:ascii="Times New Roman" w:hAnsi="Times New Roman"/>
          <w:sz w:val="25"/>
          <w:szCs w:val="25"/>
        </w:rPr>
        <w:t>Oracle Marketing</w:t>
      </w:r>
      <w:r w:rsidR="00CA27A9" w:rsidRPr="00AA4686">
        <w:rPr>
          <w:rFonts w:ascii="Times New Roman" w:hAnsi="Times New Roman"/>
          <w:sz w:val="25"/>
          <w:szCs w:val="25"/>
        </w:rPr>
        <w:t xml:space="preserve"> </w:t>
      </w:r>
      <w:r w:rsidR="009A0481" w:rsidRPr="00AA4686">
        <w:rPr>
          <w:rFonts w:ascii="Times New Roman" w:hAnsi="Times New Roman"/>
          <w:sz w:val="25"/>
          <w:szCs w:val="25"/>
        </w:rPr>
        <w:t>may</w:t>
      </w:r>
      <w:r w:rsidRPr="00AA4686">
        <w:rPr>
          <w:rFonts w:ascii="Times New Roman" w:hAnsi="Times New Roman"/>
          <w:sz w:val="25"/>
          <w:szCs w:val="25"/>
        </w:rPr>
        <w:t xml:space="preserve"> request </w:t>
      </w:r>
      <w:r w:rsidR="009A0481" w:rsidRPr="00AA4686">
        <w:rPr>
          <w:rFonts w:ascii="Times New Roman" w:hAnsi="Times New Roman"/>
          <w:sz w:val="25"/>
          <w:szCs w:val="25"/>
        </w:rPr>
        <w:t xml:space="preserve">such </w:t>
      </w:r>
      <w:r w:rsidRPr="00AA4686">
        <w:rPr>
          <w:rFonts w:ascii="Times New Roman" w:hAnsi="Times New Roman"/>
          <w:sz w:val="25"/>
          <w:szCs w:val="25"/>
        </w:rPr>
        <w:t xml:space="preserve">a hearing </w:t>
      </w:r>
      <w:r w:rsidR="009A0481" w:rsidRPr="00AA4686">
        <w:rPr>
          <w:rFonts w:ascii="Times New Roman" w:hAnsi="Times New Roman"/>
          <w:sz w:val="25"/>
          <w:szCs w:val="25"/>
        </w:rPr>
        <w:t xml:space="preserve">by filing </w:t>
      </w:r>
      <w:r w:rsidRPr="00AA4686">
        <w:rPr>
          <w:rFonts w:ascii="Times New Roman" w:hAnsi="Times New Roman"/>
          <w:sz w:val="25"/>
          <w:szCs w:val="25"/>
        </w:rPr>
        <w:t xml:space="preserve">a written request for a hearing with the Commission by </w:t>
      </w:r>
      <w:r w:rsidR="008F0CA9" w:rsidRPr="008F0CA9">
        <w:rPr>
          <w:rFonts w:ascii="Times New Roman" w:hAnsi="Times New Roman"/>
          <w:b/>
          <w:sz w:val="25"/>
          <w:szCs w:val="25"/>
        </w:rPr>
        <w:t>August 1</w:t>
      </w:r>
      <w:r w:rsidR="00833B3B" w:rsidRPr="008F0CA9">
        <w:rPr>
          <w:rFonts w:ascii="Times New Roman" w:hAnsi="Times New Roman"/>
          <w:b/>
          <w:sz w:val="25"/>
          <w:szCs w:val="25"/>
        </w:rPr>
        <w:t>, 2012</w:t>
      </w:r>
      <w:r w:rsidRPr="00AA4686">
        <w:rPr>
          <w:rFonts w:ascii="Times New Roman" w:hAnsi="Times New Roman"/>
          <w:sz w:val="25"/>
          <w:szCs w:val="25"/>
        </w:rPr>
        <w:t xml:space="preserve">.  An original and five (5) paper copies of the request must be directed to the attention of </w:t>
      </w:r>
      <w:r w:rsidR="00CA27A9" w:rsidRPr="00AA4686">
        <w:rPr>
          <w:rFonts w:ascii="Times New Roman" w:hAnsi="Times New Roman"/>
          <w:sz w:val="25"/>
          <w:szCs w:val="25"/>
        </w:rPr>
        <w:t xml:space="preserve">David </w:t>
      </w:r>
      <w:r w:rsidR="00C54DAE" w:rsidRPr="00AA4686">
        <w:rPr>
          <w:rFonts w:ascii="Times New Roman" w:hAnsi="Times New Roman"/>
          <w:sz w:val="25"/>
          <w:szCs w:val="25"/>
        </w:rPr>
        <w:t xml:space="preserve">W. </w:t>
      </w:r>
      <w:r w:rsidR="00CA27A9" w:rsidRPr="00AA4686">
        <w:rPr>
          <w:rFonts w:ascii="Times New Roman" w:hAnsi="Times New Roman"/>
          <w:sz w:val="25"/>
          <w:szCs w:val="25"/>
        </w:rPr>
        <w:t>Danner</w:t>
      </w:r>
      <w:r w:rsidRPr="00AA4686">
        <w:rPr>
          <w:rFonts w:ascii="Times New Roman" w:hAnsi="Times New Roman"/>
          <w:sz w:val="25"/>
          <w:szCs w:val="25"/>
        </w:rPr>
        <w:t xml:space="preserve">, Executive </w:t>
      </w:r>
      <w:r w:rsidR="00C54DAE" w:rsidRPr="00AA4686">
        <w:rPr>
          <w:rFonts w:ascii="Times New Roman" w:hAnsi="Times New Roman"/>
          <w:sz w:val="25"/>
          <w:szCs w:val="25"/>
        </w:rPr>
        <w:t xml:space="preserve">Director and </w:t>
      </w:r>
      <w:r w:rsidRPr="00AA4686">
        <w:rPr>
          <w:rFonts w:ascii="Times New Roman" w:hAnsi="Times New Roman"/>
          <w:sz w:val="25"/>
          <w:szCs w:val="25"/>
        </w:rPr>
        <w:t>Secretary, Washington Utilities and Transportation Commission, P.O. Box 47250, Olympia, WA 98504-7250, and must reference Docket TV-</w:t>
      </w:r>
      <w:r w:rsidR="00CA27A9" w:rsidRPr="00AA4686">
        <w:rPr>
          <w:rFonts w:ascii="Times New Roman" w:hAnsi="Times New Roman"/>
          <w:sz w:val="25"/>
          <w:szCs w:val="25"/>
        </w:rPr>
        <w:t>1</w:t>
      </w:r>
      <w:r w:rsidR="008F0CA9">
        <w:rPr>
          <w:rFonts w:ascii="Times New Roman" w:hAnsi="Times New Roman"/>
          <w:sz w:val="25"/>
          <w:szCs w:val="25"/>
        </w:rPr>
        <w:t>20766</w:t>
      </w:r>
      <w:r w:rsidR="004E4484" w:rsidRPr="00AA4686">
        <w:rPr>
          <w:rFonts w:ascii="Times New Roman" w:hAnsi="Times New Roman"/>
          <w:sz w:val="25"/>
          <w:szCs w:val="25"/>
        </w:rPr>
        <w:t>.</w:t>
      </w:r>
    </w:p>
    <w:p w:rsidR="001C5E99" w:rsidRPr="00AA4686" w:rsidRDefault="001C5E99" w:rsidP="004F30A9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1C5E99" w:rsidRPr="00AA4686" w:rsidRDefault="001C5E99" w:rsidP="004F30A9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88" w:lineRule="auto"/>
        <w:ind w:left="0" w:hanging="7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 xml:space="preserve">If </w:t>
      </w:r>
      <w:r w:rsidR="00160FAD" w:rsidRPr="00AA4686">
        <w:rPr>
          <w:rFonts w:ascii="Times New Roman" w:hAnsi="Times New Roman"/>
          <w:sz w:val="25"/>
          <w:szCs w:val="25"/>
        </w:rPr>
        <w:t>Oracle Marketing</w:t>
      </w:r>
      <w:r w:rsidRPr="00AA4686">
        <w:rPr>
          <w:rFonts w:ascii="Times New Roman" w:hAnsi="Times New Roman"/>
          <w:sz w:val="25"/>
          <w:szCs w:val="25"/>
        </w:rPr>
        <w:t xml:space="preserve"> requests a hearing</w:t>
      </w:r>
      <w:r w:rsidR="00F349AC" w:rsidRPr="00AA4686">
        <w:rPr>
          <w:rFonts w:ascii="Times New Roman" w:hAnsi="Times New Roman"/>
          <w:sz w:val="25"/>
          <w:szCs w:val="25"/>
        </w:rPr>
        <w:t xml:space="preserve"> by </w:t>
      </w:r>
      <w:r w:rsidR="008F0CA9" w:rsidRPr="008F0CA9">
        <w:rPr>
          <w:rFonts w:ascii="Times New Roman" w:hAnsi="Times New Roman"/>
          <w:b/>
          <w:sz w:val="25"/>
          <w:szCs w:val="25"/>
        </w:rPr>
        <w:t>August 1, 2012</w:t>
      </w:r>
      <w:r w:rsidRPr="00AA4686">
        <w:rPr>
          <w:rFonts w:ascii="Times New Roman" w:hAnsi="Times New Roman"/>
          <w:sz w:val="25"/>
          <w:szCs w:val="25"/>
        </w:rPr>
        <w:t xml:space="preserve">, the Commission will schedule a brief adjudicative proceeding under RCW 34.05.482 and WAC 480-07-610.  If </w:t>
      </w:r>
      <w:r w:rsidR="00160FAD" w:rsidRPr="00AA4686">
        <w:rPr>
          <w:rFonts w:ascii="Times New Roman" w:hAnsi="Times New Roman"/>
          <w:sz w:val="25"/>
          <w:szCs w:val="25"/>
        </w:rPr>
        <w:t>Oracle Marketing</w:t>
      </w:r>
      <w:r w:rsidRPr="00AA4686">
        <w:rPr>
          <w:rFonts w:ascii="Times New Roman" w:hAnsi="Times New Roman"/>
          <w:sz w:val="25"/>
          <w:szCs w:val="25"/>
        </w:rPr>
        <w:t xml:space="preserve"> does not request a hearing by th</w:t>
      </w:r>
      <w:r w:rsidR="00F349AC" w:rsidRPr="00AA4686">
        <w:rPr>
          <w:rFonts w:ascii="Times New Roman" w:hAnsi="Times New Roman"/>
          <w:sz w:val="25"/>
          <w:szCs w:val="25"/>
        </w:rPr>
        <w:t>at date</w:t>
      </w:r>
      <w:r w:rsidRPr="00AA4686">
        <w:rPr>
          <w:rFonts w:ascii="Times New Roman" w:hAnsi="Times New Roman"/>
          <w:sz w:val="25"/>
          <w:szCs w:val="25"/>
        </w:rPr>
        <w:t>, the Commission will enter an order rejecting the application for permanent authority.</w:t>
      </w:r>
    </w:p>
    <w:p w:rsidR="001C5E99" w:rsidRPr="00AA4686" w:rsidRDefault="001C5E99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4E4484" w:rsidRPr="00AA4686" w:rsidRDefault="001C5E99" w:rsidP="004F30A9">
      <w:pPr>
        <w:spacing w:line="264" w:lineRule="auto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>DATED at Olympia, Washington, and effective</w:t>
      </w:r>
      <w:r w:rsidR="00C54DAE" w:rsidRPr="00AA4686">
        <w:rPr>
          <w:rFonts w:ascii="Times New Roman" w:hAnsi="Times New Roman"/>
          <w:sz w:val="25"/>
          <w:szCs w:val="25"/>
        </w:rPr>
        <w:t xml:space="preserve"> </w:t>
      </w:r>
      <w:r w:rsidR="008F0CA9">
        <w:rPr>
          <w:rFonts w:ascii="Times New Roman" w:hAnsi="Times New Roman"/>
          <w:sz w:val="25"/>
          <w:szCs w:val="25"/>
        </w:rPr>
        <w:t>July 19, 2012</w:t>
      </w:r>
      <w:r w:rsidR="00C54DAE" w:rsidRPr="00AA4686">
        <w:rPr>
          <w:rFonts w:ascii="Times New Roman" w:hAnsi="Times New Roman"/>
          <w:sz w:val="25"/>
          <w:szCs w:val="25"/>
        </w:rPr>
        <w:t>.</w:t>
      </w:r>
    </w:p>
    <w:p w:rsidR="00C54DAE" w:rsidRPr="00AA4686" w:rsidRDefault="00C54DAE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7A9" w:rsidRPr="00AA4686" w:rsidRDefault="00CA27A9" w:rsidP="004F30A9">
      <w:pPr>
        <w:pStyle w:val="Heading2"/>
        <w:tabs>
          <w:tab w:val="clear" w:pos="4680"/>
        </w:tabs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A4686">
        <w:rPr>
          <w:rFonts w:ascii="Times New Roman" w:hAnsi="Times New Roman" w:cs="Times New Roman"/>
          <w:sz w:val="25"/>
          <w:szCs w:val="25"/>
        </w:rPr>
        <w:t>WASHINGTON UTILITIES AND</w:t>
      </w:r>
      <w:r w:rsidR="004E4484" w:rsidRPr="00AA4686">
        <w:rPr>
          <w:rFonts w:ascii="Times New Roman" w:hAnsi="Times New Roman" w:cs="Times New Roman"/>
          <w:sz w:val="25"/>
          <w:szCs w:val="25"/>
        </w:rPr>
        <w:t xml:space="preserve"> </w:t>
      </w:r>
      <w:r w:rsidRPr="00AA4686">
        <w:rPr>
          <w:rFonts w:ascii="Times New Roman" w:hAnsi="Times New Roman" w:cs="Times New Roman"/>
          <w:sz w:val="25"/>
          <w:szCs w:val="25"/>
        </w:rPr>
        <w:t>TRANSPORTATION COMMISSION</w:t>
      </w:r>
    </w:p>
    <w:p w:rsidR="00CA27A9" w:rsidRPr="00AA4686" w:rsidRDefault="00CA27A9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7A9" w:rsidRDefault="00CA27A9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7688C" w:rsidRPr="00AA4686" w:rsidRDefault="00E7688C" w:rsidP="004F30A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7A9" w:rsidRPr="00AA4686" w:rsidRDefault="00CA27A9" w:rsidP="004F30A9">
      <w:pPr>
        <w:spacing w:line="264" w:lineRule="auto"/>
        <w:ind w:firstLine="4320"/>
        <w:rPr>
          <w:rFonts w:ascii="Times New Roman" w:hAnsi="Times New Roman"/>
          <w:sz w:val="25"/>
          <w:szCs w:val="25"/>
        </w:rPr>
      </w:pPr>
      <w:r w:rsidRPr="00AA4686">
        <w:rPr>
          <w:rFonts w:ascii="Times New Roman" w:hAnsi="Times New Roman"/>
          <w:sz w:val="25"/>
          <w:szCs w:val="25"/>
        </w:rPr>
        <w:t>DAVID W. DANNER</w:t>
      </w:r>
    </w:p>
    <w:p w:rsidR="00270548" w:rsidRPr="00AA4686" w:rsidRDefault="00CA27A9" w:rsidP="004F30A9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A4686"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270548" w:rsidRPr="00AA4686" w:rsidSect="008F0CA9"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2160" w:header="1440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02" w:rsidRDefault="00F56E02">
      <w:r>
        <w:separator/>
      </w:r>
    </w:p>
  </w:endnote>
  <w:endnote w:type="continuationSeparator" w:id="0">
    <w:p w:rsidR="00F56E02" w:rsidRDefault="00F5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02" w:rsidRDefault="00F56E02">
      <w:r>
        <w:separator/>
      </w:r>
    </w:p>
  </w:footnote>
  <w:footnote w:type="continuationSeparator" w:id="0">
    <w:p w:rsidR="00F56E02" w:rsidRDefault="00F56E02">
      <w:r>
        <w:continuationSeparator/>
      </w:r>
    </w:p>
  </w:footnote>
  <w:footnote w:id="1">
    <w:p w:rsidR="00E84C29" w:rsidRDefault="00E84C29">
      <w:pPr>
        <w:pStyle w:val="FootnoteText"/>
        <w:rPr>
          <w:rFonts w:ascii="Times New Roman" w:hAnsi="Times New Roman"/>
          <w:sz w:val="22"/>
          <w:szCs w:val="22"/>
        </w:rPr>
      </w:pPr>
      <w:r w:rsidRPr="00C54DAE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C54DAE">
        <w:rPr>
          <w:rFonts w:ascii="Times New Roman" w:hAnsi="Times New Roman"/>
          <w:sz w:val="22"/>
          <w:szCs w:val="22"/>
        </w:rPr>
        <w:t xml:space="preserve"> WAC 480-15-330(2).</w:t>
      </w:r>
    </w:p>
    <w:p w:rsidR="008F0CA9" w:rsidRPr="00C54DAE" w:rsidRDefault="008F0CA9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2">
    <w:p w:rsidR="00E84C29" w:rsidRDefault="00E84C29">
      <w:pPr>
        <w:pStyle w:val="FootnoteText"/>
        <w:rPr>
          <w:rFonts w:ascii="Times New Roman" w:hAnsi="Times New Roman"/>
          <w:sz w:val="22"/>
          <w:szCs w:val="22"/>
        </w:rPr>
      </w:pPr>
      <w:r w:rsidRPr="00C54DAE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C54DAE">
        <w:rPr>
          <w:rFonts w:ascii="Times New Roman" w:hAnsi="Times New Roman"/>
          <w:sz w:val="22"/>
          <w:szCs w:val="22"/>
        </w:rPr>
        <w:t xml:space="preserve"> WAC 480-15-330(4)(b).</w:t>
      </w:r>
    </w:p>
    <w:p w:rsidR="008F0CA9" w:rsidRPr="00C54DAE" w:rsidRDefault="008F0CA9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3">
    <w:p w:rsidR="00E84C29" w:rsidRDefault="00E84C29">
      <w:pPr>
        <w:pStyle w:val="FootnoteText"/>
        <w:rPr>
          <w:rFonts w:ascii="Times New Roman" w:hAnsi="Times New Roman"/>
          <w:sz w:val="22"/>
          <w:szCs w:val="22"/>
        </w:rPr>
      </w:pPr>
      <w:r w:rsidRPr="00C54DAE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C54DA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C54DAE">
        <w:rPr>
          <w:rFonts w:ascii="Times New Roman" w:hAnsi="Times New Roman"/>
          <w:sz w:val="22"/>
          <w:szCs w:val="22"/>
        </w:rPr>
        <w:t>WAC 480-15-330(4)(g).</w:t>
      </w:r>
    </w:p>
    <w:p w:rsidR="008F0CA9" w:rsidRPr="00E7688C" w:rsidRDefault="008F0CA9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4">
    <w:p w:rsidR="00E84C29" w:rsidRDefault="00E84C29" w:rsidP="001C5E99">
      <w:pPr>
        <w:pStyle w:val="FootnoteText"/>
        <w:rPr>
          <w:rFonts w:ascii="Times New Roman" w:hAnsi="Times New Roman"/>
          <w:sz w:val="22"/>
          <w:szCs w:val="22"/>
        </w:rPr>
      </w:pPr>
      <w:r w:rsidRPr="00C54DAE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C54DA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8F0CA9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C54DAE">
        <w:rPr>
          <w:rFonts w:ascii="Times New Roman" w:hAnsi="Times New Roman"/>
          <w:sz w:val="22"/>
          <w:szCs w:val="22"/>
        </w:rPr>
        <w:t>WAC 480-15-350.</w:t>
      </w:r>
    </w:p>
    <w:p w:rsidR="008F0CA9" w:rsidRPr="00C54DAE" w:rsidRDefault="008F0CA9" w:rsidP="001C5E99">
      <w:pPr>
        <w:pStyle w:val="FootnoteText"/>
        <w:rPr>
          <w:rFonts w:ascii="Times New Roman" w:hAnsi="Times New Roman"/>
          <w:sz w:val="22"/>
          <w:szCs w:val="22"/>
        </w:rPr>
      </w:pPr>
    </w:p>
    <w:p w:rsidR="00E84C29" w:rsidRPr="00C54DAE" w:rsidRDefault="00E84C29" w:rsidP="001C5E99">
      <w:pPr>
        <w:pStyle w:val="FootnoteText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29" w:rsidRPr="008F0CA9" w:rsidRDefault="00E84C29">
    <w:pPr>
      <w:pStyle w:val="Header"/>
      <w:rPr>
        <w:rFonts w:ascii="Times New Roman" w:hAnsi="Times New Roman"/>
        <w:b/>
        <w:szCs w:val="20"/>
      </w:rPr>
    </w:pPr>
    <w:r w:rsidRPr="008F0CA9">
      <w:rPr>
        <w:rFonts w:ascii="Times New Roman" w:hAnsi="Times New Roman"/>
        <w:b/>
        <w:szCs w:val="20"/>
      </w:rPr>
      <w:t>DOCKET TV-120766</w:t>
    </w:r>
    <w:r w:rsidRPr="008F0CA9">
      <w:rPr>
        <w:rFonts w:ascii="Times New Roman" w:hAnsi="Times New Roman"/>
        <w:b/>
        <w:szCs w:val="20"/>
      </w:rPr>
      <w:tab/>
    </w:r>
    <w:r w:rsidR="0077412B" w:rsidRPr="008F0CA9">
      <w:rPr>
        <w:rFonts w:ascii="Times New Roman" w:hAnsi="Times New Roman"/>
        <w:b/>
        <w:szCs w:val="20"/>
      </w:rPr>
      <w:tab/>
    </w:r>
    <w:r w:rsidRPr="008F0CA9">
      <w:rPr>
        <w:rFonts w:ascii="Times New Roman" w:hAnsi="Times New Roman"/>
        <w:b/>
        <w:szCs w:val="20"/>
      </w:rPr>
      <w:t xml:space="preserve">PAGE </w:t>
    </w:r>
    <w:r w:rsidR="00C80D20" w:rsidRPr="008F0CA9">
      <w:rPr>
        <w:rFonts w:ascii="Times New Roman" w:hAnsi="Times New Roman"/>
        <w:b/>
        <w:szCs w:val="20"/>
      </w:rPr>
      <w:fldChar w:fldCharType="begin"/>
    </w:r>
    <w:r w:rsidRPr="008F0CA9">
      <w:rPr>
        <w:rFonts w:ascii="Times New Roman" w:hAnsi="Times New Roman"/>
        <w:b/>
        <w:szCs w:val="20"/>
      </w:rPr>
      <w:instrText xml:space="preserve"> PAGE   \* MERGEFORMAT </w:instrText>
    </w:r>
    <w:r w:rsidR="00C80D20" w:rsidRPr="008F0CA9">
      <w:rPr>
        <w:rFonts w:ascii="Times New Roman" w:hAnsi="Times New Roman"/>
        <w:b/>
        <w:szCs w:val="20"/>
      </w:rPr>
      <w:fldChar w:fldCharType="separate"/>
    </w:r>
    <w:r w:rsidR="00CD7F3D">
      <w:rPr>
        <w:rFonts w:ascii="Times New Roman" w:hAnsi="Times New Roman"/>
        <w:b/>
        <w:noProof/>
        <w:szCs w:val="20"/>
      </w:rPr>
      <w:t>2</w:t>
    </w:r>
    <w:r w:rsidR="00C80D20" w:rsidRPr="008F0CA9">
      <w:rPr>
        <w:rFonts w:ascii="Times New Roman" w:hAnsi="Times New Roman"/>
        <w:b/>
        <w:szCs w:val="20"/>
      </w:rPr>
      <w:fldChar w:fldCharType="end"/>
    </w:r>
  </w:p>
  <w:p w:rsidR="00E84C29" w:rsidRPr="008F0CA9" w:rsidRDefault="00E84C29">
    <w:pPr>
      <w:pStyle w:val="Header"/>
      <w:rPr>
        <w:rFonts w:ascii="Times New Roman" w:hAnsi="Times New Roman"/>
        <w:b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29" w:rsidRPr="002D12AD" w:rsidRDefault="00E84C29">
    <w:pPr>
      <w:pStyle w:val="Header"/>
      <w:rPr>
        <w:rFonts w:ascii="Times New Roman" w:hAnsi="Times New Roman"/>
        <w:b/>
      </w:rPr>
    </w:pPr>
    <w:r>
      <w:tab/>
    </w:r>
    <w:r>
      <w:tab/>
    </w:r>
    <w:r w:rsidR="002D12AD" w:rsidRPr="002D12AD">
      <w:rPr>
        <w:rFonts w:ascii="Times New Roman" w:hAnsi="Times New Roman"/>
        <w:b/>
      </w:rPr>
      <w:t>[Service Date July 19,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1DC81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6480" w:hanging="720"/>
      </w:pPr>
    </w:lvl>
  </w:abstractNum>
  <w:abstractNum w:abstractNumId="1">
    <w:nsid w:val="0B770E62"/>
    <w:multiLevelType w:val="hybridMultilevel"/>
    <w:tmpl w:val="10D2BABC"/>
    <w:lvl w:ilvl="0" w:tplc="9E2EBFFE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b w:val="0"/>
        <w:i/>
        <w:sz w:val="20"/>
        <w:szCs w:val="2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B5F8E"/>
    <w:multiLevelType w:val="hybridMultilevel"/>
    <w:tmpl w:val="AF40ABDE"/>
    <w:lvl w:ilvl="0" w:tplc="72CA2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D4B0BA1"/>
    <w:multiLevelType w:val="hybridMultilevel"/>
    <w:tmpl w:val="4E0E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623A0"/>
    <w:multiLevelType w:val="hybridMultilevel"/>
    <w:tmpl w:val="D30A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74542"/>
    <w:multiLevelType w:val="hybridMultilevel"/>
    <w:tmpl w:val="6D82B16A"/>
    <w:lvl w:ilvl="0" w:tplc="548E24D2">
      <w:start w:val="1"/>
      <w:numFmt w:val="decimal"/>
      <w:lvlText w:val="%1"/>
      <w:lvlJc w:val="left"/>
      <w:pPr>
        <w:tabs>
          <w:tab w:val="num" w:pos="-1440"/>
        </w:tabs>
        <w:ind w:left="-144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84E128D"/>
    <w:multiLevelType w:val="hybridMultilevel"/>
    <w:tmpl w:val="BF780B9E"/>
    <w:lvl w:ilvl="0" w:tplc="D152C64E">
      <w:start w:val="1"/>
      <w:numFmt w:val="decimal"/>
      <w:lvlText w:val="%1"/>
      <w:lvlJc w:val="left"/>
      <w:pPr>
        <w:ind w:left="72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A8"/>
    <w:rsid w:val="0001155B"/>
    <w:rsid w:val="00016FB0"/>
    <w:rsid w:val="000344F5"/>
    <w:rsid w:val="00040AC2"/>
    <w:rsid w:val="00070CBC"/>
    <w:rsid w:val="000859DD"/>
    <w:rsid w:val="000904EB"/>
    <w:rsid w:val="000A1805"/>
    <w:rsid w:val="000B5201"/>
    <w:rsid w:val="000B6661"/>
    <w:rsid w:val="000C2783"/>
    <w:rsid w:val="000C3D2C"/>
    <w:rsid w:val="000E02C2"/>
    <w:rsid w:val="000E6C15"/>
    <w:rsid w:val="000F3BC5"/>
    <w:rsid w:val="000F4FBB"/>
    <w:rsid w:val="00120B70"/>
    <w:rsid w:val="00123C01"/>
    <w:rsid w:val="0012683B"/>
    <w:rsid w:val="00145CFF"/>
    <w:rsid w:val="00160FAD"/>
    <w:rsid w:val="00180E31"/>
    <w:rsid w:val="00186E52"/>
    <w:rsid w:val="0019723A"/>
    <w:rsid w:val="001B6FDC"/>
    <w:rsid w:val="001C5E99"/>
    <w:rsid w:val="001C6597"/>
    <w:rsid w:val="001E2527"/>
    <w:rsid w:val="001F5391"/>
    <w:rsid w:val="001F667B"/>
    <w:rsid w:val="001F7A23"/>
    <w:rsid w:val="00205818"/>
    <w:rsid w:val="00214167"/>
    <w:rsid w:val="00215BD9"/>
    <w:rsid w:val="00225993"/>
    <w:rsid w:val="00234A16"/>
    <w:rsid w:val="0024228D"/>
    <w:rsid w:val="00270548"/>
    <w:rsid w:val="0027472F"/>
    <w:rsid w:val="00276F84"/>
    <w:rsid w:val="002810D1"/>
    <w:rsid w:val="00281B01"/>
    <w:rsid w:val="00282A6F"/>
    <w:rsid w:val="00285854"/>
    <w:rsid w:val="0029198B"/>
    <w:rsid w:val="00295A9F"/>
    <w:rsid w:val="002B15DE"/>
    <w:rsid w:val="002B777A"/>
    <w:rsid w:val="002C3E2D"/>
    <w:rsid w:val="002D12AD"/>
    <w:rsid w:val="002D4499"/>
    <w:rsid w:val="002D5F19"/>
    <w:rsid w:val="002E1E45"/>
    <w:rsid w:val="002F32E0"/>
    <w:rsid w:val="00302F3C"/>
    <w:rsid w:val="00312A30"/>
    <w:rsid w:val="0031366B"/>
    <w:rsid w:val="00314D3F"/>
    <w:rsid w:val="00317F0D"/>
    <w:rsid w:val="0032640B"/>
    <w:rsid w:val="0033325D"/>
    <w:rsid w:val="003509EB"/>
    <w:rsid w:val="0035146B"/>
    <w:rsid w:val="003520DB"/>
    <w:rsid w:val="0036325D"/>
    <w:rsid w:val="003741B8"/>
    <w:rsid w:val="0038129E"/>
    <w:rsid w:val="00384CEA"/>
    <w:rsid w:val="003867EF"/>
    <w:rsid w:val="00387301"/>
    <w:rsid w:val="003958DA"/>
    <w:rsid w:val="003A3CED"/>
    <w:rsid w:val="003A6A99"/>
    <w:rsid w:val="003B5991"/>
    <w:rsid w:val="003B7512"/>
    <w:rsid w:val="003B75F8"/>
    <w:rsid w:val="003C0917"/>
    <w:rsid w:val="003D21E3"/>
    <w:rsid w:val="003E225A"/>
    <w:rsid w:val="003E241F"/>
    <w:rsid w:val="003E6EB6"/>
    <w:rsid w:val="003F0074"/>
    <w:rsid w:val="003F626B"/>
    <w:rsid w:val="00403E5F"/>
    <w:rsid w:val="0040493A"/>
    <w:rsid w:val="00413C10"/>
    <w:rsid w:val="004339D2"/>
    <w:rsid w:val="00445C80"/>
    <w:rsid w:val="004502CF"/>
    <w:rsid w:val="00450D8A"/>
    <w:rsid w:val="004629E0"/>
    <w:rsid w:val="0046429F"/>
    <w:rsid w:val="00465788"/>
    <w:rsid w:val="00482A83"/>
    <w:rsid w:val="00486EE5"/>
    <w:rsid w:val="00490849"/>
    <w:rsid w:val="004A150D"/>
    <w:rsid w:val="004B0357"/>
    <w:rsid w:val="004B32E3"/>
    <w:rsid w:val="004D2C8E"/>
    <w:rsid w:val="004D5C1B"/>
    <w:rsid w:val="004E1E51"/>
    <w:rsid w:val="004E357A"/>
    <w:rsid w:val="004E4484"/>
    <w:rsid w:val="004E7B0B"/>
    <w:rsid w:val="004F1D01"/>
    <w:rsid w:val="004F30A9"/>
    <w:rsid w:val="004F4838"/>
    <w:rsid w:val="005002D3"/>
    <w:rsid w:val="00517DA3"/>
    <w:rsid w:val="0052464A"/>
    <w:rsid w:val="0052604D"/>
    <w:rsid w:val="00531577"/>
    <w:rsid w:val="005361E1"/>
    <w:rsid w:val="00556348"/>
    <w:rsid w:val="005617F9"/>
    <w:rsid w:val="00564E84"/>
    <w:rsid w:val="00573ACA"/>
    <w:rsid w:val="00590BDD"/>
    <w:rsid w:val="005A7927"/>
    <w:rsid w:val="005B07EF"/>
    <w:rsid w:val="005C21E0"/>
    <w:rsid w:val="005C5116"/>
    <w:rsid w:val="005D45A7"/>
    <w:rsid w:val="005E1639"/>
    <w:rsid w:val="00602039"/>
    <w:rsid w:val="00620343"/>
    <w:rsid w:val="006360DF"/>
    <w:rsid w:val="006412A2"/>
    <w:rsid w:val="00642899"/>
    <w:rsid w:val="006600D3"/>
    <w:rsid w:val="0066473C"/>
    <w:rsid w:val="0069072A"/>
    <w:rsid w:val="006944A8"/>
    <w:rsid w:val="006A0790"/>
    <w:rsid w:val="006A2635"/>
    <w:rsid w:val="006A710C"/>
    <w:rsid w:val="006B62B4"/>
    <w:rsid w:val="006C4ECC"/>
    <w:rsid w:val="006E0275"/>
    <w:rsid w:val="006E3532"/>
    <w:rsid w:val="006E3B4B"/>
    <w:rsid w:val="006F1C68"/>
    <w:rsid w:val="00711111"/>
    <w:rsid w:val="00721BF4"/>
    <w:rsid w:val="00736A58"/>
    <w:rsid w:val="00746FD4"/>
    <w:rsid w:val="00750B0F"/>
    <w:rsid w:val="00761FD6"/>
    <w:rsid w:val="00762EB4"/>
    <w:rsid w:val="0077395E"/>
    <w:rsid w:val="00773C5F"/>
    <w:rsid w:val="0077412B"/>
    <w:rsid w:val="00777853"/>
    <w:rsid w:val="00786C51"/>
    <w:rsid w:val="00786D7C"/>
    <w:rsid w:val="007870CF"/>
    <w:rsid w:val="007917DF"/>
    <w:rsid w:val="007D7E9C"/>
    <w:rsid w:val="007E4514"/>
    <w:rsid w:val="007F7DA1"/>
    <w:rsid w:val="00833B3B"/>
    <w:rsid w:val="00847814"/>
    <w:rsid w:val="00857AA5"/>
    <w:rsid w:val="00865AB6"/>
    <w:rsid w:val="00872880"/>
    <w:rsid w:val="008A2F73"/>
    <w:rsid w:val="008A6103"/>
    <w:rsid w:val="008D3CCE"/>
    <w:rsid w:val="008E0A4E"/>
    <w:rsid w:val="008E4C63"/>
    <w:rsid w:val="008F03E8"/>
    <w:rsid w:val="008F0CA9"/>
    <w:rsid w:val="00910666"/>
    <w:rsid w:val="0092235C"/>
    <w:rsid w:val="00922F46"/>
    <w:rsid w:val="0092361D"/>
    <w:rsid w:val="00941A1F"/>
    <w:rsid w:val="00944741"/>
    <w:rsid w:val="009454D0"/>
    <w:rsid w:val="00954802"/>
    <w:rsid w:val="0096063C"/>
    <w:rsid w:val="00973DDD"/>
    <w:rsid w:val="00981D14"/>
    <w:rsid w:val="009A0481"/>
    <w:rsid w:val="009A0751"/>
    <w:rsid w:val="009A09EE"/>
    <w:rsid w:val="009A4FC6"/>
    <w:rsid w:val="009A69EF"/>
    <w:rsid w:val="009C2FC3"/>
    <w:rsid w:val="009E529C"/>
    <w:rsid w:val="009E6286"/>
    <w:rsid w:val="009F2BA4"/>
    <w:rsid w:val="009F3BE6"/>
    <w:rsid w:val="00A03B5C"/>
    <w:rsid w:val="00A15BD7"/>
    <w:rsid w:val="00A251D8"/>
    <w:rsid w:val="00A25246"/>
    <w:rsid w:val="00A373DA"/>
    <w:rsid w:val="00A42041"/>
    <w:rsid w:val="00A478B3"/>
    <w:rsid w:val="00A52657"/>
    <w:rsid w:val="00A54C09"/>
    <w:rsid w:val="00A60F8F"/>
    <w:rsid w:val="00A734E9"/>
    <w:rsid w:val="00A740F8"/>
    <w:rsid w:val="00A767DE"/>
    <w:rsid w:val="00A84789"/>
    <w:rsid w:val="00A9059D"/>
    <w:rsid w:val="00AA4686"/>
    <w:rsid w:val="00AA46A3"/>
    <w:rsid w:val="00AB5775"/>
    <w:rsid w:val="00AC64DD"/>
    <w:rsid w:val="00AD78C1"/>
    <w:rsid w:val="00AE2595"/>
    <w:rsid w:val="00AF1861"/>
    <w:rsid w:val="00B0185F"/>
    <w:rsid w:val="00B156C0"/>
    <w:rsid w:val="00B1604C"/>
    <w:rsid w:val="00B33329"/>
    <w:rsid w:val="00B5570E"/>
    <w:rsid w:val="00B642D6"/>
    <w:rsid w:val="00B71786"/>
    <w:rsid w:val="00B772FB"/>
    <w:rsid w:val="00B82193"/>
    <w:rsid w:val="00B8333A"/>
    <w:rsid w:val="00B90033"/>
    <w:rsid w:val="00BA097F"/>
    <w:rsid w:val="00BA7984"/>
    <w:rsid w:val="00BB24A0"/>
    <w:rsid w:val="00BC20E5"/>
    <w:rsid w:val="00BD1589"/>
    <w:rsid w:val="00BD50FC"/>
    <w:rsid w:val="00BF1DE2"/>
    <w:rsid w:val="00BF42B6"/>
    <w:rsid w:val="00C03551"/>
    <w:rsid w:val="00C16834"/>
    <w:rsid w:val="00C35EBD"/>
    <w:rsid w:val="00C4387F"/>
    <w:rsid w:val="00C54DAE"/>
    <w:rsid w:val="00C725F7"/>
    <w:rsid w:val="00C75E9E"/>
    <w:rsid w:val="00C779FC"/>
    <w:rsid w:val="00C80D20"/>
    <w:rsid w:val="00CA27A9"/>
    <w:rsid w:val="00CA2BB5"/>
    <w:rsid w:val="00CD7F3D"/>
    <w:rsid w:val="00CE3A88"/>
    <w:rsid w:val="00CF33E4"/>
    <w:rsid w:val="00CF3785"/>
    <w:rsid w:val="00CF6445"/>
    <w:rsid w:val="00CF74FE"/>
    <w:rsid w:val="00D03715"/>
    <w:rsid w:val="00D13422"/>
    <w:rsid w:val="00D151AC"/>
    <w:rsid w:val="00D21195"/>
    <w:rsid w:val="00D2187C"/>
    <w:rsid w:val="00D26F69"/>
    <w:rsid w:val="00D2784B"/>
    <w:rsid w:val="00D27D6E"/>
    <w:rsid w:val="00D323CF"/>
    <w:rsid w:val="00D33890"/>
    <w:rsid w:val="00D44AED"/>
    <w:rsid w:val="00D53DF9"/>
    <w:rsid w:val="00D746B2"/>
    <w:rsid w:val="00D801F5"/>
    <w:rsid w:val="00D94CDE"/>
    <w:rsid w:val="00DA0BAF"/>
    <w:rsid w:val="00DA7E17"/>
    <w:rsid w:val="00DB2AFC"/>
    <w:rsid w:val="00DC1353"/>
    <w:rsid w:val="00DC3160"/>
    <w:rsid w:val="00DD0507"/>
    <w:rsid w:val="00DD7027"/>
    <w:rsid w:val="00DF061D"/>
    <w:rsid w:val="00DF1B85"/>
    <w:rsid w:val="00DF580B"/>
    <w:rsid w:val="00DF5D9E"/>
    <w:rsid w:val="00E000D7"/>
    <w:rsid w:val="00E00F26"/>
    <w:rsid w:val="00E25368"/>
    <w:rsid w:val="00E34192"/>
    <w:rsid w:val="00E438E1"/>
    <w:rsid w:val="00E43E0B"/>
    <w:rsid w:val="00E50AAC"/>
    <w:rsid w:val="00E52F97"/>
    <w:rsid w:val="00E612C0"/>
    <w:rsid w:val="00E7688C"/>
    <w:rsid w:val="00E84C29"/>
    <w:rsid w:val="00E86B8A"/>
    <w:rsid w:val="00E97191"/>
    <w:rsid w:val="00EA4EAF"/>
    <w:rsid w:val="00EC1176"/>
    <w:rsid w:val="00EC7C58"/>
    <w:rsid w:val="00ED0334"/>
    <w:rsid w:val="00ED43D3"/>
    <w:rsid w:val="00EE6BE0"/>
    <w:rsid w:val="00EF0650"/>
    <w:rsid w:val="00F11659"/>
    <w:rsid w:val="00F13FF9"/>
    <w:rsid w:val="00F22D2D"/>
    <w:rsid w:val="00F262A0"/>
    <w:rsid w:val="00F271C1"/>
    <w:rsid w:val="00F349AC"/>
    <w:rsid w:val="00F40898"/>
    <w:rsid w:val="00F5528C"/>
    <w:rsid w:val="00F56E02"/>
    <w:rsid w:val="00F63D78"/>
    <w:rsid w:val="00F7789B"/>
    <w:rsid w:val="00F836DA"/>
    <w:rsid w:val="00FB257C"/>
    <w:rsid w:val="00FC41B5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9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uiPriority w:val="9"/>
    <w:qFormat/>
    <w:rsid w:val="003B5991"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uiPriority w:val="9"/>
    <w:qFormat/>
    <w:rsid w:val="003B5991"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1440" w:hanging="720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2160" w:hanging="720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2880" w:hanging="720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3600" w:hanging="720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6286"/>
    <w:pPr>
      <w:widowControl/>
      <w:tabs>
        <w:tab w:val="num" w:pos="4320"/>
      </w:tabs>
      <w:autoSpaceDE/>
      <w:autoSpaceDN/>
      <w:adjustRightInd/>
      <w:spacing w:before="240" w:line="240" w:lineRule="exact"/>
      <w:ind w:left="4320" w:hanging="720"/>
      <w:jc w:val="both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5040" w:hanging="720"/>
      <w:jc w:val="both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after="60" w:line="240" w:lineRule="exact"/>
      <w:ind w:left="6480" w:hanging="720"/>
      <w:jc w:val="both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3B5991"/>
  </w:style>
  <w:style w:type="paragraph" w:styleId="Header">
    <w:name w:val="header"/>
    <w:basedOn w:val="Normal"/>
    <w:link w:val="HeaderChar"/>
    <w:uiPriority w:val="99"/>
    <w:rsid w:val="003B5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9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129E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3812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1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80B"/>
    <w:pPr>
      <w:ind w:left="720"/>
    </w:pPr>
  </w:style>
  <w:style w:type="character" w:styleId="CommentReference">
    <w:name w:val="annotation reference"/>
    <w:rsid w:val="002747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72F"/>
    <w:rPr>
      <w:szCs w:val="20"/>
    </w:rPr>
  </w:style>
  <w:style w:type="character" w:customStyle="1" w:styleId="CommentTextChar">
    <w:name w:val="Comment Text Char"/>
    <w:link w:val="CommentText"/>
    <w:rsid w:val="0027472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7472F"/>
    <w:rPr>
      <w:b/>
      <w:bCs/>
    </w:rPr>
  </w:style>
  <w:style w:type="character" w:customStyle="1" w:styleId="CommentSubjectChar">
    <w:name w:val="Comment Subject Char"/>
    <w:link w:val="CommentSubject"/>
    <w:rsid w:val="0027472F"/>
    <w:rPr>
      <w:rFonts w:ascii="Courier" w:hAnsi="Courier"/>
      <w:b/>
      <w:bCs/>
    </w:rPr>
  </w:style>
  <w:style w:type="paragraph" w:styleId="FootnoteText">
    <w:name w:val="footnote text"/>
    <w:basedOn w:val="Normal"/>
    <w:link w:val="FootnoteTextChar"/>
    <w:uiPriority w:val="99"/>
    <w:rsid w:val="00E25368"/>
    <w:rPr>
      <w:szCs w:val="20"/>
    </w:rPr>
  </w:style>
  <w:style w:type="character" w:customStyle="1" w:styleId="FootnoteTextChar">
    <w:name w:val="Footnote Text Char"/>
    <w:link w:val="FootnoteText"/>
    <w:uiPriority w:val="99"/>
    <w:rsid w:val="00E25368"/>
    <w:rPr>
      <w:rFonts w:ascii="Courier" w:hAnsi="Courier"/>
    </w:rPr>
  </w:style>
  <w:style w:type="paragraph" w:customStyle="1" w:styleId="Default">
    <w:name w:val="Default"/>
    <w:rsid w:val="009454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3325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E6286"/>
    <w:rPr>
      <w:b/>
      <w:sz w:val="24"/>
    </w:rPr>
  </w:style>
  <w:style w:type="character" w:customStyle="1" w:styleId="Heading4Char">
    <w:name w:val="Heading 4 Char"/>
    <w:link w:val="Heading4"/>
    <w:uiPriority w:val="9"/>
    <w:rsid w:val="009E6286"/>
    <w:rPr>
      <w:b/>
      <w:sz w:val="24"/>
    </w:rPr>
  </w:style>
  <w:style w:type="character" w:customStyle="1" w:styleId="Heading5Char">
    <w:name w:val="Heading 5 Char"/>
    <w:link w:val="Heading5"/>
    <w:uiPriority w:val="9"/>
    <w:rsid w:val="009E6286"/>
    <w:rPr>
      <w:b/>
      <w:sz w:val="24"/>
    </w:rPr>
  </w:style>
  <w:style w:type="character" w:customStyle="1" w:styleId="Heading6Char">
    <w:name w:val="Heading 6 Char"/>
    <w:link w:val="Heading6"/>
    <w:uiPriority w:val="9"/>
    <w:rsid w:val="009E6286"/>
    <w:rPr>
      <w:b/>
      <w:sz w:val="24"/>
    </w:rPr>
  </w:style>
  <w:style w:type="character" w:customStyle="1" w:styleId="Heading7Char">
    <w:name w:val="Heading 7 Char"/>
    <w:link w:val="Heading7"/>
    <w:uiPriority w:val="9"/>
    <w:rsid w:val="009E6286"/>
    <w:rPr>
      <w:b/>
      <w:sz w:val="24"/>
    </w:rPr>
  </w:style>
  <w:style w:type="character" w:customStyle="1" w:styleId="Heading8Char">
    <w:name w:val="Heading 8 Char"/>
    <w:link w:val="Heading8"/>
    <w:uiPriority w:val="9"/>
    <w:rsid w:val="009E6286"/>
    <w:rPr>
      <w:b/>
      <w:sz w:val="24"/>
    </w:rPr>
  </w:style>
  <w:style w:type="character" w:customStyle="1" w:styleId="Heading9Char">
    <w:name w:val="Heading 9 Char"/>
    <w:link w:val="Heading9"/>
    <w:uiPriority w:val="9"/>
    <w:rsid w:val="009E6286"/>
    <w:rPr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9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uiPriority w:val="9"/>
    <w:qFormat/>
    <w:rsid w:val="003B5991"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uiPriority w:val="9"/>
    <w:qFormat/>
    <w:rsid w:val="003B5991"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1440" w:hanging="720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2160" w:hanging="720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2880" w:hanging="720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3600" w:hanging="720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6286"/>
    <w:pPr>
      <w:widowControl/>
      <w:tabs>
        <w:tab w:val="num" w:pos="4320"/>
      </w:tabs>
      <w:autoSpaceDE/>
      <w:autoSpaceDN/>
      <w:adjustRightInd/>
      <w:spacing w:before="240" w:line="240" w:lineRule="exact"/>
      <w:ind w:left="4320" w:hanging="720"/>
      <w:jc w:val="both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5040" w:hanging="720"/>
      <w:jc w:val="both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after="60" w:line="240" w:lineRule="exact"/>
      <w:ind w:left="6480" w:hanging="720"/>
      <w:jc w:val="both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3B5991"/>
  </w:style>
  <w:style w:type="paragraph" w:styleId="Header">
    <w:name w:val="header"/>
    <w:basedOn w:val="Normal"/>
    <w:link w:val="HeaderChar"/>
    <w:uiPriority w:val="99"/>
    <w:rsid w:val="003B5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9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129E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3812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1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80B"/>
    <w:pPr>
      <w:ind w:left="720"/>
    </w:pPr>
  </w:style>
  <w:style w:type="character" w:styleId="CommentReference">
    <w:name w:val="annotation reference"/>
    <w:rsid w:val="002747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72F"/>
    <w:rPr>
      <w:szCs w:val="20"/>
    </w:rPr>
  </w:style>
  <w:style w:type="character" w:customStyle="1" w:styleId="CommentTextChar">
    <w:name w:val="Comment Text Char"/>
    <w:link w:val="CommentText"/>
    <w:rsid w:val="0027472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7472F"/>
    <w:rPr>
      <w:b/>
      <w:bCs/>
    </w:rPr>
  </w:style>
  <w:style w:type="character" w:customStyle="1" w:styleId="CommentSubjectChar">
    <w:name w:val="Comment Subject Char"/>
    <w:link w:val="CommentSubject"/>
    <w:rsid w:val="0027472F"/>
    <w:rPr>
      <w:rFonts w:ascii="Courier" w:hAnsi="Courier"/>
      <w:b/>
      <w:bCs/>
    </w:rPr>
  </w:style>
  <w:style w:type="paragraph" w:styleId="FootnoteText">
    <w:name w:val="footnote text"/>
    <w:basedOn w:val="Normal"/>
    <w:link w:val="FootnoteTextChar"/>
    <w:uiPriority w:val="99"/>
    <w:rsid w:val="00E25368"/>
    <w:rPr>
      <w:szCs w:val="20"/>
    </w:rPr>
  </w:style>
  <w:style w:type="character" w:customStyle="1" w:styleId="FootnoteTextChar">
    <w:name w:val="Footnote Text Char"/>
    <w:link w:val="FootnoteText"/>
    <w:uiPriority w:val="99"/>
    <w:rsid w:val="00E25368"/>
    <w:rPr>
      <w:rFonts w:ascii="Courier" w:hAnsi="Courier"/>
    </w:rPr>
  </w:style>
  <w:style w:type="paragraph" w:customStyle="1" w:styleId="Default">
    <w:name w:val="Default"/>
    <w:rsid w:val="009454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3325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E6286"/>
    <w:rPr>
      <w:b/>
      <w:sz w:val="24"/>
    </w:rPr>
  </w:style>
  <w:style w:type="character" w:customStyle="1" w:styleId="Heading4Char">
    <w:name w:val="Heading 4 Char"/>
    <w:link w:val="Heading4"/>
    <w:uiPriority w:val="9"/>
    <w:rsid w:val="009E6286"/>
    <w:rPr>
      <w:b/>
      <w:sz w:val="24"/>
    </w:rPr>
  </w:style>
  <w:style w:type="character" w:customStyle="1" w:styleId="Heading5Char">
    <w:name w:val="Heading 5 Char"/>
    <w:link w:val="Heading5"/>
    <w:uiPriority w:val="9"/>
    <w:rsid w:val="009E6286"/>
    <w:rPr>
      <w:b/>
      <w:sz w:val="24"/>
    </w:rPr>
  </w:style>
  <w:style w:type="character" w:customStyle="1" w:styleId="Heading6Char">
    <w:name w:val="Heading 6 Char"/>
    <w:link w:val="Heading6"/>
    <w:uiPriority w:val="9"/>
    <w:rsid w:val="009E6286"/>
    <w:rPr>
      <w:b/>
      <w:sz w:val="24"/>
    </w:rPr>
  </w:style>
  <w:style w:type="character" w:customStyle="1" w:styleId="Heading7Char">
    <w:name w:val="Heading 7 Char"/>
    <w:link w:val="Heading7"/>
    <w:uiPriority w:val="9"/>
    <w:rsid w:val="009E6286"/>
    <w:rPr>
      <w:b/>
      <w:sz w:val="24"/>
    </w:rPr>
  </w:style>
  <w:style w:type="character" w:customStyle="1" w:styleId="Heading8Char">
    <w:name w:val="Heading 8 Char"/>
    <w:link w:val="Heading8"/>
    <w:uiPriority w:val="9"/>
    <w:rsid w:val="009E6286"/>
    <w:rPr>
      <w:b/>
      <w:sz w:val="24"/>
    </w:rPr>
  </w:style>
  <w:style w:type="character" w:customStyle="1" w:styleId="Heading9Char">
    <w:name w:val="Heading 9 Char"/>
    <w:link w:val="Heading9"/>
    <w:uiPriority w:val="9"/>
    <w:rsid w:val="009E6286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99362AD564849A23E776E4CCEEB32" ma:contentTypeVersion="139" ma:contentTypeDescription="" ma:contentTypeScope="" ma:versionID="72fc5a1c183dff60a9b9442b1ce118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2012-05-24T07:00:00+00:00</OpenedDate>
    <Date1 xmlns="dc463f71-b30c-4ab2-9473-d307f9d35888">2012-07-19T07:00:00+00:00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Oracle Marketing, DBA Oracle Marketing, Inc.</CaseCompanyNames>
    <DocketNumber xmlns="dc463f71-b30c-4ab2-9473-d307f9d35888">120766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56E6BC-CD36-40B3-9CE4-EDDD71B2CA4F}"/>
</file>

<file path=customXml/itemProps2.xml><?xml version="1.0" encoding="utf-8"?>
<ds:datastoreItem xmlns:ds="http://schemas.openxmlformats.org/officeDocument/2006/customXml" ds:itemID="{7F88BDDE-E8E8-40C6-8ADE-56BE9DF3F4DF}"/>
</file>

<file path=customXml/itemProps3.xml><?xml version="1.0" encoding="utf-8"?>
<ds:datastoreItem xmlns:ds="http://schemas.openxmlformats.org/officeDocument/2006/customXml" ds:itemID="{4CB2FB3B-494B-4B1F-9519-417D1F0F89F6}"/>
</file>

<file path=customXml/itemProps4.xml><?xml version="1.0" encoding="utf-8"?>
<ds:datastoreItem xmlns:ds="http://schemas.openxmlformats.org/officeDocument/2006/customXml" ds:itemID="{4D08AB82-153C-46C9-A050-16805616A2A7}"/>
</file>

<file path=customXml/itemProps5.xml><?xml version="1.0" encoding="utf-8"?>
<ds:datastoreItem xmlns:ds="http://schemas.openxmlformats.org/officeDocument/2006/customXml" ds:itemID="{D5E5668B-92F6-4C8E-A914-58A73D3BE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2012-07-18T20:47:00Z</dcterms:created>
  <dcterms:modified xsi:type="dcterms:W3CDTF">2012-07-19T15:33:00Z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0x0101006E56B4D1795A2E4DB2F0B01679ED314A00F4399362AD564849A23E776E4CCEEB32</vt:lpwstr>
  </property>
  <property fmtid="{D5CDD505-2E9C-101B-9397-08002B2CF9AE}" pid="3" name="_docset_NoMedatataSyncRequired">
    <vt:lpwstr>False</vt:lpwstr>
  </property>
</Properties>
</file>