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C5" w:rsidRDefault="00BD5131" w:rsidP="00BD5131">
      <w:pPr>
        <w:jc w:val="center"/>
        <w:rPr>
          <w:b/>
        </w:rPr>
      </w:pPr>
      <w:r>
        <w:rPr>
          <w:b/>
        </w:rPr>
        <w:t>NOTICE</w:t>
      </w:r>
    </w:p>
    <w:p w:rsidR="00BD5131" w:rsidRDefault="00EC7A35" w:rsidP="00BD5131">
      <w:pPr>
        <w:jc w:val="center"/>
        <w:rPr>
          <w:b/>
        </w:rPr>
      </w:pPr>
      <w:r>
        <w:rPr>
          <w:b/>
        </w:rPr>
        <w:t>PACIFIC POWER</w:t>
      </w:r>
    </w:p>
    <w:p w:rsidR="00BD5131" w:rsidRDefault="00BD5131" w:rsidP="00BD5131">
      <w:pPr>
        <w:jc w:val="center"/>
        <w:rPr>
          <w:b/>
        </w:rPr>
      </w:pPr>
    </w:p>
    <w:p w:rsidR="00BD5131" w:rsidRDefault="00BD5131" w:rsidP="00BD5131">
      <w:pPr>
        <w:jc w:val="center"/>
        <w:rPr>
          <w:b/>
        </w:rPr>
      </w:pPr>
    </w:p>
    <w:p w:rsidR="00BD5131" w:rsidRDefault="00BD5131" w:rsidP="00BD5131">
      <w:pPr>
        <w:jc w:val="center"/>
        <w:rPr>
          <w:b/>
        </w:rPr>
      </w:pPr>
    </w:p>
    <w:p w:rsidR="00BD5131" w:rsidRDefault="00BD5131" w:rsidP="00BD5131">
      <w:r>
        <w:t xml:space="preserve">Pursuant to Washington Law (including without limitation RCW 80.28.050 and -060) and the </w:t>
      </w:r>
      <w:r w:rsidR="0061054F">
        <w:t xml:space="preserve">Washington Utilities and Transportation </w:t>
      </w:r>
      <w:r>
        <w:t>Commission’s</w:t>
      </w:r>
      <w:r w:rsidR="0061054F">
        <w:t xml:space="preserve"> (the “Commission”)</w:t>
      </w:r>
      <w:r>
        <w:t xml:space="preserve"> Rules &amp; Regulations, Pacific Power has filed with the Commission </w:t>
      </w:r>
      <w:r w:rsidR="0061054F">
        <w:t xml:space="preserve">the </w:t>
      </w:r>
      <w:r>
        <w:t xml:space="preserve">original tariff schedules for electric service in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>.</w:t>
      </w:r>
    </w:p>
    <w:p w:rsidR="00BD5131" w:rsidRDefault="00BD5131" w:rsidP="00BD5131"/>
    <w:p w:rsidR="00BD5131" w:rsidRDefault="00BD5131" w:rsidP="00BD5131">
      <w:pPr>
        <w:rPr>
          <w:b/>
        </w:rPr>
      </w:pPr>
      <w:r>
        <w:rPr>
          <w:b/>
        </w:rPr>
        <w:t>Overview</w:t>
      </w:r>
    </w:p>
    <w:p w:rsidR="00BD5131" w:rsidRDefault="00BD5131" w:rsidP="00BD5131">
      <w:pPr>
        <w:rPr>
          <w:b/>
        </w:rPr>
      </w:pPr>
    </w:p>
    <w:p w:rsidR="00B47940" w:rsidRDefault="00B47940" w:rsidP="00B47940">
      <w:pPr>
        <w:pStyle w:val="Header"/>
        <w:tabs>
          <w:tab w:val="left" w:pos="3690"/>
          <w:tab w:val="left" w:pos="3960"/>
          <w:tab w:val="left" w:pos="5670"/>
          <w:tab w:val="left" w:pos="6030"/>
        </w:tabs>
      </w:pPr>
      <w:r>
        <w:t>The Washington Department of Revenue recently revised WAC 45</w:t>
      </w:r>
      <w:r w:rsidR="0010515D">
        <w:t>8</w:t>
      </w:r>
      <w:r>
        <w:t xml:space="preserve">-20-273, which contains rules regarding </w:t>
      </w:r>
      <w:r w:rsidR="00CA0514">
        <w:t xml:space="preserve">the </w:t>
      </w:r>
      <w:r>
        <w:t>Renewable Energy System Cost Recovery incentive program.</w:t>
      </w:r>
      <w:r>
        <w:rPr>
          <w:rStyle w:val="FootnoteReference"/>
        </w:rPr>
        <w:footnoteReference w:id="1"/>
      </w:r>
      <w:r>
        <w:t xml:space="preserve">  PacifiCorp participates in the incentive program. The Company’s Washington Schedule 135, Net Metering Services (Schedule 135) contains provisions gove</w:t>
      </w:r>
      <w:r w:rsidR="0007628E">
        <w:t>rning PacifiCorp’s participation</w:t>
      </w:r>
      <w:r>
        <w:t xml:space="preserve"> in the incentive program. PacifiCorp proposes to modify Schedule 135 to address relevant revisions to WAC 45</w:t>
      </w:r>
      <w:r w:rsidR="0010515D">
        <w:t>8</w:t>
      </w:r>
      <w:r>
        <w:t xml:space="preserve">-20-273.  PacifiCorp proposes the following tariff changes:  </w:t>
      </w:r>
    </w:p>
    <w:p w:rsidR="00B47940" w:rsidRDefault="00B47940" w:rsidP="00B47940">
      <w:pPr>
        <w:pStyle w:val="Header"/>
        <w:tabs>
          <w:tab w:val="left" w:pos="3690"/>
          <w:tab w:val="left" w:pos="3960"/>
          <w:tab w:val="left" w:pos="5670"/>
          <w:tab w:val="left" w:pos="6030"/>
        </w:tabs>
      </w:pPr>
    </w:p>
    <w:p w:rsidR="00B47940" w:rsidRDefault="00B47940" w:rsidP="00B47940">
      <w:pPr>
        <w:numPr>
          <w:ilvl w:val="0"/>
          <w:numId w:val="1"/>
        </w:numPr>
      </w:pPr>
      <w:r>
        <w:t>The annual limitation for incentive payments to one payee will increase from $2,000 to $5,000;</w:t>
      </w:r>
    </w:p>
    <w:p w:rsidR="00B47940" w:rsidRDefault="00B47940" w:rsidP="00B47940">
      <w:pPr>
        <w:numPr>
          <w:ilvl w:val="0"/>
          <w:numId w:val="1"/>
        </w:numPr>
      </w:pPr>
      <w:r>
        <w:t>New community solar projects will be eligible for the</w:t>
      </w:r>
      <w:r w:rsidR="0007628E">
        <w:t xml:space="preserve"> incentive payment program; and</w:t>
      </w:r>
    </w:p>
    <w:p w:rsidR="00B47940" w:rsidRPr="00667B86" w:rsidRDefault="00B47940" w:rsidP="00B47940">
      <w:pPr>
        <w:numPr>
          <w:ilvl w:val="0"/>
          <w:numId w:val="1"/>
        </w:numPr>
      </w:pPr>
      <w:r>
        <w:t xml:space="preserve">The formula </w:t>
      </w:r>
      <w:r w:rsidRPr="00667B86">
        <w:t>used to determine incentive payments for community solar projects</w:t>
      </w:r>
      <w:r>
        <w:t xml:space="preserve"> will be modified.</w:t>
      </w:r>
      <w:r w:rsidRPr="00667B86">
        <w:t xml:space="preserve"> </w:t>
      </w:r>
    </w:p>
    <w:p w:rsidR="00B47940" w:rsidRPr="00667B86" w:rsidRDefault="00B47940" w:rsidP="00B47940">
      <w:pPr>
        <w:ind w:left="720"/>
      </w:pPr>
    </w:p>
    <w:p w:rsidR="00B47940" w:rsidRDefault="00B47940" w:rsidP="00B47940">
      <w:r>
        <w:t>The purpose of this filing is to update Schedule 135 – Net Metering Service to incorporate these changes.</w:t>
      </w:r>
    </w:p>
    <w:p w:rsidR="004B2807" w:rsidRDefault="004B2807" w:rsidP="00BD5131"/>
    <w:p w:rsidR="00BD5131" w:rsidRDefault="00BD5131" w:rsidP="00BD5131">
      <w:r>
        <w:t xml:space="preserve">The </w:t>
      </w:r>
      <w:r w:rsidR="0061054F">
        <w:t>Commission will examine the C</w:t>
      </w:r>
      <w:r>
        <w:t>ompany’s proposed tariff sheets. As a result of such examination, the Commission may determine that any or all of said schedules should be accepted as filed, modified or rejected.</w:t>
      </w:r>
    </w:p>
    <w:p w:rsidR="00BD5131" w:rsidRDefault="00BD5131" w:rsidP="00BD5131"/>
    <w:p w:rsidR="00BD5131" w:rsidRDefault="004B2807" w:rsidP="00BD5131">
      <w:r>
        <w:t xml:space="preserve">DATED: </w:t>
      </w:r>
      <w:r w:rsidR="00B47940">
        <w:t>December</w:t>
      </w:r>
      <w:r>
        <w:t xml:space="preserve"> </w:t>
      </w:r>
      <w:r w:rsidR="00AE403F">
        <w:t>20</w:t>
      </w:r>
      <w:r>
        <w:t>, 2010</w:t>
      </w:r>
    </w:p>
    <w:p w:rsidR="00C944E2" w:rsidRDefault="00C944E2" w:rsidP="00BD5131">
      <w:r>
        <w:t>REVISED:  J</w:t>
      </w:r>
      <w:r w:rsidR="004D2637">
        <w:t>anuary</w:t>
      </w:r>
      <w:r w:rsidR="000A2979">
        <w:t xml:space="preserve"> 19</w:t>
      </w:r>
      <w:r>
        <w:t>, 2011</w:t>
      </w:r>
    </w:p>
    <w:p w:rsidR="00BD5131" w:rsidRDefault="00BD5131" w:rsidP="00BD5131"/>
    <w:p w:rsidR="00BD5131" w:rsidRDefault="00EC7A35" w:rsidP="00586CEC">
      <w:pPr>
        <w:ind w:left="2160" w:firstLine="720"/>
        <w:jc w:val="center"/>
      </w:pPr>
      <w:r>
        <w:t>PACIFIC POWER</w:t>
      </w:r>
    </w:p>
    <w:p w:rsidR="00BD5131" w:rsidRDefault="00BD5131" w:rsidP="00BD5131">
      <w:pPr>
        <w:jc w:val="right"/>
      </w:pPr>
    </w:p>
    <w:p w:rsidR="00BD5131" w:rsidRDefault="00BD5131" w:rsidP="00BD5131">
      <w:pPr>
        <w:jc w:val="right"/>
      </w:pPr>
    </w:p>
    <w:p w:rsidR="00BD5131" w:rsidRDefault="00BD5131" w:rsidP="00AD4DF8">
      <w:pPr>
        <w:tabs>
          <w:tab w:val="left" w:pos="5760"/>
        </w:tabs>
        <w:jc w:val="right"/>
      </w:pPr>
      <w:r>
        <w:t>By________________________________</w:t>
      </w:r>
    </w:p>
    <w:p w:rsidR="00BD5131" w:rsidRDefault="00BD5131" w:rsidP="00AD4DF8">
      <w:pPr>
        <w:tabs>
          <w:tab w:val="left" w:pos="5760"/>
        </w:tabs>
        <w:ind w:left="1440" w:firstLine="720"/>
      </w:pPr>
      <w:r>
        <w:t xml:space="preserve">                                            </w:t>
      </w:r>
      <w:r w:rsidR="00AD4DF8">
        <w:t xml:space="preserve">      </w:t>
      </w:r>
      <w:r w:rsidR="00AD4DF8">
        <w:tab/>
      </w:r>
      <w:r>
        <w:t>Andrea L. Kelly</w:t>
      </w:r>
    </w:p>
    <w:p w:rsidR="00BD5131" w:rsidRDefault="00BD5131" w:rsidP="00AD4DF8">
      <w:pPr>
        <w:tabs>
          <w:tab w:val="left" w:pos="5760"/>
        </w:tabs>
        <w:jc w:val="center"/>
      </w:pPr>
      <w:r>
        <w:t xml:space="preserve">                                                           </w:t>
      </w:r>
      <w:r w:rsidR="00AD4DF8">
        <w:t xml:space="preserve">                </w:t>
      </w:r>
      <w:r>
        <w:t>Vice President, Regulation</w:t>
      </w:r>
    </w:p>
    <w:p w:rsidR="00BD5131" w:rsidRDefault="00BD5131" w:rsidP="00AD4DF8">
      <w:pPr>
        <w:tabs>
          <w:tab w:val="left" w:pos="5760"/>
        </w:tabs>
        <w:jc w:val="center"/>
      </w:pPr>
      <w:r>
        <w:t xml:space="preserve">                                     </w:t>
      </w:r>
      <w:r w:rsidR="00AD4DF8">
        <w:t xml:space="preserve">      </w:t>
      </w:r>
      <w:r>
        <w:t xml:space="preserve"> </w:t>
      </w:r>
      <w:r w:rsidR="00AD4DF8">
        <w:t xml:space="preserve">           </w:t>
      </w:r>
      <w:r>
        <w:t>Pacific Power</w:t>
      </w:r>
    </w:p>
    <w:p w:rsidR="00BD5131" w:rsidRPr="00BD5131" w:rsidRDefault="00BD5131" w:rsidP="00BD5131">
      <w:pPr>
        <w:tabs>
          <w:tab w:val="left" w:pos="4860"/>
        </w:tabs>
        <w:jc w:val="right"/>
      </w:pPr>
    </w:p>
    <w:sectPr w:rsidR="00BD5131" w:rsidRPr="00BD5131" w:rsidSect="00AD4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256" w:rsidRDefault="000B6BAF">
      <w:r>
        <w:separator/>
      </w:r>
    </w:p>
  </w:endnote>
  <w:endnote w:type="continuationSeparator" w:id="0">
    <w:p w:rsidR="003F7256" w:rsidRDefault="000B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93" w:rsidRDefault="004510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93" w:rsidRDefault="004510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93" w:rsidRDefault="004510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256" w:rsidRDefault="000B6BAF">
      <w:r>
        <w:separator/>
      </w:r>
    </w:p>
  </w:footnote>
  <w:footnote w:type="continuationSeparator" w:id="0">
    <w:p w:rsidR="003F7256" w:rsidRDefault="000B6BAF">
      <w:r>
        <w:continuationSeparator/>
      </w:r>
    </w:p>
  </w:footnote>
  <w:footnote w:id="1">
    <w:p w:rsidR="00B47940" w:rsidRDefault="00B47940" w:rsidP="00B47940">
      <w:pPr>
        <w:pStyle w:val="FootnoteText"/>
      </w:pPr>
      <w:r>
        <w:rPr>
          <w:rStyle w:val="FootnoteReference"/>
        </w:rPr>
        <w:footnoteRef/>
      </w:r>
      <w:r>
        <w:t xml:space="preserve"> The revisions became effective September 5, 2010.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93" w:rsidRDefault="004510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28" w:rsidRDefault="00107328" w:rsidP="00BD5131">
    <w:pPr>
      <w:pStyle w:val="Header"/>
      <w:jc w:val="right"/>
    </w:pPr>
    <w:r>
      <w:t>Attachment 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93" w:rsidRDefault="004510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347E"/>
    <w:multiLevelType w:val="hybridMultilevel"/>
    <w:tmpl w:val="E3A4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AB16A9"/>
    <w:rsid w:val="0007628E"/>
    <w:rsid w:val="000853BC"/>
    <w:rsid w:val="000A2979"/>
    <w:rsid w:val="000A5DEF"/>
    <w:rsid w:val="000B6BAF"/>
    <w:rsid w:val="000C5C3E"/>
    <w:rsid w:val="00100820"/>
    <w:rsid w:val="0010515D"/>
    <w:rsid w:val="00106302"/>
    <w:rsid w:val="00107328"/>
    <w:rsid w:val="001308B5"/>
    <w:rsid w:val="00156C6E"/>
    <w:rsid w:val="00161541"/>
    <w:rsid w:val="001B4C29"/>
    <w:rsid w:val="001F2711"/>
    <w:rsid w:val="00203726"/>
    <w:rsid w:val="0026597B"/>
    <w:rsid w:val="003170DB"/>
    <w:rsid w:val="00356938"/>
    <w:rsid w:val="003A4C37"/>
    <w:rsid w:val="003F7256"/>
    <w:rsid w:val="00451093"/>
    <w:rsid w:val="004B2807"/>
    <w:rsid w:val="004D2637"/>
    <w:rsid w:val="00512550"/>
    <w:rsid w:val="00534C09"/>
    <w:rsid w:val="00573BC5"/>
    <w:rsid w:val="00586CEC"/>
    <w:rsid w:val="005C2A75"/>
    <w:rsid w:val="005D43CC"/>
    <w:rsid w:val="005D4A1F"/>
    <w:rsid w:val="005F1ACE"/>
    <w:rsid w:val="0061054F"/>
    <w:rsid w:val="00622945"/>
    <w:rsid w:val="006522B6"/>
    <w:rsid w:val="006852DA"/>
    <w:rsid w:val="006D4AF2"/>
    <w:rsid w:val="008119B8"/>
    <w:rsid w:val="008540D8"/>
    <w:rsid w:val="00890C90"/>
    <w:rsid w:val="008E496E"/>
    <w:rsid w:val="00925FAF"/>
    <w:rsid w:val="00966AF1"/>
    <w:rsid w:val="00980621"/>
    <w:rsid w:val="009A0555"/>
    <w:rsid w:val="00A35765"/>
    <w:rsid w:val="00AB16A9"/>
    <w:rsid w:val="00AD4DF8"/>
    <w:rsid w:val="00AE403F"/>
    <w:rsid w:val="00B00F70"/>
    <w:rsid w:val="00B22816"/>
    <w:rsid w:val="00B47940"/>
    <w:rsid w:val="00B76DE8"/>
    <w:rsid w:val="00B7798F"/>
    <w:rsid w:val="00BB1161"/>
    <w:rsid w:val="00BD5131"/>
    <w:rsid w:val="00BF31C3"/>
    <w:rsid w:val="00C83261"/>
    <w:rsid w:val="00C944E2"/>
    <w:rsid w:val="00CA0514"/>
    <w:rsid w:val="00CC26CF"/>
    <w:rsid w:val="00D076BF"/>
    <w:rsid w:val="00DE7F4E"/>
    <w:rsid w:val="00EC7A35"/>
    <w:rsid w:val="00F5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0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7940"/>
    <w:rPr>
      <w:rFonts w:ascii="Times" w:eastAsia="Times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7940"/>
    <w:rPr>
      <w:rFonts w:ascii="Times" w:eastAsia="Times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B479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3FA18CF30DA849991DAAB69EC31F17" ma:contentTypeVersion="131" ma:contentTypeDescription="" ma:contentTypeScope="" ma:versionID="58e043a3a4f8d02c2dd90c253f55cf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2010-12-20T08:00:00+00:00</OpenedDate>
    <Date1 xmlns="dc463f71-b30c-4ab2-9473-d307f9d35888">2011-01-19T08:00:00+00:00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102035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C83FC09-50A3-4FE1-91FC-76E73DE63618}"/>
</file>

<file path=customXml/itemProps2.xml><?xml version="1.0" encoding="utf-8"?>
<ds:datastoreItem xmlns:ds="http://schemas.openxmlformats.org/officeDocument/2006/customXml" ds:itemID="{9C62CB77-74ED-4492-8771-FC8E2FB208A4}"/>
</file>

<file path=customXml/itemProps3.xml><?xml version="1.0" encoding="utf-8"?>
<ds:datastoreItem xmlns:ds="http://schemas.openxmlformats.org/officeDocument/2006/customXml" ds:itemID="{B4CB9829-B0C4-44D8-8D1C-7043CCB5D345}"/>
</file>

<file path=customXml/itemProps4.xml><?xml version="1.0" encoding="utf-8"?>
<ds:datastoreItem xmlns:ds="http://schemas.openxmlformats.org/officeDocument/2006/customXml" ds:itemID="{9493D8B2-1418-4377-8C3B-DDC19AC3E4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2011-01-19T17:55:00Z</dcterms:created>
  <dcterms:modified xsi:type="dcterms:W3CDTF">2011-01-19T17:55:00Z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0x0101006E56B4D1795A2E4DB2F0B01679ED314A00CB3FA18CF30DA849991DAAB69EC31F17</vt:lpwstr>
  </property>
  <property fmtid="{D5CDD505-2E9C-101B-9397-08002B2CF9AE}" pid="4" name="_docset_NoMedatataSyncRequired">
    <vt:lpwstr>False</vt:lpwstr>
  </property>
</Properties>
</file>