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86" w:rsidRDefault="00DF6A86">
      <w:pPr>
        <w:pStyle w:val="BodyText"/>
        <w:rPr>
          <w:b/>
          <w:bCs/>
        </w:rPr>
      </w:pPr>
    </w:p>
    <w:p w:rsidR="00472152" w:rsidRPr="00456864" w:rsidRDefault="00472152">
      <w:pPr>
        <w:pStyle w:val="BodyText"/>
        <w:rPr>
          <w:b/>
          <w:bCs/>
        </w:rPr>
      </w:pPr>
      <w:r w:rsidRPr="00456864">
        <w:rPr>
          <w:b/>
          <w:bCs/>
        </w:rPr>
        <w:t>BEFORE THE WASHINGTON STATE</w:t>
      </w:r>
    </w:p>
    <w:p w:rsidR="00472152" w:rsidRPr="00456864" w:rsidRDefault="00472152">
      <w:pPr>
        <w:pStyle w:val="BodyText"/>
        <w:rPr>
          <w:b/>
          <w:bCs/>
        </w:rPr>
      </w:pPr>
      <w:r w:rsidRPr="00456864">
        <w:rPr>
          <w:b/>
          <w:bCs/>
        </w:rPr>
        <w:t xml:space="preserve">UTILITIES AND TRANSPORTATION </w:t>
      </w:r>
      <w:r w:rsidR="00CC1A9E">
        <w:rPr>
          <w:b/>
          <w:bCs/>
        </w:rPr>
        <w:t>COMMISSION</w:t>
      </w:r>
    </w:p>
    <w:p w:rsidR="00472152" w:rsidRDefault="00472152">
      <w:pPr>
        <w:jc w:val="center"/>
      </w:pPr>
    </w:p>
    <w:p w:rsidR="00DF6A86" w:rsidRPr="00456864" w:rsidRDefault="00DF6A86">
      <w:pPr>
        <w:jc w:val="center"/>
      </w:pPr>
    </w:p>
    <w:tbl>
      <w:tblPr>
        <w:tblW w:w="0" w:type="auto"/>
        <w:tblLook w:val="0000"/>
      </w:tblPr>
      <w:tblGrid>
        <w:gridCol w:w="3948"/>
        <w:gridCol w:w="600"/>
        <w:gridCol w:w="3948"/>
      </w:tblGrid>
      <w:tr w:rsidR="00472152" w:rsidRPr="00456864">
        <w:tblPrEx>
          <w:tblCellMar>
            <w:top w:w="0" w:type="dxa"/>
            <w:bottom w:w="0" w:type="dxa"/>
          </w:tblCellMar>
        </w:tblPrEx>
        <w:tc>
          <w:tcPr>
            <w:tcW w:w="3948" w:type="dxa"/>
          </w:tcPr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>In the Matter of the Petition of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A23D6B" w:rsidRPr="00456864" w:rsidRDefault="00080111">
            <w:pPr>
              <w:pStyle w:val="Header"/>
              <w:tabs>
                <w:tab w:val="clear" w:pos="4320"/>
                <w:tab w:val="clear" w:pos="8640"/>
              </w:tabs>
            </w:pPr>
            <w:r>
              <w:t>SAN JUAN EXPRESS, INC.</w:t>
            </w:r>
            <w:r w:rsidR="00472152" w:rsidRPr="00456864">
              <w:t>,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Pr="00456864" w:rsidRDefault="00472152" w:rsidP="00FE307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456864">
              <w:t>Petitioner,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Default="002A371A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 xml:space="preserve">Relating to </w:t>
            </w:r>
            <w:r w:rsidR="00472152" w:rsidRPr="00456864">
              <w:t>Discontinuance of Commercial Ferry Service</w:t>
            </w:r>
            <w:r w:rsidR="009C4E26" w:rsidRPr="00456864">
              <w:t xml:space="preserve"> Authorized by Certificate of Convenience and Necessity No. </w:t>
            </w:r>
            <w:r w:rsidR="00080111">
              <w:t>BC-117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 xml:space="preserve">. . . . . . . . . . . . . . . . . . . . . . . . . . . . . . . </w:t>
            </w:r>
          </w:p>
        </w:tc>
        <w:tc>
          <w:tcPr>
            <w:tcW w:w="600" w:type="dxa"/>
          </w:tcPr>
          <w:p w:rsidR="00D23896" w:rsidRPr="00456864" w:rsidRDefault="00EC2791" w:rsidP="00EC2791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D23896">
              <w:t>)</w:t>
            </w:r>
          </w:p>
        </w:tc>
        <w:tc>
          <w:tcPr>
            <w:tcW w:w="3948" w:type="dxa"/>
          </w:tcPr>
          <w:p w:rsidR="00472152" w:rsidRPr="00456864" w:rsidRDefault="00552716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>DOCKET</w:t>
            </w:r>
            <w:r w:rsidR="00472152" w:rsidRPr="00456864">
              <w:t xml:space="preserve"> </w:t>
            </w:r>
            <w:r w:rsidR="00080111">
              <w:t>TS-090424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Pr="00456864" w:rsidRDefault="00552716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>ORDER</w:t>
            </w:r>
            <w:r w:rsidR="00472152" w:rsidRPr="00456864">
              <w:t xml:space="preserve"> </w:t>
            </w:r>
            <w:r w:rsidR="00080111">
              <w:t>01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 xml:space="preserve">ORDER GRANTING TEMPORARY DISCONTINUANCE OF </w:t>
            </w:r>
          </w:p>
          <w:p w:rsidR="00472152" w:rsidRDefault="00472152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>SERVICE</w:t>
            </w:r>
            <w:r w:rsidR="00B46641">
              <w:t>; SETTING MATTER FOR HEARING</w:t>
            </w:r>
          </w:p>
          <w:p w:rsidR="00D23896" w:rsidRPr="00D23896" w:rsidRDefault="00D23896" w:rsidP="00EC279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:rsidR="00472152" w:rsidRDefault="00472152">
      <w:pPr>
        <w:jc w:val="center"/>
      </w:pPr>
    </w:p>
    <w:p w:rsidR="00DF6A86" w:rsidRPr="00456864" w:rsidRDefault="00DF6A86">
      <w:pPr>
        <w:jc w:val="center"/>
      </w:pPr>
    </w:p>
    <w:p w:rsidR="00472152" w:rsidRPr="00456864" w:rsidRDefault="00472152">
      <w:pPr>
        <w:pStyle w:val="Heading1"/>
      </w:pPr>
      <w:r w:rsidRPr="00456864">
        <w:t>BACKGROUND</w:t>
      </w:r>
    </w:p>
    <w:p w:rsidR="00472152" w:rsidRPr="00456864" w:rsidRDefault="00472152">
      <w:pPr>
        <w:jc w:val="center"/>
      </w:pPr>
    </w:p>
    <w:p w:rsidR="00FF1418" w:rsidRPr="00456864" w:rsidRDefault="00472152">
      <w:pPr>
        <w:numPr>
          <w:ilvl w:val="0"/>
          <w:numId w:val="1"/>
        </w:numPr>
        <w:spacing w:line="288" w:lineRule="auto"/>
      </w:pPr>
      <w:r w:rsidRPr="00456864">
        <w:t>On</w:t>
      </w:r>
      <w:r w:rsidR="004B3CCA" w:rsidRPr="00456864">
        <w:t xml:space="preserve"> </w:t>
      </w:r>
      <w:r w:rsidR="007A35C3">
        <w:t>March 23</w:t>
      </w:r>
      <w:r w:rsidR="00080111">
        <w:t>, 2009</w:t>
      </w:r>
      <w:r w:rsidRPr="00456864">
        <w:t xml:space="preserve">, </w:t>
      </w:r>
      <w:r w:rsidR="00080111">
        <w:t>San Juan Express, Inc.</w:t>
      </w:r>
      <w:r w:rsidR="004A7953">
        <w:t>,</w:t>
      </w:r>
      <w:r w:rsidRPr="00456864">
        <w:t xml:space="preserve"> (</w:t>
      </w:r>
      <w:r w:rsidR="00080111">
        <w:t>San Juan</w:t>
      </w:r>
      <w:r w:rsidR="00DC5729">
        <w:t xml:space="preserve"> or Company</w:t>
      </w:r>
      <w:r w:rsidRPr="00456864">
        <w:t xml:space="preserve">), </w:t>
      </w:r>
      <w:r w:rsidR="00EB4622">
        <w:t xml:space="preserve">which is </w:t>
      </w:r>
      <w:r w:rsidR="002D77A9">
        <w:t xml:space="preserve">authorized to provide service under certificate of public convenience and necessity </w:t>
      </w:r>
      <w:r w:rsidR="00080111">
        <w:t>BC-117</w:t>
      </w:r>
      <w:r w:rsidRPr="00456864">
        <w:t xml:space="preserve">, filed with the Washington Utilities and Transportation </w:t>
      </w:r>
      <w:r w:rsidR="00CC1A9E">
        <w:t>Commission</w:t>
      </w:r>
      <w:r w:rsidRPr="00456864">
        <w:t xml:space="preserve"> </w:t>
      </w:r>
      <w:r w:rsidR="001857F4" w:rsidRPr="00456864">
        <w:t>(</w:t>
      </w:r>
      <w:r w:rsidR="00CC1A9E">
        <w:t>Commission</w:t>
      </w:r>
      <w:r w:rsidR="001857F4" w:rsidRPr="00456864">
        <w:t xml:space="preserve">) </w:t>
      </w:r>
      <w:r w:rsidRPr="00456864">
        <w:t xml:space="preserve">a petition </w:t>
      </w:r>
      <w:r w:rsidR="00D23896">
        <w:t xml:space="preserve">in this docket </w:t>
      </w:r>
      <w:r w:rsidRPr="00456864">
        <w:t xml:space="preserve">requesting the </w:t>
      </w:r>
      <w:r w:rsidR="00CC1A9E">
        <w:t>Commission</w:t>
      </w:r>
      <w:r w:rsidRPr="00456864">
        <w:t xml:space="preserve"> </w:t>
      </w:r>
      <w:r w:rsidR="002A371A" w:rsidRPr="00456864">
        <w:t>grant a temporary discontinuance of</w:t>
      </w:r>
      <w:r w:rsidRPr="00456864">
        <w:t xml:space="preserve"> service.  </w:t>
      </w:r>
    </w:p>
    <w:p w:rsidR="00FF1418" w:rsidRPr="00456864" w:rsidRDefault="00FF1418" w:rsidP="00FF1418">
      <w:pPr>
        <w:spacing w:line="288" w:lineRule="auto"/>
      </w:pPr>
    </w:p>
    <w:p w:rsidR="00FF1418" w:rsidRPr="00456864" w:rsidRDefault="00080111">
      <w:pPr>
        <w:numPr>
          <w:ilvl w:val="0"/>
          <w:numId w:val="1"/>
        </w:numPr>
        <w:spacing w:line="288" w:lineRule="auto"/>
      </w:pPr>
      <w:r>
        <w:t>San Juan</w:t>
      </w:r>
      <w:r w:rsidR="007F56D5" w:rsidRPr="00456864">
        <w:t xml:space="preserve"> operates</w:t>
      </w:r>
      <w:r w:rsidR="00472152" w:rsidRPr="00456864">
        <w:t xml:space="preserve"> </w:t>
      </w:r>
      <w:r>
        <w:t>a seasonal passenger service</w:t>
      </w:r>
      <w:r w:rsidR="00472152" w:rsidRPr="00456864">
        <w:t xml:space="preserve"> from</w:t>
      </w:r>
      <w:r w:rsidR="004D1AC2" w:rsidRPr="00456864">
        <w:t xml:space="preserve"> </w:t>
      </w:r>
      <w:r>
        <w:t>May</w:t>
      </w:r>
      <w:r w:rsidR="00472152" w:rsidRPr="00456864">
        <w:t xml:space="preserve"> through </w:t>
      </w:r>
      <w:r>
        <w:t>September</w:t>
      </w:r>
      <w:r w:rsidR="00551664" w:rsidRPr="00456864">
        <w:t xml:space="preserve"> </w:t>
      </w:r>
      <w:r w:rsidR="007F56D5" w:rsidRPr="00456864">
        <w:t>providing</w:t>
      </w:r>
      <w:r>
        <w:t xml:space="preserve"> </w:t>
      </w:r>
      <w:r w:rsidR="00472152" w:rsidRPr="00456864">
        <w:t xml:space="preserve">commercial ferry service between </w:t>
      </w:r>
      <w:r>
        <w:t>Friday Harbor and Seattle, Washington</w:t>
      </w:r>
      <w:r w:rsidR="00472152" w:rsidRPr="00456864">
        <w:t>.</w:t>
      </w:r>
    </w:p>
    <w:p w:rsidR="00472152" w:rsidRPr="00456864" w:rsidRDefault="00472152" w:rsidP="00FF1418">
      <w:pPr>
        <w:spacing w:line="288" w:lineRule="auto"/>
      </w:pPr>
    </w:p>
    <w:p w:rsidR="00D23896" w:rsidRDefault="00080111" w:rsidP="00D23896">
      <w:pPr>
        <w:numPr>
          <w:ilvl w:val="0"/>
          <w:numId w:val="1"/>
        </w:numPr>
        <w:spacing w:line="288" w:lineRule="auto"/>
      </w:pPr>
      <w:r>
        <w:t>San Juan</w:t>
      </w:r>
      <w:r w:rsidR="00127023" w:rsidRPr="00456864">
        <w:t xml:space="preserve"> states in its petition </w:t>
      </w:r>
      <w:r w:rsidR="0021221C">
        <w:t xml:space="preserve">that it contracted its vessel to the U.S. Navy to transport Navy personnel from the Navy facility near Everett to the Puget Sound Naval Shipyard in Bremerton. </w:t>
      </w:r>
      <w:r w:rsidR="00247004">
        <w:t xml:space="preserve"> </w:t>
      </w:r>
      <w:r w:rsidR="0021221C">
        <w:t xml:space="preserve">As a result, the </w:t>
      </w:r>
      <w:r w:rsidR="00DC5729">
        <w:t>C</w:t>
      </w:r>
      <w:r w:rsidR="0021221C">
        <w:t>ompany does not have a vessel available to operate</w:t>
      </w:r>
      <w:r w:rsidR="00DC5729">
        <w:t xml:space="preserve"> its scheduled ferry service</w:t>
      </w:r>
      <w:r w:rsidR="0021221C">
        <w:t xml:space="preserve">. </w:t>
      </w:r>
    </w:p>
    <w:p w:rsidR="00472152" w:rsidRPr="00456864" w:rsidRDefault="00472152" w:rsidP="00D23896">
      <w:pPr>
        <w:spacing w:line="288" w:lineRule="auto"/>
      </w:pPr>
    </w:p>
    <w:p w:rsidR="00FF1418" w:rsidRPr="00456864" w:rsidRDefault="00080111">
      <w:pPr>
        <w:numPr>
          <w:ilvl w:val="0"/>
          <w:numId w:val="1"/>
        </w:numPr>
        <w:spacing w:line="288" w:lineRule="auto"/>
      </w:pPr>
      <w:r>
        <w:t>San Juan</w:t>
      </w:r>
      <w:r w:rsidR="004D1AC2" w:rsidRPr="00456864">
        <w:t xml:space="preserve"> </w:t>
      </w:r>
      <w:r w:rsidR="00472152" w:rsidRPr="00456864">
        <w:t>request</w:t>
      </w:r>
      <w:r w:rsidR="00247004">
        <w:t>ed</w:t>
      </w:r>
      <w:r w:rsidR="00472152" w:rsidRPr="00456864">
        <w:t xml:space="preserve"> that </w:t>
      </w:r>
      <w:r w:rsidR="002A371A" w:rsidRPr="00456864">
        <w:t xml:space="preserve">it be allowed to </w:t>
      </w:r>
      <w:r w:rsidR="00472152" w:rsidRPr="00456864">
        <w:t xml:space="preserve">temporarily discontinue service for a period </w:t>
      </w:r>
      <w:r w:rsidR="0021221C" w:rsidRPr="00456864">
        <w:t>of twelve</w:t>
      </w:r>
      <w:r w:rsidR="00472152" w:rsidRPr="00456864">
        <w:t xml:space="preserve"> months, </w:t>
      </w:r>
      <w:r w:rsidR="00E410D2" w:rsidRPr="00456864">
        <w:t xml:space="preserve">beginning </w:t>
      </w:r>
      <w:r>
        <w:t>May 22, 2009</w:t>
      </w:r>
      <w:r w:rsidR="00456864">
        <w:t>,</w:t>
      </w:r>
      <w:r w:rsidR="00474849" w:rsidRPr="00456864">
        <w:t xml:space="preserve"> r</w:t>
      </w:r>
      <w:r w:rsidR="00472152" w:rsidRPr="00456864">
        <w:t xml:space="preserve">eturning to service </w:t>
      </w:r>
      <w:r w:rsidR="00474849" w:rsidRPr="00456864">
        <w:t xml:space="preserve">on </w:t>
      </w:r>
      <w:r>
        <w:t>May 21, 2010</w:t>
      </w:r>
      <w:r w:rsidR="00474849" w:rsidRPr="00456864">
        <w:t xml:space="preserve">.  </w:t>
      </w:r>
      <w:r>
        <w:t>San Juan</w:t>
      </w:r>
      <w:r w:rsidR="004D1AC2" w:rsidRPr="00456864">
        <w:t xml:space="preserve"> </w:t>
      </w:r>
      <w:r w:rsidR="0021221C">
        <w:t>will begin service on or before May 21, 2010</w:t>
      </w:r>
      <w:r w:rsidR="00247004">
        <w:t>,</w:t>
      </w:r>
      <w:r w:rsidR="0021221C">
        <w:t xml:space="preserve"> because the contract with the Navy will expire and the </w:t>
      </w:r>
      <w:r w:rsidR="00DC5729">
        <w:t>C</w:t>
      </w:r>
      <w:r w:rsidR="0021221C">
        <w:t>ompany</w:t>
      </w:r>
      <w:r w:rsidR="00CC1A9E">
        <w:t>’</w:t>
      </w:r>
      <w:r w:rsidR="00DC5729">
        <w:t>s</w:t>
      </w:r>
      <w:r w:rsidR="0021221C">
        <w:t xml:space="preserve"> vessel</w:t>
      </w:r>
      <w:r w:rsidR="00DC5729">
        <w:t xml:space="preserve"> will be available</w:t>
      </w:r>
      <w:r w:rsidR="00456864">
        <w:t>.</w:t>
      </w:r>
    </w:p>
    <w:p w:rsidR="00472152" w:rsidRDefault="00472152" w:rsidP="00FF1418">
      <w:pPr>
        <w:spacing w:line="288" w:lineRule="auto"/>
      </w:pPr>
    </w:p>
    <w:p w:rsidR="00DF6A86" w:rsidRDefault="00DF6A86" w:rsidP="00FF1418">
      <w:pPr>
        <w:spacing w:line="288" w:lineRule="auto"/>
      </w:pPr>
    </w:p>
    <w:p w:rsidR="00DF6A86" w:rsidRDefault="00DF6A86" w:rsidP="00FF1418">
      <w:pPr>
        <w:spacing w:line="288" w:lineRule="auto"/>
      </w:pPr>
    </w:p>
    <w:p w:rsidR="00DF6A86" w:rsidRDefault="00DF6A86" w:rsidP="00EC2791">
      <w:pPr>
        <w:spacing w:line="288" w:lineRule="auto"/>
        <w:jc w:val="center"/>
        <w:rPr>
          <w:b/>
        </w:rPr>
      </w:pPr>
    </w:p>
    <w:p w:rsidR="00EC2791" w:rsidRPr="00EC2791" w:rsidRDefault="00EC2791" w:rsidP="00EC2791">
      <w:pPr>
        <w:spacing w:line="288" w:lineRule="auto"/>
        <w:jc w:val="center"/>
        <w:rPr>
          <w:b/>
        </w:rPr>
      </w:pPr>
      <w:r w:rsidRPr="00EC2791">
        <w:rPr>
          <w:b/>
        </w:rPr>
        <w:t>DISCUSSION</w:t>
      </w:r>
    </w:p>
    <w:p w:rsidR="00EC2791" w:rsidRPr="00456864" w:rsidRDefault="00EC2791" w:rsidP="00FF1418">
      <w:pPr>
        <w:spacing w:line="288" w:lineRule="auto"/>
      </w:pPr>
    </w:p>
    <w:p w:rsidR="00EC2791" w:rsidRDefault="00EC2791" w:rsidP="00E9692D">
      <w:pPr>
        <w:numPr>
          <w:ilvl w:val="0"/>
          <w:numId w:val="1"/>
        </w:numPr>
        <w:spacing w:line="288" w:lineRule="auto"/>
      </w:pPr>
      <w:r>
        <w:t xml:space="preserve">A </w:t>
      </w:r>
      <w:r w:rsidR="00DB3446">
        <w:t>c</w:t>
      </w:r>
      <w:r>
        <w:t xml:space="preserve">ertificate of </w:t>
      </w:r>
      <w:r w:rsidR="00DB3446">
        <w:t>p</w:t>
      </w:r>
      <w:r>
        <w:t xml:space="preserve">ublic </w:t>
      </w:r>
      <w:r w:rsidR="00DB3446">
        <w:t>c</w:t>
      </w:r>
      <w:r>
        <w:t xml:space="preserve">onvenience and </w:t>
      </w:r>
      <w:r w:rsidR="00DB3446">
        <w:t>n</w:t>
      </w:r>
      <w:r>
        <w:t xml:space="preserve">ecessity for commercial ferry service under RCW 81.84 endows the holder with certain legal rights to the route which may deter other potential providers from seeking a </w:t>
      </w:r>
      <w:r w:rsidR="00DB3446">
        <w:t>c</w:t>
      </w:r>
      <w:r>
        <w:t xml:space="preserve">ertificate for the same route.  Where the </w:t>
      </w:r>
      <w:r w:rsidR="00DB3446">
        <w:t>c</w:t>
      </w:r>
      <w:r>
        <w:t xml:space="preserve">ertificate holder is unable to provide service for a prolonged period of time, the public interest requires a careful examination of the merits of granting the discontinuance of service.  </w:t>
      </w:r>
    </w:p>
    <w:p w:rsidR="00EC2791" w:rsidRDefault="00EC2791" w:rsidP="00EC2791">
      <w:pPr>
        <w:spacing w:line="288" w:lineRule="auto"/>
      </w:pPr>
    </w:p>
    <w:p w:rsidR="00472152" w:rsidRDefault="002A371A" w:rsidP="00E9692D">
      <w:pPr>
        <w:numPr>
          <w:ilvl w:val="0"/>
          <w:numId w:val="1"/>
        </w:numPr>
        <w:spacing w:line="288" w:lineRule="auto"/>
      </w:pPr>
      <w:r w:rsidRPr="00CC1A9E">
        <w:t xml:space="preserve">Under </w:t>
      </w:r>
      <w:r w:rsidR="00472152" w:rsidRPr="00CC1A9E">
        <w:t>WAC 480-51-130</w:t>
      </w:r>
      <w:r w:rsidRPr="002D77A9">
        <w:t xml:space="preserve">, </w:t>
      </w:r>
      <w:r w:rsidRPr="00456864">
        <w:t xml:space="preserve">a </w:t>
      </w:r>
      <w:r w:rsidR="00FF1418" w:rsidRPr="00456864">
        <w:t xml:space="preserve">commercial </w:t>
      </w:r>
      <w:r w:rsidRPr="00456864">
        <w:t xml:space="preserve">ferry </w:t>
      </w:r>
      <w:r w:rsidR="00FF1418" w:rsidRPr="00456864">
        <w:t xml:space="preserve">company </w:t>
      </w:r>
      <w:r w:rsidRPr="00456864">
        <w:t xml:space="preserve">must request approval from the </w:t>
      </w:r>
      <w:r w:rsidR="00CC1A9E">
        <w:t>Commission</w:t>
      </w:r>
      <w:r w:rsidRPr="00456864">
        <w:t xml:space="preserve"> to discontinue some or all of its operations.  The </w:t>
      </w:r>
      <w:r w:rsidR="00040F11">
        <w:t>C</w:t>
      </w:r>
      <w:r w:rsidR="00FF1418" w:rsidRPr="00456864">
        <w:t xml:space="preserve">ompany </w:t>
      </w:r>
      <w:r w:rsidRPr="00456864">
        <w:t>must provide 15 days</w:t>
      </w:r>
      <w:r w:rsidR="00CC1A9E">
        <w:t>’</w:t>
      </w:r>
      <w:r w:rsidRPr="00456864">
        <w:t xml:space="preserve"> notice to the </w:t>
      </w:r>
      <w:r w:rsidR="00CC1A9E">
        <w:t>Commission</w:t>
      </w:r>
      <w:r w:rsidRPr="00456864">
        <w:t xml:space="preserve"> and the public before the effective date of the discontinuance.  </w:t>
      </w:r>
      <w:r w:rsidR="00472152" w:rsidRPr="00456864">
        <w:t xml:space="preserve">The </w:t>
      </w:r>
      <w:r w:rsidR="00CC1A9E">
        <w:t>Commission</w:t>
      </w:r>
      <w:r w:rsidR="00472152" w:rsidRPr="00456864">
        <w:t xml:space="preserve"> shall not grant </w:t>
      </w:r>
      <w:r w:rsidR="00EA29A7" w:rsidRPr="00456864">
        <w:t xml:space="preserve">a </w:t>
      </w:r>
      <w:r w:rsidR="00472152" w:rsidRPr="00456864">
        <w:t xml:space="preserve">discontinuance of service for </w:t>
      </w:r>
      <w:r w:rsidR="00582EA5" w:rsidRPr="00456864">
        <w:t xml:space="preserve">a period </w:t>
      </w:r>
      <w:r w:rsidR="00D12892" w:rsidRPr="00456864">
        <w:t xml:space="preserve">longer than </w:t>
      </w:r>
      <w:r w:rsidR="00472152" w:rsidRPr="00456864">
        <w:t>twelve</w:t>
      </w:r>
      <w:r w:rsidR="00456864">
        <w:t xml:space="preserve"> </w:t>
      </w:r>
      <w:r w:rsidR="00472152" w:rsidRPr="00456864">
        <w:t>month</w:t>
      </w:r>
      <w:r w:rsidR="00582EA5" w:rsidRPr="00456864">
        <w:t>s</w:t>
      </w:r>
      <w:r w:rsidR="00472152" w:rsidRPr="00456864">
        <w:t>.</w:t>
      </w:r>
    </w:p>
    <w:p w:rsidR="002D4392" w:rsidRDefault="002D4392" w:rsidP="002D4392">
      <w:pPr>
        <w:pStyle w:val="ListParagraph"/>
      </w:pPr>
    </w:p>
    <w:p w:rsidR="002D4392" w:rsidRPr="002D4392" w:rsidRDefault="00D23896" w:rsidP="002D4392">
      <w:pPr>
        <w:numPr>
          <w:ilvl w:val="0"/>
          <w:numId w:val="1"/>
        </w:numPr>
        <w:spacing w:line="288" w:lineRule="auto"/>
      </w:pPr>
      <w:r>
        <w:t xml:space="preserve">Commission Staff reviewed the petition and </w:t>
      </w:r>
      <w:r w:rsidR="002D4392">
        <w:t xml:space="preserve">recommended that </w:t>
      </w:r>
      <w:r>
        <w:t xml:space="preserve">San Juan’s petition be granted and that the Company </w:t>
      </w:r>
      <w:r w:rsidR="002D4392">
        <w:t>be required to file</w:t>
      </w:r>
      <w:r w:rsidR="002D4392" w:rsidRPr="002D4392">
        <w:rPr>
          <w:sz w:val="25"/>
          <w:szCs w:val="25"/>
        </w:rPr>
        <w:t xml:space="preserve"> a progress report, no later than March 31, 2010, describing in detail the progress that has been made toward resuming service on or before May 21, 2010</w:t>
      </w:r>
      <w:r w:rsidR="002D4392">
        <w:rPr>
          <w:sz w:val="25"/>
          <w:szCs w:val="25"/>
        </w:rPr>
        <w:t>.</w:t>
      </w:r>
    </w:p>
    <w:p w:rsidR="002D4392" w:rsidRDefault="002D4392" w:rsidP="002D4392">
      <w:pPr>
        <w:pStyle w:val="ListParagraph"/>
      </w:pPr>
    </w:p>
    <w:p w:rsidR="003F3F88" w:rsidRDefault="00D23896" w:rsidP="00E9692D">
      <w:pPr>
        <w:numPr>
          <w:ilvl w:val="0"/>
          <w:numId w:val="1"/>
        </w:numPr>
        <w:spacing w:line="288" w:lineRule="auto"/>
      </w:pPr>
      <w:r>
        <w:t xml:space="preserve">Following discussion at the May 14, 2009, open meeting, the Commissioners </w:t>
      </w:r>
      <w:r w:rsidR="00EC2791">
        <w:t>raised concerns about whether San Juan’s request should be granted</w:t>
      </w:r>
      <w:r w:rsidR="00EB4622">
        <w:t xml:space="preserve"> on a shortened, temporary basis</w:t>
      </w:r>
      <w:r w:rsidR="00EC2791">
        <w:t xml:space="preserve">, or alternatively, whether the Company should relinquish its certificate to allow another carrier to provide service.  The Commissioners </w:t>
      </w:r>
      <w:r>
        <w:t>determined that th</w:t>
      </w:r>
      <w:r w:rsidR="001D5EB6">
        <w:t>e</w:t>
      </w:r>
      <w:r>
        <w:t xml:space="preserve"> issues presented in this docket are more appropriately addressed in an adjudicative hearing</w:t>
      </w:r>
      <w:r w:rsidR="00EC2791">
        <w:t xml:space="preserve">, and </w:t>
      </w:r>
      <w:r w:rsidR="00DB3446">
        <w:t>granted</w:t>
      </w:r>
      <w:r w:rsidR="00EC2791">
        <w:t xml:space="preserve"> </w:t>
      </w:r>
      <w:r w:rsidR="00B60FA4">
        <w:t xml:space="preserve">San Juan </w:t>
      </w:r>
      <w:r w:rsidR="00EC2791">
        <w:t>a temporary discontinua</w:t>
      </w:r>
      <w:r w:rsidR="00DF6A86">
        <w:t xml:space="preserve">nce </w:t>
      </w:r>
      <w:r w:rsidR="00B60FA4">
        <w:t xml:space="preserve">of service </w:t>
      </w:r>
      <w:r w:rsidR="00DF6A86">
        <w:t>from May 22, 2009, for a 30-</w:t>
      </w:r>
      <w:r w:rsidR="00EC2791">
        <w:t xml:space="preserve">day period </w:t>
      </w:r>
      <w:r w:rsidR="00DF6A86">
        <w:t>ending June 22, 2009, unless the Commission extends the discontinuance period</w:t>
      </w:r>
      <w:r>
        <w:t xml:space="preserve">.  </w:t>
      </w:r>
    </w:p>
    <w:p w:rsidR="00472152" w:rsidRPr="00456864" w:rsidRDefault="00472152">
      <w:pPr>
        <w:pStyle w:val="Heading1"/>
        <w:spacing w:line="288" w:lineRule="auto"/>
        <w:jc w:val="left"/>
        <w:rPr>
          <w:b w:val="0"/>
          <w:bCs w:val="0"/>
        </w:rPr>
      </w:pPr>
    </w:p>
    <w:p w:rsidR="00472152" w:rsidRPr="00456864" w:rsidRDefault="00472152">
      <w:pPr>
        <w:pStyle w:val="Heading1"/>
        <w:spacing w:line="288" w:lineRule="auto"/>
      </w:pPr>
      <w:r w:rsidRPr="00456864">
        <w:t>FINDINGS AND CONCLUSIONS</w:t>
      </w:r>
    </w:p>
    <w:p w:rsidR="00472152" w:rsidRPr="00456864" w:rsidRDefault="00472152">
      <w:pPr>
        <w:spacing w:line="288" w:lineRule="auto"/>
        <w:ind w:left="-1080"/>
        <w:rPr>
          <w:b/>
          <w:bCs/>
        </w:rPr>
      </w:pPr>
    </w:p>
    <w:p w:rsidR="00A7108F" w:rsidRPr="00456864" w:rsidRDefault="00472152">
      <w:pPr>
        <w:numPr>
          <w:ilvl w:val="0"/>
          <w:numId w:val="1"/>
        </w:numPr>
        <w:spacing w:line="288" w:lineRule="auto"/>
        <w:ind w:left="720" w:hanging="1440"/>
      </w:pPr>
      <w:r w:rsidRPr="00456864">
        <w:t>(1)</w:t>
      </w:r>
      <w:r w:rsidRPr="00456864">
        <w:tab/>
      </w:r>
      <w:r w:rsidR="00A7108F" w:rsidRPr="00456864">
        <w:t xml:space="preserve">The Washington Utilities and Transportation </w:t>
      </w:r>
      <w:r w:rsidR="00CC1A9E">
        <w:t>Commission</w:t>
      </w:r>
      <w:r w:rsidR="00A7108F" w:rsidRPr="00456864">
        <w:t xml:space="preserve"> is an agency of the </w:t>
      </w:r>
      <w:r w:rsidR="00B822F2" w:rsidRPr="00456864">
        <w:t>S</w:t>
      </w:r>
      <w:r w:rsidR="00A7108F" w:rsidRPr="00456864">
        <w:t xml:space="preserve">tate of Washington vested by statute with the authority to regulate </w:t>
      </w:r>
      <w:r w:rsidR="00A13EBA" w:rsidRPr="00456864">
        <w:t xml:space="preserve">the </w:t>
      </w:r>
      <w:r w:rsidR="00FF1418" w:rsidRPr="00456864">
        <w:t>rates, rules, regulations, practices, accounts, securities, transfers of property and affiliated interest</w:t>
      </w:r>
      <w:r w:rsidR="00141BD6" w:rsidRPr="00456864">
        <w:t>s</w:t>
      </w:r>
      <w:r w:rsidR="00FF1418" w:rsidRPr="00456864">
        <w:t xml:space="preserve"> of </w:t>
      </w:r>
      <w:r w:rsidR="00A7108F" w:rsidRPr="00456864">
        <w:t xml:space="preserve">public service companies, including commercial ferry companies.  </w:t>
      </w:r>
      <w:r w:rsidR="00433FC6" w:rsidRPr="00CC1A9E">
        <w:rPr>
          <w:i/>
        </w:rPr>
        <w:t>RCW 80.01.040</w:t>
      </w:r>
      <w:r w:rsidR="00433FC6" w:rsidRPr="00456864">
        <w:rPr>
          <w:i/>
        </w:rPr>
        <w:t xml:space="preserve">, </w:t>
      </w:r>
      <w:r w:rsidR="00433FC6" w:rsidRPr="00CC1A9E">
        <w:rPr>
          <w:i/>
        </w:rPr>
        <w:t>RCW 81.01</w:t>
      </w:r>
      <w:r w:rsidR="00433FC6" w:rsidRPr="00456864">
        <w:rPr>
          <w:i/>
        </w:rPr>
        <w:t xml:space="preserve">, </w:t>
      </w:r>
      <w:r w:rsidR="00433FC6" w:rsidRPr="00CC1A9E">
        <w:rPr>
          <w:i/>
        </w:rPr>
        <w:t>RCW 81.04</w:t>
      </w:r>
      <w:r w:rsidR="00433FC6" w:rsidRPr="00456864">
        <w:rPr>
          <w:i/>
          <w:iCs/>
        </w:rPr>
        <w:t xml:space="preserve">, </w:t>
      </w:r>
      <w:r w:rsidR="00433FC6" w:rsidRPr="00CC1A9E">
        <w:rPr>
          <w:i/>
          <w:iCs/>
        </w:rPr>
        <w:t>RCW 81.08</w:t>
      </w:r>
      <w:r w:rsidR="00433FC6" w:rsidRPr="00456864">
        <w:rPr>
          <w:i/>
          <w:iCs/>
        </w:rPr>
        <w:t xml:space="preserve">, </w:t>
      </w:r>
      <w:r w:rsidR="00433FC6" w:rsidRPr="00CC1A9E">
        <w:rPr>
          <w:i/>
          <w:iCs/>
        </w:rPr>
        <w:t>RCW 81.12</w:t>
      </w:r>
      <w:r w:rsidR="00433FC6" w:rsidRPr="00456864">
        <w:rPr>
          <w:i/>
          <w:iCs/>
        </w:rPr>
        <w:t xml:space="preserve">, </w:t>
      </w:r>
      <w:r w:rsidR="00433FC6" w:rsidRPr="00CC1A9E">
        <w:rPr>
          <w:i/>
          <w:iCs/>
        </w:rPr>
        <w:t xml:space="preserve">RCW </w:t>
      </w:r>
      <w:r w:rsidR="00C46A84" w:rsidRPr="00CC1A9E">
        <w:rPr>
          <w:i/>
          <w:iCs/>
        </w:rPr>
        <w:t>81.16,</w:t>
      </w:r>
      <w:r w:rsidR="00433FC6" w:rsidRPr="00456864">
        <w:rPr>
          <w:i/>
          <w:iCs/>
        </w:rPr>
        <w:t xml:space="preserve"> and </w:t>
      </w:r>
      <w:r w:rsidR="00433FC6" w:rsidRPr="00CC1A9E">
        <w:rPr>
          <w:i/>
          <w:iCs/>
        </w:rPr>
        <w:t>RCW 81.84</w:t>
      </w:r>
      <w:r w:rsidR="00A7108F" w:rsidRPr="00456864">
        <w:rPr>
          <w:i/>
          <w:iCs/>
        </w:rPr>
        <w:t>.</w:t>
      </w:r>
    </w:p>
    <w:p w:rsidR="00A7108F" w:rsidRPr="00456864" w:rsidRDefault="00A7108F" w:rsidP="00A7108F">
      <w:pPr>
        <w:spacing w:line="288" w:lineRule="auto"/>
      </w:pPr>
    </w:p>
    <w:p w:rsidR="00472152" w:rsidRPr="00456864" w:rsidRDefault="00A7108F">
      <w:pPr>
        <w:numPr>
          <w:ilvl w:val="0"/>
          <w:numId w:val="1"/>
        </w:numPr>
        <w:spacing w:line="288" w:lineRule="auto"/>
        <w:ind w:left="720" w:hanging="1440"/>
      </w:pPr>
      <w:r w:rsidRPr="00456864">
        <w:t>(2)</w:t>
      </w:r>
      <w:r w:rsidRPr="00456864">
        <w:tab/>
      </w:r>
      <w:r w:rsidR="00080111">
        <w:t>San Juan</w:t>
      </w:r>
      <w:r w:rsidR="00472152" w:rsidRPr="00456864">
        <w:t xml:space="preserve"> is engaged in the business of providing commercial ferry service within the state of Washington as a public service company, and is subject to </w:t>
      </w:r>
      <w:r w:rsidR="00CC1A9E">
        <w:t>Commission</w:t>
      </w:r>
      <w:r w:rsidR="00CB7A2A" w:rsidRPr="00456864">
        <w:t xml:space="preserve"> </w:t>
      </w:r>
      <w:r w:rsidR="00472152" w:rsidRPr="00456864">
        <w:t>jurisdiction.</w:t>
      </w:r>
    </w:p>
    <w:p w:rsidR="00582EA5" w:rsidRPr="00456864" w:rsidRDefault="00582EA5" w:rsidP="00582EA5">
      <w:pPr>
        <w:spacing w:line="288" w:lineRule="auto"/>
      </w:pPr>
    </w:p>
    <w:p w:rsidR="008803FB" w:rsidRPr="00456864" w:rsidRDefault="00E9692D" w:rsidP="008803FB">
      <w:pPr>
        <w:numPr>
          <w:ilvl w:val="0"/>
          <w:numId w:val="1"/>
        </w:numPr>
        <w:spacing w:line="288" w:lineRule="auto"/>
        <w:ind w:left="720" w:hanging="1440"/>
      </w:pPr>
      <w:r w:rsidRPr="00456864">
        <w:t>(3)</w:t>
      </w:r>
      <w:r w:rsidRPr="00456864">
        <w:tab/>
      </w:r>
      <w:r w:rsidR="00582EA5" w:rsidRPr="00456864">
        <w:t xml:space="preserve">Under </w:t>
      </w:r>
      <w:r w:rsidR="00582EA5" w:rsidRPr="00CC1A9E">
        <w:t>WAC 480-51-130</w:t>
      </w:r>
      <w:r w:rsidR="00582EA5" w:rsidRPr="002D77A9">
        <w:t xml:space="preserve">, </w:t>
      </w:r>
      <w:r w:rsidR="00582EA5" w:rsidRPr="00456864">
        <w:t>a</w:t>
      </w:r>
      <w:r w:rsidR="00141BD6" w:rsidRPr="00456864">
        <w:t xml:space="preserve"> </w:t>
      </w:r>
      <w:r w:rsidR="00A13EBA" w:rsidRPr="00456864">
        <w:t xml:space="preserve">commercial </w:t>
      </w:r>
      <w:r w:rsidR="00FE3070" w:rsidRPr="00456864">
        <w:t xml:space="preserve">ferry </w:t>
      </w:r>
      <w:r w:rsidR="00A13EBA" w:rsidRPr="00456864">
        <w:t xml:space="preserve">company </w:t>
      </w:r>
      <w:r w:rsidR="00582EA5" w:rsidRPr="00456864">
        <w:t xml:space="preserve">must request approval from the </w:t>
      </w:r>
      <w:r w:rsidR="00CC1A9E">
        <w:t>Commission</w:t>
      </w:r>
      <w:r w:rsidR="00582EA5" w:rsidRPr="00456864">
        <w:t xml:space="preserve"> to discontinue some or all of its operations.  The </w:t>
      </w:r>
      <w:r w:rsidR="00DC5729">
        <w:t>C</w:t>
      </w:r>
      <w:r w:rsidR="00A13EBA" w:rsidRPr="00456864">
        <w:t>ompany</w:t>
      </w:r>
      <w:r w:rsidR="00582EA5" w:rsidRPr="00456864">
        <w:t xml:space="preserve"> must provide 15 days</w:t>
      </w:r>
      <w:r w:rsidR="00CC1A9E">
        <w:t>’</w:t>
      </w:r>
      <w:r w:rsidR="00582EA5" w:rsidRPr="00456864">
        <w:t xml:space="preserve"> notice to the </w:t>
      </w:r>
      <w:r w:rsidR="00CC1A9E">
        <w:t>Commission</w:t>
      </w:r>
      <w:r w:rsidR="00582EA5" w:rsidRPr="00456864">
        <w:t xml:space="preserve"> and the public before the effective date of the discontinuance.  The </w:t>
      </w:r>
      <w:r w:rsidR="00CC1A9E">
        <w:t>Commission</w:t>
      </w:r>
      <w:r w:rsidR="00582EA5" w:rsidRPr="00456864">
        <w:t xml:space="preserve"> shall not grant a discontinuance of service for a period longer than twelve</w:t>
      </w:r>
      <w:r w:rsidRPr="00456864">
        <w:t xml:space="preserve"> </w:t>
      </w:r>
      <w:r w:rsidR="00582EA5" w:rsidRPr="00456864">
        <w:t>months.</w:t>
      </w:r>
    </w:p>
    <w:p w:rsidR="00472152" w:rsidRPr="00456864" w:rsidRDefault="00472152">
      <w:pPr>
        <w:spacing w:line="288" w:lineRule="auto"/>
      </w:pPr>
    </w:p>
    <w:p w:rsidR="00472152" w:rsidRDefault="00472152">
      <w:pPr>
        <w:numPr>
          <w:ilvl w:val="0"/>
          <w:numId w:val="1"/>
        </w:numPr>
        <w:spacing w:line="288" w:lineRule="auto"/>
        <w:ind w:left="720" w:hanging="1440"/>
      </w:pPr>
      <w:r w:rsidRPr="00456864">
        <w:t>(</w:t>
      </w:r>
      <w:r w:rsidR="00E9692D" w:rsidRPr="00456864">
        <w:t>4</w:t>
      </w:r>
      <w:r w:rsidRPr="00456864">
        <w:t>)</w:t>
      </w:r>
      <w:r w:rsidRPr="00456864">
        <w:tab/>
        <w:t xml:space="preserve">This matter </w:t>
      </w:r>
      <w:r w:rsidR="000F7FBB" w:rsidRPr="00456864">
        <w:t>came</w:t>
      </w:r>
      <w:r w:rsidRPr="00456864">
        <w:t xml:space="preserve"> before the </w:t>
      </w:r>
      <w:r w:rsidR="00CC1A9E">
        <w:t>Commission</w:t>
      </w:r>
      <w:r w:rsidRPr="00456864">
        <w:t xml:space="preserve"> at its regularly scheduled open meeting on</w:t>
      </w:r>
      <w:r w:rsidR="004D1AC2" w:rsidRPr="00456864">
        <w:t xml:space="preserve"> </w:t>
      </w:r>
      <w:r w:rsidR="00080111">
        <w:t>May 14, 2009</w:t>
      </w:r>
      <w:r w:rsidR="00456864">
        <w:t>.</w:t>
      </w:r>
    </w:p>
    <w:p w:rsidR="00DF6A86" w:rsidRDefault="00DF6A86" w:rsidP="00DF6A86">
      <w:pPr>
        <w:pStyle w:val="ListParagraph"/>
      </w:pPr>
    </w:p>
    <w:p w:rsidR="00DF6A86" w:rsidRPr="00456864" w:rsidRDefault="00DF6A86">
      <w:pPr>
        <w:numPr>
          <w:ilvl w:val="0"/>
          <w:numId w:val="1"/>
        </w:numPr>
        <w:spacing w:line="288" w:lineRule="auto"/>
        <w:ind w:left="720" w:hanging="1440"/>
      </w:pPr>
      <w:r>
        <w:t>(5)</w:t>
      </w:r>
      <w:r>
        <w:tab/>
        <w:t>The Commission finds that San Juan has not presented good cause to discontinue passenger-only ferry service from Seattle to Friday Harbor from May 22, 2009, until May 21, 2010.</w:t>
      </w:r>
    </w:p>
    <w:p w:rsidR="00582EA5" w:rsidRPr="00456864" w:rsidRDefault="00582EA5" w:rsidP="00582EA5">
      <w:pPr>
        <w:spacing w:line="288" w:lineRule="auto"/>
      </w:pPr>
    </w:p>
    <w:p w:rsidR="00582EA5" w:rsidRDefault="00DF6A86">
      <w:pPr>
        <w:numPr>
          <w:ilvl w:val="0"/>
          <w:numId w:val="1"/>
        </w:numPr>
        <w:spacing w:line="288" w:lineRule="auto"/>
        <w:ind w:left="720" w:hanging="1440"/>
      </w:pPr>
      <w:r>
        <w:t>(6</w:t>
      </w:r>
      <w:r w:rsidR="00E9692D" w:rsidRPr="00456864">
        <w:t>)</w:t>
      </w:r>
      <w:r w:rsidR="00E9692D" w:rsidRPr="00456864">
        <w:tab/>
      </w:r>
      <w:r w:rsidR="00582EA5" w:rsidRPr="00456864">
        <w:t xml:space="preserve">The </w:t>
      </w:r>
      <w:r>
        <w:t xml:space="preserve">Commission finds that the </w:t>
      </w:r>
      <w:r w:rsidR="00582EA5" w:rsidRPr="00456864">
        <w:t xml:space="preserve">petition </w:t>
      </w:r>
      <w:r w:rsidR="00080111">
        <w:t>San Juan</w:t>
      </w:r>
      <w:r w:rsidR="00582EA5" w:rsidRPr="00456864">
        <w:rPr>
          <w:b/>
        </w:rPr>
        <w:t xml:space="preserve"> </w:t>
      </w:r>
      <w:r w:rsidR="00582EA5" w:rsidRPr="00456864">
        <w:t>filed should be granted</w:t>
      </w:r>
      <w:r>
        <w:t xml:space="preserve"> in part</w:t>
      </w:r>
      <w:r w:rsidR="00582EA5" w:rsidRPr="00456864">
        <w:t xml:space="preserve">, authorizing </w:t>
      </w:r>
      <w:r w:rsidR="00080111">
        <w:t>San Juan</w:t>
      </w:r>
      <w:r w:rsidR="00582EA5" w:rsidRPr="00456864">
        <w:rPr>
          <w:b/>
        </w:rPr>
        <w:t xml:space="preserve"> </w:t>
      </w:r>
      <w:r w:rsidR="00582EA5" w:rsidRPr="00456864">
        <w:t xml:space="preserve">to temporarily discontinue service from </w:t>
      </w:r>
      <w:r w:rsidR="00080111">
        <w:t>May 22, 2009</w:t>
      </w:r>
      <w:r w:rsidR="00582EA5" w:rsidRPr="00456864">
        <w:t xml:space="preserve">, until </w:t>
      </w:r>
      <w:r>
        <w:t>June 22, 2009, unless the Commission extends the discontinuance period</w:t>
      </w:r>
      <w:r w:rsidR="00582EA5" w:rsidRPr="00456864">
        <w:t>.</w:t>
      </w:r>
    </w:p>
    <w:p w:rsidR="00DF6A86" w:rsidRDefault="00DF6A86" w:rsidP="00DF6A86">
      <w:pPr>
        <w:pStyle w:val="ListParagraph"/>
      </w:pPr>
    </w:p>
    <w:p w:rsidR="00DF6A86" w:rsidRDefault="00DF6A86">
      <w:pPr>
        <w:numPr>
          <w:ilvl w:val="0"/>
          <w:numId w:val="1"/>
        </w:numPr>
        <w:spacing w:line="288" w:lineRule="auto"/>
        <w:ind w:left="720" w:hanging="1440"/>
      </w:pPr>
      <w:r>
        <w:t>(7)</w:t>
      </w:r>
      <w:r>
        <w:tab/>
        <w:t xml:space="preserve">The Commission finds and concludes that there is sufficient cause to order a hearing in this matter, at a time and place to be set by separate </w:t>
      </w:r>
      <w:r w:rsidR="00DB3446">
        <w:t>notice</w:t>
      </w:r>
      <w:r>
        <w:t>, with notice to all parties.</w:t>
      </w:r>
    </w:p>
    <w:p w:rsidR="00DC2F28" w:rsidRDefault="00DC2F28" w:rsidP="00DC2F28">
      <w:pPr>
        <w:pStyle w:val="ListParagraph"/>
      </w:pPr>
    </w:p>
    <w:p w:rsidR="001D5EB6" w:rsidRPr="00456864" w:rsidRDefault="001D5EB6" w:rsidP="00DC2F28">
      <w:pPr>
        <w:numPr>
          <w:ilvl w:val="0"/>
          <w:numId w:val="1"/>
        </w:numPr>
        <w:spacing w:line="288" w:lineRule="auto"/>
        <w:ind w:left="720" w:hanging="1440"/>
      </w:pPr>
      <w:r>
        <w:t>(8)</w:t>
      </w:r>
      <w:r>
        <w:tab/>
      </w:r>
      <w:r w:rsidR="00DC2F28">
        <w:t xml:space="preserve">San Juan </w:t>
      </w:r>
      <w:r w:rsidRPr="00727601">
        <w:t xml:space="preserve">may be required to pay the expenses reasonably attributable and allocable to such an investigation </w:t>
      </w:r>
      <w:r>
        <w:t xml:space="preserve">consistent </w:t>
      </w:r>
      <w:r w:rsidRPr="00727601">
        <w:t xml:space="preserve">with the provisions of </w:t>
      </w:r>
      <w:r w:rsidR="00DB3446" w:rsidRPr="00DB3446">
        <w:t>RCW 81.20</w:t>
      </w:r>
      <w:r w:rsidRPr="00727601">
        <w:t>.</w:t>
      </w:r>
    </w:p>
    <w:p w:rsidR="00434C8D" w:rsidRPr="00456864" w:rsidRDefault="00434C8D">
      <w:pPr>
        <w:spacing w:line="288" w:lineRule="auto"/>
      </w:pPr>
    </w:p>
    <w:p w:rsidR="00472152" w:rsidRPr="00456864" w:rsidRDefault="00472152">
      <w:pPr>
        <w:pStyle w:val="Heading1"/>
        <w:spacing w:line="288" w:lineRule="auto"/>
      </w:pPr>
      <w:r w:rsidRPr="00456864">
        <w:t>O R D E R</w:t>
      </w:r>
    </w:p>
    <w:p w:rsidR="00472152" w:rsidRPr="00456864" w:rsidRDefault="00472152"/>
    <w:p w:rsidR="00472152" w:rsidRPr="00456864" w:rsidRDefault="00472152">
      <w:pPr>
        <w:rPr>
          <w:b/>
        </w:rPr>
      </w:pPr>
      <w:r w:rsidRPr="00456864">
        <w:rPr>
          <w:b/>
        </w:rPr>
        <w:t xml:space="preserve">THE </w:t>
      </w:r>
      <w:r w:rsidR="00CC1A9E">
        <w:rPr>
          <w:b/>
        </w:rPr>
        <w:t>COMMISSION</w:t>
      </w:r>
      <w:r w:rsidRPr="00456864">
        <w:rPr>
          <w:b/>
        </w:rPr>
        <w:t xml:space="preserve"> ORDERS:</w:t>
      </w:r>
    </w:p>
    <w:p w:rsidR="00472152" w:rsidRPr="00456864" w:rsidRDefault="00472152">
      <w:pPr>
        <w:pStyle w:val="Header"/>
        <w:tabs>
          <w:tab w:val="clear" w:pos="4320"/>
          <w:tab w:val="clear" w:pos="8640"/>
        </w:tabs>
        <w:spacing w:line="288" w:lineRule="auto"/>
      </w:pPr>
    </w:p>
    <w:p w:rsidR="00582EA5" w:rsidRPr="00456864" w:rsidRDefault="00472152">
      <w:pPr>
        <w:numPr>
          <w:ilvl w:val="0"/>
          <w:numId w:val="1"/>
        </w:numPr>
        <w:spacing w:line="288" w:lineRule="auto"/>
        <w:ind w:left="720" w:hanging="1440"/>
      </w:pPr>
      <w:r w:rsidRPr="00456864">
        <w:t>(1)</w:t>
      </w:r>
      <w:r w:rsidRPr="00456864">
        <w:tab/>
      </w:r>
      <w:r w:rsidR="00BC37C6" w:rsidRPr="00456864">
        <w:t xml:space="preserve">The petition </w:t>
      </w:r>
      <w:r w:rsidR="00080111">
        <w:t>San Juan Express, Inc.</w:t>
      </w:r>
      <w:r w:rsidR="004A7953">
        <w:t>,</w:t>
      </w:r>
      <w:r w:rsidR="002B79BC" w:rsidRPr="00456864">
        <w:t xml:space="preserve"> filed </w:t>
      </w:r>
      <w:r w:rsidR="00A7108F" w:rsidRPr="00456864">
        <w:t xml:space="preserve">requesting </w:t>
      </w:r>
      <w:r w:rsidR="002B79BC" w:rsidRPr="00456864">
        <w:t xml:space="preserve">permission to temporarily discontinue service authorized by certificate </w:t>
      </w:r>
      <w:r w:rsidRPr="00456864">
        <w:t xml:space="preserve">of public convenience and necessity </w:t>
      </w:r>
      <w:r w:rsidR="00080111">
        <w:t>BC-117</w:t>
      </w:r>
      <w:r w:rsidR="002B79BC" w:rsidRPr="00456864">
        <w:t xml:space="preserve"> is granted</w:t>
      </w:r>
      <w:r w:rsidR="00DF6A86">
        <w:t xml:space="preserve"> in part, such that the temporary discontinuance is effective from May 22, 2009, until June 22, 2009, unless the Commission extends the discontinuance period.</w:t>
      </w:r>
      <w:r w:rsidRPr="00456864">
        <w:t xml:space="preserve"> </w:t>
      </w:r>
    </w:p>
    <w:p w:rsidR="00582EA5" w:rsidRPr="00456864" w:rsidRDefault="00582EA5" w:rsidP="001C3E18">
      <w:pPr>
        <w:spacing w:line="288" w:lineRule="auto"/>
        <w:ind w:left="-720"/>
      </w:pPr>
    </w:p>
    <w:p w:rsidR="00472152" w:rsidRDefault="00E9692D">
      <w:pPr>
        <w:numPr>
          <w:ilvl w:val="0"/>
          <w:numId w:val="1"/>
        </w:numPr>
        <w:spacing w:line="288" w:lineRule="auto"/>
        <w:ind w:left="720" w:hanging="1440"/>
      </w:pPr>
      <w:r w:rsidRPr="00456864">
        <w:t>(2)</w:t>
      </w:r>
      <w:r w:rsidRPr="00456864">
        <w:tab/>
      </w:r>
      <w:r w:rsidR="00DF6A86">
        <w:t>The Commission will hold hearings at such times and places to be set in a separate order.</w:t>
      </w:r>
    </w:p>
    <w:p w:rsidR="00DC2F28" w:rsidRDefault="00DC2F28" w:rsidP="00DC2F28">
      <w:pPr>
        <w:pStyle w:val="ListParagraph"/>
      </w:pPr>
    </w:p>
    <w:p w:rsidR="00DC2F28" w:rsidRPr="00727601" w:rsidRDefault="00DC2F28" w:rsidP="00DC2F28">
      <w:pPr>
        <w:numPr>
          <w:ilvl w:val="0"/>
          <w:numId w:val="1"/>
        </w:numPr>
        <w:spacing w:line="288" w:lineRule="auto"/>
        <w:ind w:left="720" w:hanging="1440"/>
      </w:pPr>
      <w:r>
        <w:t>(3)</w:t>
      </w:r>
      <w:r>
        <w:tab/>
        <w:t>San Juan Express, Inc</w:t>
      </w:r>
      <w:proofErr w:type="gramStart"/>
      <w:r>
        <w:t>.</w:t>
      </w:r>
      <w:r w:rsidR="00DB3446">
        <w:t>,</w:t>
      </w:r>
      <w:proofErr w:type="gramEnd"/>
      <w:r w:rsidRPr="00456864">
        <w:t xml:space="preserve"> </w:t>
      </w:r>
      <w:r w:rsidRPr="00727601">
        <w:t xml:space="preserve">shall pay the expenses reasonably attributable and allocable to the Commission’s investigation </w:t>
      </w:r>
      <w:r>
        <w:t>consistent</w:t>
      </w:r>
      <w:r w:rsidRPr="00727601">
        <w:t xml:space="preserve"> with RCW 81.20.</w:t>
      </w:r>
    </w:p>
    <w:p w:rsidR="00472152" w:rsidRPr="00456864" w:rsidRDefault="00472152">
      <w:pPr>
        <w:pStyle w:val="Header"/>
        <w:tabs>
          <w:tab w:val="clear" w:pos="4320"/>
          <w:tab w:val="clear" w:pos="8640"/>
        </w:tabs>
        <w:spacing w:line="288" w:lineRule="auto"/>
      </w:pPr>
    </w:p>
    <w:p w:rsidR="00472152" w:rsidRPr="00456864" w:rsidRDefault="00472152">
      <w:pPr>
        <w:spacing w:line="288" w:lineRule="auto"/>
      </w:pPr>
      <w:proofErr w:type="gramStart"/>
      <w:r w:rsidRPr="00456864">
        <w:t xml:space="preserve">DATED at Olympia, Washington, and effective </w:t>
      </w:r>
      <w:r w:rsidR="00080111">
        <w:t>May 1</w:t>
      </w:r>
      <w:r w:rsidR="00980770">
        <w:t>5</w:t>
      </w:r>
      <w:r w:rsidR="00080111">
        <w:t>, 2009</w:t>
      </w:r>
      <w:r w:rsidRPr="00456864">
        <w:t>.</w:t>
      </w:r>
      <w:proofErr w:type="gramEnd"/>
    </w:p>
    <w:p w:rsidR="00472152" w:rsidRPr="00456864" w:rsidRDefault="00472152">
      <w:pPr>
        <w:spacing w:line="288" w:lineRule="auto"/>
      </w:pPr>
    </w:p>
    <w:p w:rsidR="00472152" w:rsidRPr="00456864" w:rsidRDefault="00472152">
      <w:pPr>
        <w:spacing w:line="288" w:lineRule="auto"/>
        <w:jc w:val="center"/>
      </w:pPr>
      <w:r w:rsidRPr="00456864">
        <w:t xml:space="preserve">WASHINGTON UTILITIES AND TRANSPORTATION </w:t>
      </w:r>
      <w:r w:rsidR="00CC1A9E">
        <w:t>COMMISSION</w:t>
      </w:r>
    </w:p>
    <w:p w:rsidR="00472152" w:rsidRPr="00456864" w:rsidRDefault="00472152">
      <w:pPr>
        <w:spacing w:line="288" w:lineRule="auto"/>
      </w:pPr>
    </w:p>
    <w:p w:rsidR="00472152" w:rsidRDefault="00472152">
      <w:pPr>
        <w:spacing w:line="288" w:lineRule="auto"/>
      </w:pPr>
    </w:p>
    <w:p w:rsidR="00DF6A86" w:rsidRPr="00456864" w:rsidRDefault="00DF6A86">
      <w:pPr>
        <w:spacing w:line="288" w:lineRule="auto"/>
      </w:pPr>
    </w:p>
    <w:p w:rsidR="00472152" w:rsidRDefault="00472152">
      <w:pPr>
        <w:spacing w:line="288" w:lineRule="auto"/>
      </w:pPr>
      <w:r w:rsidRPr="00456864">
        <w:tab/>
      </w:r>
      <w:r w:rsidRPr="00456864">
        <w:tab/>
      </w:r>
      <w:r w:rsidRPr="00456864">
        <w:tab/>
      </w:r>
      <w:r w:rsidR="00DF6A86">
        <w:tab/>
      </w:r>
      <w:r w:rsidR="00DF6A86">
        <w:tab/>
        <w:t>JEFFREY D. GOLTZ, Chairman</w:t>
      </w:r>
    </w:p>
    <w:p w:rsidR="00DF6A86" w:rsidRDefault="00DF6A86">
      <w:pPr>
        <w:spacing w:line="288" w:lineRule="auto"/>
      </w:pPr>
    </w:p>
    <w:p w:rsidR="00DF6A86" w:rsidRDefault="00DF6A86">
      <w:pPr>
        <w:spacing w:line="288" w:lineRule="auto"/>
      </w:pPr>
    </w:p>
    <w:p w:rsidR="00DF6A86" w:rsidRDefault="00DF6A86">
      <w:pPr>
        <w:spacing w:line="288" w:lineRule="auto"/>
      </w:pPr>
    </w:p>
    <w:p w:rsidR="00DF6A86" w:rsidRPr="00456864" w:rsidRDefault="00DF6A86" w:rsidP="00DF6A86">
      <w:pPr>
        <w:spacing w:line="288" w:lineRule="auto"/>
        <w:ind w:firstLine="720"/>
      </w:pPr>
      <w:r>
        <w:t>`</w:t>
      </w:r>
      <w:r>
        <w:tab/>
      </w:r>
      <w:r>
        <w:tab/>
      </w:r>
      <w:r>
        <w:tab/>
      </w:r>
      <w:r>
        <w:tab/>
        <w:t>PATRICK J. OSHIE, Commissioner</w:t>
      </w:r>
    </w:p>
    <w:sectPr w:rsidR="00DF6A86" w:rsidRPr="00456864" w:rsidSect="00554ABE">
      <w:headerReference w:type="default" r:id="rId11"/>
      <w:type w:val="continuous"/>
      <w:pgSz w:w="12240" w:h="15840" w:code="1"/>
      <w:pgMar w:top="1872" w:right="1800" w:bottom="1440" w:left="2160" w:header="10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63" w:rsidRDefault="00F84D63">
      <w:r>
        <w:separator/>
      </w:r>
    </w:p>
  </w:endnote>
  <w:endnote w:type="continuationSeparator" w:id="1">
    <w:p w:rsidR="00F84D63" w:rsidRDefault="00F8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63" w:rsidRDefault="00F84D63">
      <w:r>
        <w:separator/>
      </w:r>
    </w:p>
  </w:footnote>
  <w:footnote w:type="continuationSeparator" w:id="1">
    <w:p w:rsidR="00F84D63" w:rsidRDefault="00F84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C6" w:rsidRDefault="008928C6" w:rsidP="00DF6A86">
    <w:pPr>
      <w:pStyle w:val="Header"/>
      <w:tabs>
        <w:tab w:val="clear" w:pos="4320"/>
        <w:tab w:val="clear" w:pos="8640"/>
        <w:tab w:val="left" w:pos="7560"/>
        <w:tab w:val="right" w:pos="828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080111" w:rsidRPr="00080111">
      <w:rPr>
        <w:b/>
        <w:sz w:val="20"/>
      </w:rPr>
      <w:t>TS-090424</w:t>
    </w:r>
    <w:r>
      <w:rPr>
        <w:b/>
        <w:sz w:val="20"/>
      </w:rPr>
      <w:tab/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FE3868">
      <w:rPr>
        <w:rStyle w:val="PageNumber"/>
        <w:b/>
        <w:noProof/>
        <w:sz w:val="20"/>
      </w:rPr>
      <w:t>4</w:t>
    </w:r>
    <w:r>
      <w:rPr>
        <w:rStyle w:val="PageNumber"/>
        <w:b/>
        <w:sz w:val="20"/>
      </w:rPr>
      <w:fldChar w:fldCharType="end"/>
    </w:r>
  </w:p>
  <w:p w:rsidR="008928C6" w:rsidRDefault="008928C6" w:rsidP="00F73A7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080111" w:rsidRPr="00080111">
      <w:rPr>
        <w:rStyle w:val="PageNumber"/>
        <w:b/>
        <w:sz w:val="20"/>
      </w:rPr>
      <w:t>01</w:t>
    </w:r>
  </w:p>
  <w:p w:rsidR="008928C6" w:rsidRDefault="008928C6">
    <w:pPr>
      <w:pStyle w:val="Header"/>
      <w:rPr>
        <w:rStyle w:val="PageNumber"/>
        <w:sz w:val="20"/>
      </w:rPr>
    </w:pPr>
  </w:p>
  <w:p w:rsidR="00DF6A86" w:rsidRPr="005F561D" w:rsidRDefault="00DF6A86">
    <w:pPr>
      <w:pStyle w:val="Header"/>
      <w:rPr>
        <w:rStyle w:val="PageNumber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798"/>
    <w:multiLevelType w:val="hybridMultilevel"/>
    <w:tmpl w:val="164E3154"/>
    <w:lvl w:ilvl="0" w:tplc="779E6788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D6978"/>
    <w:multiLevelType w:val="hybridMultilevel"/>
    <w:tmpl w:val="BE848512"/>
    <w:lvl w:ilvl="0" w:tplc="C6F4FF7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0004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43F00"/>
    <w:rsid w:val="00003B04"/>
    <w:rsid w:val="00040F11"/>
    <w:rsid w:val="00042BB6"/>
    <w:rsid w:val="000433E4"/>
    <w:rsid w:val="00080111"/>
    <w:rsid w:val="0009704C"/>
    <w:rsid w:val="000C3CAF"/>
    <w:rsid w:val="000F7FBB"/>
    <w:rsid w:val="00122604"/>
    <w:rsid w:val="001231B2"/>
    <w:rsid w:val="0012425B"/>
    <w:rsid w:val="00127023"/>
    <w:rsid w:val="00130CB0"/>
    <w:rsid w:val="001320A9"/>
    <w:rsid w:val="001369D6"/>
    <w:rsid w:val="00141BD6"/>
    <w:rsid w:val="0014685B"/>
    <w:rsid w:val="00163E88"/>
    <w:rsid w:val="001857F4"/>
    <w:rsid w:val="00190223"/>
    <w:rsid w:val="00193A42"/>
    <w:rsid w:val="001B2F56"/>
    <w:rsid w:val="001C3E18"/>
    <w:rsid w:val="001D5EB6"/>
    <w:rsid w:val="00210EB4"/>
    <w:rsid w:val="0021221C"/>
    <w:rsid w:val="00223BAB"/>
    <w:rsid w:val="002243B4"/>
    <w:rsid w:val="00247004"/>
    <w:rsid w:val="002509C8"/>
    <w:rsid w:val="002A371A"/>
    <w:rsid w:val="002B0374"/>
    <w:rsid w:val="002B79BC"/>
    <w:rsid w:val="002D4392"/>
    <w:rsid w:val="002D77A9"/>
    <w:rsid w:val="00306D4E"/>
    <w:rsid w:val="00350691"/>
    <w:rsid w:val="00362D41"/>
    <w:rsid w:val="00386DAC"/>
    <w:rsid w:val="003F3F88"/>
    <w:rsid w:val="00404DE1"/>
    <w:rsid w:val="00420EA1"/>
    <w:rsid w:val="00433FC6"/>
    <w:rsid w:val="00434C8D"/>
    <w:rsid w:val="0044599B"/>
    <w:rsid w:val="00456864"/>
    <w:rsid w:val="00472152"/>
    <w:rsid w:val="004725AC"/>
    <w:rsid w:val="00474849"/>
    <w:rsid w:val="0049368F"/>
    <w:rsid w:val="004A7953"/>
    <w:rsid w:val="004B3CCA"/>
    <w:rsid w:val="004D1AC2"/>
    <w:rsid w:val="004D20BF"/>
    <w:rsid w:val="00516267"/>
    <w:rsid w:val="00547C24"/>
    <w:rsid w:val="00551664"/>
    <w:rsid w:val="00552716"/>
    <w:rsid w:val="00554ABE"/>
    <w:rsid w:val="00582EA5"/>
    <w:rsid w:val="005C1886"/>
    <w:rsid w:val="005D14C8"/>
    <w:rsid w:val="005F1326"/>
    <w:rsid w:val="005F561D"/>
    <w:rsid w:val="00636175"/>
    <w:rsid w:val="00672941"/>
    <w:rsid w:val="00677434"/>
    <w:rsid w:val="006C27C7"/>
    <w:rsid w:val="006F44BD"/>
    <w:rsid w:val="00704272"/>
    <w:rsid w:val="00724EF2"/>
    <w:rsid w:val="007609AB"/>
    <w:rsid w:val="007613DC"/>
    <w:rsid w:val="007741AD"/>
    <w:rsid w:val="00781B34"/>
    <w:rsid w:val="007822C1"/>
    <w:rsid w:val="00795503"/>
    <w:rsid w:val="007A205A"/>
    <w:rsid w:val="007A35C3"/>
    <w:rsid w:val="007B7A24"/>
    <w:rsid w:val="007E3FF2"/>
    <w:rsid w:val="007F56D5"/>
    <w:rsid w:val="0083222F"/>
    <w:rsid w:val="00834DC0"/>
    <w:rsid w:val="008404C8"/>
    <w:rsid w:val="00841EEA"/>
    <w:rsid w:val="008803FB"/>
    <w:rsid w:val="0088162E"/>
    <w:rsid w:val="00883C46"/>
    <w:rsid w:val="008917D3"/>
    <w:rsid w:val="008928C6"/>
    <w:rsid w:val="008D6621"/>
    <w:rsid w:val="00930BAF"/>
    <w:rsid w:val="00943B22"/>
    <w:rsid w:val="00980770"/>
    <w:rsid w:val="00985072"/>
    <w:rsid w:val="00993065"/>
    <w:rsid w:val="009970F2"/>
    <w:rsid w:val="009B2B3B"/>
    <w:rsid w:val="009C4E26"/>
    <w:rsid w:val="009C73EA"/>
    <w:rsid w:val="009E066C"/>
    <w:rsid w:val="009E47AD"/>
    <w:rsid w:val="009F5C9D"/>
    <w:rsid w:val="00A13EBA"/>
    <w:rsid w:val="00A23D6B"/>
    <w:rsid w:val="00A23F33"/>
    <w:rsid w:val="00A3547D"/>
    <w:rsid w:val="00A4482C"/>
    <w:rsid w:val="00A62A7D"/>
    <w:rsid w:val="00A7108F"/>
    <w:rsid w:val="00A753D0"/>
    <w:rsid w:val="00AA0E11"/>
    <w:rsid w:val="00AA493C"/>
    <w:rsid w:val="00B055C7"/>
    <w:rsid w:val="00B1729F"/>
    <w:rsid w:val="00B432D3"/>
    <w:rsid w:val="00B448F3"/>
    <w:rsid w:val="00B451CC"/>
    <w:rsid w:val="00B46641"/>
    <w:rsid w:val="00B46642"/>
    <w:rsid w:val="00B60FA4"/>
    <w:rsid w:val="00B7710E"/>
    <w:rsid w:val="00B822F2"/>
    <w:rsid w:val="00BC37C6"/>
    <w:rsid w:val="00C46A84"/>
    <w:rsid w:val="00C50036"/>
    <w:rsid w:val="00C51556"/>
    <w:rsid w:val="00C81D05"/>
    <w:rsid w:val="00CB0A05"/>
    <w:rsid w:val="00CB7A2A"/>
    <w:rsid w:val="00CC1A9E"/>
    <w:rsid w:val="00CF2980"/>
    <w:rsid w:val="00D03154"/>
    <w:rsid w:val="00D12892"/>
    <w:rsid w:val="00D178A1"/>
    <w:rsid w:val="00D23896"/>
    <w:rsid w:val="00D348EE"/>
    <w:rsid w:val="00D70A58"/>
    <w:rsid w:val="00D76649"/>
    <w:rsid w:val="00DB3446"/>
    <w:rsid w:val="00DC2F28"/>
    <w:rsid w:val="00DC5729"/>
    <w:rsid w:val="00DE2853"/>
    <w:rsid w:val="00DF6A86"/>
    <w:rsid w:val="00E01275"/>
    <w:rsid w:val="00E052D1"/>
    <w:rsid w:val="00E410D2"/>
    <w:rsid w:val="00E43F00"/>
    <w:rsid w:val="00E67243"/>
    <w:rsid w:val="00E67945"/>
    <w:rsid w:val="00E67E71"/>
    <w:rsid w:val="00E84958"/>
    <w:rsid w:val="00E9692D"/>
    <w:rsid w:val="00EA29A7"/>
    <w:rsid w:val="00EA78F9"/>
    <w:rsid w:val="00EB4622"/>
    <w:rsid w:val="00EC2791"/>
    <w:rsid w:val="00F14AC0"/>
    <w:rsid w:val="00F14F8C"/>
    <w:rsid w:val="00F20DD1"/>
    <w:rsid w:val="00F24E51"/>
    <w:rsid w:val="00F24EF6"/>
    <w:rsid w:val="00F37EAE"/>
    <w:rsid w:val="00F531A8"/>
    <w:rsid w:val="00F63131"/>
    <w:rsid w:val="00F71AE9"/>
    <w:rsid w:val="00F73A7A"/>
    <w:rsid w:val="00F84D63"/>
    <w:rsid w:val="00FC6717"/>
    <w:rsid w:val="00FE3070"/>
    <w:rsid w:val="00FE3868"/>
    <w:rsid w:val="00FE7F0A"/>
    <w:rsid w:val="00FF1418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34" w:lineRule="auto"/>
      <w:ind w:left="720" w:right="1440"/>
    </w:pPr>
    <w:rPr>
      <w:rFonts w:ascii="Arial" w:hAnsi="Arial" w:cs="Arial"/>
      <w:sz w:val="23"/>
      <w:szCs w:val="23"/>
    </w:rPr>
  </w:style>
  <w:style w:type="paragraph" w:styleId="BodyTextIndent">
    <w:name w:val="Body Text Indent"/>
    <w:basedOn w:val="Normal"/>
    <w:pPr>
      <w:spacing w:line="234" w:lineRule="auto"/>
      <w:ind w:firstLine="1440"/>
    </w:pPr>
    <w:rPr>
      <w:bCs/>
    </w:rPr>
  </w:style>
  <w:style w:type="paragraph" w:styleId="BalloonText">
    <w:name w:val="Balloon Text"/>
    <w:basedOn w:val="Normal"/>
    <w:semiHidden/>
    <w:rsid w:val="00E96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10D2"/>
    <w:rPr>
      <w:color w:val="0000FF"/>
      <w:u w:val="none"/>
    </w:rPr>
  </w:style>
  <w:style w:type="character" w:styleId="FollowedHyperlink">
    <w:name w:val="FollowedHyperlink"/>
    <w:basedOn w:val="DefaultParagraphFont"/>
    <w:rsid w:val="00E410D2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568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ransportation\Temporary%20Discontinuance%20of%20Service%20(Ferr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216</IndustryCode>
    <CaseStatus xmlns="dc463f71-b30c-4ab2-9473-d307f9d35888">Closed</CaseStatus>
    <OpenedDate xmlns="dc463f71-b30c-4ab2-9473-d307f9d35888">2009-03-23T07:00:00+00:00</OpenedDate>
    <Date1 xmlns="dc463f71-b30c-4ab2-9473-d307f9d35888">2009-05-15T07:00:00+00:00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 JUAN EXPRESS, INC.</CaseCompanyNames>
    <DocketNumber xmlns="dc463f71-b30c-4ab2-9473-d307f9d35888">090424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746F6B986BCD41B734256B5A9C1C38" ma:contentTypeVersion="131" ma:contentTypeDescription="" ma:contentTypeScope="" ma:versionID="eaa5da9b2d0c6bf80054635fddc282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5D4815-E903-44CC-BE42-005FDE22851E}"/>
</file>

<file path=customXml/itemProps2.xml><?xml version="1.0" encoding="utf-8"?>
<ds:datastoreItem xmlns:ds="http://schemas.openxmlformats.org/officeDocument/2006/customXml" ds:itemID="{5646EC0D-B917-46E5-BB71-B92EA525A016}"/>
</file>

<file path=customXml/itemProps3.xml><?xml version="1.0" encoding="utf-8"?>
<ds:datastoreItem xmlns:ds="http://schemas.openxmlformats.org/officeDocument/2006/customXml" ds:itemID="{26890316-F076-4412-AB5C-E2F546A69DC0}"/>
</file>

<file path=customXml/itemProps4.xml><?xml version="1.0" encoding="utf-8"?>
<ds:datastoreItem xmlns:ds="http://schemas.openxmlformats.org/officeDocument/2006/customXml" ds:itemID="{23ED994D-2E05-4CCC-8F81-EEFA31E1853B}"/>
</file>

<file path=customXml/itemProps5.xml><?xml version="1.0" encoding="utf-8"?>
<ds:datastoreItem xmlns:ds="http://schemas.openxmlformats.org/officeDocument/2006/customXml" ds:itemID="{D078D951-8AAE-4030-B5EF-95F06BB02620}"/>
</file>

<file path=docProps/app.xml><?xml version="1.0" encoding="utf-8"?>
<Properties xmlns="http://schemas.openxmlformats.org/officeDocument/2006/extended-properties" xmlns:vt="http://schemas.openxmlformats.org/officeDocument/2006/docPropsVTypes">
  <Template>Temporary Discontinuance of Service (Ferries).dot</Template>
  <TotalTime>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TS-090424</vt:lpstr>
      <vt:lpstr>BACKGROUND</vt:lpstr>
      <vt:lpstr/>
      <vt:lpstr>FINDINGS AND CONCLUSIONS</vt:lpstr>
      <vt:lpstr>O R D E R</vt:lpstr>
    </vt:vector>
  </TitlesOfParts>
  <Company>WUTC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TS-090424</dc:title>
  <dc:subject/>
  <dc:creator>pingram</dc:creator>
  <cp:keywords/>
  <dc:description/>
  <cp:lastModifiedBy>Catherine Hudspeth</cp:lastModifiedBy>
  <cp:revision>2</cp:revision>
  <cp:lastPrinted>2009-05-15T19:03:00Z</cp:lastPrinted>
  <dcterms:created xsi:type="dcterms:W3CDTF">2009-05-15T20:02:00Z</dcterms:created>
  <dcterms:modified xsi:type="dcterms:W3CDTF">2009-05-15T20:02:00Z</dcterms:modified>
  <cp:category>Transportation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pingram</vt:lpwstr>
  </property>
  <property fmtid="{D5CDD505-2E9C-101B-9397-08002B2CF9AE}" pid="6" name="_Category">
    <vt:lpwstr>Transportation</vt:lpwstr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0x0101006E56B4D1795A2E4DB2F0B01679ED314A00C2746F6B986BCD41B734256B5A9C1C38</vt:lpwstr>
  </property>
  <property fmtid="{D5CDD505-2E9C-101B-9397-08002B2CF9AE}" pid="12" name="_docset_NoMedatataSyncRequired">
    <vt:lpwstr>False</vt:lpwstr>
  </property>
</Properties>
</file>