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C542DB">
        <w:t>0</w:t>
      </w:r>
      <w:r w:rsidR="00140825">
        <w:t>6</w:t>
      </w:r>
      <w:r w:rsidR="00C542DB">
        <w:t>/</w:t>
      </w:r>
      <w:r w:rsidR="004F4171">
        <w:t>21</w:t>
      </w:r>
      <w:r w:rsidR="00C542DB">
        <w:t>/2012</w:t>
      </w:r>
    </w:p>
    <w:p w:rsidR="00FD536A" w:rsidRDefault="00FD536A" w:rsidP="00F731E6">
      <w:pPr>
        <w:pStyle w:val="Heading1"/>
        <w:tabs>
          <w:tab w:val="clear" w:pos="4320"/>
          <w:tab w:val="left" w:pos="4770"/>
        </w:tabs>
      </w:pPr>
      <w:r>
        <w:t>CASE NO:</w:t>
      </w:r>
      <w:r>
        <w:tab/>
      </w:r>
      <w:r w:rsidRPr="00941853">
        <w:t>U</w:t>
      </w:r>
      <w:r w:rsidR="00E64D12" w:rsidRPr="00941853">
        <w:t>E-</w:t>
      </w:r>
      <w:r w:rsidR="009727ED">
        <w:t>1</w:t>
      </w:r>
      <w:r w:rsidR="0038329F">
        <w:t>2</w:t>
      </w:r>
      <w:r w:rsidR="00ED1DE2">
        <w:t>0436</w:t>
      </w:r>
      <w:r w:rsidR="00E64D12" w:rsidRPr="00941853">
        <w:t xml:space="preserve"> &amp; </w:t>
      </w:r>
      <w:r w:rsidR="00C73FA6" w:rsidRPr="00941853">
        <w:t>UG-</w:t>
      </w:r>
      <w:r w:rsidR="00B76EAC">
        <w:t>1</w:t>
      </w:r>
      <w:r w:rsidR="0038329F">
        <w:t>2</w:t>
      </w:r>
      <w:r w:rsidR="00ED1DE2">
        <w:t>0437</w:t>
      </w:r>
      <w:r>
        <w:tab/>
        <w:t>WITNESS:</w:t>
      </w:r>
      <w:r>
        <w:tab/>
      </w:r>
      <w:r w:rsidR="00F731E6">
        <w:tab/>
      </w:r>
      <w:r w:rsidR="00F731E6">
        <w:tab/>
      </w:r>
      <w:r w:rsidR="00DA192F">
        <w:t>Elizabeth Andrews</w:t>
      </w:r>
    </w:p>
    <w:p w:rsidR="001004DE" w:rsidRDefault="00C73FA6" w:rsidP="003E4F5B">
      <w:pPr>
        <w:pStyle w:val="Heading1"/>
        <w:tabs>
          <w:tab w:val="clear" w:pos="4320"/>
          <w:tab w:val="left" w:pos="4770"/>
        </w:tabs>
        <w:ind w:left="1890" w:right="-576" w:hanging="1890"/>
      </w:pPr>
      <w:r>
        <w:t>REQUESTER:</w:t>
      </w:r>
      <w:r>
        <w:tab/>
      </w:r>
      <w:r w:rsidR="00E94E42">
        <w:t>WUTC Staff</w:t>
      </w:r>
      <w:r w:rsidR="001B03C0">
        <w:t xml:space="preserve"> - </w:t>
      </w:r>
      <w:r w:rsidR="00140825" w:rsidRPr="003012FA">
        <w:rPr>
          <w:bCs/>
        </w:rPr>
        <w:t>H</w:t>
      </w:r>
      <w:r w:rsidR="00140825">
        <w:rPr>
          <w:bCs/>
        </w:rPr>
        <w:t>uang</w:t>
      </w:r>
      <w:r w:rsidR="00FD536A">
        <w:tab/>
        <w:t>RESPONDER:</w:t>
      </w:r>
      <w:r w:rsidR="00FD536A">
        <w:tab/>
      </w:r>
      <w:r w:rsidR="00F731E6">
        <w:tab/>
      </w:r>
      <w:r w:rsidR="00F731E6">
        <w:tab/>
      </w:r>
      <w:r w:rsidR="00C542DB">
        <w:t>Howard Grimsrud</w:t>
      </w:r>
      <w:r w:rsidR="00DA192F">
        <w:t>/Jeanne Pluth</w:t>
      </w:r>
    </w:p>
    <w:p w:rsidR="0038329F" w:rsidRDefault="00FD536A" w:rsidP="00F731E6">
      <w:pPr>
        <w:pStyle w:val="Heading1"/>
        <w:tabs>
          <w:tab w:val="clear" w:pos="4320"/>
          <w:tab w:val="left" w:pos="4770"/>
        </w:tabs>
      </w:pPr>
      <w:r>
        <w:t>TYPE:</w:t>
      </w:r>
      <w:r>
        <w:tab/>
        <w:t>Data Request</w:t>
      </w:r>
      <w:r>
        <w:tab/>
        <w:t>DEPT:</w:t>
      </w:r>
      <w:r>
        <w:tab/>
      </w:r>
      <w:r w:rsidR="00941853">
        <w:tab/>
      </w:r>
      <w:r w:rsidR="00941853">
        <w:tab/>
      </w:r>
      <w:r w:rsidR="00C542DB">
        <w:t>Accounting</w:t>
      </w:r>
      <w:r w:rsidR="00DA192F">
        <w:t>/Regulation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E94E42">
        <w:t xml:space="preserve">Staff </w:t>
      </w:r>
      <w:r w:rsidR="000E629D">
        <w:t>–</w:t>
      </w:r>
      <w:r w:rsidR="00E94E42">
        <w:t xml:space="preserve"> </w:t>
      </w:r>
      <w:r w:rsidR="00140825">
        <w:t>2</w:t>
      </w:r>
      <w:r w:rsidR="004F4171">
        <w:t>69</w:t>
      </w:r>
      <w:r w:rsidR="004A7704">
        <w:tab/>
      </w:r>
      <w:r w:rsidR="00FD536A">
        <w:t>TELEPHONE:</w:t>
      </w:r>
      <w:r w:rsidR="00FD536A">
        <w:tab/>
      </w:r>
      <w:r w:rsidR="00F731E6">
        <w:tab/>
      </w:r>
      <w:r w:rsidR="00F731E6">
        <w:tab/>
      </w:r>
      <w:r w:rsidR="00FD536A">
        <w:t>(509) 495</w:t>
      </w:r>
      <w:r w:rsidR="00C542DB">
        <w:t>-2936</w:t>
      </w:r>
      <w:r w:rsidR="00DA192F">
        <w:t>/2204</w:t>
      </w:r>
    </w:p>
    <w:p w:rsidR="00FD536A" w:rsidRDefault="00AA791F" w:rsidP="003E4F5B">
      <w:pPr>
        <w:tabs>
          <w:tab w:val="left" w:pos="1890"/>
          <w:tab w:val="left" w:pos="4770"/>
          <w:tab w:val="left" w:pos="6480"/>
        </w:tabs>
        <w:ind w:right="-486"/>
        <w:rPr>
          <w:sz w:val="24"/>
          <w:szCs w:val="24"/>
        </w:rPr>
      </w:pPr>
      <w:r>
        <w:rPr>
          <w:sz w:val="24"/>
          <w:szCs w:val="24"/>
        </w:rPr>
        <w:tab/>
      </w:r>
      <w:r>
        <w:rPr>
          <w:sz w:val="24"/>
          <w:szCs w:val="24"/>
        </w:rPr>
        <w:tab/>
        <w:t>EMAIL:</w:t>
      </w:r>
      <w:r>
        <w:rPr>
          <w:sz w:val="24"/>
          <w:szCs w:val="24"/>
        </w:rPr>
        <w:tab/>
      </w:r>
      <w:r w:rsidR="003E4F5B">
        <w:rPr>
          <w:sz w:val="24"/>
          <w:szCs w:val="24"/>
        </w:rPr>
        <w:tab/>
      </w:r>
      <w:r w:rsidR="00DA192F" w:rsidRPr="00DA192F">
        <w:rPr>
          <w:sz w:val="24"/>
          <w:szCs w:val="24"/>
        </w:rPr>
        <w:t>howard.grimsrud@avistacorp.com</w:t>
      </w:r>
    </w:p>
    <w:p w:rsidR="00DA192F" w:rsidRDefault="003E4F5B" w:rsidP="00AA791F">
      <w:pPr>
        <w:tabs>
          <w:tab w:val="left" w:pos="1890"/>
          <w:tab w:val="left" w:pos="4770"/>
          <w:tab w:val="left" w:pos="6480"/>
        </w:tabs>
        <w:rPr>
          <w:sz w:val="24"/>
          <w:szCs w:val="24"/>
        </w:rPr>
      </w:pPr>
      <w:r>
        <w:rPr>
          <w:sz w:val="24"/>
          <w:szCs w:val="24"/>
        </w:rPr>
        <w:tab/>
      </w:r>
      <w:r w:rsidR="00DA192F">
        <w:rPr>
          <w:sz w:val="24"/>
          <w:szCs w:val="24"/>
        </w:rPr>
        <w:tab/>
      </w:r>
      <w:r w:rsidR="00DA192F">
        <w:rPr>
          <w:sz w:val="24"/>
          <w:szCs w:val="24"/>
        </w:rPr>
        <w:tab/>
      </w:r>
      <w:r w:rsidR="00DA192F">
        <w:rPr>
          <w:sz w:val="24"/>
          <w:szCs w:val="24"/>
        </w:rPr>
        <w:tab/>
        <w:t>jeanne.pluth@avistacorp.com</w:t>
      </w:r>
    </w:p>
    <w:p w:rsidR="000E629D" w:rsidRDefault="000E629D" w:rsidP="003E4F5B">
      <w:pPr>
        <w:tabs>
          <w:tab w:val="left" w:pos="1890"/>
          <w:tab w:val="left" w:pos="4320"/>
          <w:tab w:val="left" w:pos="6480"/>
        </w:tabs>
        <w:ind w:right="-486"/>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3E4F5B" w:rsidRDefault="003E4F5B" w:rsidP="00140825">
      <w:pPr>
        <w:rPr>
          <w:b/>
          <w:bCs/>
          <w:sz w:val="24"/>
          <w:szCs w:val="24"/>
        </w:rPr>
      </w:pPr>
    </w:p>
    <w:p w:rsidR="00140825" w:rsidRPr="00EF044B" w:rsidRDefault="004F4171" w:rsidP="00140825">
      <w:pPr>
        <w:rPr>
          <w:b/>
          <w:bCs/>
          <w:color w:val="000000"/>
          <w:sz w:val="24"/>
          <w:szCs w:val="24"/>
        </w:rPr>
      </w:pPr>
      <w:r w:rsidRPr="00EF044B">
        <w:rPr>
          <w:b/>
          <w:bCs/>
          <w:sz w:val="24"/>
          <w:szCs w:val="24"/>
        </w:rPr>
        <w:t xml:space="preserve">RE: </w:t>
      </w:r>
      <w:r w:rsidRPr="00EF044B">
        <w:rPr>
          <w:b/>
          <w:bCs/>
          <w:color w:val="000000"/>
          <w:sz w:val="24"/>
          <w:szCs w:val="24"/>
        </w:rPr>
        <w:t>PCB Transformer Restating Adjustment 2.14</w:t>
      </w:r>
      <w:r w:rsidR="00140825" w:rsidRPr="00EF044B">
        <w:rPr>
          <w:b/>
          <w:bCs/>
          <w:color w:val="000000"/>
          <w:sz w:val="24"/>
          <w:szCs w:val="24"/>
        </w:rPr>
        <w:t> </w:t>
      </w:r>
    </w:p>
    <w:p w:rsidR="00140825" w:rsidRDefault="00140825" w:rsidP="00140825">
      <w:pPr>
        <w:rPr>
          <w:b/>
          <w:bCs/>
          <w:color w:val="000000"/>
        </w:rPr>
      </w:pPr>
    </w:p>
    <w:p w:rsidR="00F731E6" w:rsidRPr="00EF044B" w:rsidRDefault="004F4171" w:rsidP="000E629D">
      <w:pPr>
        <w:tabs>
          <w:tab w:val="left" w:pos="1890"/>
          <w:tab w:val="left" w:pos="4320"/>
          <w:tab w:val="left" w:pos="6480"/>
        </w:tabs>
        <w:jc w:val="both"/>
        <w:rPr>
          <w:color w:val="000000"/>
          <w:sz w:val="24"/>
          <w:szCs w:val="24"/>
        </w:rPr>
      </w:pPr>
      <w:r w:rsidRPr="00EF044B">
        <w:rPr>
          <w:sz w:val="24"/>
          <w:szCs w:val="24"/>
        </w:rPr>
        <w:t xml:space="preserve">Avista’s Response to UTC Staff Data Request No. 150, Attachment B, page 2 of 4, indicates the Company transferred </w:t>
      </w:r>
      <w:r w:rsidRPr="00EF044B">
        <w:rPr>
          <w:color w:val="000000"/>
          <w:sz w:val="24"/>
          <w:szCs w:val="24"/>
        </w:rPr>
        <w:t>the 2007-2011 amount of the “Total Best Estimate Adjustment” (which was $1,278,065.18) from FERC Account 108 to Account 595, and treated 100% of this amount as Washington jurisdictional.  As the previous two data requests indicate, the Company previously allocated 53 percent of this item to the Idaho jurisdiction in 2008.  Please explain why the Company allocated 100% of the 2007-2011 amounts for this item ($1,278,065.18) to Washington.</w:t>
      </w:r>
    </w:p>
    <w:p w:rsidR="004F4171" w:rsidRDefault="004F4171" w:rsidP="000E629D">
      <w:pPr>
        <w:tabs>
          <w:tab w:val="left" w:pos="1890"/>
          <w:tab w:val="left" w:pos="4320"/>
          <w:tab w:val="left" w:pos="6480"/>
        </w:tabs>
        <w:jc w:val="both"/>
        <w:rPr>
          <w:color w:val="000000"/>
        </w:rPr>
      </w:pPr>
    </w:p>
    <w:p w:rsidR="004F4171" w:rsidRDefault="004F4171" w:rsidP="000E629D">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637CFC" w:rsidRDefault="00637CFC" w:rsidP="000E629D">
      <w:pPr>
        <w:tabs>
          <w:tab w:val="left" w:pos="1890"/>
          <w:tab w:val="left" w:pos="4320"/>
          <w:tab w:val="left" w:pos="6480"/>
        </w:tabs>
        <w:jc w:val="both"/>
        <w:rPr>
          <w:b/>
          <w:sz w:val="24"/>
          <w:szCs w:val="24"/>
        </w:rPr>
      </w:pPr>
    </w:p>
    <w:p w:rsidR="00DA192F" w:rsidRDefault="00DA192F" w:rsidP="00FB2B24">
      <w:pPr>
        <w:tabs>
          <w:tab w:val="left" w:pos="1890"/>
          <w:tab w:val="left" w:pos="4320"/>
          <w:tab w:val="left" w:pos="6480"/>
        </w:tabs>
        <w:jc w:val="both"/>
        <w:rPr>
          <w:sz w:val="24"/>
          <w:szCs w:val="24"/>
        </w:rPr>
      </w:pPr>
      <w:r>
        <w:rPr>
          <w:sz w:val="24"/>
          <w:szCs w:val="24"/>
        </w:rPr>
        <w:t>As described in response to Staff_DR_150, the Company originally recorded the entire adjustment to Washington (recorded in June 2011).  (This adjustment was provided in Staff_DR_150-Attachment A.)  This was using the "best estimate" at that time.  However, the Company recorded this entry as an accrual/reversal, so the entry would reverse in July 2011.  When the information was received that a portion of the costs related to Idaho, a second adjustment was recorded in July 2011 (which was provided in Staff_DR_150-Attachment B.)</w:t>
      </w:r>
    </w:p>
    <w:p w:rsidR="00DA192F" w:rsidRDefault="00DA192F" w:rsidP="00FB2B24">
      <w:pPr>
        <w:tabs>
          <w:tab w:val="left" w:pos="1890"/>
          <w:tab w:val="left" w:pos="4320"/>
          <w:tab w:val="left" w:pos="6480"/>
        </w:tabs>
        <w:jc w:val="both"/>
        <w:rPr>
          <w:sz w:val="24"/>
          <w:szCs w:val="24"/>
        </w:rPr>
      </w:pPr>
    </w:p>
    <w:p w:rsidR="00DA192F" w:rsidRDefault="00DA192F" w:rsidP="00FB2B24">
      <w:pPr>
        <w:tabs>
          <w:tab w:val="left" w:pos="1890"/>
          <w:tab w:val="left" w:pos="4320"/>
          <w:tab w:val="left" w:pos="6480"/>
        </w:tabs>
        <w:jc w:val="both"/>
        <w:rPr>
          <w:sz w:val="24"/>
          <w:szCs w:val="24"/>
        </w:rPr>
      </w:pPr>
      <w:r>
        <w:rPr>
          <w:sz w:val="24"/>
          <w:szCs w:val="24"/>
        </w:rPr>
        <w:t>When preparing the revenue requirement for the Washington general rate case, unusual journal entries were reviewed to identify material prior period adjustments that impacted Washington 2011 results of operations.  The June 2011 journal was identified</w:t>
      </w:r>
      <w:r w:rsidR="00F25B56">
        <w:rPr>
          <w:sz w:val="24"/>
          <w:szCs w:val="24"/>
        </w:rPr>
        <w:t xml:space="preserve"> and Andrews' electric adjustment 2.14</w:t>
      </w:r>
      <w:r>
        <w:rPr>
          <w:sz w:val="24"/>
          <w:szCs w:val="24"/>
        </w:rPr>
        <w:t xml:space="preserve"> </w:t>
      </w:r>
      <w:r w:rsidR="00F25B56">
        <w:rPr>
          <w:sz w:val="24"/>
          <w:szCs w:val="24"/>
        </w:rPr>
        <w:t xml:space="preserve">was prepared.  The July 2011 entry was not reported as an unusual entry, since it was a correction of the June entry, therefore, that entry was not reviewed when preparing the Washington revenue requirement.  Had that journal entry been identified, the Company would have prepared the adjustment as shown in Staff_DR_269 – Attachment A.  The net impact to the case </w:t>
      </w:r>
      <w:r w:rsidR="00B831AC">
        <w:rPr>
          <w:sz w:val="24"/>
          <w:szCs w:val="24"/>
        </w:rPr>
        <w:t>i</w:t>
      </w:r>
      <w:r w:rsidR="00F25B56">
        <w:rPr>
          <w:sz w:val="24"/>
          <w:szCs w:val="24"/>
        </w:rPr>
        <w:t xml:space="preserve">s a reduction of the costs removed from the case of $76,076, thereby increasing the revenue requirement </w:t>
      </w:r>
      <w:r w:rsidR="00B831AC">
        <w:rPr>
          <w:sz w:val="24"/>
          <w:szCs w:val="24"/>
        </w:rPr>
        <w:t>amount by $79,652</w:t>
      </w:r>
      <w:r w:rsidR="00F25B56">
        <w:rPr>
          <w:sz w:val="24"/>
          <w:szCs w:val="24"/>
        </w:rPr>
        <w:t>.</w:t>
      </w:r>
    </w:p>
    <w:p w:rsidR="00F25B56" w:rsidRDefault="00F25B56" w:rsidP="00FB2B24">
      <w:pPr>
        <w:tabs>
          <w:tab w:val="left" w:pos="1890"/>
          <w:tab w:val="left" w:pos="4320"/>
          <w:tab w:val="left" w:pos="6480"/>
        </w:tabs>
        <w:jc w:val="both"/>
        <w:rPr>
          <w:sz w:val="24"/>
          <w:szCs w:val="24"/>
        </w:rPr>
      </w:pPr>
    </w:p>
    <w:p w:rsidR="00F25B56" w:rsidRPr="00C542DB" w:rsidRDefault="00F25B56" w:rsidP="00FB2B24">
      <w:pPr>
        <w:tabs>
          <w:tab w:val="left" w:pos="1890"/>
          <w:tab w:val="left" w:pos="4320"/>
          <w:tab w:val="left" w:pos="6480"/>
        </w:tabs>
        <w:jc w:val="both"/>
        <w:rPr>
          <w:sz w:val="24"/>
          <w:szCs w:val="24"/>
        </w:rPr>
      </w:pPr>
      <w:r>
        <w:rPr>
          <w:sz w:val="24"/>
          <w:szCs w:val="24"/>
        </w:rPr>
        <w:t>In addition, the Company received an informal request from UTC Staff Ms. Huang for the accounting transactions for the actual recording of the PCB Testing costs, the removal of costs, and the proposed accounting for the recovery of the costs.  This information is provided in Staff_DR_269-Attachment B</w:t>
      </w:r>
      <w:r w:rsidR="00554C9F">
        <w:rPr>
          <w:sz w:val="24"/>
          <w:szCs w:val="24"/>
        </w:rPr>
        <w:t>, using the revised adjustment that was provided in Attachment A.</w:t>
      </w:r>
    </w:p>
    <w:sectPr w:rsidR="00F25B56" w:rsidRPr="00C542DB"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B56" w:rsidRDefault="00F25B56">
      <w:r>
        <w:separator/>
      </w:r>
    </w:p>
  </w:endnote>
  <w:endnote w:type="continuationSeparator" w:id="0">
    <w:p w:rsidR="00F25B56" w:rsidRDefault="00F2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56" w:rsidRDefault="00F25B56" w:rsidP="00056C64">
    <w:pPr>
      <w:pStyle w:val="Footer"/>
      <w:jc w:val="center"/>
    </w:pPr>
    <w:r>
      <w:t xml:space="preserve">Page </w:t>
    </w:r>
    <w:r w:rsidR="00A455E6">
      <w:rPr>
        <w:rStyle w:val="PageNumber"/>
      </w:rPr>
      <w:fldChar w:fldCharType="begin"/>
    </w:r>
    <w:r>
      <w:rPr>
        <w:rStyle w:val="PageNumber"/>
      </w:rPr>
      <w:instrText xml:space="preserve"> PAGE </w:instrText>
    </w:r>
    <w:r w:rsidR="00A455E6">
      <w:rPr>
        <w:rStyle w:val="PageNumber"/>
      </w:rPr>
      <w:fldChar w:fldCharType="separate"/>
    </w:r>
    <w:r w:rsidR="00646424">
      <w:rPr>
        <w:rStyle w:val="PageNumber"/>
        <w:noProof/>
      </w:rPr>
      <w:t>1</w:t>
    </w:r>
    <w:r w:rsidR="00A455E6">
      <w:rPr>
        <w:rStyle w:val="PageNumber"/>
      </w:rPr>
      <w:fldChar w:fldCharType="end"/>
    </w:r>
    <w:r>
      <w:rPr>
        <w:rStyle w:val="PageNumber"/>
      </w:rPr>
      <w:t xml:space="preserve"> of </w:t>
    </w:r>
    <w:r w:rsidR="00A455E6">
      <w:rPr>
        <w:rStyle w:val="PageNumber"/>
      </w:rPr>
      <w:fldChar w:fldCharType="begin"/>
    </w:r>
    <w:r>
      <w:rPr>
        <w:rStyle w:val="PageNumber"/>
      </w:rPr>
      <w:instrText xml:space="preserve"> NUMPAGES </w:instrText>
    </w:r>
    <w:r w:rsidR="00A455E6">
      <w:rPr>
        <w:rStyle w:val="PageNumber"/>
      </w:rPr>
      <w:fldChar w:fldCharType="separate"/>
    </w:r>
    <w:r w:rsidR="00646424">
      <w:rPr>
        <w:rStyle w:val="PageNumber"/>
        <w:noProof/>
      </w:rPr>
      <w:t>1</w:t>
    </w:r>
    <w:r w:rsidR="00A455E6">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56" w:rsidRDefault="00F25B56" w:rsidP="00E64D12">
    <w:pPr>
      <w:pStyle w:val="Footer"/>
      <w:jc w:val="center"/>
    </w:pPr>
    <w:r>
      <w:t xml:space="preserve">Page </w:t>
    </w:r>
    <w:r w:rsidR="00A455E6">
      <w:rPr>
        <w:rStyle w:val="PageNumber"/>
      </w:rPr>
      <w:fldChar w:fldCharType="begin"/>
    </w:r>
    <w:r>
      <w:rPr>
        <w:rStyle w:val="PageNumber"/>
      </w:rPr>
      <w:instrText xml:space="preserve"> PAGE </w:instrText>
    </w:r>
    <w:r w:rsidR="00A455E6">
      <w:rPr>
        <w:rStyle w:val="PageNumber"/>
      </w:rPr>
      <w:fldChar w:fldCharType="separate"/>
    </w:r>
    <w:r>
      <w:rPr>
        <w:rStyle w:val="PageNumber"/>
        <w:noProof/>
      </w:rPr>
      <w:t>1</w:t>
    </w:r>
    <w:r w:rsidR="00A455E6">
      <w:rPr>
        <w:rStyle w:val="PageNumber"/>
      </w:rPr>
      <w:fldChar w:fldCharType="end"/>
    </w:r>
    <w:r>
      <w:rPr>
        <w:rStyle w:val="PageNumber"/>
      </w:rPr>
      <w:t xml:space="preserve"> of </w:t>
    </w:r>
    <w:r w:rsidR="00A455E6">
      <w:rPr>
        <w:rStyle w:val="PageNumber"/>
      </w:rPr>
      <w:fldChar w:fldCharType="begin"/>
    </w:r>
    <w:r>
      <w:rPr>
        <w:rStyle w:val="PageNumber"/>
      </w:rPr>
      <w:instrText xml:space="preserve"> NUMPAGES </w:instrText>
    </w:r>
    <w:r w:rsidR="00A455E6">
      <w:rPr>
        <w:rStyle w:val="PageNumber"/>
      </w:rPr>
      <w:fldChar w:fldCharType="separate"/>
    </w:r>
    <w:r w:rsidR="00B831AC">
      <w:rPr>
        <w:rStyle w:val="PageNumber"/>
        <w:noProof/>
      </w:rPr>
      <w:t>1</w:t>
    </w:r>
    <w:r w:rsidR="00A455E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B56" w:rsidRDefault="00F25B56">
      <w:r>
        <w:separator/>
      </w:r>
    </w:p>
  </w:footnote>
  <w:footnote w:type="continuationSeparator" w:id="0">
    <w:p w:rsidR="00F25B56" w:rsidRDefault="00F2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56" w:rsidRDefault="00F25B56">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4">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5">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19">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1">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5"/>
  </w:num>
  <w:num w:numId="2">
    <w:abstractNumId w:val="17"/>
  </w:num>
  <w:num w:numId="3">
    <w:abstractNumId w:val="11"/>
  </w:num>
  <w:num w:numId="4">
    <w:abstractNumId w:val="0"/>
  </w:num>
  <w:num w:numId="5">
    <w:abstractNumId w:val="24"/>
  </w:num>
  <w:num w:numId="6">
    <w:abstractNumId w:val="21"/>
  </w:num>
  <w:num w:numId="7">
    <w:abstractNumId w:val="7"/>
  </w:num>
  <w:num w:numId="8">
    <w:abstractNumId w:val="23"/>
  </w:num>
  <w:num w:numId="9">
    <w:abstractNumId w:val="3"/>
  </w:num>
  <w:num w:numId="10">
    <w:abstractNumId w:val="16"/>
  </w:num>
  <w:num w:numId="11">
    <w:abstractNumId w:val="2"/>
  </w:num>
  <w:num w:numId="12">
    <w:abstractNumId w:val="8"/>
  </w:num>
  <w:num w:numId="13">
    <w:abstractNumId w:val="25"/>
  </w:num>
  <w:num w:numId="14">
    <w:abstractNumId w:val="4"/>
  </w:num>
  <w:num w:numId="15">
    <w:abstractNumId w:val="5"/>
  </w:num>
  <w:num w:numId="16">
    <w:abstractNumId w:val="6"/>
  </w:num>
  <w:num w:numId="17">
    <w:abstractNumId w:val="14"/>
  </w:num>
  <w:num w:numId="18">
    <w:abstractNumId w:val="20"/>
  </w:num>
  <w:num w:numId="19">
    <w:abstractNumId w:val="9"/>
  </w:num>
  <w:num w:numId="20">
    <w:abstractNumId w:val="12"/>
  </w:num>
  <w:num w:numId="21">
    <w:abstractNumId w:val="1"/>
  </w:num>
  <w:num w:numId="22">
    <w:abstractNumId w:val="18"/>
  </w:num>
  <w:num w:numId="23">
    <w:abstractNumId w:val="13"/>
  </w:num>
  <w:num w:numId="24">
    <w:abstractNumId w:val="10"/>
  </w:num>
  <w:num w:numId="25">
    <w:abstractNumId w:val="2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142D"/>
    <w:rsid w:val="000121D0"/>
    <w:rsid w:val="000177E6"/>
    <w:rsid w:val="00023B8E"/>
    <w:rsid w:val="00056C64"/>
    <w:rsid w:val="00081D52"/>
    <w:rsid w:val="000A4C52"/>
    <w:rsid w:val="000E629D"/>
    <w:rsid w:val="001004DE"/>
    <w:rsid w:val="0011273E"/>
    <w:rsid w:val="0012408C"/>
    <w:rsid w:val="00140825"/>
    <w:rsid w:val="00147CD2"/>
    <w:rsid w:val="00177390"/>
    <w:rsid w:val="001B03C0"/>
    <w:rsid w:val="001D4BE0"/>
    <w:rsid w:val="001E06F3"/>
    <w:rsid w:val="001E07A6"/>
    <w:rsid w:val="001F2C4B"/>
    <w:rsid w:val="001F6472"/>
    <w:rsid w:val="002146D9"/>
    <w:rsid w:val="00236EDE"/>
    <w:rsid w:val="002677D5"/>
    <w:rsid w:val="00285078"/>
    <w:rsid w:val="002B16E6"/>
    <w:rsid w:val="002B6C49"/>
    <w:rsid w:val="002D4804"/>
    <w:rsid w:val="002E674E"/>
    <w:rsid w:val="003112DE"/>
    <w:rsid w:val="003348C4"/>
    <w:rsid w:val="00375C8C"/>
    <w:rsid w:val="0038329F"/>
    <w:rsid w:val="00383DD3"/>
    <w:rsid w:val="003B4E20"/>
    <w:rsid w:val="003C0AED"/>
    <w:rsid w:val="003C1D9A"/>
    <w:rsid w:val="003D4559"/>
    <w:rsid w:val="003E487F"/>
    <w:rsid w:val="003E4F5B"/>
    <w:rsid w:val="003E50F1"/>
    <w:rsid w:val="00417AA4"/>
    <w:rsid w:val="00422CC4"/>
    <w:rsid w:val="00446369"/>
    <w:rsid w:val="004A6D06"/>
    <w:rsid w:val="004A7704"/>
    <w:rsid w:val="004C436E"/>
    <w:rsid w:val="004F03CE"/>
    <w:rsid w:val="004F0E06"/>
    <w:rsid w:val="004F4171"/>
    <w:rsid w:val="004F7DA8"/>
    <w:rsid w:val="00500F1F"/>
    <w:rsid w:val="005048A8"/>
    <w:rsid w:val="005050C4"/>
    <w:rsid w:val="0055045F"/>
    <w:rsid w:val="00554C9F"/>
    <w:rsid w:val="005906BD"/>
    <w:rsid w:val="00591481"/>
    <w:rsid w:val="005A2255"/>
    <w:rsid w:val="005A49F0"/>
    <w:rsid w:val="005B327F"/>
    <w:rsid w:val="005B396E"/>
    <w:rsid w:val="005C1EDF"/>
    <w:rsid w:val="005D72D7"/>
    <w:rsid w:val="006045D3"/>
    <w:rsid w:val="0061553A"/>
    <w:rsid w:val="00633F9B"/>
    <w:rsid w:val="00637CFC"/>
    <w:rsid w:val="00646424"/>
    <w:rsid w:val="00663AE9"/>
    <w:rsid w:val="00741CF2"/>
    <w:rsid w:val="00752F3B"/>
    <w:rsid w:val="00753FE9"/>
    <w:rsid w:val="00754422"/>
    <w:rsid w:val="007A30D4"/>
    <w:rsid w:val="007B5EE6"/>
    <w:rsid w:val="007E3A66"/>
    <w:rsid w:val="008022DE"/>
    <w:rsid w:val="008074FC"/>
    <w:rsid w:val="008251DD"/>
    <w:rsid w:val="008D1DFC"/>
    <w:rsid w:val="008E3932"/>
    <w:rsid w:val="008F44FF"/>
    <w:rsid w:val="009052D2"/>
    <w:rsid w:val="009257B1"/>
    <w:rsid w:val="00941853"/>
    <w:rsid w:val="00957712"/>
    <w:rsid w:val="009727ED"/>
    <w:rsid w:val="009931DE"/>
    <w:rsid w:val="00A455E6"/>
    <w:rsid w:val="00A82D5A"/>
    <w:rsid w:val="00A96A19"/>
    <w:rsid w:val="00AA791F"/>
    <w:rsid w:val="00AB5D5A"/>
    <w:rsid w:val="00B11D97"/>
    <w:rsid w:val="00B41482"/>
    <w:rsid w:val="00B72352"/>
    <w:rsid w:val="00B76EAC"/>
    <w:rsid w:val="00B831AC"/>
    <w:rsid w:val="00B92A7F"/>
    <w:rsid w:val="00BB73DC"/>
    <w:rsid w:val="00BD5789"/>
    <w:rsid w:val="00C040A5"/>
    <w:rsid w:val="00C41F75"/>
    <w:rsid w:val="00C542DB"/>
    <w:rsid w:val="00C73FA6"/>
    <w:rsid w:val="00C83E18"/>
    <w:rsid w:val="00CA15F9"/>
    <w:rsid w:val="00CB5D93"/>
    <w:rsid w:val="00CD4D4E"/>
    <w:rsid w:val="00D04046"/>
    <w:rsid w:val="00D323DF"/>
    <w:rsid w:val="00D34BFF"/>
    <w:rsid w:val="00D376F6"/>
    <w:rsid w:val="00D40664"/>
    <w:rsid w:val="00D41724"/>
    <w:rsid w:val="00D51257"/>
    <w:rsid w:val="00D75120"/>
    <w:rsid w:val="00D77A4E"/>
    <w:rsid w:val="00D82930"/>
    <w:rsid w:val="00DA192F"/>
    <w:rsid w:val="00DA234F"/>
    <w:rsid w:val="00DB4781"/>
    <w:rsid w:val="00DE5D38"/>
    <w:rsid w:val="00DF4214"/>
    <w:rsid w:val="00E14BE3"/>
    <w:rsid w:val="00E404F2"/>
    <w:rsid w:val="00E43DB3"/>
    <w:rsid w:val="00E64D12"/>
    <w:rsid w:val="00E82D34"/>
    <w:rsid w:val="00E84C7F"/>
    <w:rsid w:val="00E94E42"/>
    <w:rsid w:val="00EA2239"/>
    <w:rsid w:val="00EB5775"/>
    <w:rsid w:val="00EC527F"/>
    <w:rsid w:val="00ED1DE2"/>
    <w:rsid w:val="00ED6C6D"/>
    <w:rsid w:val="00EE30BA"/>
    <w:rsid w:val="00EF044B"/>
    <w:rsid w:val="00F06D34"/>
    <w:rsid w:val="00F25B56"/>
    <w:rsid w:val="00F268AE"/>
    <w:rsid w:val="00F45461"/>
    <w:rsid w:val="00F514A7"/>
    <w:rsid w:val="00F712F9"/>
    <w:rsid w:val="00F731E6"/>
    <w:rsid w:val="00F87AEC"/>
    <w:rsid w:val="00FA4AFD"/>
    <w:rsid w:val="00FB2B24"/>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559"/>
    <w:pPr>
      <w:autoSpaceDE w:val="0"/>
      <w:autoSpaceDN w:val="0"/>
    </w:pPr>
  </w:style>
  <w:style w:type="paragraph" w:styleId="Heading1">
    <w:name w:val="heading 1"/>
    <w:basedOn w:val="Normal"/>
    <w:next w:val="Normal"/>
    <w:qFormat/>
    <w:rsid w:val="003D4559"/>
    <w:pPr>
      <w:keepNext/>
      <w:tabs>
        <w:tab w:val="left" w:pos="1890"/>
        <w:tab w:val="left" w:pos="4320"/>
        <w:tab w:val="left" w:pos="6390"/>
      </w:tabs>
      <w:outlineLvl w:val="0"/>
    </w:pPr>
    <w:rPr>
      <w:sz w:val="24"/>
      <w:szCs w:val="24"/>
    </w:rPr>
  </w:style>
  <w:style w:type="paragraph" w:styleId="Heading2">
    <w:name w:val="heading 2"/>
    <w:basedOn w:val="Normal"/>
    <w:next w:val="Normal"/>
    <w:qFormat/>
    <w:rsid w:val="003D4559"/>
    <w:pPr>
      <w:keepNext/>
      <w:ind w:right="540"/>
      <w:jc w:val="center"/>
      <w:outlineLvl w:val="1"/>
    </w:pPr>
    <w:rPr>
      <w:b/>
      <w:bCs/>
      <w:sz w:val="24"/>
      <w:szCs w:val="24"/>
    </w:rPr>
  </w:style>
  <w:style w:type="paragraph" w:styleId="Heading3">
    <w:name w:val="heading 3"/>
    <w:basedOn w:val="Normal"/>
    <w:next w:val="Normal"/>
    <w:qFormat/>
    <w:rsid w:val="003D4559"/>
    <w:pPr>
      <w:keepNext/>
      <w:ind w:right="180"/>
      <w:jc w:val="center"/>
      <w:outlineLvl w:val="2"/>
    </w:pPr>
    <w:rPr>
      <w:b/>
      <w:bCs/>
      <w:sz w:val="24"/>
      <w:szCs w:val="24"/>
    </w:rPr>
  </w:style>
  <w:style w:type="paragraph" w:styleId="Heading4">
    <w:name w:val="heading 4"/>
    <w:basedOn w:val="Normal"/>
    <w:next w:val="Normal"/>
    <w:qFormat/>
    <w:rsid w:val="003D4559"/>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559"/>
    <w:pPr>
      <w:tabs>
        <w:tab w:val="center" w:pos="4320"/>
        <w:tab w:val="right" w:pos="8640"/>
      </w:tabs>
    </w:pPr>
  </w:style>
  <w:style w:type="paragraph" w:styleId="Footer">
    <w:name w:val="footer"/>
    <w:basedOn w:val="Normal"/>
    <w:rsid w:val="003D4559"/>
    <w:pPr>
      <w:tabs>
        <w:tab w:val="center" w:pos="4320"/>
        <w:tab w:val="right" w:pos="8640"/>
      </w:tabs>
    </w:pPr>
  </w:style>
  <w:style w:type="character" w:styleId="PageNumber">
    <w:name w:val="page number"/>
    <w:basedOn w:val="DefaultParagraphFont"/>
    <w:rsid w:val="003D4559"/>
    <w:rPr>
      <w:rFonts w:cs="Times New Roman"/>
    </w:rPr>
  </w:style>
  <w:style w:type="paragraph" w:styleId="PlainText">
    <w:name w:val="Plain Text"/>
    <w:basedOn w:val="Normal"/>
    <w:rsid w:val="003D4559"/>
    <w:rPr>
      <w:rFonts w:ascii="Courier New" w:hAnsi="Courier New" w:cs="Courier New"/>
    </w:rPr>
  </w:style>
  <w:style w:type="paragraph" w:styleId="BodyText2">
    <w:name w:val="Body Text 2"/>
    <w:basedOn w:val="Normal"/>
    <w:rsid w:val="003D4559"/>
    <w:pPr>
      <w:tabs>
        <w:tab w:val="left" w:pos="1890"/>
        <w:tab w:val="left" w:pos="4320"/>
        <w:tab w:val="left" w:pos="6480"/>
      </w:tabs>
      <w:jc w:val="both"/>
    </w:pPr>
  </w:style>
  <w:style w:type="paragraph" w:styleId="BodyTextIndent2">
    <w:name w:val="Body Text Indent 2"/>
    <w:basedOn w:val="Normal"/>
    <w:rsid w:val="003D4559"/>
    <w:pPr>
      <w:tabs>
        <w:tab w:val="left" w:pos="720"/>
        <w:tab w:val="left" w:pos="1890"/>
        <w:tab w:val="left" w:pos="4320"/>
        <w:tab w:val="left" w:pos="6480"/>
      </w:tabs>
      <w:ind w:left="720"/>
    </w:pPr>
    <w:rPr>
      <w:sz w:val="24"/>
      <w:szCs w:val="24"/>
    </w:rPr>
  </w:style>
  <w:style w:type="paragraph" w:styleId="BodyText">
    <w:name w:val="Body Text"/>
    <w:basedOn w:val="Normal"/>
    <w:rsid w:val="003D4559"/>
    <w:pPr>
      <w:tabs>
        <w:tab w:val="left" w:pos="1890"/>
        <w:tab w:val="left" w:pos="4320"/>
        <w:tab w:val="left" w:pos="6480"/>
      </w:tabs>
    </w:pPr>
    <w:rPr>
      <w:sz w:val="24"/>
      <w:szCs w:val="24"/>
    </w:rPr>
  </w:style>
  <w:style w:type="character" w:styleId="Hyperlink">
    <w:name w:val="Hyperlink"/>
    <w:basedOn w:val="DefaultParagraphFont"/>
    <w:rsid w:val="003D4559"/>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76441-83A4-4C32-97C0-3906BE44F705}"/>
</file>

<file path=customXml/itemProps2.xml><?xml version="1.0" encoding="utf-8"?>
<ds:datastoreItem xmlns:ds="http://schemas.openxmlformats.org/officeDocument/2006/customXml" ds:itemID="{554C29F9-E9F0-41A5-9AD5-5C97378EC7E4}"/>
</file>

<file path=customXml/itemProps3.xml><?xml version="1.0" encoding="utf-8"?>
<ds:datastoreItem xmlns:ds="http://schemas.openxmlformats.org/officeDocument/2006/customXml" ds:itemID="{B43B618B-F320-4C25-83C9-32C70D65D2C2}"/>
</file>

<file path=customXml/itemProps4.xml><?xml version="1.0" encoding="utf-8"?>
<ds:datastoreItem xmlns:ds="http://schemas.openxmlformats.org/officeDocument/2006/customXml" ds:itemID="{E47C5376-4913-48E4-BE38-9DEFCEBC5787}"/>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Lea Daeschel</cp:lastModifiedBy>
  <cp:revision>2</cp:revision>
  <cp:lastPrinted>2012-06-22T14:25:00Z</cp:lastPrinted>
  <dcterms:created xsi:type="dcterms:W3CDTF">2012-09-12T21:38:00Z</dcterms:created>
  <dcterms:modified xsi:type="dcterms:W3CDTF">2012-09-12T21:38:00Z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