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C26B84">
        <w:t>0</w:t>
      </w:r>
      <w:r w:rsidR="00C031C7">
        <w:t>6</w:t>
      </w:r>
      <w:r w:rsidR="00417AA4">
        <w:t>/</w:t>
      </w:r>
      <w:r w:rsidR="00C26B84">
        <w:t>2</w:t>
      </w:r>
      <w:r w:rsidR="00C031C7">
        <w:t>7</w:t>
      </w:r>
      <w:r w:rsidR="00C26B84">
        <w:t>/</w:t>
      </w:r>
      <w:r w:rsidR="008022DE">
        <w:t>20</w:t>
      </w:r>
      <w:r w:rsidR="00B76EAC">
        <w:t>1</w:t>
      </w:r>
      <w:r w:rsidR="00AF09F0">
        <w:t>2</w:t>
      </w:r>
    </w:p>
    <w:p w:rsidR="00FD536A" w:rsidRDefault="00FD536A" w:rsidP="00F731E6">
      <w:pPr>
        <w:pStyle w:val="Heading1"/>
        <w:tabs>
          <w:tab w:val="clear" w:pos="4320"/>
          <w:tab w:val="left" w:pos="4770"/>
        </w:tabs>
      </w:pPr>
      <w:r>
        <w:t>CASE NO:</w:t>
      </w:r>
      <w:r>
        <w:tab/>
      </w:r>
      <w:r w:rsidR="006A6CF9">
        <w:t>UE-120436 &amp; UG-120437</w:t>
      </w:r>
      <w:r>
        <w:tab/>
        <w:t>WITNESS:</w:t>
      </w:r>
      <w:r>
        <w:tab/>
      </w:r>
      <w:r w:rsidR="00F731E6">
        <w:tab/>
      </w:r>
      <w:r w:rsidR="00F731E6">
        <w:tab/>
      </w:r>
      <w:r w:rsidR="0076414A">
        <w:t>Elizabeth Andrews</w:t>
      </w:r>
    </w:p>
    <w:p w:rsidR="00C031C7" w:rsidRPr="00C031C7" w:rsidRDefault="00C73FA6" w:rsidP="00D648B3">
      <w:pPr>
        <w:pStyle w:val="Heading1"/>
        <w:tabs>
          <w:tab w:val="clear" w:pos="4320"/>
          <w:tab w:val="left" w:pos="4770"/>
        </w:tabs>
        <w:ind w:right="-486"/>
      </w:pPr>
      <w:r>
        <w:t>REQUESTER:</w:t>
      </w:r>
      <w:r>
        <w:tab/>
      </w:r>
      <w:r w:rsidR="00022230">
        <w:t>Public Counsel</w:t>
      </w:r>
      <w:r w:rsidR="00FD536A">
        <w:tab/>
        <w:t>RESPONDER:</w:t>
      </w:r>
      <w:r w:rsidR="00FD536A">
        <w:tab/>
      </w:r>
      <w:r w:rsidR="00F731E6">
        <w:tab/>
      </w:r>
      <w:r w:rsidR="0076414A">
        <w:tab/>
      </w:r>
      <w:r w:rsidR="00C26B84">
        <w:t>Jennifer McCauley</w:t>
      </w:r>
      <w:r w:rsidR="00C031C7">
        <w:t>/Jeanne</w:t>
      </w:r>
      <w:r w:rsidR="00D648B3">
        <w:t xml:space="preserve"> </w:t>
      </w:r>
      <w:r w:rsidR="00C031C7" w:rsidRPr="00C031C7">
        <w:t>Pluth</w:t>
      </w:r>
    </w:p>
    <w:p w:rsidR="001004DE" w:rsidRDefault="00FD536A" w:rsidP="00F731E6">
      <w:pPr>
        <w:pStyle w:val="Heading1"/>
        <w:tabs>
          <w:tab w:val="clear" w:pos="4320"/>
          <w:tab w:val="left" w:pos="4770"/>
        </w:tabs>
      </w:pPr>
      <w:r>
        <w:t>TYPE:</w:t>
      </w:r>
      <w:r>
        <w:tab/>
        <w:t>Data Request</w:t>
      </w:r>
      <w:r>
        <w:tab/>
        <w:t>DEPT:</w:t>
      </w:r>
      <w:r w:rsidR="00C26B84">
        <w:t xml:space="preserve"> </w:t>
      </w:r>
      <w:r w:rsidR="0076414A">
        <w:tab/>
      </w:r>
      <w:r w:rsidR="0076414A">
        <w:tab/>
      </w:r>
      <w:r w:rsidR="0076414A">
        <w:tab/>
      </w:r>
      <w:r w:rsidR="00C26B84">
        <w:t>Corporate Accounting</w:t>
      </w:r>
      <w:r w:rsidR="00C031C7">
        <w:t>/State</w:t>
      </w:r>
    </w:p>
    <w:p w:rsidR="00C031C7" w:rsidRPr="00C031C7" w:rsidRDefault="00C031C7" w:rsidP="00C031C7">
      <w:pPr>
        <w:rPr>
          <w:sz w:val="24"/>
          <w:szCs w:val="24"/>
        </w:rPr>
      </w:pPr>
      <w:r>
        <w:tab/>
      </w:r>
      <w:r>
        <w:tab/>
      </w:r>
      <w:r>
        <w:tab/>
      </w:r>
      <w:r>
        <w:tab/>
      </w:r>
      <w:r>
        <w:tab/>
      </w:r>
      <w:r>
        <w:tab/>
      </w:r>
      <w:r>
        <w:tab/>
      </w:r>
      <w:r>
        <w:tab/>
      </w:r>
      <w:r>
        <w:tab/>
      </w:r>
      <w:r>
        <w:tab/>
      </w:r>
      <w:r w:rsidRPr="00C031C7">
        <w:rPr>
          <w:sz w:val="24"/>
          <w:szCs w:val="24"/>
        </w:rPr>
        <w:t>&amp;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022230">
        <w:t xml:space="preserve">PC – </w:t>
      </w:r>
      <w:r w:rsidR="00C26B84">
        <w:t>152</w:t>
      </w:r>
      <w:r w:rsidR="00C031C7">
        <w:t>-Revised</w:t>
      </w:r>
      <w:r w:rsidR="004A7704">
        <w:tab/>
      </w:r>
      <w:r w:rsidR="00FD536A">
        <w:t>TELEPHONE:</w:t>
      </w:r>
      <w:r w:rsidR="00FD536A">
        <w:tab/>
      </w:r>
      <w:r w:rsidR="00F731E6">
        <w:tab/>
      </w:r>
      <w:r w:rsidR="00F731E6">
        <w:tab/>
      </w:r>
      <w:r w:rsidR="00FD536A">
        <w:t>(509) 495-</w:t>
      </w:r>
      <w:r w:rsidR="00C26B84">
        <w:t>2303</w:t>
      </w:r>
      <w:r w:rsidR="00C031C7">
        <w:t>/2204</w:t>
      </w:r>
    </w:p>
    <w:p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sidR="0076414A">
        <w:rPr>
          <w:sz w:val="24"/>
          <w:szCs w:val="24"/>
        </w:rPr>
        <w:tab/>
      </w:r>
      <w:r w:rsidR="00C031C7" w:rsidRPr="00C031C7">
        <w:rPr>
          <w:sz w:val="24"/>
          <w:szCs w:val="24"/>
        </w:rPr>
        <w:t>jennifer.mccauley@avistacorp.com</w:t>
      </w:r>
    </w:p>
    <w:p w:rsidR="00C031C7" w:rsidRDefault="00C031C7" w:rsidP="00AA791F">
      <w:pPr>
        <w:tabs>
          <w:tab w:val="left" w:pos="1890"/>
          <w:tab w:val="left" w:pos="4770"/>
          <w:tab w:val="left" w:pos="6480"/>
        </w:tabs>
        <w:rPr>
          <w:sz w:val="24"/>
          <w:szCs w:val="24"/>
        </w:rPr>
      </w:pPr>
      <w:r>
        <w:rPr>
          <w:sz w:val="24"/>
          <w:szCs w:val="24"/>
        </w:rPr>
        <w:tab/>
      </w:r>
      <w:r>
        <w:rPr>
          <w:sz w:val="24"/>
          <w:szCs w:val="24"/>
        </w:rPr>
        <w:tab/>
      </w:r>
      <w:r>
        <w:rPr>
          <w:sz w:val="24"/>
          <w:szCs w:val="24"/>
        </w:rPr>
        <w:tab/>
        <w:t>jeanne.pluth@avistacorp.com</w:t>
      </w:r>
    </w:p>
    <w:p w:rsidR="000E629D" w:rsidRDefault="000E629D">
      <w:pPr>
        <w:tabs>
          <w:tab w:val="left" w:pos="1890"/>
          <w:tab w:val="left" w:pos="4320"/>
          <w:tab w:val="left" w:pos="6480"/>
        </w:tabs>
        <w:rPr>
          <w:sz w:val="24"/>
          <w:szCs w:val="24"/>
        </w:rPr>
      </w:pPr>
    </w:p>
    <w:p w:rsidR="0076414A" w:rsidRDefault="00FD536A" w:rsidP="00C26B84">
      <w:r>
        <w:rPr>
          <w:b/>
          <w:bCs/>
          <w:sz w:val="24"/>
          <w:szCs w:val="24"/>
        </w:rPr>
        <w:t>REQUEST:</w:t>
      </w:r>
      <w:r w:rsidR="00C26B84" w:rsidRPr="00C26B84">
        <w:t xml:space="preserve"> </w:t>
      </w:r>
    </w:p>
    <w:p w:rsidR="0076414A" w:rsidRDefault="0076414A" w:rsidP="00C26B84"/>
    <w:p w:rsidR="00C26B84" w:rsidRPr="0076414A" w:rsidRDefault="00C26B84" w:rsidP="00C26B84">
      <w:pPr>
        <w:rPr>
          <w:sz w:val="24"/>
          <w:szCs w:val="24"/>
        </w:rPr>
      </w:pPr>
      <w:r w:rsidRPr="0076414A">
        <w:rPr>
          <w:sz w:val="24"/>
          <w:szCs w:val="24"/>
        </w:rPr>
        <w:t xml:space="preserve">Please provide total Avista consolidated, Avista electric operation’s and Avista gas operation’s stand alone federal income tax expense calculations for calendar years 2010 and 2011 (estimated if actual not yet available.)  Provide a calculation that begins with net income as reported within public financial statements, adds/subtracts permanent and timing differences to arrive at current federal taxable income used in determining </w:t>
      </w:r>
      <w:r w:rsidRPr="0076414A">
        <w:rPr>
          <w:i/>
          <w:iCs/>
          <w:sz w:val="24"/>
          <w:szCs w:val="24"/>
        </w:rPr>
        <w:t>current</w:t>
      </w:r>
      <w:r w:rsidRPr="0076414A">
        <w:rPr>
          <w:sz w:val="24"/>
          <w:szCs w:val="24"/>
        </w:rPr>
        <w:t xml:space="preserve"> federal income tax expense.  For each book and tax difference, describe the difference, provide the amount of the difference for each year and indicate whether the difference is a “permanent” or “timing” difference.  Also, </w:t>
      </w:r>
      <w:proofErr w:type="gramStart"/>
      <w:r w:rsidRPr="0076414A">
        <w:rPr>
          <w:sz w:val="24"/>
          <w:szCs w:val="24"/>
        </w:rPr>
        <w:t xml:space="preserve">for each </w:t>
      </w:r>
      <w:r w:rsidRPr="0076414A">
        <w:rPr>
          <w:i/>
          <w:sz w:val="24"/>
          <w:szCs w:val="24"/>
        </w:rPr>
        <w:t>timing</w:t>
      </w:r>
      <w:proofErr w:type="gramEnd"/>
      <w:r w:rsidRPr="0076414A">
        <w:rPr>
          <w:sz w:val="24"/>
          <w:szCs w:val="24"/>
        </w:rPr>
        <w:t xml:space="preserve"> difference state or provide the following:</w:t>
      </w:r>
    </w:p>
    <w:p w:rsidR="00C26B84" w:rsidRPr="0076414A" w:rsidRDefault="00C26B84" w:rsidP="00C26B84">
      <w:pPr>
        <w:ind w:left="1440" w:hanging="1440"/>
        <w:rPr>
          <w:sz w:val="24"/>
          <w:szCs w:val="24"/>
        </w:rPr>
      </w:pPr>
    </w:p>
    <w:p w:rsidR="00C26B84" w:rsidRPr="0076414A" w:rsidRDefault="00C26B84" w:rsidP="00C26B84">
      <w:pPr>
        <w:numPr>
          <w:ilvl w:val="0"/>
          <w:numId w:val="27"/>
        </w:numPr>
        <w:autoSpaceDE/>
        <w:autoSpaceDN/>
        <w:ind w:left="342"/>
        <w:rPr>
          <w:sz w:val="24"/>
          <w:szCs w:val="24"/>
        </w:rPr>
      </w:pPr>
      <w:r w:rsidRPr="0076414A">
        <w:rPr>
          <w:sz w:val="24"/>
          <w:szCs w:val="24"/>
        </w:rPr>
        <w:t>Description of the turnaround period.</w:t>
      </w:r>
    </w:p>
    <w:p w:rsidR="00C26B84" w:rsidRPr="0076414A" w:rsidRDefault="00C26B84" w:rsidP="00C26B84">
      <w:pPr>
        <w:ind w:left="342"/>
        <w:rPr>
          <w:sz w:val="24"/>
          <w:szCs w:val="24"/>
        </w:rPr>
      </w:pPr>
    </w:p>
    <w:p w:rsidR="00C26B84" w:rsidRPr="0076414A" w:rsidRDefault="00C26B84" w:rsidP="00C26B84">
      <w:pPr>
        <w:numPr>
          <w:ilvl w:val="0"/>
          <w:numId w:val="27"/>
        </w:numPr>
        <w:autoSpaceDE/>
        <w:autoSpaceDN/>
        <w:ind w:left="342"/>
        <w:rPr>
          <w:sz w:val="24"/>
          <w:szCs w:val="24"/>
        </w:rPr>
      </w:pPr>
      <w:r w:rsidRPr="0076414A">
        <w:rPr>
          <w:sz w:val="24"/>
          <w:szCs w:val="24"/>
        </w:rPr>
        <w:t>Show the application of the current effective federal income tax rate to the each year’s timing difference and the resulting calendar year deferred expense provision for items afforded normalization tax treatment. Alternatively please confirm that such timing difference is being afforded “flow through” rate and accounting treatment.</w:t>
      </w:r>
    </w:p>
    <w:p w:rsidR="00C26B84" w:rsidRPr="0076414A" w:rsidRDefault="00C26B84" w:rsidP="00C26B84">
      <w:pPr>
        <w:ind w:left="342"/>
        <w:rPr>
          <w:sz w:val="24"/>
          <w:szCs w:val="24"/>
        </w:rPr>
      </w:pPr>
    </w:p>
    <w:p w:rsidR="00C26B84" w:rsidRPr="0076414A" w:rsidRDefault="00C26B84" w:rsidP="00C26B84">
      <w:pPr>
        <w:numPr>
          <w:ilvl w:val="0"/>
          <w:numId w:val="27"/>
        </w:numPr>
        <w:autoSpaceDE/>
        <w:autoSpaceDN/>
        <w:ind w:left="342"/>
        <w:rPr>
          <w:sz w:val="24"/>
          <w:szCs w:val="24"/>
        </w:rPr>
      </w:pPr>
      <w:r w:rsidRPr="0076414A">
        <w:rPr>
          <w:sz w:val="24"/>
          <w:szCs w:val="24"/>
        </w:rPr>
        <w:t>For items for which deferred taxes have been accrued in prior years, provide the turnaround amortization amount, stating or showing the federal effective tax rate utilized in the original deferral period(s).</w:t>
      </w:r>
    </w:p>
    <w:p w:rsidR="00FD536A" w:rsidRDefault="00FD536A">
      <w:pPr>
        <w:tabs>
          <w:tab w:val="left" w:pos="1890"/>
          <w:tab w:val="left" w:pos="4320"/>
          <w:tab w:val="left" w:pos="6480"/>
        </w:tabs>
        <w:jc w:val="both"/>
        <w:rPr>
          <w:b/>
          <w:bCs/>
          <w:sz w:val="24"/>
          <w:szCs w:val="24"/>
        </w:rPr>
      </w:pPr>
    </w:p>
    <w:p w:rsidR="002A02FE" w:rsidRDefault="002A02FE">
      <w:pPr>
        <w:tabs>
          <w:tab w:val="left" w:pos="1890"/>
          <w:tab w:val="left" w:pos="4320"/>
          <w:tab w:val="left" w:pos="6480"/>
        </w:tabs>
        <w:jc w:val="both"/>
        <w:rPr>
          <w:b/>
          <w:bCs/>
          <w:sz w:val="24"/>
          <w:szCs w:val="24"/>
        </w:rPr>
      </w:pPr>
    </w:p>
    <w:p w:rsidR="00417AA4" w:rsidRDefault="00FD536A" w:rsidP="000E629D">
      <w:pPr>
        <w:tabs>
          <w:tab w:val="left" w:pos="1890"/>
          <w:tab w:val="left" w:pos="4320"/>
          <w:tab w:val="left" w:pos="6480"/>
        </w:tabs>
        <w:jc w:val="both"/>
        <w:rPr>
          <w:b/>
          <w:sz w:val="24"/>
          <w:szCs w:val="24"/>
        </w:rPr>
      </w:pPr>
      <w:r w:rsidRPr="000E629D">
        <w:rPr>
          <w:b/>
          <w:sz w:val="24"/>
          <w:szCs w:val="24"/>
        </w:rPr>
        <w:t>RESPONSE:</w:t>
      </w:r>
    </w:p>
    <w:p w:rsidR="00D62006" w:rsidRDefault="00D62006" w:rsidP="00D62006">
      <w:pPr>
        <w:tabs>
          <w:tab w:val="left" w:pos="1890"/>
          <w:tab w:val="left" w:pos="4320"/>
          <w:tab w:val="left" w:pos="6480"/>
        </w:tabs>
        <w:jc w:val="both"/>
        <w:rPr>
          <w:b/>
          <w:sz w:val="24"/>
          <w:szCs w:val="24"/>
        </w:rPr>
      </w:pPr>
    </w:p>
    <w:p w:rsidR="00B022A2" w:rsidRDefault="00B022A2" w:rsidP="00D62006">
      <w:pPr>
        <w:tabs>
          <w:tab w:val="left" w:pos="1890"/>
          <w:tab w:val="left" w:pos="4320"/>
          <w:tab w:val="left" w:pos="6480"/>
        </w:tabs>
        <w:jc w:val="both"/>
        <w:rPr>
          <w:sz w:val="24"/>
          <w:szCs w:val="24"/>
        </w:rPr>
      </w:pPr>
      <w:r w:rsidRPr="00B022A2">
        <w:rPr>
          <w:sz w:val="24"/>
          <w:szCs w:val="24"/>
        </w:rPr>
        <w:t>Please see</w:t>
      </w:r>
      <w:r>
        <w:rPr>
          <w:sz w:val="24"/>
          <w:szCs w:val="24"/>
        </w:rPr>
        <w:t xml:space="preserve"> PC_DR_152-Attachment </w:t>
      </w:r>
      <w:proofErr w:type="gramStart"/>
      <w:r>
        <w:rPr>
          <w:sz w:val="24"/>
          <w:szCs w:val="24"/>
        </w:rPr>
        <w:t>A</w:t>
      </w:r>
      <w:proofErr w:type="gramEnd"/>
      <w:r>
        <w:rPr>
          <w:sz w:val="24"/>
          <w:szCs w:val="24"/>
        </w:rPr>
        <w:t xml:space="preserve"> – Revised for Avista Utilities federal income tax expense calculation for 2010 and 2011.  </w:t>
      </w:r>
      <w:r w:rsidR="004B7867">
        <w:rPr>
          <w:sz w:val="24"/>
          <w:szCs w:val="24"/>
        </w:rPr>
        <w:t>This calcu</w:t>
      </w:r>
      <w:r w:rsidR="008B1968">
        <w:rPr>
          <w:sz w:val="24"/>
          <w:szCs w:val="24"/>
        </w:rPr>
        <w:t>lation begins with Book Income b</w:t>
      </w:r>
      <w:r w:rsidR="004B7867">
        <w:rPr>
          <w:sz w:val="24"/>
          <w:szCs w:val="24"/>
        </w:rPr>
        <w:t xml:space="preserve">efore Taxes of $138,867,063, which agrees to the reconciliation provided in PC_DR_228 – Attachment A (which was a reconciliation of the Company's results of operations to the Company's consolidated income statement.)  This attachment also shows Schedule M adjustments, both </w:t>
      </w:r>
      <w:r w:rsidR="008B1968">
        <w:rPr>
          <w:sz w:val="24"/>
          <w:szCs w:val="24"/>
        </w:rPr>
        <w:t>permanent and temporary (also operating vs. non-operating) to arrive at taxable income for the utility.  It should be noted, that the Company does not use this amount that is recorded in the general ledger for its results of operations</w:t>
      </w:r>
      <w:r w:rsidR="00B53D9C">
        <w:rPr>
          <w:sz w:val="24"/>
          <w:szCs w:val="24"/>
        </w:rPr>
        <w:t xml:space="preserve"> (ROO)</w:t>
      </w:r>
      <w:r w:rsidR="008B1968">
        <w:rPr>
          <w:sz w:val="24"/>
          <w:szCs w:val="24"/>
        </w:rPr>
        <w:t xml:space="preserve"> report.  The Company calculates a current FIT amount, which is described below.</w:t>
      </w:r>
    </w:p>
    <w:p w:rsidR="008B1968" w:rsidRDefault="008B1968" w:rsidP="00D62006">
      <w:pPr>
        <w:tabs>
          <w:tab w:val="left" w:pos="1890"/>
          <w:tab w:val="left" w:pos="4320"/>
          <w:tab w:val="left" w:pos="6480"/>
        </w:tabs>
        <w:jc w:val="both"/>
        <w:rPr>
          <w:sz w:val="24"/>
          <w:szCs w:val="24"/>
        </w:rPr>
      </w:pPr>
    </w:p>
    <w:p w:rsidR="008B1968" w:rsidRDefault="008B1968" w:rsidP="00D62006">
      <w:pPr>
        <w:tabs>
          <w:tab w:val="left" w:pos="1890"/>
          <w:tab w:val="left" w:pos="4320"/>
          <w:tab w:val="left" w:pos="6480"/>
        </w:tabs>
        <w:jc w:val="both"/>
        <w:rPr>
          <w:sz w:val="24"/>
          <w:szCs w:val="24"/>
        </w:rPr>
      </w:pPr>
      <w:r>
        <w:rPr>
          <w:sz w:val="24"/>
          <w:szCs w:val="24"/>
        </w:rPr>
        <w:t>Please see PC_DR_152-Attachment B</w:t>
      </w:r>
      <w:r w:rsidR="00B53D9C">
        <w:rPr>
          <w:sz w:val="24"/>
          <w:szCs w:val="24"/>
        </w:rPr>
        <w:t xml:space="preserve"> (electric) and PC_DR_152-Attachment C (natural gas) for a reconciliation of Schedule M adjustments detailed in Attachment A to the Schedule M adjustments used in the calculation of current FIT expense for ROO (which is the starting point of our rate case.)  </w:t>
      </w:r>
      <w:r w:rsidR="009A4666">
        <w:rPr>
          <w:sz w:val="24"/>
          <w:szCs w:val="24"/>
        </w:rPr>
        <w:t xml:space="preserve">These Schedule M adjustments agree to the adjustments in the case, as shown in Andrews' </w:t>
      </w:r>
      <w:proofErr w:type="spellStart"/>
      <w:r w:rsidR="009A4666">
        <w:rPr>
          <w:sz w:val="24"/>
          <w:szCs w:val="24"/>
        </w:rPr>
        <w:t>workpapers</w:t>
      </w:r>
      <w:proofErr w:type="spellEnd"/>
      <w:r w:rsidR="009A4666">
        <w:rPr>
          <w:sz w:val="24"/>
          <w:szCs w:val="24"/>
        </w:rPr>
        <w:t xml:space="preserve"> (Page 1.00-20 and 1.00-21 for electric and 1.00-15 for natural gas), with the exception of one Schedule M </w:t>
      </w:r>
      <w:r w:rsidR="009A4666">
        <w:rPr>
          <w:sz w:val="24"/>
          <w:szCs w:val="24"/>
        </w:rPr>
        <w:lastRenderedPageBreak/>
        <w:t xml:space="preserve">adjustment.  It was determined that the Schedule M adjustment for AFUDC was omitted from the ROO/case calculation.  A revised </w:t>
      </w:r>
      <w:r w:rsidR="001608BE">
        <w:rPr>
          <w:sz w:val="24"/>
          <w:szCs w:val="24"/>
        </w:rPr>
        <w:t>current FIT calculation has been provided in PC_DR_152-Attachment D (electric) and PC_DR_152-Attachment E (natural gas.)</w:t>
      </w:r>
      <w:r w:rsidR="00BB714C">
        <w:rPr>
          <w:sz w:val="24"/>
          <w:szCs w:val="24"/>
        </w:rPr>
        <w:t xml:space="preserve">  The electric impact is approximately $312,000 reduction to FIT expense and the natural gas impact is approximately $20,000 reduction to FIT expense.</w:t>
      </w:r>
    </w:p>
    <w:p w:rsidR="001608BE" w:rsidRDefault="001608BE" w:rsidP="00D62006">
      <w:pPr>
        <w:tabs>
          <w:tab w:val="left" w:pos="1890"/>
          <w:tab w:val="left" w:pos="4320"/>
          <w:tab w:val="left" w:pos="6480"/>
        </w:tabs>
        <w:jc w:val="both"/>
        <w:rPr>
          <w:sz w:val="24"/>
          <w:szCs w:val="24"/>
        </w:rPr>
      </w:pPr>
    </w:p>
    <w:p w:rsidR="001608BE" w:rsidRDefault="001608BE" w:rsidP="00D62006">
      <w:pPr>
        <w:tabs>
          <w:tab w:val="left" w:pos="1890"/>
          <w:tab w:val="left" w:pos="4320"/>
          <w:tab w:val="left" w:pos="6480"/>
        </w:tabs>
        <w:jc w:val="both"/>
        <w:rPr>
          <w:sz w:val="24"/>
          <w:szCs w:val="24"/>
        </w:rPr>
      </w:pPr>
      <w:r>
        <w:rPr>
          <w:sz w:val="24"/>
          <w:szCs w:val="24"/>
        </w:rPr>
        <w:t xml:space="preserve">On PC_DR_152-Attachment B (electric) and PC_DR_152-Attachment C (natural gas), the Schedule M adjustments have been shown by jurisdiction and by permanent vs. temporary.  The temporary adjustments are used to reconcile to the DFIT expense included in ROO/rate case.  Natural gas DFIT </w:t>
      </w:r>
      <w:r w:rsidR="00BB714C">
        <w:rPr>
          <w:sz w:val="24"/>
          <w:szCs w:val="24"/>
        </w:rPr>
        <w:t xml:space="preserve">expense </w:t>
      </w:r>
      <w:r>
        <w:rPr>
          <w:sz w:val="24"/>
          <w:szCs w:val="24"/>
        </w:rPr>
        <w:t>in Washington reconciles to the case within $108,000.  The additional plant DFIT of approximately $670,000 for Washington represents difference due to prior flow through, varying FIT rates in past years, permanent plant basis differences, etc.  This is consistent with the amount from previous years.</w:t>
      </w:r>
    </w:p>
    <w:p w:rsidR="00BB714C" w:rsidRDefault="00BB714C" w:rsidP="00D62006">
      <w:pPr>
        <w:tabs>
          <w:tab w:val="left" w:pos="1890"/>
          <w:tab w:val="left" w:pos="4320"/>
          <w:tab w:val="left" w:pos="6480"/>
        </w:tabs>
        <w:jc w:val="both"/>
        <w:rPr>
          <w:sz w:val="24"/>
          <w:szCs w:val="24"/>
        </w:rPr>
      </w:pPr>
    </w:p>
    <w:p w:rsidR="00BB714C" w:rsidRPr="00B022A2" w:rsidRDefault="00BB714C" w:rsidP="00D62006">
      <w:pPr>
        <w:tabs>
          <w:tab w:val="left" w:pos="1890"/>
          <w:tab w:val="left" w:pos="4320"/>
          <w:tab w:val="left" w:pos="6480"/>
        </w:tabs>
        <w:jc w:val="both"/>
        <w:rPr>
          <w:sz w:val="24"/>
          <w:szCs w:val="24"/>
        </w:rPr>
      </w:pPr>
      <w:r>
        <w:rPr>
          <w:sz w:val="24"/>
          <w:szCs w:val="24"/>
        </w:rPr>
        <w:t>It was noted that electric DFIT does not reconcile to DFIT expense in Washington in ROO and therefore the rate case.  It was determined that there were two prior period adjustments in 2011 that should have been eliminated from ROO.  The Washington impact is approximately $1.513 million reduction to DFIT expense.</w:t>
      </w:r>
    </w:p>
    <w:sectPr w:rsidR="00BB714C" w:rsidRPr="00B022A2"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BE" w:rsidRDefault="001608BE">
      <w:r>
        <w:separator/>
      </w:r>
    </w:p>
  </w:endnote>
  <w:endnote w:type="continuationSeparator" w:id="0">
    <w:p w:rsidR="001608BE" w:rsidRDefault="00160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BE" w:rsidRDefault="001608BE" w:rsidP="00056C64">
    <w:pPr>
      <w:pStyle w:val="Footer"/>
      <w:jc w:val="center"/>
    </w:pPr>
    <w:r>
      <w:t xml:space="preserve">Page </w:t>
    </w:r>
    <w:r w:rsidR="00E0685B">
      <w:rPr>
        <w:rStyle w:val="PageNumber"/>
      </w:rPr>
      <w:fldChar w:fldCharType="begin"/>
    </w:r>
    <w:r>
      <w:rPr>
        <w:rStyle w:val="PageNumber"/>
      </w:rPr>
      <w:instrText xml:space="preserve"> PAGE </w:instrText>
    </w:r>
    <w:r w:rsidR="00E0685B">
      <w:rPr>
        <w:rStyle w:val="PageNumber"/>
      </w:rPr>
      <w:fldChar w:fldCharType="separate"/>
    </w:r>
    <w:r w:rsidR="005B7831">
      <w:rPr>
        <w:rStyle w:val="PageNumber"/>
        <w:noProof/>
      </w:rPr>
      <w:t>1</w:t>
    </w:r>
    <w:r w:rsidR="00E0685B">
      <w:rPr>
        <w:rStyle w:val="PageNumber"/>
      </w:rPr>
      <w:fldChar w:fldCharType="end"/>
    </w:r>
    <w:r>
      <w:rPr>
        <w:rStyle w:val="PageNumber"/>
      </w:rPr>
      <w:t xml:space="preserve"> of </w:t>
    </w:r>
    <w:r w:rsidR="00E0685B">
      <w:rPr>
        <w:rStyle w:val="PageNumber"/>
      </w:rPr>
      <w:fldChar w:fldCharType="begin"/>
    </w:r>
    <w:r>
      <w:rPr>
        <w:rStyle w:val="PageNumber"/>
      </w:rPr>
      <w:instrText xml:space="preserve"> NUMPAGES </w:instrText>
    </w:r>
    <w:r w:rsidR="00E0685B">
      <w:rPr>
        <w:rStyle w:val="PageNumber"/>
      </w:rPr>
      <w:fldChar w:fldCharType="separate"/>
    </w:r>
    <w:r w:rsidR="005B7831">
      <w:rPr>
        <w:rStyle w:val="PageNumber"/>
        <w:noProof/>
      </w:rPr>
      <w:t>2</w:t>
    </w:r>
    <w:r w:rsidR="00E0685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BE" w:rsidRDefault="001608BE" w:rsidP="00E64D12">
    <w:pPr>
      <w:pStyle w:val="Footer"/>
      <w:jc w:val="center"/>
    </w:pPr>
    <w:r>
      <w:t xml:space="preserve">Page </w:t>
    </w:r>
    <w:r w:rsidR="00E0685B">
      <w:rPr>
        <w:rStyle w:val="PageNumber"/>
      </w:rPr>
      <w:fldChar w:fldCharType="begin"/>
    </w:r>
    <w:r>
      <w:rPr>
        <w:rStyle w:val="PageNumber"/>
      </w:rPr>
      <w:instrText xml:space="preserve"> PAGE </w:instrText>
    </w:r>
    <w:r w:rsidR="00E0685B">
      <w:rPr>
        <w:rStyle w:val="PageNumber"/>
      </w:rPr>
      <w:fldChar w:fldCharType="separate"/>
    </w:r>
    <w:r>
      <w:rPr>
        <w:rStyle w:val="PageNumber"/>
        <w:noProof/>
      </w:rPr>
      <w:t>1</w:t>
    </w:r>
    <w:r w:rsidR="00E0685B">
      <w:rPr>
        <w:rStyle w:val="PageNumber"/>
      </w:rPr>
      <w:fldChar w:fldCharType="end"/>
    </w:r>
    <w:r>
      <w:rPr>
        <w:rStyle w:val="PageNumber"/>
      </w:rPr>
      <w:t xml:space="preserve"> of </w:t>
    </w:r>
    <w:r w:rsidR="00E0685B">
      <w:rPr>
        <w:rStyle w:val="PageNumber"/>
      </w:rPr>
      <w:fldChar w:fldCharType="begin"/>
    </w:r>
    <w:r>
      <w:rPr>
        <w:rStyle w:val="PageNumber"/>
      </w:rPr>
      <w:instrText xml:space="preserve"> NUMPAGES </w:instrText>
    </w:r>
    <w:r w:rsidR="00E0685B">
      <w:rPr>
        <w:rStyle w:val="PageNumber"/>
      </w:rPr>
      <w:fldChar w:fldCharType="separate"/>
    </w:r>
    <w:r w:rsidR="00D648B3">
      <w:rPr>
        <w:rStyle w:val="PageNumber"/>
        <w:noProof/>
      </w:rPr>
      <w:t>2</w:t>
    </w:r>
    <w:r w:rsidR="00E0685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BE" w:rsidRDefault="001608BE">
      <w:r>
        <w:separator/>
      </w:r>
    </w:p>
  </w:footnote>
  <w:footnote w:type="continuationSeparator" w:id="0">
    <w:p w:rsidR="001608BE" w:rsidRDefault="00160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BE" w:rsidRDefault="001608BE">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9974508"/>
    <w:multiLevelType w:val="hybridMultilevel"/>
    <w:tmpl w:val="C68EE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D8740F7"/>
    <w:multiLevelType w:val="hybridMultilevel"/>
    <w:tmpl w:val="FA147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3E946B5C"/>
    <w:multiLevelType w:val="hybridMultilevel"/>
    <w:tmpl w:val="C5B2DA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C527F"/>
    <w:multiLevelType w:val="hybridMultilevel"/>
    <w:tmpl w:val="2A460420"/>
    <w:lvl w:ilvl="0" w:tplc="A5869F7E">
      <w:start w:val="1"/>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17614"/>
    <w:multiLevelType w:val="hybridMultilevel"/>
    <w:tmpl w:val="922E8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nsid w:val="4AC05DFF"/>
    <w:multiLevelType w:val="hybridMultilevel"/>
    <w:tmpl w:val="4566AF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3015A"/>
    <w:multiLevelType w:val="hybridMultilevel"/>
    <w:tmpl w:val="3370DEA2"/>
    <w:lvl w:ilvl="0" w:tplc="887C8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C66907"/>
    <w:multiLevelType w:val="hybridMultilevel"/>
    <w:tmpl w:val="0F8EF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4">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6">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7">
    <w:nsid w:val="5C765400"/>
    <w:multiLevelType w:val="hybridMultilevel"/>
    <w:tmpl w:val="2E38AADE"/>
    <w:lvl w:ilvl="0" w:tplc="76842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3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1">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3">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5">
    <w:nsid w:val="78A40DAC"/>
    <w:multiLevelType w:val="hybridMultilevel"/>
    <w:tmpl w:val="955ED01E"/>
    <w:lvl w:ilvl="0" w:tplc="1250CF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4B779D"/>
    <w:multiLevelType w:val="hybridMultilevel"/>
    <w:tmpl w:val="8DB84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13"/>
  </w:num>
  <w:num w:numId="4">
    <w:abstractNumId w:val="0"/>
  </w:num>
  <w:num w:numId="5">
    <w:abstractNumId w:val="33"/>
  </w:num>
  <w:num w:numId="6">
    <w:abstractNumId w:val="30"/>
  </w:num>
  <w:num w:numId="7">
    <w:abstractNumId w:val="8"/>
  </w:num>
  <w:num w:numId="8">
    <w:abstractNumId w:val="32"/>
  </w:num>
  <w:num w:numId="9">
    <w:abstractNumId w:val="3"/>
  </w:num>
  <w:num w:numId="10">
    <w:abstractNumId w:val="24"/>
  </w:num>
  <w:num w:numId="11">
    <w:abstractNumId w:val="2"/>
  </w:num>
  <w:num w:numId="12">
    <w:abstractNumId w:val="10"/>
  </w:num>
  <w:num w:numId="13">
    <w:abstractNumId w:val="34"/>
  </w:num>
  <w:num w:numId="14">
    <w:abstractNumId w:val="4"/>
  </w:num>
  <w:num w:numId="15">
    <w:abstractNumId w:val="5"/>
  </w:num>
  <w:num w:numId="16">
    <w:abstractNumId w:val="6"/>
  </w:num>
  <w:num w:numId="17">
    <w:abstractNumId w:val="19"/>
  </w:num>
  <w:num w:numId="18">
    <w:abstractNumId w:val="29"/>
  </w:num>
  <w:num w:numId="19">
    <w:abstractNumId w:val="11"/>
  </w:num>
  <w:num w:numId="20">
    <w:abstractNumId w:val="14"/>
  </w:num>
  <w:num w:numId="21">
    <w:abstractNumId w:val="1"/>
  </w:num>
  <w:num w:numId="22">
    <w:abstractNumId w:val="26"/>
  </w:num>
  <w:num w:numId="23">
    <w:abstractNumId w:val="15"/>
  </w:num>
  <w:num w:numId="24">
    <w:abstractNumId w:val="12"/>
  </w:num>
  <w:num w:numId="25">
    <w:abstractNumId w:val="31"/>
  </w:num>
  <w:num w:numId="26">
    <w:abstractNumId w:val="28"/>
  </w:num>
  <w:num w:numId="27">
    <w:abstractNumId w:val="17"/>
  </w:num>
  <w:num w:numId="28">
    <w:abstractNumId w:val="18"/>
  </w:num>
  <w:num w:numId="29">
    <w:abstractNumId w:val="35"/>
  </w:num>
  <w:num w:numId="30">
    <w:abstractNumId w:val="22"/>
  </w:num>
  <w:num w:numId="31">
    <w:abstractNumId w:val="21"/>
  </w:num>
  <w:num w:numId="32">
    <w:abstractNumId w:val="9"/>
  </w:num>
  <w:num w:numId="33">
    <w:abstractNumId w:val="36"/>
  </w:num>
  <w:num w:numId="34">
    <w:abstractNumId w:val="27"/>
  </w:num>
  <w:num w:numId="35">
    <w:abstractNumId w:val="16"/>
  </w:num>
  <w:num w:numId="36">
    <w:abstractNumId w:val="2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81D52"/>
    <w:rsid w:val="000A01B3"/>
    <w:rsid w:val="000B6979"/>
    <w:rsid w:val="000E629D"/>
    <w:rsid w:val="001004DE"/>
    <w:rsid w:val="0011273E"/>
    <w:rsid w:val="0012408C"/>
    <w:rsid w:val="0014150E"/>
    <w:rsid w:val="001608BE"/>
    <w:rsid w:val="00177390"/>
    <w:rsid w:val="0019350D"/>
    <w:rsid w:val="001E06F3"/>
    <w:rsid w:val="001E07A6"/>
    <w:rsid w:val="001F2C4B"/>
    <w:rsid w:val="001F6472"/>
    <w:rsid w:val="002146D9"/>
    <w:rsid w:val="00236EDE"/>
    <w:rsid w:val="002677D5"/>
    <w:rsid w:val="002A02FE"/>
    <w:rsid w:val="002B16E6"/>
    <w:rsid w:val="002E674E"/>
    <w:rsid w:val="003348C4"/>
    <w:rsid w:val="003639FB"/>
    <w:rsid w:val="00375C8C"/>
    <w:rsid w:val="00383DD3"/>
    <w:rsid w:val="003B4E20"/>
    <w:rsid w:val="003C0AED"/>
    <w:rsid w:val="003C1D9A"/>
    <w:rsid w:val="003C319E"/>
    <w:rsid w:val="003E487F"/>
    <w:rsid w:val="003E50F1"/>
    <w:rsid w:val="003F65BC"/>
    <w:rsid w:val="00417AA4"/>
    <w:rsid w:val="00422CC4"/>
    <w:rsid w:val="00446369"/>
    <w:rsid w:val="004A7704"/>
    <w:rsid w:val="004B7867"/>
    <w:rsid w:val="004F03CE"/>
    <w:rsid w:val="004F7DA8"/>
    <w:rsid w:val="00500F1F"/>
    <w:rsid w:val="005048A8"/>
    <w:rsid w:val="005050C4"/>
    <w:rsid w:val="00521A5C"/>
    <w:rsid w:val="0055045F"/>
    <w:rsid w:val="005906BD"/>
    <w:rsid w:val="00591481"/>
    <w:rsid w:val="005A2255"/>
    <w:rsid w:val="005A49F0"/>
    <w:rsid w:val="005B7831"/>
    <w:rsid w:val="005C1EDF"/>
    <w:rsid w:val="005D72D7"/>
    <w:rsid w:val="005F77F0"/>
    <w:rsid w:val="006045D3"/>
    <w:rsid w:val="00632B3B"/>
    <w:rsid w:val="00633F9B"/>
    <w:rsid w:val="00634D12"/>
    <w:rsid w:val="00663AE9"/>
    <w:rsid w:val="006A6CF9"/>
    <w:rsid w:val="00720FD7"/>
    <w:rsid w:val="00741CF2"/>
    <w:rsid w:val="00753FE9"/>
    <w:rsid w:val="00754422"/>
    <w:rsid w:val="0076414A"/>
    <w:rsid w:val="007A30D4"/>
    <w:rsid w:val="007B5EE6"/>
    <w:rsid w:val="007E3A66"/>
    <w:rsid w:val="008022DE"/>
    <w:rsid w:val="008074FC"/>
    <w:rsid w:val="008B1968"/>
    <w:rsid w:val="008C5B57"/>
    <w:rsid w:val="008D1DFC"/>
    <w:rsid w:val="008E3932"/>
    <w:rsid w:val="009052D2"/>
    <w:rsid w:val="009056FC"/>
    <w:rsid w:val="009257B1"/>
    <w:rsid w:val="00941853"/>
    <w:rsid w:val="00957712"/>
    <w:rsid w:val="009A4666"/>
    <w:rsid w:val="00A631B2"/>
    <w:rsid w:val="00A76018"/>
    <w:rsid w:val="00A82D5A"/>
    <w:rsid w:val="00A96A19"/>
    <w:rsid w:val="00AA791F"/>
    <w:rsid w:val="00AB5D5A"/>
    <w:rsid w:val="00AF09F0"/>
    <w:rsid w:val="00AF410B"/>
    <w:rsid w:val="00B022A2"/>
    <w:rsid w:val="00B41482"/>
    <w:rsid w:val="00B53D9C"/>
    <w:rsid w:val="00B72352"/>
    <w:rsid w:val="00B76EAC"/>
    <w:rsid w:val="00BB714C"/>
    <w:rsid w:val="00BB73DC"/>
    <w:rsid w:val="00BD5789"/>
    <w:rsid w:val="00C031C7"/>
    <w:rsid w:val="00C040A5"/>
    <w:rsid w:val="00C05224"/>
    <w:rsid w:val="00C15A22"/>
    <w:rsid w:val="00C26B84"/>
    <w:rsid w:val="00C73FA6"/>
    <w:rsid w:val="00C83E18"/>
    <w:rsid w:val="00CA15F9"/>
    <w:rsid w:val="00CD4D4E"/>
    <w:rsid w:val="00D376F6"/>
    <w:rsid w:val="00D40664"/>
    <w:rsid w:val="00D41724"/>
    <w:rsid w:val="00D62006"/>
    <w:rsid w:val="00D648B3"/>
    <w:rsid w:val="00D75120"/>
    <w:rsid w:val="00D77A4E"/>
    <w:rsid w:val="00DA234F"/>
    <w:rsid w:val="00DB4781"/>
    <w:rsid w:val="00DE5D38"/>
    <w:rsid w:val="00E0227D"/>
    <w:rsid w:val="00E0685B"/>
    <w:rsid w:val="00E404F2"/>
    <w:rsid w:val="00E43DB3"/>
    <w:rsid w:val="00E64D12"/>
    <w:rsid w:val="00E84C7F"/>
    <w:rsid w:val="00E94E42"/>
    <w:rsid w:val="00E978FE"/>
    <w:rsid w:val="00EA2239"/>
    <w:rsid w:val="00EC527F"/>
    <w:rsid w:val="00ED6C6D"/>
    <w:rsid w:val="00EE1239"/>
    <w:rsid w:val="00EE30BA"/>
    <w:rsid w:val="00F06D34"/>
    <w:rsid w:val="00F268AE"/>
    <w:rsid w:val="00F45461"/>
    <w:rsid w:val="00F514A7"/>
    <w:rsid w:val="00F61B80"/>
    <w:rsid w:val="00F731E6"/>
    <w:rsid w:val="00FA4AFD"/>
    <w:rsid w:val="00FC099B"/>
    <w:rsid w:val="00FC1828"/>
    <w:rsid w:val="00FC2B5A"/>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57"/>
    <w:pPr>
      <w:autoSpaceDE w:val="0"/>
      <w:autoSpaceDN w:val="0"/>
    </w:pPr>
  </w:style>
  <w:style w:type="paragraph" w:styleId="Heading1">
    <w:name w:val="heading 1"/>
    <w:basedOn w:val="Normal"/>
    <w:next w:val="Normal"/>
    <w:qFormat/>
    <w:rsid w:val="008C5B57"/>
    <w:pPr>
      <w:keepNext/>
      <w:tabs>
        <w:tab w:val="left" w:pos="1890"/>
        <w:tab w:val="left" w:pos="4320"/>
        <w:tab w:val="left" w:pos="6390"/>
      </w:tabs>
      <w:outlineLvl w:val="0"/>
    </w:pPr>
    <w:rPr>
      <w:sz w:val="24"/>
      <w:szCs w:val="24"/>
    </w:rPr>
  </w:style>
  <w:style w:type="paragraph" w:styleId="Heading2">
    <w:name w:val="heading 2"/>
    <w:basedOn w:val="Normal"/>
    <w:next w:val="Normal"/>
    <w:qFormat/>
    <w:rsid w:val="008C5B57"/>
    <w:pPr>
      <w:keepNext/>
      <w:ind w:right="540"/>
      <w:jc w:val="center"/>
      <w:outlineLvl w:val="1"/>
    </w:pPr>
    <w:rPr>
      <w:b/>
      <w:bCs/>
      <w:sz w:val="24"/>
      <w:szCs w:val="24"/>
    </w:rPr>
  </w:style>
  <w:style w:type="paragraph" w:styleId="Heading3">
    <w:name w:val="heading 3"/>
    <w:basedOn w:val="Normal"/>
    <w:next w:val="Normal"/>
    <w:qFormat/>
    <w:rsid w:val="008C5B57"/>
    <w:pPr>
      <w:keepNext/>
      <w:ind w:right="180"/>
      <w:jc w:val="center"/>
      <w:outlineLvl w:val="2"/>
    </w:pPr>
    <w:rPr>
      <w:b/>
      <w:bCs/>
      <w:sz w:val="24"/>
      <w:szCs w:val="24"/>
    </w:rPr>
  </w:style>
  <w:style w:type="paragraph" w:styleId="Heading4">
    <w:name w:val="heading 4"/>
    <w:basedOn w:val="Normal"/>
    <w:next w:val="Normal"/>
    <w:qFormat/>
    <w:rsid w:val="008C5B5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5B57"/>
    <w:pPr>
      <w:tabs>
        <w:tab w:val="center" w:pos="4320"/>
        <w:tab w:val="right" w:pos="8640"/>
      </w:tabs>
    </w:pPr>
  </w:style>
  <w:style w:type="paragraph" w:styleId="Footer">
    <w:name w:val="footer"/>
    <w:basedOn w:val="Normal"/>
    <w:rsid w:val="008C5B57"/>
    <w:pPr>
      <w:tabs>
        <w:tab w:val="center" w:pos="4320"/>
        <w:tab w:val="right" w:pos="8640"/>
      </w:tabs>
    </w:pPr>
  </w:style>
  <w:style w:type="character" w:styleId="PageNumber">
    <w:name w:val="page number"/>
    <w:basedOn w:val="DefaultParagraphFont"/>
    <w:rsid w:val="008C5B57"/>
    <w:rPr>
      <w:rFonts w:cs="Times New Roman"/>
    </w:rPr>
  </w:style>
  <w:style w:type="paragraph" w:styleId="PlainText">
    <w:name w:val="Plain Text"/>
    <w:basedOn w:val="Normal"/>
    <w:rsid w:val="008C5B57"/>
    <w:rPr>
      <w:rFonts w:ascii="Courier New" w:hAnsi="Courier New" w:cs="Courier New"/>
    </w:rPr>
  </w:style>
  <w:style w:type="paragraph" w:styleId="BodyText2">
    <w:name w:val="Body Text 2"/>
    <w:basedOn w:val="Normal"/>
    <w:rsid w:val="008C5B57"/>
    <w:pPr>
      <w:tabs>
        <w:tab w:val="left" w:pos="1890"/>
        <w:tab w:val="left" w:pos="4320"/>
        <w:tab w:val="left" w:pos="6480"/>
      </w:tabs>
      <w:jc w:val="both"/>
    </w:pPr>
  </w:style>
  <w:style w:type="paragraph" w:styleId="BodyTextIndent2">
    <w:name w:val="Body Text Indent 2"/>
    <w:basedOn w:val="Normal"/>
    <w:rsid w:val="008C5B57"/>
    <w:pPr>
      <w:tabs>
        <w:tab w:val="left" w:pos="720"/>
        <w:tab w:val="left" w:pos="1890"/>
        <w:tab w:val="left" w:pos="4320"/>
        <w:tab w:val="left" w:pos="6480"/>
      </w:tabs>
      <w:ind w:left="720"/>
    </w:pPr>
    <w:rPr>
      <w:sz w:val="24"/>
      <w:szCs w:val="24"/>
    </w:rPr>
  </w:style>
  <w:style w:type="paragraph" w:styleId="BodyText">
    <w:name w:val="Body Text"/>
    <w:basedOn w:val="Normal"/>
    <w:rsid w:val="008C5B57"/>
    <w:pPr>
      <w:tabs>
        <w:tab w:val="left" w:pos="1890"/>
        <w:tab w:val="left" w:pos="4320"/>
        <w:tab w:val="left" w:pos="6480"/>
      </w:tabs>
    </w:pPr>
    <w:rPr>
      <w:sz w:val="24"/>
      <w:szCs w:val="24"/>
    </w:rPr>
  </w:style>
  <w:style w:type="character" w:styleId="Hyperlink">
    <w:name w:val="Hyperlink"/>
    <w:basedOn w:val="DefaultParagraphFont"/>
    <w:rsid w:val="008C5B5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E73A5-66CC-4024-8CAC-3F75B4FC7B06}"/>
</file>

<file path=customXml/itemProps2.xml><?xml version="1.0" encoding="utf-8"?>
<ds:datastoreItem xmlns:ds="http://schemas.openxmlformats.org/officeDocument/2006/customXml" ds:itemID="{38310BF5-81AF-48C1-A72F-9E025FFDA5A2}"/>
</file>

<file path=customXml/itemProps3.xml><?xml version="1.0" encoding="utf-8"?>
<ds:datastoreItem xmlns:ds="http://schemas.openxmlformats.org/officeDocument/2006/customXml" ds:itemID="{6E261FC1-7EFD-4B82-A902-898EB5B06B1A}"/>
</file>

<file path=customXml/itemProps4.xml><?xml version="1.0" encoding="utf-8"?>
<ds:datastoreItem xmlns:ds="http://schemas.openxmlformats.org/officeDocument/2006/customXml" ds:itemID="{F4433FCE-66E2-4B4C-A70F-703826C76003}"/>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Lea Daeschel</cp:lastModifiedBy>
  <cp:revision>2</cp:revision>
  <cp:lastPrinted>2012-06-28T15:33:00Z</cp:lastPrinted>
  <dcterms:created xsi:type="dcterms:W3CDTF">2012-09-12T21:10:00Z</dcterms:created>
  <dcterms:modified xsi:type="dcterms:W3CDTF">2012-09-12T21:10:00Z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