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AE" w:rsidRPr="00A92CA5" w:rsidRDefault="000137AE" w:rsidP="00AA438F">
      <w:pPr>
        <w:pStyle w:val="Answer"/>
        <w:jc w:val="left"/>
        <w:rPr>
          <w:b/>
        </w:rPr>
      </w:pPr>
      <w:r w:rsidRPr="00A92CA5">
        <w:rPr>
          <w:b/>
        </w:rPr>
        <w:t>Q.</w:t>
      </w:r>
      <w:r w:rsidRPr="00A92CA5">
        <w:rPr>
          <w:b/>
        </w:rPr>
        <w:tab/>
      </w:r>
      <w:r>
        <w:rPr>
          <w:b/>
        </w:rPr>
        <w:t xml:space="preserve">Are you the same R. Bryce Dalley who </w:t>
      </w:r>
      <w:r w:rsidRPr="00A92CA5">
        <w:rPr>
          <w:b/>
        </w:rPr>
        <w:t>previously filed testimony in this case?</w:t>
      </w:r>
    </w:p>
    <w:p w:rsidR="00847992" w:rsidRDefault="00847992" w:rsidP="00AA438F">
      <w:pPr>
        <w:pStyle w:val="BodyTextIndent"/>
        <w:spacing w:after="0" w:line="480" w:lineRule="auto"/>
        <w:ind w:left="0"/>
        <w:jc w:val="left"/>
      </w:pPr>
      <w:r>
        <w:t>A.</w:t>
      </w:r>
      <w:r>
        <w:tab/>
        <w:t xml:space="preserve">Yes.  </w:t>
      </w:r>
    </w:p>
    <w:p w:rsidR="00967BCF" w:rsidRPr="007568B0" w:rsidRDefault="00967BCF" w:rsidP="00AA438F">
      <w:pPr>
        <w:tabs>
          <w:tab w:val="left" w:pos="720"/>
        </w:tabs>
        <w:spacing w:line="480" w:lineRule="auto"/>
        <w:jc w:val="left"/>
        <w:rPr>
          <w:b/>
          <w:caps/>
        </w:rPr>
      </w:pPr>
      <w:r w:rsidRPr="007568B0">
        <w:rPr>
          <w:b/>
        </w:rPr>
        <w:t>Purpose</w:t>
      </w:r>
      <w:r>
        <w:rPr>
          <w:b/>
        </w:rPr>
        <w:t xml:space="preserve"> and Summary o</w:t>
      </w:r>
      <w:r w:rsidRPr="007568B0">
        <w:rPr>
          <w:b/>
        </w:rPr>
        <w:t>f Testimony</w:t>
      </w:r>
    </w:p>
    <w:p w:rsidR="00967BCF" w:rsidRPr="00E661F7" w:rsidRDefault="00967BCF" w:rsidP="00AA438F">
      <w:pPr>
        <w:numPr>
          <w:ilvl w:val="0"/>
          <w:numId w:val="5"/>
        </w:numPr>
        <w:spacing w:line="480" w:lineRule="auto"/>
        <w:jc w:val="left"/>
        <w:rPr>
          <w:b/>
        </w:rPr>
      </w:pPr>
      <w:r w:rsidRPr="00E661F7">
        <w:rPr>
          <w:b/>
        </w:rPr>
        <w:t xml:space="preserve">What is the purpose of your </w:t>
      </w:r>
      <w:r w:rsidR="002152CE">
        <w:rPr>
          <w:b/>
        </w:rPr>
        <w:t>supplemental</w:t>
      </w:r>
      <w:r w:rsidRPr="00E661F7">
        <w:rPr>
          <w:b/>
        </w:rPr>
        <w:t xml:space="preserve"> </w:t>
      </w:r>
      <w:r w:rsidR="003E11A1">
        <w:rPr>
          <w:b/>
        </w:rPr>
        <w:t xml:space="preserve">rebuttal </w:t>
      </w:r>
      <w:r w:rsidRPr="00E661F7">
        <w:rPr>
          <w:b/>
        </w:rPr>
        <w:t>testimony?</w:t>
      </w:r>
    </w:p>
    <w:p w:rsidR="00967BCF" w:rsidRPr="002F168E" w:rsidRDefault="002152CE" w:rsidP="00AA438F">
      <w:pPr>
        <w:pStyle w:val="BodyTextIndent2"/>
        <w:numPr>
          <w:ilvl w:val="0"/>
          <w:numId w:val="6"/>
        </w:numPr>
        <w:spacing w:after="0"/>
        <w:jc w:val="left"/>
        <w:rPr>
          <w:b/>
        </w:rPr>
      </w:pPr>
      <w:r>
        <w:t>M</w:t>
      </w:r>
      <w:r w:rsidR="00967BCF" w:rsidRPr="00E661F7">
        <w:t xml:space="preserve">y </w:t>
      </w:r>
      <w:r>
        <w:t xml:space="preserve">supplemental </w:t>
      </w:r>
      <w:r w:rsidR="00A75658">
        <w:t xml:space="preserve">rebuttal </w:t>
      </w:r>
      <w:r w:rsidR="00967BCF" w:rsidRPr="00E661F7">
        <w:t xml:space="preserve">testimony </w:t>
      </w:r>
      <w:r w:rsidR="000E4C95">
        <w:t>is being provided in response to the Second Prehearing Conference Order 05 in this proceeding.  In that order</w:t>
      </w:r>
      <w:r w:rsidR="00847992">
        <w:t xml:space="preserve">, </w:t>
      </w:r>
      <w:r w:rsidR="000E4C95">
        <w:t>the Commission directs the Company</w:t>
      </w:r>
      <w:r w:rsidR="00F20CDB">
        <w:t xml:space="preserve"> and other parties</w:t>
      </w:r>
      <w:r w:rsidR="000E4C95">
        <w:t xml:space="preserve"> to file revised testimony and exhibits to</w:t>
      </w:r>
      <w:r w:rsidR="00847992">
        <w:t xml:space="preserve"> comply with the requirements of WAC 480-07-510 and Order 04 as</w:t>
      </w:r>
      <w:r w:rsidR="000E4C95">
        <w:t xml:space="preserve"> discussed during the explanatory session held with the Commission advisors.  </w:t>
      </w:r>
      <w:r w:rsidR="0017051E">
        <w:t xml:space="preserve">I also sponsor and describe supplemental </w:t>
      </w:r>
      <w:proofErr w:type="spellStart"/>
      <w:r w:rsidR="0017051E">
        <w:t>workpapers</w:t>
      </w:r>
      <w:proofErr w:type="spellEnd"/>
      <w:r w:rsidR="0017051E">
        <w:t>.</w:t>
      </w:r>
    </w:p>
    <w:p w:rsidR="00CA63BC" w:rsidRDefault="00CA63BC" w:rsidP="00AA438F">
      <w:pPr>
        <w:pStyle w:val="BodyTextIndent2"/>
        <w:spacing w:after="0"/>
        <w:ind w:left="720" w:hanging="720"/>
        <w:jc w:val="left"/>
        <w:rPr>
          <w:b/>
        </w:rPr>
      </w:pPr>
      <w:r>
        <w:rPr>
          <w:b/>
        </w:rPr>
        <w:t>Q.</w:t>
      </w:r>
      <w:r>
        <w:rPr>
          <w:b/>
        </w:rPr>
        <w:tab/>
        <w:t>Have you provided revised pages</w:t>
      </w:r>
      <w:r w:rsidR="0017051E">
        <w:rPr>
          <w:b/>
        </w:rPr>
        <w:t xml:space="preserve"> to your previously filed testimony and exhibits?</w:t>
      </w:r>
    </w:p>
    <w:p w:rsidR="0017051E" w:rsidRDefault="0017051E" w:rsidP="00AA438F">
      <w:pPr>
        <w:pStyle w:val="BodyTextIndent2"/>
        <w:spacing w:after="0"/>
        <w:ind w:left="720" w:hanging="720"/>
        <w:jc w:val="left"/>
      </w:pPr>
      <w:r w:rsidRPr="0017051E">
        <w:t>A.</w:t>
      </w:r>
      <w:r w:rsidRPr="0017051E">
        <w:tab/>
      </w:r>
      <w:r>
        <w:t xml:space="preserve">Yes.  As I explain below, I have provided revised pages to all of </w:t>
      </w:r>
      <w:proofErr w:type="spellStart"/>
      <w:r>
        <w:t>prefiled</w:t>
      </w:r>
      <w:proofErr w:type="spellEnd"/>
      <w:r>
        <w:t xml:space="preserve"> Exhibit No.</w:t>
      </w:r>
      <w:r w:rsidR="00D624C2">
        <w:t>__</w:t>
      </w:r>
      <w:proofErr w:type="gramStart"/>
      <w:r w:rsidR="00D624C2">
        <w:t>_</w:t>
      </w:r>
      <w:r>
        <w:t>(</w:t>
      </w:r>
      <w:proofErr w:type="gramEnd"/>
      <w:r>
        <w:t>RBD-</w:t>
      </w:r>
      <w:r w:rsidR="00A75658">
        <w:t>5</w:t>
      </w:r>
      <w:r>
        <w:t>) and Exhibit No.___(RBD-</w:t>
      </w:r>
      <w:r w:rsidR="00A75658">
        <w:t>6</w:t>
      </w:r>
      <w:r>
        <w:t xml:space="preserve">).  I have also provided </w:t>
      </w:r>
      <w:r w:rsidR="003643E3">
        <w:t xml:space="preserve">a </w:t>
      </w:r>
      <w:r>
        <w:t xml:space="preserve">revised </w:t>
      </w:r>
      <w:r w:rsidR="003643E3">
        <w:t>version of</w:t>
      </w:r>
      <w:r>
        <w:t xml:space="preserve"> </w:t>
      </w:r>
      <w:r w:rsidR="003643E3">
        <w:t xml:space="preserve">my </w:t>
      </w:r>
      <w:r w:rsidR="00A75658">
        <w:t xml:space="preserve">rebuttal </w:t>
      </w:r>
      <w:r>
        <w:t>testimony</w:t>
      </w:r>
      <w:r w:rsidR="00993C48">
        <w:t xml:space="preserve"> Exhibit No.</w:t>
      </w:r>
      <w:r w:rsidR="00AA438F">
        <w:t>_</w:t>
      </w:r>
      <w:r w:rsidR="00993C48">
        <w:t>_</w:t>
      </w:r>
      <w:proofErr w:type="gramStart"/>
      <w:r w:rsidR="00993C48">
        <w:t>_(</w:t>
      </w:r>
      <w:proofErr w:type="gramEnd"/>
      <w:r w:rsidR="00993C48">
        <w:t>RBD-4T)</w:t>
      </w:r>
      <w:r>
        <w:t xml:space="preserve">. </w:t>
      </w:r>
      <w:r w:rsidR="003E5D74">
        <w:t xml:space="preserve"> </w:t>
      </w:r>
    </w:p>
    <w:p w:rsidR="00967BCF" w:rsidRDefault="00967BCF" w:rsidP="00AA438F">
      <w:pPr>
        <w:pStyle w:val="BodyTextIndent2"/>
        <w:spacing w:after="0"/>
        <w:ind w:left="720" w:hanging="720"/>
        <w:jc w:val="left"/>
        <w:rPr>
          <w:b/>
        </w:rPr>
      </w:pPr>
      <w:r w:rsidRPr="00E661F7">
        <w:rPr>
          <w:b/>
        </w:rPr>
        <w:t>Q.</w:t>
      </w:r>
      <w:r w:rsidRPr="00E661F7">
        <w:rPr>
          <w:b/>
        </w:rPr>
        <w:tab/>
        <w:t xml:space="preserve">Please </w:t>
      </w:r>
      <w:r w:rsidR="00A92B32">
        <w:rPr>
          <w:b/>
        </w:rPr>
        <w:t>describe the revisions to Exhibit No__</w:t>
      </w:r>
      <w:proofErr w:type="gramStart"/>
      <w:r w:rsidR="00A92B32">
        <w:rPr>
          <w:b/>
        </w:rPr>
        <w:t>_(</w:t>
      </w:r>
      <w:proofErr w:type="gramEnd"/>
      <w:r w:rsidR="00A92B32">
        <w:rPr>
          <w:b/>
        </w:rPr>
        <w:t>RBD-</w:t>
      </w:r>
      <w:r w:rsidR="00A75658">
        <w:rPr>
          <w:b/>
        </w:rPr>
        <w:t>5</w:t>
      </w:r>
      <w:r w:rsidR="00A92B32">
        <w:rPr>
          <w:b/>
        </w:rPr>
        <w:t>).</w:t>
      </w:r>
    </w:p>
    <w:p w:rsidR="00AA438F" w:rsidRPr="00AA438F" w:rsidRDefault="00A92B32" w:rsidP="00AA438F">
      <w:pPr>
        <w:pStyle w:val="BodyTextIndent2"/>
        <w:spacing w:after="0"/>
        <w:ind w:left="720" w:hanging="720"/>
        <w:jc w:val="left"/>
      </w:pPr>
      <w:r w:rsidRPr="00A92B32">
        <w:t>A.</w:t>
      </w:r>
      <w:r w:rsidRPr="00A92B32">
        <w:tab/>
        <w:t>Exhibit No.__</w:t>
      </w:r>
      <w:proofErr w:type="gramStart"/>
      <w:r w:rsidRPr="00A92B32">
        <w:t>_(</w:t>
      </w:r>
      <w:proofErr w:type="gramEnd"/>
      <w:r w:rsidRPr="00A92B32">
        <w:t>RBD-</w:t>
      </w:r>
      <w:r w:rsidR="00A75658">
        <w:t>5</w:t>
      </w:r>
      <w:r w:rsidRPr="00A92B32">
        <w:t>) is a two</w:t>
      </w:r>
      <w:r w:rsidR="00261FB2">
        <w:t>-</w:t>
      </w:r>
      <w:r w:rsidRPr="00A92B32">
        <w:t>page summary of the</w:t>
      </w:r>
      <w:r w:rsidR="00A75658">
        <w:t xml:space="preserve"> rebuttal revenue requirement </w:t>
      </w:r>
      <w:r w:rsidR="00067EC1">
        <w:t xml:space="preserve">filed as an exhibit to my </w:t>
      </w:r>
      <w:r w:rsidR="00A75658">
        <w:t xml:space="preserve">rebuttal </w:t>
      </w:r>
      <w:r w:rsidR="00067EC1">
        <w:t>testimony</w:t>
      </w:r>
      <w:r w:rsidRPr="00A92B32">
        <w:t>.  This exhibit is being re</w:t>
      </w:r>
      <w:r w:rsidR="00F20CDB">
        <w:t>placed</w:t>
      </w:r>
      <w:r w:rsidRPr="00A92B32">
        <w:t xml:space="preserve"> in its entirety to </w:t>
      </w:r>
      <w:r w:rsidR="00F20CDB">
        <w:t xml:space="preserve">reflect the </w:t>
      </w:r>
      <w:r w:rsidRPr="00A92B32">
        <w:t xml:space="preserve">specific revisions discussed </w:t>
      </w:r>
      <w:r>
        <w:t>below to</w:t>
      </w:r>
      <w:r w:rsidR="00A75658">
        <w:t xml:space="preserve"> my rebuttal</w:t>
      </w:r>
      <w:r w:rsidRPr="00A92B32">
        <w:t xml:space="preserve"> </w:t>
      </w:r>
      <w:r>
        <w:t>Exhibit No.__</w:t>
      </w:r>
      <w:proofErr w:type="gramStart"/>
      <w:r>
        <w:t>_(</w:t>
      </w:r>
      <w:proofErr w:type="gramEnd"/>
      <w:r>
        <w:t>RBD-</w:t>
      </w:r>
      <w:r w:rsidR="00A75658">
        <w:t>6</w:t>
      </w:r>
      <w:r>
        <w:t>)</w:t>
      </w:r>
      <w:r w:rsidR="00067EC1">
        <w:t xml:space="preserve">, the Company’s </w:t>
      </w:r>
      <w:r w:rsidR="00A75658">
        <w:t xml:space="preserve">Rebuttal </w:t>
      </w:r>
      <w:r w:rsidR="00067EC1">
        <w:t>Washington Results of Operations</w:t>
      </w:r>
      <w:r w:rsidRPr="00A92B32">
        <w:t>.</w:t>
      </w:r>
      <w:r>
        <w:t xml:space="preserve">  The revised Exhibit No.__</w:t>
      </w:r>
      <w:proofErr w:type="gramStart"/>
      <w:r>
        <w:t>_(</w:t>
      </w:r>
      <w:proofErr w:type="gramEnd"/>
      <w:r>
        <w:t>RBD-</w:t>
      </w:r>
      <w:r w:rsidR="00A75658">
        <w:t>5</w:t>
      </w:r>
      <w:r w:rsidR="003E11A1">
        <w:t>) is</w:t>
      </w:r>
      <w:r>
        <w:t xml:space="preserve"> marked “Revised </w:t>
      </w:r>
      <w:r w:rsidR="00A75658">
        <w:t>12/10/10</w:t>
      </w:r>
      <w:r>
        <w:t>”.</w:t>
      </w:r>
      <w:r w:rsidR="00AA438F">
        <w:rPr>
          <w:b/>
        </w:rPr>
        <w:br w:type="page"/>
      </w:r>
    </w:p>
    <w:p w:rsidR="00A92B32" w:rsidRDefault="00A92B32" w:rsidP="00AA438F">
      <w:pPr>
        <w:pStyle w:val="BodyTextIndent2"/>
        <w:spacing w:after="0"/>
        <w:ind w:left="0"/>
        <w:jc w:val="left"/>
        <w:rPr>
          <w:b/>
        </w:rPr>
      </w:pPr>
      <w:r w:rsidRPr="00E661F7">
        <w:rPr>
          <w:b/>
        </w:rPr>
        <w:lastRenderedPageBreak/>
        <w:t>Q.</w:t>
      </w:r>
      <w:r w:rsidRPr="00E661F7">
        <w:rPr>
          <w:b/>
        </w:rPr>
        <w:tab/>
        <w:t xml:space="preserve">Please </w:t>
      </w:r>
      <w:r>
        <w:rPr>
          <w:b/>
        </w:rPr>
        <w:t>describe the revisions to Exhibit No__</w:t>
      </w:r>
      <w:proofErr w:type="gramStart"/>
      <w:r>
        <w:rPr>
          <w:b/>
        </w:rPr>
        <w:t>_(</w:t>
      </w:r>
      <w:proofErr w:type="gramEnd"/>
      <w:r>
        <w:rPr>
          <w:b/>
        </w:rPr>
        <w:t>RBD-</w:t>
      </w:r>
      <w:r w:rsidR="00A75658">
        <w:rPr>
          <w:b/>
        </w:rPr>
        <w:t>6</w:t>
      </w:r>
      <w:r>
        <w:rPr>
          <w:b/>
        </w:rPr>
        <w:t>).</w:t>
      </w:r>
    </w:p>
    <w:p w:rsidR="00730EC2" w:rsidRDefault="00A92B32" w:rsidP="00AA438F">
      <w:pPr>
        <w:pStyle w:val="BodyTextIndent2"/>
        <w:spacing w:after="0"/>
        <w:ind w:left="720" w:hanging="720"/>
        <w:jc w:val="left"/>
      </w:pPr>
      <w:r w:rsidRPr="00A32BEE">
        <w:t>A.</w:t>
      </w:r>
      <w:r w:rsidRPr="00A32BEE">
        <w:tab/>
      </w:r>
      <w:r w:rsidRPr="00A92B32">
        <w:t>Exhibit No.__</w:t>
      </w:r>
      <w:proofErr w:type="gramStart"/>
      <w:r w:rsidRPr="00A92B32">
        <w:t>_(</w:t>
      </w:r>
      <w:proofErr w:type="gramEnd"/>
      <w:r w:rsidRPr="00A92B32">
        <w:t>RBD-</w:t>
      </w:r>
      <w:r w:rsidR="00A75658">
        <w:t>6</w:t>
      </w:r>
      <w:r w:rsidRPr="00A92B32">
        <w:t>)</w:t>
      </w:r>
      <w:r w:rsidR="003E11A1">
        <w:t xml:space="preserve"> has also been replaced in its entirety to reflect the specific presentational changes described below</w:t>
      </w:r>
      <w:r w:rsidR="00DA59D9">
        <w:t>.  Each of these items is</w:t>
      </w:r>
      <w:r w:rsidR="00F45244">
        <w:t xml:space="preserve"> described in detail later in my testimony</w:t>
      </w:r>
      <w:r w:rsidRPr="00A92B32">
        <w:t>.</w:t>
      </w:r>
    </w:p>
    <w:p w:rsidR="00730EC2" w:rsidRDefault="00730EC2" w:rsidP="00AA438F">
      <w:pPr>
        <w:pStyle w:val="BodyTextIndent2"/>
        <w:numPr>
          <w:ilvl w:val="0"/>
          <w:numId w:val="10"/>
        </w:numPr>
        <w:spacing w:after="0"/>
        <w:jc w:val="left"/>
      </w:pPr>
      <w:r>
        <w:t>In instances where an adjustment proposed in my rebuttal testimony is either a modification or update to an adjustment presented in the Company’s initial filing (Exhibit No.__</w:t>
      </w:r>
      <w:proofErr w:type="gramStart"/>
      <w:r>
        <w:t>_(</w:t>
      </w:r>
      <w:proofErr w:type="gramEnd"/>
      <w:r>
        <w:t>RBD-3)</w:t>
      </w:r>
      <w:r w:rsidR="003643E3">
        <w:t>)</w:t>
      </w:r>
      <w:r>
        <w:t>, the rebuttal adjustment replaces the original adjustment in its entirety.</w:t>
      </w:r>
      <w:r w:rsidR="00B02ED1">
        <w:t xml:space="preserve">  This method differs from the incremental presentation included in the Company’s original Exhibit No.__</w:t>
      </w:r>
      <w:proofErr w:type="gramStart"/>
      <w:r w:rsidR="00B02ED1">
        <w:t>_(</w:t>
      </w:r>
      <w:proofErr w:type="gramEnd"/>
      <w:r w:rsidR="00B02ED1">
        <w:t>RBD-6).</w:t>
      </w:r>
    </w:p>
    <w:p w:rsidR="00F45244" w:rsidRDefault="00730EC2" w:rsidP="00AA438F">
      <w:pPr>
        <w:pStyle w:val="BodyTextIndent2"/>
        <w:numPr>
          <w:ilvl w:val="0"/>
          <w:numId w:val="10"/>
        </w:numPr>
        <w:spacing w:after="0"/>
        <w:jc w:val="left"/>
      </w:pPr>
      <w:r>
        <w:t xml:space="preserve">Adjustment 12.8 of the </w:t>
      </w:r>
      <w:r w:rsidR="00B02ED1">
        <w:t xml:space="preserve">Company’s </w:t>
      </w:r>
      <w:r>
        <w:t>original Exhibit No.__</w:t>
      </w:r>
      <w:proofErr w:type="gramStart"/>
      <w:r>
        <w:t>_(</w:t>
      </w:r>
      <w:proofErr w:type="gramEnd"/>
      <w:r>
        <w:t xml:space="preserve">RBD-6) </w:t>
      </w:r>
      <w:r w:rsidR="00B02ED1">
        <w:t>reflected</w:t>
      </w:r>
      <w:r>
        <w:t xml:space="preserve"> the Company’s rebuttal adjustments related to both cash working capital (CWC) and interest expense.  In </w:t>
      </w:r>
      <w:r w:rsidR="00B02ED1">
        <w:t>the revised exhibit</w:t>
      </w:r>
      <w:r>
        <w:t>, the</w:t>
      </w:r>
      <w:r w:rsidR="00180536">
        <w:t xml:space="preserve">se </w:t>
      </w:r>
      <w:r>
        <w:t xml:space="preserve">adjustments have been separated </w:t>
      </w:r>
      <w:r w:rsidR="003E11A1">
        <w:t>into two distinct adjustment pages</w:t>
      </w:r>
      <w:r>
        <w:t xml:space="preserve">.  </w:t>
      </w:r>
      <w:r w:rsidR="00B02ED1">
        <w:t xml:space="preserve">The </w:t>
      </w:r>
      <w:r>
        <w:t>CWC</w:t>
      </w:r>
      <w:r w:rsidR="00B02ED1">
        <w:t xml:space="preserve"> adjustment</w:t>
      </w:r>
      <w:r>
        <w:t xml:space="preserve"> is presented as adjustment 12.8</w:t>
      </w:r>
      <w:r w:rsidR="00B02ED1">
        <w:t xml:space="preserve"> and the interest expense adjustment is presented as adjustment 12.9.</w:t>
      </w:r>
    </w:p>
    <w:p w:rsidR="00730EC2" w:rsidRDefault="00A75658" w:rsidP="00AA438F">
      <w:pPr>
        <w:pStyle w:val="BodyTextIndent2"/>
        <w:numPr>
          <w:ilvl w:val="0"/>
          <w:numId w:val="10"/>
        </w:numPr>
        <w:spacing w:after="0"/>
        <w:jc w:val="left"/>
      </w:pPr>
      <w:r>
        <w:t>Consistent with Exhibit No.__</w:t>
      </w:r>
      <w:proofErr w:type="gramStart"/>
      <w:r>
        <w:t>_(</w:t>
      </w:r>
      <w:proofErr w:type="gramEnd"/>
      <w:r>
        <w:t xml:space="preserve">RBD-3) – Revised 11/23/10, the </w:t>
      </w:r>
      <w:r w:rsidR="00730EC2">
        <w:t>CWC</w:t>
      </w:r>
      <w:r>
        <w:t xml:space="preserve"> balances reflected in the per books data have been removed</w:t>
      </w:r>
      <w:r w:rsidR="00730EC2">
        <w:t xml:space="preserve">.  In conjunction with this change, </w:t>
      </w:r>
      <w:r w:rsidR="00B02ED1">
        <w:t xml:space="preserve">the </w:t>
      </w:r>
      <w:r w:rsidR="00730EC2">
        <w:t>CWC rebuttal adjustment 12.8 has been modified to reflect the addition of all CWC to the Washington test period.</w:t>
      </w:r>
    </w:p>
    <w:p w:rsidR="00F45244" w:rsidRDefault="00F20CDB" w:rsidP="00AA438F">
      <w:pPr>
        <w:pStyle w:val="BodyTextIndent2"/>
        <w:numPr>
          <w:ilvl w:val="0"/>
          <w:numId w:val="10"/>
        </w:numPr>
        <w:spacing w:after="0"/>
        <w:jc w:val="left"/>
      </w:pPr>
      <w:r>
        <w:t>T</w:t>
      </w:r>
      <w:r w:rsidR="00B24310">
        <w:t xml:space="preserve">he supporting </w:t>
      </w:r>
      <w:r w:rsidR="001F6FCA">
        <w:t>worksheets</w:t>
      </w:r>
      <w:r w:rsidR="00B24310">
        <w:t xml:space="preserve"> associated with </w:t>
      </w:r>
      <w:r w:rsidR="00F615CB">
        <w:t xml:space="preserve">the Pro forma </w:t>
      </w:r>
      <w:r w:rsidR="00F45244">
        <w:t>Net Power Cost Adjustment (</w:t>
      </w:r>
      <w:r w:rsidR="00F615CB">
        <w:t>12.6</w:t>
      </w:r>
      <w:r w:rsidR="0012519B">
        <w:t xml:space="preserve">) and </w:t>
      </w:r>
      <w:r w:rsidR="00F615CB">
        <w:t>Produ</w:t>
      </w:r>
      <w:r w:rsidR="0012519B">
        <w:t>ction Factor Adjustment (12.7)</w:t>
      </w:r>
      <w:r w:rsidR="00B24310">
        <w:t xml:space="preserve"> </w:t>
      </w:r>
      <w:proofErr w:type="gramStart"/>
      <w:r w:rsidR="00B24310">
        <w:t>have</w:t>
      </w:r>
      <w:proofErr w:type="gramEnd"/>
      <w:r w:rsidR="00B24310">
        <w:t xml:space="preserve"> been revised </w:t>
      </w:r>
      <w:r w:rsidR="00153396">
        <w:t xml:space="preserve">to more clearly present the calculations for </w:t>
      </w:r>
      <w:r w:rsidR="00CA14F3">
        <w:t>each adjustment</w:t>
      </w:r>
      <w:r w:rsidR="00F45244">
        <w:t>.</w:t>
      </w:r>
    </w:p>
    <w:p w:rsidR="006D1FEA" w:rsidRDefault="006D1FEA" w:rsidP="00AA438F">
      <w:pPr>
        <w:pStyle w:val="BodyTextIndent2"/>
        <w:numPr>
          <w:ilvl w:val="0"/>
          <w:numId w:val="10"/>
        </w:numPr>
        <w:spacing w:after="0"/>
        <w:jc w:val="left"/>
      </w:pPr>
      <w:r>
        <w:lastRenderedPageBreak/>
        <w:t xml:space="preserve">Several </w:t>
      </w:r>
      <w:r w:rsidR="00F94114">
        <w:t>supporting worksheets</w:t>
      </w:r>
      <w:r>
        <w:t xml:space="preserve"> have been added to Tab 1</w:t>
      </w:r>
      <w:r w:rsidR="003E11A1">
        <w:t xml:space="preserve"> - Summary</w:t>
      </w:r>
      <w:r>
        <w:t xml:space="preserve"> to provide additional detail on the development of the rebuttal test period results.  These </w:t>
      </w:r>
      <w:r w:rsidR="00F94114">
        <w:t xml:space="preserve">supporting worksheets show the Washington-allocated impact of each of the Company’s </w:t>
      </w:r>
      <w:r>
        <w:t>proposed restating and pro forma adjustments</w:t>
      </w:r>
      <w:r w:rsidR="00F94114">
        <w:t>.</w:t>
      </w:r>
    </w:p>
    <w:p w:rsidR="00067EC1" w:rsidRDefault="00067EC1" w:rsidP="00AA438F">
      <w:pPr>
        <w:pStyle w:val="BodyTextIndent2"/>
        <w:spacing w:after="0"/>
        <w:ind w:left="720" w:hanging="720"/>
        <w:jc w:val="left"/>
        <w:rPr>
          <w:b/>
        </w:rPr>
      </w:pPr>
      <w:r w:rsidRPr="00F45244">
        <w:rPr>
          <w:b/>
        </w:rPr>
        <w:t>Q.</w:t>
      </w:r>
      <w:r w:rsidRPr="00F45244">
        <w:rPr>
          <w:b/>
        </w:rPr>
        <w:tab/>
      </w:r>
      <w:r>
        <w:rPr>
          <w:b/>
        </w:rPr>
        <w:t xml:space="preserve">Do any of these revisions impact your previously filed </w:t>
      </w:r>
      <w:r w:rsidR="00F615CB">
        <w:rPr>
          <w:b/>
        </w:rPr>
        <w:t xml:space="preserve">rebuttal </w:t>
      </w:r>
      <w:r>
        <w:rPr>
          <w:b/>
        </w:rPr>
        <w:t>testimony?</w:t>
      </w:r>
    </w:p>
    <w:p w:rsidR="00067EC1" w:rsidRPr="00067EC1" w:rsidRDefault="00067EC1" w:rsidP="00AA438F">
      <w:pPr>
        <w:pStyle w:val="BodyTextIndent2"/>
        <w:spacing w:after="0"/>
        <w:ind w:left="720" w:hanging="720"/>
        <w:jc w:val="left"/>
      </w:pPr>
      <w:r w:rsidRPr="00067EC1">
        <w:t>A.</w:t>
      </w:r>
      <w:r w:rsidRPr="00067EC1">
        <w:tab/>
      </w:r>
      <w:r w:rsidR="003643E3">
        <w:t>Yes</w:t>
      </w:r>
      <w:r w:rsidRPr="00067EC1">
        <w:t>.</w:t>
      </w:r>
      <w:r>
        <w:t xml:space="preserve">  </w:t>
      </w:r>
      <w:r w:rsidR="003643E3">
        <w:t>S</w:t>
      </w:r>
      <w:r w:rsidR="00F615CB">
        <w:t xml:space="preserve">everal </w:t>
      </w:r>
      <w:r>
        <w:t xml:space="preserve">conforming changes </w:t>
      </w:r>
      <w:r w:rsidR="003643E3">
        <w:t xml:space="preserve">are necessary </w:t>
      </w:r>
      <w:r>
        <w:t xml:space="preserve">to my </w:t>
      </w:r>
      <w:r w:rsidR="00F615CB">
        <w:t xml:space="preserve">rebuttal </w:t>
      </w:r>
      <w:r>
        <w:t>testimony</w:t>
      </w:r>
      <w:r w:rsidR="00F615CB">
        <w:t xml:space="preserve">.  A redline version of these changes </w:t>
      </w:r>
      <w:r w:rsidR="00993C48">
        <w:t>has</w:t>
      </w:r>
      <w:r w:rsidR="00F615CB">
        <w:t xml:space="preserve"> been provided as Exhibit No.__</w:t>
      </w:r>
      <w:proofErr w:type="gramStart"/>
      <w:r w:rsidR="00F615CB">
        <w:t>_(</w:t>
      </w:r>
      <w:proofErr w:type="gramEnd"/>
      <w:r w:rsidR="00F615CB">
        <w:t>RBD-4T) – Revised 12/10/10 .</w:t>
      </w:r>
    </w:p>
    <w:p w:rsidR="00067EC1" w:rsidRPr="00153396" w:rsidRDefault="000E1259" w:rsidP="00AA438F">
      <w:pPr>
        <w:pStyle w:val="BodyTextIndent2"/>
        <w:spacing w:after="0"/>
        <w:ind w:left="0"/>
        <w:jc w:val="left"/>
        <w:rPr>
          <w:b/>
          <w:u w:val="single"/>
        </w:rPr>
      </w:pPr>
      <w:r>
        <w:rPr>
          <w:b/>
          <w:u w:val="single"/>
        </w:rPr>
        <w:t>Replace</w:t>
      </w:r>
      <w:r w:rsidR="00451E15">
        <w:rPr>
          <w:b/>
          <w:u w:val="single"/>
        </w:rPr>
        <w:t>d</w:t>
      </w:r>
      <w:r>
        <w:rPr>
          <w:b/>
          <w:u w:val="single"/>
        </w:rPr>
        <w:t xml:space="preserve"> Adjustments</w:t>
      </w:r>
    </w:p>
    <w:p w:rsidR="00F45244" w:rsidRDefault="00F45244" w:rsidP="00AA438F">
      <w:pPr>
        <w:pStyle w:val="BodyTextIndent2"/>
        <w:spacing w:after="0"/>
        <w:ind w:left="720" w:hanging="720"/>
        <w:jc w:val="left"/>
        <w:rPr>
          <w:b/>
        </w:rPr>
      </w:pPr>
      <w:r w:rsidRPr="00F45244">
        <w:rPr>
          <w:b/>
        </w:rPr>
        <w:t>Q.</w:t>
      </w:r>
      <w:r w:rsidRPr="00F45244">
        <w:rPr>
          <w:b/>
        </w:rPr>
        <w:tab/>
        <w:t xml:space="preserve">Please describe the </w:t>
      </w:r>
      <w:r w:rsidR="00AE55BF">
        <w:rPr>
          <w:b/>
        </w:rPr>
        <w:t>presentation</w:t>
      </w:r>
      <w:r w:rsidR="007476CE">
        <w:rPr>
          <w:b/>
        </w:rPr>
        <w:t>al</w:t>
      </w:r>
      <w:r w:rsidR="00AE55BF">
        <w:rPr>
          <w:b/>
        </w:rPr>
        <w:t xml:space="preserve"> </w:t>
      </w:r>
      <w:r w:rsidR="00A32BEE">
        <w:rPr>
          <w:b/>
        </w:rPr>
        <w:t>revisions</w:t>
      </w:r>
      <w:r w:rsidRPr="00F45244">
        <w:rPr>
          <w:b/>
        </w:rPr>
        <w:t xml:space="preserve"> the Company has made </w:t>
      </w:r>
      <w:r w:rsidR="00AE55BF">
        <w:rPr>
          <w:b/>
        </w:rPr>
        <w:t>to the rebuttal adjustments</w:t>
      </w:r>
      <w:r w:rsidR="007476CE">
        <w:rPr>
          <w:b/>
        </w:rPr>
        <w:t>.</w:t>
      </w:r>
    </w:p>
    <w:p w:rsidR="00332AED" w:rsidRDefault="00F45244" w:rsidP="00AA438F">
      <w:pPr>
        <w:pStyle w:val="BodyTextIndent2"/>
        <w:spacing w:after="0"/>
        <w:ind w:left="720" w:hanging="720"/>
        <w:jc w:val="left"/>
      </w:pPr>
      <w:r w:rsidRPr="00A32BEE">
        <w:t>A.</w:t>
      </w:r>
      <w:r>
        <w:rPr>
          <w:b/>
        </w:rPr>
        <w:tab/>
      </w:r>
      <w:r w:rsidR="007476CE">
        <w:t>As discussed at length during the</w:t>
      </w:r>
      <w:r w:rsidR="007476CE" w:rsidRPr="007476CE">
        <w:t xml:space="preserve"> </w:t>
      </w:r>
      <w:r w:rsidR="007476CE">
        <w:t xml:space="preserve">explanatory session held with the Commission advisors, </w:t>
      </w:r>
      <w:r w:rsidR="00EC0BAE">
        <w:t xml:space="preserve">when the Company </w:t>
      </w:r>
      <w:r w:rsidR="003E11A1">
        <w:t>proposes</w:t>
      </w:r>
      <w:r w:rsidR="00EC0BAE">
        <w:t xml:space="preserve"> an update or modification to an adjustment </w:t>
      </w:r>
      <w:r w:rsidR="003E11A1">
        <w:t>included</w:t>
      </w:r>
      <w:r w:rsidR="00EC0BAE">
        <w:t xml:space="preserve"> in its initial filing, the updated</w:t>
      </w:r>
      <w:r w:rsidR="003E11A1">
        <w:t xml:space="preserve"> or modified</w:t>
      </w:r>
      <w:r w:rsidR="00EC0BAE">
        <w:t xml:space="preserve"> rebuttal adjustment should replace the original adjustment.  This method differs from the presentation used in the original </w:t>
      </w:r>
      <w:r w:rsidR="00451E15">
        <w:t xml:space="preserve">rebuttal </w:t>
      </w:r>
      <w:r w:rsidR="00EC0BAE">
        <w:t>Exhibit No.__</w:t>
      </w:r>
      <w:proofErr w:type="gramStart"/>
      <w:r w:rsidR="00EC0BAE">
        <w:t>_(</w:t>
      </w:r>
      <w:proofErr w:type="gramEnd"/>
      <w:r w:rsidR="00EC0BAE">
        <w:t xml:space="preserve">RBD-6).  In that exhibit, each of the Company’s rebuttal adjustments were presented incrementally </w:t>
      </w:r>
      <w:r w:rsidR="00332AED">
        <w:t>to the Com</w:t>
      </w:r>
      <w:r w:rsidR="00EC0BAE">
        <w:t xml:space="preserve">pany’s </w:t>
      </w:r>
      <w:r w:rsidR="003643E3">
        <w:t>initially</w:t>
      </w:r>
      <w:r w:rsidR="00EC0BAE">
        <w:t xml:space="preserve"> filed revenue requirement.</w:t>
      </w:r>
    </w:p>
    <w:p w:rsidR="00332AED" w:rsidRDefault="00332AED" w:rsidP="00AA438F">
      <w:pPr>
        <w:pStyle w:val="BodyTextIndent2"/>
        <w:widowControl w:val="0"/>
        <w:spacing w:after="0"/>
        <w:ind w:left="720" w:firstLine="720"/>
        <w:jc w:val="left"/>
      </w:pPr>
      <w:r>
        <w:t>In Exhibit No.__</w:t>
      </w:r>
      <w:proofErr w:type="gramStart"/>
      <w:r>
        <w:t>_(</w:t>
      </w:r>
      <w:proofErr w:type="gramEnd"/>
      <w:r>
        <w:t xml:space="preserve">RBD-6) – Revised 12/10/10, rebuttal adjustments that update or modify </w:t>
      </w:r>
      <w:r w:rsidR="00215701">
        <w:t xml:space="preserve">initially filed </w:t>
      </w:r>
      <w:r>
        <w:t>adjustment</w:t>
      </w:r>
      <w:r w:rsidR="00215701">
        <w:t xml:space="preserve">s, </w:t>
      </w:r>
      <w:r>
        <w:t xml:space="preserve">replace the initial adjustment.  </w:t>
      </w:r>
      <w:r w:rsidR="000E315A">
        <w:t xml:space="preserve">This change requires presentation updates to several of the Company’s rebuttal adjustments. </w:t>
      </w:r>
      <w:r w:rsidR="000F7E3E">
        <w:t xml:space="preserve"> </w:t>
      </w:r>
      <w:r>
        <w:t xml:space="preserve">The table below outlines the initial adjustments which have been </w:t>
      </w:r>
      <w:r>
        <w:lastRenderedPageBreak/>
        <w:t xml:space="preserve">replaced by the </w:t>
      </w:r>
      <w:r w:rsidR="003643E3">
        <w:t>Company’s</w:t>
      </w:r>
      <w:r>
        <w:t xml:space="preserve"> proposed rebuttal adjustments.</w:t>
      </w:r>
    </w:p>
    <w:p w:rsidR="001905CC" w:rsidRDefault="00332AED" w:rsidP="00AA438F">
      <w:pPr>
        <w:pStyle w:val="BodyTextIndent2"/>
        <w:suppressLineNumbers/>
        <w:spacing w:after="0"/>
        <w:ind w:left="720" w:firstLine="720"/>
        <w:jc w:val="left"/>
      </w:pPr>
      <w:r w:rsidRPr="00332AED">
        <w:rPr>
          <w:noProof/>
          <w:lang w:eastAsia="ko-KR"/>
        </w:rPr>
        <w:drawing>
          <wp:inline distT="0" distB="0" distL="0" distR="0">
            <wp:extent cx="4362450" cy="2428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62450" cy="2428875"/>
                    </a:xfrm>
                    <a:prstGeom prst="rect">
                      <a:avLst/>
                    </a:prstGeom>
                    <a:noFill/>
                    <a:ln w="9525">
                      <a:noFill/>
                      <a:miter lim="800000"/>
                      <a:headEnd/>
                      <a:tailEnd/>
                    </a:ln>
                  </pic:spPr>
                </pic:pic>
              </a:graphicData>
            </a:graphic>
          </wp:inline>
        </w:drawing>
      </w:r>
      <w:r w:rsidRPr="00332AED" w:rsidDel="00EC0BAE">
        <w:t xml:space="preserve"> </w:t>
      </w:r>
    </w:p>
    <w:p w:rsidR="00215701" w:rsidRDefault="00215701" w:rsidP="00AA438F">
      <w:pPr>
        <w:pStyle w:val="BodyTextIndent2"/>
        <w:spacing w:after="0"/>
        <w:ind w:left="0"/>
        <w:jc w:val="left"/>
        <w:rPr>
          <w:b/>
          <w:u w:val="single"/>
        </w:rPr>
      </w:pPr>
      <w:r w:rsidRPr="00215701">
        <w:rPr>
          <w:b/>
          <w:u w:val="single"/>
        </w:rPr>
        <w:t>CWC and Interest Expense Adjustments</w:t>
      </w:r>
    </w:p>
    <w:p w:rsidR="00215701" w:rsidRPr="00D77905" w:rsidRDefault="00215701" w:rsidP="00AA438F">
      <w:pPr>
        <w:pStyle w:val="BodyTextIndent2"/>
        <w:spacing w:after="0"/>
        <w:ind w:left="720" w:hanging="720"/>
        <w:jc w:val="left"/>
        <w:rPr>
          <w:b/>
        </w:rPr>
      </w:pPr>
      <w:r w:rsidRPr="00D77905">
        <w:rPr>
          <w:b/>
        </w:rPr>
        <w:t xml:space="preserve">Q. </w:t>
      </w:r>
      <w:r w:rsidRPr="00D77905">
        <w:rPr>
          <w:b/>
        </w:rPr>
        <w:tab/>
        <w:t>Please describe the presentational revisions the Company has made to the Cash Working Capital and Interest Expense adjustments.</w:t>
      </w:r>
    </w:p>
    <w:p w:rsidR="00215701" w:rsidRDefault="00215701" w:rsidP="00AA438F">
      <w:pPr>
        <w:pStyle w:val="BodyTextIndent2"/>
        <w:spacing w:after="0"/>
        <w:ind w:left="720" w:hanging="720"/>
        <w:jc w:val="left"/>
      </w:pPr>
      <w:r w:rsidRPr="00215701">
        <w:t>A.</w:t>
      </w:r>
      <w:r w:rsidRPr="00215701">
        <w:tab/>
      </w:r>
      <w:r w:rsidR="00D77905">
        <w:t>I</w:t>
      </w:r>
      <w:r w:rsidRPr="00215701">
        <w:t xml:space="preserve">n </w:t>
      </w:r>
      <w:r>
        <w:t xml:space="preserve">the Company’s original </w:t>
      </w:r>
      <w:r w:rsidRPr="00215701">
        <w:t>Exhibit No.__</w:t>
      </w:r>
      <w:proofErr w:type="gramStart"/>
      <w:r w:rsidRPr="00215701">
        <w:t>_(</w:t>
      </w:r>
      <w:proofErr w:type="gramEnd"/>
      <w:r w:rsidRPr="00215701">
        <w:t>RBD-6)</w:t>
      </w:r>
      <w:r w:rsidR="00D77905">
        <w:t xml:space="preserve">, </w:t>
      </w:r>
      <w:r w:rsidR="00532931">
        <w:t xml:space="preserve">the </w:t>
      </w:r>
      <w:r w:rsidR="00D77905">
        <w:t xml:space="preserve">CWC and </w:t>
      </w:r>
      <w:r w:rsidR="00532931">
        <w:t>i</w:t>
      </w:r>
      <w:r w:rsidR="00D77905">
        <w:t xml:space="preserve">nterest </w:t>
      </w:r>
      <w:r w:rsidR="00532931">
        <w:t>e</w:t>
      </w:r>
      <w:r>
        <w:t>xpense adjustment</w:t>
      </w:r>
      <w:r w:rsidR="00D77905">
        <w:t>s</w:t>
      </w:r>
      <w:r>
        <w:t xml:space="preserve"> were combined into one </w:t>
      </w:r>
      <w:r w:rsidR="003E11A1">
        <w:t xml:space="preserve">rebuttal </w:t>
      </w:r>
      <w:r>
        <w:t>adjustment, page 12.8.  In Exhibit No.__</w:t>
      </w:r>
      <w:proofErr w:type="gramStart"/>
      <w:r>
        <w:t>_(</w:t>
      </w:r>
      <w:proofErr w:type="gramEnd"/>
      <w:r>
        <w:t>RBD-6)</w:t>
      </w:r>
      <w:r w:rsidRPr="00215701">
        <w:t xml:space="preserve"> – Revised 12/10/10, </w:t>
      </w:r>
      <w:r w:rsidR="00532931">
        <w:t>the CWC and i</w:t>
      </w:r>
      <w:r w:rsidRPr="00215701">
        <w:t xml:space="preserve">nterest expense adjustments have been split into two </w:t>
      </w:r>
      <w:r w:rsidR="003643E3" w:rsidRPr="00215701">
        <w:t>distinct</w:t>
      </w:r>
      <w:r w:rsidRPr="00215701">
        <w:t xml:space="preserve"> adjustments.  The CWC adjustment is presented as adjustment 12.8 and the interest expense adjustment is presented as adjustment 12.9.</w:t>
      </w:r>
      <w:r>
        <w:t xml:space="preserve">  These adjustments are shown in separate columns in the summary pages contained</w:t>
      </w:r>
      <w:r w:rsidR="003E11A1">
        <w:t xml:space="preserve"> in Tab 1 </w:t>
      </w:r>
      <w:r>
        <w:t>and Tab 12 of the revised exhibit.</w:t>
      </w:r>
    </w:p>
    <w:p w:rsidR="00215701" w:rsidRDefault="00215701" w:rsidP="00AA438F">
      <w:pPr>
        <w:pStyle w:val="BodyTextIndent2"/>
        <w:spacing w:after="0"/>
        <w:ind w:left="0"/>
        <w:jc w:val="left"/>
        <w:rPr>
          <w:b/>
          <w:u w:val="single"/>
        </w:rPr>
      </w:pPr>
      <w:r w:rsidRPr="00215701">
        <w:rPr>
          <w:b/>
          <w:u w:val="single"/>
        </w:rPr>
        <w:t xml:space="preserve">Removal of Per Books CWC </w:t>
      </w:r>
    </w:p>
    <w:p w:rsidR="00D77905" w:rsidRPr="00532931" w:rsidRDefault="00215701" w:rsidP="00AA438F">
      <w:pPr>
        <w:pStyle w:val="BodyTextIndent2"/>
        <w:spacing w:after="0"/>
        <w:ind w:left="0"/>
        <w:jc w:val="left"/>
        <w:rPr>
          <w:b/>
        </w:rPr>
      </w:pPr>
      <w:r w:rsidRPr="00532931">
        <w:rPr>
          <w:b/>
        </w:rPr>
        <w:t>Q.</w:t>
      </w:r>
      <w:r w:rsidRPr="00532931">
        <w:rPr>
          <w:b/>
        </w:rPr>
        <w:tab/>
      </w:r>
      <w:r w:rsidR="005F0DE8">
        <w:rPr>
          <w:b/>
        </w:rPr>
        <w:t>What changes have been made to the presentation of CWC?</w:t>
      </w:r>
    </w:p>
    <w:p w:rsidR="00D77905" w:rsidRDefault="00D77905" w:rsidP="00AA438F">
      <w:pPr>
        <w:pStyle w:val="BodyTextIndent2"/>
        <w:spacing w:after="0"/>
        <w:ind w:left="720" w:hanging="720"/>
        <w:jc w:val="left"/>
      </w:pPr>
      <w:r w:rsidRPr="00D77905">
        <w:t>A.</w:t>
      </w:r>
      <w:r w:rsidRPr="00D77905">
        <w:tab/>
        <w:t xml:space="preserve">As discussed in my supplemental direct testimony, </w:t>
      </w:r>
      <w:r>
        <w:t>t</w:t>
      </w:r>
      <w:r w:rsidR="00153396" w:rsidRPr="00D77905">
        <w:t>he</w:t>
      </w:r>
      <w:r w:rsidR="00153396">
        <w:t xml:space="preserve"> Company’s </w:t>
      </w:r>
      <w:r w:rsidR="00642873">
        <w:t>initial</w:t>
      </w:r>
      <w:r w:rsidR="00153396">
        <w:t xml:space="preserve"> filing reflected CWC balances in the per books data. </w:t>
      </w:r>
      <w:r w:rsidR="006E3722">
        <w:t xml:space="preserve"> </w:t>
      </w:r>
      <w:r>
        <w:t>This method was revised in Exhibit No.__</w:t>
      </w:r>
      <w:proofErr w:type="gramStart"/>
      <w:r>
        <w:t>_(</w:t>
      </w:r>
      <w:proofErr w:type="gramEnd"/>
      <w:r>
        <w:t>RBD-3) – Revised 11/23/10.  In that exhibit</w:t>
      </w:r>
      <w:r w:rsidR="005F0DE8">
        <w:t>,</w:t>
      </w:r>
      <w:r>
        <w:t xml:space="preserve"> the Company </w:t>
      </w:r>
      <w:r>
        <w:lastRenderedPageBreak/>
        <w:t>removed</w:t>
      </w:r>
      <w:r w:rsidR="004C1BEF">
        <w:t xml:space="preserve"> all CWC </w:t>
      </w:r>
      <w:r w:rsidR="00153396">
        <w:t>fro</w:t>
      </w:r>
      <w:r>
        <w:t>m the per books data and added</w:t>
      </w:r>
      <w:r w:rsidR="004C1BEF">
        <w:t xml:space="preserve"> </w:t>
      </w:r>
      <w:r w:rsidR="00642873">
        <w:t xml:space="preserve">all </w:t>
      </w:r>
      <w:r w:rsidR="004C1BEF">
        <w:t xml:space="preserve">CWC balances to test period normalized results though the </w:t>
      </w:r>
      <w:r w:rsidR="00642873">
        <w:t>restating and pro</w:t>
      </w:r>
      <w:r w:rsidR="00B03C3F">
        <w:t xml:space="preserve"> </w:t>
      </w:r>
      <w:r w:rsidR="00642873">
        <w:t xml:space="preserve">forma </w:t>
      </w:r>
      <w:r w:rsidR="004C1BEF">
        <w:t>CWC adjustment</w:t>
      </w:r>
      <w:r w:rsidR="001905CC">
        <w:t>s</w:t>
      </w:r>
      <w:r>
        <w:t xml:space="preserve">.  This revised method is </w:t>
      </w:r>
      <w:r w:rsidR="00532931">
        <w:t xml:space="preserve">also </w:t>
      </w:r>
      <w:r>
        <w:t>used in Exhibit No.__</w:t>
      </w:r>
      <w:proofErr w:type="gramStart"/>
      <w:r>
        <w:t>_(</w:t>
      </w:r>
      <w:proofErr w:type="gramEnd"/>
      <w:r>
        <w:t>RBD-6) – Revised 12/10/10.  All CWC balances included in the Company’s rebuttal Washington revenue requirement are added to rate base through rebuttal adjustment 12.8.</w:t>
      </w:r>
      <w:r w:rsidR="005F0DE8">
        <w:t xml:space="preserve">  As noted above, CWC rebuttal adjustment 12.8 replaces the Company’s original CWC adjustment, page 8.1 of Exhibit No.__</w:t>
      </w:r>
      <w:proofErr w:type="gramStart"/>
      <w:r w:rsidR="005F0DE8">
        <w:t>_(</w:t>
      </w:r>
      <w:proofErr w:type="gramEnd"/>
      <w:r w:rsidR="005F0DE8">
        <w:t>RBD-3).</w:t>
      </w:r>
      <w:r>
        <w:t xml:space="preserve"> </w:t>
      </w:r>
    </w:p>
    <w:p w:rsidR="00D77905" w:rsidRDefault="00532931" w:rsidP="00AA438F">
      <w:pPr>
        <w:pStyle w:val="BodyTextIndent2"/>
        <w:spacing w:after="0"/>
        <w:ind w:left="720" w:hanging="720"/>
        <w:jc w:val="left"/>
        <w:rPr>
          <w:b/>
          <w:u w:val="single"/>
        </w:rPr>
      </w:pPr>
      <w:r w:rsidRPr="0001424C">
        <w:rPr>
          <w:b/>
          <w:u w:val="single"/>
        </w:rPr>
        <w:t xml:space="preserve">Supporting </w:t>
      </w:r>
      <w:r w:rsidR="0001424C" w:rsidRPr="0001424C">
        <w:rPr>
          <w:b/>
          <w:u w:val="single"/>
        </w:rPr>
        <w:t xml:space="preserve">Adjustment </w:t>
      </w:r>
      <w:r w:rsidRPr="0001424C">
        <w:rPr>
          <w:b/>
          <w:u w:val="single"/>
        </w:rPr>
        <w:t xml:space="preserve">Worksheets </w:t>
      </w:r>
    </w:p>
    <w:p w:rsidR="0001424C" w:rsidRDefault="0001424C" w:rsidP="00AA438F">
      <w:pPr>
        <w:pStyle w:val="BodyTextIndent2"/>
        <w:spacing w:after="0"/>
        <w:ind w:left="720" w:hanging="720"/>
        <w:jc w:val="left"/>
        <w:rPr>
          <w:b/>
        </w:rPr>
      </w:pPr>
      <w:r w:rsidRPr="00A32BEE">
        <w:rPr>
          <w:b/>
        </w:rPr>
        <w:t xml:space="preserve">Q. </w:t>
      </w:r>
      <w:r w:rsidRPr="00A32BEE">
        <w:rPr>
          <w:b/>
        </w:rPr>
        <w:tab/>
        <w:t xml:space="preserve">Please describe the revisions the Company has made to </w:t>
      </w:r>
      <w:r>
        <w:rPr>
          <w:b/>
        </w:rPr>
        <w:t>the supporting worksheets included in Exhibit No.__</w:t>
      </w:r>
      <w:proofErr w:type="gramStart"/>
      <w:r>
        <w:rPr>
          <w:b/>
        </w:rPr>
        <w:t>_(</w:t>
      </w:r>
      <w:proofErr w:type="gramEnd"/>
      <w:r>
        <w:rPr>
          <w:b/>
        </w:rPr>
        <w:t xml:space="preserve">RBD-6) – Revised 12/10/10 for the </w:t>
      </w:r>
      <w:r w:rsidR="005F0DE8">
        <w:rPr>
          <w:b/>
        </w:rPr>
        <w:t xml:space="preserve">rebuttal </w:t>
      </w:r>
      <w:r>
        <w:rPr>
          <w:b/>
        </w:rPr>
        <w:t>pro forma net power cost adjustment</w:t>
      </w:r>
      <w:r w:rsidR="00D740AB">
        <w:rPr>
          <w:b/>
        </w:rPr>
        <w:t>, page 12.6</w:t>
      </w:r>
      <w:r>
        <w:rPr>
          <w:b/>
        </w:rPr>
        <w:t>.</w:t>
      </w:r>
    </w:p>
    <w:p w:rsidR="0001424C" w:rsidRDefault="0001424C" w:rsidP="00AA438F">
      <w:pPr>
        <w:pStyle w:val="BodyTextIndent2"/>
        <w:spacing w:after="0"/>
        <w:ind w:left="720" w:hanging="720"/>
        <w:jc w:val="left"/>
      </w:pPr>
      <w:r w:rsidRPr="00D740AB">
        <w:t>A.</w:t>
      </w:r>
      <w:r w:rsidRPr="00D740AB">
        <w:tab/>
        <w:t xml:space="preserve">Several modifications to the supporting worksheets for the </w:t>
      </w:r>
      <w:r w:rsidR="005F0DE8">
        <w:t xml:space="preserve">rebuttal </w:t>
      </w:r>
      <w:r w:rsidRPr="00D740AB">
        <w:t xml:space="preserve">pro forma net power cost adjustment have been reflected.  First, </w:t>
      </w:r>
      <w:r w:rsidR="00D740AB">
        <w:t xml:space="preserve">supporting </w:t>
      </w:r>
      <w:r w:rsidR="00D740AB" w:rsidRPr="00D740AB">
        <w:t>page</w:t>
      </w:r>
      <w:r w:rsidR="00D740AB">
        <w:t xml:space="preserve"> 12.6.1 of the exhibit has been revised to show more clearly </w:t>
      </w:r>
      <w:proofErr w:type="gramStart"/>
      <w:r w:rsidR="00D740AB">
        <w:t>the per</w:t>
      </w:r>
      <w:proofErr w:type="gramEnd"/>
      <w:r w:rsidR="00D740AB">
        <w:t xml:space="preserve"> books, normalized, and rebuttal pro forma net power costs included in the Company’s filing.  This page reflects all three net power cost amounts, along with the associated restating and rebuttal pro forma adjustments, on both a west control area and Washington-allocated basis.</w:t>
      </w:r>
      <w:r w:rsidR="005F0DE8">
        <w:t xml:space="preserve">  The rebuttal pro forma net power cost</w:t>
      </w:r>
      <w:r w:rsidR="00502CCB">
        <w:t>s</w:t>
      </w:r>
      <w:r w:rsidR="005F0DE8">
        <w:t xml:space="preserve"> presented on this page replace the Company’s </w:t>
      </w:r>
      <w:r w:rsidR="003325D2">
        <w:t xml:space="preserve">initial </w:t>
      </w:r>
      <w:r w:rsidR="005F0DE8">
        <w:t>pro forma net power costs presented in adjustment 5.2 of Exhibit No.___(RBD-3) – Revised 11/23/10.</w:t>
      </w:r>
      <w:r w:rsidR="00D740AB">
        <w:t xml:space="preserve">  Second, supporting page 12.6.2 shows the final west control area </w:t>
      </w:r>
      <w:r w:rsidR="005F0DE8" w:rsidRPr="00821661">
        <w:t xml:space="preserve">Generation and Regulation Initiatives Decision tools model </w:t>
      </w:r>
      <w:r w:rsidR="005F0DE8">
        <w:t xml:space="preserve">(GRID) report for the rebuttal </w:t>
      </w:r>
      <w:r w:rsidR="00D740AB">
        <w:t>pro forma net power cost</w:t>
      </w:r>
      <w:r w:rsidR="003643E3">
        <w:t>s</w:t>
      </w:r>
      <w:r w:rsidR="00D740AB">
        <w:t xml:space="preserve">.  Third, page 12.6.3 shows a comparison of the Company’s initial pro forma net </w:t>
      </w:r>
      <w:r w:rsidR="00D740AB">
        <w:lastRenderedPageBreak/>
        <w:t>power costs</w:t>
      </w:r>
      <w:r w:rsidR="001A7055">
        <w:t>, presented in Exhibit No.___(RBD-3) – Revised 11/23/10</w:t>
      </w:r>
      <w:r w:rsidR="003643E3">
        <w:t>,</w:t>
      </w:r>
      <w:r w:rsidR="00D740AB">
        <w:t xml:space="preserve"> and the Company’s rebuttal pro forma net power costs.  Fourth, page 12.6.4 shows </w:t>
      </w:r>
      <w:r w:rsidR="001A7055">
        <w:t xml:space="preserve">a summary of </w:t>
      </w:r>
      <w:r w:rsidR="003643E3">
        <w:t>each adjustment</w:t>
      </w:r>
      <w:r w:rsidR="00D740AB">
        <w:t xml:space="preserve"> made from the </w:t>
      </w:r>
      <w:r w:rsidR="00EB553F">
        <w:t>Company’s</w:t>
      </w:r>
      <w:r w:rsidR="00D740AB">
        <w:t xml:space="preserve"> initial pro forma </w:t>
      </w:r>
      <w:r w:rsidR="003643E3">
        <w:t xml:space="preserve">net </w:t>
      </w:r>
      <w:r w:rsidR="00D740AB">
        <w:t>power costs</w:t>
      </w:r>
      <w:r w:rsidR="00E44EA9">
        <w:t>.</w:t>
      </w:r>
      <w:r w:rsidR="00D740AB">
        <w:t xml:space="preserve"> </w:t>
      </w:r>
      <w:r w:rsidR="00C67ABB">
        <w:t xml:space="preserve"> </w:t>
      </w:r>
      <w:r w:rsidR="00D740AB">
        <w:t xml:space="preserve">The left portion of this page is taken directly from </w:t>
      </w:r>
      <w:r w:rsidR="00FE67D6">
        <w:t xml:space="preserve">Mr. </w:t>
      </w:r>
      <w:r w:rsidR="00D740AB">
        <w:t xml:space="preserve">Gregory N. Duvall’s </w:t>
      </w:r>
      <w:r w:rsidR="001A7055">
        <w:t xml:space="preserve">rebuttal </w:t>
      </w:r>
      <w:r w:rsidR="00D740AB">
        <w:t>Exhibit No.__</w:t>
      </w:r>
      <w:proofErr w:type="gramStart"/>
      <w:r w:rsidR="00D740AB">
        <w:t>_(</w:t>
      </w:r>
      <w:proofErr w:type="gramEnd"/>
      <w:r w:rsidR="00D740AB">
        <w:t>GND-7).</w:t>
      </w:r>
      <w:r w:rsidR="00E44EA9">
        <w:t xml:space="preserve">  The right portion of this page shows the Washington</w:t>
      </w:r>
      <w:r w:rsidR="000655A8">
        <w:t>-</w:t>
      </w:r>
      <w:r w:rsidR="00E44EA9">
        <w:t xml:space="preserve">allocated </w:t>
      </w:r>
      <w:r w:rsidR="001A7055">
        <w:t xml:space="preserve">net power cost </w:t>
      </w:r>
      <w:r w:rsidR="00E44EA9">
        <w:t>impact of each adjustment along with the Washington revenue requirement</w:t>
      </w:r>
      <w:r w:rsidR="001A7055">
        <w:t xml:space="preserve"> impact</w:t>
      </w:r>
      <w:r w:rsidR="00E44EA9">
        <w:t xml:space="preserve">.  Finally, each adjustment made from the Company’s initial filed level of pro forma net power costs is reflected in columnar format </w:t>
      </w:r>
      <w:proofErr w:type="gramStart"/>
      <w:r w:rsidR="003643E3">
        <w:t>on a Washington-allocated results</w:t>
      </w:r>
      <w:proofErr w:type="gramEnd"/>
      <w:r w:rsidR="00E44EA9">
        <w:t xml:space="preserve"> of operations basis on pages 12.6.5 through 12.6.7.</w:t>
      </w:r>
      <w:r w:rsidR="001A7055">
        <w:t xml:space="preserve">  The column descriptions on these pages correspond to the naming convention presented on page 12.6.4.</w:t>
      </w:r>
    </w:p>
    <w:p w:rsidR="001A7055" w:rsidRPr="001A7055" w:rsidRDefault="001A7055" w:rsidP="00AA438F">
      <w:pPr>
        <w:pStyle w:val="BodyTextIndent2"/>
        <w:spacing w:after="0"/>
        <w:ind w:left="720" w:hanging="720"/>
        <w:jc w:val="left"/>
        <w:rPr>
          <w:b/>
        </w:rPr>
      </w:pPr>
      <w:r w:rsidRPr="001A7055">
        <w:rPr>
          <w:b/>
        </w:rPr>
        <w:t>Q.</w:t>
      </w:r>
      <w:r w:rsidRPr="001A7055">
        <w:rPr>
          <w:b/>
        </w:rPr>
        <w:tab/>
        <w:t>How</w:t>
      </w:r>
      <w:r w:rsidR="003643E3">
        <w:rPr>
          <w:b/>
        </w:rPr>
        <w:t xml:space="preserve"> have the Washington-</w:t>
      </w:r>
      <w:r>
        <w:rPr>
          <w:b/>
        </w:rPr>
        <w:t>allocated impacts</w:t>
      </w:r>
      <w:r w:rsidRPr="001A7055">
        <w:rPr>
          <w:b/>
        </w:rPr>
        <w:t xml:space="preserve"> been determined for each of the adjustment</w:t>
      </w:r>
      <w:r w:rsidR="003325D2">
        <w:rPr>
          <w:b/>
        </w:rPr>
        <w:t>s</w:t>
      </w:r>
      <w:r w:rsidRPr="001A7055">
        <w:rPr>
          <w:b/>
        </w:rPr>
        <w:t xml:space="preserve"> made from the Company’s initial</w:t>
      </w:r>
      <w:r w:rsidR="003325D2">
        <w:rPr>
          <w:b/>
        </w:rPr>
        <w:t>ly</w:t>
      </w:r>
      <w:r w:rsidRPr="001A7055">
        <w:rPr>
          <w:b/>
        </w:rPr>
        <w:t xml:space="preserve"> filed pro forma net power costs?</w:t>
      </w:r>
    </w:p>
    <w:p w:rsidR="001A7055" w:rsidRDefault="001A7055" w:rsidP="00AA438F">
      <w:pPr>
        <w:pStyle w:val="BodyTextIndent2"/>
        <w:spacing w:after="0"/>
        <w:ind w:left="720" w:hanging="720"/>
        <w:jc w:val="left"/>
      </w:pPr>
      <w:r>
        <w:t>A.</w:t>
      </w:r>
      <w:r>
        <w:tab/>
        <w:t xml:space="preserve">Under the direction of Mr. Duvall, the Company’s net power cost department ran </w:t>
      </w:r>
      <w:r w:rsidR="00FB3621">
        <w:t>multiple</w:t>
      </w:r>
      <w:r>
        <w:t xml:space="preserve"> GRID </w:t>
      </w:r>
      <w:r w:rsidR="00FB3621">
        <w:t>studies</w:t>
      </w:r>
      <w:r>
        <w:t xml:space="preserve"> to determine the impact of each change to the Company’s </w:t>
      </w:r>
      <w:r w:rsidR="00FB3621">
        <w:t xml:space="preserve">initial </w:t>
      </w:r>
      <w:r>
        <w:t xml:space="preserve">pro forma net power costs.  Each of these adjustments is described in detail in Mr. Duvall’s </w:t>
      </w:r>
      <w:r w:rsidR="00FB3621">
        <w:t xml:space="preserve">rebuttal </w:t>
      </w:r>
      <w:r>
        <w:t xml:space="preserve">testimony.  The summary GRID reports were then used to allocate the total west control area </w:t>
      </w:r>
      <w:r w:rsidR="00FB3621">
        <w:t>amounts</w:t>
      </w:r>
      <w:r>
        <w:t xml:space="preserve"> to Washington using the WCA allocation methodology.</w:t>
      </w:r>
      <w:r w:rsidR="00FB3621">
        <w:t xml:space="preserve">  The precise Washington allocation of each GRID study</w:t>
      </w:r>
      <w:r w:rsidR="0051254B">
        <w:t xml:space="preserve"> summary</w:t>
      </w:r>
      <w:r w:rsidR="00FB3621">
        <w:t xml:space="preserve"> </w:t>
      </w:r>
      <w:r w:rsidR="0051254B">
        <w:t>is</w:t>
      </w:r>
      <w:r w:rsidR="00FB3621">
        <w:t xml:space="preserve"> included in my supplement</w:t>
      </w:r>
      <w:r w:rsidR="0012519B">
        <w:t>al</w:t>
      </w:r>
      <w:r w:rsidR="00FB3621">
        <w:t xml:space="preserve"> rebuttal </w:t>
      </w:r>
      <w:proofErr w:type="spellStart"/>
      <w:r w:rsidR="00FB3621">
        <w:t>workpapers</w:t>
      </w:r>
      <w:proofErr w:type="spellEnd"/>
      <w:r w:rsidR="00FB3621">
        <w:t>.  The final Washington</w:t>
      </w:r>
      <w:r w:rsidR="000655A8">
        <w:t>-</w:t>
      </w:r>
      <w:r w:rsidR="00FB3621">
        <w:t xml:space="preserve">allocated impacts of each of these adjustments </w:t>
      </w:r>
      <w:r w:rsidR="003325D2">
        <w:t>are</w:t>
      </w:r>
      <w:r w:rsidR="00FB3621">
        <w:t xml:space="preserve"> presented on pages 12.6.5 through 12.6.7 of </w:t>
      </w:r>
      <w:r w:rsidR="0012519B">
        <w:t>Exhibit No.__</w:t>
      </w:r>
      <w:proofErr w:type="gramStart"/>
      <w:r w:rsidR="0012519B">
        <w:t>_(</w:t>
      </w:r>
      <w:proofErr w:type="gramEnd"/>
      <w:r w:rsidR="0012519B">
        <w:t>RBD-6) – Revised 12/10/10</w:t>
      </w:r>
      <w:r w:rsidR="00FB3621">
        <w:t>.</w:t>
      </w:r>
    </w:p>
    <w:p w:rsidR="001A7055" w:rsidRPr="00FB3621" w:rsidRDefault="001A7055" w:rsidP="00AA438F">
      <w:pPr>
        <w:pStyle w:val="BodyTextIndent2"/>
        <w:spacing w:after="0"/>
        <w:ind w:left="720" w:hanging="720"/>
        <w:jc w:val="left"/>
        <w:rPr>
          <w:b/>
        </w:rPr>
      </w:pPr>
      <w:r w:rsidRPr="00FB3621">
        <w:rPr>
          <w:b/>
        </w:rPr>
        <w:lastRenderedPageBreak/>
        <w:t>Q.</w:t>
      </w:r>
      <w:r w:rsidRPr="00FB3621">
        <w:rPr>
          <w:b/>
        </w:rPr>
        <w:tab/>
        <w:t>Are multiple Federal Energy Regulatory Commission (FERC) accounts and allocation factors used for some of these adjustments?</w:t>
      </w:r>
    </w:p>
    <w:p w:rsidR="003325D2" w:rsidRDefault="001A7055" w:rsidP="00AA438F">
      <w:pPr>
        <w:pStyle w:val="BodyTextIndent2"/>
        <w:spacing w:after="0"/>
        <w:ind w:left="720" w:hanging="720"/>
        <w:jc w:val="left"/>
      </w:pPr>
      <w:r>
        <w:t>A.</w:t>
      </w:r>
      <w:r>
        <w:tab/>
        <w:t>Yes.</w:t>
      </w:r>
      <w:r w:rsidR="00FB3621">
        <w:t xml:space="preserve">  Net power costs include FERC accounts 447 (Sales for Resale), 501 (Fuel – Coal), 547 (Fuel – Natural Gas), 555 (Purchased Power), and 565 (Wheeling Expenses)</w:t>
      </w:r>
      <w:r w:rsidR="003325D2">
        <w:t xml:space="preserve">.  </w:t>
      </w:r>
      <w:r w:rsidR="00FB3621">
        <w:t xml:space="preserve">As shown on </w:t>
      </w:r>
      <w:r w:rsidR="003325D2">
        <w:t xml:space="preserve">page 12.6.1, these accounts are allocated using the Control Area Generation West (CAGW), Control Area Energy West (CAEW), and Washington </w:t>
      </w:r>
      <w:proofErr w:type="spellStart"/>
      <w:r w:rsidR="003325D2">
        <w:t>situs</w:t>
      </w:r>
      <w:proofErr w:type="spellEnd"/>
      <w:r w:rsidR="003325D2">
        <w:t xml:space="preserve"> (WA) allocation factors.  </w:t>
      </w:r>
    </w:p>
    <w:p w:rsidR="003325D2" w:rsidRPr="003325D2" w:rsidRDefault="003325D2" w:rsidP="00AA438F">
      <w:pPr>
        <w:pStyle w:val="BodyTextIndent2"/>
        <w:spacing w:after="0"/>
        <w:ind w:left="720" w:hanging="720"/>
        <w:jc w:val="left"/>
        <w:rPr>
          <w:b/>
        </w:rPr>
      </w:pPr>
      <w:r w:rsidRPr="003325D2">
        <w:rPr>
          <w:b/>
        </w:rPr>
        <w:t>Q.</w:t>
      </w:r>
      <w:r w:rsidRPr="003325D2">
        <w:rPr>
          <w:b/>
        </w:rPr>
        <w:tab/>
        <w:t>Is it appropriate to use a single FERC account and allocation factor</w:t>
      </w:r>
      <w:r w:rsidR="00502CCB">
        <w:rPr>
          <w:b/>
        </w:rPr>
        <w:t>, or an average of factors</w:t>
      </w:r>
      <w:r w:rsidRPr="003325D2">
        <w:rPr>
          <w:b/>
        </w:rPr>
        <w:t xml:space="preserve"> to determine Washington’s allocation of </w:t>
      </w:r>
      <w:r w:rsidR="00502CCB">
        <w:rPr>
          <w:b/>
        </w:rPr>
        <w:t xml:space="preserve">each </w:t>
      </w:r>
      <w:r w:rsidRPr="003325D2">
        <w:rPr>
          <w:b/>
        </w:rPr>
        <w:t>net power cost adjustment?</w:t>
      </w:r>
    </w:p>
    <w:p w:rsidR="003325D2" w:rsidRDefault="003325D2" w:rsidP="00AA438F">
      <w:pPr>
        <w:pStyle w:val="BodyTextIndent2"/>
        <w:spacing w:after="0"/>
        <w:ind w:left="720" w:hanging="720"/>
        <w:jc w:val="left"/>
      </w:pPr>
      <w:r>
        <w:t>A.</w:t>
      </w:r>
      <w:r>
        <w:tab/>
        <w:t xml:space="preserve">No.  In order to </w:t>
      </w:r>
      <w:r w:rsidR="00B51445">
        <w:t>accurately</w:t>
      </w:r>
      <w:r>
        <w:t xml:space="preserve"> determine Washington</w:t>
      </w:r>
      <w:r w:rsidR="00644011">
        <w:t>’s</w:t>
      </w:r>
      <w:r>
        <w:t xml:space="preserve"> allocation of net power cost adjustments, each adjustment must be properly assigned to the correct FERC account(s) and allocation factor(s) based on the GRID output, as reflected in my </w:t>
      </w:r>
      <w:r w:rsidR="00644011">
        <w:t xml:space="preserve">supporting </w:t>
      </w:r>
      <w:r w:rsidR="00B51445">
        <w:t xml:space="preserve">worksheets and </w:t>
      </w:r>
      <w:proofErr w:type="spellStart"/>
      <w:r>
        <w:t>workpapers</w:t>
      </w:r>
      <w:proofErr w:type="spellEnd"/>
      <w:r>
        <w:t>.</w:t>
      </w:r>
    </w:p>
    <w:p w:rsidR="00F20CDB" w:rsidRDefault="004A460B" w:rsidP="00AA438F">
      <w:pPr>
        <w:pStyle w:val="BodyTextIndent2"/>
        <w:spacing w:after="0"/>
        <w:ind w:left="720" w:hanging="720"/>
        <w:jc w:val="left"/>
      </w:pPr>
      <w:r w:rsidRPr="00A32BEE">
        <w:rPr>
          <w:b/>
        </w:rPr>
        <w:t xml:space="preserve">Q. </w:t>
      </w:r>
      <w:r w:rsidRPr="00A32BEE">
        <w:rPr>
          <w:b/>
        </w:rPr>
        <w:tab/>
        <w:t xml:space="preserve">Please describe the revisions the Company has made to </w:t>
      </w:r>
      <w:r>
        <w:rPr>
          <w:b/>
        </w:rPr>
        <w:t>the supporting worksheets included in Exhibit No.__</w:t>
      </w:r>
      <w:proofErr w:type="gramStart"/>
      <w:r>
        <w:rPr>
          <w:b/>
        </w:rPr>
        <w:t>_(</w:t>
      </w:r>
      <w:proofErr w:type="gramEnd"/>
      <w:r>
        <w:rPr>
          <w:b/>
        </w:rPr>
        <w:t>RBD-6) – Revised 12/10/10 for the production factor adjustment, page 12.7.</w:t>
      </w:r>
      <w:r w:rsidR="00F20CDB">
        <w:t xml:space="preserve"> </w:t>
      </w:r>
    </w:p>
    <w:p w:rsidR="00B51445" w:rsidRDefault="00B51445" w:rsidP="00AA438F">
      <w:pPr>
        <w:pStyle w:val="BodyTextIndent2"/>
        <w:spacing w:after="0"/>
        <w:ind w:left="720" w:hanging="720"/>
        <w:jc w:val="left"/>
      </w:pPr>
      <w:r>
        <w:t>A.</w:t>
      </w:r>
      <w:r>
        <w:tab/>
        <w:t>The supporting worksheets for the rebuttal production factor adjustment have been revised to reflect the same presentation format used in adjustment 9.1 of Exhibit No.__</w:t>
      </w:r>
      <w:proofErr w:type="gramStart"/>
      <w:r>
        <w:t>_(</w:t>
      </w:r>
      <w:proofErr w:type="gramEnd"/>
      <w:r>
        <w:t xml:space="preserve">RBD-3) – Revised 11/23/10.  Specifically, </w:t>
      </w:r>
      <w:r w:rsidR="00057FF0">
        <w:t>p</w:t>
      </w:r>
      <w:r>
        <w:t>ages 12.</w:t>
      </w:r>
      <w:r w:rsidR="00057FF0">
        <w:t xml:space="preserve">7.2 and 12.7.3 show the development of the rebuttal adjustment beginning with </w:t>
      </w:r>
      <w:proofErr w:type="gramStart"/>
      <w:r w:rsidR="00057FF0">
        <w:t>the per</w:t>
      </w:r>
      <w:proofErr w:type="gramEnd"/>
      <w:r w:rsidR="00057FF0">
        <w:t xml:space="preserve"> books </w:t>
      </w:r>
      <w:r>
        <w:t xml:space="preserve">Washington-allocated amounts.  All of the normalizing adjustments that impact the production factor are then itemized in separate columns.  </w:t>
      </w:r>
    </w:p>
    <w:p w:rsidR="001E2CB0" w:rsidRDefault="001E2CB0" w:rsidP="00AA438F">
      <w:pPr>
        <w:pStyle w:val="BodyTextIndent2"/>
        <w:spacing w:after="0"/>
        <w:ind w:left="720" w:hanging="720"/>
        <w:jc w:val="left"/>
        <w:rPr>
          <w:b/>
          <w:u w:val="single"/>
        </w:rPr>
      </w:pPr>
      <w:r w:rsidRPr="0001424C">
        <w:rPr>
          <w:b/>
          <w:u w:val="single"/>
        </w:rPr>
        <w:lastRenderedPageBreak/>
        <w:t>Supporting Worksheets</w:t>
      </w:r>
      <w:r>
        <w:rPr>
          <w:b/>
          <w:u w:val="single"/>
        </w:rPr>
        <w:t xml:space="preserve"> Added to Tab 1 – Summary</w:t>
      </w:r>
    </w:p>
    <w:p w:rsidR="001E2CB0" w:rsidRDefault="001E2CB0" w:rsidP="00AA438F">
      <w:pPr>
        <w:pStyle w:val="BodyTextIndent2"/>
        <w:spacing w:after="0"/>
        <w:ind w:left="720" w:hanging="720"/>
        <w:jc w:val="left"/>
      </w:pPr>
      <w:r w:rsidRPr="00A32BEE">
        <w:rPr>
          <w:b/>
        </w:rPr>
        <w:t xml:space="preserve">Q. </w:t>
      </w:r>
      <w:r w:rsidRPr="00A32BEE">
        <w:rPr>
          <w:b/>
        </w:rPr>
        <w:tab/>
        <w:t xml:space="preserve">Please describe the </w:t>
      </w:r>
      <w:r>
        <w:rPr>
          <w:b/>
        </w:rPr>
        <w:t>additional supporting worksheets that have been added to Tab 1 – Summary of Exhibit No.__</w:t>
      </w:r>
      <w:proofErr w:type="gramStart"/>
      <w:r>
        <w:rPr>
          <w:b/>
        </w:rPr>
        <w:t>_(</w:t>
      </w:r>
      <w:proofErr w:type="gramEnd"/>
      <w:r>
        <w:rPr>
          <w:b/>
        </w:rPr>
        <w:t>RBD-6) – Revised 12/10/10.</w:t>
      </w:r>
      <w:r>
        <w:t xml:space="preserve"> </w:t>
      </w:r>
    </w:p>
    <w:p w:rsidR="001E2CB0" w:rsidRDefault="001E2CB0" w:rsidP="00AA438F">
      <w:pPr>
        <w:pStyle w:val="BodyTextIndent2"/>
        <w:spacing w:after="0"/>
        <w:ind w:left="720" w:hanging="720"/>
        <w:jc w:val="left"/>
      </w:pPr>
      <w:r w:rsidRPr="001E2CB0">
        <w:t>A.</w:t>
      </w:r>
      <w:r w:rsidRPr="001E2CB0">
        <w:tab/>
      </w:r>
      <w:r>
        <w:t xml:space="preserve">Pages 1.7 through 1.26 have been added to the exhibit to provide additional detail on the development of the rebuttal test period results.  These supporting worksheets show the Washington-allocated impact of each of the Company’s proposed restating and pro forma adjustments.  </w:t>
      </w:r>
    </w:p>
    <w:p w:rsidR="001E2CB0" w:rsidRDefault="001E2CB0" w:rsidP="00AA438F">
      <w:pPr>
        <w:pStyle w:val="BodyTextIndent2"/>
        <w:spacing w:after="0"/>
        <w:ind w:left="720" w:firstLine="720"/>
        <w:jc w:val="left"/>
      </w:pPr>
      <w:r>
        <w:t xml:space="preserve">Pages 1.7 through 1.16 reflect the combined impact of all of the Company’s proposed restating and </w:t>
      </w:r>
      <w:r w:rsidR="000B25FA">
        <w:t>p</w:t>
      </w:r>
      <w:r>
        <w:t>ro</w:t>
      </w:r>
      <w:r w:rsidR="000B25FA">
        <w:t xml:space="preserve"> </w:t>
      </w:r>
      <w:r>
        <w:t xml:space="preserve">forma adjustments.  Each adjustment is presented in a separate column reflecting the Washington-allocated impact on the test year.  Adjustments presented in the Company’s initial filing that have been replaced by rebuttal adjustments have been shaded in grey and contain no values. </w:t>
      </w:r>
    </w:p>
    <w:p w:rsidR="001E2CB0" w:rsidRDefault="001E2CB0" w:rsidP="00AA438F">
      <w:pPr>
        <w:pStyle w:val="BodyTextIndent2"/>
        <w:spacing w:after="0"/>
        <w:ind w:left="720" w:firstLine="720"/>
        <w:jc w:val="left"/>
      </w:pPr>
      <w:r>
        <w:t>Pages 1.17 through</w:t>
      </w:r>
      <w:r w:rsidR="000B25FA">
        <w:t xml:space="preserve"> 1.22 reflect the impact of the Company’s proposed restating adjustments.  Each adjustment is presented in a separate column reflecting the Washington-allocated impact on the test year.  Adjustments presented in the Company’s initial filing that have been replaced by rebuttal adjustments have been shaded in grey and contain no values.</w:t>
      </w:r>
    </w:p>
    <w:p w:rsidR="00AA438F" w:rsidRPr="00AA438F" w:rsidRDefault="000B25FA" w:rsidP="00AA438F">
      <w:pPr>
        <w:pStyle w:val="BodyTextIndent2"/>
        <w:spacing w:after="0"/>
        <w:ind w:left="720" w:firstLine="720"/>
        <w:jc w:val="left"/>
      </w:pPr>
      <w:r>
        <w:t>Pages 1.23 through 1.26 reflect the impact of the Company’s proposed pro forma adjustments.  Each adjustment is presented in a separate column reflecting the Washington-allocated impact on the test year.  Adjustments presented in the Company’s initial filing that have been replaced by rebuttal adjustments have been shaded in grey and contain no values.</w:t>
      </w:r>
      <w:r w:rsidR="00AA438F">
        <w:rPr>
          <w:b/>
          <w:u w:val="single"/>
        </w:rPr>
        <w:br w:type="page"/>
      </w:r>
    </w:p>
    <w:p w:rsidR="00B51445" w:rsidRDefault="00B51445" w:rsidP="00AA438F">
      <w:pPr>
        <w:pStyle w:val="BodyTextIndent2"/>
        <w:spacing w:after="0"/>
        <w:ind w:left="720" w:hanging="720"/>
        <w:jc w:val="left"/>
        <w:rPr>
          <w:b/>
          <w:u w:val="single"/>
        </w:rPr>
      </w:pPr>
      <w:r w:rsidRPr="007264D9">
        <w:rPr>
          <w:b/>
          <w:u w:val="single"/>
        </w:rPr>
        <w:lastRenderedPageBreak/>
        <w:t xml:space="preserve">Supplemental </w:t>
      </w:r>
      <w:proofErr w:type="spellStart"/>
      <w:r w:rsidRPr="007264D9">
        <w:rPr>
          <w:b/>
          <w:u w:val="single"/>
        </w:rPr>
        <w:t>Workpapers</w:t>
      </w:r>
      <w:proofErr w:type="spellEnd"/>
    </w:p>
    <w:p w:rsidR="00B51445" w:rsidRPr="00847992" w:rsidRDefault="00B51445" w:rsidP="00AA438F">
      <w:pPr>
        <w:pStyle w:val="BodyTextIndent2"/>
        <w:spacing w:after="0"/>
        <w:ind w:left="720" w:hanging="720"/>
        <w:jc w:val="left"/>
        <w:rPr>
          <w:b/>
          <w:bCs/>
        </w:rPr>
      </w:pPr>
      <w:r w:rsidRPr="00847992">
        <w:rPr>
          <w:b/>
          <w:bCs/>
        </w:rPr>
        <w:t xml:space="preserve">Q.        Have you provided additional </w:t>
      </w:r>
      <w:proofErr w:type="spellStart"/>
      <w:r w:rsidRPr="00847992">
        <w:rPr>
          <w:b/>
          <w:bCs/>
        </w:rPr>
        <w:t>workpapers</w:t>
      </w:r>
      <w:proofErr w:type="spellEnd"/>
      <w:r w:rsidRPr="00847992">
        <w:rPr>
          <w:b/>
          <w:bCs/>
        </w:rPr>
        <w:t xml:space="preserve"> with your supplemental </w:t>
      </w:r>
      <w:r w:rsidR="00057FF0">
        <w:rPr>
          <w:b/>
          <w:bCs/>
        </w:rPr>
        <w:t xml:space="preserve">rebuttal </w:t>
      </w:r>
      <w:r w:rsidRPr="00847992">
        <w:rPr>
          <w:b/>
          <w:bCs/>
        </w:rPr>
        <w:t>testimony?</w:t>
      </w:r>
    </w:p>
    <w:p w:rsidR="00B51445" w:rsidRPr="00847992" w:rsidRDefault="00B51445" w:rsidP="00AA438F">
      <w:pPr>
        <w:pStyle w:val="BodyTextIndent2"/>
        <w:spacing w:after="0"/>
        <w:ind w:left="720" w:hanging="720"/>
        <w:jc w:val="left"/>
      </w:pPr>
      <w:r w:rsidRPr="00847992">
        <w:t xml:space="preserve">A.        Yes. </w:t>
      </w:r>
      <w:r>
        <w:t xml:space="preserve"> </w:t>
      </w:r>
      <w:r w:rsidR="00057FF0">
        <w:t>M</w:t>
      </w:r>
      <w:r w:rsidRPr="00847992">
        <w:t xml:space="preserve">y supplemental </w:t>
      </w:r>
      <w:r w:rsidR="00057FF0">
        <w:t xml:space="preserve">rebuttal </w:t>
      </w:r>
      <w:r w:rsidRPr="00847992">
        <w:t xml:space="preserve">testimony includes an additional </w:t>
      </w:r>
      <w:proofErr w:type="spellStart"/>
      <w:r w:rsidRPr="00847992">
        <w:t>workpaper</w:t>
      </w:r>
      <w:proofErr w:type="spellEnd"/>
      <w:r w:rsidRPr="00847992">
        <w:t xml:space="preserve"> named “Supplemental Revenue Requirement Summary</w:t>
      </w:r>
      <w:r w:rsidR="00057FF0">
        <w:t xml:space="preserve"> (Rebuttal)</w:t>
      </w:r>
      <w:r w:rsidRPr="00847992">
        <w:t xml:space="preserve">”.  This file is a simplified version of the more sophisticated revenue requirement models used to produce </w:t>
      </w:r>
      <w:r w:rsidR="00057FF0">
        <w:t xml:space="preserve">the Company’s rebuttal revenue requirement as presented in </w:t>
      </w:r>
      <w:r w:rsidRPr="00847992">
        <w:t>Exhibit No.___(RBD-</w:t>
      </w:r>
      <w:r w:rsidR="00057FF0">
        <w:t>5</w:t>
      </w:r>
      <w:r w:rsidRPr="00847992">
        <w:t>)</w:t>
      </w:r>
      <w:r w:rsidR="00057FF0">
        <w:t xml:space="preserve"> – Revised 12/10/10</w:t>
      </w:r>
      <w:r w:rsidRPr="00847992">
        <w:t xml:space="preserve"> and Exhibit No.___(RBD-</w:t>
      </w:r>
      <w:r w:rsidR="00057FF0">
        <w:t>6</w:t>
      </w:r>
      <w:r w:rsidRPr="00847992">
        <w:t>)</w:t>
      </w:r>
      <w:r w:rsidR="00057FF0">
        <w:t xml:space="preserve"> – Revised 12/10/10</w:t>
      </w:r>
      <w:r w:rsidRPr="00847992">
        <w:t>.</w:t>
      </w:r>
      <w:r>
        <w:t xml:space="preserve">  The summary file also contains direct links to the formulas and calculations underlying e</w:t>
      </w:r>
      <w:r w:rsidR="00057FF0">
        <w:t>ach of the Company’s adjustment, including the Company’s rebuttal adjustments,</w:t>
      </w:r>
      <w:r>
        <w:t xml:space="preserve"> to </w:t>
      </w:r>
      <w:proofErr w:type="gramStart"/>
      <w:r>
        <w:t>its</w:t>
      </w:r>
      <w:proofErr w:type="gramEnd"/>
      <w:r>
        <w:t xml:space="preserve"> per books data, as requested by the Commission in Bench Request 1. </w:t>
      </w:r>
    </w:p>
    <w:p w:rsidR="00B51445" w:rsidRPr="00847992" w:rsidRDefault="00B51445" w:rsidP="00AA438F">
      <w:pPr>
        <w:pStyle w:val="BodyTextIndent2"/>
        <w:spacing w:after="0"/>
        <w:ind w:left="720" w:firstLine="720"/>
        <w:jc w:val="left"/>
      </w:pPr>
      <w:r w:rsidRPr="00847992">
        <w:t>  </w:t>
      </w:r>
      <w:r>
        <w:t>T</w:t>
      </w:r>
      <w:r w:rsidRPr="00847992">
        <w:t xml:space="preserve">his file begins with a summary sheet that shows the Washington-allocated unadjusted </w:t>
      </w:r>
      <w:r w:rsidR="00F1070E">
        <w:t>(per books) data in column (1)</w:t>
      </w:r>
      <w:r w:rsidRPr="00847992">
        <w:t xml:space="preserve"> Column (2) Restating Adjustments shows the combined Washington-allocated impact of the Company’s proposed restating adjustments. </w:t>
      </w:r>
      <w:r>
        <w:t xml:space="preserve"> </w:t>
      </w:r>
      <w:r w:rsidRPr="00847992">
        <w:t>Column (3) Total Restated Actual Results reflects the Washington-allocated restated results.  Column (4) Pro</w:t>
      </w:r>
      <w:r>
        <w:t xml:space="preserve"> </w:t>
      </w:r>
      <w:r w:rsidRPr="00847992">
        <w:t>forma Adjustments shows the combined Washington-allocated impact of the Company’s proposed pro</w:t>
      </w:r>
      <w:r>
        <w:t xml:space="preserve"> </w:t>
      </w:r>
      <w:r w:rsidRPr="00847992">
        <w:t xml:space="preserve">forma adjustments.  Column (5) Total Normalized Results shows the Washington-allocated normalized test year results. </w:t>
      </w:r>
      <w:r>
        <w:t xml:space="preserve"> </w:t>
      </w:r>
      <w:r w:rsidRPr="00847992">
        <w:t>Column (6) Price Change reflects the revenue increase of $</w:t>
      </w:r>
      <w:r w:rsidR="00057FF0">
        <w:t>48.5</w:t>
      </w:r>
      <w:r w:rsidRPr="00847992">
        <w:t xml:space="preserve"> million necessary to raise the ROE to 10.6 percent.  Column (7) Results with Price Change shows the Washington normalized results with the $</w:t>
      </w:r>
      <w:r w:rsidR="00057FF0">
        <w:t>48.5</w:t>
      </w:r>
      <w:r w:rsidRPr="00847992">
        <w:t xml:space="preserve"> million price increase included.  This summary </w:t>
      </w:r>
      <w:r w:rsidRPr="00847992">
        <w:lastRenderedPageBreak/>
        <w:t xml:space="preserve">sheet is consistent with Pages 1.0 and 1.1 </w:t>
      </w:r>
      <w:r w:rsidR="00057FF0">
        <w:t>of Exhibit No.__</w:t>
      </w:r>
      <w:proofErr w:type="gramStart"/>
      <w:r w:rsidR="00057FF0">
        <w:t>_(</w:t>
      </w:r>
      <w:proofErr w:type="gramEnd"/>
      <w:r w:rsidR="00057FF0">
        <w:t>RBD-6</w:t>
      </w:r>
      <w:r w:rsidRPr="00847992">
        <w:t>)</w:t>
      </w:r>
      <w:r w:rsidR="00057FF0">
        <w:t xml:space="preserve"> – Revised 12/10/10</w:t>
      </w:r>
      <w:r w:rsidRPr="00847992">
        <w:t>.</w:t>
      </w:r>
    </w:p>
    <w:p w:rsidR="0011324E" w:rsidRDefault="00B51445" w:rsidP="00AA438F">
      <w:pPr>
        <w:pStyle w:val="BodyTextIndent2"/>
        <w:spacing w:after="0"/>
        <w:ind w:left="720" w:hanging="720"/>
        <w:jc w:val="left"/>
      </w:pPr>
      <w:r w:rsidRPr="00847992">
        <w:t>                        The worksheets named “Restating Adj.” and “Pro</w:t>
      </w:r>
      <w:r>
        <w:t xml:space="preserve"> </w:t>
      </w:r>
      <w:r w:rsidRPr="00847992">
        <w:t>forma Adj.” show each of the Company’s proposed restating and pro</w:t>
      </w:r>
      <w:r>
        <w:t xml:space="preserve"> </w:t>
      </w:r>
      <w:r w:rsidRPr="00847992">
        <w:t>forma adjustments on a Washington-allocated basis.  Each adjustment is shown in a separate column with a reference to the correspond</w:t>
      </w:r>
      <w:r w:rsidR="00057FF0">
        <w:t>ing page in Exhibit No.___(RBD-3) – Revised 11/23/10 for adjustments that remain unchanged from the Company’s initial filing, or Exhibit No.___(RBD-6</w:t>
      </w:r>
      <w:r w:rsidRPr="00847992">
        <w:t>)</w:t>
      </w:r>
      <w:r w:rsidR="00057FF0">
        <w:t xml:space="preserve"> – Revised</w:t>
      </w:r>
      <w:r w:rsidR="0012519B">
        <w:t xml:space="preserve"> 12/10/10</w:t>
      </w:r>
      <w:r w:rsidR="00057FF0">
        <w:t xml:space="preserve"> for the Company’s rebuttal adjustments</w:t>
      </w:r>
      <w:r w:rsidRPr="00847992">
        <w:t>.</w:t>
      </w:r>
      <w:r w:rsidR="00057FF0">
        <w:t xml:space="preserve">  Adjustments from the Company’s initial filing that have been replaced by proposed rebuttal adjustments have been shaded in grey and contain no values.</w:t>
      </w:r>
      <w:r w:rsidR="0011324E">
        <w:t xml:space="preserve"> </w:t>
      </w:r>
      <w:r w:rsidRPr="00847992">
        <w:t xml:space="preserve"> For ease in following the calculations, the </w:t>
      </w:r>
      <w:r>
        <w:t xml:space="preserve">Washington-allocated </w:t>
      </w:r>
      <w:r w:rsidRPr="00847992">
        <w:t xml:space="preserve">adjustment values are each linked back to a supporting file that provides the calculations and development of the adjustment.  </w:t>
      </w:r>
    </w:p>
    <w:p w:rsidR="00B51445" w:rsidRPr="00847992" w:rsidRDefault="00B51445" w:rsidP="00AA438F">
      <w:pPr>
        <w:pStyle w:val="BodyTextIndent2"/>
        <w:widowControl w:val="0"/>
        <w:spacing w:after="0"/>
        <w:ind w:left="720" w:firstLine="720"/>
        <w:jc w:val="left"/>
      </w:pPr>
      <w:r w:rsidRPr="00847992">
        <w:t xml:space="preserve">The supporting files are also provided as part of my </w:t>
      </w:r>
      <w:proofErr w:type="spellStart"/>
      <w:r w:rsidRPr="00847992">
        <w:t>workpapers</w:t>
      </w:r>
      <w:proofErr w:type="spellEnd"/>
      <w:r w:rsidRPr="00847992">
        <w:t xml:space="preserve"> and are </w:t>
      </w:r>
      <w:r w:rsidR="0011324E">
        <w:t>separated into two main folders.  The first folder named “Unchanged Adjustments</w:t>
      </w:r>
      <w:r w:rsidR="0011324E" w:rsidRPr="0011324E">
        <w:t xml:space="preserve"> from Initial Filing</w:t>
      </w:r>
      <w:r w:rsidR="0011324E">
        <w:t xml:space="preserve">” contains the adjustment </w:t>
      </w:r>
      <w:proofErr w:type="spellStart"/>
      <w:r w:rsidR="0011324E">
        <w:t>workpaper</w:t>
      </w:r>
      <w:proofErr w:type="spellEnd"/>
      <w:r w:rsidR="0011324E">
        <w:t xml:space="preserve"> files for each of the restating and pro forma adjustments that have not changed from the Company’s initial filing.  The second folder named “</w:t>
      </w:r>
      <w:r w:rsidR="0011324E" w:rsidRPr="0011324E">
        <w:t xml:space="preserve">Tab 12 </w:t>
      </w:r>
      <w:r w:rsidR="0011324E">
        <w:t>–</w:t>
      </w:r>
      <w:r w:rsidR="0011324E" w:rsidRPr="0011324E">
        <w:t xml:space="preserve"> Adjustments</w:t>
      </w:r>
      <w:r w:rsidR="0011324E">
        <w:t xml:space="preserve">” contains the </w:t>
      </w:r>
      <w:proofErr w:type="spellStart"/>
      <w:r w:rsidR="0011324E">
        <w:t>workpaper</w:t>
      </w:r>
      <w:proofErr w:type="spellEnd"/>
      <w:r w:rsidR="0011324E">
        <w:t xml:space="preserve"> files for each of the Company’s rebuttal adjustments, including initial adjustments which have been replaced as part of the Company’s rebuttal filing.</w:t>
      </w:r>
      <w:r>
        <w:t xml:space="preserve"> </w:t>
      </w:r>
      <w:r w:rsidR="0011324E">
        <w:t xml:space="preserve"> </w:t>
      </w:r>
      <w:r w:rsidRPr="00847992">
        <w:t>The sum of the Restating Adj. and Pro</w:t>
      </w:r>
      <w:r>
        <w:t xml:space="preserve"> </w:t>
      </w:r>
      <w:r w:rsidRPr="00847992">
        <w:t>forma Adj. sheets are then carried forward to the Summary sheet columns (2) and (4) respectively.</w:t>
      </w:r>
    </w:p>
    <w:p w:rsidR="00B51445" w:rsidRDefault="00B51445" w:rsidP="00AA438F">
      <w:pPr>
        <w:pStyle w:val="BodyTextIndent2"/>
        <w:widowControl w:val="0"/>
        <w:spacing w:after="0"/>
        <w:ind w:left="720" w:hanging="720"/>
        <w:jc w:val="left"/>
      </w:pPr>
      <w:r w:rsidRPr="00847992">
        <w:t xml:space="preserve">                        The sheets named “CWC Calc” and “Interest Calc” </w:t>
      </w:r>
      <w:proofErr w:type="gramStart"/>
      <w:r w:rsidRPr="00847992">
        <w:t>show</w:t>
      </w:r>
      <w:proofErr w:type="gramEnd"/>
      <w:r w:rsidRPr="00847992">
        <w:t xml:space="preserve"> the calculations </w:t>
      </w:r>
      <w:r w:rsidRPr="00847992">
        <w:lastRenderedPageBreak/>
        <w:t xml:space="preserve">of </w:t>
      </w:r>
      <w:r w:rsidR="0011324E">
        <w:t xml:space="preserve">the Company’s rebuttal </w:t>
      </w:r>
      <w:r w:rsidR="00C67ABB">
        <w:t>CWC</w:t>
      </w:r>
      <w:r w:rsidRPr="00847992">
        <w:t xml:space="preserve"> and interest expense </w:t>
      </w:r>
      <w:r w:rsidR="0011324E">
        <w:t xml:space="preserve">adjustments </w:t>
      </w:r>
      <w:r w:rsidRPr="00847992">
        <w:t xml:space="preserve">respectively, as described in my </w:t>
      </w:r>
      <w:r w:rsidR="0011324E">
        <w:t>rebuttal</w:t>
      </w:r>
      <w:r w:rsidRPr="00847992">
        <w:t xml:space="preserve"> testimony.  These calculation</w:t>
      </w:r>
      <w:r>
        <w:t>s</w:t>
      </w:r>
      <w:r w:rsidRPr="00847992">
        <w:t xml:space="preserve"> are consistent with the presentations reflected on pages 8.1 – Revised 11/23/10 Cash Workin</w:t>
      </w:r>
      <w:r w:rsidR="0011324E">
        <w:t>g Capital and 7.1 Interest True-</w:t>
      </w:r>
      <w:r w:rsidRPr="00847992">
        <w:t>Up of Exhibit No.__</w:t>
      </w:r>
      <w:proofErr w:type="gramStart"/>
      <w:r w:rsidRPr="00847992">
        <w:t>_(</w:t>
      </w:r>
      <w:proofErr w:type="gramEnd"/>
      <w:r w:rsidRPr="00847992">
        <w:t xml:space="preserve">RBD-3).  </w:t>
      </w:r>
    </w:p>
    <w:p w:rsidR="00B51445" w:rsidRDefault="00B51445" w:rsidP="00AA438F">
      <w:pPr>
        <w:pStyle w:val="BodyTextIndent2"/>
        <w:spacing w:after="0"/>
        <w:ind w:left="720" w:hanging="720"/>
        <w:jc w:val="left"/>
      </w:pPr>
      <w:r>
        <w:tab/>
      </w:r>
      <w:r>
        <w:tab/>
      </w:r>
      <w:r w:rsidRPr="00847992">
        <w:t xml:space="preserve">The sheet named “Variables” reflects the capital structure and costs proposed by the Company in this proceeding as described by Company witnesses </w:t>
      </w:r>
      <w:r>
        <w:t xml:space="preserve">Mr. </w:t>
      </w:r>
      <w:r w:rsidRPr="00847992">
        <w:t xml:space="preserve">Bruce N. Williams and </w:t>
      </w:r>
      <w:r w:rsidR="00502CCB">
        <w:t>D</w:t>
      </w:r>
      <w:r>
        <w:t xml:space="preserve">r. </w:t>
      </w:r>
      <w:r w:rsidRPr="00847992">
        <w:t xml:space="preserve">Samuel C. Hadaway.  It also shows the development of the revenue requirement gross-up factor consistent with the presentation on page 1.3 </w:t>
      </w:r>
      <w:r w:rsidR="001E2CB0">
        <w:t>of Exhibit No.___(RBD-6</w:t>
      </w:r>
      <w:r w:rsidRPr="00847992">
        <w:t>)</w:t>
      </w:r>
      <w:r w:rsidR="001E2CB0">
        <w:t xml:space="preserve"> – Revised 12/10/10</w:t>
      </w:r>
      <w:r w:rsidRPr="00847992">
        <w:t>.</w:t>
      </w:r>
    </w:p>
    <w:p w:rsidR="00B51445" w:rsidRDefault="00B51445" w:rsidP="00AA438F">
      <w:pPr>
        <w:pStyle w:val="BodyTextIndent2"/>
        <w:spacing w:after="0"/>
        <w:ind w:left="720" w:hanging="720"/>
        <w:jc w:val="left"/>
      </w:pPr>
      <w:r>
        <w:tab/>
      </w:r>
      <w:r>
        <w:tab/>
      </w:r>
      <w:r w:rsidRPr="00847992">
        <w:t xml:space="preserve">The sheet named “Check Sheet” is provided to ensure that the summary file </w:t>
      </w:r>
      <w:r>
        <w:t>produces results that are identical to</w:t>
      </w:r>
      <w:r w:rsidRPr="00847992">
        <w:t xml:space="preserve"> the Company’s </w:t>
      </w:r>
      <w:r>
        <w:t xml:space="preserve">full </w:t>
      </w:r>
      <w:r w:rsidR="001E2CB0">
        <w:t xml:space="preserve">rebuttal </w:t>
      </w:r>
      <w:r w:rsidRPr="00847992">
        <w:t xml:space="preserve">revenue requirement models.  </w:t>
      </w:r>
      <w:r>
        <w:t xml:space="preserve"> </w:t>
      </w:r>
    </w:p>
    <w:p w:rsidR="00847992" w:rsidRPr="00847992" w:rsidRDefault="00847992" w:rsidP="00AA438F">
      <w:pPr>
        <w:pStyle w:val="BodyTextIndent2"/>
        <w:spacing w:after="0"/>
        <w:ind w:left="720" w:hanging="720"/>
        <w:jc w:val="left"/>
        <w:rPr>
          <w:b/>
        </w:rPr>
      </w:pPr>
      <w:r w:rsidRPr="00847992">
        <w:rPr>
          <w:b/>
        </w:rPr>
        <w:t>Q.</w:t>
      </w:r>
      <w:r w:rsidRPr="00847992">
        <w:rPr>
          <w:b/>
        </w:rPr>
        <w:tab/>
        <w:t xml:space="preserve">Does this conclude your supplemental </w:t>
      </w:r>
      <w:r w:rsidR="003325D2">
        <w:rPr>
          <w:b/>
        </w:rPr>
        <w:t xml:space="preserve">rebuttal </w:t>
      </w:r>
      <w:r w:rsidRPr="00847992">
        <w:rPr>
          <w:b/>
        </w:rPr>
        <w:t>testimony?</w:t>
      </w:r>
    </w:p>
    <w:p w:rsidR="00A32BEE" w:rsidRDefault="00847992" w:rsidP="00AA438F">
      <w:pPr>
        <w:pStyle w:val="BodyTextIndent2"/>
        <w:spacing w:after="0"/>
        <w:ind w:left="0"/>
      </w:pPr>
      <w:r w:rsidRPr="00847992">
        <w:t>A.</w:t>
      </w:r>
      <w:r w:rsidRPr="00847992">
        <w:tab/>
        <w:t>Yes.</w:t>
      </w:r>
    </w:p>
    <w:sectPr w:rsidR="00A32BEE" w:rsidSect="00BB1ADC">
      <w:headerReference w:type="default" r:id="rId9"/>
      <w:footerReference w:type="default" r:id="rId10"/>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1A" w:rsidRDefault="00F4031A">
      <w:r>
        <w:separator/>
      </w:r>
    </w:p>
  </w:endnote>
  <w:endnote w:type="continuationSeparator" w:id="0">
    <w:p w:rsidR="00F4031A" w:rsidRDefault="00F40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E3" w:rsidRDefault="003643E3">
    <w:pPr>
      <w:pStyle w:val="Footer"/>
      <w:rPr>
        <w:rStyle w:val="PageNumber"/>
      </w:rPr>
    </w:pPr>
    <w:r>
      <w:rPr>
        <w:rStyle w:val="PageNumber"/>
      </w:rPr>
      <w:t>Supplemental Rebuttal Testimony of R. Bryce Dalley                Exhibit No.__</w:t>
    </w:r>
    <w:proofErr w:type="gramStart"/>
    <w:r>
      <w:rPr>
        <w:rStyle w:val="PageNumber"/>
      </w:rPr>
      <w:t>_(</w:t>
    </w:r>
    <w:proofErr w:type="gramEnd"/>
    <w:r>
      <w:rPr>
        <w:rStyle w:val="PageNumber"/>
      </w:rPr>
      <w:t>RBD-9T)</w:t>
    </w:r>
  </w:p>
  <w:p w:rsidR="003643E3" w:rsidRDefault="003643E3" w:rsidP="00422C1E">
    <w:pPr>
      <w:pStyle w:val="Footer"/>
      <w:jc w:val="right"/>
    </w:pPr>
    <w:r>
      <w:rPr>
        <w:rStyle w:val="PageNumber"/>
      </w:rPr>
      <w:t xml:space="preserve">Page </w:t>
    </w:r>
    <w:r w:rsidR="00E30B08">
      <w:rPr>
        <w:rStyle w:val="PageNumber"/>
      </w:rPr>
      <w:fldChar w:fldCharType="begin"/>
    </w:r>
    <w:r>
      <w:rPr>
        <w:rStyle w:val="PageNumber"/>
      </w:rPr>
      <w:instrText xml:space="preserve"> PAGE </w:instrText>
    </w:r>
    <w:r w:rsidR="00E30B08">
      <w:rPr>
        <w:rStyle w:val="PageNumber"/>
      </w:rPr>
      <w:fldChar w:fldCharType="separate"/>
    </w:r>
    <w:r w:rsidR="00F1070E">
      <w:rPr>
        <w:rStyle w:val="PageNumber"/>
        <w:noProof/>
      </w:rPr>
      <w:t>9</w:t>
    </w:r>
    <w:r w:rsidR="00E30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1A" w:rsidRDefault="00F4031A">
      <w:r>
        <w:separator/>
      </w:r>
    </w:p>
  </w:footnote>
  <w:footnote w:type="continuationSeparator" w:id="0">
    <w:p w:rsidR="00F4031A" w:rsidRDefault="00F40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E3" w:rsidRDefault="003643E3" w:rsidP="00422C1E">
    <w:pPr>
      <w:pStyle w:val="Header"/>
      <w:jc w:val="right"/>
    </w:pPr>
    <w:r>
      <w:t xml:space="preserve">Page </w:t>
    </w:r>
    <w:r w:rsidR="00E30B08">
      <w:rPr>
        <w:rStyle w:val="PageNumber"/>
      </w:rPr>
      <w:fldChar w:fldCharType="begin"/>
    </w:r>
    <w:r>
      <w:rPr>
        <w:rStyle w:val="PageNumber"/>
      </w:rPr>
      <w:instrText xml:space="preserve"> PAGE </w:instrText>
    </w:r>
    <w:r w:rsidR="00E30B08">
      <w:rPr>
        <w:rStyle w:val="PageNumber"/>
      </w:rPr>
      <w:fldChar w:fldCharType="separate"/>
    </w:r>
    <w:r w:rsidR="00F1070E">
      <w:rPr>
        <w:rStyle w:val="PageNumber"/>
        <w:noProof/>
      </w:rPr>
      <w:t>9</w:t>
    </w:r>
    <w:r w:rsidR="00E30B0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01EF"/>
    <w:multiLevelType w:val="hybridMultilevel"/>
    <w:tmpl w:val="B93CD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2">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5C022F2"/>
    <w:multiLevelType w:val="hybridMultilevel"/>
    <w:tmpl w:val="CFB2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2C00"/>
    <w:multiLevelType w:val="hybridMultilevel"/>
    <w:tmpl w:val="54BE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7">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A82EDE"/>
    <w:multiLevelType w:val="singleLevel"/>
    <w:tmpl w:val="607E19A0"/>
    <w:lvl w:ilvl="0">
      <w:start w:val="1"/>
      <w:numFmt w:val="upperLetter"/>
      <w:lvlText w:val="%1."/>
      <w:lvlJc w:val="left"/>
      <w:pPr>
        <w:tabs>
          <w:tab w:val="num" w:pos="720"/>
        </w:tabs>
        <w:ind w:left="720" w:hanging="720"/>
      </w:pPr>
      <w:rPr>
        <w:rFonts w:hint="default"/>
        <w:b w:val="0"/>
      </w:rPr>
    </w:lvl>
  </w:abstractNum>
  <w:num w:numId="1">
    <w:abstractNumId w:val="2"/>
  </w:num>
  <w:num w:numId="2">
    <w:abstractNumId w:val="1"/>
  </w:num>
  <w:num w:numId="3">
    <w:abstractNumId w:val="7"/>
  </w:num>
  <w:num w:numId="4">
    <w:abstractNumId w:val="3"/>
  </w:num>
  <w:num w:numId="5">
    <w:abstractNumId w:val="6"/>
  </w:num>
  <w:num w:numId="6">
    <w:abstractNumId w:val="9"/>
  </w:num>
  <w:num w:numId="7">
    <w:abstractNumId w:val="8"/>
  </w:num>
  <w:num w:numId="8">
    <w:abstractNumId w:val="5"/>
  </w:num>
  <w:num w:numId="9">
    <w:abstractNumId w:val="4"/>
  </w:num>
  <w:num w:numId="10">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D97BED"/>
    <w:rsid w:val="00000B97"/>
    <w:rsid w:val="00000CA7"/>
    <w:rsid w:val="00000F08"/>
    <w:rsid w:val="00001309"/>
    <w:rsid w:val="00001380"/>
    <w:rsid w:val="0000367F"/>
    <w:rsid w:val="000045C5"/>
    <w:rsid w:val="000051B8"/>
    <w:rsid w:val="00006901"/>
    <w:rsid w:val="00006CE5"/>
    <w:rsid w:val="00010042"/>
    <w:rsid w:val="00011146"/>
    <w:rsid w:val="00011270"/>
    <w:rsid w:val="00012DA5"/>
    <w:rsid w:val="000133C4"/>
    <w:rsid w:val="000137A9"/>
    <w:rsid w:val="000137AE"/>
    <w:rsid w:val="0001424C"/>
    <w:rsid w:val="00014C14"/>
    <w:rsid w:val="00017D99"/>
    <w:rsid w:val="00017EFF"/>
    <w:rsid w:val="00020B67"/>
    <w:rsid w:val="00021457"/>
    <w:rsid w:val="00023AE4"/>
    <w:rsid w:val="00024672"/>
    <w:rsid w:val="00024D68"/>
    <w:rsid w:val="00026145"/>
    <w:rsid w:val="0002692B"/>
    <w:rsid w:val="00026EE2"/>
    <w:rsid w:val="000275B7"/>
    <w:rsid w:val="00027A68"/>
    <w:rsid w:val="00027EA3"/>
    <w:rsid w:val="00027F29"/>
    <w:rsid w:val="0003006A"/>
    <w:rsid w:val="0003142F"/>
    <w:rsid w:val="000339D1"/>
    <w:rsid w:val="00034979"/>
    <w:rsid w:val="000403A8"/>
    <w:rsid w:val="00044931"/>
    <w:rsid w:val="00051A38"/>
    <w:rsid w:val="00052601"/>
    <w:rsid w:val="00053E88"/>
    <w:rsid w:val="00056554"/>
    <w:rsid w:val="00056EC9"/>
    <w:rsid w:val="000576E2"/>
    <w:rsid w:val="000579A1"/>
    <w:rsid w:val="00057FF0"/>
    <w:rsid w:val="000604C1"/>
    <w:rsid w:val="000612FD"/>
    <w:rsid w:val="00063D8B"/>
    <w:rsid w:val="0006417F"/>
    <w:rsid w:val="000641A2"/>
    <w:rsid w:val="00064289"/>
    <w:rsid w:val="000642A0"/>
    <w:rsid w:val="000647DF"/>
    <w:rsid w:val="000655A8"/>
    <w:rsid w:val="00066E9D"/>
    <w:rsid w:val="00067C4E"/>
    <w:rsid w:val="00067EC1"/>
    <w:rsid w:val="0007097D"/>
    <w:rsid w:val="00073FF0"/>
    <w:rsid w:val="00077EA3"/>
    <w:rsid w:val="000817CE"/>
    <w:rsid w:val="00081991"/>
    <w:rsid w:val="000831F1"/>
    <w:rsid w:val="00084F13"/>
    <w:rsid w:val="000858D3"/>
    <w:rsid w:val="0008721E"/>
    <w:rsid w:val="00091B1B"/>
    <w:rsid w:val="00091EF7"/>
    <w:rsid w:val="00092032"/>
    <w:rsid w:val="00093B5B"/>
    <w:rsid w:val="00093C59"/>
    <w:rsid w:val="000978BB"/>
    <w:rsid w:val="000A059F"/>
    <w:rsid w:val="000A49D1"/>
    <w:rsid w:val="000A4BD9"/>
    <w:rsid w:val="000A5264"/>
    <w:rsid w:val="000A7191"/>
    <w:rsid w:val="000B0596"/>
    <w:rsid w:val="000B0A23"/>
    <w:rsid w:val="000B1623"/>
    <w:rsid w:val="000B184C"/>
    <w:rsid w:val="000B25FA"/>
    <w:rsid w:val="000B2679"/>
    <w:rsid w:val="000C08C0"/>
    <w:rsid w:val="000C08CA"/>
    <w:rsid w:val="000C096A"/>
    <w:rsid w:val="000C3CE2"/>
    <w:rsid w:val="000C4959"/>
    <w:rsid w:val="000D058F"/>
    <w:rsid w:val="000D09A2"/>
    <w:rsid w:val="000D1C7D"/>
    <w:rsid w:val="000D3815"/>
    <w:rsid w:val="000D3C05"/>
    <w:rsid w:val="000D49B6"/>
    <w:rsid w:val="000D6957"/>
    <w:rsid w:val="000D7282"/>
    <w:rsid w:val="000E1259"/>
    <w:rsid w:val="000E315A"/>
    <w:rsid w:val="000E413A"/>
    <w:rsid w:val="000E442A"/>
    <w:rsid w:val="000E4C95"/>
    <w:rsid w:val="000F1156"/>
    <w:rsid w:val="000F3CD3"/>
    <w:rsid w:val="000F44A0"/>
    <w:rsid w:val="000F59EA"/>
    <w:rsid w:val="000F702B"/>
    <w:rsid w:val="000F7E3E"/>
    <w:rsid w:val="001004B6"/>
    <w:rsid w:val="00105EBF"/>
    <w:rsid w:val="0010625F"/>
    <w:rsid w:val="0010676F"/>
    <w:rsid w:val="001078BF"/>
    <w:rsid w:val="00107C02"/>
    <w:rsid w:val="00111679"/>
    <w:rsid w:val="0011324E"/>
    <w:rsid w:val="0011579F"/>
    <w:rsid w:val="00116594"/>
    <w:rsid w:val="00116A61"/>
    <w:rsid w:val="001229D5"/>
    <w:rsid w:val="00124669"/>
    <w:rsid w:val="0012519B"/>
    <w:rsid w:val="00126E87"/>
    <w:rsid w:val="001301B0"/>
    <w:rsid w:val="0013033E"/>
    <w:rsid w:val="00130868"/>
    <w:rsid w:val="00130B17"/>
    <w:rsid w:val="001316F2"/>
    <w:rsid w:val="00131D77"/>
    <w:rsid w:val="00133C14"/>
    <w:rsid w:val="001350A8"/>
    <w:rsid w:val="00135851"/>
    <w:rsid w:val="00135BA2"/>
    <w:rsid w:val="00136FF4"/>
    <w:rsid w:val="00141071"/>
    <w:rsid w:val="00141D12"/>
    <w:rsid w:val="00141D3D"/>
    <w:rsid w:val="0014281F"/>
    <w:rsid w:val="001428B4"/>
    <w:rsid w:val="00144108"/>
    <w:rsid w:val="00144D82"/>
    <w:rsid w:val="001473A6"/>
    <w:rsid w:val="0015007D"/>
    <w:rsid w:val="00153396"/>
    <w:rsid w:val="00153BB5"/>
    <w:rsid w:val="00154BA6"/>
    <w:rsid w:val="00155B99"/>
    <w:rsid w:val="0016090F"/>
    <w:rsid w:val="00160A98"/>
    <w:rsid w:val="0016195B"/>
    <w:rsid w:val="00161BB2"/>
    <w:rsid w:val="0016334B"/>
    <w:rsid w:val="00164054"/>
    <w:rsid w:val="001652DD"/>
    <w:rsid w:val="001653DD"/>
    <w:rsid w:val="00165A56"/>
    <w:rsid w:val="00166DEA"/>
    <w:rsid w:val="0016712B"/>
    <w:rsid w:val="001701E5"/>
    <w:rsid w:val="0017051E"/>
    <w:rsid w:val="001734C3"/>
    <w:rsid w:val="001759AC"/>
    <w:rsid w:val="00180536"/>
    <w:rsid w:val="00183A00"/>
    <w:rsid w:val="001854A6"/>
    <w:rsid w:val="001862DD"/>
    <w:rsid w:val="001905CC"/>
    <w:rsid w:val="00190C40"/>
    <w:rsid w:val="001913B3"/>
    <w:rsid w:val="00194042"/>
    <w:rsid w:val="00194DD9"/>
    <w:rsid w:val="001A3907"/>
    <w:rsid w:val="001A506B"/>
    <w:rsid w:val="001A5392"/>
    <w:rsid w:val="001A5D0F"/>
    <w:rsid w:val="001A7055"/>
    <w:rsid w:val="001A7E97"/>
    <w:rsid w:val="001B1987"/>
    <w:rsid w:val="001B286B"/>
    <w:rsid w:val="001B5FFD"/>
    <w:rsid w:val="001B707E"/>
    <w:rsid w:val="001C4E25"/>
    <w:rsid w:val="001D0093"/>
    <w:rsid w:val="001D06B6"/>
    <w:rsid w:val="001D45E2"/>
    <w:rsid w:val="001D53CE"/>
    <w:rsid w:val="001D5443"/>
    <w:rsid w:val="001D73D5"/>
    <w:rsid w:val="001E2CB0"/>
    <w:rsid w:val="001E2E3C"/>
    <w:rsid w:val="001E379A"/>
    <w:rsid w:val="001E5A2D"/>
    <w:rsid w:val="001F0DB7"/>
    <w:rsid w:val="001F1275"/>
    <w:rsid w:val="001F4903"/>
    <w:rsid w:val="001F6FCA"/>
    <w:rsid w:val="002005A9"/>
    <w:rsid w:val="00200EB7"/>
    <w:rsid w:val="00203ABB"/>
    <w:rsid w:val="00205503"/>
    <w:rsid w:val="002079BD"/>
    <w:rsid w:val="002128A6"/>
    <w:rsid w:val="00213C8A"/>
    <w:rsid w:val="002152CE"/>
    <w:rsid w:val="00215701"/>
    <w:rsid w:val="00215FD3"/>
    <w:rsid w:val="00217819"/>
    <w:rsid w:val="00217A7B"/>
    <w:rsid w:val="002225BA"/>
    <w:rsid w:val="00224D16"/>
    <w:rsid w:val="00230765"/>
    <w:rsid w:val="00230782"/>
    <w:rsid w:val="0023147E"/>
    <w:rsid w:val="0023233B"/>
    <w:rsid w:val="00232E26"/>
    <w:rsid w:val="00234E26"/>
    <w:rsid w:val="00235E1F"/>
    <w:rsid w:val="0023710A"/>
    <w:rsid w:val="00237FBC"/>
    <w:rsid w:val="00242E2F"/>
    <w:rsid w:val="00243879"/>
    <w:rsid w:val="0024549C"/>
    <w:rsid w:val="00246447"/>
    <w:rsid w:val="002467DD"/>
    <w:rsid w:val="00250D66"/>
    <w:rsid w:val="00251A3C"/>
    <w:rsid w:val="00252C4A"/>
    <w:rsid w:val="0025558B"/>
    <w:rsid w:val="002557D9"/>
    <w:rsid w:val="002566EE"/>
    <w:rsid w:val="00256C4D"/>
    <w:rsid w:val="0026092C"/>
    <w:rsid w:val="00260BBA"/>
    <w:rsid w:val="00261A6D"/>
    <w:rsid w:val="00261FB2"/>
    <w:rsid w:val="002656B0"/>
    <w:rsid w:val="00265ABF"/>
    <w:rsid w:val="00265E21"/>
    <w:rsid w:val="002723E4"/>
    <w:rsid w:val="00272CE1"/>
    <w:rsid w:val="00274739"/>
    <w:rsid w:val="00274EAF"/>
    <w:rsid w:val="002755A6"/>
    <w:rsid w:val="00276792"/>
    <w:rsid w:val="00277B0C"/>
    <w:rsid w:val="0028408C"/>
    <w:rsid w:val="00285A58"/>
    <w:rsid w:val="002865EA"/>
    <w:rsid w:val="00290765"/>
    <w:rsid w:val="00291CE6"/>
    <w:rsid w:val="00295696"/>
    <w:rsid w:val="00295B5F"/>
    <w:rsid w:val="002A1165"/>
    <w:rsid w:val="002A1E06"/>
    <w:rsid w:val="002A2104"/>
    <w:rsid w:val="002A371C"/>
    <w:rsid w:val="002A3BB1"/>
    <w:rsid w:val="002A4CD8"/>
    <w:rsid w:val="002A7B2B"/>
    <w:rsid w:val="002B0B6F"/>
    <w:rsid w:val="002B1E51"/>
    <w:rsid w:val="002B50A0"/>
    <w:rsid w:val="002B5650"/>
    <w:rsid w:val="002B79FC"/>
    <w:rsid w:val="002B7A77"/>
    <w:rsid w:val="002C28E6"/>
    <w:rsid w:val="002C37C0"/>
    <w:rsid w:val="002C4EF6"/>
    <w:rsid w:val="002C53EC"/>
    <w:rsid w:val="002D3F4F"/>
    <w:rsid w:val="002D410A"/>
    <w:rsid w:val="002D420E"/>
    <w:rsid w:val="002D4FF0"/>
    <w:rsid w:val="002E0911"/>
    <w:rsid w:val="002E0ED6"/>
    <w:rsid w:val="002E152F"/>
    <w:rsid w:val="002E181A"/>
    <w:rsid w:val="002E3322"/>
    <w:rsid w:val="002E55FC"/>
    <w:rsid w:val="002E5966"/>
    <w:rsid w:val="002E7D3D"/>
    <w:rsid w:val="002F1FF5"/>
    <w:rsid w:val="002F305D"/>
    <w:rsid w:val="002F3A67"/>
    <w:rsid w:val="002F5350"/>
    <w:rsid w:val="002F668B"/>
    <w:rsid w:val="002F6EBB"/>
    <w:rsid w:val="003004F9"/>
    <w:rsid w:val="00300E4D"/>
    <w:rsid w:val="0030634F"/>
    <w:rsid w:val="003071E8"/>
    <w:rsid w:val="00307B43"/>
    <w:rsid w:val="00307B8B"/>
    <w:rsid w:val="00310AF5"/>
    <w:rsid w:val="00313FEC"/>
    <w:rsid w:val="00314277"/>
    <w:rsid w:val="00315543"/>
    <w:rsid w:val="0032045B"/>
    <w:rsid w:val="003211A9"/>
    <w:rsid w:val="003219E5"/>
    <w:rsid w:val="0032296F"/>
    <w:rsid w:val="003229AC"/>
    <w:rsid w:val="003258BF"/>
    <w:rsid w:val="00325D6B"/>
    <w:rsid w:val="003267CD"/>
    <w:rsid w:val="00331481"/>
    <w:rsid w:val="003325D2"/>
    <w:rsid w:val="00332AED"/>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5593"/>
    <w:rsid w:val="00363366"/>
    <w:rsid w:val="00363AC7"/>
    <w:rsid w:val="003643E3"/>
    <w:rsid w:val="003710B8"/>
    <w:rsid w:val="00373C60"/>
    <w:rsid w:val="00376287"/>
    <w:rsid w:val="00376FFA"/>
    <w:rsid w:val="0037737D"/>
    <w:rsid w:val="003866AE"/>
    <w:rsid w:val="00386B2E"/>
    <w:rsid w:val="00387CBA"/>
    <w:rsid w:val="003903DF"/>
    <w:rsid w:val="00390A17"/>
    <w:rsid w:val="003916B2"/>
    <w:rsid w:val="00391E6A"/>
    <w:rsid w:val="0039401A"/>
    <w:rsid w:val="00394F3B"/>
    <w:rsid w:val="003965CB"/>
    <w:rsid w:val="003971E5"/>
    <w:rsid w:val="003A006C"/>
    <w:rsid w:val="003A1B53"/>
    <w:rsid w:val="003A3A99"/>
    <w:rsid w:val="003A61A6"/>
    <w:rsid w:val="003A67F6"/>
    <w:rsid w:val="003B0C80"/>
    <w:rsid w:val="003B253A"/>
    <w:rsid w:val="003B2B11"/>
    <w:rsid w:val="003B2C76"/>
    <w:rsid w:val="003B3444"/>
    <w:rsid w:val="003B37C8"/>
    <w:rsid w:val="003B456E"/>
    <w:rsid w:val="003B49E3"/>
    <w:rsid w:val="003B558F"/>
    <w:rsid w:val="003C0B33"/>
    <w:rsid w:val="003C0CDB"/>
    <w:rsid w:val="003C203D"/>
    <w:rsid w:val="003C2F98"/>
    <w:rsid w:val="003C2FB3"/>
    <w:rsid w:val="003C415D"/>
    <w:rsid w:val="003C4A4D"/>
    <w:rsid w:val="003C4B4B"/>
    <w:rsid w:val="003C530C"/>
    <w:rsid w:val="003D0827"/>
    <w:rsid w:val="003D17E5"/>
    <w:rsid w:val="003D3608"/>
    <w:rsid w:val="003D3AF1"/>
    <w:rsid w:val="003D48CE"/>
    <w:rsid w:val="003D74D2"/>
    <w:rsid w:val="003E11A1"/>
    <w:rsid w:val="003E14B8"/>
    <w:rsid w:val="003E4F6A"/>
    <w:rsid w:val="003E5D74"/>
    <w:rsid w:val="003F03D4"/>
    <w:rsid w:val="003F484E"/>
    <w:rsid w:val="003F5EF3"/>
    <w:rsid w:val="004002A9"/>
    <w:rsid w:val="004057CE"/>
    <w:rsid w:val="00405B31"/>
    <w:rsid w:val="0040619F"/>
    <w:rsid w:val="004077D0"/>
    <w:rsid w:val="00411124"/>
    <w:rsid w:val="00412E2E"/>
    <w:rsid w:val="00415814"/>
    <w:rsid w:val="00417DDE"/>
    <w:rsid w:val="00417E79"/>
    <w:rsid w:val="0042103E"/>
    <w:rsid w:val="004213C1"/>
    <w:rsid w:val="00422C1E"/>
    <w:rsid w:val="00423399"/>
    <w:rsid w:val="004267A5"/>
    <w:rsid w:val="00427402"/>
    <w:rsid w:val="004279EB"/>
    <w:rsid w:val="00430148"/>
    <w:rsid w:val="00430F20"/>
    <w:rsid w:val="00431206"/>
    <w:rsid w:val="00433A9E"/>
    <w:rsid w:val="00434C77"/>
    <w:rsid w:val="0043593A"/>
    <w:rsid w:val="00436808"/>
    <w:rsid w:val="00437853"/>
    <w:rsid w:val="004405B0"/>
    <w:rsid w:val="00442406"/>
    <w:rsid w:val="004425AD"/>
    <w:rsid w:val="00443C88"/>
    <w:rsid w:val="0044464C"/>
    <w:rsid w:val="004475AA"/>
    <w:rsid w:val="00447AEF"/>
    <w:rsid w:val="00451E15"/>
    <w:rsid w:val="00456BE6"/>
    <w:rsid w:val="00456FEF"/>
    <w:rsid w:val="0046150F"/>
    <w:rsid w:val="0046281C"/>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F0B"/>
    <w:rsid w:val="00485DFE"/>
    <w:rsid w:val="004903AE"/>
    <w:rsid w:val="004905E7"/>
    <w:rsid w:val="00491C17"/>
    <w:rsid w:val="0049541F"/>
    <w:rsid w:val="00496269"/>
    <w:rsid w:val="004A058C"/>
    <w:rsid w:val="004A460B"/>
    <w:rsid w:val="004A698D"/>
    <w:rsid w:val="004A7243"/>
    <w:rsid w:val="004A7748"/>
    <w:rsid w:val="004A7858"/>
    <w:rsid w:val="004B5C0B"/>
    <w:rsid w:val="004B69CE"/>
    <w:rsid w:val="004B6F88"/>
    <w:rsid w:val="004B78BE"/>
    <w:rsid w:val="004B7B16"/>
    <w:rsid w:val="004B7D52"/>
    <w:rsid w:val="004C0452"/>
    <w:rsid w:val="004C1BEF"/>
    <w:rsid w:val="004C271B"/>
    <w:rsid w:val="004C29BF"/>
    <w:rsid w:val="004C4723"/>
    <w:rsid w:val="004C6BA1"/>
    <w:rsid w:val="004C719D"/>
    <w:rsid w:val="004D43E0"/>
    <w:rsid w:val="004D70B8"/>
    <w:rsid w:val="004D747A"/>
    <w:rsid w:val="004D77EA"/>
    <w:rsid w:val="004E02AB"/>
    <w:rsid w:val="004E370C"/>
    <w:rsid w:val="004E5750"/>
    <w:rsid w:val="004E6FFE"/>
    <w:rsid w:val="004F4847"/>
    <w:rsid w:val="004F5149"/>
    <w:rsid w:val="004F74A6"/>
    <w:rsid w:val="004F78BB"/>
    <w:rsid w:val="004F7B30"/>
    <w:rsid w:val="00500C92"/>
    <w:rsid w:val="00502CCB"/>
    <w:rsid w:val="00503D92"/>
    <w:rsid w:val="00504BDD"/>
    <w:rsid w:val="005050CD"/>
    <w:rsid w:val="00506F66"/>
    <w:rsid w:val="00507DAC"/>
    <w:rsid w:val="005105D2"/>
    <w:rsid w:val="00510835"/>
    <w:rsid w:val="0051254B"/>
    <w:rsid w:val="00513614"/>
    <w:rsid w:val="00513BC0"/>
    <w:rsid w:val="0051467A"/>
    <w:rsid w:val="00514B24"/>
    <w:rsid w:val="00515614"/>
    <w:rsid w:val="00516DA7"/>
    <w:rsid w:val="005215DB"/>
    <w:rsid w:val="005246B9"/>
    <w:rsid w:val="0052484B"/>
    <w:rsid w:val="00525966"/>
    <w:rsid w:val="0052730B"/>
    <w:rsid w:val="00527743"/>
    <w:rsid w:val="005308EA"/>
    <w:rsid w:val="00530E86"/>
    <w:rsid w:val="00532931"/>
    <w:rsid w:val="00533451"/>
    <w:rsid w:val="005339B9"/>
    <w:rsid w:val="005359D3"/>
    <w:rsid w:val="00535A2B"/>
    <w:rsid w:val="00536D87"/>
    <w:rsid w:val="00541C46"/>
    <w:rsid w:val="005509A8"/>
    <w:rsid w:val="0055115F"/>
    <w:rsid w:val="0055139D"/>
    <w:rsid w:val="0055169C"/>
    <w:rsid w:val="0055194E"/>
    <w:rsid w:val="0055320C"/>
    <w:rsid w:val="0055385B"/>
    <w:rsid w:val="005563F6"/>
    <w:rsid w:val="0055698B"/>
    <w:rsid w:val="0055785E"/>
    <w:rsid w:val="005578EC"/>
    <w:rsid w:val="005579B4"/>
    <w:rsid w:val="0056145D"/>
    <w:rsid w:val="005637E9"/>
    <w:rsid w:val="00565489"/>
    <w:rsid w:val="00566106"/>
    <w:rsid w:val="00572776"/>
    <w:rsid w:val="00575532"/>
    <w:rsid w:val="00577DE9"/>
    <w:rsid w:val="005808C7"/>
    <w:rsid w:val="00582A34"/>
    <w:rsid w:val="005841B2"/>
    <w:rsid w:val="005844BC"/>
    <w:rsid w:val="005907D4"/>
    <w:rsid w:val="00592FD6"/>
    <w:rsid w:val="005932AA"/>
    <w:rsid w:val="0059377C"/>
    <w:rsid w:val="00596A77"/>
    <w:rsid w:val="005A246D"/>
    <w:rsid w:val="005A28D5"/>
    <w:rsid w:val="005A30BA"/>
    <w:rsid w:val="005A391E"/>
    <w:rsid w:val="005A723B"/>
    <w:rsid w:val="005A73AA"/>
    <w:rsid w:val="005B35C0"/>
    <w:rsid w:val="005B6614"/>
    <w:rsid w:val="005B6D96"/>
    <w:rsid w:val="005B748E"/>
    <w:rsid w:val="005C02EF"/>
    <w:rsid w:val="005C4463"/>
    <w:rsid w:val="005C6B32"/>
    <w:rsid w:val="005C71E6"/>
    <w:rsid w:val="005D0960"/>
    <w:rsid w:val="005D1DB8"/>
    <w:rsid w:val="005D3759"/>
    <w:rsid w:val="005D39D0"/>
    <w:rsid w:val="005D3ECC"/>
    <w:rsid w:val="005D747F"/>
    <w:rsid w:val="005D769E"/>
    <w:rsid w:val="005E0C1C"/>
    <w:rsid w:val="005E2838"/>
    <w:rsid w:val="005E2BA9"/>
    <w:rsid w:val="005E4259"/>
    <w:rsid w:val="005E759E"/>
    <w:rsid w:val="005F0A75"/>
    <w:rsid w:val="005F0DE8"/>
    <w:rsid w:val="005F0EED"/>
    <w:rsid w:val="005F2A83"/>
    <w:rsid w:val="005F2BA2"/>
    <w:rsid w:val="005F4B42"/>
    <w:rsid w:val="005F60A3"/>
    <w:rsid w:val="006032DF"/>
    <w:rsid w:val="00605F8A"/>
    <w:rsid w:val="00616C58"/>
    <w:rsid w:val="00617802"/>
    <w:rsid w:val="00620424"/>
    <w:rsid w:val="00625166"/>
    <w:rsid w:val="006314EA"/>
    <w:rsid w:val="00631A2D"/>
    <w:rsid w:val="00636412"/>
    <w:rsid w:val="006365E9"/>
    <w:rsid w:val="00637689"/>
    <w:rsid w:val="00640CF1"/>
    <w:rsid w:val="00640E35"/>
    <w:rsid w:val="00641C04"/>
    <w:rsid w:val="00642873"/>
    <w:rsid w:val="00643255"/>
    <w:rsid w:val="00644011"/>
    <w:rsid w:val="006478BB"/>
    <w:rsid w:val="006514FE"/>
    <w:rsid w:val="00654FA2"/>
    <w:rsid w:val="00656B8A"/>
    <w:rsid w:val="00660C91"/>
    <w:rsid w:val="00663277"/>
    <w:rsid w:val="006678F2"/>
    <w:rsid w:val="00670506"/>
    <w:rsid w:val="00672DF8"/>
    <w:rsid w:val="006732A9"/>
    <w:rsid w:val="00673621"/>
    <w:rsid w:val="00673684"/>
    <w:rsid w:val="00673CD6"/>
    <w:rsid w:val="006745B4"/>
    <w:rsid w:val="00674C64"/>
    <w:rsid w:val="0067634F"/>
    <w:rsid w:val="006844B6"/>
    <w:rsid w:val="00686194"/>
    <w:rsid w:val="00687C84"/>
    <w:rsid w:val="00690BCC"/>
    <w:rsid w:val="00692517"/>
    <w:rsid w:val="006936A9"/>
    <w:rsid w:val="00694ACB"/>
    <w:rsid w:val="0069709F"/>
    <w:rsid w:val="006A0F03"/>
    <w:rsid w:val="006A1B5E"/>
    <w:rsid w:val="006A5F0C"/>
    <w:rsid w:val="006A607A"/>
    <w:rsid w:val="006B3996"/>
    <w:rsid w:val="006B67CB"/>
    <w:rsid w:val="006B7462"/>
    <w:rsid w:val="006C2815"/>
    <w:rsid w:val="006C4429"/>
    <w:rsid w:val="006C45C5"/>
    <w:rsid w:val="006C6C52"/>
    <w:rsid w:val="006C7C7B"/>
    <w:rsid w:val="006D03ED"/>
    <w:rsid w:val="006D0DBC"/>
    <w:rsid w:val="006D13B7"/>
    <w:rsid w:val="006D1FEA"/>
    <w:rsid w:val="006D46B6"/>
    <w:rsid w:val="006D5E03"/>
    <w:rsid w:val="006D64F6"/>
    <w:rsid w:val="006D7D82"/>
    <w:rsid w:val="006E0F94"/>
    <w:rsid w:val="006E1072"/>
    <w:rsid w:val="006E11CE"/>
    <w:rsid w:val="006E3722"/>
    <w:rsid w:val="006E6159"/>
    <w:rsid w:val="006F5F13"/>
    <w:rsid w:val="006F6375"/>
    <w:rsid w:val="0070176F"/>
    <w:rsid w:val="00701C7B"/>
    <w:rsid w:val="00702C78"/>
    <w:rsid w:val="00703667"/>
    <w:rsid w:val="007055AC"/>
    <w:rsid w:val="007061A1"/>
    <w:rsid w:val="00706D42"/>
    <w:rsid w:val="00710403"/>
    <w:rsid w:val="0071158C"/>
    <w:rsid w:val="00711D2F"/>
    <w:rsid w:val="007126D1"/>
    <w:rsid w:val="00712D5E"/>
    <w:rsid w:val="00717388"/>
    <w:rsid w:val="00717955"/>
    <w:rsid w:val="00717E5C"/>
    <w:rsid w:val="007264D9"/>
    <w:rsid w:val="007269C6"/>
    <w:rsid w:val="00730EC2"/>
    <w:rsid w:val="00732036"/>
    <w:rsid w:val="0073259B"/>
    <w:rsid w:val="0073318E"/>
    <w:rsid w:val="00733862"/>
    <w:rsid w:val="0073713D"/>
    <w:rsid w:val="007400E2"/>
    <w:rsid w:val="007450F9"/>
    <w:rsid w:val="007451D1"/>
    <w:rsid w:val="00745310"/>
    <w:rsid w:val="007476CE"/>
    <w:rsid w:val="00750948"/>
    <w:rsid w:val="007517BF"/>
    <w:rsid w:val="00757988"/>
    <w:rsid w:val="00757B70"/>
    <w:rsid w:val="007611FB"/>
    <w:rsid w:val="00763769"/>
    <w:rsid w:val="00763E92"/>
    <w:rsid w:val="00765784"/>
    <w:rsid w:val="00765853"/>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4334"/>
    <w:rsid w:val="007A76E8"/>
    <w:rsid w:val="007B046A"/>
    <w:rsid w:val="007B3221"/>
    <w:rsid w:val="007B6EF7"/>
    <w:rsid w:val="007C101E"/>
    <w:rsid w:val="007C1311"/>
    <w:rsid w:val="007C170A"/>
    <w:rsid w:val="007C1ADD"/>
    <w:rsid w:val="007C1DBE"/>
    <w:rsid w:val="007C2E15"/>
    <w:rsid w:val="007C4ECC"/>
    <w:rsid w:val="007C612F"/>
    <w:rsid w:val="007C62B3"/>
    <w:rsid w:val="007D210E"/>
    <w:rsid w:val="007D260E"/>
    <w:rsid w:val="007D5379"/>
    <w:rsid w:val="007E4217"/>
    <w:rsid w:val="007E5129"/>
    <w:rsid w:val="007F24BB"/>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2029B"/>
    <w:rsid w:val="00820906"/>
    <w:rsid w:val="00820DCB"/>
    <w:rsid w:val="00821661"/>
    <w:rsid w:val="00823EDD"/>
    <w:rsid w:val="008243F0"/>
    <w:rsid w:val="00831D77"/>
    <w:rsid w:val="00835215"/>
    <w:rsid w:val="00837DBA"/>
    <w:rsid w:val="00840FC4"/>
    <w:rsid w:val="0084148D"/>
    <w:rsid w:val="0084156A"/>
    <w:rsid w:val="00841928"/>
    <w:rsid w:val="0084452C"/>
    <w:rsid w:val="00847992"/>
    <w:rsid w:val="00856031"/>
    <w:rsid w:val="00856A1D"/>
    <w:rsid w:val="00856A2B"/>
    <w:rsid w:val="00856BD1"/>
    <w:rsid w:val="0085757D"/>
    <w:rsid w:val="00860056"/>
    <w:rsid w:val="0086165B"/>
    <w:rsid w:val="00861936"/>
    <w:rsid w:val="008631E9"/>
    <w:rsid w:val="00863375"/>
    <w:rsid w:val="00863CBF"/>
    <w:rsid w:val="00863D08"/>
    <w:rsid w:val="00863DF6"/>
    <w:rsid w:val="00876F7D"/>
    <w:rsid w:val="008805F6"/>
    <w:rsid w:val="00880788"/>
    <w:rsid w:val="008810A4"/>
    <w:rsid w:val="00881E49"/>
    <w:rsid w:val="008832A4"/>
    <w:rsid w:val="0088428E"/>
    <w:rsid w:val="00885F3E"/>
    <w:rsid w:val="008903EB"/>
    <w:rsid w:val="00892FB6"/>
    <w:rsid w:val="0089317F"/>
    <w:rsid w:val="0089636E"/>
    <w:rsid w:val="00897166"/>
    <w:rsid w:val="008A101F"/>
    <w:rsid w:val="008A12EE"/>
    <w:rsid w:val="008A3161"/>
    <w:rsid w:val="008A344B"/>
    <w:rsid w:val="008A4ABF"/>
    <w:rsid w:val="008A7C59"/>
    <w:rsid w:val="008B0B49"/>
    <w:rsid w:val="008B0EA6"/>
    <w:rsid w:val="008B2A52"/>
    <w:rsid w:val="008B2FB9"/>
    <w:rsid w:val="008B5FF1"/>
    <w:rsid w:val="008C2BE2"/>
    <w:rsid w:val="008C2C58"/>
    <w:rsid w:val="008C4E45"/>
    <w:rsid w:val="008D00BA"/>
    <w:rsid w:val="008D15C8"/>
    <w:rsid w:val="008D389D"/>
    <w:rsid w:val="008D49A8"/>
    <w:rsid w:val="008D6874"/>
    <w:rsid w:val="008D72B2"/>
    <w:rsid w:val="008D72ED"/>
    <w:rsid w:val="008E3BAC"/>
    <w:rsid w:val="008E5512"/>
    <w:rsid w:val="008E55E5"/>
    <w:rsid w:val="008E5EA0"/>
    <w:rsid w:val="008E6CAC"/>
    <w:rsid w:val="008E72DC"/>
    <w:rsid w:val="008F031E"/>
    <w:rsid w:val="008F380B"/>
    <w:rsid w:val="00902690"/>
    <w:rsid w:val="00902F83"/>
    <w:rsid w:val="0090339E"/>
    <w:rsid w:val="009051CF"/>
    <w:rsid w:val="00905B24"/>
    <w:rsid w:val="00907148"/>
    <w:rsid w:val="00907607"/>
    <w:rsid w:val="00911C10"/>
    <w:rsid w:val="0091204D"/>
    <w:rsid w:val="00915190"/>
    <w:rsid w:val="00916400"/>
    <w:rsid w:val="00920952"/>
    <w:rsid w:val="009233A8"/>
    <w:rsid w:val="00926798"/>
    <w:rsid w:val="009300BB"/>
    <w:rsid w:val="009313DC"/>
    <w:rsid w:val="009316FB"/>
    <w:rsid w:val="00932485"/>
    <w:rsid w:val="00932C32"/>
    <w:rsid w:val="00932DAF"/>
    <w:rsid w:val="0093789A"/>
    <w:rsid w:val="00943B6D"/>
    <w:rsid w:val="009444F0"/>
    <w:rsid w:val="00944B95"/>
    <w:rsid w:val="00944C93"/>
    <w:rsid w:val="00944CF5"/>
    <w:rsid w:val="009475DC"/>
    <w:rsid w:val="00951B11"/>
    <w:rsid w:val="00952F0C"/>
    <w:rsid w:val="00957194"/>
    <w:rsid w:val="00961CF4"/>
    <w:rsid w:val="00965951"/>
    <w:rsid w:val="00967BCF"/>
    <w:rsid w:val="00967D90"/>
    <w:rsid w:val="00970CB5"/>
    <w:rsid w:val="00970DD8"/>
    <w:rsid w:val="00976AF0"/>
    <w:rsid w:val="00977026"/>
    <w:rsid w:val="009772D3"/>
    <w:rsid w:val="00977541"/>
    <w:rsid w:val="009817FF"/>
    <w:rsid w:val="009821FA"/>
    <w:rsid w:val="009844E5"/>
    <w:rsid w:val="00985448"/>
    <w:rsid w:val="009858AC"/>
    <w:rsid w:val="0098649C"/>
    <w:rsid w:val="009901BB"/>
    <w:rsid w:val="00991804"/>
    <w:rsid w:val="0099260A"/>
    <w:rsid w:val="00993C48"/>
    <w:rsid w:val="00993D21"/>
    <w:rsid w:val="00994706"/>
    <w:rsid w:val="009950C9"/>
    <w:rsid w:val="00995D74"/>
    <w:rsid w:val="009A03C0"/>
    <w:rsid w:val="009A045F"/>
    <w:rsid w:val="009B03E6"/>
    <w:rsid w:val="009B2431"/>
    <w:rsid w:val="009B2B16"/>
    <w:rsid w:val="009B2D3A"/>
    <w:rsid w:val="009B47ED"/>
    <w:rsid w:val="009B4AB2"/>
    <w:rsid w:val="009B4DD6"/>
    <w:rsid w:val="009C1C7E"/>
    <w:rsid w:val="009C4F0D"/>
    <w:rsid w:val="009C776C"/>
    <w:rsid w:val="009D0482"/>
    <w:rsid w:val="009D10FA"/>
    <w:rsid w:val="009D1226"/>
    <w:rsid w:val="009D39E2"/>
    <w:rsid w:val="009D42CE"/>
    <w:rsid w:val="009D4FD2"/>
    <w:rsid w:val="009D5718"/>
    <w:rsid w:val="009D5B42"/>
    <w:rsid w:val="009D6C6B"/>
    <w:rsid w:val="009D6EC8"/>
    <w:rsid w:val="009E0443"/>
    <w:rsid w:val="009E1C9F"/>
    <w:rsid w:val="009E39AB"/>
    <w:rsid w:val="009E78A8"/>
    <w:rsid w:val="009E7E76"/>
    <w:rsid w:val="009F06EC"/>
    <w:rsid w:val="009F32CA"/>
    <w:rsid w:val="009F419F"/>
    <w:rsid w:val="009F476E"/>
    <w:rsid w:val="009F7B29"/>
    <w:rsid w:val="00A0239C"/>
    <w:rsid w:val="00A02D32"/>
    <w:rsid w:val="00A03B9B"/>
    <w:rsid w:val="00A03F2D"/>
    <w:rsid w:val="00A04DE3"/>
    <w:rsid w:val="00A12A91"/>
    <w:rsid w:val="00A12CCA"/>
    <w:rsid w:val="00A13B3D"/>
    <w:rsid w:val="00A214AF"/>
    <w:rsid w:val="00A2199D"/>
    <w:rsid w:val="00A21D77"/>
    <w:rsid w:val="00A22C3C"/>
    <w:rsid w:val="00A23026"/>
    <w:rsid w:val="00A23E53"/>
    <w:rsid w:val="00A2742C"/>
    <w:rsid w:val="00A27F7A"/>
    <w:rsid w:val="00A324A6"/>
    <w:rsid w:val="00A32BEE"/>
    <w:rsid w:val="00A32DBA"/>
    <w:rsid w:val="00A34A96"/>
    <w:rsid w:val="00A35ADC"/>
    <w:rsid w:val="00A36676"/>
    <w:rsid w:val="00A37A56"/>
    <w:rsid w:val="00A41674"/>
    <w:rsid w:val="00A421E4"/>
    <w:rsid w:val="00A4343D"/>
    <w:rsid w:val="00A46FCB"/>
    <w:rsid w:val="00A53BCB"/>
    <w:rsid w:val="00A5642C"/>
    <w:rsid w:val="00A56C31"/>
    <w:rsid w:val="00A5782D"/>
    <w:rsid w:val="00A60994"/>
    <w:rsid w:val="00A61CBD"/>
    <w:rsid w:val="00A63914"/>
    <w:rsid w:val="00A6462B"/>
    <w:rsid w:val="00A667E6"/>
    <w:rsid w:val="00A66A80"/>
    <w:rsid w:val="00A708DE"/>
    <w:rsid w:val="00A72E82"/>
    <w:rsid w:val="00A7359F"/>
    <w:rsid w:val="00A75658"/>
    <w:rsid w:val="00A760E5"/>
    <w:rsid w:val="00A7769E"/>
    <w:rsid w:val="00A81375"/>
    <w:rsid w:val="00A815E1"/>
    <w:rsid w:val="00A8445B"/>
    <w:rsid w:val="00A8592A"/>
    <w:rsid w:val="00A86F4D"/>
    <w:rsid w:val="00A913F6"/>
    <w:rsid w:val="00A92753"/>
    <w:rsid w:val="00A92B32"/>
    <w:rsid w:val="00AA0288"/>
    <w:rsid w:val="00AA0A75"/>
    <w:rsid w:val="00AA2D38"/>
    <w:rsid w:val="00AA3669"/>
    <w:rsid w:val="00AA438F"/>
    <w:rsid w:val="00AA59D7"/>
    <w:rsid w:val="00AA63A0"/>
    <w:rsid w:val="00AA6998"/>
    <w:rsid w:val="00AA783B"/>
    <w:rsid w:val="00AB0160"/>
    <w:rsid w:val="00AB34C6"/>
    <w:rsid w:val="00AB491C"/>
    <w:rsid w:val="00AB6D9E"/>
    <w:rsid w:val="00AC0172"/>
    <w:rsid w:val="00AC0929"/>
    <w:rsid w:val="00AC0C1F"/>
    <w:rsid w:val="00AC3122"/>
    <w:rsid w:val="00AC539F"/>
    <w:rsid w:val="00AC6AD2"/>
    <w:rsid w:val="00AD0C8C"/>
    <w:rsid w:val="00AD12E3"/>
    <w:rsid w:val="00AD2418"/>
    <w:rsid w:val="00AD28DF"/>
    <w:rsid w:val="00AD544F"/>
    <w:rsid w:val="00AD60D4"/>
    <w:rsid w:val="00AD68F1"/>
    <w:rsid w:val="00AD7783"/>
    <w:rsid w:val="00AE0A50"/>
    <w:rsid w:val="00AE2545"/>
    <w:rsid w:val="00AE2EBC"/>
    <w:rsid w:val="00AE55BF"/>
    <w:rsid w:val="00AE6463"/>
    <w:rsid w:val="00AE7042"/>
    <w:rsid w:val="00AF31BD"/>
    <w:rsid w:val="00AF449E"/>
    <w:rsid w:val="00AF506C"/>
    <w:rsid w:val="00AF7F61"/>
    <w:rsid w:val="00B004E4"/>
    <w:rsid w:val="00B02446"/>
    <w:rsid w:val="00B02ED1"/>
    <w:rsid w:val="00B03466"/>
    <w:rsid w:val="00B03C3F"/>
    <w:rsid w:val="00B044DD"/>
    <w:rsid w:val="00B106B8"/>
    <w:rsid w:val="00B11DBE"/>
    <w:rsid w:val="00B14FFC"/>
    <w:rsid w:val="00B16AC7"/>
    <w:rsid w:val="00B23556"/>
    <w:rsid w:val="00B24310"/>
    <w:rsid w:val="00B24DB8"/>
    <w:rsid w:val="00B24EEF"/>
    <w:rsid w:val="00B256B7"/>
    <w:rsid w:val="00B32EBC"/>
    <w:rsid w:val="00B32F71"/>
    <w:rsid w:val="00B34D63"/>
    <w:rsid w:val="00B36332"/>
    <w:rsid w:val="00B44C4B"/>
    <w:rsid w:val="00B50A35"/>
    <w:rsid w:val="00B51196"/>
    <w:rsid w:val="00B51445"/>
    <w:rsid w:val="00B52E58"/>
    <w:rsid w:val="00B53B35"/>
    <w:rsid w:val="00B543D0"/>
    <w:rsid w:val="00B61584"/>
    <w:rsid w:val="00B658C9"/>
    <w:rsid w:val="00B66088"/>
    <w:rsid w:val="00B74219"/>
    <w:rsid w:val="00B75476"/>
    <w:rsid w:val="00B75E56"/>
    <w:rsid w:val="00B8073A"/>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34CC"/>
    <w:rsid w:val="00BB4772"/>
    <w:rsid w:val="00BB49A2"/>
    <w:rsid w:val="00BB7183"/>
    <w:rsid w:val="00BC0810"/>
    <w:rsid w:val="00BC265C"/>
    <w:rsid w:val="00BC3866"/>
    <w:rsid w:val="00BC53EC"/>
    <w:rsid w:val="00BD0C2C"/>
    <w:rsid w:val="00BD49BE"/>
    <w:rsid w:val="00BD6099"/>
    <w:rsid w:val="00BD67BA"/>
    <w:rsid w:val="00BE3BF6"/>
    <w:rsid w:val="00BE5146"/>
    <w:rsid w:val="00BE7F52"/>
    <w:rsid w:val="00BF35E1"/>
    <w:rsid w:val="00BF49F6"/>
    <w:rsid w:val="00C00078"/>
    <w:rsid w:val="00C01D31"/>
    <w:rsid w:val="00C02F80"/>
    <w:rsid w:val="00C036EC"/>
    <w:rsid w:val="00C03BF2"/>
    <w:rsid w:val="00C03EE7"/>
    <w:rsid w:val="00C06F43"/>
    <w:rsid w:val="00C11338"/>
    <w:rsid w:val="00C11806"/>
    <w:rsid w:val="00C11F1B"/>
    <w:rsid w:val="00C13531"/>
    <w:rsid w:val="00C13E98"/>
    <w:rsid w:val="00C14956"/>
    <w:rsid w:val="00C212B3"/>
    <w:rsid w:val="00C21EB1"/>
    <w:rsid w:val="00C2209D"/>
    <w:rsid w:val="00C227A5"/>
    <w:rsid w:val="00C24017"/>
    <w:rsid w:val="00C30A5E"/>
    <w:rsid w:val="00C40B29"/>
    <w:rsid w:val="00C42094"/>
    <w:rsid w:val="00C45143"/>
    <w:rsid w:val="00C51198"/>
    <w:rsid w:val="00C515A4"/>
    <w:rsid w:val="00C528C2"/>
    <w:rsid w:val="00C55A41"/>
    <w:rsid w:val="00C618F9"/>
    <w:rsid w:val="00C61A99"/>
    <w:rsid w:val="00C625E0"/>
    <w:rsid w:val="00C633C5"/>
    <w:rsid w:val="00C644EC"/>
    <w:rsid w:val="00C6499D"/>
    <w:rsid w:val="00C67ABB"/>
    <w:rsid w:val="00C67CEF"/>
    <w:rsid w:val="00C72BA5"/>
    <w:rsid w:val="00C72D82"/>
    <w:rsid w:val="00C733B6"/>
    <w:rsid w:val="00C736F3"/>
    <w:rsid w:val="00C8088A"/>
    <w:rsid w:val="00C82408"/>
    <w:rsid w:val="00C828C9"/>
    <w:rsid w:val="00C82BC4"/>
    <w:rsid w:val="00C835AF"/>
    <w:rsid w:val="00C86737"/>
    <w:rsid w:val="00C87562"/>
    <w:rsid w:val="00C91D65"/>
    <w:rsid w:val="00C92AD3"/>
    <w:rsid w:val="00C949DA"/>
    <w:rsid w:val="00C95224"/>
    <w:rsid w:val="00C95CA4"/>
    <w:rsid w:val="00C97527"/>
    <w:rsid w:val="00CA14F3"/>
    <w:rsid w:val="00CA4A6F"/>
    <w:rsid w:val="00CA63BC"/>
    <w:rsid w:val="00CA68D7"/>
    <w:rsid w:val="00CA6E5C"/>
    <w:rsid w:val="00CA72CC"/>
    <w:rsid w:val="00CA7DDE"/>
    <w:rsid w:val="00CB0136"/>
    <w:rsid w:val="00CB0B63"/>
    <w:rsid w:val="00CB3A8C"/>
    <w:rsid w:val="00CB7C04"/>
    <w:rsid w:val="00CC3357"/>
    <w:rsid w:val="00CC649D"/>
    <w:rsid w:val="00CC7AF4"/>
    <w:rsid w:val="00CD2E1A"/>
    <w:rsid w:val="00CD3750"/>
    <w:rsid w:val="00CD465F"/>
    <w:rsid w:val="00CD643F"/>
    <w:rsid w:val="00CD653F"/>
    <w:rsid w:val="00CD6C4E"/>
    <w:rsid w:val="00CD7390"/>
    <w:rsid w:val="00CE137D"/>
    <w:rsid w:val="00CE15C5"/>
    <w:rsid w:val="00CE72D2"/>
    <w:rsid w:val="00CF0C9D"/>
    <w:rsid w:val="00CF15B9"/>
    <w:rsid w:val="00CF38F2"/>
    <w:rsid w:val="00CF43A5"/>
    <w:rsid w:val="00CF5A45"/>
    <w:rsid w:val="00D02B6F"/>
    <w:rsid w:val="00D03729"/>
    <w:rsid w:val="00D03BB7"/>
    <w:rsid w:val="00D05A75"/>
    <w:rsid w:val="00D065FD"/>
    <w:rsid w:val="00D07FE3"/>
    <w:rsid w:val="00D14107"/>
    <w:rsid w:val="00D14E95"/>
    <w:rsid w:val="00D155A6"/>
    <w:rsid w:val="00D16FE4"/>
    <w:rsid w:val="00D21972"/>
    <w:rsid w:val="00D21B75"/>
    <w:rsid w:val="00D24A29"/>
    <w:rsid w:val="00D274FC"/>
    <w:rsid w:val="00D27923"/>
    <w:rsid w:val="00D30920"/>
    <w:rsid w:val="00D4018E"/>
    <w:rsid w:val="00D41D6C"/>
    <w:rsid w:val="00D42C78"/>
    <w:rsid w:val="00D42FAD"/>
    <w:rsid w:val="00D448BA"/>
    <w:rsid w:val="00D451DA"/>
    <w:rsid w:val="00D454CE"/>
    <w:rsid w:val="00D4724B"/>
    <w:rsid w:val="00D47B7A"/>
    <w:rsid w:val="00D51362"/>
    <w:rsid w:val="00D51834"/>
    <w:rsid w:val="00D53D0B"/>
    <w:rsid w:val="00D5553D"/>
    <w:rsid w:val="00D566CA"/>
    <w:rsid w:val="00D56F00"/>
    <w:rsid w:val="00D574DA"/>
    <w:rsid w:val="00D624C2"/>
    <w:rsid w:val="00D63653"/>
    <w:rsid w:val="00D63EF9"/>
    <w:rsid w:val="00D642FA"/>
    <w:rsid w:val="00D71021"/>
    <w:rsid w:val="00D713CD"/>
    <w:rsid w:val="00D72041"/>
    <w:rsid w:val="00D72953"/>
    <w:rsid w:val="00D740AB"/>
    <w:rsid w:val="00D7457C"/>
    <w:rsid w:val="00D74902"/>
    <w:rsid w:val="00D752F3"/>
    <w:rsid w:val="00D77405"/>
    <w:rsid w:val="00D77905"/>
    <w:rsid w:val="00D8070E"/>
    <w:rsid w:val="00D82574"/>
    <w:rsid w:val="00D83F6A"/>
    <w:rsid w:val="00D843FF"/>
    <w:rsid w:val="00D85BA4"/>
    <w:rsid w:val="00D91DDF"/>
    <w:rsid w:val="00D92FAF"/>
    <w:rsid w:val="00D9410B"/>
    <w:rsid w:val="00D96EEE"/>
    <w:rsid w:val="00D97BED"/>
    <w:rsid w:val="00DA3DFF"/>
    <w:rsid w:val="00DA59D9"/>
    <w:rsid w:val="00DA6741"/>
    <w:rsid w:val="00DA6907"/>
    <w:rsid w:val="00DA6FA6"/>
    <w:rsid w:val="00DB4315"/>
    <w:rsid w:val="00DB4F8F"/>
    <w:rsid w:val="00DC0E80"/>
    <w:rsid w:val="00DC15C6"/>
    <w:rsid w:val="00DD58EC"/>
    <w:rsid w:val="00DD6DA3"/>
    <w:rsid w:val="00DD79BA"/>
    <w:rsid w:val="00DE07A3"/>
    <w:rsid w:val="00DE24ED"/>
    <w:rsid w:val="00DE4D45"/>
    <w:rsid w:val="00DE6FE5"/>
    <w:rsid w:val="00DE787A"/>
    <w:rsid w:val="00DE7BBA"/>
    <w:rsid w:val="00DF02A6"/>
    <w:rsid w:val="00DF093D"/>
    <w:rsid w:val="00DF2E8E"/>
    <w:rsid w:val="00DF597C"/>
    <w:rsid w:val="00DF6519"/>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0B08"/>
    <w:rsid w:val="00E32496"/>
    <w:rsid w:val="00E33A2D"/>
    <w:rsid w:val="00E33E1B"/>
    <w:rsid w:val="00E36237"/>
    <w:rsid w:val="00E3698C"/>
    <w:rsid w:val="00E40CD6"/>
    <w:rsid w:val="00E44030"/>
    <w:rsid w:val="00E44EA9"/>
    <w:rsid w:val="00E45B3E"/>
    <w:rsid w:val="00E501E3"/>
    <w:rsid w:val="00E5295D"/>
    <w:rsid w:val="00E5384E"/>
    <w:rsid w:val="00E54A62"/>
    <w:rsid w:val="00E57D3C"/>
    <w:rsid w:val="00E61ED6"/>
    <w:rsid w:val="00E679F5"/>
    <w:rsid w:val="00E708D8"/>
    <w:rsid w:val="00E710F7"/>
    <w:rsid w:val="00E72BA6"/>
    <w:rsid w:val="00E73076"/>
    <w:rsid w:val="00E73A49"/>
    <w:rsid w:val="00E8036A"/>
    <w:rsid w:val="00E81627"/>
    <w:rsid w:val="00E8228F"/>
    <w:rsid w:val="00E831FC"/>
    <w:rsid w:val="00E8615E"/>
    <w:rsid w:val="00E91497"/>
    <w:rsid w:val="00E9190D"/>
    <w:rsid w:val="00E92266"/>
    <w:rsid w:val="00E94E64"/>
    <w:rsid w:val="00E952A0"/>
    <w:rsid w:val="00E9732D"/>
    <w:rsid w:val="00E976AF"/>
    <w:rsid w:val="00EA1465"/>
    <w:rsid w:val="00EA2F9C"/>
    <w:rsid w:val="00EA3474"/>
    <w:rsid w:val="00EA37E9"/>
    <w:rsid w:val="00EA3DEA"/>
    <w:rsid w:val="00EA4AD0"/>
    <w:rsid w:val="00EA748C"/>
    <w:rsid w:val="00EB01C9"/>
    <w:rsid w:val="00EB553F"/>
    <w:rsid w:val="00EB5DC7"/>
    <w:rsid w:val="00EC0BAE"/>
    <w:rsid w:val="00EC13B0"/>
    <w:rsid w:val="00EC30A8"/>
    <w:rsid w:val="00EC4808"/>
    <w:rsid w:val="00EC5F9B"/>
    <w:rsid w:val="00EC5FB8"/>
    <w:rsid w:val="00EC7822"/>
    <w:rsid w:val="00EC7D16"/>
    <w:rsid w:val="00ED00A0"/>
    <w:rsid w:val="00ED0366"/>
    <w:rsid w:val="00ED2859"/>
    <w:rsid w:val="00ED3D08"/>
    <w:rsid w:val="00ED4B56"/>
    <w:rsid w:val="00ED4CFB"/>
    <w:rsid w:val="00ED4F81"/>
    <w:rsid w:val="00ED5411"/>
    <w:rsid w:val="00ED6ACC"/>
    <w:rsid w:val="00EE09A7"/>
    <w:rsid w:val="00EE108C"/>
    <w:rsid w:val="00EE49CD"/>
    <w:rsid w:val="00EE62B3"/>
    <w:rsid w:val="00EE7852"/>
    <w:rsid w:val="00EF0A02"/>
    <w:rsid w:val="00EF0E3D"/>
    <w:rsid w:val="00EF3DE7"/>
    <w:rsid w:val="00EF49E2"/>
    <w:rsid w:val="00EF72D0"/>
    <w:rsid w:val="00F002E6"/>
    <w:rsid w:val="00F00366"/>
    <w:rsid w:val="00F004A3"/>
    <w:rsid w:val="00F016F5"/>
    <w:rsid w:val="00F0286D"/>
    <w:rsid w:val="00F03B32"/>
    <w:rsid w:val="00F06733"/>
    <w:rsid w:val="00F06D8E"/>
    <w:rsid w:val="00F07420"/>
    <w:rsid w:val="00F1070E"/>
    <w:rsid w:val="00F13E8D"/>
    <w:rsid w:val="00F15130"/>
    <w:rsid w:val="00F2036E"/>
    <w:rsid w:val="00F20C4A"/>
    <w:rsid w:val="00F20CDB"/>
    <w:rsid w:val="00F2133C"/>
    <w:rsid w:val="00F2170E"/>
    <w:rsid w:val="00F31004"/>
    <w:rsid w:val="00F311C6"/>
    <w:rsid w:val="00F32FD5"/>
    <w:rsid w:val="00F35496"/>
    <w:rsid w:val="00F367C2"/>
    <w:rsid w:val="00F36B67"/>
    <w:rsid w:val="00F37865"/>
    <w:rsid w:val="00F400DB"/>
    <w:rsid w:val="00F40183"/>
    <w:rsid w:val="00F4031A"/>
    <w:rsid w:val="00F40958"/>
    <w:rsid w:val="00F41F48"/>
    <w:rsid w:val="00F42E9F"/>
    <w:rsid w:val="00F441A8"/>
    <w:rsid w:val="00F45244"/>
    <w:rsid w:val="00F4543A"/>
    <w:rsid w:val="00F4615E"/>
    <w:rsid w:val="00F5012F"/>
    <w:rsid w:val="00F509D2"/>
    <w:rsid w:val="00F52169"/>
    <w:rsid w:val="00F5250C"/>
    <w:rsid w:val="00F53CAD"/>
    <w:rsid w:val="00F615CB"/>
    <w:rsid w:val="00F66819"/>
    <w:rsid w:val="00F70898"/>
    <w:rsid w:val="00F70BAD"/>
    <w:rsid w:val="00F71EA6"/>
    <w:rsid w:val="00F750FC"/>
    <w:rsid w:val="00F7520C"/>
    <w:rsid w:val="00F75756"/>
    <w:rsid w:val="00F75787"/>
    <w:rsid w:val="00F75B16"/>
    <w:rsid w:val="00F75D09"/>
    <w:rsid w:val="00F76544"/>
    <w:rsid w:val="00F80C68"/>
    <w:rsid w:val="00F84F98"/>
    <w:rsid w:val="00F8509C"/>
    <w:rsid w:val="00F854B9"/>
    <w:rsid w:val="00F90199"/>
    <w:rsid w:val="00F92D1A"/>
    <w:rsid w:val="00F93455"/>
    <w:rsid w:val="00F93F21"/>
    <w:rsid w:val="00F94114"/>
    <w:rsid w:val="00F94B81"/>
    <w:rsid w:val="00F955D1"/>
    <w:rsid w:val="00F966B8"/>
    <w:rsid w:val="00F97F7E"/>
    <w:rsid w:val="00FA04D7"/>
    <w:rsid w:val="00FA0BB6"/>
    <w:rsid w:val="00FA13E5"/>
    <w:rsid w:val="00FA192E"/>
    <w:rsid w:val="00FA214D"/>
    <w:rsid w:val="00FA2383"/>
    <w:rsid w:val="00FA661F"/>
    <w:rsid w:val="00FA76CB"/>
    <w:rsid w:val="00FB203E"/>
    <w:rsid w:val="00FB27FA"/>
    <w:rsid w:val="00FB2EF4"/>
    <w:rsid w:val="00FB2FCD"/>
    <w:rsid w:val="00FB3621"/>
    <w:rsid w:val="00FC2733"/>
    <w:rsid w:val="00FC2D5B"/>
    <w:rsid w:val="00FC348B"/>
    <w:rsid w:val="00FC4FD8"/>
    <w:rsid w:val="00FC59ED"/>
    <w:rsid w:val="00FC68D8"/>
    <w:rsid w:val="00FC716A"/>
    <w:rsid w:val="00FD07CA"/>
    <w:rsid w:val="00FD38BC"/>
    <w:rsid w:val="00FD69F1"/>
    <w:rsid w:val="00FD6BAD"/>
    <w:rsid w:val="00FD6EB5"/>
    <w:rsid w:val="00FE0246"/>
    <w:rsid w:val="00FE090C"/>
    <w:rsid w:val="00FE0D5C"/>
    <w:rsid w:val="00FE1824"/>
    <w:rsid w:val="00FE1CED"/>
    <w:rsid w:val="00FE30D8"/>
    <w:rsid w:val="00FE37CC"/>
    <w:rsid w:val="00FE538E"/>
    <w:rsid w:val="00FE5D9F"/>
    <w:rsid w:val="00FE614E"/>
    <w:rsid w:val="00FE6484"/>
    <w:rsid w:val="00FE67D6"/>
    <w:rsid w:val="00FE74E3"/>
    <w:rsid w:val="00FE76B8"/>
    <w:rsid w:val="00FF1A5D"/>
    <w:rsid w:val="00FF1CDF"/>
    <w:rsid w:val="00FF1DC9"/>
    <w:rsid w:val="00FF5D2E"/>
    <w:rsid w:val="00FF67A1"/>
    <w:rsid w:val="00FF6B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1526847">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138111114">
      <w:bodyDiv w:val="1"/>
      <w:marLeft w:val="0"/>
      <w:marRight w:val="0"/>
      <w:marTop w:val="0"/>
      <w:marBottom w:val="0"/>
      <w:divBdr>
        <w:top w:val="none" w:sz="0" w:space="0" w:color="auto"/>
        <w:left w:val="none" w:sz="0" w:space="0" w:color="auto"/>
        <w:bottom w:val="none" w:sz="0" w:space="0" w:color="auto"/>
        <w:right w:val="none" w:sz="0" w:space="0" w:color="auto"/>
      </w:divBdr>
    </w:div>
    <w:div w:id="1202667945">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68854838">
      <w:bodyDiv w:val="1"/>
      <w:marLeft w:val="0"/>
      <w:marRight w:val="0"/>
      <w:marTop w:val="0"/>
      <w:marBottom w:val="0"/>
      <w:divBdr>
        <w:top w:val="none" w:sz="0" w:space="0" w:color="auto"/>
        <w:left w:val="none" w:sz="0" w:space="0" w:color="auto"/>
        <w:bottom w:val="none" w:sz="0" w:space="0" w:color="auto"/>
        <w:right w:val="none" w:sz="0" w:space="0" w:color="auto"/>
      </w:divBdr>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98252478">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A9D5A7-7AD8-4217-8B33-BC73ED43B3BB}"/>
</file>

<file path=customXml/itemProps2.xml><?xml version="1.0" encoding="utf-8"?>
<ds:datastoreItem xmlns:ds="http://schemas.openxmlformats.org/officeDocument/2006/customXml" ds:itemID="{DA8B1FC9-3E78-449D-BF7C-B0937C611669}"/>
</file>

<file path=customXml/itemProps3.xml><?xml version="1.0" encoding="utf-8"?>
<ds:datastoreItem xmlns:ds="http://schemas.openxmlformats.org/officeDocument/2006/customXml" ds:itemID="{8CDD46AA-3EB9-44EF-A6CD-F90CBBC78C09}"/>
</file>

<file path=customXml/itemProps4.xml><?xml version="1.0" encoding="utf-8"?>
<ds:datastoreItem xmlns:ds="http://schemas.openxmlformats.org/officeDocument/2006/customXml" ds:itemID="{CA050BED-9808-4936-B3E8-48832AD66871}"/>
</file>

<file path=customXml/itemProps5.xml><?xml version="1.0" encoding="utf-8"?>
<ds:datastoreItem xmlns:ds="http://schemas.openxmlformats.org/officeDocument/2006/customXml" ds:itemID="{D30ACEAA-55EE-4922-A9CB-4A2FB05A8FF2}"/>
</file>

<file path=docProps/app.xml><?xml version="1.0" encoding="utf-8"?>
<Properties xmlns="http://schemas.openxmlformats.org/officeDocument/2006/extended-properties" xmlns:vt="http://schemas.openxmlformats.org/officeDocument/2006/docPropsVTypes">
  <Template>Normal.dotm</Template>
  <TotalTime>0</TotalTime>
  <Pages>11</Pages>
  <Words>2350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2010-12-10T17:51:00Z</dcterms:created>
  <dcterms:modified xsi:type="dcterms:W3CDTF">2010-12-10T19:36:00Z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