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961" w:rsidRDefault="00304961" w:rsidP="003B6E5B">
      <w:pPr>
        <w:pStyle w:val="single"/>
        <w:widowControl w:val="0"/>
        <w:ind w:left="5040" w:firstLine="0"/>
        <w:rPr>
          <w:rStyle w:val="Strong"/>
        </w:rPr>
      </w:pPr>
      <w:r>
        <w:rPr>
          <w:rStyle w:val="Strong"/>
        </w:rPr>
        <w:t>EXHIBIT NO. ___(DEM-1CT)</w:t>
      </w:r>
      <w:r>
        <w:rPr>
          <w:rStyle w:val="Strong"/>
        </w:rPr>
        <w:br/>
        <w:t>DOCKET NO. UE</w:t>
      </w:r>
      <w:r>
        <w:rPr>
          <w:rStyle w:val="Strong"/>
        </w:rPr>
        <w:noBreakHyphen/>
        <w:t>1</w:t>
      </w:r>
      <w:r w:rsidR="00E803CE">
        <w:rPr>
          <w:rStyle w:val="Strong"/>
        </w:rPr>
        <w:t>5</w:t>
      </w:r>
      <w:r w:rsidR="00941838">
        <w:rPr>
          <w:rStyle w:val="Strong"/>
        </w:rPr>
        <w:t>____</w:t>
      </w:r>
      <w:bookmarkStart w:id="0" w:name="_GoBack"/>
      <w:bookmarkEnd w:id="0"/>
      <w:r>
        <w:rPr>
          <w:rStyle w:val="Strong"/>
        </w:rPr>
        <w:br/>
      </w:r>
      <w:r>
        <w:rPr>
          <w:b/>
        </w:rPr>
        <w:t xml:space="preserve">PCA </w:t>
      </w:r>
      <w:r w:rsidR="00614CD2">
        <w:rPr>
          <w:b/>
        </w:rPr>
        <w:t>1</w:t>
      </w:r>
      <w:r w:rsidR="00AB1FCA">
        <w:rPr>
          <w:b/>
        </w:rPr>
        <w:t>3</w:t>
      </w:r>
      <w:r w:rsidR="00614CD2">
        <w:rPr>
          <w:b/>
        </w:rPr>
        <w:t xml:space="preserve"> </w:t>
      </w:r>
      <w:r>
        <w:rPr>
          <w:b/>
        </w:rPr>
        <w:t>COMPLIANCE</w:t>
      </w:r>
      <w:r>
        <w:rPr>
          <w:rStyle w:val="Strong"/>
        </w:rPr>
        <w:br/>
        <w:t>WITNESS:  </w:t>
      </w:r>
      <w:r>
        <w:rPr>
          <w:b/>
          <w:color w:val="000000"/>
        </w:rPr>
        <w:t>DAVID E. MILLS</w:t>
      </w: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r>
        <w:rPr>
          <w:b/>
        </w:rPr>
        <w:t>BEFORE THE</w:t>
      </w:r>
      <w:r w:rsidR="00F0184D">
        <w:rPr>
          <w:b/>
        </w:rPr>
        <w:fldChar w:fldCharType="begin"/>
      </w:r>
      <w:r>
        <w:rPr>
          <w:b/>
        </w:rPr>
        <w:instrText xml:space="preserve"> </w:instrText>
      </w:r>
      <w:r w:rsidR="00F0184D">
        <w:rPr>
          <w:b/>
        </w:rPr>
        <w:fldChar w:fldCharType="begin"/>
      </w:r>
      <w:r>
        <w:rPr>
          <w:b/>
        </w:rPr>
        <w:instrText xml:space="preserve">  </w:instrText>
      </w:r>
      <w:r w:rsidR="00F0184D">
        <w:rPr>
          <w:b/>
        </w:rPr>
        <w:fldChar w:fldCharType="end"/>
      </w:r>
      <w:r>
        <w:rPr>
          <w:b/>
        </w:rPr>
        <w:instrText xml:space="preserve"> </w:instrText>
      </w:r>
      <w:r w:rsidR="00F0184D">
        <w:rPr>
          <w:b/>
        </w:rPr>
        <w:fldChar w:fldCharType="end"/>
      </w:r>
    </w:p>
    <w:p w:rsidR="00304961" w:rsidRDefault="00304961" w:rsidP="003B6E5B">
      <w:pPr>
        <w:pStyle w:val="center"/>
        <w:keepLines w:val="0"/>
        <w:widowControl w:val="0"/>
        <w:spacing w:before="0" w:line="240" w:lineRule="auto"/>
        <w:rPr>
          <w:b/>
        </w:rPr>
      </w:pPr>
      <w:r>
        <w:rPr>
          <w:b/>
        </w:rPr>
        <w:t>WASHINGTON UTILITIES AND TRANSPORTATION COMMISSION</w:t>
      </w: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304961" w:rsidTr="003B6E5B">
        <w:trPr>
          <w:cantSplit/>
        </w:trPr>
        <w:tc>
          <w:tcPr>
            <w:tcW w:w="5102" w:type="dxa"/>
            <w:tcBorders>
              <w:bottom w:val="single" w:sz="4" w:space="0" w:color="auto"/>
              <w:right w:val="single" w:sz="4" w:space="0" w:color="auto"/>
            </w:tcBorders>
          </w:tcPr>
          <w:p w:rsidR="00304961" w:rsidRDefault="00304961" w:rsidP="003B6E5B">
            <w:pPr>
              <w:pStyle w:val="singleblock"/>
              <w:rPr>
                <w:b/>
              </w:rPr>
            </w:pPr>
            <w:r>
              <w:rPr>
                <w:b/>
              </w:rPr>
              <w:t>In the Matter of the Petition of</w:t>
            </w:r>
          </w:p>
          <w:p w:rsidR="00304961" w:rsidRDefault="00304961" w:rsidP="003B6E5B">
            <w:pPr>
              <w:pStyle w:val="singleblock"/>
              <w:rPr>
                <w:b/>
              </w:rPr>
            </w:pPr>
            <w:r>
              <w:rPr>
                <w:b/>
              </w:rPr>
              <w:t>PUGET SOUND ENERGY, INC.</w:t>
            </w:r>
          </w:p>
          <w:p w:rsidR="00304961" w:rsidRDefault="00304961" w:rsidP="003B6E5B">
            <w:pPr>
              <w:pStyle w:val="singleblock"/>
              <w:rPr>
                <w:b/>
              </w:rPr>
            </w:pPr>
            <w:r>
              <w:rPr>
                <w:b/>
              </w:rPr>
              <w:t xml:space="preserve">For Approval of its </w:t>
            </w:r>
            <w:r w:rsidRPr="00AB1FCA">
              <w:rPr>
                <w:b/>
              </w:rPr>
              <w:t xml:space="preserve">March </w:t>
            </w:r>
            <w:r w:rsidR="00204345" w:rsidRPr="00AB1FCA">
              <w:rPr>
                <w:b/>
              </w:rPr>
              <w:t>20</w:t>
            </w:r>
            <w:r w:rsidR="00AB1FCA" w:rsidRPr="00E803CE">
              <w:rPr>
                <w:b/>
              </w:rPr>
              <w:t>15</w:t>
            </w:r>
            <w:r w:rsidR="00204345" w:rsidRPr="00AB1FCA">
              <w:rPr>
                <w:b/>
              </w:rPr>
              <w:t xml:space="preserve"> </w:t>
            </w:r>
            <w:r w:rsidRPr="00AB1FCA">
              <w:rPr>
                <w:b/>
              </w:rPr>
              <w:t>Power Cost</w:t>
            </w:r>
            <w:r>
              <w:rPr>
                <w:b/>
              </w:rPr>
              <w:t xml:space="preserve"> Adjustment Mechanism Report</w:t>
            </w:r>
          </w:p>
          <w:p w:rsidR="00304961" w:rsidRDefault="00304961" w:rsidP="003B6E5B">
            <w:pPr>
              <w:pStyle w:val="SingleSpacing"/>
              <w:widowControl w:val="0"/>
              <w:tabs>
                <w:tab w:val="left" w:pos="1440"/>
              </w:tabs>
              <w:rPr>
                <w:b/>
                <w:sz w:val="24"/>
              </w:rPr>
            </w:pPr>
          </w:p>
        </w:tc>
        <w:tc>
          <w:tcPr>
            <w:tcW w:w="130" w:type="dxa"/>
            <w:tcBorders>
              <w:left w:val="single" w:sz="4" w:space="0" w:color="auto"/>
            </w:tcBorders>
          </w:tcPr>
          <w:p w:rsidR="00304961" w:rsidRDefault="00304961" w:rsidP="003B6E5B">
            <w:pPr>
              <w:widowControl w:val="0"/>
              <w:rPr>
                <w:b/>
              </w:rPr>
            </w:pPr>
          </w:p>
        </w:tc>
        <w:tc>
          <w:tcPr>
            <w:tcW w:w="4423" w:type="dxa"/>
            <w:vAlign w:val="center"/>
          </w:tcPr>
          <w:p w:rsidR="00304961" w:rsidRDefault="0043150C" w:rsidP="00941838">
            <w:pPr>
              <w:pStyle w:val="SingleSpacing"/>
              <w:widowControl w:val="0"/>
              <w:ind w:left="198"/>
              <w:rPr>
                <w:b/>
                <w:sz w:val="24"/>
              </w:rPr>
            </w:pPr>
            <w:r>
              <w:rPr>
                <w:b/>
                <w:sz w:val="24"/>
              </w:rPr>
              <w:t>Docket No. UE-1</w:t>
            </w:r>
            <w:r w:rsidR="00E803CE">
              <w:rPr>
                <w:b/>
                <w:sz w:val="24"/>
              </w:rPr>
              <w:t>5</w:t>
            </w:r>
            <w:r w:rsidR="00941838">
              <w:rPr>
                <w:b/>
                <w:sz w:val="24"/>
              </w:rPr>
              <w:t>____</w:t>
            </w:r>
          </w:p>
        </w:tc>
      </w:tr>
    </w:tbl>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spacing w:before="0" w:line="240" w:lineRule="auto"/>
        <w:rPr>
          <w:b/>
        </w:rPr>
      </w:pPr>
      <w:r>
        <w:rPr>
          <w:b/>
        </w:rPr>
        <w:t>PREFILED DIRECT TESTIMONY (CONFIDENTIAL) OF</w:t>
      </w:r>
      <w:r>
        <w:rPr>
          <w:b/>
        </w:rPr>
        <w:br/>
      </w:r>
      <w:r>
        <w:rPr>
          <w:b/>
          <w:color w:val="000000"/>
        </w:rPr>
        <w:t>DAVID E. MILLS</w:t>
      </w:r>
      <w:r>
        <w:rPr>
          <w:b/>
        </w:rPr>
        <w:br/>
        <w:t>ON BEHALF OF PUGET SOUND ENERGY, INC.</w:t>
      </w: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B97ED7" w:rsidP="003B6E5B">
      <w:pPr>
        <w:pStyle w:val="center"/>
        <w:keepLines w:val="0"/>
        <w:widowControl w:val="0"/>
        <w:spacing w:before="0" w:line="240" w:lineRule="auto"/>
        <w:rPr>
          <w:b/>
        </w:rPr>
      </w:pPr>
      <w:r>
        <w:rPr>
          <w:noProof/>
          <w:lang w:eastAsia="en-US"/>
        </w:rPr>
        <mc:AlternateContent>
          <mc:Choice Requires="wpg">
            <w:drawing>
              <wp:anchor distT="0" distB="0" distL="114300" distR="114300" simplePos="0" relativeHeight="251652608" behindDoc="0" locked="0" layoutInCell="1" allowOverlap="1" wp14:anchorId="6AC00CBF" wp14:editId="64B5F598">
                <wp:simplePos x="0" y="0"/>
                <wp:positionH relativeFrom="column">
                  <wp:posOffset>1699260</wp:posOffset>
                </wp:positionH>
                <wp:positionV relativeFrom="paragraph">
                  <wp:posOffset>99695</wp:posOffset>
                </wp:positionV>
                <wp:extent cx="2171700" cy="683260"/>
                <wp:effectExtent l="0" t="0" r="0" b="2540"/>
                <wp:wrapNone/>
                <wp:docPr id="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32"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0E9" w:rsidRDefault="00BD40E9" w:rsidP="003B6E5B">
                              <w:r>
                                <w:rPr>
                                  <w:snapToGrid w:val="0"/>
                                </w:rPr>
                                <w:t>Confidential per WAC 48</w:t>
                              </w:r>
                            </w:p>
                          </w:txbxContent>
                        </wps:txbx>
                        <wps:bodyPr rot="0" vert="horz" wrap="square" lIns="91440" tIns="91440" rIns="91440" bIns="91440" anchor="t" anchorCtr="0" upright="1">
                          <a:noAutofit/>
                        </wps:bodyPr>
                      </wps:wsp>
                      <wps:wsp>
                        <wps:cNvPr id="33"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BD40E9" w:rsidRDefault="00E91159" w:rsidP="003B6E5B">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E91159" w:rsidRPr="00EC3DC8" w:rsidRDefault="00E91159" w:rsidP="003B6E5B">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33.8pt;margin-top:7.85pt;width:171pt;height:53.8pt;z-index:251652608"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">
                <v:shapetype id="_x0000_t202" coordsize="21600,21600" o:spt="202" path="m,l,21600r21600,l21600,xe">
                  <v:stroke joinstyle="miter"/>
                  <v:path gradientshapeok="t" o:connecttype="rect"/>
                </v:shapetype>
                <v:shape id="Text Box 4" o:spid="_x0000_s1027"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ibcQA&#10;AADbAAAADwAAAGRycy9kb3ducmV2LnhtbESPQWvCQBSE74X+h+UVems2pkVC6ipFKNRbq2J7fGRf&#10;NsHs25DdxNRf7wqCx2FmvmEWq8m2YqTeN44VzJIUBHHpdMNGwX73+ZKD8AFZY+uYFPyTh9Xy8WGB&#10;hXYn/qFxG4yIEPYFKqhD6AopfVmTRZ+4jjh6lesthih7I3WPpwi3rczSdC4tNhwXauxoXVN53A5W&#10;wa+Zb9rv/Kirt7/zYWaGcVxvKqWen6aPdxCBpnAP39pfWsFrB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MYm3EAAAA2wAAAA8AAAAAAAAAAAAAAAAAmAIAAGRycy9k&#10;b3ducmV2LnhtbFBLBQYAAAAABAAEAPUAAACJAwAAAAA=&#10;" fillcolor="gray" stroked="f">
                  <v:textbox inset=",7.2pt,,7.2pt">
                    <w:txbxContent>
                      <w:p w:rsidR="00BD40E9" w:rsidRDefault="00BD40E9" w:rsidP="003B6E5B">
                        <w:r>
                          <w:rPr>
                            <w:snapToGrid w:val="0"/>
                          </w:rPr>
                          <w:t>Confidential per WAC 48</w:t>
                        </w:r>
                      </w:p>
                    </w:txbxContent>
                  </v:textbox>
                </v:shape>
                <v:shape id="_x0000_s1028"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OtMEA&#10;AADbAAAADwAAAGRycy9kb3ducmV2LnhtbERPTYvCMBS8L/gfwhP2smiqRZFqFCksiBexu/T8aJ5t&#10;sXmpTdZ2/70RBG8zzBez2Q2mEXfqXG1ZwWwagSAurK65VPD78z1ZgXAeWWNjmRT8k4PddvSxwUTb&#10;ns90z3wpQgm7BBVU3reJlK6oyKCb2pY4aBfbGfSBdqXUHfah3DRyHkVLabDmsFBhS2lFxTX7MwrS&#10;Yx7g+XbK87hZLI9Zn36lpVKf42G/BuFp8G/zK33QCuIYnl/C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DrTBAAAA2wAAAA8AAAAAAAAAAAAAAAAAmAIAAGRycy9kb3du&#10;cmV2LnhtbFBLBQYAAAAABAAEAPUAAACGAwAAAAA=&#10;" strokeweight="1.5pt">
                  <v:textbox inset=",7.2pt,,7.2pt">
                    <w:txbxContent>
                      <w:p w:rsidR="00BD40E9" w:rsidRDefault="00E91159" w:rsidP="003B6E5B">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E91159" w:rsidRPr="00EC3DC8" w:rsidRDefault="00E91159" w:rsidP="003B6E5B">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widowControl w:val="0"/>
        <w:jc w:val="center"/>
        <w:rPr>
          <w:rFonts w:eastAsia="SimSun"/>
          <w:b/>
        </w:rPr>
      </w:pPr>
      <w:r>
        <w:rPr>
          <w:b/>
        </w:rPr>
        <w:t>MARCH </w:t>
      </w:r>
      <w:r w:rsidR="00203E6C">
        <w:rPr>
          <w:b/>
        </w:rPr>
        <w:t>31</w:t>
      </w:r>
      <w:r>
        <w:rPr>
          <w:b/>
        </w:rPr>
        <w:t xml:space="preserve">, </w:t>
      </w:r>
      <w:r w:rsidR="00204345">
        <w:rPr>
          <w:b/>
        </w:rPr>
        <w:t>201</w:t>
      </w:r>
      <w:r w:rsidR="00AB1FCA">
        <w:rPr>
          <w:b/>
        </w:rPr>
        <w:t>5</w:t>
      </w:r>
    </w:p>
    <w:p w:rsidR="00304961" w:rsidRDefault="00304961">
      <w:pPr>
        <w:widowControl w:val="0"/>
        <w:spacing w:before="240" w:after="240"/>
        <w:ind w:left="720" w:right="720"/>
        <w:jc w:val="center"/>
        <w:rPr>
          <w:rStyle w:val="Strong"/>
          <w:rFonts w:eastAsia="SimSun"/>
        </w:rPr>
        <w:sectPr w:rsidR="00304961">
          <w:headerReference w:type="default" r:id="rId9"/>
          <w:pgSz w:w="12240" w:h="15840" w:code="1"/>
          <w:pgMar w:top="1440" w:right="1440" w:bottom="1440" w:left="2160" w:header="864" w:footer="576" w:gutter="0"/>
          <w:pgNumType w:fmt="lowerRoman" w:start="1"/>
          <w:cols w:space="720"/>
        </w:sectPr>
      </w:pPr>
    </w:p>
    <w:p w:rsidR="00304961" w:rsidRDefault="00304961">
      <w:pPr>
        <w:widowControl w:val="0"/>
        <w:spacing w:before="240" w:after="240"/>
        <w:ind w:left="720" w:right="720"/>
        <w:jc w:val="center"/>
        <w:rPr>
          <w:rStyle w:val="Strong"/>
          <w:rFonts w:eastAsia="SimSun"/>
        </w:rPr>
      </w:pPr>
      <w:r>
        <w:rPr>
          <w:rStyle w:val="Strong"/>
          <w:rFonts w:eastAsia="SimSun"/>
        </w:rPr>
        <w:lastRenderedPageBreak/>
        <w:t>PUGET SOUND ENERGY, INC.</w:t>
      </w:r>
    </w:p>
    <w:p w:rsidR="00304961" w:rsidRDefault="00304961">
      <w:pPr>
        <w:widowControl w:val="0"/>
        <w:spacing w:before="240" w:after="360"/>
        <w:ind w:left="547" w:right="547"/>
        <w:jc w:val="center"/>
        <w:rPr>
          <w:rFonts w:eastAsia="SimSun"/>
          <w:b/>
          <w:color w:val="000000"/>
        </w:rPr>
      </w:pPr>
      <w:r>
        <w:rPr>
          <w:rStyle w:val="Strong"/>
          <w:rFonts w:eastAsia="SimSun"/>
        </w:rPr>
        <w:t xml:space="preserve">PREFILED DIRECT TESTIMONY </w:t>
      </w:r>
      <w:r>
        <w:rPr>
          <w:rFonts w:eastAsia="SimSun"/>
          <w:b/>
          <w:color w:val="000000"/>
        </w:rPr>
        <w:t xml:space="preserve">(CONFIDENTIAL) </w:t>
      </w:r>
      <w:r>
        <w:rPr>
          <w:rStyle w:val="Strong"/>
          <w:rFonts w:eastAsia="SimSun"/>
        </w:rPr>
        <w:t>OF</w:t>
      </w:r>
      <w:r>
        <w:rPr>
          <w:rStyle w:val="Strong"/>
          <w:rFonts w:eastAsia="SimSun"/>
          <w:b w:val="0"/>
        </w:rPr>
        <w:br/>
      </w:r>
      <w:r>
        <w:rPr>
          <w:rFonts w:eastAsia="SimSun"/>
          <w:b/>
          <w:color w:val="000000"/>
        </w:rPr>
        <w:t>DAVID E. MILLS</w:t>
      </w:r>
    </w:p>
    <w:p w:rsidR="00E803CE" w:rsidRDefault="00E803CE">
      <w:pPr>
        <w:widowControl w:val="0"/>
        <w:spacing w:before="240" w:after="360"/>
        <w:ind w:left="547" w:right="547"/>
        <w:jc w:val="center"/>
        <w:rPr>
          <w:rStyle w:val="Strong"/>
          <w:rFonts w:eastAsia="SimSun"/>
          <w:b w:val="0"/>
        </w:rPr>
      </w:pPr>
    </w:p>
    <w:p w:rsidR="00925901" w:rsidRDefault="00F0184D">
      <w:pPr>
        <w:pStyle w:val="TOC1"/>
        <w:rPr>
          <w:rFonts w:asciiTheme="minorHAnsi" w:eastAsiaTheme="minorEastAsia" w:hAnsiTheme="minorHAnsi" w:cstheme="minorBidi"/>
          <w:color w:val="auto"/>
          <w:sz w:val="22"/>
          <w:szCs w:val="22"/>
          <w:lang w:eastAsia="en-US"/>
        </w:rPr>
      </w:pPr>
      <w:r w:rsidRPr="00602C2A">
        <w:rPr>
          <w:color w:val="auto"/>
        </w:rPr>
        <w:fldChar w:fldCharType="begin"/>
      </w:r>
      <w:r w:rsidR="00304961" w:rsidRPr="00602C2A">
        <w:rPr>
          <w:color w:val="auto"/>
        </w:rPr>
        <w:instrText xml:space="preserve"> TOC \o "1-3" \h \z \u </w:instrText>
      </w:r>
      <w:r w:rsidRPr="00602C2A">
        <w:rPr>
          <w:color w:val="auto"/>
        </w:rPr>
        <w:fldChar w:fldCharType="separate"/>
      </w:r>
      <w:hyperlink w:anchor="_Toc414978784" w:history="1">
        <w:r w:rsidR="00925901" w:rsidRPr="00624626">
          <w:rPr>
            <w:rStyle w:val="Hyperlink"/>
          </w:rPr>
          <w:t>I.</w:t>
        </w:r>
        <w:r w:rsidR="00925901">
          <w:rPr>
            <w:rFonts w:asciiTheme="minorHAnsi" w:eastAsiaTheme="minorEastAsia" w:hAnsiTheme="minorHAnsi" w:cstheme="minorBidi"/>
            <w:color w:val="auto"/>
            <w:sz w:val="22"/>
            <w:szCs w:val="22"/>
            <w:lang w:eastAsia="en-US"/>
          </w:rPr>
          <w:tab/>
        </w:r>
        <w:r w:rsidR="00925901" w:rsidRPr="00624626">
          <w:rPr>
            <w:rStyle w:val="Hyperlink"/>
          </w:rPr>
          <w:t>INTRODUCTION</w:t>
        </w:r>
        <w:r w:rsidR="00925901">
          <w:rPr>
            <w:webHidden/>
          </w:rPr>
          <w:tab/>
        </w:r>
        <w:r w:rsidR="00925901">
          <w:rPr>
            <w:webHidden/>
          </w:rPr>
          <w:fldChar w:fldCharType="begin"/>
        </w:r>
        <w:r w:rsidR="00925901">
          <w:rPr>
            <w:webHidden/>
          </w:rPr>
          <w:instrText xml:space="preserve"> PAGEREF _Toc414978784 \h </w:instrText>
        </w:r>
        <w:r w:rsidR="00925901">
          <w:rPr>
            <w:webHidden/>
          </w:rPr>
        </w:r>
        <w:r w:rsidR="00925901">
          <w:rPr>
            <w:webHidden/>
          </w:rPr>
          <w:fldChar w:fldCharType="separate"/>
        </w:r>
        <w:r w:rsidR="00941838">
          <w:rPr>
            <w:webHidden/>
          </w:rPr>
          <w:t>1</w:t>
        </w:r>
        <w:r w:rsidR="00925901">
          <w:rPr>
            <w:webHidden/>
          </w:rPr>
          <w:fldChar w:fldCharType="end"/>
        </w:r>
      </w:hyperlink>
    </w:p>
    <w:p w:rsidR="00925901" w:rsidRDefault="00941838">
      <w:pPr>
        <w:pStyle w:val="TOC1"/>
        <w:rPr>
          <w:rFonts w:asciiTheme="minorHAnsi" w:eastAsiaTheme="minorEastAsia" w:hAnsiTheme="minorHAnsi" w:cstheme="minorBidi"/>
          <w:color w:val="auto"/>
          <w:sz w:val="22"/>
          <w:szCs w:val="22"/>
          <w:lang w:eastAsia="en-US"/>
        </w:rPr>
      </w:pPr>
      <w:hyperlink w:anchor="_Toc414978785" w:history="1">
        <w:r w:rsidR="00925901" w:rsidRPr="00624626">
          <w:rPr>
            <w:rStyle w:val="Hyperlink"/>
          </w:rPr>
          <w:t>II.</w:t>
        </w:r>
        <w:r w:rsidR="00925901">
          <w:rPr>
            <w:rFonts w:asciiTheme="minorHAnsi" w:eastAsiaTheme="minorEastAsia" w:hAnsiTheme="minorHAnsi" w:cstheme="minorBidi"/>
            <w:color w:val="auto"/>
            <w:sz w:val="22"/>
            <w:szCs w:val="22"/>
            <w:lang w:eastAsia="en-US"/>
          </w:rPr>
          <w:tab/>
        </w:r>
        <w:r w:rsidR="00925901" w:rsidRPr="00624626">
          <w:rPr>
            <w:rStyle w:val="Hyperlink"/>
          </w:rPr>
          <w:t>BACKGROUND REGARDING THE PCA MECHANISM</w:t>
        </w:r>
        <w:r w:rsidR="00925901">
          <w:rPr>
            <w:webHidden/>
          </w:rPr>
          <w:tab/>
        </w:r>
        <w:r w:rsidR="00925901">
          <w:rPr>
            <w:webHidden/>
          </w:rPr>
          <w:fldChar w:fldCharType="begin"/>
        </w:r>
        <w:r w:rsidR="00925901">
          <w:rPr>
            <w:webHidden/>
          </w:rPr>
          <w:instrText xml:space="preserve"> PAGEREF _Toc414978785 \h </w:instrText>
        </w:r>
        <w:r w:rsidR="00925901">
          <w:rPr>
            <w:webHidden/>
          </w:rPr>
        </w:r>
        <w:r w:rsidR="00925901">
          <w:rPr>
            <w:webHidden/>
          </w:rPr>
          <w:fldChar w:fldCharType="separate"/>
        </w:r>
        <w:r>
          <w:rPr>
            <w:webHidden/>
          </w:rPr>
          <w:t>2</w:t>
        </w:r>
        <w:r w:rsidR="00925901">
          <w:rPr>
            <w:webHidden/>
          </w:rPr>
          <w:fldChar w:fldCharType="end"/>
        </w:r>
      </w:hyperlink>
    </w:p>
    <w:p w:rsidR="00925901" w:rsidRDefault="00941838">
      <w:pPr>
        <w:pStyle w:val="TOC1"/>
        <w:rPr>
          <w:rFonts w:asciiTheme="minorHAnsi" w:eastAsiaTheme="minorEastAsia" w:hAnsiTheme="minorHAnsi" w:cstheme="minorBidi"/>
          <w:color w:val="auto"/>
          <w:sz w:val="22"/>
          <w:szCs w:val="22"/>
          <w:lang w:eastAsia="en-US"/>
        </w:rPr>
      </w:pPr>
      <w:hyperlink w:anchor="_Toc414978786" w:history="1">
        <w:r w:rsidR="00925901" w:rsidRPr="00624626">
          <w:rPr>
            <w:rStyle w:val="Hyperlink"/>
          </w:rPr>
          <w:t>III.</w:t>
        </w:r>
        <w:r w:rsidR="00925901">
          <w:rPr>
            <w:rFonts w:asciiTheme="minorHAnsi" w:eastAsiaTheme="minorEastAsia" w:hAnsiTheme="minorHAnsi" w:cstheme="minorBidi"/>
            <w:color w:val="auto"/>
            <w:sz w:val="22"/>
            <w:szCs w:val="22"/>
            <w:lang w:eastAsia="en-US"/>
          </w:rPr>
          <w:tab/>
        </w:r>
        <w:r w:rsidR="00925901" w:rsidRPr="00624626">
          <w:rPr>
            <w:rStyle w:val="Hyperlink"/>
          </w:rPr>
          <w:t>PCA PERIOD 13 POWER COSTS</w:t>
        </w:r>
        <w:r w:rsidR="00925901">
          <w:rPr>
            <w:webHidden/>
          </w:rPr>
          <w:tab/>
        </w:r>
        <w:r w:rsidR="00925901">
          <w:rPr>
            <w:webHidden/>
          </w:rPr>
          <w:fldChar w:fldCharType="begin"/>
        </w:r>
        <w:r w:rsidR="00925901">
          <w:rPr>
            <w:webHidden/>
          </w:rPr>
          <w:instrText xml:space="preserve"> PAGEREF _Toc414978786 \h </w:instrText>
        </w:r>
        <w:r w:rsidR="00925901">
          <w:rPr>
            <w:webHidden/>
          </w:rPr>
        </w:r>
        <w:r w:rsidR="00925901">
          <w:rPr>
            <w:webHidden/>
          </w:rPr>
          <w:fldChar w:fldCharType="separate"/>
        </w:r>
        <w:r>
          <w:rPr>
            <w:webHidden/>
          </w:rPr>
          <w:t>5</w:t>
        </w:r>
        <w:r w:rsidR="00925901">
          <w:rPr>
            <w:webHidden/>
          </w:rPr>
          <w:fldChar w:fldCharType="end"/>
        </w:r>
      </w:hyperlink>
    </w:p>
    <w:p w:rsidR="00925901" w:rsidRDefault="00941838">
      <w:pPr>
        <w:pStyle w:val="TOC2"/>
        <w:rPr>
          <w:rFonts w:asciiTheme="minorHAnsi" w:eastAsiaTheme="minorEastAsia" w:hAnsiTheme="minorHAnsi" w:cstheme="minorBidi"/>
          <w:color w:val="auto"/>
          <w:sz w:val="22"/>
          <w:szCs w:val="22"/>
          <w:lang w:eastAsia="en-US"/>
        </w:rPr>
      </w:pPr>
      <w:hyperlink w:anchor="_Toc414978787" w:history="1">
        <w:r w:rsidR="00925901" w:rsidRPr="00624626">
          <w:rPr>
            <w:rStyle w:val="Hyperlink"/>
          </w:rPr>
          <w:t>A.</w:t>
        </w:r>
        <w:r w:rsidR="00925901">
          <w:rPr>
            <w:rFonts w:asciiTheme="minorHAnsi" w:eastAsiaTheme="minorEastAsia" w:hAnsiTheme="minorHAnsi" w:cstheme="minorBidi"/>
            <w:color w:val="auto"/>
            <w:sz w:val="22"/>
            <w:szCs w:val="22"/>
            <w:lang w:eastAsia="en-US"/>
          </w:rPr>
          <w:tab/>
        </w:r>
        <w:r w:rsidR="00925901" w:rsidRPr="00624626">
          <w:rPr>
            <w:rStyle w:val="Hyperlink"/>
          </w:rPr>
          <w:t>PCA Period 13 Power Resources</w:t>
        </w:r>
        <w:r w:rsidR="00925901">
          <w:rPr>
            <w:webHidden/>
          </w:rPr>
          <w:tab/>
        </w:r>
        <w:r w:rsidR="00925901">
          <w:rPr>
            <w:webHidden/>
          </w:rPr>
          <w:fldChar w:fldCharType="begin"/>
        </w:r>
        <w:r w:rsidR="00925901">
          <w:rPr>
            <w:webHidden/>
          </w:rPr>
          <w:instrText xml:space="preserve"> PAGEREF _Toc414978787 \h </w:instrText>
        </w:r>
        <w:r w:rsidR="00925901">
          <w:rPr>
            <w:webHidden/>
          </w:rPr>
        </w:r>
        <w:r w:rsidR="00925901">
          <w:rPr>
            <w:webHidden/>
          </w:rPr>
          <w:fldChar w:fldCharType="separate"/>
        </w:r>
        <w:r>
          <w:rPr>
            <w:webHidden/>
          </w:rPr>
          <w:t>5</w:t>
        </w:r>
        <w:r w:rsidR="00925901">
          <w:rPr>
            <w:webHidden/>
          </w:rPr>
          <w:fldChar w:fldCharType="end"/>
        </w:r>
      </w:hyperlink>
    </w:p>
    <w:p w:rsidR="00925901" w:rsidRDefault="00941838">
      <w:pPr>
        <w:pStyle w:val="TOC2"/>
        <w:rPr>
          <w:rFonts w:asciiTheme="minorHAnsi" w:eastAsiaTheme="minorEastAsia" w:hAnsiTheme="minorHAnsi" w:cstheme="minorBidi"/>
          <w:color w:val="auto"/>
          <w:sz w:val="22"/>
          <w:szCs w:val="22"/>
          <w:lang w:eastAsia="en-US"/>
        </w:rPr>
      </w:pPr>
      <w:hyperlink w:anchor="_Toc414978788" w:history="1">
        <w:r w:rsidR="00925901" w:rsidRPr="00624626">
          <w:rPr>
            <w:rStyle w:val="Hyperlink"/>
          </w:rPr>
          <w:t>B.</w:t>
        </w:r>
        <w:r w:rsidR="00925901">
          <w:rPr>
            <w:rFonts w:asciiTheme="minorHAnsi" w:eastAsiaTheme="minorEastAsia" w:hAnsiTheme="minorHAnsi" w:cstheme="minorBidi"/>
            <w:color w:val="auto"/>
            <w:sz w:val="22"/>
            <w:szCs w:val="22"/>
            <w:lang w:eastAsia="en-US"/>
          </w:rPr>
          <w:tab/>
        </w:r>
        <w:r w:rsidR="00925901" w:rsidRPr="00624626">
          <w:rPr>
            <w:rStyle w:val="Hyperlink"/>
          </w:rPr>
          <w:t>PSE’s Management of its Power Portfolio and Related Fuel Supply for PCA Period 13</w:t>
        </w:r>
        <w:r w:rsidR="00925901">
          <w:rPr>
            <w:webHidden/>
          </w:rPr>
          <w:tab/>
        </w:r>
        <w:r w:rsidR="00925901">
          <w:rPr>
            <w:webHidden/>
          </w:rPr>
          <w:fldChar w:fldCharType="begin"/>
        </w:r>
        <w:r w:rsidR="00925901">
          <w:rPr>
            <w:webHidden/>
          </w:rPr>
          <w:instrText xml:space="preserve"> PAGEREF _Toc414978788 \h </w:instrText>
        </w:r>
        <w:r w:rsidR="00925901">
          <w:rPr>
            <w:webHidden/>
          </w:rPr>
        </w:r>
        <w:r w:rsidR="00925901">
          <w:rPr>
            <w:webHidden/>
          </w:rPr>
          <w:fldChar w:fldCharType="separate"/>
        </w:r>
        <w:r>
          <w:rPr>
            <w:webHidden/>
          </w:rPr>
          <w:t>7</w:t>
        </w:r>
        <w:r w:rsidR="00925901">
          <w:rPr>
            <w:webHidden/>
          </w:rPr>
          <w:fldChar w:fldCharType="end"/>
        </w:r>
      </w:hyperlink>
    </w:p>
    <w:p w:rsidR="00925901" w:rsidRDefault="00941838">
      <w:pPr>
        <w:pStyle w:val="TOC3"/>
        <w:rPr>
          <w:rFonts w:asciiTheme="minorHAnsi" w:eastAsiaTheme="minorEastAsia" w:hAnsiTheme="minorHAnsi" w:cstheme="minorBidi"/>
          <w:color w:val="auto"/>
          <w:sz w:val="22"/>
          <w:szCs w:val="22"/>
          <w:lang w:eastAsia="en-US"/>
        </w:rPr>
      </w:pPr>
      <w:hyperlink w:anchor="_Toc414978789" w:history="1">
        <w:r w:rsidR="00925901" w:rsidRPr="00624626">
          <w:rPr>
            <w:rStyle w:val="Hyperlink"/>
          </w:rPr>
          <w:t>1.</w:t>
        </w:r>
        <w:r w:rsidR="00925901">
          <w:rPr>
            <w:rFonts w:asciiTheme="minorHAnsi" w:eastAsiaTheme="minorEastAsia" w:hAnsiTheme="minorHAnsi" w:cstheme="minorBidi"/>
            <w:color w:val="auto"/>
            <w:sz w:val="22"/>
            <w:szCs w:val="22"/>
            <w:lang w:eastAsia="en-US"/>
          </w:rPr>
          <w:tab/>
        </w:r>
        <w:r w:rsidR="00925901" w:rsidRPr="00624626">
          <w:rPr>
            <w:rStyle w:val="Hyperlink"/>
          </w:rPr>
          <w:t>Overview of PSE’s Portfolio and Risk Management Systems</w:t>
        </w:r>
        <w:r w:rsidR="00925901">
          <w:rPr>
            <w:webHidden/>
          </w:rPr>
          <w:tab/>
        </w:r>
        <w:r w:rsidR="00925901">
          <w:rPr>
            <w:webHidden/>
          </w:rPr>
          <w:fldChar w:fldCharType="begin"/>
        </w:r>
        <w:r w:rsidR="00925901">
          <w:rPr>
            <w:webHidden/>
          </w:rPr>
          <w:instrText xml:space="preserve"> PAGEREF _Toc414978789 \h </w:instrText>
        </w:r>
        <w:r w:rsidR="00925901">
          <w:rPr>
            <w:webHidden/>
          </w:rPr>
        </w:r>
        <w:r w:rsidR="00925901">
          <w:rPr>
            <w:webHidden/>
          </w:rPr>
          <w:fldChar w:fldCharType="separate"/>
        </w:r>
        <w:r>
          <w:rPr>
            <w:webHidden/>
          </w:rPr>
          <w:t>7</w:t>
        </w:r>
        <w:r w:rsidR="00925901">
          <w:rPr>
            <w:webHidden/>
          </w:rPr>
          <w:fldChar w:fldCharType="end"/>
        </w:r>
      </w:hyperlink>
    </w:p>
    <w:p w:rsidR="00925901" w:rsidRDefault="00941838">
      <w:pPr>
        <w:pStyle w:val="TOC3"/>
        <w:rPr>
          <w:rFonts w:asciiTheme="minorHAnsi" w:eastAsiaTheme="minorEastAsia" w:hAnsiTheme="minorHAnsi" w:cstheme="minorBidi"/>
          <w:color w:val="auto"/>
          <w:sz w:val="22"/>
          <w:szCs w:val="22"/>
          <w:lang w:eastAsia="en-US"/>
        </w:rPr>
      </w:pPr>
      <w:hyperlink w:anchor="_Toc414978790" w:history="1">
        <w:r w:rsidR="00925901" w:rsidRPr="00624626">
          <w:rPr>
            <w:rStyle w:val="Hyperlink"/>
          </w:rPr>
          <w:t>2.</w:t>
        </w:r>
        <w:r w:rsidR="00925901">
          <w:rPr>
            <w:rFonts w:asciiTheme="minorHAnsi" w:eastAsiaTheme="minorEastAsia" w:hAnsiTheme="minorHAnsi" w:cstheme="minorBidi"/>
            <w:color w:val="auto"/>
            <w:sz w:val="22"/>
            <w:szCs w:val="22"/>
            <w:lang w:eastAsia="en-US"/>
          </w:rPr>
          <w:tab/>
        </w:r>
        <w:r w:rsidR="00925901" w:rsidRPr="00624626">
          <w:rPr>
            <w:rStyle w:val="Hyperlink"/>
          </w:rPr>
          <w:t>Application of PSE’s Risk Management System to PCA Period 13 Power Costs</w:t>
        </w:r>
        <w:r w:rsidR="00925901">
          <w:rPr>
            <w:webHidden/>
          </w:rPr>
          <w:tab/>
        </w:r>
        <w:r w:rsidR="00925901">
          <w:rPr>
            <w:webHidden/>
          </w:rPr>
          <w:fldChar w:fldCharType="begin"/>
        </w:r>
        <w:r w:rsidR="00925901">
          <w:rPr>
            <w:webHidden/>
          </w:rPr>
          <w:instrText xml:space="preserve"> PAGEREF _Toc414978790 \h </w:instrText>
        </w:r>
        <w:r w:rsidR="00925901">
          <w:rPr>
            <w:webHidden/>
          </w:rPr>
        </w:r>
        <w:r w:rsidR="00925901">
          <w:rPr>
            <w:webHidden/>
          </w:rPr>
          <w:fldChar w:fldCharType="separate"/>
        </w:r>
        <w:r>
          <w:rPr>
            <w:webHidden/>
          </w:rPr>
          <w:t>18</w:t>
        </w:r>
        <w:r w:rsidR="00925901">
          <w:rPr>
            <w:webHidden/>
          </w:rPr>
          <w:fldChar w:fldCharType="end"/>
        </w:r>
      </w:hyperlink>
    </w:p>
    <w:p w:rsidR="00925901" w:rsidRDefault="00941838">
      <w:pPr>
        <w:pStyle w:val="TOC3"/>
        <w:rPr>
          <w:rFonts w:asciiTheme="minorHAnsi" w:eastAsiaTheme="minorEastAsia" w:hAnsiTheme="minorHAnsi" w:cstheme="minorBidi"/>
          <w:color w:val="auto"/>
          <w:sz w:val="22"/>
          <w:szCs w:val="22"/>
          <w:lang w:eastAsia="en-US"/>
        </w:rPr>
      </w:pPr>
      <w:hyperlink w:anchor="_Toc414978791" w:history="1">
        <w:r w:rsidR="00925901" w:rsidRPr="00624626">
          <w:rPr>
            <w:rStyle w:val="Hyperlink"/>
          </w:rPr>
          <w:t>3.</w:t>
        </w:r>
        <w:r w:rsidR="00925901">
          <w:rPr>
            <w:rFonts w:asciiTheme="minorHAnsi" w:eastAsiaTheme="minorEastAsia" w:hAnsiTheme="minorHAnsi" w:cstheme="minorBidi"/>
            <w:color w:val="auto"/>
            <w:sz w:val="22"/>
            <w:szCs w:val="22"/>
            <w:lang w:eastAsia="en-US"/>
          </w:rPr>
          <w:tab/>
        </w:r>
        <w:r w:rsidR="00925901" w:rsidRPr="00624626">
          <w:rPr>
            <w:rStyle w:val="Hyperlink"/>
          </w:rPr>
          <w:t>Winter Peaking Contracts</w:t>
        </w:r>
        <w:r w:rsidR="00925901">
          <w:rPr>
            <w:webHidden/>
          </w:rPr>
          <w:tab/>
        </w:r>
        <w:r w:rsidR="00925901">
          <w:rPr>
            <w:webHidden/>
          </w:rPr>
          <w:fldChar w:fldCharType="begin"/>
        </w:r>
        <w:r w:rsidR="00925901">
          <w:rPr>
            <w:webHidden/>
          </w:rPr>
          <w:instrText xml:space="preserve"> PAGEREF _Toc414978791 \h </w:instrText>
        </w:r>
        <w:r w:rsidR="00925901">
          <w:rPr>
            <w:webHidden/>
          </w:rPr>
        </w:r>
        <w:r w:rsidR="00925901">
          <w:rPr>
            <w:webHidden/>
          </w:rPr>
          <w:fldChar w:fldCharType="separate"/>
        </w:r>
        <w:r>
          <w:rPr>
            <w:webHidden/>
          </w:rPr>
          <w:t>19</w:t>
        </w:r>
        <w:r w:rsidR="00925901">
          <w:rPr>
            <w:webHidden/>
          </w:rPr>
          <w:fldChar w:fldCharType="end"/>
        </w:r>
      </w:hyperlink>
    </w:p>
    <w:p w:rsidR="00925901" w:rsidRDefault="00941838">
      <w:pPr>
        <w:pStyle w:val="TOC2"/>
        <w:rPr>
          <w:rFonts w:asciiTheme="minorHAnsi" w:eastAsiaTheme="minorEastAsia" w:hAnsiTheme="minorHAnsi" w:cstheme="minorBidi"/>
          <w:color w:val="auto"/>
          <w:sz w:val="22"/>
          <w:szCs w:val="22"/>
          <w:lang w:eastAsia="en-US"/>
        </w:rPr>
      </w:pPr>
      <w:hyperlink w:anchor="_Toc414978792" w:history="1">
        <w:r w:rsidR="00925901" w:rsidRPr="00624626">
          <w:rPr>
            <w:rStyle w:val="Hyperlink"/>
            <w:rFonts w:eastAsia="Arial Unicode MS"/>
          </w:rPr>
          <w:t>C.</w:t>
        </w:r>
        <w:r w:rsidR="00925901">
          <w:rPr>
            <w:rFonts w:asciiTheme="minorHAnsi" w:eastAsiaTheme="minorEastAsia" w:hAnsiTheme="minorHAnsi" w:cstheme="minorBidi"/>
            <w:color w:val="auto"/>
            <w:sz w:val="22"/>
            <w:szCs w:val="22"/>
            <w:lang w:eastAsia="en-US"/>
          </w:rPr>
          <w:tab/>
        </w:r>
        <w:r w:rsidR="00925901" w:rsidRPr="00624626">
          <w:rPr>
            <w:rStyle w:val="Hyperlink"/>
            <w:rFonts w:eastAsia="Arial Unicode MS"/>
          </w:rPr>
          <w:t>PSE’s PCA Period 13 Actual Power Costs</w:t>
        </w:r>
        <w:r w:rsidR="00925901">
          <w:rPr>
            <w:webHidden/>
          </w:rPr>
          <w:tab/>
        </w:r>
        <w:r w:rsidR="00925901">
          <w:rPr>
            <w:webHidden/>
          </w:rPr>
          <w:fldChar w:fldCharType="begin"/>
        </w:r>
        <w:r w:rsidR="00925901">
          <w:rPr>
            <w:webHidden/>
          </w:rPr>
          <w:instrText xml:space="preserve"> PAGEREF _Toc414978792 \h </w:instrText>
        </w:r>
        <w:r w:rsidR="00925901">
          <w:rPr>
            <w:webHidden/>
          </w:rPr>
        </w:r>
        <w:r w:rsidR="00925901">
          <w:rPr>
            <w:webHidden/>
          </w:rPr>
          <w:fldChar w:fldCharType="separate"/>
        </w:r>
        <w:r>
          <w:rPr>
            <w:webHidden/>
          </w:rPr>
          <w:t>19</w:t>
        </w:r>
        <w:r w:rsidR="00925901">
          <w:rPr>
            <w:webHidden/>
          </w:rPr>
          <w:fldChar w:fldCharType="end"/>
        </w:r>
      </w:hyperlink>
    </w:p>
    <w:p w:rsidR="00925901" w:rsidRDefault="00941838">
      <w:pPr>
        <w:pStyle w:val="TOC1"/>
        <w:rPr>
          <w:rFonts w:asciiTheme="minorHAnsi" w:eastAsiaTheme="minorEastAsia" w:hAnsiTheme="minorHAnsi" w:cstheme="minorBidi"/>
          <w:color w:val="auto"/>
          <w:sz w:val="22"/>
          <w:szCs w:val="22"/>
          <w:lang w:eastAsia="en-US"/>
        </w:rPr>
      </w:pPr>
      <w:hyperlink w:anchor="_Toc414978793" w:history="1">
        <w:r w:rsidR="00925901" w:rsidRPr="00624626">
          <w:rPr>
            <w:rStyle w:val="Hyperlink"/>
          </w:rPr>
          <w:t>IV.</w:t>
        </w:r>
        <w:r w:rsidR="00925901">
          <w:rPr>
            <w:rFonts w:asciiTheme="minorHAnsi" w:eastAsiaTheme="minorEastAsia" w:hAnsiTheme="minorHAnsi" w:cstheme="minorBidi"/>
            <w:color w:val="auto"/>
            <w:sz w:val="22"/>
            <w:szCs w:val="22"/>
            <w:lang w:eastAsia="en-US"/>
          </w:rPr>
          <w:tab/>
        </w:r>
        <w:r w:rsidR="00925901" w:rsidRPr="00624626">
          <w:rPr>
            <w:rStyle w:val="Hyperlink"/>
          </w:rPr>
          <w:t>CONCLUSION</w:t>
        </w:r>
        <w:r w:rsidR="00925901">
          <w:rPr>
            <w:webHidden/>
          </w:rPr>
          <w:tab/>
        </w:r>
        <w:r w:rsidR="00925901">
          <w:rPr>
            <w:webHidden/>
          </w:rPr>
          <w:fldChar w:fldCharType="begin"/>
        </w:r>
        <w:r w:rsidR="00925901">
          <w:rPr>
            <w:webHidden/>
          </w:rPr>
          <w:instrText xml:space="preserve"> PAGEREF _Toc414978793 \h </w:instrText>
        </w:r>
        <w:r w:rsidR="00925901">
          <w:rPr>
            <w:webHidden/>
          </w:rPr>
        </w:r>
        <w:r w:rsidR="00925901">
          <w:rPr>
            <w:webHidden/>
          </w:rPr>
          <w:fldChar w:fldCharType="separate"/>
        </w:r>
        <w:r>
          <w:rPr>
            <w:webHidden/>
          </w:rPr>
          <w:t>24</w:t>
        </w:r>
        <w:r w:rsidR="00925901">
          <w:rPr>
            <w:webHidden/>
          </w:rPr>
          <w:fldChar w:fldCharType="end"/>
        </w:r>
      </w:hyperlink>
    </w:p>
    <w:p w:rsidR="00304961" w:rsidRDefault="00F0184D">
      <w:pPr>
        <w:widowControl w:val="0"/>
        <w:spacing w:before="240" w:after="240" w:line="480" w:lineRule="auto"/>
        <w:ind w:left="720" w:right="720"/>
        <w:jc w:val="center"/>
        <w:rPr>
          <w:rFonts w:eastAsia="SimSun"/>
        </w:rPr>
        <w:sectPr w:rsidR="00304961">
          <w:footerReference w:type="default" r:id="rId10"/>
          <w:pgSz w:w="12240" w:h="15840" w:code="1"/>
          <w:pgMar w:top="1440" w:right="1440" w:bottom="1440" w:left="2160" w:header="864" w:footer="576" w:gutter="0"/>
          <w:pgNumType w:fmt="lowerRoman" w:start="1"/>
          <w:cols w:space="720"/>
        </w:sectPr>
      </w:pPr>
      <w:r w:rsidRPr="00602C2A">
        <w:fldChar w:fldCharType="end"/>
      </w:r>
    </w:p>
    <w:p w:rsidR="00304961" w:rsidRDefault="00304961">
      <w:pPr>
        <w:widowControl w:val="0"/>
        <w:spacing w:before="240" w:after="240"/>
        <w:ind w:left="720" w:right="720"/>
        <w:jc w:val="center"/>
        <w:rPr>
          <w:rStyle w:val="Strong"/>
          <w:rFonts w:eastAsia="SimSun"/>
        </w:rPr>
      </w:pPr>
      <w:bookmarkStart w:id="4" w:name="_Toc117411518"/>
      <w:bookmarkStart w:id="5" w:name="_Toc125892215"/>
      <w:bookmarkStart w:id="6" w:name="_Toc126495831"/>
      <w:r>
        <w:rPr>
          <w:rStyle w:val="Strong"/>
          <w:rFonts w:eastAsia="SimSun"/>
        </w:rPr>
        <w:lastRenderedPageBreak/>
        <w:t>PUGET SOUND ENERGY, INC.</w:t>
      </w:r>
    </w:p>
    <w:p w:rsidR="00304961" w:rsidRDefault="00304961">
      <w:pPr>
        <w:widowControl w:val="0"/>
        <w:spacing w:before="240" w:after="360"/>
        <w:ind w:left="547" w:right="547"/>
        <w:jc w:val="center"/>
        <w:rPr>
          <w:rStyle w:val="Strong"/>
          <w:rFonts w:eastAsia="SimSun"/>
          <w:b w:val="0"/>
        </w:rPr>
      </w:pPr>
      <w:r>
        <w:rPr>
          <w:rStyle w:val="Strong"/>
          <w:rFonts w:eastAsia="SimSun"/>
        </w:rPr>
        <w:t xml:space="preserve">PREFILED DIRECT TESTIMONY </w:t>
      </w:r>
      <w:r>
        <w:rPr>
          <w:rFonts w:eastAsia="SimSun"/>
          <w:b/>
          <w:color w:val="000000"/>
        </w:rPr>
        <w:t xml:space="preserve">(CONFIDENTIAL) </w:t>
      </w:r>
      <w:r>
        <w:rPr>
          <w:rStyle w:val="Strong"/>
          <w:rFonts w:eastAsia="SimSun"/>
        </w:rPr>
        <w:t>OF</w:t>
      </w:r>
      <w:r>
        <w:rPr>
          <w:rStyle w:val="Strong"/>
          <w:rFonts w:eastAsia="SimSun"/>
          <w:b w:val="0"/>
        </w:rPr>
        <w:br/>
      </w:r>
      <w:r>
        <w:rPr>
          <w:rFonts w:eastAsia="SimSun"/>
          <w:b/>
          <w:color w:val="000000"/>
        </w:rPr>
        <w:t>DAVID E. MILLS</w:t>
      </w:r>
    </w:p>
    <w:p w:rsidR="00304961" w:rsidRDefault="00304961" w:rsidP="004902F6">
      <w:pPr>
        <w:pStyle w:val="Heading1"/>
        <w:rPr>
          <w:rFonts w:eastAsia="SimSun"/>
        </w:rPr>
      </w:pPr>
      <w:bookmarkStart w:id="7" w:name="_Toc318890595"/>
      <w:bookmarkStart w:id="8" w:name="_Toc382897914"/>
      <w:bookmarkStart w:id="9" w:name="_Toc414978784"/>
      <w:bookmarkEnd w:id="4"/>
      <w:bookmarkEnd w:id="5"/>
      <w:bookmarkEnd w:id="6"/>
      <w:r>
        <w:rPr>
          <w:rFonts w:eastAsia="SimSun"/>
        </w:rPr>
        <w:t>I.</w:t>
      </w:r>
      <w:r>
        <w:rPr>
          <w:rFonts w:eastAsia="SimSun"/>
        </w:rPr>
        <w:tab/>
        <w:t>INTRODUCTION</w:t>
      </w:r>
      <w:bookmarkEnd w:id="7"/>
      <w:bookmarkEnd w:id="8"/>
      <w:bookmarkEnd w:id="9"/>
    </w:p>
    <w:p w:rsidR="00304961" w:rsidRDefault="00304961" w:rsidP="004902F6">
      <w:pPr>
        <w:pStyle w:val="question"/>
        <w:keepLines/>
        <w:widowControl/>
      </w:pPr>
      <w:r>
        <w:t>Q.</w:t>
      </w:r>
      <w:r>
        <w:tab/>
        <w:t>Please state your name, business address, and position with Puget Sound Energy, Inc.</w:t>
      </w:r>
    </w:p>
    <w:p w:rsidR="00304961" w:rsidRDefault="00304961" w:rsidP="004902F6">
      <w:pPr>
        <w:pStyle w:val="answer"/>
        <w:widowControl w:val="0"/>
      </w:pPr>
      <w:r>
        <w:t>A.</w:t>
      </w:r>
      <w:r>
        <w:tab/>
        <w:t xml:space="preserve">My name is David E. Mills.  My business address is 10885 N.E. Fourth Street, Bellevue, Washington, 98004-5591.  I am the </w:t>
      </w:r>
      <w:r w:rsidR="00A52437" w:rsidRPr="001F6EC6">
        <w:t>Vice President</w:t>
      </w:r>
      <w:r w:rsidR="00A52437" w:rsidRPr="001F6EC6">
        <w:rPr>
          <w:color w:val="000000"/>
        </w:rPr>
        <w:t xml:space="preserve">, </w:t>
      </w:r>
      <w:r w:rsidR="00A52437" w:rsidRPr="001F6EC6">
        <w:t>Energy Operations</w:t>
      </w:r>
      <w:r>
        <w:rPr>
          <w:color w:val="000000"/>
        </w:rPr>
        <w:t xml:space="preserve"> </w:t>
      </w:r>
      <w:r>
        <w:t>for Puget Sound Energy, Inc</w:t>
      </w:r>
      <w:r w:rsidRPr="005917E8">
        <w:t>. (</w:t>
      </w:r>
      <w:r>
        <w:t>"</w:t>
      </w:r>
      <w:r w:rsidRPr="005917E8">
        <w:t>PSE</w:t>
      </w:r>
      <w:r>
        <w:t>"</w:t>
      </w:r>
      <w:r w:rsidRPr="005917E8">
        <w:t>).</w:t>
      </w:r>
      <w:r>
        <w:t xml:space="preserve">  </w:t>
      </w:r>
    </w:p>
    <w:p w:rsidR="00304961" w:rsidRDefault="00304961" w:rsidP="004902F6">
      <w:pPr>
        <w:pStyle w:val="question"/>
        <w:keepLines/>
        <w:widowControl/>
      </w:pPr>
      <w:r>
        <w:t>Q.</w:t>
      </w:r>
      <w:r>
        <w:tab/>
        <w:t>Have you prepared an exhibit describing your education, relevant employment experience, and other professional qualifications?</w:t>
      </w:r>
    </w:p>
    <w:p w:rsidR="00304961" w:rsidRDefault="00304961" w:rsidP="000C43C5">
      <w:pPr>
        <w:pStyle w:val="answer"/>
        <w:widowControl w:val="0"/>
      </w:pPr>
      <w:r>
        <w:t>A.</w:t>
      </w:r>
      <w:r>
        <w:tab/>
        <w:t>Yes, I have.  It is Exhibit No. ___(DEM-2).</w:t>
      </w:r>
    </w:p>
    <w:p w:rsidR="003428E1" w:rsidRPr="001F6EC6" w:rsidRDefault="003428E1" w:rsidP="003428E1">
      <w:pPr>
        <w:pStyle w:val="question"/>
      </w:pPr>
      <w:r w:rsidRPr="001F6EC6">
        <w:t>Q.</w:t>
      </w:r>
      <w:r w:rsidRPr="001F6EC6">
        <w:tab/>
        <w:t>What are your duties as Vice President</w:t>
      </w:r>
      <w:r w:rsidRPr="001F6EC6">
        <w:rPr>
          <w:color w:val="000000"/>
        </w:rPr>
        <w:t>, Energy Operations</w:t>
      </w:r>
      <w:r w:rsidRPr="001F6EC6">
        <w:t>?</w:t>
      </w:r>
    </w:p>
    <w:p w:rsidR="003428E1" w:rsidRPr="001F6EC6" w:rsidRDefault="003428E1" w:rsidP="003428E1">
      <w:pPr>
        <w:pStyle w:val="answer"/>
        <w:widowControl w:val="0"/>
      </w:pPr>
      <w:r w:rsidRPr="001F6EC6">
        <w:t>A.</w:t>
      </w:r>
      <w:r w:rsidRPr="001F6EC6">
        <w:tab/>
        <w:t>As Vice President</w:t>
      </w:r>
      <w:r w:rsidRPr="001F6EC6">
        <w:rPr>
          <w:color w:val="000000"/>
        </w:rPr>
        <w:t xml:space="preserve">, </w:t>
      </w:r>
      <w:r w:rsidRPr="001F6EC6">
        <w:t xml:space="preserve">Energy Operations, I am responsible for the oversight of PSE’s </w:t>
      </w:r>
      <w:r w:rsidR="0030294F">
        <w:t xml:space="preserve">Generation and Natural Gas Resources, </w:t>
      </w:r>
      <w:r w:rsidRPr="001F6EC6">
        <w:t>Power &amp; Gas Supply Operations, Load Serving Operations, Transmission Contracts</w:t>
      </w:r>
      <w:r w:rsidR="00440867">
        <w:t xml:space="preserve"> and Energy Supply Operations Policy, </w:t>
      </w:r>
      <w:r w:rsidRPr="001F6EC6">
        <w:t>Planning &amp; Compliance groups.  This includes management of PSE's short- and medium-term wholesale power and natural gas portfolios (up to th</w:t>
      </w:r>
      <w:r w:rsidR="003951F0">
        <w:t xml:space="preserve">ree years) and </w:t>
      </w:r>
      <w:r w:rsidRPr="001F6EC6">
        <w:t xml:space="preserve">planning for long-term </w:t>
      </w:r>
      <w:r w:rsidR="0080107C">
        <w:t>supply</w:t>
      </w:r>
      <w:r w:rsidRPr="001F6EC6">
        <w:t xml:space="preserve"> requirements</w:t>
      </w:r>
      <w:r w:rsidR="003951F0">
        <w:t>.  These duties also include</w:t>
      </w:r>
      <w:r w:rsidRPr="001F6EC6">
        <w:t xml:space="preserve"> PSE’s transmission functions as they pertain to the Load Office and operating the Balancing Authority.</w:t>
      </w:r>
    </w:p>
    <w:p w:rsidR="00304961" w:rsidRPr="00F33DCB" w:rsidRDefault="00304961" w:rsidP="004902F6">
      <w:pPr>
        <w:pStyle w:val="question"/>
        <w:keepLines/>
        <w:widowControl/>
      </w:pPr>
      <w:r w:rsidRPr="00F33DCB">
        <w:lastRenderedPageBreak/>
        <w:t>Q.</w:t>
      </w:r>
      <w:r w:rsidRPr="00F33DCB">
        <w:tab/>
        <w:t>Please summarize the contents of your testimony.</w:t>
      </w:r>
    </w:p>
    <w:p w:rsidR="00AB4BB1" w:rsidRPr="007D2967" w:rsidRDefault="00304961" w:rsidP="00AB4BB1">
      <w:pPr>
        <w:pStyle w:val="answer"/>
      </w:pPr>
      <w:r>
        <w:t>A.</w:t>
      </w:r>
      <w:r>
        <w:tab/>
        <w:t xml:space="preserve">First, I provide some brief background information regarding the Power Cost Adjustment ("PCA") Mechanism and how it addresses the volatility of PSE’s power costs.  </w:t>
      </w:r>
      <w:r w:rsidR="0004037F">
        <w:t xml:space="preserve">Then </w:t>
      </w:r>
      <w:r>
        <w:t>I describe the changes in power resources from those included in current rates, as w</w:t>
      </w:r>
      <w:r w:rsidR="003951F0">
        <w:t xml:space="preserve">ell as PSE’s efforts to manage </w:t>
      </w:r>
      <w:r>
        <w:t xml:space="preserve">its power costs during </w:t>
      </w:r>
      <w:r w:rsidR="0004037F">
        <w:t>the period that began on January 1, 201</w:t>
      </w:r>
      <w:r w:rsidR="00B97ED7">
        <w:t>4</w:t>
      </w:r>
      <w:r w:rsidR="0004037F">
        <w:t xml:space="preserve"> and ended on December 31, 201</w:t>
      </w:r>
      <w:r w:rsidR="00B97ED7">
        <w:t>4</w:t>
      </w:r>
      <w:r w:rsidR="0004037F">
        <w:t xml:space="preserve"> ("PCA Period 1</w:t>
      </w:r>
      <w:r w:rsidR="00B97ED7">
        <w:t>3</w:t>
      </w:r>
      <w:r w:rsidR="0004037F">
        <w:t>")</w:t>
      </w:r>
      <w:r>
        <w:t xml:space="preserve">.  I </w:t>
      </w:r>
      <w:r w:rsidR="0004037F">
        <w:t xml:space="preserve">then </w:t>
      </w:r>
      <w:r>
        <w:t xml:space="preserve">compare PSE’s actual power costs for PCA Period </w:t>
      </w:r>
      <w:r w:rsidR="00AC1F69">
        <w:t>1</w:t>
      </w:r>
      <w:r w:rsidR="00B97ED7">
        <w:t>3</w:t>
      </w:r>
      <w:r w:rsidR="003910E9">
        <w:t xml:space="preserve"> </w:t>
      </w:r>
      <w:r>
        <w:t xml:space="preserve">to </w:t>
      </w:r>
      <w:r w:rsidR="003951F0">
        <w:t>the</w:t>
      </w:r>
      <w:r>
        <w:t xml:space="preserve"> baseline power cost rates</w:t>
      </w:r>
      <w:r w:rsidRPr="009B14D2">
        <w:t xml:space="preserve"> </w:t>
      </w:r>
      <w:r>
        <w:t xml:space="preserve">that were in effect for PCA Period </w:t>
      </w:r>
      <w:r w:rsidR="00AC1F69">
        <w:t>1</w:t>
      </w:r>
      <w:r w:rsidR="00B97ED7">
        <w:t>3</w:t>
      </w:r>
      <w:r>
        <w:t xml:space="preserve">.  </w:t>
      </w:r>
      <w:r w:rsidRPr="00B63524">
        <w:t xml:space="preserve">See the Prefiled Direct Testimony of </w:t>
      </w:r>
      <w:r w:rsidR="00E112E7" w:rsidRPr="00B63524">
        <w:t>M</w:t>
      </w:r>
      <w:r w:rsidR="00E112E7">
        <w:t>s</w:t>
      </w:r>
      <w:r w:rsidRPr="00B63524">
        <w:t xml:space="preserve">. </w:t>
      </w:r>
      <w:r w:rsidR="005938E8">
        <w:t>Katherine J.</w:t>
      </w:r>
      <w:r w:rsidR="00E112E7">
        <w:t xml:space="preserve"> Barnard</w:t>
      </w:r>
      <w:r w:rsidRPr="00B63524">
        <w:t xml:space="preserve">, Exhibit </w:t>
      </w:r>
      <w:r>
        <w:t>No. __</w:t>
      </w:r>
      <w:r w:rsidR="0043150C">
        <w:t>_ (</w:t>
      </w:r>
      <w:r w:rsidR="00F60D7E" w:rsidRPr="000B55E6">
        <w:t>KJB</w:t>
      </w:r>
      <w:r w:rsidRPr="00B63524">
        <w:t>-1T</w:t>
      </w:r>
      <w:r>
        <w:t>)</w:t>
      </w:r>
      <w:r w:rsidRPr="00B63524">
        <w:t xml:space="preserve">, for further information </w:t>
      </w:r>
      <w:r>
        <w:t xml:space="preserve">regarding the PCA baseline rates for the PCA Period </w:t>
      </w:r>
      <w:r w:rsidR="00AC1F69">
        <w:t>1</w:t>
      </w:r>
      <w:r w:rsidR="00B97ED7">
        <w:t>3</w:t>
      </w:r>
      <w:r w:rsidRPr="00B63524">
        <w:t>.</w:t>
      </w:r>
      <w:r>
        <w:t xml:space="preserve">  </w:t>
      </w:r>
    </w:p>
    <w:p w:rsidR="00304961" w:rsidRPr="000C43C5" w:rsidRDefault="00304961" w:rsidP="00AB4BB1">
      <w:pPr>
        <w:pStyle w:val="answer"/>
        <w:widowControl w:val="0"/>
        <w:ind w:firstLine="0"/>
      </w:pPr>
      <w:r>
        <w:t xml:space="preserve">The baseline power cost rate from PSE’s </w:t>
      </w:r>
      <w:r w:rsidR="003778F5">
        <w:t xml:space="preserve">2013 power cost only </w:t>
      </w:r>
      <w:r>
        <w:t>rate case, WUTC Docket No. UE-1</w:t>
      </w:r>
      <w:r w:rsidR="003778F5">
        <w:t>30617</w:t>
      </w:r>
      <w:r>
        <w:t xml:space="preserve"> </w:t>
      </w:r>
      <w:r w:rsidR="003910E9">
        <w:t>(“201</w:t>
      </w:r>
      <w:r w:rsidR="003778F5">
        <w:t>3 PCORC</w:t>
      </w:r>
      <w:r w:rsidR="003910E9">
        <w:t xml:space="preserve">”) </w:t>
      </w:r>
      <w:r w:rsidR="00614CD2">
        <w:t xml:space="preserve">was </w:t>
      </w:r>
      <w:r w:rsidR="003910E9">
        <w:t xml:space="preserve">in effect </w:t>
      </w:r>
      <w:r w:rsidR="00614CD2">
        <w:t xml:space="preserve">through </w:t>
      </w:r>
      <w:r w:rsidR="003778F5">
        <w:t xml:space="preserve">November </w:t>
      </w:r>
      <w:r w:rsidR="00614CD2">
        <w:t>3</w:t>
      </w:r>
      <w:r w:rsidR="003778F5">
        <w:t>0</w:t>
      </w:r>
      <w:r w:rsidR="00614CD2">
        <w:t>, 201</w:t>
      </w:r>
      <w:r w:rsidR="003778F5">
        <w:t>4</w:t>
      </w:r>
      <w:r>
        <w:t xml:space="preserve">.  </w:t>
      </w:r>
      <w:r w:rsidR="004A76CE">
        <w:t xml:space="preserve">The baseline power cost rate </w:t>
      </w:r>
      <w:r w:rsidR="003951F0">
        <w:t>approved in</w:t>
      </w:r>
      <w:r w:rsidR="00614CD2">
        <w:t xml:space="preserve"> the 201</w:t>
      </w:r>
      <w:r w:rsidR="003778F5">
        <w:t>4</w:t>
      </w:r>
      <w:r w:rsidR="00614CD2">
        <w:t xml:space="preserve"> Power Cost Only Rate Case, WUTC Docket No. UE-1</w:t>
      </w:r>
      <w:r w:rsidR="003778F5">
        <w:t>41141</w:t>
      </w:r>
      <w:r w:rsidR="00614CD2">
        <w:t xml:space="preserve"> (“201</w:t>
      </w:r>
      <w:r w:rsidR="003778F5">
        <w:t>4</w:t>
      </w:r>
      <w:r w:rsidR="00614CD2">
        <w:t xml:space="preserve"> PCORC”) went into effect</w:t>
      </w:r>
      <w:r w:rsidR="004A76CE">
        <w:t xml:space="preserve"> </w:t>
      </w:r>
      <w:r w:rsidR="003778F5">
        <w:t xml:space="preserve">December </w:t>
      </w:r>
      <w:r w:rsidR="00203E6C">
        <w:t>1, 201</w:t>
      </w:r>
      <w:r w:rsidR="003778F5">
        <w:t>4</w:t>
      </w:r>
      <w:r w:rsidR="00614CD2">
        <w:t>.</w:t>
      </w:r>
      <w:r w:rsidR="004A76CE">
        <w:t xml:space="preserve"> </w:t>
      </w:r>
    </w:p>
    <w:p w:rsidR="00304961" w:rsidRDefault="00304961" w:rsidP="004902F6">
      <w:pPr>
        <w:pStyle w:val="Heading1"/>
      </w:pPr>
      <w:bookmarkStart w:id="10" w:name="_Toc113183760"/>
      <w:bookmarkStart w:id="11" w:name="_Toc144558070"/>
      <w:bookmarkStart w:id="12" w:name="_Toc144694600"/>
      <w:bookmarkStart w:id="13" w:name="_Toc162867950"/>
      <w:bookmarkStart w:id="14" w:name="_Toc318890596"/>
      <w:bookmarkStart w:id="15" w:name="_Toc382897915"/>
      <w:bookmarkStart w:id="16" w:name="_Toc414978785"/>
      <w:r>
        <w:rPr>
          <w:rFonts w:eastAsia="SimSun"/>
        </w:rPr>
        <w:t>II.</w:t>
      </w:r>
      <w:r>
        <w:rPr>
          <w:rFonts w:eastAsia="SimSun"/>
        </w:rPr>
        <w:tab/>
      </w:r>
      <w:r>
        <w:t>BACKGROUND REGARDING THE PCA MECHANISM</w:t>
      </w:r>
      <w:bookmarkEnd w:id="10"/>
      <w:bookmarkEnd w:id="11"/>
      <w:bookmarkEnd w:id="12"/>
      <w:bookmarkEnd w:id="13"/>
      <w:bookmarkEnd w:id="14"/>
      <w:bookmarkEnd w:id="15"/>
      <w:bookmarkEnd w:id="16"/>
    </w:p>
    <w:p w:rsidR="00304961" w:rsidRDefault="00304961" w:rsidP="004902F6">
      <w:pPr>
        <w:pStyle w:val="question"/>
        <w:keepLines/>
        <w:widowControl/>
        <w:rPr>
          <w:rFonts w:eastAsia="Arial Unicode MS"/>
        </w:rPr>
      </w:pPr>
      <w:r>
        <w:t>Q.</w:t>
      </w:r>
      <w:r>
        <w:tab/>
        <w:t>Why does PSE have a PCA Mechanism</w:t>
      </w:r>
      <w:r>
        <w:rPr>
          <w:rFonts w:eastAsia="Arial Unicode MS"/>
        </w:rPr>
        <w:t>?</w:t>
      </w:r>
    </w:p>
    <w:p w:rsidR="00304961" w:rsidRDefault="00304961" w:rsidP="000C43C5">
      <w:pPr>
        <w:pStyle w:val="answer"/>
        <w:widowControl w:val="0"/>
        <w:rPr>
          <w:rFonts w:eastAsia="Arial Unicode MS"/>
        </w:rPr>
      </w:pPr>
      <w:r>
        <w:rPr>
          <w:rFonts w:eastAsia="Arial Unicode MS"/>
        </w:rPr>
        <w:t>A.</w:t>
      </w:r>
      <w:r>
        <w:rPr>
          <w:rFonts w:eastAsia="Arial Unicode MS"/>
        </w:rPr>
        <w:tab/>
        <w:t>The parties to PSE’s 2001 general rate case were keenly aware from the experience of the Western Power Crisis in 2000-2001 how volatile power prices can be.  In response to that volatility</w:t>
      </w:r>
      <w:r w:rsidR="003951F0">
        <w:rPr>
          <w:rFonts w:eastAsia="Arial Unicode MS"/>
        </w:rPr>
        <w:t xml:space="preserve"> and</w:t>
      </w:r>
      <w:r>
        <w:rPr>
          <w:rFonts w:eastAsia="Arial Unicode MS"/>
        </w:rPr>
        <w:t xml:space="preserve"> uncertainty in the wholesale energy markets </w:t>
      </w:r>
      <w:r w:rsidR="003951F0">
        <w:rPr>
          <w:rFonts w:eastAsia="Arial Unicode MS"/>
        </w:rPr>
        <w:t>as well as</w:t>
      </w:r>
      <w:r>
        <w:rPr>
          <w:rFonts w:eastAsia="Arial Unicode MS"/>
        </w:rPr>
        <w:t xml:space="preserve"> PSE’s need to add resources to meet its load obligations, the parties who participated in the PCA settlement collaborative in PSE’s 2001 general rate case </w:t>
      </w:r>
      <w:r>
        <w:rPr>
          <w:rFonts w:eastAsia="Arial Unicode MS"/>
        </w:rPr>
        <w:lastRenderedPageBreak/>
        <w:t xml:space="preserve">agreed to a negotiated PCA Mechanism.  The Commission approved the PCA Mechanism in its Twelfth Supplemental Order in </w:t>
      </w:r>
      <w:r w:rsidR="00440867">
        <w:rPr>
          <w:rFonts w:eastAsia="Arial Unicode MS"/>
        </w:rPr>
        <w:t>PSE’s 20</w:t>
      </w:r>
      <w:r w:rsidR="00B97CA9">
        <w:rPr>
          <w:rFonts w:eastAsia="Arial Unicode MS"/>
        </w:rPr>
        <w:t>0</w:t>
      </w:r>
      <w:r w:rsidR="00440867">
        <w:rPr>
          <w:rFonts w:eastAsia="Arial Unicode MS"/>
        </w:rPr>
        <w:t xml:space="preserve">1 </w:t>
      </w:r>
      <w:r w:rsidR="00B97CA9">
        <w:rPr>
          <w:rFonts w:eastAsia="Arial Unicode MS"/>
        </w:rPr>
        <w:t>general rate case</w:t>
      </w:r>
      <w:r w:rsidR="00805CD4" w:rsidRPr="00805CD4">
        <w:rPr>
          <w:rFonts w:eastAsia="Arial Unicode MS"/>
        </w:rPr>
        <w:t>, Docket Nos. UE</w:t>
      </w:r>
      <w:r w:rsidR="00805CD4" w:rsidRPr="00805CD4">
        <w:rPr>
          <w:rFonts w:eastAsia="Arial Unicode MS"/>
        </w:rPr>
        <w:noBreakHyphen/>
        <w:t>011570 and UG-011571</w:t>
      </w:r>
      <w:r>
        <w:rPr>
          <w:rFonts w:eastAsia="Arial Unicode MS"/>
        </w:rPr>
        <w:t>.  The PCA Mechanism became effective July 1, 2002.</w:t>
      </w:r>
    </w:p>
    <w:p w:rsidR="00304961" w:rsidRDefault="00304961" w:rsidP="004902F6">
      <w:pPr>
        <w:pStyle w:val="question"/>
        <w:keepLines/>
        <w:widowControl/>
      </w:pPr>
      <w:r>
        <w:t>Q.</w:t>
      </w:r>
      <w:r>
        <w:tab/>
        <w:t>Please describe why power costs can be volatile.</w:t>
      </w:r>
    </w:p>
    <w:p w:rsidR="00304961" w:rsidRPr="00844C92" w:rsidRDefault="00304961" w:rsidP="00BD26F4">
      <w:pPr>
        <w:pStyle w:val="answer"/>
        <w:widowControl w:val="0"/>
      </w:pPr>
      <w:r>
        <w:t>A.</w:t>
      </w:r>
      <w:r>
        <w:tab/>
      </w:r>
      <w:r w:rsidRPr="00844C92">
        <w:t>PSE</w:t>
      </w:r>
      <w:r>
        <w:t>’</w:t>
      </w:r>
      <w:r w:rsidRPr="00844C92">
        <w:t xml:space="preserve">s power supply portfolio contains a diverse mix of resources with widely differing operating and cost characteristics.  Although there are many complex variables embedded in the portfolio, the major drivers of power cost volatility are:  (1) streamflow variation affecting the supply of hydroelectric generation; (2) weather uncertainty affecting power usage; (3) variations in market conditions such as wholesale gas and electric prices; (4) risk of forced outages; (5) variability of wind generation; and (6) transmission </w:t>
      </w:r>
      <w:r>
        <w:t xml:space="preserve">and transportation </w:t>
      </w:r>
      <w:r w:rsidRPr="00844C92">
        <w:t>constraints.  All of these have an impact on load and resource volatility, which PSE may balance with wholesale market purchases and sales.</w:t>
      </w:r>
      <w:r w:rsidR="003951F0">
        <w:t xml:space="preserve">  These same volatility factors also affect the wholesale power markets in general.</w:t>
      </w:r>
    </w:p>
    <w:p w:rsidR="00304961" w:rsidRDefault="00304961" w:rsidP="004902F6">
      <w:pPr>
        <w:pStyle w:val="question"/>
        <w:keepLines/>
        <w:widowControl/>
      </w:pPr>
      <w:r>
        <w:t>Q.</w:t>
      </w:r>
      <w:r>
        <w:tab/>
        <w:t>How does the PCA Mechanism work?</w:t>
      </w:r>
    </w:p>
    <w:p w:rsidR="00304961" w:rsidRDefault="00304961" w:rsidP="000C43C5">
      <w:pPr>
        <w:pStyle w:val="answer"/>
        <w:widowControl w:val="0"/>
        <w:rPr>
          <w:rFonts w:eastAsia="Arial Unicode MS"/>
        </w:rPr>
      </w:pPr>
      <w:r>
        <w:t>A.</w:t>
      </w:r>
      <w:r>
        <w:tab/>
        <w:t xml:space="preserve">Generally, </w:t>
      </w:r>
      <w:r>
        <w:rPr>
          <w:rFonts w:eastAsia="Arial Unicode MS"/>
        </w:rPr>
        <w:t xml:space="preserve">the PCA Mechanism is an annual accounting process to share costs and benefits between PSE and its customers over </w:t>
      </w:r>
      <w:r w:rsidRPr="00AD3E75">
        <w:rPr>
          <w:rFonts w:eastAsia="Arial Unicode MS"/>
        </w:rPr>
        <w:t xml:space="preserve">four graduated levels (so-called </w:t>
      </w:r>
      <w:r>
        <w:rPr>
          <w:rFonts w:eastAsia="Arial Unicode MS"/>
        </w:rPr>
        <w:t>"</w:t>
      </w:r>
      <w:r w:rsidRPr="00AD3E75">
        <w:rPr>
          <w:rFonts w:eastAsia="Arial Unicode MS"/>
        </w:rPr>
        <w:t>bands</w:t>
      </w:r>
      <w:r>
        <w:rPr>
          <w:rFonts w:eastAsia="Arial Unicode MS"/>
        </w:rPr>
        <w:t>"</w:t>
      </w:r>
      <w:r w:rsidRPr="00AD3E75">
        <w:rPr>
          <w:rFonts w:eastAsia="Arial Unicode MS"/>
        </w:rPr>
        <w:t xml:space="preserve">) for the first $120 million of power cost variances.  </w:t>
      </w:r>
      <w:r>
        <w:rPr>
          <w:rFonts w:eastAsia="Arial Unicode MS"/>
        </w:rPr>
        <w:t>For</w:t>
      </w:r>
      <w:r w:rsidRPr="00AD3E75">
        <w:rPr>
          <w:rFonts w:eastAsia="Arial Unicode MS"/>
        </w:rPr>
        <w:t xml:space="preserve"> power cost variances over $120 million, </w:t>
      </w:r>
      <w:r w:rsidRPr="00AD3E75">
        <w:t>the PCA sharing mechanism allocates 95</w:t>
      </w:r>
      <w:r>
        <w:t xml:space="preserve"> percent</w:t>
      </w:r>
      <w:r w:rsidRPr="00AD3E75">
        <w:t xml:space="preserve"> of costs or benefits to customers and the remaining 5</w:t>
      </w:r>
      <w:r>
        <w:t xml:space="preserve"> percent</w:t>
      </w:r>
      <w:r w:rsidRPr="00AD3E75">
        <w:t xml:space="preserve"> of costs or benefits to PSE.</w:t>
      </w:r>
    </w:p>
    <w:p w:rsidR="00304961" w:rsidRDefault="00304961" w:rsidP="004902F6">
      <w:pPr>
        <w:pStyle w:val="question"/>
        <w:keepLines/>
        <w:widowControl/>
      </w:pPr>
      <w:r>
        <w:lastRenderedPageBreak/>
        <w:t>Q.</w:t>
      </w:r>
      <w:r>
        <w:tab/>
        <w:t>What do you mean by "power cost variances"?</w:t>
      </w:r>
    </w:p>
    <w:p w:rsidR="001E3856" w:rsidRPr="007D2967" w:rsidRDefault="00304961" w:rsidP="00440867">
      <w:pPr>
        <w:pStyle w:val="answer"/>
        <w:widowControl w:val="0"/>
      </w:pPr>
      <w:r>
        <w:t>A.</w:t>
      </w:r>
      <w:r>
        <w:tab/>
        <w:t>Power cost variances are the annual difference between</w:t>
      </w:r>
      <w:r w:rsidR="003951F0">
        <w:t xml:space="preserve">: </w:t>
      </w:r>
      <w:r>
        <w:t xml:space="preserve"> (1) the </w:t>
      </w:r>
      <w:r w:rsidR="00923C80">
        <w:t xml:space="preserve">actual recovery of power costs based on the </w:t>
      </w:r>
      <w:r>
        <w:t>"baseline" fixed and variable power costs that are built into PSE’s electric rates</w:t>
      </w:r>
      <w:r w:rsidR="000E02F6">
        <w:t>:</w:t>
      </w:r>
      <w:r>
        <w:t xml:space="preserve"> and (2) the sum of PSE’s actual variable power costs allowed under the PCA Mechanism plus the fixed power costs, as determined in the most recent rate proceeding</w:t>
      </w:r>
      <w:r w:rsidR="00923C80">
        <w:t>s</w:t>
      </w:r>
      <w:r>
        <w:t xml:space="preserve">.  For example, during </w:t>
      </w:r>
      <w:r w:rsidR="00BD40E9">
        <w:t xml:space="preserve">the </w:t>
      </w:r>
      <w:r w:rsidR="00AB1FCA">
        <w:t>PCA Period</w:t>
      </w:r>
      <w:r w:rsidR="00BD40E9">
        <w:t xml:space="preserve"> 13</w:t>
      </w:r>
      <w:r>
        <w:t xml:space="preserve">, </w:t>
      </w:r>
      <w:r w:rsidRPr="00AE3750">
        <w:t xml:space="preserve">PSE </w:t>
      </w:r>
      <w:r w:rsidR="00923C80">
        <w:t xml:space="preserve">under recovered $40.1 million of its </w:t>
      </w:r>
      <w:r w:rsidRPr="00AE3750">
        <w:t xml:space="preserve">actual </w:t>
      </w:r>
      <w:r w:rsidR="00923C80">
        <w:t xml:space="preserve">allowed variable and fixed </w:t>
      </w:r>
      <w:r w:rsidRPr="00AE3750">
        <w:t>power costs</w:t>
      </w:r>
      <w:r w:rsidR="003E2B1F" w:rsidRPr="00406E94">
        <w:t xml:space="preserve">.  </w:t>
      </w:r>
      <w:r w:rsidR="00AB1FCA">
        <w:t>PCA Period 13</w:t>
      </w:r>
      <w:r w:rsidR="003E2B1F" w:rsidRPr="00406E94">
        <w:t xml:space="preserve"> actual power costs</w:t>
      </w:r>
      <w:r w:rsidRPr="00406E94">
        <w:t xml:space="preserve"> are discussed in more detail in section I</w:t>
      </w:r>
      <w:r w:rsidR="00BD40E9">
        <w:t>II</w:t>
      </w:r>
      <w:r w:rsidRPr="00406E94">
        <w:t>.C</w:t>
      </w:r>
      <w:r w:rsidR="00923C80">
        <w:t>.</w:t>
      </w:r>
      <w:r w:rsidRPr="00406E94">
        <w:t xml:space="preserve"> of my testimony.</w:t>
      </w:r>
      <w:r w:rsidRPr="00AE3750">
        <w:t xml:space="preserve"> </w:t>
      </w:r>
      <w:r w:rsidRPr="00B63524">
        <w:t xml:space="preserve">See the Prefiled Direct Testimony of </w:t>
      </w:r>
      <w:r w:rsidR="00E112E7" w:rsidRPr="00B63524">
        <w:t>M</w:t>
      </w:r>
      <w:r w:rsidR="00E112E7">
        <w:t>s</w:t>
      </w:r>
      <w:r w:rsidR="00E112E7" w:rsidRPr="00B63524">
        <w:t xml:space="preserve">. </w:t>
      </w:r>
      <w:r w:rsidR="005938E8">
        <w:t>Katherine J.</w:t>
      </w:r>
      <w:r w:rsidR="00E112E7">
        <w:t xml:space="preserve"> Barnard</w:t>
      </w:r>
      <w:r w:rsidR="00E112E7" w:rsidRPr="00B63524">
        <w:t xml:space="preserve">, Exhibit </w:t>
      </w:r>
      <w:r w:rsidR="00E112E7">
        <w:t>No. __</w:t>
      </w:r>
      <w:r w:rsidR="0043150C">
        <w:t>_ (</w:t>
      </w:r>
      <w:r w:rsidR="00F60D7E" w:rsidRPr="000B55E6">
        <w:t>KJB</w:t>
      </w:r>
      <w:r w:rsidR="00E112E7" w:rsidRPr="000B55E6">
        <w:t>-</w:t>
      </w:r>
      <w:r w:rsidR="00E112E7" w:rsidRPr="00B63524">
        <w:t>1T</w:t>
      </w:r>
      <w:r w:rsidR="00E112E7">
        <w:t>)</w:t>
      </w:r>
      <w:r w:rsidR="00E112E7" w:rsidRPr="00B63524">
        <w:t>,</w:t>
      </w:r>
      <w:r w:rsidR="00B97CA9">
        <w:t xml:space="preserve"> </w:t>
      </w:r>
      <w:r w:rsidRPr="00B63524">
        <w:t xml:space="preserve">for further information and discussion </w:t>
      </w:r>
      <w:r w:rsidR="003E2B1F">
        <w:t>of</w:t>
      </w:r>
      <w:r w:rsidR="003E2B1F" w:rsidRPr="00B63524">
        <w:t xml:space="preserve"> </w:t>
      </w:r>
      <w:r w:rsidRPr="00B63524">
        <w:t xml:space="preserve">the PCA Annual Report </w:t>
      </w:r>
      <w:r w:rsidR="003E2B1F">
        <w:t xml:space="preserve">for </w:t>
      </w:r>
      <w:r w:rsidR="00AB1FCA">
        <w:t>PCA Period 13</w:t>
      </w:r>
      <w:r w:rsidRPr="00B63524">
        <w:t>.</w:t>
      </w:r>
      <w:r w:rsidR="001E3856">
        <w:tab/>
      </w:r>
    </w:p>
    <w:p w:rsidR="00304961" w:rsidRPr="009B2194" w:rsidRDefault="00304961" w:rsidP="009B2194">
      <w:pPr>
        <w:pStyle w:val="question"/>
      </w:pPr>
      <w:r w:rsidRPr="009B2194">
        <w:t>Q.</w:t>
      </w:r>
      <w:r w:rsidRPr="009B2194">
        <w:tab/>
      </w:r>
      <w:r w:rsidRPr="009B2194">
        <w:rPr>
          <w:rStyle w:val="questionChar"/>
          <w:b/>
        </w:rPr>
        <w:t>How are</w:t>
      </w:r>
      <w:r w:rsidRPr="009B2194">
        <w:t xml:space="preserve"> PSE’s costs for new resources treated in the PCA Mechanism?</w:t>
      </w:r>
    </w:p>
    <w:p w:rsidR="00304961" w:rsidRDefault="00304961" w:rsidP="000C43C5">
      <w:pPr>
        <w:pStyle w:val="answer"/>
        <w:widowControl w:val="0"/>
      </w:pPr>
      <w:r>
        <w:t>A.</w:t>
      </w:r>
      <w:r>
        <w:tab/>
        <w:t xml:space="preserve">Under the PCA Mechanism, new resources with a term </w:t>
      </w:r>
      <w:r w:rsidRPr="00BF5CFE">
        <w:rPr>
          <w:i/>
        </w:rPr>
        <w:t>less</w:t>
      </w:r>
      <w:r>
        <w:t xml:space="preserve"> than or equal to two years are included in allowable PCA costs.  The prudence of such resources is determined in the Commission’s review of the annual PCA true-up.  </w:t>
      </w:r>
      <w:r w:rsidR="003E2B1F">
        <w:t>P</w:t>
      </w:r>
      <w:r w:rsidRPr="00BF5CFE">
        <w:t xml:space="preserve">ower costs related to a new electric resource with a term </w:t>
      </w:r>
      <w:r w:rsidRPr="00BF5CFE">
        <w:rPr>
          <w:i/>
        </w:rPr>
        <w:t>greater</w:t>
      </w:r>
      <w:r>
        <w:t xml:space="preserve"> than two years are included in allowable PCA costs through a bridge mechanism, known as PCA Exhibit G, "New Resource Adjustment".  Exhibit G reduces the </w:t>
      </w:r>
      <w:r w:rsidR="003E2B1F">
        <w:t xml:space="preserve">PCA mechanism’s </w:t>
      </w:r>
      <w:r>
        <w:t>variable costs of the new resources to the lower of actual unit cost or the baseline rate until the prudence of such resources can be reviewed and approved in a power cost only or general rate case.</w:t>
      </w:r>
    </w:p>
    <w:p w:rsidR="00304961" w:rsidRPr="00B97071" w:rsidRDefault="00304961" w:rsidP="004902F6">
      <w:pPr>
        <w:pStyle w:val="question"/>
        <w:keepLines/>
        <w:widowControl/>
      </w:pPr>
      <w:r w:rsidRPr="00B97071">
        <w:lastRenderedPageBreak/>
        <w:t>Q.</w:t>
      </w:r>
      <w:r w:rsidRPr="00B97071">
        <w:tab/>
      </w:r>
      <w:r>
        <w:t xml:space="preserve">Were there new resources that triggered the PCA Exhibit G calculation during the </w:t>
      </w:r>
      <w:r w:rsidR="00AB1FCA">
        <w:t>PCA Period 13</w:t>
      </w:r>
      <w:r>
        <w:t xml:space="preserve">? </w:t>
      </w:r>
    </w:p>
    <w:p w:rsidR="00304961" w:rsidRDefault="00304961" w:rsidP="00462C48">
      <w:pPr>
        <w:pStyle w:val="answer"/>
        <w:widowControl w:val="0"/>
      </w:pPr>
      <w:r>
        <w:t>A.</w:t>
      </w:r>
      <w:r>
        <w:tab/>
      </w:r>
      <w:r w:rsidR="00556669">
        <w:t xml:space="preserve">No. There were no new resources that triggered the PCA Exhibit G calculation during </w:t>
      </w:r>
      <w:r w:rsidR="00AB1FCA">
        <w:t>PCA Period 13</w:t>
      </w:r>
      <w:r w:rsidR="00556669">
        <w:t>.</w:t>
      </w:r>
    </w:p>
    <w:p w:rsidR="00304961" w:rsidRDefault="00304961" w:rsidP="004902F6">
      <w:pPr>
        <w:pStyle w:val="Heading1"/>
      </w:pPr>
      <w:bookmarkStart w:id="17" w:name="_Toc318890598"/>
      <w:bookmarkStart w:id="18" w:name="_Toc382897916"/>
      <w:bookmarkStart w:id="19" w:name="_Toc414978786"/>
      <w:bookmarkStart w:id="20" w:name="_Toc81147701"/>
      <w:bookmarkStart w:id="21" w:name="_Toc81292186"/>
      <w:bookmarkStart w:id="22" w:name="_Toc81319807"/>
      <w:bookmarkStart w:id="23" w:name="_Toc81476602"/>
      <w:bookmarkStart w:id="24" w:name="_Toc113183762"/>
      <w:bookmarkStart w:id="25" w:name="_Toc144558072"/>
      <w:bookmarkStart w:id="26" w:name="_Toc144694602"/>
      <w:bookmarkStart w:id="27" w:name="_Toc162867952"/>
      <w:r>
        <w:t>I</w:t>
      </w:r>
      <w:r w:rsidR="00C035B8">
        <w:t>II</w:t>
      </w:r>
      <w:r>
        <w:t>.</w:t>
      </w:r>
      <w:r>
        <w:tab/>
      </w:r>
      <w:r w:rsidR="00AB1FCA">
        <w:t>PCA PERIOD 13</w:t>
      </w:r>
      <w:r>
        <w:t xml:space="preserve"> POWER COSTS</w:t>
      </w:r>
      <w:bookmarkEnd w:id="17"/>
      <w:bookmarkEnd w:id="18"/>
      <w:bookmarkEnd w:id="19"/>
    </w:p>
    <w:p w:rsidR="00304961" w:rsidRDefault="00304961" w:rsidP="004902F6">
      <w:pPr>
        <w:pStyle w:val="Heading2"/>
        <w:spacing w:before="240" w:after="320"/>
      </w:pPr>
      <w:bookmarkStart w:id="28" w:name="_Toc318890599"/>
      <w:bookmarkStart w:id="29" w:name="_Toc382897917"/>
      <w:bookmarkStart w:id="30" w:name="_Toc414978787"/>
      <w:r>
        <w:rPr>
          <w:u w:val="none"/>
        </w:rPr>
        <w:t>A</w:t>
      </w:r>
      <w:r w:rsidRPr="00CA3689">
        <w:rPr>
          <w:u w:val="none"/>
        </w:rPr>
        <w:t>.</w:t>
      </w:r>
      <w:r w:rsidRPr="00CA3689">
        <w:rPr>
          <w:u w:val="none"/>
        </w:rPr>
        <w:tab/>
      </w:r>
      <w:r w:rsidR="00AB1FCA">
        <w:t>PCA Period 13</w:t>
      </w:r>
      <w:r>
        <w:t xml:space="preserve"> Power Resources</w:t>
      </w:r>
      <w:bookmarkEnd w:id="20"/>
      <w:bookmarkEnd w:id="21"/>
      <w:bookmarkEnd w:id="22"/>
      <w:bookmarkEnd w:id="23"/>
      <w:bookmarkEnd w:id="24"/>
      <w:bookmarkEnd w:id="25"/>
      <w:bookmarkEnd w:id="26"/>
      <w:bookmarkEnd w:id="27"/>
      <w:bookmarkEnd w:id="28"/>
      <w:bookmarkEnd w:id="29"/>
      <w:bookmarkEnd w:id="30"/>
      <w:r w:rsidR="00C82B43">
        <w:t xml:space="preserve"> </w:t>
      </w:r>
    </w:p>
    <w:p w:rsidR="00304961" w:rsidRDefault="00304961" w:rsidP="004902F6">
      <w:pPr>
        <w:pStyle w:val="question"/>
        <w:keepLines/>
        <w:widowControl/>
      </w:pPr>
      <w:r>
        <w:t>Q.</w:t>
      </w:r>
      <w:r>
        <w:tab/>
      </w:r>
      <w:r w:rsidR="003951F0">
        <w:t>Please describe</w:t>
      </w:r>
      <w:r w:rsidR="004D330D">
        <w:t xml:space="preserve"> the changes to </w:t>
      </w:r>
      <w:r w:rsidR="004D330D" w:rsidRPr="00F82926">
        <w:t xml:space="preserve">long-term electric supply resources </w:t>
      </w:r>
      <w:r w:rsidR="004D330D">
        <w:t xml:space="preserve">that </w:t>
      </w:r>
      <w:r w:rsidR="003951F0">
        <w:t>are</w:t>
      </w:r>
      <w:r w:rsidR="004D330D">
        <w:t xml:space="preserve"> different than those included in the baseline rates during </w:t>
      </w:r>
      <w:r w:rsidR="00AB1FCA">
        <w:t>PCA Period 13</w:t>
      </w:r>
      <w:r w:rsidR="003951F0">
        <w:t>.</w:t>
      </w:r>
      <w:r>
        <w:t xml:space="preserve"> </w:t>
      </w:r>
    </w:p>
    <w:p w:rsidR="00304961" w:rsidRPr="00844C92" w:rsidRDefault="00304961" w:rsidP="003A3D70">
      <w:pPr>
        <w:pStyle w:val="answer"/>
        <w:widowControl w:val="0"/>
      </w:pPr>
      <w:r>
        <w:t>A.</w:t>
      </w:r>
      <w:r>
        <w:tab/>
      </w:r>
      <w:r w:rsidR="004D330D">
        <w:t xml:space="preserve">As noted above, the baseline rates in effect during the </w:t>
      </w:r>
      <w:r w:rsidR="00AB1FCA">
        <w:t>PCA Period 13</w:t>
      </w:r>
      <w:r w:rsidR="004D330D">
        <w:t xml:space="preserve"> reflect the power portfolio from PSE’s </w:t>
      </w:r>
      <w:r w:rsidR="00BD40E9">
        <w:t>2013 PCORC</w:t>
      </w:r>
      <w:r w:rsidR="004D330D">
        <w:t xml:space="preserve"> through </w:t>
      </w:r>
      <w:r w:rsidR="00BD40E9">
        <w:t>November 2014</w:t>
      </w:r>
      <w:r w:rsidR="004D330D">
        <w:t xml:space="preserve"> and from PSE’s 201</w:t>
      </w:r>
      <w:r w:rsidR="00BD40E9">
        <w:t>4</w:t>
      </w:r>
      <w:r w:rsidR="002D1893">
        <w:t xml:space="preserve"> PCORC</w:t>
      </w:r>
      <w:r w:rsidR="004D330D">
        <w:t xml:space="preserve"> </w:t>
      </w:r>
      <w:r w:rsidR="000B1898">
        <w:t xml:space="preserve">for the month of </w:t>
      </w:r>
      <w:r w:rsidR="00BD40E9">
        <w:t xml:space="preserve">December </w:t>
      </w:r>
      <w:r w:rsidR="002D1893">
        <w:t>201</w:t>
      </w:r>
      <w:r w:rsidR="00BD40E9">
        <w:t>4</w:t>
      </w:r>
      <w:r w:rsidR="004D330D">
        <w:t>.   There were a</w:t>
      </w:r>
      <w:r w:rsidR="004D330D" w:rsidRPr="00844C92">
        <w:t xml:space="preserve"> </w:t>
      </w:r>
      <w:r w:rsidR="004916E1">
        <w:t xml:space="preserve">few </w:t>
      </w:r>
      <w:r w:rsidR="004D330D" w:rsidRPr="00844C92">
        <w:t xml:space="preserve">changes to </w:t>
      </w:r>
      <w:r w:rsidR="004D330D">
        <w:t>PSE’</w:t>
      </w:r>
      <w:r w:rsidR="004D330D" w:rsidRPr="00844C92">
        <w:t xml:space="preserve">s portfolio </w:t>
      </w:r>
      <w:r w:rsidR="003951F0">
        <w:t>that are</w:t>
      </w:r>
      <w:r w:rsidR="004D330D">
        <w:t xml:space="preserve"> reflected in </w:t>
      </w:r>
      <w:r w:rsidR="004D330D" w:rsidRPr="00844C92">
        <w:t xml:space="preserve">the </w:t>
      </w:r>
      <w:r w:rsidR="00AB1FCA">
        <w:t>PCA Period 13</w:t>
      </w:r>
      <w:r w:rsidR="004D330D">
        <w:t xml:space="preserve"> power costs that </w:t>
      </w:r>
      <w:r w:rsidR="003951F0">
        <w:t>are</w:t>
      </w:r>
      <w:r w:rsidR="004D330D">
        <w:t xml:space="preserve"> different than those recovered in rates for the entire </w:t>
      </w:r>
      <w:r w:rsidR="00AB1FCA">
        <w:t>PCA Period 13</w:t>
      </w:r>
      <w:r w:rsidR="004D330D">
        <w:t xml:space="preserve">.  </w:t>
      </w:r>
      <w:r w:rsidR="004D330D" w:rsidRPr="00844C92">
        <w:t xml:space="preserve">Specifically, </w:t>
      </w:r>
      <w:r w:rsidR="00AB1FCA">
        <w:t>PCA Period 13</w:t>
      </w:r>
      <w:r w:rsidR="004D330D">
        <w:t xml:space="preserve"> actual power costs included</w:t>
      </w:r>
      <w:r w:rsidRPr="00844C92">
        <w:t xml:space="preserve">: </w:t>
      </w:r>
    </w:p>
    <w:p w:rsidR="003A3D70" w:rsidRDefault="004916E1" w:rsidP="009025F1">
      <w:pPr>
        <w:pStyle w:val="answer"/>
        <w:widowControl w:val="0"/>
        <w:numPr>
          <w:ilvl w:val="0"/>
          <w:numId w:val="22"/>
        </w:numPr>
        <w:tabs>
          <w:tab w:val="clear" w:pos="1080"/>
          <w:tab w:val="num" w:pos="1800"/>
        </w:tabs>
        <w:spacing w:line="240" w:lineRule="auto"/>
        <w:ind w:left="1800" w:right="900" w:hanging="720"/>
      </w:pPr>
      <w:r>
        <w:t>All</w:t>
      </w:r>
      <w:r w:rsidR="003A3D70">
        <w:t xml:space="preserve"> newly acquired </w:t>
      </w:r>
      <w:r>
        <w:t xml:space="preserve">energy </w:t>
      </w:r>
      <w:r w:rsidR="003A3D70">
        <w:t xml:space="preserve">resources </w:t>
      </w:r>
      <w:r w:rsidR="00725691">
        <w:t xml:space="preserve">that </w:t>
      </w:r>
      <w:r w:rsidR="003A3D70">
        <w:t>were included in</w:t>
      </w:r>
      <w:r>
        <w:t xml:space="preserve"> either</w:t>
      </w:r>
      <w:r w:rsidR="003A3D70">
        <w:t xml:space="preserve"> the baseline rate effective </w:t>
      </w:r>
      <w:r>
        <w:t xml:space="preserve">November 1, 2013 or the baseline rate effective </w:t>
      </w:r>
      <w:r w:rsidR="00BD40E9">
        <w:t xml:space="preserve">December </w:t>
      </w:r>
      <w:r w:rsidR="002D1893">
        <w:t>1, 201</w:t>
      </w:r>
      <w:r w:rsidR="00BD40E9">
        <w:t>4</w:t>
      </w:r>
      <w:r w:rsidR="00AA2E8A">
        <w:t xml:space="preserve"> </w:t>
      </w:r>
      <w:r w:rsidR="003A3D70">
        <w:t>as they were deemed prudent in PSE’s</w:t>
      </w:r>
      <w:r>
        <w:t xml:space="preserve"> 2013 PCORC and</w:t>
      </w:r>
      <w:r w:rsidR="003A3D70">
        <w:t xml:space="preserve"> </w:t>
      </w:r>
      <w:r w:rsidR="002D1893">
        <w:t>201</w:t>
      </w:r>
      <w:r w:rsidR="00BD40E9">
        <w:t>4</w:t>
      </w:r>
      <w:r w:rsidR="002D1893">
        <w:t xml:space="preserve"> PCORC</w:t>
      </w:r>
      <w:r>
        <w:t>, respectively</w:t>
      </w:r>
      <w:r w:rsidR="0024593E">
        <w:t xml:space="preserve">.  Note that none of these resources were </w:t>
      </w:r>
      <w:r w:rsidR="0024593E" w:rsidRPr="00111A27">
        <w:t>subject to an adjustment under Exhibit G</w:t>
      </w:r>
      <w:r w:rsidR="00AA2E8A">
        <w:t>,</w:t>
      </w:r>
      <w:r w:rsidR="0024593E" w:rsidRPr="00111A27">
        <w:t xml:space="preserve"> as is discussed in the Prefiled Direct Testimony of Ms. Katherine J. Barnard, Exhibit No. ___(KJB-1T)</w:t>
      </w:r>
      <w:r w:rsidR="009025F1">
        <w:t>;</w:t>
      </w:r>
    </w:p>
    <w:p w:rsidR="004516AB" w:rsidRDefault="00725691" w:rsidP="00BA3D9C">
      <w:pPr>
        <w:pStyle w:val="answer"/>
        <w:widowControl w:val="0"/>
        <w:numPr>
          <w:ilvl w:val="0"/>
          <w:numId w:val="22"/>
        </w:numPr>
        <w:tabs>
          <w:tab w:val="clear" w:pos="1080"/>
          <w:tab w:val="num" w:pos="1800"/>
        </w:tabs>
        <w:spacing w:line="240" w:lineRule="auto"/>
        <w:ind w:left="1800" w:right="900" w:hanging="720"/>
      </w:pPr>
      <w:r>
        <w:t>N</w:t>
      </w:r>
      <w:r w:rsidR="00BA3D9C" w:rsidRPr="002B72D5">
        <w:t>ew contracts executed under PSE’s Schedule 91 Tariff, “Cogeneration and Small Power Production”;</w:t>
      </w:r>
      <w:r w:rsidR="00F81DFB">
        <w:t xml:space="preserve"> </w:t>
      </w:r>
    </w:p>
    <w:p w:rsidR="00E72D1D" w:rsidRDefault="00B97CA9" w:rsidP="00E72D1D">
      <w:pPr>
        <w:pStyle w:val="answer"/>
        <w:widowControl w:val="0"/>
        <w:numPr>
          <w:ilvl w:val="0"/>
          <w:numId w:val="22"/>
        </w:numPr>
        <w:tabs>
          <w:tab w:val="clear" w:pos="1080"/>
          <w:tab w:val="num" w:pos="1800"/>
        </w:tabs>
        <w:spacing w:line="240" w:lineRule="auto"/>
        <w:ind w:left="1800" w:right="900" w:hanging="720"/>
      </w:pPr>
      <w:r>
        <w:t>C</w:t>
      </w:r>
      <w:r w:rsidR="00D833BB">
        <w:t xml:space="preserve">hanges to </w:t>
      </w:r>
      <w:r w:rsidR="00E72D1D">
        <w:t xml:space="preserve">fixed gas transportation contracts to </w:t>
      </w:r>
      <w:r w:rsidR="00BA6557">
        <w:t xml:space="preserve">continue to </w:t>
      </w:r>
      <w:r w:rsidR="00E72D1D">
        <w:t xml:space="preserve">support the physical gas requirements of PSE’s </w:t>
      </w:r>
      <w:r w:rsidR="00D833BB">
        <w:t>gas fired generation</w:t>
      </w:r>
      <w:r w:rsidR="00E72D1D">
        <w:t>:</w:t>
      </w:r>
    </w:p>
    <w:p w:rsidR="00BA6557" w:rsidRDefault="00BA6557" w:rsidP="00E72D1D">
      <w:pPr>
        <w:pStyle w:val="answer"/>
        <w:widowControl w:val="0"/>
        <w:numPr>
          <w:ilvl w:val="1"/>
          <w:numId w:val="22"/>
        </w:numPr>
        <w:spacing w:line="240" w:lineRule="auto"/>
        <w:ind w:left="2160" w:right="900"/>
      </w:pPr>
      <w:r>
        <w:t>a</w:t>
      </w:r>
      <w:r w:rsidR="00D833BB" w:rsidRPr="00447C43">
        <w:t xml:space="preserve"> 50,000</w:t>
      </w:r>
      <w:r w:rsidR="00D833BB">
        <w:t xml:space="preserve"> decatherm (“Dth”) </w:t>
      </w:r>
      <w:r w:rsidR="00D833BB" w:rsidRPr="00447C43">
        <w:t xml:space="preserve">per day of Northwest Pipeline </w:t>
      </w:r>
      <w:r w:rsidR="00D833BB" w:rsidRPr="00447C43">
        <w:lastRenderedPageBreak/>
        <w:t xml:space="preserve">(“NWP”) firm pipeline capacity from Sumas </w:t>
      </w:r>
      <w:r>
        <w:t xml:space="preserve">was terminated effective </w:t>
      </w:r>
      <w:r w:rsidR="00725691">
        <w:t>October 31, 2014</w:t>
      </w:r>
      <w:r>
        <w:t>;</w:t>
      </w:r>
    </w:p>
    <w:p w:rsidR="00E72D1D" w:rsidRDefault="00BA6557" w:rsidP="00E72D1D">
      <w:pPr>
        <w:pStyle w:val="answer"/>
        <w:widowControl w:val="0"/>
        <w:numPr>
          <w:ilvl w:val="1"/>
          <w:numId w:val="22"/>
        </w:numPr>
        <w:spacing w:line="240" w:lineRule="auto"/>
        <w:ind w:left="2160" w:right="900"/>
      </w:pPr>
      <w:r>
        <w:t>the above contract was</w:t>
      </w:r>
      <w:r w:rsidR="00D833BB" w:rsidRPr="00447C43">
        <w:t xml:space="preserve"> replace</w:t>
      </w:r>
      <w:r w:rsidR="00D833BB">
        <w:t>d</w:t>
      </w:r>
      <w:r w:rsidR="00D833BB" w:rsidRPr="00447C43">
        <w:t xml:space="preserve"> with a </w:t>
      </w:r>
      <w:r w:rsidR="00D833BB">
        <w:t xml:space="preserve">50,000 Dth per day agreement with </w:t>
      </w:r>
      <w:r w:rsidR="00DB23F1">
        <w:t xml:space="preserve">NWP </w:t>
      </w:r>
      <w:r w:rsidR="00D833BB" w:rsidRPr="00447C43">
        <w:t>from Stanfield</w:t>
      </w:r>
      <w:r w:rsidR="00725691">
        <w:t xml:space="preserve"> effective November 1, 2014</w:t>
      </w:r>
      <w:r w:rsidR="00E72D1D">
        <w:t>; and</w:t>
      </w:r>
    </w:p>
    <w:p w:rsidR="00E72D1D" w:rsidRDefault="00D833BB" w:rsidP="00E72D1D">
      <w:pPr>
        <w:pStyle w:val="answer"/>
        <w:widowControl w:val="0"/>
        <w:numPr>
          <w:ilvl w:val="1"/>
          <w:numId w:val="22"/>
        </w:numPr>
        <w:spacing w:line="240" w:lineRule="auto"/>
        <w:ind w:left="2160" w:right="900"/>
      </w:pPr>
      <w:r w:rsidRPr="00B259CF">
        <w:t xml:space="preserve">a </w:t>
      </w:r>
      <w:r w:rsidR="00BA6557">
        <w:t>21,872 Dth per day agreement with</w:t>
      </w:r>
      <w:r w:rsidRPr="00B259CF">
        <w:t xml:space="preserve"> Westcoast </w:t>
      </w:r>
      <w:r>
        <w:t xml:space="preserve">Energy, Inc. </w:t>
      </w:r>
      <w:r w:rsidR="00BA6557">
        <w:t>expired</w:t>
      </w:r>
      <w:r>
        <w:t xml:space="preserve"> on October 31, 2014</w:t>
      </w:r>
      <w:r w:rsidR="00E72D1D">
        <w:t>;</w:t>
      </w:r>
      <w:r w:rsidR="00C54B0A">
        <w:t xml:space="preserve"> and</w:t>
      </w:r>
    </w:p>
    <w:p w:rsidR="00204345" w:rsidRDefault="009B6C2A" w:rsidP="00204345">
      <w:pPr>
        <w:pStyle w:val="answer"/>
        <w:widowControl w:val="0"/>
        <w:numPr>
          <w:ilvl w:val="0"/>
          <w:numId w:val="22"/>
        </w:numPr>
        <w:tabs>
          <w:tab w:val="clear" w:pos="1080"/>
          <w:tab w:val="num" w:pos="1800"/>
        </w:tabs>
        <w:spacing w:line="240" w:lineRule="auto"/>
        <w:ind w:left="1800" w:right="900" w:hanging="720"/>
      </w:pPr>
      <w:r>
        <w:t>U</w:t>
      </w:r>
      <w:r w:rsidR="00204345" w:rsidRPr="00ED1123">
        <w:t>pdates to all rate year power contracts and resources as described above and otherwise to reflect current operations, contract terms and planned maintenance.</w:t>
      </w:r>
    </w:p>
    <w:p w:rsidR="00304961" w:rsidRDefault="00304961" w:rsidP="004902F6">
      <w:pPr>
        <w:pStyle w:val="question"/>
        <w:keepLines/>
        <w:widowControl/>
      </w:pPr>
      <w:r>
        <w:t>Q.</w:t>
      </w:r>
      <w:r>
        <w:tab/>
        <w:t xml:space="preserve">Did PSE acquire any new resources during </w:t>
      </w:r>
      <w:r w:rsidR="00AB1FCA">
        <w:t>PCA Period 13</w:t>
      </w:r>
      <w:r>
        <w:t xml:space="preserve"> with a term of less than or equal to two years?</w:t>
      </w:r>
    </w:p>
    <w:p w:rsidR="00304961" w:rsidRDefault="00304961" w:rsidP="004902F6">
      <w:pPr>
        <w:pStyle w:val="answer"/>
        <w:widowControl w:val="0"/>
      </w:pPr>
      <w:r w:rsidRPr="00F82926">
        <w:t>A.</w:t>
      </w:r>
      <w:r w:rsidRPr="00F82926">
        <w:tab/>
        <w:t xml:space="preserve">Yes.  PSE acquired such resources in </w:t>
      </w:r>
      <w:r w:rsidR="003951F0">
        <w:t xml:space="preserve">the form of </w:t>
      </w:r>
      <w:r w:rsidRPr="00F82926">
        <w:t xml:space="preserve">off-system physical or financial purchases and sales of power and fuel to generate power.  The majority of such transactions during this period were short-term balancing transactions of power and natural gas </w:t>
      </w:r>
      <w:r>
        <w:t xml:space="preserve">for power purchases </w:t>
      </w:r>
      <w:r w:rsidRPr="00F82926">
        <w:t xml:space="preserve">and sale contracts.  Such balancing transactions are made in response to changes in </w:t>
      </w:r>
      <w:r>
        <w:t xml:space="preserve">load or resource availability as well as changes in </w:t>
      </w:r>
      <w:r w:rsidRPr="00F82926">
        <w:t xml:space="preserve">market heat rates, which guide </w:t>
      </w:r>
      <w:r w:rsidR="00436636">
        <w:t xml:space="preserve">PSE </w:t>
      </w:r>
      <w:r w:rsidRPr="00F82926">
        <w:t xml:space="preserve">decisions </w:t>
      </w:r>
      <w:r w:rsidR="00436636">
        <w:t xml:space="preserve">of </w:t>
      </w:r>
      <w:r w:rsidRPr="00F82926">
        <w:t xml:space="preserve">whether to </w:t>
      </w:r>
      <w:r>
        <w:t>dispatch gas-fired generation or to buy or sell</w:t>
      </w:r>
      <w:r w:rsidRPr="00F82926">
        <w:t xml:space="preserve"> power versus natural gas</w:t>
      </w:r>
      <w:r>
        <w:t xml:space="preserve"> for power</w:t>
      </w:r>
      <w:r w:rsidRPr="00F82926">
        <w:t>.  Such transactions include intermediate term transactions entered into pursuant to PSE</w:t>
      </w:r>
      <w:r>
        <w:t>’</w:t>
      </w:r>
      <w:r w:rsidRPr="00F82926">
        <w:t>s programmatic portfolio hedging efforts.</w:t>
      </w:r>
    </w:p>
    <w:p w:rsidR="00304961" w:rsidRDefault="00304961" w:rsidP="004902F6">
      <w:pPr>
        <w:pStyle w:val="answer"/>
        <w:widowControl w:val="0"/>
        <w:ind w:firstLine="0"/>
      </w:pPr>
      <w:r>
        <w:t>PSE</w:t>
      </w:r>
      <w:r w:rsidRPr="00052D10">
        <w:t xml:space="preserve"> </w:t>
      </w:r>
      <w:r>
        <w:t xml:space="preserve">also </w:t>
      </w:r>
      <w:r w:rsidRPr="00052D10">
        <w:t xml:space="preserve">purchased winter on-peak index power to </w:t>
      </w:r>
      <w:r>
        <w:t>secure firm power</w:t>
      </w:r>
      <w:r w:rsidRPr="00052D10">
        <w:t xml:space="preserve"> supply to PSE’s system.  </w:t>
      </w:r>
    </w:p>
    <w:p w:rsidR="00304961" w:rsidRDefault="00304961" w:rsidP="004902F6">
      <w:pPr>
        <w:pStyle w:val="question"/>
        <w:keepLines/>
        <w:widowControl/>
      </w:pPr>
      <w:r>
        <w:t>Q.</w:t>
      </w:r>
      <w:r>
        <w:tab/>
        <w:t>Why did PSE enter into the various transactions described above?</w:t>
      </w:r>
    </w:p>
    <w:p w:rsidR="00304961" w:rsidRDefault="00304961" w:rsidP="004902F6">
      <w:pPr>
        <w:pStyle w:val="answer"/>
        <w:widowControl w:val="0"/>
      </w:pPr>
      <w:r>
        <w:t>A.</w:t>
      </w:r>
      <w:r>
        <w:tab/>
        <w:t xml:space="preserve">These transactions were undertaken within a comprehensive portfolio and risk management system of organizational structure, technological tools, and human </w:t>
      </w:r>
      <w:r>
        <w:lastRenderedPageBreak/>
        <w:t>resources designed to allow PSE to</w:t>
      </w:r>
      <w:r w:rsidR="00735F33">
        <w:t>:</w:t>
      </w:r>
      <w:r>
        <w:t xml:space="preserve"> (1) deliver reliable energy when its customers demand it; (2) serve its customers while mitigating price volatility; and (3) enhance the </w:t>
      </w:r>
      <w:r w:rsidR="005A58A3">
        <w:t xml:space="preserve">utilization </w:t>
      </w:r>
      <w:r>
        <w:t>of PSE’s energy resources.</w:t>
      </w:r>
    </w:p>
    <w:p w:rsidR="00304961" w:rsidRDefault="00304961" w:rsidP="00B22A86">
      <w:pPr>
        <w:pStyle w:val="answer"/>
        <w:widowControl w:val="0"/>
        <w:ind w:firstLine="0"/>
      </w:pPr>
      <w:r>
        <w:t>PSE</w:t>
      </w:r>
      <w:r w:rsidRPr="00844C92">
        <w:t xml:space="preserve"> has </w:t>
      </w:r>
      <w:r>
        <w:t xml:space="preserve">had </w:t>
      </w:r>
      <w:r w:rsidRPr="00844C92">
        <w:t xml:space="preserve">organizational structures, policies and overarching strategies in place </w:t>
      </w:r>
      <w:r>
        <w:t xml:space="preserve">for many years </w:t>
      </w:r>
      <w:r w:rsidRPr="00844C92">
        <w:t>to provide oversight and control of energy portfolio management activities, many of which must be undertaken on an hourly and daily basis by</w:t>
      </w:r>
      <w:r>
        <w:t xml:space="preserve"> PSE’s</w:t>
      </w:r>
      <w:r w:rsidRPr="00844C92">
        <w:t xml:space="preserve"> experienced energy traders.  </w:t>
      </w:r>
      <w:r>
        <w:t>PSE</w:t>
      </w:r>
      <w:r w:rsidRPr="00844C92">
        <w:t xml:space="preserve"> also uses modeling tools that assist in projecting whether its power and gas portfolios will be surplus or deficit in future months.  </w:t>
      </w:r>
      <w:r>
        <w:t>PSE</w:t>
      </w:r>
      <w:r w:rsidRPr="00844C92">
        <w:t xml:space="preserve"> uses these tools to develop and implement</w:t>
      </w:r>
      <w:r w:rsidR="005A58A3">
        <w:t xml:space="preserve"> </w:t>
      </w:r>
      <w:r w:rsidRPr="00844C92">
        <w:t xml:space="preserve">strategies to reduce the cost risks associated with portfolio volatility.  </w:t>
      </w:r>
    </w:p>
    <w:p w:rsidR="00304961" w:rsidRDefault="00304961" w:rsidP="00B22A86">
      <w:pPr>
        <w:pStyle w:val="answer"/>
        <w:widowControl w:val="0"/>
        <w:ind w:firstLine="0"/>
      </w:pPr>
      <w:r>
        <w:t xml:space="preserve">The following section of my testimony first provides a description of these systems and tools.  I then illustrate their application to </w:t>
      </w:r>
      <w:r w:rsidR="00AB1FCA">
        <w:t>PCA Period 13</w:t>
      </w:r>
      <w:r>
        <w:t xml:space="preserve"> by describing actual hedging strategy decisions and their execution undertaken by PSE with respect to its power supply for a sample month, </w:t>
      </w:r>
      <w:r w:rsidR="00BA6557">
        <w:t>March 2014</w:t>
      </w:r>
      <w:r>
        <w:t xml:space="preserve">.  </w:t>
      </w:r>
      <w:r w:rsidRPr="006B041B">
        <w:rPr>
          <w:i/>
        </w:rPr>
        <w:t>See</w:t>
      </w:r>
      <w:r>
        <w:t xml:space="preserve"> Exhibit No. ___(DEM-3C).</w:t>
      </w:r>
    </w:p>
    <w:p w:rsidR="00304961" w:rsidRDefault="00304961" w:rsidP="004902F6">
      <w:pPr>
        <w:pStyle w:val="Heading2"/>
        <w:spacing w:before="240" w:after="320"/>
      </w:pPr>
      <w:bookmarkStart w:id="31" w:name="_Toc63787213"/>
      <w:bookmarkStart w:id="32" w:name="_Toc81147703"/>
      <w:bookmarkStart w:id="33" w:name="_Toc81292188"/>
      <w:bookmarkStart w:id="34" w:name="_Toc81319809"/>
      <w:bookmarkStart w:id="35" w:name="_Toc81476604"/>
      <w:bookmarkStart w:id="36" w:name="_Toc113183763"/>
      <w:bookmarkStart w:id="37" w:name="_Toc144558073"/>
      <w:bookmarkStart w:id="38" w:name="_Toc144694603"/>
      <w:bookmarkStart w:id="39" w:name="_Toc162867953"/>
      <w:bookmarkStart w:id="40" w:name="_Toc318890600"/>
      <w:bookmarkStart w:id="41" w:name="_Toc382897918"/>
      <w:bookmarkStart w:id="42" w:name="_Toc414978788"/>
      <w:r>
        <w:rPr>
          <w:u w:val="none"/>
        </w:rPr>
        <w:t>B</w:t>
      </w:r>
      <w:r w:rsidRPr="000C43C5">
        <w:rPr>
          <w:u w:val="none"/>
        </w:rPr>
        <w:t>.</w:t>
      </w:r>
      <w:r w:rsidRPr="000C43C5">
        <w:rPr>
          <w:u w:val="none"/>
        </w:rPr>
        <w:tab/>
      </w:r>
      <w:bookmarkEnd w:id="31"/>
      <w:r>
        <w:t xml:space="preserve">PSE’s Management of its Power Portfolio and Related Fuel Supply for </w:t>
      </w:r>
      <w:bookmarkEnd w:id="32"/>
      <w:bookmarkEnd w:id="33"/>
      <w:bookmarkEnd w:id="34"/>
      <w:bookmarkEnd w:id="35"/>
      <w:bookmarkEnd w:id="36"/>
      <w:bookmarkEnd w:id="37"/>
      <w:bookmarkEnd w:id="38"/>
      <w:bookmarkEnd w:id="39"/>
      <w:bookmarkEnd w:id="40"/>
      <w:bookmarkEnd w:id="41"/>
      <w:r w:rsidR="00CD7FB1">
        <w:t xml:space="preserve">PCA </w:t>
      </w:r>
      <w:r w:rsidR="00AB1FCA">
        <w:t>Period 13</w:t>
      </w:r>
      <w:bookmarkEnd w:id="42"/>
      <w:r w:rsidR="007B2DBB">
        <w:t xml:space="preserve">  </w:t>
      </w:r>
    </w:p>
    <w:p w:rsidR="00304961" w:rsidRDefault="00304961" w:rsidP="004902F6">
      <w:pPr>
        <w:pStyle w:val="Heading3"/>
        <w:spacing w:before="240" w:after="320"/>
      </w:pPr>
      <w:bookmarkStart w:id="43" w:name="_Toc81147704"/>
      <w:bookmarkStart w:id="44" w:name="_Toc81292189"/>
      <w:bookmarkStart w:id="45" w:name="_Toc81319810"/>
      <w:bookmarkStart w:id="46" w:name="_Toc81476605"/>
      <w:bookmarkStart w:id="47" w:name="_Toc113183764"/>
      <w:bookmarkStart w:id="48" w:name="_Toc144558074"/>
      <w:bookmarkStart w:id="49" w:name="_Toc144694604"/>
      <w:bookmarkStart w:id="50" w:name="_Toc162867954"/>
      <w:bookmarkStart w:id="51" w:name="_Toc318890601"/>
      <w:bookmarkStart w:id="52" w:name="_Toc382897919"/>
      <w:bookmarkStart w:id="53" w:name="_Toc414978789"/>
      <w:r w:rsidRPr="000C43C5">
        <w:rPr>
          <w:u w:val="none"/>
        </w:rPr>
        <w:t>1.</w:t>
      </w:r>
      <w:r w:rsidRPr="000C43C5">
        <w:rPr>
          <w:u w:val="none"/>
        </w:rPr>
        <w:tab/>
      </w:r>
      <w:r>
        <w:t>Overview of PSE’s Portfolio and Risk Management Systems</w:t>
      </w:r>
      <w:bookmarkEnd w:id="43"/>
      <w:bookmarkEnd w:id="44"/>
      <w:bookmarkEnd w:id="45"/>
      <w:bookmarkEnd w:id="46"/>
      <w:bookmarkEnd w:id="47"/>
      <w:bookmarkEnd w:id="48"/>
      <w:bookmarkEnd w:id="49"/>
      <w:bookmarkEnd w:id="50"/>
      <w:bookmarkEnd w:id="51"/>
      <w:bookmarkEnd w:id="52"/>
      <w:bookmarkEnd w:id="53"/>
    </w:p>
    <w:p w:rsidR="00304961" w:rsidRDefault="00304961" w:rsidP="004902F6">
      <w:pPr>
        <w:pStyle w:val="question"/>
        <w:keepLines/>
        <w:widowControl/>
      </w:pPr>
      <w:r>
        <w:t>Q.</w:t>
      </w:r>
      <w:r>
        <w:tab/>
        <w:t>What organizational structures are in place to provide oversight and control of power portfolio management activities?</w:t>
      </w:r>
    </w:p>
    <w:p w:rsidR="00304961" w:rsidRDefault="00304961" w:rsidP="004902F6">
      <w:pPr>
        <w:pStyle w:val="answer"/>
        <w:widowControl w:val="0"/>
      </w:pPr>
      <w:r>
        <w:t>A.</w:t>
      </w:r>
      <w:r>
        <w:tab/>
      </w:r>
      <w:r w:rsidR="0098088A">
        <w:t>During</w:t>
      </w:r>
      <w:r w:rsidR="00CD7FB1">
        <w:t xml:space="preserve"> </w:t>
      </w:r>
      <w:r w:rsidR="00AB1FCA">
        <w:t>PCA Period 13</w:t>
      </w:r>
      <w:r w:rsidR="0098088A">
        <w:t xml:space="preserve">, </w:t>
      </w:r>
      <w:r>
        <w:t xml:space="preserve">PSE’s Energy </w:t>
      </w:r>
      <w:r w:rsidR="004B2E7F">
        <w:t xml:space="preserve">Supply Merchant (“ESM”) department </w:t>
      </w:r>
      <w:r>
        <w:t>include</w:t>
      </w:r>
      <w:r w:rsidR="0098088A">
        <w:t>d</w:t>
      </w:r>
      <w:r>
        <w:t xml:space="preserve"> certain employees </w:t>
      </w:r>
      <w:r w:rsidR="004B2E7F">
        <w:t xml:space="preserve">performing </w:t>
      </w:r>
      <w:r w:rsidR="0084793C">
        <w:t xml:space="preserve">Portfolio Hedging and </w:t>
      </w:r>
      <w:r w:rsidR="004B2E7F">
        <w:t xml:space="preserve">Power and Gas </w:t>
      </w:r>
      <w:r>
        <w:t>Supply</w:t>
      </w:r>
      <w:r w:rsidR="004B2E7F">
        <w:t xml:space="preserve"> Operations functions</w:t>
      </w:r>
      <w:r w:rsidR="0084793C">
        <w:t>.</w:t>
      </w:r>
      <w:r>
        <w:t xml:space="preserve">  The </w:t>
      </w:r>
      <w:r w:rsidR="004B2E7F">
        <w:t xml:space="preserve">ESM department </w:t>
      </w:r>
      <w:r>
        <w:t xml:space="preserve">is composed of energy market </w:t>
      </w:r>
      <w:r>
        <w:lastRenderedPageBreak/>
        <w:t xml:space="preserve">analysts, quantitative analysts, seasoned energy traders and other professionals.  The </w:t>
      </w:r>
      <w:r w:rsidR="004B2E7F">
        <w:t xml:space="preserve">ESM </w:t>
      </w:r>
      <w:r>
        <w:t xml:space="preserve">department is responsible for identifying, quantifying, monitoring and recommending risk management strategies for PSE.  The </w:t>
      </w:r>
      <w:r w:rsidR="004B2E7F">
        <w:t xml:space="preserve">ESM </w:t>
      </w:r>
      <w:r>
        <w:t xml:space="preserve">department performs these tasks and manages PSE’s short- and medium-term portfolios.  </w:t>
      </w:r>
      <w:r w:rsidR="0098088A">
        <w:t xml:space="preserve">During </w:t>
      </w:r>
      <w:r w:rsidR="00AB1FCA">
        <w:t>PCA Period 13</w:t>
      </w:r>
      <w:r w:rsidR="0098088A">
        <w:t>, t</w:t>
      </w:r>
      <w:r>
        <w:t xml:space="preserve">he </w:t>
      </w:r>
      <w:r w:rsidR="004B2E7F">
        <w:t>ESM</w:t>
      </w:r>
      <w:r w:rsidR="009025F1">
        <w:t xml:space="preserve"> was under my direction</w:t>
      </w:r>
      <w:r>
        <w:t xml:space="preserve">.  </w:t>
      </w:r>
    </w:p>
    <w:p w:rsidR="00304961" w:rsidRDefault="00304961" w:rsidP="00706063">
      <w:pPr>
        <w:pStyle w:val="answer"/>
        <w:widowControl w:val="0"/>
        <w:ind w:firstLine="0"/>
      </w:pPr>
      <w:r>
        <w:t xml:space="preserve">The Energy Risk Control ("ERC") department includes the </w:t>
      </w:r>
      <w:r w:rsidR="004B2E7F">
        <w:t>employees who perform credit analysis</w:t>
      </w:r>
      <w:r>
        <w:t xml:space="preserve"> and is </w:t>
      </w:r>
      <w:r w:rsidR="004B2E7F">
        <w:t xml:space="preserve">also </w:t>
      </w:r>
      <w:r>
        <w:t xml:space="preserve">responsible for providing risk control oversight.  The ERC department is led by the </w:t>
      </w:r>
      <w:r w:rsidR="0084793C">
        <w:t>Corporate</w:t>
      </w:r>
      <w:r>
        <w:t xml:space="preserve"> Treasurer.</w:t>
      </w:r>
    </w:p>
    <w:p w:rsidR="00440867" w:rsidRDefault="00304961">
      <w:pPr>
        <w:pStyle w:val="answer"/>
        <w:widowControl w:val="0"/>
        <w:ind w:firstLine="0"/>
      </w:pPr>
      <w:r>
        <w:t xml:space="preserve">PSE’s Energy Management Committee ("EMC") – composed of five PSE officers – oversees the activities performed by the </w:t>
      </w:r>
      <w:r w:rsidR="004B2E7F">
        <w:t xml:space="preserve">ESM </w:t>
      </w:r>
      <w:r>
        <w:t>department.  The EMC is responsible for providing oversight and direction on all portfolio risk issues in addition to approving long-term resource contracts and acquisitions.  The EMC provides policy-level and strategic direction on a regular basis, reviews position reports, sets risk exposure limits, reviews proposed risk management strategies, and approves policy, procedures and strategies for implementation by PSE staff.</w:t>
      </w:r>
      <w:r w:rsidR="006F65A2">
        <w:t xml:space="preserve">  In addition, PSE’s Board of Directors provides executive oversight of these areas through the Audit Committee.</w:t>
      </w:r>
    </w:p>
    <w:p w:rsidR="00304961" w:rsidRDefault="00304961" w:rsidP="004902F6">
      <w:pPr>
        <w:pStyle w:val="question"/>
        <w:keepLines/>
        <w:widowControl/>
      </w:pPr>
      <w:r>
        <w:t>Q.</w:t>
      </w:r>
      <w:r>
        <w:tab/>
        <w:t>What hedging strategies have been approved by the EMC?</w:t>
      </w:r>
    </w:p>
    <w:p w:rsidR="00304961" w:rsidRPr="0009082F" w:rsidRDefault="00E91159" w:rsidP="00C75B3B">
      <w:pPr>
        <w:pStyle w:val="answer"/>
        <w:widowControl w:val="0"/>
        <w:ind w:firstLine="0"/>
        <w:rPr>
          <w:b/>
        </w:rPr>
      </w:pPr>
      <w:r>
        <w:rPr>
          <w:noProof/>
          <w:lang w:eastAsia="en-US"/>
        </w:rPr>
        <mc:AlternateContent>
          <mc:Choice Requires="wps">
            <w:drawing>
              <wp:anchor distT="0" distB="0" distL="114300" distR="114300" simplePos="0" relativeHeight="251668992" behindDoc="0" locked="0" layoutInCell="1" allowOverlap="1">
                <wp:simplePos x="0" y="0"/>
                <wp:positionH relativeFrom="column">
                  <wp:posOffset>1276350</wp:posOffset>
                </wp:positionH>
                <wp:positionV relativeFrom="paragraph">
                  <wp:posOffset>1549388</wp:posOffset>
                </wp:positionV>
                <wp:extent cx="1695635" cy="428351"/>
                <wp:effectExtent l="0" t="0" r="19050" b="101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635" cy="428351"/>
                        </a:xfrm>
                        <a:prstGeom prst="rect">
                          <a:avLst/>
                        </a:prstGeom>
                        <a:solidFill>
                          <a:srgbClr val="FFFFFF"/>
                        </a:solidFill>
                        <a:ln w="19050">
                          <a:solidFill>
                            <a:srgbClr val="000000"/>
                          </a:solidFill>
                          <a:miter lim="800000"/>
                          <a:headEnd/>
                          <a:tailEnd/>
                        </a:ln>
                      </wps:spPr>
                      <wps:txbx>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wps:txbx>
                      <wps:bodyPr rot="0" vert="horz" wrap="square" lIns="91440" tIns="91440" rIns="91440" bIns="91440" anchor="t" anchorCtr="0" upright="1">
                        <a:noAutofit/>
                      </wps:bodyPr>
                    </wps:wsp>
                  </a:graphicData>
                </a:graphic>
              </wp:anchor>
            </w:drawing>
          </mc:Choice>
          <mc:Fallback>
            <w:pict>
              <v:shape id="Text Box 5" o:spid="_x0000_s1029" type="#_x0000_t202" style="position:absolute;left:0;text-align:left;margin-left:100.5pt;margin-top:122pt;width:133.5pt;height:33.7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" strokeweight="1.5pt">
                <v:textbox inset=",7.2pt,,7.2pt">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v:textbox>
              </v:shape>
            </w:pict>
          </mc:Fallback>
        </mc:AlternateContent>
      </w:r>
      <w:r w:rsidR="00B97ED7">
        <w:rPr>
          <w:noProof/>
          <w:lang w:eastAsia="en-US"/>
        </w:rPr>
        <mc:AlternateContent>
          <mc:Choice Requires="wpg">
            <w:drawing>
              <wp:anchor distT="0" distB="0" distL="114300" distR="114300" simplePos="0" relativeHeight="251661824" behindDoc="0" locked="0" layoutInCell="1" allowOverlap="1" wp14:anchorId="5CD3A954" wp14:editId="3F13EB9C">
                <wp:simplePos x="0" y="0"/>
                <wp:positionH relativeFrom="column">
                  <wp:posOffset>1631950</wp:posOffset>
                </wp:positionH>
                <wp:positionV relativeFrom="paragraph">
                  <wp:posOffset>7820660</wp:posOffset>
                </wp:positionV>
                <wp:extent cx="2171700" cy="683260"/>
                <wp:effectExtent l="12700" t="10160" r="0" b="1905"/>
                <wp:wrapNone/>
                <wp:docPr id="2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26" name="Text Box 32"/>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0E9" w:rsidRDefault="00BD40E9" w:rsidP="006B3D40">
                              <w:r>
                                <w:rPr>
                                  <w:snapToGrid w:val="0"/>
                                </w:rPr>
                                <w:t>Confidential per WAC 48</w:t>
                              </w:r>
                            </w:p>
                          </w:txbxContent>
                        </wps:txbx>
                        <wps:bodyPr rot="0" vert="horz" wrap="square" lIns="91440" tIns="91440" rIns="91440" bIns="91440" anchor="t" anchorCtr="0" upright="1">
                          <a:noAutofit/>
                        </wps:bodyPr>
                      </wps:wsp>
                      <wps:wsp>
                        <wps:cNvPr id="27" name="Text Box 33"/>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BD40E9" w:rsidRPr="00EC3DC8" w:rsidRDefault="00BD40E9" w:rsidP="006B3D4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9" style="position:absolute;left:0;text-align:left;margin-left:128.5pt;margin-top:615.8pt;width:171pt;height:53.8pt;z-index:251661824"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">
                <v:shape id="Text Box 32" o:spid="_x0000_s1030"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s8IA&#10;AADbAAAADwAAAGRycy9kb3ducmV2LnhtbESPQYvCMBSE74L/ITxhb5oqS5GuURZB0Nuuinp8NK9p&#10;sXkpTazd/fVGEDwOM/MNs1j1thYdtb5yrGA6SUAQ505XbBQcD5vxHIQPyBprx6TgjzyslsPBAjPt&#10;7vxL3T4YESHsM1RQhtBkUvq8JIt+4hri6BWutRiibI3ULd4j3NZyliSptFhxXCixoXVJ+XV/swrO&#10;Jt3VP/OrLj4v/6epuXXdelco9THqv79ABOrDO/xqb7WCWQ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vKzwgAAANsAAAAPAAAAAAAAAAAAAAAAAJgCAABkcnMvZG93&#10;bnJldi54bWxQSwUGAAAAAAQABAD1AAAAhwMAAAAA&#10;" fillcolor="gray" stroked="f">
                  <v:textbox inset=",7.2pt,,7.2pt">
                    <w:txbxContent>
                      <w:p w:rsidR="00BD40E9" w:rsidRDefault="00BD40E9" w:rsidP="006B3D40">
                        <w:r>
                          <w:rPr>
                            <w:snapToGrid w:val="0"/>
                          </w:rPr>
                          <w:t>Confidential per WAC 48</w:t>
                        </w:r>
                      </w:p>
                    </w:txbxContent>
                  </v:textbox>
                </v:shape>
                <v:shape id="Text Box 33" o:spid="_x0000_s1031"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asIA&#10;AADbAAAADwAAAGRycy9kb3ducmV2LnhtbERPTWuDQBS8F/oflhfIpcS1KTXBZhOKEAheSkzw/HBf&#10;VeK+te5G7b/vFgq9zTBfzO4wm06MNLjWsoLnKAZBXFndcq3gejmutiCcR9bYWSYF3+TgsH982GGq&#10;7cRnGgtfi1DCLkUFjfd9KqWrGjLoItsTB+3TDgZ9oEMt9YBTKDedXMdxIg22HBYa7ClrqLoVd6Mg&#10;y8sAz18fZfnSvSZ5MWVPWa3UcjG/v4HwNPt/81/6pBWsN/D7Jf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EZ5qwgAAANsAAAAPAAAAAAAAAAAAAAAAAJgCAABkcnMvZG93&#10;bnJldi54bWxQSwUGAAAAAAQABAD1AAAAhwMAAAAA&#10;" strokeweight="1.5pt">
                  <v:textbox inset=",7.2pt,,7.2pt">
                    <w:txbxContent>
                      <w:p w:rsidR="00BD40E9" w:rsidRPr="00EC3DC8" w:rsidRDefault="00BD40E9" w:rsidP="006B3D4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r w:rsidR="00304961">
        <w:t>A.</w:t>
      </w:r>
      <w:r w:rsidR="00304961">
        <w:tab/>
        <w:t>With respect to hedging strategies for specific time periods or quantities of energy, the EMC has approved a Programmatic Hedging Strategy.  The original programmatic hedging strategy was approved by the EMC on July 22, 2004, with a PSE staff transactional purview of</w:t>
      </w:r>
      <w:r w:rsidR="008D2A6E">
        <w:t xml:space="preserve"> ██████</w:t>
      </w:r>
      <w:r w:rsidR="00304961">
        <w:t xml:space="preserve">.  The term of the EMC approved </w:t>
      </w:r>
      <w:r w:rsidR="00304961">
        <w:lastRenderedPageBreak/>
        <w:t xml:space="preserve">programmatic hedge strategy originally consisted of the last </w:t>
      </w:r>
      <w:r w:rsidR="008D2A6E">
        <w:t>██████</w:t>
      </w:r>
      <w:r w:rsidR="00304961">
        <w:t xml:space="preserve"> of the </w:t>
      </w:r>
      <w:r w:rsidR="008D2A6E">
        <w:t>██ ██████</w:t>
      </w:r>
      <w:r w:rsidR="00304961">
        <w:t xml:space="preserve"> purview ("Programmatically Managed Hedge"), but was reduced to </w:t>
      </w:r>
      <w:r w:rsidR="008D2A6E">
        <w:t>██</w:t>
      </w:r>
      <w:r w:rsidR="00304961" w:rsidRPr="007A03B8">
        <w:rPr>
          <w:highlight w:val="lightGray"/>
        </w:rPr>
        <w:t xml:space="preserve"> </w:t>
      </w:r>
      <w:r w:rsidR="004D0137">
        <w:rPr>
          <w:noProof/>
          <w:lang w:eastAsia="en-US"/>
        </w:rPr>
        <mc:AlternateContent>
          <mc:Choice Requires="wpg">
            <w:drawing>
              <wp:anchor distT="0" distB="0" distL="114300" distR="114300" simplePos="0" relativeHeight="251655680" behindDoc="0" locked="0" layoutInCell="1" allowOverlap="1" wp14:anchorId="2F84F23B" wp14:editId="1A4DA098">
                <wp:simplePos x="0" y="0"/>
                <wp:positionH relativeFrom="column">
                  <wp:posOffset>1527175</wp:posOffset>
                </wp:positionH>
                <wp:positionV relativeFrom="paragraph">
                  <wp:posOffset>9273540</wp:posOffset>
                </wp:positionV>
                <wp:extent cx="2223135" cy="5875655"/>
                <wp:effectExtent l="0" t="0" r="5715" b="0"/>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5875655"/>
                          <a:chOff x="4505" y="6456"/>
                          <a:chExt cx="4423" cy="6708"/>
                        </a:xfrm>
                      </wpg:grpSpPr>
                      <wps:wsp>
                        <wps:cNvPr id="23" name="Text Box 13"/>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0E9" w:rsidRDefault="00BD40E9" w:rsidP="0050324F">
                              <w:r>
                                <w:rPr>
                                  <w:snapToGrid w:val="0"/>
                                </w:rPr>
                                <w:t>Confidential per WAC 48</w:t>
                              </w:r>
                            </w:p>
                          </w:txbxContent>
                        </wps:txbx>
                        <wps:bodyPr rot="0" vert="horz" wrap="square" lIns="91440" tIns="91440" rIns="91440" bIns="91440" anchor="t" anchorCtr="0" upright="1">
                          <a:noAutofit/>
                        </wps:bodyPr>
                      </wps:wsp>
                      <wps:wsp>
                        <wps:cNvPr id="24" name="Text Box 14"/>
                        <wps:cNvSpPr txBox="1">
                          <a:spLocks noChangeArrowheads="1"/>
                        </wps:cNvSpPr>
                        <wps:spPr bwMode="auto">
                          <a:xfrm>
                            <a:off x="4505" y="6456"/>
                            <a:ext cx="4167" cy="630"/>
                          </a:xfrm>
                          <a:prstGeom prst="rect">
                            <a:avLst/>
                          </a:prstGeom>
                          <a:solidFill>
                            <a:srgbClr val="FFFFFF"/>
                          </a:solidFill>
                          <a:ln w="19050">
                            <a:solidFill>
                              <a:srgbClr val="000000"/>
                            </a:solidFill>
                            <a:miter lim="800000"/>
                            <a:headEnd/>
                            <a:tailEnd/>
                          </a:ln>
                        </wps:spPr>
                        <wps:txbx>
                          <w:txbxContent>
                            <w:p w:rsidR="00BD40E9" w:rsidRPr="00EC3DC8" w:rsidRDefault="00BD40E9" w:rsidP="0050324F">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2" style="position:absolute;left:0;text-align:left;margin-left:120.25pt;margin-top:730.2pt;width:175.05pt;height:462.65pt;z-index:251655680" coordorigin="4505,6456" coordsize="4423,6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">
                <v:shape id="Text Box 13" o:spid="_x0000_s1033"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lRK8QA&#10;AADbAAAADwAAAGRycy9kb3ducmV2LnhtbESPQWvCQBSE74X+h+UVems2pkVC6ipFKNRbq2J7fGRf&#10;NsHs25DdxNRf7wqCx2FmvmEWq8m2YqTeN44VzJIUBHHpdMNGwX73+ZKD8AFZY+uYFPyTh9Xy8WGB&#10;hXYn/qFxG4yIEPYFKqhD6AopfVmTRZ+4jjh6lesthih7I3WPpwi3rczSdC4tNhwXauxoXVN53A5W&#10;wa+Zb9rv/Kirt7/zYWaGcVxvKqWen6aPdxCBpnAP39pfWkH2C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ZUSvEAAAA2wAAAA8AAAAAAAAAAAAAAAAAmAIAAGRycy9k&#10;b3ducmV2LnhtbFBLBQYAAAAABAAEAPUAAACJAwAAAAA=&#10;" fillcolor="gray" stroked="f">
                  <v:textbox inset=",7.2pt,,7.2pt">
                    <w:txbxContent>
                      <w:p w:rsidR="00BD40E9" w:rsidRDefault="00BD40E9" w:rsidP="0050324F">
                        <w:r>
                          <w:rPr>
                            <w:snapToGrid w:val="0"/>
                          </w:rPr>
                          <w:t>Confidential per WAC 48</w:t>
                        </w:r>
                      </w:p>
                    </w:txbxContent>
                  </v:textbox>
                </v:shape>
                <v:shape id="Text Box 14" o:spid="_x0000_s1034" type="#_x0000_t202" style="position:absolute;left:4505;top:64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MAHcIA&#10;AADbAAAADwAAAGRycy9kb3ducmV2LnhtbERPTWuDQBS8F/oflhfIpdS1aSPFZBOKEAheSkzw/HBf&#10;VOK+te5G7b/vFgq9zTBfzHY/m06MNLjWsoKXKAZBXFndcq3gcj48v4NwHlljZ5kUfJOD/e7xYYup&#10;thOfaCx8LUIJuxQVNN73qZSuasigi2xPHLSrHQz6QIda6gGnUG46uYrjRBpsOSw02FPWUHUr7kZB&#10;lpcBnr4+y/K1Wyd5MWVPWa3UcjF/bEB4mv2/+S991ApWb/D7Jfw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wAdwgAAANsAAAAPAAAAAAAAAAAAAAAAAJgCAABkcnMvZG93&#10;bnJldi54bWxQSwUGAAAAAAQABAD1AAAAhwMAAAAA&#10;" strokeweight="1.5pt">
                  <v:textbox inset=",7.2pt,,7.2pt">
                    <w:txbxContent>
                      <w:p w:rsidR="00BD40E9" w:rsidRPr="00EC3DC8" w:rsidRDefault="00BD40E9" w:rsidP="0050324F">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r w:rsidR="008D2A6E">
        <w:t>██████</w:t>
      </w:r>
      <w:r w:rsidR="00304961">
        <w:t xml:space="preserve"> in early 2006.  The balance of the </w:t>
      </w:r>
      <w:r w:rsidR="008D2A6E">
        <w:t>██████</w:t>
      </w:r>
      <w:r w:rsidR="00304961">
        <w:t xml:space="preserve"> purview were actively managed ("Actively Managed Hedge") in accordance with the EMC approved Energy Supply Hedging and Optimization Procedures Manual ("Procedures Manual").  In October 2007, PSE extended department staff’s transactional purview from </w:t>
      </w:r>
      <w:r w:rsidR="008D2A6E">
        <w:t>███</w:t>
      </w:r>
      <w:r w:rsidR="00304961">
        <w:t xml:space="preserve"> to </w:t>
      </w:r>
      <w:r w:rsidR="008D2A6E">
        <w:t>█████</w:t>
      </w:r>
      <w:r w:rsidR="00304961">
        <w:t xml:space="preserve">.  At that time, the balance of the current month plus the first full </w:t>
      </w:r>
      <w:r w:rsidR="008D2A6E">
        <w:t>██████</w:t>
      </w:r>
      <w:r w:rsidR="00304961">
        <w:t xml:space="preserve"> became the Actively Managed Hedge in accordance with the Procedures Manual and the latter </w:t>
      </w:r>
      <w:r w:rsidR="008D2A6E">
        <w:t>██████</w:t>
      </w:r>
      <w:r w:rsidR="003C2429">
        <w:t xml:space="preserve"> (the period always includes a full quarter so varies from being </w:t>
      </w:r>
      <w:r w:rsidR="008D2A6E">
        <w:t>█████████</w:t>
      </w:r>
      <w:r w:rsidR="003C2429">
        <w:t>)</w:t>
      </w:r>
      <w:r w:rsidR="00304961">
        <w:t xml:space="preserve"> became the Programmatically Managed Hedge in accordance with the EMC approved strategy.  </w:t>
      </w:r>
      <w:r w:rsidR="004B2E7F">
        <w:t xml:space="preserve">ESM </w:t>
      </w:r>
      <w:r w:rsidR="00304961">
        <w:t xml:space="preserve">department </w:t>
      </w:r>
      <w:r w:rsidR="004D5E66">
        <w:t>staff utilize</w:t>
      </w:r>
      <w:r w:rsidR="00304961">
        <w:t xml:space="preserve"> the Programmatically Managed Hedge </w:t>
      </w:r>
      <w:r w:rsidR="003951F0">
        <w:t xml:space="preserve">process </w:t>
      </w:r>
      <w:r w:rsidR="00304961">
        <w:t xml:space="preserve">to systematically reduce PSE’s net power portfolio exposure beginning </w:t>
      </w:r>
      <w:r w:rsidR="008D2A6E">
        <w:t>█████</w:t>
      </w:r>
      <w:r w:rsidR="00304961">
        <w:t xml:space="preserve"> in advance of the month in which the power will be needed to serve PSE’s load.  This process is described in greater detail below and in Exhibit No. __</w:t>
      </w:r>
      <w:r w:rsidR="0043150C">
        <w:t>_ (</w:t>
      </w:r>
      <w:r w:rsidR="00304961">
        <w:t xml:space="preserve">DEM-3C), which also steps through a sample month, </w:t>
      </w:r>
      <w:r w:rsidR="00740ECC">
        <w:t>March 2014</w:t>
      </w:r>
      <w:r w:rsidR="00304961">
        <w:t xml:space="preserve">.  Such exposure reduction is subject to </w:t>
      </w:r>
      <w:r w:rsidR="00304961" w:rsidRPr="00C96461">
        <w:t>minimum</w:t>
      </w:r>
      <w:r w:rsidR="00304961" w:rsidRPr="00F82926">
        <w:t xml:space="preserve"> and </w:t>
      </w:r>
      <w:r w:rsidR="00304961" w:rsidRPr="00C96461">
        <w:t>maximum</w:t>
      </w:r>
      <w:r w:rsidR="00304961">
        <w:t xml:space="preserve"> monthly limits to reduce timing and market risks associated with hedging activities.</w:t>
      </w:r>
      <w:r w:rsidR="00C75B3B">
        <w:t xml:space="preserve"> </w:t>
      </w:r>
      <w:r w:rsidR="00304961" w:rsidRPr="0009082F">
        <w:t xml:space="preserve">Pursuant to the hedging strategies in effect during the </w:t>
      </w:r>
      <w:r w:rsidR="00AB1FCA">
        <w:t>PCA Period 13</w:t>
      </w:r>
      <w:r w:rsidR="00304961" w:rsidRPr="0009082F">
        <w:t xml:space="preserve">, by at least </w:t>
      </w:r>
      <w:r w:rsidR="008D2A6E">
        <w:t>██████</w:t>
      </w:r>
      <w:r w:rsidR="00304961" w:rsidRPr="0009082F">
        <w:t xml:space="preserve"> prior to delivery, the bulk of the hedging strategies and transactions have been made, leaving primarily only balancing transactions needed to respond to changes in market heat rates, load, hydro conditions, unit assumptions and other portfolio changes.  Decisions about hedges for delivery during the </w:t>
      </w:r>
      <w:r>
        <w:rPr>
          <w:noProof/>
          <w:lang w:eastAsia="en-US"/>
        </w:rPr>
        <mc:AlternateContent>
          <mc:Choice Requires="wps">
            <w:drawing>
              <wp:anchor distT="0" distB="0" distL="114300" distR="114300" simplePos="0" relativeHeight="251671040" behindDoc="0" locked="0" layoutInCell="1" allowOverlap="1" wp14:anchorId="34B689AC" wp14:editId="59CC51C4">
                <wp:simplePos x="0" y="0"/>
                <wp:positionH relativeFrom="column">
                  <wp:posOffset>1524000</wp:posOffset>
                </wp:positionH>
                <wp:positionV relativeFrom="paragraph">
                  <wp:posOffset>8219440</wp:posOffset>
                </wp:positionV>
                <wp:extent cx="1695450" cy="427990"/>
                <wp:effectExtent l="0" t="0" r="19050" b="1016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27990"/>
                        </a:xfrm>
                        <a:prstGeom prst="rect">
                          <a:avLst/>
                        </a:prstGeom>
                        <a:solidFill>
                          <a:srgbClr val="FFFFFF"/>
                        </a:solidFill>
                        <a:ln w="19050">
                          <a:solidFill>
                            <a:srgbClr val="000000"/>
                          </a:solidFill>
                          <a:miter lim="800000"/>
                          <a:headEnd/>
                          <a:tailEnd/>
                        </a:ln>
                      </wps:spPr>
                      <wps:txbx>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wps:txbx>
                      <wps:bodyPr rot="0" vert="horz" wrap="square" lIns="91440" tIns="91440" rIns="91440" bIns="91440" anchor="t" anchorCtr="0" upright="1">
                        <a:noAutofit/>
                      </wps:bodyPr>
                    </wps:wsp>
                  </a:graphicData>
                </a:graphic>
              </wp:anchor>
            </w:drawing>
          </mc:Choice>
          <mc:Fallback>
            <w:pict>
              <v:shape id="_x0000_s1036" type="#_x0000_t202" style="position:absolute;left:0;text-align:left;margin-left:120pt;margin-top:647.2pt;width:133.5pt;height:33.7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" strokeweight="1.5pt">
                <v:textbox inset=",7.2pt,,7.2pt">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v:textbox>
              </v:shape>
            </w:pict>
          </mc:Fallback>
        </mc:AlternateContent>
      </w:r>
      <w:r w:rsidR="00304961" w:rsidRPr="0009082F">
        <w:t xml:space="preserve">Actively Managed Hedge are made by </w:t>
      </w:r>
      <w:r w:rsidR="004B2E7F" w:rsidRPr="004B2E7F">
        <w:t>ESM</w:t>
      </w:r>
      <w:r w:rsidR="004B2E7F">
        <w:t xml:space="preserve"> </w:t>
      </w:r>
      <w:r w:rsidR="00304961" w:rsidRPr="0009082F">
        <w:t xml:space="preserve">department staff, within limits set out </w:t>
      </w:r>
      <w:r w:rsidR="00304961" w:rsidRPr="0009082F">
        <w:lastRenderedPageBreak/>
        <w:t xml:space="preserve">in PSE’s Procedures Manual.  </w:t>
      </w:r>
    </w:p>
    <w:p w:rsidR="00304961" w:rsidRDefault="00304961" w:rsidP="004902F6">
      <w:pPr>
        <w:pStyle w:val="question"/>
        <w:keepLines/>
        <w:widowControl/>
      </w:pPr>
      <w:r>
        <w:t>Q.</w:t>
      </w:r>
      <w:r>
        <w:tab/>
        <w:t xml:space="preserve">How does PSE integrate hedging activities </w:t>
      </w:r>
      <w:r w:rsidR="001D307E">
        <w:t>with its power portfolio modeling</w:t>
      </w:r>
      <w:r>
        <w:t>?</w:t>
      </w:r>
    </w:p>
    <w:p w:rsidR="00304961" w:rsidRDefault="00304961" w:rsidP="008D5B9A">
      <w:pPr>
        <w:pStyle w:val="answer"/>
        <w:widowControl w:val="0"/>
      </w:pPr>
      <w:r>
        <w:t>A.</w:t>
      </w:r>
      <w:r>
        <w:tab/>
        <w:t>PSE’s risk system employs production cost modeling techniques to estimate future demand for on- and off-peak power and natural gas for PSE’s fleet of gas-fired power plants.  This risk system permits PSE to model scenarios of prices, hydro conditions, load projections, generating and contracted resources and other inputs as required to represent future projected portfolio needs.</w:t>
      </w:r>
    </w:p>
    <w:p w:rsidR="00304961" w:rsidRDefault="00304961" w:rsidP="008D5B9A">
      <w:pPr>
        <w:pStyle w:val="answer"/>
        <w:widowControl w:val="0"/>
        <w:ind w:firstLine="0"/>
      </w:pPr>
      <w:r>
        <w:t xml:space="preserve">To model a variety of scenarios regarding PSE’s gas-fired generation, the risk system takes into account each plant’s individual operating characteristics, including: unit efficiency, start-up costs, variable operating costs, minimum run times, planned and unplanned outages, and unit availability.  The risk system performs simulations of different market conditions and various outages in order to develop an estimate of the gas volumes required to produce a volume of power.  The plants are modeled on an hourly basis and the information is aggregated into daily and monthly time frames for purposes of developing a forward-looking position.  The </w:t>
      </w:r>
      <w:r w:rsidRPr="001C1FE5">
        <w:t>risk system incorporates information about hedges that PSE staff has already executed</w:t>
      </w:r>
      <w:r>
        <w:t xml:space="preserve"> to</w:t>
      </w:r>
      <w:r w:rsidRPr="001C1FE5">
        <w:t xml:space="preserve"> model whether the portfolio is surplus or deficit.</w:t>
      </w:r>
      <w:r>
        <w:t xml:space="preserve">  The risk system incorporates the inter-relationship between gas and power prices in developing its probabilistic gas and power positions.  In different market scenarios, PSE’s gas or power requirements will change.  The reason for this is twofold.  First, the plants have different operating efficiencies (known as "heat rates") and become economic to dispatch at different price differentials between power and gas.  </w:t>
      </w:r>
      <w:r>
        <w:lastRenderedPageBreak/>
        <w:t>Second, the forward market prices for power and gas change frequently and the price relationship between power and gas, known as the "implied market heat rate", change as well.  At certain implied market heat rates, PSE will expect to run each plant at an expected rate, and the total of all the plant requirements can be calculated.  But if market conditions change, PSE will expect to adjust its gas and power purchases and sales in order to serve load with the most economic resources.  For example, it may be more economic</w:t>
      </w:r>
      <w:r w:rsidR="004D0137">
        <w:t>al</w:t>
      </w:r>
      <w:r>
        <w:t xml:space="preserve"> to purchase power than to purchase gas to generate the power PSE needs to serve its load.  </w:t>
      </w:r>
    </w:p>
    <w:p w:rsidR="00304961" w:rsidRDefault="00304961" w:rsidP="004902F6">
      <w:pPr>
        <w:pStyle w:val="question"/>
        <w:keepLines/>
        <w:widowControl/>
      </w:pPr>
      <w:r>
        <w:t>Q.</w:t>
      </w:r>
      <w:r>
        <w:tab/>
        <w:t>Please describe the output that the electric portfolio risk system produces.</w:t>
      </w:r>
    </w:p>
    <w:p w:rsidR="00304961" w:rsidRDefault="00304961" w:rsidP="00A70260">
      <w:pPr>
        <w:pStyle w:val="answer"/>
        <w:widowControl w:val="0"/>
      </w:pPr>
      <w:r>
        <w:t>A.</w:t>
      </w:r>
      <w:r>
        <w:tab/>
        <w:t xml:space="preserve">The risk system generates a probabilistic volumetric position report, comprised of 250 scenarios, for on- and off-peak power and gas for power.  The position report shows, for each of the months following the date of the report, the resource types in PSE’s power position grouped by:  short-term purchase and sale transactions, long-term contracts, Combustion Turbines ("CT") grouped by heat rate efficiency of the facilities, </w:t>
      </w:r>
      <w:r w:rsidR="002E1719">
        <w:t>Non-Utility</w:t>
      </w:r>
      <w:r>
        <w:t xml:space="preserve"> Generators/Qualifying Facilities ("NUGs/QFs"), Coal Plants, Wind and Hydro (both PSE-owned and Mid-C contracts).  Based on this volumetric position for each month, the risk system also generates the potential exposure associated with the "open" positions (defined as any net surplus or deficit amount as compared to the load demand).  </w:t>
      </w:r>
      <w:r w:rsidRPr="003B70C1">
        <w:rPr>
          <w:i/>
        </w:rPr>
        <w:t>See</w:t>
      </w:r>
      <w:r>
        <w:t xml:space="preserve"> </w:t>
      </w:r>
      <w:r w:rsidRPr="00B67439">
        <w:t xml:space="preserve">Exhibit </w:t>
      </w:r>
      <w:r>
        <w:t>No. ___(DEM</w:t>
      </w:r>
      <w:r w:rsidRPr="00B67439">
        <w:t>-</w:t>
      </w:r>
      <w:r>
        <w:t>4</w:t>
      </w:r>
      <w:r w:rsidRPr="00B67439">
        <w:t>C</w:t>
      </w:r>
      <w:r>
        <w:t>)</w:t>
      </w:r>
      <w:r w:rsidRPr="00B67439">
        <w:t>.</w:t>
      </w:r>
    </w:p>
    <w:p w:rsidR="00304961" w:rsidRDefault="00304961" w:rsidP="004902F6">
      <w:pPr>
        <w:pStyle w:val="question"/>
        <w:keepLines/>
        <w:widowControl/>
      </w:pPr>
      <w:r>
        <w:t>Q.</w:t>
      </w:r>
      <w:r>
        <w:tab/>
        <w:t>How does PSE use the electric portfolio risk system to help make hedging decisions?</w:t>
      </w:r>
    </w:p>
    <w:p w:rsidR="00304961" w:rsidRDefault="00304961" w:rsidP="008D5B9A">
      <w:pPr>
        <w:pStyle w:val="answer"/>
        <w:widowControl w:val="0"/>
      </w:pPr>
      <w:r>
        <w:t>A.</w:t>
      </w:r>
      <w:r>
        <w:tab/>
        <w:t xml:space="preserve">Once PSE’s aggregated energy position and net exposure are defined for a </w:t>
      </w:r>
      <w:r>
        <w:lastRenderedPageBreak/>
        <w:t xml:space="preserve">particular period, the </w:t>
      </w:r>
      <w:r w:rsidR="00F1500C">
        <w:t xml:space="preserve">ESM </w:t>
      </w:r>
      <w:r>
        <w:t xml:space="preserve">department evaluates and develops risk management strategy proposals and/or executes transactions around the purchase or sale of gas or power, as appropriate, to </w:t>
      </w:r>
      <w:r w:rsidR="00C035B8">
        <w:t xml:space="preserve">ratably </w:t>
      </w:r>
      <w:r>
        <w:t>move toward a balanced position and reduced exposure.  Execution entails entering into specific transactions with approved counterparties, approved instruments, executed master agreements and available credit.</w:t>
      </w:r>
    </w:p>
    <w:p w:rsidR="00304961" w:rsidRDefault="00304961" w:rsidP="004902F6">
      <w:pPr>
        <w:pStyle w:val="question"/>
        <w:keepLines/>
        <w:widowControl/>
      </w:pPr>
      <w:r>
        <w:t>Q.</w:t>
      </w:r>
      <w:r>
        <w:tab/>
        <w:t>How does PSE use the risk system to implement its Programmatic Hedging Plan?</w:t>
      </w:r>
    </w:p>
    <w:p w:rsidR="00304961" w:rsidRPr="00F93438" w:rsidRDefault="00304961" w:rsidP="001C1FE5">
      <w:pPr>
        <w:pStyle w:val="answer"/>
        <w:widowControl w:val="0"/>
      </w:pPr>
      <w:r w:rsidRPr="00F93438">
        <w:t>A.</w:t>
      </w:r>
      <w:r w:rsidRPr="00F93438">
        <w:tab/>
      </w:r>
      <w:r w:rsidRPr="00F46D48">
        <w:t xml:space="preserve">As described above, </w:t>
      </w:r>
      <w:r>
        <w:t>PSE’s</w:t>
      </w:r>
      <w:r w:rsidRPr="00F46D48">
        <w:t xml:space="preserve"> </w:t>
      </w:r>
      <w:r>
        <w:t xml:space="preserve">Programmatic Hedging </w:t>
      </w:r>
      <w:r w:rsidRPr="00F46D48">
        <w:t xml:space="preserve">Plan is set up to systematically reduce the total net exposure for </w:t>
      </w:r>
      <w:r>
        <w:t xml:space="preserve">each </w:t>
      </w:r>
      <w:r w:rsidRPr="00F46D48">
        <w:t xml:space="preserve">of the </w:t>
      </w:r>
      <w:r w:rsidR="008D2A6E">
        <w:t>█████████</w:t>
      </w:r>
      <w:r w:rsidRPr="00F46D48">
        <w:t xml:space="preserve"> beyond the next </w:t>
      </w:r>
      <w:r w:rsidR="008D2A6E">
        <w:t>███</w:t>
      </w:r>
      <w:r w:rsidRPr="00693ECE">
        <w:rPr>
          <w:highlight w:val="lightGray"/>
        </w:rPr>
        <w:t xml:space="preserve"> </w:t>
      </w:r>
      <w:r w:rsidR="008D2A6E">
        <w:t>███</w:t>
      </w:r>
      <w:r w:rsidRPr="00F46D48">
        <w:t xml:space="preserve"> timeframe, within maximum and minimum limits </w:t>
      </w:r>
      <w:r>
        <w:t xml:space="preserve">on </w:t>
      </w:r>
      <w:r w:rsidRPr="00F46D48">
        <w:t xml:space="preserve">the amount of hedging that can or must be done each month, so that the total net exposure for </w:t>
      </w:r>
      <w:r>
        <w:t>each</w:t>
      </w:r>
      <w:r w:rsidRPr="00F46D48">
        <w:t xml:space="preserve"> month will fall within the limits </w:t>
      </w:r>
      <w:r>
        <w:t>set forth in the Procedures Manual</w:t>
      </w:r>
      <w:r w:rsidRPr="00F46D48">
        <w:t xml:space="preserve">.  </w:t>
      </w:r>
      <w:r>
        <w:t>Every month, t</w:t>
      </w:r>
      <w:r w:rsidRPr="00F46D48">
        <w:t xml:space="preserve">he </w:t>
      </w:r>
      <w:r>
        <w:t xml:space="preserve">risk system calculates the total </w:t>
      </w:r>
      <w:r w:rsidRPr="00F46D48">
        <w:t xml:space="preserve">net exposure </w:t>
      </w:r>
      <w:r>
        <w:t xml:space="preserve">to be reduced </w:t>
      </w:r>
      <w:r w:rsidRPr="00F46D48">
        <w:t>for each</w:t>
      </w:r>
      <w:r>
        <w:t xml:space="preserve"> of the </w:t>
      </w:r>
      <w:r w:rsidR="008D2A6E">
        <w:t>████</w:t>
      </w:r>
      <w:r>
        <w:t xml:space="preserve"> in the Programmatically Managed Hedge period</w:t>
      </w:r>
      <w:r w:rsidRPr="00F46D48">
        <w:t>.</w:t>
      </w:r>
      <w:r w:rsidRPr="00F93438">
        <w:t xml:space="preserve"> </w:t>
      </w:r>
    </w:p>
    <w:p w:rsidR="00304961" w:rsidRPr="00F93438" w:rsidRDefault="00304961" w:rsidP="004902F6">
      <w:pPr>
        <w:pStyle w:val="question"/>
        <w:keepLines/>
        <w:widowControl/>
      </w:pPr>
      <w:r w:rsidRPr="00F93438">
        <w:t>Q.</w:t>
      </w:r>
      <w:r w:rsidRPr="00F93438">
        <w:tab/>
        <w:t>Do</w:t>
      </w:r>
      <w:r>
        <w:t xml:space="preserve">es </w:t>
      </w:r>
      <w:r w:rsidRPr="00F93438">
        <w:t xml:space="preserve">Energy Portfolio Management </w:t>
      </w:r>
      <w:r>
        <w:t>s</w:t>
      </w:r>
      <w:r w:rsidRPr="00F93438">
        <w:t xml:space="preserve">taff implement the </w:t>
      </w:r>
      <w:r>
        <w:t xml:space="preserve">Programmatic </w:t>
      </w:r>
      <w:r w:rsidRPr="00F93438">
        <w:t xml:space="preserve">Hedging Plan </w:t>
      </w:r>
      <w:r>
        <w:t>by relying only on</w:t>
      </w:r>
      <w:r w:rsidRPr="00F93438">
        <w:t xml:space="preserve"> the net exposure?</w:t>
      </w:r>
      <w:r>
        <w:t xml:space="preserve"> </w:t>
      </w:r>
    </w:p>
    <w:p w:rsidR="00304961" w:rsidRDefault="00E91159" w:rsidP="001C1FE5">
      <w:pPr>
        <w:pStyle w:val="answer"/>
        <w:widowControl w:val="0"/>
      </w:pPr>
      <w:r>
        <w:rPr>
          <w:noProof/>
          <w:lang w:eastAsia="en-US"/>
        </w:rPr>
        <mc:AlternateContent>
          <mc:Choice Requires="wps">
            <w:drawing>
              <wp:anchor distT="0" distB="0" distL="114300" distR="114300" simplePos="0" relativeHeight="251673088" behindDoc="0" locked="0" layoutInCell="1" allowOverlap="1" wp14:anchorId="6DCE24A1" wp14:editId="18601CF1">
                <wp:simplePos x="0" y="0"/>
                <wp:positionH relativeFrom="column">
                  <wp:posOffset>1714500</wp:posOffset>
                </wp:positionH>
                <wp:positionV relativeFrom="paragraph">
                  <wp:posOffset>1756410</wp:posOffset>
                </wp:positionV>
                <wp:extent cx="1695450" cy="427990"/>
                <wp:effectExtent l="0" t="0" r="19050" b="1016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27990"/>
                        </a:xfrm>
                        <a:prstGeom prst="rect">
                          <a:avLst/>
                        </a:prstGeom>
                        <a:solidFill>
                          <a:srgbClr val="FFFFFF"/>
                        </a:solidFill>
                        <a:ln w="19050">
                          <a:solidFill>
                            <a:srgbClr val="000000"/>
                          </a:solidFill>
                          <a:miter lim="800000"/>
                          <a:headEnd/>
                          <a:tailEnd/>
                        </a:ln>
                      </wps:spPr>
                      <wps:txbx>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wps:txbx>
                      <wps:bodyPr rot="0" vert="horz" wrap="square" lIns="91440" tIns="91440" rIns="91440" bIns="91440" anchor="t" anchorCtr="0" upright="1">
                        <a:noAutofit/>
                      </wps:bodyPr>
                    </wps:wsp>
                  </a:graphicData>
                </a:graphic>
              </wp:anchor>
            </w:drawing>
          </mc:Choice>
          <mc:Fallback>
            <w:pict>
              <v:shape id="_x0000_s1037" type="#_x0000_t202" style="position:absolute;left:0;text-align:left;margin-left:135pt;margin-top:138.3pt;width:133.5pt;height:33.7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" strokeweight="1.5pt">
                <v:textbox inset=",7.2pt,,7.2pt">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v:textbox>
              </v:shape>
            </w:pict>
          </mc:Fallback>
        </mc:AlternateContent>
      </w:r>
      <w:r w:rsidR="00304961">
        <w:t>A.</w:t>
      </w:r>
      <w:r w:rsidR="00304961">
        <w:tab/>
      </w:r>
      <w:r w:rsidR="00304961" w:rsidRPr="00F46D48">
        <w:t>No.  The net exposure drives transactions only to the point of showing whether PSE</w:t>
      </w:r>
      <w:r w:rsidR="00304961">
        <w:t>’</w:t>
      </w:r>
      <w:r w:rsidR="00304961" w:rsidRPr="00F46D48">
        <w:t xml:space="preserve">s exposure is within the maximum and minimum monthly limits of the </w:t>
      </w:r>
      <w:r w:rsidR="00304961">
        <w:t>p</w:t>
      </w:r>
      <w:r w:rsidR="00304961" w:rsidRPr="00F46D48">
        <w:t xml:space="preserve">lan.  </w:t>
      </w:r>
      <w:r w:rsidR="00F1500C">
        <w:t xml:space="preserve">ESM </w:t>
      </w:r>
      <w:r w:rsidR="00304961">
        <w:t>department</w:t>
      </w:r>
      <w:r w:rsidR="00304961" w:rsidRPr="00F46D48">
        <w:t xml:space="preserve"> staff must then make use of market fundamentals, water supply and weather forecasts that impact the wholesale electric and gas markets to decide whether to press toward the maximum or minimum monthly limits, or somewhere </w:t>
      </w:r>
      <w:r w:rsidR="00304961" w:rsidRPr="00F46D48">
        <w:lastRenderedPageBreak/>
        <w:t xml:space="preserve">in between.  </w:t>
      </w:r>
      <w:r w:rsidR="00F1500C">
        <w:t xml:space="preserve">ESM </w:t>
      </w:r>
      <w:r w:rsidR="00304961">
        <w:t>department staff also determines</w:t>
      </w:r>
      <w:r w:rsidR="00304961" w:rsidRPr="00F46D48">
        <w:t xml:space="preserve"> when and how to execute </w:t>
      </w:r>
      <w:r w:rsidR="00304961">
        <w:t xml:space="preserve">such </w:t>
      </w:r>
      <w:r w:rsidR="00304961" w:rsidRPr="00F46D48">
        <w:t>transactions to maintain</w:t>
      </w:r>
      <w:r w:rsidR="00304961">
        <w:t xml:space="preserve"> each months </w:t>
      </w:r>
      <w:r w:rsidR="00304961" w:rsidRPr="00F46D48">
        <w:t xml:space="preserve">net exposure </w:t>
      </w:r>
      <w:r w:rsidR="00304961">
        <w:t xml:space="preserve">reduction </w:t>
      </w:r>
      <w:r w:rsidR="00304961" w:rsidRPr="00F46D48">
        <w:t>within the maximum and minimum limits.</w:t>
      </w:r>
      <w:r w:rsidR="00304961">
        <w:t xml:space="preserve"> </w:t>
      </w:r>
    </w:p>
    <w:p w:rsidR="00304961" w:rsidRDefault="00304961" w:rsidP="004902F6">
      <w:pPr>
        <w:pStyle w:val="question"/>
        <w:keepLines/>
        <w:widowControl/>
      </w:pPr>
      <w:r>
        <w:t>Q.</w:t>
      </w:r>
      <w:r>
        <w:tab/>
        <w:t>How does PSE’s staff develop a view of appropriate hedging strategies for the power portfolio?</w:t>
      </w:r>
    </w:p>
    <w:p w:rsidR="00304961" w:rsidRDefault="00304961" w:rsidP="000C43C5">
      <w:pPr>
        <w:pStyle w:val="answer"/>
        <w:widowControl w:val="0"/>
      </w:pPr>
      <w:r>
        <w:t>A.</w:t>
      </w:r>
      <w:r>
        <w:tab/>
        <w:t xml:space="preserve">The </w:t>
      </w:r>
      <w:r w:rsidR="00F1500C">
        <w:t xml:space="preserve">ESM </w:t>
      </w:r>
      <w:r>
        <w:t xml:space="preserve">department utilizes a wide set of tools and sources of information to help them make informed decisions about dispatching plants, purchasing fuel and executing hedges approved by the EMC.  They also hold </w:t>
      </w:r>
      <w:r w:rsidR="003951F0">
        <w:t xml:space="preserve">regular </w:t>
      </w:r>
      <w:r>
        <w:t xml:space="preserve">meetings </w:t>
      </w:r>
      <w:r w:rsidR="003951F0">
        <w:t>to</w:t>
      </w:r>
      <w:r>
        <w:t xml:space="preserve"> review operational events, discuss market trends</w:t>
      </w:r>
      <w:r w:rsidR="00622644">
        <w:t>,</w:t>
      </w:r>
      <w:r>
        <w:t xml:space="preserve"> fundamentals </w:t>
      </w:r>
      <w:r w:rsidR="00622644">
        <w:t xml:space="preserve">and technical analysis </w:t>
      </w:r>
      <w:r>
        <w:t xml:space="preserve">and review supply and demand information.  Within this context, the teams work together to understand the exposures in the portfolio and discuss where hedging priorities occur.  Underlying all this teamwork is an </w:t>
      </w:r>
      <w:r w:rsidR="00F1500C">
        <w:t xml:space="preserve">ESM </w:t>
      </w:r>
      <w:r>
        <w:t>department staff with years of experience in energy trading, optimization and risk management.</w:t>
      </w:r>
    </w:p>
    <w:p w:rsidR="00304961" w:rsidRDefault="00304961" w:rsidP="004902F6">
      <w:pPr>
        <w:pStyle w:val="question"/>
        <w:keepLines/>
        <w:widowControl/>
      </w:pPr>
      <w:r>
        <w:t>Q.</w:t>
      </w:r>
      <w:r>
        <w:tab/>
        <w:t xml:space="preserve">What types of information does the Energy Portfolio Management staff consider?  </w:t>
      </w:r>
    </w:p>
    <w:p w:rsidR="00304961" w:rsidRDefault="00304961" w:rsidP="008D5B9A">
      <w:pPr>
        <w:pStyle w:val="answer"/>
        <w:widowControl w:val="0"/>
      </w:pPr>
      <w:r>
        <w:t>A.</w:t>
      </w:r>
      <w:r>
        <w:tab/>
        <w:t xml:space="preserve">The </w:t>
      </w:r>
      <w:r w:rsidR="00F1500C">
        <w:t xml:space="preserve">ESM </w:t>
      </w:r>
      <w:r>
        <w:t>department collects a wide range of data to monitor supply/demand factors, which include but are not limited to: weather trends; macro</w:t>
      </w:r>
      <w:r w:rsidR="002E1719">
        <w:t>-</w:t>
      </w:r>
      <w:r>
        <w:t>economic factors; crude oil markets; gas storage inventories across the United States, Canada and in the western United States; hydro run-off forecasts; reservoir storage; precipitation and snow pack; and more.  Additionally, PSE staff review forecasted wholesale market prices and supply/demand fundamentals, such as trading firm publications and consulting service forecasts.</w:t>
      </w:r>
    </w:p>
    <w:p w:rsidR="00304961" w:rsidRDefault="00F1500C" w:rsidP="00D63EDC">
      <w:pPr>
        <w:pStyle w:val="answer"/>
        <w:widowControl w:val="0"/>
        <w:ind w:firstLine="0"/>
      </w:pPr>
      <w:r>
        <w:lastRenderedPageBreak/>
        <w:t xml:space="preserve">ESM </w:t>
      </w:r>
      <w:r w:rsidR="00304961">
        <w:t xml:space="preserve">department </w:t>
      </w:r>
      <w:r w:rsidR="004D5E66">
        <w:t>staff also receives</w:t>
      </w:r>
      <w:r w:rsidR="00304961">
        <w:t xml:space="preserve"> real-time information from a variety of sources such as:  McGraw Hill (Gas Daily, Megawatt Daily), </w:t>
      </w:r>
      <w:r w:rsidR="00304961" w:rsidRPr="00D6117D">
        <w:t>Future Source</w:t>
      </w:r>
      <w:r w:rsidR="00304961">
        <w:t>; Intercontinental Exchange (live price data); live broker lines where current transactions are communicated th</w:t>
      </w:r>
      <w:r w:rsidR="003D0A52">
        <w:t>r</w:t>
      </w:r>
      <w:r w:rsidR="00304961">
        <w:t xml:space="preserve">ough a speaker system, and other tools. The </w:t>
      </w:r>
      <w:r>
        <w:t xml:space="preserve">ESM </w:t>
      </w:r>
      <w:r w:rsidR="00304961">
        <w:t>department also has instantaneous data coming from PSE’s systems operations staff so they can view load and generation dispatch data on a real-time basis.</w:t>
      </w:r>
    </w:p>
    <w:p w:rsidR="00304961" w:rsidRDefault="00304961" w:rsidP="00D63EDC">
      <w:pPr>
        <w:pStyle w:val="answer"/>
        <w:widowControl w:val="0"/>
        <w:ind w:firstLine="0"/>
      </w:pPr>
      <w:r>
        <w:t xml:space="preserve">In addition to using such information and processes to implement the current Programmatic Hedging Plan, the </w:t>
      </w:r>
      <w:r w:rsidR="00F1500C">
        <w:t xml:space="preserve">ESM </w:t>
      </w:r>
      <w:r>
        <w:t xml:space="preserve">department also uses such information to develop recommendations to the EMC regarding potential changes to PSE’s overarching hedging strategies or to recommend transactions that do not fall within those strategies. </w:t>
      </w:r>
    </w:p>
    <w:p w:rsidR="00304961" w:rsidRDefault="00304961" w:rsidP="004902F6">
      <w:pPr>
        <w:pStyle w:val="question"/>
        <w:keepLines/>
        <w:widowControl/>
      </w:pPr>
      <w:r>
        <w:t>Q.</w:t>
      </w:r>
      <w:r>
        <w:tab/>
        <w:t>Does PSE use any other tools to manage its energy portfolio</w:t>
      </w:r>
      <w:r w:rsidRPr="006869C4">
        <w:t xml:space="preserve">? </w:t>
      </w:r>
    </w:p>
    <w:p w:rsidR="00440867" w:rsidRDefault="00304961">
      <w:pPr>
        <w:pStyle w:val="answer"/>
        <w:widowControl w:val="0"/>
      </w:pPr>
      <w:r>
        <w:t>A.</w:t>
      </w:r>
      <w:r>
        <w:tab/>
        <w:t xml:space="preserve">Yes.  PSE uses a counterparty credit risk management system </w:t>
      </w:r>
      <w:r w:rsidR="00F1500C">
        <w:t xml:space="preserve">in establishing and monitoring counterparty credit limits. Counterparty exposure is calculated and monitored </w:t>
      </w:r>
      <w:r w:rsidR="000E02F6">
        <w:t>frequently</w:t>
      </w:r>
      <w:r w:rsidR="00F1500C">
        <w:t xml:space="preserve"> and PSE staff is permitted to transact only within the established credit limits. </w:t>
      </w:r>
    </w:p>
    <w:p w:rsidR="00304961" w:rsidRDefault="00304961" w:rsidP="004902F6">
      <w:pPr>
        <w:pStyle w:val="question"/>
        <w:keepLines/>
        <w:widowControl/>
      </w:pPr>
      <w:r>
        <w:t>Q.</w:t>
      </w:r>
      <w:r>
        <w:tab/>
        <w:t xml:space="preserve">What guidance does PSE have in place for approaching risk management strategy proposals? </w:t>
      </w:r>
    </w:p>
    <w:p w:rsidR="00304961" w:rsidRDefault="00304961" w:rsidP="008D5B9A">
      <w:pPr>
        <w:pStyle w:val="answer"/>
        <w:widowControl w:val="0"/>
      </w:pPr>
      <w:r>
        <w:t>A.</w:t>
      </w:r>
      <w:r>
        <w:tab/>
        <w:t>Many years ago, PSE moved from a more "discretionary" model of making hedging decisions to a more "programm</w:t>
      </w:r>
      <w:r w:rsidR="000E02F6">
        <w:t>atic" approach to hedging.  This “</w:t>
      </w:r>
      <w:r>
        <w:t>dollar-cost averaging</w:t>
      </w:r>
      <w:r w:rsidR="000E02F6">
        <w:t>”</w:t>
      </w:r>
      <w:r>
        <w:t xml:space="preserve"> strategy established a disciplined approach to purchasing a defined </w:t>
      </w:r>
      <w:r>
        <w:lastRenderedPageBreak/>
        <w:t>volume of gas or power on a monthly basis.  In applying this strategy, PSE typically established plans to purchase hedges for specific forward time periods, with the goal of purchasing a defined amount of power and gas in order to ratably reduce the deficit positions by a small amount each month.</w:t>
      </w:r>
    </w:p>
    <w:p w:rsidR="00304961" w:rsidRDefault="00304961" w:rsidP="000C43C5">
      <w:pPr>
        <w:pStyle w:val="answer"/>
        <w:widowControl w:val="0"/>
        <w:ind w:firstLine="0"/>
      </w:pPr>
      <w:r>
        <w:t>By spring 2003, the EMC had approved expansion of this concept to an "Exposure-based Dollar Cost Averaging."  This refinement moved PSE from defining a specific commodity and volume to be hedged every month to a dollar amount of risk reduction to be accomplished every month.  Under this approach, the EMC would approve a dollar figure of risk to be reduced, and PSE staff would determine whether it was better to hedge gas or power.  As market prices move up or down, the dollar amount allows for less or greater volumetric purchases</w:t>
      </w:r>
      <w:r w:rsidRPr="00CB236C">
        <w:t xml:space="preserve"> </w:t>
      </w:r>
      <w:r>
        <w:t>of power or gas for power.</w:t>
      </w:r>
    </w:p>
    <w:p w:rsidR="00304961" w:rsidRDefault="00304961" w:rsidP="000C43C5">
      <w:pPr>
        <w:pStyle w:val="answer"/>
        <w:widowControl w:val="0"/>
        <w:ind w:firstLine="0"/>
      </w:pPr>
      <w:r>
        <w:t xml:space="preserve">In May 2004, during PCA Period 2, PSE began to employ a metric called Margin at Risk ("MaR"), which measures risk reduction as a result of incremental hedging.  PSE has incorporated the MaR concept into the evaluation process for hedge strategies to measure risk reduction for various alternatives.  A series of hedge strategies (transaction types) are run through the portfolio, providing a table of how much risk reduction is gained by month and by strategy.  The MaR concept assists with deciding how to allocate dollars, thus providing an additional tool for choosing between available commodities.  </w:t>
      </w:r>
      <w:r w:rsidRPr="00127432">
        <w:rPr>
          <w:i/>
        </w:rPr>
        <w:t>See</w:t>
      </w:r>
      <w:r w:rsidRPr="00127432">
        <w:t xml:space="preserve"> Exhibit </w:t>
      </w:r>
      <w:r>
        <w:t>No. ___(DEM</w:t>
      </w:r>
      <w:r w:rsidRPr="00127432">
        <w:t>-</w:t>
      </w:r>
      <w:r w:rsidR="008F787E">
        <w:t>5</w:t>
      </w:r>
      <w:r w:rsidRPr="00127432">
        <w:t>C</w:t>
      </w:r>
      <w:r>
        <w:t>)</w:t>
      </w:r>
      <w:r w:rsidRPr="00127432">
        <w:t>.</w:t>
      </w:r>
    </w:p>
    <w:p w:rsidR="00304961" w:rsidRDefault="00304961" w:rsidP="005A7DA7">
      <w:pPr>
        <w:pStyle w:val="answer"/>
        <w:widowControl w:val="0"/>
        <w:ind w:firstLine="0"/>
      </w:pPr>
      <w:r>
        <w:t>In July 2004, the EMC approved a continuation of a dollar cost averaging strategy (hedging</w:t>
      </w:r>
      <w:r w:rsidRPr="003D3990">
        <w:t xml:space="preserve"> on a regular schedule over a lengthy period</w:t>
      </w:r>
      <w:r>
        <w:t xml:space="preserve">) informed by MaR.  However, </w:t>
      </w:r>
      <w:r>
        <w:lastRenderedPageBreak/>
        <w:t xml:space="preserve">the EMC directed that PSE staff monitor and more actively address the exposure associated with PSE’s power portfolio position </w:t>
      </w:r>
      <w:r w:rsidR="008D2A6E">
        <w:t>██████</w:t>
      </w:r>
      <w:r>
        <w:t xml:space="preserve"> ahead of the time the power would be needed. On January 7, 2006, the Rolling </w:t>
      </w:r>
      <w:r w:rsidR="008D2A6E">
        <w:t>██████</w:t>
      </w:r>
      <w:r>
        <w:t xml:space="preserve"> Hedging Plan was amended to be a Rolling </w:t>
      </w:r>
      <w:r w:rsidR="008D2A6E">
        <w:t>██████</w:t>
      </w:r>
      <w:r>
        <w:t xml:space="preserve"> Hedge to guide hedging decisions for the </w:t>
      </w:r>
      <w:r w:rsidR="008D2A6E">
        <w:t>█</w:t>
      </w:r>
      <w:r>
        <w:t xml:space="preserve"> to </w:t>
      </w:r>
      <w:r w:rsidR="008D2A6E">
        <w:t>██████</w:t>
      </w:r>
      <w:r>
        <w:t xml:space="preserve"> time frame. In October 2007, this hedging plan was extended and now covers the </w:t>
      </w:r>
      <w:r w:rsidR="008D2A6E">
        <w:t>███</w:t>
      </w:r>
      <w:r>
        <w:t xml:space="preserve"> to </w:t>
      </w:r>
      <w:r w:rsidR="008D2A6E">
        <w:t xml:space="preserve">████ </w:t>
      </w:r>
      <w:r>
        <w:t xml:space="preserve">time frame ("Programmatically Managed Hedge"). This hedging plan </w:t>
      </w:r>
      <w:r w:rsidR="0084793C">
        <w:t xml:space="preserve">reduced hedge concentration by extending the dollar cost averaging approach to a longer period of time, and </w:t>
      </w:r>
      <w:r>
        <w:t>increased staff’s ability to react to position changes as a result of forecast customer demand, stream-flow variations, forced thermal plant outages, and changing market conditions.</w:t>
      </w:r>
    </w:p>
    <w:p w:rsidR="00304961" w:rsidRDefault="00F1500C" w:rsidP="005A7DA7">
      <w:pPr>
        <w:pStyle w:val="answer"/>
        <w:widowControl w:val="0"/>
        <w:ind w:firstLine="0"/>
      </w:pPr>
      <w:r>
        <w:t>ESM</w:t>
      </w:r>
      <w:r w:rsidR="00304961">
        <w:t xml:space="preserve"> department staff use the Programmatically Managed Hedge</w:t>
      </w:r>
      <w:r w:rsidR="00304961" w:rsidDel="00515A04">
        <w:t xml:space="preserve"> </w:t>
      </w:r>
      <w:r w:rsidR="00304961">
        <w:t xml:space="preserve">to systematically reduce PSE’s net power portfolio exposure (including natural gas for power generation) beginning </w:t>
      </w:r>
      <w:r w:rsidR="008D2A6E">
        <w:t>██████</w:t>
      </w:r>
      <w:r w:rsidR="00304961">
        <w:t xml:space="preserve"> in advance of the month in which the power is needed to serve PSE’s load.  </w:t>
      </w:r>
      <w:r w:rsidR="002F1CD3">
        <w:t>In 2014, in an effort to continually improve, Staff started to use other tools to provide enhanced hedging decision support.  Examples include stochastic price simulations, portfolio cost simulation and scenario analysis, portfolio sensitivity analysis and option pricing models.</w:t>
      </w:r>
    </w:p>
    <w:p w:rsidR="00304961" w:rsidRPr="00A15F2B" w:rsidRDefault="00304961" w:rsidP="004902F6">
      <w:pPr>
        <w:pStyle w:val="question"/>
        <w:keepLines/>
        <w:widowControl/>
      </w:pPr>
      <w:r w:rsidRPr="00A15F2B">
        <w:t>Q.</w:t>
      </w:r>
      <w:r w:rsidRPr="00A15F2B">
        <w:tab/>
      </w:r>
      <w:r>
        <w:t>How does the Programmatically Managed Hedge Plan work?</w:t>
      </w:r>
    </w:p>
    <w:p w:rsidR="00304961" w:rsidRDefault="00304961" w:rsidP="00010045">
      <w:pPr>
        <w:pStyle w:val="answer"/>
        <w:widowControl w:val="0"/>
      </w:pPr>
      <w:r>
        <w:t>A.</w:t>
      </w:r>
      <w:r>
        <w:tab/>
        <w:t xml:space="preserve">As mentioned above, in October 2007, PSE extended staff’s transactional purview from </w:t>
      </w:r>
      <w:r w:rsidR="008D2A6E">
        <w:t xml:space="preserve">███ </w:t>
      </w:r>
      <w:r>
        <w:t>to</w:t>
      </w:r>
      <w:r w:rsidRPr="001272D8">
        <w:rPr>
          <w:shd w:val="clear" w:color="auto" w:fill="C0C0C0"/>
        </w:rPr>
        <w:t xml:space="preserve"> </w:t>
      </w:r>
      <w:r w:rsidR="008D2A6E">
        <w:t>██████</w:t>
      </w:r>
      <w:r>
        <w:t xml:space="preserve">.  At that time, the first </w:t>
      </w:r>
      <w:r w:rsidR="008D2A6E">
        <w:t>██████</w:t>
      </w:r>
      <w:r>
        <w:t xml:space="preserve"> became the Actively Managed Hedge in accordance with the Procedures Manual and the remaining </w:t>
      </w:r>
      <w:r w:rsidR="00D52874">
        <w:t>██ ██████</w:t>
      </w:r>
      <w:r>
        <w:t xml:space="preserve"> became the "Programm</w:t>
      </w:r>
      <w:r w:rsidR="00E91159">
        <w:rPr>
          <w:noProof/>
          <w:lang w:eastAsia="en-US"/>
        </w:rPr>
        <mc:AlternateContent>
          <mc:Choice Requires="wps">
            <w:drawing>
              <wp:anchor distT="0" distB="0" distL="114300" distR="114300" simplePos="0" relativeHeight="251675136" behindDoc="0" locked="0" layoutInCell="1" allowOverlap="1" wp14:anchorId="5BACFEAB" wp14:editId="16B2CBA7">
                <wp:simplePos x="0" y="0"/>
                <wp:positionH relativeFrom="column">
                  <wp:posOffset>1428750</wp:posOffset>
                </wp:positionH>
                <wp:positionV relativeFrom="paragraph">
                  <wp:posOffset>1777365</wp:posOffset>
                </wp:positionV>
                <wp:extent cx="1695635" cy="428351"/>
                <wp:effectExtent l="0" t="0" r="19050" b="1016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635" cy="428351"/>
                        </a:xfrm>
                        <a:prstGeom prst="rect">
                          <a:avLst/>
                        </a:prstGeom>
                        <a:solidFill>
                          <a:srgbClr val="FFFFFF"/>
                        </a:solidFill>
                        <a:ln w="19050">
                          <a:solidFill>
                            <a:srgbClr val="000000"/>
                          </a:solidFill>
                          <a:miter lim="800000"/>
                          <a:headEnd/>
                          <a:tailEnd/>
                        </a:ln>
                      </wps:spPr>
                      <wps:txbx>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wps:txbx>
                      <wps:bodyPr rot="0" vert="horz" wrap="square" lIns="91440" tIns="91440" rIns="91440" bIns="91440" anchor="t" anchorCtr="0" upright="1">
                        <a:noAutofit/>
                      </wps:bodyPr>
                    </wps:wsp>
                  </a:graphicData>
                </a:graphic>
              </wp:anchor>
            </w:drawing>
          </mc:Choice>
          <mc:Fallback>
            <w:pict>
              <v:shape id="_x0000_s1038" type="#_x0000_t202" style="position:absolute;left:0;text-align:left;margin-left:112.5pt;margin-top:139.95pt;width:133.5pt;height:33.7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" strokeweight="1.5pt">
                <v:textbox inset=",7.2pt,,7.2pt">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v:textbox>
              </v:shape>
            </w:pict>
          </mc:Fallback>
        </mc:AlternateContent>
      </w:r>
      <w:r>
        <w:t xml:space="preserve">atically Managed Hedge" in accordance with the </w:t>
      </w:r>
      <w:r>
        <w:lastRenderedPageBreak/>
        <w:t>EMC approved strategy.  The revised strategy retained many of the same features as the previous hedging strategy.  These include</w:t>
      </w:r>
    </w:p>
    <w:p w:rsidR="00304961" w:rsidRDefault="00304961" w:rsidP="008D5B9A">
      <w:pPr>
        <w:pStyle w:val="answer"/>
        <w:widowControl w:val="0"/>
        <w:spacing w:after="240" w:line="240" w:lineRule="auto"/>
        <w:ind w:left="2160"/>
      </w:pPr>
      <w:r>
        <w:t>(i)</w:t>
      </w:r>
      <w:r>
        <w:tab/>
        <w:t>a required ratable reduction of monthly commodity exposure removed each month;</w:t>
      </w:r>
    </w:p>
    <w:p w:rsidR="00304961" w:rsidRDefault="00304961" w:rsidP="008D5B9A">
      <w:pPr>
        <w:pStyle w:val="answer"/>
        <w:widowControl w:val="0"/>
        <w:spacing w:after="240" w:line="240" w:lineRule="auto"/>
        <w:ind w:left="2160"/>
      </w:pPr>
      <w:r>
        <w:t>(ii)</w:t>
      </w:r>
      <w:r>
        <w:tab/>
        <w:t>the volume of monthly hedging and intra-month timing for hedging is informed by market fundamentals; and</w:t>
      </w:r>
    </w:p>
    <w:p w:rsidR="00304961" w:rsidRDefault="00304961" w:rsidP="008D5B9A">
      <w:pPr>
        <w:pStyle w:val="answer"/>
        <w:widowControl w:val="0"/>
        <w:spacing w:after="240" w:line="240" w:lineRule="auto"/>
        <w:ind w:left="2160"/>
      </w:pPr>
      <w:r>
        <w:t>(iii)</w:t>
      </w:r>
      <w:r>
        <w:tab/>
        <w:t>hedging targets are established on the basis of the minimum or maximum amount of commodity exposure allowed under the EMC approved strategy.</w:t>
      </w:r>
    </w:p>
    <w:p w:rsidR="00304961" w:rsidRDefault="00304961" w:rsidP="008D5B9A">
      <w:pPr>
        <w:pStyle w:val="answer"/>
        <w:widowControl w:val="0"/>
        <w:ind w:firstLine="0"/>
      </w:pPr>
      <w:r>
        <w:t>The revised plan requires that on or before</w:t>
      </w:r>
      <w:r w:rsidRPr="001272D8">
        <w:rPr>
          <w:shd w:val="clear" w:color="auto" w:fill="C0C0C0"/>
        </w:rPr>
        <w:t xml:space="preserve"> </w:t>
      </w:r>
      <w:r w:rsidR="00D52874">
        <w:t>██████</w:t>
      </w:r>
      <w:r>
        <w:t xml:space="preserve"> ahead of delivery, the bulk of the hedging strategies and transactions have been made per this programmatic plan.  These revisions enable PSE to monitor and more actively address the exposure associated with PSE’s power portfolio position </w:t>
      </w:r>
      <w:r w:rsidR="00D52874">
        <w:t>██████</w:t>
      </w:r>
      <w:r>
        <w:t xml:space="preserve"> ahead of the time the power would be needed to serve load.</w:t>
      </w:r>
    </w:p>
    <w:p w:rsidR="00304961" w:rsidRDefault="00304961" w:rsidP="004902F6">
      <w:pPr>
        <w:pStyle w:val="question"/>
        <w:keepLines/>
        <w:widowControl/>
      </w:pPr>
      <w:r>
        <w:t>Q.</w:t>
      </w:r>
      <w:r>
        <w:tab/>
        <w:t>Why did PSE extend its hedging strategies?</w:t>
      </w:r>
    </w:p>
    <w:p w:rsidR="00304961" w:rsidRDefault="00E91159" w:rsidP="000C43C5">
      <w:pPr>
        <w:pStyle w:val="answer"/>
        <w:widowControl w:val="0"/>
      </w:pPr>
      <w:r>
        <w:rPr>
          <w:noProof/>
          <w:lang w:eastAsia="en-US"/>
        </w:rPr>
        <mc:AlternateContent>
          <mc:Choice Requires="wps">
            <w:drawing>
              <wp:anchor distT="0" distB="0" distL="114300" distR="114300" simplePos="0" relativeHeight="251677184" behindDoc="0" locked="0" layoutInCell="1" allowOverlap="1" wp14:anchorId="5BACFEAB" wp14:editId="16B2CBA7">
                <wp:simplePos x="0" y="0"/>
                <wp:positionH relativeFrom="column">
                  <wp:posOffset>1657350</wp:posOffset>
                </wp:positionH>
                <wp:positionV relativeFrom="paragraph">
                  <wp:posOffset>3141345</wp:posOffset>
                </wp:positionV>
                <wp:extent cx="1695635" cy="428351"/>
                <wp:effectExtent l="0" t="0" r="19050" b="1016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635" cy="428351"/>
                        </a:xfrm>
                        <a:prstGeom prst="rect">
                          <a:avLst/>
                        </a:prstGeom>
                        <a:solidFill>
                          <a:srgbClr val="FFFFFF"/>
                        </a:solidFill>
                        <a:ln w="19050">
                          <a:solidFill>
                            <a:srgbClr val="000000"/>
                          </a:solidFill>
                          <a:miter lim="800000"/>
                          <a:headEnd/>
                          <a:tailEnd/>
                        </a:ln>
                      </wps:spPr>
                      <wps:txbx>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wps:txbx>
                      <wps:bodyPr rot="0" vert="horz" wrap="square" lIns="91440" tIns="91440" rIns="91440" bIns="91440" anchor="t" anchorCtr="0" upright="1">
                        <a:noAutofit/>
                      </wps:bodyPr>
                    </wps:wsp>
                  </a:graphicData>
                </a:graphic>
              </wp:anchor>
            </w:drawing>
          </mc:Choice>
          <mc:Fallback>
            <w:pict>
              <v:shape id="_x0000_s1039" type="#_x0000_t202" style="position:absolute;left:0;text-align:left;margin-left:130.5pt;margin-top:247.35pt;width:133.5pt;height:33.7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" strokeweight="1.5pt">
                <v:textbox inset=",7.2pt,,7.2pt">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v:textbox>
              </v:shape>
            </w:pict>
          </mc:Fallback>
        </mc:AlternateContent>
      </w:r>
      <w:r w:rsidR="00304961">
        <w:t>A.</w:t>
      </w:r>
      <w:r w:rsidR="00304961">
        <w:tab/>
        <w:t xml:space="preserve">Prior to extending the term of the hedging strategies, PSE engaged in a very detailed best-practices benchmarking and market research initiative.  These efforts revealed that customers prefer a longer period of rate stability and that industry leading companies were engaged in longer term hedging practices than PSE.  Given this and other information, PSE determined it could be beneficial to expand its hedging horizons.  </w:t>
      </w:r>
    </w:p>
    <w:p w:rsidR="00304961" w:rsidRDefault="00304961" w:rsidP="004902F6">
      <w:pPr>
        <w:pStyle w:val="Heading3"/>
        <w:spacing w:before="240" w:after="320"/>
      </w:pPr>
      <w:bookmarkStart w:id="54" w:name="_Toc113183765"/>
      <w:bookmarkStart w:id="55" w:name="_Toc144558075"/>
      <w:bookmarkStart w:id="56" w:name="_Toc144694605"/>
      <w:bookmarkStart w:id="57" w:name="_Toc162867955"/>
      <w:bookmarkStart w:id="58" w:name="_Toc318890602"/>
      <w:bookmarkStart w:id="59" w:name="_Toc382897920"/>
      <w:bookmarkStart w:id="60" w:name="_Toc414978790"/>
      <w:r w:rsidRPr="000C43C5">
        <w:rPr>
          <w:u w:val="none"/>
        </w:rPr>
        <w:lastRenderedPageBreak/>
        <w:t>2.</w:t>
      </w:r>
      <w:r w:rsidRPr="000C43C5">
        <w:rPr>
          <w:u w:val="none"/>
        </w:rPr>
        <w:tab/>
      </w:r>
      <w:r>
        <w:t xml:space="preserve">Application of PSE’s Risk Management System to </w:t>
      </w:r>
      <w:r w:rsidR="00AB1FCA">
        <w:t>PCA Period 13</w:t>
      </w:r>
      <w:r>
        <w:t xml:space="preserve"> Power Costs</w:t>
      </w:r>
      <w:bookmarkEnd w:id="54"/>
      <w:bookmarkEnd w:id="55"/>
      <w:bookmarkEnd w:id="56"/>
      <w:bookmarkEnd w:id="57"/>
      <w:bookmarkEnd w:id="58"/>
      <w:bookmarkEnd w:id="59"/>
      <w:bookmarkEnd w:id="60"/>
    </w:p>
    <w:p w:rsidR="00304961" w:rsidRDefault="00304961" w:rsidP="004902F6">
      <w:pPr>
        <w:pStyle w:val="question"/>
        <w:keepLines/>
        <w:widowControl/>
      </w:pPr>
      <w:r>
        <w:t>Q.</w:t>
      </w:r>
      <w:r>
        <w:tab/>
        <w:t xml:space="preserve">Would you provide some examples of how PSE applied the risk management systems, tools and strategies described above with respect to </w:t>
      </w:r>
      <w:r w:rsidR="00AB1FCA">
        <w:t>PCA Period 13</w:t>
      </w:r>
      <w:r>
        <w:t xml:space="preserve"> power supply and costs? </w:t>
      </w:r>
    </w:p>
    <w:p w:rsidR="009F7306" w:rsidRDefault="00304961" w:rsidP="00D32EC1">
      <w:pPr>
        <w:pStyle w:val="answer"/>
        <w:widowControl w:val="0"/>
      </w:pPr>
      <w:r>
        <w:t>A.</w:t>
      </w:r>
      <w:r>
        <w:tab/>
        <w:t xml:space="preserve">Yes.  Take, for example, PSE’s </w:t>
      </w:r>
      <w:r w:rsidR="00C24F83">
        <w:t>power demand</w:t>
      </w:r>
      <w:r>
        <w:t xml:space="preserve"> for </w:t>
      </w:r>
      <w:r w:rsidR="003D0A52">
        <w:t>March 2014</w:t>
      </w:r>
      <w:r>
        <w:t xml:space="preserve">.  </w:t>
      </w:r>
      <w:r w:rsidR="00C24F83">
        <w:t>I</w:t>
      </w:r>
      <w:r>
        <w:t xml:space="preserve">n </w:t>
      </w:r>
      <w:r w:rsidR="00D52874">
        <w:t>██████</w:t>
      </w:r>
      <w:r>
        <w:t xml:space="preserve">, </w:t>
      </w:r>
      <w:r w:rsidR="003D0A52">
        <w:t>March 2014</w:t>
      </w:r>
      <w:r w:rsidR="005A58A3">
        <w:t xml:space="preserve"> rolled into staff’s Programmatically Managed Hedge purview.</w:t>
      </w:r>
      <w:r w:rsidR="00E03B84">
        <w:t xml:space="preserve">  </w:t>
      </w:r>
      <w:r>
        <w:t xml:space="preserve">PSE’s </w:t>
      </w:r>
      <w:r w:rsidR="00F1500C">
        <w:t>ESM</w:t>
      </w:r>
      <w:r>
        <w:t xml:space="preserve"> staff began to actively reduce spot market price exposure for the delivery period </w:t>
      </w:r>
      <w:r w:rsidR="003D0A52">
        <w:t>March 2014</w:t>
      </w:r>
      <w:r>
        <w:t xml:space="preserve">.  From </w:t>
      </w:r>
      <w:r w:rsidR="00D52874">
        <w:t>██████</w:t>
      </w:r>
      <w:r w:rsidR="00421448">
        <w:t xml:space="preserve"> through </w:t>
      </w:r>
      <w:r w:rsidR="00D52874">
        <w:t>███████████</w:t>
      </w:r>
      <w:r>
        <w:t xml:space="preserve">, on a monthly or bi-monthly basis, </w:t>
      </w:r>
      <w:r w:rsidR="00F1500C">
        <w:t>ESM</w:t>
      </w:r>
      <w:r>
        <w:t xml:space="preserve"> department staff developed strategies to reduce PSE’s </w:t>
      </w:r>
      <w:r w:rsidR="00C24F83">
        <w:t xml:space="preserve">power cost </w:t>
      </w:r>
      <w:r>
        <w:t xml:space="preserve">exposure for </w:t>
      </w:r>
      <w:r w:rsidR="009C1695">
        <w:t>March 2014</w:t>
      </w:r>
      <w:r>
        <w:t xml:space="preserve">.  </w:t>
      </w:r>
      <w:r w:rsidR="00C24F83">
        <w:t>S</w:t>
      </w:r>
      <w:r>
        <w:t xml:space="preserve">trategies </w:t>
      </w:r>
      <w:r w:rsidR="00C24F83">
        <w:t>incorporated hydro conditions, weather, supply/demand fundamentals, market implied heat rates and</w:t>
      </w:r>
      <w:r>
        <w:t xml:space="preserve"> updated Position and Exposure Reports generated by PSE’s risk system</w:t>
      </w:r>
      <w:r w:rsidR="00C24F83">
        <w:t>.</w:t>
      </w:r>
      <w:r w:rsidR="008F787E">
        <w:t xml:space="preserve"> </w:t>
      </w:r>
      <w:r w:rsidRPr="00807E17">
        <w:t xml:space="preserve">See Exhibit </w:t>
      </w:r>
      <w:r>
        <w:t>No. __</w:t>
      </w:r>
      <w:r w:rsidR="0043150C">
        <w:t>_ (</w:t>
      </w:r>
      <w:r>
        <w:t>DEM</w:t>
      </w:r>
      <w:r w:rsidRPr="00807E17">
        <w:t>-3C</w:t>
      </w:r>
      <w:r>
        <w:t xml:space="preserve">) for discussion of the hedges transacted for </w:t>
      </w:r>
      <w:r w:rsidR="009C1695">
        <w:t>March 2014</w:t>
      </w:r>
      <w:r>
        <w:t>, which are presented in Exhibit Nos. ___(DEM-</w:t>
      </w:r>
      <w:r w:rsidR="008F787E">
        <w:t>6</w:t>
      </w:r>
      <w:r>
        <w:t>C) and ___(DEM-</w:t>
      </w:r>
      <w:r w:rsidR="008F787E">
        <w:t>7</w:t>
      </w:r>
      <w:r>
        <w:t>C).</w:t>
      </w:r>
      <w:r w:rsidR="00D32EC1">
        <w:t xml:space="preserve"> </w:t>
      </w:r>
    </w:p>
    <w:p w:rsidR="009F7306" w:rsidRDefault="009F7306" w:rsidP="009F7306">
      <w:pPr>
        <w:pStyle w:val="answer"/>
        <w:widowControl w:val="0"/>
        <w:ind w:firstLine="0"/>
      </w:pPr>
      <w:r>
        <w:t>Beginning in March 2013, the power supply for March 2014 rolled into staff’s Actively Managed Hedge - at which point s</w:t>
      </w:r>
      <w:r w:rsidRPr="001C2986">
        <w:t xml:space="preserve">taff </w:t>
      </w:r>
      <w:r>
        <w:t xml:space="preserve">continued to </w:t>
      </w:r>
      <w:r w:rsidRPr="001C2986">
        <w:t>analyze PSE</w:t>
      </w:r>
      <w:r>
        <w:t>’</w:t>
      </w:r>
      <w:r w:rsidRPr="001C2986">
        <w:t xml:space="preserve">s position for </w:t>
      </w:r>
      <w:r>
        <w:t xml:space="preserve">March 2014 </w:t>
      </w:r>
      <w:r w:rsidRPr="001C2986">
        <w:t>on a</w:t>
      </w:r>
      <w:r>
        <w:t xml:space="preserve"> daily basis and, based on market conditions and other information available to them at the time, took actions to reduce PSE’s exposure under the authority and limits of the Procedures Manual.</w:t>
      </w:r>
    </w:p>
    <w:p w:rsidR="009F7306" w:rsidRDefault="00E91159" w:rsidP="009F7306">
      <w:pPr>
        <w:pStyle w:val="answer"/>
        <w:widowControl w:val="0"/>
        <w:ind w:firstLine="0"/>
      </w:pPr>
      <w:r>
        <w:rPr>
          <w:noProof/>
          <w:lang w:eastAsia="en-US"/>
        </w:rPr>
        <mc:AlternateContent>
          <mc:Choice Requires="wps">
            <w:drawing>
              <wp:anchor distT="0" distB="0" distL="114300" distR="114300" simplePos="0" relativeHeight="251679232" behindDoc="0" locked="0" layoutInCell="1" allowOverlap="1" wp14:anchorId="5AF267F1" wp14:editId="208A7B0B">
                <wp:simplePos x="0" y="0"/>
                <wp:positionH relativeFrom="column">
                  <wp:posOffset>1733550</wp:posOffset>
                </wp:positionH>
                <wp:positionV relativeFrom="paragraph">
                  <wp:posOffset>1195070</wp:posOffset>
                </wp:positionV>
                <wp:extent cx="1695450" cy="427990"/>
                <wp:effectExtent l="0" t="0" r="19050" b="1016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27990"/>
                        </a:xfrm>
                        <a:prstGeom prst="rect">
                          <a:avLst/>
                        </a:prstGeom>
                        <a:solidFill>
                          <a:srgbClr val="FFFFFF"/>
                        </a:solidFill>
                        <a:ln w="19050">
                          <a:solidFill>
                            <a:srgbClr val="000000"/>
                          </a:solidFill>
                          <a:miter lim="800000"/>
                          <a:headEnd/>
                          <a:tailEnd/>
                        </a:ln>
                      </wps:spPr>
                      <wps:txbx>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wps:txbx>
                      <wps:bodyPr rot="0" vert="horz" wrap="square" lIns="91440" tIns="91440" rIns="91440" bIns="91440" anchor="t" anchorCtr="0" upright="1">
                        <a:noAutofit/>
                      </wps:bodyPr>
                    </wps:wsp>
                  </a:graphicData>
                </a:graphic>
              </wp:anchor>
            </w:drawing>
          </mc:Choice>
          <mc:Fallback>
            <w:pict>
              <v:shape id="_x0000_s1040" type="#_x0000_t202" style="position:absolute;left:0;text-align:left;margin-left:136.5pt;margin-top:94.1pt;width:133.5pt;height:33.7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" strokeweight="1.5pt">
                <v:textbox inset=",7.2pt,,7.2pt">
                  <w:txbxContent>
                    <w:p w:rsidR="00E91159" w:rsidRDefault="00E91159" w:rsidP="00E9115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txbxContent>
                </v:textbox>
              </v:shape>
            </w:pict>
          </mc:Fallback>
        </mc:AlternateContent>
      </w:r>
      <w:r w:rsidR="009F7306">
        <w:t xml:space="preserve">Documenting these activities requires detailed description and explanation of the information and reports used by PSE at each stage of its consideration, decision making, and execution of PSE’s risk management strategies.  Thus, this description </w:t>
      </w:r>
      <w:r w:rsidR="009F7306">
        <w:lastRenderedPageBreak/>
        <w:t xml:space="preserve">and documentation is presented separately as </w:t>
      </w:r>
      <w:r w:rsidR="009F7306" w:rsidRPr="00FF6CFC">
        <w:t>Exhibit</w:t>
      </w:r>
      <w:r w:rsidR="009F7306">
        <w:t xml:space="preserve"> No. ___(DEM</w:t>
      </w:r>
      <w:r w:rsidR="009F7306" w:rsidRPr="00FF6CFC">
        <w:t>-3C</w:t>
      </w:r>
      <w:r w:rsidR="009F7306">
        <w:t>)</w:t>
      </w:r>
      <w:r w:rsidR="009F7306" w:rsidRPr="00FF6CFC">
        <w:t>.</w:t>
      </w:r>
    </w:p>
    <w:p w:rsidR="00304961" w:rsidRPr="00616F4B" w:rsidRDefault="00304961" w:rsidP="004902F6">
      <w:pPr>
        <w:pStyle w:val="question"/>
        <w:keepLines/>
        <w:widowControl/>
      </w:pPr>
      <w:r w:rsidRPr="00616F4B">
        <w:t>Q.</w:t>
      </w:r>
      <w:r w:rsidRPr="00616F4B">
        <w:tab/>
        <w:t xml:space="preserve">Are the activities described in Exhibit </w:t>
      </w:r>
      <w:r>
        <w:t>No. __</w:t>
      </w:r>
      <w:r w:rsidR="0043150C">
        <w:t>_ (</w:t>
      </w:r>
      <w:r>
        <w:t>DEM</w:t>
      </w:r>
      <w:r w:rsidRPr="00616F4B">
        <w:t>-3C</w:t>
      </w:r>
      <w:r>
        <w:t>)</w:t>
      </w:r>
      <w:r w:rsidRPr="00616F4B">
        <w:t xml:space="preserve"> the only risk management activities that PSE undertook for </w:t>
      </w:r>
      <w:r w:rsidR="00AB1FCA">
        <w:t>PCA Period 13</w:t>
      </w:r>
      <w:r w:rsidRPr="00616F4B">
        <w:t>?</w:t>
      </w:r>
    </w:p>
    <w:p w:rsidR="00304961" w:rsidRDefault="00304961" w:rsidP="0068100A">
      <w:pPr>
        <w:pStyle w:val="answer"/>
        <w:widowControl w:val="0"/>
      </w:pPr>
      <w:r>
        <w:t>A.</w:t>
      </w:r>
      <w:r>
        <w:tab/>
        <w:t xml:space="preserve">No.  Similar activities were undertaken with respect to managing PSE’s portfolio and exposure for the entire </w:t>
      </w:r>
      <w:r w:rsidR="00AB1FCA">
        <w:t>PCA Period 13</w:t>
      </w:r>
      <w:r>
        <w:t xml:space="preserve">.  </w:t>
      </w:r>
    </w:p>
    <w:p w:rsidR="00304961" w:rsidRDefault="00304961" w:rsidP="004902F6">
      <w:pPr>
        <w:pStyle w:val="Heading3"/>
        <w:spacing w:before="240" w:after="320"/>
      </w:pPr>
      <w:bookmarkStart w:id="61" w:name="_Toc113183766"/>
      <w:bookmarkStart w:id="62" w:name="_Toc144558076"/>
      <w:bookmarkStart w:id="63" w:name="_Toc144694606"/>
      <w:bookmarkStart w:id="64" w:name="_Toc162867956"/>
      <w:bookmarkStart w:id="65" w:name="_Toc318890603"/>
      <w:bookmarkStart w:id="66" w:name="_Toc382897921"/>
      <w:bookmarkStart w:id="67" w:name="_Toc414978791"/>
      <w:r w:rsidRPr="000C43C5">
        <w:rPr>
          <w:u w:val="none"/>
        </w:rPr>
        <w:t>3.</w:t>
      </w:r>
      <w:r w:rsidRPr="000C43C5">
        <w:rPr>
          <w:u w:val="none"/>
        </w:rPr>
        <w:tab/>
      </w:r>
      <w:r>
        <w:t>Winter Peaking Contracts</w:t>
      </w:r>
      <w:bookmarkEnd w:id="61"/>
      <w:bookmarkEnd w:id="62"/>
      <w:bookmarkEnd w:id="63"/>
      <w:bookmarkEnd w:id="64"/>
      <w:bookmarkEnd w:id="65"/>
      <w:bookmarkEnd w:id="66"/>
      <w:bookmarkEnd w:id="67"/>
    </w:p>
    <w:p w:rsidR="00304961" w:rsidRDefault="00304961" w:rsidP="004902F6">
      <w:pPr>
        <w:pStyle w:val="question"/>
        <w:keepLines/>
        <w:widowControl/>
      </w:pPr>
      <w:r>
        <w:t>Q.</w:t>
      </w:r>
      <w:r>
        <w:tab/>
        <w:t xml:space="preserve">Why does PSE enter into winter peaking contracts? </w:t>
      </w:r>
    </w:p>
    <w:p w:rsidR="00C75B3B" w:rsidRDefault="00304961" w:rsidP="004902F6">
      <w:pPr>
        <w:pStyle w:val="question"/>
        <w:keepLines/>
        <w:widowControl/>
        <w:rPr>
          <w:b w:val="0"/>
        </w:rPr>
      </w:pPr>
      <w:r w:rsidRPr="00807E17">
        <w:t>A.</w:t>
      </w:r>
      <w:r w:rsidRPr="00807E17">
        <w:tab/>
      </w:r>
      <w:r w:rsidRPr="009B0125">
        <w:rPr>
          <w:b w:val="0"/>
        </w:rPr>
        <w:t xml:space="preserve">Winter peaking contracts are to </w:t>
      </w:r>
      <w:r w:rsidR="00C24F83">
        <w:rPr>
          <w:b w:val="0"/>
        </w:rPr>
        <w:t xml:space="preserve">help </w:t>
      </w:r>
      <w:r w:rsidRPr="009B0125">
        <w:rPr>
          <w:b w:val="0"/>
        </w:rPr>
        <w:t>reliably serve high loads during extreme winter peak event</w:t>
      </w:r>
      <w:r w:rsidR="00C24F83">
        <w:rPr>
          <w:b w:val="0"/>
        </w:rPr>
        <w:t>s.</w:t>
      </w:r>
    </w:p>
    <w:p w:rsidR="00304961" w:rsidRDefault="00C24F83" w:rsidP="004902F6">
      <w:pPr>
        <w:pStyle w:val="question"/>
        <w:keepLines/>
        <w:widowControl/>
      </w:pPr>
      <w:r w:rsidRPr="009B0125" w:rsidDel="00C24F83">
        <w:rPr>
          <w:b w:val="0"/>
        </w:rPr>
        <w:t xml:space="preserve"> </w:t>
      </w:r>
      <w:r w:rsidR="00304961">
        <w:t>Q.</w:t>
      </w:r>
      <w:r w:rsidR="00304961">
        <w:tab/>
        <w:t>How did PSE approach the decisions of whether and how to enter into winter peaking contracts for the winter months of calendar 201</w:t>
      </w:r>
      <w:r w:rsidR="000B6791">
        <w:t>4</w:t>
      </w:r>
      <w:r w:rsidR="00304961">
        <w:t xml:space="preserve">? </w:t>
      </w:r>
    </w:p>
    <w:p w:rsidR="00304961" w:rsidRPr="00D32EC1" w:rsidRDefault="00304961" w:rsidP="00D32EC1">
      <w:pPr>
        <w:pStyle w:val="answer"/>
        <w:widowControl w:val="0"/>
        <w:rPr>
          <w:bCs/>
        </w:rPr>
      </w:pPr>
      <w:r w:rsidRPr="00001F51">
        <w:t>A.</w:t>
      </w:r>
      <w:r w:rsidRPr="00001F51">
        <w:tab/>
      </w:r>
      <w:r w:rsidRPr="00D32EC1">
        <w:rPr>
          <w:bCs/>
        </w:rPr>
        <w:t>PSE approached these decisions within the context of its portfolio and risk management systems and procedures.</w:t>
      </w:r>
      <w:r w:rsidR="007534DA" w:rsidRPr="00D32EC1">
        <w:rPr>
          <w:bCs/>
        </w:rPr>
        <w:t xml:space="preserve">  Staff used peak winter load/supply modeling</w:t>
      </w:r>
      <w:r w:rsidR="00D32EC1">
        <w:rPr>
          <w:bCs/>
        </w:rPr>
        <w:t xml:space="preserve"> </w:t>
      </w:r>
      <w:r w:rsidR="007534DA" w:rsidRPr="00D32EC1">
        <w:rPr>
          <w:bCs/>
        </w:rPr>
        <w:t>and</w:t>
      </w:r>
      <w:r w:rsidRPr="00D32EC1">
        <w:rPr>
          <w:bCs/>
        </w:rPr>
        <w:t xml:space="preserve"> ultimately decided that it would purchase winter on-peak power</w:t>
      </w:r>
      <w:r w:rsidR="005D0C07" w:rsidRPr="00D32EC1">
        <w:rPr>
          <w:bCs/>
        </w:rPr>
        <w:t xml:space="preserve"> daily</w:t>
      </w:r>
      <w:r w:rsidRPr="00D32EC1">
        <w:rPr>
          <w:bCs/>
        </w:rPr>
        <w:t xml:space="preserve"> index transactions to ensure firm physical power supply during the winter peaking hours.</w:t>
      </w:r>
    </w:p>
    <w:p w:rsidR="00304961" w:rsidRDefault="002901DE" w:rsidP="004902F6">
      <w:pPr>
        <w:pStyle w:val="Heading2"/>
        <w:spacing w:before="240" w:after="320"/>
      </w:pPr>
      <w:bookmarkStart w:id="68" w:name="_Toc81147702"/>
      <w:bookmarkStart w:id="69" w:name="_Toc81292187"/>
      <w:bookmarkStart w:id="70" w:name="_Toc81319808"/>
      <w:bookmarkStart w:id="71" w:name="_Toc81476603"/>
      <w:bookmarkStart w:id="72" w:name="_Toc113183768"/>
      <w:bookmarkStart w:id="73" w:name="_Toc144558077"/>
      <w:bookmarkStart w:id="74" w:name="_Toc144694607"/>
      <w:bookmarkStart w:id="75" w:name="_Toc162867957"/>
      <w:bookmarkStart w:id="76" w:name="_Toc318890604"/>
      <w:bookmarkStart w:id="77" w:name="_Toc382897922"/>
      <w:bookmarkStart w:id="78" w:name="_Toc414978792"/>
      <w:bookmarkStart w:id="79" w:name="OLE_LINK3"/>
      <w:bookmarkStart w:id="80" w:name="OLE_LINK4"/>
      <w:r w:rsidRPr="003F18B9">
        <w:rPr>
          <w:rFonts w:eastAsia="Arial Unicode MS"/>
          <w:u w:val="none"/>
        </w:rPr>
        <w:t>C.</w:t>
      </w:r>
      <w:r w:rsidRPr="003F18B9">
        <w:rPr>
          <w:rFonts w:eastAsia="Arial Unicode MS"/>
          <w:u w:val="none"/>
        </w:rPr>
        <w:tab/>
      </w:r>
      <w:r w:rsidRPr="003F18B9">
        <w:rPr>
          <w:rFonts w:eastAsia="Arial Unicode MS"/>
        </w:rPr>
        <w:t xml:space="preserve">PSE’s </w:t>
      </w:r>
      <w:r w:rsidR="00AB1FCA">
        <w:rPr>
          <w:rFonts w:eastAsia="Arial Unicode MS"/>
        </w:rPr>
        <w:t>PCA Period 13</w:t>
      </w:r>
      <w:r w:rsidRPr="003F18B9">
        <w:rPr>
          <w:rFonts w:eastAsia="Arial Unicode MS"/>
        </w:rPr>
        <w:t xml:space="preserve"> Actual Power Costs</w:t>
      </w:r>
      <w:bookmarkEnd w:id="68"/>
      <w:bookmarkEnd w:id="69"/>
      <w:bookmarkEnd w:id="70"/>
      <w:bookmarkEnd w:id="71"/>
      <w:bookmarkEnd w:id="72"/>
      <w:bookmarkEnd w:id="73"/>
      <w:bookmarkEnd w:id="74"/>
      <w:bookmarkEnd w:id="75"/>
      <w:bookmarkEnd w:id="76"/>
      <w:bookmarkEnd w:id="77"/>
      <w:bookmarkEnd w:id="78"/>
    </w:p>
    <w:bookmarkEnd w:id="79"/>
    <w:bookmarkEnd w:id="80"/>
    <w:p w:rsidR="00304961" w:rsidRPr="00ED1123" w:rsidRDefault="00304961" w:rsidP="00916E9B">
      <w:pPr>
        <w:pStyle w:val="question"/>
        <w:keepLines/>
        <w:spacing w:before="120"/>
        <w:rPr>
          <w:color w:val="FF0000"/>
        </w:rPr>
      </w:pPr>
      <w:r w:rsidRPr="00ED1123">
        <w:t>Q.</w:t>
      </w:r>
      <w:r w:rsidRPr="00ED1123">
        <w:tab/>
        <w:t>How have PSE</w:t>
      </w:r>
      <w:r>
        <w:t>’</w:t>
      </w:r>
      <w:r w:rsidRPr="00ED1123">
        <w:t>s recoveries of power costs compared to those set in rates?</w:t>
      </w:r>
    </w:p>
    <w:p w:rsidR="00304961" w:rsidRDefault="00304961" w:rsidP="00916E9B">
      <w:pPr>
        <w:pStyle w:val="answer"/>
        <w:widowControl w:val="0"/>
      </w:pPr>
      <w:r w:rsidRPr="00ED1123">
        <w:t>A.</w:t>
      </w:r>
      <w:r w:rsidRPr="00ED1123">
        <w:tab/>
      </w:r>
      <w:r>
        <w:t xml:space="preserve">During </w:t>
      </w:r>
      <w:r w:rsidR="00AB1FCA">
        <w:t>PCA Period 13</w:t>
      </w:r>
      <w:r w:rsidRPr="00ED1123">
        <w:t>, PSE</w:t>
      </w:r>
      <w:r>
        <w:t>’</w:t>
      </w:r>
      <w:r w:rsidRPr="00ED1123">
        <w:t xml:space="preserve">s rates have </w:t>
      </w:r>
      <w:r w:rsidR="00BA6557">
        <w:t>under</w:t>
      </w:r>
      <w:r w:rsidRPr="00ED1123">
        <w:t>-recovered actual power costs by $</w:t>
      </w:r>
      <w:r w:rsidR="00BA6557">
        <w:t>40.1</w:t>
      </w:r>
      <w:r w:rsidRPr="00ED1123">
        <w:t xml:space="preserve"> million.  </w:t>
      </w:r>
      <w:r w:rsidR="00003119">
        <w:t xml:space="preserve">As a result of the PCA sharing bands, </w:t>
      </w:r>
      <w:r w:rsidRPr="00ED1123">
        <w:t xml:space="preserve">PSE </w:t>
      </w:r>
      <w:r>
        <w:t>customers will share $</w:t>
      </w:r>
      <w:r w:rsidR="00BA6557">
        <w:t>10.1</w:t>
      </w:r>
      <w:r>
        <w:t xml:space="preserve"> million of this </w:t>
      </w:r>
      <w:r w:rsidR="00BA6557">
        <w:t>under</w:t>
      </w:r>
      <w:r>
        <w:t xml:space="preserve">-recovery and PSE will </w:t>
      </w:r>
      <w:r w:rsidR="001F4DEB">
        <w:t xml:space="preserve">absorb </w:t>
      </w:r>
      <w:r>
        <w:t>the remaining $</w:t>
      </w:r>
      <w:r w:rsidR="00BA6557">
        <w:t>30.0</w:t>
      </w:r>
      <w:r>
        <w:t xml:space="preserve"> </w:t>
      </w:r>
      <w:r>
        <w:lastRenderedPageBreak/>
        <w:t>million</w:t>
      </w:r>
      <w:r w:rsidRPr="00ED1123">
        <w:t xml:space="preserve">. </w:t>
      </w:r>
    </w:p>
    <w:p w:rsidR="00304961" w:rsidRPr="00ED1123" w:rsidRDefault="00304961" w:rsidP="00916E9B">
      <w:pPr>
        <w:pStyle w:val="question"/>
        <w:keepLines/>
        <w:spacing w:before="120"/>
      </w:pPr>
      <w:r w:rsidRPr="00ED1123">
        <w:t>Q.</w:t>
      </w:r>
      <w:r w:rsidRPr="00ED1123">
        <w:tab/>
      </w:r>
      <w:r>
        <w:t>Why do</w:t>
      </w:r>
      <w:r w:rsidRPr="00ED1123">
        <w:t xml:space="preserve"> actual power costs differ from those set in rates</w:t>
      </w:r>
      <w:r>
        <w:t>?</w:t>
      </w:r>
    </w:p>
    <w:p w:rsidR="00304961" w:rsidRPr="00ED1123" w:rsidRDefault="00304961" w:rsidP="00916E9B">
      <w:pPr>
        <w:pStyle w:val="answer"/>
        <w:widowControl w:val="0"/>
      </w:pPr>
      <w:r w:rsidRPr="00ED1123">
        <w:t>A.</w:t>
      </w:r>
      <w:r w:rsidRPr="00ED1123">
        <w:tab/>
        <w:t>The actual costs of power delivered to PSE</w:t>
      </w:r>
      <w:r>
        <w:t>’</w:t>
      </w:r>
      <w:r w:rsidRPr="00ED1123">
        <w:t xml:space="preserve">s system will always differ from those set in rates as they reflect the actual </w:t>
      </w:r>
      <w:r w:rsidR="004F2799">
        <w:t xml:space="preserve">resources available to PSE, as discussed above and the actual </w:t>
      </w:r>
      <w:r w:rsidRPr="00ED1123">
        <w:t xml:space="preserve">outcome of </w:t>
      </w:r>
      <w:r>
        <w:t xml:space="preserve">power costs </w:t>
      </w:r>
      <w:r w:rsidR="00D65929">
        <w:t>variables</w:t>
      </w:r>
      <w:r w:rsidRPr="00ED1123">
        <w:t>, which include, for example:</w:t>
      </w:r>
    </w:p>
    <w:p w:rsidR="00304961" w:rsidRPr="00ED1123" w:rsidRDefault="00304961" w:rsidP="00916E9B">
      <w:pPr>
        <w:pStyle w:val="answer"/>
        <w:widowControl w:val="0"/>
        <w:spacing w:before="0" w:after="280" w:line="240" w:lineRule="auto"/>
        <w:ind w:left="2160" w:right="720"/>
      </w:pPr>
      <w:r w:rsidRPr="00ED1123">
        <w:t>(i)</w:t>
      </w:r>
      <w:r w:rsidRPr="00ED1123">
        <w:tab/>
        <w:t>streamflow variation affecting the supply of hydroelectric generation;</w:t>
      </w:r>
    </w:p>
    <w:p w:rsidR="00304961" w:rsidRPr="00ED1123" w:rsidRDefault="00304961" w:rsidP="00916E9B">
      <w:pPr>
        <w:pStyle w:val="answer"/>
        <w:widowControl w:val="0"/>
        <w:spacing w:before="0" w:after="280" w:line="240" w:lineRule="auto"/>
        <w:ind w:left="2160" w:right="720"/>
      </w:pPr>
      <w:r w:rsidRPr="00ED1123">
        <w:t>(ii)</w:t>
      </w:r>
      <w:r w:rsidRPr="00ED1123">
        <w:tab/>
        <w:t xml:space="preserve">weather uncertainty affecting power usage; </w:t>
      </w:r>
    </w:p>
    <w:p w:rsidR="00304961" w:rsidRPr="00ED1123" w:rsidRDefault="00304961" w:rsidP="00916E9B">
      <w:pPr>
        <w:pStyle w:val="answer"/>
        <w:widowControl w:val="0"/>
        <w:spacing w:before="0" w:after="280" w:line="240" w:lineRule="auto"/>
        <w:ind w:left="2160" w:right="720"/>
      </w:pPr>
      <w:r w:rsidRPr="00ED1123">
        <w:t>(iii)</w:t>
      </w:r>
      <w:r w:rsidRPr="00ED1123">
        <w:tab/>
        <w:t xml:space="preserve">variations in market conditions resulting in changes to wholesale gas and electric prices; </w:t>
      </w:r>
    </w:p>
    <w:p w:rsidR="00304961" w:rsidRPr="00ED1123" w:rsidRDefault="00304961" w:rsidP="00916E9B">
      <w:pPr>
        <w:pStyle w:val="answer"/>
        <w:widowControl w:val="0"/>
        <w:spacing w:before="0" w:after="280" w:line="240" w:lineRule="auto"/>
        <w:ind w:left="2160" w:right="720"/>
      </w:pPr>
      <w:r w:rsidRPr="00ED1123">
        <w:t>(iv)</w:t>
      </w:r>
      <w:r w:rsidRPr="00ED1123">
        <w:tab/>
        <w:t xml:space="preserve">forced generation outages; </w:t>
      </w:r>
    </w:p>
    <w:p w:rsidR="00407BF9" w:rsidRDefault="00304961" w:rsidP="00916E9B">
      <w:pPr>
        <w:pStyle w:val="answer"/>
        <w:widowControl w:val="0"/>
        <w:spacing w:before="0" w:after="280" w:line="240" w:lineRule="auto"/>
        <w:ind w:left="2160" w:right="720"/>
      </w:pPr>
      <w:r w:rsidRPr="00ED1123">
        <w:t>(v)</w:t>
      </w:r>
      <w:r w:rsidRPr="00ED1123">
        <w:tab/>
        <w:t xml:space="preserve">variability of wind generation; </w:t>
      </w:r>
    </w:p>
    <w:p w:rsidR="00304961" w:rsidRPr="00ED1123" w:rsidRDefault="00407BF9" w:rsidP="00916E9B">
      <w:pPr>
        <w:pStyle w:val="answer"/>
        <w:widowControl w:val="0"/>
        <w:spacing w:before="0" w:after="280" w:line="240" w:lineRule="auto"/>
        <w:ind w:left="2160" w:right="720"/>
      </w:pPr>
      <w:r>
        <w:t>(vi)</w:t>
      </w:r>
      <w:r>
        <w:tab/>
        <w:t xml:space="preserve">differences in actual resources in the power portfolio versus those set in rates due to contract expirations, contract changes and resource acquisitions; </w:t>
      </w:r>
      <w:r w:rsidR="00304961" w:rsidRPr="00ED1123">
        <w:t xml:space="preserve">and </w:t>
      </w:r>
    </w:p>
    <w:p w:rsidR="00304961" w:rsidRPr="00ED1123" w:rsidRDefault="00304961" w:rsidP="00916E9B">
      <w:pPr>
        <w:pStyle w:val="answer"/>
        <w:widowControl w:val="0"/>
        <w:spacing w:before="0" w:after="280" w:line="240" w:lineRule="auto"/>
        <w:ind w:left="2160" w:right="720"/>
      </w:pPr>
      <w:r w:rsidRPr="00ED1123">
        <w:t>(vii)</w:t>
      </w:r>
      <w:r w:rsidRPr="00ED1123">
        <w:tab/>
        <w:t>transmission and transportation constraints.</w:t>
      </w:r>
    </w:p>
    <w:p w:rsidR="00304961" w:rsidRPr="00ED1123" w:rsidRDefault="00304961" w:rsidP="00916E9B">
      <w:pPr>
        <w:pStyle w:val="answer"/>
        <w:widowControl w:val="0"/>
        <w:ind w:firstLine="0"/>
      </w:pPr>
      <w:r w:rsidRPr="00ED1123">
        <w:t xml:space="preserve">Although power costs set in rates are estimated </w:t>
      </w:r>
      <w:r>
        <w:t>“</w:t>
      </w:r>
      <w:r w:rsidRPr="00ED1123">
        <w:t>as closely as possible to costs that are reasonabl</w:t>
      </w:r>
      <w:r>
        <w:t>y</w:t>
      </w:r>
      <w:r w:rsidRPr="00ED1123">
        <w:t xml:space="preserve"> expected to be actually incurred,</w:t>
      </w:r>
      <w:r w:rsidRPr="00ED1123">
        <w:rPr>
          <w:rStyle w:val="FootnoteReference"/>
        </w:rPr>
        <w:footnoteReference w:id="1"/>
      </w:r>
      <w:r>
        <w:t>“</w:t>
      </w:r>
      <w:r w:rsidRPr="00ED1123">
        <w:t xml:space="preserve"> they are still forecasts of future events, which are further limited by regulatory normalizing assumptions. Specifically, current ratemaking normalizes the power cost volatilities by employing: </w:t>
      </w:r>
    </w:p>
    <w:p w:rsidR="00304961" w:rsidRPr="00ED1123" w:rsidRDefault="00304961" w:rsidP="00916E9B">
      <w:pPr>
        <w:pStyle w:val="answer"/>
        <w:widowControl w:val="0"/>
        <w:spacing w:before="0" w:after="280" w:line="240" w:lineRule="auto"/>
        <w:ind w:left="2160" w:right="720"/>
      </w:pPr>
      <w:r w:rsidRPr="00ED1123">
        <w:t>(i)</w:t>
      </w:r>
      <w:r w:rsidRPr="00ED1123">
        <w:tab/>
        <w:t xml:space="preserve">a </w:t>
      </w:r>
      <w:r w:rsidR="00A75D2B">
        <w:t>7</w:t>
      </w:r>
      <w:r w:rsidR="00A75D2B" w:rsidRPr="00ED1123">
        <w:t>0</w:t>
      </w:r>
      <w:r w:rsidRPr="00ED1123">
        <w:t>-year hydro data set to determine hydro generation;</w:t>
      </w:r>
    </w:p>
    <w:p w:rsidR="00304961" w:rsidRPr="00ED1123" w:rsidRDefault="00304961" w:rsidP="00916E9B">
      <w:pPr>
        <w:pStyle w:val="answer"/>
        <w:widowControl w:val="0"/>
        <w:spacing w:before="0" w:after="280" w:line="240" w:lineRule="auto"/>
        <w:ind w:left="2160" w:right="720"/>
      </w:pPr>
      <w:r w:rsidRPr="00ED1123">
        <w:lastRenderedPageBreak/>
        <w:t>(ii)</w:t>
      </w:r>
      <w:r w:rsidRPr="00ED1123">
        <w:tab/>
        <w:t>a weather normalized load forecast;</w:t>
      </w:r>
    </w:p>
    <w:p w:rsidR="00304961" w:rsidRPr="00ED1123" w:rsidRDefault="00304961" w:rsidP="00916E9B">
      <w:pPr>
        <w:pStyle w:val="answer"/>
        <w:widowControl w:val="0"/>
        <w:spacing w:before="0" w:after="280" w:line="240" w:lineRule="auto"/>
        <w:ind w:left="2160" w:right="720"/>
      </w:pPr>
      <w:r w:rsidRPr="00ED1123">
        <w:t>(iii)</w:t>
      </w:r>
      <w:r w:rsidRPr="00ED1123">
        <w:tab/>
        <w:t xml:space="preserve">a three-month average forward gas price forecast; </w:t>
      </w:r>
    </w:p>
    <w:p w:rsidR="004F2799" w:rsidRDefault="00304961" w:rsidP="00916E9B">
      <w:pPr>
        <w:pStyle w:val="answer"/>
        <w:widowControl w:val="0"/>
        <w:spacing w:before="0" w:after="280" w:line="240" w:lineRule="auto"/>
        <w:ind w:left="2160" w:right="720"/>
      </w:pPr>
      <w:r w:rsidRPr="00ED1123">
        <w:t>(iv)</w:t>
      </w:r>
      <w:r w:rsidRPr="00ED1123">
        <w:tab/>
      </w:r>
      <w:r w:rsidR="004F2799">
        <w:t>model generated forward power prices;</w:t>
      </w:r>
    </w:p>
    <w:p w:rsidR="00304961" w:rsidRPr="00ED1123" w:rsidRDefault="004F2799" w:rsidP="00916E9B">
      <w:pPr>
        <w:pStyle w:val="answer"/>
        <w:widowControl w:val="0"/>
        <w:spacing w:before="0" w:after="280" w:line="240" w:lineRule="auto"/>
        <w:ind w:left="2160" w:right="720"/>
      </w:pPr>
      <w:r>
        <w:t>(v)</w:t>
      </w:r>
      <w:r>
        <w:tab/>
      </w:r>
      <w:r w:rsidR="00304961" w:rsidRPr="00ED1123">
        <w:t xml:space="preserve">historical average forced outage rates; and </w:t>
      </w:r>
    </w:p>
    <w:p w:rsidR="00304961" w:rsidRPr="00ED1123" w:rsidRDefault="00304961" w:rsidP="00916E9B">
      <w:pPr>
        <w:pStyle w:val="answer"/>
        <w:widowControl w:val="0"/>
        <w:spacing w:before="0" w:after="280" w:line="240" w:lineRule="auto"/>
        <w:ind w:left="2160" w:right="720"/>
      </w:pPr>
      <w:r w:rsidRPr="00ED1123">
        <w:t>(v</w:t>
      </w:r>
      <w:r w:rsidR="004F2799">
        <w:t>i</w:t>
      </w:r>
      <w:r w:rsidRPr="00ED1123">
        <w:t>)</w:t>
      </w:r>
      <w:r w:rsidRPr="00ED1123">
        <w:tab/>
        <w:t>forec</w:t>
      </w:r>
      <w:r>
        <w:t>ast average wind generation.</w:t>
      </w:r>
    </w:p>
    <w:p w:rsidR="00304961" w:rsidRDefault="00304961" w:rsidP="00916E9B">
      <w:pPr>
        <w:pStyle w:val="question"/>
        <w:keepLines/>
        <w:widowControl/>
        <w:rPr>
          <w:rFonts w:eastAsia="Arial Unicode MS"/>
        </w:rPr>
      </w:pPr>
      <w:r>
        <w:t>Q.</w:t>
      </w:r>
      <w:r>
        <w:tab/>
        <w:t xml:space="preserve">What caused the difference during </w:t>
      </w:r>
      <w:r w:rsidR="00AB1FCA">
        <w:t>PCA Period 13</w:t>
      </w:r>
      <w:r>
        <w:t xml:space="preserve"> between PSE’s actual power costs and power costs recovered in rates?</w:t>
      </w:r>
      <w:r w:rsidR="00A20D2C">
        <w:t xml:space="preserve">  </w:t>
      </w:r>
    </w:p>
    <w:p w:rsidR="0058777B" w:rsidRDefault="00304961" w:rsidP="002E1719">
      <w:pPr>
        <w:pStyle w:val="answer"/>
        <w:widowControl w:val="0"/>
        <w:tabs>
          <w:tab w:val="left" w:pos="8100"/>
        </w:tabs>
      </w:pPr>
      <w:r w:rsidRPr="00760628">
        <w:t>A.</w:t>
      </w:r>
      <w:r w:rsidRPr="00760628">
        <w:tab/>
      </w:r>
      <w:r w:rsidRPr="00AE3750">
        <w:t>PSE's $</w:t>
      </w:r>
      <w:r w:rsidR="001F4DEB">
        <w:t>40.1</w:t>
      </w:r>
      <w:r w:rsidR="00A75D2B" w:rsidRPr="00AE3750">
        <w:t xml:space="preserve"> </w:t>
      </w:r>
      <w:r w:rsidRPr="00AE3750">
        <w:t xml:space="preserve">million </w:t>
      </w:r>
      <w:r w:rsidR="001F4DEB">
        <w:t>under</w:t>
      </w:r>
      <w:r>
        <w:t xml:space="preserve">-recovery of </w:t>
      </w:r>
      <w:r w:rsidRPr="00AE3750">
        <w:t xml:space="preserve">amounts recovered through the Power Cost Baseline Rate during </w:t>
      </w:r>
      <w:r>
        <w:t xml:space="preserve">the </w:t>
      </w:r>
      <w:r w:rsidR="00AB1FCA">
        <w:t>PCA Period 13</w:t>
      </w:r>
      <w:r>
        <w:t xml:space="preserve"> </w:t>
      </w:r>
      <w:r w:rsidR="00A75D2B">
        <w:t>was</w:t>
      </w:r>
      <w:r w:rsidR="00A90B3D">
        <w:t xml:space="preserve"> due to </w:t>
      </w:r>
      <w:r w:rsidR="00E04BED">
        <w:t xml:space="preserve">lower baseline rate revenues </w:t>
      </w:r>
      <w:r w:rsidR="004C3708">
        <w:t>caused by lower customer demand than was forecast as well as overall warmer temperatures in 2014.  Actual d</w:t>
      </w:r>
      <w:r w:rsidR="007F6982">
        <w:t>elivered load was 717,513 MWh lower than the forecast load provided in rates</w:t>
      </w:r>
      <w:r w:rsidR="005E5F44">
        <w:t xml:space="preserve"> and caused</w:t>
      </w:r>
      <w:r w:rsidR="007F6982">
        <w:t xml:space="preserve"> a loss of baseline rate revenues in the amount of $43.</w:t>
      </w:r>
      <w:r w:rsidR="005E5F44">
        <w:t>4</w:t>
      </w:r>
      <w:r w:rsidR="007F6982">
        <w:t xml:space="preserve"> million.  Th</w:t>
      </w:r>
      <w:r w:rsidR="005E5F44">
        <w:t>ese lower revenues were partially</w:t>
      </w:r>
      <w:r w:rsidR="007F6982">
        <w:t xml:space="preserve"> offset by a decrease in power costs in the amount of $3.3 million.  </w:t>
      </w:r>
    </w:p>
    <w:p w:rsidR="00225A65" w:rsidRDefault="006F15A8" w:rsidP="001C3C58">
      <w:pPr>
        <w:autoSpaceDE w:val="0"/>
        <w:autoSpaceDN w:val="0"/>
        <w:adjustRightInd w:val="0"/>
        <w:spacing w:before="120" w:after="120" w:line="480" w:lineRule="auto"/>
        <w:ind w:left="720"/>
        <w:rPr>
          <w:rFonts w:eastAsia="SimSun"/>
          <w:lang w:eastAsia="zh-CN"/>
        </w:rPr>
      </w:pPr>
      <w:r>
        <w:rPr>
          <w:rFonts w:eastAsia="SimSun"/>
          <w:lang w:eastAsia="zh-CN"/>
        </w:rPr>
        <w:t xml:space="preserve">The primary driver of lower power costs was </w:t>
      </w:r>
      <w:r w:rsidR="00090488">
        <w:rPr>
          <w:rFonts w:eastAsia="SimSun"/>
          <w:lang w:eastAsia="zh-CN"/>
        </w:rPr>
        <w:t xml:space="preserve">the decrease in </w:t>
      </w:r>
      <w:r w:rsidR="004C3708">
        <w:rPr>
          <w:rFonts w:eastAsia="SimSun"/>
          <w:lang w:eastAsia="zh-CN"/>
        </w:rPr>
        <w:t>customer demand</w:t>
      </w:r>
      <w:r w:rsidR="009F7306">
        <w:rPr>
          <w:rFonts w:eastAsia="SimSun"/>
          <w:lang w:eastAsia="zh-CN"/>
        </w:rPr>
        <w:t xml:space="preserve"> causing PSE to purchase or generate less power during PCA Period 13</w:t>
      </w:r>
      <w:r>
        <w:rPr>
          <w:rFonts w:eastAsia="SimSun"/>
          <w:lang w:eastAsia="zh-CN"/>
        </w:rPr>
        <w:t xml:space="preserve">.  </w:t>
      </w:r>
      <w:r w:rsidR="0044699F">
        <w:rPr>
          <w:rFonts w:eastAsia="SimSun"/>
          <w:lang w:eastAsia="zh-CN"/>
        </w:rPr>
        <w:t>This decline in power costs was mitigated by</w:t>
      </w:r>
      <w:r w:rsidR="000E02F6">
        <w:rPr>
          <w:rFonts w:eastAsia="SimSun"/>
          <w:lang w:eastAsia="zh-CN"/>
        </w:rPr>
        <w:t xml:space="preserve">: </w:t>
      </w:r>
      <w:r w:rsidR="0044699F">
        <w:rPr>
          <w:rFonts w:eastAsia="SimSun"/>
          <w:lang w:eastAsia="zh-CN"/>
        </w:rPr>
        <w:t xml:space="preserve"> </w:t>
      </w:r>
      <w:r w:rsidR="000E02F6">
        <w:rPr>
          <w:rFonts w:eastAsia="SimSun"/>
          <w:lang w:eastAsia="zh-CN"/>
        </w:rPr>
        <w:t>(</w:t>
      </w:r>
      <w:r w:rsidR="0044699F">
        <w:rPr>
          <w:rFonts w:eastAsia="SimSun"/>
          <w:lang w:eastAsia="zh-CN"/>
        </w:rPr>
        <w:t xml:space="preserve">i) </w:t>
      </w:r>
      <w:r w:rsidR="009F7306">
        <w:rPr>
          <w:rFonts w:eastAsia="SimSun"/>
          <w:lang w:eastAsia="zh-CN"/>
        </w:rPr>
        <w:t>increased costs of market purchases to alleviate lower hydro and wind generation - which occurred mostly in the first quarter of 201</w:t>
      </w:r>
      <w:r w:rsidR="000E02F6">
        <w:rPr>
          <w:rFonts w:eastAsia="SimSun"/>
          <w:lang w:eastAsia="zh-CN"/>
        </w:rPr>
        <w:t>4</w:t>
      </w:r>
      <w:r w:rsidR="009F7306">
        <w:rPr>
          <w:rFonts w:eastAsia="SimSun"/>
          <w:lang w:eastAsia="zh-CN"/>
        </w:rPr>
        <w:t xml:space="preserve">; </w:t>
      </w:r>
      <w:r w:rsidR="000E02F6">
        <w:rPr>
          <w:rFonts w:eastAsia="SimSun"/>
          <w:lang w:eastAsia="zh-CN"/>
        </w:rPr>
        <w:t>(</w:t>
      </w:r>
      <w:r w:rsidR="00111097">
        <w:rPr>
          <w:rFonts w:eastAsia="SimSun"/>
          <w:lang w:eastAsia="zh-CN"/>
        </w:rPr>
        <w:t>ii)</w:t>
      </w:r>
      <w:r w:rsidR="009F7306" w:rsidRPr="009F7306">
        <w:rPr>
          <w:rFonts w:eastAsia="SimSun"/>
          <w:lang w:eastAsia="zh-CN"/>
        </w:rPr>
        <w:t xml:space="preserve"> </w:t>
      </w:r>
      <w:r w:rsidR="009F7306">
        <w:rPr>
          <w:rFonts w:eastAsia="SimSun"/>
          <w:lang w:eastAsia="zh-CN"/>
        </w:rPr>
        <w:t>increased costs to generate power from PSE’s gas fired generators</w:t>
      </w:r>
      <w:r w:rsidR="00111097">
        <w:rPr>
          <w:rFonts w:eastAsia="SimSun"/>
          <w:lang w:eastAsia="zh-CN"/>
        </w:rPr>
        <w:t>;</w:t>
      </w:r>
      <w:r w:rsidR="00854DA7">
        <w:rPr>
          <w:rFonts w:eastAsia="SimSun"/>
          <w:lang w:eastAsia="zh-CN"/>
        </w:rPr>
        <w:t xml:space="preserve"> </w:t>
      </w:r>
      <w:r w:rsidR="00111097">
        <w:rPr>
          <w:rFonts w:eastAsia="SimSun"/>
          <w:lang w:eastAsia="zh-CN"/>
        </w:rPr>
        <w:t xml:space="preserve">and </w:t>
      </w:r>
      <w:r w:rsidR="000E02F6">
        <w:rPr>
          <w:rFonts w:eastAsia="SimSun"/>
          <w:lang w:eastAsia="zh-CN"/>
        </w:rPr>
        <w:t>(</w:t>
      </w:r>
      <w:r w:rsidR="00111097">
        <w:rPr>
          <w:rFonts w:eastAsia="SimSun"/>
          <w:lang w:eastAsia="zh-CN"/>
        </w:rPr>
        <w:t>i</w:t>
      </w:r>
      <w:r w:rsidR="00854DA7">
        <w:rPr>
          <w:rFonts w:eastAsia="SimSun"/>
          <w:lang w:eastAsia="zh-CN"/>
        </w:rPr>
        <w:t>ii</w:t>
      </w:r>
      <w:r w:rsidR="00111097">
        <w:rPr>
          <w:rFonts w:eastAsia="SimSun"/>
          <w:lang w:eastAsia="zh-CN"/>
        </w:rPr>
        <w:t xml:space="preserve">) </w:t>
      </w:r>
      <w:r w:rsidR="002758D4">
        <w:rPr>
          <w:rFonts w:eastAsia="SimSun"/>
          <w:lang w:eastAsia="zh-CN"/>
        </w:rPr>
        <w:t>the loss of lower cost power from Co</w:t>
      </w:r>
      <w:r w:rsidR="00C54B0A">
        <w:rPr>
          <w:rFonts w:eastAsia="SimSun"/>
          <w:lang w:eastAsia="zh-CN"/>
        </w:rPr>
        <w:t>ls</w:t>
      </w:r>
      <w:r w:rsidR="002758D4">
        <w:rPr>
          <w:rFonts w:eastAsia="SimSun"/>
          <w:lang w:eastAsia="zh-CN"/>
        </w:rPr>
        <w:t xml:space="preserve">trip unit 4 </w:t>
      </w:r>
      <w:r w:rsidR="00111097">
        <w:rPr>
          <w:rFonts w:eastAsia="SimSun"/>
          <w:lang w:eastAsia="zh-CN"/>
        </w:rPr>
        <w:t xml:space="preserve">until January 22, 2014 </w:t>
      </w:r>
      <w:r w:rsidR="00C54B0A">
        <w:rPr>
          <w:rFonts w:eastAsia="SimSun"/>
          <w:lang w:eastAsia="zh-CN"/>
        </w:rPr>
        <w:t xml:space="preserve">due to </w:t>
      </w:r>
      <w:r w:rsidR="00111097">
        <w:rPr>
          <w:rFonts w:eastAsia="SimSun"/>
          <w:lang w:eastAsia="zh-CN"/>
        </w:rPr>
        <w:t xml:space="preserve">the continuance of </w:t>
      </w:r>
      <w:r w:rsidR="00C54B0A">
        <w:rPr>
          <w:rFonts w:eastAsia="SimSun"/>
          <w:lang w:eastAsia="zh-CN"/>
        </w:rPr>
        <w:t>a</w:t>
      </w:r>
      <w:r w:rsidR="005E5F44">
        <w:rPr>
          <w:rFonts w:eastAsia="SimSun"/>
          <w:lang w:eastAsia="zh-CN"/>
        </w:rPr>
        <w:t xml:space="preserve"> forced</w:t>
      </w:r>
      <w:r w:rsidR="00C54B0A">
        <w:rPr>
          <w:rFonts w:eastAsia="SimSun"/>
          <w:lang w:eastAsia="zh-CN"/>
        </w:rPr>
        <w:t xml:space="preserve"> outage</w:t>
      </w:r>
      <w:r>
        <w:rPr>
          <w:rFonts w:eastAsia="SimSun"/>
          <w:lang w:eastAsia="zh-CN"/>
        </w:rPr>
        <w:t xml:space="preserve"> that began July 2013</w:t>
      </w:r>
      <w:r w:rsidR="0059717D">
        <w:rPr>
          <w:rFonts w:eastAsia="SimSun"/>
          <w:lang w:eastAsia="zh-CN"/>
        </w:rPr>
        <w:t>.</w:t>
      </w:r>
    </w:p>
    <w:p w:rsidR="00656404" w:rsidRDefault="00B634E2" w:rsidP="001C3C58">
      <w:pPr>
        <w:autoSpaceDE w:val="0"/>
        <w:autoSpaceDN w:val="0"/>
        <w:adjustRightInd w:val="0"/>
        <w:spacing w:before="120" w:after="120" w:line="480" w:lineRule="auto"/>
        <w:ind w:left="720"/>
      </w:pPr>
      <w:r>
        <w:lastRenderedPageBreak/>
        <w:t xml:space="preserve">The overall loss of load </w:t>
      </w:r>
      <w:r w:rsidR="008067D1">
        <w:t xml:space="preserve">caused a </w:t>
      </w:r>
      <w:r>
        <w:t>decrease</w:t>
      </w:r>
      <w:r w:rsidR="008067D1">
        <w:t xml:space="preserve"> in</w:t>
      </w:r>
      <w:r>
        <w:t xml:space="preserve"> </w:t>
      </w:r>
      <w:r w:rsidR="008067D1">
        <w:t xml:space="preserve">power costs </w:t>
      </w:r>
      <w:r w:rsidR="009F7306">
        <w:t>of approximately</w:t>
      </w:r>
      <w:r w:rsidR="008067D1">
        <w:t xml:space="preserve"> $16.4 million.  </w:t>
      </w:r>
      <w:r w:rsidR="0048541B">
        <w:t xml:space="preserve">This decrease was mitigated during periods of lower temperatures and higher than forecast load that occurred during the beginning of the year.  </w:t>
      </w:r>
      <w:r>
        <w:t>While temperatures were down overall for the year the area experienced record breaking lows during the month of February</w:t>
      </w:r>
      <w:r w:rsidR="007B6DC2">
        <w:t xml:space="preserve"> 2014</w:t>
      </w:r>
      <w:r>
        <w:t xml:space="preserve">.  </w:t>
      </w:r>
      <w:r w:rsidR="00C83030">
        <w:t>Temperatures dropped into the low 20’s</w:t>
      </w:r>
      <w:r w:rsidR="0048541B">
        <w:t>, load rose to levels that hadn’t been seen since 2010</w:t>
      </w:r>
      <w:r w:rsidR="00C83030">
        <w:t xml:space="preserve"> </w:t>
      </w:r>
      <w:r w:rsidR="008067D1">
        <w:t xml:space="preserve">and prices responded by increasing to levels </w:t>
      </w:r>
      <w:r w:rsidR="00C83030">
        <w:t>as high as $224</w:t>
      </w:r>
      <w:r w:rsidR="008067D1">
        <w:t xml:space="preserve"> </w:t>
      </w:r>
      <w:r w:rsidR="007B6DC2">
        <w:t xml:space="preserve">per </w:t>
      </w:r>
      <w:r w:rsidR="008067D1">
        <w:t xml:space="preserve">MWh.  During this </w:t>
      </w:r>
      <w:r w:rsidR="007B6DC2">
        <w:t>spike in customer demand</w:t>
      </w:r>
      <w:r w:rsidR="008067D1">
        <w:t>,</w:t>
      </w:r>
      <w:r w:rsidR="000B048C">
        <w:t xml:space="preserve"> </w:t>
      </w:r>
      <w:r w:rsidR="008067D1">
        <w:t xml:space="preserve">wind and hydro </w:t>
      </w:r>
      <w:r w:rsidR="00C83030">
        <w:t>generation were</w:t>
      </w:r>
      <w:r w:rsidR="000B048C">
        <w:t xml:space="preserve"> </w:t>
      </w:r>
      <w:r w:rsidR="007B6DC2">
        <w:t>below normal,</w:t>
      </w:r>
      <w:r w:rsidR="000B048C">
        <w:t xml:space="preserve"> </w:t>
      </w:r>
      <w:r w:rsidR="0048541B">
        <w:t xml:space="preserve">forcing </w:t>
      </w:r>
      <w:r w:rsidR="000B048C">
        <w:t>purchases from the market at these inflated prices</w:t>
      </w:r>
      <w:r w:rsidR="00656404">
        <w:t xml:space="preserve">.  </w:t>
      </w:r>
      <w:r w:rsidR="007B6DC2">
        <w:t>Table 1</w:t>
      </w:r>
      <w:r w:rsidR="00656404">
        <w:t xml:space="preserve"> below shows the average cost </w:t>
      </w:r>
      <w:r w:rsidR="00C83030">
        <w:t>of power and gas</w:t>
      </w:r>
      <w:r w:rsidR="0048541B">
        <w:t xml:space="preserve"> </w:t>
      </w:r>
      <w:r w:rsidR="007B6DC2">
        <w:t>compared to those set in</w:t>
      </w:r>
      <w:r w:rsidR="0048541B">
        <w:t xml:space="preserve"> rates</w:t>
      </w:r>
      <w:r w:rsidR="00C83030">
        <w:t xml:space="preserve"> </w:t>
      </w:r>
      <w:r w:rsidR="00656404">
        <w:t xml:space="preserve">for January and February </w:t>
      </w:r>
      <w:r w:rsidR="007B6DC2">
        <w:t xml:space="preserve">2014 </w:t>
      </w:r>
      <w:r w:rsidR="00656404">
        <w:t xml:space="preserve">compared to the rest of the year.  </w:t>
      </w:r>
      <w:r w:rsidR="00656404">
        <w:rPr>
          <w:noProof/>
        </w:rPr>
        <w:drawing>
          <wp:inline distT="0" distB="0" distL="0" distR="0" wp14:anchorId="7A5685CE" wp14:editId="24E490A4">
            <wp:extent cx="5244354"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50656" cy="1144373"/>
                    </a:xfrm>
                    <a:prstGeom prst="rect">
                      <a:avLst/>
                    </a:prstGeom>
                  </pic:spPr>
                </pic:pic>
              </a:graphicData>
            </a:graphic>
          </wp:inline>
        </w:drawing>
      </w:r>
    </w:p>
    <w:p w:rsidR="007A0471" w:rsidRDefault="00B634E2" w:rsidP="007B6DC2">
      <w:pPr>
        <w:pStyle w:val="question"/>
        <w:keepLines/>
        <w:widowControl/>
      </w:pPr>
      <w:r>
        <w:t xml:space="preserve"> </w:t>
      </w:r>
      <w:r w:rsidR="007A0471">
        <w:t>Q.</w:t>
      </w:r>
      <w:r w:rsidR="007A0471">
        <w:tab/>
        <w:t xml:space="preserve">Please provide a summary of </w:t>
      </w:r>
      <w:r w:rsidR="00EE56C7">
        <w:t>how the power resources used to serve load compare</w:t>
      </w:r>
      <w:r w:rsidR="007A0471">
        <w:t xml:space="preserve"> to those set in rates for </w:t>
      </w:r>
      <w:r w:rsidR="00AB1FCA">
        <w:t>PCA Period 13</w:t>
      </w:r>
      <w:r w:rsidR="007A0471">
        <w:t>.</w:t>
      </w:r>
    </w:p>
    <w:p w:rsidR="007A0471" w:rsidRDefault="007A0471" w:rsidP="007A0471">
      <w:pPr>
        <w:autoSpaceDE w:val="0"/>
        <w:autoSpaceDN w:val="0"/>
        <w:adjustRightInd w:val="0"/>
        <w:spacing w:before="120" w:after="120" w:line="480" w:lineRule="auto"/>
        <w:ind w:left="720" w:hanging="720"/>
      </w:pPr>
      <w:r>
        <w:t>A.</w:t>
      </w:r>
      <w:r>
        <w:tab/>
        <w:t xml:space="preserve">Table </w:t>
      </w:r>
      <w:r w:rsidR="002758D4">
        <w:t>2</w:t>
      </w:r>
      <w:r>
        <w:t xml:space="preserve"> provides an itemization of the changes in generation and retail loads from those included in the baseline rate for </w:t>
      </w:r>
      <w:r w:rsidR="00AB1FCA">
        <w:t>PCA Period 13</w:t>
      </w:r>
      <w:r>
        <w:t xml:space="preserve">.  </w:t>
      </w:r>
    </w:p>
    <w:p w:rsidR="002758D4" w:rsidRDefault="002758D4" w:rsidP="00EE56C7">
      <w:pPr>
        <w:autoSpaceDE w:val="0"/>
        <w:autoSpaceDN w:val="0"/>
        <w:adjustRightInd w:val="0"/>
        <w:spacing w:before="120" w:after="120" w:line="480" w:lineRule="auto"/>
        <w:ind w:left="720" w:hanging="720"/>
        <w:jc w:val="center"/>
      </w:pPr>
      <w:r>
        <w:rPr>
          <w:noProof/>
        </w:rPr>
        <w:lastRenderedPageBreak/>
        <w:drawing>
          <wp:inline distT="0" distB="0" distL="0" distR="0" wp14:anchorId="1EC50F5A" wp14:editId="08EAB6CE">
            <wp:extent cx="4759036" cy="1934721"/>
            <wp:effectExtent l="0" t="0" r="381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56095" cy="1933526"/>
                    </a:xfrm>
                    <a:prstGeom prst="rect">
                      <a:avLst/>
                    </a:prstGeom>
                  </pic:spPr>
                </pic:pic>
              </a:graphicData>
            </a:graphic>
          </wp:inline>
        </w:drawing>
      </w:r>
    </w:p>
    <w:p w:rsidR="006E1F19" w:rsidRDefault="006E1F19" w:rsidP="006E1F19">
      <w:pPr>
        <w:pStyle w:val="question"/>
        <w:keepLines/>
        <w:widowControl/>
      </w:pPr>
      <w:r>
        <w:t>Q.</w:t>
      </w:r>
      <w:r>
        <w:tab/>
        <w:t xml:space="preserve">Please provide a summary of the power cost variances for </w:t>
      </w:r>
      <w:r w:rsidR="00AB1FCA">
        <w:t>PCA Period 13</w:t>
      </w:r>
      <w:r>
        <w:t xml:space="preserve"> compared to those set in rates.</w:t>
      </w:r>
    </w:p>
    <w:p w:rsidR="006E1F19" w:rsidRDefault="006E1F19" w:rsidP="006E1F19">
      <w:pPr>
        <w:autoSpaceDE w:val="0"/>
        <w:autoSpaceDN w:val="0"/>
        <w:adjustRightInd w:val="0"/>
        <w:spacing w:before="120" w:after="120" w:line="480" w:lineRule="auto"/>
        <w:ind w:left="720" w:hanging="720"/>
      </w:pPr>
      <w:r>
        <w:t>A.</w:t>
      </w:r>
      <w:r>
        <w:tab/>
        <w:t xml:space="preserve">Table </w:t>
      </w:r>
      <w:r w:rsidR="002758D4">
        <w:t>3</w:t>
      </w:r>
      <w:r>
        <w:t xml:space="preserve"> provides a summary of the items which caused the calculated $</w:t>
      </w:r>
      <w:r w:rsidR="006913D4">
        <w:t>40.1</w:t>
      </w:r>
      <w:r>
        <w:t xml:space="preserve"> million </w:t>
      </w:r>
      <w:r w:rsidR="006913D4">
        <w:t xml:space="preserve">under </w:t>
      </w:r>
      <w:r>
        <w:t xml:space="preserve">recovery of power costs for </w:t>
      </w:r>
      <w:r w:rsidR="00AB1FCA">
        <w:t>PCA Period 13</w:t>
      </w:r>
      <w:r>
        <w:t>.</w:t>
      </w:r>
    </w:p>
    <w:p w:rsidR="00DC0629" w:rsidRDefault="004C3708" w:rsidP="004C3708">
      <w:pPr>
        <w:autoSpaceDE w:val="0"/>
        <w:autoSpaceDN w:val="0"/>
        <w:adjustRightInd w:val="0"/>
        <w:spacing w:before="120" w:after="120" w:line="480" w:lineRule="auto"/>
        <w:ind w:left="720"/>
      </w:pPr>
      <w:r w:rsidRPr="004C3708">
        <w:rPr>
          <w:noProof/>
        </w:rPr>
        <w:drawing>
          <wp:inline distT="0" distB="0" distL="0" distR="0" wp14:anchorId="5B6FADB8" wp14:editId="666855DE">
            <wp:extent cx="5200650" cy="270713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3507" cy="2708618"/>
                    </a:xfrm>
                    <a:prstGeom prst="rect">
                      <a:avLst/>
                    </a:prstGeom>
                    <a:noFill/>
                    <a:ln>
                      <a:noFill/>
                    </a:ln>
                  </pic:spPr>
                </pic:pic>
              </a:graphicData>
            </a:graphic>
          </wp:inline>
        </w:drawing>
      </w:r>
    </w:p>
    <w:p w:rsidR="00304961" w:rsidRDefault="00304961" w:rsidP="00225A65">
      <w:pPr>
        <w:pStyle w:val="question"/>
        <w:keepLines/>
        <w:widowControl/>
      </w:pPr>
      <w:r>
        <w:t>Q.</w:t>
      </w:r>
      <w:r>
        <w:tab/>
        <w:t xml:space="preserve">Are PSE’s </w:t>
      </w:r>
      <w:r w:rsidR="00AB1FCA">
        <w:t>PCA Period 13</w:t>
      </w:r>
      <w:r>
        <w:t xml:space="preserve"> </w:t>
      </w:r>
      <w:r w:rsidR="00003119">
        <w:t xml:space="preserve">actual allowable </w:t>
      </w:r>
      <w:r>
        <w:t>power costs net of any accounting adjustments?</w:t>
      </w:r>
    </w:p>
    <w:p w:rsidR="00304961" w:rsidRDefault="00304961" w:rsidP="006913D4">
      <w:pPr>
        <w:pStyle w:val="answer"/>
        <w:widowControl w:val="0"/>
      </w:pPr>
      <w:r>
        <w:t>A.</w:t>
      </w:r>
      <w:r>
        <w:tab/>
      </w:r>
      <w:r w:rsidR="006913D4">
        <w:t>No</w:t>
      </w:r>
      <w:r>
        <w:t xml:space="preserve">, there were </w:t>
      </w:r>
      <w:r w:rsidR="006913D4">
        <w:t xml:space="preserve">no </w:t>
      </w:r>
      <w:r w:rsidR="00B97CA9">
        <w:t xml:space="preserve">accounting </w:t>
      </w:r>
      <w:r>
        <w:t xml:space="preserve">adjustments made to the </w:t>
      </w:r>
      <w:r w:rsidR="00B97CA9">
        <w:t xml:space="preserve">actual PCA Period 13 </w:t>
      </w:r>
      <w:r>
        <w:t xml:space="preserve">power </w:t>
      </w:r>
      <w:r>
        <w:lastRenderedPageBreak/>
        <w:t xml:space="preserve">costs.  </w:t>
      </w:r>
    </w:p>
    <w:p w:rsidR="00304961" w:rsidRDefault="003778F5" w:rsidP="004902F6">
      <w:pPr>
        <w:pStyle w:val="Heading1"/>
      </w:pPr>
      <w:bookmarkStart w:id="81" w:name="_Toc81147706"/>
      <w:bookmarkStart w:id="82" w:name="_Toc81292191"/>
      <w:bookmarkStart w:id="83" w:name="_Toc81319812"/>
      <w:bookmarkStart w:id="84" w:name="_Toc81476607"/>
      <w:bookmarkStart w:id="85" w:name="_Toc113183769"/>
      <w:bookmarkStart w:id="86" w:name="_Toc144558078"/>
      <w:bookmarkStart w:id="87" w:name="_Toc144694608"/>
      <w:bookmarkStart w:id="88" w:name="_Toc162867958"/>
      <w:bookmarkStart w:id="89" w:name="_Toc318890605"/>
      <w:bookmarkStart w:id="90" w:name="_Toc414978793"/>
      <w:r>
        <w:rPr>
          <w:rFonts w:eastAsia="SimSun"/>
        </w:rPr>
        <w:t>I</w:t>
      </w:r>
      <w:r w:rsidR="00304961">
        <w:rPr>
          <w:rFonts w:eastAsia="SimSun"/>
        </w:rPr>
        <w:t>V.</w:t>
      </w:r>
      <w:r w:rsidR="00304961">
        <w:rPr>
          <w:rFonts w:eastAsia="SimSun"/>
        </w:rPr>
        <w:tab/>
      </w:r>
      <w:r w:rsidR="00304961">
        <w:t>CONCLUSION</w:t>
      </w:r>
      <w:bookmarkEnd w:id="81"/>
      <w:bookmarkEnd w:id="82"/>
      <w:bookmarkEnd w:id="83"/>
      <w:bookmarkEnd w:id="84"/>
      <w:bookmarkEnd w:id="85"/>
      <w:bookmarkEnd w:id="86"/>
      <w:bookmarkEnd w:id="87"/>
      <w:bookmarkEnd w:id="88"/>
      <w:bookmarkEnd w:id="89"/>
      <w:bookmarkEnd w:id="90"/>
    </w:p>
    <w:p w:rsidR="00304961" w:rsidRDefault="00304961" w:rsidP="004902F6">
      <w:pPr>
        <w:pStyle w:val="question"/>
        <w:keepLines/>
        <w:widowControl/>
      </w:pPr>
      <w:r>
        <w:t>Q.</w:t>
      </w:r>
      <w:r>
        <w:tab/>
        <w:t xml:space="preserve">Do you believe that PSE has met the Commission’s prudence standard with respect to its power costs during </w:t>
      </w:r>
      <w:r w:rsidR="00AB1FCA">
        <w:t>PCA Period 13</w:t>
      </w:r>
      <w:r>
        <w:t>?</w:t>
      </w:r>
    </w:p>
    <w:p w:rsidR="00304961" w:rsidRDefault="00304961" w:rsidP="00B13B9F">
      <w:pPr>
        <w:pStyle w:val="answer"/>
        <w:widowControl w:val="0"/>
      </w:pPr>
      <w:r>
        <w:t>A.</w:t>
      </w:r>
      <w:r>
        <w:tab/>
        <w:t xml:space="preserve">Yes; PSE met the Commission’s prudence standard for the </w:t>
      </w:r>
      <w:r w:rsidR="00AB1FCA">
        <w:t>PCA Period 13</w:t>
      </w:r>
      <w:r>
        <w:t xml:space="preserve"> power costs because PSE’s management of its power costs during </w:t>
      </w:r>
      <w:r w:rsidR="00AB1FCA">
        <w:t>PCA Period 13</w:t>
      </w:r>
      <w:r>
        <w:t xml:space="preserve"> was reasonable.  PSE has structures and processes in place to formulate strategies for </w:t>
      </w:r>
      <w:r w:rsidR="000E02F6">
        <w:t>managing</w:t>
      </w:r>
      <w:r>
        <w:t xml:space="preserve"> power costs and executed those strategies, taking into account information and variables associated with managing a complex resource portfolio within a dynamic market environment.</w:t>
      </w:r>
    </w:p>
    <w:p w:rsidR="00304961" w:rsidRDefault="00304961" w:rsidP="004902F6">
      <w:pPr>
        <w:pStyle w:val="question"/>
        <w:keepLines/>
        <w:widowControl/>
      </w:pPr>
      <w:r>
        <w:t>Q.</w:t>
      </w:r>
      <w:r>
        <w:tab/>
        <w:t>Does that conclude your testimony?</w:t>
      </w:r>
    </w:p>
    <w:p w:rsidR="00304961" w:rsidRDefault="00304961" w:rsidP="000C43C5">
      <w:pPr>
        <w:pStyle w:val="answer"/>
        <w:widowControl w:val="0"/>
      </w:pPr>
      <w:r>
        <w:t>A.</w:t>
      </w:r>
      <w:r>
        <w:tab/>
        <w:t>Yes, it does.</w:t>
      </w:r>
    </w:p>
    <w:sectPr w:rsidR="00304961" w:rsidSect="00B126C8">
      <w:headerReference w:type="even" r:id="rId14"/>
      <w:footerReference w:type="default" r:id="rId15"/>
      <w:footerReference w:type="first" r:id="rId16"/>
      <w:pgSz w:w="12240" w:h="15840" w:code="1"/>
      <w:pgMar w:top="1440" w:right="1260" w:bottom="153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E9" w:rsidRDefault="00BD40E9">
      <w:r>
        <w:separator/>
      </w:r>
    </w:p>
    <w:p w:rsidR="00BD40E9" w:rsidRDefault="00BD40E9"/>
  </w:endnote>
  <w:endnote w:type="continuationSeparator" w:id="0">
    <w:p w:rsidR="00BD40E9" w:rsidRDefault="00BD40E9">
      <w:r>
        <w:continuationSeparator/>
      </w:r>
    </w:p>
    <w:p w:rsidR="00BD40E9" w:rsidRDefault="00BD40E9"/>
    <w:p w:rsidR="00BD40E9" w:rsidRDefault="00BD40E9">
      <w:pPr>
        <w:pStyle w:val="Head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E9" w:rsidRDefault="00BD40E9">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BD40E9" w:rsidRDefault="00BD40E9">
    <w:pPr>
      <w:pStyle w:val="Footer"/>
      <w:tabs>
        <w:tab w:val="clear" w:pos="4507"/>
        <w:tab w:val="clear" w:pos="9000"/>
        <w:tab w:val="right" w:pos="8640"/>
      </w:tabs>
      <w:spacing w:line="240" w:lineRule="auto"/>
      <w:ind w:right="0" w:hanging="4"/>
      <w:rPr>
        <w:sz w:val="10"/>
      </w:rPr>
    </w:pPr>
  </w:p>
  <w:p w:rsidR="00BD40E9" w:rsidRDefault="00BD40E9">
    <w:pPr>
      <w:pStyle w:val="Footer"/>
      <w:tabs>
        <w:tab w:val="clear" w:pos="4507"/>
        <w:tab w:val="clear" w:pos="9000"/>
        <w:tab w:val="right" w:pos="8640"/>
      </w:tabs>
      <w:ind w:hanging="4"/>
    </w:pPr>
    <w:r>
      <w:t>Prefiled Direct Testimony</w:t>
    </w:r>
    <w:r>
      <w:tab/>
      <w:t>Exhibit No. ___(DEM-1CT)</w:t>
    </w:r>
  </w:p>
  <w:p w:rsidR="00BD40E9" w:rsidRDefault="00BD40E9">
    <w:pPr>
      <w:pStyle w:val="Footer"/>
      <w:tabs>
        <w:tab w:val="clear" w:pos="4507"/>
        <w:tab w:val="clear" w:pos="9000"/>
        <w:tab w:val="right" w:pos="8640"/>
      </w:tabs>
      <w:ind w:hanging="4"/>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sidR="00941838">
      <w:rPr>
        <w:rStyle w:val="PageNumber"/>
        <w:noProof/>
      </w:rPr>
      <w:t>i</w:t>
    </w:r>
    <w:r>
      <w:rPr>
        <w:rStyle w:val="PageNumber"/>
      </w:rPr>
      <w:fldChar w:fldCharType="end"/>
    </w:r>
    <w:r>
      <w:rPr>
        <w:rStyle w:val="PageNumber"/>
      </w:rPr>
      <w:t xml:space="preserve"> of </w:t>
    </w:r>
    <w:fldSimple w:instr=" SECTIONPAGES  \* roman  \* MERGEFORMAT ">
      <w:r w:rsidR="00941838" w:rsidRPr="00941838">
        <w:rPr>
          <w:rStyle w:val="PageNumber"/>
          <w:noProof/>
        </w:rPr>
        <w:t>i</w:t>
      </w:r>
    </w:fldSimple>
  </w:p>
  <w:p w:rsidR="00BD40E9" w:rsidRDefault="00BD40E9">
    <w:pPr>
      <w:pStyle w:val="Footer"/>
      <w:tabs>
        <w:tab w:val="clear" w:pos="4507"/>
        <w:tab w:val="clear" w:pos="9000"/>
        <w:tab w:val="right" w:pos="8640"/>
      </w:tabs>
      <w:ind w:hanging="4"/>
      <w:rPr>
        <w:rStyle w:val="PageNumber"/>
      </w:rPr>
    </w:pPr>
    <w:r>
      <w:t>David E. Mills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E9" w:rsidRDefault="00BD40E9">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BD40E9" w:rsidRDefault="00BD40E9">
    <w:pPr>
      <w:pStyle w:val="Footer"/>
      <w:tabs>
        <w:tab w:val="clear" w:pos="4507"/>
        <w:tab w:val="clear" w:pos="9000"/>
        <w:tab w:val="right" w:pos="8640"/>
      </w:tabs>
      <w:spacing w:line="240" w:lineRule="auto"/>
      <w:ind w:right="0"/>
      <w:rPr>
        <w:sz w:val="10"/>
      </w:rPr>
    </w:pPr>
  </w:p>
  <w:p w:rsidR="00BD40E9" w:rsidRDefault="00BD40E9">
    <w:pPr>
      <w:pStyle w:val="Footer"/>
      <w:tabs>
        <w:tab w:val="clear" w:pos="4507"/>
        <w:tab w:val="clear" w:pos="9000"/>
        <w:tab w:val="right" w:pos="8640"/>
      </w:tabs>
    </w:pPr>
    <w:r>
      <w:t>Prefiled Direct Testimony</w:t>
    </w:r>
    <w:r>
      <w:tab/>
      <w:t>Exhibit No. ___(DEM-1CT)</w:t>
    </w:r>
  </w:p>
  <w:p w:rsidR="00BD40E9" w:rsidRDefault="00BD40E9">
    <w:pPr>
      <w:pStyle w:val="Footer"/>
      <w:tabs>
        <w:tab w:val="clear" w:pos="4507"/>
        <w:tab w:val="clear" w:pos="9000"/>
        <w:tab w:val="right" w:pos="8640"/>
      </w:tabs>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sidR="00941838">
      <w:rPr>
        <w:rStyle w:val="PageNumber"/>
        <w:noProof/>
      </w:rPr>
      <w:t>24</w:t>
    </w:r>
    <w:r>
      <w:rPr>
        <w:rStyle w:val="PageNumber"/>
      </w:rPr>
      <w:fldChar w:fldCharType="end"/>
    </w:r>
    <w:r>
      <w:rPr>
        <w:rStyle w:val="PageNumber"/>
      </w:rPr>
      <w:t xml:space="preserve"> of </w:t>
    </w:r>
    <w:fldSimple w:instr=" SECTIONPAGES  \* Arabic  \* MERGEFORMAT ">
      <w:r w:rsidR="00941838" w:rsidRPr="00941838">
        <w:rPr>
          <w:rStyle w:val="PageNumber"/>
          <w:noProof/>
        </w:rPr>
        <w:t>24</w:t>
      </w:r>
    </w:fldSimple>
  </w:p>
  <w:p w:rsidR="00BD40E9" w:rsidRDefault="00BD40E9" w:rsidP="007723F0">
    <w:pPr>
      <w:pStyle w:val="Footer"/>
      <w:tabs>
        <w:tab w:val="clear" w:pos="4507"/>
        <w:tab w:val="clear" w:pos="9000"/>
        <w:tab w:val="right" w:pos="8640"/>
      </w:tabs>
    </w:pPr>
    <w:r>
      <w:t>David E. Mills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E9" w:rsidRDefault="00BD4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E9" w:rsidRDefault="00BD40E9">
      <w:r>
        <w:separator/>
      </w:r>
    </w:p>
    <w:p w:rsidR="00BD40E9" w:rsidRDefault="00BD40E9"/>
  </w:footnote>
  <w:footnote w:type="continuationSeparator" w:id="0">
    <w:p w:rsidR="00BD40E9" w:rsidRDefault="00BD40E9">
      <w:r>
        <w:continuationSeparator/>
      </w:r>
    </w:p>
    <w:p w:rsidR="00BD40E9" w:rsidRDefault="00BD40E9"/>
  </w:footnote>
  <w:footnote w:id="1">
    <w:p w:rsidR="00BD40E9" w:rsidRPr="001C3C58" w:rsidRDefault="00BD40E9" w:rsidP="00916E9B">
      <w:pPr>
        <w:pStyle w:val="FootnoteText"/>
        <w:spacing w:before="0" w:line="240" w:lineRule="auto"/>
        <w:rPr>
          <w:sz w:val="20"/>
        </w:rPr>
      </w:pPr>
      <w:r w:rsidRPr="00073EA3">
        <w:rPr>
          <w:rStyle w:val="FootnoteReference"/>
        </w:rPr>
        <w:footnoteRef/>
      </w:r>
      <w:r w:rsidRPr="00073EA3">
        <w:t xml:space="preserve"> </w:t>
      </w:r>
      <w:r w:rsidRPr="001C3C58">
        <w:rPr>
          <w:i/>
        </w:rPr>
        <w:t>WUTC v. Puget Sound Energy, Inc.</w:t>
      </w:r>
      <w:r w:rsidRPr="001C3C58">
        <w:t>, Docket Nos</w:t>
      </w:r>
      <w:r w:rsidR="009A512E">
        <w:t>.</w:t>
      </w:r>
      <w:r w:rsidRPr="001C3C58">
        <w:t xml:space="preserve"> UE-040640, </w:t>
      </w:r>
      <w:r w:rsidRPr="001C3C58">
        <w:rPr>
          <w:i/>
        </w:rPr>
        <w:t>et al.</w:t>
      </w:r>
      <w:r w:rsidRPr="001C3C58">
        <w:t>, Order 06 at</w:t>
      </w:r>
      <w:r w:rsidRPr="001C3C58">
        <w:br/>
        <w:t>¶108 (Feb. 18,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OLE_LINK1"/>
  <w:bookmarkStart w:id="2" w:name="OLE_LINK2"/>
  <w:bookmarkStart w:id="3" w:name="_Hlk125911586"/>
  <w:p w:rsidR="00BD40E9" w:rsidRDefault="00BD40E9">
    <w:pPr>
      <w:pStyle w:val="Header"/>
      <w:jc w:val="right"/>
    </w:pPr>
    <w:r>
      <w:rPr>
        <w:noProof/>
        <w:lang w:eastAsia="en-US"/>
      </w:rPr>
      <mc:AlternateContent>
        <mc:Choice Requires="wps">
          <w:drawing>
            <wp:anchor distT="0" distB="0" distL="114300" distR="114300" simplePos="0" relativeHeight="251660288" behindDoc="0" locked="0" layoutInCell="0" allowOverlap="1" wp14:anchorId="70722831" wp14:editId="667CDCC7">
              <wp:simplePos x="0" y="0"/>
              <wp:positionH relativeFrom="column">
                <wp:posOffset>-177165</wp:posOffset>
              </wp:positionH>
              <wp:positionV relativeFrom="paragraph">
                <wp:posOffset>-88900</wp:posOffset>
              </wp:positionV>
              <wp:extent cx="0" cy="9258300"/>
              <wp:effectExtent l="22860" t="25400" r="24765" b="222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O0r4CRoCAAA0BAAADgAAAAAAAAAAAAAAAAAuAgAAZHJzL2Uyb0RvYy54bWxQSwECLQAU&#10;AAYACAAAACEAQ6KDOt4AAAAMAQAADwAAAAAAAAAAAAAAAAB0BAAAZHJzL2Rvd25yZXYueG1sUEsF&#10;BgAAAAAEAAQA8wAAAH8FAAAAAA==&#10;" o:allowincell="f" strokeweight="3pt">
              <v:stroke linestyle="thinThin"/>
            </v:line>
          </w:pict>
        </mc:Fallback>
      </mc:AlternateContent>
    </w:r>
    <w:bookmarkEnd w:id="1"/>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E9" w:rsidRDefault="00BD40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7A7015"/>
    <w:multiLevelType w:val="hybridMultilevel"/>
    <w:tmpl w:val="677089B8"/>
    <w:lvl w:ilvl="0" w:tplc="04090019">
      <w:start w:val="1"/>
      <w:numFmt w:val="lowerLetter"/>
      <w:lvlText w:val="%1."/>
      <w:lvlJc w:val="left"/>
      <w:pPr>
        <w:tabs>
          <w:tab w:val="num" w:pos="1440"/>
        </w:tabs>
        <w:ind w:left="1440" w:hanging="360"/>
      </w:pPr>
    </w:lvl>
    <w:lvl w:ilvl="1" w:tplc="EFBCAA02">
      <w:start w:val="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15B60A39"/>
    <w:multiLevelType w:val="hybridMultilevel"/>
    <w:tmpl w:val="D796112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7490BA7"/>
    <w:multiLevelType w:val="hybridMultilevel"/>
    <w:tmpl w:val="505A2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210194"/>
    <w:multiLevelType w:val="hybridMultilevel"/>
    <w:tmpl w:val="27ECFBE2"/>
    <w:lvl w:ilvl="0" w:tplc="93EEAFC2">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0D1025D"/>
    <w:multiLevelType w:val="hybridMultilevel"/>
    <w:tmpl w:val="07EE97E2"/>
    <w:lvl w:ilvl="0" w:tplc="73BECC1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2340"/>
        </w:tabs>
        <w:ind w:left="2340" w:hanging="360"/>
      </w:pPr>
      <w:rPr>
        <w:rFonts w:cs="Times New Roman" w:hint="default"/>
      </w:rPr>
    </w:lvl>
    <w:lvl w:ilvl="2" w:tplc="B2341CD8">
      <w:start w:val="500"/>
      <w:numFmt w:val="lowerRoman"/>
      <w:lvlText w:val="%3."/>
      <w:lvlJc w:val="right"/>
      <w:pPr>
        <w:tabs>
          <w:tab w:val="num" w:pos="2520"/>
        </w:tabs>
        <w:ind w:left="2520" w:hanging="18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EC418D5"/>
    <w:multiLevelType w:val="hybridMultilevel"/>
    <w:tmpl w:val="D2045B8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AE0853"/>
    <w:multiLevelType w:val="hybridMultilevel"/>
    <w:tmpl w:val="BEF66D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833D3C"/>
    <w:multiLevelType w:val="hybridMultilevel"/>
    <w:tmpl w:val="AF1693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5029B5"/>
    <w:multiLevelType w:val="hybridMultilevel"/>
    <w:tmpl w:val="5FE401A8"/>
    <w:lvl w:ilvl="0" w:tplc="2100521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5DA551D0"/>
    <w:multiLevelType w:val="hybridMultilevel"/>
    <w:tmpl w:val="C53878AA"/>
    <w:lvl w:ilvl="0" w:tplc="BECC2C2C">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2231851"/>
    <w:multiLevelType w:val="hybridMultilevel"/>
    <w:tmpl w:val="FDF2DD2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73460917"/>
    <w:multiLevelType w:val="hybridMultilevel"/>
    <w:tmpl w:val="BEF66D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FF2334"/>
    <w:multiLevelType w:val="hybridMultilevel"/>
    <w:tmpl w:val="677089B8"/>
    <w:lvl w:ilvl="0" w:tplc="04090019">
      <w:start w:val="1"/>
      <w:numFmt w:val="lowerLetter"/>
      <w:lvlText w:val="%1."/>
      <w:lvlJc w:val="left"/>
      <w:pPr>
        <w:tabs>
          <w:tab w:val="num" w:pos="1440"/>
        </w:tabs>
        <w:ind w:left="1440" w:hanging="360"/>
      </w:pPr>
    </w:lvl>
    <w:lvl w:ilvl="1" w:tplc="EFBCAA02">
      <w:start w:val="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15"/>
  </w:num>
  <w:num w:numId="22">
    <w:abstractNumId w:val="14"/>
  </w:num>
  <w:num w:numId="23">
    <w:abstractNumId w:val="19"/>
  </w:num>
  <w:num w:numId="24">
    <w:abstractNumId w:val="21"/>
  </w:num>
  <w:num w:numId="25">
    <w:abstractNumId w:val="10"/>
  </w:num>
  <w:num w:numId="26">
    <w:abstractNumId w:val="12"/>
  </w:num>
  <w:num w:numId="27">
    <w:abstractNumId w:val="22"/>
  </w:num>
  <w:num w:numId="28">
    <w:abstractNumId w:val="17"/>
  </w:num>
  <w:num w:numId="29">
    <w:abstractNumId w:val="13"/>
  </w:num>
  <w:num w:numId="30">
    <w:abstractNumId w:val="16"/>
  </w:num>
  <w:num w:numId="31">
    <w:abstractNumId w:val="18"/>
  </w:num>
  <w:num w:numId="32">
    <w:abstractNumId w:val="20"/>
  </w:num>
  <w:num w:numId="33">
    <w:abstractNumId w:val="11"/>
  </w:num>
  <w:num w:numId="3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11"/>
    <w:rsid w:val="00000938"/>
    <w:rsid w:val="00001F51"/>
    <w:rsid w:val="000027C9"/>
    <w:rsid w:val="00003119"/>
    <w:rsid w:val="00010045"/>
    <w:rsid w:val="00012BFB"/>
    <w:rsid w:val="00012D29"/>
    <w:rsid w:val="00013824"/>
    <w:rsid w:val="00020DC4"/>
    <w:rsid w:val="00021928"/>
    <w:rsid w:val="00022CC5"/>
    <w:rsid w:val="000237B8"/>
    <w:rsid w:val="000273E2"/>
    <w:rsid w:val="00027B5A"/>
    <w:rsid w:val="00030B76"/>
    <w:rsid w:val="0004037F"/>
    <w:rsid w:val="00045F8D"/>
    <w:rsid w:val="00046A73"/>
    <w:rsid w:val="00047546"/>
    <w:rsid w:val="00050C40"/>
    <w:rsid w:val="000524A8"/>
    <w:rsid w:val="00052D10"/>
    <w:rsid w:val="00053080"/>
    <w:rsid w:val="00055754"/>
    <w:rsid w:val="00060602"/>
    <w:rsid w:val="000611C5"/>
    <w:rsid w:val="000615DD"/>
    <w:rsid w:val="0006443A"/>
    <w:rsid w:val="00072BC1"/>
    <w:rsid w:val="00073467"/>
    <w:rsid w:val="00073EA3"/>
    <w:rsid w:val="000769B8"/>
    <w:rsid w:val="00076D7F"/>
    <w:rsid w:val="0008108C"/>
    <w:rsid w:val="00082779"/>
    <w:rsid w:val="000837CF"/>
    <w:rsid w:val="000853C9"/>
    <w:rsid w:val="000857E9"/>
    <w:rsid w:val="000876DA"/>
    <w:rsid w:val="00090488"/>
    <w:rsid w:val="000905D0"/>
    <w:rsid w:val="0009082F"/>
    <w:rsid w:val="00092B65"/>
    <w:rsid w:val="00094D2E"/>
    <w:rsid w:val="0009671E"/>
    <w:rsid w:val="0009791D"/>
    <w:rsid w:val="000A2259"/>
    <w:rsid w:val="000B048C"/>
    <w:rsid w:val="000B1898"/>
    <w:rsid w:val="000B2244"/>
    <w:rsid w:val="000B55E6"/>
    <w:rsid w:val="000B6791"/>
    <w:rsid w:val="000C0436"/>
    <w:rsid w:val="000C43C5"/>
    <w:rsid w:val="000C67AF"/>
    <w:rsid w:val="000D0F72"/>
    <w:rsid w:val="000D3E06"/>
    <w:rsid w:val="000E02F6"/>
    <w:rsid w:val="000E3A8A"/>
    <w:rsid w:val="000E6171"/>
    <w:rsid w:val="000E7C5D"/>
    <w:rsid w:val="000F00A3"/>
    <w:rsid w:val="001033FD"/>
    <w:rsid w:val="00111097"/>
    <w:rsid w:val="00111A27"/>
    <w:rsid w:val="001147A4"/>
    <w:rsid w:val="001147A7"/>
    <w:rsid w:val="00121F55"/>
    <w:rsid w:val="001221F2"/>
    <w:rsid w:val="00123E39"/>
    <w:rsid w:val="0012671B"/>
    <w:rsid w:val="001272D8"/>
    <w:rsid w:val="00127432"/>
    <w:rsid w:val="00127D51"/>
    <w:rsid w:val="00133969"/>
    <w:rsid w:val="0013412C"/>
    <w:rsid w:val="001351C6"/>
    <w:rsid w:val="00135AFB"/>
    <w:rsid w:val="0014743C"/>
    <w:rsid w:val="00147ADD"/>
    <w:rsid w:val="00151027"/>
    <w:rsid w:val="001529A5"/>
    <w:rsid w:val="001536CE"/>
    <w:rsid w:val="00154177"/>
    <w:rsid w:val="001571DF"/>
    <w:rsid w:val="00157F34"/>
    <w:rsid w:val="0016136F"/>
    <w:rsid w:val="00162FEC"/>
    <w:rsid w:val="00164203"/>
    <w:rsid w:val="00165BC2"/>
    <w:rsid w:val="001674A7"/>
    <w:rsid w:val="00171A68"/>
    <w:rsid w:val="0017581F"/>
    <w:rsid w:val="00177DB2"/>
    <w:rsid w:val="00187A20"/>
    <w:rsid w:val="00190AC3"/>
    <w:rsid w:val="00190D1C"/>
    <w:rsid w:val="0019435D"/>
    <w:rsid w:val="0019448D"/>
    <w:rsid w:val="00195E71"/>
    <w:rsid w:val="00197E3A"/>
    <w:rsid w:val="001A0814"/>
    <w:rsid w:val="001A2E20"/>
    <w:rsid w:val="001A30C2"/>
    <w:rsid w:val="001A794A"/>
    <w:rsid w:val="001B3723"/>
    <w:rsid w:val="001B380A"/>
    <w:rsid w:val="001B401E"/>
    <w:rsid w:val="001C1FE5"/>
    <w:rsid w:val="001C2986"/>
    <w:rsid w:val="001C2D95"/>
    <w:rsid w:val="001C3C58"/>
    <w:rsid w:val="001D05CB"/>
    <w:rsid w:val="001D162E"/>
    <w:rsid w:val="001D1634"/>
    <w:rsid w:val="001D307E"/>
    <w:rsid w:val="001D37C3"/>
    <w:rsid w:val="001D79F6"/>
    <w:rsid w:val="001E0D18"/>
    <w:rsid w:val="001E3856"/>
    <w:rsid w:val="001E47A5"/>
    <w:rsid w:val="001E5B65"/>
    <w:rsid w:val="001E796E"/>
    <w:rsid w:val="001F4DEB"/>
    <w:rsid w:val="001F5BB1"/>
    <w:rsid w:val="001F77F7"/>
    <w:rsid w:val="002003C8"/>
    <w:rsid w:val="00202D58"/>
    <w:rsid w:val="00203E6C"/>
    <w:rsid w:val="00204345"/>
    <w:rsid w:val="00206E92"/>
    <w:rsid w:val="00212316"/>
    <w:rsid w:val="00213298"/>
    <w:rsid w:val="002139F7"/>
    <w:rsid w:val="00214ECD"/>
    <w:rsid w:val="00215915"/>
    <w:rsid w:val="00217998"/>
    <w:rsid w:val="00220298"/>
    <w:rsid w:val="00225A65"/>
    <w:rsid w:val="00230841"/>
    <w:rsid w:val="002347CB"/>
    <w:rsid w:val="00237624"/>
    <w:rsid w:val="0024139F"/>
    <w:rsid w:val="002424CA"/>
    <w:rsid w:val="002454F5"/>
    <w:rsid w:val="0024593E"/>
    <w:rsid w:val="002554D3"/>
    <w:rsid w:val="00266CC4"/>
    <w:rsid w:val="0026713F"/>
    <w:rsid w:val="00271444"/>
    <w:rsid w:val="00272038"/>
    <w:rsid w:val="002758D4"/>
    <w:rsid w:val="002769BD"/>
    <w:rsid w:val="00282CCC"/>
    <w:rsid w:val="00283094"/>
    <w:rsid w:val="002855B4"/>
    <w:rsid w:val="00286381"/>
    <w:rsid w:val="00286F2B"/>
    <w:rsid w:val="00287463"/>
    <w:rsid w:val="002901DE"/>
    <w:rsid w:val="00294E79"/>
    <w:rsid w:val="002959E7"/>
    <w:rsid w:val="0029633F"/>
    <w:rsid w:val="002A2728"/>
    <w:rsid w:val="002A2A84"/>
    <w:rsid w:val="002B178B"/>
    <w:rsid w:val="002B2AF7"/>
    <w:rsid w:val="002B6EB1"/>
    <w:rsid w:val="002C0D1C"/>
    <w:rsid w:val="002C620E"/>
    <w:rsid w:val="002D1893"/>
    <w:rsid w:val="002D5ED2"/>
    <w:rsid w:val="002D7485"/>
    <w:rsid w:val="002E0370"/>
    <w:rsid w:val="002E1719"/>
    <w:rsid w:val="002E34C4"/>
    <w:rsid w:val="002E4668"/>
    <w:rsid w:val="002E4F57"/>
    <w:rsid w:val="002F1CD3"/>
    <w:rsid w:val="002F1E6E"/>
    <w:rsid w:val="002F2395"/>
    <w:rsid w:val="002F6F11"/>
    <w:rsid w:val="0030294F"/>
    <w:rsid w:val="00302B53"/>
    <w:rsid w:val="00304961"/>
    <w:rsid w:val="0030792B"/>
    <w:rsid w:val="00315D26"/>
    <w:rsid w:val="00316AA4"/>
    <w:rsid w:val="00323337"/>
    <w:rsid w:val="00323A57"/>
    <w:rsid w:val="00330886"/>
    <w:rsid w:val="00332706"/>
    <w:rsid w:val="00334C71"/>
    <w:rsid w:val="00336A01"/>
    <w:rsid w:val="0034001D"/>
    <w:rsid w:val="00340488"/>
    <w:rsid w:val="003428E1"/>
    <w:rsid w:val="003436BE"/>
    <w:rsid w:val="00351B64"/>
    <w:rsid w:val="00354213"/>
    <w:rsid w:val="00364EC9"/>
    <w:rsid w:val="00367CB5"/>
    <w:rsid w:val="00370434"/>
    <w:rsid w:val="00371672"/>
    <w:rsid w:val="003778F5"/>
    <w:rsid w:val="00380502"/>
    <w:rsid w:val="00380A71"/>
    <w:rsid w:val="0038141F"/>
    <w:rsid w:val="00387959"/>
    <w:rsid w:val="003910E9"/>
    <w:rsid w:val="00392C3A"/>
    <w:rsid w:val="003951F0"/>
    <w:rsid w:val="003A0B69"/>
    <w:rsid w:val="003A3D70"/>
    <w:rsid w:val="003A3EDB"/>
    <w:rsid w:val="003A54EF"/>
    <w:rsid w:val="003A57F4"/>
    <w:rsid w:val="003B085F"/>
    <w:rsid w:val="003B0D5C"/>
    <w:rsid w:val="003B24D5"/>
    <w:rsid w:val="003B3398"/>
    <w:rsid w:val="003B43D3"/>
    <w:rsid w:val="003B4C95"/>
    <w:rsid w:val="003B6E5B"/>
    <w:rsid w:val="003B70C1"/>
    <w:rsid w:val="003C13A0"/>
    <w:rsid w:val="003C2429"/>
    <w:rsid w:val="003C2BEC"/>
    <w:rsid w:val="003C5740"/>
    <w:rsid w:val="003D0A52"/>
    <w:rsid w:val="003D3470"/>
    <w:rsid w:val="003D3990"/>
    <w:rsid w:val="003D39B7"/>
    <w:rsid w:val="003D3FA8"/>
    <w:rsid w:val="003D422B"/>
    <w:rsid w:val="003D5F14"/>
    <w:rsid w:val="003D5FAA"/>
    <w:rsid w:val="003D7B16"/>
    <w:rsid w:val="003E11BC"/>
    <w:rsid w:val="003E2B1F"/>
    <w:rsid w:val="003E5E90"/>
    <w:rsid w:val="003F042C"/>
    <w:rsid w:val="003F12AC"/>
    <w:rsid w:val="003F18B9"/>
    <w:rsid w:val="003F3BB1"/>
    <w:rsid w:val="003F4635"/>
    <w:rsid w:val="003F6FDD"/>
    <w:rsid w:val="0040089D"/>
    <w:rsid w:val="00404322"/>
    <w:rsid w:val="00404F65"/>
    <w:rsid w:val="004059B3"/>
    <w:rsid w:val="00406E94"/>
    <w:rsid w:val="00407BF9"/>
    <w:rsid w:val="00411815"/>
    <w:rsid w:val="00411819"/>
    <w:rsid w:val="00412908"/>
    <w:rsid w:val="00417BCC"/>
    <w:rsid w:val="004208F1"/>
    <w:rsid w:val="004211BD"/>
    <w:rsid w:val="00421448"/>
    <w:rsid w:val="00424FFE"/>
    <w:rsid w:val="00426C23"/>
    <w:rsid w:val="00427670"/>
    <w:rsid w:val="0043150C"/>
    <w:rsid w:val="00436636"/>
    <w:rsid w:val="0043762F"/>
    <w:rsid w:val="00440867"/>
    <w:rsid w:val="00441D45"/>
    <w:rsid w:val="00441DED"/>
    <w:rsid w:val="00441DFE"/>
    <w:rsid w:val="0044699F"/>
    <w:rsid w:val="00446EC3"/>
    <w:rsid w:val="00450BFE"/>
    <w:rsid w:val="004516AB"/>
    <w:rsid w:val="004534FA"/>
    <w:rsid w:val="0045385D"/>
    <w:rsid w:val="00454D42"/>
    <w:rsid w:val="00462C48"/>
    <w:rsid w:val="0046532F"/>
    <w:rsid w:val="00467530"/>
    <w:rsid w:val="0047130F"/>
    <w:rsid w:val="0047210F"/>
    <w:rsid w:val="004736DB"/>
    <w:rsid w:val="0047418B"/>
    <w:rsid w:val="00475615"/>
    <w:rsid w:val="0048541B"/>
    <w:rsid w:val="00485CD1"/>
    <w:rsid w:val="004902F6"/>
    <w:rsid w:val="00490DC2"/>
    <w:rsid w:val="004916E1"/>
    <w:rsid w:val="0049345F"/>
    <w:rsid w:val="0049464B"/>
    <w:rsid w:val="004955DA"/>
    <w:rsid w:val="004973AF"/>
    <w:rsid w:val="004A1FAF"/>
    <w:rsid w:val="004A411F"/>
    <w:rsid w:val="004A4F93"/>
    <w:rsid w:val="004A76CE"/>
    <w:rsid w:val="004B0193"/>
    <w:rsid w:val="004B0F71"/>
    <w:rsid w:val="004B2E7F"/>
    <w:rsid w:val="004C2E2E"/>
    <w:rsid w:val="004C3708"/>
    <w:rsid w:val="004C3C0B"/>
    <w:rsid w:val="004C55FC"/>
    <w:rsid w:val="004C62D4"/>
    <w:rsid w:val="004C6E34"/>
    <w:rsid w:val="004C7805"/>
    <w:rsid w:val="004C7FA1"/>
    <w:rsid w:val="004D0137"/>
    <w:rsid w:val="004D1CF8"/>
    <w:rsid w:val="004D330D"/>
    <w:rsid w:val="004D5E66"/>
    <w:rsid w:val="004D6487"/>
    <w:rsid w:val="004D72B7"/>
    <w:rsid w:val="004E04A3"/>
    <w:rsid w:val="004E1E51"/>
    <w:rsid w:val="004E289A"/>
    <w:rsid w:val="004E28F1"/>
    <w:rsid w:val="004E3668"/>
    <w:rsid w:val="004F1141"/>
    <w:rsid w:val="004F1201"/>
    <w:rsid w:val="004F20CB"/>
    <w:rsid w:val="004F2799"/>
    <w:rsid w:val="004F3E8A"/>
    <w:rsid w:val="004F561C"/>
    <w:rsid w:val="004F687A"/>
    <w:rsid w:val="004F73F9"/>
    <w:rsid w:val="00500136"/>
    <w:rsid w:val="00500EAD"/>
    <w:rsid w:val="005019FC"/>
    <w:rsid w:val="00502EB2"/>
    <w:rsid w:val="0050324F"/>
    <w:rsid w:val="005051DB"/>
    <w:rsid w:val="00507FED"/>
    <w:rsid w:val="00513154"/>
    <w:rsid w:val="00515A04"/>
    <w:rsid w:val="00517057"/>
    <w:rsid w:val="00523048"/>
    <w:rsid w:val="00531653"/>
    <w:rsid w:val="00534426"/>
    <w:rsid w:val="0053756E"/>
    <w:rsid w:val="00537A26"/>
    <w:rsid w:val="00540C62"/>
    <w:rsid w:val="00545AAD"/>
    <w:rsid w:val="0055030D"/>
    <w:rsid w:val="00550715"/>
    <w:rsid w:val="00553815"/>
    <w:rsid w:val="005539DC"/>
    <w:rsid w:val="0055664F"/>
    <w:rsid w:val="00556669"/>
    <w:rsid w:val="00557878"/>
    <w:rsid w:val="00560A03"/>
    <w:rsid w:val="00560AA1"/>
    <w:rsid w:val="00562440"/>
    <w:rsid w:val="00563C48"/>
    <w:rsid w:val="00563C9E"/>
    <w:rsid w:val="00564729"/>
    <w:rsid w:val="0056648D"/>
    <w:rsid w:val="005723C6"/>
    <w:rsid w:val="00574734"/>
    <w:rsid w:val="005773A4"/>
    <w:rsid w:val="005823FD"/>
    <w:rsid w:val="00582CB6"/>
    <w:rsid w:val="0058777B"/>
    <w:rsid w:val="005917E8"/>
    <w:rsid w:val="005938E8"/>
    <w:rsid w:val="00596E5E"/>
    <w:rsid w:val="0059717D"/>
    <w:rsid w:val="00597D6F"/>
    <w:rsid w:val="005A1B80"/>
    <w:rsid w:val="005A4496"/>
    <w:rsid w:val="005A47D6"/>
    <w:rsid w:val="005A572F"/>
    <w:rsid w:val="005A58A3"/>
    <w:rsid w:val="005A6A91"/>
    <w:rsid w:val="005A7DA7"/>
    <w:rsid w:val="005B0FD3"/>
    <w:rsid w:val="005B14A1"/>
    <w:rsid w:val="005B2BC1"/>
    <w:rsid w:val="005B2F92"/>
    <w:rsid w:val="005B3857"/>
    <w:rsid w:val="005B5972"/>
    <w:rsid w:val="005B67FB"/>
    <w:rsid w:val="005B6EA8"/>
    <w:rsid w:val="005B7F4F"/>
    <w:rsid w:val="005C1EA8"/>
    <w:rsid w:val="005C5863"/>
    <w:rsid w:val="005C6A5D"/>
    <w:rsid w:val="005C7D67"/>
    <w:rsid w:val="005D0677"/>
    <w:rsid w:val="005D0C07"/>
    <w:rsid w:val="005D1E07"/>
    <w:rsid w:val="005D208B"/>
    <w:rsid w:val="005D27CF"/>
    <w:rsid w:val="005D6564"/>
    <w:rsid w:val="005D7230"/>
    <w:rsid w:val="005D7613"/>
    <w:rsid w:val="005E11DF"/>
    <w:rsid w:val="005E5A7B"/>
    <w:rsid w:val="005E5F44"/>
    <w:rsid w:val="005F0EC7"/>
    <w:rsid w:val="005F1543"/>
    <w:rsid w:val="005F2441"/>
    <w:rsid w:val="005F534C"/>
    <w:rsid w:val="005F683C"/>
    <w:rsid w:val="00602C2A"/>
    <w:rsid w:val="006046F3"/>
    <w:rsid w:val="00607A4B"/>
    <w:rsid w:val="00610BC9"/>
    <w:rsid w:val="006139B5"/>
    <w:rsid w:val="00614CD2"/>
    <w:rsid w:val="00616F4B"/>
    <w:rsid w:val="00622644"/>
    <w:rsid w:val="00622740"/>
    <w:rsid w:val="00622FFC"/>
    <w:rsid w:val="00627424"/>
    <w:rsid w:val="00642CDC"/>
    <w:rsid w:val="00646A15"/>
    <w:rsid w:val="00650F53"/>
    <w:rsid w:val="00652CFD"/>
    <w:rsid w:val="00652EAC"/>
    <w:rsid w:val="00656404"/>
    <w:rsid w:val="0066276D"/>
    <w:rsid w:val="00662CCB"/>
    <w:rsid w:val="00672EA6"/>
    <w:rsid w:val="006736F4"/>
    <w:rsid w:val="006741A1"/>
    <w:rsid w:val="006808F9"/>
    <w:rsid w:val="00680B01"/>
    <w:rsid w:val="0068100A"/>
    <w:rsid w:val="00681F7C"/>
    <w:rsid w:val="00682CFC"/>
    <w:rsid w:val="00683030"/>
    <w:rsid w:val="00685099"/>
    <w:rsid w:val="006869C4"/>
    <w:rsid w:val="00690B24"/>
    <w:rsid w:val="006913D4"/>
    <w:rsid w:val="00692C91"/>
    <w:rsid w:val="00693ECE"/>
    <w:rsid w:val="00695BB0"/>
    <w:rsid w:val="00696BB3"/>
    <w:rsid w:val="006973E6"/>
    <w:rsid w:val="00697D4D"/>
    <w:rsid w:val="006A390D"/>
    <w:rsid w:val="006A4D46"/>
    <w:rsid w:val="006A4D90"/>
    <w:rsid w:val="006A5812"/>
    <w:rsid w:val="006A5881"/>
    <w:rsid w:val="006A61C6"/>
    <w:rsid w:val="006B041B"/>
    <w:rsid w:val="006B1A3B"/>
    <w:rsid w:val="006B2CB8"/>
    <w:rsid w:val="006B3D40"/>
    <w:rsid w:val="006C4031"/>
    <w:rsid w:val="006C433C"/>
    <w:rsid w:val="006C4905"/>
    <w:rsid w:val="006C54AF"/>
    <w:rsid w:val="006C5F3B"/>
    <w:rsid w:val="006D0C08"/>
    <w:rsid w:val="006D2891"/>
    <w:rsid w:val="006D2BEE"/>
    <w:rsid w:val="006D388E"/>
    <w:rsid w:val="006D412F"/>
    <w:rsid w:val="006D47E4"/>
    <w:rsid w:val="006E1A87"/>
    <w:rsid w:val="006E1E23"/>
    <w:rsid w:val="006E1F19"/>
    <w:rsid w:val="006E2D36"/>
    <w:rsid w:val="006E33A3"/>
    <w:rsid w:val="006E376F"/>
    <w:rsid w:val="006E557B"/>
    <w:rsid w:val="006F15A8"/>
    <w:rsid w:val="006F5B06"/>
    <w:rsid w:val="006F65A2"/>
    <w:rsid w:val="00700013"/>
    <w:rsid w:val="007015B4"/>
    <w:rsid w:val="007037C8"/>
    <w:rsid w:val="00703E2F"/>
    <w:rsid w:val="00706063"/>
    <w:rsid w:val="00707598"/>
    <w:rsid w:val="00707B01"/>
    <w:rsid w:val="00712705"/>
    <w:rsid w:val="007153CB"/>
    <w:rsid w:val="0071603D"/>
    <w:rsid w:val="00717613"/>
    <w:rsid w:val="007230CF"/>
    <w:rsid w:val="00725691"/>
    <w:rsid w:val="0072591B"/>
    <w:rsid w:val="00732089"/>
    <w:rsid w:val="00735448"/>
    <w:rsid w:val="007356CC"/>
    <w:rsid w:val="00735F33"/>
    <w:rsid w:val="00737545"/>
    <w:rsid w:val="00737BB7"/>
    <w:rsid w:val="00737EFA"/>
    <w:rsid w:val="00740ECC"/>
    <w:rsid w:val="00741C9A"/>
    <w:rsid w:val="00742937"/>
    <w:rsid w:val="00743936"/>
    <w:rsid w:val="007502A5"/>
    <w:rsid w:val="00753274"/>
    <w:rsid w:val="007534DA"/>
    <w:rsid w:val="00760628"/>
    <w:rsid w:val="00760A9C"/>
    <w:rsid w:val="00765E73"/>
    <w:rsid w:val="00767BF9"/>
    <w:rsid w:val="007723F0"/>
    <w:rsid w:val="00773D8E"/>
    <w:rsid w:val="007748C4"/>
    <w:rsid w:val="00774B70"/>
    <w:rsid w:val="00781BAA"/>
    <w:rsid w:val="0078419C"/>
    <w:rsid w:val="00784641"/>
    <w:rsid w:val="00790078"/>
    <w:rsid w:val="00792F02"/>
    <w:rsid w:val="007A03B8"/>
    <w:rsid w:val="007A0471"/>
    <w:rsid w:val="007A4F81"/>
    <w:rsid w:val="007A737A"/>
    <w:rsid w:val="007B2DBB"/>
    <w:rsid w:val="007B6DC2"/>
    <w:rsid w:val="007B700F"/>
    <w:rsid w:val="007C1C24"/>
    <w:rsid w:val="007C2FFF"/>
    <w:rsid w:val="007C3D0A"/>
    <w:rsid w:val="007C5ECC"/>
    <w:rsid w:val="007D27B7"/>
    <w:rsid w:val="007D4608"/>
    <w:rsid w:val="007D72D2"/>
    <w:rsid w:val="007D7EBE"/>
    <w:rsid w:val="007E051C"/>
    <w:rsid w:val="007F17C0"/>
    <w:rsid w:val="007F222F"/>
    <w:rsid w:val="007F6982"/>
    <w:rsid w:val="008000AD"/>
    <w:rsid w:val="0080107C"/>
    <w:rsid w:val="00801610"/>
    <w:rsid w:val="008040F3"/>
    <w:rsid w:val="0080414D"/>
    <w:rsid w:val="00805CD4"/>
    <w:rsid w:val="008061C5"/>
    <w:rsid w:val="008067D1"/>
    <w:rsid w:val="00807E17"/>
    <w:rsid w:val="00810948"/>
    <w:rsid w:val="00811E59"/>
    <w:rsid w:val="00815DA8"/>
    <w:rsid w:val="008165A4"/>
    <w:rsid w:val="0081687E"/>
    <w:rsid w:val="00823528"/>
    <w:rsid w:val="00823D22"/>
    <w:rsid w:val="00826947"/>
    <w:rsid w:val="00826E86"/>
    <w:rsid w:val="008274DA"/>
    <w:rsid w:val="008313D3"/>
    <w:rsid w:val="00834CEE"/>
    <w:rsid w:val="00835568"/>
    <w:rsid w:val="00836BA2"/>
    <w:rsid w:val="00842738"/>
    <w:rsid w:val="00843B1B"/>
    <w:rsid w:val="00844C92"/>
    <w:rsid w:val="00845F17"/>
    <w:rsid w:val="0084793C"/>
    <w:rsid w:val="00852B11"/>
    <w:rsid w:val="00852E45"/>
    <w:rsid w:val="00853637"/>
    <w:rsid w:val="00853B42"/>
    <w:rsid w:val="00853CA5"/>
    <w:rsid w:val="00854DA7"/>
    <w:rsid w:val="00861CB3"/>
    <w:rsid w:val="008641FD"/>
    <w:rsid w:val="0087076A"/>
    <w:rsid w:val="00870D9D"/>
    <w:rsid w:val="00870F20"/>
    <w:rsid w:val="00871A8A"/>
    <w:rsid w:val="00872841"/>
    <w:rsid w:val="0087566A"/>
    <w:rsid w:val="00875BF1"/>
    <w:rsid w:val="008763BC"/>
    <w:rsid w:val="00876E98"/>
    <w:rsid w:val="008776AC"/>
    <w:rsid w:val="008778E1"/>
    <w:rsid w:val="008837E0"/>
    <w:rsid w:val="00884246"/>
    <w:rsid w:val="0088624D"/>
    <w:rsid w:val="0089156C"/>
    <w:rsid w:val="0089261B"/>
    <w:rsid w:val="008A21B9"/>
    <w:rsid w:val="008A284B"/>
    <w:rsid w:val="008A3621"/>
    <w:rsid w:val="008A5045"/>
    <w:rsid w:val="008B4BBF"/>
    <w:rsid w:val="008C0AF4"/>
    <w:rsid w:val="008C1112"/>
    <w:rsid w:val="008C117C"/>
    <w:rsid w:val="008C26F4"/>
    <w:rsid w:val="008C3BB0"/>
    <w:rsid w:val="008C4B58"/>
    <w:rsid w:val="008C7039"/>
    <w:rsid w:val="008D2A6E"/>
    <w:rsid w:val="008D3D58"/>
    <w:rsid w:val="008D5B9A"/>
    <w:rsid w:val="008D6A68"/>
    <w:rsid w:val="008E407B"/>
    <w:rsid w:val="008E4982"/>
    <w:rsid w:val="008E5653"/>
    <w:rsid w:val="008F0F5E"/>
    <w:rsid w:val="008F22E3"/>
    <w:rsid w:val="008F377F"/>
    <w:rsid w:val="008F4FAF"/>
    <w:rsid w:val="008F71F7"/>
    <w:rsid w:val="008F787E"/>
    <w:rsid w:val="00901CF7"/>
    <w:rsid w:val="009025F1"/>
    <w:rsid w:val="00903323"/>
    <w:rsid w:val="00910354"/>
    <w:rsid w:val="00912D87"/>
    <w:rsid w:val="00916E9B"/>
    <w:rsid w:val="00920449"/>
    <w:rsid w:val="00920924"/>
    <w:rsid w:val="00921D03"/>
    <w:rsid w:val="00922405"/>
    <w:rsid w:val="00923A09"/>
    <w:rsid w:val="00923A69"/>
    <w:rsid w:val="00923C80"/>
    <w:rsid w:val="009241CC"/>
    <w:rsid w:val="00924705"/>
    <w:rsid w:val="00925901"/>
    <w:rsid w:val="00930CC9"/>
    <w:rsid w:val="00933CE9"/>
    <w:rsid w:val="009348F2"/>
    <w:rsid w:val="00934EDD"/>
    <w:rsid w:val="00935CC1"/>
    <w:rsid w:val="009406F4"/>
    <w:rsid w:val="00940BA5"/>
    <w:rsid w:val="00940EB4"/>
    <w:rsid w:val="00941838"/>
    <w:rsid w:val="00941B0A"/>
    <w:rsid w:val="00943F0F"/>
    <w:rsid w:val="009446EB"/>
    <w:rsid w:val="00946EF8"/>
    <w:rsid w:val="00947709"/>
    <w:rsid w:val="00952A3F"/>
    <w:rsid w:val="00954228"/>
    <w:rsid w:val="00955E66"/>
    <w:rsid w:val="009566F6"/>
    <w:rsid w:val="009607D1"/>
    <w:rsid w:val="00960CD6"/>
    <w:rsid w:val="0096640C"/>
    <w:rsid w:val="0096797E"/>
    <w:rsid w:val="00971331"/>
    <w:rsid w:val="009714D6"/>
    <w:rsid w:val="00973469"/>
    <w:rsid w:val="009738FA"/>
    <w:rsid w:val="00975032"/>
    <w:rsid w:val="009752B1"/>
    <w:rsid w:val="0097728A"/>
    <w:rsid w:val="0098088A"/>
    <w:rsid w:val="00981015"/>
    <w:rsid w:val="0098174D"/>
    <w:rsid w:val="0098461F"/>
    <w:rsid w:val="009847EC"/>
    <w:rsid w:val="00986B0B"/>
    <w:rsid w:val="009913E5"/>
    <w:rsid w:val="00994971"/>
    <w:rsid w:val="009959F5"/>
    <w:rsid w:val="009A0407"/>
    <w:rsid w:val="009A0F8C"/>
    <w:rsid w:val="009A512E"/>
    <w:rsid w:val="009B0013"/>
    <w:rsid w:val="009B0125"/>
    <w:rsid w:val="009B14D2"/>
    <w:rsid w:val="009B1D78"/>
    <w:rsid w:val="009B204D"/>
    <w:rsid w:val="009B2194"/>
    <w:rsid w:val="009B644A"/>
    <w:rsid w:val="009B6547"/>
    <w:rsid w:val="009B6C2A"/>
    <w:rsid w:val="009B6E46"/>
    <w:rsid w:val="009B7C66"/>
    <w:rsid w:val="009C1695"/>
    <w:rsid w:val="009C212D"/>
    <w:rsid w:val="009C420A"/>
    <w:rsid w:val="009C7443"/>
    <w:rsid w:val="009C7BB9"/>
    <w:rsid w:val="009D19B0"/>
    <w:rsid w:val="009D2463"/>
    <w:rsid w:val="009E1A44"/>
    <w:rsid w:val="009E576A"/>
    <w:rsid w:val="009F07EC"/>
    <w:rsid w:val="009F5681"/>
    <w:rsid w:val="009F6FFA"/>
    <w:rsid w:val="009F7306"/>
    <w:rsid w:val="00A01466"/>
    <w:rsid w:val="00A029FD"/>
    <w:rsid w:val="00A04713"/>
    <w:rsid w:val="00A076A4"/>
    <w:rsid w:val="00A10343"/>
    <w:rsid w:val="00A11568"/>
    <w:rsid w:val="00A11D42"/>
    <w:rsid w:val="00A13F4B"/>
    <w:rsid w:val="00A15F2B"/>
    <w:rsid w:val="00A16613"/>
    <w:rsid w:val="00A203C9"/>
    <w:rsid w:val="00A20D2C"/>
    <w:rsid w:val="00A20E9E"/>
    <w:rsid w:val="00A2143C"/>
    <w:rsid w:val="00A2232D"/>
    <w:rsid w:val="00A23AB9"/>
    <w:rsid w:val="00A24B81"/>
    <w:rsid w:val="00A3238A"/>
    <w:rsid w:val="00A40F15"/>
    <w:rsid w:val="00A42A6B"/>
    <w:rsid w:val="00A43B87"/>
    <w:rsid w:val="00A4708F"/>
    <w:rsid w:val="00A52437"/>
    <w:rsid w:val="00A5484C"/>
    <w:rsid w:val="00A57F11"/>
    <w:rsid w:val="00A60766"/>
    <w:rsid w:val="00A60BF0"/>
    <w:rsid w:val="00A64582"/>
    <w:rsid w:val="00A67E23"/>
    <w:rsid w:val="00A70260"/>
    <w:rsid w:val="00A724E3"/>
    <w:rsid w:val="00A7283A"/>
    <w:rsid w:val="00A739DB"/>
    <w:rsid w:val="00A752D5"/>
    <w:rsid w:val="00A7583F"/>
    <w:rsid w:val="00A75D2B"/>
    <w:rsid w:val="00A801ED"/>
    <w:rsid w:val="00A810CD"/>
    <w:rsid w:val="00A820E3"/>
    <w:rsid w:val="00A85AB8"/>
    <w:rsid w:val="00A87291"/>
    <w:rsid w:val="00A90B3D"/>
    <w:rsid w:val="00A90F44"/>
    <w:rsid w:val="00A93D3F"/>
    <w:rsid w:val="00AA2E8A"/>
    <w:rsid w:val="00AA39BE"/>
    <w:rsid w:val="00AA63EA"/>
    <w:rsid w:val="00AA7054"/>
    <w:rsid w:val="00AB040A"/>
    <w:rsid w:val="00AB0E8E"/>
    <w:rsid w:val="00AB1FCA"/>
    <w:rsid w:val="00AB4BB1"/>
    <w:rsid w:val="00AB5817"/>
    <w:rsid w:val="00AC0AF3"/>
    <w:rsid w:val="00AC1F69"/>
    <w:rsid w:val="00AC6FA7"/>
    <w:rsid w:val="00AD3301"/>
    <w:rsid w:val="00AD33B2"/>
    <w:rsid w:val="00AD3E75"/>
    <w:rsid w:val="00AD5896"/>
    <w:rsid w:val="00AD7916"/>
    <w:rsid w:val="00AD7CA5"/>
    <w:rsid w:val="00AD7D97"/>
    <w:rsid w:val="00AE27FE"/>
    <w:rsid w:val="00AE3750"/>
    <w:rsid w:val="00AF02EE"/>
    <w:rsid w:val="00AF060C"/>
    <w:rsid w:val="00AF135B"/>
    <w:rsid w:val="00AF4F00"/>
    <w:rsid w:val="00B01089"/>
    <w:rsid w:val="00B03738"/>
    <w:rsid w:val="00B06DC0"/>
    <w:rsid w:val="00B126C8"/>
    <w:rsid w:val="00B13038"/>
    <w:rsid w:val="00B130A6"/>
    <w:rsid w:val="00B13B9F"/>
    <w:rsid w:val="00B14F7C"/>
    <w:rsid w:val="00B161DD"/>
    <w:rsid w:val="00B170BB"/>
    <w:rsid w:val="00B213EF"/>
    <w:rsid w:val="00B22A86"/>
    <w:rsid w:val="00B262EC"/>
    <w:rsid w:val="00B3224F"/>
    <w:rsid w:val="00B46BD7"/>
    <w:rsid w:val="00B501D3"/>
    <w:rsid w:val="00B502C1"/>
    <w:rsid w:val="00B52408"/>
    <w:rsid w:val="00B529DE"/>
    <w:rsid w:val="00B55C9C"/>
    <w:rsid w:val="00B56487"/>
    <w:rsid w:val="00B57FC8"/>
    <w:rsid w:val="00B609CE"/>
    <w:rsid w:val="00B60FA0"/>
    <w:rsid w:val="00B6138D"/>
    <w:rsid w:val="00B634E2"/>
    <w:rsid w:val="00B63524"/>
    <w:rsid w:val="00B65CDB"/>
    <w:rsid w:val="00B67439"/>
    <w:rsid w:val="00B72D4C"/>
    <w:rsid w:val="00B73B6C"/>
    <w:rsid w:val="00B74402"/>
    <w:rsid w:val="00B748BC"/>
    <w:rsid w:val="00B7799A"/>
    <w:rsid w:val="00B8295E"/>
    <w:rsid w:val="00B85226"/>
    <w:rsid w:val="00B87D12"/>
    <w:rsid w:val="00B907FB"/>
    <w:rsid w:val="00B9151E"/>
    <w:rsid w:val="00B9165C"/>
    <w:rsid w:val="00B92727"/>
    <w:rsid w:val="00B96815"/>
    <w:rsid w:val="00B97071"/>
    <w:rsid w:val="00B97CA9"/>
    <w:rsid w:val="00B97ED7"/>
    <w:rsid w:val="00BA27D5"/>
    <w:rsid w:val="00BA3523"/>
    <w:rsid w:val="00BA3D9C"/>
    <w:rsid w:val="00BA4A7B"/>
    <w:rsid w:val="00BA6557"/>
    <w:rsid w:val="00BA757F"/>
    <w:rsid w:val="00BB2447"/>
    <w:rsid w:val="00BC05A0"/>
    <w:rsid w:val="00BC1B81"/>
    <w:rsid w:val="00BC24D3"/>
    <w:rsid w:val="00BC2AE4"/>
    <w:rsid w:val="00BC3EEE"/>
    <w:rsid w:val="00BC45B3"/>
    <w:rsid w:val="00BC66E5"/>
    <w:rsid w:val="00BD04C0"/>
    <w:rsid w:val="00BD26F4"/>
    <w:rsid w:val="00BD40E9"/>
    <w:rsid w:val="00BD476C"/>
    <w:rsid w:val="00BE0691"/>
    <w:rsid w:val="00BE18D5"/>
    <w:rsid w:val="00BE26BE"/>
    <w:rsid w:val="00BE3B58"/>
    <w:rsid w:val="00BE6E34"/>
    <w:rsid w:val="00BF30CD"/>
    <w:rsid w:val="00BF5C42"/>
    <w:rsid w:val="00BF5CFE"/>
    <w:rsid w:val="00BF7395"/>
    <w:rsid w:val="00C035B8"/>
    <w:rsid w:val="00C07374"/>
    <w:rsid w:val="00C073C8"/>
    <w:rsid w:val="00C078D9"/>
    <w:rsid w:val="00C10A2C"/>
    <w:rsid w:val="00C24F83"/>
    <w:rsid w:val="00C257DF"/>
    <w:rsid w:val="00C34F6A"/>
    <w:rsid w:val="00C35543"/>
    <w:rsid w:val="00C370A4"/>
    <w:rsid w:val="00C422B3"/>
    <w:rsid w:val="00C42D0C"/>
    <w:rsid w:val="00C43CD4"/>
    <w:rsid w:val="00C4538F"/>
    <w:rsid w:val="00C53668"/>
    <w:rsid w:val="00C54B0A"/>
    <w:rsid w:val="00C55EE1"/>
    <w:rsid w:val="00C640CF"/>
    <w:rsid w:val="00C67B66"/>
    <w:rsid w:val="00C7173C"/>
    <w:rsid w:val="00C75B3B"/>
    <w:rsid w:val="00C81D48"/>
    <w:rsid w:val="00C81DF9"/>
    <w:rsid w:val="00C82B43"/>
    <w:rsid w:val="00C83030"/>
    <w:rsid w:val="00C87E43"/>
    <w:rsid w:val="00C96461"/>
    <w:rsid w:val="00C972C1"/>
    <w:rsid w:val="00C97E4B"/>
    <w:rsid w:val="00CA1369"/>
    <w:rsid w:val="00CA3689"/>
    <w:rsid w:val="00CA538A"/>
    <w:rsid w:val="00CA54EE"/>
    <w:rsid w:val="00CA73BA"/>
    <w:rsid w:val="00CB236C"/>
    <w:rsid w:val="00CB45EA"/>
    <w:rsid w:val="00CB56C5"/>
    <w:rsid w:val="00CB5D67"/>
    <w:rsid w:val="00CB7A68"/>
    <w:rsid w:val="00CC1415"/>
    <w:rsid w:val="00CC2B8C"/>
    <w:rsid w:val="00CC5007"/>
    <w:rsid w:val="00CC6CF0"/>
    <w:rsid w:val="00CC72E6"/>
    <w:rsid w:val="00CD146D"/>
    <w:rsid w:val="00CD72E7"/>
    <w:rsid w:val="00CD7FB1"/>
    <w:rsid w:val="00CE2B70"/>
    <w:rsid w:val="00CE47A4"/>
    <w:rsid w:val="00CE5E02"/>
    <w:rsid w:val="00CE7419"/>
    <w:rsid w:val="00CE782D"/>
    <w:rsid w:val="00CF3A35"/>
    <w:rsid w:val="00D00611"/>
    <w:rsid w:val="00D0260C"/>
    <w:rsid w:val="00D05DCF"/>
    <w:rsid w:val="00D1128E"/>
    <w:rsid w:val="00D12040"/>
    <w:rsid w:val="00D142FF"/>
    <w:rsid w:val="00D1609B"/>
    <w:rsid w:val="00D23EDB"/>
    <w:rsid w:val="00D25DE4"/>
    <w:rsid w:val="00D32E64"/>
    <w:rsid w:val="00D32EC1"/>
    <w:rsid w:val="00D3403E"/>
    <w:rsid w:val="00D357EF"/>
    <w:rsid w:val="00D35EFC"/>
    <w:rsid w:val="00D41658"/>
    <w:rsid w:val="00D4178C"/>
    <w:rsid w:val="00D42C6E"/>
    <w:rsid w:val="00D453F8"/>
    <w:rsid w:val="00D45A7E"/>
    <w:rsid w:val="00D46C69"/>
    <w:rsid w:val="00D47DDF"/>
    <w:rsid w:val="00D50399"/>
    <w:rsid w:val="00D52874"/>
    <w:rsid w:val="00D539D6"/>
    <w:rsid w:val="00D6117D"/>
    <w:rsid w:val="00D623AA"/>
    <w:rsid w:val="00D63EDC"/>
    <w:rsid w:val="00D65929"/>
    <w:rsid w:val="00D65D17"/>
    <w:rsid w:val="00D67FA4"/>
    <w:rsid w:val="00D72D13"/>
    <w:rsid w:val="00D73A8D"/>
    <w:rsid w:val="00D74863"/>
    <w:rsid w:val="00D77F1E"/>
    <w:rsid w:val="00D81E33"/>
    <w:rsid w:val="00D833BB"/>
    <w:rsid w:val="00D838F5"/>
    <w:rsid w:val="00D8675D"/>
    <w:rsid w:val="00D86EE1"/>
    <w:rsid w:val="00D87521"/>
    <w:rsid w:val="00DA0F70"/>
    <w:rsid w:val="00DA2A60"/>
    <w:rsid w:val="00DB075F"/>
    <w:rsid w:val="00DB23F1"/>
    <w:rsid w:val="00DB28C8"/>
    <w:rsid w:val="00DB48BB"/>
    <w:rsid w:val="00DB5174"/>
    <w:rsid w:val="00DB5CCD"/>
    <w:rsid w:val="00DB5E68"/>
    <w:rsid w:val="00DB64CC"/>
    <w:rsid w:val="00DB75E7"/>
    <w:rsid w:val="00DC0629"/>
    <w:rsid w:val="00DC1FDA"/>
    <w:rsid w:val="00DC4235"/>
    <w:rsid w:val="00DC4EC6"/>
    <w:rsid w:val="00DC6559"/>
    <w:rsid w:val="00DD169B"/>
    <w:rsid w:val="00DD2600"/>
    <w:rsid w:val="00DE0CBA"/>
    <w:rsid w:val="00DE46F1"/>
    <w:rsid w:val="00DE50FD"/>
    <w:rsid w:val="00DE53F1"/>
    <w:rsid w:val="00DE64B4"/>
    <w:rsid w:val="00DF0AE2"/>
    <w:rsid w:val="00DF2C33"/>
    <w:rsid w:val="00DF5FD5"/>
    <w:rsid w:val="00DF7B1D"/>
    <w:rsid w:val="00E014B4"/>
    <w:rsid w:val="00E024C7"/>
    <w:rsid w:val="00E03B84"/>
    <w:rsid w:val="00E04BED"/>
    <w:rsid w:val="00E051D7"/>
    <w:rsid w:val="00E07521"/>
    <w:rsid w:val="00E07932"/>
    <w:rsid w:val="00E10ACE"/>
    <w:rsid w:val="00E112E7"/>
    <w:rsid w:val="00E12B11"/>
    <w:rsid w:val="00E13B53"/>
    <w:rsid w:val="00E16EB2"/>
    <w:rsid w:val="00E23B83"/>
    <w:rsid w:val="00E24A5B"/>
    <w:rsid w:val="00E31D82"/>
    <w:rsid w:val="00E3582E"/>
    <w:rsid w:val="00E43E90"/>
    <w:rsid w:val="00E53CC8"/>
    <w:rsid w:val="00E55030"/>
    <w:rsid w:val="00E55432"/>
    <w:rsid w:val="00E5797D"/>
    <w:rsid w:val="00E62020"/>
    <w:rsid w:val="00E6328B"/>
    <w:rsid w:val="00E640BD"/>
    <w:rsid w:val="00E656B9"/>
    <w:rsid w:val="00E726EC"/>
    <w:rsid w:val="00E72D1D"/>
    <w:rsid w:val="00E72F4A"/>
    <w:rsid w:val="00E741A8"/>
    <w:rsid w:val="00E75EFC"/>
    <w:rsid w:val="00E803CE"/>
    <w:rsid w:val="00E83CFD"/>
    <w:rsid w:val="00E91159"/>
    <w:rsid w:val="00E93945"/>
    <w:rsid w:val="00E95715"/>
    <w:rsid w:val="00EA0A14"/>
    <w:rsid w:val="00EA2C4C"/>
    <w:rsid w:val="00EA3508"/>
    <w:rsid w:val="00EA42E8"/>
    <w:rsid w:val="00EB0FB3"/>
    <w:rsid w:val="00EB1A71"/>
    <w:rsid w:val="00EB29F7"/>
    <w:rsid w:val="00EB4A23"/>
    <w:rsid w:val="00EB4CEA"/>
    <w:rsid w:val="00EB58B4"/>
    <w:rsid w:val="00EB7357"/>
    <w:rsid w:val="00EB7586"/>
    <w:rsid w:val="00EB7797"/>
    <w:rsid w:val="00EC27D6"/>
    <w:rsid w:val="00EC3DC8"/>
    <w:rsid w:val="00EC4362"/>
    <w:rsid w:val="00EC5CB0"/>
    <w:rsid w:val="00EC7FC3"/>
    <w:rsid w:val="00ED1123"/>
    <w:rsid w:val="00ED11A1"/>
    <w:rsid w:val="00ED60CD"/>
    <w:rsid w:val="00ED674B"/>
    <w:rsid w:val="00EE0778"/>
    <w:rsid w:val="00EE1320"/>
    <w:rsid w:val="00EE31D8"/>
    <w:rsid w:val="00EE56C7"/>
    <w:rsid w:val="00EF1B0F"/>
    <w:rsid w:val="00EF3975"/>
    <w:rsid w:val="00EF3B2C"/>
    <w:rsid w:val="00F0184D"/>
    <w:rsid w:val="00F01F31"/>
    <w:rsid w:val="00F1056C"/>
    <w:rsid w:val="00F108B0"/>
    <w:rsid w:val="00F1324E"/>
    <w:rsid w:val="00F1500C"/>
    <w:rsid w:val="00F15B7F"/>
    <w:rsid w:val="00F2581C"/>
    <w:rsid w:val="00F25F32"/>
    <w:rsid w:val="00F26C67"/>
    <w:rsid w:val="00F32040"/>
    <w:rsid w:val="00F32052"/>
    <w:rsid w:val="00F33DCB"/>
    <w:rsid w:val="00F341CA"/>
    <w:rsid w:val="00F3625A"/>
    <w:rsid w:val="00F42E6D"/>
    <w:rsid w:val="00F46D48"/>
    <w:rsid w:val="00F50704"/>
    <w:rsid w:val="00F511FE"/>
    <w:rsid w:val="00F512B5"/>
    <w:rsid w:val="00F514A0"/>
    <w:rsid w:val="00F52585"/>
    <w:rsid w:val="00F52DBD"/>
    <w:rsid w:val="00F60D7E"/>
    <w:rsid w:val="00F617B9"/>
    <w:rsid w:val="00F648E8"/>
    <w:rsid w:val="00F659A0"/>
    <w:rsid w:val="00F707DD"/>
    <w:rsid w:val="00F72450"/>
    <w:rsid w:val="00F7426A"/>
    <w:rsid w:val="00F81DFB"/>
    <w:rsid w:val="00F82926"/>
    <w:rsid w:val="00F82AC9"/>
    <w:rsid w:val="00F84862"/>
    <w:rsid w:val="00F87A24"/>
    <w:rsid w:val="00F90AD8"/>
    <w:rsid w:val="00F917E2"/>
    <w:rsid w:val="00F93438"/>
    <w:rsid w:val="00F94ACD"/>
    <w:rsid w:val="00F9587E"/>
    <w:rsid w:val="00F9658A"/>
    <w:rsid w:val="00F97529"/>
    <w:rsid w:val="00F9779C"/>
    <w:rsid w:val="00FA1027"/>
    <w:rsid w:val="00FA3E9A"/>
    <w:rsid w:val="00FA7846"/>
    <w:rsid w:val="00FB0658"/>
    <w:rsid w:val="00FB2EB0"/>
    <w:rsid w:val="00FB3975"/>
    <w:rsid w:val="00FB3FD7"/>
    <w:rsid w:val="00FB4A31"/>
    <w:rsid w:val="00FB7AC5"/>
    <w:rsid w:val="00FC5945"/>
    <w:rsid w:val="00FD223B"/>
    <w:rsid w:val="00FD22D5"/>
    <w:rsid w:val="00FD2CB3"/>
    <w:rsid w:val="00FD4263"/>
    <w:rsid w:val="00FD50E7"/>
    <w:rsid w:val="00FD58D0"/>
    <w:rsid w:val="00FD5DCD"/>
    <w:rsid w:val="00FE4410"/>
    <w:rsid w:val="00FE66D3"/>
    <w:rsid w:val="00FE70D4"/>
    <w:rsid w:val="00FF39D2"/>
    <w:rsid w:val="00FF5E92"/>
    <w:rsid w:val="00FF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B06"/>
    <w:rPr>
      <w:rFonts w:ascii="Times New Roman" w:hAnsi="Times New Roman"/>
      <w:sz w:val="24"/>
      <w:szCs w:val="24"/>
    </w:rPr>
  </w:style>
  <w:style w:type="paragraph" w:styleId="Heading1">
    <w:name w:val="heading 1"/>
    <w:aliases w:val="h1"/>
    <w:basedOn w:val="single"/>
    <w:next w:val="Normal"/>
    <w:link w:val="Heading1Char"/>
    <w:uiPriority w:val="99"/>
    <w:qFormat/>
    <w:rsid w:val="006F5B06"/>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uiPriority w:val="99"/>
    <w:qFormat/>
    <w:rsid w:val="006F5B06"/>
    <w:pPr>
      <w:spacing w:before="360" w:after="360" w:line="240" w:lineRule="auto"/>
      <w:ind w:hanging="720"/>
      <w:jc w:val="left"/>
      <w:outlineLvl w:val="1"/>
    </w:pPr>
    <w:rPr>
      <w:szCs w:val="24"/>
      <w:u w:val="single"/>
    </w:rPr>
  </w:style>
  <w:style w:type="paragraph" w:styleId="Heading3">
    <w:name w:val="heading 3"/>
    <w:aliases w:val="h3"/>
    <w:basedOn w:val="Heading2"/>
    <w:next w:val="Normal"/>
    <w:link w:val="Heading3Char"/>
    <w:uiPriority w:val="99"/>
    <w:qFormat/>
    <w:rsid w:val="006F5B06"/>
    <w:pPr>
      <w:spacing w:before="120"/>
      <w:ind w:left="1440"/>
      <w:outlineLvl w:val="2"/>
    </w:pPr>
  </w:style>
  <w:style w:type="paragraph" w:styleId="Heading4">
    <w:name w:val="heading 4"/>
    <w:aliases w:val="h4"/>
    <w:basedOn w:val="Heading3"/>
    <w:next w:val="Normal"/>
    <w:link w:val="Heading4Char"/>
    <w:uiPriority w:val="99"/>
    <w:qFormat/>
    <w:rsid w:val="006F5B06"/>
    <w:pPr>
      <w:ind w:left="2160"/>
      <w:outlineLvl w:val="3"/>
    </w:pPr>
  </w:style>
  <w:style w:type="paragraph" w:styleId="Heading5">
    <w:name w:val="heading 5"/>
    <w:aliases w:val="h5"/>
    <w:basedOn w:val="Heading4"/>
    <w:next w:val="Normal"/>
    <w:link w:val="Heading5Char"/>
    <w:uiPriority w:val="99"/>
    <w:qFormat/>
    <w:rsid w:val="006F5B06"/>
    <w:pPr>
      <w:ind w:left="2880"/>
      <w:outlineLvl w:val="4"/>
    </w:pPr>
  </w:style>
  <w:style w:type="paragraph" w:styleId="Heading6">
    <w:name w:val="heading 6"/>
    <w:aliases w:val="h6"/>
    <w:basedOn w:val="Heading5"/>
    <w:next w:val="Normal"/>
    <w:link w:val="Heading6Char"/>
    <w:uiPriority w:val="99"/>
    <w:qFormat/>
    <w:rsid w:val="006F5B06"/>
    <w:pPr>
      <w:ind w:left="3600"/>
      <w:outlineLvl w:val="5"/>
    </w:pPr>
  </w:style>
  <w:style w:type="paragraph" w:styleId="Heading7">
    <w:name w:val="heading 7"/>
    <w:aliases w:val="h7"/>
    <w:basedOn w:val="Heading6"/>
    <w:next w:val="Normal"/>
    <w:link w:val="Heading7Char"/>
    <w:uiPriority w:val="99"/>
    <w:qFormat/>
    <w:rsid w:val="006F5B06"/>
    <w:pPr>
      <w:ind w:left="4320"/>
      <w:outlineLvl w:val="6"/>
    </w:pPr>
  </w:style>
  <w:style w:type="paragraph" w:styleId="Heading8">
    <w:name w:val="heading 8"/>
    <w:aliases w:val="h8"/>
    <w:basedOn w:val="Heading6"/>
    <w:next w:val="Normal"/>
    <w:link w:val="Heading8Char"/>
    <w:uiPriority w:val="99"/>
    <w:qFormat/>
    <w:rsid w:val="006F5B06"/>
    <w:pPr>
      <w:ind w:left="5040"/>
      <w:outlineLvl w:val="7"/>
    </w:pPr>
  </w:style>
  <w:style w:type="paragraph" w:styleId="Heading9">
    <w:name w:val="heading 9"/>
    <w:aliases w:val="h9"/>
    <w:basedOn w:val="Heading6"/>
    <w:next w:val="Normal"/>
    <w:link w:val="Heading9Char"/>
    <w:uiPriority w:val="99"/>
    <w:qFormat/>
    <w:rsid w:val="006F5B06"/>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72F4A"/>
    <w:rPr>
      <w:rFonts w:ascii="Cambria" w:hAnsi="Cambria" w:cs="Times New Roman"/>
      <w:b/>
      <w:bCs/>
      <w:kern w:val="32"/>
      <w:sz w:val="32"/>
      <w:szCs w:val="32"/>
    </w:rPr>
  </w:style>
  <w:style w:type="character" w:customStyle="1" w:styleId="Heading2Char">
    <w:name w:val="Heading 2 Char"/>
    <w:aliases w:val="h2 Char"/>
    <w:basedOn w:val="DefaultParagraphFont"/>
    <w:link w:val="Heading2"/>
    <w:uiPriority w:val="99"/>
    <w:semiHidden/>
    <w:locked/>
    <w:rsid w:val="00E72F4A"/>
    <w:rPr>
      <w:rFonts w:ascii="Cambria" w:hAnsi="Cambria" w:cs="Times New Roman"/>
      <w:b/>
      <w:bCs/>
      <w:i/>
      <w:iCs/>
      <w:sz w:val="28"/>
      <w:szCs w:val="28"/>
    </w:rPr>
  </w:style>
  <w:style w:type="character" w:customStyle="1" w:styleId="Heading3Char">
    <w:name w:val="Heading 3 Char"/>
    <w:aliases w:val="h3 Char"/>
    <w:basedOn w:val="DefaultParagraphFont"/>
    <w:link w:val="Heading3"/>
    <w:uiPriority w:val="99"/>
    <w:semiHidden/>
    <w:locked/>
    <w:rsid w:val="00E72F4A"/>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E72F4A"/>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sid w:val="00E72F4A"/>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sid w:val="00E72F4A"/>
    <w:rPr>
      <w:rFonts w:ascii="Calibri" w:hAnsi="Calibri" w:cs="Times New Roman"/>
      <w:b/>
      <w:bCs/>
    </w:rPr>
  </w:style>
  <w:style w:type="character" w:customStyle="1" w:styleId="Heading7Char">
    <w:name w:val="Heading 7 Char"/>
    <w:aliases w:val="h7 Char"/>
    <w:basedOn w:val="DefaultParagraphFont"/>
    <w:link w:val="Heading7"/>
    <w:uiPriority w:val="99"/>
    <w:semiHidden/>
    <w:locked/>
    <w:rsid w:val="00E72F4A"/>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E72F4A"/>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E72F4A"/>
    <w:rPr>
      <w:rFonts w:ascii="Cambria" w:hAnsi="Cambria" w:cs="Times New Roman"/>
    </w:rPr>
  </w:style>
  <w:style w:type="paragraph" w:customStyle="1" w:styleId="single">
    <w:name w:val="single"/>
    <w:basedOn w:val="Normal"/>
    <w:uiPriority w:val="99"/>
    <w:rsid w:val="006F5B06"/>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6F5B06"/>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6F5B06"/>
  </w:style>
  <w:style w:type="character" w:customStyle="1" w:styleId="CommentTextChar">
    <w:name w:val="Comment Text Char"/>
    <w:basedOn w:val="DefaultParagraphFont"/>
    <w:link w:val="CommentText"/>
    <w:uiPriority w:val="99"/>
    <w:semiHidden/>
    <w:locked/>
    <w:rsid w:val="005A4496"/>
    <w:rPr>
      <w:rFonts w:ascii="Times New Roman" w:eastAsia="SimSun" w:hAnsi="Times New Roman" w:cs="Times New Roman"/>
      <w:sz w:val="24"/>
      <w:szCs w:val="24"/>
      <w:lang w:eastAsia="zh-CN"/>
    </w:rPr>
  </w:style>
  <w:style w:type="paragraph" w:styleId="FootnoteText">
    <w:name w:val="footnote text"/>
    <w:basedOn w:val="single"/>
    <w:link w:val="FootnoteTextChar"/>
    <w:uiPriority w:val="99"/>
    <w:semiHidden/>
    <w:rsid w:val="006F5B06"/>
    <w:rPr>
      <w:sz w:val="22"/>
    </w:rPr>
  </w:style>
  <w:style w:type="character" w:customStyle="1" w:styleId="FootnoteTextChar">
    <w:name w:val="Footnote Text Char"/>
    <w:basedOn w:val="DefaultParagraphFont"/>
    <w:link w:val="FootnoteText"/>
    <w:uiPriority w:val="99"/>
    <w:semiHidden/>
    <w:locked/>
    <w:rsid w:val="00916E9B"/>
    <w:rPr>
      <w:rFonts w:ascii="Times New Roman" w:eastAsia="SimSun" w:hAnsi="Times New Roman" w:cs="Times New Roman"/>
      <w:sz w:val="24"/>
      <w:szCs w:val="24"/>
      <w:lang w:eastAsia="zh-CN"/>
    </w:rPr>
  </w:style>
  <w:style w:type="paragraph" w:styleId="TOC7">
    <w:name w:val="toc 7"/>
    <w:basedOn w:val="TOC4"/>
    <w:uiPriority w:val="99"/>
    <w:semiHidden/>
    <w:rsid w:val="006F5B06"/>
    <w:pPr>
      <w:ind w:left="5040"/>
    </w:pPr>
  </w:style>
  <w:style w:type="paragraph" w:styleId="TOC4">
    <w:name w:val="toc 4"/>
    <w:basedOn w:val="TOC3"/>
    <w:uiPriority w:val="99"/>
    <w:semiHidden/>
    <w:rsid w:val="006F5B06"/>
    <w:pPr>
      <w:ind w:left="2880"/>
    </w:pPr>
  </w:style>
  <w:style w:type="paragraph" w:styleId="TOC3">
    <w:name w:val="toc 3"/>
    <w:basedOn w:val="TOC2"/>
    <w:uiPriority w:val="39"/>
    <w:rsid w:val="006F5B06"/>
    <w:pPr>
      <w:ind w:left="2160"/>
    </w:pPr>
  </w:style>
  <w:style w:type="paragraph" w:styleId="TOC2">
    <w:name w:val="toc 2"/>
    <w:basedOn w:val="TOC1"/>
    <w:uiPriority w:val="39"/>
    <w:rsid w:val="006F5B06"/>
    <w:pPr>
      <w:ind w:left="1440"/>
    </w:pPr>
  </w:style>
  <w:style w:type="paragraph" w:styleId="TOC1">
    <w:name w:val="toc 1"/>
    <w:basedOn w:val="unjustifiedblock"/>
    <w:uiPriority w:val="39"/>
    <w:rsid w:val="006F5B06"/>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6F5B06"/>
  </w:style>
  <w:style w:type="paragraph" w:customStyle="1" w:styleId="singleblock">
    <w:name w:val="single block"/>
    <w:basedOn w:val="single"/>
    <w:uiPriority w:val="99"/>
    <w:rsid w:val="006F5B06"/>
    <w:pPr>
      <w:ind w:firstLine="0"/>
    </w:pPr>
  </w:style>
  <w:style w:type="paragraph" w:styleId="TOC6">
    <w:name w:val="toc 6"/>
    <w:basedOn w:val="TOC4"/>
    <w:uiPriority w:val="99"/>
    <w:semiHidden/>
    <w:rsid w:val="006F5B06"/>
    <w:pPr>
      <w:ind w:left="4320"/>
    </w:pPr>
  </w:style>
  <w:style w:type="paragraph" w:styleId="TOC5">
    <w:name w:val="toc 5"/>
    <w:basedOn w:val="TOC4"/>
    <w:uiPriority w:val="99"/>
    <w:semiHidden/>
    <w:rsid w:val="006F5B06"/>
    <w:pPr>
      <w:ind w:left="3600"/>
    </w:pPr>
  </w:style>
  <w:style w:type="paragraph" w:styleId="Index2">
    <w:name w:val="index 2"/>
    <w:basedOn w:val="unjustifiedblock"/>
    <w:next w:val="Normal"/>
    <w:uiPriority w:val="99"/>
    <w:semiHidden/>
    <w:rsid w:val="006F5B06"/>
    <w:pPr>
      <w:tabs>
        <w:tab w:val="right" w:leader="dot" w:pos="9000"/>
      </w:tabs>
      <w:ind w:left="360" w:right="2520" w:hanging="360"/>
    </w:pPr>
    <w:rPr>
      <w:color w:val="0000FF"/>
    </w:rPr>
  </w:style>
  <w:style w:type="paragraph" w:styleId="Index1">
    <w:name w:val="index 1"/>
    <w:basedOn w:val="unjustifiedblock"/>
    <w:next w:val="Normal"/>
    <w:uiPriority w:val="99"/>
    <w:semiHidden/>
    <w:rsid w:val="006F5B06"/>
    <w:rPr>
      <w:b/>
      <w:color w:val="0000FF"/>
    </w:rPr>
  </w:style>
  <w:style w:type="paragraph" w:styleId="IndexHeading">
    <w:name w:val="index heading"/>
    <w:basedOn w:val="unjustifiedblock"/>
    <w:next w:val="Normal"/>
    <w:uiPriority w:val="99"/>
    <w:semiHidden/>
    <w:rsid w:val="006F5B06"/>
    <w:rPr>
      <w:b/>
    </w:rPr>
  </w:style>
  <w:style w:type="paragraph" w:styleId="Footer">
    <w:name w:val="footer"/>
    <w:basedOn w:val="plain"/>
    <w:link w:val="FooterChar"/>
    <w:uiPriority w:val="99"/>
    <w:rsid w:val="006F5B06"/>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E72F4A"/>
    <w:rPr>
      <w:rFonts w:ascii="Times New Roman" w:hAnsi="Times New Roman" w:cs="Times New Roman"/>
      <w:sz w:val="24"/>
      <w:szCs w:val="24"/>
    </w:rPr>
  </w:style>
  <w:style w:type="paragraph" w:customStyle="1" w:styleId="plain">
    <w:name w:val="plain"/>
    <w:basedOn w:val="unjustifiedblock"/>
    <w:link w:val="plainChar"/>
    <w:uiPriority w:val="99"/>
    <w:rsid w:val="006F5B06"/>
    <w:pPr>
      <w:spacing w:before="0"/>
    </w:pPr>
  </w:style>
  <w:style w:type="paragraph" w:styleId="Header">
    <w:name w:val="header"/>
    <w:basedOn w:val="plain"/>
    <w:link w:val="HeaderChar"/>
    <w:uiPriority w:val="99"/>
    <w:rsid w:val="006F5B06"/>
    <w:pPr>
      <w:tabs>
        <w:tab w:val="center" w:pos="4507"/>
        <w:tab w:val="right" w:pos="9000"/>
      </w:tabs>
    </w:pPr>
  </w:style>
  <w:style w:type="character" w:customStyle="1" w:styleId="HeaderChar">
    <w:name w:val="Header Char"/>
    <w:basedOn w:val="DefaultParagraphFont"/>
    <w:link w:val="Header"/>
    <w:uiPriority w:val="99"/>
    <w:semiHidden/>
    <w:locked/>
    <w:rsid w:val="00E72F4A"/>
    <w:rPr>
      <w:rFonts w:ascii="Times New Roman" w:hAnsi="Times New Roman" w:cs="Times New Roman"/>
      <w:sz w:val="24"/>
      <w:szCs w:val="24"/>
    </w:rPr>
  </w:style>
  <w:style w:type="character" w:styleId="FootnoteReference">
    <w:name w:val="footnote reference"/>
    <w:basedOn w:val="DefaultParagraphFont"/>
    <w:uiPriority w:val="99"/>
    <w:semiHidden/>
    <w:rsid w:val="006F5B06"/>
    <w:rPr>
      <w:rFonts w:cs="Times New Roman"/>
      <w:position w:val="6"/>
      <w:sz w:val="16"/>
    </w:rPr>
  </w:style>
  <w:style w:type="paragraph" w:styleId="NormalIndent">
    <w:name w:val="Normal Indent"/>
    <w:basedOn w:val="singleblock"/>
    <w:uiPriority w:val="99"/>
    <w:rsid w:val="006F5B06"/>
    <w:pPr>
      <w:spacing w:before="0" w:after="240" w:line="240" w:lineRule="auto"/>
      <w:ind w:left="1440" w:right="720"/>
    </w:pPr>
    <w:rPr>
      <w:lang w:eastAsia="en-US"/>
    </w:rPr>
  </w:style>
  <w:style w:type="paragraph" w:customStyle="1" w:styleId="macrobutton">
    <w:name w:val="macrobutton"/>
    <w:basedOn w:val="plain"/>
    <w:uiPriority w:val="99"/>
    <w:rsid w:val="006F5B06"/>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6F5B06"/>
  </w:style>
  <w:style w:type="paragraph" w:customStyle="1" w:styleId="coverpage">
    <w:name w:val="cover page"/>
    <w:basedOn w:val="unjustifiedblock"/>
    <w:uiPriority w:val="99"/>
    <w:rsid w:val="006F5B06"/>
    <w:pPr>
      <w:jc w:val="right"/>
    </w:pPr>
  </w:style>
  <w:style w:type="paragraph" w:customStyle="1" w:styleId="center">
    <w:name w:val="center"/>
    <w:basedOn w:val="unjustifiedblock"/>
    <w:uiPriority w:val="99"/>
    <w:rsid w:val="006F5B06"/>
    <w:pPr>
      <w:keepLines/>
      <w:jc w:val="center"/>
    </w:pPr>
  </w:style>
  <w:style w:type="paragraph" w:customStyle="1" w:styleId="normal2">
    <w:name w:val="normal2"/>
    <w:basedOn w:val="Normal"/>
    <w:uiPriority w:val="99"/>
    <w:rsid w:val="006F5B06"/>
    <w:pPr>
      <w:ind w:firstLine="1440"/>
    </w:pPr>
  </w:style>
  <w:style w:type="paragraph" w:customStyle="1" w:styleId="table">
    <w:name w:val="table"/>
    <w:basedOn w:val="plain"/>
    <w:uiPriority w:val="99"/>
    <w:rsid w:val="006F5B06"/>
    <w:pPr>
      <w:spacing w:before="60" w:after="60" w:line="240" w:lineRule="auto"/>
    </w:pPr>
  </w:style>
  <w:style w:type="paragraph" w:customStyle="1" w:styleId="footnoteblock">
    <w:name w:val="footnote block"/>
    <w:basedOn w:val="FootnoteText"/>
    <w:uiPriority w:val="99"/>
    <w:rsid w:val="006F5B06"/>
    <w:pPr>
      <w:ind w:firstLine="0"/>
    </w:pPr>
  </w:style>
  <w:style w:type="paragraph" w:customStyle="1" w:styleId="footnoteindent">
    <w:name w:val="footnote indent"/>
    <w:basedOn w:val="footnoteblock"/>
    <w:uiPriority w:val="99"/>
    <w:rsid w:val="006F5B06"/>
    <w:pPr>
      <w:ind w:left="1440" w:right="720"/>
    </w:pPr>
  </w:style>
  <w:style w:type="paragraph" w:customStyle="1" w:styleId="Title1">
    <w:name w:val="Title1"/>
    <w:basedOn w:val="center"/>
    <w:uiPriority w:val="99"/>
    <w:rsid w:val="006F5B06"/>
    <w:pPr>
      <w:keepNext/>
      <w:ind w:left="720" w:right="720"/>
    </w:pPr>
    <w:rPr>
      <w:b/>
      <w:bCs/>
    </w:rPr>
  </w:style>
  <w:style w:type="paragraph" w:customStyle="1" w:styleId="normal3">
    <w:name w:val="normal3"/>
    <w:basedOn w:val="normal2"/>
    <w:uiPriority w:val="99"/>
    <w:rsid w:val="006F5B06"/>
    <w:pPr>
      <w:ind w:firstLine="2160"/>
    </w:pPr>
  </w:style>
  <w:style w:type="paragraph" w:customStyle="1" w:styleId="normalhanging">
    <w:name w:val="normal hanging"/>
    <w:basedOn w:val="Normal"/>
    <w:uiPriority w:val="99"/>
    <w:rsid w:val="006F5B06"/>
    <w:pPr>
      <w:ind w:left="720" w:hanging="720"/>
    </w:pPr>
  </w:style>
  <w:style w:type="paragraph" w:customStyle="1" w:styleId="righthalf">
    <w:name w:val="right half"/>
    <w:basedOn w:val="unjustifiedblock"/>
    <w:uiPriority w:val="99"/>
    <w:rsid w:val="006F5B06"/>
    <w:pPr>
      <w:keepLines/>
      <w:tabs>
        <w:tab w:val="left" w:pos="4190"/>
        <w:tab w:val="right" w:pos="8640"/>
      </w:tabs>
      <w:ind w:left="3787" w:right="187"/>
    </w:pPr>
  </w:style>
  <w:style w:type="paragraph" w:customStyle="1" w:styleId="normalhanging2">
    <w:name w:val="normal hanging2"/>
    <w:basedOn w:val="normalhanging"/>
    <w:uiPriority w:val="99"/>
    <w:rsid w:val="006F5B06"/>
    <w:pPr>
      <w:ind w:left="1440"/>
    </w:pPr>
  </w:style>
  <w:style w:type="paragraph" w:customStyle="1" w:styleId="normalhanging3">
    <w:name w:val="normal hanging3"/>
    <w:basedOn w:val="normalhanging2"/>
    <w:uiPriority w:val="99"/>
    <w:rsid w:val="006F5B06"/>
    <w:pPr>
      <w:ind w:left="2160"/>
    </w:pPr>
  </w:style>
  <w:style w:type="paragraph" w:customStyle="1" w:styleId="singlehanging">
    <w:name w:val="single hanging"/>
    <w:basedOn w:val="singleblock"/>
    <w:uiPriority w:val="99"/>
    <w:rsid w:val="006F5B06"/>
    <w:pPr>
      <w:ind w:left="720" w:hanging="720"/>
    </w:pPr>
  </w:style>
  <w:style w:type="paragraph" w:customStyle="1" w:styleId="pleading-linenums">
    <w:name w:val="pleading-line nums"/>
    <w:uiPriority w:val="99"/>
    <w:rsid w:val="006F5B06"/>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6F5B06"/>
    <w:pPr>
      <w:spacing w:before="0" w:after="240"/>
      <w:ind w:left="1440"/>
    </w:pPr>
  </w:style>
  <w:style w:type="paragraph" w:customStyle="1" w:styleId="response">
    <w:name w:val="response"/>
    <w:basedOn w:val="Normal"/>
    <w:uiPriority w:val="99"/>
    <w:rsid w:val="006F5B06"/>
    <w:pPr>
      <w:spacing w:after="2880" w:line="480" w:lineRule="atLeast"/>
    </w:pPr>
  </w:style>
  <w:style w:type="paragraph" w:customStyle="1" w:styleId="pleading-leftbar">
    <w:name w:val="pleading-left bar"/>
    <w:uiPriority w:val="99"/>
    <w:rsid w:val="006F5B06"/>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6F5B06"/>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6F5B06"/>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6F5B06"/>
    <w:pPr>
      <w:ind w:left="2160"/>
    </w:pPr>
  </w:style>
  <w:style w:type="paragraph" w:customStyle="1" w:styleId="singleindent">
    <w:name w:val="single indent"/>
    <w:basedOn w:val="singleblock"/>
    <w:uiPriority w:val="99"/>
    <w:rsid w:val="006F5B06"/>
    <w:pPr>
      <w:spacing w:before="0" w:after="240"/>
      <w:ind w:left="1440" w:right="720"/>
    </w:pPr>
  </w:style>
  <w:style w:type="paragraph" w:customStyle="1" w:styleId="unjustifiedhanging">
    <w:name w:val="unjustified hanging"/>
    <w:basedOn w:val="unjustifiedblock"/>
    <w:uiPriority w:val="99"/>
    <w:rsid w:val="006F5B06"/>
    <w:pPr>
      <w:ind w:left="720" w:hanging="720"/>
    </w:pPr>
  </w:style>
  <w:style w:type="paragraph" w:customStyle="1" w:styleId="unjustifiedhanging2">
    <w:name w:val="unjustified hanging2"/>
    <w:basedOn w:val="unjustifiedhanging"/>
    <w:uiPriority w:val="99"/>
    <w:rsid w:val="006F5B06"/>
    <w:pPr>
      <w:ind w:left="1440"/>
    </w:pPr>
  </w:style>
  <w:style w:type="paragraph" w:customStyle="1" w:styleId="unjustifiedhanging3">
    <w:name w:val="unjustified hanging3"/>
    <w:basedOn w:val="unjustifiedhanging2"/>
    <w:uiPriority w:val="99"/>
    <w:rsid w:val="006F5B06"/>
    <w:pPr>
      <w:ind w:left="2160"/>
    </w:pPr>
  </w:style>
  <w:style w:type="paragraph" w:customStyle="1" w:styleId="GilbertAssoc1990">
    <w:name w:val="©Gilbert&amp;Assoc. 1990"/>
    <w:basedOn w:val="Normal"/>
    <w:uiPriority w:val="99"/>
    <w:rsid w:val="006F5B06"/>
  </w:style>
  <w:style w:type="paragraph" w:customStyle="1" w:styleId="pleading-rightrule">
    <w:name w:val="pleading-right rule"/>
    <w:basedOn w:val="pleading-leftrule"/>
    <w:uiPriority w:val="99"/>
    <w:rsid w:val="006F5B06"/>
    <w:pPr>
      <w:framePr w:wrap="auto" w:x="11708"/>
    </w:pPr>
  </w:style>
  <w:style w:type="paragraph" w:customStyle="1" w:styleId="pleading-leftrule">
    <w:name w:val="pleading-left rule"/>
    <w:basedOn w:val="pleading-linenums"/>
    <w:uiPriority w:val="99"/>
    <w:rsid w:val="006F5B06"/>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6F5B06"/>
    <w:pPr>
      <w:framePr w:w="576" w:vSpace="0" w:wrap="notBeside" w:vAnchor="margin" w:hAnchor="text" w:x="720" w:yAlign="top"/>
      <w:spacing w:line="480" w:lineRule="exact"/>
    </w:pPr>
  </w:style>
  <w:style w:type="paragraph" w:styleId="EnvelopeAddress">
    <w:name w:val="envelope address"/>
    <w:basedOn w:val="Normal"/>
    <w:uiPriority w:val="99"/>
    <w:rsid w:val="006F5B06"/>
    <w:pPr>
      <w:framePr w:w="7920" w:h="1987" w:hRule="exact" w:hSpace="187" w:wrap="around" w:hAnchor="page" w:xAlign="center" w:yAlign="bottom"/>
      <w:ind w:left="2880" w:firstLine="1440"/>
    </w:pPr>
  </w:style>
  <w:style w:type="paragraph" w:styleId="EnvelopeReturn">
    <w:name w:val="envelope return"/>
    <w:basedOn w:val="Normal"/>
    <w:uiPriority w:val="99"/>
    <w:rsid w:val="006F5B06"/>
    <w:rPr>
      <w:sz w:val="20"/>
    </w:rPr>
  </w:style>
  <w:style w:type="paragraph" w:styleId="TOAHeading">
    <w:name w:val="toa heading"/>
    <w:basedOn w:val="Normal"/>
    <w:next w:val="Normal"/>
    <w:uiPriority w:val="99"/>
    <w:semiHidden/>
    <w:rsid w:val="006F5B06"/>
    <w:pPr>
      <w:spacing w:before="120"/>
    </w:pPr>
    <w:rPr>
      <w:b/>
    </w:rPr>
  </w:style>
  <w:style w:type="paragraph" w:styleId="TableofAuthorities">
    <w:name w:val="table of authorities"/>
    <w:basedOn w:val="Normal"/>
    <w:next w:val="Normal"/>
    <w:uiPriority w:val="99"/>
    <w:semiHidden/>
    <w:rsid w:val="006F5B06"/>
    <w:pPr>
      <w:tabs>
        <w:tab w:val="right" w:leader="dot" w:pos="9000"/>
      </w:tabs>
      <w:spacing w:before="240"/>
      <w:ind w:left="245" w:right="1440" w:hanging="245"/>
    </w:pPr>
  </w:style>
  <w:style w:type="paragraph" w:customStyle="1" w:styleId="ti">
    <w:name w:val="ti"/>
    <w:basedOn w:val="normalblock"/>
    <w:uiPriority w:val="99"/>
    <w:rsid w:val="006F5B06"/>
    <w:rPr>
      <w:b/>
    </w:rPr>
  </w:style>
  <w:style w:type="paragraph" w:styleId="BodyTextIndent">
    <w:name w:val="Body Text Indent"/>
    <w:basedOn w:val="Normal"/>
    <w:link w:val="BodyTextIndentChar"/>
    <w:uiPriority w:val="99"/>
    <w:rsid w:val="006F5B06"/>
    <w:rPr>
      <w:rFonts w:ascii="Arial" w:hAnsi="Arial"/>
      <w:sz w:val="22"/>
    </w:rPr>
  </w:style>
  <w:style w:type="character" w:customStyle="1" w:styleId="BodyTextIndentChar">
    <w:name w:val="Body Text Indent Char"/>
    <w:basedOn w:val="DefaultParagraphFont"/>
    <w:link w:val="BodyTextIndent"/>
    <w:uiPriority w:val="99"/>
    <w:semiHidden/>
    <w:locked/>
    <w:rsid w:val="00E72F4A"/>
    <w:rPr>
      <w:rFonts w:ascii="Times New Roman" w:hAnsi="Times New Roman" w:cs="Times New Roman"/>
      <w:sz w:val="24"/>
      <w:szCs w:val="24"/>
    </w:rPr>
  </w:style>
  <w:style w:type="paragraph" w:styleId="BodyText">
    <w:name w:val="Body Text"/>
    <w:aliases w:val="bt"/>
    <w:basedOn w:val="Normal"/>
    <w:link w:val="BodyTextChar"/>
    <w:uiPriority w:val="99"/>
    <w:rsid w:val="006F5B06"/>
    <w:pPr>
      <w:jc w:val="both"/>
    </w:pPr>
    <w:rPr>
      <w:lang w:val="en-GB"/>
    </w:rPr>
  </w:style>
  <w:style w:type="character" w:customStyle="1" w:styleId="BodyTextChar">
    <w:name w:val="Body Text Char"/>
    <w:aliases w:val="bt Char"/>
    <w:basedOn w:val="DefaultParagraphFont"/>
    <w:link w:val="BodyText"/>
    <w:uiPriority w:val="99"/>
    <w:semiHidden/>
    <w:locked/>
    <w:rsid w:val="00E72F4A"/>
    <w:rPr>
      <w:rFonts w:ascii="Times New Roman" w:hAnsi="Times New Roman" w:cs="Times New Roman"/>
      <w:sz w:val="24"/>
      <w:szCs w:val="24"/>
    </w:rPr>
  </w:style>
  <w:style w:type="paragraph" w:customStyle="1" w:styleId="bul">
    <w:name w:val="bul"/>
    <w:basedOn w:val="Normal"/>
    <w:uiPriority w:val="99"/>
    <w:rsid w:val="006F5B06"/>
    <w:pPr>
      <w:spacing w:before="240" w:line="240" w:lineRule="atLeast"/>
      <w:ind w:left="1440" w:hanging="720"/>
    </w:pPr>
    <w:rPr>
      <w:sz w:val="26"/>
    </w:rPr>
  </w:style>
  <w:style w:type="paragraph" w:customStyle="1" w:styleId="ind">
    <w:name w:val="ind"/>
    <w:basedOn w:val="bul"/>
    <w:uiPriority w:val="99"/>
    <w:rsid w:val="006F5B06"/>
    <w:pPr>
      <w:ind w:firstLine="0"/>
    </w:pPr>
  </w:style>
  <w:style w:type="paragraph" w:customStyle="1" w:styleId="Commitmenttotheenvironment">
    <w:name w:val="Commitment to the environment"/>
    <w:basedOn w:val="normalhanging"/>
    <w:uiPriority w:val="99"/>
    <w:rsid w:val="006F5B06"/>
    <w:pPr>
      <w:widowControl w:val="0"/>
    </w:pPr>
  </w:style>
  <w:style w:type="character" w:styleId="PageNumber">
    <w:name w:val="page number"/>
    <w:basedOn w:val="DefaultParagraphFont"/>
    <w:uiPriority w:val="99"/>
    <w:rsid w:val="006F5B06"/>
    <w:rPr>
      <w:rFonts w:cs="Times New Roman"/>
    </w:rPr>
  </w:style>
  <w:style w:type="paragraph" w:customStyle="1" w:styleId="memo">
    <w:name w:val="memo"/>
    <w:basedOn w:val="normalblock"/>
    <w:uiPriority w:val="99"/>
    <w:rsid w:val="006F5B06"/>
    <w:pPr>
      <w:spacing w:before="240" w:line="240" w:lineRule="atLeast"/>
      <w:ind w:left="1440" w:hanging="1440"/>
    </w:pPr>
    <w:rPr>
      <w:sz w:val="26"/>
    </w:rPr>
  </w:style>
  <w:style w:type="paragraph" w:customStyle="1" w:styleId="cclist">
    <w:name w:val="cc list"/>
    <w:basedOn w:val="plain"/>
    <w:uiPriority w:val="99"/>
    <w:rsid w:val="006F5B06"/>
    <w:pPr>
      <w:keepLines/>
      <w:spacing w:before="240"/>
      <w:ind w:left="720" w:hanging="720"/>
    </w:pPr>
    <w:rPr>
      <w:sz w:val="26"/>
    </w:rPr>
  </w:style>
  <w:style w:type="paragraph" w:customStyle="1" w:styleId="roman">
    <w:name w:val="roman"/>
    <w:basedOn w:val="Normal"/>
    <w:uiPriority w:val="99"/>
    <w:rsid w:val="006F5B06"/>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6F5B06"/>
    <w:pPr>
      <w:spacing w:before="240" w:line="240" w:lineRule="atLeast"/>
      <w:ind w:left="720"/>
    </w:pPr>
    <w:rPr>
      <w:sz w:val="26"/>
    </w:rPr>
  </w:style>
  <w:style w:type="paragraph" w:customStyle="1" w:styleId="footnotehanging">
    <w:name w:val="footnote hanging"/>
    <w:basedOn w:val="footnoteindent"/>
    <w:uiPriority w:val="99"/>
    <w:rsid w:val="006F5B06"/>
    <w:pPr>
      <w:ind w:left="720" w:hanging="720"/>
    </w:pPr>
  </w:style>
  <w:style w:type="paragraph" w:customStyle="1" w:styleId="roman2">
    <w:name w:val="roman2"/>
    <w:basedOn w:val="roman"/>
    <w:uiPriority w:val="99"/>
    <w:rsid w:val="006F5B06"/>
    <w:pPr>
      <w:tabs>
        <w:tab w:val="clear" w:pos="1800"/>
        <w:tab w:val="clear" w:pos="2160"/>
      </w:tabs>
      <w:ind w:left="2880" w:hanging="720"/>
    </w:pPr>
  </w:style>
  <w:style w:type="paragraph" w:customStyle="1" w:styleId="question">
    <w:name w:val="question"/>
    <w:basedOn w:val="singlehanging"/>
    <w:next w:val="answer"/>
    <w:rsid w:val="006F5B06"/>
    <w:pPr>
      <w:keepNext/>
      <w:widowControl w:val="0"/>
      <w:spacing w:after="120" w:line="480" w:lineRule="auto"/>
    </w:pPr>
    <w:rPr>
      <w:b/>
      <w:bCs/>
    </w:rPr>
  </w:style>
  <w:style w:type="paragraph" w:customStyle="1" w:styleId="answer">
    <w:name w:val="answer"/>
    <w:basedOn w:val="Normal"/>
    <w:rsid w:val="006F5B06"/>
    <w:pPr>
      <w:spacing w:before="120" w:after="120" w:line="480" w:lineRule="auto"/>
      <w:ind w:left="720" w:hanging="720"/>
    </w:pPr>
    <w:rPr>
      <w:rFonts w:eastAsia="SimSun"/>
      <w:lang w:eastAsia="zh-CN"/>
    </w:rPr>
  </w:style>
  <w:style w:type="paragraph" w:customStyle="1" w:styleId="q">
    <w:name w:val="q"/>
    <w:basedOn w:val="singlehanging"/>
    <w:uiPriority w:val="99"/>
    <w:rsid w:val="006F5B06"/>
    <w:pPr>
      <w:spacing w:line="480" w:lineRule="auto"/>
    </w:pPr>
    <w:rPr>
      <w:b/>
      <w:sz w:val="26"/>
    </w:rPr>
  </w:style>
  <w:style w:type="paragraph" w:customStyle="1" w:styleId="normalhangingQ">
    <w:name w:val="normal hangingQ"/>
    <w:basedOn w:val="normalhanging"/>
    <w:uiPriority w:val="99"/>
    <w:rsid w:val="006F5B06"/>
    <w:pPr>
      <w:keepNext/>
      <w:spacing w:before="240"/>
    </w:pPr>
    <w:rPr>
      <w:b/>
    </w:rPr>
  </w:style>
  <w:style w:type="paragraph" w:styleId="BodyTextIndent2">
    <w:name w:val="Body Text Indent 2"/>
    <w:basedOn w:val="Normal"/>
    <w:link w:val="BodyTextIndent2Char"/>
    <w:uiPriority w:val="99"/>
    <w:rsid w:val="006F5B0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E72F4A"/>
    <w:rPr>
      <w:rFonts w:ascii="Times New Roman" w:hAnsi="Times New Roman" w:cs="Times New Roman"/>
      <w:sz w:val="24"/>
      <w:szCs w:val="24"/>
    </w:rPr>
  </w:style>
  <w:style w:type="character" w:styleId="LineNumber">
    <w:name w:val="line number"/>
    <w:basedOn w:val="DefaultParagraphFont"/>
    <w:uiPriority w:val="99"/>
    <w:rsid w:val="006F5B06"/>
    <w:rPr>
      <w:rFonts w:cs="Times New Roman"/>
    </w:rPr>
  </w:style>
  <w:style w:type="paragraph" w:customStyle="1" w:styleId="BulletSS">
    <w:name w:val="Bullet SS"/>
    <w:basedOn w:val="Normal"/>
    <w:uiPriority w:val="99"/>
    <w:rsid w:val="006F5B06"/>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6F5B06"/>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6F5B06"/>
    <w:pPr>
      <w:tabs>
        <w:tab w:val="left" w:pos="533"/>
        <w:tab w:val="left" w:pos="734"/>
      </w:tabs>
      <w:ind w:left="533" w:hanging="317"/>
    </w:pPr>
    <w:rPr>
      <w:rFonts w:ascii="Times" w:hAnsi="Times"/>
      <w:sz w:val="23"/>
    </w:rPr>
  </w:style>
  <w:style w:type="paragraph" w:customStyle="1" w:styleId="EmDashDS">
    <w:name w:val="EmDash DS"/>
    <w:basedOn w:val="Normal"/>
    <w:uiPriority w:val="99"/>
    <w:rsid w:val="006F5B06"/>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6F5B06"/>
    <w:pPr>
      <w:tabs>
        <w:tab w:val="left" w:pos="734"/>
      </w:tabs>
      <w:ind w:left="734" w:hanging="201"/>
    </w:pPr>
    <w:rPr>
      <w:rFonts w:ascii="Times" w:hAnsi="Times"/>
      <w:sz w:val="23"/>
    </w:rPr>
  </w:style>
  <w:style w:type="paragraph" w:customStyle="1" w:styleId="EnDashDS">
    <w:name w:val="EnDash DS"/>
    <w:basedOn w:val="Normal"/>
    <w:uiPriority w:val="99"/>
    <w:rsid w:val="006F5B06"/>
    <w:pPr>
      <w:tabs>
        <w:tab w:val="left" w:pos="734"/>
      </w:tabs>
      <w:spacing w:after="260"/>
      <w:ind w:left="734" w:hanging="201"/>
    </w:pPr>
    <w:rPr>
      <w:rFonts w:ascii="Times" w:hAnsi="Times"/>
      <w:sz w:val="23"/>
    </w:rPr>
  </w:style>
  <w:style w:type="paragraph" w:customStyle="1" w:styleId="Numbr10DS">
    <w:name w:val="Numbr 10+ DS"/>
    <w:basedOn w:val="Normal"/>
    <w:uiPriority w:val="99"/>
    <w:rsid w:val="006F5B06"/>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6F5B06"/>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6F5B06"/>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6F5B06"/>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6F5B06"/>
    <w:pPr>
      <w:tabs>
        <w:tab w:val="left" w:pos="187"/>
      </w:tabs>
      <w:ind w:left="187" w:hanging="187"/>
    </w:pPr>
    <w:rPr>
      <w:rFonts w:ascii="Times" w:hAnsi="Times"/>
      <w:sz w:val="20"/>
    </w:rPr>
  </w:style>
  <w:style w:type="paragraph" w:customStyle="1" w:styleId="Table3Data-EmDash">
    <w:name w:val="Table3/Data-EmDash"/>
    <w:basedOn w:val="Normal"/>
    <w:uiPriority w:val="99"/>
    <w:rsid w:val="006F5B06"/>
    <w:pPr>
      <w:tabs>
        <w:tab w:val="left" w:pos="504"/>
      </w:tabs>
      <w:ind w:left="504" w:hanging="317"/>
    </w:pPr>
    <w:rPr>
      <w:rFonts w:ascii="Times" w:hAnsi="Times"/>
      <w:sz w:val="20"/>
    </w:rPr>
  </w:style>
  <w:style w:type="paragraph" w:customStyle="1" w:styleId="Tab5Data-EmDash">
    <w:name w:val="Tab5/Data-EmDash"/>
    <w:basedOn w:val="Normal"/>
    <w:uiPriority w:val="99"/>
    <w:rsid w:val="006F5B06"/>
    <w:pPr>
      <w:tabs>
        <w:tab w:val="left" w:pos="504"/>
      </w:tabs>
      <w:ind w:left="504" w:hanging="317"/>
    </w:pPr>
    <w:rPr>
      <w:rFonts w:ascii="Times" w:hAnsi="Times"/>
      <w:sz w:val="20"/>
    </w:rPr>
  </w:style>
  <w:style w:type="paragraph" w:customStyle="1" w:styleId="Tab5Data-Bullet">
    <w:name w:val="Tab5/Data-Bullet"/>
    <w:basedOn w:val="Normal"/>
    <w:uiPriority w:val="99"/>
    <w:rsid w:val="006F5B06"/>
    <w:pPr>
      <w:tabs>
        <w:tab w:val="left" w:pos="187"/>
      </w:tabs>
      <w:ind w:left="187" w:hanging="187"/>
    </w:pPr>
    <w:rPr>
      <w:rFonts w:ascii="Times" w:hAnsi="Times"/>
      <w:sz w:val="20"/>
    </w:rPr>
  </w:style>
  <w:style w:type="paragraph" w:customStyle="1" w:styleId="Int3ATMBullet">
    <w:name w:val="Int3/ATM Bullet"/>
    <w:basedOn w:val="Int3ATMText"/>
    <w:uiPriority w:val="99"/>
    <w:rsid w:val="006F5B06"/>
    <w:pPr>
      <w:tabs>
        <w:tab w:val="left" w:pos="230"/>
      </w:tabs>
      <w:ind w:left="230" w:hanging="230"/>
    </w:pPr>
  </w:style>
  <w:style w:type="paragraph" w:customStyle="1" w:styleId="Int3ATMText">
    <w:name w:val="Int3/ATM Text"/>
    <w:basedOn w:val="NormalDS"/>
    <w:uiPriority w:val="99"/>
    <w:rsid w:val="006F5B06"/>
    <w:rPr>
      <w:sz w:val="30"/>
    </w:rPr>
  </w:style>
  <w:style w:type="paragraph" w:customStyle="1" w:styleId="NormalDS">
    <w:name w:val="Normal DS"/>
    <w:basedOn w:val="Normal"/>
    <w:uiPriority w:val="99"/>
    <w:rsid w:val="006F5B06"/>
    <w:pPr>
      <w:spacing w:after="260"/>
    </w:pPr>
    <w:rPr>
      <w:rFonts w:ascii="Times" w:hAnsi="Times"/>
      <w:sz w:val="23"/>
    </w:rPr>
  </w:style>
  <w:style w:type="paragraph" w:customStyle="1" w:styleId="Tab5Data-EnDash">
    <w:name w:val="Tab5/Data-EnDash"/>
    <w:basedOn w:val="Normal"/>
    <w:uiPriority w:val="99"/>
    <w:rsid w:val="006F5B06"/>
    <w:pPr>
      <w:tabs>
        <w:tab w:val="left" w:pos="706"/>
      </w:tabs>
      <w:ind w:left="706" w:hanging="202"/>
    </w:pPr>
    <w:rPr>
      <w:rFonts w:ascii="Times" w:hAnsi="Times"/>
      <w:sz w:val="20"/>
    </w:rPr>
  </w:style>
  <w:style w:type="paragraph" w:customStyle="1" w:styleId="Table3Data-EnDash">
    <w:name w:val="Table3/Data-EnDash"/>
    <w:basedOn w:val="Normal"/>
    <w:uiPriority w:val="99"/>
    <w:rsid w:val="006F5B06"/>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6F5B06"/>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E72F4A"/>
    <w:rPr>
      <w:rFonts w:ascii="Times New Roman" w:hAnsi="Times New Roman" w:cs="Times New Roman"/>
      <w:sz w:val="16"/>
      <w:szCs w:val="16"/>
    </w:rPr>
  </w:style>
  <w:style w:type="paragraph" w:customStyle="1" w:styleId="draft">
    <w:name w:val="draft"/>
    <w:basedOn w:val="Header"/>
    <w:uiPriority w:val="99"/>
    <w:rsid w:val="006F5B06"/>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6F5B06"/>
    <w:pPr>
      <w:widowControl w:val="0"/>
      <w:tabs>
        <w:tab w:val="left" w:pos="1260"/>
      </w:tabs>
      <w:spacing w:before="252"/>
    </w:pPr>
    <w:rPr>
      <w:noProof/>
      <w:color w:val="000000"/>
      <w:sz w:val="20"/>
    </w:rPr>
  </w:style>
  <w:style w:type="paragraph" w:customStyle="1" w:styleId="H1">
    <w:name w:val="H1"/>
    <w:basedOn w:val="Normal"/>
    <w:next w:val="Normal"/>
    <w:uiPriority w:val="99"/>
    <w:rsid w:val="006F5B06"/>
    <w:pPr>
      <w:keepNext/>
      <w:spacing w:before="100" w:after="100"/>
      <w:outlineLvl w:val="1"/>
    </w:pPr>
    <w:rPr>
      <w:b/>
      <w:kern w:val="36"/>
      <w:sz w:val="48"/>
    </w:rPr>
  </w:style>
  <w:style w:type="paragraph" w:customStyle="1" w:styleId="Preformatted">
    <w:name w:val="Preformatted"/>
    <w:basedOn w:val="Normal"/>
    <w:uiPriority w:val="99"/>
    <w:rsid w:val="006F5B0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6F5B06"/>
  </w:style>
  <w:style w:type="character" w:customStyle="1" w:styleId="BodyText2Char">
    <w:name w:val="Body Text 2 Char"/>
    <w:basedOn w:val="DefaultParagraphFont"/>
    <w:link w:val="BodyText2"/>
    <w:uiPriority w:val="99"/>
    <w:semiHidden/>
    <w:locked/>
    <w:rsid w:val="00E72F4A"/>
    <w:rPr>
      <w:rFonts w:ascii="Times New Roman" w:hAnsi="Times New Roman" w:cs="Times New Roman"/>
      <w:sz w:val="24"/>
      <w:szCs w:val="24"/>
    </w:rPr>
  </w:style>
  <w:style w:type="paragraph" w:styleId="BodyText3">
    <w:name w:val="Body Text 3"/>
    <w:basedOn w:val="Normal"/>
    <w:link w:val="BodyText3Char"/>
    <w:uiPriority w:val="99"/>
    <w:rsid w:val="006F5B06"/>
    <w:pPr>
      <w:spacing w:line="360" w:lineRule="auto"/>
      <w:ind w:right="-720"/>
    </w:pPr>
  </w:style>
  <w:style w:type="character" w:customStyle="1" w:styleId="BodyText3Char">
    <w:name w:val="Body Text 3 Char"/>
    <w:basedOn w:val="DefaultParagraphFont"/>
    <w:link w:val="BodyText3"/>
    <w:uiPriority w:val="99"/>
    <w:semiHidden/>
    <w:locked/>
    <w:rsid w:val="00E72F4A"/>
    <w:rPr>
      <w:rFonts w:ascii="Times New Roman" w:hAnsi="Times New Roman" w:cs="Times New Roman"/>
      <w:sz w:val="16"/>
      <w:szCs w:val="16"/>
    </w:rPr>
  </w:style>
  <w:style w:type="paragraph" w:customStyle="1" w:styleId="SingleSpacing">
    <w:name w:val="Single Spacing"/>
    <w:basedOn w:val="Normal"/>
    <w:uiPriority w:val="99"/>
    <w:rsid w:val="006F5B06"/>
    <w:pPr>
      <w:spacing w:line="240" w:lineRule="exact"/>
    </w:pPr>
    <w:rPr>
      <w:rFonts w:eastAsia="SimSun"/>
      <w:sz w:val="26"/>
      <w:szCs w:val="26"/>
      <w:lang w:eastAsia="zh-CN"/>
    </w:rPr>
  </w:style>
  <w:style w:type="paragraph" w:styleId="TOC8">
    <w:name w:val="toc 8"/>
    <w:basedOn w:val="Normal"/>
    <w:next w:val="Normal"/>
    <w:autoRedefine/>
    <w:uiPriority w:val="99"/>
    <w:semiHidden/>
    <w:rsid w:val="006F5B06"/>
    <w:pPr>
      <w:ind w:left="1680"/>
    </w:pPr>
  </w:style>
  <w:style w:type="paragraph" w:styleId="TOC9">
    <w:name w:val="toc 9"/>
    <w:basedOn w:val="Normal"/>
    <w:next w:val="Normal"/>
    <w:autoRedefine/>
    <w:uiPriority w:val="99"/>
    <w:semiHidden/>
    <w:rsid w:val="006F5B06"/>
    <w:pPr>
      <w:ind w:left="1920"/>
    </w:pPr>
  </w:style>
  <w:style w:type="character" w:styleId="Hyperlink">
    <w:name w:val="Hyperlink"/>
    <w:basedOn w:val="DefaultParagraphFont"/>
    <w:uiPriority w:val="99"/>
    <w:rsid w:val="006F5B06"/>
    <w:rPr>
      <w:rFonts w:cs="Times New Roman"/>
      <w:color w:val="0000FF"/>
      <w:u w:val="single"/>
    </w:rPr>
  </w:style>
  <w:style w:type="paragraph" w:customStyle="1" w:styleId="Default">
    <w:name w:val="Default"/>
    <w:uiPriority w:val="99"/>
    <w:rsid w:val="006F5B06"/>
    <w:rPr>
      <w:rFonts w:ascii="Garamond" w:hAnsi="Garamond"/>
      <w:color w:val="000000"/>
      <w:sz w:val="24"/>
      <w:szCs w:val="20"/>
    </w:rPr>
  </w:style>
  <w:style w:type="paragraph" w:customStyle="1" w:styleId="LZBulletText">
    <w:name w:val="LZ Bullet Text"/>
    <w:basedOn w:val="Default"/>
    <w:next w:val="Default"/>
    <w:uiPriority w:val="99"/>
    <w:rsid w:val="006F5B06"/>
    <w:rPr>
      <w:color w:val="auto"/>
    </w:rPr>
  </w:style>
  <w:style w:type="paragraph" w:styleId="BalloonText">
    <w:name w:val="Balloon Text"/>
    <w:basedOn w:val="Normal"/>
    <w:link w:val="BalloonTextChar"/>
    <w:uiPriority w:val="99"/>
    <w:semiHidden/>
    <w:rsid w:val="006F5B06"/>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E72F4A"/>
    <w:rPr>
      <w:rFonts w:ascii="Times New Roman" w:hAnsi="Times New Roman" w:cs="Times New Roman"/>
      <w:sz w:val="2"/>
    </w:rPr>
  </w:style>
  <w:style w:type="paragraph" w:customStyle="1" w:styleId="body">
    <w:name w:val="*body"/>
    <w:basedOn w:val="Normal"/>
    <w:uiPriority w:val="99"/>
    <w:rsid w:val="006F5B06"/>
    <w:pPr>
      <w:widowControl w:val="0"/>
      <w:spacing w:line="280" w:lineRule="exact"/>
      <w:ind w:firstLine="540"/>
    </w:pPr>
    <w:rPr>
      <w:rFonts w:ascii="TheSerif 3-Light" w:hAnsi="TheSerif 3-Light"/>
      <w:sz w:val="18"/>
    </w:rPr>
  </w:style>
  <w:style w:type="paragraph" w:styleId="BlockText">
    <w:name w:val="Block Text"/>
    <w:basedOn w:val="Normal"/>
    <w:uiPriority w:val="99"/>
    <w:rsid w:val="006F5B06"/>
    <w:pPr>
      <w:numPr>
        <w:numId w:val="21"/>
      </w:numPr>
      <w:spacing w:after="120"/>
      <w:ind w:right="1440"/>
    </w:pPr>
  </w:style>
  <w:style w:type="character" w:styleId="Strong">
    <w:name w:val="Strong"/>
    <w:basedOn w:val="DefaultParagraphFont"/>
    <w:uiPriority w:val="99"/>
    <w:qFormat/>
    <w:rsid w:val="006F5B06"/>
    <w:rPr>
      <w:rFonts w:cs="Times New Roman"/>
      <w:b/>
    </w:rPr>
  </w:style>
  <w:style w:type="paragraph" w:styleId="Title">
    <w:name w:val="Title"/>
    <w:basedOn w:val="Normal"/>
    <w:link w:val="TitleChar"/>
    <w:uiPriority w:val="99"/>
    <w:qFormat/>
    <w:rsid w:val="006F5B0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72F4A"/>
    <w:rPr>
      <w:rFonts w:ascii="Cambria" w:hAnsi="Cambria" w:cs="Times New Roman"/>
      <w:b/>
      <w:bCs/>
      <w:kern w:val="28"/>
      <w:sz w:val="32"/>
      <w:szCs w:val="32"/>
    </w:rPr>
  </w:style>
  <w:style w:type="paragraph" w:styleId="Caption">
    <w:name w:val="caption"/>
    <w:basedOn w:val="Normal"/>
    <w:next w:val="Normal"/>
    <w:uiPriority w:val="99"/>
    <w:qFormat/>
    <w:rsid w:val="006F5B06"/>
    <w:pPr>
      <w:spacing w:before="120" w:after="120" w:line="240" w:lineRule="exact"/>
    </w:pPr>
    <w:rPr>
      <w:b/>
      <w:bCs/>
      <w:sz w:val="20"/>
    </w:rPr>
  </w:style>
  <w:style w:type="paragraph" w:customStyle="1" w:styleId="Arial11">
    <w:name w:val="Arial 11"/>
    <w:aliases w:val="Line Space 1.5,Justified"/>
    <w:basedOn w:val="Normal"/>
    <w:uiPriority w:val="99"/>
    <w:rsid w:val="006F5B06"/>
    <w:pPr>
      <w:spacing w:line="360" w:lineRule="auto"/>
      <w:jc w:val="both"/>
    </w:pPr>
    <w:rPr>
      <w:rFonts w:ascii="Arial" w:hAnsi="Arial" w:cs="Arial"/>
      <w:sz w:val="22"/>
    </w:rPr>
  </w:style>
  <w:style w:type="character" w:customStyle="1" w:styleId="singleChar">
    <w:name w:val="single Char"/>
    <w:basedOn w:val="DefaultParagraphFont"/>
    <w:uiPriority w:val="99"/>
    <w:rsid w:val="006F5B06"/>
    <w:rPr>
      <w:rFonts w:cs="Times New Roman"/>
      <w:sz w:val="24"/>
      <w:lang w:val="en-US" w:eastAsia="zh-CN" w:bidi="ar-SA"/>
    </w:rPr>
  </w:style>
  <w:style w:type="character" w:customStyle="1" w:styleId="h1CharChar">
    <w:name w:val="h1 Char Char"/>
    <w:basedOn w:val="singleChar"/>
    <w:uiPriority w:val="99"/>
    <w:rsid w:val="006F5B06"/>
    <w:rPr>
      <w:rFonts w:cs="Times New Roman"/>
      <w:b/>
      <w:sz w:val="24"/>
      <w:lang w:val="en-US" w:eastAsia="zh-CN" w:bidi="ar-SA"/>
    </w:rPr>
  </w:style>
  <w:style w:type="character" w:customStyle="1" w:styleId="h2CharChar">
    <w:name w:val="h2 Char Char"/>
    <w:basedOn w:val="h1CharChar"/>
    <w:uiPriority w:val="99"/>
    <w:rsid w:val="006F5B06"/>
    <w:rPr>
      <w:rFonts w:cs="Times New Roman"/>
      <w:b/>
      <w:sz w:val="24"/>
      <w:u w:val="single"/>
      <w:lang w:val="en-US" w:eastAsia="zh-CN" w:bidi="ar-SA"/>
    </w:rPr>
  </w:style>
  <w:style w:type="character" w:customStyle="1" w:styleId="h3CharChar">
    <w:name w:val="h3 Char Char"/>
    <w:basedOn w:val="h2CharChar"/>
    <w:uiPriority w:val="99"/>
    <w:rsid w:val="006F5B06"/>
    <w:rPr>
      <w:rFonts w:cs="Times New Roman"/>
      <w:b/>
      <w:sz w:val="24"/>
      <w:u w:val="single"/>
      <w:lang w:val="en-US" w:eastAsia="zh-CN" w:bidi="ar-SA"/>
    </w:rPr>
  </w:style>
  <w:style w:type="character" w:styleId="FollowedHyperlink">
    <w:name w:val="FollowedHyperlink"/>
    <w:basedOn w:val="DefaultParagraphFont"/>
    <w:uiPriority w:val="99"/>
    <w:rsid w:val="006F5B06"/>
    <w:rPr>
      <w:rFonts w:cs="Times New Roman"/>
      <w:color w:val="800080"/>
      <w:u w:val="single"/>
    </w:rPr>
  </w:style>
  <w:style w:type="paragraph" w:styleId="BodyTextFirstIndent">
    <w:name w:val="Body Text First Indent"/>
    <w:basedOn w:val="BodyText"/>
    <w:link w:val="BodyTextFirstIndentChar"/>
    <w:uiPriority w:val="99"/>
    <w:rsid w:val="006F5B06"/>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E72F4A"/>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rsid w:val="006F5B06"/>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E72F4A"/>
    <w:rPr>
      <w:rFonts w:ascii="Times New Roman" w:hAnsi="Times New Roman" w:cs="Times New Roman"/>
      <w:sz w:val="24"/>
      <w:szCs w:val="24"/>
    </w:rPr>
  </w:style>
  <w:style w:type="paragraph" w:styleId="Closing">
    <w:name w:val="Closing"/>
    <w:basedOn w:val="Normal"/>
    <w:link w:val="ClosingChar"/>
    <w:uiPriority w:val="99"/>
    <w:rsid w:val="006F5B06"/>
    <w:pPr>
      <w:ind w:left="4320"/>
    </w:pPr>
  </w:style>
  <w:style w:type="character" w:customStyle="1" w:styleId="ClosingChar">
    <w:name w:val="Closing Char"/>
    <w:basedOn w:val="DefaultParagraphFont"/>
    <w:link w:val="Closing"/>
    <w:uiPriority w:val="99"/>
    <w:semiHidden/>
    <w:locked/>
    <w:rsid w:val="00E72F4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F5B06"/>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E72F4A"/>
    <w:rPr>
      <w:rFonts w:ascii="Times New Roman" w:eastAsia="SimSun" w:hAnsi="Times New Roman" w:cs="Times New Roman"/>
      <w:b/>
      <w:bCs/>
      <w:sz w:val="20"/>
      <w:szCs w:val="20"/>
      <w:lang w:eastAsia="zh-CN"/>
    </w:rPr>
  </w:style>
  <w:style w:type="paragraph" w:styleId="Date">
    <w:name w:val="Date"/>
    <w:basedOn w:val="Normal"/>
    <w:next w:val="Normal"/>
    <w:link w:val="DateChar"/>
    <w:uiPriority w:val="99"/>
    <w:rsid w:val="006F5B06"/>
  </w:style>
  <w:style w:type="character" w:customStyle="1" w:styleId="DateChar">
    <w:name w:val="Date Char"/>
    <w:basedOn w:val="DefaultParagraphFont"/>
    <w:link w:val="Date"/>
    <w:uiPriority w:val="99"/>
    <w:semiHidden/>
    <w:locked/>
    <w:rsid w:val="00E72F4A"/>
    <w:rPr>
      <w:rFonts w:ascii="Times New Roman" w:hAnsi="Times New Roman" w:cs="Times New Roman"/>
      <w:sz w:val="24"/>
      <w:szCs w:val="24"/>
    </w:rPr>
  </w:style>
  <w:style w:type="paragraph" w:styleId="DocumentMap">
    <w:name w:val="Document Map"/>
    <w:basedOn w:val="Normal"/>
    <w:link w:val="DocumentMapChar"/>
    <w:uiPriority w:val="99"/>
    <w:semiHidden/>
    <w:rsid w:val="006F5B0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72F4A"/>
    <w:rPr>
      <w:rFonts w:ascii="Times New Roman" w:hAnsi="Times New Roman" w:cs="Times New Roman"/>
      <w:sz w:val="2"/>
    </w:rPr>
  </w:style>
  <w:style w:type="paragraph" w:styleId="E-mailSignature">
    <w:name w:val="E-mail Signature"/>
    <w:basedOn w:val="Normal"/>
    <w:link w:val="E-mailSignatureChar"/>
    <w:uiPriority w:val="99"/>
    <w:rsid w:val="006F5B06"/>
  </w:style>
  <w:style w:type="character" w:customStyle="1" w:styleId="E-mailSignatureChar">
    <w:name w:val="E-mail Signature Char"/>
    <w:basedOn w:val="DefaultParagraphFont"/>
    <w:link w:val="E-mailSignature"/>
    <w:uiPriority w:val="99"/>
    <w:semiHidden/>
    <w:locked/>
    <w:rsid w:val="00E72F4A"/>
    <w:rPr>
      <w:rFonts w:ascii="Times New Roman" w:hAnsi="Times New Roman" w:cs="Times New Roman"/>
      <w:sz w:val="24"/>
      <w:szCs w:val="24"/>
    </w:rPr>
  </w:style>
  <w:style w:type="paragraph" w:styleId="EndnoteText">
    <w:name w:val="endnote text"/>
    <w:basedOn w:val="Normal"/>
    <w:link w:val="EndnoteTextChar"/>
    <w:uiPriority w:val="99"/>
    <w:semiHidden/>
    <w:rsid w:val="006F5B06"/>
    <w:rPr>
      <w:sz w:val="20"/>
    </w:rPr>
  </w:style>
  <w:style w:type="character" w:customStyle="1" w:styleId="EndnoteTextChar">
    <w:name w:val="Endnote Text Char"/>
    <w:basedOn w:val="DefaultParagraphFont"/>
    <w:link w:val="EndnoteText"/>
    <w:uiPriority w:val="99"/>
    <w:semiHidden/>
    <w:locked/>
    <w:rsid w:val="00E72F4A"/>
    <w:rPr>
      <w:rFonts w:ascii="Times New Roman" w:hAnsi="Times New Roman" w:cs="Times New Roman"/>
      <w:sz w:val="20"/>
      <w:szCs w:val="20"/>
    </w:rPr>
  </w:style>
  <w:style w:type="paragraph" w:styleId="HTMLAddress">
    <w:name w:val="HTML Address"/>
    <w:basedOn w:val="Normal"/>
    <w:link w:val="HTMLAddressChar"/>
    <w:uiPriority w:val="99"/>
    <w:rsid w:val="006F5B06"/>
    <w:rPr>
      <w:i/>
      <w:iCs/>
    </w:rPr>
  </w:style>
  <w:style w:type="character" w:customStyle="1" w:styleId="HTMLAddressChar">
    <w:name w:val="HTML Address Char"/>
    <w:basedOn w:val="DefaultParagraphFont"/>
    <w:link w:val="HTMLAddress"/>
    <w:uiPriority w:val="99"/>
    <w:semiHidden/>
    <w:locked/>
    <w:rsid w:val="00E72F4A"/>
    <w:rPr>
      <w:rFonts w:ascii="Times New Roman" w:hAnsi="Times New Roman" w:cs="Times New Roman"/>
      <w:i/>
      <w:iCs/>
      <w:sz w:val="24"/>
      <w:szCs w:val="24"/>
    </w:rPr>
  </w:style>
  <w:style w:type="paragraph" w:styleId="HTMLPreformatted">
    <w:name w:val="HTML Preformatted"/>
    <w:basedOn w:val="Normal"/>
    <w:link w:val="HTMLPreformattedChar"/>
    <w:uiPriority w:val="99"/>
    <w:rsid w:val="006F5B06"/>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E72F4A"/>
    <w:rPr>
      <w:rFonts w:ascii="Courier New" w:hAnsi="Courier New" w:cs="Courier New"/>
      <w:sz w:val="20"/>
      <w:szCs w:val="20"/>
    </w:rPr>
  </w:style>
  <w:style w:type="paragraph" w:styleId="Index3">
    <w:name w:val="index 3"/>
    <w:basedOn w:val="Normal"/>
    <w:next w:val="Normal"/>
    <w:autoRedefine/>
    <w:uiPriority w:val="99"/>
    <w:semiHidden/>
    <w:rsid w:val="006F5B06"/>
    <w:pPr>
      <w:ind w:left="720" w:hanging="240"/>
    </w:pPr>
  </w:style>
  <w:style w:type="paragraph" w:styleId="Index4">
    <w:name w:val="index 4"/>
    <w:basedOn w:val="Normal"/>
    <w:next w:val="Normal"/>
    <w:autoRedefine/>
    <w:uiPriority w:val="99"/>
    <w:semiHidden/>
    <w:rsid w:val="006F5B06"/>
    <w:pPr>
      <w:ind w:left="960" w:hanging="240"/>
    </w:pPr>
  </w:style>
  <w:style w:type="paragraph" w:styleId="Index5">
    <w:name w:val="index 5"/>
    <w:basedOn w:val="Normal"/>
    <w:next w:val="Normal"/>
    <w:autoRedefine/>
    <w:uiPriority w:val="99"/>
    <w:semiHidden/>
    <w:rsid w:val="006F5B06"/>
    <w:pPr>
      <w:ind w:left="1200" w:hanging="240"/>
    </w:pPr>
  </w:style>
  <w:style w:type="paragraph" w:styleId="Index6">
    <w:name w:val="index 6"/>
    <w:basedOn w:val="Normal"/>
    <w:next w:val="Normal"/>
    <w:autoRedefine/>
    <w:uiPriority w:val="99"/>
    <w:semiHidden/>
    <w:rsid w:val="006F5B06"/>
    <w:pPr>
      <w:ind w:left="1440" w:hanging="240"/>
    </w:pPr>
  </w:style>
  <w:style w:type="paragraph" w:styleId="Index7">
    <w:name w:val="index 7"/>
    <w:basedOn w:val="Normal"/>
    <w:next w:val="Normal"/>
    <w:autoRedefine/>
    <w:uiPriority w:val="99"/>
    <w:semiHidden/>
    <w:rsid w:val="006F5B06"/>
    <w:pPr>
      <w:ind w:left="1680" w:hanging="240"/>
    </w:pPr>
  </w:style>
  <w:style w:type="paragraph" w:styleId="Index8">
    <w:name w:val="index 8"/>
    <w:basedOn w:val="Normal"/>
    <w:next w:val="Normal"/>
    <w:autoRedefine/>
    <w:uiPriority w:val="99"/>
    <w:semiHidden/>
    <w:rsid w:val="006F5B06"/>
    <w:pPr>
      <w:ind w:left="1920" w:hanging="240"/>
    </w:pPr>
  </w:style>
  <w:style w:type="paragraph" w:styleId="Index9">
    <w:name w:val="index 9"/>
    <w:basedOn w:val="Normal"/>
    <w:next w:val="Normal"/>
    <w:autoRedefine/>
    <w:uiPriority w:val="99"/>
    <w:semiHidden/>
    <w:rsid w:val="006F5B06"/>
    <w:pPr>
      <w:ind w:left="2160" w:hanging="240"/>
    </w:pPr>
  </w:style>
  <w:style w:type="paragraph" w:styleId="List">
    <w:name w:val="List"/>
    <w:basedOn w:val="Normal"/>
    <w:uiPriority w:val="99"/>
    <w:rsid w:val="006F5B06"/>
    <w:pPr>
      <w:ind w:left="360" w:hanging="360"/>
    </w:pPr>
  </w:style>
  <w:style w:type="paragraph" w:styleId="List2">
    <w:name w:val="List 2"/>
    <w:basedOn w:val="Normal"/>
    <w:uiPriority w:val="99"/>
    <w:rsid w:val="006F5B06"/>
    <w:pPr>
      <w:ind w:left="720" w:hanging="360"/>
    </w:pPr>
  </w:style>
  <w:style w:type="paragraph" w:styleId="List3">
    <w:name w:val="List 3"/>
    <w:basedOn w:val="Normal"/>
    <w:uiPriority w:val="99"/>
    <w:rsid w:val="006F5B06"/>
    <w:pPr>
      <w:ind w:left="1080" w:hanging="360"/>
    </w:pPr>
  </w:style>
  <w:style w:type="paragraph" w:styleId="List4">
    <w:name w:val="List 4"/>
    <w:basedOn w:val="Normal"/>
    <w:uiPriority w:val="99"/>
    <w:rsid w:val="006F5B06"/>
    <w:pPr>
      <w:ind w:left="1440" w:hanging="360"/>
    </w:pPr>
  </w:style>
  <w:style w:type="paragraph" w:styleId="List5">
    <w:name w:val="List 5"/>
    <w:basedOn w:val="Normal"/>
    <w:uiPriority w:val="99"/>
    <w:rsid w:val="006F5B06"/>
    <w:pPr>
      <w:ind w:left="1800" w:hanging="360"/>
    </w:pPr>
  </w:style>
  <w:style w:type="paragraph" w:styleId="ListBullet">
    <w:name w:val="List Bullet"/>
    <w:basedOn w:val="Normal"/>
    <w:autoRedefine/>
    <w:uiPriority w:val="99"/>
    <w:rsid w:val="006F5B06"/>
    <w:pPr>
      <w:numPr>
        <w:numId w:val="1"/>
      </w:numPr>
    </w:pPr>
  </w:style>
  <w:style w:type="paragraph" w:styleId="ListBullet2">
    <w:name w:val="List Bullet 2"/>
    <w:basedOn w:val="Normal"/>
    <w:autoRedefine/>
    <w:uiPriority w:val="99"/>
    <w:rsid w:val="006F5B06"/>
    <w:pPr>
      <w:numPr>
        <w:numId w:val="2"/>
      </w:numPr>
    </w:pPr>
  </w:style>
  <w:style w:type="paragraph" w:styleId="ListBullet3">
    <w:name w:val="List Bullet 3"/>
    <w:basedOn w:val="Normal"/>
    <w:autoRedefine/>
    <w:uiPriority w:val="99"/>
    <w:rsid w:val="006F5B06"/>
    <w:pPr>
      <w:numPr>
        <w:numId w:val="3"/>
      </w:numPr>
    </w:pPr>
  </w:style>
  <w:style w:type="paragraph" w:styleId="ListBullet4">
    <w:name w:val="List Bullet 4"/>
    <w:basedOn w:val="Normal"/>
    <w:autoRedefine/>
    <w:uiPriority w:val="99"/>
    <w:rsid w:val="006F5B06"/>
    <w:pPr>
      <w:numPr>
        <w:numId w:val="4"/>
      </w:numPr>
    </w:pPr>
  </w:style>
  <w:style w:type="paragraph" w:styleId="ListBullet5">
    <w:name w:val="List Bullet 5"/>
    <w:basedOn w:val="Normal"/>
    <w:autoRedefine/>
    <w:uiPriority w:val="99"/>
    <w:rsid w:val="006F5B06"/>
    <w:pPr>
      <w:numPr>
        <w:numId w:val="5"/>
      </w:numPr>
    </w:pPr>
  </w:style>
  <w:style w:type="paragraph" w:styleId="ListContinue">
    <w:name w:val="List Continue"/>
    <w:basedOn w:val="Normal"/>
    <w:uiPriority w:val="99"/>
    <w:rsid w:val="006F5B06"/>
    <w:pPr>
      <w:spacing w:after="120"/>
      <w:ind w:left="360"/>
    </w:pPr>
  </w:style>
  <w:style w:type="paragraph" w:styleId="ListContinue2">
    <w:name w:val="List Continue 2"/>
    <w:basedOn w:val="Normal"/>
    <w:uiPriority w:val="99"/>
    <w:rsid w:val="006F5B06"/>
    <w:pPr>
      <w:spacing w:after="120"/>
      <w:ind w:left="720"/>
    </w:pPr>
  </w:style>
  <w:style w:type="paragraph" w:styleId="ListContinue3">
    <w:name w:val="List Continue 3"/>
    <w:basedOn w:val="Normal"/>
    <w:uiPriority w:val="99"/>
    <w:rsid w:val="006F5B06"/>
    <w:pPr>
      <w:spacing w:after="120"/>
      <w:ind w:left="1080"/>
    </w:pPr>
  </w:style>
  <w:style w:type="paragraph" w:styleId="ListContinue4">
    <w:name w:val="List Continue 4"/>
    <w:basedOn w:val="Normal"/>
    <w:uiPriority w:val="99"/>
    <w:rsid w:val="006F5B06"/>
    <w:pPr>
      <w:spacing w:after="120"/>
      <w:ind w:left="1440"/>
    </w:pPr>
  </w:style>
  <w:style w:type="paragraph" w:styleId="ListContinue5">
    <w:name w:val="List Continue 5"/>
    <w:basedOn w:val="Normal"/>
    <w:uiPriority w:val="99"/>
    <w:rsid w:val="006F5B06"/>
    <w:pPr>
      <w:spacing w:after="120"/>
      <w:ind w:left="1800"/>
    </w:pPr>
  </w:style>
  <w:style w:type="paragraph" w:styleId="ListNumber">
    <w:name w:val="List Number"/>
    <w:basedOn w:val="Normal"/>
    <w:uiPriority w:val="99"/>
    <w:rsid w:val="006F5B06"/>
    <w:pPr>
      <w:numPr>
        <w:numId w:val="6"/>
      </w:numPr>
    </w:pPr>
  </w:style>
  <w:style w:type="paragraph" w:styleId="ListNumber2">
    <w:name w:val="List Number 2"/>
    <w:basedOn w:val="Normal"/>
    <w:uiPriority w:val="99"/>
    <w:rsid w:val="006F5B06"/>
    <w:pPr>
      <w:numPr>
        <w:numId w:val="7"/>
      </w:numPr>
    </w:pPr>
  </w:style>
  <w:style w:type="paragraph" w:styleId="ListNumber3">
    <w:name w:val="List Number 3"/>
    <w:basedOn w:val="Normal"/>
    <w:uiPriority w:val="99"/>
    <w:rsid w:val="006F5B06"/>
    <w:pPr>
      <w:numPr>
        <w:numId w:val="8"/>
      </w:numPr>
    </w:pPr>
  </w:style>
  <w:style w:type="paragraph" w:styleId="ListNumber4">
    <w:name w:val="List Number 4"/>
    <w:basedOn w:val="Normal"/>
    <w:uiPriority w:val="99"/>
    <w:rsid w:val="006F5B06"/>
    <w:pPr>
      <w:numPr>
        <w:numId w:val="9"/>
      </w:numPr>
    </w:pPr>
  </w:style>
  <w:style w:type="paragraph" w:styleId="ListNumber5">
    <w:name w:val="List Number 5"/>
    <w:basedOn w:val="Normal"/>
    <w:uiPriority w:val="99"/>
    <w:rsid w:val="006F5B06"/>
    <w:pPr>
      <w:numPr>
        <w:numId w:val="10"/>
      </w:numPr>
    </w:pPr>
  </w:style>
  <w:style w:type="paragraph" w:styleId="MacroText">
    <w:name w:val="macro"/>
    <w:link w:val="MacroTextChar"/>
    <w:uiPriority w:val="99"/>
    <w:semiHidden/>
    <w:rsid w:val="006F5B06"/>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E72F4A"/>
    <w:rPr>
      <w:rFonts w:ascii="Courier New" w:hAnsi="Courier New" w:cs="Courier New"/>
      <w:lang w:val="en-US" w:eastAsia="zh-CN" w:bidi="ar-SA"/>
    </w:rPr>
  </w:style>
  <w:style w:type="paragraph" w:styleId="MessageHeader">
    <w:name w:val="Message Header"/>
    <w:basedOn w:val="Normal"/>
    <w:link w:val="MessageHeaderChar"/>
    <w:uiPriority w:val="99"/>
    <w:rsid w:val="006F5B0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E72F4A"/>
    <w:rPr>
      <w:rFonts w:ascii="Cambria" w:hAnsi="Cambria" w:cs="Times New Roman"/>
      <w:sz w:val="24"/>
      <w:szCs w:val="24"/>
      <w:shd w:val="pct20" w:color="auto" w:fill="auto"/>
    </w:rPr>
  </w:style>
  <w:style w:type="paragraph" w:styleId="NormalWeb">
    <w:name w:val="Normal (Web)"/>
    <w:basedOn w:val="Normal"/>
    <w:uiPriority w:val="99"/>
    <w:rsid w:val="006F5B06"/>
  </w:style>
  <w:style w:type="paragraph" w:styleId="NoteHeading">
    <w:name w:val="Note Heading"/>
    <w:basedOn w:val="Normal"/>
    <w:next w:val="Normal"/>
    <w:link w:val="NoteHeadingChar"/>
    <w:uiPriority w:val="99"/>
    <w:rsid w:val="006F5B06"/>
  </w:style>
  <w:style w:type="character" w:customStyle="1" w:styleId="NoteHeadingChar">
    <w:name w:val="Note Heading Char"/>
    <w:basedOn w:val="DefaultParagraphFont"/>
    <w:link w:val="NoteHeading"/>
    <w:uiPriority w:val="99"/>
    <w:semiHidden/>
    <w:locked/>
    <w:rsid w:val="00E72F4A"/>
    <w:rPr>
      <w:rFonts w:ascii="Times New Roman" w:hAnsi="Times New Roman" w:cs="Times New Roman"/>
      <w:sz w:val="24"/>
      <w:szCs w:val="24"/>
    </w:rPr>
  </w:style>
  <w:style w:type="paragraph" w:styleId="PlainText">
    <w:name w:val="Plain Text"/>
    <w:basedOn w:val="Normal"/>
    <w:link w:val="PlainTextChar"/>
    <w:uiPriority w:val="99"/>
    <w:rsid w:val="006F5B06"/>
    <w:rPr>
      <w:rFonts w:ascii="Courier New" w:hAnsi="Courier New" w:cs="Courier New"/>
      <w:sz w:val="20"/>
    </w:rPr>
  </w:style>
  <w:style w:type="character" w:customStyle="1" w:styleId="PlainTextChar">
    <w:name w:val="Plain Text Char"/>
    <w:basedOn w:val="DefaultParagraphFont"/>
    <w:link w:val="PlainText"/>
    <w:uiPriority w:val="99"/>
    <w:semiHidden/>
    <w:locked/>
    <w:rsid w:val="00E72F4A"/>
    <w:rPr>
      <w:rFonts w:ascii="Courier New" w:hAnsi="Courier New" w:cs="Courier New"/>
      <w:sz w:val="20"/>
      <w:szCs w:val="20"/>
    </w:rPr>
  </w:style>
  <w:style w:type="paragraph" w:styleId="Salutation">
    <w:name w:val="Salutation"/>
    <w:basedOn w:val="Normal"/>
    <w:next w:val="Normal"/>
    <w:link w:val="SalutationChar"/>
    <w:uiPriority w:val="99"/>
    <w:rsid w:val="006F5B06"/>
  </w:style>
  <w:style w:type="character" w:customStyle="1" w:styleId="SalutationChar">
    <w:name w:val="Salutation Char"/>
    <w:basedOn w:val="DefaultParagraphFont"/>
    <w:link w:val="Salutation"/>
    <w:uiPriority w:val="99"/>
    <w:semiHidden/>
    <w:locked/>
    <w:rsid w:val="00E72F4A"/>
    <w:rPr>
      <w:rFonts w:ascii="Times New Roman" w:hAnsi="Times New Roman" w:cs="Times New Roman"/>
      <w:sz w:val="24"/>
      <w:szCs w:val="24"/>
    </w:rPr>
  </w:style>
  <w:style w:type="paragraph" w:styleId="Signature">
    <w:name w:val="Signature"/>
    <w:basedOn w:val="Normal"/>
    <w:link w:val="SignatureChar"/>
    <w:uiPriority w:val="99"/>
    <w:rsid w:val="006F5B06"/>
    <w:pPr>
      <w:ind w:left="4320"/>
    </w:pPr>
  </w:style>
  <w:style w:type="character" w:customStyle="1" w:styleId="SignatureChar">
    <w:name w:val="Signature Char"/>
    <w:basedOn w:val="DefaultParagraphFont"/>
    <w:link w:val="Signature"/>
    <w:uiPriority w:val="99"/>
    <w:semiHidden/>
    <w:locked/>
    <w:rsid w:val="00E72F4A"/>
    <w:rPr>
      <w:rFonts w:ascii="Times New Roman" w:hAnsi="Times New Roman" w:cs="Times New Roman"/>
      <w:sz w:val="24"/>
      <w:szCs w:val="24"/>
    </w:rPr>
  </w:style>
  <w:style w:type="paragraph" w:styleId="Subtitle">
    <w:name w:val="Subtitle"/>
    <w:basedOn w:val="Normal"/>
    <w:link w:val="SubtitleChar"/>
    <w:uiPriority w:val="99"/>
    <w:qFormat/>
    <w:rsid w:val="006F5B06"/>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E72F4A"/>
    <w:rPr>
      <w:rFonts w:ascii="Cambria" w:hAnsi="Cambria" w:cs="Times New Roman"/>
      <w:sz w:val="24"/>
      <w:szCs w:val="24"/>
    </w:rPr>
  </w:style>
  <w:style w:type="paragraph" w:styleId="TableofFigures">
    <w:name w:val="table of figures"/>
    <w:basedOn w:val="Normal"/>
    <w:next w:val="Normal"/>
    <w:uiPriority w:val="99"/>
    <w:semiHidden/>
    <w:rsid w:val="006F5B06"/>
    <w:pPr>
      <w:ind w:left="480" w:hanging="480"/>
    </w:pPr>
  </w:style>
  <w:style w:type="character" w:styleId="HTMLCode">
    <w:name w:val="HTML Code"/>
    <w:basedOn w:val="DefaultParagraphFont"/>
    <w:uiPriority w:val="99"/>
    <w:rsid w:val="006F5B06"/>
    <w:rPr>
      <w:rFonts w:ascii="Courier New" w:hAnsi="Courier New" w:cs="Tahoma"/>
      <w:sz w:val="20"/>
      <w:szCs w:val="20"/>
    </w:rPr>
  </w:style>
  <w:style w:type="character" w:customStyle="1" w:styleId="h1CharChar1">
    <w:name w:val="h1 Char Char1"/>
    <w:basedOn w:val="singleChar"/>
    <w:uiPriority w:val="99"/>
    <w:rsid w:val="006F5B06"/>
    <w:rPr>
      <w:rFonts w:cs="Times New Roman"/>
      <w:b/>
      <w:sz w:val="24"/>
      <w:lang w:val="en-US" w:eastAsia="zh-CN" w:bidi="ar-SA"/>
    </w:rPr>
  </w:style>
  <w:style w:type="character" w:customStyle="1" w:styleId="h2CharChar1">
    <w:name w:val="h2 Char Char1"/>
    <w:basedOn w:val="h1CharChar1"/>
    <w:uiPriority w:val="99"/>
    <w:rsid w:val="006F5B06"/>
    <w:rPr>
      <w:rFonts w:cs="Times New Roman"/>
      <w:b/>
      <w:sz w:val="24"/>
      <w:u w:val="single"/>
      <w:lang w:val="en-US" w:eastAsia="zh-CN" w:bidi="ar-SA"/>
    </w:rPr>
  </w:style>
  <w:style w:type="paragraph" w:customStyle="1" w:styleId="Notes">
    <w:name w:val="Notes"/>
    <w:basedOn w:val="Normal"/>
    <w:uiPriority w:val="99"/>
    <w:rsid w:val="006F5B06"/>
    <w:pPr>
      <w:ind w:left="2160" w:hanging="2160"/>
    </w:pPr>
  </w:style>
  <w:style w:type="character" w:customStyle="1" w:styleId="zzmpTrailerItem">
    <w:name w:val="zzmpTrailerItem"/>
    <w:basedOn w:val="DefaultParagraphFont"/>
    <w:uiPriority w:val="99"/>
    <w:rsid w:val="00ED11A1"/>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rsid w:val="006F5B06"/>
    <w:rPr>
      <w:rFonts w:eastAsia="SimSun" w:cs="Times New Roman"/>
      <w:sz w:val="24"/>
      <w:szCs w:val="24"/>
      <w:lang w:val="en-US" w:eastAsia="zh-CN" w:bidi="ar-SA"/>
    </w:rPr>
  </w:style>
  <w:style w:type="character" w:customStyle="1" w:styleId="style3">
    <w:name w:val="style3"/>
    <w:basedOn w:val="DefaultParagraphFont"/>
    <w:uiPriority w:val="99"/>
    <w:rsid w:val="006F5B06"/>
    <w:rPr>
      <w:rFonts w:cs="Times New Roman"/>
    </w:rPr>
  </w:style>
  <w:style w:type="character" w:customStyle="1" w:styleId="questionChar">
    <w:name w:val="question Char"/>
    <w:basedOn w:val="DefaultParagraphFont"/>
    <w:rsid w:val="000C43C5"/>
    <w:rPr>
      <w:rFonts w:cs="Times New Roman"/>
      <w:b/>
      <w:sz w:val="24"/>
      <w:lang w:val="en-US" w:eastAsia="zh-CN" w:bidi="ar-SA"/>
    </w:rPr>
  </w:style>
  <w:style w:type="paragraph" w:customStyle="1" w:styleId="Question0">
    <w:name w:val="Question"/>
    <w:basedOn w:val="Normal"/>
    <w:autoRedefine/>
    <w:uiPriority w:val="99"/>
    <w:rsid w:val="00D32E64"/>
    <w:pPr>
      <w:keepNext/>
      <w:spacing w:before="120" w:after="120" w:line="480" w:lineRule="auto"/>
      <w:ind w:left="720" w:hanging="720"/>
    </w:pPr>
    <w:rPr>
      <w:b/>
      <w:szCs w:val="20"/>
      <w:lang w:eastAsia="zh-CN"/>
    </w:rPr>
  </w:style>
  <w:style w:type="paragraph" w:customStyle="1" w:styleId="CharChar">
    <w:name w:val="Char Char"/>
    <w:basedOn w:val="Normal"/>
    <w:uiPriority w:val="99"/>
    <w:rsid w:val="000C43C5"/>
    <w:pPr>
      <w:spacing w:after="160" w:line="240" w:lineRule="exact"/>
      <w:ind w:left="144"/>
    </w:pPr>
    <w:rPr>
      <w:rFonts w:ascii="Verdana" w:eastAsia="SimSun" w:hAnsi="Verdana" w:cs="Verdana"/>
      <w:sz w:val="20"/>
      <w:szCs w:val="20"/>
    </w:rPr>
  </w:style>
  <w:style w:type="character" w:customStyle="1" w:styleId="plainChar">
    <w:name w:val="plain Char"/>
    <w:basedOn w:val="DefaultParagraphFont"/>
    <w:link w:val="plain"/>
    <w:uiPriority w:val="99"/>
    <w:locked/>
    <w:rsid w:val="00D838F5"/>
    <w:rPr>
      <w:rFonts w:eastAsia="SimSun" w:cs="Times New Roman"/>
      <w:sz w:val="24"/>
      <w:szCs w:val="24"/>
      <w:lang w:val="en-US" w:eastAsia="zh-CN" w:bidi="ar-SA"/>
    </w:rPr>
  </w:style>
  <w:style w:type="table" w:styleId="TableGrid">
    <w:name w:val="Table Grid"/>
    <w:basedOn w:val="TableNormal"/>
    <w:uiPriority w:val="99"/>
    <w:rsid w:val="00F3205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loose1">
    <w:name w:val="normalloose1"/>
    <w:basedOn w:val="DefaultParagraphFont"/>
    <w:uiPriority w:val="99"/>
    <w:rsid w:val="003D3990"/>
    <w:rPr>
      <w:rFonts w:ascii="Verdana" w:hAnsi="Verdana" w:cs="Times New Roman"/>
      <w:sz w:val="18"/>
      <w:szCs w:val="18"/>
    </w:rPr>
  </w:style>
  <w:style w:type="paragraph" w:styleId="ListParagraph">
    <w:name w:val="List Paragraph"/>
    <w:basedOn w:val="Normal"/>
    <w:uiPriority w:val="34"/>
    <w:qFormat/>
    <w:rsid w:val="00D00611"/>
    <w:pPr>
      <w:spacing w:after="200" w:line="276" w:lineRule="auto"/>
      <w:ind w:left="720"/>
      <w:contextualSpacing/>
    </w:pPr>
    <w:rPr>
      <w:rFonts w:ascii="Calibri" w:hAnsi="Calibri"/>
      <w:sz w:val="22"/>
      <w:szCs w:val="22"/>
    </w:rPr>
  </w:style>
  <w:style w:type="paragraph" w:styleId="TOCHeading">
    <w:name w:val="TOC Heading"/>
    <w:basedOn w:val="Heading1"/>
    <w:next w:val="Normal"/>
    <w:uiPriority w:val="39"/>
    <w:semiHidden/>
    <w:unhideWhenUsed/>
    <w:qFormat/>
    <w:rsid w:val="00E803CE"/>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B06"/>
    <w:rPr>
      <w:rFonts w:ascii="Times New Roman" w:hAnsi="Times New Roman"/>
      <w:sz w:val="24"/>
      <w:szCs w:val="24"/>
    </w:rPr>
  </w:style>
  <w:style w:type="paragraph" w:styleId="Heading1">
    <w:name w:val="heading 1"/>
    <w:aliases w:val="h1"/>
    <w:basedOn w:val="single"/>
    <w:next w:val="Normal"/>
    <w:link w:val="Heading1Char"/>
    <w:uiPriority w:val="99"/>
    <w:qFormat/>
    <w:rsid w:val="006F5B06"/>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uiPriority w:val="99"/>
    <w:qFormat/>
    <w:rsid w:val="006F5B06"/>
    <w:pPr>
      <w:spacing w:before="360" w:after="360" w:line="240" w:lineRule="auto"/>
      <w:ind w:hanging="720"/>
      <w:jc w:val="left"/>
      <w:outlineLvl w:val="1"/>
    </w:pPr>
    <w:rPr>
      <w:szCs w:val="24"/>
      <w:u w:val="single"/>
    </w:rPr>
  </w:style>
  <w:style w:type="paragraph" w:styleId="Heading3">
    <w:name w:val="heading 3"/>
    <w:aliases w:val="h3"/>
    <w:basedOn w:val="Heading2"/>
    <w:next w:val="Normal"/>
    <w:link w:val="Heading3Char"/>
    <w:uiPriority w:val="99"/>
    <w:qFormat/>
    <w:rsid w:val="006F5B06"/>
    <w:pPr>
      <w:spacing w:before="120"/>
      <w:ind w:left="1440"/>
      <w:outlineLvl w:val="2"/>
    </w:pPr>
  </w:style>
  <w:style w:type="paragraph" w:styleId="Heading4">
    <w:name w:val="heading 4"/>
    <w:aliases w:val="h4"/>
    <w:basedOn w:val="Heading3"/>
    <w:next w:val="Normal"/>
    <w:link w:val="Heading4Char"/>
    <w:uiPriority w:val="99"/>
    <w:qFormat/>
    <w:rsid w:val="006F5B06"/>
    <w:pPr>
      <w:ind w:left="2160"/>
      <w:outlineLvl w:val="3"/>
    </w:pPr>
  </w:style>
  <w:style w:type="paragraph" w:styleId="Heading5">
    <w:name w:val="heading 5"/>
    <w:aliases w:val="h5"/>
    <w:basedOn w:val="Heading4"/>
    <w:next w:val="Normal"/>
    <w:link w:val="Heading5Char"/>
    <w:uiPriority w:val="99"/>
    <w:qFormat/>
    <w:rsid w:val="006F5B06"/>
    <w:pPr>
      <w:ind w:left="2880"/>
      <w:outlineLvl w:val="4"/>
    </w:pPr>
  </w:style>
  <w:style w:type="paragraph" w:styleId="Heading6">
    <w:name w:val="heading 6"/>
    <w:aliases w:val="h6"/>
    <w:basedOn w:val="Heading5"/>
    <w:next w:val="Normal"/>
    <w:link w:val="Heading6Char"/>
    <w:uiPriority w:val="99"/>
    <w:qFormat/>
    <w:rsid w:val="006F5B06"/>
    <w:pPr>
      <w:ind w:left="3600"/>
      <w:outlineLvl w:val="5"/>
    </w:pPr>
  </w:style>
  <w:style w:type="paragraph" w:styleId="Heading7">
    <w:name w:val="heading 7"/>
    <w:aliases w:val="h7"/>
    <w:basedOn w:val="Heading6"/>
    <w:next w:val="Normal"/>
    <w:link w:val="Heading7Char"/>
    <w:uiPriority w:val="99"/>
    <w:qFormat/>
    <w:rsid w:val="006F5B06"/>
    <w:pPr>
      <w:ind w:left="4320"/>
      <w:outlineLvl w:val="6"/>
    </w:pPr>
  </w:style>
  <w:style w:type="paragraph" w:styleId="Heading8">
    <w:name w:val="heading 8"/>
    <w:aliases w:val="h8"/>
    <w:basedOn w:val="Heading6"/>
    <w:next w:val="Normal"/>
    <w:link w:val="Heading8Char"/>
    <w:uiPriority w:val="99"/>
    <w:qFormat/>
    <w:rsid w:val="006F5B06"/>
    <w:pPr>
      <w:ind w:left="5040"/>
      <w:outlineLvl w:val="7"/>
    </w:pPr>
  </w:style>
  <w:style w:type="paragraph" w:styleId="Heading9">
    <w:name w:val="heading 9"/>
    <w:aliases w:val="h9"/>
    <w:basedOn w:val="Heading6"/>
    <w:next w:val="Normal"/>
    <w:link w:val="Heading9Char"/>
    <w:uiPriority w:val="99"/>
    <w:qFormat/>
    <w:rsid w:val="006F5B06"/>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72F4A"/>
    <w:rPr>
      <w:rFonts w:ascii="Cambria" w:hAnsi="Cambria" w:cs="Times New Roman"/>
      <w:b/>
      <w:bCs/>
      <w:kern w:val="32"/>
      <w:sz w:val="32"/>
      <w:szCs w:val="32"/>
    </w:rPr>
  </w:style>
  <w:style w:type="character" w:customStyle="1" w:styleId="Heading2Char">
    <w:name w:val="Heading 2 Char"/>
    <w:aliases w:val="h2 Char"/>
    <w:basedOn w:val="DefaultParagraphFont"/>
    <w:link w:val="Heading2"/>
    <w:uiPriority w:val="99"/>
    <w:semiHidden/>
    <w:locked/>
    <w:rsid w:val="00E72F4A"/>
    <w:rPr>
      <w:rFonts w:ascii="Cambria" w:hAnsi="Cambria" w:cs="Times New Roman"/>
      <w:b/>
      <w:bCs/>
      <w:i/>
      <w:iCs/>
      <w:sz w:val="28"/>
      <w:szCs w:val="28"/>
    </w:rPr>
  </w:style>
  <w:style w:type="character" w:customStyle="1" w:styleId="Heading3Char">
    <w:name w:val="Heading 3 Char"/>
    <w:aliases w:val="h3 Char"/>
    <w:basedOn w:val="DefaultParagraphFont"/>
    <w:link w:val="Heading3"/>
    <w:uiPriority w:val="99"/>
    <w:semiHidden/>
    <w:locked/>
    <w:rsid w:val="00E72F4A"/>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E72F4A"/>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sid w:val="00E72F4A"/>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sid w:val="00E72F4A"/>
    <w:rPr>
      <w:rFonts w:ascii="Calibri" w:hAnsi="Calibri" w:cs="Times New Roman"/>
      <w:b/>
      <w:bCs/>
    </w:rPr>
  </w:style>
  <w:style w:type="character" w:customStyle="1" w:styleId="Heading7Char">
    <w:name w:val="Heading 7 Char"/>
    <w:aliases w:val="h7 Char"/>
    <w:basedOn w:val="DefaultParagraphFont"/>
    <w:link w:val="Heading7"/>
    <w:uiPriority w:val="99"/>
    <w:semiHidden/>
    <w:locked/>
    <w:rsid w:val="00E72F4A"/>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E72F4A"/>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E72F4A"/>
    <w:rPr>
      <w:rFonts w:ascii="Cambria" w:hAnsi="Cambria" w:cs="Times New Roman"/>
    </w:rPr>
  </w:style>
  <w:style w:type="paragraph" w:customStyle="1" w:styleId="single">
    <w:name w:val="single"/>
    <w:basedOn w:val="Normal"/>
    <w:uiPriority w:val="99"/>
    <w:rsid w:val="006F5B06"/>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6F5B06"/>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6F5B06"/>
  </w:style>
  <w:style w:type="character" w:customStyle="1" w:styleId="CommentTextChar">
    <w:name w:val="Comment Text Char"/>
    <w:basedOn w:val="DefaultParagraphFont"/>
    <w:link w:val="CommentText"/>
    <w:uiPriority w:val="99"/>
    <w:semiHidden/>
    <w:locked/>
    <w:rsid w:val="005A4496"/>
    <w:rPr>
      <w:rFonts w:ascii="Times New Roman" w:eastAsia="SimSun" w:hAnsi="Times New Roman" w:cs="Times New Roman"/>
      <w:sz w:val="24"/>
      <w:szCs w:val="24"/>
      <w:lang w:eastAsia="zh-CN"/>
    </w:rPr>
  </w:style>
  <w:style w:type="paragraph" w:styleId="FootnoteText">
    <w:name w:val="footnote text"/>
    <w:basedOn w:val="single"/>
    <w:link w:val="FootnoteTextChar"/>
    <w:uiPriority w:val="99"/>
    <w:semiHidden/>
    <w:rsid w:val="006F5B06"/>
    <w:rPr>
      <w:sz w:val="22"/>
    </w:rPr>
  </w:style>
  <w:style w:type="character" w:customStyle="1" w:styleId="FootnoteTextChar">
    <w:name w:val="Footnote Text Char"/>
    <w:basedOn w:val="DefaultParagraphFont"/>
    <w:link w:val="FootnoteText"/>
    <w:uiPriority w:val="99"/>
    <w:semiHidden/>
    <w:locked/>
    <w:rsid w:val="00916E9B"/>
    <w:rPr>
      <w:rFonts w:ascii="Times New Roman" w:eastAsia="SimSun" w:hAnsi="Times New Roman" w:cs="Times New Roman"/>
      <w:sz w:val="24"/>
      <w:szCs w:val="24"/>
      <w:lang w:eastAsia="zh-CN"/>
    </w:rPr>
  </w:style>
  <w:style w:type="paragraph" w:styleId="TOC7">
    <w:name w:val="toc 7"/>
    <w:basedOn w:val="TOC4"/>
    <w:uiPriority w:val="99"/>
    <w:semiHidden/>
    <w:rsid w:val="006F5B06"/>
    <w:pPr>
      <w:ind w:left="5040"/>
    </w:pPr>
  </w:style>
  <w:style w:type="paragraph" w:styleId="TOC4">
    <w:name w:val="toc 4"/>
    <w:basedOn w:val="TOC3"/>
    <w:uiPriority w:val="99"/>
    <w:semiHidden/>
    <w:rsid w:val="006F5B06"/>
    <w:pPr>
      <w:ind w:left="2880"/>
    </w:pPr>
  </w:style>
  <w:style w:type="paragraph" w:styleId="TOC3">
    <w:name w:val="toc 3"/>
    <w:basedOn w:val="TOC2"/>
    <w:uiPriority w:val="39"/>
    <w:rsid w:val="006F5B06"/>
    <w:pPr>
      <w:ind w:left="2160"/>
    </w:pPr>
  </w:style>
  <w:style w:type="paragraph" w:styleId="TOC2">
    <w:name w:val="toc 2"/>
    <w:basedOn w:val="TOC1"/>
    <w:uiPriority w:val="39"/>
    <w:rsid w:val="006F5B06"/>
    <w:pPr>
      <w:ind w:left="1440"/>
    </w:pPr>
  </w:style>
  <w:style w:type="paragraph" w:styleId="TOC1">
    <w:name w:val="toc 1"/>
    <w:basedOn w:val="unjustifiedblock"/>
    <w:uiPriority w:val="39"/>
    <w:rsid w:val="006F5B06"/>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6F5B06"/>
  </w:style>
  <w:style w:type="paragraph" w:customStyle="1" w:styleId="singleblock">
    <w:name w:val="single block"/>
    <w:basedOn w:val="single"/>
    <w:uiPriority w:val="99"/>
    <w:rsid w:val="006F5B06"/>
    <w:pPr>
      <w:ind w:firstLine="0"/>
    </w:pPr>
  </w:style>
  <w:style w:type="paragraph" w:styleId="TOC6">
    <w:name w:val="toc 6"/>
    <w:basedOn w:val="TOC4"/>
    <w:uiPriority w:val="99"/>
    <w:semiHidden/>
    <w:rsid w:val="006F5B06"/>
    <w:pPr>
      <w:ind w:left="4320"/>
    </w:pPr>
  </w:style>
  <w:style w:type="paragraph" w:styleId="TOC5">
    <w:name w:val="toc 5"/>
    <w:basedOn w:val="TOC4"/>
    <w:uiPriority w:val="99"/>
    <w:semiHidden/>
    <w:rsid w:val="006F5B06"/>
    <w:pPr>
      <w:ind w:left="3600"/>
    </w:pPr>
  </w:style>
  <w:style w:type="paragraph" w:styleId="Index2">
    <w:name w:val="index 2"/>
    <w:basedOn w:val="unjustifiedblock"/>
    <w:next w:val="Normal"/>
    <w:uiPriority w:val="99"/>
    <w:semiHidden/>
    <w:rsid w:val="006F5B06"/>
    <w:pPr>
      <w:tabs>
        <w:tab w:val="right" w:leader="dot" w:pos="9000"/>
      </w:tabs>
      <w:ind w:left="360" w:right="2520" w:hanging="360"/>
    </w:pPr>
    <w:rPr>
      <w:color w:val="0000FF"/>
    </w:rPr>
  </w:style>
  <w:style w:type="paragraph" w:styleId="Index1">
    <w:name w:val="index 1"/>
    <w:basedOn w:val="unjustifiedblock"/>
    <w:next w:val="Normal"/>
    <w:uiPriority w:val="99"/>
    <w:semiHidden/>
    <w:rsid w:val="006F5B06"/>
    <w:rPr>
      <w:b/>
      <w:color w:val="0000FF"/>
    </w:rPr>
  </w:style>
  <w:style w:type="paragraph" w:styleId="IndexHeading">
    <w:name w:val="index heading"/>
    <w:basedOn w:val="unjustifiedblock"/>
    <w:next w:val="Normal"/>
    <w:uiPriority w:val="99"/>
    <w:semiHidden/>
    <w:rsid w:val="006F5B06"/>
    <w:rPr>
      <w:b/>
    </w:rPr>
  </w:style>
  <w:style w:type="paragraph" w:styleId="Footer">
    <w:name w:val="footer"/>
    <w:basedOn w:val="plain"/>
    <w:link w:val="FooterChar"/>
    <w:uiPriority w:val="99"/>
    <w:rsid w:val="006F5B06"/>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E72F4A"/>
    <w:rPr>
      <w:rFonts w:ascii="Times New Roman" w:hAnsi="Times New Roman" w:cs="Times New Roman"/>
      <w:sz w:val="24"/>
      <w:szCs w:val="24"/>
    </w:rPr>
  </w:style>
  <w:style w:type="paragraph" w:customStyle="1" w:styleId="plain">
    <w:name w:val="plain"/>
    <w:basedOn w:val="unjustifiedblock"/>
    <w:link w:val="plainChar"/>
    <w:uiPriority w:val="99"/>
    <w:rsid w:val="006F5B06"/>
    <w:pPr>
      <w:spacing w:before="0"/>
    </w:pPr>
  </w:style>
  <w:style w:type="paragraph" w:styleId="Header">
    <w:name w:val="header"/>
    <w:basedOn w:val="plain"/>
    <w:link w:val="HeaderChar"/>
    <w:uiPriority w:val="99"/>
    <w:rsid w:val="006F5B06"/>
    <w:pPr>
      <w:tabs>
        <w:tab w:val="center" w:pos="4507"/>
        <w:tab w:val="right" w:pos="9000"/>
      </w:tabs>
    </w:pPr>
  </w:style>
  <w:style w:type="character" w:customStyle="1" w:styleId="HeaderChar">
    <w:name w:val="Header Char"/>
    <w:basedOn w:val="DefaultParagraphFont"/>
    <w:link w:val="Header"/>
    <w:uiPriority w:val="99"/>
    <w:semiHidden/>
    <w:locked/>
    <w:rsid w:val="00E72F4A"/>
    <w:rPr>
      <w:rFonts w:ascii="Times New Roman" w:hAnsi="Times New Roman" w:cs="Times New Roman"/>
      <w:sz w:val="24"/>
      <w:szCs w:val="24"/>
    </w:rPr>
  </w:style>
  <w:style w:type="character" w:styleId="FootnoteReference">
    <w:name w:val="footnote reference"/>
    <w:basedOn w:val="DefaultParagraphFont"/>
    <w:uiPriority w:val="99"/>
    <w:semiHidden/>
    <w:rsid w:val="006F5B06"/>
    <w:rPr>
      <w:rFonts w:cs="Times New Roman"/>
      <w:position w:val="6"/>
      <w:sz w:val="16"/>
    </w:rPr>
  </w:style>
  <w:style w:type="paragraph" w:styleId="NormalIndent">
    <w:name w:val="Normal Indent"/>
    <w:basedOn w:val="singleblock"/>
    <w:uiPriority w:val="99"/>
    <w:rsid w:val="006F5B06"/>
    <w:pPr>
      <w:spacing w:before="0" w:after="240" w:line="240" w:lineRule="auto"/>
      <w:ind w:left="1440" w:right="720"/>
    </w:pPr>
    <w:rPr>
      <w:lang w:eastAsia="en-US"/>
    </w:rPr>
  </w:style>
  <w:style w:type="paragraph" w:customStyle="1" w:styleId="macrobutton">
    <w:name w:val="macrobutton"/>
    <w:basedOn w:val="plain"/>
    <w:uiPriority w:val="99"/>
    <w:rsid w:val="006F5B06"/>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6F5B06"/>
  </w:style>
  <w:style w:type="paragraph" w:customStyle="1" w:styleId="coverpage">
    <w:name w:val="cover page"/>
    <w:basedOn w:val="unjustifiedblock"/>
    <w:uiPriority w:val="99"/>
    <w:rsid w:val="006F5B06"/>
    <w:pPr>
      <w:jc w:val="right"/>
    </w:pPr>
  </w:style>
  <w:style w:type="paragraph" w:customStyle="1" w:styleId="center">
    <w:name w:val="center"/>
    <w:basedOn w:val="unjustifiedblock"/>
    <w:uiPriority w:val="99"/>
    <w:rsid w:val="006F5B06"/>
    <w:pPr>
      <w:keepLines/>
      <w:jc w:val="center"/>
    </w:pPr>
  </w:style>
  <w:style w:type="paragraph" w:customStyle="1" w:styleId="normal2">
    <w:name w:val="normal2"/>
    <w:basedOn w:val="Normal"/>
    <w:uiPriority w:val="99"/>
    <w:rsid w:val="006F5B06"/>
    <w:pPr>
      <w:ind w:firstLine="1440"/>
    </w:pPr>
  </w:style>
  <w:style w:type="paragraph" w:customStyle="1" w:styleId="table">
    <w:name w:val="table"/>
    <w:basedOn w:val="plain"/>
    <w:uiPriority w:val="99"/>
    <w:rsid w:val="006F5B06"/>
    <w:pPr>
      <w:spacing w:before="60" w:after="60" w:line="240" w:lineRule="auto"/>
    </w:pPr>
  </w:style>
  <w:style w:type="paragraph" w:customStyle="1" w:styleId="footnoteblock">
    <w:name w:val="footnote block"/>
    <w:basedOn w:val="FootnoteText"/>
    <w:uiPriority w:val="99"/>
    <w:rsid w:val="006F5B06"/>
    <w:pPr>
      <w:ind w:firstLine="0"/>
    </w:pPr>
  </w:style>
  <w:style w:type="paragraph" w:customStyle="1" w:styleId="footnoteindent">
    <w:name w:val="footnote indent"/>
    <w:basedOn w:val="footnoteblock"/>
    <w:uiPriority w:val="99"/>
    <w:rsid w:val="006F5B06"/>
    <w:pPr>
      <w:ind w:left="1440" w:right="720"/>
    </w:pPr>
  </w:style>
  <w:style w:type="paragraph" w:customStyle="1" w:styleId="Title1">
    <w:name w:val="Title1"/>
    <w:basedOn w:val="center"/>
    <w:uiPriority w:val="99"/>
    <w:rsid w:val="006F5B06"/>
    <w:pPr>
      <w:keepNext/>
      <w:ind w:left="720" w:right="720"/>
    </w:pPr>
    <w:rPr>
      <w:b/>
      <w:bCs/>
    </w:rPr>
  </w:style>
  <w:style w:type="paragraph" w:customStyle="1" w:styleId="normal3">
    <w:name w:val="normal3"/>
    <w:basedOn w:val="normal2"/>
    <w:uiPriority w:val="99"/>
    <w:rsid w:val="006F5B06"/>
    <w:pPr>
      <w:ind w:firstLine="2160"/>
    </w:pPr>
  </w:style>
  <w:style w:type="paragraph" w:customStyle="1" w:styleId="normalhanging">
    <w:name w:val="normal hanging"/>
    <w:basedOn w:val="Normal"/>
    <w:uiPriority w:val="99"/>
    <w:rsid w:val="006F5B06"/>
    <w:pPr>
      <w:ind w:left="720" w:hanging="720"/>
    </w:pPr>
  </w:style>
  <w:style w:type="paragraph" w:customStyle="1" w:styleId="righthalf">
    <w:name w:val="right half"/>
    <w:basedOn w:val="unjustifiedblock"/>
    <w:uiPriority w:val="99"/>
    <w:rsid w:val="006F5B06"/>
    <w:pPr>
      <w:keepLines/>
      <w:tabs>
        <w:tab w:val="left" w:pos="4190"/>
        <w:tab w:val="right" w:pos="8640"/>
      </w:tabs>
      <w:ind w:left="3787" w:right="187"/>
    </w:pPr>
  </w:style>
  <w:style w:type="paragraph" w:customStyle="1" w:styleId="normalhanging2">
    <w:name w:val="normal hanging2"/>
    <w:basedOn w:val="normalhanging"/>
    <w:uiPriority w:val="99"/>
    <w:rsid w:val="006F5B06"/>
    <w:pPr>
      <w:ind w:left="1440"/>
    </w:pPr>
  </w:style>
  <w:style w:type="paragraph" w:customStyle="1" w:styleId="normalhanging3">
    <w:name w:val="normal hanging3"/>
    <w:basedOn w:val="normalhanging2"/>
    <w:uiPriority w:val="99"/>
    <w:rsid w:val="006F5B06"/>
    <w:pPr>
      <w:ind w:left="2160"/>
    </w:pPr>
  </w:style>
  <w:style w:type="paragraph" w:customStyle="1" w:styleId="singlehanging">
    <w:name w:val="single hanging"/>
    <w:basedOn w:val="singleblock"/>
    <w:uiPriority w:val="99"/>
    <w:rsid w:val="006F5B06"/>
    <w:pPr>
      <w:ind w:left="720" w:hanging="720"/>
    </w:pPr>
  </w:style>
  <w:style w:type="paragraph" w:customStyle="1" w:styleId="pleading-linenums">
    <w:name w:val="pleading-line nums"/>
    <w:uiPriority w:val="99"/>
    <w:rsid w:val="006F5B06"/>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6F5B06"/>
    <w:pPr>
      <w:spacing w:before="0" w:after="240"/>
      <w:ind w:left="1440"/>
    </w:pPr>
  </w:style>
  <w:style w:type="paragraph" w:customStyle="1" w:styleId="response">
    <w:name w:val="response"/>
    <w:basedOn w:val="Normal"/>
    <w:uiPriority w:val="99"/>
    <w:rsid w:val="006F5B06"/>
    <w:pPr>
      <w:spacing w:after="2880" w:line="480" w:lineRule="atLeast"/>
    </w:pPr>
  </w:style>
  <w:style w:type="paragraph" w:customStyle="1" w:styleId="pleading-leftbar">
    <w:name w:val="pleading-left bar"/>
    <w:uiPriority w:val="99"/>
    <w:rsid w:val="006F5B06"/>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6F5B06"/>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6F5B06"/>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6F5B06"/>
    <w:pPr>
      <w:ind w:left="2160"/>
    </w:pPr>
  </w:style>
  <w:style w:type="paragraph" w:customStyle="1" w:styleId="singleindent">
    <w:name w:val="single indent"/>
    <w:basedOn w:val="singleblock"/>
    <w:uiPriority w:val="99"/>
    <w:rsid w:val="006F5B06"/>
    <w:pPr>
      <w:spacing w:before="0" w:after="240"/>
      <w:ind w:left="1440" w:right="720"/>
    </w:pPr>
  </w:style>
  <w:style w:type="paragraph" w:customStyle="1" w:styleId="unjustifiedhanging">
    <w:name w:val="unjustified hanging"/>
    <w:basedOn w:val="unjustifiedblock"/>
    <w:uiPriority w:val="99"/>
    <w:rsid w:val="006F5B06"/>
    <w:pPr>
      <w:ind w:left="720" w:hanging="720"/>
    </w:pPr>
  </w:style>
  <w:style w:type="paragraph" w:customStyle="1" w:styleId="unjustifiedhanging2">
    <w:name w:val="unjustified hanging2"/>
    <w:basedOn w:val="unjustifiedhanging"/>
    <w:uiPriority w:val="99"/>
    <w:rsid w:val="006F5B06"/>
    <w:pPr>
      <w:ind w:left="1440"/>
    </w:pPr>
  </w:style>
  <w:style w:type="paragraph" w:customStyle="1" w:styleId="unjustifiedhanging3">
    <w:name w:val="unjustified hanging3"/>
    <w:basedOn w:val="unjustifiedhanging2"/>
    <w:uiPriority w:val="99"/>
    <w:rsid w:val="006F5B06"/>
    <w:pPr>
      <w:ind w:left="2160"/>
    </w:pPr>
  </w:style>
  <w:style w:type="paragraph" w:customStyle="1" w:styleId="GilbertAssoc1990">
    <w:name w:val="©Gilbert&amp;Assoc. 1990"/>
    <w:basedOn w:val="Normal"/>
    <w:uiPriority w:val="99"/>
    <w:rsid w:val="006F5B06"/>
  </w:style>
  <w:style w:type="paragraph" w:customStyle="1" w:styleId="pleading-rightrule">
    <w:name w:val="pleading-right rule"/>
    <w:basedOn w:val="pleading-leftrule"/>
    <w:uiPriority w:val="99"/>
    <w:rsid w:val="006F5B06"/>
    <w:pPr>
      <w:framePr w:wrap="auto" w:x="11708"/>
    </w:pPr>
  </w:style>
  <w:style w:type="paragraph" w:customStyle="1" w:styleId="pleading-leftrule">
    <w:name w:val="pleading-left rule"/>
    <w:basedOn w:val="pleading-linenums"/>
    <w:uiPriority w:val="99"/>
    <w:rsid w:val="006F5B06"/>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6F5B06"/>
    <w:pPr>
      <w:framePr w:w="576" w:vSpace="0" w:wrap="notBeside" w:vAnchor="margin" w:hAnchor="text" w:x="720" w:yAlign="top"/>
      <w:spacing w:line="480" w:lineRule="exact"/>
    </w:pPr>
  </w:style>
  <w:style w:type="paragraph" w:styleId="EnvelopeAddress">
    <w:name w:val="envelope address"/>
    <w:basedOn w:val="Normal"/>
    <w:uiPriority w:val="99"/>
    <w:rsid w:val="006F5B06"/>
    <w:pPr>
      <w:framePr w:w="7920" w:h="1987" w:hRule="exact" w:hSpace="187" w:wrap="around" w:hAnchor="page" w:xAlign="center" w:yAlign="bottom"/>
      <w:ind w:left="2880" w:firstLine="1440"/>
    </w:pPr>
  </w:style>
  <w:style w:type="paragraph" w:styleId="EnvelopeReturn">
    <w:name w:val="envelope return"/>
    <w:basedOn w:val="Normal"/>
    <w:uiPriority w:val="99"/>
    <w:rsid w:val="006F5B06"/>
    <w:rPr>
      <w:sz w:val="20"/>
    </w:rPr>
  </w:style>
  <w:style w:type="paragraph" w:styleId="TOAHeading">
    <w:name w:val="toa heading"/>
    <w:basedOn w:val="Normal"/>
    <w:next w:val="Normal"/>
    <w:uiPriority w:val="99"/>
    <w:semiHidden/>
    <w:rsid w:val="006F5B06"/>
    <w:pPr>
      <w:spacing w:before="120"/>
    </w:pPr>
    <w:rPr>
      <w:b/>
    </w:rPr>
  </w:style>
  <w:style w:type="paragraph" w:styleId="TableofAuthorities">
    <w:name w:val="table of authorities"/>
    <w:basedOn w:val="Normal"/>
    <w:next w:val="Normal"/>
    <w:uiPriority w:val="99"/>
    <w:semiHidden/>
    <w:rsid w:val="006F5B06"/>
    <w:pPr>
      <w:tabs>
        <w:tab w:val="right" w:leader="dot" w:pos="9000"/>
      </w:tabs>
      <w:spacing w:before="240"/>
      <w:ind w:left="245" w:right="1440" w:hanging="245"/>
    </w:pPr>
  </w:style>
  <w:style w:type="paragraph" w:customStyle="1" w:styleId="ti">
    <w:name w:val="ti"/>
    <w:basedOn w:val="normalblock"/>
    <w:uiPriority w:val="99"/>
    <w:rsid w:val="006F5B06"/>
    <w:rPr>
      <w:b/>
    </w:rPr>
  </w:style>
  <w:style w:type="paragraph" w:styleId="BodyTextIndent">
    <w:name w:val="Body Text Indent"/>
    <w:basedOn w:val="Normal"/>
    <w:link w:val="BodyTextIndentChar"/>
    <w:uiPriority w:val="99"/>
    <w:rsid w:val="006F5B06"/>
    <w:rPr>
      <w:rFonts w:ascii="Arial" w:hAnsi="Arial"/>
      <w:sz w:val="22"/>
    </w:rPr>
  </w:style>
  <w:style w:type="character" w:customStyle="1" w:styleId="BodyTextIndentChar">
    <w:name w:val="Body Text Indent Char"/>
    <w:basedOn w:val="DefaultParagraphFont"/>
    <w:link w:val="BodyTextIndent"/>
    <w:uiPriority w:val="99"/>
    <w:semiHidden/>
    <w:locked/>
    <w:rsid w:val="00E72F4A"/>
    <w:rPr>
      <w:rFonts w:ascii="Times New Roman" w:hAnsi="Times New Roman" w:cs="Times New Roman"/>
      <w:sz w:val="24"/>
      <w:szCs w:val="24"/>
    </w:rPr>
  </w:style>
  <w:style w:type="paragraph" w:styleId="BodyText">
    <w:name w:val="Body Text"/>
    <w:aliases w:val="bt"/>
    <w:basedOn w:val="Normal"/>
    <w:link w:val="BodyTextChar"/>
    <w:uiPriority w:val="99"/>
    <w:rsid w:val="006F5B06"/>
    <w:pPr>
      <w:jc w:val="both"/>
    </w:pPr>
    <w:rPr>
      <w:lang w:val="en-GB"/>
    </w:rPr>
  </w:style>
  <w:style w:type="character" w:customStyle="1" w:styleId="BodyTextChar">
    <w:name w:val="Body Text Char"/>
    <w:aliases w:val="bt Char"/>
    <w:basedOn w:val="DefaultParagraphFont"/>
    <w:link w:val="BodyText"/>
    <w:uiPriority w:val="99"/>
    <w:semiHidden/>
    <w:locked/>
    <w:rsid w:val="00E72F4A"/>
    <w:rPr>
      <w:rFonts w:ascii="Times New Roman" w:hAnsi="Times New Roman" w:cs="Times New Roman"/>
      <w:sz w:val="24"/>
      <w:szCs w:val="24"/>
    </w:rPr>
  </w:style>
  <w:style w:type="paragraph" w:customStyle="1" w:styleId="bul">
    <w:name w:val="bul"/>
    <w:basedOn w:val="Normal"/>
    <w:uiPriority w:val="99"/>
    <w:rsid w:val="006F5B06"/>
    <w:pPr>
      <w:spacing w:before="240" w:line="240" w:lineRule="atLeast"/>
      <w:ind w:left="1440" w:hanging="720"/>
    </w:pPr>
    <w:rPr>
      <w:sz w:val="26"/>
    </w:rPr>
  </w:style>
  <w:style w:type="paragraph" w:customStyle="1" w:styleId="ind">
    <w:name w:val="ind"/>
    <w:basedOn w:val="bul"/>
    <w:uiPriority w:val="99"/>
    <w:rsid w:val="006F5B06"/>
    <w:pPr>
      <w:ind w:firstLine="0"/>
    </w:pPr>
  </w:style>
  <w:style w:type="paragraph" w:customStyle="1" w:styleId="Commitmenttotheenvironment">
    <w:name w:val="Commitment to the environment"/>
    <w:basedOn w:val="normalhanging"/>
    <w:uiPriority w:val="99"/>
    <w:rsid w:val="006F5B06"/>
    <w:pPr>
      <w:widowControl w:val="0"/>
    </w:pPr>
  </w:style>
  <w:style w:type="character" w:styleId="PageNumber">
    <w:name w:val="page number"/>
    <w:basedOn w:val="DefaultParagraphFont"/>
    <w:uiPriority w:val="99"/>
    <w:rsid w:val="006F5B06"/>
    <w:rPr>
      <w:rFonts w:cs="Times New Roman"/>
    </w:rPr>
  </w:style>
  <w:style w:type="paragraph" w:customStyle="1" w:styleId="memo">
    <w:name w:val="memo"/>
    <w:basedOn w:val="normalblock"/>
    <w:uiPriority w:val="99"/>
    <w:rsid w:val="006F5B06"/>
    <w:pPr>
      <w:spacing w:before="240" w:line="240" w:lineRule="atLeast"/>
      <w:ind w:left="1440" w:hanging="1440"/>
    </w:pPr>
    <w:rPr>
      <w:sz w:val="26"/>
    </w:rPr>
  </w:style>
  <w:style w:type="paragraph" w:customStyle="1" w:styleId="cclist">
    <w:name w:val="cc list"/>
    <w:basedOn w:val="plain"/>
    <w:uiPriority w:val="99"/>
    <w:rsid w:val="006F5B06"/>
    <w:pPr>
      <w:keepLines/>
      <w:spacing w:before="240"/>
      <w:ind w:left="720" w:hanging="720"/>
    </w:pPr>
    <w:rPr>
      <w:sz w:val="26"/>
    </w:rPr>
  </w:style>
  <w:style w:type="paragraph" w:customStyle="1" w:styleId="roman">
    <w:name w:val="roman"/>
    <w:basedOn w:val="Normal"/>
    <w:uiPriority w:val="99"/>
    <w:rsid w:val="006F5B06"/>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6F5B06"/>
    <w:pPr>
      <w:spacing w:before="240" w:line="240" w:lineRule="atLeast"/>
      <w:ind w:left="720"/>
    </w:pPr>
    <w:rPr>
      <w:sz w:val="26"/>
    </w:rPr>
  </w:style>
  <w:style w:type="paragraph" w:customStyle="1" w:styleId="footnotehanging">
    <w:name w:val="footnote hanging"/>
    <w:basedOn w:val="footnoteindent"/>
    <w:uiPriority w:val="99"/>
    <w:rsid w:val="006F5B06"/>
    <w:pPr>
      <w:ind w:left="720" w:hanging="720"/>
    </w:pPr>
  </w:style>
  <w:style w:type="paragraph" w:customStyle="1" w:styleId="roman2">
    <w:name w:val="roman2"/>
    <w:basedOn w:val="roman"/>
    <w:uiPriority w:val="99"/>
    <w:rsid w:val="006F5B06"/>
    <w:pPr>
      <w:tabs>
        <w:tab w:val="clear" w:pos="1800"/>
        <w:tab w:val="clear" w:pos="2160"/>
      </w:tabs>
      <w:ind w:left="2880" w:hanging="720"/>
    </w:pPr>
  </w:style>
  <w:style w:type="paragraph" w:customStyle="1" w:styleId="question">
    <w:name w:val="question"/>
    <w:basedOn w:val="singlehanging"/>
    <w:next w:val="answer"/>
    <w:rsid w:val="006F5B06"/>
    <w:pPr>
      <w:keepNext/>
      <w:widowControl w:val="0"/>
      <w:spacing w:after="120" w:line="480" w:lineRule="auto"/>
    </w:pPr>
    <w:rPr>
      <w:b/>
      <w:bCs/>
    </w:rPr>
  </w:style>
  <w:style w:type="paragraph" w:customStyle="1" w:styleId="answer">
    <w:name w:val="answer"/>
    <w:basedOn w:val="Normal"/>
    <w:rsid w:val="006F5B06"/>
    <w:pPr>
      <w:spacing w:before="120" w:after="120" w:line="480" w:lineRule="auto"/>
      <w:ind w:left="720" w:hanging="720"/>
    </w:pPr>
    <w:rPr>
      <w:rFonts w:eastAsia="SimSun"/>
      <w:lang w:eastAsia="zh-CN"/>
    </w:rPr>
  </w:style>
  <w:style w:type="paragraph" w:customStyle="1" w:styleId="q">
    <w:name w:val="q"/>
    <w:basedOn w:val="singlehanging"/>
    <w:uiPriority w:val="99"/>
    <w:rsid w:val="006F5B06"/>
    <w:pPr>
      <w:spacing w:line="480" w:lineRule="auto"/>
    </w:pPr>
    <w:rPr>
      <w:b/>
      <w:sz w:val="26"/>
    </w:rPr>
  </w:style>
  <w:style w:type="paragraph" w:customStyle="1" w:styleId="normalhangingQ">
    <w:name w:val="normal hangingQ"/>
    <w:basedOn w:val="normalhanging"/>
    <w:uiPriority w:val="99"/>
    <w:rsid w:val="006F5B06"/>
    <w:pPr>
      <w:keepNext/>
      <w:spacing w:before="240"/>
    </w:pPr>
    <w:rPr>
      <w:b/>
    </w:rPr>
  </w:style>
  <w:style w:type="paragraph" w:styleId="BodyTextIndent2">
    <w:name w:val="Body Text Indent 2"/>
    <w:basedOn w:val="Normal"/>
    <w:link w:val="BodyTextIndent2Char"/>
    <w:uiPriority w:val="99"/>
    <w:rsid w:val="006F5B0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E72F4A"/>
    <w:rPr>
      <w:rFonts w:ascii="Times New Roman" w:hAnsi="Times New Roman" w:cs="Times New Roman"/>
      <w:sz w:val="24"/>
      <w:szCs w:val="24"/>
    </w:rPr>
  </w:style>
  <w:style w:type="character" w:styleId="LineNumber">
    <w:name w:val="line number"/>
    <w:basedOn w:val="DefaultParagraphFont"/>
    <w:uiPriority w:val="99"/>
    <w:rsid w:val="006F5B06"/>
    <w:rPr>
      <w:rFonts w:cs="Times New Roman"/>
    </w:rPr>
  </w:style>
  <w:style w:type="paragraph" w:customStyle="1" w:styleId="BulletSS">
    <w:name w:val="Bullet SS"/>
    <w:basedOn w:val="Normal"/>
    <w:uiPriority w:val="99"/>
    <w:rsid w:val="006F5B06"/>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6F5B06"/>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6F5B06"/>
    <w:pPr>
      <w:tabs>
        <w:tab w:val="left" w:pos="533"/>
        <w:tab w:val="left" w:pos="734"/>
      </w:tabs>
      <w:ind w:left="533" w:hanging="317"/>
    </w:pPr>
    <w:rPr>
      <w:rFonts w:ascii="Times" w:hAnsi="Times"/>
      <w:sz w:val="23"/>
    </w:rPr>
  </w:style>
  <w:style w:type="paragraph" w:customStyle="1" w:styleId="EmDashDS">
    <w:name w:val="EmDash DS"/>
    <w:basedOn w:val="Normal"/>
    <w:uiPriority w:val="99"/>
    <w:rsid w:val="006F5B06"/>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6F5B06"/>
    <w:pPr>
      <w:tabs>
        <w:tab w:val="left" w:pos="734"/>
      </w:tabs>
      <w:ind w:left="734" w:hanging="201"/>
    </w:pPr>
    <w:rPr>
      <w:rFonts w:ascii="Times" w:hAnsi="Times"/>
      <w:sz w:val="23"/>
    </w:rPr>
  </w:style>
  <w:style w:type="paragraph" w:customStyle="1" w:styleId="EnDashDS">
    <w:name w:val="EnDash DS"/>
    <w:basedOn w:val="Normal"/>
    <w:uiPriority w:val="99"/>
    <w:rsid w:val="006F5B06"/>
    <w:pPr>
      <w:tabs>
        <w:tab w:val="left" w:pos="734"/>
      </w:tabs>
      <w:spacing w:after="260"/>
      <w:ind w:left="734" w:hanging="201"/>
    </w:pPr>
    <w:rPr>
      <w:rFonts w:ascii="Times" w:hAnsi="Times"/>
      <w:sz w:val="23"/>
    </w:rPr>
  </w:style>
  <w:style w:type="paragraph" w:customStyle="1" w:styleId="Numbr10DS">
    <w:name w:val="Numbr 10+ DS"/>
    <w:basedOn w:val="Normal"/>
    <w:uiPriority w:val="99"/>
    <w:rsid w:val="006F5B06"/>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6F5B06"/>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6F5B06"/>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6F5B06"/>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6F5B06"/>
    <w:pPr>
      <w:tabs>
        <w:tab w:val="left" w:pos="187"/>
      </w:tabs>
      <w:ind w:left="187" w:hanging="187"/>
    </w:pPr>
    <w:rPr>
      <w:rFonts w:ascii="Times" w:hAnsi="Times"/>
      <w:sz w:val="20"/>
    </w:rPr>
  </w:style>
  <w:style w:type="paragraph" w:customStyle="1" w:styleId="Table3Data-EmDash">
    <w:name w:val="Table3/Data-EmDash"/>
    <w:basedOn w:val="Normal"/>
    <w:uiPriority w:val="99"/>
    <w:rsid w:val="006F5B06"/>
    <w:pPr>
      <w:tabs>
        <w:tab w:val="left" w:pos="504"/>
      </w:tabs>
      <w:ind w:left="504" w:hanging="317"/>
    </w:pPr>
    <w:rPr>
      <w:rFonts w:ascii="Times" w:hAnsi="Times"/>
      <w:sz w:val="20"/>
    </w:rPr>
  </w:style>
  <w:style w:type="paragraph" w:customStyle="1" w:styleId="Tab5Data-EmDash">
    <w:name w:val="Tab5/Data-EmDash"/>
    <w:basedOn w:val="Normal"/>
    <w:uiPriority w:val="99"/>
    <w:rsid w:val="006F5B06"/>
    <w:pPr>
      <w:tabs>
        <w:tab w:val="left" w:pos="504"/>
      </w:tabs>
      <w:ind w:left="504" w:hanging="317"/>
    </w:pPr>
    <w:rPr>
      <w:rFonts w:ascii="Times" w:hAnsi="Times"/>
      <w:sz w:val="20"/>
    </w:rPr>
  </w:style>
  <w:style w:type="paragraph" w:customStyle="1" w:styleId="Tab5Data-Bullet">
    <w:name w:val="Tab5/Data-Bullet"/>
    <w:basedOn w:val="Normal"/>
    <w:uiPriority w:val="99"/>
    <w:rsid w:val="006F5B06"/>
    <w:pPr>
      <w:tabs>
        <w:tab w:val="left" w:pos="187"/>
      </w:tabs>
      <w:ind w:left="187" w:hanging="187"/>
    </w:pPr>
    <w:rPr>
      <w:rFonts w:ascii="Times" w:hAnsi="Times"/>
      <w:sz w:val="20"/>
    </w:rPr>
  </w:style>
  <w:style w:type="paragraph" w:customStyle="1" w:styleId="Int3ATMBullet">
    <w:name w:val="Int3/ATM Bullet"/>
    <w:basedOn w:val="Int3ATMText"/>
    <w:uiPriority w:val="99"/>
    <w:rsid w:val="006F5B06"/>
    <w:pPr>
      <w:tabs>
        <w:tab w:val="left" w:pos="230"/>
      </w:tabs>
      <w:ind w:left="230" w:hanging="230"/>
    </w:pPr>
  </w:style>
  <w:style w:type="paragraph" w:customStyle="1" w:styleId="Int3ATMText">
    <w:name w:val="Int3/ATM Text"/>
    <w:basedOn w:val="NormalDS"/>
    <w:uiPriority w:val="99"/>
    <w:rsid w:val="006F5B06"/>
    <w:rPr>
      <w:sz w:val="30"/>
    </w:rPr>
  </w:style>
  <w:style w:type="paragraph" w:customStyle="1" w:styleId="NormalDS">
    <w:name w:val="Normal DS"/>
    <w:basedOn w:val="Normal"/>
    <w:uiPriority w:val="99"/>
    <w:rsid w:val="006F5B06"/>
    <w:pPr>
      <w:spacing w:after="260"/>
    </w:pPr>
    <w:rPr>
      <w:rFonts w:ascii="Times" w:hAnsi="Times"/>
      <w:sz w:val="23"/>
    </w:rPr>
  </w:style>
  <w:style w:type="paragraph" w:customStyle="1" w:styleId="Tab5Data-EnDash">
    <w:name w:val="Tab5/Data-EnDash"/>
    <w:basedOn w:val="Normal"/>
    <w:uiPriority w:val="99"/>
    <w:rsid w:val="006F5B06"/>
    <w:pPr>
      <w:tabs>
        <w:tab w:val="left" w:pos="706"/>
      </w:tabs>
      <w:ind w:left="706" w:hanging="202"/>
    </w:pPr>
    <w:rPr>
      <w:rFonts w:ascii="Times" w:hAnsi="Times"/>
      <w:sz w:val="20"/>
    </w:rPr>
  </w:style>
  <w:style w:type="paragraph" w:customStyle="1" w:styleId="Table3Data-EnDash">
    <w:name w:val="Table3/Data-EnDash"/>
    <w:basedOn w:val="Normal"/>
    <w:uiPriority w:val="99"/>
    <w:rsid w:val="006F5B06"/>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6F5B06"/>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E72F4A"/>
    <w:rPr>
      <w:rFonts w:ascii="Times New Roman" w:hAnsi="Times New Roman" w:cs="Times New Roman"/>
      <w:sz w:val="16"/>
      <w:szCs w:val="16"/>
    </w:rPr>
  </w:style>
  <w:style w:type="paragraph" w:customStyle="1" w:styleId="draft">
    <w:name w:val="draft"/>
    <w:basedOn w:val="Header"/>
    <w:uiPriority w:val="99"/>
    <w:rsid w:val="006F5B06"/>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6F5B06"/>
    <w:pPr>
      <w:widowControl w:val="0"/>
      <w:tabs>
        <w:tab w:val="left" w:pos="1260"/>
      </w:tabs>
      <w:spacing w:before="252"/>
    </w:pPr>
    <w:rPr>
      <w:noProof/>
      <w:color w:val="000000"/>
      <w:sz w:val="20"/>
    </w:rPr>
  </w:style>
  <w:style w:type="paragraph" w:customStyle="1" w:styleId="H1">
    <w:name w:val="H1"/>
    <w:basedOn w:val="Normal"/>
    <w:next w:val="Normal"/>
    <w:uiPriority w:val="99"/>
    <w:rsid w:val="006F5B06"/>
    <w:pPr>
      <w:keepNext/>
      <w:spacing w:before="100" w:after="100"/>
      <w:outlineLvl w:val="1"/>
    </w:pPr>
    <w:rPr>
      <w:b/>
      <w:kern w:val="36"/>
      <w:sz w:val="48"/>
    </w:rPr>
  </w:style>
  <w:style w:type="paragraph" w:customStyle="1" w:styleId="Preformatted">
    <w:name w:val="Preformatted"/>
    <w:basedOn w:val="Normal"/>
    <w:uiPriority w:val="99"/>
    <w:rsid w:val="006F5B0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6F5B06"/>
  </w:style>
  <w:style w:type="character" w:customStyle="1" w:styleId="BodyText2Char">
    <w:name w:val="Body Text 2 Char"/>
    <w:basedOn w:val="DefaultParagraphFont"/>
    <w:link w:val="BodyText2"/>
    <w:uiPriority w:val="99"/>
    <w:semiHidden/>
    <w:locked/>
    <w:rsid w:val="00E72F4A"/>
    <w:rPr>
      <w:rFonts w:ascii="Times New Roman" w:hAnsi="Times New Roman" w:cs="Times New Roman"/>
      <w:sz w:val="24"/>
      <w:szCs w:val="24"/>
    </w:rPr>
  </w:style>
  <w:style w:type="paragraph" w:styleId="BodyText3">
    <w:name w:val="Body Text 3"/>
    <w:basedOn w:val="Normal"/>
    <w:link w:val="BodyText3Char"/>
    <w:uiPriority w:val="99"/>
    <w:rsid w:val="006F5B06"/>
    <w:pPr>
      <w:spacing w:line="360" w:lineRule="auto"/>
      <w:ind w:right="-720"/>
    </w:pPr>
  </w:style>
  <w:style w:type="character" w:customStyle="1" w:styleId="BodyText3Char">
    <w:name w:val="Body Text 3 Char"/>
    <w:basedOn w:val="DefaultParagraphFont"/>
    <w:link w:val="BodyText3"/>
    <w:uiPriority w:val="99"/>
    <w:semiHidden/>
    <w:locked/>
    <w:rsid w:val="00E72F4A"/>
    <w:rPr>
      <w:rFonts w:ascii="Times New Roman" w:hAnsi="Times New Roman" w:cs="Times New Roman"/>
      <w:sz w:val="16"/>
      <w:szCs w:val="16"/>
    </w:rPr>
  </w:style>
  <w:style w:type="paragraph" w:customStyle="1" w:styleId="SingleSpacing">
    <w:name w:val="Single Spacing"/>
    <w:basedOn w:val="Normal"/>
    <w:uiPriority w:val="99"/>
    <w:rsid w:val="006F5B06"/>
    <w:pPr>
      <w:spacing w:line="240" w:lineRule="exact"/>
    </w:pPr>
    <w:rPr>
      <w:rFonts w:eastAsia="SimSun"/>
      <w:sz w:val="26"/>
      <w:szCs w:val="26"/>
      <w:lang w:eastAsia="zh-CN"/>
    </w:rPr>
  </w:style>
  <w:style w:type="paragraph" w:styleId="TOC8">
    <w:name w:val="toc 8"/>
    <w:basedOn w:val="Normal"/>
    <w:next w:val="Normal"/>
    <w:autoRedefine/>
    <w:uiPriority w:val="99"/>
    <w:semiHidden/>
    <w:rsid w:val="006F5B06"/>
    <w:pPr>
      <w:ind w:left="1680"/>
    </w:pPr>
  </w:style>
  <w:style w:type="paragraph" w:styleId="TOC9">
    <w:name w:val="toc 9"/>
    <w:basedOn w:val="Normal"/>
    <w:next w:val="Normal"/>
    <w:autoRedefine/>
    <w:uiPriority w:val="99"/>
    <w:semiHidden/>
    <w:rsid w:val="006F5B06"/>
    <w:pPr>
      <w:ind w:left="1920"/>
    </w:pPr>
  </w:style>
  <w:style w:type="character" w:styleId="Hyperlink">
    <w:name w:val="Hyperlink"/>
    <w:basedOn w:val="DefaultParagraphFont"/>
    <w:uiPriority w:val="99"/>
    <w:rsid w:val="006F5B06"/>
    <w:rPr>
      <w:rFonts w:cs="Times New Roman"/>
      <w:color w:val="0000FF"/>
      <w:u w:val="single"/>
    </w:rPr>
  </w:style>
  <w:style w:type="paragraph" w:customStyle="1" w:styleId="Default">
    <w:name w:val="Default"/>
    <w:uiPriority w:val="99"/>
    <w:rsid w:val="006F5B06"/>
    <w:rPr>
      <w:rFonts w:ascii="Garamond" w:hAnsi="Garamond"/>
      <w:color w:val="000000"/>
      <w:sz w:val="24"/>
      <w:szCs w:val="20"/>
    </w:rPr>
  </w:style>
  <w:style w:type="paragraph" w:customStyle="1" w:styleId="LZBulletText">
    <w:name w:val="LZ Bullet Text"/>
    <w:basedOn w:val="Default"/>
    <w:next w:val="Default"/>
    <w:uiPriority w:val="99"/>
    <w:rsid w:val="006F5B06"/>
    <w:rPr>
      <w:color w:val="auto"/>
    </w:rPr>
  </w:style>
  <w:style w:type="paragraph" w:styleId="BalloonText">
    <w:name w:val="Balloon Text"/>
    <w:basedOn w:val="Normal"/>
    <w:link w:val="BalloonTextChar"/>
    <w:uiPriority w:val="99"/>
    <w:semiHidden/>
    <w:rsid w:val="006F5B06"/>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E72F4A"/>
    <w:rPr>
      <w:rFonts w:ascii="Times New Roman" w:hAnsi="Times New Roman" w:cs="Times New Roman"/>
      <w:sz w:val="2"/>
    </w:rPr>
  </w:style>
  <w:style w:type="paragraph" w:customStyle="1" w:styleId="body">
    <w:name w:val="*body"/>
    <w:basedOn w:val="Normal"/>
    <w:uiPriority w:val="99"/>
    <w:rsid w:val="006F5B06"/>
    <w:pPr>
      <w:widowControl w:val="0"/>
      <w:spacing w:line="280" w:lineRule="exact"/>
      <w:ind w:firstLine="540"/>
    </w:pPr>
    <w:rPr>
      <w:rFonts w:ascii="TheSerif 3-Light" w:hAnsi="TheSerif 3-Light"/>
      <w:sz w:val="18"/>
    </w:rPr>
  </w:style>
  <w:style w:type="paragraph" w:styleId="BlockText">
    <w:name w:val="Block Text"/>
    <w:basedOn w:val="Normal"/>
    <w:uiPriority w:val="99"/>
    <w:rsid w:val="006F5B06"/>
    <w:pPr>
      <w:numPr>
        <w:numId w:val="21"/>
      </w:numPr>
      <w:spacing w:after="120"/>
      <w:ind w:right="1440"/>
    </w:pPr>
  </w:style>
  <w:style w:type="character" w:styleId="Strong">
    <w:name w:val="Strong"/>
    <w:basedOn w:val="DefaultParagraphFont"/>
    <w:uiPriority w:val="99"/>
    <w:qFormat/>
    <w:rsid w:val="006F5B06"/>
    <w:rPr>
      <w:rFonts w:cs="Times New Roman"/>
      <w:b/>
    </w:rPr>
  </w:style>
  <w:style w:type="paragraph" w:styleId="Title">
    <w:name w:val="Title"/>
    <w:basedOn w:val="Normal"/>
    <w:link w:val="TitleChar"/>
    <w:uiPriority w:val="99"/>
    <w:qFormat/>
    <w:rsid w:val="006F5B0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72F4A"/>
    <w:rPr>
      <w:rFonts w:ascii="Cambria" w:hAnsi="Cambria" w:cs="Times New Roman"/>
      <w:b/>
      <w:bCs/>
      <w:kern w:val="28"/>
      <w:sz w:val="32"/>
      <w:szCs w:val="32"/>
    </w:rPr>
  </w:style>
  <w:style w:type="paragraph" w:styleId="Caption">
    <w:name w:val="caption"/>
    <w:basedOn w:val="Normal"/>
    <w:next w:val="Normal"/>
    <w:uiPriority w:val="99"/>
    <w:qFormat/>
    <w:rsid w:val="006F5B06"/>
    <w:pPr>
      <w:spacing w:before="120" w:after="120" w:line="240" w:lineRule="exact"/>
    </w:pPr>
    <w:rPr>
      <w:b/>
      <w:bCs/>
      <w:sz w:val="20"/>
    </w:rPr>
  </w:style>
  <w:style w:type="paragraph" w:customStyle="1" w:styleId="Arial11">
    <w:name w:val="Arial 11"/>
    <w:aliases w:val="Line Space 1.5,Justified"/>
    <w:basedOn w:val="Normal"/>
    <w:uiPriority w:val="99"/>
    <w:rsid w:val="006F5B06"/>
    <w:pPr>
      <w:spacing w:line="360" w:lineRule="auto"/>
      <w:jc w:val="both"/>
    </w:pPr>
    <w:rPr>
      <w:rFonts w:ascii="Arial" w:hAnsi="Arial" w:cs="Arial"/>
      <w:sz w:val="22"/>
    </w:rPr>
  </w:style>
  <w:style w:type="character" w:customStyle="1" w:styleId="singleChar">
    <w:name w:val="single Char"/>
    <w:basedOn w:val="DefaultParagraphFont"/>
    <w:uiPriority w:val="99"/>
    <w:rsid w:val="006F5B06"/>
    <w:rPr>
      <w:rFonts w:cs="Times New Roman"/>
      <w:sz w:val="24"/>
      <w:lang w:val="en-US" w:eastAsia="zh-CN" w:bidi="ar-SA"/>
    </w:rPr>
  </w:style>
  <w:style w:type="character" w:customStyle="1" w:styleId="h1CharChar">
    <w:name w:val="h1 Char Char"/>
    <w:basedOn w:val="singleChar"/>
    <w:uiPriority w:val="99"/>
    <w:rsid w:val="006F5B06"/>
    <w:rPr>
      <w:rFonts w:cs="Times New Roman"/>
      <w:b/>
      <w:sz w:val="24"/>
      <w:lang w:val="en-US" w:eastAsia="zh-CN" w:bidi="ar-SA"/>
    </w:rPr>
  </w:style>
  <w:style w:type="character" w:customStyle="1" w:styleId="h2CharChar">
    <w:name w:val="h2 Char Char"/>
    <w:basedOn w:val="h1CharChar"/>
    <w:uiPriority w:val="99"/>
    <w:rsid w:val="006F5B06"/>
    <w:rPr>
      <w:rFonts w:cs="Times New Roman"/>
      <w:b/>
      <w:sz w:val="24"/>
      <w:u w:val="single"/>
      <w:lang w:val="en-US" w:eastAsia="zh-CN" w:bidi="ar-SA"/>
    </w:rPr>
  </w:style>
  <w:style w:type="character" w:customStyle="1" w:styleId="h3CharChar">
    <w:name w:val="h3 Char Char"/>
    <w:basedOn w:val="h2CharChar"/>
    <w:uiPriority w:val="99"/>
    <w:rsid w:val="006F5B06"/>
    <w:rPr>
      <w:rFonts w:cs="Times New Roman"/>
      <w:b/>
      <w:sz w:val="24"/>
      <w:u w:val="single"/>
      <w:lang w:val="en-US" w:eastAsia="zh-CN" w:bidi="ar-SA"/>
    </w:rPr>
  </w:style>
  <w:style w:type="character" w:styleId="FollowedHyperlink">
    <w:name w:val="FollowedHyperlink"/>
    <w:basedOn w:val="DefaultParagraphFont"/>
    <w:uiPriority w:val="99"/>
    <w:rsid w:val="006F5B06"/>
    <w:rPr>
      <w:rFonts w:cs="Times New Roman"/>
      <w:color w:val="800080"/>
      <w:u w:val="single"/>
    </w:rPr>
  </w:style>
  <w:style w:type="paragraph" w:styleId="BodyTextFirstIndent">
    <w:name w:val="Body Text First Indent"/>
    <w:basedOn w:val="BodyText"/>
    <w:link w:val="BodyTextFirstIndentChar"/>
    <w:uiPriority w:val="99"/>
    <w:rsid w:val="006F5B06"/>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E72F4A"/>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rsid w:val="006F5B06"/>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E72F4A"/>
    <w:rPr>
      <w:rFonts w:ascii="Times New Roman" w:hAnsi="Times New Roman" w:cs="Times New Roman"/>
      <w:sz w:val="24"/>
      <w:szCs w:val="24"/>
    </w:rPr>
  </w:style>
  <w:style w:type="paragraph" w:styleId="Closing">
    <w:name w:val="Closing"/>
    <w:basedOn w:val="Normal"/>
    <w:link w:val="ClosingChar"/>
    <w:uiPriority w:val="99"/>
    <w:rsid w:val="006F5B06"/>
    <w:pPr>
      <w:ind w:left="4320"/>
    </w:pPr>
  </w:style>
  <w:style w:type="character" w:customStyle="1" w:styleId="ClosingChar">
    <w:name w:val="Closing Char"/>
    <w:basedOn w:val="DefaultParagraphFont"/>
    <w:link w:val="Closing"/>
    <w:uiPriority w:val="99"/>
    <w:semiHidden/>
    <w:locked/>
    <w:rsid w:val="00E72F4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F5B06"/>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E72F4A"/>
    <w:rPr>
      <w:rFonts w:ascii="Times New Roman" w:eastAsia="SimSun" w:hAnsi="Times New Roman" w:cs="Times New Roman"/>
      <w:b/>
      <w:bCs/>
      <w:sz w:val="20"/>
      <w:szCs w:val="20"/>
      <w:lang w:eastAsia="zh-CN"/>
    </w:rPr>
  </w:style>
  <w:style w:type="paragraph" w:styleId="Date">
    <w:name w:val="Date"/>
    <w:basedOn w:val="Normal"/>
    <w:next w:val="Normal"/>
    <w:link w:val="DateChar"/>
    <w:uiPriority w:val="99"/>
    <w:rsid w:val="006F5B06"/>
  </w:style>
  <w:style w:type="character" w:customStyle="1" w:styleId="DateChar">
    <w:name w:val="Date Char"/>
    <w:basedOn w:val="DefaultParagraphFont"/>
    <w:link w:val="Date"/>
    <w:uiPriority w:val="99"/>
    <w:semiHidden/>
    <w:locked/>
    <w:rsid w:val="00E72F4A"/>
    <w:rPr>
      <w:rFonts w:ascii="Times New Roman" w:hAnsi="Times New Roman" w:cs="Times New Roman"/>
      <w:sz w:val="24"/>
      <w:szCs w:val="24"/>
    </w:rPr>
  </w:style>
  <w:style w:type="paragraph" w:styleId="DocumentMap">
    <w:name w:val="Document Map"/>
    <w:basedOn w:val="Normal"/>
    <w:link w:val="DocumentMapChar"/>
    <w:uiPriority w:val="99"/>
    <w:semiHidden/>
    <w:rsid w:val="006F5B0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72F4A"/>
    <w:rPr>
      <w:rFonts w:ascii="Times New Roman" w:hAnsi="Times New Roman" w:cs="Times New Roman"/>
      <w:sz w:val="2"/>
    </w:rPr>
  </w:style>
  <w:style w:type="paragraph" w:styleId="E-mailSignature">
    <w:name w:val="E-mail Signature"/>
    <w:basedOn w:val="Normal"/>
    <w:link w:val="E-mailSignatureChar"/>
    <w:uiPriority w:val="99"/>
    <w:rsid w:val="006F5B06"/>
  </w:style>
  <w:style w:type="character" w:customStyle="1" w:styleId="E-mailSignatureChar">
    <w:name w:val="E-mail Signature Char"/>
    <w:basedOn w:val="DefaultParagraphFont"/>
    <w:link w:val="E-mailSignature"/>
    <w:uiPriority w:val="99"/>
    <w:semiHidden/>
    <w:locked/>
    <w:rsid w:val="00E72F4A"/>
    <w:rPr>
      <w:rFonts w:ascii="Times New Roman" w:hAnsi="Times New Roman" w:cs="Times New Roman"/>
      <w:sz w:val="24"/>
      <w:szCs w:val="24"/>
    </w:rPr>
  </w:style>
  <w:style w:type="paragraph" w:styleId="EndnoteText">
    <w:name w:val="endnote text"/>
    <w:basedOn w:val="Normal"/>
    <w:link w:val="EndnoteTextChar"/>
    <w:uiPriority w:val="99"/>
    <w:semiHidden/>
    <w:rsid w:val="006F5B06"/>
    <w:rPr>
      <w:sz w:val="20"/>
    </w:rPr>
  </w:style>
  <w:style w:type="character" w:customStyle="1" w:styleId="EndnoteTextChar">
    <w:name w:val="Endnote Text Char"/>
    <w:basedOn w:val="DefaultParagraphFont"/>
    <w:link w:val="EndnoteText"/>
    <w:uiPriority w:val="99"/>
    <w:semiHidden/>
    <w:locked/>
    <w:rsid w:val="00E72F4A"/>
    <w:rPr>
      <w:rFonts w:ascii="Times New Roman" w:hAnsi="Times New Roman" w:cs="Times New Roman"/>
      <w:sz w:val="20"/>
      <w:szCs w:val="20"/>
    </w:rPr>
  </w:style>
  <w:style w:type="paragraph" w:styleId="HTMLAddress">
    <w:name w:val="HTML Address"/>
    <w:basedOn w:val="Normal"/>
    <w:link w:val="HTMLAddressChar"/>
    <w:uiPriority w:val="99"/>
    <w:rsid w:val="006F5B06"/>
    <w:rPr>
      <w:i/>
      <w:iCs/>
    </w:rPr>
  </w:style>
  <w:style w:type="character" w:customStyle="1" w:styleId="HTMLAddressChar">
    <w:name w:val="HTML Address Char"/>
    <w:basedOn w:val="DefaultParagraphFont"/>
    <w:link w:val="HTMLAddress"/>
    <w:uiPriority w:val="99"/>
    <w:semiHidden/>
    <w:locked/>
    <w:rsid w:val="00E72F4A"/>
    <w:rPr>
      <w:rFonts w:ascii="Times New Roman" w:hAnsi="Times New Roman" w:cs="Times New Roman"/>
      <w:i/>
      <w:iCs/>
      <w:sz w:val="24"/>
      <w:szCs w:val="24"/>
    </w:rPr>
  </w:style>
  <w:style w:type="paragraph" w:styleId="HTMLPreformatted">
    <w:name w:val="HTML Preformatted"/>
    <w:basedOn w:val="Normal"/>
    <w:link w:val="HTMLPreformattedChar"/>
    <w:uiPriority w:val="99"/>
    <w:rsid w:val="006F5B06"/>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E72F4A"/>
    <w:rPr>
      <w:rFonts w:ascii="Courier New" w:hAnsi="Courier New" w:cs="Courier New"/>
      <w:sz w:val="20"/>
      <w:szCs w:val="20"/>
    </w:rPr>
  </w:style>
  <w:style w:type="paragraph" w:styleId="Index3">
    <w:name w:val="index 3"/>
    <w:basedOn w:val="Normal"/>
    <w:next w:val="Normal"/>
    <w:autoRedefine/>
    <w:uiPriority w:val="99"/>
    <w:semiHidden/>
    <w:rsid w:val="006F5B06"/>
    <w:pPr>
      <w:ind w:left="720" w:hanging="240"/>
    </w:pPr>
  </w:style>
  <w:style w:type="paragraph" w:styleId="Index4">
    <w:name w:val="index 4"/>
    <w:basedOn w:val="Normal"/>
    <w:next w:val="Normal"/>
    <w:autoRedefine/>
    <w:uiPriority w:val="99"/>
    <w:semiHidden/>
    <w:rsid w:val="006F5B06"/>
    <w:pPr>
      <w:ind w:left="960" w:hanging="240"/>
    </w:pPr>
  </w:style>
  <w:style w:type="paragraph" w:styleId="Index5">
    <w:name w:val="index 5"/>
    <w:basedOn w:val="Normal"/>
    <w:next w:val="Normal"/>
    <w:autoRedefine/>
    <w:uiPriority w:val="99"/>
    <w:semiHidden/>
    <w:rsid w:val="006F5B06"/>
    <w:pPr>
      <w:ind w:left="1200" w:hanging="240"/>
    </w:pPr>
  </w:style>
  <w:style w:type="paragraph" w:styleId="Index6">
    <w:name w:val="index 6"/>
    <w:basedOn w:val="Normal"/>
    <w:next w:val="Normal"/>
    <w:autoRedefine/>
    <w:uiPriority w:val="99"/>
    <w:semiHidden/>
    <w:rsid w:val="006F5B06"/>
    <w:pPr>
      <w:ind w:left="1440" w:hanging="240"/>
    </w:pPr>
  </w:style>
  <w:style w:type="paragraph" w:styleId="Index7">
    <w:name w:val="index 7"/>
    <w:basedOn w:val="Normal"/>
    <w:next w:val="Normal"/>
    <w:autoRedefine/>
    <w:uiPriority w:val="99"/>
    <w:semiHidden/>
    <w:rsid w:val="006F5B06"/>
    <w:pPr>
      <w:ind w:left="1680" w:hanging="240"/>
    </w:pPr>
  </w:style>
  <w:style w:type="paragraph" w:styleId="Index8">
    <w:name w:val="index 8"/>
    <w:basedOn w:val="Normal"/>
    <w:next w:val="Normal"/>
    <w:autoRedefine/>
    <w:uiPriority w:val="99"/>
    <w:semiHidden/>
    <w:rsid w:val="006F5B06"/>
    <w:pPr>
      <w:ind w:left="1920" w:hanging="240"/>
    </w:pPr>
  </w:style>
  <w:style w:type="paragraph" w:styleId="Index9">
    <w:name w:val="index 9"/>
    <w:basedOn w:val="Normal"/>
    <w:next w:val="Normal"/>
    <w:autoRedefine/>
    <w:uiPriority w:val="99"/>
    <w:semiHidden/>
    <w:rsid w:val="006F5B06"/>
    <w:pPr>
      <w:ind w:left="2160" w:hanging="240"/>
    </w:pPr>
  </w:style>
  <w:style w:type="paragraph" w:styleId="List">
    <w:name w:val="List"/>
    <w:basedOn w:val="Normal"/>
    <w:uiPriority w:val="99"/>
    <w:rsid w:val="006F5B06"/>
    <w:pPr>
      <w:ind w:left="360" w:hanging="360"/>
    </w:pPr>
  </w:style>
  <w:style w:type="paragraph" w:styleId="List2">
    <w:name w:val="List 2"/>
    <w:basedOn w:val="Normal"/>
    <w:uiPriority w:val="99"/>
    <w:rsid w:val="006F5B06"/>
    <w:pPr>
      <w:ind w:left="720" w:hanging="360"/>
    </w:pPr>
  </w:style>
  <w:style w:type="paragraph" w:styleId="List3">
    <w:name w:val="List 3"/>
    <w:basedOn w:val="Normal"/>
    <w:uiPriority w:val="99"/>
    <w:rsid w:val="006F5B06"/>
    <w:pPr>
      <w:ind w:left="1080" w:hanging="360"/>
    </w:pPr>
  </w:style>
  <w:style w:type="paragraph" w:styleId="List4">
    <w:name w:val="List 4"/>
    <w:basedOn w:val="Normal"/>
    <w:uiPriority w:val="99"/>
    <w:rsid w:val="006F5B06"/>
    <w:pPr>
      <w:ind w:left="1440" w:hanging="360"/>
    </w:pPr>
  </w:style>
  <w:style w:type="paragraph" w:styleId="List5">
    <w:name w:val="List 5"/>
    <w:basedOn w:val="Normal"/>
    <w:uiPriority w:val="99"/>
    <w:rsid w:val="006F5B06"/>
    <w:pPr>
      <w:ind w:left="1800" w:hanging="360"/>
    </w:pPr>
  </w:style>
  <w:style w:type="paragraph" w:styleId="ListBullet">
    <w:name w:val="List Bullet"/>
    <w:basedOn w:val="Normal"/>
    <w:autoRedefine/>
    <w:uiPriority w:val="99"/>
    <w:rsid w:val="006F5B06"/>
    <w:pPr>
      <w:numPr>
        <w:numId w:val="1"/>
      </w:numPr>
    </w:pPr>
  </w:style>
  <w:style w:type="paragraph" w:styleId="ListBullet2">
    <w:name w:val="List Bullet 2"/>
    <w:basedOn w:val="Normal"/>
    <w:autoRedefine/>
    <w:uiPriority w:val="99"/>
    <w:rsid w:val="006F5B06"/>
    <w:pPr>
      <w:numPr>
        <w:numId w:val="2"/>
      </w:numPr>
    </w:pPr>
  </w:style>
  <w:style w:type="paragraph" w:styleId="ListBullet3">
    <w:name w:val="List Bullet 3"/>
    <w:basedOn w:val="Normal"/>
    <w:autoRedefine/>
    <w:uiPriority w:val="99"/>
    <w:rsid w:val="006F5B06"/>
    <w:pPr>
      <w:numPr>
        <w:numId w:val="3"/>
      </w:numPr>
    </w:pPr>
  </w:style>
  <w:style w:type="paragraph" w:styleId="ListBullet4">
    <w:name w:val="List Bullet 4"/>
    <w:basedOn w:val="Normal"/>
    <w:autoRedefine/>
    <w:uiPriority w:val="99"/>
    <w:rsid w:val="006F5B06"/>
    <w:pPr>
      <w:numPr>
        <w:numId w:val="4"/>
      </w:numPr>
    </w:pPr>
  </w:style>
  <w:style w:type="paragraph" w:styleId="ListBullet5">
    <w:name w:val="List Bullet 5"/>
    <w:basedOn w:val="Normal"/>
    <w:autoRedefine/>
    <w:uiPriority w:val="99"/>
    <w:rsid w:val="006F5B06"/>
    <w:pPr>
      <w:numPr>
        <w:numId w:val="5"/>
      </w:numPr>
    </w:pPr>
  </w:style>
  <w:style w:type="paragraph" w:styleId="ListContinue">
    <w:name w:val="List Continue"/>
    <w:basedOn w:val="Normal"/>
    <w:uiPriority w:val="99"/>
    <w:rsid w:val="006F5B06"/>
    <w:pPr>
      <w:spacing w:after="120"/>
      <w:ind w:left="360"/>
    </w:pPr>
  </w:style>
  <w:style w:type="paragraph" w:styleId="ListContinue2">
    <w:name w:val="List Continue 2"/>
    <w:basedOn w:val="Normal"/>
    <w:uiPriority w:val="99"/>
    <w:rsid w:val="006F5B06"/>
    <w:pPr>
      <w:spacing w:after="120"/>
      <w:ind w:left="720"/>
    </w:pPr>
  </w:style>
  <w:style w:type="paragraph" w:styleId="ListContinue3">
    <w:name w:val="List Continue 3"/>
    <w:basedOn w:val="Normal"/>
    <w:uiPriority w:val="99"/>
    <w:rsid w:val="006F5B06"/>
    <w:pPr>
      <w:spacing w:after="120"/>
      <w:ind w:left="1080"/>
    </w:pPr>
  </w:style>
  <w:style w:type="paragraph" w:styleId="ListContinue4">
    <w:name w:val="List Continue 4"/>
    <w:basedOn w:val="Normal"/>
    <w:uiPriority w:val="99"/>
    <w:rsid w:val="006F5B06"/>
    <w:pPr>
      <w:spacing w:after="120"/>
      <w:ind w:left="1440"/>
    </w:pPr>
  </w:style>
  <w:style w:type="paragraph" w:styleId="ListContinue5">
    <w:name w:val="List Continue 5"/>
    <w:basedOn w:val="Normal"/>
    <w:uiPriority w:val="99"/>
    <w:rsid w:val="006F5B06"/>
    <w:pPr>
      <w:spacing w:after="120"/>
      <w:ind w:left="1800"/>
    </w:pPr>
  </w:style>
  <w:style w:type="paragraph" w:styleId="ListNumber">
    <w:name w:val="List Number"/>
    <w:basedOn w:val="Normal"/>
    <w:uiPriority w:val="99"/>
    <w:rsid w:val="006F5B06"/>
    <w:pPr>
      <w:numPr>
        <w:numId w:val="6"/>
      </w:numPr>
    </w:pPr>
  </w:style>
  <w:style w:type="paragraph" w:styleId="ListNumber2">
    <w:name w:val="List Number 2"/>
    <w:basedOn w:val="Normal"/>
    <w:uiPriority w:val="99"/>
    <w:rsid w:val="006F5B06"/>
    <w:pPr>
      <w:numPr>
        <w:numId w:val="7"/>
      </w:numPr>
    </w:pPr>
  </w:style>
  <w:style w:type="paragraph" w:styleId="ListNumber3">
    <w:name w:val="List Number 3"/>
    <w:basedOn w:val="Normal"/>
    <w:uiPriority w:val="99"/>
    <w:rsid w:val="006F5B06"/>
    <w:pPr>
      <w:numPr>
        <w:numId w:val="8"/>
      </w:numPr>
    </w:pPr>
  </w:style>
  <w:style w:type="paragraph" w:styleId="ListNumber4">
    <w:name w:val="List Number 4"/>
    <w:basedOn w:val="Normal"/>
    <w:uiPriority w:val="99"/>
    <w:rsid w:val="006F5B06"/>
    <w:pPr>
      <w:numPr>
        <w:numId w:val="9"/>
      </w:numPr>
    </w:pPr>
  </w:style>
  <w:style w:type="paragraph" w:styleId="ListNumber5">
    <w:name w:val="List Number 5"/>
    <w:basedOn w:val="Normal"/>
    <w:uiPriority w:val="99"/>
    <w:rsid w:val="006F5B06"/>
    <w:pPr>
      <w:numPr>
        <w:numId w:val="10"/>
      </w:numPr>
    </w:pPr>
  </w:style>
  <w:style w:type="paragraph" w:styleId="MacroText">
    <w:name w:val="macro"/>
    <w:link w:val="MacroTextChar"/>
    <w:uiPriority w:val="99"/>
    <w:semiHidden/>
    <w:rsid w:val="006F5B06"/>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E72F4A"/>
    <w:rPr>
      <w:rFonts w:ascii="Courier New" w:hAnsi="Courier New" w:cs="Courier New"/>
      <w:lang w:val="en-US" w:eastAsia="zh-CN" w:bidi="ar-SA"/>
    </w:rPr>
  </w:style>
  <w:style w:type="paragraph" w:styleId="MessageHeader">
    <w:name w:val="Message Header"/>
    <w:basedOn w:val="Normal"/>
    <w:link w:val="MessageHeaderChar"/>
    <w:uiPriority w:val="99"/>
    <w:rsid w:val="006F5B0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E72F4A"/>
    <w:rPr>
      <w:rFonts w:ascii="Cambria" w:hAnsi="Cambria" w:cs="Times New Roman"/>
      <w:sz w:val="24"/>
      <w:szCs w:val="24"/>
      <w:shd w:val="pct20" w:color="auto" w:fill="auto"/>
    </w:rPr>
  </w:style>
  <w:style w:type="paragraph" w:styleId="NormalWeb">
    <w:name w:val="Normal (Web)"/>
    <w:basedOn w:val="Normal"/>
    <w:uiPriority w:val="99"/>
    <w:rsid w:val="006F5B06"/>
  </w:style>
  <w:style w:type="paragraph" w:styleId="NoteHeading">
    <w:name w:val="Note Heading"/>
    <w:basedOn w:val="Normal"/>
    <w:next w:val="Normal"/>
    <w:link w:val="NoteHeadingChar"/>
    <w:uiPriority w:val="99"/>
    <w:rsid w:val="006F5B06"/>
  </w:style>
  <w:style w:type="character" w:customStyle="1" w:styleId="NoteHeadingChar">
    <w:name w:val="Note Heading Char"/>
    <w:basedOn w:val="DefaultParagraphFont"/>
    <w:link w:val="NoteHeading"/>
    <w:uiPriority w:val="99"/>
    <w:semiHidden/>
    <w:locked/>
    <w:rsid w:val="00E72F4A"/>
    <w:rPr>
      <w:rFonts w:ascii="Times New Roman" w:hAnsi="Times New Roman" w:cs="Times New Roman"/>
      <w:sz w:val="24"/>
      <w:szCs w:val="24"/>
    </w:rPr>
  </w:style>
  <w:style w:type="paragraph" w:styleId="PlainText">
    <w:name w:val="Plain Text"/>
    <w:basedOn w:val="Normal"/>
    <w:link w:val="PlainTextChar"/>
    <w:uiPriority w:val="99"/>
    <w:rsid w:val="006F5B06"/>
    <w:rPr>
      <w:rFonts w:ascii="Courier New" w:hAnsi="Courier New" w:cs="Courier New"/>
      <w:sz w:val="20"/>
    </w:rPr>
  </w:style>
  <w:style w:type="character" w:customStyle="1" w:styleId="PlainTextChar">
    <w:name w:val="Plain Text Char"/>
    <w:basedOn w:val="DefaultParagraphFont"/>
    <w:link w:val="PlainText"/>
    <w:uiPriority w:val="99"/>
    <w:semiHidden/>
    <w:locked/>
    <w:rsid w:val="00E72F4A"/>
    <w:rPr>
      <w:rFonts w:ascii="Courier New" w:hAnsi="Courier New" w:cs="Courier New"/>
      <w:sz w:val="20"/>
      <w:szCs w:val="20"/>
    </w:rPr>
  </w:style>
  <w:style w:type="paragraph" w:styleId="Salutation">
    <w:name w:val="Salutation"/>
    <w:basedOn w:val="Normal"/>
    <w:next w:val="Normal"/>
    <w:link w:val="SalutationChar"/>
    <w:uiPriority w:val="99"/>
    <w:rsid w:val="006F5B06"/>
  </w:style>
  <w:style w:type="character" w:customStyle="1" w:styleId="SalutationChar">
    <w:name w:val="Salutation Char"/>
    <w:basedOn w:val="DefaultParagraphFont"/>
    <w:link w:val="Salutation"/>
    <w:uiPriority w:val="99"/>
    <w:semiHidden/>
    <w:locked/>
    <w:rsid w:val="00E72F4A"/>
    <w:rPr>
      <w:rFonts w:ascii="Times New Roman" w:hAnsi="Times New Roman" w:cs="Times New Roman"/>
      <w:sz w:val="24"/>
      <w:szCs w:val="24"/>
    </w:rPr>
  </w:style>
  <w:style w:type="paragraph" w:styleId="Signature">
    <w:name w:val="Signature"/>
    <w:basedOn w:val="Normal"/>
    <w:link w:val="SignatureChar"/>
    <w:uiPriority w:val="99"/>
    <w:rsid w:val="006F5B06"/>
    <w:pPr>
      <w:ind w:left="4320"/>
    </w:pPr>
  </w:style>
  <w:style w:type="character" w:customStyle="1" w:styleId="SignatureChar">
    <w:name w:val="Signature Char"/>
    <w:basedOn w:val="DefaultParagraphFont"/>
    <w:link w:val="Signature"/>
    <w:uiPriority w:val="99"/>
    <w:semiHidden/>
    <w:locked/>
    <w:rsid w:val="00E72F4A"/>
    <w:rPr>
      <w:rFonts w:ascii="Times New Roman" w:hAnsi="Times New Roman" w:cs="Times New Roman"/>
      <w:sz w:val="24"/>
      <w:szCs w:val="24"/>
    </w:rPr>
  </w:style>
  <w:style w:type="paragraph" w:styleId="Subtitle">
    <w:name w:val="Subtitle"/>
    <w:basedOn w:val="Normal"/>
    <w:link w:val="SubtitleChar"/>
    <w:uiPriority w:val="99"/>
    <w:qFormat/>
    <w:rsid w:val="006F5B06"/>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E72F4A"/>
    <w:rPr>
      <w:rFonts w:ascii="Cambria" w:hAnsi="Cambria" w:cs="Times New Roman"/>
      <w:sz w:val="24"/>
      <w:szCs w:val="24"/>
    </w:rPr>
  </w:style>
  <w:style w:type="paragraph" w:styleId="TableofFigures">
    <w:name w:val="table of figures"/>
    <w:basedOn w:val="Normal"/>
    <w:next w:val="Normal"/>
    <w:uiPriority w:val="99"/>
    <w:semiHidden/>
    <w:rsid w:val="006F5B06"/>
    <w:pPr>
      <w:ind w:left="480" w:hanging="480"/>
    </w:pPr>
  </w:style>
  <w:style w:type="character" w:styleId="HTMLCode">
    <w:name w:val="HTML Code"/>
    <w:basedOn w:val="DefaultParagraphFont"/>
    <w:uiPriority w:val="99"/>
    <w:rsid w:val="006F5B06"/>
    <w:rPr>
      <w:rFonts w:ascii="Courier New" w:hAnsi="Courier New" w:cs="Tahoma"/>
      <w:sz w:val="20"/>
      <w:szCs w:val="20"/>
    </w:rPr>
  </w:style>
  <w:style w:type="character" w:customStyle="1" w:styleId="h1CharChar1">
    <w:name w:val="h1 Char Char1"/>
    <w:basedOn w:val="singleChar"/>
    <w:uiPriority w:val="99"/>
    <w:rsid w:val="006F5B06"/>
    <w:rPr>
      <w:rFonts w:cs="Times New Roman"/>
      <w:b/>
      <w:sz w:val="24"/>
      <w:lang w:val="en-US" w:eastAsia="zh-CN" w:bidi="ar-SA"/>
    </w:rPr>
  </w:style>
  <w:style w:type="character" w:customStyle="1" w:styleId="h2CharChar1">
    <w:name w:val="h2 Char Char1"/>
    <w:basedOn w:val="h1CharChar1"/>
    <w:uiPriority w:val="99"/>
    <w:rsid w:val="006F5B06"/>
    <w:rPr>
      <w:rFonts w:cs="Times New Roman"/>
      <w:b/>
      <w:sz w:val="24"/>
      <w:u w:val="single"/>
      <w:lang w:val="en-US" w:eastAsia="zh-CN" w:bidi="ar-SA"/>
    </w:rPr>
  </w:style>
  <w:style w:type="paragraph" w:customStyle="1" w:styleId="Notes">
    <w:name w:val="Notes"/>
    <w:basedOn w:val="Normal"/>
    <w:uiPriority w:val="99"/>
    <w:rsid w:val="006F5B06"/>
    <w:pPr>
      <w:ind w:left="2160" w:hanging="2160"/>
    </w:pPr>
  </w:style>
  <w:style w:type="character" w:customStyle="1" w:styleId="zzmpTrailerItem">
    <w:name w:val="zzmpTrailerItem"/>
    <w:basedOn w:val="DefaultParagraphFont"/>
    <w:uiPriority w:val="99"/>
    <w:rsid w:val="00ED11A1"/>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rsid w:val="006F5B06"/>
    <w:rPr>
      <w:rFonts w:eastAsia="SimSun" w:cs="Times New Roman"/>
      <w:sz w:val="24"/>
      <w:szCs w:val="24"/>
      <w:lang w:val="en-US" w:eastAsia="zh-CN" w:bidi="ar-SA"/>
    </w:rPr>
  </w:style>
  <w:style w:type="character" w:customStyle="1" w:styleId="style3">
    <w:name w:val="style3"/>
    <w:basedOn w:val="DefaultParagraphFont"/>
    <w:uiPriority w:val="99"/>
    <w:rsid w:val="006F5B06"/>
    <w:rPr>
      <w:rFonts w:cs="Times New Roman"/>
    </w:rPr>
  </w:style>
  <w:style w:type="character" w:customStyle="1" w:styleId="questionChar">
    <w:name w:val="question Char"/>
    <w:basedOn w:val="DefaultParagraphFont"/>
    <w:rsid w:val="000C43C5"/>
    <w:rPr>
      <w:rFonts w:cs="Times New Roman"/>
      <w:b/>
      <w:sz w:val="24"/>
      <w:lang w:val="en-US" w:eastAsia="zh-CN" w:bidi="ar-SA"/>
    </w:rPr>
  </w:style>
  <w:style w:type="paragraph" w:customStyle="1" w:styleId="Question0">
    <w:name w:val="Question"/>
    <w:basedOn w:val="Normal"/>
    <w:autoRedefine/>
    <w:uiPriority w:val="99"/>
    <w:rsid w:val="00D32E64"/>
    <w:pPr>
      <w:keepNext/>
      <w:spacing w:before="120" w:after="120" w:line="480" w:lineRule="auto"/>
      <w:ind w:left="720" w:hanging="720"/>
    </w:pPr>
    <w:rPr>
      <w:b/>
      <w:szCs w:val="20"/>
      <w:lang w:eastAsia="zh-CN"/>
    </w:rPr>
  </w:style>
  <w:style w:type="paragraph" w:customStyle="1" w:styleId="CharChar">
    <w:name w:val="Char Char"/>
    <w:basedOn w:val="Normal"/>
    <w:uiPriority w:val="99"/>
    <w:rsid w:val="000C43C5"/>
    <w:pPr>
      <w:spacing w:after="160" w:line="240" w:lineRule="exact"/>
      <w:ind w:left="144"/>
    </w:pPr>
    <w:rPr>
      <w:rFonts w:ascii="Verdana" w:eastAsia="SimSun" w:hAnsi="Verdana" w:cs="Verdana"/>
      <w:sz w:val="20"/>
      <w:szCs w:val="20"/>
    </w:rPr>
  </w:style>
  <w:style w:type="character" w:customStyle="1" w:styleId="plainChar">
    <w:name w:val="plain Char"/>
    <w:basedOn w:val="DefaultParagraphFont"/>
    <w:link w:val="plain"/>
    <w:uiPriority w:val="99"/>
    <w:locked/>
    <w:rsid w:val="00D838F5"/>
    <w:rPr>
      <w:rFonts w:eastAsia="SimSun" w:cs="Times New Roman"/>
      <w:sz w:val="24"/>
      <w:szCs w:val="24"/>
      <w:lang w:val="en-US" w:eastAsia="zh-CN" w:bidi="ar-SA"/>
    </w:rPr>
  </w:style>
  <w:style w:type="table" w:styleId="TableGrid">
    <w:name w:val="Table Grid"/>
    <w:basedOn w:val="TableNormal"/>
    <w:uiPriority w:val="99"/>
    <w:rsid w:val="00F3205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loose1">
    <w:name w:val="normalloose1"/>
    <w:basedOn w:val="DefaultParagraphFont"/>
    <w:uiPriority w:val="99"/>
    <w:rsid w:val="003D3990"/>
    <w:rPr>
      <w:rFonts w:ascii="Verdana" w:hAnsi="Verdana" w:cs="Times New Roman"/>
      <w:sz w:val="18"/>
      <w:szCs w:val="18"/>
    </w:rPr>
  </w:style>
  <w:style w:type="paragraph" w:styleId="ListParagraph">
    <w:name w:val="List Paragraph"/>
    <w:basedOn w:val="Normal"/>
    <w:uiPriority w:val="34"/>
    <w:qFormat/>
    <w:rsid w:val="00D00611"/>
    <w:pPr>
      <w:spacing w:after="200" w:line="276" w:lineRule="auto"/>
      <w:ind w:left="720"/>
      <w:contextualSpacing/>
    </w:pPr>
    <w:rPr>
      <w:rFonts w:ascii="Calibri" w:hAnsi="Calibri"/>
      <w:sz w:val="22"/>
      <w:szCs w:val="22"/>
    </w:rPr>
  </w:style>
  <w:style w:type="paragraph" w:styleId="TOCHeading">
    <w:name w:val="TOC Heading"/>
    <w:basedOn w:val="Heading1"/>
    <w:next w:val="Normal"/>
    <w:uiPriority w:val="39"/>
    <w:semiHidden/>
    <w:unhideWhenUsed/>
    <w:qFormat/>
    <w:rsid w:val="00E803CE"/>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067210">
      <w:marLeft w:val="0"/>
      <w:marRight w:val="0"/>
      <w:marTop w:val="0"/>
      <w:marBottom w:val="0"/>
      <w:divBdr>
        <w:top w:val="none" w:sz="0" w:space="0" w:color="auto"/>
        <w:left w:val="none" w:sz="0" w:space="0" w:color="auto"/>
        <w:bottom w:val="none" w:sz="0" w:space="0" w:color="auto"/>
        <w:right w:val="none" w:sz="0" w:space="0" w:color="auto"/>
      </w:divBdr>
    </w:div>
    <w:div w:id="2069067211">
      <w:marLeft w:val="0"/>
      <w:marRight w:val="0"/>
      <w:marTop w:val="0"/>
      <w:marBottom w:val="0"/>
      <w:divBdr>
        <w:top w:val="none" w:sz="0" w:space="0" w:color="auto"/>
        <w:left w:val="none" w:sz="0" w:space="0" w:color="auto"/>
        <w:bottom w:val="none" w:sz="0" w:space="0" w:color="auto"/>
        <w:right w:val="none" w:sz="0" w:space="0" w:color="auto"/>
      </w:divBdr>
    </w:div>
    <w:div w:id="2069067212">
      <w:marLeft w:val="0"/>
      <w:marRight w:val="0"/>
      <w:marTop w:val="0"/>
      <w:marBottom w:val="0"/>
      <w:divBdr>
        <w:top w:val="none" w:sz="0" w:space="0" w:color="auto"/>
        <w:left w:val="none" w:sz="0" w:space="0" w:color="auto"/>
        <w:bottom w:val="none" w:sz="0" w:space="0" w:color="auto"/>
        <w:right w:val="none" w:sz="0" w:space="0" w:color="auto"/>
      </w:divBdr>
    </w:div>
    <w:div w:id="2069067213">
      <w:marLeft w:val="0"/>
      <w:marRight w:val="0"/>
      <w:marTop w:val="0"/>
      <w:marBottom w:val="0"/>
      <w:divBdr>
        <w:top w:val="none" w:sz="0" w:space="0" w:color="auto"/>
        <w:left w:val="none" w:sz="0" w:space="0" w:color="auto"/>
        <w:bottom w:val="none" w:sz="0" w:space="0" w:color="auto"/>
        <w:right w:val="none" w:sz="0" w:space="0" w:color="auto"/>
      </w:divBdr>
    </w:div>
    <w:div w:id="2069067214">
      <w:marLeft w:val="0"/>
      <w:marRight w:val="0"/>
      <w:marTop w:val="0"/>
      <w:marBottom w:val="0"/>
      <w:divBdr>
        <w:top w:val="none" w:sz="0" w:space="0" w:color="auto"/>
        <w:left w:val="none" w:sz="0" w:space="0" w:color="auto"/>
        <w:bottom w:val="none" w:sz="0" w:space="0" w:color="auto"/>
        <w:right w:val="none" w:sz="0" w:space="0" w:color="auto"/>
      </w:divBdr>
    </w:div>
    <w:div w:id="2069067215">
      <w:marLeft w:val="0"/>
      <w:marRight w:val="0"/>
      <w:marTop w:val="0"/>
      <w:marBottom w:val="0"/>
      <w:divBdr>
        <w:top w:val="none" w:sz="0" w:space="0" w:color="auto"/>
        <w:left w:val="none" w:sz="0" w:space="0" w:color="auto"/>
        <w:bottom w:val="none" w:sz="0" w:space="0" w:color="auto"/>
        <w:right w:val="none" w:sz="0" w:space="0" w:color="auto"/>
      </w:divBdr>
    </w:div>
    <w:div w:id="2069067216">
      <w:marLeft w:val="0"/>
      <w:marRight w:val="0"/>
      <w:marTop w:val="0"/>
      <w:marBottom w:val="0"/>
      <w:divBdr>
        <w:top w:val="none" w:sz="0" w:space="0" w:color="auto"/>
        <w:left w:val="none" w:sz="0" w:space="0" w:color="auto"/>
        <w:bottom w:val="none" w:sz="0" w:space="0" w:color="auto"/>
        <w:right w:val="none" w:sz="0" w:space="0" w:color="auto"/>
      </w:divBdr>
    </w:div>
    <w:div w:id="2069067217">
      <w:marLeft w:val="0"/>
      <w:marRight w:val="0"/>
      <w:marTop w:val="0"/>
      <w:marBottom w:val="0"/>
      <w:divBdr>
        <w:top w:val="none" w:sz="0" w:space="0" w:color="auto"/>
        <w:left w:val="none" w:sz="0" w:space="0" w:color="auto"/>
        <w:bottom w:val="none" w:sz="0" w:space="0" w:color="auto"/>
        <w:right w:val="none" w:sz="0" w:space="0" w:color="auto"/>
      </w:divBdr>
    </w:div>
    <w:div w:id="2069067218">
      <w:marLeft w:val="0"/>
      <w:marRight w:val="0"/>
      <w:marTop w:val="0"/>
      <w:marBottom w:val="0"/>
      <w:divBdr>
        <w:top w:val="none" w:sz="0" w:space="0" w:color="auto"/>
        <w:left w:val="none" w:sz="0" w:space="0" w:color="auto"/>
        <w:bottom w:val="none" w:sz="0" w:space="0" w:color="auto"/>
        <w:right w:val="none" w:sz="0" w:space="0" w:color="auto"/>
      </w:divBdr>
    </w:div>
    <w:div w:id="2069067219">
      <w:marLeft w:val="0"/>
      <w:marRight w:val="0"/>
      <w:marTop w:val="0"/>
      <w:marBottom w:val="0"/>
      <w:divBdr>
        <w:top w:val="none" w:sz="0" w:space="0" w:color="auto"/>
        <w:left w:val="none" w:sz="0" w:space="0" w:color="auto"/>
        <w:bottom w:val="none" w:sz="0" w:space="0" w:color="auto"/>
        <w:right w:val="none" w:sz="0" w:space="0" w:color="auto"/>
      </w:divBdr>
    </w:div>
    <w:div w:id="2069067220">
      <w:marLeft w:val="0"/>
      <w:marRight w:val="0"/>
      <w:marTop w:val="0"/>
      <w:marBottom w:val="0"/>
      <w:divBdr>
        <w:top w:val="none" w:sz="0" w:space="0" w:color="auto"/>
        <w:left w:val="none" w:sz="0" w:space="0" w:color="auto"/>
        <w:bottom w:val="none" w:sz="0" w:space="0" w:color="auto"/>
        <w:right w:val="none" w:sz="0" w:space="0" w:color="auto"/>
      </w:divBdr>
    </w:div>
    <w:div w:id="2069067221">
      <w:marLeft w:val="0"/>
      <w:marRight w:val="0"/>
      <w:marTop w:val="0"/>
      <w:marBottom w:val="0"/>
      <w:divBdr>
        <w:top w:val="none" w:sz="0" w:space="0" w:color="auto"/>
        <w:left w:val="none" w:sz="0" w:space="0" w:color="auto"/>
        <w:bottom w:val="none" w:sz="0" w:space="0" w:color="auto"/>
        <w:right w:val="none" w:sz="0" w:space="0" w:color="auto"/>
      </w:divBdr>
    </w:div>
    <w:div w:id="2069067222">
      <w:marLeft w:val="0"/>
      <w:marRight w:val="0"/>
      <w:marTop w:val="0"/>
      <w:marBottom w:val="0"/>
      <w:divBdr>
        <w:top w:val="none" w:sz="0" w:space="0" w:color="auto"/>
        <w:left w:val="none" w:sz="0" w:space="0" w:color="auto"/>
        <w:bottom w:val="none" w:sz="0" w:space="0" w:color="auto"/>
        <w:right w:val="none" w:sz="0" w:space="0" w:color="auto"/>
      </w:divBdr>
    </w:div>
    <w:div w:id="2069067223">
      <w:marLeft w:val="0"/>
      <w:marRight w:val="0"/>
      <w:marTop w:val="0"/>
      <w:marBottom w:val="0"/>
      <w:divBdr>
        <w:top w:val="none" w:sz="0" w:space="0" w:color="auto"/>
        <w:left w:val="none" w:sz="0" w:space="0" w:color="auto"/>
        <w:bottom w:val="none" w:sz="0" w:space="0" w:color="auto"/>
        <w:right w:val="none" w:sz="0" w:space="0" w:color="auto"/>
      </w:divBdr>
    </w:div>
    <w:div w:id="2069067224">
      <w:marLeft w:val="0"/>
      <w:marRight w:val="0"/>
      <w:marTop w:val="0"/>
      <w:marBottom w:val="0"/>
      <w:divBdr>
        <w:top w:val="none" w:sz="0" w:space="0" w:color="auto"/>
        <w:left w:val="none" w:sz="0" w:space="0" w:color="auto"/>
        <w:bottom w:val="none" w:sz="0" w:space="0" w:color="auto"/>
        <w:right w:val="none" w:sz="0" w:space="0" w:color="auto"/>
      </w:divBdr>
    </w:div>
    <w:div w:id="2069067225">
      <w:marLeft w:val="0"/>
      <w:marRight w:val="0"/>
      <w:marTop w:val="0"/>
      <w:marBottom w:val="0"/>
      <w:divBdr>
        <w:top w:val="none" w:sz="0" w:space="0" w:color="auto"/>
        <w:left w:val="none" w:sz="0" w:space="0" w:color="auto"/>
        <w:bottom w:val="none" w:sz="0" w:space="0" w:color="auto"/>
        <w:right w:val="none" w:sz="0" w:space="0" w:color="auto"/>
      </w:divBdr>
    </w:div>
    <w:div w:id="2069067226">
      <w:marLeft w:val="0"/>
      <w:marRight w:val="0"/>
      <w:marTop w:val="0"/>
      <w:marBottom w:val="0"/>
      <w:divBdr>
        <w:top w:val="none" w:sz="0" w:space="0" w:color="auto"/>
        <w:left w:val="none" w:sz="0" w:space="0" w:color="auto"/>
        <w:bottom w:val="none" w:sz="0" w:space="0" w:color="auto"/>
        <w:right w:val="none" w:sz="0" w:space="0" w:color="auto"/>
      </w:divBdr>
    </w:div>
    <w:div w:id="2069067227">
      <w:marLeft w:val="0"/>
      <w:marRight w:val="0"/>
      <w:marTop w:val="0"/>
      <w:marBottom w:val="0"/>
      <w:divBdr>
        <w:top w:val="none" w:sz="0" w:space="0" w:color="auto"/>
        <w:left w:val="none" w:sz="0" w:space="0" w:color="auto"/>
        <w:bottom w:val="none" w:sz="0" w:space="0" w:color="auto"/>
        <w:right w:val="none" w:sz="0" w:space="0" w:color="auto"/>
      </w:divBdr>
    </w:div>
    <w:div w:id="2069067228">
      <w:marLeft w:val="0"/>
      <w:marRight w:val="0"/>
      <w:marTop w:val="0"/>
      <w:marBottom w:val="0"/>
      <w:divBdr>
        <w:top w:val="none" w:sz="0" w:space="0" w:color="auto"/>
        <w:left w:val="none" w:sz="0" w:space="0" w:color="auto"/>
        <w:bottom w:val="none" w:sz="0" w:space="0" w:color="auto"/>
        <w:right w:val="none" w:sz="0" w:space="0" w:color="auto"/>
      </w:divBdr>
    </w:div>
    <w:div w:id="2069067229">
      <w:marLeft w:val="0"/>
      <w:marRight w:val="0"/>
      <w:marTop w:val="0"/>
      <w:marBottom w:val="0"/>
      <w:divBdr>
        <w:top w:val="none" w:sz="0" w:space="0" w:color="auto"/>
        <w:left w:val="none" w:sz="0" w:space="0" w:color="auto"/>
        <w:bottom w:val="none" w:sz="0" w:space="0" w:color="auto"/>
        <w:right w:val="none" w:sz="0" w:space="0" w:color="auto"/>
      </w:divBdr>
    </w:div>
    <w:div w:id="2069067230">
      <w:marLeft w:val="0"/>
      <w:marRight w:val="0"/>
      <w:marTop w:val="0"/>
      <w:marBottom w:val="0"/>
      <w:divBdr>
        <w:top w:val="none" w:sz="0" w:space="0" w:color="auto"/>
        <w:left w:val="none" w:sz="0" w:space="0" w:color="auto"/>
        <w:bottom w:val="none" w:sz="0" w:space="0" w:color="auto"/>
        <w:right w:val="none" w:sz="0" w:space="0" w:color="auto"/>
      </w:divBdr>
    </w:div>
    <w:div w:id="2069067231">
      <w:marLeft w:val="0"/>
      <w:marRight w:val="0"/>
      <w:marTop w:val="0"/>
      <w:marBottom w:val="0"/>
      <w:divBdr>
        <w:top w:val="none" w:sz="0" w:space="0" w:color="auto"/>
        <w:left w:val="none" w:sz="0" w:space="0" w:color="auto"/>
        <w:bottom w:val="none" w:sz="0" w:space="0" w:color="auto"/>
        <w:right w:val="none" w:sz="0" w:space="0" w:color="auto"/>
      </w:divBdr>
    </w:div>
    <w:div w:id="2069067232">
      <w:marLeft w:val="0"/>
      <w:marRight w:val="0"/>
      <w:marTop w:val="0"/>
      <w:marBottom w:val="0"/>
      <w:divBdr>
        <w:top w:val="none" w:sz="0" w:space="0" w:color="auto"/>
        <w:left w:val="none" w:sz="0" w:space="0" w:color="auto"/>
        <w:bottom w:val="none" w:sz="0" w:space="0" w:color="auto"/>
        <w:right w:val="none" w:sz="0" w:space="0" w:color="auto"/>
      </w:divBdr>
    </w:div>
    <w:div w:id="2069067233">
      <w:marLeft w:val="0"/>
      <w:marRight w:val="0"/>
      <w:marTop w:val="0"/>
      <w:marBottom w:val="0"/>
      <w:divBdr>
        <w:top w:val="none" w:sz="0" w:space="0" w:color="auto"/>
        <w:left w:val="none" w:sz="0" w:space="0" w:color="auto"/>
        <w:bottom w:val="none" w:sz="0" w:space="0" w:color="auto"/>
        <w:right w:val="none" w:sz="0" w:space="0" w:color="auto"/>
      </w:divBdr>
    </w:div>
    <w:div w:id="2069067234">
      <w:marLeft w:val="0"/>
      <w:marRight w:val="0"/>
      <w:marTop w:val="0"/>
      <w:marBottom w:val="0"/>
      <w:divBdr>
        <w:top w:val="none" w:sz="0" w:space="0" w:color="auto"/>
        <w:left w:val="none" w:sz="0" w:space="0" w:color="auto"/>
        <w:bottom w:val="none" w:sz="0" w:space="0" w:color="auto"/>
        <w:right w:val="none" w:sz="0" w:space="0" w:color="auto"/>
      </w:divBdr>
    </w:div>
    <w:div w:id="2069067235">
      <w:marLeft w:val="0"/>
      <w:marRight w:val="0"/>
      <w:marTop w:val="0"/>
      <w:marBottom w:val="0"/>
      <w:divBdr>
        <w:top w:val="none" w:sz="0" w:space="0" w:color="auto"/>
        <w:left w:val="none" w:sz="0" w:space="0" w:color="auto"/>
        <w:bottom w:val="none" w:sz="0" w:space="0" w:color="auto"/>
        <w:right w:val="none" w:sz="0" w:space="0" w:color="auto"/>
      </w:divBdr>
    </w:div>
    <w:div w:id="2069067236">
      <w:marLeft w:val="0"/>
      <w:marRight w:val="0"/>
      <w:marTop w:val="0"/>
      <w:marBottom w:val="0"/>
      <w:divBdr>
        <w:top w:val="none" w:sz="0" w:space="0" w:color="auto"/>
        <w:left w:val="none" w:sz="0" w:space="0" w:color="auto"/>
        <w:bottom w:val="none" w:sz="0" w:space="0" w:color="auto"/>
        <w:right w:val="none" w:sz="0" w:space="0" w:color="auto"/>
      </w:divBdr>
    </w:div>
    <w:div w:id="2069067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2015-03-31T07:00:00+00:00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68E429B698A04B8D6212BC861C44DE" ma:contentTypeVersion="111" ma:contentTypeDescription="" ma:contentTypeScope="" ma:versionID="992d71eefa57636c2edf66eea13bb4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2E713F-BB6A-4448-BFFF-6E888DE92347}"/>
</file>

<file path=customXml/itemProps2.xml><?xml version="1.0" encoding="utf-8"?>
<ds:datastoreItem xmlns:ds="http://schemas.openxmlformats.org/officeDocument/2006/customXml" ds:itemID="{53D8311B-2938-42AB-B87E-987B27240765}"/>
</file>

<file path=customXml/itemProps3.xml><?xml version="1.0" encoding="utf-8"?>
<ds:datastoreItem xmlns:ds="http://schemas.openxmlformats.org/officeDocument/2006/customXml" ds:itemID="{4E4B7ED9-7790-4141-A4ED-3E2B7FD038BC}"/>
</file>

<file path=customXml/itemProps4.xml><?xml version="1.0" encoding="utf-8"?>
<ds:datastoreItem xmlns:ds="http://schemas.openxmlformats.org/officeDocument/2006/customXml" ds:itemID="{F4AE3CCB-66EF-4B68-BD4B-31A5C392AD77}"/>
</file>

<file path=customXml/itemProps5.xml><?xml version="1.0" encoding="utf-8"?>
<ds:datastoreItem xmlns:ds="http://schemas.openxmlformats.org/officeDocument/2006/customXml" ds:itemID="{D7BEA640-599E-4958-B2B8-8D8B769F07C9}"/>
</file>

<file path=docProps/app.xml><?xml version="1.0" encoding="utf-8"?>
<Properties xmlns="http://schemas.openxmlformats.org/officeDocument/2006/extended-properties" xmlns:vt="http://schemas.openxmlformats.org/officeDocument/2006/docPropsVTypes">
  <Template>Normal.dotm</Template>
  <TotalTime>14</TotalTime>
  <Pages>26</Pages>
  <Words>5334</Words>
  <Characters>30404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Tricia L - Marketing</dc:creator>
  <cp:lastModifiedBy>No Name</cp:lastModifiedBy>
  <cp:revision>5</cp:revision>
  <cp:lastPrinted>2015-03-30T04:23:00Z</cp:lastPrinted>
  <dcterms:created xsi:type="dcterms:W3CDTF">2015-03-29T17:22:00Z</dcterms:created>
  <dcterms:modified xsi:type="dcterms:W3CDTF">2015-03-30T04:24:00Z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gFAA9xAl/vizjZjrr4EdbP2fnRYIkmqhcfiDPeu9dCTwQKn6LE1FAPmnXvsVB5zasEW4BjCUOVtegNkk
XGedJwDX9r5yuhDD5pmpBGrEhRCAnneX8Nh6liSKhE4WFmPT6FFX/hMxekj/EvIXrDgg8OAS/nyR
o24nQjc9PHF21sSrXpPH4ITJticMM2s69pyycUVp9CYQ6GgOzWNUmi9U4B2bCDzmp1qQyy6Rtmca
SVwHMhacpBzqPg1cf</vt:lpwstr>
  </property>
  <property fmtid="{D5CDD505-2E9C-101B-9397-08002B2CF9AE}" pid="3" name="RESPONSE_SENDER_NAME">
    <vt:lpwstr>sAAAGYoQX4c3X/LEEJyQYoeYOw4ir9qBJix9yRtqCJb8gec=</vt:lpwstr>
  </property>
  <property fmtid="{D5CDD505-2E9C-101B-9397-08002B2CF9AE}" pid="4" name="EMAIL_OWNER_ADDRESS">
    <vt:lpwstr>4AAA6DouqOs9baE00g2yxD/LIbIUlPem8n7L0nUpm8pi8A2+Z2ihja9DxQ==</vt:lpwstr>
  </property>
  <property fmtid="{D5CDD505-2E9C-101B-9397-08002B2CF9AE}" pid="5" name="MAIL_MSG_ID2">
    <vt:lpwstr>tnsrggvrZAIMpW1yH6QdSLCq39YBTH8QQJAXLFNuhCVZCShPMaq69J8flM3
DgO8nGGygyCoO6jcSmrAwvHihfQ/c9+3kWygmQ==</vt:lpwstr>
  </property>
  <property fmtid="{D5CDD505-2E9C-101B-9397-08002B2CF9AE}" pid="6" name="ContentTypeId">
    <vt:lpwstr>0x0101006E56B4D1795A2E4DB2F0B01679ED314A00CE68E429B698A04B8D6212BC861C44DE</vt:lpwstr>
  </property>
  <property fmtid="{D5CDD505-2E9C-101B-9397-08002B2CF9AE}" pid="7" name="_docset_NoMedatataSyncRequired">
    <vt:lpwstr>False</vt:lpwstr>
  </property>
</Properties>
</file>