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5" w:rsidRDefault="00AA07D5" w:rsidP="00AA07D5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C4E0A6E" wp14:editId="28F2CE4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07D5" w:rsidRDefault="00AA07D5" w:rsidP="00AA07D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AA07D5" w:rsidRDefault="00AA07D5" w:rsidP="00AA07D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BB16A9" w:rsidRDefault="00F43764" w:rsidP="00F43764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fldChar w:fldCharType="begin"/>
      </w:r>
      <w:r>
        <w:rPr>
          <w:rFonts w:ascii="Times New Roman" w:hAnsi="Times New Roman" w:cs="Times New Roman"/>
          <w:sz w:val="25"/>
          <w:szCs w:val="25"/>
        </w:rPr>
        <w:instrText xml:space="preserve"> DATE \@ "MMMM d, yyyy" </w:instrText>
      </w:r>
      <w:r>
        <w:rPr>
          <w:rFonts w:ascii="Times New Roman" w:hAnsi="Times New Roman" w:cs="Times New Roman"/>
          <w:sz w:val="25"/>
          <w:szCs w:val="25"/>
        </w:rPr>
        <w:fldChar w:fldCharType="separate"/>
      </w:r>
      <w:r w:rsidR="00611031">
        <w:rPr>
          <w:rFonts w:ascii="Times New Roman" w:hAnsi="Times New Roman" w:cs="Times New Roman"/>
          <w:noProof/>
          <w:sz w:val="25"/>
          <w:szCs w:val="25"/>
        </w:rPr>
        <w:t>February 12, 2014</w:t>
      </w:r>
      <w:r>
        <w:rPr>
          <w:rFonts w:ascii="Times New Roman" w:hAnsi="Times New Roman" w:cs="Times New Roman"/>
          <w:sz w:val="25"/>
          <w:szCs w:val="25"/>
        </w:rPr>
        <w:fldChar w:fldCharType="end"/>
      </w: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CA21A0" w:rsidRPr="00BB16A9" w:rsidRDefault="00CA21A0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6332D1" w:rsidRDefault="00BB16A9" w:rsidP="00F43764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B16A9">
        <w:rPr>
          <w:rFonts w:ascii="Times New Roman" w:hAnsi="Times New Roman" w:cs="Times New Roman"/>
          <w:b/>
          <w:sz w:val="25"/>
          <w:szCs w:val="25"/>
        </w:rPr>
        <w:t>ERRAT</w:t>
      </w:r>
      <w:r w:rsidR="00712CFA">
        <w:rPr>
          <w:rFonts w:ascii="Times New Roman" w:hAnsi="Times New Roman" w:cs="Times New Roman"/>
          <w:b/>
          <w:sz w:val="25"/>
          <w:szCs w:val="25"/>
        </w:rPr>
        <w:t>A</w:t>
      </w:r>
      <w:r w:rsidRPr="00BB16A9">
        <w:rPr>
          <w:rFonts w:ascii="Times New Roman" w:hAnsi="Times New Roman" w:cs="Times New Roman"/>
          <w:b/>
          <w:sz w:val="25"/>
          <w:szCs w:val="25"/>
        </w:rPr>
        <w:t xml:space="preserve"> CORRECTING ORDER 0</w:t>
      </w:r>
      <w:r w:rsidR="00F43764">
        <w:rPr>
          <w:rFonts w:ascii="Times New Roman" w:hAnsi="Times New Roman" w:cs="Times New Roman"/>
          <w:b/>
          <w:sz w:val="25"/>
          <w:szCs w:val="25"/>
        </w:rPr>
        <w:t>3</w:t>
      </w:r>
    </w:p>
    <w:p w:rsidR="007E1974" w:rsidRDefault="007E1974" w:rsidP="00F43764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:rsidR="007E1974" w:rsidRPr="00BB16A9" w:rsidRDefault="007E1974" w:rsidP="00F43764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</w:t>
      </w:r>
      <w:r w:rsidR="00965766">
        <w:rPr>
          <w:rFonts w:ascii="Times New Roman" w:hAnsi="Times New Roman" w:cs="Times New Roman"/>
          <w:b/>
          <w:sz w:val="25"/>
          <w:szCs w:val="25"/>
        </w:rPr>
        <w:t>OTICE REVISING PROCEDURAL SCHEDULE</w:t>
      </w: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CA21A0" w:rsidRPr="00BB16A9" w:rsidRDefault="00CA21A0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F43764" w:rsidRDefault="00F43764" w:rsidP="00F43764">
      <w:pPr>
        <w:rPr>
          <w:rFonts w:ascii="Times New Roman" w:hAnsi="Times New Roman"/>
          <w:i/>
          <w:sz w:val="25"/>
          <w:szCs w:val="25"/>
        </w:rPr>
      </w:pPr>
      <w:r w:rsidRPr="00B241B8">
        <w:rPr>
          <w:rFonts w:ascii="Times New Roman" w:hAnsi="Times New Roman"/>
          <w:sz w:val="25"/>
          <w:szCs w:val="25"/>
        </w:rPr>
        <w:t>RE:</w:t>
      </w:r>
      <w:r w:rsidRPr="00B241B8">
        <w:rPr>
          <w:rFonts w:ascii="Times New Roman" w:hAnsi="Times New Roman"/>
          <w:sz w:val="25"/>
          <w:szCs w:val="25"/>
        </w:rPr>
        <w:tab/>
      </w:r>
      <w:r w:rsidRPr="00DC33FB">
        <w:rPr>
          <w:rFonts w:ascii="Times New Roman" w:hAnsi="Times New Roman"/>
          <w:i/>
          <w:sz w:val="25"/>
          <w:szCs w:val="25"/>
        </w:rPr>
        <w:t>Washington Utilities and Transportation Commission</w:t>
      </w:r>
      <w:r>
        <w:rPr>
          <w:rFonts w:ascii="Times New Roman" w:hAnsi="Times New Roman"/>
          <w:i/>
          <w:sz w:val="25"/>
          <w:szCs w:val="25"/>
        </w:rPr>
        <w:t xml:space="preserve"> v. Waste Control, Inc. </w:t>
      </w:r>
    </w:p>
    <w:p w:rsidR="00F43764" w:rsidRPr="00F4279B" w:rsidRDefault="00F43764" w:rsidP="00F43764">
      <w:pPr>
        <w:ind w:firstLine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 xml:space="preserve">(G-101), </w:t>
      </w:r>
      <w:r w:rsidRPr="00F4279B">
        <w:rPr>
          <w:rFonts w:ascii="Times New Roman" w:hAnsi="Times New Roman"/>
          <w:sz w:val="25"/>
          <w:szCs w:val="25"/>
        </w:rPr>
        <w:t>Docket TG-131794</w:t>
      </w: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CA21A0" w:rsidRPr="006D7F50" w:rsidRDefault="00CA21A0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6D7F50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6D7F50">
        <w:rPr>
          <w:rFonts w:ascii="Times New Roman" w:hAnsi="Times New Roman" w:cs="Times New Roman"/>
          <w:sz w:val="25"/>
          <w:szCs w:val="25"/>
        </w:rPr>
        <w:t>TO ALL PARTIES:</w:t>
      </w:r>
    </w:p>
    <w:p w:rsidR="00BB16A9" w:rsidRPr="006D7F50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6D7F50" w:rsidRDefault="00BB16A9" w:rsidP="006D7F50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6D7F50">
        <w:rPr>
          <w:rFonts w:ascii="Times New Roman" w:hAnsi="Times New Roman" w:cs="Times New Roman"/>
          <w:sz w:val="25"/>
          <w:szCs w:val="25"/>
        </w:rPr>
        <w:t xml:space="preserve">On </w:t>
      </w:r>
      <w:r w:rsidR="00567029">
        <w:rPr>
          <w:rFonts w:ascii="Times New Roman" w:hAnsi="Times New Roman" w:cs="Times New Roman"/>
          <w:sz w:val="25"/>
          <w:szCs w:val="25"/>
        </w:rPr>
        <w:t>January 16, 2014</w:t>
      </w:r>
      <w:r w:rsidRPr="006D7F50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</w:t>
      </w:r>
      <w:r w:rsidR="00394CED" w:rsidRPr="006D7F50">
        <w:rPr>
          <w:rFonts w:ascii="Times New Roman" w:hAnsi="Times New Roman" w:cs="Times New Roman"/>
          <w:sz w:val="25"/>
          <w:szCs w:val="25"/>
        </w:rPr>
        <w:t xml:space="preserve">(Commission) </w:t>
      </w:r>
      <w:r w:rsidRPr="006D7F50">
        <w:rPr>
          <w:rFonts w:ascii="Times New Roman" w:hAnsi="Times New Roman" w:cs="Times New Roman"/>
          <w:sz w:val="25"/>
          <w:szCs w:val="25"/>
        </w:rPr>
        <w:t xml:space="preserve">entered </w:t>
      </w:r>
      <w:r w:rsidR="00ED5045" w:rsidRPr="006D7F50">
        <w:rPr>
          <w:rFonts w:ascii="Times New Roman" w:hAnsi="Times New Roman" w:cs="Times New Roman"/>
          <w:sz w:val="25"/>
          <w:szCs w:val="25"/>
        </w:rPr>
        <w:t xml:space="preserve">Order </w:t>
      </w:r>
      <w:r w:rsidRPr="006D7F50">
        <w:rPr>
          <w:rFonts w:ascii="Times New Roman" w:hAnsi="Times New Roman" w:cs="Times New Roman"/>
          <w:sz w:val="25"/>
          <w:szCs w:val="25"/>
        </w:rPr>
        <w:t>0</w:t>
      </w:r>
      <w:r w:rsidR="00567029">
        <w:rPr>
          <w:rFonts w:ascii="Times New Roman" w:hAnsi="Times New Roman" w:cs="Times New Roman"/>
          <w:sz w:val="25"/>
          <w:szCs w:val="25"/>
        </w:rPr>
        <w:t>3</w:t>
      </w:r>
      <w:r w:rsidR="00ED5045" w:rsidRPr="006D7F50">
        <w:rPr>
          <w:rFonts w:ascii="Times New Roman" w:hAnsi="Times New Roman" w:cs="Times New Roman"/>
          <w:sz w:val="25"/>
          <w:szCs w:val="25"/>
        </w:rPr>
        <w:t xml:space="preserve"> –</w:t>
      </w:r>
      <w:r w:rsidR="004B74B8" w:rsidRPr="006D7F50">
        <w:rPr>
          <w:rFonts w:ascii="Times New Roman" w:hAnsi="Times New Roman" w:cs="Times New Roman"/>
          <w:sz w:val="25"/>
          <w:szCs w:val="25"/>
        </w:rPr>
        <w:t xml:space="preserve"> </w:t>
      </w:r>
      <w:r w:rsidR="00567029">
        <w:rPr>
          <w:rFonts w:ascii="Times New Roman" w:hAnsi="Times New Roman" w:cs="Times New Roman"/>
          <w:sz w:val="25"/>
          <w:szCs w:val="25"/>
        </w:rPr>
        <w:t xml:space="preserve">Prehearing Conference </w:t>
      </w:r>
      <w:r w:rsidR="004B74B8" w:rsidRPr="006D7F50">
        <w:rPr>
          <w:rFonts w:ascii="Times New Roman" w:hAnsi="Times New Roman" w:cs="Times New Roman"/>
          <w:sz w:val="25"/>
          <w:szCs w:val="25"/>
        </w:rPr>
        <w:t>Order</w:t>
      </w:r>
      <w:r w:rsidR="00567029">
        <w:rPr>
          <w:rFonts w:ascii="Times New Roman" w:hAnsi="Times New Roman" w:cs="Times New Roman"/>
          <w:sz w:val="25"/>
          <w:szCs w:val="25"/>
        </w:rPr>
        <w:t>; Notice of Hearing.</w:t>
      </w:r>
      <w:r w:rsidR="004B74B8" w:rsidRPr="006D7F50">
        <w:rPr>
          <w:rFonts w:ascii="Times New Roman" w:hAnsi="Times New Roman" w:cs="Times New Roman"/>
          <w:sz w:val="25"/>
          <w:szCs w:val="25"/>
        </w:rPr>
        <w:t xml:space="preserve"> </w:t>
      </w:r>
      <w:r w:rsidRPr="006D7F50">
        <w:rPr>
          <w:rFonts w:ascii="Times New Roman" w:hAnsi="Times New Roman" w:cs="Times New Roman"/>
          <w:sz w:val="25"/>
          <w:szCs w:val="25"/>
        </w:rPr>
        <w:t xml:space="preserve">The Commission has subsequently become aware of </w:t>
      </w:r>
      <w:r w:rsidR="006D7F50" w:rsidRPr="006D7F50">
        <w:rPr>
          <w:rFonts w:ascii="Times New Roman" w:hAnsi="Times New Roman" w:cs="Times New Roman"/>
          <w:sz w:val="25"/>
          <w:szCs w:val="25"/>
        </w:rPr>
        <w:t xml:space="preserve">an </w:t>
      </w:r>
      <w:r w:rsidRPr="006D7F50">
        <w:rPr>
          <w:rFonts w:ascii="Times New Roman" w:hAnsi="Times New Roman" w:cs="Times New Roman"/>
          <w:sz w:val="25"/>
          <w:szCs w:val="25"/>
        </w:rPr>
        <w:t xml:space="preserve">error in </w:t>
      </w:r>
      <w:r w:rsidR="001A5480">
        <w:rPr>
          <w:rFonts w:ascii="Times New Roman" w:hAnsi="Times New Roman" w:cs="Times New Roman"/>
          <w:sz w:val="25"/>
          <w:szCs w:val="25"/>
        </w:rPr>
        <w:t xml:space="preserve">Appendix A, Procedural Schedule, attached to </w:t>
      </w:r>
      <w:r w:rsidRPr="006D7F50">
        <w:rPr>
          <w:rFonts w:ascii="Times New Roman" w:hAnsi="Times New Roman" w:cs="Times New Roman"/>
          <w:sz w:val="25"/>
          <w:szCs w:val="25"/>
        </w:rPr>
        <w:t xml:space="preserve">Order </w:t>
      </w:r>
      <w:r w:rsidR="004B74B8" w:rsidRPr="006D7F50">
        <w:rPr>
          <w:rFonts w:ascii="Times New Roman" w:hAnsi="Times New Roman" w:cs="Times New Roman"/>
          <w:sz w:val="25"/>
          <w:szCs w:val="25"/>
        </w:rPr>
        <w:t>0</w:t>
      </w:r>
      <w:r w:rsidR="00567029">
        <w:rPr>
          <w:rFonts w:ascii="Times New Roman" w:hAnsi="Times New Roman" w:cs="Times New Roman"/>
          <w:sz w:val="25"/>
          <w:szCs w:val="25"/>
        </w:rPr>
        <w:t>3</w:t>
      </w:r>
      <w:r w:rsidRPr="006D7F50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BB16A9" w:rsidRPr="006D7F50" w:rsidRDefault="00BB16A9" w:rsidP="00BB16A9">
      <w:pPr>
        <w:pStyle w:val="FindingsConclusions"/>
        <w:rPr>
          <w:sz w:val="25"/>
          <w:szCs w:val="25"/>
        </w:rPr>
      </w:pPr>
    </w:p>
    <w:p w:rsidR="00ED5045" w:rsidRDefault="00567029" w:rsidP="006D7F50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</w:t>
      </w:r>
      <w:r w:rsidR="001A5480">
        <w:rPr>
          <w:rFonts w:ascii="Times New Roman" w:hAnsi="Times New Roman" w:cs="Times New Roman"/>
          <w:sz w:val="25"/>
          <w:szCs w:val="25"/>
        </w:rPr>
        <w:t xml:space="preserve">ppendix A inadvertently omitted the deadline for </w:t>
      </w:r>
      <w:r w:rsidR="007E1974">
        <w:rPr>
          <w:rFonts w:ascii="Times New Roman" w:hAnsi="Times New Roman" w:cs="Times New Roman"/>
          <w:sz w:val="25"/>
          <w:szCs w:val="25"/>
        </w:rPr>
        <w:t xml:space="preserve">the filing of </w:t>
      </w:r>
      <w:r w:rsidR="007317DC">
        <w:rPr>
          <w:rFonts w:ascii="Times New Roman" w:hAnsi="Times New Roman" w:cs="Times New Roman"/>
          <w:sz w:val="25"/>
          <w:szCs w:val="25"/>
        </w:rPr>
        <w:t>rebuttal</w:t>
      </w:r>
      <w:r w:rsidR="007E1974">
        <w:rPr>
          <w:rFonts w:ascii="Times New Roman" w:hAnsi="Times New Roman" w:cs="Times New Roman"/>
          <w:sz w:val="25"/>
          <w:szCs w:val="25"/>
        </w:rPr>
        <w:t xml:space="preserve"> testim</w:t>
      </w:r>
      <w:r w:rsidR="007317DC">
        <w:rPr>
          <w:rFonts w:ascii="Times New Roman" w:hAnsi="Times New Roman" w:cs="Times New Roman"/>
          <w:sz w:val="25"/>
          <w:szCs w:val="25"/>
        </w:rPr>
        <w:t xml:space="preserve">ony and exhibits by Waste Control, Inc. (Waste Control or Company) and </w:t>
      </w:r>
      <w:r w:rsidR="00DA2A8E">
        <w:rPr>
          <w:rFonts w:ascii="Times New Roman" w:hAnsi="Times New Roman" w:cs="Times New Roman"/>
          <w:sz w:val="25"/>
          <w:szCs w:val="25"/>
        </w:rPr>
        <w:t xml:space="preserve">the filing of </w:t>
      </w:r>
      <w:r w:rsidR="007317DC">
        <w:rPr>
          <w:rFonts w:ascii="Times New Roman" w:hAnsi="Times New Roman" w:cs="Times New Roman"/>
          <w:sz w:val="25"/>
          <w:szCs w:val="25"/>
        </w:rPr>
        <w:t xml:space="preserve">cross answering testimony and exhibits by the </w:t>
      </w:r>
      <w:r w:rsidR="007E1974">
        <w:rPr>
          <w:rFonts w:ascii="Times New Roman" w:hAnsi="Times New Roman" w:cs="Times New Roman"/>
          <w:sz w:val="25"/>
          <w:szCs w:val="25"/>
        </w:rPr>
        <w:t xml:space="preserve">Commission’s regulatory staff (Staff) and </w:t>
      </w:r>
      <w:r w:rsidR="00C05843">
        <w:rPr>
          <w:rFonts w:ascii="Times New Roman" w:hAnsi="Times New Roman" w:cs="Times New Roman"/>
          <w:sz w:val="25"/>
          <w:szCs w:val="25"/>
        </w:rPr>
        <w:t>the</w:t>
      </w:r>
      <w:r w:rsidR="007E1974">
        <w:rPr>
          <w:rFonts w:ascii="Times New Roman" w:hAnsi="Times New Roman" w:cs="Times New Roman"/>
          <w:sz w:val="25"/>
          <w:szCs w:val="25"/>
        </w:rPr>
        <w:t xml:space="preserve"> Washington Refuse and Recycling Association</w:t>
      </w:r>
      <w:r w:rsidR="00733453">
        <w:rPr>
          <w:rFonts w:ascii="Times New Roman" w:hAnsi="Times New Roman" w:cs="Times New Roman"/>
          <w:sz w:val="25"/>
          <w:szCs w:val="25"/>
        </w:rPr>
        <w:t xml:space="preserve"> (WRRA)</w:t>
      </w:r>
      <w:r w:rsidR="007E1974">
        <w:rPr>
          <w:rFonts w:ascii="Times New Roman" w:hAnsi="Times New Roman" w:cs="Times New Roman"/>
          <w:sz w:val="25"/>
          <w:szCs w:val="25"/>
        </w:rPr>
        <w:t xml:space="preserve">, which </w:t>
      </w:r>
      <w:r w:rsidR="00DA2A8E">
        <w:rPr>
          <w:rFonts w:ascii="Times New Roman" w:hAnsi="Times New Roman" w:cs="Times New Roman"/>
          <w:sz w:val="25"/>
          <w:szCs w:val="25"/>
        </w:rPr>
        <w:t>is</w:t>
      </w:r>
      <w:r w:rsidR="007E1974">
        <w:rPr>
          <w:rFonts w:ascii="Times New Roman" w:hAnsi="Times New Roman" w:cs="Times New Roman"/>
          <w:sz w:val="25"/>
          <w:szCs w:val="25"/>
        </w:rPr>
        <w:t xml:space="preserve"> April 1</w:t>
      </w:r>
      <w:r w:rsidR="007317DC">
        <w:rPr>
          <w:rFonts w:ascii="Times New Roman" w:hAnsi="Times New Roman" w:cs="Times New Roman"/>
          <w:sz w:val="25"/>
          <w:szCs w:val="25"/>
        </w:rPr>
        <w:t>6</w:t>
      </w:r>
      <w:r w:rsidR="007E1974">
        <w:rPr>
          <w:rFonts w:ascii="Times New Roman" w:hAnsi="Times New Roman" w:cs="Times New Roman"/>
          <w:sz w:val="25"/>
          <w:szCs w:val="25"/>
        </w:rPr>
        <w:t>, 2014.</w:t>
      </w:r>
      <w:r w:rsidR="006D7F50" w:rsidRPr="006D7F5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E1974" w:rsidRDefault="007E1974" w:rsidP="006D7F50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7317DC" w:rsidRDefault="007E1974" w:rsidP="006D7F50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In a</w:t>
      </w:r>
      <w:r w:rsidR="00965766">
        <w:rPr>
          <w:rFonts w:ascii="Times New Roman" w:hAnsi="Times New Roman" w:cs="Times New Roman"/>
          <w:sz w:val="25"/>
          <w:szCs w:val="25"/>
        </w:rPr>
        <w:t xml:space="preserve">ddition, on February 10, 2014, Waste Control informally requested </w:t>
      </w:r>
      <w:r w:rsidR="009D371A">
        <w:rPr>
          <w:rFonts w:ascii="Times New Roman" w:hAnsi="Times New Roman" w:cs="Times New Roman"/>
          <w:sz w:val="25"/>
          <w:szCs w:val="25"/>
        </w:rPr>
        <w:t xml:space="preserve">an </w:t>
      </w:r>
      <w:r w:rsidR="00965766">
        <w:rPr>
          <w:rFonts w:ascii="Times New Roman" w:hAnsi="Times New Roman" w:cs="Times New Roman"/>
          <w:sz w:val="25"/>
          <w:szCs w:val="25"/>
        </w:rPr>
        <w:t xml:space="preserve">extension of all filing deadlines </w:t>
      </w:r>
      <w:r w:rsidR="00712CFA">
        <w:rPr>
          <w:rFonts w:ascii="Times New Roman" w:hAnsi="Times New Roman" w:cs="Times New Roman"/>
          <w:sz w:val="25"/>
          <w:szCs w:val="25"/>
        </w:rPr>
        <w:t xml:space="preserve">prior to the May 13, 2014, evidentiary hearing </w:t>
      </w:r>
      <w:r w:rsidR="00965766">
        <w:rPr>
          <w:rFonts w:ascii="Times New Roman" w:hAnsi="Times New Roman" w:cs="Times New Roman"/>
          <w:sz w:val="25"/>
          <w:szCs w:val="25"/>
        </w:rPr>
        <w:t xml:space="preserve">and </w:t>
      </w:r>
      <w:r w:rsidR="00712CFA">
        <w:rPr>
          <w:rFonts w:ascii="Times New Roman" w:hAnsi="Times New Roman" w:cs="Times New Roman"/>
          <w:sz w:val="25"/>
          <w:szCs w:val="25"/>
        </w:rPr>
        <w:t xml:space="preserve">an </w:t>
      </w:r>
      <w:r w:rsidR="00965766">
        <w:rPr>
          <w:rFonts w:ascii="Times New Roman" w:hAnsi="Times New Roman" w:cs="Times New Roman"/>
          <w:sz w:val="25"/>
          <w:szCs w:val="25"/>
        </w:rPr>
        <w:t>extension of the discovery cut</w:t>
      </w:r>
      <w:r w:rsidR="00712CFA">
        <w:rPr>
          <w:rFonts w:ascii="Times New Roman" w:hAnsi="Times New Roman" w:cs="Times New Roman"/>
          <w:sz w:val="25"/>
          <w:szCs w:val="25"/>
        </w:rPr>
        <w:t>-</w:t>
      </w:r>
      <w:r w:rsidR="00965766">
        <w:rPr>
          <w:rFonts w:ascii="Times New Roman" w:hAnsi="Times New Roman" w:cs="Times New Roman"/>
          <w:sz w:val="25"/>
          <w:szCs w:val="25"/>
        </w:rPr>
        <w:t xml:space="preserve">off from April 11, 2014, to May 6, 2014.  Staff and WRRA have indicated they do not oppose this motion.  Thus, Waste Control’s request is granted.  </w:t>
      </w:r>
    </w:p>
    <w:p w:rsidR="00CA21A0" w:rsidRDefault="00CA21A0">
      <w:pPr>
        <w:rPr>
          <w:rFonts w:ascii="Times New Roman" w:eastAsiaTheme="minorHAnsi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7317DC" w:rsidRDefault="007317DC" w:rsidP="006D7F50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7E1974" w:rsidRPr="006D7F50" w:rsidRDefault="007317DC" w:rsidP="006D7F50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IS HEREBY GIVEN That the </w:t>
      </w:r>
      <w:r w:rsidR="00712CFA">
        <w:rPr>
          <w:rFonts w:ascii="Times New Roman" w:hAnsi="Times New Roman" w:cs="Times New Roman"/>
          <w:b/>
          <w:sz w:val="25"/>
          <w:szCs w:val="25"/>
        </w:rPr>
        <w:t>filing date</w:t>
      </w:r>
      <w:r>
        <w:rPr>
          <w:rFonts w:ascii="Times New Roman" w:hAnsi="Times New Roman" w:cs="Times New Roman"/>
          <w:b/>
          <w:sz w:val="25"/>
          <w:szCs w:val="25"/>
        </w:rPr>
        <w:t xml:space="preserve"> extension</w:t>
      </w:r>
      <w:r w:rsidR="00712CFA">
        <w:rPr>
          <w:rFonts w:ascii="Times New Roman" w:hAnsi="Times New Roman" w:cs="Times New Roman"/>
          <w:b/>
          <w:sz w:val="25"/>
          <w:szCs w:val="25"/>
        </w:rPr>
        <w:t>s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12CFA">
        <w:rPr>
          <w:rFonts w:ascii="Times New Roman" w:hAnsi="Times New Roman" w:cs="Times New Roman"/>
          <w:b/>
          <w:sz w:val="25"/>
          <w:szCs w:val="25"/>
        </w:rPr>
        <w:t xml:space="preserve">and the extension of discovery requested by the Company are granted.  For convenience, these modifications, along with the above errata, </w:t>
      </w:r>
      <w:r>
        <w:rPr>
          <w:rFonts w:ascii="Times New Roman" w:hAnsi="Times New Roman" w:cs="Times New Roman"/>
          <w:b/>
          <w:sz w:val="25"/>
          <w:szCs w:val="25"/>
        </w:rPr>
        <w:t xml:space="preserve">are </w:t>
      </w:r>
      <w:r w:rsidR="00DA2A8E">
        <w:rPr>
          <w:rFonts w:ascii="Times New Roman" w:hAnsi="Times New Roman" w:cs="Times New Roman"/>
          <w:b/>
          <w:sz w:val="25"/>
          <w:szCs w:val="25"/>
        </w:rPr>
        <w:t>included</w:t>
      </w:r>
      <w:r>
        <w:rPr>
          <w:rFonts w:ascii="Times New Roman" w:hAnsi="Times New Roman" w:cs="Times New Roman"/>
          <w:b/>
          <w:sz w:val="25"/>
          <w:szCs w:val="25"/>
        </w:rPr>
        <w:t xml:space="preserve"> in the revised Appendix A</w:t>
      </w:r>
      <w:r w:rsidR="00712CF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A2A8E">
        <w:rPr>
          <w:rFonts w:ascii="Times New Roman" w:hAnsi="Times New Roman" w:cs="Times New Roman"/>
          <w:b/>
          <w:sz w:val="25"/>
          <w:szCs w:val="25"/>
        </w:rPr>
        <w:t xml:space="preserve">which is </w:t>
      </w:r>
      <w:r w:rsidR="00712CFA">
        <w:rPr>
          <w:rFonts w:ascii="Times New Roman" w:hAnsi="Times New Roman" w:cs="Times New Roman"/>
          <w:b/>
          <w:sz w:val="25"/>
          <w:szCs w:val="25"/>
        </w:rPr>
        <w:t>attached hereto</w:t>
      </w:r>
      <w:r>
        <w:rPr>
          <w:rFonts w:ascii="Times New Roman" w:hAnsi="Times New Roman" w:cs="Times New Roman"/>
          <w:b/>
          <w:sz w:val="25"/>
          <w:szCs w:val="25"/>
        </w:rPr>
        <w:t xml:space="preserve">.  </w:t>
      </w:r>
    </w:p>
    <w:p w:rsidR="00ED5045" w:rsidRPr="006D7F50" w:rsidRDefault="00ED5045" w:rsidP="00BB16A9">
      <w:pPr>
        <w:pStyle w:val="FindingsConclusions"/>
        <w:rPr>
          <w:sz w:val="25"/>
          <w:szCs w:val="25"/>
        </w:rPr>
      </w:pPr>
    </w:p>
    <w:p w:rsidR="00AA07D5" w:rsidRPr="006D7F50" w:rsidRDefault="00AA07D5" w:rsidP="00BB16A9">
      <w:pPr>
        <w:pStyle w:val="FindingsConclusions"/>
        <w:rPr>
          <w:sz w:val="25"/>
          <w:szCs w:val="25"/>
        </w:rPr>
      </w:pPr>
    </w:p>
    <w:p w:rsidR="00BB16A9" w:rsidRPr="006D7F50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7317DC" w:rsidRDefault="001E3B64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MARGUERITE E. FRIEDLANDER</w:t>
      </w:r>
    </w:p>
    <w:p w:rsidR="00BB16A9" w:rsidRDefault="001E3B64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p w:rsidR="007317DC" w:rsidRDefault="007317DC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CA21A0" w:rsidRDefault="00CA21A0">
      <w:pPr>
        <w:rPr>
          <w:rFonts w:ascii="Times New Roman" w:eastAsiaTheme="minorHAnsi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7317DC" w:rsidRDefault="007317DC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7317DC" w:rsidRPr="007317DC" w:rsidRDefault="007317DC" w:rsidP="007317DC">
      <w:pPr>
        <w:spacing w:line="288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7317DC">
        <w:rPr>
          <w:rFonts w:ascii="Times New Roman" w:hAnsi="Times New Roman"/>
          <w:b/>
          <w:bCs/>
          <w:sz w:val="25"/>
          <w:szCs w:val="25"/>
        </w:rPr>
        <w:t>APPENDIX A</w:t>
      </w:r>
    </w:p>
    <w:p w:rsidR="007317DC" w:rsidRPr="007317DC" w:rsidRDefault="007317DC" w:rsidP="007317DC">
      <w:pPr>
        <w:keepNext/>
        <w:spacing w:line="288" w:lineRule="auto"/>
        <w:jc w:val="center"/>
        <w:outlineLvl w:val="2"/>
        <w:rPr>
          <w:rFonts w:ascii="Times New Roman" w:hAnsi="Times New Roman"/>
          <w:b/>
          <w:bCs/>
          <w:sz w:val="25"/>
          <w:szCs w:val="25"/>
        </w:rPr>
      </w:pPr>
      <w:r w:rsidRPr="007317DC">
        <w:rPr>
          <w:rFonts w:ascii="Times New Roman" w:hAnsi="Times New Roman"/>
          <w:b/>
          <w:bCs/>
          <w:sz w:val="25"/>
          <w:szCs w:val="25"/>
        </w:rPr>
        <w:t>PROCEDURAL SCHEDULE</w:t>
      </w:r>
    </w:p>
    <w:p w:rsidR="007317DC" w:rsidRDefault="007317DC" w:rsidP="007317DC">
      <w:pPr>
        <w:spacing w:line="288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7317DC">
        <w:rPr>
          <w:rFonts w:ascii="Times New Roman" w:hAnsi="Times New Roman"/>
          <w:b/>
          <w:bCs/>
          <w:sz w:val="25"/>
          <w:szCs w:val="25"/>
        </w:rPr>
        <w:t>DOCKET TG-131794</w:t>
      </w:r>
    </w:p>
    <w:p w:rsidR="007317DC" w:rsidRDefault="007317DC" w:rsidP="007317DC">
      <w:pPr>
        <w:spacing w:line="288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3060"/>
        <w:gridCol w:w="2898"/>
      </w:tblGrid>
      <w:tr w:rsidR="007317DC" w:rsidRPr="00024CD1" w:rsidTr="004C6B9C">
        <w:trPr>
          <w:cantSplit/>
        </w:trPr>
        <w:tc>
          <w:tcPr>
            <w:tcW w:w="3690" w:type="dxa"/>
            <w:shd w:val="clear" w:color="auto" w:fill="D9D9D9"/>
          </w:tcPr>
          <w:p w:rsidR="007317DC" w:rsidRPr="007317DC" w:rsidRDefault="007317DC" w:rsidP="007317DC">
            <w:pPr>
              <w:keepNext/>
              <w:spacing w:before="240" w:after="60" w:line="288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7317DC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EVENT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shd w:val="clear" w:color="auto" w:fill="D9D9D9"/>
          </w:tcPr>
          <w:p w:rsidR="007317DC" w:rsidRPr="007317DC" w:rsidRDefault="007317DC" w:rsidP="007317DC">
            <w:pPr>
              <w:keepNext/>
              <w:spacing w:before="240" w:after="60" w:line="288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 xml:space="preserve">ORIGINAL </w:t>
            </w:r>
            <w:r w:rsidRPr="007317DC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DATE</w:t>
            </w:r>
          </w:p>
        </w:tc>
        <w:tc>
          <w:tcPr>
            <w:tcW w:w="2898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9D9D9"/>
          </w:tcPr>
          <w:p w:rsidR="007317DC" w:rsidRPr="007317DC" w:rsidRDefault="007317DC" w:rsidP="007317DC">
            <w:pPr>
              <w:keepNext/>
              <w:spacing w:before="240" w:after="60" w:line="288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REVISED DATE</w:t>
            </w:r>
          </w:p>
        </w:tc>
      </w:tr>
      <w:tr w:rsidR="007317DC" w:rsidRPr="00024CD1" w:rsidTr="004C6B9C">
        <w:trPr>
          <w:cantSplit/>
          <w:trHeight w:val="738"/>
        </w:trPr>
        <w:tc>
          <w:tcPr>
            <w:tcW w:w="3690" w:type="dxa"/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7317DC">
              <w:rPr>
                <w:rFonts w:ascii="Times New Roman" w:hAnsi="Times New Roman"/>
                <w:sz w:val="25"/>
                <w:szCs w:val="25"/>
              </w:rPr>
              <w:t>Company’s Direct Testimony and Exhibits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7317DC">
              <w:rPr>
                <w:rFonts w:ascii="Times New Roman" w:hAnsi="Times New Roman"/>
                <w:sz w:val="25"/>
                <w:szCs w:val="25"/>
              </w:rPr>
              <w:t>February 14, 2014</w:t>
            </w:r>
          </w:p>
        </w:tc>
        <w:tc>
          <w:tcPr>
            <w:tcW w:w="2898" w:type="dxa"/>
            <w:tcBorders>
              <w:left w:val="double" w:sz="4" w:space="0" w:color="auto"/>
              <w:right w:val="thickThinSmallGap" w:sz="2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February 18, 2014</w:t>
            </w:r>
          </w:p>
        </w:tc>
      </w:tr>
      <w:tr w:rsidR="007317DC" w:rsidRPr="00024CD1" w:rsidTr="004C6B9C">
        <w:trPr>
          <w:cantSplit/>
          <w:trHeight w:val="738"/>
        </w:trPr>
        <w:tc>
          <w:tcPr>
            <w:tcW w:w="3690" w:type="dxa"/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7317DC">
              <w:rPr>
                <w:rFonts w:ascii="Times New Roman" w:hAnsi="Times New Roman"/>
                <w:sz w:val="25"/>
                <w:szCs w:val="25"/>
              </w:rPr>
              <w:t>Staff’s Response Testimony and Exhibits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7317DC">
              <w:rPr>
                <w:rFonts w:ascii="Times New Roman" w:hAnsi="Times New Roman"/>
                <w:sz w:val="25"/>
                <w:szCs w:val="25"/>
              </w:rPr>
              <w:t>March 26, 2014</w:t>
            </w:r>
          </w:p>
        </w:tc>
        <w:tc>
          <w:tcPr>
            <w:tcW w:w="2898" w:type="dxa"/>
            <w:tcBorders>
              <w:left w:val="double" w:sz="4" w:space="0" w:color="auto"/>
              <w:right w:val="thickThinSmallGap" w:sz="2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March 28, 2014</w:t>
            </w:r>
          </w:p>
        </w:tc>
      </w:tr>
      <w:tr w:rsidR="007317DC" w:rsidRPr="00024CD1" w:rsidTr="004C6B9C">
        <w:trPr>
          <w:cantSplit/>
          <w:trHeight w:val="738"/>
        </w:trPr>
        <w:tc>
          <w:tcPr>
            <w:tcW w:w="3690" w:type="dxa"/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Company’s Rebuttal Testimony and Exhibits and Staff/Intervenor Cross Answering Testimony and Exhibits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Omitted</w:t>
            </w:r>
          </w:p>
        </w:tc>
        <w:tc>
          <w:tcPr>
            <w:tcW w:w="2898" w:type="dxa"/>
            <w:tcBorders>
              <w:left w:val="double" w:sz="4" w:space="0" w:color="auto"/>
              <w:right w:val="thickThinSmallGap" w:sz="24" w:space="0" w:color="auto"/>
            </w:tcBorders>
          </w:tcPr>
          <w:p w:rsid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April 16, 2014</w:t>
            </w:r>
          </w:p>
        </w:tc>
      </w:tr>
      <w:tr w:rsidR="007317DC" w:rsidRPr="00024CD1" w:rsidTr="004C6B9C">
        <w:trPr>
          <w:cantSplit/>
          <w:trHeight w:val="738"/>
        </w:trPr>
        <w:tc>
          <w:tcPr>
            <w:tcW w:w="3690" w:type="dxa"/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7317DC">
              <w:rPr>
                <w:rFonts w:ascii="Times New Roman" w:hAnsi="Times New Roman"/>
                <w:sz w:val="25"/>
                <w:szCs w:val="25"/>
              </w:rPr>
              <w:t>Close of Discovery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7317DC">
              <w:rPr>
                <w:rFonts w:ascii="Times New Roman" w:hAnsi="Times New Roman"/>
                <w:sz w:val="25"/>
                <w:szCs w:val="25"/>
              </w:rPr>
              <w:t>April 11, 2014</w:t>
            </w:r>
          </w:p>
        </w:tc>
        <w:tc>
          <w:tcPr>
            <w:tcW w:w="2898" w:type="dxa"/>
            <w:tcBorders>
              <w:left w:val="double" w:sz="4" w:space="0" w:color="auto"/>
              <w:right w:val="thickThinSmallGap" w:sz="2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May 6, 2014</w:t>
            </w:r>
          </w:p>
        </w:tc>
      </w:tr>
      <w:tr w:rsidR="007317DC" w:rsidRPr="00024CD1" w:rsidTr="004C6B9C">
        <w:trPr>
          <w:cantSplit/>
          <w:trHeight w:val="780"/>
        </w:trPr>
        <w:tc>
          <w:tcPr>
            <w:tcW w:w="3690" w:type="dxa"/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7317DC">
              <w:rPr>
                <w:rFonts w:ascii="Times New Roman" w:hAnsi="Times New Roman"/>
                <w:sz w:val="25"/>
                <w:szCs w:val="25"/>
              </w:rPr>
              <w:t>Evidentiary Hearing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7317DC">
              <w:rPr>
                <w:rFonts w:ascii="Times New Roman" w:hAnsi="Times New Roman"/>
                <w:sz w:val="25"/>
                <w:szCs w:val="25"/>
              </w:rPr>
              <w:t>May 13, 2014</w:t>
            </w:r>
          </w:p>
        </w:tc>
        <w:tc>
          <w:tcPr>
            <w:tcW w:w="2898" w:type="dxa"/>
            <w:tcBorders>
              <w:left w:val="double" w:sz="4" w:space="0" w:color="auto"/>
              <w:right w:val="thickThinSmallGap" w:sz="2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Same</w:t>
            </w:r>
          </w:p>
        </w:tc>
      </w:tr>
      <w:tr w:rsidR="007317DC" w:rsidRPr="00024CD1" w:rsidTr="004C6B9C">
        <w:trPr>
          <w:cantSplit/>
          <w:trHeight w:val="780"/>
        </w:trPr>
        <w:tc>
          <w:tcPr>
            <w:tcW w:w="3690" w:type="dxa"/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7317DC">
              <w:rPr>
                <w:rFonts w:ascii="Times New Roman" w:hAnsi="Times New Roman"/>
                <w:sz w:val="25"/>
                <w:szCs w:val="25"/>
              </w:rPr>
              <w:t>Simultaneous Post-Hearing Briefs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7317DC">
              <w:rPr>
                <w:rFonts w:ascii="Times New Roman" w:hAnsi="Times New Roman"/>
                <w:sz w:val="25"/>
                <w:szCs w:val="25"/>
              </w:rPr>
              <w:t>June 6, 2014</w:t>
            </w:r>
          </w:p>
        </w:tc>
        <w:tc>
          <w:tcPr>
            <w:tcW w:w="2898" w:type="dxa"/>
            <w:tcBorders>
              <w:left w:val="double" w:sz="4" w:space="0" w:color="auto"/>
              <w:right w:val="thickThinSmallGap" w:sz="2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Same</w:t>
            </w:r>
          </w:p>
        </w:tc>
      </w:tr>
      <w:tr w:rsidR="007317DC" w:rsidRPr="00024CD1" w:rsidTr="004C6B9C">
        <w:trPr>
          <w:cantSplit/>
          <w:trHeight w:val="780"/>
        </w:trPr>
        <w:tc>
          <w:tcPr>
            <w:tcW w:w="3690" w:type="dxa"/>
            <w:tcBorders>
              <w:bottom w:val="thickThinSmallGap" w:sz="2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7317DC">
              <w:rPr>
                <w:rFonts w:ascii="Times New Roman" w:hAnsi="Times New Roman"/>
                <w:sz w:val="25"/>
                <w:szCs w:val="25"/>
              </w:rPr>
              <w:t>Statutory Effective Date</w:t>
            </w:r>
          </w:p>
        </w:tc>
        <w:tc>
          <w:tcPr>
            <w:tcW w:w="3060" w:type="dxa"/>
            <w:tcBorders>
              <w:bottom w:val="thickThinSmallGap" w:sz="24" w:space="0" w:color="auto"/>
              <w:right w:val="double" w:sz="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7317DC">
              <w:rPr>
                <w:rFonts w:ascii="Times New Roman" w:hAnsi="Times New Roman"/>
                <w:sz w:val="25"/>
                <w:szCs w:val="25"/>
              </w:rPr>
              <w:t>October 1, 2014</w:t>
            </w:r>
          </w:p>
        </w:tc>
        <w:tc>
          <w:tcPr>
            <w:tcW w:w="2898" w:type="dxa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317DC" w:rsidRPr="007317DC" w:rsidRDefault="007317DC" w:rsidP="007317DC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Same</w:t>
            </w:r>
          </w:p>
        </w:tc>
      </w:tr>
    </w:tbl>
    <w:p w:rsidR="007317DC" w:rsidRPr="007317DC" w:rsidRDefault="007317DC" w:rsidP="007317DC">
      <w:pPr>
        <w:spacing w:line="288" w:lineRule="auto"/>
        <w:rPr>
          <w:rFonts w:ascii="Times New Roman" w:hAnsi="Times New Roman"/>
          <w:b/>
          <w:bCs/>
          <w:sz w:val="25"/>
          <w:szCs w:val="25"/>
        </w:rPr>
      </w:pPr>
    </w:p>
    <w:p w:rsidR="007317DC" w:rsidRPr="006D7F50" w:rsidRDefault="007317DC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sectPr w:rsidR="007317DC" w:rsidRPr="006D7F50" w:rsidSect="00611031">
      <w:headerReference w:type="default" r:id="rId10"/>
      <w:headerReference w:type="first" r:id="rId11"/>
      <w:pgSz w:w="12240" w:h="15840" w:code="1"/>
      <w:pgMar w:top="720" w:right="1440" w:bottom="1440" w:left="1800" w:header="144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F8" w:rsidRDefault="00734DF8" w:rsidP="002C4241">
      <w:r>
        <w:separator/>
      </w:r>
    </w:p>
  </w:endnote>
  <w:endnote w:type="continuationSeparator" w:id="0">
    <w:p w:rsidR="00734DF8" w:rsidRDefault="00734DF8" w:rsidP="002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F8" w:rsidRDefault="00734DF8" w:rsidP="002C4241">
      <w:r>
        <w:separator/>
      </w:r>
    </w:p>
  </w:footnote>
  <w:footnote w:type="continuationSeparator" w:id="0">
    <w:p w:rsidR="00734DF8" w:rsidRDefault="00734DF8" w:rsidP="002C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66" w:rsidRPr="00933E66" w:rsidRDefault="00933E66" w:rsidP="00933E66">
    <w:pPr>
      <w:pStyle w:val="Header"/>
      <w:tabs>
        <w:tab w:val="clear" w:pos="4680"/>
        <w:tab w:val="clear" w:pos="9360"/>
      </w:tabs>
      <w:jc w:val="both"/>
      <w:rPr>
        <w:rFonts w:ascii="Times New Roman" w:hAnsi="Times New Roman" w:cs="Times New Roman"/>
        <w:b/>
        <w:noProof/>
        <w:sz w:val="20"/>
        <w:szCs w:val="20"/>
      </w:rPr>
    </w:pPr>
    <w:r w:rsidRPr="00933E66">
      <w:rPr>
        <w:rFonts w:ascii="Times New Roman" w:hAnsi="Times New Roman" w:cs="Times New Roman"/>
        <w:b/>
        <w:sz w:val="20"/>
        <w:szCs w:val="20"/>
      </w:rPr>
      <w:t>DOCKET</w:t>
    </w:r>
    <w:r>
      <w:rPr>
        <w:rFonts w:ascii="Times New Roman" w:hAnsi="Times New Roman" w:cs="Times New Roman"/>
        <w:b/>
        <w:sz w:val="20"/>
        <w:szCs w:val="20"/>
      </w:rPr>
      <w:t xml:space="preserve"> TG-131794</w:t>
    </w:r>
    <w:r w:rsidRPr="00933E66">
      <w:rPr>
        <w:rFonts w:ascii="Times New Roman" w:hAnsi="Times New Roman" w:cs="Times New Roman"/>
        <w:b/>
        <w:sz w:val="20"/>
        <w:szCs w:val="20"/>
      </w:rPr>
      <w:tab/>
    </w:r>
    <w:r w:rsidRPr="00933E66">
      <w:rPr>
        <w:rFonts w:ascii="Times New Roman" w:hAnsi="Times New Roman" w:cs="Times New Roman"/>
        <w:b/>
        <w:sz w:val="20"/>
        <w:szCs w:val="20"/>
      </w:rPr>
      <w:tab/>
    </w:r>
    <w:r w:rsidRPr="00933E66">
      <w:rPr>
        <w:rFonts w:ascii="Times New Roman" w:hAnsi="Times New Roman" w:cs="Times New Roman"/>
        <w:b/>
        <w:sz w:val="20"/>
        <w:szCs w:val="20"/>
      </w:rPr>
      <w:tab/>
    </w:r>
    <w:r w:rsidRPr="00933E66">
      <w:rPr>
        <w:rFonts w:ascii="Times New Roman" w:hAnsi="Times New Roman" w:cs="Times New Roman"/>
        <w:b/>
        <w:sz w:val="20"/>
        <w:szCs w:val="20"/>
      </w:rPr>
      <w:tab/>
    </w:r>
    <w:r w:rsidRPr="00933E66">
      <w:rPr>
        <w:rFonts w:ascii="Times New Roman" w:hAnsi="Times New Roman" w:cs="Times New Roman"/>
        <w:b/>
        <w:sz w:val="20"/>
        <w:szCs w:val="20"/>
      </w:rPr>
      <w:tab/>
    </w:r>
    <w:r w:rsidRPr="00933E66">
      <w:rPr>
        <w:rFonts w:ascii="Times New Roman" w:hAnsi="Times New Roman" w:cs="Times New Roman"/>
        <w:b/>
        <w:sz w:val="20"/>
        <w:szCs w:val="20"/>
      </w:rPr>
      <w:tab/>
    </w:r>
    <w:r w:rsidRPr="00933E66">
      <w:rPr>
        <w:rFonts w:ascii="Times New Roman" w:hAnsi="Times New Roman" w:cs="Times New Roman"/>
        <w:b/>
        <w:sz w:val="20"/>
        <w:szCs w:val="20"/>
      </w:rPr>
      <w:tab/>
    </w:r>
    <w:r w:rsidRPr="00933E66">
      <w:rPr>
        <w:rFonts w:ascii="Times New Roman" w:hAnsi="Times New Roman" w:cs="Times New Roman"/>
        <w:b/>
        <w:sz w:val="20"/>
        <w:szCs w:val="20"/>
      </w:rPr>
      <w:tab/>
    </w:r>
    <w:r w:rsidRPr="00933E66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933E66">
      <w:rPr>
        <w:rFonts w:ascii="Times New Roman" w:hAnsi="Times New Roman" w:cs="Times New Roman"/>
        <w:b/>
        <w:sz w:val="20"/>
        <w:szCs w:val="20"/>
      </w:rPr>
      <w:fldChar w:fldCharType="begin"/>
    </w:r>
    <w:r w:rsidRPr="00933E66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933E66">
      <w:rPr>
        <w:rFonts w:ascii="Times New Roman" w:hAnsi="Times New Roman" w:cs="Times New Roman"/>
        <w:b/>
        <w:sz w:val="20"/>
        <w:szCs w:val="20"/>
      </w:rPr>
      <w:fldChar w:fldCharType="separate"/>
    </w:r>
    <w:r w:rsidR="00611031">
      <w:rPr>
        <w:rFonts w:ascii="Times New Roman" w:hAnsi="Times New Roman" w:cs="Times New Roman"/>
        <w:b/>
        <w:noProof/>
        <w:sz w:val="20"/>
        <w:szCs w:val="20"/>
      </w:rPr>
      <w:t>3</w:t>
    </w:r>
    <w:r w:rsidRPr="00933E66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933E66" w:rsidRPr="00933E66" w:rsidRDefault="00933E66" w:rsidP="00933E66">
    <w:pPr>
      <w:pStyle w:val="Header"/>
      <w:tabs>
        <w:tab w:val="clear" w:pos="4680"/>
        <w:tab w:val="clear" w:pos="9360"/>
      </w:tabs>
      <w:jc w:val="both"/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031" w:rsidRPr="00611031" w:rsidRDefault="00611031" w:rsidP="00611031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February 12,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0F3"/>
    <w:multiLevelType w:val="hybridMultilevel"/>
    <w:tmpl w:val="22069DB8"/>
    <w:lvl w:ilvl="0" w:tplc="041845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9"/>
    <w:rsid w:val="000200CB"/>
    <w:rsid w:val="000C1102"/>
    <w:rsid w:val="000D2775"/>
    <w:rsid w:val="000E640C"/>
    <w:rsid w:val="001364C5"/>
    <w:rsid w:val="00196363"/>
    <w:rsid w:val="001A5480"/>
    <w:rsid w:val="001C5AB1"/>
    <w:rsid w:val="001E1D7A"/>
    <w:rsid w:val="001E3B64"/>
    <w:rsid w:val="0022429F"/>
    <w:rsid w:val="00240EFB"/>
    <w:rsid w:val="00275E64"/>
    <w:rsid w:val="00277DE5"/>
    <w:rsid w:val="002C039A"/>
    <w:rsid w:val="002C4241"/>
    <w:rsid w:val="00394CED"/>
    <w:rsid w:val="003A7EF0"/>
    <w:rsid w:val="004B1C20"/>
    <w:rsid w:val="004B74B8"/>
    <w:rsid w:val="004C6B9C"/>
    <w:rsid w:val="00552600"/>
    <w:rsid w:val="00567029"/>
    <w:rsid w:val="005A062D"/>
    <w:rsid w:val="005A6C74"/>
    <w:rsid w:val="00611031"/>
    <w:rsid w:val="006332D1"/>
    <w:rsid w:val="00672F7B"/>
    <w:rsid w:val="006A41EE"/>
    <w:rsid w:val="006D7F50"/>
    <w:rsid w:val="00712CFA"/>
    <w:rsid w:val="007317DC"/>
    <w:rsid w:val="00733453"/>
    <w:rsid w:val="00734DF8"/>
    <w:rsid w:val="007E1974"/>
    <w:rsid w:val="00872E2E"/>
    <w:rsid w:val="00882E49"/>
    <w:rsid w:val="008C37D1"/>
    <w:rsid w:val="00933E66"/>
    <w:rsid w:val="00965766"/>
    <w:rsid w:val="00994A83"/>
    <w:rsid w:val="009D371A"/>
    <w:rsid w:val="009F1039"/>
    <w:rsid w:val="00A84C2A"/>
    <w:rsid w:val="00AA07D5"/>
    <w:rsid w:val="00AD3312"/>
    <w:rsid w:val="00AE273E"/>
    <w:rsid w:val="00AF12EA"/>
    <w:rsid w:val="00B12B44"/>
    <w:rsid w:val="00B13041"/>
    <w:rsid w:val="00BB16A9"/>
    <w:rsid w:val="00C05843"/>
    <w:rsid w:val="00C738D9"/>
    <w:rsid w:val="00CA21A0"/>
    <w:rsid w:val="00D16DCC"/>
    <w:rsid w:val="00DA1B86"/>
    <w:rsid w:val="00DA2A8E"/>
    <w:rsid w:val="00DD2A47"/>
    <w:rsid w:val="00ED5045"/>
    <w:rsid w:val="00F21B68"/>
    <w:rsid w:val="00F43764"/>
    <w:rsid w:val="00F72173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64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7F5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57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5766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57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64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7F5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57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5766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5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57CE67F4D81469E75A716744123B4" ma:contentTypeVersion="135" ma:contentTypeDescription="" ma:contentTypeScope="" ma:versionID="4da0cc8e6ce95b0f08cfe8d955d8c5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2013-09-23T07:00:00+00:00</OpenedDate>
    <Date1 xmlns="dc463f71-b30c-4ab2-9473-d307f9d35888">2014-02-12T08:00:00+00:00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131794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C8E6F60-8EE2-4C10-8DEC-F155A3D13FF1}"/>
</file>

<file path=customXml/itemProps2.xml><?xml version="1.0" encoding="utf-8"?>
<ds:datastoreItem xmlns:ds="http://schemas.openxmlformats.org/officeDocument/2006/customXml" ds:itemID="{6E1A7A58-EF21-4304-B448-6A2EB71327D2}"/>
</file>

<file path=customXml/itemProps3.xml><?xml version="1.0" encoding="utf-8"?>
<ds:datastoreItem xmlns:ds="http://schemas.openxmlformats.org/officeDocument/2006/customXml" ds:itemID="{E8216B83-926B-47C4-A2F2-ADA3B87E06FB}"/>
</file>

<file path=customXml/itemProps4.xml><?xml version="1.0" encoding="utf-8"?>
<ds:datastoreItem xmlns:ds="http://schemas.openxmlformats.org/officeDocument/2006/customXml" ds:itemID="{6D6EF730-4361-4D39-8A0C-8FB201720812}"/>
</file>

<file path=customXml/itemProps5.xml><?xml version="1.0" encoding="utf-8"?>
<ds:datastoreItem xmlns:ds="http://schemas.openxmlformats.org/officeDocument/2006/customXml" ds:itemID="{3FCD5F2E-743D-4512-A760-106C26103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TG-131749</vt:lpstr>
    </vt:vector>
  </TitlesOfParts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TG-131749</dc:title>
  <dc:creator/>
  <cp:lastModifiedBy/>
  <cp:revision>1</cp:revision>
  <dcterms:created xsi:type="dcterms:W3CDTF">2014-02-12T16:11:00Z</dcterms:created>
  <dcterms:modified xsi:type="dcterms:W3CDTF">2014-02-12T17:13:00Z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0x0101006E56B4D1795A2E4DB2F0B01679ED314A00CC057CE67F4D81469E75A716744123B4</vt:lpwstr>
  </property>
  <property fmtid="{D5CDD505-2E9C-101B-9397-08002B2CF9AE}" pid="3" name="_docset_NoMedatataSyncRequired">
    <vt:lpwstr>False</vt:lpwstr>
  </property>
</Properties>
</file>